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5E4" w:rsidRPr="00507BD2" w:rsidRDefault="00494324" w:rsidP="006515E4">
      <w:pPr>
        <w:adjustRightInd w:val="0"/>
        <w:ind w:leftChars="0" w:left="0" w:firstLineChars="0" w:firstLine="0"/>
        <w:rPr>
          <w:rFonts w:hAnsi="標楷體" w:hint="eastAsia"/>
          <w:b/>
          <w:sz w:val="36"/>
        </w:rPr>
      </w:pPr>
      <w:bookmarkStart w:id="0" w:name="_GoBack"/>
      <w:bookmarkEnd w:id="0"/>
      <w:r w:rsidRPr="00507BD2">
        <w:rPr>
          <w:rFonts w:hAnsi="標楷體" w:hint="eastAsia"/>
          <w:b/>
          <w:sz w:val="36"/>
        </w:rPr>
        <w:t>中央銀行11</w:t>
      </w:r>
      <w:r w:rsidR="00532EDB" w:rsidRPr="00507BD2">
        <w:rPr>
          <w:rFonts w:hAnsi="標楷體"/>
          <w:b/>
          <w:sz w:val="36"/>
        </w:rPr>
        <w:t>4</w:t>
      </w:r>
      <w:r w:rsidRPr="00507BD2">
        <w:rPr>
          <w:rFonts w:hAnsi="標楷體" w:hint="eastAsia"/>
          <w:b/>
          <w:sz w:val="36"/>
        </w:rPr>
        <w:t>年度營業預算評估報告</w:t>
      </w:r>
    </w:p>
    <w:p w:rsidR="00494324" w:rsidRPr="00507BD2" w:rsidRDefault="00494324" w:rsidP="00A90610">
      <w:pPr>
        <w:pStyle w:val="a8"/>
        <w:ind w:firstLine="566"/>
        <w:rPr>
          <w:rFonts w:hAnsi="標楷體" w:hint="eastAsia"/>
        </w:rPr>
      </w:pPr>
      <w:r w:rsidRPr="00507BD2">
        <w:rPr>
          <w:rFonts w:hAnsi="標楷體" w:hint="eastAsia"/>
        </w:rPr>
        <w:t>中央銀行</w:t>
      </w:r>
      <w:r w:rsidR="00532EDB" w:rsidRPr="00507BD2">
        <w:rPr>
          <w:rFonts w:hAnsi="標楷體" w:hint="eastAsia"/>
        </w:rPr>
        <w:t>(</w:t>
      </w:r>
      <w:r w:rsidRPr="00507BD2">
        <w:rPr>
          <w:rFonts w:hAnsi="標楷體" w:hint="eastAsia"/>
        </w:rPr>
        <w:t>以下簡稱央行</w:t>
      </w:r>
      <w:r w:rsidR="00532EDB" w:rsidRPr="00507BD2">
        <w:rPr>
          <w:rFonts w:hAnsi="標楷體" w:hint="eastAsia"/>
        </w:rPr>
        <w:t>)</w:t>
      </w:r>
      <w:r w:rsidRPr="00507BD2">
        <w:rPr>
          <w:rFonts w:hAnsi="標楷體" w:hint="eastAsia"/>
        </w:rPr>
        <w:t>為國家銀行，</w:t>
      </w:r>
      <w:r w:rsidR="00C75457" w:rsidRPr="00507BD2">
        <w:rPr>
          <w:rFonts w:hAnsi="標楷體" w:hint="eastAsia"/>
        </w:rPr>
        <w:t>係貨幣政策之制定及執行機關，</w:t>
      </w:r>
      <w:r w:rsidR="00A90610" w:rsidRPr="00A90610">
        <w:rPr>
          <w:rFonts w:hAnsi="標楷體" w:hint="eastAsia"/>
        </w:rPr>
        <w:t>促進金融穩定</w:t>
      </w:r>
      <w:r w:rsidR="00A90610">
        <w:rPr>
          <w:rFonts w:hAnsi="標楷體" w:hint="eastAsia"/>
        </w:rPr>
        <w:t>、健全銀行業務、維護對內與對外幣值之穩定及</w:t>
      </w:r>
      <w:r w:rsidR="00A90610" w:rsidRPr="00A90610">
        <w:rPr>
          <w:rFonts w:hAnsi="標楷體" w:hint="eastAsia"/>
        </w:rPr>
        <w:t>協助經濟之發展。</w:t>
      </w:r>
      <w:r w:rsidR="000E56BC" w:rsidRPr="00507BD2">
        <w:rPr>
          <w:rFonts w:hAnsi="標楷體" w:hint="eastAsia"/>
        </w:rPr>
        <w:t>央行</w:t>
      </w:r>
      <w:r w:rsidRPr="00507BD2">
        <w:rPr>
          <w:rFonts w:hAnsi="標楷體" w:hint="eastAsia"/>
        </w:rPr>
        <w:t>11</w:t>
      </w:r>
      <w:r w:rsidR="006054CF" w:rsidRPr="00507BD2">
        <w:rPr>
          <w:rFonts w:hAnsi="標楷體"/>
        </w:rPr>
        <w:t>4</w:t>
      </w:r>
      <w:r w:rsidRPr="00507BD2">
        <w:rPr>
          <w:rFonts w:hAnsi="標楷體" w:hint="eastAsia"/>
        </w:rPr>
        <w:t>年度</w:t>
      </w:r>
      <w:r w:rsidR="006A53C1" w:rsidRPr="00507BD2">
        <w:rPr>
          <w:rFonts w:hAnsi="標楷體" w:hint="eastAsia"/>
        </w:rPr>
        <w:t>預算案</w:t>
      </w:r>
      <w:r w:rsidRPr="00507BD2">
        <w:rPr>
          <w:rFonts w:hAnsi="標楷體" w:hint="eastAsia"/>
        </w:rPr>
        <w:t>「營業收入」編列</w:t>
      </w:r>
      <w:r w:rsidR="00BD467A" w:rsidRPr="00507BD2">
        <w:rPr>
          <w:rFonts w:hAnsi="標楷體"/>
        </w:rPr>
        <w:t>4,267</w:t>
      </w:r>
      <w:r w:rsidR="00BD467A" w:rsidRPr="00507BD2">
        <w:rPr>
          <w:rFonts w:hAnsi="標楷體" w:hint="eastAsia"/>
        </w:rPr>
        <w:t>億</w:t>
      </w:r>
      <w:r w:rsidR="00BD467A" w:rsidRPr="00507BD2">
        <w:rPr>
          <w:rFonts w:hAnsi="標楷體"/>
        </w:rPr>
        <w:t>8,139</w:t>
      </w:r>
      <w:r w:rsidR="00BD467A" w:rsidRPr="00507BD2">
        <w:rPr>
          <w:rFonts w:hAnsi="標楷體" w:hint="eastAsia"/>
        </w:rPr>
        <w:t>萬</w:t>
      </w:r>
      <w:r w:rsidR="00BD467A" w:rsidRPr="00507BD2">
        <w:rPr>
          <w:rFonts w:hAnsi="標楷體"/>
        </w:rPr>
        <w:t>9</w:t>
      </w:r>
      <w:r w:rsidRPr="00507BD2">
        <w:rPr>
          <w:rFonts w:hAnsi="標楷體" w:hint="eastAsia"/>
        </w:rPr>
        <w:t>千元，「營業成本」編列</w:t>
      </w:r>
      <w:r w:rsidR="00BD467A" w:rsidRPr="00507BD2">
        <w:rPr>
          <w:rFonts w:hAnsi="標楷體"/>
        </w:rPr>
        <w:t>2,484</w:t>
      </w:r>
      <w:r w:rsidR="00BD467A" w:rsidRPr="00507BD2">
        <w:rPr>
          <w:rFonts w:hAnsi="標楷體" w:hint="eastAsia"/>
        </w:rPr>
        <w:t>億</w:t>
      </w:r>
      <w:r w:rsidR="00BD467A" w:rsidRPr="00507BD2">
        <w:rPr>
          <w:rFonts w:hAnsi="標楷體"/>
        </w:rPr>
        <w:t>3,942</w:t>
      </w:r>
      <w:r w:rsidR="00BD467A" w:rsidRPr="00507BD2">
        <w:rPr>
          <w:rFonts w:hAnsi="標楷體" w:hint="eastAsia"/>
        </w:rPr>
        <w:t>萬</w:t>
      </w:r>
      <w:r w:rsidR="00BD467A" w:rsidRPr="00507BD2">
        <w:rPr>
          <w:rFonts w:hAnsi="標楷體"/>
        </w:rPr>
        <w:t>5</w:t>
      </w:r>
      <w:r w:rsidRPr="00507BD2">
        <w:rPr>
          <w:rFonts w:hAnsi="標楷體" w:hint="eastAsia"/>
        </w:rPr>
        <w:t>千元，「營業費用」編列</w:t>
      </w:r>
      <w:r w:rsidR="00BD467A" w:rsidRPr="00507BD2">
        <w:rPr>
          <w:rFonts w:hAnsi="標楷體"/>
        </w:rPr>
        <w:t>25</w:t>
      </w:r>
      <w:r w:rsidR="00BD467A" w:rsidRPr="00507BD2">
        <w:rPr>
          <w:rFonts w:hAnsi="標楷體" w:hint="eastAsia"/>
        </w:rPr>
        <w:t>億</w:t>
      </w:r>
      <w:r w:rsidR="00BD467A" w:rsidRPr="00507BD2">
        <w:rPr>
          <w:rFonts w:hAnsi="標楷體"/>
        </w:rPr>
        <w:t>960</w:t>
      </w:r>
      <w:r w:rsidR="00BD467A" w:rsidRPr="00507BD2">
        <w:rPr>
          <w:rFonts w:hAnsi="標楷體" w:hint="eastAsia"/>
        </w:rPr>
        <w:t>萬</w:t>
      </w:r>
      <w:r w:rsidR="00BD467A" w:rsidRPr="00507BD2">
        <w:rPr>
          <w:rFonts w:hAnsi="標楷體"/>
        </w:rPr>
        <w:t>5</w:t>
      </w:r>
      <w:r w:rsidRPr="00507BD2">
        <w:rPr>
          <w:rFonts w:hAnsi="標楷體" w:hint="eastAsia"/>
        </w:rPr>
        <w:t>千元，「營業利益」</w:t>
      </w:r>
      <w:r w:rsidR="000C6CB7" w:rsidRPr="00507BD2">
        <w:rPr>
          <w:rFonts w:hAnsi="標楷體" w:hint="eastAsia"/>
        </w:rPr>
        <w:t>編列</w:t>
      </w:r>
      <w:r w:rsidR="00BD467A" w:rsidRPr="00507BD2">
        <w:rPr>
          <w:rFonts w:hAnsi="標楷體"/>
        </w:rPr>
        <w:t>1,758</w:t>
      </w:r>
      <w:r w:rsidR="00BD467A" w:rsidRPr="00507BD2">
        <w:rPr>
          <w:rFonts w:hAnsi="標楷體" w:hint="eastAsia"/>
        </w:rPr>
        <w:t>億</w:t>
      </w:r>
      <w:r w:rsidR="00BD467A" w:rsidRPr="00507BD2">
        <w:rPr>
          <w:rFonts w:hAnsi="標楷體"/>
        </w:rPr>
        <w:t>3,236</w:t>
      </w:r>
      <w:r w:rsidR="00BD467A" w:rsidRPr="00507BD2">
        <w:rPr>
          <w:rFonts w:hAnsi="標楷體" w:hint="eastAsia"/>
        </w:rPr>
        <w:t>萬</w:t>
      </w:r>
      <w:r w:rsidR="00BD467A" w:rsidRPr="00507BD2">
        <w:rPr>
          <w:rFonts w:hAnsi="標楷體"/>
        </w:rPr>
        <w:t>9</w:t>
      </w:r>
      <w:r w:rsidR="000C6CB7" w:rsidRPr="00507BD2">
        <w:rPr>
          <w:rFonts w:hAnsi="標楷體" w:hint="eastAsia"/>
        </w:rPr>
        <w:t>千</w:t>
      </w:r>
      <w:r w:rsidRPr="00507BD2">
        <w:rPr>
          <w:rFonts w:hAnsi="標楷體" w:hint="eastAsia"/>
        </w:rPr>
        <w:t>元，</w:t>
      </w:r>
      <w:r w:rsidR="00A90610">
        <w:rPr>
          <w:rFonts w:hAnsi="標楷體" w:hint="eastAsia"/>
        </w:rPr>
        <w:t>營業利益加計</w:t>
      </w:r>
      <w:r w:rsidRPr="00507BD2">
        <w:rPr>
          <w:rFonts w:hAnsi="標楷體" w:hint="eastAsia"/>
        </w:rPr>
        <w:t>「營業外收入」</w:t>
      </w:r>
      <w:r w:rsidR="00BD467A" w:rsidRPr="00507BD2">
        <w:rPr>
          <w:rFonts w:hAnsi="標楷體"/>
        </w:rPr>
        <w:t>2</w:t>
      </w:r>
      <w:r w:rsidR="00BD467A" w:rsidRPr="00507BD2">
        <w:rPr>
          <w:rFonts w:hAnsi="標楷體" w:hint="eastAsia"/>
        </w:rPr>
        <w:t>億</w:t>
      </w:r>
      <w:r w:rsidR="00BD467A" w:rsidRPr="00507BD2">
        <w:rPr>
          <w:rFonts w:hAnsi="標楷體"/>
        </w:rPr>
        <w:t>2,763</w:t>
      </w:r>
      <w:r w:rsidR="00BD467A" w:rsidRPr="00507BD2">
        <w:rPr>
          <w:rFonts w:hAnsi="標楷體" w:hint="eastAsia"/>
        </w:rPr>
        <w:t>萬</w:t>
      </w:r>
      <w:r w:rsidR="00BD467A" w:rsidRPr="00507BD2">
        <w:rPr>
          <w:rFonts w:hAnsi="標楷體"/>
        </w:rPr>
        <w:t>3</w:t>
      </w:r>
      <w:r w:rsidRPr="00507BD2">
        <w:rPr>
          <w:rFonts w:hAnsi="標楷體" w:hint="eastAsia"/>
        </w:rPr>
        <w:t>千元，扣除「營業外費用」</w:t>
      </w:r>
      <w:r w:rsidR="005E6189" w:rsidRPr="00507BD2">
        <w:rPr>
          <w:rFonts w:hAnsi="標楷體"/>
        </w:rPr>
        <w:t>7</w:t>
      </w:r>
      <w:r w:rsidR="005E6189" w:rsidRPr="00507BD2">
        <w:rPr>
          <w:rFonts w:hAnsi="標楷體" w:hint="eastAsia"/>
        </w:rPr>
        <w:t>億</w:t>
      </w:r>
      <w:r w:rsidR="005E6189" w:rsidRPr="00507BD2">
        <w:rPr>
          <w:rFonts w:hAnsi="標楷體"/>
        </w:rPr>
        <w:t>4,000</w:t>
      </w:r>
      <w:r w:rsidR="005E6189" w:rsidRPr="00507BD2">
        <w:rPr>
          <w:rFonts w:hAnsi="標楷體" w:hint="eastAsia"/>
        </w:rPr>
        <w:t>萬</w:t>
      </w:r>
      <w:r w:rsidRPr="00507BD2">
        <w:rPr>
          <w:rFonts w:hAnsi="標楷體" w:hint="eastAsia"/>
        </w:rPr>
        <w:t>元後，</w:t>
      </w:r>
      <w:r w:rsidR="009D0693" w:rsidRPr="00507BD2">
        <w:rPr>
          <w:rFonts w:hAnsi="標楷體" w:hint="eastAsia"/>
        </w:rPr>
        <w:t>預計</w:t>
      </w:r>
      <w:r w:rsidRPr="00507BD2">
        <w:rPr>
          <w:rFonts w:hAnsi="標楷體" w:hint="eastAsia"/>
        </w:rPr>
        <w:t>本期淨利為</w:t>
      </w:r>
      <w:r w:rsidR="005E6189" w:rsidRPr="00507BD2">
        <w:rPr>
          <w:rFonts w:hAnsi="標楷體"/>
        </w:rPr>
        <w:t>1,753</w:t>
      </w:r>
      <w:r w:rsidR="005E6189" w:rsidRPr="00507BD2">
        <w:rPr>
          <w:rFonts w:hAnsi="標楷體" w:hint="eastAsia"/>
        </w:rPr>
        <w:t>億</w:t>
      </w:r>
      <w:r w:rsidR="005E6189" w:rsidRPr="00507BD2">
        <w:rPr>
          <w:rFonts w:hAnsi="標楷體"/>
        </w:rPr>
        <w:t>2,000</w:t>
      </w:r>
      <w:r w:rsidR="005E6189" w:rsidRPr="00507BD2">
        <w:rPr>
          <w:rFonts w:hAnsi="標楷體" w:hint="eastAsia"/>
        </w:rPr>
        <w:t>萬</w:t>
      </w:r>
      <w:r w:rsidR="005E6189" w:rsidRPr="00507BD2">
        <w:rPr>
          <w:rFonts w:hAnsi="標楷體"/>
        </w:rPr>
        <w:t>2</w:t>
      </w:r>
      <w:r w:rsidRPr="00507BD2">
        <w:rPr>
          <w:rFonts w:hAnsi="標楷體" w:hint="eastAsia"/>
        </w:rPr>
        <w:t>千元，較11</w:t>
      </w:r>
      <w:r w:rsidR="000C6CB7" w:rsidRPr="00507BD2">
        <w:rPr>
          <w:rFonts w:hAnsi="標楷體"/>
        </w:rPr>
        <w:t>3</w:t>
      </w:r>
      <w:r w:rsidRPr="00507BD2">
        <w:rPr>
          <w:rFonts w:hAnsi="標楷體" w:hint="eastAsia"/>
        </w:rPr>
        <w:t>年度預算</w:t>
      </w:r>
      <w:r w:rsidR="000C6CB7" w:rsidRPr="00507BD2">
        <w:rPr>
          <w:rFonts w:hAnsi="標楷體" w:hint="eastAsia"/>
        </w:rPr>
        <w:t>案數</w:t>
      </w:r>
      <w:r w:rsidR="005E6189" w:rsidRPr="00507BD2">
        <w:rPr>
          <w:rFonts w:hAnsi="標楷體"/>
        </w:rPr>
        <w:t>1,753</w:t>
      </w:r>
      <w:r w:rsidR="005E6189" w:rsidRPr="00507BD2">
        <w:rPr>
          <w:rFonts w:hAnsi="標楷體" w:hint="eastAsia"/>
        </w:rPr>
        <w:t>億</w:t>
      </w:r>
      <w:r w:rsidR="005E6189" w:rsidRPr="00507BD2">
        <w:rPr>
          <w:rFonts w:hAnsi="標楷體"/>
        </w:rPr>
        <w:t>546</w:t>
      </w:r>
      <w:r w:rsidR="005E6189" w:rsidRPr="00507BD2">
        <w:rPr>
          <w:rFonts w:hAnsi="標楷體" w:hint="eastAsia"/>
        </w:rPr>
        <w:t>萬</w:t>
      </w:r>
      <w:r w:rsidR="005E6189" w:rsidRPr="00507BD2">
        <w:rPr>
          <w:rFonts w:hAnsi="標楷體"/>
        </w:rPr>
        <w:t>2</w:t>
      </w:r>
      <w:r w:rsidRPr="00507BD2">
        <w:rPr>
          <w:rFonts w:hAnsi="標楷體" w:hint="eastAsia"/>
        </w:rPr>
        <w:t>千元增加</w:t>
      </w:r>
      <w:r w:rsidR="005E6189" w:rsidRPr="00507BD2">
        <w:rPr>
          <w:rFonts w:hAnsi="標楷體"/>
        </w:rPr>
        <w:t>1,454</w:t>
      </w:r>
      <w:r w:rsidR="00D57402" w:rsidRPr="00507BD2">
        <w:rPr>
          <w:rFonts w:hAnsi="標楷體" w:hint="eastAsia"/>
        </w:rPr>
        <w:t>萬</w:t>
      </w:r>
      <w:r w:rsidRPr="00507BD2">
        <w:rPr>
          <w:rFonts w:hAnsi="標楷體" w:hint="eastAsia"/>
        </w:rPr>
        <w:t>元</w:t>
      </w:r>
      <w:r w:rsidR="00EB438C" w:rsidRPr="00507BD2">
        <w:rPr>
          <w:rFonts w:hAnsi="標楷體" w:hint="eastAsia"/>
        </w:rPr>
        <w:t>(</w:t>
      </w:r>
      <w:r w:rsidR="009D0693" w:rsidRPr="00507BD2">
        <w:rPr>
          <w:rFonts w:hAnsi="標楷體" w:hint="eastAsia"/>
        </w:rPr>
        <w:t>增幅</w:t>
      </w:r>
      <w:r w:rsidR="00D57402" w:rsidRPr="00507BD2">
        <w:rPr>
          <w:rFonts w:hAnsi="標楷體" w:hint="eastAsia"/>
        </w:rPr>
        <w:t>0.01</w:t>
      </w:r>
      <w:r w:rsidR="009D0693" w:rsidRPr="00507BD2">
        <w:rPr>
          <w:rFonts w:hAnsi="標楷體" w:hint="eastAsia"/>
        </w:rPr>
        <w:t>%</w:t>
      </w:r>
      <w:r w:rsidR="00EB438C" w:rsidRPr="00507BD2">
        <w:rPr>
          <w:rFonts w:hAnsi="標楷體" w:hint="eastAsia"/>
        </w:rPr>
        <w:t>）</w:t>
      </w:r>
      <w:r w:rsidRPr="00507BD2">
        <w:rPr>
          <w:rFonts w:hAnsi="標楷體" w:hint="eastAsia"/>
        </w:rPr>
        <w:t>。茲就</w:t>
      </w:r>
      <w:r w:rsidR="006054CF" w:rsidRPr="00507BD2">
        <w:rPr>
          <w:rFonts w:hAnsi="標楷體" w:hint="eastAsia"/>
        </w:rPr>
        <w:t>該</w:t>
      </w:r>
      <w:r w:rsidRPr="00507BD2">
        <w:rPr>
          <w:rFonts w:hAnsi="標楷體" w:hint="eastAsia"/>
        </w:rPr>
        <w:t>行11</w:t>
      </w:r>
      <w:r w:rsidR="006054CF" w:rsidRPr="00507BD2">
        <w:rPr>
          <w:rFonts w:hAnsi="標楷體"/>
        </w:rPr>
        <w:t>4</w:t>
      </w:r>
      <w:r w:rsidR="006A53C1" w:rsidRPr="00507BD2">
        <w:rPr>
          <w:rFonts w:hAnsi="標楷體" w:hint="eastAsia"/>
        </w:rPr>
        <w:t>年</w:t>
      </w:r>
      <w:r w:rsidRPr="00507BD2">
        <w:rPr>
          <w:rFonts w:hAnsi="標楷體" w:hint="eastAsia"/>
        </w:rPr>
        <w:t>度營業預算案</w:t>
      </w:r>
      <w:r w:rsidR="006054CF" w:rsidRPr="00507BD2">
        <w:rPr>
          <w:rFonts w:hAnsi="標楷體" w:hint="eastAsia"/>
        </w:rPr>
        <w:t>評析</w:t>
      </w:r>
      <w:r w:rsidRPr="00507BD2">
        <w:rPr>
          <w:rFonts w:hAnsi="標楷體" w:hint="eastAsia"/>
        </w:rPr>
        <w:t>如下：</w:t>
      </w:r>
    </w:p>
    <w:p w:rsidR="004E7CF5" w:rsidRPr="00507BD2" w:rsidRDefault="00E96693" w:rsidP="004E7CF5">
      <w:pPr>
        <w:pStyle w:val="14"/>
        <w:ind w:left="567" w:hanging="567"/>
        <w:rPr>
          <w:rFonts w:hAnsi="標楷體"/>
        </w:rPr>
      </w:pPr>
      <w:bookmarkStart w:id="1" w:name="_Toc229476289"/>
      <w:bookmarkStart w:id="2" w:name="_Toc276390718"/>
      <w:bookmarkStart w:id="3" w:name="_Toc303763647"/>
      <w:bookmarkStart w:id="4" w:name="_Toc514147231"/>
      <w:bookmarkStart w:id="5" w:name="_Toc181965729"/>
      <w:r>
        <w:rPr>
          <w:rFonts w:hAnsi="標楷體" w:hint="eastAsia"/>
        </w:rPr>
        <w:t>五</w:t>
      </w:r>
      <w:r w:rsidR="004E7CF5" w:rsidRPr="00507BD2">
        <w:rPr>
          <w:rFonts w:hAnsi="標楷體" w:hint="eastAsia"/>
        </w:rPr>
        <w:t>、</w:t>
      </w:r>
      <w:bookmarkStart w:id="6" w:name="_Toc96523908"/>
      <w:r w:rsidR="004E7CF5" w:rsidRPr="00507BD2">
        <w:rPr>
          <w:rFonts w:hAnsi="標楷體" w:hint="eastAsia"/>
        </w:rPr>
        <w:t>我國</w:t>
      </w:r>
      <w:r w:rsidR="0099758C">
        <w:rPr>
          <w:rFonts w:hAnsi="標楷體" w:hint="eastAsia"/>
        </w:rPr>
        <w:t>持續</w:t>
      </w:r>
      <w:r w:rsidR="00975115">
        <w:rPr>
          <w:rFonts w:hAnsi="標楷體" w:hint="eastAsia"/>
        </w:rPr>
        <w:t>被美國</w:t>
      </w:r>
      <w:r w:rsidR="004E7CF5" w:rsidRPr="00507BD2">
        <w:rPr>
          <w:rFonts w:hAnsi="標楷體" w:hint="eastAsia"/>
        </w:rPr>
        <w:t>列為匯率操縱國</w:t>
      </w:r>
      <w:r w:rsidR="00975115">
        <w:rPr>
          <w:rFonts w:hAnsi="標楷體" w:hint="eastAsia"/>
        </w:rPr>
        <w:t>觀察名單，</w:t>
      </w:r>
      <w:r w:rsidR="00082DF9">
        <w:rPr>
          <w:rFonts w:hAnsi="標楷體" w:hint="eastAsia"/>
        </w:rPr>
        <w:t>為鞏固產業競爭優勢，</w:t>
      </w:r>
      <w:r w:rsidR="004E7CF5" w:rsidRPr="00507BD2">
        <w:rPr>
          <w:rFonts w:hAnsi="標楷體" w:hint="eastAsia"/>
        </w:rPr>
        <w:t>允宜</w:t>
      </w:r>
      <w:r w:rsidR="00975115">
        <w:rPr>
          <w:rFonts w:hAnsi="標楷體" w:hint="eastAsia"/>
        </w:rPr>
        <w:t>賡續追蹤並保持良性溝通</w:t>
      </w:r>
      <w:r w:rsidR="004E7CF5" w:rsidRPr="00507BD2">
        <w:rPr>
          <w:rFonts w:hAnsi="標楷體" w:hint="eastAsia"/>
        </w:rPr>
        <w:t>，俾</w:t>
      </w:r>
      <w:bookmarkEnd w:id="6"/>
      <w:r w:rsidR="00975115">
        <w:rPr>
          <w:rFonts w:hAnsi="標楷體" w:hint="eastAsia"/>
        </w:rPr>
        <w:t>利經貿合作及匯市</w:t>
      </w:r>
      <w:r w:rsidR="00114994">
        <w:rPr>
          <w:rFonts w:hAnsi="標楷體" w:hint="eastAsia"/>
        </w:rPr>
        <w:t>調節彈性</w:t>
      </w:r>
      <w:bookmarkEnd w:id="5"/>
    </w:p>
    <w:p w:rsidR="004E7CF5" w:rsidRPr="00507BD2" w:rsidRDefault="000E29C6" w:rsidP="004E7CF5">
      <w:pPr>
        <w:ind w:left="566" w:firstLine="566"/>
        <w:rPr>
          <w:rFonts w:hAnsi="標楷體"/>
        </w:rPr>
      </w:pPr>
      <w:r>
        <w:rPr>
          <w:rFonts w:hAnsi="標楷體" w:hint="eastAsia"/>
        </w:rPr>
        <w:t>央行114</w:t>
      </w:r>
      <w:r w:rsidR="00A9445D">
        <w:rPr>
          <w:rFonts w:hAnsi="標楷體" w:hint="eastAsia"/>
        </w:rPr>
        <w:t>年度預算案於「參、業務計畫</w:t>
      </w:r>
      <w:r>
        <w:rPr>
          <w:rFonts w:hAnsi="標楷體" w:hint="eastAsia"/>
        </w:rPr>
        <w:t>」揭示</w:t>
      </w:r>
      <w:r w:rsidR="002B7C32">
        <w:rPr>
          <w:rFonts w:hAnsi="標楷體" w:hint="eastAsia"/>
        </w:rPr>
        <w:t>其</w:t>
      </w:r>
      <w:r w:rsidR="00A9445D">
        <w:rPr>
          <w:rFonts w:hAnsi="標楷體" w:hint="eastAsia"/>
        </w:rPr>
        <w:t>營運計畫</w:t>
      </w:r>
      <w:r>
        <w:rPr>
          <w:rFonts w:hAnsi="標楷體" w:hint="eastAsia"/>
        </w:rPr>
        <w:t>業務重點為，有效調節信用，鞏固幣信，靈活調度外匯及經理國庫，以穩定金融，協助經濟成長；</w:t>
      </w:r>
      <w:r w:rsidR="009E3558">
        <w:rPr>
          <w:rFonts w:hAnsi="標楷體" w:hint="eastAsia"/>
        </w:rPr>
        <w:t>美國係我國重要貿易合作國家，惟</w:t>
      </w:r>
      <w:r w:rsidR="00FD183A">
        <w:rPr>
          <w:rFonts w:hAnsi="標楷體" w:hint="eastAsia"/>
        </w:rPr>
        <w:t>我</w:t>
      </w:r>
      <w:r w:rsidR="009E3558">
        <w:rPr>
          <w:rFonts w:hAnsi="標楷體" w:hint="eastAsia"/>
        </w:rPr>
        <w:t>國</w:t>
      </w:r>
      <w:r w:rsidR="00FD183A">
        <w:rPr>
          <w:rFonts w:hAnsi="標楷體" w:hint="eastAsia"/>
        </w:rPr>
        <w:t>於2024年6月</w:t>
      </w:r>
      <w:r w:rsidR="009E3558">
        <w:rPr>
          <w:rFonts w:hAnsi="標楷體" w:hint="eastAsia"/>
        </w:rPr>
        <w:t>持續被</w:t>
      </w:r>
      <w:r w:rsidR="002B7C32">
        <w:rPr>
          <w:rFonts w:hAnsi="標楷體" w:hint="eastAsia"/>
        </w:rPr>
        <w:t>其</w:t>
      </w:r>
      <w:r w:rsidR="00513237">
        <w:rPr>
          <w:rFonts w:hAnsi="標楷體" w:hint="eastAsia"/>
        </w:rPr>
        <w:t>列為匯率操縱國觀察名單</w:t>
      </w:r>
      <w:r w:rsidR="00E03010">
        <w:rPr>
          <w:rFonts w:hAnsi="標楷體" w:hint="eastAsia"/>
        </w:rPr>
        <w:t>，</w:t>
      </w:r>
      <w:r>
        <w:rPr>
          <w:rFonts w:hAnsi="標楷體" w:hint="eastAsia"/>
        </w:rPr>
        <w:t>容</w:t>
      </w:r>
      <w:r w:rsidR="00E03010">
        <w:rPr>
          <w:rFonts w:hAnsi="標楷體" w:hint="eastAsia"/>
        </w:rPr>
        <w:t>須賡續追蹤因應。謹說明如下</w:t>
      </w:r>
      <w:r w:rsidR="004E7CF5" w:rsidRPr="00507BD2">
        <w:rPr>
          <w:rFonts w:hAnsi="標楷體" w:hint="eastAsia"/>
        </w:rPr>
        <w:t>：</w:t>
      </w:r>
    </w:p>
    <w:p w:rsidR="004E7CF5" w:rsidRPr="0099758C" w:rsidRDefault="004E7CF5" w:rsidP="004E7CF5">
      <w:pPr>
        <w:pStyle w:val="a4"/>
        <w:rPr>
          <w:rFonts w:hint="eastAsia"/>
          <w:b/>
          <w:snapToGrid/>
          <w:spacing w:val="-9"/>
          <w:kern w:val="0"/>
        </w:rPr>
      </w:pPr>
      <w:r w:rsidRPr="00507BD2">
        <w:rPr>
          <w:rFonts w:hint="eastAsia"/>
          <w:b/>
          <w:snapToGrid/>
          <w:kern w:val="0"/>
        </w:rPr>
        <w:t>(一)</w:t>
      </w:r>
      <w:r w:rsidR="00E66F67" w:rsidRPr="0099758C">
        <w:rPr>
          <w:rFonts w:hint="eastAsia"/>
          <w:b/>
          <w:snapToGrid/>
          <w:spacing w:val="-9"/>
          <w:kern w:val="0"/>
        </w:rPr>
        <w:t>美國財政部每半年向國會提交「美國主要貿易夥伴外匯政策報告」，</w:t>
      </w:r>
      <w:r w:rsidR="001B7A67" w:rsidRPr="0099758C">
        <w:rPr>
          <w:rFonts w:hint="eastAsia"/>
          <w:b/>
          <w:snapToGrid/>
          <w:spacing w:val="-9"/>
          <w:kern w:val="0"/>
        </w:rPr>
        <w:t>我國</w:t>
      </w:r>
      <w:r w:rsidR="00E66F67" w:rsidRPr="0099758C">
        <w:rPr>
          <w:rFonts w:hint="eastAsia"/>
          <w:b/>
          <w:snapToGrid/>
          <w:spacing w:val="-9"/>
          <w:kern w:val="0"/>
        </w:rPr>
        <w:t>於2024年6月</w:t>
      </w:r>
      <w:r w:rsidR="0099758C" w:rsidRPr="0099758C">
        <w:rPr>
          <w:rFonts w:hint="eastAsia"/>
          <w:b/>
          <w:snapToGrid/>
          <w:spacing w:val="-9"/>
          <w:kern w:val="0"/>
        </w:rPr>
        <w:t>第6次</w:t>
      </w:r>
      <w:r w:rsidR="001B7A67" w:rsidRPr="0099758C">
        <w:rPr>
          <w:rFonts w:hint="eastAsia"/>
          <w:b/>
          <w:snapToGrid/>
          <w:spacing w:val="-9"/>
          <w:kern w:val="0"/>
        </w:rPr>
        <w:t>被列為匯率操縱國觀察名單</w:t>
      </w:r>
    </w:p>
    <w:p w:rsidR="00087035" w:rsidRDefault="00B9366D" w:rsidP="00B9366D">
      <w:pPr>
        <w:pStyle w:val="21"/>
        <w:ind w:left="850" w:firstLine="566"/>
        <w:rPr>
          <w:rFonts w:hAnsi="標楷體"/>
        </w:rPr>
      </w:pPr>
      <w:r>
        <w:rPr>
          <w:rFonts w:hAnsi="標楷體" w:hint="eastAsia"/>
        </w:rPr>
        <w:t>按美國財政部</w:t>
      </w:r>
      <w:r w:rsidR="0099758C">
        <w:rPr>
          <w:rFonts w:hAnsi="標楷體" w:hint="eastAsia"/>
        </w:rPr>
        <w:t>每半年向國會提交「</w:t>
      </w:r>
      <w:r w:rsidRPr="00B9366D">
        <w:rPr>
          <w:rFonts w:hAnsi="標楷體" w:hint="eastAsia"/>
        </w:rPr>
        <w:t>美國主要貿易夥伴外匯政策報告」</w:t>
      </w:r>
      <w:r w:rsidR="00D9313C">
        <w:rPr>
          <w:rFonts w:hAnsi="標楷體" w:hint="eastAsia"/>
        </w:rPr>
        <w:t>(下稱</w:t>
      </w:r>
      <w:r w:rsidR="0099758C">
        <w:rPr>
          <w:rFonts w:hAnsi="標楷體" w:hint="eastAsia"/>
        </w:rPr>
        <w:t>「</w:t>
      </w:r>
      <w:r w:rsidR="002B7C32">
        <w:rPr>
          <w:rFonts w:hAnsi="標楷體" w:hint="eastAsia"/>
        </w:rPr>
        <w:t>外匯政策</w:t>
      </w:r>
      <w:r w:rsidR="00D9313C">
        <w:rPr>
          <w:rFonts w:hAnsi="標楷體" w:hint="eastAsia"/>
        </w:rPr>
        <w:t>報告</w:t>
      </w:r>
      <w:r w:rsidR="0099758C">
        <w:rPr>
          <w:rFonts w:hAnsi="標楷體" w:hint="eastAsia"/>
        </w:rPr>
        <w:t>」</w:t>
      </w:r>
      <w:r w:rsidR="00D9313C">
        <w:rPr>
          <w:rFonts w:hAnsi="標楷體" w:hint="eastAsia"/>
        </w:rPr>
        <w:t>)</w:t>
      </w:r>
      <w:r w:rsidRPr="00B9366D">
        <w:rPr>
          <w:rFonts w:hAnsi="標楷體" w:hint="eastAsia"/>
        </w:rPr>
        <w:t>，觀察主要貿易夥伴是否藉由匯率政策進行不公平貿易</w:t>
      </w:r>
      <w:r w:rsidRPr="00507BD2">
        <w:rPr>
          <w:rStyle w:val="af1"/>
          <w:rFonts w:hAnsi="標楷體"/>
        </w:rPr>
        <w:footnoteReference w:id="1"/>
      </w:r>
      <w:r>
        <w:rPr>
          <w:rFonts w:hAnsi="標楷體" w:hint="eastAsia"/>
        </w:rPr>
        <w:t>。</w:t>
      </w:r>
      <w:r w:rsidR="001B7A67" w:rsidRPr="00507BD2">
        <w:rPr>
          <w:rFonts w:hAnsi="標楷體" w:hint="eastAsia"/>
        </w:rPr>
        <w:t>我國自</w:t>
      </w:r>
      <w:r w:rsidR="00D9313C" w:rsidRPr="00D9313C">
        <w:rPr>
          <w:rFonts w:hAnsi="標楷體" w:hint="eastAsia"/>
        </w:rPr>
        <w:t>2017年4月</w:t>
      </w:r>
      <w:r w:rsidR="00D9313C">
        <w:rPr>
          <w:rFonts w:hAnsi="標楷體" w:hint="eastAsia"/>
        </w:rPr>
        <w:t>從</w:t>
      </w:r>
      <w:r w:rsidR="00D9313C" w:rsidRPr="00D9313C">
        <w:rPr>
          <w:rFonts w:hAnsi="標楷體" w:hint="eastAsia"/>
        </w:rPr>
        <w:t>匯率操縱</w:t>
      </w:r>
      <w:r w:rsidR="00D9313C" w:rsidRPr="00D9313C">
        <w:rPr>
          <w:rFonts w:hAnsi="標楷體" w:hint="eastAsia"/>
        </w:rPr>
        <w:lastRenderedPageBreak/>
        <w:t>觀察名單除名後，截至2024年8月底止，</w:t>
      </w:r>
      <w:r w:rsidR="00D9313C">
        <w:rPr>
          <w:rFonts w:hAnsi="標楷體" w:hint="eastAsia"/>
        </w:rPr>
        <w:t>計</w:t>
      </w:r>
      <w:r w:rsidR="00D9313C" w:rsidRPr="00D9313C">
        <w:rPr>
          <w:rFonts w:hAnsi="標楷體" w:hint="eastAsia"/>
        </w:rPr>
        <w:t>有6次被列為觀察名單，分別為2020年12月、2022年6月、2022年11月、2023年6月、2023年11月及2024年6月</w:t>
      </w:r>
      <w:r w:rsidR="00A62399">
        <w:rPr>
          <w:rFonts w:hAnsi="標楷體" w:hint="eastAsia"/>
        </w:rPr>
        <w:t>，2021年4月及12月共2次被列為密切磋商對象</w:t>
      </w:r>
      <w:r w:rsidR="00D9313C">
        <w:rPr>
          <w:rFonts w:hAnsi="標楷體" w:hint="eastAsia"/>
        </w:rPr>
        <w:t>(詳表1)</w:t>
      </w:r>
      <w:r w:rsidR="00740048">
        <w:rPr>
          <w:rFonts w:hAnsi="標楷體" w:hint="eastAsia"/>
        </w:rPr>
        <w:t>；</w:t>
      </w:r>
      <w:r w:rsidR="00A62399">
        <w:rPr>
          <w:rFonts w:hAnsi="標楷體" w:hint="eastAsia"/>
        </w:rPr>
        <w:t>最近一次(</w:t>
      </w:r>
      <w:r w:rsidR="00740048">
        <w:rPr>
          <w:rFonts w:hAnsi="標楷體" w:hint="eastAsia"/>
        </w:rPr>
        <w:t>2024年6月</w:t>
      </w:r>
      <w:r w:rsidR="00A62399">
        <w:rPr>
          <w:rFonts w:hAnsi="標楷體" w:hint="eastAsia"/>
        </w:rPr>
        <w:t>)</w:t>
      </w:r>
      <w:r w:rsidR="000B1739">
        <w:rPr>
          <w:rFonts w:hAnsi="標楷體" w:hint="eastAsia"/>
        </w:rPr>
        <w:t>「</w:t>
      </w:r>
      <w:r w:rsidR="002B7C32" w:rsidRPr="002B7C32">
        <w:rPr>
          <w:rFonts w:hAnsi="標楷體" w:hint="eastAsia"/>
        </w:rPr>
        <w:t>外匯政策報告</w:t>
      </w:r>
      <w:r w:rsidR="000B1739">
        <w:rPr>
          <w:rFonts w:hAnsi="標楷體" w:hint="eastAsia"/>
        </w:rPr>
        <w:t>」</w:t>
      </w:r>
      <w:r w:rsidR="00047D5D" w:rsidRPr="00047D5D">
        <w:rPr>
          <w:rFonts w:hAnsi="標楷體" w:hint="eastAsia"/>
        </w:rPr>
        <w:t>(檢視期間為2023年全年)，未將任何貿易對手國列為匯率操縱國，</w:t>
      </w:r>
      <w:r w:rsidR="00047D5D">
        <w:rPr>
          <w:rFonts w:hAnsi="標楷體" w:hint="eastAsia"/>
        </w:rPr>
        <w:t>我國</w:t>
      </w:r>
      <w:r w:rsidR="003D312E">
        <w:rPr>
          <w:rFonts w:hAnsi="標楷體" w:hint="eastAsia"/>
        </w:rPr>
        <w:t>則</w:t>
      </w:r>
      <w:r w:rsidR="00047D5D">
        <w:rPr>
          <w:rFonts w:hAnsi="標楷體" w:hint="eastAsia"/>
        </w:rPr>
        <w:t>與</w:t>
      </w:r>
      <w:r w:rsidR="00047D5D" w:rsidRPr="00047D5D">
        <w:rPr>
          <w:rFonts w:hAnsi="標楷體" w:hint="eastAsia"/>
        </w:rPr>
        <w:t>中國大陸、德國、馬來西亞、新加</w:t>
      </w:r>
      <w:r w:rsidR="00047D5D" w:rsidRPr="00047D5D">
        <w:rPr>
          <w:rFonts w:hAnsi="標楷體" w:hint="eastAsia"/>
        </w:rPr>
        <w:lastRenderedPageBreak/>
        <w:t>坡、越南、日本</w:t>
      </w:r>
      <w:r w:rsidR="00047D5D">
        <w:rPr>
          <w:rFonts w:hAnsi="標楷體" w:hint="eastAsia"/>
        </w:rPr>
        <w:t>等</w:t>
      </w:r>
      <w:r w:rsidR="00A62399">
        <w:rPr>
          <w:rFonts w:hAnsi="標楷體" w:hint="eastAsia"/>
        </w:rPr>
        <w:t>共</w:t>
      </w:r>
      <w:r w:rsidR="00047D5D">
        <w:rPr>
          <w:rFonts w:hAnsi="標楷體" w:hint="eastAsia"/>
        </w:rPr>
        <w:t>7個國家</w:t>
      </w:r>
      <w:r w:rsidR="003D312E">
        <w:rPr>
          <w:rFonts w:hAnsi="標楷體" w:hint="eastAsia"/>
        </w:rPr>
        <w:t>併</w:t>
      </w:r>
      <w:r w:rsidR="00047D5D" w:rsidRPr="00047D5D">
        <w:rPr>
          <w:rFonts w:hAnsi="標楷體" w:hint="eastAsia"/>
        </w:rPr>
        <w:t>列為觀察名單。</w:t>
      </w:r>
    </w:p>
    <w:p w:rsidR="00DA4E61" w:rsidRPr="00B04957" w:rsidRDefault="00DA4E61" w:rsidP="00B04957">
      <w:pPr>
        <w:pStyle w:val="ad"/>
        <w:ind w:left="283" w:hanging="283"/>
        <w:rPr>
          <w:b/>
        </w:rPr>
      </w:pPr>
      <w:r w:rsidRPr="00B04957">
        <w:rPr>
          <w:rFonts w:hint="eastAsia"/>
          <w:b/>
        </w:rPr>
        <w:t>表</w:t>
      </w:r>
      <w:r w:rsidRPr="00B04957">
        <w:rPr>
          <w:b/>
        </w:rPr>
        <w:t xml:space="preserve">1 </w:t>
      </w:r>
      <w:r w:rsidRPr="00B04957">
        <w:rPr>
          <w:rFonts w:hint="eastAsia"/>
          <w:b/>
        </w:rPr>
        <w:t>2017年4月後</w:t>
      </w:r>
      <w:r w:rsidRPr="00B04957">
        <w:rPr>
          <w:b/>
        </w:rPr>
        <w:t>我國歷次被列入</w:t>
      </w:r>
      <w:r w:rsidRPr="00B04957">
        <w:rPr>
          <w:rFonts w:hint="eastAsia"/>
          <w:b/>
        </w:rPr>
        <w:t>「匯率操縱國觀察名單」情形表</w:t>
      </w:r>
    </w:p>
    <w:tbl>
      <w:tblPr>
        <w:tblW w:w="4938"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0"/>
        <w:gridCol w:w="1702"/>
        <w:gridCol w:w="3119"/>
        <w:gridCol w:w="2231"/>
      </w:tblGrid>
      <w:tr w:rsidR="00B04957" w:rsidRPr="00B04957" w:rsidTr="000E02F2">
        <w:tc>
          <w:tcPr>
            <w:tcW w:w="906" w:type="pct"/>
            <w:vMerge w:val="restart"/>
            <w:shd w:val="clear" w:color="auto" w:fill="F2F2F2"/>
            <w:vAlign w:val="center"/>
          </w:tcPr>
          <w:p w:rsidR="00B04957" w:rsidRPr="0086632E" w:rsidRDefault="00B04957" w:rsidP="00A52049">
            <w:pPr>
              <w:pStyle w:val="142"/>
              <w:jc w:val="both"/>
              <w:rPr>
                <w:rFonts w:hint="eastAsia"/>
                <w:sz w:val="22"/>
                <w:szCs w:val="22"/>
              </w:rPr>
            </w:pPr>
            <w:r w:rsidRPr="0086632E">
              <w:rPr>
                <w:rFonts w:hint="eastAsia"/>
                <w:sz w:val="22"/>
                <w:szCs w:val="22"/>
              </w:rPr>
              <w:t>報告發布日期</w:t>
            </w:r>
          </w:p>
        </w:tc>
        <w:tc>
          <w:tcPr>
            <w:tcW w:w="4094" w:type="pct"/>
            <w:gridSpan w:val="3"/>
            <w:shd w:val="clear" w:color="auto" w:fill="F2F2F2"/>
          </w:tcPr>
          <w:p w:rsidR="00B04957" w:rsidRPr="0086632E" w:rsidRDefault="00B04957" w:rsidP="0086632E">
            <w:pPr>
              <w:pStyle w:val="142"/>
              <w:jc w:val="center"/>
              <w:rPr>
                <w:rFonts w:hint="eastAsia"/>
                <w:sz w:val="22"/>
                <w:szCs w:val="22"/>
              </w:rPr>
            </w:pPr>
            <w:r w:rsidRPr="0086632E">
              <w:rPr>
                <w:rFonts w:hint="eastAsia"/>
                <w:sz w:val="22"/>
                <w:szCs w:val="22"/>
              </w:rPr>
              <w:t>檢視標準</w:t>
            </w:r>
          </w:p>
        </w:tc>
      </w:tr>
      <w:tr w:rsidR="00B04957" w:rsidRPr="00B04957" w:rsidTr="000E02F2">
        <w:tc>
          <w:tcPr>
            <w:tcW w:w="906" w:type="pct"/>
            <w:vMerge/>
            <w:shd w:val="clear" w:color="auto" w:fill="F2F2F2"/>
          </w:tcPr>
          <w:p w:rsidR="00B04957" w:rsidRPr="0086632E" w:rsidRDefault="00B04957" w:rsidP="0086632E">
            <w:pPr>
              <w:pStyle w:val="142"/>
              <w:rPr>
                <w:rFonts w:hint="eastAsia"/>
                <w:sz w:val="22"/>
                <w:szCs w:val="22"/>
              </w:rPr>
            </w:pPr>
          </w:p>
        </w:tc>
        <w:tc>
          <w:tcPr>
            <w:tcW w:w="988" w:type="pct"/>
            <w:shd w:val="clear" w:color="auto" w:fill="F2F2F2"/>
            <w:vAlign w:val="center"/>
          </w:tcPr>
          <w:p w:rsidR="00B04957" w:rsidRPr="0086632E" w:rsidRDefault="00B04957" w:rsidP="00A52049">
            <w:pPr>
              <w:pStyle w:val="142"/>
              <w:jc w:val="both"/>
              <w:rPr>
                <w:rFonts w:hint="eastAsia"/>
                <w:sz w:val="22"/>
                <w:szCs w:val="22"/>
              </w:rPr>
            </w:pPr>
            <w:r w:rsidRPr="0086632E">
              <w:rPr>
                <w:rFonts w:hint="eastAsia"/>
                <w:sz w:val="22"/>
                <w:szCs w:val="22"/>
              </w:rPr>
              <w:t>對美國商品貿易出超&gt;200億美元</w:t>
            </w:r>
          </w:p>
        </w:tc>
        <w:tc>
          <w:tcPr>
            <w:tcW w:w="1811" w:type="pct"/>
            <w:shd w:val="clear" w:color="auto" w:fill="F2F2F2"/>
            <w:vAlign w:val="center"/>
          </w:tcPr>
          <w:p w:rsidR="00B04957" w:rsidRPr="0086632E" w:rsidRDefault="00B04957" w:rsidP="00A52049">
            <w:pPr>
              <w:pStyle w:val="142"/>
              <w:jc w:val="center"/>
              <w:rPr>
                <w:rFonts w:hint="eastAsia"/>
                <w:sz w:val="22"/>
                <w:szCs w:val="22"/>
              </w:rPr>
            </w:pPr>
            <w:r w:rsidRPr="0086632E">
              <w:rPr>
                <w:rFonts w:hint="eastAsia"/>
                <w:sz w:val="22"/>
                <w:szCs w:val="22"/>
              </w:rPr>
              <w:t>經常帳順差占</w:t>
            </w:r>
            <w:r w:rsidRPr="0086632E">
              <w:rPr>
                <w:sz w:val="22"/>
                <w:szCs w:val="22"/>
              </w:rPr>
              <w:t>GDP</w:t>
            </w:r>
            <w:r w:rsidRPr="0086632E">
              <w:rPr>
                <w:rFonts w:hint="eastAsia"/>
                <w:sz w:val="22"/>
                <w:szCs w:val="22"/>
              </w:rPr>
              <w:t>比重&gt;</w:t>
            </w:r>
            <w:r w:rsidRPr="0086632E">
              <w:rPr>
                <w:sz w:val="22"/>
                <w:szCs w:val="22"/>
              </w:rPr>
              <w:t>2%</w:t>
            </w:r>
          </w:p>
        </w:tc>
        <w:tc>
          <w:tcPr>
            <w:tcW w:w="1295" w:type="pct"/>
            <w:shd w:val="clear" w:color="auto" w:fill="F2F2F2"/>
            <w:vAlign w:val="center"/>
          </w:tcPr>
          <w:p w:rsidR="00B04957" w:rsidRPr="0086632E" w:rsidRDefault="00A62399" w:rsidP="00A52049">
            <w:pPr>
              <w:pStyle w:val="142"/>
              <w:jc w:val="both"/>
              <w:rPr>
                <w:rFonts w:hint="eastAsia"/>
                <w:sz w:val="22"/>
                <w:szCs w:val="22"/>
              </w:rPr>
            </w:pPr>
            <w:r>
              <w:rPr>
                <w:rFonts w:hint="eastAsia"/>
                <w:sz w:val="22"/>
                <w:szCs w:val="22"/>
              </w:rPr>
              <w:t>淨</w:t>
            </w:r>
            <w:r w:rsidR="00B04957" w:rsidRPr="0086632E">
              <w:rPr>
                <w:rFonts w:hint="eastAsia"/>
                <w:sz w:val="22"/>
                <w:szCs w:val="22"/>
              </w:rPr>
              <w:t>買匯金額對</w:t>
            </w:r>
            <w:r w:rsidR="00B04957" w:rsidRPr="0086632E">
              <w:rPr>
                <w:sz w:val="22"/>
                <w:szCs w:val="22"/>
              </w:rPr>
              <w:t>GDP</w:t>
            </w:r>
            <w:r w:rsidR="00B04957" w:rsidRPr="0086632E">
              <w:rPr>
                <w:rFonts w:hint="eastAsia"/>
                <w:sz w:val="22"/>
                <w:szCs w:val="22"/>
              </w:rPr>
              <w:t>比率逾2%，且12個月中有6個月(含)以上為淨買匯</w:t>
            </w:r>
          </w:p>
        </w:tc>
      </w:tr>
      <w:tr w:rsidR="00B04957" w:rsidRPr="00B04957" w:rsidTr="00A52049">
        <w:tc>
          <w:tcPr>
            <w:tcW w:w="906" w:type="pct"/>
            <w:tcBorders>
              <w:bottom w:val="single" w:sz="4" w:space="0" w:color="auto"/>
            </w:tcBorders>
            <w:shd w:val="clear" w:color="auto" w:fill="auto"/>
          </w:tcPr>
          <w:p w:rsidR="00B04957" w:rsidRPr="0086632E" w:rsidRDefault="00B04957" w:rsidP="0086632E">
            <w:pPr>
              <w:pStyle w:val="142"/>
              <w:rPr>
                <w:rFonts w:hint="eastAsia"/>
                <w:sz w:val="22"/>
                <w:szCs w:val="22"/>
              </w:rPr>
            </w:pPr>
            <w:r w:rsidRPr="0086632E">
              <w:rPr>
                <w:sz w:val="22"/>
                <w:szCs w:val="22"/>
              </w:rPr>
              <w:t>2020</w:t>
            </w:r>
            <w:r w:rsidRPr="0086632E">
              <w:rPr>
                <w:rFonts w:hint="eastAsia"/>
                <w:sz w:val="22"/>
                <w:szCs w:val="22"/>
              </w:rPr>
              <w:t>年</w:t>
            </w:r>
            <w:r w:rsidRPr="0086632E">
              <w:rPr>
                <w:sz w:val="22"/>
                <w:szCs w:val="22"/>
              </w:rPr>
              <w:t>12</w:t>
            </w:r>
            <w:r w:rsidRPr="0086632E">
              <w:rPr>
                <w:rFonts w:hint="eastAsia"/>
                <w:sz w:val="22"/>
                <w:szCs w:val="22"/>
              </w:rPr>
              <w:t>月</w:t>
            </w:r>
          </w:p>
        </w:tc>
        <w:tc>
          <w:tcPr>
            <w:tcW w:w="988" w:type="pct"/>
            <w:tcBorders>
              <w:bottom w:val="single" w:sz="4" w:space="0" w:color="auto"/>
            </w:tcBorders>
            <w:shd w:val="clear" w:color="auto" w:fill="auto"/>
          </w:tcPr>
          <w:p w:rsidR="00B04957" w:rsidRPr="0086632E" w:rsidRDefault="00B04957" w:rsidP="0086632E">
            <w:pPr>
              <w:pStyle w:val="142"/>
              <w:rPr>
                <w:rFonts w:hint="eastAsia"/>
                <w:b/>
                <w:sz w:val="22"/>
                <w:szCs w:val="22"/>
              </w:rPr>
            </w:pPr>
            <w:r w:rsidRPr="0086632E">
              <w:rPr>
                <w:rFonts w:hint="eastAsia"/>
                <w:b/>
                <w:sz w:val="22"/>
                <w:szCs w:val="22"/>
              </w:rPr>
              <w:t>250億美元</w:t>
            </w:r>
          </w:p>
        </w:tc>
        <w:tc>
          <w:tcPr>
            <w:tcW w:w="1811" w:type="pct"/>
            <w:tcBorders>
              <w:bottom w:val="single" w:sz="4" w:space="0" w:color="auto"/>
            </w:tcBorders>
            <w:shd w:val="clear" w:color="auto" w:fill="auto"/>
          </w:tcPr>
          <w:p w:rsidR="00B04957" w:rsidRPr="0086632E" w:rsidRDefault="00B04957" w:rsidP="0086632E">
            <w:pPr>
              <w:pStyle w:val="142"/>
              <w:rPr>
                <w:rFonts w:hint="eastAsia"/>
                <w:b/>
                <w:sz w:val="22"/>
                <w:szCs w:val="22"/>
              </w:rPr>
            </w:pPr>
            <w:r w:rsidRPr="0086632E">
              <w:rPr>
                <w:b/>
                <w:sz w:val="22"/>
                <w:szCs w:val="22"/>
              </w:rPr>
              <w:t>10.9%</w:t>
            </w:r>
          </w:p>
        </w:tc>
        <w:tc>
          <w:tcPr>
            <w:tcW w:w="1295" w:type="pct"/>
            <w:tcBorders>
              <w:bottom w:val="single" w:sz="4" w:space="0" w:color="auto"/>
            </w:tcBorders>
            <w:shd w:val="clear" w:color="auto" w:fill="auto"/>
          </w:tcPr>
          <w:p w:rsidR="00B04957" w:rsidRPr="0086632E" w:rsidRDefault="00B04957" w:rsidP="0086632E">
            <w:pPr>
              <w:pStyle w:val="142"/>
              <w:rPr>
                <w:rFonts w:hint="eastAsia"/>
                <w:sz w:val="22"/>
                <w:szCs w:val="22"/>
              </w:rPr>
            </w:pPr>
            <w:r w:rsidRPr="0086632E">
              <w:rPr>
                <w:rFonts w:hint="eastAsia"/>
                <w:sz w:val="22"/>
                <w:szCs w:val="22"/>
              </w:rPr>
              <w:t>1.7%；是</w:t>
            </w:r>
          </w:p>
        </w:tc>
      </w:tr>
      <w:tr w:rsidR="00B04957" w:rsidRPr="00B04957" w:rsidTr="00A52049">
        <w:tc>
          <w:tcPr>
            <w:tcW w:w="906" w:type="pct"/>
            <w:tcBorders>
              <w:top w:val="single" w:sz="4" w:space="0" w:color="auto"/>
              <w:bottom w:val="double" w:sz="4" w:space="0" w:color="auto"/>
            </w:tcBorders>
            <w:shd w:val="clear" w:color="auto" w:fill="auto"/>
          </w:tcPr>
          <w:p w:rsidR="00B04957" w:rsidRPr="0086632E" w:rsidRDefault="00B04957" w:rsidP="0086632E">
            <w:pPr>
              <w:pStyle w:val="142"/>
              <w:rPr>
                <w:rFonts w:hint="eastAsia"/>
                <w:sz w:val="22"/>
                <w:szCs w:val="22"/>
              </w:rPr>
            </w:pPr>
            <w:r w:rsidRPr="0086632E">
              <w:rPr>
                <w:sz w:val="22"/>
                <w:szCs w:val="22"/>
              </w:rPr>
              <w:t>2021</w:t>
            </w:r>
            <w:r w:rsidRPr="0086632E">
              <w:rPr>
                <w:rFonts w:hint="eastAsia"/>
                <w:sz w:val="22"/>
                <w:szCs w:val="22"/>
              </w:rPr>
              <w:t>年</w:t>
            </w:r>
            <w:r w:rsidRPr="0086632E">
              <w:rPr>
                <w:sz w:val="22"/>
                <w:szCs w:val="22"/>
              </w:rPr>
              <w:t>4</w:t>
            </w:r>
            <w:r w:rsidRPr="0086632E">
              <w:rPr>
                <w:rFonts w:hint="eastAsia"/>
                <w:sz w:val="22"/>
                <w:szCs w:val="22"/>
              </w:rPr>
              <w:t>月</w:t>
            </w:r>
          </w:p>
        </w:tc>
        <w:tc>
          <w:tcPr>
            <w:tcW w:w="988" w:type="pct"/>
            <w:tcBorders>
              <w:top w:val="single" w:sz="4" w:space="0" w:color="auto"/>
              <w:bottom w:val="double" w:sz="4" w:space="0" w:color="auto"/>
            </w:tcBorders>
            <w:shd w:val="clear" w:color="auto" w:fill="auto"/>
          </w:tcPr>
          <w:p w:rsidR="00B04957" w:rsidRPr="0086632E" w:rsidRDefault="00B04957" w:rsidP="0086632E">
            <w:pPr>
              <w:pStyle w:val="142"/>
              <w:rPr>
                <w:rFonts w:hint="eastAsia"/>
                <w:b/>
                <w:sz w:val="22"/>
                <w:szCs w:val="22"/>
              </w:rPr>
            </w:pPr>
            <w:r w:rsidRPr="0086632E">
              <w:rPr>
                <w:rFonts w:hint="eastAsia"/>
                <w:b/>
                <w:sz w:val="22"/>
                <w:szCs w:val="22"/>
              </w:rPr>
              <w:t>300億美元</w:t>
            </w:r>
          </w:p>
        </w:tc>
        <w:tc>
          <w:tcPr>
            <w:tcW w:w="1811" w:type="pct"/>
            <w:tcBorders>
              <w:top w:val="single" w:sz="4" w:space="0" w:color="auto"/>
              <w:bottom w:val="double" w:sz="4" w:space="0" w:color="auto"/>
            </w:tcBorders>
            <w:shd w:val="clear" w:color="auto" w:fill="auto"/>
          </w:tcPr>
          <w:p w:rsidR="00B04957" w:rsidRPr="0086632E" w:rsidRDefault="00B04957" w:rsidP="0086632E">
            <w:pPr>
              <w:pStyle w:val="142"/>
              <w:rPr>
                <w:rFonts w:hint="eastAsia"/>
                <w:b/>
                <w:sz w:val="22"/>
                <w:szCs w:val="22"/>
              </w:rPr>
            </w:pPr>
            <w:r w:rsidRPr="0086632E">
              <w:rPr>
                <w:b/>
                <w:sz w:val="22"/>
                <w:szCs w:val="22"/>
              </w:rPr>
              <w:t>14.1%</w:t>
            </w:r>
          </w:p>
        </w:tc>
        <w:tc>
          <w:tcPr>
            <w:tcW w:w="1295" w:type="pct"/>
            <w:tcBorders>
              <w:top w:val="single" w:sz="4" w:space="0" w:color="auto"/>
              <w:bottom w:val="double" w:sz="4" w:space="0" w:color="auto"/>
            </w:tcBorders>
            <w:shd w:val="clear" w:color="auto" w:fill="auto"/>
          </w:tcPr>
          <w:p w:rsidR="00B04957" w:rsidRPr="0086632E" w:rsidRDefault="00B04957" w:rsidP="0086632E">
            <w:pPr>
              <w:pStyle w:val="142"/>
              <w:rPr>
                <w:rFonts w:hint="eastAsia"/>
                <w:b/>
                <w:sz w:val="22"/>
                <w:szCs w:val="22"/>
              </w:rPr>
            </w:pPr>
            <w:r w:rsidRPr="0086632E">
              <w:rPr>
                <w:rFonts w:hint="eastAsia"/>
                <w:b/>
                <w:sz w:val="22"/>
                <w:szCs w:val="22"/>
              </w:rPr>
              <w:t>5.8%；是</w:t>
            </w:r>
          </w:p>
        </w:tc>
      </w:tr>
      <w:tr w:rsidR="00B04957" w:rsidRPr="00B04957" w:rsidTr="000E02F2">
        <w:tc>
          <w:tcPr>
            <w:tcW w:w="906" w:type="pct"/>
            <w:tcBorders>
              <w:top w:val="double" w:sz="4" w:space="0" w:color="auto"/>
            </w:tcBorders>
            <w:shd w:val="clear" w:color="auto" w:fill="F2F2F2"/>
            <w:vAlign w:val="center"/>
          </w:tcPr>
          <w:p w:rsidR="00B04957" w:rsidRPr="0086632E" w:rsidRDefault="00B04957" w:rsidP="00A52049">
            <w:pPr>
              <w:pStyle w:val="142"/>
              <w:jc w:val="center"/>
              <w:rPr>
                <w:rFonts w:hint="eastAsia"/>
                <w:sz w:val="22"/>
                <w:szCs w:val="22"/>
              </w:rPr>
            </w:pPr>
            <w:r w:rsidRPr="0086632E">
              <w:rPr>
                <w:rFonts w:hint="eastAsia"/>
                <w:sz w:val="22"/>
                <w:szCs w:val="22"/>
              </w:rPr>
              <w:t>報告發布日期</w:t>
            </w:r>
          </w:p>
        </w:tc>
        <w:tc>
          <w:tcPr>
            <w:tcW w:w="988" w:type="pct"/>
            <w:tcBorders>
              <w:top w:val="double" w:sz="4" w:space="0" w:color="auto"/>
            </w:tcBorders>
            <w:shd w:val="clear" w:color="auto" w:fill="F2F2F2"/>
            <w:vAlign w:val="center"/>
          </w:tcPr>
          <w:p w:rsidR="00B04957" w:rsidRPr="0086632E" w:rsidRDefault="00B04957" w:rsidP="00A52049">
            <w:pPr>
              <w:pStyle w:val="142"/>
              <w:jc w:val="both"/>
              <w:rPr>
                <w:rFonts w:hint="eastAsia"/>
                <w:sz w:val="22"/>
                <w:szCs w:val="22"/>
              </w:rPr>
            </w:pPr>
            <w:r w:rsidRPr="0086632E">
              <w:rPr>
                <w:rFonts w:hint="eastAsia"/>
                <w:sz w:val="22"/>
                <w:szCs w:val="22"/>
              </w:rPr>
              <w:t>對美商品與服務順差&gt;150億美元</w:t>
            </w:r>
          </w:p>
        </w:tc>
        <w:tc>
          <w:tcPr>
            <w:tcW w:w="1811" w:type="pct"/>
            <w:tcBorders>
              <w:top w:val="double" w:sz="4" w:space="0" w:color="auto"/>
            </w:tcBorders>
            <w:shd w:val="clear" w:color="auto" w:fill="F2F2F2"/>
            <w:vAlign w:val="center"/>
          </w:tcPr>
          <w:p w:rsidR="00B04957" w:rsidRPr="0086632E" w:rsidRDefault="00B04957" w:rsidP="00A52049">
            <w:pPr>
              <w:pStyle w:val="142"/>
              <w:rPr>
                <w:sz w:val="22"/>
                <w:szCs w:val="22"/>
              </w:rPr>
            </w:pPr>
            <w:r w:rsidRPr="0086632E">
              <w:rPr>
                <w:rFonts w:hint="eastAsia"/>
                <w:sz w:val="22"/>
                <w:szCs w:val="22"/>
              </w:rPr>
              <w:t>1.經常帳順差占</w:t>
            </w:r>
            <w:r w:rsidRPr="0086632E">
              <w:rPr>
                <w:sz w:val="22"/>
                <w:szCs w:val="22"/>
              </w:rPr>
              <w:t>GDP</w:t>
            </w:r>
            <w:r w:rsidRPr="0086632E">
              <w:rPr>
                <w:rFonts w:hint="eastAsia"/>
                <w:sz w:val="22"/>
                <w:szCs w:val="22"/>
              </w:rPr>
              <w:t>比重&gt;</w:t>
            </w:r>
            <w:r w:rsidRPr="0086632E">
              <w:rPr>
                <w:sz w:val="22"/>
                <w:szCs w:val="22"/>
              </w:rPr>
              <w:t>3%</w:t>
            </w:r>
          </w:p>
          <w:p w:rsidR="00B04957" w:rsidRPr="0086632E" w:rsidRDefault="00B04957" w:rsidP="00A52049">
            <w:pPr>
              <w:pStyle w:val="142"/>
              <w:ind w:leftChars="1" w:left="215" w:hangingChars="95" w:hanging="212"/>
              <w:jc w:val="both"/>
              <w:rPr>
                <w:rFonts w:hint="eastAsia"/>
                <w:sz w:val="22"/>
                <w:szCs w:val="22"/>
              </w:rPr>
            </w:pPr>
            <w:r w:rsidRPr="0086632E">
              <w:rPr>
                <w:sz w:val="22"/>
                <w:szCs w:val="22"/>
              </w:rPr>
              <w:t>2.</w:t>
            </w:r>
            <w:r w:rsidRPr="0086632E">
              <w:rPr>
                <w:rFonts w:hint="eastAsia"/>
                <w:sz w:val="22"/>
                <w:szCs w:val="22"/>
              </w:rPr>
              <w:t>依美國財政部模型估算經常帳缺口對GDP比率逾</w:t>
            </w:r>
            <w:r w:rsidRPr="0086632E">
              <w:rPr>
                <w:sz w:val="22"/>
                <w:szCs w:val="22"/>
              </w:rPr>
              <w:t>1</w:t>
            </w:r>
            <w:r w:rsidRPr="0086632E">
              <w:rPr>
                <w:rFonts w:hint="eastAsia"/>
                <w:sz w:val="22"/>
                <w:szCs w:val="22"/>
              </w:rPr>
              <w:t>個百分點</w:t>
            </w:r>
          </w:p>
        </w:tc>
        <w:tc>
          <w:tcPr>
            <w:tcW w:w="1295" w:type="pct"/>
            <w:tcBorders>
              <w:top w:val="double" w:sz="4" w:space="0" w:color="auto"/>
            </w:tcBorders>
            <w:shd w:val="clear" w:color="auto" w:fill="F2F2F2"/>
            <w:vAlign w:val="center"/>
          </w:tcPr>
          <w:p w:rsidR="00B04957" w:rsidRPr="0086632E" w:rsidRDefault="00B04957" w:rsidP="00A52049">
            <w:pPr>
              <w:pStyle w:val="142"/>
              <w:jc w:val="both"/>
              <w:rPr>
                <w:rFonts w:hint="eastAsia"/>
                <w:sz w:val="22"/>
                <w:szCs w:val="22"/>
              </w:rPr>
            </w:pPr>
            <w:r w:rsidRPr="0086632E">
              <w:rPr>
                <w:rFonts w:hint="eastAsia"/>
                <w:sz w:val="22"/>
                <w:szCs w:val="22"/>
              </w:rPr>
              <w:t>淨買匯金額占</w:t>
            </w:r>
            <w:r w:rsidRPr="0086632E">
              <w:rPr>
                <w:sz w:val="22"/>
                <w:szCs w:val="22"/>
              </w:rPr>
              <w:t>GDP</w:t>
            </w:r>
            <w:r w:rsidRPr="0086632E">
              <w:rPr>
                <w:rFonts w:hint="eastAsia"/>
                <w:sz w:val="22"/>
                <w:szCs w:val="22"/>
              </w:rPr>
              <w:t>比重&gt;2</w:t>
            </w:r>
            <w:r w:rsidRPr="0086632E">
              <w:rPr>
                <w:sz w:val="22"/>
                <w:szCs w:val="22"/>
              </w:rPr>
              <w:t>%，</w:t>
            </w:r>
            <w:r w:rsidRPr="0086632E">
              <w:rPr>
                <w:rFonts w:hint="eastAsia"/>
                <w:sz w:val="22"/>
                <w:szCs w:val="22"/>
              </w:rPr>
              <w:t>且12個月中有8個月(含)以上為淨買匯</w:t>
            </w:r>
          </w:p>
        </w:tc>
      </w:tr>
      <w:tr w:rsidR="00B04957" w:rsidRPr="00B04957" w:rsidTr="0086632E">
        <w:tc>
          <w:tcPr>
            <w:tcW w:w="906" w:type="pct"/>
            <w:shd w:val="clear" w:color="auto" w:fill="auto"/>
          </w:tcPr>
          <w:p w:rsidR="00B04957" w:rsidRPr="0086632E" w:rsidRDefault="00B04957" w:rsidP="0086632E">
            <w:pPr>
              <w:pStyle w:val="142"/>
              <w:rPr>
                <w:rFonts w:hint="eastAsia"/>
                <w:sz w:val="22"/>
                <w:szCs w:val="22"/>
              </w:rPr>
            </w:pPr>
            <w:r w:rsidRPr="0086632E">
              <w:rPr>
                <w:sz w:val="22"/>
                <w:szCs w:val="22"/>
              </w:rPr>
              <w:t>2021</w:t>
            </w:r>
            <w:r w:rsidRPr="0086632E">
              <w:rPr>
                <w:rFonts w:hint="eastAsia"/>
                <w:sz w:val="22"/>
                <w:szCs w:val="22"/>
              </w:rPr>
              <w:t>年</w:t>
            </w:r>
            <w:r w:rsidRPr="0086632E">
              <w:rPr>
                <w:sz w:val="22"/>
                <w:szCs w:val="22"/>
              </w:rPr>
              <w:t>12</w:t>
            </w:r>
            <w:r w:rsidRPr="0086632E">
              <w:rPr>
                <w:rFonts w:hint="eastAsia"/>
                <w:sz w:val="22"/>
                <w:szCs w:val="22"/>
              </w:rPr>
              <w:t>月</w:t>
            </w:r>
          </w:p>
        </w:tc>
        <w:tc>
          <w:tcPr>
            <w:tcW w:w="988" w:type="pct"/>
            <w:shd w:val="clear" w:color="auto" w:fill="auto"/>
          </w:tcPr>
          <w:p w:rsidR="00B04957" w:rsidRPr="0086632E" w:rsidRDefault="00B04957" w:rsidP="0086632E">
            <w:pPr>
              <w:pStyle w:val="142"/>
              <w:rPr>
                <w:rFonts w:hint="eastAsia"/>
                <w:b/>
                <w:sz w:val="22"/>
                <w:szCs w:val="22"/>
              </w:rPr>
            </w:pPr>
            <w:r w:rsidRPr="0086632E">
              <w:rPr>
                <w:rFonts w:hint="eastAsia"/>
                <w:b/>
                <w:sz w:val="22"/>
                <w:szCs w:val="22"/>
              </w:rPr>
              <w:t>320億美元</w:t>
            </w:r>
          </w:p>
        </w:tc>
        <w:tc>
          <w:tcPr>
            <w:tcW w:w="1811" w:type="pct"/>
            <w:shd w:val="clear" w:color="auto" w:fill="auto"/>
          </w:tcPr>
          <w:p w:rsidR="00B04957" w:rsidRPr="0086632E" w:rsidRDefault="00B04957" w:rsidP="0086632E">
            <w:pPr>
              <w:pStyle w:val="142"/>
              <w:rPr>
                <w:b/>
                <w:sz w:val="22"/>
                <w:szCs w:val="22"/>
              </w:rPr>
            </w:pPr>
            <w:r w:rsidRPr="0086632E">
              <w:rPr>
                <w:b/>
                <w:sz w:val="22"/>
                <w:szCs w:val="22"/>
              </w:rPr>
              <w:t>1.15.3%</w:t>
            </w:r>
          </w:p>
          <w:p w:rsidR="00B04957" w:rsidRPr="0086632E" w:rsidRDefault="00B04957" w:rsidP="0086632E">
            <w:pPr>
              <w:pStyle w:val="142"/>
              <w:rPr>
                <w:rFonts w:hint="eastAsia"/>
                <w:b/>
                <w:sz w:val="22"/>
                <w:szCs w:val="22"/>
              </w:rPr>
            </w:pPr>
            <w:r w:rsidRPr="0086632E">
              <w:rPr>
                <w:b/>
                <w:sz w:val="22"/>
                <w:szCs w:val="22"/>
              </w:rPr>
              <w:t>2.</w:t>
            </w:r>
            <w:r w:rsidRPr="0086632E">
              <w:rPr>
                <w:rFonts w:hint="eastAsia"/>
                <w:b/>
                <w:sz w:val="22"/>
                <w:szCs w:val="22"/>
              </w:rPr>
              <w:t>7.0個百分點</w:t>
            </w:r>
          </w:p>
        </w:tc>
        <w:tc>
          <w:tcPr>
            <w:tcW w:w="1295" w:type="pct"/>
            <w:shd w:val="clear" w:color="auto" w:fill="auto"/>
          </w:tcPr>
          <w:p w:rsidR="00B04957" w:rsidRPr="0086632E" w:rsidRDefault="00B04957" w:rsidP="0086632E">
            <w:pPr>
              <w:pStyle w:val="142"/>
              <w:rPr>
                <w:rFonts w:hint="eastAsia"/>
                <w:b/>
                <w:sz w:val="22"/>
                <w:szCs w:val="22"/>
              </w:rPr>
            </w:pPr>
            <w:r w:rsidRPr="0086632E">
              <w:rPr>
                <w:rFonts w:hint="eastAsia"/>
                <w:b/>
                <w:sz w:val="22"/>
                <w:szCs w:val="22"/>
              </w:rPr>
              <w:t>6.0%；是</w:t>
            </w:r>
          </w:p>
        </w:tc>
      </w:tr>
      <w:tr w:rsidR="00B04957" w:rsidRPr="00B04957" w:rsidTr="0086632E">
        <w:tc>
          <w:tcPr>
            <w:tcW w:w="906" w:type="pct"/>
            <w:shd w:val="clear" w:color="auto" w:fill="auto"/>
          </w:tcPr>
          <w:p w:rsidR="00B04957" w:rsidRPr="0086632E" w:rsidRDefault="00B04957" w:rsidP="0086632E">
            <w:pPr>
              <w:pStyle w:val="142"/>
              <w:rPr>
                <w:rFonts w:hint="eastAsia"/>
                <w:sz w:val="22"/>
                <w:szCs w:val="22"/>
              </w:rPr>
            </w:pPr>
            <w:r w:rsidRPr="0086632E">
              <w:rPr>
                <w:sz w:val="22"/>
                <w:szCs w:val="22"/>
              </w:rPr>
              <w:t>2022</w:t>
            </w:r>
            <w:r w:rsidRPr="0086632E">
              <w:rPr>
                <w:rFonts w:hint="eastAsia"/>
                <w:sz w:val="22"/>
                <w:szCs w:val="22"/>
              </w:rPr>
              <w:t>年</w:t>
            </w:r>
            <w:r w:rsidRPr="0086632E">
              <w:rPr>
                <w:sz w:val="22"/>
                <w:szCs w:val="22"/>
              </w:rPr>
              <w:t>6</w:t>
            </w:r>
            <w:r w:rsidRPr="0086632E">
              <w:rPr>
                <w:rFonts w:hint="eastAsia"/>
                <w:sz w:val="22"/>
                <w:szCs w:val="22"/>
              </w:rPr>
              <w:t>月</w:t>
            </w:r>
          </w:p>
        </w:tc>
        <w:tc>
          <w:tcPr>
            <w:tcW w:w="988" w:type="pct"/>
            <w:shd w:val="clear" w:color="auto" w:fill="auto"/>
          </w:tcPr>
          <w:p w:rsidR="00B04957" w:rsidRPr="0086632E" w:rsidRDefault="00B04957" w:rsidP="0086632E">
            <w:pPr>
              <w:pStyle w:val="142"/>
              <w:rPr>
                <w:rFonts w:hint="eastAsia"/>
                <w:b/>
                <w:sz w:val="22"/>
                <w:szCs w:val="22"/>
              </w:rPr>
            </w:pPr>
            <w:r w:rsidRPr="0086632E">
              <w:rPr>
                <w:rFonts w:hint="eastAsia"/>
                <w:b/>
                <w:sz w:val="22"/>
                <w:szCs w:val="22"/>
              </w:rPr>
              <w:t>400億美元</w:t>
            </w:r>
          </w:p>
        </w:tc>
        <w:tc>
          <w:tcPr>
            <w:tcW w:w="1811" w:type="pct"/>
            <w:shd w:val="clear" w:color="auto" w:fill="auto"/>
          </w:tcPr>
          <w:p w:rsidR="00B04957" w:rsidRPr="0086632E" w:rsidRDefault="00B04957" w:rsidP="0086632E">
            <w:pPr>
              <w:pStyle w:val="142"/>
              <w:rPr>
                <w:b/>
                <w:sz w:val="22"/>
                <w:szCs w:val="22"/>
              </w:rPr>
            </w:pPr>
            <w:r w:rsidRPr="0086632E">
              <w:rPr>
                <w:b/>
                <w:sz w:val="22"/>
                <w:szCs w:val="22"/>
              </w:rPr>
              <w:t>1.14.8%</w:t>
            </w:r>
          </w:p>
          <w:p w:rsidR="00B04957" w:rsidRPr="0086632E" w:rsidRDefault="00B04957" w:rsidP="0086632E">
            <w:pPr>
              <w:pStyle w:val="142"/>
              <w:rPr>
                <w:rFonts w:hint="eastAsia"/>
                <w:b/>
                <w:sz w:val="22"/>
                <w:szCs w:val="22"/>
              </w:rPr>
            </w:pPr>
            <w:r w:rsidRPr="0086632E">
              <w:rPr>
                <w:b/>
                <w:sz w:val="22"/>
                <w:szCs w:val="22"/>
              </w:rPr>
              <w:t>2.</w:t>
            </w:r>
            <w:r w:rsidRPr="0086632E">
              <w:rPr>
                <w:rFonts w:hint="eastAsia"/>
                <w:b/>
                <w:sz w:val="22"/>
                <w:szCs w:val="22"/>
              </w:rPr>
              <w:t>7.4個百分點</w:t>
            </w:r>
          </w:p>
        </w:tc>
        <w:tc>
          <w:tcPr>
            <w:tcW w:w="1295" w:type="pct"/>
            <w:shd w:val="clear" w:color="auto" w:fill="auto"/>
          </w:tcPr>
          <w:p w:rsidR="00B04957" w:rsidRPr="0086632E" w:rsidRDefault="00B04957" w:rsidP="0086632E">
            <w:pPr>
              <w:pStyle w:val="142"/>
              <w:rPr>
                <w:rFonts w:hint="eastAsia"/>
                <w:b/>
                <w:sz w:val="22"/>
                <w:szCs w:val="22"/>
              </w:rPr>
            </w:pPr>
            <w:r w:rsidRPr="0086632E">
              <w:rPr>
                <w:rFonts w:hint="eastAsia"/>
                <w:b/>
                <w:sz w:val="22"/>
                <w:szCs w:val="22"/>
              </w:rPr>
              <w:t>1.2%；是</w:t>
            </w:r>
          </w:p>
        </w:tc>
      </w:tr>
      <w:tr w:rsidR="00B04957" w:rsidRPr="00B04957" w:rsidTr="0086632E">
        <w:tc>
          <w:tcPr>
            <w:tcW w:w="906" w:type="pct"/>
            <w:shd w:val="clear" w:color="auto" w:fill="auto"/>
          </w:tcPr>
          <w:p w:rsidR="00B04957" w:rsidRPr="0086632E" w:rsidRDefault="00B04957" w:rsidP="0086632E">
            <w:pPr>
              <w:pStyle w:val="142"/>
              <w:rPr>
                <w:rFonts w:hint="eastAsia"/>
                <w:sz w:val="22"/>
                <w:szCs w:val="22"/>
              </w:rPr>
            </w:pPr>
            <w:r w:rsidRPr="0086632E">
              <w:rPr>
                <w:sz w:val="22"/>
                <w:szCs w:val="22"/>
              </w:rPr>
              <w:t>2022</w:t>
            </w:r>
            <w:r w:rsidRPr="0086632E">
              <w:rPr>
                <w:rFonts w:hint="eastAsia"/>
                <w:sz w:val="22"/>
                <w:szCs w:val="22"/>
              </w:rPr>
              <w:t>年</w:t>
            </w:r>
            <w:r w:rsidRPr="0086632E">
              <w:rPr>
                <w:sz w:val="22"/>
                <w:szCs w:val="22"/>
              </w:rPr>
              <w:t>11</w:t>
            </w:r>
            <w:r w:rsidRPr="0086632E">
              <w:rPr>
                <w:rFonts w:hint="eastAsia"/>
                <w:sz w:val="22"/>
                <w:szCs w:val="22"/>
              </w:rPr>
              <w:t>月</w:t>
            </w:r>
          </w:p>
        </w:tc>
        <w:tc>
          <w:tcPr>
            <w:tcW w:w="988" w:type="pct"/>
            <w:shd w:val="clear" w:color="auto" w:fill="auto"/>
          </w:tcPr>
          <w:p w:rsidR="00B04957" w:rsidRPr="0086632E" w:rsidRDefault="00B04957" w:rsidP="0086632E">
            <w:pPr>
              <w:pStyle w:val="142"/>
              <w:rPr>
                <w:rFonts w:hint="eastAsia"/>
                <w:b/>
                <w:sz w:val="22"/>
                <w:szCs w:val="22"/>
              </w:rPr>
            </w:pPr>
            <w:r w:rsidRPr="0086632E">
              <w:rPr>
                <w:rFonts w:hint="eastAsia"/>
                <w:b/>
                <w:sz w:val="22"/>
                <w:szCs w:val="22"/>
              </w:rPr>
              <w:t>490億美元</w:t>
            </w:r>
          </w:p>
        </w:tc>
        <w:tc>
          <w:tcPr>
            <w:tcW w:w="1811" w:type="pct"/>
            <w:shd w:val="clear" w:color="auto" w:fill="auto"/>
          </w:tcPr>
          <w:p w:rsidR="00B04957" w:rsidRPr="0086632E" w:rsidRDefault="00B04957" w:rsidP="0086632E">
            <w:pPr>
              <w:pStyle w:val="142"/>
              <w:rPr>
                <w:rFonts w:hint="eastAsia"/>
                <w:sz w:val="22"/>
                <w:szCs w:val="22"/>
              </w:rPr>
            </w:pPr>
            <w:r w:rsidRPr="0086632E">
              <w:rPr>
                <w:b/>
                <w:sz w:val="22"/>
                <w:szCs w:val="22"/>
              </w:rPr>
              <w:t>1.14.7%</w:t>
            </w:r>
          </w:p>
        </w:tc>
        <w:tc>
          <w:tcPr>
            <w:tcW w:w="1295" w:type="pct"/>
            <w:shd w:val="clear" w:color="auto" w:fill="auto"/>
          </w:tcPr>
          <w:p w:rsidR="00B04957" w:rsidRPr="0086632E" w:rsidRDefault="00B04957" w:rsidP="0086632E">
            <w:pPr>
              <w:pStyle w:val="142"/>
              <w:rPr>
                <w:rFonts w:hint="eastAsia"/>
                <w:sz w:val="22"/>
                <w:szCs w:val="22"/>
              </w:rPr>
            </w:pPr>
            <w:r w:rsidRPr="0086632E">
              <w:rPr>
                <w:rFonts w:hint="eastAsia"/>
                <w:sz w:val="22"/>
                <w:szCs w:val="22"/>
              </w:rPr>
              <w:t>-1.0%；是</w:t>
            </w:r>
          </w:p>
        </w:tc>
      </w:tr>
      <w:tr w:rsidR="00B04957" w:rsidRPr="00B04957" w:rsidTr="00A52049">
        <w:tc>
          <w:tcPr>
            <w:tcW w:w="906" w:type="pct"/>
            <w:tcBorders>
              <w:bottom w:val="single" w:sz="4" w:space="0" w:color="auto"/>
            </w:tcBorders>
            <w:shd w:val="clear" w:color="auto" w:fill="auto"/>
          </w:tcPr>
          <w:p w:rsidR="00B04957" w:rsidRPr="0086632E" w:rsidRDefault="00B04957" w:rsidP="0086632E">
            <w:pPr>
              <w:pStyle w:val="142"/>
              <w:rPr>
                <w:rFonts w:hint="eastAsia"/>
                <w:sz w:val="22"/>
                <w:szCs w:val="22"/>
              </w:rPr>
            </w:pPr>
            <w:r w:rsidRPr="0086632E">
              <w:rPr>
                <w:sz w:val="22"/>
                <w:szCs w:val="22"/>
              </w:rPr>
              <w:t>2023</w:t>
            </w:r>
            <w:r w:rsidRPr="0086632E">
              <w:rPr>
                <w:rFonts w:hint="eastAsia"/>
                <w:sz w:val="22"/>
                <w:szCs w:val="22"/>
              </w:rPr>
              <w:t>年</w:t>
            </w:r>
            <w:r w:rsidRPr="0086632E">
              <w:rPr>
                <w:sz w:val="22"/>
                <w:szCs w:val="22"/>
              </w:rPr>
              <w:t>6</w:t>
            </w:r>
            <w:r w:rsidRPr="0086632E">
              <w:rPr>
                <w:rFonts w:hint="eastAsia"/>
                <w:sz w:val="22"/>
                <w:szCs w:val="22"/>
              </w:rPr>
              <w:t>月</w:t>
            </w:r>
          </w:p>
        </w:tc>
        <w:tc>
          <w:tcPr>
            <w:tcW w:w="988" w:type="pct"/>
            <w:tcBorders>
              <w:bottom w:val="single" w:sz="4" w:space="0" w:color="auto"/>
            </w:tcBorders>
            <w:shd w:val="clear" w:color="auto" w:fill="auto"/>
          </w:tcPr>
          <w:p w:rsidR="00B04957" w:rsidRPr="0086632E" w:rsidRDefault="00B04957" w:rsidP="0086632E">
            <w:pPr>
              <w:pStyle w:val="142"/>
              <w:rPr>
                <w:rFonts w:hint="eastAsia"/>
                <w:b/>
                <w:sz w:val="22"/>
                <w:szCs w:val="22"/>
              </w:rPr>
            </w:pPr>
            <w:r w:rsidRPr="0086632E">
              <w:rPr>
                <w:rFonts w:hint="eastAsia"/>
                <w:b/>
                <w:sz w:val="22"/>
                <w:szCs w:val="22"/>
              </w:rPr>
              <w:t>510億美元</w:t>
            </w:r>
          </w:p>
        </w:tc>
        <w:tc>
          <w:tcPr>
            <w:tcW w:w="1811" w:type="pct"/>
            <w:tcBorders>
              <w:bottom w:val="single" w:sz="4" w:space="0" w:color="auto"/>
            </w:tcBorders>
            <w:shd w:val="clear" w:color="auto" w:fill="auto"/>
          </w:tcPr>
          <w:p w:rsidR="00B04957" w:rsidRPr="0086632E" w:rsidRDefault="00B04957" w:rsidP="0086632E">
            <w:pPr>
              <w:pStyle w:val="142"/>
              <w:rPr>
                <w:rFonts w:hint="eastAsia"/>
                <w:b/>
                <w:sz w:val="22"/>
                <w:szCs w:val="22"/>
              </w:rPr>
            </w:pPr>
            <w:r w:rsidRPr="0086632E">
              <w:rPr>
                <w:b/>
                <w:sz w:val="22"/>
                <w:szCs w:val="22"/>
              </w:rPr>
              <w:t>1.13.3%</w:t>
            </w:r>
          </w:p>
        </w:tc>
        <w:tc>
          <w:tcPr>
            <w:tcW w:w="1295" w:type="pct"/>
            <w:tcBorders>
              <w:bottom w:val="single" w:sz="4" w:space="0" w:color="auto"/>
            </w:tcBorders>
            <w:shd w:val="clear" w:color="auto" w:fill="auto"/>
          </w:tcPr>
          <w:p w:rsidR="00B04957" w:rsidRPr="0086632E" w:rsidRDefault="00B04957" w:rsidP="0086632E">
            <w:pPr>
              <w:pStyle w:val="142"/>
              <w:rPr>
                <w:rFonts w:hint="eastAsia"/>
                <w:sz w:val="22"/>
                <w:szCs w:val="22"/>
              </w:rPr>
            </w:pPr>
            <w:r w:rsidRPr="0086632E">
              <w:rPr>
                <w:rFonts w:hint="eastAsia"/>
                <w:sz w:val="22"/>
                <w:szCs w:val="22"/>
              </w:rPr>
              <w:t>-1.7%；否</w:t>
            </w:r>
          </w:p>
        </w:tc>
      </w:tr>
      <w:tr w:rsidR="00B04957" w:rsidRPr="00B04957" w:rsidTr="00A52049">
        <w:tc>
          <w:tcPr>
            <w:tcW w:w="906" w:type="pct"/>
            <w:tcBorders>
              <w:top w:val="single" w:sz="4" w:space="0" w:color="auto"/>
              <w:bottom w:val="double" w:sz="4" w:space="0" w:color="auto"/>
            </w:tcBorders>
            <w:shd w:val="clear" w:color="auto" w:fill="auto"/>
          </w:tcPr>
          <w:p w:rsidR="00B04957" w:rsidRPr="0086632E" w:rsidRDefault="00B04957" w:rsidP="0086632E">
            <w:pPr>
              <w:pStyle w:val="142"/>
              <w:rPr>
                <w:rFonts w:hint="eastAsia"/>
                <w:sz w:val="22"/>
                <w:szCs w:val="22"/>
              </w:rPr>
            </w:pPr>
            <w:r w:rsidRPr="0086632E">
              <w:rPr>
                <w:sz w:val="22"/>
                <w:szCs w:val="22"/>
              </w:rPr>
              <w:t>2023</w:t>
            </w:r>
            <w:r w:rsidRPr="0086632E">
              <w:rPr>
                <w:rFonts w:hint="eastAsia"/>
                <w:sz w:val="22"/>
                <w:szCs w:val="22"/>
              </w:rPr>
              <w:t>年</w:t>
            </w:r>
            <w:r w:rsidRPr="0086632E">
              <w:rPr>
                <w:sz w:val="22"/>
                <w:szCs w:val="22"/>
              </w:rPr>
              <w:t>11</w:t>
            </w:r>
            <w:r w:rsidRPr="0086632E">
              <w:rPr>
                <w:rFonts w:hint="eastAsia"/>
                <w:sz w:val="22"/>
                <w:szCs w:val="22"/>
              </w:rPr>
              <w:t>月</w:t>
            </w:r>
          </w:p>
        </w:tc>
        <w:tc>
          <w:tcPr>
            <w:tcW w:w="988" w:type="pct"/>
            <w:tcBorders>
              <w:top w:val="single" w:sz="4" w:space="0" w:color="auto"/>
              <w:bottom w:val="double" w:sz="4" w:space="0" w:color="auto"/>
            </w:tcBorders>
            <w:shd w:val="clear" w:color="auto" w:fill="auto"/>
          </w:tcPr>
          <w:p w:rsidR="00B04957" w:rsidRPr="0086632E" w:rsidRDefault="00B04957" w:rsidP="0086632E">
            <w:pPr>
              <w:pStyle w:val="142"/>
              <w:rPr>
                <w:rFonts w:hint="eastAsia"/>
                <w:b/>
                <w:sz w:val="22"/>
                <w:szCs w:val="22"/>
              </w:rPr>
            </w:pPr>
            <w:r w:rsidRPr="0086632E">
              <w:rPr>
                <w:rFonts w:hint="eastAsia"/>
                <w:b/>
                <w:sz w:val="22"/>
                <w:szCs w:val="22"/>
              </w:rPr>
              <w:t>480億美元</w:t>
            </w:r>
          </w:p>
        </w:tc>
        <w:tc>
          <w:tcPr>
            <w:tcW w:w="1811" w:type="pct"/>
            <w:tcBorders>
              <w:top w:val="single" w:sz="4" w:space="0" w:color="auto"/>
              <w:bottom w:val="double" w:sz="4" w:space="0" w:color="auto"/>
            </w:tcBorders>
            <w:shd w:val="clear" w:color="auto" w:fill="auto"/>
          </w:tcPr>
          <w:p w:rsidR="00B04957" w:rsidRPr="0086632E" w:rsidRDefault="00B04957" w:rsidP="0086632E">
            <w:pPr>
              <w:pStyle w:val="142"/>
              <w:rPr>
                <w:rFonts w:hint="eastAsia"/>
                <w:b/>
                <w:sz w:val="22"/>
                <w:szCs w:val="22"/>
              </w:rPr>
            </w:pPr>
            <w:r w:rsidRPr="0086632E">
              <w:rPr>
                <w:b/>
                <w:sz w:val="22"/>
                <w:szCs w:val="22"/>
              </w:rPr>
              <w:t>1.11.8%</w:t>
            </w:r>
          </w:p>
        </w:tc>
        <w:tc>
          <w:tcPr>
            <w:tcW w:w="1295" w:type="pct"/>
            <w:tcBorders>
              <w:top w:val="single" w:sz="4" w:space="0" w:color="auto"/>
              <w:bottom w:val="double" w:sz="4" w:space="0" w:color="auto"/>
            </w:tcBorders>
            <w:shd w:val="clear" w:color="auto" w:fill="auto"/>
          </w:tcPr>
          <w:p w:rsidR="00B04957" w:rsidRPr="0086632E" w:rsidRDefault="00B04957" w:rsidP="0086632E">
            <w:pPr>
              <w:pStyle w:val="142"/>
              <w:rPr>
                <w:rFonts w:hint="eastAsia"/>
                <w:sz w:val="22"/>
                <w:szCs w:val="22"/>
              </w:rPr>
            </w:pPr>
            <w:r w:rsidRPr="0086632E">
              <w:rPr>
                <w:rFonts w:hint="eastAsia"/>
                <w:sz w:val="22"/>
                <w:szCs w:val="22"/>
              </w:rPr>
              <w:t>-0.8%；否</w:t>
            </w:r>
          </w:p>
        </w:tc>
      </w:tr>
      <w:tr w:rsidR="00B04957" w:rsidRPr="00B04957" w:rsidTr="000E02F2">
        <w:tc>
          <w:tcPr>
            <w:tcW w:w="906" w:type="pct"/>
            <w:tcBorders>
              <w:top w:val="double" w:sz="4" w:space="0" w:color="auto"/>
            </w:tcBorders>
            <w:shd w:val="clear" w:color="auto" w:fill="F2F2F2"/>
            <w:vAlign w:val="center"/>
          </w:tcPr>
          <w:p w:rsidR="00B04957" w:rsidRPr="0086632E" w:rsidRDefault="00B04957" w:rsidP="00A52049">
            <w:pPr>
              <w:pStyle w:val="142"/>
              <w:jc w:val="both"/>
              <w:rPr>
                <w:rFonts w:hint="eastAsia"/>
                <w:sz w:val="22"/>
                <w:szCs w:val="22"/>
              </w:rPr>
            </w:pPr>
            <w:r w:rsidRPr="0086632E">
              <w:rPr>
                <w:rFonts w:hint="eastAsia"/>
                <w:sz w:val="22"/>
                <w:szCs w:val="22"/>
              </w:rPr>
              <w:t>報告發布日期</w:t>
            </w:r>
          </w:p>
        </w:tc>
        <w:tc>
          <w:tcPr>
            <w:tcW w:w="988" w:type="pct"/>
            <w:tcBorders>
              <w:top w:val="double" w:sz="4" w:space="0" w:color="auto"/>
            </w:tcBorders>
            <w:shd w:val="clear" w:color="auto" w:fill="F2F2F2"/>
            <w:vAlign w:val="center"/>
          </w:tcPr>
          <w:p w:rsidR="00B04957" w:rsidRPr="0086632E" w:rsidRDefault="00B04957" w:rsidP="00A52049">
            <w:pPr>
              <w:pStyle w:val="142"/>
              <w:jc w:val="both"/>
              <w:rPr>
                <w:rFonts w:hint="eastAsia"/>
                <w:sz w:val="22"/>
                <w:szCs w:val="22"/>
              </w:rPr>
            </w:pPr>
            <w:r w:rsidRPr="0086632E">
              <w:rPr>
                <w:rFonts w:hint="eastAsia"/>
                <w:sz w:val="22"/>
                <w:szCs w:val="22"/>
              </w:rPr>
              <w:t>對美商品與服務順差&gt;150億美元</w:t>
            </w:r>
          </w:p>
        </w:tc>
        <w:tc>
          <w:tcPr>
            <w:tcW w:w="1811" w:type="pct"/>
            <w:tcBorders>
              <w:top w:val="double" w:sz="4" w:space="0" w:color="auto"/>
            </w:tcBorders>
            <w:shd w:val="clear" w:color="auto" w:fill="F2F2F2"/>
            <w:vAlign w:val="center"/>
          </w:tcPr>
          <w:p w:rsidR="00B04957" w:rsidRPr="0086632E" w:rsidRDefault="00B04957" w:rsidP="00A52049">
            <w:pPr>
              <w:pStyle w:val="142"/>
              <w:jc w:val="both"/>
              <w:rPr>
                <w:rFonts w:hint="eastAsia"/>
                <w:spacing w:val="-20"/>
                <w:sz w:val="22"/>
                <w:szCs w:val="22"/>
              </w:rPr>
            </w:pPr>
            <w:r w:rsidRPr="0086632E">
              <w:rPr>
                <w:rFonts w:hint="eastAsia"/>
                <w:spacing w:val="-20"/>
                <w:sz w:val="22"/>
                <w:szCs w:val="22"/>
              </w:rPr>
              <w:t>經常帳順差占</w:t>
            </w:r>
            <w:r w:rsidRPr="0086632E">
              <w:rPr>
                <w:spacing w:val="-20"/>
                <w:sz w:val="22"/>
                <w:szCs w:val="22"/>
              </w:rPr>
              <w:t>GDP</w:t>
            </w:r>
            <w:r w:rsidRPr="0086632E">
              <w:rPr>
                <w:rFonts w:hint="eastAsia"/>
                <w:spacing w:val="-20"/>
                <w:sz w:val="22"/>
                <w:szCs w:val="22"/>
              </w:rPr>
              <w:t>比重&gt;</w:t>
            </w:r>
            <w:r w:rsidRPr="0086632E">
              <w:rPr>
                <w:spacing w:val="-20"/>
                <w:sz w:val="22"/>
                <w:szCs w:val="22"/>
              </w:rPr>
              <w:t>3%</w:t>
            </w:r>
          </w:p>
        </w:tc>
        <w:tc>
          <w:tcPr>
            <w:tcW w:w="1295" w:type="pct"/>
            <w:tcBorders>
              <w:top w:val="double" w:sz="4" w:space="0" w:color="auto"/>
            </w:tcBorders>
            <w:shd w:val="clear" w:color="auto" w:fill="F2F2F2"/>
            <w:vAlign w:val="center"/>
          </w:tcPr>
          <w:p w:rsidR="00B04957" w:rsidRPr="0086632E" w:rsidRDefault="00B04957" w:rsidP="00A52049">
            <w:pPr>
              <w:pStyle w:val="142"/>
              <w:jc w:val="both"/>
              <w:rPr>
                <w:rFonts w:hint="eastAsia"/>
                <w:spacing w:val="-20"/>
                <w:sz w:val="22"/>
                <w:szCs w:val="22"/>
              </w:rPr>
            </w:pPr>
            <w:r w:rsidRPr="0086632E">
              <w:rPr>
                <w:rFonts w:hint="eastAsia"/>
                <w:spacing w:val="-20"/>
                <w:sz w:val="22"/>
                <w:szCs w:val="22"/>
              </w:rPr>
              <w:t>淨買匯金額占</w:t>
            </w:r>
            <w:r w:rsidRPr="0086632E">
              <w:rPr>
                <w:spacing w:val="-20"/>
                <w:sz w:val="22"/>
                <w:szCs w:val="22"/>
              </w:rPr>
              <w:t>GDP</w:t>
            </w:r>
            <w:r w:rsidRPr="0086632E">
              <w:rPr>
                <w:rFonts w:hint="eastAsia"/>
                <w:spacing w:val="-20"/>
                <w:sz w:val="22"/>
                <w:szCs w:val="22"/>
              </w:rPr>
              <w:t>比重&gt;2</w:t>
            </w:r>
            <w:r w:rsidRPr="0086632E">
              <w:rPr>
                <w:spacing w:val="-20"/>
                <w:sz w:val="22"/>
                <w:szCs w:val="22"/>
              </w:rPr>
              <w:t>%，</w:t>
            </w:r>
            <w:r w:rsidRPr="0086632E">
              <w:rPr>
                <w:rFonts w:hint="eastAsia"/>
                <w:spacing w:val="-20"/>
                <w:sz w:val="22"/>
                <w:szCs w:val="22"/>
              </w:rPr>
              <w:t>且12個月中有8個月(含)以上為淨買匯</w:t>
            </w:r>
          </w:p>
        </w:tc>
      </w:tr>
      <w:tr w:rsidR="00B04957" w:rsidRPr="00B04957" w:rsidTr="0086632E">
        <w:tc>
          <w:tcPr>
            <w:tcW w:w="906" w:type="pct"/>
            <w:shd w:val="clear" w:color="auto" w:fill="auto"/>
          </w:tcPr>
          <w:p w:rsidR="00B04957" w:rsidRPr="0086632E" w:rsidRDefault="00B04957" w:rsidP="0086632E">
            <w:pPr>
              <w:pStyle w:val="142"/>
              <w:rPr>
                <w:rFonts w:hint="eastAsia"/>
                <w:sz w:val="22"/>
                <w:szCs w:val="22"/>
              </w:rPr>
            </w:pPr>
            <w:r w:rsidRPr="0086632E">
              <w:rPr>
                <w:sz w:val="22"/>
                <w:szCs w:val="22"/>
              </w:rPr>
              <w:t>2024</w:t>
            </w:r>
            <w:r w:rsidRPr="0086632E">
              <w:rPr>
                <w:rFonts w:hint="eastAsia"/>
                <w:sz w:val="22"/>
                <w:szCs w:val="22"/>
              </w:rPr>
              <w:t>年</w:t>
            </w:r>
            <w:r w:rsidRPr="0086632E">
              <w:rPr>
                <w:sz w:val="22"/>
                <w:szCs w:val="22"/>
              </w:rPr>
              <w:t>6</w:t>
            </w:r>
            <w:r w:rsidRPr="0086632E">
              <w:rPr>
                <w:rFonts w:hint="eastAsia"/>
                <w:sz w:val="22"/>
                <w:szCs w:val="22"/>
              </w:rPr>
              <w:t>月</w:t>
            </w:r>
          </w:p>
        </w:tc>
        <w:tc>
          <w:tcPr>
            <w:tcW w:w="988" w:type="pct"/>
            <w:shd w:val="clear" w:color="auto" w:fill="auto"/>
          </w:tcPr>
          <w:p w:rsidR="00B04957" w:rsidRPr="0086632E" w:rsidRDefault="00B04957" w:rsidP="0086632E">
            <w:pPr>
              <w:pStyle w:val="142"/>
              <w:rPr>
                <w:rFonts w:hint="eastAsia"/>
                <w:b/>
                <w:sz w:val="22"/>
                <w:szCs w:val="22"/>
              </w:rPr>
            </w:pPr>
            <w:r w:rsidRPr="0086632E">
              <w:rPr>
                <w:rFonts w:hint="eastAsia"/>
                <w:b/>
                <w:sz w:val="22"/>
                <w:szCs w:val="22"/>
              </w:rPr>
              <w:t>481億美元</w:t>
            </w:r>
          </w:p>
        </w:tc>
        <w:tc>
          <w:tcPr>
            <w:tcW w:w="1811" w:type="pct"/>
            <w:shd w:val="clear" w:color="auto" w:fill="auto"/>
          </w:tcPr>
          <w:p w:rsidR="00B04957" w:rsidRPr="0086632E" w:rsidRDefault="00B04957" w:rsidP="0086632E">
            <w:pPr>
              <w:pStyle w:val="142"/>
              <w:rPr>
                <w:rFonts w:hint="eastAsia"/>
                <w:b/>
                <w:sz w:val="22"/>
                <w:szCs w:val="22"/>
              </w:rPr>
            </w:pPr>
            <w:r w:rsidRPr="0086632E">
              <w:rPr>
                <w:b/>
                <w:sz w:val="22"/>
                <w:szCs w:val="22"/>
              </w:rPr>
              <w:t>13.9%</w:t>
            </w:r>
          </w:p>
        </w:tc>
        <w:tc>
          <w:tcPr>
            <w:tcW w:w="1295" w:type="pct"/>
            <w:shd w:val="clear" w:color="auto" w:fill="auto"/>
          </w:tcPr>
          <w:p w:rsidR="00B04957" w:rsidRPr="0086632E" w:rsidRDefault="00B04957" w:rsidP="0086632E">
            <w:pPr>
              <w:pStyle w:val="142"/>
              <w:rPr>
                <w:rFonts w:hint="eastAsia"/>
                <w:sz w:val="22"/>
                <w:szCs w:val="22"/>
              </w:rPr>
            </w:pPr>
            <w:r w:rsidRPr="0086632E">
              <w:rPr>
                <w:rFonts w:hint="eastAsia"/>
                <w:sz w:val="22"/>
                <w:szCs w:val="22"/>
              </w:rPr>
              <w:t>-0.4%；否</w:t>
            </w:r>
          </w:p>
        </w:tc>
      </w:tr>
    </w:tbl>
    <w:p w:rsidR="00DA4E61" w:rsidRPr="00D9313C" w:rsidRDefault="00DA4E61" w:rsidP="00243EAC">
      <w:pPr>
        <w:spacing w:line="280" w:lineRule="exact"/>
        <w:ind w:leftChars="0" w:left="0" w:firstLineChars="0" w:firstLine="0"/>
        <w:jc w:val="left"/>
        <w:rPr>
          <w:rFonts w:hAnsi="標楷體" w:hint="eastAsia"/>
          <w:sz w:val="24"/>
        </w:rPr>
      </w:pPr>
      <w:r w:rsidRPr="00D9313C">
        <w:rPr>
          <w:rFonts w:hAnsi="標楷體" w:hint="eastAsia"/>
          <w:sz w:val="24"/>
        </w:rPr>
        <w:t>資料來源：</w:t>
      </w:r>
      <w:r w:rsidR="00B04957">
        <w:rPr>
          <w:rFonts w:hAnsi="標楷體" w:hint="eastAsia"/>
          <w:sz w:val="24"/>
        </w:rPr>
        <w:t>整理自央行資料</w:t>
      </w:r>
      <w:r w:rsidRPr="00D9313C">
        <w:rPr>
          <w:rFonts w:hAnsi="標楷體" w:hint="eastAsia"/>
          <w:sz w:val="24"/>
        </w:rPr>
        <w:t>。</w:t>
      </w:r>
    </w:p>
    <w:p w:rsidR="00715301" w:rsidRDefault="00B135DB" w:rsidP="00B9366D">
      <w:pPr>
        <w:pStyle w:val="21"/>
        <w:ind w:left="850" w:firstLine="566"/>
        <w:rPr>
          <w:rFonts w:hAnsi="標楷體"/>
        </w:rPr>
      </w:pPr>
      <w:r>
        <w:rPr>
          <w:rFonts w:hAnsi="標楷體" w:hint="eastAsia"/>
        </w:rPr>
        <w:t>揆以我國列為匯率操縱國觀察名單因素，</w:t>
      </w:r>
      <w:r w:rsidR="00715301" w:rsidRPr="00715301">
        <w:rPr>
          <w:rFonts w:hAnsi="標楷體" w:hint="eastAsia"/>
        </w:rPr>
        <w:t>2020年受美國</w:t>
      </w:r>
      <w:r>
        <w:rPr>
          <w:rFonts w:hAnsi="標楷體" w:hint="eastAsia"/>
        </w:rPr>
        <w:t>疫情期間採取寬鬆貨幣政策影響</w:t>
      </w:r>
      <w:r w:rsidR="00715301" w:rsidRPr="00715301">
        <w:rPr>
          <w:rFonts w:hAnsi="標楷體" w:hint="eastAsia"/>
        </w:rPr>
        <w:t>，美元資金大量流入，致國內匯市供需嚴重失衡，央行為避免國內匯市嚴重失序，進一步造成</w:t>
      </w:r>
      <w:r w:rsidR="00715301" w:rsidRPr="00715301">
        <w:rPr>
          <w:rFonts w:hAnsi="標楷體" w:hint="eastAsia"/>
        </w:rPr>
        <w:lastRenderedPageBreak/>
        <w:t>金融不穩定且外溢至實體經濟面，爰加大匯市調節力道，致我國淨買匯金額對GDP比率逾2%，</w:t>
      </w:r>
      <w:r w:rsidRPr="00715301">
        <w:rPr>
          <w:rFonts w:hAnsi="標楷體" w:hint="eastAsia"/>
        </w:rPr>
        <w:t>於2021年4月及12月匯率報告</w:t>
      </w:r>
      <w:r>
        <w:rPr>
          <w:rFonts w:hAnsi="標楷體" w:hint="eastAsia"/>
        </w:rPr>
        <w:t>觸及檢視標準</w:t>
      </w:r>
      <w:r w:rsidR="00715301" w:rsidRPr="00715301">
        <w:rPr>
          <w:rFonts w:hAnsi="標楷體" w:hint="eastAsia"/>
        </w:rPr>
        <w:t>，餘各次列入匯率操縱國觀察名單皆因美對臺科技產品需求劇增及長期以來我國國內超額儲蓄等因素</w:t>
      </w:r>
      <w:r w:rsidR="0039539D">
        <w:rPr>
          <w:rFonts w:hAnsi="標楷體" w:hint="eastAsia"/>
        </w:rPr>
        <w:t>所致</w:t>
      </w:r>
      <w:r w:rsidR="00715301" w:rsidRPr="00715301">
        <w:rPr>
          <w:rFonts w:hAnsi="標楷體" w:hint="eastAsia"/>
        </w:rPr>
        <w:t>。</w:t>
      </w:r>
    </w:p>
    <w:p w:rsidR="00740048" w:rsidRPr="00AB3E8C" w:rsidRDefault="00900713" w:rsidP="00900713">
      <w:pPr>
        <w:pStyle w:val="a4"/>
        <w:rPr>
          <w:rFonts w:hint="eastAsia"/>
          <w:b/>
        </w:rPr>
      </w:pPr>
      <w:r w:rsidRPr="00AB3E8C">
        <w:rPr>
          <w:rFonts w:hint="eastAsia"/>
          <w:b/>
        </w:rPr>
        <w:t>(二)</w:t>
      </w:r>
      <w:r w:rsidR="0039539D" w:rsidRPr="00AB3E8C">
        <w:rPr>
          <w:rFonts w:hint="eastAsia"/>
          <w:b/>
        </w:rPr>
        <w:t>為鞏固產業競爭優勢，允宜賡續追蹤並保持良性溝通</w:t>
      </w:r>
    </w:p>
    <w:p w:rsidR="00B329A0" w:rsidRDefault="00C52BE1" w:rsidP="009D13BE">
      <w:pPr>
        <w:pStyle w:val="21"/>
        <w:ind w:left="850" w:firstLine="566"/>
        <w:rPr>
          <w:rFonts w:hAnsi="標楷體"/>
        </w:rPr>
      </w:pPr>
      <w:r>
        <w:rPr>
          <w:rFonts w:hAnsi="標楷體" w:hint="eastAsia"/>
        </w:rPr>
        <w:t>我國自2022年11月後皆未觸及第3項檢視標準</w:t>
      </w:r>
      <w:r w:rsidR="0039539D">
        <w:rPr>
          <w:rFonts w:hAnsi="標楷體" w:hint="eastAsia"/>
        </w:rPr>
        <w:t>(詳表1)，</w:t>
      </w:r>
      <w:r>
        <w:rPr>
          <w:rFonts w:hAnsi="標楷體" w:hint="eastAsia"/>
        </w:rPr>
        <w:t>惟如被列入匯率操縱國或觀察名單，</w:t>
      </w:r>
      <w:r w:rsidR="00243EAC">
        <w:rPr>
          <w:rFonts w:hAnsi="標楷體" w:hint="eastAsia"/>
        </w:rPr>
        <w:t>美國</w:t>
      </w:r>
      <w:r>
        <w:rPr>
          <w:rFonts w:hAnsi="標楷體" w:hint="eastAsia"/>
        </w:rPr>
        <w:t>將要求對手國改善或採行懲罰措施，</w:t>
      </w:r>
      <w:r w:rsidR="00E53D72">
        <w:rPr>
          <w:rFonts w:hAnsi="標楷體" w:hint="eastAsia"/>
        </w:rPr>
        <w:t>並可能限縮該國央行</w:t>
      </w:r>
      <w:r w:rsidR="00FF3F2A">
        <w:rPr>
          <w:rFonts w:hAnsi="標楷體" w:hint="eastAsia"/>
        </w:rPr>
        <w:t>部分</w:t>
      </w:r>
      <w:r w:rsidR="00E53D72">
        <w:rPr>
          <w:rFonts w:hAnsi="標楷體" w:hint="eastAsia"/>
        </w:rPr>
        <w:t>調節匯市空間，</w:t>
      </w:r>
      <w:r>
        <w:rPr>
          <w:rFonts w:hAnsi="標楷體" w:hint="eastAsia"/>
        </w:rPr>
        <w:t>對貨</w:t>
      </w:r>
      <w:r>
        <w:rPr>
          <w:rFonts w:hAnsi="標楷體" w:hint="eastAsia"/>
        </w:rPr>
        <w:lastRenderedPageBreak/>
        <w:t>幣匯率、對美貿易及經濟造成重大影響，</w:t>
      </w:r>
      <w:r w:rsidR="00B329A0">
        <w:rPr>
          <w:rFonts w:hAnsi="標楷體" w:hint="eastAsia"/>
        </w:rPr>
        <w:t>舉例如下：</w:t>
      </w:r>
    </w:p>
    <w:p w:rsidR="00B329A0" w:rsidRPr="00A45DA7" w:rsidRDefault="00B329A0" w:rsidP="00A45DA7">
      <w:pPr>
        <w:pStyle w:val="123"/>
      </w:pPr>
      <w:r w:rsidRPr="00A45DA7">
        <w:t>1.</w:t>
      </w:r>
      <w:r w:rsidR="00C52BE1" w:rsidRPr="00A45DA7">
        <w:rPr>
          <w:rFonts w:hint="eastAsia"/>
        </w:rPr>
        <w:t>我國於</w:t>
      </w:r>
      <w:r w:rsidR="00C52BE1" w:rsidRPr="00A45DA7">
        <w:rPr>
          <w:rFonts w:hint="eastAsia"/>
        </w:rPr>
        <w:t>1988</w:t>
      </w:r>
      <w:r w:rsidR="00C52BE1" w:rsidRPr="00A45DA7">
        <w:rPr>
          <w:rFonts w:hint="eastAsia"/>
        </w:rPr>
        <w:t>至</w:t>
      </w:r>
      <w:r w:rsidR="00C52BE1" w:rsidRPr="00A45DA7">
        <w:rPr>
          <w:rFonts w:hint="eastAsia"/>
        </w:rPr>
        <w:t>1992</w:t>
      </w:r>
      <w:r w:rsidR="00C52BE1" w:rsidRPr="00A45DA7">
        <w:rPr>
          <w:rFonts w:hint="eastAsia"/>
        </w:rPr>
        <w:t>年間</w:t>
      </w:r>
      <w:r w:rsidR="00C52BE1" w:rsidRPr="00A45DA7">
        <w:rPr>
          <w:rFonts w:hint="eastAsia"/>
        </w:rPr>
        <w:t>4</w:t>
      </w:r>
      <w:r w:rsidR="00C52BE1" w:rsidRPr="00A45DA7">
        <w:rPr>
          <w:rFonts w:hint="eastAsia"/>
        </w:rPr>
        <w:t>度被列為匯率操縱國，承受美方雙邊貿易談判壓力，</w:t>
      </w:r>
      <w:r w:rsidR="009150D0" w:rsidRPr="00A45DA7">
        <w:rPr>
          <w:rFonts w:hint="eastAsia"/>
        </w:rPr>
        <w:t>迫使新臺幣升值而加速產業外移，經貿結構劇烈調整</w:t>
      </w:r>
      <w:r w:rsidR="00E53D72" w:rsidRPr="00A45DA7">
        <w:rPr>
          <w:rFonts w:hint="eastAsia"/>
        </w:rPr>
        <w:t>。</w:t>
      </w:r>
    </w:p>
    <w:p w:rsidR="00B329A0" w:rsidRPr="00A45DA7" w:rsidRDefault="00E53D72" w:rsidP="00A45DA7">
      <w:pPr>
        <w:pStyle w:val="123"/>
      </w:pPr>
      <w:r w:rsidRPr="00A45DA7">
        <w:rPr>
          <w:rFonts w:hint="eastAsia"/>
        </w:rPr>
        <w:t>2</w:t>
      </w:r>
      <w:r w:rsidRPr="00A45DA7">
        <w:t>.</w:t>
      </w:r>
      <w:r w:rsidR="009150D0" w:rsidRPr="00A45DA7">
        <w:rPr>
          <w:rFonts w:hint="eastAsia"/>
        </w:rPr>
        <w:t>2019</w:t>
      </w:r>
      <w:r w:rsidR="009150D0" w:rsidRPr="00A45DA7">
        <w:rPr>
          <w:rFonts w:hint="eastAsia"/>
        </w:rPr>
        <w:t>年</w:t>
      </w:r>
      <w:r w:rsidR="009150D0" w:rsidRPr="00A45DA7">
        <w:rPr>
          <w:rFonts w:hint="eastAsia"/>
        </w:rPr>
        <w:t>8</w:t>
      </w:r>
      <w:r w:rsidR="009150D0" w:rsidRPr="00A45DA7">
        <w:rPr>
          <w:rFonts w:hint="eastAsia"/>
        </w:rPr>
        <w:t>月中國大陸被列為匯率操縱國，被迫加大對美採購以縮減對美貿易順差</w:t>
      </w:r>
      <w:r w:rsidRPr="00A45DA7">
        <w:rPr>
          <w:rFonts w:hint="eastAsia"/>
        </w:rPr>
        <w:t>。</w:t>
      </w:r>
    </w:p>
    <w:p w:rsidR="00900713" w:rsidRPr="00A45DA7" w:rsidRDefault="00E53D72" w:rsidP="00A45DA7">
      <w:pPr>
        <w:pStyle w:val="123"/>
      </w:pPr>
      <w:r w:rsidRPr="00A45DA7">
        <w:t>3.</w:t>
      </w:r>
      <w:r w:rsidR="009150D0" w:rsidRPr="00A45DA7">
        <w:rPr>
          <w:rFonts w:hint="eastAsia"/>
        </w:rPr>
        <w:t>2020</w:t>
      </w:r>
      <w:r w:rsidR="009150D0" w:rsidRPr="00A45DA7">
        <w:rPr>
          <w:rFonts w:hint="eastAsia"/>
        </w:rPr>
        <w:t>年</w:t>
      </w:r>
      <w:r w:rsidR="009150D0" w:rsidRPr="00A45DA7">
        <w:rPr>
          <w:rFonts w:hint="eastAsia"/>
        </w:rPr>
        <w:t>12</w:t>
      </w:r>
      <w:r w:rsidR="009150D0" w:rsidRPr="00A45DA7">
        <w:rPr>
          <w:rFonts w:hint="eastAsia"/>
        </w:rPr>
        <w:t>月瑞士及越南被列為匯率操縱國，</w:t>
      </w:r>
      <w:r w:rsidR="00A87F1E" w:rsidRPr="00A45DA7">
        <w:rPr>
          <w:rFonts w:hint="eastAsia"/>
        </w:rPr>
        <w:t>以</w:t>
      </w:r>
      <w:r w:rsidR="009150D0" w:rsidRPr="00A45DA7">
        <w:rPr>
          <w:rFonts w:hint="eastAsia"/>
        </w:rPr>
        <w:t>雙邊諮商要求改善，</w:t>
      </w:r>
      <w:r w:rsidR="009150D0" w:rsidRPr="00A45DA7">
        <w:rPr>
          <w:rFonts w:hint="eastAsia"/>
        </w:rPr>
        <w:t>1</w:t>
      </w:r>
      <w:r w:rsidR="009150D0" w:rsidRPr="00A45DA7">
        <w:rPr>
          <w:rFonts w:hint="eastAsia"/>
        </w:rPr>
        <w:t>年觀察期，限縮該國取得美國官方融通資金、限制參與美國政府採購標案</w:t>
      </w:r>
      <w:r w:rsidR="00A87F1E" w:rsidRPr="00A45DA7">
        <w:rPr>
          <w:rFonts w:hint="eastAsia"/>
        </w:rPr>
        <w:t>及啟動貿易諮商或貿易協定之懲罰措施等</w:t>
      </w:r>
      <w:r w:rsidR="009150D0" w:rsidRPr="00A45DA7">
        <w:rPr>
          <w:rFonts w:hint="eastAsia"/>
        </w:rPr>
        <w:t>3</w:t>
      </w:r>
      <w:r w:rsidR="009150D0" w:rsidRPr="00A45DA7">
        <w:rPr>
          <w:rFonts w:hint="eastAsia"/>
        </w:rPr>
        <w:t>階段要求改善</w:t>
      </w:r>
      <w:r w:rsidR="00A87F1E" w:rsidRPr="00A45DA7">
        <w:rPr>
          <w:rFonts w:hint="eastAsia"/>
        </w:rPr>
        <w:t>。</w:t>
      </w:r>
    </w:p>
    <w:p w:rsidR="00155FD1" w:rsidRDefault="00A87F1E" w:rsidP="009D13BE">
      <w:pPr>
        <w:pStyle w:val="21"/>
        <w:ind w:left="850" w:firstLine="566"/>
        <w:rPr>
          <w:rFonts w:hAnsi="標楷體" w:hint="eastAsia"/>
        </w:rPr>
      </w:pPr>
      <w:r>
        <w:rPr>
          <w:rFonts w:hAnsi="標楷體" w:hint="eastAsia"/>
        </w:rPr>
        <w:t>我國為出口導向</w:t>
      </w:r>
      <w:r w:rsidR="00AB3E8C">
        <w:rPr>
          <w:rFonts w:hAnsi="標楷體" w:hint="eastAsia"/>
        </w:rPr>
        <w:t>國家</w:t>
      </w:r>
      <w:r>
        <w:rPr>
          <w:rFonts w:hAnsi="標楷體" w:hint="eastAsia"/>
        </w:rPr>
        <w:t>，</w:t>
      </w:r>
      <w:r w:rsidR="006642B8" w:rsidRPr="006642B8">
        <w:rPr>
          <w:rFonts w:hAnsi="標楷體" w:hint="eastAsia"/>
        </w:rPr>
        <w:t>出口減少將使經濟成長率下降，</w:t>
      </w:r>
      <w:r w:rsidRPr="00A87F1E">
        <w:rPr>
          <w:rFonts w:hAnsi="標楷體" w:hint="eastAsia"/>
        </w:rPr>
        <w:t>對外貿易之榮枯關係經濟發展命脈</w:t>
      </w:r>
      <w:r w:rsidR="00AB3E8C">
        <w:rPr>
          <w:rFonts w:hAnsi="標楷體" w:hint="eastAsia"/>
        </w:rPr>
        <w:t>，</w:t>
      </w:r>
      <w:r w:rsidR="00E63897" w:rsidRPr="00E63897">
        <w:rPr>
          <w:rFonts w:hAnsi="標楷體" w:hint="eastAsia"/>
        </w:rPr>
        <w:t>112年度我國對美國出口連續7年正成長，出口金額達762億美元(增幅1.6%)，為第3大出口</w:t>
      </w:r>
      <w:r w:rsidR="007E66AE">
        <w:rPr>
          <w:rFonts w:hAnsi="標楷體" w:hint="eastAsia"/>
        </w:rPr>
        <w:t>市場</w:t>
      </w:r>
      <w:r w:rsidR="00E63897">
        <w:rPr>
          <w:rStyle w:val="af1"/>
          <w:rFonts w:hAnsi="標楷體"/>
        </w:rPr>
        <w:footnoteReference w:id="2"/>
      </w:r>
      <w:r w:rsidR="00E63897">
        <w:rPr>
          <w:rFonts w:hAnsi="標楷體" w:hint="eastAsia"/>
        </w:rPr>
        <w:t>，</w:t>
      </w:r>
      <w:r w:rsidR="002775D4">
        <w:rPr>
          <w:rFonts w:hAnsi="標楷體" w:hint="eastAsia"/>
        </w:rPr>
        <w:t>乃</w:t>
      </w:r>
      <w:r w:rsidR="00E63897">
        <w:rPr>
          <w:rFonts w:hAnsi="標楷體" w:hint="eastAsia"/>
        </w:rPr>
        <w:t>近年來</w:t>
      </w:r>
      <w:r w:rsidR="00E63897" w:rsidRPr="00E63897">
        <w:rPr>
          <w:rFonts w:hAnsi="標楷體" w:hint="eastAsia"/>
        </w:rPr>
        <w:t>受惠於美中貿易及科技爭端、美國強化資安防護及新冠肺炎疫情等因素，</w:t>
      </w:r>
      <w:r w:rsidR="00F04348">
        <w:rPr>
          <w:rFonts w:hAnsi="標楷體" w:hint="eastAsia"/>
        </w:rPr>
        <w:t>美對我</w:t>
      </w:r>
      <w:r w:rsidR="00E63897" w:rsidRPr="00E63897">
        <w:rPr>
          <w:rFonts w:hAnsi="標楷體" w:hint="eastAsia"/>
        </w:rPr>
        <w:t>科技產品需求增加</w:t>
      </w:r>
      <w:r w:rsidR="00A62399">
        <w:rPr>
          <w:rFonts w:hAnsi="標楷體" w:hint="eastAsia"/>
        </w:rPr>
        <w:t>所致</w:t>
      </w:r>
      <w:r w:rsidR="002164F6">
        <w:rPr>
          <w:rFonts w:hAnsi="標楷體" w:hint="eastAsia"/>
        </w:rPr>
        <w:t>，</w:t>
      </w:r>
      <w:r w:rsidR="00A62399">
        <w:rPr>
          <w:rFonts w:hAnsi="標楷體" w:hint="eastAsia"/>
        </w:rPr>
        <w:t>爰</w:t>
      </w:r>
      <w:r w:rsidR="00F04348">
        <w:rPr>
          <w:rFonts w:hAnsi="標楷體" w:hint="eastAsia"/>
        </w:rPr>
        <w:t>須</w:t>
      </w:r>
      <w:r w:rsidR="00A936F8">
        <w:rPr>
          <w:rFonts w:hAnsi="標楷體" w:hint="eastAsia"/>
        </w:rPr>
        <w:t>維持</w:t>
      </w:r>
      <w:r w:rsidR="00155FD1">
        <w:rPr>
          <w:rFonts w:hAnsi="標楷體" w:hint="eastAsia"/>
        </w:rPr>
        <w:t>良好貿易關係</w:t>
      </w:r>
      <w:r w:rsidR="002164F6">
        <w:rPr>
          <w:rFonts w:hAnsi="標楷體" w:hint="eastAsia"/>
        </w:rPr>
        <w:t>，</w:t>
      </w:r>
      <w:r w:rsidR="00F04348">
        <w:rPr>
          <w:rFonts w:hAnsi="標楷體" w:hint="eastAsia"/>
        </w:rPr>
        <w:t>俾利</w:t>
      </w:r>
      <w:r w:rsidR="002164F6">
        <w:rPr>
          <w:rFonts w:hAnsi="標楷體" w:hint="eastAsia"/>
        </w:rPr>
        <w:t>產業深根臺灣</w:t>
      </w:r>
      <w:r w:rsidR="00F04348">
        <w:rPr>
          <w:rFonts w:hAnsi="標楷體" w:hint="eastAsia"/>
        </w:rPr>
        <w:t>發展</w:t>
      </w:r>
      <w:r w:rsidR="00A936F8">
        <w:rPr>
          <w:rFonts w:hAnsi="標楷體" w:hint="eastAsia"/>
        </w:rPr>
        <w:t>；</w:t>
      </w:r>
      <w:r w:rsidR="00095600">
        <w:rPr>
          <w:rFonts w:hAnsi="標楷體" w:hint="eastAsia"/>
        </w:rPr>
        <w:t>又新臺幣匯率雖由外匯市場供需決定，</w:t>
      </w:r>
      <w:r w:rsidR="002164F6">
        <w:rPr>
          <w:rFonts w:hAnsi="標楷體" w:hint="eastAsia"/>
        </w:rPr>
        <w:t>惟短期資金大量進出與季節因素導</w:t>
      </w:r>
      <w:r w:rsidR="002164F6">
        <w:rPr>
          <w:rFonts w:hAnsi="標楷體" w:hint="eastAsia"/>
        </w:rPr>
        <w:lastRenderedPageBreak/>
        <w:t>致匯率波動或失序時，央行仍須維持市場秩序，以穩定經濟金融</w:t>
      </w:r>
      <w:r w:rsidR="00F04348">
        <w:rPr>
          <w:rFonts w:hAnsi="標楷體" w:hint="eastAsia"/>
        </w:rPr>
        <w:t>。</w:t>
      </w:r>
      <w:r w:rsidR="002164F6">
        <w:rPr>
          <w:rFonts w:hAnsi="標楷體" w:hint="eastAsia"/>
        </w:rPr>
        <w:t>據央行表示</w:t>
      </w:r>
      <w:r w:rsidR="00884878">
        <w:rPr>
          <w:rFonts w:hAnsi="標楷體" w:hint="eastAsia"/>
        </w:rPr>
        <w:t>經我方持續向美方溝通</w:t>
      </w:r>
      <w:r w:rsidR="002164F6">
        <w:rPr>
          <w:rFonts w:hAnsi="標楷體" w:hint="eastAsia"/>
        </w:rPr>
        <w:t>，尚能得美方理解，為</w:t>
      </w:r>
      <w:r w:rsidR="00F04348">
        <w:rPr>
          <w:rFonts w:hAnsi="標楷體" w:hint="eastAsia"/>
        </w:rPr>
        <w:t>鞏固產業競爭優勢，允宜賡續追蹤並維持良性溝通。</w:t>
      </w:r>
    </w:p>
    <w:p w:rsidR="004E7CF5" w:rsidRDefault="004E7CF5" w:rsidP="004E7CF5">
      <w:pPr>
        <w:ind w:left="566" w:firstLine="566"/>
        <w:rPr>
          <w:rFonts w:hAnsi="標楷體"/>
        </w:rPr>
      </w:pPr>
      <w:r w:rsidRPr="00507BD2">
        <w:rPr>
          <w:rFonts w:hAnsi="標楷體" w:hint="eastAsia"/>
        </w:rPr>
        <w:t>綜上，</w:t>
      </w:r>
      <w:r w:rsidR="0099758C" w:rsidRPr="0099758C">
        <w:rPr>
          <w:rFonts w:hAnsi="標楷體" w:hint="eastAsia"/>
        </w:rPr>
        <w:t>美國</w:t>
      </w:r>
      <w:r w:rsidR="0099758C">
        <w:rPr>
          <w:rFonts w:hAnsi="標楷體" w:hint="eastAsia"/>
        </w:rPr>
        <w:t>財政部</w:t>
      </w:r>
      <w:r w:rsidR="0099758C" w:rsidRPr="0099758C">
        <w:rPr>
          <w:rFonts w:hAnsi="標楷體" w:hint="eastAsia"/>
        </w:rPr>
        <w:t>每半年向國會提交「</w:t>
      </w:r>
      <w:r w:rsidR="00A62399">
        <w:rPr>
          <w:rFonts w:hAnsi="標楷體" w:hint="eastAsia"/>
        </w:rPr>
        <w:t>外匯政策報告</w:t>
      </w:r>
      <w:r w:rsidR="0099758C" w:rsidRPr="0099758C">
        <w:rPr>
          <w:rFonts w:hAnsi="標楷體" w:hint="eastAsia"/>
        </w:rPr>
        <w:t>」</w:t>
      </w:r>
      <w:r w:rsidR="00585329">
        <w:rPr>
          <w:rFonts w:hAnsi="標楷體" w:hint="eastAsia"/>
        </w:rPr>
        <w:t>作為判斷不公平貿易之準據</w:t>
      </w:r>
      <w:r w:rsidR="0099758C">
        <w:rPr>
          <w:rFonts w:hAnsi="標楷體" w:hint="eastAsia"/>
        </w:rPr>
        <w:t>，</w:t>
      </w:r>
      <w:r w:rsidR="007E66AE">
        <w:rPr>
          <w:rFonts w:hAnsi="標楷體" w:hint="eastAsia"/>
        </w:rPr>
        <w:t>列為匯率操縱國將</w:t>
      </w:r>
      <w:r w:rsidR="00A66E4C">
        <w:rPr>
          <w:rFonts w:hAnsi="標楷體" w:hint="eastAsia"/>
        </w:rPr>
        <w:t>被</w:t>
      </w:r>
      <w:r w:rsidR="007E66AE">
        <w:rPr>
          <w:rFonts w:hAnsi="標楷體" w:hint="eastAsia"/>
        </w:rPr>
        <w:t>要求改善或採行懲罰措施，</w:t>
      </w:r>
      <w:r w:rsidR="00B329A0">
        <w:rPr>
          <w:rFonts w:hAnsi="標楷體" w:hint="eastAsia"/>
        </w:rPr>
        <w:t>恐有礙貿易往來及匯率調節，</w:t>
      </w:r>
      <w:r w:rsidR="00243EAC">
        <w:rPr>
          <w:rFonts w:hAnsi="標楷體" w:hint="eastAsia"/>
        </w:rPr>
        <w:t>不利產業深根發展，</w:t>
      </w:r>
      <w:r w:rsidR="0099758C">
        <w:rPr>
          <w:rFonts w:hAnsi="標楷體" w:hint="eastAsia"/>
        </w:rPr>
        <w:t>我國於2024年6月持續</w:t>
      </w:r>
      <w:r w:rsidR="0099758C" w:rsidRPr="0099758C">
        <w:rPr>
          <w:rFonts w:hAnsi="標楷體" w:hint="eastAsia"/>
        </w:rPr>
        <w:t>被美國列為匯率操縱國觀察名單</w:t>
      </w:r>
      <w:r w:rsidR="00243EAC">
        <w:rPr>
          <w:rFonts w:hAnsi="標楷體" w:hint="eastAsia"/>
        </w:rPr>
        <w:t>，</w:t>
      </w:r>
      <w:r w:rsidR="00297E42">
        <w:rPr>
          <w:rFonts w:hAnsi="標楷體" w:hint="eastAsia"/>
        </w:rPr>
        <w:t>雖</w:t>
      </w:r>
      <w:r w:rsidR="00243EAC">
        <w:rPr>
          <w:rFonts w:hAnsi="標楷體" w:hint="eastAsia"/>
        </w:rPr>
        <w:t>非操縱國</w:t>
      </w:r>
      <w:r w:rsidR="00A66E4C">
        <w:rPr>
          <w:rFonts w:hAnsi="標楷體" w:hint="eastAsia"/>
        </w:rPr>
        <w:t>，惟</w:t>
      </w:r>
      <w:r w:rsidR="007E66AE">
        <w:rPr>
          <w:rFonts w:hAnsi="標楷體" w:hint="eastAsia"/>
        </w:rPr>
        <w:t>美國</w:t>
      </w:r>
      <w:r w:rsidR="00FF3F2A">
        <w:rPr>
          <w:rFonts w:hAnsi="標楷體" w:hint="eastAsia"/>
        </w:rPr>
        <w:t>係</w:t>
      </w:r>
      <w:r w:rsidR="007E66AE">
        <w:rPr>
          <w:rFonts w:hAnsi="標楷體" w:hint="eastAsia"/>
        </w:rPr>
        <w:t>我國</w:t>
      </w:r>
      <w:r w:rsidR="007E66AE" w:rsidRPr="007E66AE">
        <w:rPr>
          <w:rFonts w:hAnsi="標楷體" w:hint="eastAsia"/>
        </w:rPr>
        <w:t>第3大出口市場</w:t>
      </w:r>
      <w:r w:rsidR="007E66AE">
        <w:rPr>
          <w:rFonts w:hAnsi="標楷體" w:hint="eastAsia"/>
        </w:rPr>
        <w:t>，貿易</w:t>
      </w:r>
      <w:r w:rsidR="00E53D72">
        <w:rPr>
          <w:rFonts w:hAnsi="標楷體" w:hint="eastAsia"/>
        </w:rPr>
        <w:t>合作</w:t>
      </w:r>
      <w:r w:rsidR="007E66AE">
        <w:rPr>
          <w:rFonts w:hAnsi="標楷體" w:hint="eastAsia"/>
        </w:rPr>
        <w:t>攸關經濟發展，為</w:t>
      </w:r>
      <w:r w:rsidR="007E66AE">
        <w:rPr>
          <w:rFonts w:hAnsi="標楷體" w:hint="eastAsia"/>
        </w:rPr>
        <w:lastRenderedPageBreak/>
        <w:t>鞏固產業競爭優勢，允宜賡續追蹤並維持良性溝通</w:t>
      </w:r>
      <w:r w:rsidRPr="00507BD2">
        <w:rPr>
          <w:rFonts w:hAnsi="標楷體" w:hint="eastAsia"/>
        </w:rPr>
        <w:t>。</w:t>
      </w:r>
    </w:p>
    <w:bookmarkEnd w:id="1"/>
    <w:bookmarkEnd w:id="2"/>
    <w:bookmarkEnd w:id="3"/>
    <w:bookmarkEnd w:id="4"/>
    <w:sectPr w:rsidR="004E7CF5" w:rsidSect="006515E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AAC" w:rsidRDefault="00627AAC" w:rsidP="00185690">
      <w:pPr>
        <w:ind w:left="560" w:firstLine="560"/>
      </w:pPr>
      <w:r>
        <w:separator/>
      </w:r>
    </w:p>
  </w:endnote>
  <w:endnote w:type="continuationSeparator" w:id="0">
    <w:p w:rsidR="00627AAC" w:rsidRDefault="00627AAC" w:rsidP="00185690">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72196A">
    <w:pPr>
      <w:pStyle w:val="af5"/>
      <w:ind w:leftChars="0" w:left="0" w:firstLineChars="0" w:firstLine="0"/>
      <w:jc w:val="center"/>
    </w:pPr>
    <w:r>
      <w:fldChar w:fldCharType="begin"/>
    </w:r>
    <w:r>
      <w:instrText>PAGE   \* MERGEFORMAT</w:instrText>
    </w:r>
    <w:r>
      <w:fldChar w:fldCharType="separate"/>
    </w:r>
    <w:r w:rsidR="002E3CD5" w:rsidRPr="002E3CD5">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AAC" w:rsidRDefault="00627AAC" w:rsidP="00287DC5">
      <w:pPr>
        <w:ind w:leftChars="210" w:left="588" w:firstLine="560"/>
      </w:pPr>
      <w:r>
        <w:separator/>
      </w:r>
    </w:p>
  </w:footnote>
  <w:footnote w:type="continuationSeparator" w:id="0">
    <w:p w:rsidR="00627AAC" w:rsidRDefault="00627AAC" w:rsidP="00185690">
      <w:pPr>
        <w:ind w:left="560" w:firstLine="560"/>
      </w:pPr>
      <w:r>
        <w:continuationSeparator/>
      </w:r>
    </w:p>
  </w:footnote>
  <w:footnote w:id="1">
    <w:p w:rsidR="00AB477C" w:rsidRDefault="00AB477C" w:rsidP="004332AD">
      <w:pPr>
        <w:pStyle w:val="142"/>
        <w:ind w:left="158" w:hangingChars="65" w:hanging="158"/>
        <w:jc w:val="both"/>
        <w:rPr>
          <w:rFonts w:hint="eastAsia"/>
        </w:rPr>
      </w:pPr>
      <w:r>
        <w:rPr>
          <w:rStyle w:val="af1"/>
        </w:rPr>
        <w:footnoteRef/>
      </w:r>
      <w:r w:rsidRPr="0000590E">
        <w:rPr>
          <w:rFonts w:hint="eastAsia"/>
        </w:rPr>
        <w:t>美國財政部依據</w:t>
      </w:r>
      <w:r>
        <w:rPr>
          <w:rFonts w:hint="eastAsia"/>
        </w:rPr>
        <w:t>「</w:t>
      </w:r>
      <w:r w:rsidRPr="0000590E">
        <w:rPr>
          <w:rFonts w:hint="eastAsia"/>
        </w:rPr>
        <w:t>1988年綜合貿易暨競爭力法</w:t>
      </w:r>
      <w:r>
        <w:rPr>
          <w:rFonts w:hint="eastAsia"/>
        </w:rPr>
        <w:t>」(</w:t>
      </w:r>
      <w:r w:rsidRPr="0000590E">
        <w:rPr>
          <w:rFonts w:hint="eastAsia"/>
        </w:rPr>
        <w:t>OmnibusTrade and Competitiveness Act of 1988</w:t>
      </w:r>
      <w:r>
        <w:rPr>
          <w:rFonts w:hint="eastAsia"/>
        </w:rPr>
        <w:t>)</w:t>
      </w:r>
      <w:r w:rsidRPr="0000590E">
        <w:rPr>
          <w:rFonts w:hint="eastAsia"/>
        </w:rPr>
        <w:t>及「貿易便捷化暨執行法」</w:t>
      </w:r>
      <w:r>
        <w:rPr>
          <w:rFonts w:hint="eastAsia"/>
        </w:rPr>
        <w:t>(</w:t>
      </w:r>
      <w:r w:rsidRPr="0000590E">
        <w:rPr>
          <w:rFonts w:hint="eastAsia"/>
        </w:rPr>
        <w:t>Trade Facilitation and Trade Enforcement Act of 2015，下稱2015</w:t>
      </w:r>
      <w:r>
        <w:rPr>
          <w:rFonts w:hint="eastAsia"/>
        </w:rPr>
        <w:t>年法案)</w:t>
      </w:r>
      <w:r w:rsidRPr="0000590E">
        <w:rPr>
          <w:rFonts w:hint="eastAsia"/>
        </w:rPr>
        <w:t>規範，每年4月及10月定期向國會提出</w:t>
      </w:r>
      <w:r w:rsidR="00A62399">
        <w:rPr>
          <w:rFonts w:hint="eastAsia"/>
        </w:rPr>
        <w:t>「</w:t>
      </w:r>
      <w:r w:rsidRPr="0000590E">
        <w:rPr>
          <w:rFonts w:hint="eastAsia"/>
        </w:rPr>
        <w:t>外匯政策報告</w:t>
      </w:r>
      <w:r w:rsidR="00A62399">
        <w:rPr>
          <w:rFonts w:hint="eastAsia"/>
        </w:rPr>
        <w:t>」</w:t>
      </w:r>
      <w:r w:rsidRPr="0000590E">
        <w:rPr>
          <w:rFonts w:hint="eastAsia"/>
        </w:rPr>
        <w:t>，評估主要貿易對手國是否操縱匯率。其中，「2015年法案」訂定3項匯率操縱國評斷標準，據以判斷主要貿易國是否藉由匯率政策從事不公平貿易競爭，進而採取拒絕該國取得融資管道或提高商品關稅等制裁措施。</w:t>
      </w:r>
    </w:p>
  </w:footnote>
  <w:footnote w:id="2">
    <w:p w:rsidR="00AB477C" w:rsidRPr="00095600" w:rsidRDefault="00AB477C" w:rsidP="00E63897">
      <w:pPr>
        <w:pStyle w:val="142"/>
        <w:rPr>
          <w:rFonts w:hint="eastAsia"/>
        </w:rPr>
      </w:pPr>
      <w:r>
        <w:rPr>
          <w:rStyle w:val="af1"/>
        </w:rPr>
        <w:footnoteRef/>
      </w:r>
      <w:r>
        <w:rPr>
          <w:rFonts w:hint="eastAsia"/>
        </w:rPr>
        <w:t>財政部統計處「</w:t>
      </w:r>
      <w:r w:rsidRPr="00095600">
        <w:rPr>
          <w:rFonts w:hint="eastAsia"/>
        </w:rPr>
        <w:t>112年我國出進口貿易概況</w:t>
      </w:r>
      <w:r>
        <w:rPr>
          <w:rFonts w:hint="eastAsia"/>
        </w:rPr>
        <w:t>」，113年2月23日。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04483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BEAA72"/>
    <w:lvl w:ilvl="0">
      <w:start w:val="1"/>
      <w:numFmt w:val="bullet"/>
      <w:lvlText w:val=""/>
      <w:lvlJc w:val="left"/>
      <w:pPr>
        <w:tabs>
          <w:tab w:val="num" w:pos="1070"/>
        </w:tabs>
        <w:ind w:leftChars="200" w:left="1070" w:hangingChars="200" w:hanging="360"/>
      </w:pPr>
      <w:rPr>
        <w:rFonts w:ascii="Wingdings" w:hAnsi="Wingdings" w:hint="default"/>
      </w:rPr>
    </w:lvl>
  </w:abstractNum>
  <w:abstractNum w:abstractNumId="1" w15:restartNumberingAfterBreak="0">
    <w:nsid w:val="02081B1D"/>
    <w:multiLevelType w:val="hybridMultilevel"/>
    <w:tmpl w:val="D958963A"/>
    <w:lvl w:ilvl="0" w:tplc="13BA08C0">
      <w:start w:val="4"/>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39178A"/>
    <w:multiLevelType w:val="multilevel"/>
    <w:tmpl w:val="B4F80E62"/>
    <w:lvl w:ilvl="0">
      <w:start w:val="1"/>
      <w:numFmt w:val="taiwaneseCountingThousand"/>
      <w:suff w:val="nothing"/>
      <w:lvlText w:val="%1、"/>
      <w:lvlJc w:val="left"/>
      <w:pPr>
        <w:ind w:left="952" w:hanging="635"/>
      </w:pPr>
      <w:rPr>
        <w:rFonts w:ascii="標楷體" w:eastAsia="標楷體" w:hAnsi="標楷體" w:hint="eastAsia"/>
      </w:rPr>
    </w:lvl>
    <w:lvl w:ilvl="1">
      <w:start w:val="1"/>
      <w:numFmt w:val="taiwaneseCountingThousand"/>
      <w:suff w:val="nothing"/>
      <w:lvlText w:val="(%2)"/>
      <w:lvlJc w:val="left"/>
      <w:pPr>
        <w:ind w:left="1344" w:hanging="635"/>
      </w:pPr>
      <w:rPr>
        <w:rFonts w:ascii="標楷體" w:eastAsia="標楷體" w:hAnsi="標楷體" w:hint="eastAsia"/>
      </w:rPr>
    </w:lvl>
    <w:lvl w:ilvl="2">
      <w:start w:val="1"/>
      <w:numFmt w:val="decimalFullWidth"/>
      <w:suff w:val="nothing"/>
      <w:lvlText w:val="%3、"/>
      <w:lvlJc w:val="left"/>
      <w:pPr>
        <w:ind w:left="1905" w:hanging="635"/>
      </w:pPr>
      <w:rPr>
        <w:rFonts w:ascii="標楷體" w:eastAsia="標楷體" w:hAnsi="標楷體" w:hint="eastAsia"/>
      </w:rPr>
    </w:lvl>
    <w:lvl w:ilvl="3">
      <w:start w:val="1"/>
      <w:numFmt w:val="decimalFullWidth"/>
      <w:suff w:val="nothing"/>
      <w:lvlText w:val="(%4)"/>
      <w:lvlJc w:val="left"/>
      <w:pPr>
        <w:ind w:left="2222" w:hanging="635"/>
      </w:pPr>
      <w:rPr>
        <w:rFonts w:ascii="標楷體" w:eastAsia="標楷體" w:hAnsi="標楷體" w:hint="eastAsia"/>
      </w:rPr>
    </w:lvl>
    <w:lvl w:ilvl="4">
      <w:start w:val="1"/>
      <w:numFmt w:val="ideographTraditional"/>
      <w:suff w:val="nothing"/>
      <w:lvlText w:val="%5、"/>
      <w:lvlJc w:val="left"/>
      <w:pPr>
        <w:ind w:left="2857" w:hanging="635"/>
      </w:pPr>
      <w:rPr>
        <w:rFonts w:ascii="標楷體" w:eastAsia="標楷體" w:hAnsi="標楷體" w:hint="eastAsia"/>
      </w:rPr>
    </w:lvl>
    <w:lvl w:ilvl="5">
      <w:start w:val="1"/>
      <w:numFmt w:val="ideographTraditional"/>
      <w:suff w:val="nothing"/>
      <w:lvlText w:val="(%6)"/>
      <w:lvlJc w:val="left"/>
      <w:pPr>
        <w:ind w:left="3175" w:hanging="635"/>
      </w:pPr>
      <w:rPr>
        <w:rFonts w:ascii="標楷體" w:eastAsia="標楷體" w:hAnsi="標楷體" w:hint="eastAsia"/>
      </w:rPr>
    </w:lvl>
    <w:lvl w:ilvl="6">
      <w:start w:val="1"/>
      <w:numFmt w:val="ideographZodiac"/>
      <w:suff w:val="nothing"/>
      <w:lvlText w:val="%7、"/>
      <w:lvlJc w:val="left"/>
      <w:pPr>
        <w:ind w:left="3810" w:hanging="635"/>
      </w:pPr>
      <w:rPr>
        <w:rFonts w:ascii="標楷體" w:eastAsia="標楷體" w:hAnsi="標楷體" w:hint="eastAsia"/>
      </w:rPr>
    </w:lvl>
    <w:lvl w:ilvl="7">
      <w:start w:val="1"/>
      <w:numFmt w:val="ideographZodiac"/>
      <w:suff w:val="nothing"/>
      <w:lvlText w:val="(%8)"/>
      <w:lvlJc w:val="left"/>
      <w:pPr>
        <w:ind w:left="4127" w:hanging="635"/>
      </w:pPr>
      <w:rPr>
        <w:rFonts w:ascii="標楷體" w:eastAsia="標楷體" w:hAnsi="標楷體" w:hint="eastAsia"/>
      </w:rPr>
    </w:lvl>
    <w:lvl w:ilvl="8">
      <w:start w:val="1"/>
      <w:numFmt w:val="decimalFullWidth"/>
      <w:suff w:val="nothing"/>
      <w:lvlText w:val="%9）"/>
      <w:lvlJc w:val="left"/>
      <w:pPr>
        <w:ind w:left="4762" w:hanging="635"/>
      </w:pPr>
      <w:rPr>
        <w:rFonts w:ascii="標楷體" w:eastAsia="標楷體" w:hAnsi="標楷體" w:hint="eastAsia"/>
      </w:rPr>
    </w:lvl>
  </w:abstractNum>
  <w:abstractNum w:abstractNumId="3" w15:restartNumberingAfterBreak="0">
    <w:nsid w:val="061F0A5F"/>
    <w:multiLevelType w:val="hybridMultilevel"/>
    <w:tmpl w:val="9D8205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7143EC1"/>
    <w:multiLevelType w:val="hybridMultilevel"/>
    <w:tmpl w:val="2DFC68F4"/>
    <w:lvl w:ilvl="0" w:tplc="C89EFC34">
      <w:start w:val="1"/>
      <w:numFmt w:val="decim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AF4285"/>
    <w:multiLevelType w:val="hybridMultilevel"/>
    <w:tmpl w:val="FE4C5620"/>
    <w:lvl w:ilvl="0" w:tplc="03A8BC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6124BC"/>
    <w:multiLevelType w:val="hybridMultilevel"/>
    <w:tmpl w:val="EDD467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0F06164D"/>
    <w:multiLevelType w:val="hybridMultilevel"/>
    <w:tmpl w:val="9C8C2BCC"/>
    <w:lvl w:ilvl="0" w:tplc="5BFE83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4942D7"/>
    <w:multiLevelType w:val="hybridMultilevel"/>
    <w:tmpl w:val="E1CE5088"/>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91336B6"/>
    <w:multiLevelType w:val="hybridMultilevel"/>
    <w:tmpl w:val="5B88DCC2"/>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91C71DD"/>
    <w:multiLevelType w:val="hybridMultilevel"/>
    <w:tmpl w:val="E08884BE"/>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D4359C0"/>
    <w:multiLevelType w:val="hybridMultilevel"/>
    <w:tmpl w:val="D0C2284E"/>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EDB62A1"/>
    <w:multiLevelType w:val="hybridMultilevel"/>
    <w:tmpl w:val="9B488614"/>
    <w:lvl w:ilvl="0" w:tplc="9A622B7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5DC2B78"/>
    <w:multiLevelType w:val="hybridMultilevel"/>
    <w:tmpl w:val="7C589DCA"/>
    <w:lvl w:ilvl="0" w:tplc="97DEBEDC">
      <w:start w:val="1"/>
      <w:numFmt w:val="taiwaneseCountingThousand"/>
      <w:lvlText w:val="%1、"/>
      <w:lvlJc w:val="left"/>
      <w:pPr>
        <w:ind w:left="4406" w:hanging="720"/>
      </w:pPr>
      <w:rPr>
        <w:rFonts w:hint="default"/>
      </w:rPr>
    </w:lvl>
    <w:lvl w:ilvl="1" w:tplc="04090019" w:tentative="1">
      <w:start w:val="1"/>
      <w:numFmt w:val="ideographTraditional"/>
      <w:lvlText w:val="%2、"/>
      <w:lvlJc w:val="left"/>
      <w:pPr>
        <w:ind w:left="4646" w:hanging="480"/>
      </w:pPr>
    </w:lvl>
    <w:lvl w:ilvl="2" w:tplc="0409001B" w:tentative="1">
      <w:start w:val="1"/>
      <w:numFmt w:val="lowerRoman"/>
      <w:lvlText w:val="%3."/>
      <w:lvlJc w:val="right"/>
      <w:pPr>
        <w:ind w:left="5126" w:hanging="480"/>
      </w:pPr>
    </w:lvl>
    <w:lvl w:ilvl="3" w:tplc="0409000F" w:tentative="1">
      <w:start w:val="1"/>
      <w:numFmt w:val="decimal"/>
      <w:lvlText w:val="%4."/>
      <w:lvlJc w:val="left"/>
      <w:pPr>
        <w:ind w:left="5606" w:hanging="480"/>
      </w:pPr>
    </w:lvl>
    <w:lvl w:ilvl="4" w:tplc="04090019" w:tentative="1">
      <w:start w:val="1"/>
      <w:numFmt w:val="ideographTraditional"/>
      <w:lvlText w:val="%5、"/>
      <w:lvlJc w:val="left"/>
      <w:pPr>
        <w:ind w:left="6086" w:hanging="480"/>
      </w:pPr>
    </w:lvl>
    <w:lvl w:ilvl="5" w:tplc="0409001B" w:tentative="1">
      <w:start w:val="1"/>
      <w:numFmt w:val="lowerRoman"/>
      <w:lvlText w:val="%6."/>
      <w:lvlJc w:val="right"/>
      <w:pPr>
        <w:ind w:left="6566" w:hanging="480"/>
      </w:pPr>
    </w:lvl>
    <w:lvl w:ilvl="6" w:tplc="0409000F" w:tentative="1">
      <w:start w:val="1"/>
      <w:numFmt w:val="decimal"/>
      <w:lvlText w:val="%7."/>
      <w:lvlJc w:val="left"/>
      <w:pPr>
        <w:ind w:left="7046" w:hanging="480"/>
      </w:pPr>
    </w:lvl>
    <w:lvl w:ilvl="7" w:tplc="04090019" w:tentative="1">
      <w:start w:val="1"/>
      <w:numFmt w:val="ideographTraditional"/>
      <w:lvlText w:val="%8、"/>
      <w:lvlJc w:val="left"/>
      <w:pPr>
        <w:ind w:left="7526" w:hanging="480"/>
      </w:pPr>
    </w:lvl>
    <w:lvl w:ilvl="8" w:tplc="0409001B" w:tentative="1">
      <w:start w:val="1"/>
      <w:numFmt w:val="lowerRoman"/>
      <w:lvlText w:val="%9."/>
      <w:lvlJc w:val="right"/>
      <w:pPr>
        <w:ind w:left="8006" w:hanging="480"/>
      </w:pPr>
    </w:lvl>
  </w:abstractNum>
  <w:abstractNum w:abstractNumId="14" w15:restartNumberingAfterBreak="0">
    <w:nsid w:val="28B267AB"/>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lvl>
    <w:lvl w:ilvl="2">
      <w:start w:val="1"/>
      <w:numFmt w:val="decimalFullWidth"/>
      <w:suff w:val="nothing"/>
      <w:lvlText w:val="%3、"/>
      <w:lvlJc w:val="left"/>
      <w:pPr>
        <w:ind w:left="1905" w:hanging="635"/>
      </w:pPr>
    </w:lvl>
    <w:lvl w:ilvl="3">
      <w:start w:val="1"/>
      <w:numFmt w:val="decimalFullWidth"/>
      <w:suff w:val="nothing"/>
      <w:lvlText w:val="（%4）"/>
      <w:lvlJc w:val="left"/>
      <w:pPr>
        <w:ind w:left="2540" w:hanging="953"/>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5" w15:restartNumberingAfterBreak="0">
    <w:nsid w:val="28F44752"/>
    <w:multiLevelType w:val="hybridMultilevel"/>
    <w:tmpl w:val="637CE668"/>
    <w:lvl w:ilvl="0" w:tplc="124E7A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EA698C"/>
    <w:multiLevelType w:val="hybridMultilevel"/>
    <w:tmpl w:val="DC704D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30D175E9"/>
    <w:multiLevelType w:val="hybridMultilevel"/>
    <w:tmpl w:val="8F6EF620"/>
    <w:lvl w:ilvl="0" w:tplc="D09CA0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4A72AB9"/>
    <w:multiLevelType w:val="hybridMultilevel"/>
    <w:tmpl w:val="77D22B6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429879AC"/>
    <w:multiLevelType w:val="hybridMultilevel"/>
    <w:tmpl w:val="291EAD9A"/>
    <w:lvl w:ilvl="0" w:tplc="9FA29572">
      <w:start w:val="1"/>
      <w:numFmt w:val="taiwaneseCountingThousand"/>
      <w:lvlText w:val="%1、"/>
      <w:lvlJc w:val="left"/>
      <w:pPr>
        <w:ind w:left="2040" w:hanging="48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20" w15:restartNumberingAfterBreak="0">
    <w:nsid w:val="42CE234A"/>
    <w:multiLevelType w:val="hybridMultilevel"/>
    <w:tmpl w:val="EBB2981C"/>
    <w:lvl w:ilvl="0" w:tplc="15E449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46B7CBC"/>
    <w:multiLevelType w:val="hybridMultilevel"/>
    <w:tmpl w:val="EB8048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5D25AC5"/>
    <w:multiLevelType w:val="hybridMultilevel"/>
    <w:tmpl w:val="1F6256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8D30AE4"/>
    <w:multiLevelType w:val="hybridMultilevel"/>
    <w:tmpl w:val="75F49DAA"/>
    <w:lvl w:ilvl="0" w:tplc="74C4F7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FC3139"/>
    <w:multiLevelType w:val="multilevel"/>
    <w:tmpl w:val="45B6A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850978"/>
    <w:multiLevelType w:val="multilevel"/>
    <w:tmpl w:val="3C305556"/>
    <w:lvl w:ilvl="0">
      <w:start w:val="1"/>
      <w:numFmt w:val="taiwaneseCountingThousand"/>
      <w:suff w:val="nothing"/>
      <w:lvlText w:val="%1、"/>
      <w:lvlJc w:val="left"/>
      <w:pPr>
        <w:ind w:left="1021" w:hanging="704"/>
      </w:pPr>
      <w:rPr>
        <w:rFonts w:ascii="標楷體" w:eastAsia="標楷體" w:hAnsi="標楷體" w:hint="eastAsia"/>
        <w:b w:val="0"/>
      </w:rPr>
    </w:lvl>
    <w:lvl w:ilvl="1">
      <w:start w:val="1"/>
      <w:numFmt w:val="taiwaneseCountingThousand"/>
      <w:suff w:val="nothing"/>
      <w:lvlText w:val="（%2）"/>
      <w:lvlJc w:val="left"/>
      <w:pPr>
        <w:ind w:left="1587" w:hanging="952"/>
      </w:pPr>
      <w:rPr>
        <w:rFonts w:hint="eastAsia"/>
        <w:b w:val="0"/>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6" w15:restartNumberingAfterBreak="0">
    <w:nsid w:val="4B87332F"/>
    <w:multiLevelType w:val="hybridMultilevel"/>
    <w:tmpl w:val="AC7C8D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F926035"/>
    <w:multiLevelType w:val="hybridMultilevel"/>
    <w:tmpl w:val="3A66E74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0713AD1"/>
    <w:multiLevelType w:val="hybridMultilevel"/>
    <w:tmpl w:val="E92840D6"/>
    <w:lvl w:ilvl="0" w:tplc="80387E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B910179"/>
    <w:multiLevelType w:val="hybridMultilevel"/>
    <w:tmpl w:val="D23618A4"/>
    <w:lvl w:ilvl="0" w:tplc="58B46332">
      <w:start w:val="1"/>
      <w:numFmt w:val="taiwaneseCountingThousand"/>
      <w:lvlText w:val="%1、"/>
      <w:lvlJc w:val="left"/>
      <w:pPr>
        <w:ind w:left="768" w:hanging="720"/>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30" w15:restartNumberingAfterBreak="0">
    <w:nsid w:val="5D3629E9"/>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1" w15:restartNumberingAfterBreak="0">
    <w:nsid w:val="5E3146AE"/>
    <w:multiLevelType w:val="hybridMultilevel"/>
    <w:tmpl w:val="92CAC254"/>
    <w:lvl w:ilvl="0" w:tplc="ECCAC3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AC2486"/>
    <w:multiLevelType w:val="hybridMultilevel"/>
    <w:tmpl w:val="25661A7E"/>
    <w:lvl w:ilvl="0" w:tplc="70B071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39E7D4E"/>
    <w:multiLevelType w:val="hybridMultilevel"/>
    <w:tmpl w:val="DAE4F8FE"/>
    <w:lvl w:ilvl="0" w:tplc="AAA2AD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FA5DBE"/>
    <w:multiLevelType w:val="hybridMultilevel"/>
    <w:tmpl w:val="22D0D604"/>
    <w:lvl w:ilvl="0" w:tplc="0CFC7CF2">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C595CF8"/>
    <w:multiLevelType w:val="hybridMultilevel"/>
    <w:tmpl w:val="A866BB2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6D837CBF"/>
    <w:multiLevelType w:val="hybridMultilevel"/>
    <w:tmpl w:val="E08884BE"/>
    <w:lvl w:ilvl="0" w:tplc="9A622B7A">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7" w15:restartNumberingAfterBreak="0">
    <w:nsid w:val="6F736BBB"/>
    <w:multiLevelType w:val="hybridMultilevel"/>
    <w:tmpl w:val="877E7CCC"/>
    <w:lvl w:ilvl="0" w:tplc="59BC1A00">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1F10823"/>
    <w:multiLevelType w:val="hybridMultilevel"/>
    <w:tmpl w:val="1D8A8CD6"/>
    <w:lvl w:ilvl="0" w:tplc="830E30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2613A2A"/>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0" w15:restartNumberingAfterBreak="0">
    <w:nsid w:val="758D7BD3"/>
    <w:multiLevelType w:val="hybridMultilevel"/>
    <w:tmpl w:val="79B481E6"/>
    <w:lvl w:ilvl="0" w:tplc="315AABEE">
      <w:start w:val="1"/>
      <w:numFmt w:val="taiwaneseCountingThousand"/>
      <w:lvlText w:val="(%1)"/>
      <w:lvlJc w:val="left"/>
      <w:pPr>
        <w:ind w:left="1286" w:hanging="720"/>
      </w:pPr>
      <w:rPr>
        <w:rFonts w:ascii="標楷體" w:eastAsia="標楷體"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6BB3015"/>
    <w:multiLevelType w:val="hybridMultilevel"/>
    <w:tmpl w:val="AC607FA4"/>
    <w:lvl w:ilvl="0" w:tplc="04090001">
      <w:start w:val="1"/>
      <w:numFmt w:val="bullet"/>
      <w:lvlText w:val=""/>
      <w:lvlJc w:val="left"/>
      <w:pPr>
        <w:ind w:left="504" w:hanging="480"/>
      </w:pPr>
      <w:rPr>
        <w:rFonts w:ascii="Wingdings" w:hAnsi="Wingdings" w:hint="default"/>
      </w:rPr>
    </w:lvl>
    <w:lvl w:ilvl="1" w:tplc="04090003" w:tentative="1">
      <w:start w:val="1"/>
      <w:numFmt w:val="bullet"/>
      <w:lvlText w:val=""/>
      <w:lvlJc w:val="left"/>
      <w:pPr>
        <w:ind w:left="984" w:hanging="480"/>
      </w:pPr>
      <w:rPr>
        <w:rFonts w:ascii="Wingdings" w:hAnsi="Wingdings" w:hint="default"/>
      </w:rPr>
    </w:lvl>
    <w:lvl w:ilvl="2" w:tplc="04090005" w:tentative="1">
      <w:start w:val="1"/>
      <w:numFmt w:val="bullet"/>
      <w:lvlText w:val=""/>
      <w:lvlJc w:val="left"/>
      <w:pPr>
        <w:ind w:left="1464" w:hanging="480"/>
      </w:pPr>
      <w:rPr>
        <w:rFonts w:ascii="Wingdings" w:hAnsi="Wingdings" w:hint="default"/>
      </w:rPr>
    </w:lvl>
    <w:lvl w:ilvl="3" w:tplc="04090001" w:tentative="1">
      <w:start w:val="1"/>
      <w:numFmt w:val="bullet"/>
      <w:lvlText w:val=""/>
      <w:lvlJc w:val="left"/>
      <w:pPr>
        <w:ind w:left="1944" w:hanging="480"/>
      </w:pPr>
      <w:rPr>
        <w:rFonts w:ascii="Wingdings" w:hAnsi="Wingdings" w:hint="default"/>
      </w:rPr>
    </w:lvl>
    <w:lvl w:ilvl="4" w:tplc="04090003" w:tentative="1">
      <w:start w:val="1"/>
      <w:numFmt w:val="bullet"/>
      <w:lvlText w:val=""/>
      <w:lvlJc w:val="left"/>
      <w:pPr>
        <w:ind w:left="2424" w:hanging="480"/>
      </w:pPr>
      <w:rPr>
        <w:rFonts w:ascii="Wingdings" w:hAnsi="Wingdings" w:hint="default"/>
      </w:rPr>
    </w:lvl>
    <w:lvl w:ilvl="5" w:tplc="04090005" w:tentative="1">
      <w:start w:val="1"/>
      <w:numFmt w:val="bullet"/>
      <w:lvlText w:val=""/>
      <w:lvlJc w:val="left"/>
      <w:pPr>
        <w:ind w:left="2904" w:hanging="480"/>
      </w:pPr>
      <w:rPr>
        <w:rFonts w:ascii="Wingdings" w:hAnsi="Wingdings" w:hint="default"/>
      </w:rPr>
    </w:lvl>
    <w:lvl w:ilvl="6" w:tplc="04090001" w:tentative="1">
      <w:start w:val="1"/>
      <w:numFmt w:val="bullet"/>
      <w:lvlText w:val=""/>
      <w:lvlJc w:val="left"/>
      <w:pPr>
        <w:ind w:left="3384" w:hanging="480"/>
      </w:pPr>
      <w:rPr>
        <w:rFonts w:ascii="Wingdings" w:hAnsi="Wingdings" w:hint="default"/>
      </w:rPr>
    </w:lvl>
    <w:lvl w:ilvl="7" w:tplc="04090003" w:tentative="1">
      <w:start w:val="1"/>
      <w:numFmt w:val="bullet"/>
      <w:lvlText w:val=""/>
      <w:lvlJc w:val="left"/>
      <w:pPr>
        <w:ind w:left="3864" w:hanging="480"/>
      </w:pPr>
      <w:rPr>
        <w:rFonts w:ascii="Wingdings" w:hAnsi="Wingdings" w:hint="default"/>
      </w:rPr>
    </w:lvl>
    <w:lvl w:ilvl="8" w:tplc="04090005" w:tentative="1">
      <w:start w:val="1"/>
      <w:numFmt w:val="bullet"/>
      <w:lvlText w:val=""/>
      <w:lvlJc w:val="left"/>
      <w:pPr>
        <w:ind w:left="4344" w:hanging="480"/>
      </w:pPr>
      <w:rPr>
        <w:rFonts w:ascii="Wingdings" w:hAnsi="Wingdings" w:hint="default"/>
      </w:rPr>
    </w:lvl>
  </w:abstractNum>
  <w:abstractNum w:abstractNumId="42" w15:restartNumberingAfterBreak="0">
    <w:nsid w:val="76BC4AE7"/>
    <w:multiLevelType w:val="hybridMultilevel"/>
    <w:tmpl w:val="266C64BA"/>
    <w:lvl w:ilvl="0" w:tplc="1696BAC0">
      <w:start w:val="1"/>
      <w:numFmt w:val="taiwaneseCountingThousand"/>
      <w:lvlText w:val="%1、"/>
      <w:lvlJc w:val="left"/>
      <w:pPr>
        <w:tabs>
          <w:tab w:val="num" w:pos="1060"/>
        </w:tabs>
        <w:ind w:left="1060" w:hanging="720"/>
      </w:pPr>
      <w:rPr>
        <w:rFonts w:hint="default"/>
      </w:rPr>
    </w:lvl>
    <w:lvl w:ilvl="1" w:tplc="E58A93DC">
      <w:start w:val="1"/>
      <w:numFmt w:val="taiwaneseCountingThousand"/>
      <w:lvlText w:val="（%2）"/>
      <w:lvlJc w:val="left"/>
      <w:pPr>
        <w:tabs>
          <w:tab w:val="num" w:pos="1721"/>
        </w:tabs>
        <w:ind w:left="1721" w:hanging="1361"/>
      </w:pPr>
      <w:rPr>
        <w:rFonts w:hint="eastAsia"/>
      </w:rPr>
    </w:lvl>
    <w:lvl w:ilvl="2" w:tplc="B7E20246">
      <w:start w:val="1"/>
      <w:numFmt w:val="decimal"/>
      <w:lvlText w:val="%3."/>
      <w:lvlJc w:val="left"/>
      <w:pPr>
        <w:tabs>
          <w:tab w:val="num" w:pos="3130"/>
        </w:tabs>
        <w:ind w:left="3130" w:hanging="1830"/>
      </w:pPr>
      <w:rPr>
        <w:rFonts w:hint="default"/>
      </w:rPr>
    </w:lvl>
    <w:lvl w:ilvl="3" w:tplc="AEE86EC0">
      <w:start w:val="1"/>
      <w:numFmt w:val="taiwaneseCountingThousand"/>
      <w:lvlText w:val="(%4)"/>
      <w:lvlJc w:val="left"/>
      <w:pPr>
        <w:tabs>
          <w:tab w:val="num" w:pos="2500"/>
        </w:tabs>
        <w:ind w:left="2500" w:hanging="720"/>
      </w:pPr>
      <w:rPr>
        <w:rFonts w:hint="default"/>
      </w:rPr>
    </w:lvl>
    <w:lvl w:ilvl="4" w:tplc="04090019" w:tentative="1">
      <w:start w:val="1"/>
      <w:numFmt w:val="ideographTraditional"/>
      <w:lvlText w:val="%5、"/>
      <w:lvlJc w:val="left"/>
      <w:pPr>
        <w:tabs>
          <w:tab w:val="num" w:pos="2740"/>
        </w:tabs>
        <w:ind w:left="2740" w:hanging="480"/>
      </w:pPr>
    </w:lvl>
    <w:lvl w:ilvl="5" w:tplc="0409001B" w:tentative="1">
      <w:start w:val="1"/>
      <w:numFmt w:val="lowerRoman"/>
      <w:lvlText w:val="%6."/>
      <w:lvlJc w:val="right"/>
      <w:pPr>
        <w:tabs>
          <w:tab w:val="num" w:pos="3220"/>
        </w:tabs>
        <w:ind w:left="3220" w:hanging="480"/>
      </w:pPr>
    </w:lvl>
    <w:lvl w:ilvl="6" w:tplc="0409000F" w:tentative="1">
      <w:start w:val="1"/>
      <w:numFmt w:val="decimal"/>
      <w:lvlText w:val="%7."/>
      <w:lvlJc w:val="left"/>
      <w:pPr>
        <w:tabs>
          <w:tab w:val="num" w:pos="3700"/>
        </w:tabs>
        <w:ind w:left="3700" w:hanging="480"/>
      </w:pPr>
    </w:lvl>
    <w:lvl w:ilvl="7" w:tplc="04090019" w:tentative="1">
      <w:start w:val="1"/>
      <w:numFmt w:val="ideographTraditional"/>
      <w:lvlText w:val="%8、"/>
      <w:lvlJc w:val="left"/>
      <w:pPr>
        <w:tabs>
          <w:tab w:val="num" w:pos="4180"/>
        </w:tabs>
        <w:ind w:left="4180" w:hanging="480"/>
      </w:pPr>
    </w:lvl>
    <w:lvl w:ilvl="8" w:tplc="0409001B" w:tentative="1">
      <w:start w:val="1"/>
      <w:numFmt w:val="lowerRoman"/>
      <w:lvlText w:val="%9."/>
      <w:lvlJc w:val="right"/>
      <w:pPr>
        <w:tabs>
          <w:tab w:val="num" w:pos="4660"/>
        </w:tabs>
        <w:ind w:left="4660" w:hanging="480"/>
      </w:pPr>
    </w:lvl>
  </w:abstractNum>
  <w:abstractNum w:abstractNumId="43" w15:restartNumberingAfterBreak="0">
    <w:nsid w:val="792B3F09"/>
    <w:multiLevelType w:val="hybridMultilevel"/>
    <w:tmpl w:val="6AF82F3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42"/>
  </w:num>
  <w:num w:numId="2">
    <w:abstractNumId w:val="25"/>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39"/>
  </w:num>
  <w:num w:numId="6">
    <w:abstractNumId w:val="2"/>
  </w:num>
  <w:num w:numId="7">
    <w:abstractNumId w:val="24"/>
  </w:num>
  <w:num w:numId="8">
    <w:abstractNumId w:val="0"/>
  </w:num>
  <w:num w:numId="9">
    <w:abstractNumId w:val="10"/>
  </w:num>
  <w:num w:numId="10">
    <w:abstractNumId w:val="9"/>
  </w:num>
  <w:num w:numId="11">
    <w:abstractNumId w:val="8"/>
  </w:num>
  <w:num w:numId="12">
    <w:abstractNumId w:val="40"/>
  </w:num>
  <w:num w:numId="13">
    <w:abstractNumId w:val="20"/>
  </w:num>
  <w:num w:numId="14">
    <w:abstractNumId w:val="15"/>
  </w:num>
  <w:num w:numId="15">
    <w:abstractNumId w:val="33"/>
  </w:num>
  <w:num w:numId="16">
    <w:abstractNumId w:val="38"/>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4"/>
  </w:num>
  <w:num w:numId="21">
    <w:abstractNumId w:val="17"/>
  </w:num>
  <w:num w:numId="22">
    <w:abstractNumId w:val="34"/>
  </w:num>
  <w:num w:numId="23">
    <w:abstractNumId w:val="1"/>
  </w:num>
  <w:num w:numId="24">
    <w:abstractNumId w:val="37"/>
  </w:num>
  <w:num w:numId="25">
    <w:abstractNumId w:val="22"/>
  </w:num>
  <w:num w:numId="26">
    <w:abstractNumId w:val="21"/>
  </w:num>
  <w:num w:numId="27">
    <w:abstractNumId w:val="19"/>
  </w:num>
  <w:num w:numId="28">
    <w:abstractNumId w:val="43"/>
  </w:num>
  <w:num w:numId="29">
    <w:abstractNumId w:val="6"/>
  </w:num>
  <w:num w:numId="30">
    <w:abstractNumId w:val="3"/>
  </w:num>
  <w:num w:numId="31">
    <w:abstractNumId w:val="18"/>
  </w:num>
  <w:num w:numId="32">
    <w:abstractNumId w:val="23"/>
  </w:num>
  <w:num w:numId="33">
    <w:abstractNumId w:val="31"/>
  </w:num>
  <w:num w:numId="34">
    <w:abstractNumId w:val="7"/>
  </w:num>
  <w:num w:numId="35">
    <w:abstractNumId w:val="28"/>
  </w:num>
  <w:num w:numId="36">
    <w:abstractNumId w:val="29"/>
  </w:num>
  <w:num w:numId="37">
    <w:abstractNumId w:val="13"/>
  </w:num>
  <w:num w:numId="38">
    <w:abstractNumId w:val="32"/>
  </w:num>
  <w:num w:numId="39">
    <w:abstractNumId w:val="5"/>
  </w:num>
  <w:num w:numId="40">
    <w:abstractNumId w:val="11"/>
  </w:num>
  <w:num w:numId="41">
    <w:abstractNumId w:val="35"/>
  </w:num>
  <w:num w:numId="42">
    <w:abstractNumId w:val="27"/>
  </w:num>
  <w:num w:numId="43">
    <w:abstractNumId w:val="16"/>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style="mso-width-relative:margin;mso-height-relative:margin" fillcolor="white">
      <v:fill color="white"/>
      <v:textbox style="layout-flow:vertical-ideographic"/>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15E4"/>
    <w:rsid w:val="00000945"/>
    <w:rsid w:val="00000994"/>
    <w:rsid w:val="00000CD6"/>
    <w:rsid w:val="000015F9"/>
    <w:rsid w:val="00001A25"/>
    <w:rsid w:val="00001DC2"/>
    <w:rsid w:val="000022DB"/>
    <w:rsid w:val="00002379"/>
    <w:rsid w:val="000024C0"/>
    <w:rsid w:val="00002930"/>
    <w:rsid w:val="00002D17"/>
    <w:rsid w:val="00003726"/>
    <w:rsid w:val="00003EE2"/>
    <w:rsid w:val="00004191"/>
    <w:rsid w:val="00004287"/>
    <w:rsid w:val="00004C94"/>
    <w:rsid w:val="0000590E"/>
    <w:rsid w:val="00005A84"/>
    <w:rsid w:val="000060AC"/>
    <w:rsid w:val="0000667A"/>
    <w:rsid w:val="000073EB"/>
    <w:rsid w:val="00007489"/>
    <w:rsid w:val="00007F4D"/>
    <w:rsid w:val="00010274"/>
    <w:rsid w:val="00010CD2"/>
    <w:rsid w:val="00012008"/>
    <w:rsid w:val="00012214"/>
    <w:rsid w:val="000124B5"/>
    <w:rsid w:val="00012837"/>
    <w:rsid w:val="00012A5D"/>
    <w:rsid w:val="00014570"/>
    <w:rsid w:val="00014889"/>
    <w:rsid w:val="00014A00"/>
    <w:rsid w:val="00014B6C"/>
    <w:rsid w:val="00014B8A"/>
    <w:rsid w:val="00014C14"/>
    <w:rsid w:val="000150DF"/>
    <w:rsid w:val="00015547"/>
    <w:rsid w:val="00016032"/>
    <w:rsid w:val="000165ED"/>
    <w:rsid w:val="0001757D"/>
    <w:rsid w:val="00017E79"/>
    <w:rsid w:val="00017FD2"/>
    <w:rsid w:val="00020880"/>
    <w:rsid w:val="000208DA"/>
    <w:rsid w:val="0002136E"/>
    <w:rsid w:val="000215A2"/>
    <w:rsid w:val="0002198E"/>
    <w:rsid w:val="00021A22"/>
    <w:rsid w:val="00021F39"/>
    <w:rsid w:val="0002240F"/>
    <w:rsid w:val="00022500"/>
    <w:rsid w:val="0002272F"/>
    <w:rsid w:val="00022979"/>
    <w:rsid w:val="00022CAB"/>
    <w:rsid w:val="0002358C"/>
    <w:rsid w:val="000236A4"/>
    <w:rsid w:val="000237A0"/>
    <w:rsid w:val="0002387B"/>
    <w:rsid w:val="00023ACF"/>
    <w:rsid w:val="00023E26"/>
    <w:rsid w:val="000241A4"/>
    <w:rsid w:val="000247A6"/>
    <w:rsid w:val="000249A6"/>
    <w:rsid w:val="00024B6C"/>
    <w:rsid w:val="00025403"/>
    <w:rsid w:val="00025990"/>
    <w:rsid w:val="00025E74"/>
    <w:rsid w:val="0002609A"/>
    <w:rsid w:val="000260CC"/>
    <w:rsid w:val="00026C44"/>
    <w:rsid w:val="00026E5B"/>
    <w:rsid w:val="00026FBD"/>
    <w:rsid w:val="00027931"/>
    <w:rsid w:val="00027B3A"/>
    <w:rsid w:val="00027B76"/>
    <w:rsid w:val="000302D3"/>
    <w:rsid w:val="000303B8"/>
    <w:rsid w:val="000308FD"/>
    <w:rsid w:val="00031649"/>
    <w:rsid w:val="00032285"/>
    <w:rsid w:val="000335CD"/>
    <w:rsid w:val="00033AA4"/>
    <w:rsid w:val="00034976"/>
    <w:rsid w:val="00034E3A"/>
    <w:rsid w:val="000351E0"/>
    <w:rsid w:val="00035BAE"/>
    <w:rsid w:val="000360E6"/>
    <w:rsid w:val="000366DC"/>
    <w:rsid w:val="0003726C"/>
    <w:rsid w:val="000373DB"/>
    <w:rsid w:val="0003741B"/>
    <w:rsid w:val="00037ADD"/>
    <w:rsid w:val="00037DB5"/>
    <w:rsid w:val="00040411"/>
    <w:rsid w:val="00041357"/>
    <w:rsid w:val="0004142C"/>
    <w:rsid w:val="00041690"/>
    <w:rsid w:val="00041B57"/>
    <w:rsid w:val="0004205B"/>
    <w:rsid w:val="000421BB"/>
    <w:rsid w:val="00042709"/>
    <w:rsid w:val="000429A7"/>
    <w:rsid w:val="00042E14"/>
    <w:rsid w:val="00042E5E"/>
    <w:rsid w:val="00042E91"/>
    <w:rsid w:val="000433CE"/>
    <w:rsid w:val="00043CC1"/>
    <w:rsid w:val="00044834"/>
    <w:rsid w:val="00044B36"/>
    <w:rsid w:val="00045810"/>
    <w:rsid w:val="000458B2"/>
    <w:rsid w:val="00045AE3"/>
    <w:rsid w:val="00045D64"/>
    <w:rsid w:val="00046EA9"/>
    <w:rsid w:val="000475BA"/>
    <w:rsid w:val="000476FA"/>
    <w:rsid w:val="000477A8"/>
    <w:rsid w:val="00047B19"/>
    <w:rsid w:val="00047D5D"/>
    <w:rsid w:val="00050364"/>
    <w:rsid w:val="000507D8"/>
    <w:rsid w:val="00050B55"/>
    <w:rsid w:val="00050CE6"/>
    <w:rsid w:val="00051E6C"/>
    <w:rsid w:val="0005267C"/>
    <w:rsid w:val="00052A77"/>
    <w:rsid w:val="000535BB"/>
    <w:rsid w:val="00054020"/>
    <w:rsid w:val="00054119"/>
    <w:rsid w:val="000550B9"/>
    <w:rsid w:val="000550EF"/>
    <w:rsid w:val="0005541B"/>
    <w:rsid w:val="000556FF"/>
    <w:rsid w:val="00055F0E"/>
    <w:rsid w:val="000565B8"/>
    <w:rsid w:val="000569F6"/>
    <w:rsid w:val="00057413"/>
    <w:rsid w:val="000574D9"/>
    <w:rsid w:val="000579A0"/>
    <w:rsid w:val="000579C8"/>
    <w:rsid w:val="00057AA8"/>
    <w:rsid w:val="000602B6"/>
    <w:rsid w:val="00060759"/>
    <w:rsid w:val="00060F18"/>
    <w:rsid w:val="000613D8"/>
    <w:rsid w:val="00061E39"/>
    <w:rsid w:val="000623C7"/>
    <w:rsid w:val="00062C1D"/>
    <w:rsid w:val="00062D2E"/>
    <w:rsid w:val="00062E55"/>
    <w:rsid w:val="00062F15"/>
    <w:rsid w:val="00063A6E"/>
    <w:rsid w:val="000653D6"/>
    <w:rsid w:val="0006545B"/>
    <w:rsid w:val="000663FD"/>
    <w:rsid w:val="00066813"/>
    <w:rsid w:val="00066E19"/>
    <w:rsid w:val="0006715F"/>
    <w:rsid w:val="000671CC"/>
    <w:rsid w:val="0006737E"/>
    <w:rsid w:val="00070BBF"/>
    <w:rsid w:val="00071387"/>
    <w:rsid w:val="000717ED"/>
    <w:rsid w:val="000727F7"/>
    <w:rsid w:val="00072D12"/>
    <w:rsid w:val="0007368D"/>
    <w:rsid w:val="00073A04"/>
    <w:rsid w:val="00073C0A"/>
    <w:rsid w:val="000747D9"/>
    <w:rsid w:val="00075579"/>
    <w:rsid w:val="00075BEE"/>
    <w:rsid w:val="00076108"/>
    <w:rsid w:val="00076F8C"/>
    <w:rsid w:val="00080825"/>
    <w:rsid w:val="00080E68"/>
    <w:rsid w:val="00081682"/>
    <w:rsid w:val="0008201C"/>
    <w:rsid w:val="00082DF9"/>
    <w:rsid w:val="000844A0"/>
    <w:rsid w:val="0008521B"/>
    <w:rsid w:val="00085250"/>
    <w:rsid w:val="000854C5"/>
    <w:rsid w:val="0008587D"/>
    <w:rsid w:val="00087035"/>
    <w:rsid w:val="00087DC4"/>
    <w:rsid w:val="00090406"/>
    <w:rsid w:val="00090645"/>
    <w:rsid w:val="00090CC4"/>
    <w:rsid w:val="00091168"/>
    <w:rsid w:val="000913C9"/>
    <w:rsid w:val="00091D0B"/>
    <w:rsid w:val="00092873"/>
    <w:rsid w:val="00092FE9"/>
    <w:rsid w:val="00093F2D"/>
    <w:rsid w:val="00094E23"/>
    <w:rsid w:val="00094F4E"/>
    <w:rsid w:val="000954F1"/>
    <w:rsid w:val="000955F2"/>
    <w:rsid w:val="00095600"/>
    <w:rsid w:val="0009600E"/>
    <w:rsid w:val="00096106"/>
    <w:rsid w:val="000966C2"/>
    <w:rsid w:val="00096F11"/>
    <w:rsid w:val="000979B4"/>
    <w:rsid w:val="00097A7B"/>
    <w:rsid w:val="00097E86"/>
    <w:rsid w:val="00097FBB"/>
    <w:rsid w:val="00097FC0"/>
    <w:rsid w:val="000A083E"/>
    <w:rsid w:val="000A095E"/>
    <w:rsid w:val="000A0C7B"/>
    <w:rsid w:val="000A0FAE"/>
    <w:rsid w:val="000A169C"/>
    <w:rsid w:val="000A1DB5"/>
    <w:rsid w:val="000A267A"/>
    <w:rsid w:val="000A2AFE"/>
    <w:rsid w:val="000A2B00"/>
    <w:rsid w:val="000A33C2"/>
    <w:rsid w:val="000A3C83"/>
    <w:rsid w:val="000A405F"/>
    <w:rsid w:val="000A4105"/>
    <w:rsid w:val="000A42E3"/>
    <w:rsid w:val="000A55BB"/>
    <w:rsid w:val="000A5859"/>
    <w:rsid w:val="000A5907"/>
    <w:rsid w:val="000A596F"/>
    <w:rsid w:val="000A5C33"/>
    <w:rsid w:val="000A5D2C"/>
    <w:rsid w:val="000A6277"/>
    <w:rsid w:val="000A6B9A"/>
    <w:rsid w:val="000A6D4E"/>
    <w:rsid w:val="000A722A"/>
    <w:rsid w:val="000A773C"/>
    <w:rsid w:val="000A77A8"/>
    <w:rsid w:val="000A7CBA"/>
    <w:rsid w:val="000A7F26"/>
    <w:rsid w:val="000B00FC"/>
    <w:rsid w:val="000B0548"/>
    <w:rsid w:val="000B10F9"/>
    <w:rsid w:val="000B1739"/>
    <w:rsid w:val="000B1871"/>
    <w:rsid w:val="000B2A69"/>
    <w:rsid w:val="000B355F"/>
    <w:rsid w:val="000B35A1"/>
    <w:rsid w:val="000B38FC"/>
    <w:rsid w:val="000B3ABF"/>
    <w:rsid w:val="000B42DB"/>
    <w:rsid w:val="000B58C6"/>
    <w:rsid w:val="000B660C"/>
    <w:rsid w:val="000B688C"/>
    <w:rsid w:val="000B6FF7"/>
    <w:rsid w:val="000B733C"/>
    <w:rsid w:val="000B7E71"/>
    <w:rsid w:val="000C1065"/>
    <w:rsid w:val="000C260F"/>
    <w:rsid w:val="000C350F"/>
    <w:rsid w:val="000C351A"/>
    <w:rsid w:val="000C37E9"/>
    <w:rsid w:val="000C45E0"/>
    <w:rsid w:val="000C467F"/>
    <w:rsid w:val="000C471E"/>
    <w:rsid w:val="000C5238"/>
    <w:rsid w:val="000C5797"/>
    <w:rsid w:val="000C5DC8"/>
    <w:rsid w:val="000C5E70"/>
    <w:rsid w:val="000C60AF"/>
    <w:rsid w:val="000C6CB7"/>
    <w:rsid w:val="000C7276"/>
    <w:rsid w:val="000D0524"/>
    <w:rsid w:val="000D0E93"/>
    <w:rsid w:val="000D1147"/>
    <w:rsid w:val="000D3686"/>
    <w:rsid w:val="000D39D7"/>
    <w:rsid w:val="000D3F3E"/>
    <w:rsid w:val="000D4504"/>
    <w:rsid w:val="000D578E"/>
    <w:rsid w:val="000D5AF5"/>
    <w:rsid w:val="000D5D41"/>
    <w:rsid w:val="000D66D2"/>
    <w:rsid w:val="000D6925"/>
    <w:rsid w:val="000D6A6F"/>
    <w:rsid w:val="000D6DA2"/>
    <w:rsid w:val="000D6DBD"/>
    <w:rsid w:val="000D7EDE"/>
    <w:rsid w:val="000D7FD6"/>
    <w:rsid w:val="000E006E"/>
    <w:rsid w:val="000E02F2"/>
    <w:rsid w:val="000E1309"/>
    <w:rsid w:val="000E1895"/>
    <w:rsid w:val="000E1DCB"/>
    <w:rsid w:val="000E1E27"/>
    <w:rsid w:val="000E2257"/>
    <w:rsid w:val="000E25EE"/>
    <w:rsid w:val="000E29C6"/>
    <w:rsid w:val="000E29D3"/>
    <w:rsid w:val="000E3754"/>
    <w:rsid w:val="000E38D9"/>
    <w:rsid w:val="000E3B72"/>
    <w:rsid w:val="000E3CF5"/>
    <w:rsid w:val="000E5225"/>
    <w:rsid w:val="000E529D"/>
    <w:rsid w:val="000E54C5"/>
    <w:rsid w:val="000E55E9"/>
    <w:rsid w:val="000E56BC"/>
    <w:rsid w:val="000E5C30"/>
    <w:rsid w:val="000E5F79"/>
    <w:rsid w:val="000E6093"/>
    <w:rsid w:val="000E6459"/>
    <w:rsid w:val="000E67FF"/>
    <w:rsid w:val="000E6EC6"/>
    <w:rsid w:val="000E7B89"/>
    <w:rsid w:val="000F016F"/>
    <w:rsid w:val="000F10D1"/>
    <w:rsid w:val="000F1541"/>
    <w:rsid w:val="000F18DB"/>
    <w:rsid w:val="000F2538"/>
    <w:rsid w:val="000F26B8"/>
    <w:rsid w:val="000F291F"/>
    <w:rsid w:val="000F2CEA"/>
    <w:rsid w:val="000F2D38"/>
    <w:rsid w:val="000F2FA3"/>
    <w:rsid w:val="000F3CFE"/>
    <w:rsid w:val="000F451A"/>
    <w:rsid w:val="000F45F8"/>
    <w:rsid w:val="000F4770"/>
    <w:rsid w:val="000F484D"/>
    <w:rsid w:val="000F4EFB"/>
    <w:rsid w:val="000F5B9E"/>
    <w:rsid w:val="000F5C15"/>
    <w:rsid w:val="000F5CA6"/>
    <w:rsid w:val="000F6783"/>
    <w:rsid w:val="000F6C2B"/>
    <w:rsid w:val="000F7F5B"/>
    <w:rsid w:val="0010091F"/>
    <w:rsid w:val="00100E17"/>
    <w:rsid w:val="00100F75"/>
    <w:rsid w:val="00100F8D"/>
    <w:rsid w:val="0010176D"/>
    <w:rsid w:val="00101A13"/>
    <w:rsid w:val="00101DB2"/>
    <w:rsid w:val="001027E7"/>
    <w:rsid w:val="00102CF2"/>
    <w:rsid w:val="00103E23"/>
    <w:rsid w:val="00103F04"/>
    <w:rsid w:val="001040EA"/>
    <w:rsid w:val="001045FE"/>
    <w:rsid w:val="00104825"/>
    <w:rsid w:val="00104989"/>
    <w:rsid w:val="00104B35"/>
    <w:rsid w:val="001054F2"/>
    <w:rsid w:val="001056EB"/>
    <w:rsid w:val="001063CA"/>
    <w:rsid w:val="001066D5"/>
    <w:rsid w:val="001068A5"/>
    <w:rsid w:val="001069BD"/>
    <w:rsid w:val="00106B6B"/>
    <w:rsid w:val="00106C58"/>
    <w:rsid w:val="00107863"/>
    <w:rsid w:val="00107C0C"/>
    <w:rsid w:val="00110233"/>
    <w:rsid w:val="00110587"/>
    <w:rsid w:val="001106AA"/>
    <w:rsid w:val="00110CCF"/>
    <w:rsid w:val="0011159D"/>
    <w:rsid w:val="001130B4"/>
    <w:rsid w:val="00113AE8"/>
    <w:rsid w:val="00114994"/>
    <w:rsid w:val="001151ED"/>
    <w:rsid w:val="00115514"/>
    <w:rsid w:val="0011590F"/>
    <w:rsid w:val="00116922"/>
    <w:rsid w:val="00116ABA"/>
    <w:rsid w:val="00116B06"/>
    <w:rsid w:val="00116B56"/>
    <w:rsid w:val="001175E9"/>
    <w:rsid w:val="00120257"/>
    <w:rsid w:val="00120504"/>
    <w:rsid w:val="00120A7B"/>
    <w:rsid w:val="00120CE6"/>
    <w:rsid w:val="00120F2E"/>
    <w:rsid w:val="00121046"/>
    <w:rsid w:val="00121392"/>
    <w:rsid w:val="00121687"/>
    <w:rsid w:val="0012189E"/>
    <w:rsid w:val="001218FA"/>
    <w:rsid w:val="00121F97"/>
    <w:rsid w:val="001224AF"/>
    <w:rsid w:val="001225FB"/>
    <w:rsid w:val="00122760"/>
    <w:rsid w:val="00123683"/>
    <w:rsid w:val="00123CBD"/>
    <w:rsid w:val="0012406D"/>
    <w:rsid w:val="001247E1"/>
    <w:rsid w:val="001247EE"/>
    <w:rsid w:val="00124841"/>
    <w:rsid w:val="00125255"/>
    <w:rsid w:val="0012556D"/>
    <w:rsid w:val="001258ED"/>
    <w:rsid w:val="001269CC"/>
    <w:rsid w:val="00127E8F"/>
    <w:rsid w:val="00130076"/>
    <w:rsid w:val="00130147"/>
    <w:rsid w:val="001301EA"/>
    <w:rsid w:val="00130531"/>
    <w:rsid w:val="0013238C"/>
    <w:rsid w:val="00132CC5"/>
    <w:rsid w:val="00132EC3"/>
    <w:rsid w:val="00133191"/>
    <w:rsid w:val="001333C0"/>
    <w:rsid w:val="001333D3"/>
    <w:rsid w:val="00133B6B"/>
    <w:rsid w:val="00133E4C"/>
    <w:rsid w:val="00134073"/>
    <w:rsid w:val="001350BC"/>
    <w:rsid w:val="00135425"/>
    <w:rsid w:val="00135431"/>
    <w:rsid w:val="00135620"/>
    <w:rsid w:val="001362BE"/>
    <w:rsid w:val="001362C3"/>
    <w:rsid w:val="00136D73"/>
    <w:rsid w:val="00136F76"/>
    <w:rsid w:val="001372BD"/>
    <w:rsid w:val="0014012D"/>
    <w:rsid w:val="001402E6"/>
    <w:rsid w:val="00140437"/>
    <w:rsid w:val="00140CA6"/>
    <w:rsid w:val="001415CB"/>
    <w:rsid w:val="0014190C"/>
    <w:rsid w:val="00141B5E"/>
    <w:rsid w:val="001424EC"/>
    <w:rsid w:val="00142CEE"/>
    <w:rsid w:val="0014353D"/>
    <w:rsid w:val="001436C3"/>
    <w:rsid w:val="00143BE6"/>
    <w:rsid w:val="001442C2"/>
    <w:rsid w:val="0014451F"/>
    <w:rsid w:val="0014499B"/>
    <w:rsid w:val="00145117"/>
    <w:rsid w:val="0014567B"/>
    <w:rsid w:val="001456E7"/>
    <w:rsid w:val="00145AFF"/>
    <w:rsid w:val="00146084"/>
    <w:rsid w:val="001467A2"/>
    <w:rsid w:val="00146D1B"/>
    <w:rsid w:val="001476B8"/>
    <w:rsid w:val="00147E00"/>
    <w:rsid w:val="0015034A"/>
    <w:rsid w:val="00151858"/>
    <w:rsid w:val="00151CEB"/>
    <w:rsid w:val="00151EFD"/>
    <w:rsid w:val="0015204A"/>
    <w:rsid w:val="0015222E"/>
    <w:rsid w:val="0015237A"/>
    <w:rsid w:val="001524F1"/>
    <w:rsid w:val="00152529"/>
    <w:rsid w:val="001526CF"/>
    <w:rsid w:val="0015287C"/>
    <w:rsid w:val="0015394A"/>
    <w:rsid w:val="00154228"/>
    <w:rsid w:val="001551FD"/>
    <w:rsid w:val="00155596"/>
    <w:rsid w:val="00155A60"/>
    <w:rsid w:val="00155E19"/>
    <w:rsid w:val="00155FD1"/>
    <w:rsid w:val="001577A8"/>
    <w:rsid w:val="00157AD6"/>
    <w:rsid w:val="00160342"/>
    <w:rsid w:val="0016056B"/>
    <w:rsid w:val="00160794"/>
    <w:rsid w:val="00160D58"/>
    <w:rsid w:val="001612DC"/>
    <w:rsid w:val="001617EA"/>
    <w:rsid w:val="00161C78"/>
    <w:rsid w:val="00161F0A"/>
    <w:rsid w:val="001623A7"/>
    <w:rsid w:val="0016255C"/>
    <w:rsid w:val="001629BB"/>
    <w:rsid w:val="00163700"/>
    <w:rsid w:val="001639F1"/>
    <w:rsid w:val="001641CD"/>
    <w:rsid w:val="0016478F"/>
    <w:rsid w:val="001648E5"/>
    <w:rsid w:val="00164C74"/>
    <w:rsid w:val="00164D2D"/>
    <w:rsid w:val="00165D9A"/>
    <w:rsid w:val="001677A0"/>
    <w:rsid w:val="00167ED3"/>
    <w:rsid w:val="00170413"/>
    <w:rsid w:val="00170584"/>
    <w:rsid w:val="00170689"/>
    <w:rsid w:val="00170789"/>
    <w:rsid w:val="00171254"/>
    <w:rsid w:val="00171433"/>
    <w:rsid w:val="0017146D"/>
    <w:rsid w:val="00171556"/>
    <w:rsid w:val="00171660"/>
    <w:rsid w:val="001724E3"/>
    <w:rsid w:val="00172956"/>
    <w:rsid w:val="00173412"/>
    <w:rsid w:val="00173A9E"/>
    <w:rsid w:val="00174D47"/>
    <w:rsid w:val="0017582D"/>
    <w:rsid w:val="00175F55"/>
    <w:rsid w:val="0017684E"/>
    <w:rsid w:val="00177455"/>
    <w:rsid w:val="00177B18"/>
    <w:rsid w:val="00177E81"/>
    <w:rsid w:val="00180568"/>
    <w:rsid w:val="0018126C"/>
    <w:rsid w:val="001812BB"/>
    <w:rsid w:val="00181898"/>
    <w:rsid w:val="0018230D"/>
    <w:rsid w:val="00182993"/>
    <w:rsid w:val="00182F95"/>
    <w:rsid w:val="0018370F"/>
    <w:rsid w:val="00184186"/>
    <w:rsid w:val="0018441B"/>
    <w:rsid w:val="0018512D"/>
    <w:rsid w:val="0018523A"/>
    <w:rsid w:val="00185690"/>
    <w:rsid w:val="00185DF9"/>
    <w:rsid w:val="00187177"/>
    <w:rsid w:val="00187185"/>
    <w:rsid w:val="001877DB"/>
    <w:rsid w:val="00190197"/>
    <w:rsid w:val="00190786"/>
    <w:rsid w:val="00191185"/>
    <w:rsid w:val="0019172A"/>
    <w:rsid w:val="00191B50"/>
    <w:rsid w:val="00191B9C"/>
    <w:rsid w:val="00191BA2"/>
    <w:rsid w:val="00191FE6"/>
    <w:rsid w:val="0019205F"/>
    <w:rsid w:val="0019242B"/>
    <w:rsid w:val="00192703"/>
    <w:rsid w:val="0019280B"/>
    <w:rsid w:val="00192A22"/>
    <w:rsid w:val="00192AEA"/>
    <w:rsid w:val="00192F90"/>
    <w:rsid w:val="001934A3"/>
    <w:rsid w:val="00193C4C"/>
    <w:rsid w:val="00193D54"/>
    <w:rsid w:val="00194425"/>
    <w:rsid w:val="0019461F"/>
    <w:rsid w:val="001949B5"/>
    <w:rsid w:val="00194F5D"/>
    <w:rsid w:val="00194FA2"/>
    <w:rsid w:val="001954A1"/>
    <w:rsid w:val="00195573"/>
    <w:rsid w:val="001956C3"/>
    <w:rsid w:val="001958FD"/>
    <w:rsid w:val="00196A7E"/>
    <w:rsid w:val="001970C9"/>
    <w:rsid w:val="00197320"/>
    <w:rsid w:val="00197689"/>
    <w:rsid w:val="00197A12"/>
    <w:rsid w:val="00197C7D"/>
    <w:rsid w:val="001A029B"/>
    <w:rsid w:val="001A03B7"/>
    <w:rsid w:val="001A04BC"/>
    <w:rsid w:val="001A10B7"/>
    <w:rsid w:val="001A1161"/>
    <w:rsid w:val="001A1A10"/>
    <w:rsid w:val="001A22D6"/>
    <w:rsid w:val="001A2A18"/>
    <w:rsid w:val="001A302C"/>
    <w:rsid w:val="001A3316"/>
    <w:rsid w:val="001A35CC"/>
    <w:rsid w:val="001A35DD"/>
    <w:rsid w:val="001A41B0"/>
    <w:rsid w:val="001A433D"/>
    <w:rsid w:val="001A4890"/>
    <w:rsid w:val="001A4F3B"/>
    <w:rsid w:val="001A54F0"/>
    <w:rsid w:val="001A5550"/>
    <w:rsid w:val="001A5B48"/>
    <w:rsid w:val="001A5B98"/>
    <w:rsid w:val="001A63A3"/>
    <w:rsid w:val="001A6B0E"/>
    <w:rsid w:val="001A7D6B"/>
    <w:rsid w:val="001B07EE"/>
    <w:rsid w:val="001B0891"/>
    <w:rsid w:val="001B09FB"/>
    <w:rsid w:val="001B0E3C"/>
    <w:rsid w:val="001B0F45"/>
    <w:rsid w:val="001B0FD3"/>
    <w:rsid w:val="001B123C"/>
    <w:rsid w:val="001B1853"/>
    <w:rsid w:val="001B1938"/>
    <w:rsid w:val="001B2265"/>
    <w:rsid w:val="001B2313"/>
    <w:rsid w:val="001B25F4"/>
    <w:rsid w:val="001B3023"/>
    <w:rsid w:val="001B3559"/>
    <w:rsid w:val="001B3EAC"/>
    <w:rsid w:val="001B471F"/>
    <w:rsid w:val="001B4BF4"/>
    <w:rsid w:val="001B534E"/>
    <w:rsid w:val="001B55C0"/>
    <w:rsid w:val="001B65E6"/>
    <w:rsid w:val="001B717F"/>
    <w:rsid w:val="001B7333"/>
    <w:rsid w:val="001B7A67"/>
    <w:rsid w:val="001C05E9"/>
    <w:rsid w:val="001C07A7"/>
    <w:rsid w:val="001C0938"/>
    <w:rsid w:val="001C0ABD"/>
    <w:rsid w:val="001C0CEA"/>
    <w:rsid w:val="001C23E5"/>
    <w:rsid w:val="001C290F"/>
    <w:rsid w:val="001C2D90"/>
    <w:rsid w:val="001C2FC2"/>
    <w:rsid w:val="001C3C43"/>
    <w:rsid w:val="001C44BA"/>
    <w:rsid w:val="001C4FE2"/>
    <w:rsid w:val="001C514C"/>
    <w:rsid w:val="001C5E76"/>
    <w:rsid w:val="001D0B27"/>
    <w:rsid w:val="001D1194"/>
    <w:rsid w:val="001D124B"/>
    <w:rsid w:val="001D1774"/>
    <w:rsid w:val="001D2145"/>
    <w:rsid w:val="001D2882"/>
    <w:rsid w:val="001D3986"/>
    <w:rsid w:val="001D3E2E"/>
    <w:rsid w:val="001D3FC5"/>
    <w:rsid w:val="001D4957"/>
    <w:rsid w:val="001D5323"/>
    <w:rsid w:val="001D64BF"/>
    <w:rsid w:val="001D6A06"/>
    <w:rsid w:val="001D7224"/>
    <w:rsid w:val="001D76C0"/>
    <w:rsid w:val="001D799C"/>
    <w:rsid w:val="001D7B39"/>
    <w:rsid w:val="001D7CF4"/>
    <w:rsid w:val="001D7FCA"/>
    <w:rsid w:val="001E01B0"/>
    <w:rsid w:val="001E0389"/>
    <w:rsid w:val="001E1D15"/>
    <w:rsid w:val="001E220E"/>
    <w:rsid w:val="001E24EE"/>
    <w:rsid w:val="001E28C2"/>
    <w:rsid w:val="001E2FCA"/>
    <w:rsid w:val="001E3014"/>
    <w:rsid w:val="001E341C"/>
    <w:rsid w:val="001E363C"/>
    <w:rsid w:val="001E3EAF"/>
    <w:rsid w:val="001E40F7"/>
    <w:rsid w:val="001E4E60"/>
    <w:rsid w:val="001E60A2"/>
    <w:rsid w:val="001E65D5"/>
    <w:rsid w:val="001E739D"/>
    <w:rsid w:val="001E7E90"/>
    <w:rsid w:val="001F02A5"/>
    <w:rsid w:val="001F0939"/>
    <w:rsid w:val="001F110D"/>
    <w:rsid w:val="001F13AD"/>
    <w:rsid w:val="001F159C"/>
    <w:rsid w:val="001F1630"/>
    <w:rsid w:val="001F1D2F"/>
    <w:rsid w:val="001F1DA8"/>
    <w:rsid w:val="001F238F"/>
    <w:rsid w:val="001F2DFF"/>
    <w:rsid w:val="001F3788"/>
    <w:rsid w:val="001F5622"/>
    <w:rsid w:val="001F5F9E"/>
    <w:rsid w:val="001F6218"/>
    <w:rsid w:val="001F77AE"/>
    <w:rsid w:val="001F7D00"/>
    <w:rsid w:val="001F7E5B"/>
    <w:rsid w:val="00200002"/>
    <w:rsid w:val="002004D8"/>
    <w:rsid w:val="0020064C"/>
    <w:rsid w:val="00200DA0"/>
    <w:rsid w:val="0020100E"/>
    <w:rsid w:val="002014A0"/>
    <w:rsid w:val="00201A0B"/>
    <w:rsid w:val="0020331C"/>
    <w:rsid w:val="0020360B"/>
    <w:rsid w:val="00203B4A"/>
    <w:rsid w:val="00203B4F"/>
    <w:rsid w:val="00203DEB"/>
    <w:rsid w:val="0020408A"/>
    <w:rsid w:val="002040D3"/>
    <w:rsid w:val="00205382"/>
    <w:rsid w:val="00205FA6"/>
    <w:rsid w:val="00206625"/>
    <w:rsid w:val="002069E6"/>
    <w:rsid w:val="002071F8"/>
    <w:rsid w:val="0020778C"/>
    <w:rsid w:val="0020787C"/>
    <w:rsid w:val="00210221"/>
    <w:rsid w:val="002108DE"/>
    <w:rsid w:val="00210DB7"/>
    <w:rsid w:val="002114FD"/>
    <w:rsid w:val="00211B25"/>
    <w:rsid w:val="002124C1"/>
    <w:rsid w:val="00213341"/>
    <w:rsid w:val="002135FE"/>
    <w:rsid w:val="00213CE0"/>
    <w:rsid w:val="00213F99"/>
    <w:rsid w:val="00214912"/>
    <w:rsid w:val="00214E66"/>
    <w:rsid w:val="002156DA"/>
    <w:rsid w:val="0021637B"/>
    <w:rsid w:val="002164F6"/>
    <w:rsid w:val="00217023"/>
    <w:rsid w:val="00217650"/>
    <w:rsid w:val="002178F0"/>
    <w:rsid w:val="00217B87"/>
    <w:rsid w:val="0022019B"/>
    <w:rsid w:val="00220532"/>
    <w:rsid w:val="002206F3"/>
    <w:rsid w:val="00220DC7"/>
    <w:rsid w:val="00220DEB"/>
    <w:rsid w:val="002210C7"/>
    <w:rsid w:val="002212B3"/>
    <w:rsid w:val="00221C2F"/>
    <w:rsid w:val="002230C2"/>
    <w:rsid w:val="00223971"/>
    <w:rsid w:val="00223D90"/>
    <w:rsid w:val="00223E12"/>
    <w:rsid w:val="002244F3"/>
    <w:rsid w:val="00224520"/>
    <w:rsid w:val="00224ADD"/>
    <w:rsid w:val="00224E0E"/>
    <w:rsid w:val="00225121"/>
    <w:rsid w:val="00225614"/>
    <w:rsid w:val="00225673"/>
    <w:rsid w:val="00225A7F"/>
    <w:rsid w:val="00225AEF"/>
    <w:rsid w:val="00225B01"/>
    <w:rsid w:val="00225F61"/>
    <w:rsid w:val="002267A3"/>
    <w:rsid w:val="0022688C"/>
    <w:rsid w:val="002272F1"/>
    <w:rsid w:val="00227407"/>
    <w:rsid w:val="002275D8"/>
    <w:rsid w:val="00227BB1"/>
    <w:rsid w:val="00227C09"/>
    <w:rsid w:val="00230049"/>
    <w:rsid w:val="00230263"/>
    <w:rsid w:val="002303D8"/>
    <w:rsid w:val="00230F93"/>
    <w:rsid w:val="002318A1"/>
    <w:rsid w:val="00232108"/>
    <w:rsid w:val="0023239F"/>
    <w:rsid w:val="00232D7D"/>
    <w:rsid w:val="0023320C"/>
    <w:rsid w:val="0023329D"/>
    <w:rsid w:val="002334C6"/>
    <w:rsid w:val="002338D7"/>
    <w:rsid w:val="00233CF3"/>
    <w:rsid w:val="00233FC9"/>
    <w:rsid w:val="00234E84"/>
    <w:rsid w:val="00234F27"/>
    <w:rsid w:val="00234F34"/>
    <w:rsid w:val="00234F38"/>
    <w:rsid w:val="00235062"/>
    <w:rsid w:val="0023558E"/>
    <w:rsid w:val="00235A11"/>
    <w:rsid w:val="00235BCF"/>
    <w:rsid w:val="00236A1B"/>
    <w:rsid w:val="00236F6D"/>
    <w:rsid w:val="002372EE"/>
    <w:rsid w:val="00237439"/>
    <w:rsid w:val="00237616"/>
    <w:rsid w:val="00237770"/>
    <w:rsid w:val="00237FAA"/>
    <w:rsid w:val="002406D9"/>
    <w:rsid w:val="00240C61"/>
    <w:rsid w:val="00242557"/>
    <w:rsid w:val="002432E2"/>
    <w:rsid w:val="00243542"/>
    <w:rsid w:val="00243635"/>
    <w:rsid w:val="00243972"/>
    <w:rsid w:val="00243BD0"/>
    <w:rsid w:val="00243EAC"/>
    <w:rsid w:val="002450CA"/>
    <w:rsid w:val="0024584F"/>
    <w:rsid w:val="00245937"/>
    <w:rsid w:val="00245CF7"/>
    <w:rsid w:val="002460C2"/>
    <w:rsid w:val="00246237"/>
    <w:rsid w:val="00246A50"/>
    <w:rsid w:val="00246B12"/>
    <w:rsid w:val="00246EF4"/>
    <w:rsid w:val="00247104"/>
    <w:rsid w:val="0024793D"/>
    <w:rsid w:val="00247AA6"/>
    <w:rsid w:val="0025011B"/>
    <w:rsid w:val="002509A5"/>
    <w:rsid w:val="00250C3F"/>
    <w:rsid w:val="00250DA0"/>
    <w:rsid w:val="00251D9B"/>
    <w:rsid w:val="00252424"/>
    <w:rsid w:val="002530C6"/>
    <w:rsid w:val="00253537"/>
    <w:rsid w:val="0025373C"/>
    <w:rsid w:val="0025379B"/>
    <w:rsid w:val="00254F4E"/>
    <w:rsid w:val="002550EF"/>
    <w:rsid w:val="002555FA"/>
    <w:rsid w:val="00255A10"/>
    <w:rsid w:val="00255C1A"/>
    <w:rsid w:val="002561BA"/>
    <w:rsid w:val="0025636A"/>
    <w:rsid w:val="002563E4"/>
    <w:rsid w:val="00256571"/>
    <w:rsid w:val="00256F1D"/>
    <w:rsid w:val="00256F28"/>
    <w:rsid w:val="00260181"/>
    <w:rsid w:val="002608D4"/>
    <w:rsid w:val="00260ED0"/>
    <w:rsid w:val="00260EF5"/>
    <w:rsid w:val="002612DC"/>
    <w:rsid w:val="00261692"/>
    <w:rsid w:val="00261FA6"/>
    <w:rsid w:val="00262678"/>
    <w:rsid w:val="00262CB0"/>
    <w:rsid w:val="00262D92"/>
    <w:rsid w:val="0026308E"/>
    <w:rsid w:val="0026376A"/>
    <w:rsid w:val="00263FC4"/>
    <w:rsid w:val="00264B74"/>
    <w:rsid w:val="002655DD"/>
    <w:rsid w:val="002664F0"/>
    <w:rsid w:val="00266D1B"/>
    <w:rsid w:val="00266F6D"/>
    <w:rsid w:val="00267566"/>
    <w:rsid w:val="0026787D"/>
    <w:rsid w:val="002701C5"/>
    <w:rsid w:val="0027078C"/>
    <w:rsid w:val="00270B34"/>
    <w:rsid w:val="00271392"/>
    <w:rsid w:val="00271728"/>
    <w:rsid w:val="0027184A"/>
    <w:rsid w:val="00272371"/>
    <w:rsid w:val="0027237F"/>
    <w:rsid w:val="00272BED"/>
    <w:rsid w:val="00272F49"/>
    <w:rsid w:val="00273CA2"/>
    <w:rsid w:val="0027434A"/>
    <w:rsid w:val="002745C6"/>
    <w:rsid w:val="00274859"/>
    <w:rsid w:val="0027487E"/>
    <w:rsid w:val="00275B6E"/>
    <w:rsid w:val="00275DA5"/>
    <w:rsid w:val="00276033"/>
    <w:rsid w:val="00276621"/>
    <w:rsid w:val="00277271"/>
    <w:rsid w:val="002775D4"/>
    <w:rsid w:val="00277CD0"/>
    <w:rsid w:val="002802C1"/>
    <w:rsid w:val="00280345"/>
    <w:rsid w:val="002803C6"/>
    <w:rsid w:val="00280530"/>
    <w:rsid w:val="00280579"/>
    <w:rsid w:val="002812DE"/>
    <w:rsid w:val="00281575"/>
    <w:rsid w:val="00281D3D"/>
    <w:rsid w:val="00283B63"/>
    <w:rsid w:val="00283C77"/>
    <w:rsid w:val="00283DDC"/>
    <w:rsid w:val="00284818"/>
    <w:rsid w:val="00284D36"/>
    <w:rsid w:val="00284ECE"/>
    <w:rsid w:val="0028512F"/>
    <w:rsid w:val="00285173"/>
    <w:rsid w:val="00285237"/>
    <w:rsid w:val="00285AD6"/>
    <w:rsid w:val="00285DBC"/>
    <w:rsid w:val="002862FE"/>
    <w:rsid w:val="00286506"/>
    <w:rsid w:val="002878AD"/>
    <w:rsid w:val="00287DC5"/>
    <w:rsid w:val="00287E8D"/>
    <w:rsid w:val="0029052A"/>
    <w:rsid w:val="002911F5"/>
    <w:rsid w:val="002917DF"/>
    <w:rsid w:val="00291DD3"/>
    <w:rsid w:val="002921C4"/>
    <w:rsid w:val="002928A5"/>
    <w:rsid w:val="0029334C"/>
    <w:rsid w:val="0029342C"/>
    <w:rsid w:val="00293523"/>
    <w:rsid w:val="002939DF"/>
    <w:rsid w:val="0029478D"/>
    <w:rsid w:val="00294FDC"/>
    <w:rsid w:val="00295024"/>
    <w:rsid w:val="0029504E"/>
    <w:rsid w:val="0029565A"/>
    <w:rsid w:val="00295A62"/>
    <w:rsid w:val="002965D7"/>
    <w:rsid w:val="00296F61"/>
    <w:rsid w:val="0029788D"/>
    <w:rsid w:val="002978F5"/>
    <w:rsid w:val="00297979"/>
    <w:rsid w:val="002979A1"/>
    <w:rsid w:val="00297E42"/>
    <w:rsid w:val="002A0063"/>
    <w:rsid w:val="002A03AB"/>
    <w:rsid w:val="002A06FB"/>
    <w:rsid w:val="002A1AC4"/>
    <w:rsid w:val="002A1F1E"/>
    <w:rsid w:val="002A2D9E"/>
    <w:rsid w:val="002A327D"/>
    <w:rsid w:val="002A341A"/>
    <w:rsid w:val="002A3629"/>
    <w:rsid w:val="002A3828"/>
    <w:rsid w:val="002A41D8"/>
    <w:rsid w:val="002A493C"/>
    <w:rsid w:val="002A4E5C"/>
    <w:rsid w:val="002A55C3"/>
    <w:rsid w:val="002A5A1F"/>
    <w:rsid w:val="002A62EF"/>
    <w:rsid w:val="002A6681"/>
    <w:rsid w:val="002A67AF"/>
    <w:rsid w:val="002A6963"/>
    <w:rsid w:val="002A6ACF"/>
    <w:rsid w:val="002A760A"/>
    <w:rsid w:val="002A7D98"/>
    <w:rsid w:val="002B0216"/>
    <w:rsid w:val="002B0BEB"/>
    <w:rsid w:val="002B0FD6"/>
    <w:rsid w:val="002B18F9"/>
    <w:rsid w:val="002B1E3E"/>
    <w:rsid w:val="002B368A"/>
    <w:rsid w:val="002B3EF3"/>
    <w:rsid w:val="002B4543"/>
    <w:rsid w:val="002B4974"/>
    <w:rsid w:val="002B4CFF"/>
    <w:rsid w:val="002B4E28"/>
    <w:rsid w:val="002B574C"/>
    <w:rsid w:val="002B5D0A"/>
    <w:rsid w:val="002B6B00"/>
    <w:rsid w:val="002B7C32"/>
    <w:rsid w:val="002C0659"/>
    <w:rsid w:val="002C0C68"/>
    <w:rsid w:val="002C0CC6"/>
    <w:rsid w:val="002C0E69"/>
    <w:rsid w:val="002C15F9"/>
    <w:rsid w:val="002C1B78"/>
    <w:rsid w:val="002C2676"/>
    <w:rsid w:val="002C39E4"/>
    <w:rsid w:val="002C3CD1"/>
    <w:rsid w:val="002C4351"/>
    <w:rsid w:val="002C55FC"/>
    <w:rsid w:val="002C5883"/>
    <w:rsid w:val="002C600B"/>
    <w:rsid w:val="002C641F"/>
    <w:rsid w:val="002C6F2E"/>
    <w:rsid w:val="002D1388"/>
    <w:rsid w:val="002D1951"/>
    <w:rsid w:val="002D1B83"/>
    <w:rsid w:val="002D1D94"/>
    <w:rsid w:val="002D203D"/>
    <w:rsid w:val="002D2384"/>
    <w:rsid w:val="002D26C0"/>
    <w:rsid w:val="002D38E8"/>
    <w:rsid w:val="002D4396"/>
    <w:rsid w:val="002D464E"/>
    <w:rsid w:val="002D6534"/>
    <w:rsid w:val="002D72F4"/>
    <w:rsid w:val="002D780C"/>
    <w:rsid w:val="002D79A6"/>
    <w:rsid w:val="002E00E9"/>
    <w:rsid w:val="002E0EC6"/>
    <w:rsid w:val="002E15A7"/>
    <w:rsid w:val="002E1B01"/>
    <w:rsid w:val="002E1ECC"/>
    <w:rsid w:val="002E24EC"/>
    <w:rsid w:val="002E2850"/>
    <w:rsid w:val="002E2A57"/>
    <w:rsid w:val="002E341F"/>
    <w:rsid w:val="002E3CD5"/>
    <w:rsid w:val="002E3E29"/>
    <w:rsid w:val="002E45C6"/>
    <w:rsid w:val="002E58D5"/>
    <w:rsid w:val="002E5FE9"/>
    <w:rsid w:val="002E7850"/>
    <w:rsid w:val="002E7CDE"/>
    <w:rsid w:val="002F029D"/>
    <w:rsid w:val="002F02BF"/>
    <w:rsid w:val="002F101C"/>
    <w:rsid w:val="002F1476"/>
    <w:rsid w:val="002F1AF0"/>
    <w:rsid w:val="002F1B00"/>
    <w:rsid w:val="002F2C41"/>
    <w:rsid w:val="002F2F01"/>
    <w:rsid w:val="002F3460"/>
    <w:rsid w:val="002F42BE"/>
    <w:rsid w:val="002F4619"/>
    <w:rsid w:val="002F5427"/>
    <w:rsid w:val="002F636E"/>
    <w:rsid w:val="002F6D1E"/>
    <w:rsid w:val="002F729F"/>
    <w:rsid w:val="002F7A81"/>
    <w:rsid w:val="002F7BD2"/>
    <w:rsid w:val="002F7F79"/>
    <w:rsid w:val="003001BF"/>
    <w:rsid w:val="00300331"/>
    <w:rsid w:val="00300D82"/>
    <w:rsid w:val="00300F11"/>
    <w:rsid w:val="00300F13"/>
    <w:rsid w:val="0030136C"/>
    <w:rsid w:val="003013B2"/>
    <w:rsid w:val="003015D9"/>
    <w:rsid w:val="003018A5"/>
    <w:rsid w:val="00301B18"/>
    <w:rsid w:val="00301C69"/>
    <w:rsid w:val="00301FED"/>
    <w:rsid w:val="003024BA"/>
    <w:rsid w:val="00302ACC"/>
    <w:rsid w:val="00303069"/>
    <w:rsid w:val="00303746"/>
    <w:rsid w:val="00303A4A"/>
    <w:rsid w:val="00304798"/>
    <w:rsid w:val="00304F30"/>
    <w:rsid w:val="003051FD"/>
    <w:rsid w:val="0030569E"/>
    <w:rsid w:val="003058C4"/>
    <w:rsid w:val="00305B21"/>
    <w:rsid w:val="00305D62"/>
    <w:rsid w:val="003060A8"/>
    <w:rsid w:val="00306A95"/>
    <w:rsid w:val="00306B31"/>
    <w:rsid w:val="00306C9A"/>
    <w:rsid w:val="00306E2C"/>
    <w:rsid w:val="00307290"/>
    <w:rsid w:val="003072A4"/>
    <w:rsid w:val="00307CF7"/>
    <w:rsid w:val="00307D04"/>
    <w:rsid w:val="00307ED8"/>
    <w:rsid w:val="00310BF7"/>
    <w:rsid w:val="00311004"/>
    <w:rsid w:val="00311054"/>
    <w:rsid w:val="003112CE"/>
    <w:rsid w:val="003113CF"/>
    <w:rsid w:val="0031279F"/>
    <w:rsid w:val="0031311A"/>
    <w:rsid w:val="003133C8"/>
    <w:rsid w:val="003135FF"/>
    <w:rsid w:val="00314057"/>
    <w:rsid w:val="003143FA"/>
    <w:rsid w:val="00314752"/>
    <w:rsid w:val="00314A3F"/>
    <w:rsid w:val="00314C28"/>
    <w:rsid w:val="003161C1"/>
    <w:rsid w:val="003161E4"/>
    <w:rsid w:val="0031663C"/>
    <w:rsid w:val="00316675"/>
    <w:rsid w:val="00316BFC"/>
    <w:rsid w:val="003174EA"/>
    <w:rsid w:val="003178FD"/>
    <w:rsid w:val="00320C37"/>
    <w:rsid w:val="00320C84"/>
    <w:rsid w:val="003215CA"/>
    <w:rsid w:val="003221F5"/>
    <w:rsid w:val="00322505"/>
    <w:rsid w:val="00322686"/>
    <w:rsid w:val="003227C8"/>
    <w:rsid w:val="00322DF2"/>
    <w:rsid w:val="00323B44"/>
    <w:rsid w:val="0032415D"/>
    <w:rsid w:val="00324BFB"/>
    <w:rsid w:val="00324E6D"/>
    <w:rsid w:val="003255FF"/>
    <w:rsid w:val="00326141"/>
    <w:rsid w:val="0032695A"/>
    <w:rsid w:val="00326BDB"/>
    <w:rsid w:val="0032721B"/>
    <w:rsid w:val="003275A0"/>
    <w:rsid w:val="0033099F"/>
    <w:rsid w:val="0033126E"/>
    <w:rsid w:val="003312C3"/>
    <w:rsid w:val="00331D25"/>
    <w:rsid w:val="00332AEC"/>
    <w:rsid w:val="00332C29"/>
    <w:rsid w:val="00332F17"/>
    <w:rsid w:val="00333455"/>
    <w:rsid w:val="003337BF"/>
    <w:rsid w:val="00334002"/>
    <w:rsid w:val="0033447C"/>
    <w:rsid w:val="003351C3"/>
    <w:rsid w:val="00335B17"/>
    <w:rsid w:val="00335F5B"/>
    <w:rsid w:val="0033609C"/>
    <w:rsid w:val="00336233"/>
    <w:rsid w:val="0033640A"/>
    <w:rsid w:val="00336AFE"/>
    <w:rsid w:val="00336B52"/>
    <w:rsid w:val="00337055"/>
    <w:rsid w:val="00337476"/>
    <w:rsid w:val="00340995"/>
    <w:rsid w:val="00340BF5"/>
    <w:rsid w:val="00340FC4"/>
    <w:rsid w:val="0034104D"/>
    <w:rsid w:val="00343214"/>
    <w:rsid w:val="00343E06"/>
    <w:rsid w:val="003440DD"/>
    <w:rsid w:val="00344126"/>
    <w:rsid w:val="0034573F"/>
    <w:rsid w:val="00345D68"/>
    <w:rsid w:val="003460BD"/>
    <w:rsid w:val="00346AA4"/>
    <w:rsid w:val="00346E79"/>
    <w:rsid w:val="00347361"/>
    <w:rsid w:val="00347E6F"/>
    <w:rsid w:val="003506C7"/>
    <w:rsid w:val="00350CB5"/>
    <w:rsid w:val="00350DEE"/>
    <w:rsid w:val="00351362"/>
    <w:rsid w:val="00351F2E"/>
    <w:rsid w:val="00352492"/>
    <w:rsid w:val="00353972"/>
    <w:rsid w:val="00354A07"/>
    <w:rsid w:val="00354FFD"/>
    <w:rsid w:val="0035544D"/>
    <w:rsid w:val="00355AD6"/>
    <w:rsid w:val="00355FB3"/>
    <w:rsid w:val="00356A35"/>
    <w:rsid w:val="00356BE8"/>
    <w:rsid w:val="00356D33"/>
    <w:rsid w:val="003577C3"/>
    <w:rsid w:val="003604FA"/>
    <w:rsid w:val="0036166F"/>
    <w:rsid w:val="003616F1"/>
    <w:rsid w:val="003617E8"/>
    <w:rsid w:val="00361E20"/>
    <w:rsid w:val="00362456"/>
    <w:rsid w:val="00362E90"/>
    <w:rsid w:val="003638F6"/>
    <w:rsid w:val="00363BE8"/>
    <w:rsid w:val="00364674"/>
    <w:rsid w:val="00364740"/>
    <w:rsid w:val="00365ACC"/>
    <w:rsid w:val="00366352"/>
    <w:rsid w:val="00367088"/>
    <w:rsid w:val="00367090"/>
    <w:rsid w:val="00367216"/>
    <w:rsid w:val="00370127"/>
    <w:rsid w:val="003704F2"/>
    <w:rsid w:val="00370CA1"/>
    <w:rsid w:val="00370FF7"/>
    <w:rsid w:val="003711B9"/>
    <w:rsid w:val="003714C8"/>
    <w:rsid w:val="0037162C"/>
    <w:rsid w:val="00371CE5"/>
    <w:rsid w:val="00372286"/>
    <w:rsid w:val="00372B2F"/>
    <w:rsid w:val="003730E8"/>
    <w:rsid w:val="00373223"/>
    <w:rsid w:val="0037353E"/>
    <w:rsid w:val="00373E7C"/>
    <w:rsid w:val="00373FC7"/>
    <w:rsid w:val="00374054"/>
    <w:rsid w:val="0037473A"/>
    <w:rsid w:val="00375EF2"/>
    <w:rsid w:val="00375EF7"/>
    <w:rsid w:val="00375FAF"/>
    <w:rsid w:val="0037613E"/>
    <w:rsid w:val="00380D12"/>
    <w:rsid w:val="00381143"/>
    <w:rsid w:val="00381A80"/>
    <w:rsid w:val="00381AE7"/>
    <w:rsid w:val="00381C68"/>
    <w:rsid w:val="0038259C"/>
    <w:rsid w:val="00382629"/>
    <w:rsid w:val="00382783"/>
    <w:rsid w:val="003829D2"/>
    <w:rsid w:val="00382A41"/>
    <w:rsid w:val="00382B98"/>
    <w:rsid w:val="00383444"/>
    <w:rsid w:val="003834ED"/>
    <w:rsid w:val="00383558"/>
    <w:rsid w:val="003839A1"/>
    <w:rsid w:val="00383D21"/>
    <w:rsid w:val="00384258"/>
    <w:rsid w:val="00384768"/>
    <w:rsid w:val="003848AA"/>
    <w:rsid w:val="0038492F"/>
    <w:rsid w:val="003850E3"/>
    <w:rsid w:val="003853C4"/>
    <w:rsid w:val="00385538"/>
    <w:rsid w:val="00385D49"/>
    <w:rsid w:val="00385E6D"/>
    <w:rsid w:val="00386398"/>
    <w:rsid w:val="00386609"/>
    <w:rsid w:val="00387001"/>
    <w:rsid w:val="0038766F"/>
    <w:rsid w:val="00387671"/>
    <w:rsid w:val="00387A7C"/>
    <w:rsid w:val="0039098F"/>
    <w:rsid w:val="00390D71"/>
    <w:rsid w:val="0039162E"/>
    <w:rsid w:val="00392143"/>
    <w:rsid w:val="00393240"/>
    <w:rsid w:val="003934EE"/>
    <w:rsid w:val="00393AC9"/>
    <w:rsid w:val="00393B4B"/>
    <w:rsid w:val="00393E4A"/>
    <w:rsid w:val="00395189"/>
    <w:rsid w:val="0039539D"/>
    <w:rsid w:val="003954F4"/>
    <w:rsid w:val="0039581E"/>
    <w:rsid w:val="00395B4E"/>
    <w:rsid w:val="003962D0"/>
    <w:rsid w:val="00396527"/>
    <w:rsid w:val="00396C60"/>
    <w:rsid w:val="00396D6A"/>
    <w:rsid w:val="00397607"/>
    <w:rsid w:val="00397B42"/>
    <w:rsid w:val="003A08F2"/>
    <w:rsid w:val="003A0F2F"/>
    <w:rsid w:val="003A1419"/>
    <w:rsid w:val="003A1589"/>
    <w:rsid w:val="003A1701"/>
    <w:rsid w:val="003A1BBD"/>
    <w:rsid w:val="003A22A5"/>
    <w:rsid w:val="003A2FCA"/>
    <w:rsid w:val="003A35CC"/>
    <w:rsid w:val="003A3FF5"/>
    <w:rsid w:val="003A3FFC"/>
    <w:rsid w:val="003A4AEA"/>
    <w:rsid w:val="003A50F6"/>
    <w:rsid w:val="003A5B87"/>
    <w:rsid w:val="003A5BD6"/>
    <w:rsid w:val="003A6440"/>
    <w:rsid w:val="003A68EE"/>
    <w:rsid w:val="003A79C5"/>
    <w:rsid w:val="003A7F81"/>
    <w:rsid w:val="003B05D7"/>
    <w:rsid w:val="003B0F5E"/>
    <w:rsid w:val="003B0FFF"/>
    <w:rsid w:val="003B150E"/>
    <w:rsid w:val="003B151F"/>
    <w:rsid w:val="003B1A9A"/>
    <w:rsid w:val="003B2A3D"/>
    <w:rsid w:val="003B2E81"/>
    <w:rsid w:val="003B3037"/>
    <w:rsid w:val="003B3640"/>
    <w:rsid w:val="003B371C"/>
    <w:rsid w:val="003B3AD9"/>
    <w:rsid w:val="003B4045"/>
    <w:rsid w:val="003B4054"/>
    <w:rsid w:val="003B4690"/>
    <w:rsid w:val="003B4EB4"/>
    <w:rsid w:val="003B526C"/>
    <w:rsid w:val="003B5D65"/>
    <w:rsid w:val="003B5EA0"/>
    <w:rsid w:val="003B6E1B"/>
    <w:rsid w:val="003B7062"/>
    <w:rsid w:val="003B73EA"/>
    <w:rsid w:val="003B7446"/>
    <w:rsid w:val="003C0424"/>
    <w:rsid w:val="003C0A92"/>
    <w:rsid w:val="003C130C"/>
    <w:rsid w:val="003C155D"/>
    <w:rsid w:val="003C1C6D"/>
    <w:rsid w:val="003C1D3D"/>
    <w:rsid w:val="003C23B9"/>
    <w:rsid w:val="003C3076"/>
    <w:rsid w:val="003C333C"/>
    <w:rsid w:val="003C3358"/>
    <w:rsid w:val="003C38D8"/>
    <w:rsid w:val="003C461C"/>
    <w:rsid w:val="003C59A7"/>
    <w:rsid w:val="003C5DCF"/>
    <w:rsid w:val="003C61F4"/>
    <w:rsid w:val="003C63D5"/>
    <w:rsid w:val="003C65D1"/>
    <w:rsid w:val="003C69E8"/>
    <w:rsid w:val="003C6CBB"/>
    <w:rsid w:val="003C6CFF"/>
    <w:rsid w:val="003C708C"/>
    <w:rsid w:val="003C7857"/>
    <w:rsid w:val="003C7990"/>
    <w:rsid w:val="003C7CCF"/>
    <w:rsid w:val="003C7DCB"/>
    <w:rsid w:val="003C7E57"/>
    <w:rsid w:val="003D05A1"/>
    <w:rsid w:val="003D0677"/>
    <w:rsid w:val="003D13F3"/>
    <w:rsid w:val="003D16FE"/>
    <w:rsid w:val="003D1787"/>
    <w:rsid w:val="003D196B"/>
    <w:rsid w:val="003D1BA3"/>
    <w:rsid w:val="003D235B"/>
    <w:rsid w:val="003D2E55"/>
    <w:rsid w:val="003D312E"/>
    <w:rsid w:val="003D36DA"/>
    <w:rsid w:val="003D382D"/>
    <w:rsid w:val="003D3B49"/>
    <w:rsid w:val="003D3D42"/>
    <w:rsid w:val="003D3F84"/>
    <w:rsid w:val="003D4050"/>
    <w:rsid w:val="003D4483"/>
    <w:rsid w:val="003D44D3"/>
    <w:rsid w:val="003D4A98"/>
    <w:rsid w:val="003D4E83"/>
    <w:rsid w:val="003D4E8F"/>
    <w:rsid w:val="003D5262"/>
    <w:rsid w:val="003D5A14"/>
    <w:rsid w:val="003D5A29"/>
    <w:rsid w:val="003D5F44"/>
    <w:rsid w:val="003D7263"/>
    <w:rsid w:val="003D772F"/>
    <w:rsid w:val="003E0602"/>
    <w:rsid w:val="003E07E0"/>
    <w:rsid w:val="003E0AB1"/>
    <w:rsid w:val="003E0B35"/>
    <w:rsid w:val="003E1449"/>
    <w:rsid w:val="003E1669"/>
    <w:rsid w:val="003E176F"/>
    <w:rsid w:val="003E2BE7"/>
    <w:rsid w:val="003E2CA5"/>
    <w:rsid w:val="003E3C49"/>
    <w:rsid w:val="003E3D99"/>
    <w:rsid w:val="003E4831"/>
    <w:rsid w:val="003E566C"/>
    <w:rsid w:val="003E57DD"/>
    <w:rsid w:val="003E608F"/>
    <w:rsid w:val="003E6410"/>
    <w:rsid w:val="003E6699"/>
    <w:rsid w:val="003E6745"/>
    <w:rsid w:val="003E6794"/>
    <w:rsid w:val="003E6E21"/>
    <w:rsid w:val="003E788D"/>
    <w:rsid w:val="003E7AE5"/>
    <w:rsid w:val="003E7D84"/>
    <w:rsid w:val="003F028E"/>
    <w:rsid w:val="003F0A4B"/>
    <w:rsid w:val="003F1FCD"/>
    <w:rsid w:val="003F22C1"/>
    <w:rsid w:val="003F23C6"/>
    <w:rsid w:val="003F2978"/>
    <w:rsid w:val="003F2B5D"/>
    <w:rsid w:val="003F2CCC"/>
    <w:rsid w:val="003F30D3"/>
    <w:rsid w:val="003F314C"/>
    <w:rsid w:val="003F3660"/>
    <w:rsid w:val="003F3D3D"/>
    <w:rsid w:val="003F3D54"/>
    <w:rsid w:val="003F3E54"/>
    <w:rsid w:val="003F3F0E"/>
    <w:rsid w:val="003F40A5"/>
    <w:rsid w:val="003F4C1E"/>
    <w:rsid w:val="003F4DA2"/>
    <w:rsid w:val="003F6F25"/>
    <w:rsid w:val="003F776E"/>
    <w:rsid w:val="003F7BB4"/>
    <w:rsid w:val="004000C3"/>
    <w:rsid w:val="00400188"/>
    <w:rsid w:val="0040024B"/>
    <w:rsid w:val="00401844"/>
    <w:rsid w:val="00401E33"/>
    <w:rsid w:val="00401EB1"/>
    <w:rsid w:val="00401F7D"/>
    <w:rsid w:val="004033D5"/>
    <w:rsid w:val="0040418F"/>
    <w:rsid w:val="004041DB"/>
    <w:rsid w:val="00404291"/>
    <w:rsid w:val="004048F7"/>
    <w:rsid w:val="00404CAA"/>
    <w:rsid w:val="00405721"/>
    <w:rsid w:val="00406109"/>
    <w:rsid w:val="004062C4"/>
    <w:rsid w:val="00406723"/>
    <w:rsid w:val="004069F5"/>
    <w:rsid w:val="00406B77"/>
    <w:rsid w:val="00406C59"/>
    <w:rsid w:val="00406E8F"/>
    <w:rsid w:val="00407210"/>
    <w:rsid w:val="00407215"/>
    <w:rsid w:val="00407564"/>
    <w:rsid w:val="00407982"/>
    <w:rsid w:val="00407A92"/>
    <w:rsid w:val="00407E82"/>
    <w:rsid w:val="00410200"/>
    <w:rsid w:val="00410874"/>
    <w:rsid w:val="0041089E"/>
    <w:rsid w:val="00411204"/>
    <w:rsid w:val="004114BF"/>
    <w:rsid w:val="00411890"/>
    <w:rsid w:val="00411CDE"/>
    <w:rsid w:val="00411EB9"/>
    <w:rsid w:val="00412560"/>
    <w:rsid w:val="00412F88"/>
    <w:rsid w:val="004130AB"/>
    <w:rsid w:val="0041329E"/>
    <w:rsid w:val="00413F5D"/>
    <w:rsid w:val="004143AA"/>
    <w:rsid w:val="00414644"/>
    <w:rsid w:val="00414E41"/>
    <w:rsid w:val="0041543D"/>
    <w:rsid w:val="004155F0"/>
    <w:rsid w:val="00415A88"/>
    <w:rsid w:val="00415C5A"/>
    <w:rsid w:val="00416267"/>
    <w:rsid w:val="00417C0B"/>
    <w:rsid w:val="00420274"/>
    <w:rsid w:val="00420CF3"/>
    <w:rsid w:val="00421DCC"/>
    <w:rsid w:val="004220EB"/>
    <w:rsid w:val="00422ECC"/>
    <w:rsid w:val="00423343"/>
    <w:rsid w:val="00423E67"/>
    <w:rsid w:val="004257FB"/>
    <w:rsid w:val="00425932"/>
    <w:rsid w:val="00425C85"/>
    <w:rsid w:val="00425E0A"/>
    <w:rsid w:val="00425EB1"/>
    <w:rsid w:val="004274B0"/>
    <w:rsid w:val="004274D2"/>
    <w:rsid w:val="004278A5"/>
    <w:rsid w:val="00427D63"/>
    <w:rsid w:val="00427EF5"/>
    <w:rsid w:val="004300FF"/>
    <w:rsid w:val="00430653"/>
    <w:rsid w:val="004309F5"/>
    <w:rsid w:val="00431982"/>
    <w:rsid w:val="00431A74"/>
    <w:rsid w:val="00431BE0"/>
    <w:rsid w:val="004332AD"/>
    <w:rsid w:val="00433880"/>
    <w:rsid w:val="00433B4A"/>
    <w:rsid w:val="004341EE"/>
    <w:rsid w:val="004343AA"/>
    <w:rsid w:val="00434824"/>
    <w:rsid w:val="004348FC"/>
    <w:rsid w:val="004351F1"/>
    <w:rsid w:val="00435B8A"/>
    <w:rsid w:val="00435C7B"/>
    <w:rsid w:val="00435DC0"/>
    <w:rsid w:val="00436BC0"/>
    <w:rsid w:val="00437406"/>
    <w:rsid w:val="004374EC"/>
    <w:rsid w:val="00437D3D"/>
    <w:rsid w:val="0044106B"/>
    <w:rsid w:val="004411BC"/>
    <w:rsid w:val="00441984"/>
    <w:rsid w:val="004419C5"/>
    <w:rsid w:val="00441C9B"/>
    <w:rsid w:val="00441D0B"/>
    <w:rsid w:val="00442336"/>
    <w:rsid w:val="00442A44"/>
    <w:rsid w:val="004438A1"/>
    <w:rsid w:val="0044391F"/>
    <w:rsid w:val="00443D32"/>
    <w:rsid w:val="004441B4"/>
    <w:rsid w:val="00444464"/>
    <w:rsid w:val="00444997"/>
    <w:rsid w:val="00444C73"/>
    <w:rsid w:val="004450A0"/>
    <w:rsid w:val="00445218"/>
    <w:rsid w:val="004453EE"/>
    <w:rsid w:val="004453F2"/>
    <w:rsid w:val="0044540B"/>
    <w:rsid w:val="004455BC"/>
    <w:rsid w:val="00445614"/>
    <w:rsid w:val="00446571"/>
    <w:rsid w:val="004465AF"/>
    <w:rsid w:val="00446D37"/>
    <w:rsid w:val="00446F26"/>
    <w:rsid w:val="004470ED"/>
    <w:rsid w:val="004475D3"/>
    <w:rsid w:val="00447A43"/>
    <w:rsid w:val="004503E6"/>
    <w:rsid w:val="00450571"/>
    <w:rsid w:val="00450677"/>
    <w:rsid w:val="00450ADF"/>
    <w:rsid w:val="00450E90"/>
    <w:rsid w:val="004513D7"/>
    <w:rsid w:val="00451B84"/>
    <w:rsid w:val="00451F0A"/>
    <w:rsid w:val="00452911"/>
    <w:rsid w:val="00452C20"/>
    <w:rsid w:val="00453863"/>
    <w:rsid w:val="00453BB9"/>
    <w:rsid w:val="004540C4"/>
    <w:rsid w:val="00454129"/>
    <w:rsid w:val="00454C27"/>
    <w:rsid w:val="00454CA8"/>
    <w:rsid w:val="004554DE"/>
    <w:rsid w:val="00455E8D"/>
    <w:rsid w:val="004564C8"/>
    <w:rsid w:val="004567FB"/>
    <w:rsid w:val="00456C31"/>
    <w:rsid w:val="00456DE8"/>
    <w:rsid w:val="00457AC2"/>
    <w:rsid w:val="00457C29"/>
    <w:rsid w:val="00460B15"/>
    <w:rsid w:val="00460F51"/>
    <w:rsid w:val="0046100C"/>
    <w:rsid w:val="00461500"/>
    <w:rsid w:val="00462697"/>
    <w:rsid w:val="00462773"/>
    <w:rsid w:val="00464535"/>
    <w:rsid w:val="00464A26"/>
    <w:rsid w:val="00464A3D"/>
    <w:rsid w:val="00465971"/>
    <w:rsid w:val="00465A01"/>
    <w:rsid w:val="004661A8"/>
    <w:rsid w:val="00467959"/>
    <w:rsid w:val="00467EFA"/>
    <w:rsid w:val="00470566"/>
    <w:rsid w:val="00470C6A"/>
    <w:rsid w:val="00470F97"/>
    <w:rsid w:val="004711E1"/>
    <w:rsid w:val="00471221"/>
    <w:rsid w:val="00471997"/>
    <w:rsid w:val="004722B2"/>
    <w:rsid w:val="0047231F"/>
    <w:rsid w:val="0047259C"/>
    <w:rsid w:val="00472717"/>
    <w:rsid w:val="00473585"/>
    <w:rsid w:val="00473B09"/>
    <w:rsid w:val="00473C0C"/>
    <w:rsid w:val="00474310"/>
    <w:rsid w:val="0047431C"/>
    <w:rsid w:val="00474769"/>
    <w:rsid w:val="00474BEE"/>
    <w:rsid w:val="00475596"/>
    <w:rsid w:val="00475C7B"/>
    <w:rsid w:val="00475C90"/>
    <w:rsid w:val="00476183"/>
    <w:rsid w:val="0047631D"/>
    <w:rsid w:val="004771D4"/>
    <w:rsid w:val="00477C9A"/>
    <w:rsid w:val="00477FDE"/>
    <w:rsid w:val="0048045F"/>
    <w:rsid w:val="00480AEC"/>
    <w:rsid w:val="00480F1B"/>
    <w:rsid w:val="004810D2"/>
    <w:rsid w:val="00482696"/>
    <w:rsid w:val="0048387B"/>
    <w:rsid w:val="0048491F"/>
    <w:rsid w:val="00484B51"/>
    <w:rsid w:val="00484E99"/>
    <w:rsid w:val="004911CE"/>
    <w:rsid w:val="0049214F"/>
    <w:rsid w:val="00492D63"/>
    <w:rsid w:val="00492F10"/>
    <w:rsid w:val="004932F5"/>
    <w:rsid w:val="00494324"/>
    <w:rsid w:val="004945C5"/>
    <w:rsid w:val="00494765"/>
    <w:rsid w:val="00494831"/>
    <w:rsid w:val="00494E9B"/>
    <w:rsid w:val="00494FAF"/>
    <w:rsid w:val="004952FD"/>
    <w:rsid w:val="00496F9A"/>
    <w:rsid w:val="00497CD7"/>
    <w:rsid w:val="004A0191"/>
    <w:rsid w:val="004A03F9"/>
    <w:rsid w:val="004A1418"/>
    <w:rsid w:val="004A1B5A"/>
    <w:rsid w:val="004A231D"/>
    <w:rsid w:val="004A238B"/>
    <w:rsid w:val="004A2557"/>
    <w:rsid w:val="004A25E4"/>
    <w:rsid w:val="004A26BA"/>
    <w:rsid w:val="004A2ACF"/>
    <w:rsid w:val="004A3D50"/>
    <w:rsid w:val="004A4881"/>
    <w:rsid w:val="004A495F"/>
    <w:rsid w:val="004A6724"/>
    <w:rsid w:val="004A690D"/>
    <w:rsid w:val="004A6EC3"/>
    <w:rsid w:val="004A7284"/>
    <w:rsid w:val="004A7432"/>
    <w:rsid w:val="004B07D4"/>
    <w:rsid w:val="004B14B1"/>
    <w:rsid w:val="004B164B"/>
    <w:rsid w:val="004B1930"/>
    <w:rsid w:val="004B1A0B"/>
    <w:rsid w:val="004B1E43"/>
    <w:rsid w:val="004B1EDE"/>
    <w:rsid w:val="004B1F31"/>
    <w:rsid w:val="004B212B"/>
    <w:rsid w:val="004B258F"/>
    <w:rsid w:val="004B333F"/>
    <w:rsid w:val="004B400D"/>
    <w:rsid w:val="004B4876"/>
    <w:rsid w:val="004B4980"/>
    <w:rsid w:val="004B4E19"/>
    <w:rsid w:val="004B559A"/>
    <w:rsid w:val="004B5BF7"/>
    <w:rsid w:val="004B6A39"/>
    <w:rsid w:val="004B7513"/>
    <w:rsid w:val="004B78AF"/>
    <w:rsid w:val="004C02B9"/>
    <w:rsid w:val="004C08CA"/>
    <w:rsid w:val="004C10CB"/>
    <w:rsid w:val="004C149C"/>
    <w:rsid w:val="004C15DA"/>
    <w:rsid w:val="004C2107"/>
    <w:rsid w:val="004C22E0"/>
    <w:rsid w:val="004C28DE"/>
    <w:rsid w:val="004C34B6"/>
    <w:rsid w:val="004C39B4"/>
    <w:rsid w:val="004C3C95"/>
    <w:rsid w:val="004C3F52"/>
    <w:rsid w:val="004C42E3"/>
    <w:rsid w:val="004C47E5"/>
    <w:rsid w:val="004C4811"/>
    <w:rsid w:val="004C4923"/>
    <w:rsid w:val="004C50A6"/>
    <w:rsid w:val="004C5388"/>
    <w:rsid w:val="004C5785"/>
    <w:rsid w:val="004C5C8D"/>
    <w:rsid w:val="004C5CDA"/>
    <w:rsid w:val="004C74F2"/>
    <w:rsid w:val="004C793E"/>
    <w:rsid w:val="004C7C27"/>
    <w:rsid w:val="004C7D15"/>
    <w:rsid w:val="004C7F87"/>
    <w:rsid w:val="004D0386"/>
    <w:rsid w:val="004D0931"/>
    <w:rsid w:val="004D0BE1"/>
    <w:rsid w:val="004D1858"/>
    <w:rsid w:val="004D3C89"/>
    <w:rsid w:val="004D48DB"/>
    <w:rsid w:val="004D4BD7"/>
    <w:rsid w:val="004D501E"/>
    <w:rsid w:val="004D5300"/>
    <w:rsid w:val="004D53B0"/>
    <w:rsid w:val="004D5776"/>
    <w:rsid w:val="004D5801"/>
    <w:rsid w:val="004D5930"/>
    <w:rsid w:val="004D5C7B"/>
    <w:rsid w:val="004D61DA"/>
    <w:rsid w:val="004D6478"/>
    <w:rsid w:val="004D6D54"/>
    <w:rsid w:val="004E11F1"/>
    <w:rsid w:val="004E1387"/>
    <w:rsid w:val="004E1A02"/>
    <w:rsid w:val="004E1F32"/>
    <w:rsid w:val="004E2440"/>
    <w:rsid w:val="004E2633"/>
    <w:rsid w:val="004E2C29"/>
    <w:rsid w:val="004E30CB"/>
    <w:rsid w:val="004E3AD6"/>
    <w:rsid w:val="004E3FD4"/>
    <w:rsid w:val="004E4324"/>
    <w:rsid w:val="004E4657"/>
    <w:rsid w:val="004E4B3E"/>
    <w:rsid w:val="004E58BF"/>
    <w:rsid w:val="004E5971"/>
    <w:rsid w:val="004E6F4C"/>
    <w:rsid w:val="004E7CF5"/>
    <w:rsid w:val="004F0EE5"/>
    <w:rsid w:val="004F1116"/>
    <w:rsid w:val="004F14DA"/>
    <w:rsid w:val="004F1A8A"/>
    <w:rsid w:val="004F213E"/>
    <w:rsid w:val="004F3616"/>
    <w:rsid w:val="004F471C"/>
    <w:rsid w:val="004F67E4"/>
    <w:rsid w:val="004F6B79"/>
    <w:rsid w:val="004F7608"/>
    <w:rsid w:val="004F7725"/>
    <w:rsid w:val="004F7B54"/>
    <w:rsid w:val="0050026B"/>
    <w:rsid w:val="005007C5"/>
    <w:rsid w:val="005011DB"/>
    <w:rsid w:val="0050127E"/>
    <w:rsid w:val="0050182F"/>
    <w:rsid w:val="00501874"/>
    <w:rsid w:val="00501F3E"/>
    <w:rsid w:val="00502049"/>
    <w:rsid w:val="00502105"/>
    <w:rsid w:val="00502F6D"/>
    <w:rsid w:val="00503569"/>
    <w:rsid w:val="00503849"/>
    <w:rsid w:val="00503B70"/>
    <w:rsid w:val="00504068"/>
    <w:rsid w:val="005049A8"/>
    <w:rsid w:val="00504CAA"/>
    <w:rsid w:val="00504DAD"/>
    <w:rsid w:val="00505E6F"/>
    <w:rsid w:val="0050673B"/>
    <w:rsid w:val="005069A4"/>
    <w:rsid w:val="00506B14"/>
    <w:rsid w:val="00506D65"/>
    <w:rsid w:val="00507B38"/>
    <w:rsid w:val="00507BD2"/>
    <w:rsid w:val="00510073"/>
    <w:rsid w:val="00510244"/>
    <w:rsid w:val="0051028C"/>
    <w:rsid w:val="00510527"/>
    <w:rsid w:val="00510A66"/>
    <w:rsid w:val="00510AE4"/>
    <w:rsid w:val="005112DB"/>
    <w:rsid w:val="00511348"/>
    <w:rsid w:val="005114CD"/>
    <w:rsid w:val="0051155F"/>
    <w:rsid w:val="005118C8"/>
    <w:rsid w:val="00512008"/>
    <w:rsid w:val="00513237"/>
    <w:rsid w:val="00513CA0"/>
    <w:rsid w:val="00514BE0"/>
    <w:rsid w:val="005156B2"/>
    <w:rsid w:val="00516161"/>
    <w:rsid w:val="0051643D"/>
    <w:rsid w:val="00516717"/>
    <w:rsid w:val="00516A5A"/>
    <w:rsid w:val="00516BE3"/>
    <w:rsid w:val="005177F0"/>
    <w:rsid w:val="00517F71"/>
    <w:rsid w:val="00520171"/>
    <w:rsid w:val="00520419"/>
    <w:rsid w:val="005211CD"/>
    <w:rsid w:val="005222C2"/>
    <w:rsid w:val="0052269D"/>
    <w:rsid w:val="0052317F"/>
    <w:rsid w:val="00523994"/>
    <w:rsid w:val="005239BF"/>
    <w:rsid w:val="00523A9A"/>
    <w:rsid w:val="00523B47"/>
    <w:rsid w:val="0052485B"/>
    <w:rsid w:val="00524EEB"/>
    <w:rsid w:val="00525043"/>
    <w:rsid w:val="00525288"/>
    <w:rsid w:val="005258B1"/>
    <w:rsid w:val="00525F0B"/>
    <w:rsid w:val="00525FEE"/>
    <w:rsid w:val="0052626E"/>
    <w:rsid w:val="005263DC"/>
    <w:rsid w:val="005269D2"/>
    <w:rsid w:val="00526D7D"/>
    <w:rsid w:val="0052746C"/>
    <w:rsid w:val="005308DC"/>
    <w:rsid w:val="00530C05"/>
    <w:rsid w:val="00531A7A"/>
    <w:rsid w:val="00531C29"/>
    <w:rsid w:val="00532B2D"/>
    <w:rsid w:val="00532EDB"/>
    <w:rsid w:val="00532F50"/>
    <w:rsid w:val="00535132"/>
    <w:rsid w:val="00535804"/>
    <w:rsid w:val="00535CF6"/>
    <w:rsid w:val="00536895"/>
    <w:rsid w:val="00536CB1"/>
    <w:rsid w:val="0053722E"/>
    <w:rsid w:val="0054058D"/>
    <w:rsid w:val="005405F9"/>
    <w:rsid w:val="00540F3C"/>
    <w:rsid w:val="00541991"/>
    <w:rsid w:val="00541A35"/>
    <w:rsid w:val="0054260F"/>
    <w:rsid w:val="00542A96"/>
    <w:rsid w:val="005431DB"/>
    <w:rsid w:val="005432D6"/>
    <w:rsid w:val="00543411"/>
    <w:rsid w:val="00543AB2"/>
    <w:rsid w:val="0054421E"/>
    <w:rsid w:val="0054457B"/>
    <w:rsid w:val="00544605"/>
    <w:rsid w:val="005452DA"/>
    <w:rsid w:val="00546864"/>
    <w:rsid w:val="00546BBB"/>
    <w:rsid w:val="00547F88"/>
    <w:rsid w:val="00550275"/>
    <w:rsid w:val="00550712"/>
    <w:rsid w:val="00551642"/>
    <w:rsid w:val="00552E28"/>
    <w:rsid w:val="005530FC"/>
    <w:rsid w:val="00553130"/>
    <w:rsid w:val="0055327C"/>
    <w:rsid w:val="005532E1"/>
    <w:rsid w:val="005538DD"/>
    <w:rsid w:val="00553B00"/>
    <w:rsid w:val="005545E5"/>
    <w:rsid w:val="00554C2C"/>
    <w:rsid w:val="00554F32"/>
    <w:rsid w:val="00555079"/>
    <w:rsid w:val="00555B90"/>
    <w:rsid w:val="0055600F"/>
    <w:rsid w:val="00556CF2"/>
    <w:rsid w:val="00556E2F"/>
    <w:rsid w:val="00556E7C"/>
    <w:rsid w:val="005572F3"/>
    <w:rsid w:val="00560196"/>
    <w:rsid w:val="00560453"/>
    <w:rsid w:val="005604E2"/>
    <w:rsid w:val="00560CBD"/>
    <w:rsid w:val="00560F1B"/>
    <w:rsid w:val="00560FE7"/>
    <w:rsid w:val="005624F7"/>
    <w:rsid w:val="00562919"/>
    <w:rsid w:val="005629FE"/>
    <w:rsid w:val="005633B9"/>
    <w:rsid w:val="00563E88"/>
    <w:rsid w:val="00564015"/>
    <w:rsid w:val="00564190"/>
    <w:rsid w:val="00564569"/>
    <w:rsid w:val="00564D47"/>
    <w:rsid w:val="00565776"/>
    <w:rsid w:val="0056593C"/>
    <w:rsid w:val="0056622F"/>
    <w:rsid w:val="00566C5A"/>
    <w:rsid w:val="005670E5"/>
    <w:rsid w:val="0056748B"/>
    <w:rsid w:val="0056748F"/>
    <w:rsid w:val="00567B83"/>
    <w:rsid w:val="00567C21"/>
    <w:rsid w:val="00567D22"/>
    <w:rsid w:val="00567E09"/>
    <w:rsid w:val="00570060"/>
    <w:rsid w:val="0057009F"/>
    <w:rsid w:val="005702F5"/>
    <w:rsid w:val="0057039E"/>
    <w:rsid w:val="00570789"/>
    <w:rsid w:val="005709C7"/>
    <w:rsid w:val="0057103B"/>
    <w:rsid w:val="005711B1"/>
    <w:rsid w:val="0057163B"/>
    <w:rsid w:val="00572139"/>
    <w:rsid w:val="005722C9"/>
    <w:rsid w:val="00572397"/>
    <w:rsid w:val="005727F0"/>
    <w:rsid w:val="0057324A"/>
    <w:rsid w:val="00573750"/>
    <w:rsid w:val="00573B55"/>
    <w:rsid w:val="00574254"/>
    <w:rsid w:val="00574A7D"/>
    <w:rsid w:val="005751BF"/>
    <w:rsid w:val="0057564E"/>
    <w:rsid w:val="00575E79"/>
    <w:rsid w:val="005772BA"/>
    <w:rsid w:val="0057751F"/>
    <w:rsid w:val="0057784C"/>
    <w:rsid w:val="005805FA"/>
    <w:rsid w:val="00580E2E"/>
    <w:rsid w:val="00581090"/>
    <w:rsid w:val="00582514"/>
    <w:rsid w:val="00582680"/>
    <w:rsid w:val="00582EFA"/>
    <w:rsid w:val="00583B0C"/>
    <w:rsid w:val="0058414F"/>
    <w:rsid w:val="00585329"/>
    <w:rsid w:val="00585474"/>
    <w:rsid w:val="00585606"/>
    <w:rsid w:val="005867C8"/>
    <w:rsid w:val="00587261"/>
    <w:rsid w:val="00587349"/>
    <w:rsid w:val="00587913"/>
    <w:rsid w:val="0059124E"/>
    <w:rsid w:val="00591873"/>
    <w:rsid w:val="00592122"/>
    <w:rsid w:val="005921A9"/>
    <w:rsid w:val="0059237E"/>
    <w:rsid w:val="00592A19"/>
    <w:rsid w:val="005932DF"/>
    <w:rsid w:val="00593664"/>
    <w:rsid w:val="0059415D"/>
    <w:rsid w:val="00594230"/>
    <w:rsid w:val="00594439"/>
    <w:rsid w:val="00594811"/>
    <w:rsid w:val="005952C6"/>
    <w:rsid w:val="00595499"/>
    <w:rsid w:val="00595729"/>
    <w:rsid w:val="00596707"/>
    <w:rsid w:val="00596F38"/>
    <w:rsid w:val="005970E7"/>
    <w:rsid w:val="005972B8"/>
    <w:rsid w:val="00597C78"/>
    <w:rsid w:val="00597C7F"/>
    <w:rsid w:val="005A0B58"/>
    <w:rsid w:val="005A10B3"/>
    <w:rsid w:val="005A1916"/>
    <w:rsid w:val="005A26D0"/>
    <w:rsid w:val="005A2E3B"/>
    <w:rsid w:val="005A301C"/>
    <w:rsid w:val="005A3DBB"/>
    <w:rsid w:val="005A45EA"/>
    <w:rsid w:val="005A4E00"/>
    <w:rsid w:val="005A50EE"/>
    <w:rsid w:val="005A6850"/>
    <w:rsid w:val="005A6AD8"/>
    <w:rsid w:val="005A6C5B"/>
    <w:rsid w:val="005A741C"/>
    <w:rsid w:val="005B04B6"/>
    <w:rsid w:val="005B0D0B"/>
    <w:rsid w:val="005B0D1E"/>
    <w:rsid w:val="005B0EC4"/>
    <w:rsid w:val="005B1FF3"/>
    <w:rsid w:val="005B2510"/>
    <w:rsid w:val="005B25F9"/>
    <w:rsid w:val="005B31FB"/>
    <w:rsid w:val="005B324B"/>
    <w:rsid w:val="005B32A1"/>
    <w:rsid w:val="005B3D32"/>
    <w:rsid w:val="005B3FF7"/>
    <w:rsid w:val="005B4844"/>
    <w:rsid w:val="005B50F8"/>
    <w:rsid w:val="005B51DC"/>
    <w:rsid w:val="005B5339"/>
    <w:rsid w:val="005B584B"/>
    <w:rsid w:val="005B5863"/>
    <w:rsid w:val="005B6B55"/>
    <w:rsid w:val="005B767E"/>
    <w:rsid w:val="005B796B"/>
    <w:rsid w:val="005B7BDC"/>
    <w:rsid w:val="005B7CEB"/>
    <w:rsid w:val="005C0185"/>
    <w:rsid w:val="005C082E"/>
    <w:rsid w:val="005C1380"/>
    <w:rsid w:val="005C200F"/>
    <w:rsid w:val="005C21F1"/>
    <w:rsid w:val="005C2331"/>
    <w:rsid w:val="005C26B5"/>
    <w:rsid w:val="005C49D2"/>
    <w:rsid w:val="005C49E1"/>
    <w:rsid w:val="005C4D05"/>
    <w:rsid w:val="005C4E69"/>
    <w:rsid w:val="005C4E99"/>
    <w:rsid w:val="005C52D7"/>
    <w:rsid w:val="005C5385"/>
    <w:rsid w:val="005C6228"/>
    <w:rsid w:val="005C6F84"/>
    <w:rsid w:val="005C732B"/>
    <w:rsid w:val="005C7425"/>
    <w:rsid w:val="005C77CD"/>
    <w:rsid w:val="005C7AD8"/>
    <w:rsid w:val="005C7B68"/>
    <w:rsid w:val="005C7C69"/>
    <w:rsid w:val="005D0E69"/>
    <w:rsid w:val="005D17CC"/>
    <w:rsid w:val="005D1A4B"/>
    <w:rsid w:val="005D33B3"/>
    <w:rsid w:val="005D3988"/>
    <w:rsid w:val="005D3AA4"/>
    <w:rsid w:val="005D3D81"/>
    <w:rsid w:val="005D438F"/>
    <w:rsid w:val="005D4B6B"/>
    <w:rsid w:val="005D58B3"/>
    <w:rsid w:val="005D63CF"/>
    <w:rsid w:val="005D67D9"/>
    <w:rsid w:val="005D6899"/>
    <w:rsid w:val="005D68C0"/>
    <w:rsid w:val="005D6E4F"/>
    <w:rsid w:val="005D7049"/>
    <w:rsid w:val="005D71B4"/>
    <w:rsid w:val="005E03AE"/>
    <w:rsid w:val="005E0DA0"/>
    <w:rsid w:val="005E0F68"/>
    <w:rsid w:val="005E1728"/>
    <w:rsid w:val="005E1AC6"/>
    <w:rsid w:val="005E1DE5"/>
    <w:rsid w:val="005E24DB"/>
    <w:rsid w:val="005E2669"/>
    <w:rsid w:val="005E2C6B"/>
    <w:rsid w:val="005E3BD6"/>
    <w:rsid w:val="005E3C4B"/>
    <w:rsid w:val="005E3F14"/>
    <w:rsid w:val="005E3FAF"/>
    <w:rsid w:val="005E44B8"/>
    <w:rsid w:val="005E5282"/>
    <w:rsid w:val="005E5DD8"/>
    <w:rsid w:val="005E6189"/>
    <w:rsid w:val="005E6326"/>
    <w:rsid w:val="005E6499"/>
    <w:rsid w:val="005E67D7"/>
    <w:rsid w:val="005E6DBF"/>
    <w:rsid w:val="005E6FE6"/>
    <w:rsid w:val="005E79EC"/>
    <w:rsid w:val="005F0452"/>
    <w:rsid w:val="005F062F"/>
    <w:rsid w:val="005F118B"/>
    <w:rsid w:val="005F1557"/>
    <w:rsid w:val="005F1F5D"/>
    <w:rsid w:val="005F2A81"/>
    <w:rsid w:val="005F2D95"/>
    <w:rsid w:val="005F3298"/>
    <w:rsid w:val="005F375D"/>
    <w:rsid w:val="005F4C07"/>
    <w:rsid w:val="005F54DB"/>
    <w:rsid w:val="005F5820"/>
    <w:rsid w:val="005F5AD3"/>
    <w:rsid w:val="005F6163"/>
    <w:rsid w:val="005F6427"/>
    <w:rsid w:val="005F762A"/>
    <w:rsid w:val="005F7C0D"/>
    <w:rsid w:val="005F7C10"/>
    <w:rsid w:val="006004B0"/>
    <w:rsid w:val="00600680"/>
    <w:rsid w:val="00600C50"/>
    <w:rsid w:val="006010CD"/>
    <w:rsid w:val="00601184"/>
    <w:rsid w:val="00601D9B"/>
    <w:rsid w:val="00602355"/>
    <w:rsid w:val="00602B03"/>
    <w:rsid w:val="00603017"/>
    <w:rsid w:val="00604AF4"/>
    <w:rsid w:val="00604EE1"/>
    <w:rsid w:val="006054CF"/>
    <w:rsid w:val="00605558"/>
    <w:rsid w:val="00606088"/>
    <w:rsid w:val="006060C5"/>
    <w:rsid w:val="006061F5"/>
    <w:rsid w:val="00606FB5"/>
    <w:rsid w:val="00607611"/>
    <w:rsid w:val="006118CA"/>
    <w:rsid w:val="00612062"/>
    <w:rsid w:val="00612125"/>
    <w:rsid w:val="00612C9F"/>
    <w:rsid w:val="0061490D"/>
    <w:rsid w:val="00616074"/>
    <w:rsid w:val="00616A56"/>
    <w:rsid w:val="00616B0C"/>
    <w:rsid w:val="00616B9D"/>
    <w:rsid w:val="00616CA7"/>
    <w:rsid w:val="00617002"/>
    <w:rsid w:val="006173E9"/>
    <w:rsid w:val="00617DFB"/>
    <w:rsid w:val="00620142"/>
    <w:rsid w:val="0062082B"/>
    <w:rsid w:val="0062092E"/>
    <w:rsid w:val="00621252"/>
    <w:rsid w:val="0062218B"/>
    <w:rsid w:val="00623311"/>
    <w:rsid w:val="00624AE8"/>
    <w:rsid w:val="00624D5D"/>
    <w:rsid w:val="00625C18"/>
    <w:rsid w:val="00625E33"/>
    <w:rsid w:val="00625FF0"/>
    <w:rsid w:val="006260A3"/>
    <w:rsid w:val="00626554"/>
    <w:rsid w:val="00626D9E"/>
    <w:rsid w:val="00627AAC"/>
    <w:rsid w:val="00627EA6"/>
    <w:rsid w:val="00630215"/>
    <w:rsid w:val="00630256"/>
    <w:rsid w:val="006311FA"/>
    <w:rsid w:val="00631C57"/>
    <w:rsid w:val="00632495"/>
    <w:rsid w:val="00632C4E"/>
    <w:rsid w:val="00633034"/>
    <w:rsid w:val="006333FF"/>
    <w:rsid w:val="006339D7"/>
    <w:rsid w:val="00634E3C"/>
    <w:rsid w:val="00635C92"/>
    <w:rsid w:val="00635CA9"/>
    <w:rsid w:val="0063674C"/>
    <w:rsid w:val="006371E7"/>
    <w:rsid w:val="006372E4"/>
    <w:rsid w:val="0063754B"/>
    <w:rsid w:val="006376EE"/>
    <w:rsid w:val="00637D57"/>
    <w:rsid w:val="0064098D"/>
    <w:rsid w:val="00642C1F"/>
    <w:rsid w:val="00642C76"/>
    <w:rsid w:val="00643682"/>
    <w:rsid w:val="00644070"/>
    <w:rsid w:val="006451EB"/>
    <w:rsid w:val="00647183"/>
    <w:rsid w:val="006478CF"/>
    <w:rsid w:val="00647D00"/>
    <w:rsid w:val="00647DD6"/>
    <w:rsid w:val="00650757"/>
    <w:rsid w:val="00650887"/>
    <w:rsid w:val="00651202"/>
    <w:rsid w:val="006515A0"/>
    <w:rsid w:val="006515E4"/>
    <w:rsid w:val="00651B7D"/>
    <w:rsid w:val="006537F6"/>
    <w:rsid w:val="006547CF"/>
    <w:rsid w:val="00654F94"/>
    <w:rsid w:val="006552BF"/>
    <w:rsid w:val="00655510"/>
    <w:rsid w:val="006556F3"/>
    <w:rsid w:val="0065575B"/>
    <w:rsid w:val="0065583F"/>
    <w:rsid w:val="006565AA"/>
    <w:rsid w:val="006567FF"/>
    <w:rsid w:val="00657115"/>
    <w:rsid w:val="0065715F"/>
    <w:rsid w:val="006573C7"/>
    <w:rsid w:val="00657AD7"/>
    <w:rsid w:val="00657BBA"/>
    <w:rsid w:val="00657F9D"/>
    <w:rsid w:val="00660031"/>
    <w:rsid w:val="00660605"/>
    <w:rsid w:val="0066074B"/>
    <w:rsid w:val="0066086E"/>
    <w:rsid w:val="00660E77"/>
    <w:rsid w:val="00661F09"/>
    <w:rsid w:val="00662057"/>
    <w:rsid w:val="00662248"/>
    <w:rsid w:val="0066227D"/>
    <w:rsid w:val="006622A7"/>
    <w:rsid w:val="00662991"/>
    <w:rsid w:val="00662E42"/>
    <w:rsid w:val="0066320A"/>
    <w:rsid w:val="006635C6"/>
    <w:rsid w:val="006642B8"/>
    <w:rsid w:val="00664617"/>
    <w:rsid w:val="00664B01"/>
    <w:rsid w:val="0066508C"/>
    <w:rsid w:val="006651C5"/>
    <w:rsid w:val="00665A75"/>
    <w:rsid w:val="00665CD5"/>
    <w:rsid w:val="00665D64"/>
    <w:rsid w:val="00665EB4"/>
    <w:rsid w:val="00666826"/>
    <w:rsid w:val="00667001"/>
    <w:rsid w:val="00667DBD"/>
    <w:rsid w:val="00670A43"/>
    <w:rsid w:val="00670A62"/>
    <w:rsid w:val="00670D77"/>
    <w:rsid w:val="0067263F"/>
    <w:rsid w:val="00672AF2"/>
    <w:rsid w:val="00672F19"/>
    <w:rsid w:val="00673296"/>
    <w:rsid w:val="00673F63"/>
    <w:rsid w:val="0067445A"/>
    <w:rsid w:val="006747F1"/>
    <w:rsid w:val="00674F00"/>
    <w:rsid w:val="006756C2"/>
    <w:rsid w:val="00675764"/>
    <w:rsid w:val="00675CFD"/>
    <w:rsid w:val="00676007"/>
    <w:rsid w:val="006765F3"/>
    <w:rsid w:val="00676E76"/>
    <w:rsid w:val="00677537"/>
    <w:rsid w:val="00677A02"/>
    <w:rsid w:val="00677DEA"/>
    <w:rsid w:val="006800C1"/>
    <w:rsid w:val="0068028B"/>
    <w:rsid w:val="00680D5B"/>
    <w:rsid w:val="006819F5"/>
    <w:rsid w:val="00682A9F"/>
    <w:rsid w:val="00682F88"/>
    <w:rsid w:val="00683125"/>
    <w:rsid w:val="0068472F"/>
    <w:rsid w:val="00684ED5"/>
    <w:rsid w:val="006855B0"/>
    <w:rsid w:val="00686257"/>
    <w:rsid w:val="00686E31"/>
    <w:rsid w:val="00687842"/>
    <w:rsid w:val="00687E05"/>
    <w:rsid w:val="006902B9"/>
    <w:rsid w:val="00690AFF"/>
    <w:rsid w:val="00691176"/>
    <w:rsid w:val="00691A42"/>
    <w:rsid w:val="00691FA7"/>
    <w:rsid w:val="006923DB"/>
    <w:rsid w:val="006930CA"/>
    <w:rsid w:val="0069326B"/>
    <w:rsid w:val="0069359C"/>
    <w:rsid w:val="006942EF"/>
    <w:rsid w:val="00694F9A"/>
    <w:rsid w:val="006950A7"/>
    <w:rsid w:val="006952D0"/>
    <w:rsid w:val="006953DB"/>
    <w:rsid w:val="006955D3"/>
    <w:rsid w:val="00695930"/>
    <w:rsid w:val="00695A98"/>
    <w:rsid w:val="00696714"/>
    <w:rsid w:val="00696748"/>
    <w:rsid w:val="0069679B"/>
    <w:rsid w:val="00696E23"/>
    <w:rsid w:val="006A07E7"/>
    <w:rsid w:val="006A0DBD"/>
    <w:rsid w:val="006A0EED"/>
    <w:rsid w:val="006A2246"/>
    <w:rsid w:val="006A23B8"/>
    <w:rsid w:val="006A2975"/>
    <w:rsid w:val="006A2F2F"/>
    <w:rsid w:val="006A3123"/>
    <w:rsid w:val="006A3243"/>
    <w:rsid w:val="006A325B"/>
    <w:rsid w:val="006A34D8"/>
    <w:rsid w:val="006A43CC"/>
    <w:rsid w:val="006A4E42"/>
    <w:rsid w:val="006A53C1"/>
    <w:rsid w:val="006A61B2"/>
    <w:rsid w:val="006A70BF"/>
    <w:rsid w:val="006A7137"/>
    <w:rsid w:val="006B08D8"/>
    <w:rsid w:val="006B126F"/>
    <w:rsid w:val="006B1728"/>
    <w:rsid w:val="006B17ED"/>
    <w:rsid w:val="006B1DF0"/>
    <w:rsid w:val="006B2A11"/>
    <w:rsid w:val="006B2A1C"/>
    <w:rsid w:val="006B3010"/>
    <w:rsid w:val="006B383F"/>
    <w:rsid w:val="006B3AA1"/>
    <w:rsid w:val="006B3DAD"/>
    <w:rsid w:val="006B41EF"/>
    <w:rsid w:val="006B4569"/>
    <w:rsid w:val="006B4BA6"/>
    <w:rsid w:val="006B5297"/>
    <w:rsid w:val="006B55D6"/>
    <w:rsid w:val="006B5602"/>
    <w:rsid w:val="006B5782"/>
    <w:rsid w:val="006B57C1"/>
    <w:rsid w:val="006B610A"/>
    <w:rsid w:val="006B6B54"/>
    <w:rsid w:val="006B74C1"/>
    <w:rsid w:val="006B75AF"/>
    <w:rsid w:val="006B77B8"/>
    <w:rsid w:val="006B78E3"/>
    <w:rsid w:val="006B7C3D"/>
    <w:rsid w:val="006C06A9"/>
    <w:rsid w:val="006C07F9"/>
    <w:rsid w:val="006C0EF8"/>
    <w:rsid w:val="006C1135"/>
    <w:rsid w:val="006C1176"/>
    <w:rsid w:val="006C2551"/>
    <w:rsid w:val="006C2A0F"/>
    <w:rsid w:val="006C2A81"/>
    <w:rsid w:val="006C31CC"/>
    <w:rsid w:val="006C47BD"/>
    <w:rsid w:val="006C5532"/>
    <w:rsid w:val="006C5B7B"/>
    <w:rsid w:val="006C65EF"/>
    <w:rsid w:val="006C6EEC"/>
    <w:rsid w:val="006D028C"/>
    <w:rsid w:val="006D187D"/>
    <w:rsid w:val="006D2977"/>
    <w:rsid w:val="006D2D13"/>
    <w:rsid w:val="006D2DBB"/>
    <w:rsid w:val="006D3BC5"/>
    <w:rsid w:val="006D3C27"/>
    <w:rsid w:val="006D3E08"/>
    <w:rsid w:val="006D43DA"/>
    <w:rsid w:val="006D458F"/>
    <w:rsid w:val="006D4652"/>
    <w:rsid w:val="006D46AD"/>
    <w:rsid w:val="006D4C06"/>
    <w:rsid w:val="006D53B6"/>
    <w:rsid w:val="006D6134"/>
    <w:rsid w:val="006D6362"/>
    <w:rsid w:val="006D683C"/>
    <w:rsid w:val="006D6932"/>
    <w:rsid w:val="006D6FFB"/>
    <w:rsid w:val="006E0056"/>
    <w:rsid w:val="006E07FA"/>
    <w:rsid w:val="006E09E4"/>
    <w:rsid w:val="006E0CB7"/>
    <w:rsid w:val="006E1946"/>
    <w:rsid w:val="006E2014"/>
    <w:rsid w:val="006E262E"/>
    <w:rsid w:val="006E29F4"/>
    <w:rsid w:val="006E2BAB"/>
    <w:rsid w:val="006E2E30"/>
    <w:rsid w:val="006E2E43"/>
    <w:rsid w:val="006E36D9"/>
    <w:rsid w:val="006E3873"/>
    <w:rsid w:val="006E3A1C"/>
    <w:rsid w:val="006E3CFD"/>
    <w:rsid w:val="006E43F6"/>
    <w:rsid w:val="006E446A"/>
    <w:rsid w:val="006E4DD2"/>
    <w:rsid w:val="006E5763"/>
    <w:rsid w:val="006E5FF6"/>
    <w:rsid w:val="006E62EB"/>
    <w:rsid w:val="006E6350"/>
    <w:rsid w:val="006E747A"/>
    <w:rsid w:val="006E7CE2"/>
    <w:rsid w:val="006F0047"/>
    <w:rsid w:val="006F16DC"/>
    <w:rsid w:val="006F17D0"/>
    <w:rsid w:val="006F331B"/>
    <w:rsid w:val="006F3FC6"/>
    <w:rsid w:val="006F40A1"/>
    <w:rsid w:val="006F41C2"/>
    <w:rsid w:val="006F4AE9"/>
    <w:rsid w:val="006F4E0F"/>
    <w:rsid w:val="006F5501"/>
    <w:rsid w:val="006F64F6"/>
    <w:rsid w:val="006F67D0"/>
    <w:rsid w:val="006F7381"/>
    <w:rsid w:val="006F766B"/>
    <w:rsid w:val="007009C2"/>
    <w:rsid w:val="00700BB7"/>
    <w:rsid w:val="00701425"/>
    <w:rsid w:val="00701512"/>
    <w:rsid w:val="007015A1"/>
    <w:rsid w:val="0070187D"/>
    <w:rsid w:val="007038EF"/>
    <w:rsid w:val="00703EA1"/>
    <w:rsid w:val="007049AC"/>
    <w:rsid w:val="00704B3D"/>
    <w:rsid w:val="00705241"/>
    <w:rsid w:val="00705601"/>
    <w:rsid w:val="00705B4E"/>
    <w:rsid w:val="0070625A"/>
    <w:rsid w:val="00707106"/>
    <w:rsid w:val="0070722A"/>
    <w:rsid w:val="007072C9"/>
    <w:rsid w:val="0070733D"/>
    <w:rsid w:val="00707823"/>
    <w:rsid w:val="00707E22"/>
    <w:rsid w:val="00710061"/>
    <w:rsid w:val="0071071B"/>
    <w:rsid w:val="00710CBC"/>
    <w:rsid w:val="00710D74"/>
    <w:rsid w:val="00711629"/>
    <w:rsid w:val="00712662"/>
    <w:rsid w:val="0071395D"/>
    <w:rsid w:val="00713E85"/>
    <w:rsid w:val="007145E5"/>
    <w:rsid w:val="00714B26"/>
    <w:rsid w:val="00715301"/>
    <w:rsid w:val="00715626"/>
    <w:rsid w:val="007157C3"/>
    <w:rsid w:val="00715A83"/>
    <w:rsid w:val="00715DFA"/>
    <w:rsid w:val="00716B1A"/>
    <w:rsid w:val="00717B5F"/>
    <w:rsid w:val="00717C56"/>
    <w:rsid w:val="00720DD2"/>
    <w:rsid w:val="007211AE"/>
    <w:rsid w:val="00721504"/>
    <w:rsid w:val="0072196A"/>
    <w:rsid w:val="007219BA"/>
    <w:rsid w:val="00721CB6"/>
    <w:rsid w:val="00721D64"/>
    <w:rsid w:val="00721F8B"/>
    <w:rsid w:val="00722527"/>
    <w:rsid w:val="00722B0A"/>
    <w:rsid w:val="007232B8"/>
    <w:rsid w:val="007235A5"/>
    <w:rsid w:val="007235B7"/>
    <w:rsid w:val="00723684"/>
    <w:rsid w:val="00723BAA"/>
    <w:rsid w:val="00723EEA"/>
    <w:rsid w:val="0072403F"/>
    <w:rsid w:val="00724367"/>
    <w:rsid w:val="0072471A"/>
    <w:rsid w:val="00724831"/>
    <w:rsid w:val="00724D61"/>
    <w:rsid w:val="00725C81"/>
    <w:rsid w:val="00725E03"/>
    <w:rsid w:val="007267D0"/>
    <w:rsid w:val="00726CE3"/>
    <w:rsid w:val="00727A75"/>
    <w:rsid w:val="00727D1E"/>
    <w:rsid w:val="00730828"/>
    <w:rsid w:val="00730E6A"/>
    <w:rsid w:val="0073186E"/>
    <w:rsid w:val="007322B8"/>
    <w:rsid w:val="007332ED"/>
    <w:rsid w:val="007334A8"/>
    <w:rsid w:val="00733A02"/>
    <w:rsid w:val="00733E0F"/>
    <w:rsid w:val="00734986"/>
    <w:rsid w:val="00734BB7"/>
    <w:rsid w:val="00735495"/>
    <w:rsid w:val="00735C68"/>
    <w:rsid w:val="00735F8F"/>
    <w:rsid w:val="00736087"/>
    <w:rsid w:val="00736150"/>
    <w:rsid w:val="0073637A"/>
    <w:rsid w:val="00736CE9"/>
    <w:rsid w:val="00736D7E"/>
    <w:rsid w:val="007372F9"/>
    <w:rsid w:val="007376F2"/>
    <w:rsid w:val="00740048"/>
    <w:rsid w:val="0074142A"/>
    <w:rsid w:val="00741615"/>
    <w:rsid w:val="00741861"/>
    <w:rsid w:val="00741AC8"/>
    <w:rsid w:val="00742701"/>
    <w:rsid w:val="00742A16"/>
    <w:rsid w:val="00742BFF"/>
    <w:rsid w:val="00742D23"/>
    <w:rsid w:val="007431BC"/>
    <w:rsid w:val="007434FF"/>
    <w:rsid w:val="007435D0"/>
    <w:rsid w:val="00743690"/>
    <w:rsid w:val="00743D94"/>
    <w:rsid w:val="00743FA4"/>
    <w:rsid w:val="00744408"/>
    <w:rsid w:val="00744558"/>
    <w:rsid w:val="00745275"/>
    <w:rsid w:val="00745819"/>
    <w:rsid w:val="00745E20"/>
    <w:rsid w:val="007464C3"/>
    <w:rsid w:val="0074732B"/>
    <w:rsid w:val="007473D6"/>
    <w:rsid w:val="00747428"/>
    <w:rsid w:val="0074791C"/>
    <w:rsid w:val="007479BD"/>
    <w:rsid w:val="007503D8"/>
    <w:rsid w:val="00750B50"/>
    <w:rsid w:val="007513BF"/>
    <w:rsid w:val="00751BBA"/>
    <w:rsid w:val="00752447"/>
    <w:rsid w:val="00752515"/>
    <w:rsid w:val="00752D12"/>
    <w:rsid w:val="00752E36"/>
    <w:rsid w:val="00753049"/>
    <w:rsid w:val="007531BD"/>
    <w:rsid w:val="00753923"/>
    <w:rsid w:val="00753BC8"/>
    <w:rsid w:val="0075457C"/>
    <w:rsid w:val="00754675"/>
    <w:rsid w:val="00754A4B"/>
    <w:rsid w:val="00754EB6"/>
    <w:rsid w:val="0076161E"/>
    <w:rsid w:val="00761751"/>
    <w:rsid w:val="00761809"/>
    <w:rsid w:val="007619DF"/>
    <w:rsid w:val="00761CB7"/>
    <w:rsid w:val="00761D10"/>
    <w:rsid w:val="00762083"/>
    <w:rsid w:val="00762EA9"/>
    <w:rsid w:val="00763487"/>
    <w:rsid w:val="00764B1E"/>
    <w:rsid w:val="007650D2"/>
    <w:rsid w:val="0076557E"/>
    <w:rsid w:val="00765CF8"/>
    <w:rsid w:val="00766546"/>
    <w:rsid w:val="00766BEC"/>
    <w:rsid w:val="00766D81"/>
    <w:rsid w:val="00766D99"/>
    <w:rsid w:val="00766F09"/>
    <w:rsid w:val="00767092"/>
    <w:rsid w:val="00767336"/>
    <w:rsid w:val="0076753C"/>
    <w:rsid w:val="007675A1"/>
    <w:rsid w:val="00767726"/>
    <w:rsid w:val="007678B4"/>
    <w:rsid w:val="00767BBC"/>
    <w:rsid w:val="0077058E"/>
    <w:rsid w:val="0077078D"/>
    <w:rsid w:val="007707FF"/>
    <w:rsid w:val="00770C8A"/>
    <w:rsid w:val="0077108D"/>
    <w:rsid w:val="007713D6"/>
    <w:rsid w:val="0077163C"/>
    <w:rsid w:val="00772EC7"/>
    <w:rsid w:val="007732B1"/>
    <w:rsid w:val="007732BB"/>
    <w:rsid w:val="00773546"/>
    <w:rsid w:val="00773608"/>
    <w:rsid w:val="007736B2"/>
    <w:rsid w:val="00773731"/>
    <w:rsid w:val="0077402F"/>
    <w:rsid w:val="0077403F"/>
    <w:rsid w:val="0077498E"/>
    <w:rsid w:val="00774E9D"/>
    <w:rsid w:val="007751F3"/>
    <w:rsid w:val="00775D33"/>
    <w:rsid w:val="00776417"/>
    <w:rsid w:val="00776E42"/>
    <w:rsid w:val="00777154"/>
    <w:rsid w:val="0077764F"/>
    <w:rsid w:val="00777DC3"/>
    <w:rsid w:val="0078016D"/>
    <w:rsid w:val="00780260"/>
    <w:rsid w:val="0078053F"/>
    <w:rsid w:val="007808EE"/>
    <w:rsid w:val="00780944"/>
    <w:rsid w:val="00780CCE"/>
    <w:rsid w:val="00781586"/>
    <w:rsid w:val="00781FC9"/>
    <w:rsid w:val="0078203D"/>
    <w:rsid w:val="00782192"/>
    <w:rsid w:val="007822F3"/>
    <w:rsid w:val="00783447"/>
    <w:rsid w:val="007836CC"/>
    <w:rsid w:val="0078402E"/>
    <w:rsid w:val="007848FB"/>
    <w:rsid w:val="00785B30"/>
    <w:rsid w:val="00786AA8"/>
    <w:rsid w:val="00787B92"/>
    <w:rsid w:val="00790806"/>
    <w:rsid w:val="00790956"/>
    <w:rsid w:val="00790D3D"/>
    <w:rsid w:val="00790F77"/>
    <w:rsid w:val="00791CD5"/>
    <w:rsid w:val="00792083"/>
    <w:rsid w:val="007924D5"/>
    <w:rsid w:val="00792C01"/>
    <w:rsid w:val="007937BF"/>
    <w:rsid w:val="00793D33"/>
    <w:rsid w:val="007943DF"/>
    <w:rsid w:val="007944C4"/>
    <w:rsid w:val="007947C1"/>
    <w:rsid w:val="00794E6E"/>
    <w:rsid w:val="00796F88"/>
    <w:rsid w:val="007974F0"/>
    <w:rsid w:val="00797AA4"/>
    <w:rsid w:val="00797BFE"/>
    <w:rsid w:val="007A1E97"/>
    <w:rsid w:val="007A21F7"/>
    <w:rsid w:val="007A265B"/>
    <w:rsid w:val="007A2A00"/>
    <w:rsid w:val="007A2CD9"/>
    <w:rsid w:val="007A2F7C"/>
    <w:rsid w:val="007A3C62"/>
    <w:rsid w:val="007A3EF7"/>
    <w:rsid w:val="007A44F9"/>
    <w:rsid w:val="007A47B1"/>
    <w:rsid w:val="007A47DB"/>
    <w:rsid w:val="007A4C82"/>
    <w:rsid w:val="007A55EB"/>
    <w:rsid w:val="007A5887"/>
    <w:rsid w:val="007A6157"/>
    <w:rsid w:val="007A63AF"/>
    <w:rsid w:val="007A64CD"/>
    <w:rsid w:val="007A695E"/>
    <w:rsid w:val="007A6B26"/>
    <w:rsid w:val="007A6E65"/>
    <w:rsid w:val="007A7254"/>
    <w:rsid w:val="007A7661"/>
    <w:rsid w:val="007A7D25"/>
    <w:rsid w:val="007A7ECC"/>
    <w:rsid w:val="007B0A76"/>
    <w:rsid w:val="007B1090"/>
    <w:rsid w:val="007B159C"/>
    <w:rsid w:val="007B1863"/>
    <w:rsid w:val="007B18CA"/>
    <w:rsid w:val="007B230A"/>
    <w:rsid w:val="007B2F80"/>
    <w:rsid w:val="007B33A8"/>
    <w:rsid w:val="007B33ED"/>
    <w:rsid w:val="007B3D57"/>
    <w:rsid w:val="007B47E7"/>
    <w:rsid w:val="007B4F47"/>
    <w:rsid w:val="007B60A6"/>
    <w:rsid w:val="007B7539"/>
    <w:rsid w:val="007B7780"/>
    <w:rsid w:val="007C0498"/>
    <w:rsid w:val="007C0B1A"/>
    <w:rsid w:val="007C1FB2"/>
    <w:rsid w:val="007C2327"/>
    <w:rsid w:val="007C2902"/>
    <w:rsid w:val="007C3C98"/>
    <w:rsid w:val="007C3F82"/>
    <w:rsid w:val="007C4558"/>
    <w:rsid w:val="007C485A"/>
    <w:rsid w:val="007C4B34"/>
    <w:rsid w:val="007C5798"/>
    <w:rsid w:val="007C5CAF"/>
    <w:rsid w:val="007C66C5"/>
    <w:rsid w:val="007C67C2"/>
    <w:rsid w:val="007C693F"/>
    <w:rsid w:val="007C69BF"/>
    <w:rsid w:val="007C7254"/>
    <w:rsid w:val="007C7849"/>
    <w:rsid w:val="007C7FF0"/>
    <w:rsid w:val="007D055E"/>
    <w:rsid w:val="007D0811"/>
    <w:rsid w:val="007D0A58"/>
    <w:rsid w:val="007D12A4"/>
    <w:rsid w:val="007D18A9"/>
    <w:rsid w:val="007D1B41"/>
    <w:rsid w:val="007D1C46"/>
    <w:rsid w:val="007D2268"/>
    <w:rsid w:val="007D233B"/>
    <w:rsid w:val="007D33E9"/>
    <w:rsid w:val="007D34FA"/>
    <w:rsid w:val="007D37B8"/>
    <w:rsid w:val="007D3D02"/>
    <w:rsid w:val="007D3D8E"/>
    <w:rsid w:val="007D4122"/>
    <w:rsid w:val="007D41EC"/>
    <w:rsid w:val="007D4CBD"/>
    <w:rsid w:val="007D4EC8"/>
    <w:rsid w:val="007D5417"/>
    <w:rsid w:val="007D56EF"/>
    <w:rsid w:val="007D5EED"/>
    <w:rsid w:val="007D66D0"/>
    <w:rsid w:val="007D6781"/>
    <w:rsid w:val="007D6CA6"/>
    <w:rsid w:val="007D6CFC"/>
    <w:rsid w:val="007D7722"/>
    <w:rsid w:val="007D78B7"/>
    <w:rsid w:val="007D7E0B"/>
    <w:rsid w:val="007D7E8A"/>
    <w:rsid w:val="007E02A7"/>
    <w:rsid w:val="007E0405"/>
    <w:rsid w:val="007E19F2"/>
    <w:rsid w:val="007E1AC2"/>
    <w:rsid w:val="007E1E1D"/>
    <w:rsid w:val="007E234F"/>
    <w:rsid w:val="007E2AB4"/>
    <w:rsid w:val="007E33AB"/>
    <w:rsid w:val="007E40C7"/>
    <w:rsid w:val="007E4120"/>
    <w:rsid w:val="007E4449"/>
    <w:rsid w:val="007E4483"/>
    <w:rsid w:val="007E46C6"/>
    <w:rsid w:val="007E47D6"/>
    <w:rsid w:val="007E491E"/>
    <w:rsid w:val="007E4D8B"/>
    <w:rsid w:val="007E4EF7"/>
    <w:rsid w:val="007E50C2"/>
    <w:rsid w:val="007E565A"/>
    <w:rsid w:val="007E5886"/>
    <w:rsid w:val="007E61AF"/>
    <w:rsid w:val="007E66AE"/>
    <w:rsid w:val="007E6945"/>
    <w:rsid w:val="007E69FD"/>
    <w:rsid w:val="007E6CF1"/>
    <w:rsid w:val="007E77BE"/>
    <w:rsid w:val="007E7FCC"/>
    <w:rsid w:val="007F024C"/>
    <w:rsid w:val="007F0EA4"/>
    <w:rsid w:val="007F1E14"/>
    <w:rsid w:val="007F2288"/>
    <w:rsid w:val="007F3702"/>
    <w:rsid w:val="007F3EC1"/>
    <w:rsid w:val="007F41AC"/>
    <w:rsid w:val="007F4FDC"/>
    <w:rsid w:val="007F50D0"/>
    <w:rsid w:val="007F54A9"/>
    <w:rsid w:val="007F5DCC"/>
    <w:rsid w:val="007F6339"/>
    <w:rsid w:val="007F6813"/>
    <w:rsid w:val="007F6D9F"/>
    <w:rsid w:val="007F7251"/>
    <w:rsid w:val="007F7437"/>
    <w:rsid w:val="007F7A17"/>
    <w:rsid w:val="00800409"/>
    <w:rsid w:val="00800427"/>
    <w:rsid w:val="00800547"/>
    <w:rsid w:val="00800A86"/>
    <w:rsid w:val="00800C24"/>
    <w:rsid w:val="00801170"/>
    <w:rsid w:val="008017A4"/>
    <w:rsid w:val="008025E9"/>
    <w:rsid w:val="00803216"/>
    <w:rsid w:val="00803267"/>
    <w:rsid w:val="00803770"/>
    <w:rsid w:val="0080469D"/>
    <w:rsid w:val="0080488A"/>
    <w:rsid w:val="00804B0E"/>
    <w:rsid w:val="0080540B"/>
    <w:rsid w:val="00807CA4"/>
    <w:rsid w:val="00807DB3"/>
    <w:rsid w:val="0081078B"/>
    <w:rsid w:val="008109E9"/>
    <w:rsid w:val="00810BC4"/>
    <w:rsid w:val="00810D41"/>
    <w:rsid w:val="0081152C"/>
    <w:rsid w:val="008116E5"/>
    <w:rsid w:val="00811925"/>
    <w:rsid w:val="00811E0A"/>
    <w:rsid w:val="008121F0"/>
    <w:rsid w:val="00812640"/>
    <w:rsid w:val="0081331B"/>
    <w:rsid w:val="00813E7F"/>
    <w:rsid w:val="00814120"/>
    <w:rsid w:val="008148FA"/>
    <w:rsid w:val="00815C7F"/>
    <w:rsid w:val="00815EC2"/>
    <w:rsid w:val="00816233"/>
    <w:rsid w:val="00816248"/>
    <w:rsid w:val="008169B3"/>
    <w:rsid w:val="00816EF2"/>
    <w:rsid w:val="00817609"/>
    <w:rsid w:val="00817647"/>
    <w:rsid w:val="008203F3"/>
    <w:rsid w:val="00821029"/>
    <w:rsid w:val="00821097"/>
    <w:rsid w:val="00821C49"/>
    <w:rsid w:val="0082225A"/>
    <w:rsid w:val="00822344"/>
    <w:rsid w:val="0082310D"/>
    <w:rsid w:val="00823AE7"/>
    <w:rsid w:val="00823E8A"/>
    <w:rsid w:val="00824924"/>
    <w:rsid w:val="008250D7"/>
    <w:rsid w:val="008259ED"/>
    <w:rsid w:val="00825A42"/>
    <w:rsid w:val="00826037"/>
    <w:rsid w:val="00827063"/>
    <w:rsid w:val="0082788D"/>
    <w:rsid w:val="00827B2B"/>
    <w:rsid w:val="00827C2D"/>
    <w:rsid w:val="00827E36"/>
    <w:rsid w:val="00830299"/>
    <w:rsid w:val="00830501"/>
    <w:rsid w:val="00830639"/>
    <w:rsid w:val="00830BD2"/>
    <w:rsid w:val="00830C67"/>
    <w:rsid w:val="00830CF3"/>
    <w:rsid w:val="00831050"/>
    <w:rsid w:val="008317D4"/>
    <w:rsid w:val="00831D3B"/>
    <w:rsid w:val="00832015"/>
    <w:rsid w:val="00832172"/>
    <w:rsid w:val="00832892"/>
    <w:rsid w:val="00832CE1"/>
    <w:rsid w:val="008334DF"/>
    <w:rsid w:val="00833760"/>
    <w:rsid w:val="00833BCC"/>
    <w:rsid w:val="00833F8E"/>
    <w:rsid w:val="00833FB9"/>
    <w:rsid w:val="00834181"/>
    <w:rsid w:val="00835C05"/>
    <w:rsid w:val="00835C7D"/>
    <w:rsid w:val="00836E8C"/>
    <w:rsid w:val="00837F14"/>
    <w:rsid w:val="00840183"/>
    <w:rsid w:val="00840306"/>
    <w:rsid w:val="008405FD"/>
    <w:rsid w:val="00840B62"/>
    <w:rsid w:val="00840B91"/>
    <w:rsid w:val="00840C73"/>
    <w:rsid w:val="00840C9D"/>
    <w:rsid w:val="00840E0E"/>
    <w:rsid w:val="0084152D"/>
    <w:rsid w:val="00841E75"/>
    <w:rsid w:val="008424D8"/>
    <w:rsid w:val="00842B97"/>
    <w:rsid w:val="00842E8F"/>
    <w:rsid w:val="00843E9E"/>
    <w:rsid w:val="00843EBA"/>
    <w:rsid w:val="00843F51"/>
    <w:rsid w:val="008451B1"/>
    <w:rsid w:val="008457D6"/>
    <w:rsid w:val="008458A6"/>
    <w:rsid w:val="0084604F"/>
    <w:rsid w:val="008467E7"/>
    <w:rsid w:val="008472E2"/>
    <w:rsid w:val="00847C34"/>
    <w:rsid w:val="00847E66"/>
    <w:rsid w:val="00850070"/>
    <w:rsid w:val="00850E5C"/>
    <w:rsid w:val="00851609"/>
    <w:rsid w:val="00851741"/>
    <w:rsid w:val="00851944"/>
    <w:rsid w:val="00851DF3"/>
    <w:rsid w:val="00851F3C"/>
    <w:rsid w:val="0085298E"/>
    <w:rsid w:val="00852A1E"/>
    <w:rsid w:val="00852A88"/>
    <w:rsid w:val="00852DC1"/>
    <w:rsid w:val="00852F32"/>
    <w:rsid w:val="00853095"/>
    <w:rsid w:val="008534C4"/>
    <w:rsid w:val="00853AE9"/>
    <w:rsid w:val="00854AC8"/>
    <w:rsid w:val="00854B50"/>
    <w:rsid w:val="00854BFD"/>
    <w:rsid w:val="00854CA6"/>
    <w:rsid w:val="008554E9"/>
    <w:rsid w:val="00855AEE"/>
    <w:rsid w:val="00855C38"/>
    <w:rsid w:val="0085646A"/>
    <w:rsid w:val="008573F1"/>
    <w:rsid w:val="008574E0"/>
    <w:rsid w:val="00857E5F"/>
    <w:rsid w:val="00860438"/>
    <w:rsid w:val="0086052B"/>
    <w:rsid w:val="00860F33"/>
    <w:rsid w:val="00860F74"/>
    <w:rsid w:val="0086118A"/>
    <w:rsid w:val="00861373"/>
    <w:rsid w:val="00861819"/>
    <w:rsid w:val="00861E05"/>
    <w:rsid w:val="00862059"/>
    <w:rsid w:val="00863011"/>
    <w:rsid w:val="00863268"/>
    <w:rsid w:val="00863660"/>
    <w:rsid w:val="008636F8"/>
    <w:rsid w:val="00863B2E"/>
    <w:rsid w:val="00863C5A"/>
    <w:rsid w:val="00864358"/>
    <w:rsid w:val="00865194"/>
    <w:rsid w:val="0086632E"/>
    <w:rsid w:val="00866BB1"/>
    <w:rsid w:val="00867624"/>
    <w:rsid w:val="008715E0"/>
    <w:rsid w:val="00872A6C"/>
    <w:rsid w:val="008733CD"/>
    <w:rsid w:val="00873DC4"/>
    <w:rsid w:val="0087425D"/>
    <w:rsid w:val="00874316"/>
    <w:rsid w:val="00874B1A"/>
    <w:rsid w:val="0087505E"/>
    <w:rsid w:val="00875E01"/>
    <w:rsid w:val="00875E97"/>
    <w:rsid w:val="0087632A"/>
    <w:rsid w:val="008766B2"/>
    <w:rsid w:val="00876A37"/>
    <w:rsid w:val="00876B6F"/>
    <w:rsid w:val="00877045"/>
    <w:rsid w:val="008776A9"/>
    <w:rsid w:val="008778FD"/>
    <w:rsid w:val="00877EE1"/>
    <w:rsid w:val="00880350"/>
    <w:rsid w:val="00880829"/>
    <w:rsid w:val="0088179E"/>
    <w:rsid w:val="00881AEC"/>
    <w:rsid w:val="008821AC"/>
    <w:rsid w:val="00882FE6"/>
    <w:rsid w:val="008837E0"/>
    <w:rsid w:val="00883E2C"/>
    <w:rsid w:val="00883FC0"/>
    <w:rsid w:val="00884075"/>
    <w:rsid w:val="00884878"/>
    <w:rsid w:val="00884886"/>
    <w:rsid w:val="00884EC1"/>
    <w:rsid w:val="00884F23"/>
    <w:rsid w:val="00886502"/>
    <w:rsid w:val="00886A3E"/>
    <w:rsid w:val="00887B63"/>
    <w:rsid w:val="00890134"/>
    <w:rsid w:val="0089069D"/>
    <w:rsid w:val="008906E0"/>
    <w:rsid w:val="00890CB0"/>
    <w:rsid w:val="00890D36"/>
    <w:rsid w:val="00890E00"/>
    <w:rsid w:val="00891C2B"/>
    <w:rsid w:val="00891D3B"/>
    <w:rsid w:val="0089209C"/>
    <w:rsid w:val="00892DA5"/>
    <w:rsid w:val="00892FEA"/>
    <w:rsid w:val="00893435"/>
    <w:rsid w:val="0089379A"/>
    <w:rsid w:val="00893E13"/>
    <w:rsid w:val="00893E6B"/>
    <w:rsid w:val="0089407E"/>
    <w:rsid w:val="00895BB1"/>
    <w:rsid w:val="00895D03"/>
    <w:rsid w:val="00895F41"/>
    <w:rsid w:val="00895FF3"/>
    <w:rsid w:val="008962FA"/>
    <w:rsid w:val="00897201"/>
    <w:rsid w:val="00897923"/>
    <w:rsid w:val="00897DBD"/>
    <w:rsid w:val="00897ECF"/>
    <w:rsid w:val="008A0A3B"/>
    <w:rsid w:val="008A1197"/>
    <w:rsid w:val="008A2622"/>
    <w:rsid w:val="008A38E3"/>
    <w:rsid w:val="008A3A3B"/>
    <w:rsid w:val="008A4474"/>
    <w:rsid w:val="008A4605"/>
    <w:rsid w:val="008A46A1"/>
    <w:rsid w:val="008A4834"/>
    <w:rsid w:val="008A5141"/>
    <w:rsid w:val="008A6328"/>
    <w:rsid w:val="008A688A"/>
    <w:rsid w:val="008B00CE"/>
    <w:rsid w:val="008B0D17"/>
    <w:rsid w:val="008B0F19"/>
    <w:rsid w:val="008B1255"/>
    <w:rsid w:val="008B1F4E"/>
    <w:rsid w:val="008B28CB"/>
    <w:rsid w:val="008B43E1"/>
    <w:rsid w:val="008B450A"/>
    <w:rsid w:val="008B4603"/>
    <w:rsid w:val="008B4D61"/>
    <w:rsid w:val="008B5014"/>
    <w:rsid w:val="008B58EA"/>
    <w:rsid w:val="008B7E68"/>
    <w:rsid w:val="008C0018"/>
    <w:rsid w:val="008C06F5"/>
    <w:rsid w:val="008C0B6F"/>
    <w:rsid w:val="008C115A"/>
    <w:rsid w:val="008C1DF1"/>
    <w:rsid w:val="008C1E4E"/>
    <w:rsid w:val="008C1EDE"/>
    <w:rsid w:val="008C299D"/>
    <w:rsid w:val="008C2BA5"/>
    <w:rsid w:val="008C5102"/>
    <w:rsid w:val="008C5689"/>
    <w:rsid w:val="008C6ACD"/>
    <w:rsid w:val="008C7214"/>
    <w:rsid w:val="008D04DB"/>
    <w:rsid w:val="008D07F9"/>
    <w:rsid w:val="008D0960"/>
    <w:rsid w:val="008D0D20"/>
    <w:rsid w:val="008D122A"/>
    <w:rsid w:val="008D16DB"/>
    <w:rsid w:val="008D1CAA"/>
    <w:rsid w:val="008D1EED"/>
    <w:rsid w:val="008D200F"/>
    <w:rsid w:val="008D23F5"/>
    <w:rsid w:val="008D34C2"/>
    <w:rsid w:val="008D5506"/>
    <w:rsid w:val="008D56F9"/>
    <w:rsid w:val="008D570F"/>
    <w:rsid w:val="008D5B85"/>
    <w:rsid w:val="008D6422"/>
    <w:rsid w:val="008D68BB"/>
    <w:rsid w:val="008D6937"/>
    <w:rsid w:val="008D6C0E"/>
    <w:rsid w:val="008D6E4C"/>
    <w:rsid w:val="008D6FCC"/>
    <w:rsid w:val="008D708B"/>
    <w:rsid w:val="008D7221"/>
    <w:rsid w:val="008D7641"/>
    <w:rsid w:val="008E02C3"/>
    <w:rsid w:val="008E0A62"/>
    <w:rsid w:val="008E11C1"/>
    <w:rsid w:val="008E16FE"/>
    <w:rsid w:val="008E1825"/>
    <w:rsid w:val="008E1A33"/>
    <w:rsid w:val="008E1E48"/>
    <w:rsid w:val="008E1FF2"/>
    <w:rsid w:val="008E21D6"/>
    <w:rsid w:val="008E2833"/>
    <w:rsid w:val="008E2BC7"/>
    <w:rsid w:val="008E2F1E"/>
    <w:rsid w:val="008E2F44"/>
    <w:rsid w:val="008E3341"/>
    <w:rsid w:val="008E3AA6"/>
    <w:rsid w:val="008E3D97"/>
    <w:rsid w:val="008E3F5B"/>
    <w:rsid w:val="008E42CF"/>
    <w:rsid w:val="008E498C"/>
    <w:rsid w:val="008E4E0D"/>
    <w:rsid w:val="008E4F07"/>
    <w:rsid w:val="008E59D9"/>
    <w:rsid w:val="008E681B"/>
    <w:rsid w:val="008E69B5"/>
    <w:rsid w:val="008E6EF1"/>
    <w:rsid w:val="008E6F30"/>
    <w:rsid w:val="008E7945"/>
    <w:rsid w:val="008E7A82"/>
    <w:rsid w:val="008F0A43"/>
    <w:rsid w:val="008F0B76"/>
    <w:rsid w:val="008F0BB1"/>
    <w:rsid w:val="008F22A6"/>
    <w:rsid w:val="008F235C"/>
    <w:rsid w:val="008F2496"/>
    <w:rsid w:val="008F3057"/>
    <w:rsid w:val="008F3241"/>
    <w:rsid w:val="008F39A9"/>
    <w:rsid w:val="008F4627"/>
    <w:rsid w:val="008F4CB3"/>
    <w:rsid w:val="008F4E27"/>
    <w:rsid w:val="008F4F7C"/>
    <w:rsid w:val="008F52C5"/>
    <w:rsid w:val="008F56DE"/>
    <w:rsid w:val="008F5A7C"/>
    <w:rsid w:val="008F6263"/>
    <w:rsid w:val="008F630E"/>
    <w:rsid w:val="008F64DD"/>
    <w:rsid w:val="008F68BB"/>
    <w:rsid w:val="008F6B74"/>
    <w:rsid w:val="008F759E"/>
    <w:rsid w:val="00900713"/>
    <w:rsid w:val="00900B2C"/>
    <w:rsid w:val="00900B68"/>
    <w:rsid w:val="00901482"/>
    <w:rsid w:val="00903246"/>
    <w:rsid w:val="00903825"/>
    <w:rsid w:val="00903EC6"/>
    <w:rsid w:val="00904943"/>
    <w:rsid w:val="00904E57"/>
    <w:rsid w:val="00905228"/>
    <w:rsid w:val="00905A4B"/>
    <w:rsid w:val="0090659F"/>
    <w:rsid w:val="009065B9"/>
    <w:rsid w:val="009065D0"/>
    <w:rsid w:val="009069B4"/>
    <w:rsid w:val="00906CCB"/>
    <w:rsid w:val="00906DD5"/>
    <w:rsid w:val="0090716B"/>
    <w:rsid w:val="009073CD"/>
    <w:rsid w:val="009075ED"/>
    <w:rsid w:val="00907C55"/>
    <w:rsid w:val="00910549"/>
    <w:rsid w:val="00910DB4"/>
    <w:rsid w:val="00910FCB"/>
    <w:rsid w:val="00911F38"/>
    <w:rsid w:val="009122E3"/>
    <w:rsid w:val="00912768"/>
    <w:rsid w:val="009129DD"/>
    <w:rsid w:val="009134F9"/>
    <w:rsid w:val="00913722"/>
    <w:rsid w:val="00913E31"/>
    <w:rsid w:val="009140CF"/>
    <w:rsid w:val="009146C9"/>
    <w:rsid w:val="00914716"/>
    <w:rsid w:val="009149B7"/>
    <w:rsid w:val="00914AA3"/>
    <w:rsid w:val="00914BC1"/>
    <w:rsid w:val="00914EB7"/>
    <w:rsid w:val="00915089"/>
    <w:rsid w:val="009150D0"/>
    <w:rsid w:val="00916474"/>
    <w:rsid w:val="00916F97"/>
    <w:rsid w:val="0091741D"/>
    <w:rsid w:val="009177F0"/>
    <w:rsid w:val="00917B13"/>
    <w:rsid w:val="00917E0B"/>
    <w:rsid w:val="00917E57"/>
    <w:rsid w:val="00920024"/>
    <w:rsid w:val="0092099D"/>
    <w:rsid w:val="009209D3"/>
    <w:rsid w:val="00922E85"/>
    <w:rsid w:val="0092312F"/>
    <w:rsid w:val="00923199"/>
    <w:rsid w:val="00923C8F"/>
    <w:rsid w:val="009241F1"/>
    <w:rsid w:val="009247A5"/>
    <w:rsid w:val="00924F04"/>
    <w:rsid w:val="0092570B"/>
    <w:rsid w:val="00925C00"/>
    <w:rsid w:val="009264F2"/>
    <w:rsid w:val="00926A3A"/>
    <w:rsid w:val="009279D3"/>
    <w:rsid w:val="00927F02"/>
    <w:rsid w:val="00927FB2"/>
    <w:rsid w:val="009300BB"/>
    <w:rsid w:val="009304CB"/>
    <w:rsid w:val="0093139A"/>
    <w:rsid w:val="00932569"/>
    <w:rsid w:val="0093297A"/>
    <w:rsid w:val="009329B5"/>
    <w:rsid w:val="00932E6F"/>
    <w:rsid w:val="00933145"/>
    <w:rsid w:val="009336FA"/>
    <w:rsid w:val="00933B8F"/>
    <w:rsid w:val="0093448E"/>
    <w:rsid w:val="009345DF"/>
    <w:rsid w:val="00934A77"/>
    <w:rsid w:val="00937398"/>
    <w:rsid w:val="00937CC7"/>
    <w:rsid w:val="00937E0D"/>
    <w:rsid w:val="009403ED"/>
    <w:rsid w:val="009409C2"/>
    <w:rsid w:val="00941256"/>
    <w:rsid w:val="00942515"/>
    <w:rsid w:val="0094253F"/>
    <w:rsid w:val="00942AA9"/>
    <w:rsid w:val="00943025"/>
    <w:rsid w:val="00943073"/>
    <w:rsid w:val="00943DD3"/>
    <w:rsid w:val="00943ED9"/>
    <w:rsid w:val="00943F99"/>
    <w:rsid w:val="0094409C"/>
    <w:rsid w:val="00944B0B"/>
    <w:rsid w:val="00944B13"/>
    <w:rsid w:val="00944D33"/>
    <w:rsid w:val="009454EF"/>
    <w:rsid w:val="009456FE"/>
    <w:rsid w:val="00945B13"/>
    <w:rsid w:val="00945D9D"/>
    <w:rsid w:val="0094619C"/>
    <w:rsid w:val="0094689C"/>
    <w:rsid w:val="00946C22"/>
    <w:rsid w:val="0094742D"/>
    <w:rsid w:val="00947518"/>
    <w:rsid w:val="0094789C"/>
    <w:rsid w:val="00950217"/>
    <w:rsid w:val="009503E0"/>
    <w:rsid w:val="0095137B"/>
    <w:rsid w:val="00951563"/>
    <w:rsid w:val="009518D3"/>
    <w:rsid w:val="00951907"/>
    <w:rsid w:val="0095200E"/>
    <w:rsid w:val="00952186"/>
    <w:rsid w:val="00952367"/>
    <w:rsid w:val="00952481"/>
    <w:rsid w:val="009525CB"/>
    <w:rsid w:val="00952660"/>
    <w:rsid w:val="009528B5"/>
    <w:rsid w:val="00952EDD"/>
    <w:rsid w:val="0095411E"/>
    <w:rsid w:val="00954824"/>
    <w:rsid w:val="009548C6"/>
    <w:rsid w:val="00954AF6"/>
    <w:rsid w:val="00954D6E"/>
    <w:rsid w:val="00955546"/>
    <w:rsid w:val="0095653E"/>
    <w:rsid w:val="00956832"/>
    <w:rsid w:val="009568B9"/>
    <w:rsid w:val="00956CBA"/>
    <w:rsid w:val="00956DB0"/>
    <w:rsid w:val="00956F56"/>
    <w:rsid w:val="0095799B"/>
    <w:rsid w:val="009603C3"/>
    <w:rsid w:val="009605DC"/>
    <w:rsid w:val="00960AA8"/>
    <w:rsid w:val="00960E73"/>
    <w:rsid w:val="0096133D"/>
    <w:rsid w:val="00961920"/>
    <w:rsid w:val="00961BD3"/>
    <w:rsid w:val="00961D38"/>
    <w:rsid w:val="00961DD6"/>
    <w:rsid w:val="00962D28"/>
    <w:rsid w:val="00962DFA"/>
    <w:rsid w:val="00962EF9"/>
    <w:rsid w:val="009632D3"/>
    <w:rsid w:val="00963F06"/>
    <w:rsid w:val="00964A63"/>
    <w:rsid w:val="00964C8C"/>
    <w:rsid w:val="00964D03"/>
    <w:rsid w:val="009656E1"/>
    <w:rsid w:val="00965A5D"/>
    <w:rsid w:val="00965B08"/>
    <w:rsid w:val="00966D73"/>
    <w:rsid w:val="00966FE7"/>
    <w:rsid w:val="00967389"/>
    <w:rsid w:val="00967EA3"/>
    <w:rsid w:val="00970248"/>
    <w:rsid w:val="00970559"/>
    <w:rsid w:val="00970897"/>
    <w:rsid w:val="00970DB6"/>
    <w:rsid w:val="00970E36"/>
    <w:rsid w:val="00970EBE"/>
    <w:rsid w:val="009722BE"/>
    <w:rsid w:val="009727E8"/>
    <w:rsid w:val="00972CA7"/>
    <w:rsid w:val="009732D7"/>
    <w:rsid w:val="00973481"/>
    <w:rsid w:val="009741A7"/>
    <w:rsid w:val="00974B8F"/>
    <w:rsid w:val="00974C16"/>
    <w:rsid w:val="00974CD1"/>
    <w:rsid w:val="00974D96"/>
    <w:rsid w:val="00975115"/>
    <w:rsid w:val="009752D3"/>
    <w:rsid w:val="009757EF"/>
    <w:rsid w:val="00975B9A"/>
    <w:rsid w:val="009765C4"/>
    <w:rsid w:val="00976804"/>
    <w:rsid w:val="00976A50"/>
    <w:rsid w:val="0097700F"/>
    <w:rsid w:val="0097733B"/>
    <w:rsid w:val="0097756A"/>
    <w:rsid w:val="00977C36"/>
    <w:rsid w:val="00977DF6"/>
    <w:rsid w:val="009800FD"/>
    <w:rsid w:val="00980307"/>
    <w:rsid w:val="00980722"/>
    <w:rsid w:val="00980DC1"/>
    <w:rsid w:val="009810D9"/>
    <w:rsid w:val="009816F5"/>
    <w:rsid w:val="0098207D"/>
    <w:rsid w:val="00982092"/>
    <w:rsid w:val="00982E22"/>
    <w:rsid w:val="00982EE2"/>
    <w:rsid w:val="00984602"/>
    <w:rsid w:val="009857B6"/>
    <w:rsid w:val="009859B3"/>
    <w:rsid w:val="00985D68"/>
    <w:rsid w:val="00986228"/>
    <w:rsid w:val="009863E4"/>
    <w:rsid w:val="00986F8C"/>
    <w:rsid w:val="00987205"/>
    <w:rsid w:val="009876F5"/>
    <w:rsid w:val="009877C5"/>
    <w:rsid w:val="00987AE7"/>
    <w:rsid w:val="00987B76"/>
    <w:rsid w:val="009907C3"/>
    <w:rsid w:val="00991094"/>
    <w:rsid w:val="009911F7"/>
    <w:rsid w:val="009916CD"/>
    <w:rsid w:val="00991A34"/>
    <w:rsid w:val="00991AF1"/>
    <w:rsid w:val="00991DA8"/>
    <w:rsid w:val="0099208B"/>
    <w:rsid w:val="00992114"/>
    <w:rsid w:val="009940B4"/>
    <w:rsid w:val="00994FEA"/>
    <w:rsid w:val="00995F8C"/>
    <w:rsid w:val="009963C4"/>
    <w:rsid w:val="0099670D"/>
    <w:rsid w:val="00996750"/>
    <w:rsid w:val="0099690B"/>
    <w:rsid w:val="0099758C"/>
    <w:rsid w:val="00997CAA"/>
    <w:rsid w:val="009A0757"/>
    <w:rsid w:val="009A0905"/>
    <w:rsid w:val="009A18A9"/>
    <w:rsid w:val="009A1B6D"/>
    <w:rsid w:val="009A219D"/>
    <w:rsid w:val="009A2500"/>
    <w:rsid w:val="009A2554"/>
    <w:rsid w:val="009A26AE"/>
    <w:rsid w:val="009A2728"/>
    <w:rsid w:val="009A29AE"/>
    <w:rsid w:val="009A2F1F"/>
    <w:rsid w:val="009A3EE3"/>
    <w:rsid w:val="009A42F3"/>
    <w:rsid w:val="009A4A0C"/>
    <w:rsid w:val="009A4C5C"/>
    <w:rsid w:val="009A511E"/>
    <w:rsid w:val="009A6158"/>
    <w:rsid w:val="009A6EEE"/>
    <w:rsid w:val="009A72CD"/>
    <w:rsid w:val="009A76A0"/>
    <w:rsid w:val="009B0E5C"/>
    <w:rsid w:val="009B168D"/>
    <w:rsid w:val="009B2892"/>
    <w:rsid w:val="009B2C96"/>
    <w:rsid w:val="009B2CD9"/>
    <w:rsid w:val="009B2CE1"/>
    <w:rsid w:val="009B2CE6"/>
    <w:rsid w:val="009B3528"/>
    <w:rsid w:val="009B4A28"/>
    <w:rsid w:val="009B4CFC"/>
    <w:rsid w:val="009B59E5"/>
    <w:rsid w:val="009B5FD5"/>
    <w:rsid w:val="009B6022"/>
    <w:rsid w:val="009B69BB"/>
    <w:rsid w:val="009B700D"/>
    <w:rsid w:val="009B7C73"/>
    <w:rsid w:val="009C00CF"/>
    <w:rsid w:val="009C06FD"/>
    <w:rsid w:val="009C0DC0"/>
    <w:rsid w:val="009C0DEC"/>
    <w:rsid w:val="009C200B"/>
    <w:rsid w:val="009C5B47"/>
    <w:rsid w:val="009C6AAC"/>
    <w:rsid w:val="009C7059"/>
    <w:rsid w:val="009C7424"/>
    <w:rsid w:val="009C771C"/>
    <w:rsid w:val="009D04FA"/>
    <w:rsid w:val="009D0693"/>
    <w:rsid w:val="009D1044"/>
    <w:rsid w:val="009D13BE"/>
    <w:rsid w:val="009D1EC9"/>
    <w:rsid w:val="009D2191"/>
    <w:rsid w:val="009D252B"/>
    <w:rsid w:val="009D3A8D"/>
    <w:rsid w:val="009D3D79"/>
    <w:rsid w:val="009D3F79"/>
    <w:rsid w:val="009D48E2"/>
    <w:rsid w:val="009D4E8A"/>
    <w:rsid w:val="009D502D"/>
    <w:rsid w:val="009D5335"/>
    <w:rsid w:val="009D57C1"/>
    <w:rsid w:val="009D6D01"/>
    <w:rsid w:val="009D7187"/>
    <w:rsid w:val="009D74DC"/>
    <w:rsid w:val="009D75D5"/>
    <w:rsid w:val="009D7950"/>
    <w:rsid w:val="009D7995"/>
    <w:rsid w:val="009E05AA"/>
    <w:rsid w:val="009E089A"/>
    <w:rsid w:val="009E1333"/>
    <w:rsid w:val="009E1BE6"/>
    <w:rsid w:val="009E2714"/>
    <w:rsid w:val="009E27E0"/>
    <w:rsid w:val="009E2836"/>
    <w:rsid w:val="009E2DAE"/>
    <w:rsid w:val="009E3558"/>
    <w:rsid w:val="009E4CBC"/>
    <w:rsid w:val="009E52F7"/>
    <w:rsid w:val="009E5A7A"/>
    <w:rsid w:val="009E5BC5"/>
    <w:rsid w:val="009E5C85"/>
    <w:rsid w:val="009E661C"/>
    <w:rsid w:val="009E7EFB"/>
    <w:rsid w:val="009F16AC"/>
    <w:rsid w:val="009F1980"/>
    <w:rsid w:val="009F1A95"/>
    <w:rsid w:val="009F1CD8"/>
    <w:rsid w:val="009F1E84"/>
    <w:rsid w:val="009F21D9"/>
    <w:rsid w:val="009F21F2"/>
    <w:rsid w:val="009F221D"/>
    <w:rsid w:val="009F2870"/>
    <w:rsid w:val="009F2962"/>
    <w:rsid w:val="009F2CB1"/>
    <w:rsid w:val="009F2F14"/>
    <w:rsid w:val="009F3031"/>
    <w:rsid w:val="009F3310"/>
    <w:rsid w:val="009F353A"/>
    <w:rsid w:val="009F3CA5"/>
    <w:rsid w:val="009F41A7"/>
    <w:rsid w:val="009F4590"/>
    <w:rsid w:val="009F465F"/>
    <w:rsid w:val="009F470E"/>
    <w:rsid w:val="009F49AA"/>
    <w:rsid w:val="009F541B"/>
    <w:rsid w:val="009F5F2B"/>
    <w:rsid w:val="009F632B"/>
    <w:rsid w:val="009F63B1"/>
    <w:rsid w:val="009F76C3"/>
    <w:rsid w:val="00A001B3"/>
    <w:rsid w:val="00A00E14"/>
    <w:rsid w:val="00A02304"/>
    <w:rsid w:val="00A02349"/>
    <w:rsid w:val="00A02637"/>
    <w:rsid w:val="00A03823"/>
    <w:rsid w:val="00A04424"/>
    <w:rsid w:val="00A059E0"/>
    <w:rsid w:val="00A05B82"/>
    <w:rsid w:val="00A060FE"/>
    <w:rsid w:val="00A07225"/>
    <w:rsid w:val="00A07610"/>
    <w:rsid w:val="00A1092A"/>
    <w:rsid w:val="00A111AA"/>
    <w:rsid w:val="00A11A08"/>
    <w:rsid w:val="00A11D5B"/>
    <w:rsid w:val="00A11E6F"/>
    <w:rsid w:val="00A12B52"/>
    <w:rsid w:val="00A13436"/>
    <w:rsid w:val="00A14B93"/>
    <w:rsid w:val="00A152B1"/>
    <w:rsid w:val="00A16849"/>
    <w:rsid w:val="00A17D07"/>
    <w:rsid w:val="00A20973"/>
    <w:rsid w:val="00A209ED"/>
    <w:rsid w:val="00A20F7B"/>
    <w:rsid w:val="00A213E9"/>
    <w:rsid w:val="00A217BD"/>
    <w:rsid w:val="00A21B82"/>
    <w:rsid w:val="00A21F7D"/>
    <w:rsid w:val="00A22012"/>
    <w:rsid w:val="00A223D4"/>
    <w:rsid w:val="00A223FB"/>
    <w:rsid w:val="00A22632"/>
    <w:rsid w:val="00A2266C"/>
    <w:rsid w:val="00A22A47"/>
    <w:rsid w:val="00A22E61"/>
    <w:rsid w:val="00A239DE"/>
    <w:rsid w:val="00A24089"/>
    <w:rsid w:val="00A2415E"/>
    <w:rsid w:val="00A243BC"/>
    <w:rsid w:val="00A24562"/>
    <w:rsid w:val="00A24EB5"/>
    <w:rsid w:val="00A24F07"/>
    <w:rsid w:val="00A259A8"/>
    <w:rsid w:val="00A25ABE"/>
    <w:rsid w:val="00A25D21"/>
    <w:rsid w:val="00A2645A"/>
    <w:rsid w:val="00A26B2C"/>
    <w:rsid w:val="00A26EE2"/>
    <w:rsid w:val="00A27CCC"/>
    <w:rsid w:val="00A30268"/>
    <w:rsid w:val="00A30727"/>
    <w:rsid w:val="00A30BEF"/>
    <w:rsid w:val="00A315B0"/>
    <w:rsid w:val="00A31682"/>
    <w:rsid w:val="00A31E40"/>
    <w:rsid w:val="00A3292C"/>
    <w:rsid w:val="00A32B26"/>
    <w:rsid w:val="00A32EC5"/>
    <w:rsid w:val="00A33417"/>
    <w:rsid w:val="00A3374D"/>
    <w:rsid w:val="00A33AE0"/>
    <w:rsid w:val="00A34589"/>
    <w:rsid w:val="00A34AC0"/>
    <w:rsid w:val="00A35120"/>
    <w:rsid w:val="00A35217"/>
    <w:rsid w:val="00A35A25"/>
    <w:rsid w:val="00A35E38"/>
    <w:rsid w:val="00A3635F"/>
    <w:rsid w:val="00A365BE"/>
    <w:rsid w:val="00A36890"/>
    <w:rsid w:val="00A36BDB"/>
    <w:rsid w:val="00A3718E"/>
    <w:rsid w:val="00A37245"/>
    <w:rsid w:val="00A37326"/>
    <w:rsid w:val="00A37F90"/>
    <w:rsid w:val="00A40282"/>
    <w:rsid w:val="00A403CF"/>
    <w:rsid w:val="00A404C8"/>
    <w:rsid w:val="00A411A5"/>
    <w:rsid w:val="00A41627"/>
    <w:rsid w:val="00A42A48"/>
    <w:rsid w:val="00A42ADA"/>
    <w:rsid w:val="00A42EB0"/>
    <w:rsid w:val="00A43142"/>
    <w:rsid w:val="00A43348"/>
    <w:rsid w:val="00A43716"/>
    <w:rsid w:val="00A4395E"/>
    <w:rsid w:val="00A43D1A"/>
    <w:rsid w:val="00A43F56"/>
    <w:rsid w:val="00A43FDC"/>
    <w:rsid w:val="00A4421F"/>
    <w:rsid w:val="00A445F9"/>
    <w:rsid w:val="00A456F8"/>
    <w:rsid w:val="00A45DA7"/>
    <w:rsid w:val="00A46070"/>
    <w:rsid w:val="00A4631C"/>
    <w:rsid w:val="00A46679"/>
    <w:rsid w:val="00A46971"/>
    <w:rsid w:val="00A46FD8"/>
    <w:rsid w:val="00A47DD8"/>
    <w:rsid w:val="00A50A96"/>
    <w:rsid w:val="00A51607"/>
    <w:rsid w:val="00A51EB8"/>
    <w:rsid w:val="00A51F46"/>
    <w:rsid w:val="00A52049"/>
    <w:rsid w:val="00A5305A"/>
    <w:rsid w:val="00A53844"/>
    <w:rsid w:val="00A539CE"/>
    <w:rsid w:val="00A53C56"/>
    <w:rsid w:val="00A54620"/>
    <w:rsid w:val="00A54FF0"/>
    <w:rsid w:val="00A55D87"/>
    <w:rsid w:val="00A577C4"/>
    <w:rsid w:val="00A57C78"/>
    <w:rsid w:val="00A60373"/>
    <w:rsid w:val="00A611B3"/>
    <w:rsid w:val="00A61983"/>
    <w:rsid w:val="00A62399"/>
    <w:rsid w:val="00A62444"/>
    <w:rsid w:val="00A62E16"/>
    <w:rsid w:val="00A63037"/>
    <w:rsid w:val="00A63B83"/>
    <w:rsid w:val="00A63D3F"/>
    <w:rsid w:val="00A63FD0"/>
    <w:rsid w:val="00A640F4"/>
    <w:rsid w:val="00A64BDF"/>
    <w:rsid w:val="00A64FA0"/>
    <w:rsid w:val="00A655E5"/>
    <w:rsid w:val="00A655FC"/>
    <w:rsid w:val="00A66039"/>
    <w:rsid w:val="00A66E4C"/>
    <w:rsid w:val="00A671F2"/>
    <w:rsid w:val="00A67827"/>
    <w:rsid w:val="00A67C8D"/>
    <w:rsid w:val="00A700FC"/>
    <w:rsid w:val="00A7034B"/>
    <w:rsid w:val="00A704A8"/>
    <w:rsid w:val="00A7108A"/>
    <w:rsid w:val="00A71557"/>
    <w:rsid w:val="00A72720"/>
    <w:rsid w:val="00A7375D"/>
    <w:rsid w:val="00A7442F"/>
    <w:rsid w:val="00A7628F"/>
    <w:rsid w:val="00A76473"/>
    <w:rsid w:val="00A771B0"/>
    <w:rsid w:val="00A7748D"/>
    <w:rsid w:val="00A776A8"/>
    <w:rsid w:val="00A778E6"/>
    <w:rsid w:val="00A77C55"/>
    <w:rsid w:val="00A77F76"/>
    <w:rsid w:val="00A80583"/>
    <w:rsid w:val="00A80B95"/>
    <w:rsid w:val="00A8177F"/>
    <w:rsid w:val="00A83097"/>
    <w:rsid w:val="00A83ED1"/>
    <w:rsid w:val="00A849D0"/>
    <w:rsid w:val="00A85149"/>
    <w:rsid w:val="00A8559E"/>
    <w:rsid w:val="00A8586F"/>
    <w:rsid w:val="00A85DC8"/>
    <w:rsid w:val="00A85F03"/>
    <w:rsid w:val="00A86436"/>
    <w:rsid w:val="00A864F1"/>
    <w:rsid w:val="00A86620"/>
    <w:rsid w:val="00A87836"/>
    <w:rsid w:val="00A87E0B"/>
    <w:rsid w:val="00A87F1E"/>
    <w:rsid w:val="00A90610"/>
    <w:rsid w:val="00A907DF"/>
    <w:rsid w:val="00A90AEF"/>
    <w:rsid w:val="00A91665"/>
    <w:rsid w:val="00A918A0"/>
    <w:rsid w:val="00A91AE5"/>
    <w:rsid w:val="00A91C4A"/>
    <w:rsid w:val="00A91F92"/>
    <w:rsid w:val="00A9252C"/>
    <w:rsid w:val="00A92C66"/>
    <w:rsid w:val="00A92E38"/>
    <w:rsid w:val="00A9329F"/>
    <w:rsid w:val="00A936F8"/>
    <w:rsid w:val="00A93F77"/>
    <w:rsid w:val="00A9445D"/>
    <w:rsid w:val="00A94627"/>
    <w:rsid w:val="00A949F5"/>
    <w:rsid w:val="00A951DE"/>
    <w:rsid w:val="00A95751"/>
    <w:rsid w:val="00A958E5"/>
    <w:rsid w:val="00A95D1A"/>
    <w:rsid w:val="00A967B8"/>
    <w:rsid w:val="00A96AE0"/>
    <w:rsid w:val="00A97E79"/>
    <w:rsid w:val="00AA01AD"/>
    <w:rsid w:val="00AA02E1"/>
    <w:rsid w:val="00AA0429"/>
    <w:rsid w:val="00AA12C0"/>
    <w:rsid w:val="00AA1572"/>
    <w:rsid w:val="00AA2104"/>
    <w:rsid w:val="00AA23F0"/>
    <w:rsid w:val="00AA2AF0"/>
    <w:rsid w:val="00AA2D90"/>
    <w:rsid w:val="00AA35A5"/>
    <w:rsid w:val="00AA392A"/>
    <w:rsid w:val="00AA3965"/>
    <w:rsid w:val="00AA44D4"/>
    <w:rsid w:val="00AA4615"/>
    <w:rsid w:val="00AA4B6F"/>
    <w:rsid w:val="00AA4C0D"/>
    <w:rsid w:val="00AA4C9A"/>
    <w:rsid w:val="00AA504B"/>
    <w:rsid w:val="00AA578C"/>
    <w:rsid w:val="00AA5F9E"/>
    <w:rsid w:val="00AA6445"/>
    <w:rsid w:val="00AA6CE4"/>
    <w:rsid w:val="00AA6DB3"/>
    <w:rsid w:val="00AB0A54"/>
    <w:rsid w:val="00AB1057"/>
    <w:rsid w:val="00AB12A8"/>
    <w:rsid w:val="00AB13B7"/>
    <w:rsid w:val="00AB1555"/>
    <w:rsid w:val="00AB1F65"/>
    <w:rsid w:val="00AB2A02"/>
    <w:rsid w:val="00AB3E8C"/>
    <w:rsid w:val="00AB4327"/>
    <w:rsid w:val="00AB477C"/>
    <w:rsid w:val="00AB5492"/>
    <w:rsid w:val="00AB56DE"/>
    <w:rsid w:val="00AB616E"/>
    <w:rsid w:val="00AB6AE1"/>
    <w:rsid w:val="00AB6C3A"/>
    <w:rsid w:val="00AB7E99"/>
    <w:rsid w:val="00AC0951"/>
    <w:rsid w:val="00AC0B51"/>
    <w:rsid w:val="00AC129B"/>
    <w:rsid w:val="00AC1CB9"/>
    <w:rsid w:val="00AC1D8E"/>
    <w:rsid w:val="00AC258D"/>
    <w:rsid w:val="00AC26B3"/>
    <w:rsid w:val="00AC3952"/>
    <w:rsid w:val="00AC3E8B"/>
    <w:rsid w:val="00AC45A6"/>
    <w:rsid w:val="00AC4A55"/>
    <w:rsid w:val="00AC4D5F"/>
    <w:rsid w:val="00AC51F1"/>
    <w:rsid w:val="00AC5430"/>
    <w:rsid w:val="00AC5EB5"/>
    <w:rsid w:val="00AC6072"/>
    <w:rsid w:val="00AC62C4"/>
    <w:rsid w:val="00AC6A01"/>
    <w:rsid w:val="00AC6A54"/>
    <w:rsid w:val="00AC6B49"/>
    <w:rsid w:val="00AC6B54"/>
    <w:rsid w:val="00AC6C4F"/>
    <w:rsid w:val="00AC7056"/>
    <w:rsid w:val="00AC73AF"/>
    <w:rsid w:val="00AC7AB5"/>
    <w:rsid w:val="00AD081F"/>
    <w:rsid w:val="00AD0BB8"/>
    <w:rsid w:val="00AD11F5"/>
    <w:rsid w:val="00AD14B5"/>
    <w:rsid w:val="00AD1577"/>
    <w:rsid w:val="00AD1CEE"/>
    <w:rsid w:val="00AD21D6"/>
    <w:rsid w:val="00AD280C"/>
    <w:rsid w:val="00AD2C93"/>
    <w:rsid w:val="00AD2F10"/>
    <w:rsid w:val="00AD394B"/>
    <w:rsid w:val="00AD3CA6"/>
    <w:rsid w:val="00AD4360"/>
    <w:rsid w:val="00AD4F37"/>
    <w:rsid w:val="00AD5171"/>
    <w:rsid w:val="00AD51DD"/>
    <w:rsid w:val="00AD5592"/>
    <w:rsid w:val="00AD5ED3"/>
    <w:rsid w:val="00AD5F7C"/>
    <w:rsid w:val="00AD63E9"/>
    <w:rsid w:val="00AD73D3"/>
    <w:rsid w:val="00AD745D"/>
    <w:rsid w:val="00AD748B"/>
    <w:rsid w:val="00AD7BB6"/>
    <w:rsid w:val="00AE2156"/>
    <w:rsid w:val="00AE237C"/>
    <w:rsid w:val="00AE2BC6"/>
    <w:rsid w:val="00AE3195"/>
    <w:rsid w:val="00AE325E"/>
    <w:rsid w:val="00AE4087"/>
    <w:rsid w:val="00AE43C5"/>
    <w:rsid w:val="00AE59F4"/>
    <w:rsid w:val="00AE5CF2"/>
    <w:rsid w:val="00AE6ED5"/>
    <w:rsid w:val="00AF0AE3"/>
    <w:rsid w:val="00AF17EA"/>
    <w:rsid w:val="00AF1D9E"/>
    <w:rsid w:val="00AF1DBE"/>
    <w:rsid w:val="00AF2096"/>
    <w:rsid w:val="00AF237E"/>
    <w:rsid w:val="00AF2B9C"/>
    <w:rsid w:val="00AF3387"/>
    <w:rsid w:val="00AF381D"/>
    <w:rsid w:val="00AF44CB"/>
    <w:rsid w:val="00AF5007"/>
    <w:rsid w:val="00AF50AB"/>
    <w:rsid w:val="00AF5248"/>
    <w:rsid w:val="00AF5533"/>
    <w:rsid w:val="00AF5ED2"/>
    <w:rsid w:val="00AF6017"/>
    <w:rsid w:val="00AF6575"/>
    <w:rsid w:val="00B00685"/>
    <w:rsid w:val="00B01061"/>
    <w:rsid w:val="00B01448"/>
    <w:rsid w:val="00B0153B"/>
    <w:rsid w:val="00B01C7B"/>
    <w:rsid w:val="00B027F2"/>
    <w:rsid w:val="00B03292"/>
    <w:rsid w:val="00B03340"/>
    <w:rsid w:val="00B03563"/>
    <w:rsid w:val="00B0390A"/>
    <w:rsid w:val="00B03ECC"/>
    <w:rsid w:val="00B04957"/>
    <w:rsid w:val="00B0497F"/>
    <w:rsid w:val="00B04B13"/>
    <w:rsid w:val="00B04E8A"/>
    <w:rsid w:val="00B04FA9"/>
    <w:rsid w:val="00B055BF"/>
    <w:rsid w:val="00B05713"/>
    <w:rsid w:val="00B05CA1"/>
    <w:rsid w:val="00B05D11"/>
    <w:rsid w:val="00B05F77"/>
    <w:rsid w:val="00B07B17"/>
    <w:rsid w:val="00B10028"/>
    <w:rsid w:val="00B105B0"/>
    <w:rsid w:val="00B10B0A"/>
    <w:rsid w:val="00B11691"/>
    <w:rsid w:val="00B11E2D"/>
    <w:rsid w:val="00B12DB8"/>
    <w:rsid w:val="00B12FD4"/>
    <w:rsid w:val="00B13419"/>
    <w:rsid w:val="00B135DB"/>
    <w:rsid w:val="00B13929"/>
    <w:rsid w:val="00B13D3B"/>
    <w:rsid w:val="00B13FC0"/>
    <w:rsid w:val="00B1427C"/>
    <w:rsid w:val="00B145BD"/>
    <w:rsid w:val="00B14623"/>
    <w:rsid w:val="00B146E4"/>
    <w:rsid w:val="00B147EE"/>
    <w:rsid w:val="00B14A0E"/>
    <w:rsid w:val="00B14B4B"/>
    <w:rsid w:val="00B14BD2"/>
    <w:rsid w:val="00B14C7C"/>
    <w:rsid w:val="00B15172"/>
    <w:rsid w:val="00B1559F"/>
    <w:rsid w:val="00B1594D"/>
    <w:rsid w:val="00B15A3F"/>
    <w:rsid w:val="00B16731"/>
    <w:rsid w:val="00B16B4C"/>
    <w:rsid w:val="00B16F41"/>
    <w:rsid w:val="00B220F1"/>
    <w:rsid w:val="00B22D03"/>
    <w:rsid w:val="00B22FED"/>
    <w:rsid w:val="00B2363C"/>
    <w:rsid w:val="00B23B67"/>
    <w:rsid w:val="00B244E3"/>
    <w:rsid w:val="00B25E66"/>
    <w:rsid w:val="00B25EF9"/>
    <w:rsid w:val="00B25FB8"/>
    <w:rsid w:val="00B262E8"/>
    <w:rsid w:val="00B27102"/>
    <w:rsid w:val="00B27492"/>
    <w:rsid w:val="00B278E2"/>
    <w:rsid w:val="00B27C12"/>
    <w:rsid w:val="00B27CC8"/>
    <w:rsid w:val="00B30023"/>
    <w:rsid w:val="00B30028"/>
    <w:rsid w:val="00B300B0"/>
    <w:rsid w:val="00B303AE"/>
    <w:rsid w:val="00B30E01"/>
    <w:rsid w:val="00B3156E"/>
    <w:rsid w:val="00B31A3A"/>
    <w:rsid w:val="00B31B2E"/>
    <w:rsid w:val="00B31C9B"/>
    <w:rsid w:val="00B329A0"/>
    <w:rsid w:val="00B33C7A"/>
    <w:rsid w:val="00B33E77"/>
    <w:rsid w:val="00B3440E"/>
    <w:rsid w:val="00B34690"/>
    <w:rsid w:val="00B34B5D"/>
    <w:rsid w:val="00B34BF6"/>
    <w:rsid w:val="00B35972"/>
    <w:rsid w:val="00B35FAA"/>
    <w:rsid w:val="00B361B7"/>
    <w:rsid w:val="00B36495"/>
    <w:rsid w:val="00B366F1"/>
    <w:rsid w:val="00B37DFA"/>
    <w:rsid w:val="00B40877"/>
    <w:rsid w:val="00B40929"/>
    <w:rsid w:val="00B40F74"/>
    <w:rsid w:val="00B4115F"/>
    <w:rsid w:val="00B412B2"/>
    <w:rsid w:val="00B423D2"/>
    <w:rsid w:val="00B4381A"/>
    <w:rsid w:val="00B43C32"/>
    <w:rsid w:val="00B43EE6"/>
    <w:rsid w:val="00B44195"/>
    <w:rsid w:val="00B44810"/>
    <w:rsid w:val="00B4505C"/>
    <w:rsid w:val="00B457A3"/>
    <w:rsid w:val="00B45F55"/>
    <w:rsid w:val="00B46966"/>
    <w:rsid w:val="00B47C5A"/>
    <w:rsid w:val="00B50AFE"/>
    <w:rsid w:val="00B50DD7"/>
    <w:rsid w:val="00B50DED"/>
    <w:rsid w:val="00B51C42"/>
    <w:rsid w:val="00B51CB7"/>
    <w:rsid w:val="00B52AF5"/>
    <w:rsid w:val="00B52BDD"/>
    <w:rsid w:val="00B52C22"/>
    <w:rsid w:val="00B53432"/>
    <w:rsid w:val="00B54220"/>
    <w:rsid w:val="00B5432A"/>
    <w:rsid w:val="00B54B23"/>
    <w:rsid w:val="00B5521F"/>
    <w:rsid w:val="00B5530B"/>
    <w:rsid w:val="00B55562"/>
    <w:rsid w:val="00B55AB3"/>
    <w:rsid w:val="00B5654D"/>
    <w:rsid w:val="00B5675C"/>
    <w:rsid w:val="00B56E2B"/>
    <w:rsid w:val="00B56FB9"/>
    <w:rsid w:val="00B57AA3"/>
    <w:rsid w:val="00B57AC1"/>
    <w:rsid w:val="00B57D08"/>
    <w:rsid w:val="00B6134A"/>
    <w:rsid w:val="00B6180E"/>
    <w:rsid w:val="00B61DF8"/>
    <w:rsid w:val="00B6259B"/>
    <w:rsid w:val="00B62B6C"/>
    <w:rsid w:val="00B634A3"/>
    <w:rsid w:val="00B63A8F"/>
    <w:rsid w:val="00B63C0C"/>
    <w:rsid w:val="00B643D2"/>
    <w:rsid w:val="00B649C8"/>
    <w:rsid w:val="00B64B3A"/>
    <w:rsid w:val="00B650C8"/>
    <w:rsid w:val="00B65ACA"/>
    <w:rsid w:val="00B65C94"/>
    <w:rsid w:val="00B6691C"/>
    <w:rsid w:val="00B673F4"/>
    <w:rsid w:val="00B675D6"/>
    <w:rsid w:val="00B67A6B"/>
    <w:rsid w:val="00B67C0C"/>
    <w:rsid w:val="00B67EC8"/>
    <w:rsid w:val="00B70B25"/>
    <w:rsid w:val="00B71847"/>
    <w:rsid w:val="00B71C71"/>
    <w:rsid w:val="00B71EB2"/>
    <w:rsid w:val="00B72719"/>
    <w:rsid w:val="00B73279"/>
    <w:rsid w:val="00B73923"/>
    <w:rsid w:val="00B73A6D"/>
    <w:rsid w:val="00B73BEF"/>
    <w:rsid w:val="00B73DD3"/>
    <w:rsid w:val="00B73E1B"/>
    <w:rsid w:val="00B7414E"/>
    <w:rsid w:val="00B74187"/>
    <w:rsid w:val="00B743C0"/>
    <w:rsid w:val="00B743DA"/>
    <w:rsid w:val="00B744F9"/>
    <w:rsid w:val="00B747AE"/>
    <w:rsid w:val="00B74819"/>
    <w:rsid w:val="00B74B1D"/>
    <w:rsid w:val="00B7593E"/>
    <w:rsid w:val="00B76044"/>
    <w:rsid w:val="00B76117"/>
    <w:rsid w:val="00B765A7"/>
    <w:rsid w:val="00B76F83"/>
    <w:rsid w:val="00B7737D"/>
    <w:rsid w:val="00B77EFA"/>
    <w:rsid w:val="00B77F94"/>
    <w:rsid w:val="00B80136"/>
    <w:rsid w:val="00B80E02"/>
    <w:rsid w:val="00B815F8"/>
    <w:rsid w:val="00B817B6"/>
    <w:rsid w:val="00B81F93"/>
    <w:rsid w:val="00B8211A"/>
    <w:rsid w:val="00B8232E"/>
    <w:rsid w:val="00B83077"/>
    <w:rsid w:val="00B83FF7"/>
    <w:rsid w:val="00B8660D"/>
    <w:rsid w:val="00B867C6"/>
    <w:rsid w:val="00B867F4"/>
    <w:rsid w:val="00B86D57"/>
    <w:rsid w:val="00B8736E"/>
    <w:rsid w:val="00B87782"/>
    <w:rsid w:val="00B87C07"/>
    <w:rsid w:val="00B908FD"/>
    <w:rsid w:val="00B90A32"/>
    <w:rsid w:val="00B9138E"/>
    <w:rsid w:val="00B914BE"/>
    <w:rsid w:val="00B91645"/>
    <w:rsid w:val="00B91D93"/>
    <w:rsid w:val="00B91DE4"/>
    <w:rsid w:val="00B925AF"/>
    <w:rsid w:val="00B92745"/>
    <w:rsid w:val="00B92985"/>
    <w:rsid w:val="00B9366D"/>
    <w:rsid w:val="00B93680"/>
    <w:rsid w:val="00B93B26"/>
    <w:rsid w:val="00B93D63"/>
    <w:rsid w:val="00B94303"/>
    <w:rsid w:val="00B94469"/>
    <w:rsid w:val="00B94941"/>
    <w:rsid w:val="00B955D2"/>
    <w:rsid w:val="00B95A9E"/>
    <w:rsid w:val="00B95AEC"/>
    <w:rsid w:val="00B968D1"/>
    <w:rsid w:val="00B971FE"/>
    <w:rsid w:val="00B9786C"/>
    <w:rsid w:val="00BA0E41"/>
    <w:rsid w:val="00BA1CC1"/>
    <w:rsid w:val="00BA1EE6"/>
    <w:rsid w:val="00BA2013"/>
    <w:rsid w:val="00BA26D6"/>
    <w:rsid w:val="00BA3E5E"/>
    <w:rsid w:val="00BA4433"/>
    <w:rsid w:val="00BA4A35"/>
    <w:rsid w:val="00BA4DC4"/>
    <w:rsid w:val="00BA5770"/>
    <w:rsid w:val="00BA7019"/>
    <w:rsid w:val="00BA763C"/>
    <w:rsid w:val="00BA7A2B"/>
    <w:rsid w:val="00BB04E6"/>
    <w:rsid w:val="00BB0D0C"/>
    <w:rsid w:val="00BB15F8"/>
    <w:rsid w:val="00BB2DF1"/>
    <w:rsid w:val="00BB3B38"/>
    <w:rsid w:val="00BB3BCB"/>
    <w:rsid w:val="00BB4E6A"/>
    <w:rsid w:val="00BB5306"/>
    <w:rsid w:val="00BB58E2"/>
    <w:rsid w:val="00BB6A20"/>
    <w:rsid w:val="00BB6BBF"/>
    <w:rsid w:val="00BB6FB3"/>
    <w:rsid w:val="00BB7181"/>
    <w:rsid w:val="00BB79D3"/>
    <w:rsid w:val="00BB7C4D"/>
    <w:rsid w:val="00BB7FDB"/>
    <w:rsid w:val="00BC054B"/>
    <w:rsid w:val="00BC0748"/>
    <w:rsid w:val="00BC0E30"/>
    <w:rsid w:val="00BC1512"/>
    <w:rsid w:val="00BC163E"/>
    <w:rsid w:val="00BC2D8F"/>
    <w:rsid w:val="00BC31DA"/>
    <w:rsid w:val="00BC3B96"/>
    <w:rsid w:val="00BC3DB8"/>
    <w:rsid w:val="00BC3E35"/>
    <w:rsid w:val="00BC3EED"/>
    <w:rsid w:val="00BC408F"/>
    <w:rsid w:val="00BC44C6"/>
    <w:rsid w:val="00BC4709"/>
    <w:rsid w:val="00BC56D7"/>
    <w:rsid w:val="00BC6651"/>
    <w:rsid w:val="00BC66E0"/>
    <w:rsid w:val="00BC6A21"/>
    <w:rsid w:val="00BC6B79"/>
    <w:rsid w:val="00BC72DA"/>
    <w:rsid w:val="00BD02B0"/>
    <w:rsid w:val="00BD0749"/>
    <w:rsid w:val="00BD0915"/>
    <w:rsid w:val="00BD12D7"/>
    <w:rsid w:val="00BD1BFB"/>
    <w:rsid w:val="00BD1D9E"/>
    <w:rsid w:val="00BD2453"/>
    <w:rsid w:val="00BD27F3"/>
    <w:rsid w:val="00BD2A49"/>
    <w:rsid w:val="00BD3028"/>
    <w:rsid w:val="00BD363A"/>
    <w:rsid w:val="00BD38C9"/>
    <w:rsid w:val="00BD4577"/>
    <w:rsid w:val="00BD467A"/>
    <w:rsid w:val="00BD501D"/>
    <w:rsid w:val="00BD5261"/>
    <w:rsid w:val="00BD6D0D"/>
    <w:rsid w:val="00BD6D33"/>
    <w:rsid w:val="00BD7DDA"/>
    <w:rsid w:val="00BE0B88"/>
    <w:rsid w:val="00BE115E"/>
    <w:rsid w:val="00BE1DC2"/>
    <w:rsid w:val="00BE29CB"/>
    <w:rsid w:val="00BE2A4B"/>
    <w:rsid w:val="00BE319B"/>
    <w:rsid w:val="00BE32A9"/>
    <w:rsid w:val="00BE3B38"/>
    <w:rsid w:val="00BE3B60"/>
    <w:rsid w:val="00BE3E76"/>
    <w:rsid w:val="00BE4197"/>
    <w:rsid w:val="00BE4475"/>
    <w:rsid w:val="00BE474D"/>
    <w:rsid w:val="00BE53F7"/>
    <w:rsid w:val="00BE567C"/>
    <w:rsid w:val="00BE7FD4"/>
    <w:rsid w:val="00BF08F5"/>
    <w:rsid w:val="00BF09D0"/>
    <w:rsid w:val="00BF0C33"/>
    <w:rsid w:val="00BF0D5B"/>
    <w:rsid w:val="00BF0DA6"/>
    <w:rsid w:val="00BF0E4C"/>
    <w:rsid w:val="00BF0F46"/>
    <w:rsid w:val="00BF1831"/>
    <w:rsid w:val="00BF18B3"/>
    <w:rsid w:val="00BF1B8E"/>
    <w:rsid w:val="00BF218A"/>
    <w:rsid w:val="00BF25A9"/>
    <w:rsid w:val="00BF2F17"/>
    <w:rsid w:val="00BF3B39"/>
    <w:rsid w:val="00BF3EB6"/>
    <w:rsid w:val="00BF3FC8"/>
    <w:rsid w:val="00BF43AB"/>
    <w:rsid w:val="00BF45E9"/>
    <w:rsid w:val="00BF460F"/>
    <w:rsid w:val="00BF4E54"/>
    <w:rsid w:val="00BF4ED9"/>
    <w:rsid w:val="00BF5380"/>
    <w:rsid w:val="00BF5766"/>
    <w:rsid w:val="00BF6259"/>
    <w:rsid w:val="00BF7D03"/>
    <w:rsid w:val="00BF7EC9"/>
    <w:rsid w:val="00C0195D"/>
    <w:rsid w:val="00C01B7D"/>
    <w:rsid w:val="00C02205"/>
    <w:rsid w:val="00C02274"/>
    <w:rsid w:val="00C02470"/>
    <w:rsid w:val="00C0274E"/>
    <w:rsid w:val="00C02E15"/>
    <w:rsid w:val="00C02EA1"/>
    <w:rsid w:val="00C03353"/>
    <w:rsid w:val="00C04719"/>
    <w:rsid w:val="00C04CC5"/>
    <w:rsid w:val="00C05354"/>
    <w:rsid w:val="00C0558D"/>
    <w:rsid w:val="00C05636"/>
    <w:rsid w:val="00C05F47"/>
    <w:rsid w:val="00C06599"/>
    <w:rsid w:val="00C065ED"/>
    <w:rsid w:val="00C0676D"/>
    <w:rsid w:val="00C06BFE"/>
    <w:rsid w:val="00C06C43"/>
    <w:rsid w:val="00C06C47"/>
    <w:rsid w:val="00C07425"/>
    <w:rsid w:val="00C074FE"/>
    <w:rsid w:val="00C07DB5"/>
    <w:rsid w:val="00C114AC"/>
    <w:rsid w:val="00C11884"/>
    <w:rsid w:val="00C1213D"/>
    <w:rsid w:val="00C1213F"/>
    <w:rsid w:val="00C1242B"/>
    <w:rsid w:val="00C129AD"/>
    <w:rsid w:val="00C12E63"/>
    <w:rsid w:val="00C13394"/>
    <w:rsid w:val="00C13B0E"/>
    <w:rsid w:val="00C13F57"/>
    <w:rsid w:val="00C143C5"/>
    <w:rsid w:val="00C14606"/>
    <w:rsid w:val="00C14905"/>
    <w:rsid w:val="00C155D1"/>
    <w:rsid w:val="00C15735"/>
    <w:rsid w:val="00C15957"/>
    <w:rsid w:val="00C15EEB"/>
    <w:rsid w:val="00C176E8"/>
    <w:rsid w:val="00C17739"/>
    <w:rsid w:val="00C17B1F"/>
    <w:rsid w:val="00C17CAC"/>
    <w:rsid w:val="00C17E07"/>
    <w:rsid w:val="00C17E0A"/>
    <w:rsid w:val="00C20A4B"/>
    <w:rsid w:val="00C20B61"/>
    <w:rsid w:val="00C21152"/>
    <w:rsid w:val="00C21C3C"/>
    <w:rsid w:val="00C22230"/>
    <w:rsid w:val="00C22405"/>
    <w:rsid w:val="00C22846"/>
    <w:rsid w:val="00C22976"/>
    <w:rsid w:val="00C2328A"/>
    <w:rsid w:val="00C2358B"/>
    <w:rsid w:val="00C236B8"/>
    <w:rsid w:val="00C24D5C"/>
    <w:rsid w:val="00C24EBF"/>
    <w:rsid w:val="00C24ED0"/>
    <w:rsid w:val="00C25148"/>
    <w:rsid w:val="00C2552D"/>
    <w:rsid w:val="00C25543"/>
    <w:rsid w:val="00C25B9A"/>
    <w:rsid w:val="00C25FF3"/>
    <w:rsid w:val="00C2601A"/>
    <w:rsid w:val="00C2677A"/>
    <w:rsid w:val="00C26D5F"/>
    <w:rsid w:val="00C26E09"/>
    <w:rsid w:val="00C27307"/>
    <w:rsid w:val="00C30C47"/>
    <w:rsid w:val="00C30DB2"/>
    <w:rsid w:val="00C31DC7"/>
    <w:rsid w:val="00C32177"/>
    <w:rsid w:val="00C326E0"/>
    <w:rsid w:val="00C32A1F"/>
    <w:rsid w:val="00C334EB"/>
    <w:rsid w:val="00C340DB"/>
    <w:rsid w:val="00C34870"/>
    <w:rsid w:val="00C34FCE"/>
    <w:rsid w:val="00C35204"/>
    <w:rsid w:val="00C35AF4"/>
    <w:rsid w:val="00C36458"/>
    <w:rsid w:val="00C368A7"/>
    <w:rsid w:val="00C36916"/>
    <w:rsid w:val="00C37394"/>
    <w:rsid w:val="00C37C6E"/>
    <w:rsid w:val="00C37D29"/>
    <w:rsid w:val="00C40171"/>
    <w:rsid w:val="00C40DA3"/>
    <w:rsid w:val="00C41204"/>
    <w:rsid w:val="00C415EA"/>
    <w:rsid w:val="00C41DC6"/>
    <w:rsid w:val="00C421AC"/>
    <w:rsid w:val="00C4268E"/>
    <w:rsid w:val="00C429F2"/>
    <w:rsid w:val="00C42A8E"/>
    <w:rsid w:val="00C42AB3"/>
    <w:rsid w:val="00C43291"/>
    <w:rsid w:val="00C447E6"/>
    <w:rsid w:val="00C45280"/>
    <w:rsid w:val="00C45317"/>
    <w:rsid w:val="00C453ED"/>
    <w:rsid w:val="00C4555A"/>
    <w:rsid w:val="00C45D7E"/>
    <w:rsid w:val="00C46113"/>
    <w:rsid w:val="00C4651B"/>
    <w:rsid w:val="00C470C2"/>
    <w:rsid w:val="00C4760B"/>
    <w:rsid w:val="00C47A5A"/>
    <w:rsid w:val="00C47E8F"/>
    <w:rsid w:val="00C501A4"/>
    <w:rsid w:val="00C50F88"/>
    <w:rsid w:val="00C51468"/>
    <w:rsid w:val="00C51C7C"/>
    <w:rsid w:val="00C521BB"/>
    <w:rsid w:val="00C52478"/>
    <w:rsid w:val="00C5249D"/>
    <w:rsid w:val="00C5266A"/>
    <w:rsid w:val="00C52BE1"/>
    <w:rsid w:val="00C53030"/>
    <w:rsid w:val="00C530B7"/>
    <w:rsid w:val="00C5473C"/>
    <w:rsid w:val="00C54CBD"/>
    <w:rsid w:val="00C54D5D"/>
    <w:rsid w:val="00C555AC"/>
    <w:rsid w:val="00C564C0"/>
    <w:rsid w:val="00C564C6"/>
    <w:rsid w:val="00C567EB"/>
    <w:rsid w:val="00C56E01"/>
    <w:rsid w:val="00C57526"/>
    <w:rsid w:val="00C60166"/>
    <w:rsid w:val="00C602C7"/>
    <w:rsid w:val="00C60A13"/>
    <w:rsid w:val="00C60A59"/>
    <w:rsid w:val="00C60C8C"/>
    <w:rsid w:val="00C614AB"/>
    <w:rsid w:val="00C62145"/>
    <w:rsid w:val="00C62211"/>
    <w:rsid w:val="00C62A83"/>
    <w:rsid w:val="00C632A1"/>
    <w:rsid w:val="00C63DAB"/>
    <w:rsid w:val="00C640A8"/>
    <w:rsid w:val="00C645B9"/>
    <w:rsid w:val="00C64D0C"/>
    <w:rsid w:val="00C65384"/>
    <w:rsid w:val="00C65763"/>
    <w:rsid w:val="00C65DF2"/>
    <w:rsid w:val="00C66D78"/>
    <w:rsid w:val="00C66D7D"/>
    <w:rsid w:val="00C6714D"/>
    <w:rsid w:val="00C67928"/>
    <w:rsid w:val="00C67AA1"/>
    <w:rsid w:val="00C70E46"/>
    <w:rsid w:val="00C713AB"/>
    <w:rsid w:val="00C713E7"/>
    <w:rsid w:val="00C72498"/>
    <w:rsid w:val="00C72632"/>
    <w:rsid w:val="00C72E59"/>
    <w:rsid w:val="00C7331E"/>
    <w:rsid w:val="00C73830"/>
    <w:rsid w:val="00C73BC3"/>
    <w:rsid w:val="00C74D74"/>
    <w:rsid w:val="00C75457"/>
    <w:rsid w:val="00C758B3"/>
    <w:rsid w:val="00C75C78"/>
    <w:rsid w:val="00C75E8C"/>
    <w:rsid w:val="00C7605F"/>
    <w:rsid w:val="00C7608C"/>
    <w:rsid w:val="00C76D92"/>
    <w:rsid w:val="00C77B7B"/>
    <w:rsid w:val="00C800E5"/>
    <w:rsid w:val="00C80434"/>
    <w:rsid w:val="00C8081F"/>
    <w:rsid w:val="00C80A58"/>
    <w:rsid w:val="00C80DF2"/>
    <w:rsid w:val="00C815A4"/>
    <w:rsid w:val="00C82B77"/>
    <w:rsid w:val="00C8385E"/>
    <w:rsid w:val="00C846B5"/>
    <w:rsid w:val="00C846BB"/>
    <w:rsid w:val="00C847DB"/>
    <w:rsid w:val="00C84D76"/>
    <w:rsid w:val="00C84F3E"/>
    <w:rsid w:val="00C85B18"/>
    <w:rsid w:val="00C85E67"/>
    <w:rsid w:val="00C866AE"/>
    <w:rsid w:val="00C86730"/>
    <w:rsid w:val="00C86ADC"/>
    <w:rsid w:val="00C86BBE"/>
    <w:rsid w:val="00C86FAF"/>
    <w:rsid w:val="00C8743A"/>
    <w:rsid w:val="00C8762A"/>
    <w:rsid w:val="00C87B63"/>
    <w:rsid w:val="00C87BFD"/>
    <w:rsid w:val="00C905B0"/>
    <w:rsid w:val="00C907A6"/>
    <w:rsid w:val="00C91182"/>
    <w:rsid w:val="00C9123F"/>
    <w:rsid w:val="00C93176"/>
    <w:rsid w:val="00C936EA"/>
    <w:rsid w:val="00C93DF5"/>
    <w:rsid w:val="00C9496B"/>
    <w:rsid w:val="00C94CF5"/>
    <w:rsid w:val="00C94F5B"/>
    <w:rsid w:val="00C95730"/>
    <w:rsid w:val="00C95779"/>
    <w:rsid w:val="00C9595E"/>
    <w:rsid w:val="00C95A0D"/>
    <w:rsid w:val="00C96181"/>
    <w:rsid w:val="00C963E3"/>
    <w:rsid w:val="00C967CD"/>
    <w:rsid w:val="00C96FD7"/>
    <w:rsid w:val="00C97621"/>
    <w:rsid w:val="00C97A62"/>
    <w:rsid w:val="00C97DF8"/>
    <w:rsid w:val="00CA0AC1"/>
    <w:rsid w:val="00CA1628"/>
    <w:rsid w:val="00CA1D73"/>
    <w:rsid w:val="00CA1FE4"/>
    <w:rsid w:val="00CA2D2B"/>
    <w:rsid w:val="00CA2FBF"/>
    <w:rsid w:val="00CA2FE1"/>
    <w:rsid w:val="00CA30EE"/>
    <w:rsid w:val="00CA335B"/>
    <w:rsid w:val="00CA3436"/>
    <w:rsid w:val="00CA3C18"/>
    <w:rsid w:val="00CA3C5D"/>
    <w:rsid w:val="00CA43FF"/>
    <w:rsid w:val="00CA544C"/>
    <w:rsid w:val="00CA5BEA"/>
    <w:rsid w:val="00CA6AEE"/>
    <w:rsid w:val="00CA771C"/>
    <w:rsid w:val="00CB0331"/>
    <w:rsid w:val="00CB042A"/>
    <w:rsid w:val="00CB0E61"/>
    <w:rsid w:val="00CB105B"/>
    <w:rsid w:val="00CB132C"/>
    <w:rsid w:val="00CB179B"/>
    <w:rsid w:val="00CB187D"/>
    <w:rsid w:val="00CB1C2B"/>
    <w:rsid w:val="00CB1CF0"/>
    <w:rsid w:val="00CB22B4"/>
    <w:rsid w:val="00CB2CC6"/>
    <w:rsid w:val="00CB4EC5"/>
    <w:rsid w:val="00CB4F02"/>
    <w:rsid w:val="00CB4F2D"/>
    <w:rsid w:val="00CB5135"/>
    <w:rsid w:val="00CB5A5C"/>
    <w:rsid w:val="00CB5EC3"/>
    <w:rsid w:val="00CB601E"/>
    <w:rsid w:val="00CB690C"/>
    <w:rsid w:val="00CB6966"/>
    <w:rsid w:val="00CB6AE6"/>
    <w:rsid w:val="00CB77EF"/>
    <w:rsid w:val="00CB7807"/>
    <w:rsid w:val="00CC0251"/>
    <w:rsid w:val="00CC0369"/>
    <w:rsid w:val="00CC12A6"/>
    <w:rsid w:val="00CC2008"/>
    <w:rsid w:val="00CC2333"/>
    <w:rsid w:val="00CC2903"/>
    <w:rsid w:val="00CC2CDC"/>
    <w:rsid w:val="00CC31FB"/>
    <w:rsid w:val="00CC3C72"/>
    <w:rsid w:val="00CC4A35"/>
    <w:rsid w:val="00CC4DC2"/>
    <w:rsid w:val="00CC5A92"/>
    <w:rsid w:val="00CC60D0"/>
    <w:rsid w:val="00CC6AC2"/>
    <w:rsid w:val="00CC6D18"/>
    <w:rsid w:val="00CC76FB"/>
    <w:rsid w:val="00CC7968"/>
    <w:rsid w:val="00CC7A40"/>
    <w:rsid w:val="00CC7ADF"/>
    <w:rsid w:val="00CC7D9A"/>
    <w:rsid w:val="00CC7F58"/>
    <w:rsid w:val="00CD0C47"/>
    <w:rsid w:val="00CD126D"/>
    <w:rsid w:val="00CD15A8"/>
    <w:rsid w:val="00CD1C75"/>
    <w:rsid w:val="00CD2598"/>
    <w:rsid w:val="00CD2723"/>
    <w:rsid w:val="00CD28E5"/>
    <w:rsid w:val="00CD29DA"/>
    <w:rsid w:val="00CD2AE1"/>
    <w:rsid w:val="00CD33EF"/>
    <w:rsid w:val="00CD3CBB"/>
    <w:rsid w:val="00CD496D"/>
    <w:rsid w:val="00CD548E"/>
    <w:rsid w:val="00CD5989"/>
    <w:rsid w:val="00CD5D25"/>
    <w:rsid w:val="00CD6456"/>
    <w:rsid w:val="00CD651B"/>
    <w:rsid w:val="00CD6673"/>
    <w:rsid w:val="00CD7108"/>
    <w:rsid w:val="00CD74A2"/>
    <w:rsid w:val="00CD775D"/>
    <w:rsid w:val="00CE0029"/>
    <w:rsid w:val="00CE0CE7"/>
    <w:rsid w:val="00CE15BB"/>
    <w:rsid w:val="00CE181E"/>
    <w:rsid w:val="00CE20B1"/>
    <w:rsid w:val="00CE2178"/>
    <w:rsid w:val="00CE3587"/>
    <w:rsid w:val="00CE38E2"/>
    <w:rsid w:val="00CE3F63"/>
    <w:rsid w:val="00CE444F"/>
    <w:rsid w:val="00CE5120"/>
    <w:rsid w:val="00CE54A3"/>
    <w:rsid w:val="00CE5711"/>
    <w:rsid w:val="00CE63CC"/>
    <w:rsid w:val="00CE6958"/>
    <w:rsid w:val="00CE6BCD"/>
    <w:rsid w:val="00CE7A17"/>
    <w:rsid w:val="00CE7F34"/>
    <w:rsid w:val="00CF00BC"/>
    <w:rsid w:val="00CF0197"/>
    <w:rsid w:val="00CF0A2C"/>
    <w:rsid w:val="00CF0AFB"/>
    <w:rsid w:val="00CF15A3"/>
    <w:rsid w:val="00CF165A"/>
    <w:rsid w:val="00CF1743"/>
    <w:rsid w:val="00CF3A77"/>
    <w:rsid w:val="00CF3B11"/>
    <w:rsid w:val="00CF4230"/>
    <w:rsid w:val="00CF48B7"/>
    <w:rsid w:val="00CF4CB0"/>
    <w:rsid w:val="00CF4CED"/>
    <w:rsid w:val="00CF4EF0"/>
    <w:rsid w:val="00CF5610"/>
    <w:rsid w:val="00CF570B"/>
    <w:rsid w:val="00CF5E53"/>
    <w:rsid w:val="00CF64C6"/>
    <w:rsid w:val="00CF64D9"/>
    <w:rsid w:val="00CF686D"/>
    <w:rsid w:val="00CF69FC"/>
    <w:rsid w:val="00CF6E37"/>
    <w:rsid w:val="00CF6F97"/>
    <w:rsid w:val="00CF70CF"/>
    <w:rsid w:val="00CF73F2"/>
    <w:rsid w:val="00CF770C"/>
    <w:rsid w:val="00D01DF8"/>
    <w:rsid w:val="00D02020"/>
    <w:rsid w:val="00D021FC"/>
    <w:rsid w:val="00D02873"/>
    <w:rsid w:val="00D02BCF"/>
    <w:rsid w:val="00D02DEB"/>
    <w:rsid w:val="00D02E6F"/>
    <w:rsid w:val="00D02FC1"/>
    <w:rsid w:val="00D03CBB"/>
    <w:rsid w:val="00D03D20"/>
    <w:rsid w:val="00D05171"/>
    <w:rsid w:val="00D0534A"/>
    <w:rsid w:val="00D05AE9"/>
    <w:rsid w:val="00D05E84"/>
    <w:rsid w:val="00D063F9"/>
    <w:rsid w:val="00D07174"/>
    <w:rsid w:val="00D0784D"/>
    <w:rsid w:val="00D07B18"/>
    <w:rsid w:val="00D07B84"/>
    <w:rsid w:val="00D10B56"/>
    <w:rsid w:val="00D10D39"/>
    <w:rsid w:val="00D10D74"/>
    <w:rsid w:val="00D10F7F"/>
    <w:rsid w:val="00D11072"/>
    <w:rsid w:val="00D111BA"/>
    <w:rsid w:val="00D12E88"/>
    <w:rsid w:val="00D1314F"/>
    <w:rsid w:val="00D1318B"/>
    <w:rsid w:val="00D134B0"/>
    <w:rsid w:val="00D136FD"/>
    <w:rsid w:val="00D137F8"/>
    <w:rsid w:val="00D13E17"/>
    <w:rsid w:val="00D14C7B"/>
    <w:rsid w:val="00D1596F"/>
    <w:rsid w:val="00D1641C"/>
    <w:rsid w:val="00D164F7"/>
    <w:rsid w:val="00D16C2A"/>
    <w:rsid w:val="00D16DAA"/>
    <w:rsid w:val="00D16DBF"/>
    <w:rsid w:val="00D16F39"/>
    <w:rsid w:val="00D1786D"/>
    <w:rsid w:val="00D17A9C"/>
    <w:rsid w:val="00D17AC7"/>
    <w:rsid w:val="00D2146E"/>
    <w:rsid w:val="00D219E0"/>
    <w:rsid w:val="00D22002"/>
    <w:rsid w:val="00D22395"/>
    <w:rsid w:val="00D22712"/>
    <w:rsid w:val="00D2300B"/>
    <w:rsid w:val="00D233E3"/>
    <w:rsid w:val="00D23620"/>
    <w:rsid w:val="00D2402C"/>
    <w:rsid w:val="00D2463F"/>
    <w:rsid w:val="00D246AB"/>
    <w:rsid w:val="00D24CFE"/>
    <w:rsid w:val="00D24D1C"/>
    <w:rsid w:val="00D25017"/>
    <w:rsid w:val="00D25253"/>
    <w:rsid w:val="00D25D9E"/>
    <w:rsid w:val="00D26533"/>
    <w:rsid w:val="00D30A29"/>
    <w:rsid w:val="00D31363"/>
    <w:rsid w:val="00D31A74"/>
    <w:rsid w:val="00D32156"/>
    <w:rsid w:val="00D3231E"/>
    <w:rsid w:val="00D3257A"/>
    <w:rsid w:val="00D326F1"/>
    <w:rsid w:val="00D32E44"/>
    <w:rsid w:val="00D33173"/>
    <w:rsid w:val="00D33328"/>
    <w:rsid w:val="00D33506"/>
    <w:rsid w:val="00D346E3"/>
    <w:rsid w:val="00D3479E"/>
    <w:rsid w:val="00D353BC"/>
    <w:rsid w:val="00D35577"/>
    <w:rsid w:val="00D357C8"/>
    <w:rsid w:val="00D36F80"/>
    <w:rsid w:val="00D37062"/>
    <w:rsid w:val="00D373DC"/>
    <w:rsid w:val="00D375D6"/>
    <w:rsid w:val="00D3765E"/>
    <w:rsid w:val="00D37E20"/>
    <w:rsid w:val="00D37F84"/>
    <w:rsid w:val="00D401D2"/>
    <w:rsid w:val="00D403C2"/>
    <w:rsid w:val="00D4045C"/>
    <w:rsid w:val="00D405FB"/>
    <w:rsid w:val="00D40AF2"/>
    <w:rsid w:val="00D40C51"/>
    <w:rsid w:val="00D415D3"/>
    <w:rsid w:val="00D41770"/>
    <w:rsid w:val="00D41F88"/>
    <w:rsid w:val="00D420E7"/>
    <w:rsid w:val="00D4234E"/>
    <w:rsid w:val="00D42759"/>
    <w:rsid w:val="00D4374D"/>
    <w:rsid w:val="00D43894"/>
    <w:rsid w:val="00D43CF4"/>
    <w:rsid w:val="00D45237"/>
    <w:rsid w:val="00D45755"/>
    <w:rsid w:val="00D47053"/>
    <w:rsid w:val="00D477B0"/>
    <w:rsid w:val="00D47A06"/>
    <w:rsid w:val="00D50EC9"/>
    <w:rsid w:val="00D511CE"/>
    <w:rsid w:val="00D51428"/>
    <w:rsid w:val="00D52266"/>
    <w:rsid w:val="00D529CC"/>
    <w:rsid w:val="00D52F90"/>
    <w:rsid w:val="00D535A1"/>
    <w:rsid w:val="00D53A30"/>
    <w:rsid w:val="00D54048"/>
    <w:rsid w:val="00D54729"/>
    <w:rsid w:val="00D54F51"/>
    <w:rsid w:val="00D55067"/>
    <w:rsid w:val="00D556BF"/>
    <w:rsid w:val="00D55888"/>
    <w:rsid w:val="00D55EFA"/>
    <w:rsid w:val="00D55FE3"/>
    <w:rsid w:val="00D56236"/>
    <w:rsid w:val="00D57402"/>
    <w:rsid w:val="00D577C8"/>
    <w:rsid w:val="00D57AF2"/>
    <w:rsid w:val="00D57C3A"/>
    <w:rsid w:val="00D57CC2"/>
    <w:rsid w:val="00D6154E"/>
    <w:rsid w:val="00D61CBB"/>
    <w:rsid w:val="00D621C2"/>
    <w:rsid w:val="00D6265A"/>
    <w:rsid w:val="00D6280B"/>
    <w:rsid w:val="00D63889"/>
    <w:rsid w:val="00D63A3C"/>
    <w:rsid w:val="00D63CC9"/>
    <w:rsid w:val="00D63D81"/>
    <w:rsid w:val="00D64D1A"/>
    <w:rsid w:val="00D65C99"/>
    <w:rsid w:val="00D66005"/>
    <w:rsid w:val="00D662D8"/>
    <w:rsid w:val="00D663ED"/>
    <w:rsid w:val="00D6669D"/>
    <w:rsid w:val="00D67337"/>
    <w:rsid w:val="00D70552"/>
    <w:rsid w:val="00D70DBC"/>
    <w:rsid w:val="00D712B0"/>
    <w:rsid w:val="00D71AC6"/>
    <w:rsid w:val="00D7281D"/>
    <w:rsid w:val="00D72836"/>
    <w:rsid w:val="00D72BBC"/>
    <w:rsid w:val="00D72C77"/>
    <w:rsid w:val="00D74E04"/>
    <w:rsid w:val="00D753E4"/>
    <w:rsid w:val="00D75CA2"/>
    <w:rsid w:val="00D75FA4"/>
    <w:rsid w:val="00D7649F"/>
    <w:rsid w:val="00D767ED"/>
    <w:rsid w:val="00D76935"/>
    <w:rsid w:val="00D76A47"/>
    <w:rsid w:val="00D77092"/>
    <w:rsid w:val="00D772A7"/>
    <w:rsid w:val="00D77F3C"/>
    <w:rsid w:val="00D8074E"/>
    <w:rsid w:val="00D81B25"/>
    <w:rsid w:val="00D820B2"/>
    <w:rsid w:val="00D820D0"/>
    <w:rsid w:val="00D8212A"/>
    <w:rsid w:val="00D830B7"/>
    <w:rsid w:val="00D83EC6"/>
    <w:rsid w:val="00D843EB"/>
    <w:rsid w:val="00D8444B"/>
    <w:rsid w:val="00D84E46"/>
    <w:rsid w:val="00D84E79"/>
    <w:rsid w:val="00D85546"/>
    <w:rsid w:val="00D86235"/>
    <w:rsid w:val="00D8632A"/>
    <w:rsid w:val="00D863AC"/>
    <w:rsid w:val="00D86979"/>
    <w:rsid w:val="00D86C7A"/>
    <w:rsid w:val="00D86D46"/>
    <w:rsid w:val="00D87D63"/>
    <w:rsid w:val="00D903E4"/>
    <w:rsid w:val="00D90A55"/>
    <w:rsid w:val="00D90B8C"/>
    <w:rsid w:val="00D917F7"/>
    <w:rsid w:val="00D9274A"/>
    <w:rsid w:val="00D92BF8"/>
    <w:rsid w:val="00D92DC7"/>
    <w:rsid w:val="00D9313C"/>
    <w:rsid w:val="00D93258"/>
    <w:rsid w:val="00D9387E"/>
    <w:rsid w:val="00D94B80"/>
    <w:rsid w:val="00D952CF"/>
    <w:rsid w:val="00D95F76"/>
    <w:rsid w:val="00D96401"/>
    <w:rsid w:val="00D973E6"/>
    <w:rsid w:val="00D9743E"/>
    <w:rsid w:val="00D975D4"/>
    <w:rsid w:val="00D97C84"/>
    <w:rsid w:val="00DA0380"/>
    <w:rsid w:val="00DA0649"/>
    <w:rsid w:val="00DA0AF8"/>
    <w:rsid w:val="00DA11D6"/>
    <w:rsid w:val="00DA15B1"/>
    <w:rsid w:val="00DA1EB3"/>
    <w:rsid w:val="00DA27A4"/>
    <w:rsid w:val="00DA2EAD"/>
    <w:rsid w:val="00DA3227"/>
    <w:rsid w:val="00DA3873"/>
    <w:rsid w:val="00DA3DC5"/>
    <w:rsid w:val="00DA4570"/>
    <w:rsid w:val="00DA4B65"/>
    <w:rsid w:val="00DA4D6E"/>
    <w:rsid w:val="00DA4E61"/>
    <w:rsid w:val="00DA53F3"/>
    <w:rsid w:val="00DA5D1F"/>
    <w:rsid w:val="00DA5DD0"/>
    <w:rsid w:val="00DA66AC"/>
    <w:rsid w:val="00DA772C"/>
    <w:rsid w:val="00DA7877"/>
    <w:rsid w:val="00DA7B31"/>
    <w:rsid w:val="00DB0002"/>
    <w:rsid w:val="00DB03D1"/>
    <w:rsid w:val="00DB0996"/>
    <w:rsid w:val="00DB137B"/>
    <w:rsid w:val="00DB21C2"/>
    <w:rsid w:val="00DB2340"/>
    <w:rsid w:val="00DB2C55"/>
    <w:rsid w:val="00DB4413"/>
    <w:rsid w:val="00DB452B"/>
    <w:rsid w:val="00DB4BBD"/>
    <w:rsid w:val="00DB61F4"/>
    <w:rsid w:val="00DB625E"/>
    <w:rsid w:val="00DB6B8F"/>
    <w:rsid w:val="00DB6F01"/>
    <w:rsid w:val="00DB6F8C"/>
    <w:rsid w:val="00DB7602"/>
    <w:rsid w:val="00DC128C"/>
    <w:rsid w:val="00DC16EF"/>
    <w:rsid w:val="00DC19BC"/>
    <w:rsid w:val="00DC1DFD"/>
    <w:rsid w:val="00DC2029"/>
    <w:rsid w:val="00DC2ADC"/>
    <w:rsid w:val="00DC2FAE"/>
    <w:rsid w:val="00DC3051"/>
    <w:rsid w:val="00DC4047"/>
    <w:rsid w:val="00DC4BE7"/>
    <w:rsid w:val="00DC522A"/>
    <w:rsid w:val="00DC5629"/>
    <w:rsid w:val="00DC5CCD"/>
    <w:rsid w:val="00DC5E0F"/>
    <w:rsid w:val="00DC5E7F"/>
    <w:rsid w:val="00DC628A"/>
    <w:rsid w:val="00DC6419"/>
    <w:rsid w:val="00DC71FD"/>
    <w:rsid w:val="00DC75DD"/>
    <w:rsid w:val="00DC7609"/>
    <w:rsid w:val="00DD0134"/>
    <w:rsid w:val="00DD04F6"/>
    <w:rsid w:val="00DD0BB0"/>
    <w:rsid w:val="00DD1A04"/>
    <w:rsid w:val="00DD269F"/>
    <w:rsid w:val="00DD2B27"/>
    <w:rsid w:val="00DD3019"/>
    <w:rsid w:val="00DD331A"/>
    <w:rsid w:val="00DD3E33"/>
    <w:rsid w:val="00DD43E6"/>
    <w:rsid w:val="00DD4D75"/>
    <w:rsid w:val="00DD5591"/>
    <w:rsid w:val="00DD5D76"/>
    <w:rsid w:val="00DD7035"/>
    <w:rsid w:val="00DD7065"/>
    <w:rsid w:val="00DD7318"/>
    <w:rsid w:val="00DE0307"/>
    <w:rsid w:val="00DE15D7"/>
    <w:rsid w:val="00DE1A78"/>
    <w:rsid w:val="00DE220B"/>
    <w:rsid w:val="00DE2905"/>
    <w:rsid w:val="00DE32EB"/>
    <w:rsid w:val="00DE39D7"/>
    <w:rsid w:val="00DE3AD7"/>
    <w:rsid w:val="00DE50B1"/>
    <w:rsid w:val="00DE5D59"/>
    <w:rsid w:val="00DE5E25"/>
    <w:rsid w:val="00DE6936"/>
    <w:rsid w:val="00DE6EB5"/>
    <w:rsid w:val="00DE72EE"/>
    <w:rsid w:val="00DE738D"/>
    <w:rsid w:val="00DE7564"/>
    <w:rsid w:val="00DE79B2"/>
    <w:rsid w:val="00DF0B5B"/>
    <w:rsid w:val="00DF2E41"/>
    <w:rsid w:val="00DF386D"/>
    <w:rsid w:val="00DF4000"/>
    <w:rsid w:val="00DF402F"/>
    <w:rsid w:val="00DF494D"/>
    <w:rsid w:val="00DF4CD0"/>
    <w:rsid w:val="00DF546D"/>
    <w:rsid w:val="00DF63CE"/>
    <w:rsid w:val="00DF63FE"/>
    <w:rsid w:val="00DF6745"/>
    <w:rsid w:val="00DF6DE7"/>
    <w:rsid w:val="00DF7A1C"/>
    <w:rsid w:val="00DF7A48"/>
    <w:rsid w:val="00DF7A7B"/>
    <w:rsid w:val="00DF7E73"/>
    <w:rsid w:val="00DF7EA7"/>
    <w:rsid w:val="00E0004A"/>
    <w:rsid w:val="00E00228"/>
    <w:rsid w:val="00E003E1"/>
    <w:rsid w:val="00E0072F"/>
    <w:rsid w:val="00E0103C"/>
    <w:rsid w:val="00E01E18"/>
    <w:rsid w:val="00E0252E"/>
    <w:rsid w:val="00E025FA"/>
    <w:rsid w:val="00E02972"/>
    <w:rsid w:val="00E02BB3"/>
    <w:rsid w:val="00E02DB9"/>
    <w:rsid w:val="00E03010"/>
    <w:rsid w:val="00E03B8E"/>
    <w:rsid w:val="00E0417C"/>
    <w:rsid w:val="00E044AC"/>
    <w:rsid w:val="00E045A9"/>
    <w:rsid w:val="00E04A79"/>
    <w:rsid w:val="00E04EF4"/>
    <w:rsid w:val="00E054F3"/>
    <w:rsid w:val="00E05B8C"/>
    <w:rsid w:val="00E065E7"/>
    <w:rsid w:val="00E072FE"/>
    <w:rsid w:val="00E074CF"/>
    <w:rsid w:val="00E07C00"/>
    <w:rsid w:val="00E10822"/>
    <w:rsid w:val="00E10E9E"/>
    <w:rsid w:val="00E1126B"/>
    <w:rsid w:val="00E117A8"/>
    <w:rsid w:val="00E11D33"/>
    <w:rsid w:val="00E122B9"/>
    <w:rsid w:val="00E12AC6"/>
    <w:rsid w:val="00E1317C"/>
    <w:rsid w:val="00E133E4"/>
    <w:rsid w:val="00E138D3"/>
    <w:rsid w:val="00E13AAA"/>
    <w:rsid w:val="00E13B90"/>
    <w:rsid w:val="00E13FD6"/>
    <w:rsid w:val="00E14BDC"/>
    <w:rsid w:val="00E1549F"/>
    <w:rsid w:val="00E15594"/>
    <w:rsid w:val="00E156CE"/>
    <w:rsid w:val="00E15910"/>
    <w:rsid w:val="00E15C59"/>
    <w:rsid w:val="00E16149"/>
    <w:rsid w:val="00E165C6"/>
    <w:rsid w:val="00E16710"/>
    <w:rsid w:val="00E16A1F"/>
    <w:rsid w:val="00E16BB0"/>
    <w:rsid w:val="00E174BA"/>
    <w:rsid w:val="00E17E2B"/>
    <w:rsid w:val="00E17F2C"/>
    <w:rsid w:val="00E2032A"/>
    <w:rsid w:val="00E206FB"/>
    <w:rsid w:val="00E20D38"/>
    <w:rsid w:val="00E2152B"/>
    <w:rsid w:val="00E21564"/>
    <w:rsid w:val="00E22295"/>
    <w:rsid w:val="00E227E5"/>
    <w:rsid w:val="00E234B6"/>
    <w:rsid w:val="00E2366E"/>
    <w:rsid w:val="00E238B6"/>
    <w:rsid w:val="00E23DC9"/>
    <w:rsid w:val="00E2420B"/>
    <w:rsid w:val="00E25A4A"/>
    <w:rsid w:val="00E26182"/>
    <w:rsid w:val="00E26BBC"/>
    <w:rsid w:val="00E26E1A"/>
    <w:rsid w:val="00E26FEA"/>
    <w:rsid w:val="00E27867"/>
    <w:rsid w:val="00E27D1C"/>
    <w:rsid w:val="00E27F8B"/>
    <w:rsid w:val="00E30573"/>
    <w:rsid w:val="00E3103F"/>
    <w:rsid w:val="00E32550"/>
    <w:rsid w:val="00E32B95"/>
    <w:rsid w:val="00E32EC4"/>
    <w:rsid w:val="00E33A4A"/>
    <w:rsid w:val="00E35BA2"/>
    <w:rsid w:val="00E3661C"/>
    <w:rsid w:val="00E367CE"/>
    <w:rsid w:val="00E36B99"/>
    <w:rsid w:val="00E37294"/>
    <w:rsid w:val="00E377B3"/>
    <w:rsid w:val="00E37B6C"/>
    <w:rsid w:val="00E37E3E"/>
    <w:rsid w:val="00E4034A"/>
    <w:rsid w:val="00E4083C"/>
    <w:rsid w:val="00E40D90"/>
    <w:rsid w:val="00E40E6A"/>
    <w:rsid w:val="00E41260"/>
    <w:rsid w:val="00E415B1"/>
    <w:rsid w:val="00E41935"/>
    <w:rsid w:val="00E41FEC"/>
    <w:rsid w:val="00E43F0E"/>
    <w:rsid w:val="00E44432"/>
    <w:rsid w:val="00E44E5A"/>
    <w:rsid w:val="00E45852"/>
    <w:rsid w:val="00E45B84"/>
    <w:rsid w:val="00E46183"/>
    <w:rsid w:val="00E46F7F"/>
    <w:rsid w:val="00E475BA"/>
    <w:rsid w:val="00E504A5"/>
    <w:rsid w:val="00E504D1"/>
    <w:rsid w:val="00E51D5F"/>
    <w:rsid w:val="00E51F34"/>
    <w:rsid w:val="00E5207B"/>
    <w:rsid w:val="00E527B5"/>
    <w:rsid w:val="00E52C10"/>
    <w:rsid w:val="00E52EBD"/>
    <w:rsid w:val="00E52F5F"/>
    <w:rsid w:val="00E53CAA"/>
    <w:rsid w:val="00E53D72"/>
    <w:rsid w:val="00E53F78"/>
    <w:rsid w:val="00E5435F"/>
    <w:rsid w:val="00E54367"/>
    <w:rsid w:val="00E543AB"/>
    <w:rsid w:val="00E54629"/>
    <w:rsid w:val="00E54782"/>
    <w:rsid w:val="00E548C7"/>
    <w:rsid w:val="00E54B9C"/>
    <w:rsid w:val="00E5586D"/>
    <w:rsid w:val="00E55B77"/>
    <w:rsid w:val="00E56EA5"/>
    <w:rsid w:val="00E57236"/>
    <w:rsid w:val="00E57D87"/>
    <w:rsid w:val="00E57FBB"/>
    <w:rsid w:val="00E6018E"/>
    <w:rsid w:val="00E6021D"/>
    <w:rsid w:val="00E60796"/>
    <w:rsid w:val="00E60818"/>
    <w:rsid w:val="00E615C9"/>
    <w:rsid w:val="00E618D7"/>
    <w:rsid w:val="00E61BBD"/>
    <w:rsid w:val="00E61C68"/>
    <w:rsid w:val="00E61DBE"/>
    <w:rsid w:val="00E61F04"/>
    <w:rsid w:val="00E62334"/>
    <w:rsid w:val="00E62B62"/>
    <w:rsid w:val="00E634AF"/>
    <w:rsid w:val="00E63514"/>
    <w:rsid w:val="00E636F7"/>
    <w:rsid w:val="00E63897"/>
    <w:rsid w:val="00E64292"/>
    <w:rsid w:val="00E64D43"/>
    <w:rsid w:val="00E6503D"/>
    <w:rsid w:val="00E6508E"/>
    <w:rsid w:val="00E65680"/>
    <w:rsid w:val="00E66F67"/>
    <w:rsid w:val="00E6705E"/>
    <w:rsid w:val="00E67559"/>
    <w:rsid w:val="00E67862"/>
    <w:rsid w:val="00E67867"/>
    <w:rsid w:val="00E67AF5"/>
    <w:rsid w:val="00E67E36"/>
    <w:rsid w:val="00E67E89"/>
    <w:rsid w:val="00E70226"/>
    <w:rsid w:val="00E704F9"/>
    <w:rsid w:val="00E70B25"/>
    <w:rsid w:val="00E712B5"/>
    <w:rsid w:val="00E7216B"/>
    <w:rsid w:val="00E72286"/>
    <w:rsid w:val="00E722B7"/>
    <w:rsid w:val="00E724C1"/>
    <w:rsid w:val="00E72DE1"/>
    <w:rsid w:val="00E73087"/>
    <w:rsid w:val="00E73346"/>
    <w:rsid w:val="00E734E8"/>
    <w:rsid w:val="00E73E1A"/>
    <w:rsid w:val="00E7463D"/>
    <w:rsid w:val="00E7537C"/>
    <w:rsid w:val="00E7543F"/>
    <w:rsid w:val="00E757F8"/>
    <w:rsid w:val="00E76852"/>
    <w:rsid w:val="00E76C39"/>
    <w:rsid w:val="00E76FFA"/>
    <w:rsid w:val="00E800CE"/>
    <w:rsid w:val="00E800F0"/>
    <w:rsid w:val="00E80416"/>
    <w:rsid w:val="00E8235F"/>
    <w:rsid w:val="00E823AB"/>
    <w:rsid w:val="00E82518"/>
    <w:rsid w:val="00E832EE"/>
    <w:rsid w:val="00E833BC"/>
    <w:rsid w:val="00E83870"/>
    <w:rsid w:val="00E849DF"/>
    <w:rsid w:val="00E84B8F"/>
    <w:rsid w:val="00E8518C"/>
    <w:rsid w:val="00E85A03"/>
    <w:rsid w:val="00E86210"/>
    <w:rsid w:val="00E86498"/>
    <w:rsid w:val="00E86957"/>
    <w:rsid w:val="00E86C0B"/>
    <w:rsid w:val="00E87238"/>
    <w:rsid w:val="00E8728B"/>
    <w:rsid w:val="00E87512"/>
    <w:rsid w:val="00E87FAD"/>
    <w:rsid w:val="00E902C9"/>
    <w:rsid w:val="00E907F2"/>
    <w:rsid w:val="00E90D7F"/>
    <w:rsid w:val="00E91090"/>
    <w:rsid w:val="00E91756"/>
    <w:rsid w:val="00E91880"/>
    <w:rsid w:val="00E92086"/>
    <w:rsid w:val="00E92402"/>
    <w:rsid w:val="00E928F5"/>
    <w:rsid w:val="00E92B76"/>
    <w:rsid w:val="00E93586"/>
    <w:rsid w:val="00E93ACC"/>
    <w:rsid w:val="00E93C69"/>
    <w:rsid w:val="00E93DDB"/>
    <w:rsid w:val="00E95091"/>
    <w:rsid w:val="00E95A81"/>
    <w:rsid w:val="00E96693"/>
    <w:rsid w:val="00E96A6C"/>
    <w:rsid w:val="00E96D40"/>
    <w:rsid w:val="00E97538"/>
    <w:rsid w:val="00E97D1A"/>
    <w:rsid w:val="00EA0E9E"/>
    <w:rsid w:val="00EA16B3"/>
    <w:rsid w:val="00EA1955"/>
    <w:rsid w:val="00EA2520"/>
    <w:rsid w:val="00EA2703"/>
    <w:rsid w:val="00EA2985"/>
    <w:rsid w:val="00EA344B"/>
    <w:rsid w:val="00EA416B"/>
    <w:rsid w:val="00EA4263"/>
    <w:rsid w:val="00EA4F2B"/>
    <w:rsid w:val="00EA4F38"/>
    <w:rsid w:val="00EA5098"/>
    <w:rsid w:val="00EA557C"/>
    <w:rsid w:val="00EA5898"/>
    <w:rsid w:val="00EA5B6A"/>
    <w:rsid w:val="00EA5B7B"/>
    <w:rsid w:val="00EA6553"/>
    <w:rsid w:val="00EA6695"/>
    <w:rsid w:val="00EA78CE"/>
    <w:rsid w:val="00EA7A3F"/>
    <w:rsid w:val="00EB01D4"/>
    <w:rsid w:val="00EB068D"/>
    <w:rsid w:val="00EB0AB2"/>
    <w:rsid w:val="00EB1525"/>
    <w:rsid w:val="00EB15AB"/>
    <w:rsid w:val="00EB1777"/>
    <w:rsid w:val="00EB1B1D"/>
    <w:rsid w:val="00EB1D79"/>
    <w:rsid w:val="00EB34E9"/>
    <w:rsid w:val="00EB389F"/>
    <w:rsid w:val="00EB3987"/>
    <w:rsid w:val="00EB398E"/>
    <w:rsid w:val="00EB438C"/>
    <w:rsid w:val="00EB47EE"/>
    <w:rsid w:val="00EB4819"/>
    <w:rsid w:val="00EB53A8"/>
    <w:rsid w:val="00EB548F"/>
    <w:rsid w:val="00EB5837"/>
    <w:rsid w:val="00EB58D4"/>
    <w:rsid w:val="00EB5B3E"/>
    <w:rsid w:val="00EB5DFC"/>
    <w:rsid w:val="00EB5E54"/>
    <w:rsid w:val="00EB61E1"/>
    <w:rsid w:val="00EB6621"/>
    <w:rsid w:val="00EB6CA5"/>
    <w:rsid w:val="00EB7585"/>
    <w:rsid w:val="00EB77DB"/>
    <w:rsid w:val="00EC04C6"/>
    <w:rsid w:val="00EC0C2C"/>
    <w:rsid w:val="00EC20DA"/>
    <w:rsid w:val="00EC29A0"/>
    <w:rsid w:val="00EC2DF0"/>
    <w:rsid w:val="00EC335A"/>
    <w:rsid w:val="00EC38F3"/>
    <w:rsid w:val="00EC4419"/>
    <w:rsid w:val="00EC44E9"/>
    <w:rsid w:val="00EC486F"/>
    <w:rsid w:val="00EC5EB4"/>
    <w:rsid w:val="00EC616E"/>
    <w:rsid w:val="00EC6461"/>
    <w:rsid w:val="00EC6674"/>
    <w:rsid w:val="00EC6BDE"/>
    <w:rsid w:val="00EC7B07"/>
    <w:rsid w:val="00ED0A03"/>
    <w:rsid w:val="00ED17CC"/>
    <w:rsid w:val="00ED1BF7"/>
    <w:rsid w:val="00ED2111"/>
    <w:rsid w:val="00ED2F09"/>
    <w:rsid w:val="00ED30F3"/>
    <w:rsid w:val="00ED3566"/>
    <w:rsid w:val="00ED3720"/>
    <w:rsid w:val="00ED3868"/>
    <w:rsid w:val="00ED3A38"/>
    <w:rsid w:val="00ED4B97"/>
    <w:rsid w:val="00ED55DD"/>
    <w:rsid w:val="00ED7684"/>
    <w:rsid w:val="00ED7B8C"/>
    <w:rsid w:val="00ED7DE6"/>
    <w:rsid w:val="00EE000F"/>
    <w:rsid w:val="00EE0145"/>
    <w:rsid w:val="00EE0413"/>
    <w:rsid w:val="00EE1123"/>
    <w:rsid w:val="00EE113F"/>
    <w:rsid w:val="00EE1ACB"/>
    <w:rsid w:val="00EE29E9"/>
    <w:rsid w:val="00EE2CB6"/>
    <w:rsid w:val="00EE385C"/>
    <w:rsid w:val="00EE38A3"/>
    <w:rsid w:val="00EE43CD"/>
    <w:rsid w:val="00EE4454"/>
    <w:rsid w:val="00EE4C60"/>
    <w:rsid w:val="00EE5788"/>
    <w:rsid w:val="00EE5895"/>
    <w:rsid w:val="00EE62F3"/>
    <w:rsid w:val="00EE6BF7"/>
    <w:rsid w:val="00EE70DF"/>
    <w:rsid w:val="00EE7EA1"/>
    <w:rsid w:val="00EF093F"/>
    <w:rsid w:val="00EF0EFD"/>
    <w:rsid w:val="00EF1591"/>
    <w:rsid w:val="00EF18DA"/>
    <w:rsid w:val="00EF18ED"/>
    <w:rsid w:val="00EF1C16"/>
    <w:rsid w:val="00EF20B9"/>
    <w:rsid w:val="00EF2176"/>
    <w:rsid w:val="00EF219D"/>
    <w:rsid w:val="00EF2DAD"/>
    <w:rsid w:val="00EF3AA0"/>
    <w:rsid w:val="00EF3C57"/>
    <w:rsid w:val="00EF3E06"/>
    <w:rsid w:val="00EF44AD"/>
    <w:rsid w:val="00EF4C3E"/>
    <w:rsid w:val="00EF4CB5"/>
    <w:rsid w:val="00EF4F75"/>
    <w:rsid w:val="00EF5281"/>
    <w:rsid w:val="00EF5719"/>
    <w:rsid w:val="00EF5C27"/>
    <w:rsid w:val="00EF650C"/>
    <w:rsid w:val="00EF679E"/>
    <w:rsid w:val="00EF6D0B"/>
    <w:rsid w:val="00F0024F"/>
    <w:rsid w:val="00F003DF"/>
    <w:rsid w:val="00F0063B"/>
    <w:rsid w:val="00F008F6"/>
    <w:rsid w:val="00F00EB1"/>
    <w:rsid w:val="00F02139"/>
    <w:rsid w:val="00F0232F"/>
    <w:rsid w:val="00F02B91"/>
    <w:rsid w:val="00F02EFA"/>
    <w:rsid w:val="00F03D88"/>
    <w:rsid w:val="00F03FB4"/>
    <w:rsid w:val="00F04348"/>
    <w:rsid w:val="00F044E4"/>
    <w:rsid w:val="00F048AA"/>
    <w:rsid w:val="00F04D3D"/>
    <w:rsid w:val="00F05C86"/>
    <w:rsid w:val="00F062CD"/>
    <w:rsid w:val="00F063E6"/>
    <w:rsid w:val="00F06C86"/>
    <w:rsid w:val="00F06CAC"/>
    <w:rsid w:val="00F06ECE"/>
    <w:rsid w:val="00F070E8"/>
    <w:rsid w:val="00F07147"/>
    <w:rsid w:val="00F0717E"/>
    <w:rsid w:val="00F07369"/>
    <w:rsid w:val="00F07417"/>
    <w:rsid w:val="00F076D0"/>
    <w:rsid w:val="00F07A44"/>
    <w:rsid w:val="00F1011F"/>
    <w:rsid w:val="00F124AC"/>
    <w:rsid w:val="00F12B0B"/>
    <w:rsid w:val="00F13143"/>
    <w:rsid w:val="00F13656"/>
    <w:rsid w:val="00F13A62"/>
    <w:rsid w:val="00F13B21"/>
    <w:rsid w:val="00F13E51"/>
    <w:rsid w:val="00F1404D"/>
    <w:rsid w:val="00F14931"/>
    <w:rsid w:val="00F14CAF"/>
    <w:rsid w:val="00F14E43"/>
    <w:rsid w:val="00F15648"/>
    <w:rsid w:val="00F15964"/>
    <w:rsid w:val="00F16475"/>
    <w:rsid w:val="00F16E25"/>
    <w:rsid w:val="00F171C3"/>
    <w:rsid w:val="00F17387"/>
    <w:rsid w:val="00F17C7E"/>
    <w:rsid w:val="00F17DC8"/>
    <w:rsid w:val="00F200F3"/>
    <w:rsid w:val="00F20504"/>
    <w:rsid w:val="00F22168"/>
    <w:rsid w:val="00F2272F"/>
    <w:rsid w:val="00F2275A"/>
    <w:rsid w:val="00F2300F"/>
    <w:rsid w:val="00F235CA"/>
    <w:rsid w:val="00F23D53"/>
    <w:rsid w:val="00F24128"/>
    <w:rsid w:val="00F24F0A"/>
    <w:rsid w:val="00F251B0"/>
    <w:rsid w:val="00F25652"/>
    <w:rsid w:val="00F25903"/>
    <w:rsid w:val="00F25E9F"/>
    <w:rsid w:val="00F26377"/>
    <w:rsid w:val="00F264CC"/>
    <w:rsid w:val="00F26A8A"/>
    <w:rsid w:val="00F27320"/>
    <w:rsid w:val="00F27AAA"/>
    <w:rsid w:val="00F30250"/>
    <w:rsid w:val="00F30FFD"/>
    <w:rsid w:val="00F31658"/>
    <w:rsid w:val="00F3178C"/>
    <w:rsid w:val="00F31F43"/>
    <w:rsid w:val="00F32D2C"/>
    <w:rsid w:val="00F337F1"/>
    <w:rsid w:val="00F33BF4"/>
    <w:rsid w:val="00F33D6C"/>
    <w:rsid w:val="00F340C3"/>
    <w:rsid w:val="00F3416C"/>
    <w:rsid w:val="00F341E9"/>
    <w:rsid w:val="00F3425E"/>
    <w:rsid w:val="00F348BD"/>
    <w:rsid w:val="00F34BA4"/>
    <w:rsid w:val="00F34F55"/>
    <w:rsid w:val="00F3519F"/>
    <w:rsid w:val="00F356CD"/>
    <w:rsid w:val="00F356D7"/>
    <w:rsid w:val="00F35B49"/>
    <w:rsid w:val="00F3620A"/>
    <w:rsid w:val="00F36CD0"/>
    <w:rsid w:val="00F36F73"/>
    <w:rsid w:val="00F37706"/>
    <w:rsid w:val="00F4064E"/>
    <w:rsid w:val="00F40BB3"/>
    <w:rsid w:val="00F4105B"/>
    <w:rsid w:val="00F412DD"/>
    <w:rsid w:val="00F413FE"/>
    <w:rsid w:val="00F419F3"/>
    <w:rsid w:val="00F41C89"/>
    <w:rsid w:val="00F41E82"/>
    <w:rsid w:val="00F42115"/>
    <w:rsid w:val="00F42B8C"/>
    <w:rsid w:val="00F42C51"/>
    <w:rsid w:val="00F42E92"/>
    <w:rsid w:val="00F43988"/>
    <w:rsid w:val="00F447E9"/>
    <w:rsid w:val="00F44DBF"/>
    <w:rsid w:val="00F45033"/>
    <w:rsid w:val="00F450D1"/>
    <w:rsid w:val="00F451E7"/>
    <w:rsid w:val="00F459A4"/>
    <w:rsid w:val="00F46FF6"/>
    <w:rsid w:val="00F471FA"/>
    <w:rsid w:val="00F47DB2"/>
    <w:rsid w:val="00F501A6"/>
    <w:rsid w:val="00F512AC"/>
    <w:rsid w:val="00F51EE8"/>
    <w:rsid w:val="00F51F38"/>
    <w:rsid w:val="00F520F8"/>
    <w:rsid w:val="00F525FE"/>
    <w:rsid w:val="00F535D1"/>
    <w:rsid w:val="00F5404D"/>
    <w:rsid w:val="00F54DC3"/>
    <w:rsid w:val="00F54F57"/>
    <w:rsid w:val="00F55531"/>
    <w:rsid w:val="00F559E1"/>
    <w:rsid w:val="00F56A6D"/>
    <w:rsid w:val="00F56F0B"/>
    <w:rsid w:val="00F56F41"/>
    <w:rsid w:val="00F56F8C"/>
    <w:rsid w:val="00F57031"/>
    <w:rsid w:val="00F575B1"/>
    <w:rsid w:val="00F60504"/>
    <w:rsid w:val="00F60A4A"/>
    <w:rsid w:val="00F60BDA"/>
    <w:rsid w:val="00F60D37"/>
    <w:rsid w:val="00F6129B"/>
    <w:rsid w:val="00F6130E"/>
    <w:rsid w:val="00F61852"/>
    <w:rsid w:val="00F61B6A"/>
    <w:rsid w:val="00F61C7D"/>
    <w:rsid w:val="00F621F2"/>
    <w:rsid w:val="00F62A10"/>
    <w:rsid w:val="00F62DBE"/>
    <w:rsid w:val="00F62E76"/>
    <w:rsid w:val="00F6369B"/>
    <w:rsid w:val="00F63C0B"/>
    <w:rsid w:val="00F6498B"/>
    <w:rsid w:val="00F64E3C"/>
    <w:rsid w:val="00F65004"/>
    <w:rsid w:val="00F65800"/>
    <w:rsid w:val="00F661DB"/>
    <w:rsid w:val="00F670CE"/>
    <w:rsid w:val="00F6716F"/>
    <w:rsid w:val="00F674C0"/>
    <w:rsid w:val="00F67D60"/>
    <w:rsid w:val="00F67E7F"/>
    <w:rsid w:val="00F67F3F"/>
    <w:rsid w:val="00F70503"/>
    <w:rsid w:val="00F70544"/>
    <w:rsid w:val="00F70C94"/>
    <w:rsid w:val="00F70F24"/>
    <w:rsid w:val="00F710D1"/>
    <w:rsid w:val="00F715BF"/>
    <w:rsid w:val="00F71D08"/>
    <w:rsid w:val="00F725B3"/>
    <w:rsid w:val="00F726EF"/>
    <w:rsid w:val="00F72793"/>
    <w:rsid w:val="00F72811"/>
    <w:rsid w:val="00F7286A"/>
    <w:rsid w:val="00F7329C"/>
    <w:rsid w:val="00F73AB1"/>
    <w:rsid w:val="00F73BFE"/>
    <w:rsid w:val="00F7410E"/>
    <w:rsid w:val="00F742CB"/>
    <w:rsid w:val="00F74611"/>
    <w:rsid w:val="00F746B3"/>
    <w:rsid w:val="00F749E6"/>
    <w:rsid w:val="00F74E71"/>
    <w:rsid w:val="00F7515F"/>
    <w:rsid w:val="00F75A0E"/>
    <w:rsid w:val="00F762BA"/>
    <w:rsid w:val="00F764C0"/>
    <w:rsid w:val="00F76B4B"/>
    <w:rsid w:val="00F76CF0"/>
    <w:rsid w:val="00F76F5B"/>
    <w:rsid w:val="00F776CA"/>
    <w:rsid w:val="00F807CF"/>
    <w:rsid w:val="00F80AA7"/>
    <w:rsid w:val="00F80C98"/>
    <w:rsid w:val="00F80D68"/>
    <w:rsid w:val="00F8244A"/>
    <w:rsid w:val="00F82EB8"/>
    <w:rsid w:val="00F83802"/>
    <w:rsid w:val="00F83C1A"/>
    <w:rsid w:val="00F845E7"/>
    <w:rsid w:val="00F84665"/>
    <w:rsid w:val="00F847E7"/>
    <w:rsid w:val="00F85019"/>
    <w:rsid w:val="00F85492"/>
    <w:rsid w:val="00F8558A"/>
    <w:rsid w:val="00F855D5"/>
    <w:rsid w:val="00F863CE"/>
    <w:rsid w:val="00F865C8"/>
    <w:rsid w:val="00F86DE8"/>
    <w:rsid w:val="00F87A8D"/>
    <w:rsid w:val="00F90D4C"/>
    <w:rsid w:val="00F912B9"/>
    <w:rsid w:val="00F91F43"/>
    <w:rsid w:val="00F91FAF"/>
    <w:rsid w:val="00F927A6"/>
    <w:rsid w:val="00F92808"/>
    <w:rsid w:val="00F9283F"/>
    <w:rsid w:val="00F9395D"/>
    <w:rsid w:val="00F93DE5"/>
    <w:rsid w:val="00F93E1C"/>
    <w:rsid w:val="00F943E2"/>
    <w:rsid w:val="00F94CB1"/>
    <w:rsid w:val="00F94F63"/>
    <w:rsid w:val="00F95BE6"/>
    <w:rsid w:val="00F95D71"/>
    <w:rsid w:val="00F962AF"/>
    <w:rsid w:val="00F963AC"/>
    <w:rsid w:val="00F968C5"/>
    <w:rsid w:val="00F97E5E"/>
    <w:rsid w:val="00FA0012"/>
    <w:rsid w:val="00FA01D0"/>
    <w:rsid w:val="00FA1011"/>
    <w:rsid w:val="00FA125B"/>
    <w:rsid w:val="00FA13F0"/>
    <w:rsid w:val="00FA14F1"/>
    <w:rsid w:val="00FA152B"/>
    <w:rsid w:val="00FA1624"/>
    <w:rsid w:val="00FA17CB"/>
    <w:rsid w:val="00FA24A0"/>
    <w:rsid w:val="00FA2963"/>
    <w:rsid w:val="00FA2D0A"/>
    <w:rsid w:val="00FA36CB"/>
    <w:rsid w:val="00FA38C1"/>
    <w:rsid w:val="00FA3EFA"/>
    <w:rsid w:val="00FA46EB"/>
    <w:rsid w:val="00FA4BF6"/>
    <w:rsid w:val="00FA4BF9"/>
    <w:rsid w:val="00FA5050"/>
    <w:rsid w:val="00FA653A"/>
    <w:rsid w:val="00FA66A8"/>
    <w:rsid w:val="00FA70B0"/>
    <w:rsid w:val="00FA7417"/>
    <w:rsid w:val="00FA75CA"/>
    <w:rsid w:val="00FA7890"/>
    <w:rsid w:val="00FA7ECA"/>
    <w:rsid w:val="00FB0561"/>
    <w:rsid w:val="00FB0AF1"/>
    <w:rsid w:val="00FB19B9"/>
    <w:rsid w:val="00FB1B03"/>
    <w:rsid w:val="00FB1C38"/>
    <w:rsid w:val="00FB2884"/>
    <w:rsid w:val="00FB3067"/>
    <w:rsid w:val="00FB31B2"/>
    <w:rsid w:val="00FB34B2"/>
    <w:rsid w:val="00FB4451"/>
    <w:rsid w:val="00FB4495"/>
    <w:rsid w:val="00FB489D"/>
    <w:rsid w:val="00FB545B"/>
    <w:rsid w:val="00FB5710"/>
    <w:rsid w:val="00FB5864"/>
    <w:rsid w:val="00FB60B2"/>
    <w:rsid w:val="00FB6897"/>
    <w:rsid w:val="00FB7414"/>
    <w:rsid w:val="00FB7BF1"/>
    <w:rsid w:val="00FB7D8C"/>
    <w:rsid w:val="00FC0317"/>
    <w:rsid w:val="00FC087E"/>
    <w:rsid w:val="00FC0C4C"/>
    <w:rsid w:val="00FC1414"/>
    <w:rsid w:val="00FC1D66"/>
    <w:rsid w:val="00FC257F"/>
    <w:rsid w:val="00FC2745"/>
    <w:rsid w:val="00FC3565"/>
    <w:rsid w:val="00FC3AD1"/>
    <w:rsid w:val="00FC3F3D"/>
    <w:rsid w:val="00FC50A1"/>
    <w:rsid w:val="00FC5B68"/>
    <w:rsid w:val="00FC6D13"/>
    <w:rsid w:val="00FD04D4"/>
    <w:rsid w:val="00FD063E"/>
    <w:rsid w:val="00FD07AE"/>
    <w:rsid w:val="00FD1375"/>
    <w:rsid w:val="00FD171C"/>
    <w:rsid w:val="00FD177C"/>
    <w:rsid w:val="00FD183A"/>
    <w:rsid w:val="00FD2F07"/>
    <w:rsid w:val="00FD33D2"/>
    <w:rsid w:val="00FD3B21"/>
    <w:rsid w:val="00FD433C"/>
    <w:rsid w:val="00FD4DB9"/>
    <w:rsid w:val="00FD569D"/>
    <w:rsid w:val="00FD5BE6"/>
    <w:rsid w:val="00FD60ED"/>
    <w:rsid w:val="00FD685C"/>
    <w:rsid w:val="00FD7C86"/>
    <w:rsid w:val="00FD7FCD"/>
    <w:rsid w:val="00FE00CE"/>
    <w:rsid w:val="00FE0106"/>
    <w:rsid w:val="00FE0B74"/>
    <w:rsid w:val="00FE2571"/>
    <w:rsid w:val="00FE27FB"/>
    <w:rsid w:val="00FE29AD"/>
    <w:rsid w:val="00FE3A6C"/>
    <w:rsid w:val="00FE40CC"/>
    <w:rsid w:val="00FE44E0"/>
    <w:rsid w:val="00FE4728"/>
    <w:rsid w:val="00FE5182"/>
    <w:rsid w:val="00FE5426"/>
    <w:rsid w:val="00FE5787"/>
    <w:rsid w:val="00FE5C92"/>
    <w:rsid w:val="00FE5E74"/>
    <w:rsid w:val="00FE6070"/>
    <w:rsid w:val="00FE65D1"/>
    <w:rsid w:val="00FE6AE9"/>
    <w:rsid w:val="00FE6CE9"/>
    <w:rsid w:val="00FE6EB3"/>
    <w:rsid w:val="00FE713E"/>
    <w:rsid w:val="00FF0249"/>
    <w:rsid w:val="00FF0261"/>
    <w:rsid w:val="00FF07F1"/>
    <w:rsid w:val="00FF0ACF"/>
    <w:rsid w:val="00FF0D45"/>
    <w:rsid w:val="00FF0F8E"/>
    <w:rsid w:val="00FF1185"/>
    <w:rsid w:val="00FF1561"/>
    <w:rsid w:val="00FF1F01"/>
    <w:rsid w:val="00FF2031"/>
    <w:rsid w:val="00FF242F"/>
    <w:rsid w:val="00FF2A59"/>
    <w:rsid w:val="00FF37FB"/>
    <w:rsid w:val="00FF3E2B"/>
    <w:rsid w:val="00FF3F2A"/>
    <w:rsid w:val="00FF439F"/>
    <w:rsid w:val="00FF4FFD"/>
    <w:rsid w:val="00FF5CA0"/>
    <w:rsid w:val="00FF6117"/>
    <w:rsid w:val="00FF66AE"/>
    <w:rsid w:val="00FF670E"/>
    <w:rsid w:val="00FF6C18"/>
    <w:rsid w:val="00FF6D6A"/>
    <w:rsid w:val="00FF72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mso-width-relative:margin;mso-height-relative:margin" fillcolor="white">
      <v:fill color="white"/>
      <v:textbox style="layout-flow:vertical-ideographic"/>
    </o:shapedefaults>
    <o:shapelayout v:ext="edit">
      <o:idmap v:ext="edit" data="1"/>
    </o:shapelayout>
  </w:shapeDefaults>
  <w:decimalSymbol w:val="."/>
  <w:listSeparator w:val=","/>
  <w15:chartTrackingRefBased/>
  <w15:docId w15:val="{E704079F-4A2F-4066-82DA-288879347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footnote reference" w:qFormat="1"/>
    <w:lsdException w:name="List Bullet" w:uiPriority="99"/>
    <w:lsdException w:name="Title" w:qFormat="1"/>
    <w:lsdException w:name="Closing" w:uiPriority="99"/>
    <w:lsdException w:name="Body Text Indent" w:uiPriority="99"/>
    <w:lsdException w:name="Subtitle" w:qFormat="1"/>
    <w:lsdException w:name="Salutation" w:uiPriority="99"/>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42D2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6515E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6515E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6515E4"/>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0">
    <w:name w:val="標題 1 字元"/>
    <w:link w:val="1"/>
    <w:uiPriority w:val="9"/>
    <w:rsid w:val="006515E4"/>
    <w:rPr>
      <w:rFonts w:ascii="Cambria" w:hAnsi="Cambria"/>
      <w:b/>
      <w:bCs/>
      <w:snapToGrid w:val="0"/>
      <w:kern w:val="52"/>
      <w:sz w:val="52"/>
      <w:szCs w:val="52"/>
    </w:rPr>
  </w:style>
  <w:style w:type="character" w:customStyle="1" w:styleId="20">
    <w:name w:val="標題 2 字元"/>
    <w:link w:val="2"/>
    <w:uiPriority w:val="9"/>
    <w:semiHidden/>
    <w:rsid w:val="006515E4"/>
    <w:rPr>
      <w:rFonts w:ascii="Cambria" w:hAnsi="Cambria"/>
      <w:b/>
      <w:bCs/>
      <w:snapToGrid w:val="0"/>
      <w:kern w:val="2"/>
      <w:sz w:val="48"/>
      <w:szCs w:val="48"/>
    </w:rPr>
  </w:style>
  <w:style w:type="character" w:customStyle="1" w:styleId="30">
    <w:name w:val="標題 3 字元"/>
    <w:link w:val="3"/>
    <w:uiPriority w:val="9"/>
    <w:semiHidden/>
    <w:rsid w:val="006515E4"/>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515E4"/>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D535A1"/>
    <w:pPr>
      <w:ind w:left="849" w:hangingChars="100" w:hanging="283"/>
    </w:pPr>
    <w:rPr>
      <w:rFonts w:hAnsi="標楷體"/>
    </w:rPr>
  </w:style>
  <w:style w:type="character" w:customStyle="1" w:styleId="a5">
    <w:name w:val="(一)(二)(三) 字元"/>
    <w:link w:val="a4"/>
    <w:rsid w:val="00D535A1"/>
    <w:rPr>
      <w:rFonts w:ascii="標楷體" w:eastAsia="標楷體" w:hAnsi="標楷體"/>
      <w:snapToGrid w:val="0"/>
      <w:kern w:val="2"/>
      <w:sz w:val="28"/>
      <w:szCs w:val="28"/>
    </w:rPr>
  </w:style>
  <w:style w:type="paragraph" w:customStyle="1" w:styleId="a6">
    <w:name w:val="(一)下內文"/>
    <w:basedOn w:val="a4"/>
    <w:rsid w:val="004220EB"/>
    <w:pPr>
      <w:adjustRightInd w:val="0"/>
      <w:ind w:leftChars="300" w:firstLineChars="0" w:firstLine="0"/>
    </w:pPr>
  </w:style>
  <w:style w:type="paragraph" w:customStyle="1" w:styleId="123">
    <w:name w:val="1.2.3."/>
    <w:basedOn w:val="a6"/>
    <w:rsid w:val="00C97A62"/>
    <w:pPr>
      <w:adjustRightInd/>
      <w:ind w:left="1133" w:hangingChars="100" w:hanging="283"/>
    </w:pPr>
    <w:rPr>
      <w:rFonts w:ascii="華康細明體外字集" w:cs="標楷體"/>
      <w:color w:val="000000"/>
    </w:rPr>
  </w:style>
  <w:style w:type="paragraph" w:customStyle="1" w:styleId="a7">
    <w:name w:val="結論"/>
    <w:basedOn w:val="a6"/>
    <w:autoRedefine/>
    <w:rsid w:val="004220EB"/>
    <w:pPr>
      <w:adjustRightInd/>
      <w:ind w:leftChars="200" w:left="200" w:firstLineChars="200" w:firstLine="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95411E"/>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rsid w:val="0095411E"/>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6515E4"/>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515E4"/>
    <w:rPr>
      <w:rFonts w:ascii="標楷體" w:eastAsia="標楷體"/>
      <w:snapToGrid w:val="0"/>
      <w:kern w:val="2"/>
      <w:sz w:val="24"/>
      <w:szCs w:val="28"/>
    </w:rPr>
  </w:style>
  <w:style w:type="paragraph" w:customStyle="1" w:styleId="21">
    <w:name w:val="(一)下內文縮2"/>
    <w:basedOn w:val="a"/>
    <w:link w:val="22"/>
    <w:qFormat/>
    <w:rsid w:val="00C97A62"/>
    <w:pPr>
      <w:adjustRightInd w:val="0"/>
      <w:ind w:leftChars="300" w:left="300"/>
    </w:pPr>
  </w:style>
  <w:style w:type="character" w:customStyle="1" w:styleId="22">
    <w:name w:val="(一)下內文縮2 字元"/>
    <w:link w:val="21"/>
    <w:rsid w:val="00C97A62"/>
    <w:rPr>
      <w:rFonts w:ascii="標楷體" w:eastAsia="標楷體"/>
      <w:snapToGrid w:val="0"/>
      <w:kern w:val="2"/>
      <w:sz w:val="28"/>
      <w:szCs w:val="28"/>
    </w:rPr>
  </w:style>
  <w:style w:type="paragraph" w:styleId="11">
    <w:name w:val="toc 1"/>
    <w:basedOn w:val="a"/>
    <w:next w:val="a"/>
    <w:autoRedefine/>
    <w:uiPriority w:val="39"/>
    <w:qFormat/>
    <w:rsid w:val="008E4E0D"/>
    <w:pPr>
      <w:tabs>
        <w:tab w:val="right" w:leader="hyphen" w:pos="8505"/>
      </w:tabs>
      <w:ind w:leftChars="0" w:left="487" w:rightChars="99" w:right="280" w:hangingChars="200" w:hanging="487"/>
    </w:pPr>
    <w:rPr>
      <w:b/>
      <w:sz w:val="24"/>
    </w:rPr>
  </w:style>
  <w:style w:type="paragraph" w:styleId="23">
    <w:name w:val="toc 2"/>
    <w:basedOn w:val="a"/>
    <w:next w:val="a"/>
    <w:autoRedefine/>
    <w:uiPriority w:val="39"/>
    <w:qFormat/>
    <w:rsid w:val="00B01448"/>
    <w:pPr>
      <w:tabs>
        <w:tab w:val="right" w:leader="hyphen" w:pos="8505"/>
      </w:tabs>
      <w:ind w:leftChars="0" w:left="487" w:rightChars="149" w:right="422" w:hangingChars="200" w:hanging="487"/>
    </w:pPr>
    <w:rPr>
      <w:noProof/>
      <w:sz w:val="24"/>
    </w:rPr>
  </w:style>
  <w:style w:type="character" w:styleId="ae">
    <w:name w:val="Hyperlink"/>
    <w:uiPriority w:val="99"/>
    <w:rsid w:val="008E4E0D"/>
    <w:rPr>
      <w:b/>
      <w:color w:val="0000FF"/>
      <w:u w:val="single"/>
    </w:rPr>
  </w:style>
  <w:style w:type="paragraph" w:styleId="af">
    <w:name w:val="footnote text"/>
    <w:basedOn w:val="a"/>
    <w:link w:val="af0"/>
    <w:unhideWhenUsed/>
    <w:rsid w:val="006515E4"/>
    <w:pPr>
      <w:snapToGrid w:val="0"/>
      <w:jc w:val="left"/>
    </w:pPr>
    <w:rPr>
      <w:sz w:val="20"/>
      <w:szCs w:val="20"/>
    </w:rPr>
  </w:style>
  <w:style w:type="character" w:customStyle="1" w:styleId="af0">
    <w:name w:val="註腳文字 字元"/>
    <w:link w:val="af"/>
    <w:rsid w:val="006515E4"/>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nhideWhenUsed/>
    <w:qFormat/>
    <w:rsid w:val="006515E4"/>
    <w:rPr>
      <w:vertAlign w:val="superscript"/>
    </w:rPr>
  </w:style>
  <w:style w:type="table" w:styleId="af2">
    <w:name w:val="Table Grid"/>
    <w:basedOn w:val="a1"/>
    <w:uiPriority w:val="59"/>
    <w:rsid w:val="006515E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af4"/>
    <w:uiPriority w:val="99"/>
    <w:unhideWhenUsed/>
    <w:rsid w:val="006515E4"/>
    <w:pPr>
      <w:tabs>
        <w:tab w:val="center" w:pos="4153"/>
        <w:tab w:val="right" w:pos="8306"/>
      </w:tabs>
      <w:snapToGrid w:val="0"/>
    </w:pPr>
    <w:rPr>
      <w:sz w:val="20"/>
      <w:szCs w:val="20"/>
    </w:rPr>
  </w:style>
  <w:style w:type="character" w:customStyle="1" w:styleId="af4">
    <w:name w:val="頁首 字元"/>
    <w:link w:val="af3"/>
    <w:uiPriority w:val="99"/>
    <w:rsid w:val="006515E4"/>
    <w:rPr>
      <w:rFonts w:ascii="標楷體" w:eastAsia="標楷體"/>
      <w:snapToGrid w:val="0"/>
      <w:kern w:val="2"/>
    </w:rPr>
  </w:style>
  <w:style w:type="paragraph" w:styleId="af5">
    <w:name w:val="footer"/>
    <w:basedOn w:val="a"/>
    <w:link w:val="af6"/>
    <w:uiPriority w:val="99"/>
    <w:unhideWhenUsed/>
    <w:rsid w:val="006515E4"/>
    <w:pPr>
      <w:tabs>
        <w:tab w:val="center" w:pos="4153"/>
        <w:tab w:val="right" w:pos="8306"/>
      </w:tabs>
      <w:snapToGrid w:val="0"/>
    </w:pPr>
    <w:rPr>
      <w:sz w:val="20"/>
      <w:szCs w:val="20"/>
    </w:rPr>
  </w:style>
  <w:style w:type="character" w:customStyle="1" w:styleId="af6">
    <w:name w:val="頁尾 字元"/>
    <w:link w:val="af5"/>
    <w:uiPriority w:val="99"/>
    <w:rsid w:val="006515E4"/>
    <w:rPr>
      <w:rFonts w:ascii="標楷體" w:eastAsia="標楷體"/>
      <w:snapToGrid w:val="0"/>
      <w:kern w:val="2"/>
    </w:rPr>
  </w:style>
  <w:style w:type="paragraph" w:customStyle="1" w:styleId="4">
    <w:name w:val="字元 字元4"/>
    <w:basedOn w:val="a"/>
    <w:semiHidden/>
    <w:rsid w:val="006515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
    <w:uiPriority w:val="39"/>
    <w:semiHidden/>
    <w:unhideWhenUsed/>
    <w:qFormat/>
    <w:rsid w:val="006515E4"/>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6515E4"/>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8">
    <w:name w:val="Balloon Text"/>
    <w:basedOn w:val="a"/>
    <w:link w:val="af9"/>
    <w:uiPriority w:val="99"/>
    <w:unhideWhenUsed/>
    <w:rsid w:val="006515E4"/>
    <w:pPr>
      <w:spacing w:line="240" w:lineRule="auto"/>
    </w:pPr>
    <w:rPr>
      <w:rFonts w:ascii="Cambria" w:eastAsia="新細明體" w:hAnsi="Cambria"/>
      <w:sz w:val="18"/>
      <w:szCs w:val="18"/>
    </w:rPr>
  </w:style>
  <w:style w:type="character" w:customStyle="1" w:styleId="af9">
    <w:name w:val="註解方塊文字 字元"/>
    <w:link w:val="af8"/>
    <w:uiPriority w:val="99"/>
    <w:rsid w:val="006515E4"/>
    <w:rPr>
      <w:rFonts w:ascii="Cambria" w:hAnsi="Cambria"/>
      <w:snapToGrid w:val="0"/>
      <w:kern w:val="2"/>
      <w:sz w:val="18"/>
      <w:szCs w:val="18"/>
    </w:rPr>
  </w:style>
  <w:style w:type="paragraph" w:customStyle="1" w:styleId="12">
    <w:name w:val=" 字元 字元1 字元 字元 字元 字元"/>
    <w:basedOn w:val="a"/>
    <w:semiHidden/>
    <w:rsid w:val="006515E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說明"/>
    <w:basedOn w:val="a"/>
    <w:rsid w:val="009857B6"/>
    <w:pPr>
      <w:spacing w:line="640" w:lineRule="exact"/>
      <w:ind w:leftChars="0" w:left="952" w:firstLineChars="0" w:hanging="952"/>
      <w:jc w:val="left"/>
    </w:pPr>
    <w:rPr>
      <w:rFonts w:ascii="Arial" w:hAnsi="Arial"/>
      <w:snapToGrid/>
      <w:sz w:val="32"/>
      <w:szCs w:val="24"/>
    </w:rPr>
  </w:style>
  <w:style w:type="paragraph" w:styleId="afb">
    <w:name w:val="List Bullet"/>
    <w:basedOn w:val="a"/>
    <w:uiPriority w:val="99"/>
    <w:unhideWhenUsed/>
    <w:rsid w:val="006515E4"/>
    <w:pPr>
      <w:tabs>
        <w:tab w:val="num" w:pos="361"/>
      </w:tabs>
      <w:ind w:left="361" w:hangingChars="200" w:hanging="360"/>
      <w:contextualSpacing/>
    </w:pPr>
  </w:style>
  <w:style w:type="paragraph" w:customStyle="1" w:styleId="24">
    <w:name w:val=" 字元 字元2"/>
    <w:basedOn w:val="a"/>
    <w:semiHidden/>
    <w:rsid w:val="002723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表格內文(14行高) 字元 字元"/>
    <w:basedOn w:val="a9"/>
    <w:link w:val="146"/>
    <w:rsid w:val="00DD3019"/>
    <w:pPr>
      <w:spacing w:line="280" w:lineRule="exact"/>
      <w:ind w:leftChars="0" w:left="0" w:firstLineChars="0" w:firstLine="0"/>
      <w:jc w:val="left"/>
    </w:pPr>
    <w:rPr>
      <w:sz w:val="24"/>
    </w:rPr>
  </w:style>
  <w:style w:type="character" w:customStyle="1" w:styleId="146">
    <w:name w:val="表格內文(14行高) 字元 字元 字元"/>
    <w:link w:val="145"/>
    <w:rsid w:val="00DD3019"/>
    <w:rPr>
      <w:rFonts w:ascii="標楷體" w:eastAsia="標楷體"/>
      <w:snapToGrid w:val="0"/>
      <w:kern w:val="2"/>
      <w:sz w:val="24"/>
      <w:szCs w:val="28"/>
    </w:rPr>
  </w:style>
  <w:style w:type="paragraph" w:customStyle="1" w:styleId="5">
    <w:name w:val=" 字元 字元5 字元"/>
    <w:basedOn w:val="a"/>
    <w:semiHidden/>
    <w:rsid w:val="00EE0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3">
    <w:name w:val="表格格線1"/>
    <w:basedOn w:val="a1"/>
    <w:next w:val="af2"/>
    <w:uiPriority w:val="59"/>
    <w:rsid w:val="004943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一"/>
    <w:basedOn w:val="a"/>
    <w:rsid w:val="00DC2029"/>
    <w:pPr>
      <w:spacing w:line="240" w:lineRule="auto"/>
      <w:ind w:leftChars="0" w:left="0" w:firstLineChars="0" w:firstLine="0"/>
      <w:jc w:val="left"/>
    </w:pPr>
    <w:rPr>
      <w:rFonts w:hAnsi="標楷體"/>
      <w:snapToGrid/>
      <w:sz w:val="32"/>
      <w:szCs w:val="32"/>
    </w:rPr>
  </w:style>
  <w:style w:type="table" w:customStyle="1" w:styleId="25">
    <w:name w:val="表格格線2"/>
    <w:basedOn w:val="a1"/>
    <w:next w:val="af2"/>
    <w:uiPriority w:val="59"/>
    <w:rsid w:val="006D46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2"/>
    <w:uiPriority w:val="59"/>
    <w:rsid w:val="00332A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FollowedHyperlink"/>
    <w:rsid w:val="0040024B"/>
    <w:rPr>
      <w:color w:val="954F72"/>
      <w:u w:val="single"/>
    </w:rPr>
  </w:style>
  <w:style w:type="table" w:customStyle="1" w:styleId="40">
    <w:name w:val="表格格線4"/>
    <w:basedOn w:val="a1"/>
    <w:next w:val="af2"/>
    <w:uiPriority w:val="59"/>
    <w:rsid w:val="00B049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rsid w:val="00C21152"/>
    <w:rPr>
      <w:sz w:val="18"/>
      <w:szCs w:val="18"/>
    </w:rPr>
  </w:style>
  <w:style w:type="paragraph" w:styleId="aff">
    <w:name w:val="annotation text"/>
    <w:basedOn w:val="a"/>
    <w:link w:val="aff0"/>
    <w:rsid w:val="00C21152"/>
    <w:pPr>
      <w:jc w:val="left"/>
    </w:pPr>
  </w:style>
  <w:style w:type="character" w:customStyle="1" w:styleId="aff0">
    <w:name w:val="註解文字 字元"/>
    <w:link w:val="aff"/>
    <w:rsid w:val="00C21152"/>
    <w:rPr>
      <w:rFonts w:ascii="標楷體" w:eastAsia="標楷體"/>
      <w:snapToGrid w:val="0"/>
      <w:kern w:val="2"/>
      <w:sz w:val="28"/>
      <w:szCs w:val="28"/>
    </w:rPr>
  </w:style>
  <w:style w:type="paragraph" w:styleId="aff1">
    <w:name w:val="annotation subject"/>
    <w:basedOn w:val="aff"/>
    <w:next w:val="aff"/>
    <w:link w:val="aff2"/>
    <w:rsid w:val="00C21152"/>
    <w:rPr>
      <w:b/>
      <w:bCs/>
    </w:rPr>
  </w:style>
  <w:style w:type="character" w:customStyle="1" w:styleId="aff2">
    <w:name w:val="註解主旨 字元"/>
    <w:link w:val="aff1"/>
    <w:rsid w:val="00C21152"/>
    <w:rPr>
      <w:rFonts w:ascii="標楷體" w:eastAsia="標楷體"/>
      <w:b/>
      <w:bCs/>
      <w:snapToGrid w:val="0"/>
      <w:kern w:val="2"/>
      <w:sz w:val="28"/>
      <w:szCs w:val="28"/>
    </w:rPr>
  </w:style>
  <w:style w:type="character" w:customStyle="1" w:styleId="1410">
    <w:name w:val="第二層(14號字) 字元1"/>
    <w:rsid w:val="003834ED"/>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0461">
      <w:bodyDiv w:val="1"/>
      <w:marLeft w:val="0"/>
      <w:marRight w:val="0"/>
      <w:marTop w:val="0"/>
      <w:marBottom w:val="0"/>
      <w:divBdr>
        <w:top w:val="none" w:sz="0" w:space="0" w:color="auto"/>
        <w:left w:val="none" w:sz="0" w:space="0" w:color="auto"/>
        <w:bottom w:val="none" w:sz="0" w:space="0" w:color="auto"/>
        <w:right w:val="none" w:sz="0" w:space="0" w:color="auto"/>
      </w:divBdr>
    </w:div>
    <w:div w:id="101075802">
      <w:bodyDiv w:val="1"/>
      <w:marLeft w:val="0"/>
      <w:marRight w:val="0"/>
      <w:marTop w:val="0"/>
      <w:marBottom w:val="0"/>
      <w:divBdr>
        <w:top w:val="none" w:sz="0" w:space="0" w:color="auto"/>
        <w:left w:val="none" w:sz="0" w:space="0" w:color="auto"/>
        <w:bottom w:val="none" w:sz="0" w:space="0" w:color="auto"/>
        <w:right w:val="none" w:sz="0" w:space="0" w:color="auto"/>
      </w:divBdr>
    </w:div>
    <w:div w:id="193423752">
      <w:bodyDiv w:val="1"/>
      <w:marLeft w:val="0"/>
      <w:marRight w:val="0"/>
      <w:marTop w:val="0"/>
      <w:marBottom w:val="0"/>
      <w:divBdr>
        <w:top w:val="none" w:sz="0" w:space="0" w:color="auto"/>
        <w:left w:val="none" w:sz="0" w:space="0" w:color="auto"/>
        <w:bottom w:val="none" w:sz="0" w:space="0" w:color="auto"/>
        <w:right w:val="none" w:sz="0" w:space="0" w:color="auto"/>
      </w:divBdr>
    </w:div>
    <w:div w:id="335957061">
      <w:bodyDiv w:val="1"/>
      <w:marLeft w:val="0"/>
      <w:marRight w:val="0"/>
      <w:marTop w:val="0"/>
      <w:marBottom w:val="0"/>
      <w:divBdr>
        <w:top w:val="none" w:sz="0" w:space="0" w:color="auto"/>
        <w:left w:val="none" w:sz="0" w:space="0" w:color="auto"/>
        <w:bottom w:val="none" w:sz="0" w:space="0" w:color="auto"/>
        <w:right w:val="none" w:sz="0" w:space="0" w:color="auto"/>
      </w:divBdr>
    </w:div>
    <w:div w:id="663898053">
      <w:bodyDiv w:val="1"/>
      <w:marLeft w:val="0"/>
      <w:marRight w:val="0"/>
      <w:marTop w:val="0"/>
      <w:marBottom w:val="0"/>
      <w:divBdr>
        <w:top w:val="none" w:sz="0" w:space="0" w:color="auto"/>
        <w:left w:val="none" w:sz="0" w:space="0" w:color="auto"/>
        <w:bottom w:val="none" w:sz="0" w:space="0" w:color="auto"/>
        <w:right w:val="none" w:sz="0" w:space="0" w:color="auto"/>
      </w:divBdr>
    </w:div>
    <w:div w:id="664671952">
      <w:bodyDiv w:val="1"/>
      <w:marLeft w:val="0"/>
      <w:marRight w:val="0"/>
      <w:marTop w:val="0"/>
      <w:marBottom w:val="0"/>
      <w:divBdr>
        <w:top w:val="none" w:sz="0" w:space="0" w:color="auto"/>
        <w:left w:val="none" w:sz="0" w:space="0" w:color="auto"/>
        <w:bottom w:val="none" w:sz="0" w:space="0" w:color="auto"/>
        <w:right w:val="none" w:sz="0" w:space="0" w:color="auto"/>
      </w:divBdr>
      <w:divsChild>
        <w:div w:id="1483885664">
          <w:marLeft w:val="0"/>
          <w:marRight w:val="0"/>
          <w:marTop w:val="0"/>
          <w:marBottom w:val="0"/>
          <w:divBdr>
            <w:top w:val="none" w:sz="0" w:space="0" w:color="auto"/>
            <w:left w:val="none" w:sz="0" w:space="0" w:color="auto"/>
            <w:bottom w:val="none" w:sz="0" w:space="0" w:color="auto"/>
            <w:right w:val="none" w:sz="0" w:space="0" w:color="auto"/>
          </w:divBdr>
          <w:divsChild>
            <w:div w:id="873885576">
              <w:marLeft w:val="0"/>
              <w:marRight w:val="0"/>
              <w:marTop w:val="0"/>
              <w:marBottom w:val="0"/>
              <w:divBdr>
                <w:top w:val="none" w:sz="0" w:space="0" w:color="auto"/>
                <w:left w:val="none" w:sz="0" w:space="0" w:color="auto"/>
                <w:bottom w:val="none" w:sz="0" w:space="0" w:color="auto"/>
                <w:right w:val="none" w:sz="0" w:space="0" w:color="auto"/>
              </w:divBdr>
              <w:divsChild>
                <w:div w:id="1076826098">
                  <w:marLeft w:val="0"/>
                  <w:marRight w:val="0"/>
                  <w:marTop w:val="0"/>
                  <w:marBottom w:val="0"/>
                  <w:divBdr>
                    <w:top w:val="none" w:sz="0" w:space="0" w:color="auto"/>
                    <w:left w:val="none" w:sz="0" w:space="0" w:color="auto"/>
                    <w:bottom w:val="none" w:sz="0" w:space="0" w:color="auto"/>
                    <w:right w:val="none" w:sz="0" w:space="0" w:color="auto"/>
                  </w:divBdr>
                  <w:divsChild>
                    <w:div w:id="281308179">
                      <w:marLeft w:val="10"/>
                      <w:marRight w:val="0"/>
                      <w:marTop w:val="0"/>
                      <w:marBottom w:val="0"/>
                      <w:divBdr>
                        <w:top w:val="none" w:sz="0" w:space="0" w:color="auto"/>
                        <w:left w:val="none" w:sz="0" w:space="0" w:color="auto"/>
                        <w:bottom w:val="none" w:sz="0" w:space="0" w:color="auto"/>
                        <w:right w:val="none" w:sz="0" w:space="0" w:color="auto"/>
                      </w:divBdr>
                      <w:divsChild>
                        <w:div w:id="196839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918063">
      <w:bodyDiv w:val="1"/>
      <w:marLeft w:val="0"/>
      <w:marRight w:val="0"/>
      <w:marTop w:val="0"/>
      <w:marBottom w:val="0"/>
      <w:divBdr>
        <w:top w:val="none" w:sz="0" w:space="0" w:color="auto"/>
        <w:left w:val="none" w:sz="0" w:space="0" w:color="auto"/>
        <w:bottom w:val="none" w:sz="0" w:space="0" w:color="auto"/>
        <w:right w:val="none" w:sz="0" w:space="0" w:color="auto"/>
      </w:divBdr>
    </w:div>
    <w:div w:id="747310065">
      <w:bodyDiv w:val="1"/>
      <w:marLeft w:val="0"/>
      <w:marRight w:val="0"/>
      <w:marTop w:val="0"/>
      <w:marBottom w:val="0"/>
      <w:divBdr>
        <w:top w:val="none" w:sz="0" w:space="0" w:color="auto"/>
        <w:left w:val="none" w:sz="0" w:space="0" w:color="auto"/>
        <w:bottom w:val="none" w:sz="0" w:space="0" w:color="auto"/>
        <w:right w:val="none" w:sz="0" w:space="0" w:color="auto"/>
      </w:divBdr>
    </w:div>
    <w:div w:id="782840945">
      <w:bodyDiv w:val="1"/>
      <w:marLeft w:val="0"/>
      <w:marRight w:val="0"/>
      <w:marTop w:val="0"/>
      <w:marBottom w:val="0"/>
      <w:divBdr>
        <w:top w:val="none" w:sz="0" w:space="0" w:color="auto"/>
        <w:left w:val="none" w:sz="0" w:space="0" w:color="auto"/>
        <w:bottom w:val="none" w:sz="0" w:space="0" w:color="auto"/>
        <w:right w:val="none" w:sz="0" w:space="0" w:color="auto"/>
      </w:divBdr>
    </w:div>
    <w:div w:id="807238792">
      <w:bodyDiv w:val="1"/>
      <w:marLeft w:val="0"/>
      <w:marRight w:val="0"/>
      <w:marTop w:val="0"/>
      <w:marBottom w:val="0"/>
      <w:divBdr>
        <w:top w:val="none" w:sz="0" w:space="0" w:color="auto"/>
        <w:left w:val="none" w:sz="0" w:space="0" w:color="auto"/>
        <w:bottom w:val="none" w:sz="0" w:space="0" w:color="auto"/>
        <w:right w:val="none" w:sz="0" w:space="0" w:color="auto"/>
      </w:divBdr>
    </w:div>
    <w:div w:id="827671109">
      <w:bodyDiv w:val="1"/>
      <w:marLeft w:val="0"/>
      <w:marRight w:val="0"/>
      <w:marTop w:val="0"/>
      <w:marBottom w:val="0"/>
      <w:divBdr>
        <w:top w:val="none" w:sz="0" w:space="0" w:color="auto"/>
        <w:left w:val="none" w:sz="0" w:space="0" w:color="auto"/>
        <w:bottom w:val="none" w:sz="0" w:space="0" w:color="auto"/>
        <w:right w:val="none" w:sz="0" w:space="0" w:color="auto"/>
      </w:divBdr>
    </w:div>
    <w:div w:id="927033667">
      <w:bodyDiv w:val="1"/>
      <w:marLeft w:val="0"/>
      <w:marRight w:val="0"/>
      <w:marTop w:val="0"/>
      <w:marBottom w:val="0"/>
      <w:divBdr>
        <w:top w:val="none" w:sz="0" w:space="0" w:color="auto"/>
        <w:left w:val="none" w:sz="0" w:space="0" w:color="auto"/>
        <w:bottom w:val="none" w:sz="0" w:space="0" w:color="auto"/>
        <w:right w:val="none" w:sz="0" w:space="0" w:color="auto"/>
      </w:divBdr>
    </w:div>
    <w:div w:id="956639246">
      <w:bodyDiv w:val="1"/>
      <w:marLeft w:val="0"/>
      <w:marRight w:val="0"/>
      <w:marTop w:val="0"/>
      <w:marBottom w:val="0"/>
      <w:divBdr>
        <w:top w:val="none" w:sz="0" w:space="0" w:color="auto"/>
        <w:left w:val="none" w:sz="0" w:space="0" w:color="auto"/>
        <w:bottom w:val="none" w:sz="0" w:space="0" w:color="auto"/>
        <w:right w:val="none" w:sz="0" w:space="0" w:color="auto"/>
      </w:divBdr>
    </w:div>
    <w:div w:id="994799808">
      <w:bodyDiv w:val="1"/>
      <w:marLeft w:val="0"/>
      <w:marRight w:val="0"/>
      <w:marTop w:val="0"/>
      <w:marBottom w:val="0"/>
      <w:divBdr>
        <w:top w:val="none" w:sz="0" w:space="0" w:color="auto"/>
        <w:left w:val="none" w:sz="0" w:space="0" w:color="auto"/>
        <w:bottom w:val="none" w:sz="0" w:space="0" w:color="auto"/>
        <w:right w:val="none" w:sz="0" w:space="0" w:color="auto"/>
      </w:divBdr>
    </w:div>
    <w:div w:id="1032877906">
      <w:bodyDiv w:val="1"/>
      <w:marLeft w:val="0"/>
      <w:marRight w:val="0"/>
      <w:marTop w:val="0"/>
      <w:marBottom w:val="0"/>
      <w:divBdr>
        <w:top w:val="none" w:sz="0" w:space="0" w:color="auto"/>
        <w:left w:val="none" w:sz="0" w:space="0" w:color="auto"/>
        <w:bottom w:val="none" w:sz="0" w:space="0" w:color="auto"/>
        <w:right w:val="none" w:sz="0" w:space="0" w:color="auto"/>
      </w:divBdr>
    </w:div>
    <w:div w:id="1043864956">
      <w:bodyDiv w:val="1"/>
      <w:marLeft w:val="0"/>
      <w:marRight w:val="0"/>
      <w:marTop w:val="0"/>
      <w:marBottom w:val="0"/>
      <w:divBdr>
        <w:top w:val="none" w:sz="0" w:space="0" w:color="auto"/>
        <w:left w:val="none" w:sz="0" w:space="0" w:color="auto"/>
        <w:bottom w:val="none" w:sz="0" w:space="0" w:color="auto"/>
        <w:right w:val="none" w:sz="0" w:space="0" w:color="auto"/>
      </w:divBdr>
      <w:divsChild>
        <w:div w:id="533930598">
          <w:marLeft w:val="0"/>
          <w:marRight w:val="0"/>
          <w:marTop w:val="0"/>
          <w:marBottom w:val="0"/>
          <w:divBdr>
            <w:top w:val="none" w:sz="0" w:space="0" w:color="auto"/>
            <w:left w:val="none" w:sz="0" w:space="0" w:color="auto"/>
            <w:bottom w:val="none" w:sz="0" w:space="0" w:color="auto"/>
            <w:right w:val="none" w:sz="0" w:space="0" w:color="auto"/>
          </w:divBdr>
          <w:divsChild>
            <w:div w:id="1918199609">
              <w:marLeft w:val="0"/>
              <w:marRight w:val="0"/>
              <w:marTop w:val="0"/>
              <w:marBottom w:val="0"/>
              <w:divBdr>
                <w:top w:val="none" w:sz="0" w:space="0" w:color="auto"/>
                <w:left w:val="none" w:sz="0" w:space="0" w:color="auto"/>
                <w:bottom w:val="none" w:sz="0" w:space="0" w:color="auto"/>
                <w:right w:val="none" w:sz="0" w:space="0" w:color="auto"/>
              </w:divBdr>
              <w:divsChild>
                <w:div w:id="234169736">
                  <w:marLeft w:val="0"/>
                  <w:marRight w:val="0"/>
                  <w:marTop w:val="0"/>
                  <w:marBottom w:val="0"/>
                  <w:divBdr>
                    <w:top w:val="none" w:sz="0" w:space="0" w:color="auto"/>
                    <w:left w:val="none" w:sz="0" w:space="0" w:color="auto"/>
                    <w:bottom w:val="none" w:sz="0" w:space="0" w:color="auto"/>
                    <w:right w:val="none" w:sz="0" w:space="0" w:color="auto"/>
                  </w:divBdr>
                  <w:divsChild>
                    <w:div w:id="1950236093">
                      <w:marLeft w:val="0"/>
                      <w:marRight w:val="0"/>
                      <w:marTop w:val="0"/>
                      <w:marBottom w:val="225"/>
                      <w:divBdr>
                        <w:top w:val="single" w:sz="6" w:space="6" w:color="E1E1E1"/>
                        <w:left w:val="single" w:sz="6" w:space="6" w:color="E1E1E1"/>
                        <w:bottom w:val="single" w:sz="6" w:space="6" w:color="E1E1E1"/>
                        <w:right w:val="single" w:sz="6" w:space="6" w:color="E1E1E1"/>
                      </w:divBdr>
                      <w:divsChild>
                        <w:div w:id="1979334967">
                          <w:marLeft w:val="0"/>
                          <w:marRight w:val="0"/>
                          <w:marTop w:val="0"/>
                          <w:marBottom w:val="0"/>
                          <w:divBdr>
                            <w:top w:val="none" w:sz="0" w:space="0" w:color="auto"/>
                            <w:left w:val="none" w:sz="0" w:space="0" w:color="auto"/>
                            <w:bottom w:val="none" w:sz="0" w:space="0" w:color="auto"/>
                            <w:right w:val="none" w:sz="0" w:space="0" w:color="auto"/>
                          </w:divBdr>
                          <w:divsChild>
                            <w:div w:id="110927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326843">
      <w:bodyDiv w:val="1"/>
      <w:marLeft w:val="0"/>
      <w:marRight w:val="0"/>
      <w:marTop w:val="0"/>
      <w:marBottom w:val="0"/>
      <w:divBdr>
        <w:top w:val="none" w:sz="0" w:space="0" w:color="auto"/>
        <w:left w:val="none" w:sz="0" w:space="0" w:color="auto"/>
        <w:bottom w:val="none" w:sz="0" w:space="0" w:color="auto"/>
        <w:right w:val="none" w:sz="0" w:space="0" w:color="auto"/>
      </w:divBdr>
    </w:div>
    <w:div w:id="1047145180">
      <w:bodyDiv w:val="1"/>
      <w:marLeft w:val="0"/>
      <w:marRight w:val="0"/>
      <w:marTop w:val="0"/>
      <w:marBottom w:val="0"/>
      <w:divBdr>
        <w:top w:val="none" w:sz="0" w:space="0" w:color="auto"/>
        <w:left w:val="none" w:sz="0" w:space="0" w:color="auto"/>
        <w:bottom w:val="none" w:sz="0" w:space="0" w:color="auto"/>
        <w:right w:val="none" w:sz="0" w:space="0" w:color="auto"/>
      </w:divBdr>
    </w:div>
    <w:div w:id="1119838631">
      <w:bodyDiv w:val="1"/>
      <w:marLeft w:val="0"/>
      <w:marRight w:val="0"/>
      <w:marTop w:val="0"/>
      <w:marBottom w:val="0"/>
      <w:divBdr>
        <w:top w:val="none" w:sz="0" w:space="0" w:color="auto"/>
        <w:left w:val="none" w:sz="0" w:space="0" w:color="auto"/>
        <w:bottom w:val="none" w:sz="0" w:space="0" w:color="auto"/>
        <w:right w:val="none" w:sz="0" w:space="0" w:color="auto"/>
      </w:divBdr>
    </w:div>
    <w:div w:id="1134636010">
      <w:bodyDiv w:val="1"/>
      <w:marLeft w:val="0"/>
      <w:marRight w:val="0"/>
      <w:marTop w:val="0"/>
      <w:marBottom w:val="0"/>
      <w:divBdr>
        <w:top w:val="none" w:sz="0" w:space="0" w:color="auto"/>
        <w:left w:val="none" w:sz="0" w:space="0" w:color="auto"/>
        <w:bottom w:val="none" w:sz="0" w:space="0" w:color="auto"/>
        <w:right w:val="none" w:sz="0" w:space="0" w:color="auto"/>
      </w:divBdr>
    </w:div>
    <w:div w:id="1154447374">
      <w:bodyDiv w:val="1"/>
      <w:marLeft w:val="0"/>
      <w:marRight w:val="0"/>
      <w:marTop w:val="0"/>
      <w:marBottom w:val="0"/>
      <w:divBdr>
        <w:top w:val="none" w:sz="0" w:space="0" w:color="auto"/>
        <w:left w:val="none" w:sz="0" w:space="0" w:color="auto"/>
        <w:bottom w:val="none" w:sz="0" w:space="0" w:color="auto"/>
        <w:right w:val="none" w:sz="0" w:space="0" w:color="auto"/>
      </w:divBdr>
    </w:div>
    <w:div w:id="1194921236">
      <w:bodyDiv w:val="1"/>
      <w:marLeft w:val="0"/>
      <w:marRight w:val="0"/>
      <w:marTop w:val="0"/>
      <w:marBottom w:val="0"/>
      <w:divBdr>
        <w:top w:val="none" w:sz="0" w:space="0" w:color="auto"/>
        <w:left w:val="none" w:sz="0" w:space="0" w:color="auto"/>
        <w:bottom w:val="none" w:sz="0" w:space="0" w:color="auto"/>
        <w:right w:val="none" w:sz="0" w:space="0" w:color="auto"/>
      </w:divBdr>
    </w:div>
    <w:div w:id="1217859235">
      <w:bodyDiv w:val="1"/>
      <w:marLeft w:val="0"/>
      <w:marRight w:val="0"/>
      <w:marTop w:val="0"/>
      <w:marBottom w:val="0"/>
      <w:divBdr>
        <w:top w:val="none" w:sz="0" w:space="0" w:color="auto"/>
        <w:left w:val="none" w:sz="0" w:space="0" w:color="auto"/>
        <w:bottom w:val="none" w:sz="0" w:space="0" w:color="auto"/>
        <w:right w:val="none" w:sz="0" w:space="0" w:color="auto"/>
      </w:divBdr>
    </w:div>
    <w:div w:id="1380277068">
      <w:bodyDiv w:val="1"/>
      <w:marLeft w:val="0"/>
      <w:marRight w:val="0"/>
      <w:marTop w:val="0"/>
      <w:marBottom w:val="0"/>
      <w:divBdr>
        <w:top w:val="none" w:sz="0" w:space="0" w:color="auto"/>
        <w:left w:val="none" w:sz="0" w:space="0" w:color="auto"/>
        <w:bottom w:val="none" w:sz="0" w:space="0" w:color="auto"/>
        <w:right w:val="none" w:sz="0" w:space="0" w:color="auto"/>
      </w:divBdr>
    </w:div>
    <w:div w:id="1407068014">
      <w:bodyDiv w:val="1"/>
      <w:marLeft w:val="0"/>
      <w:marRight w:val="0"/>
      <w:marTop w:val="0"/>
      <w:marBottom w:val="0"/>
      <w:divBdr>
        <w:top w:val="none" w:sz="0" w:space="0" w:color="auto"/>
        <w:left w:val="none" w:sz="0" w:space="0" w:color="auto"/>
        <w:bottom w:val="none" w:sz="0" w:space="0" w:color="auto"/>
        <w:right w:val="none" w:sz="0" w:space="0" w:color="auto"/>
      </w:divBdr>
    </w:div>
    <w:div w:id="1427001438">
      <w:bodyDiv w:val="1"/>
      <w:marLeft w:val="0"/>
      <w:marRight w:val="0"/>
      <w:marTop w:val="0"/>
      <w:marBottom w:val="0"/>
      <w:divBdr>
        <w:top w:val="none" w:sz="0" w:space="0" w:color="auto"/>
        <w:left w:val="none" w:sz="0" w:space="0" w:color="auto"/>
        <w:bottom w:val="none" w:sz="0" w:space="0" w:color="auto"/>
        <w:right w:val="none" w:sz="0" w:space="0" w:color="auto"/>
      </w:divBdr>
    </w:div>
    <w:div w:id="1463111327">
      <w:bodyDiv w:val="1"/>
      <w:marLeft w:val="0"/>
      <w:marRight w:val="0"/>
      <w:marTop w:val="0"/>
      <w:marBottom w:val="0"/>
      <w:divBdr>
        <w:top w:val="none" w:sz="0" w:space="0" w:color="auto"/>
        <w:left w:val="none" w:sz="0" w:space="0" w:color="auto"/>
        <w:bottom w:val="none" w:sz="0" w:space="0" w:color="auto"/>
        <w:right w:val="none" w:sz="0" w:space="0" w:color="auto"/>
      </w:divBdr>
    </w:div>
    <w:div w:id="1492481231">
      <w:bodyDiv w:val="1"/>
      <w:marLeft w:val="0"/>
      <w:marRight w:val="0"/>
      <w:marTop w:val="0"/>
      <w:marBottom w:val="0"/>
      <w:divBdr>
        <w:top w:val="none" w:sz="0" w:space="0" w:color="auto"/>
        <w:left w:val="none" w:sz="0" w:space="0" w:color="auto"/>
        <w:bottom w:val="none" w:sz="0" w:space="0" w:color="auto"/>
        <w:right w:val="none" w:sz="0" w:space="0" w:color="auto"/>
      </w:divBdr>
    </w:div>
    <w:div w:id="1512143923">
      <w:bodyDiv w:val="1"/>
      <w:marLeft w:val="0"/>
      <w:marRight w:val="0"/>
      <w:marTop w:val="0"/>
      <w:marBottom w:val="0"/>
      <w:divBdr>
        <w:top w:val="none" w:sz="0" w:space="0" w:color="auto"/>
        <w:left w:val="none" w:sz="0" w:space="0" w:color="auto"/>
        <w:bottom w:val="none" w:sz="0" w:space="0" w:color="auto"/>
        <w:right w:val="none" w:sz="0" w:space="0" w:color="auto"/>
      </w:divBdr>
    </w:div>
    <w:div w:id="1527332139">
      <w:bodyDiv w:val="1"/>
      <w:marLeft w:val="0"/>
      <w:marRight w:val="0"/>
      <w:marTop w:val="0"/>
      <w:marBottom w:val="0"/>
      <w:divBdr>
        <w:top w:val="none" w:sz="0" w:space="0" w:color="auto"/>
        <w:left w:val="none" w:sz="0" w:space="0" w:color="auto"/>
        <w:bottom w:val="none" w:sz="0" w:space="0" w:color="auto"/>
        <w:right w:val="none" w:sz="0" w:space="0" w:color="auto"/>
      </w:divBdr>
    </w:div>
    <w:div w:id="1611429127">
      <w:bodyDiv w:val="1"/>
      <w:marLeft w:val="0"/>
      <w:marRight w:val="0"/>
      <w:marTop w:val="0"/>
      <w:marBottom w:val="0"/>
      <w:divBdr>
        <w:top w:val="none" w:sz="0" w:space="0" w:color="auto"/>
        <w:left w:val="none" w:sz="0" w:space="0" w:color="auto"/>
        <w:bottom w:val="none" w:sz="0" w:space="0" w:color="auto"/>
        <w:right w:val="none" w:sz="0" w:space="0" w:color="auto"/>
      </w:divBdr>
    </w:div>
    <w:div w:id="1662999190">
      <w:bodyDiv w:val="1"/>
      <w:marLeft w:val="0"/>
      <w:marRight w:val="0"/>
      <w:marTop w:val="0"/>
      <w:marBottom w:val="0"/>
      <w:divBdr>
        <w:top w:val="none" w:sz="0" w:space="0" w:color="auto"/>
        <w:left w:val="none" w:sz="0" w:space="0" w:color="auto"/>
        <w:bottom w:val="none" w:sz="0" w:space="0" w:color="auto"/>
        <w:right w:val="none" w:sz="0" w:space="0" w:color="auto"/>
      </w:divBdr>
      <w:divsChild>
        <w:div w:id="1776440335">
          <w:marLeft w:val="0"/>
          <w:marRight w:val="0"/>
          <w:marTop w:val="0"/>
          <w:marBottom w:val="0"/>
          <w:divBdr>
            <w:top w:val="none" w:sz="0" w:space="0" w:color="auto"/>
            <w:left w:val="none" w:sz="0" w:space="0" w:color="auto"/>
            <w:bottom w:val="none" w:sz="0" w:space="0" w:color="auto"/>
            <w:right w:val="none" w:sz="0" w:space="0" w:color="auto"/>
          </w:divBdr>
          <w:divsChild>
            <w:div w:id="342509586">
              <w:marLeft w:val="0"/>
              <w:marRight w:val="0"/>
              <w:marTop w:val="0"/>
              <w:marBottom w:val="0"/>
              <w:divBdr>
                <w:top w:val="none" w:sz="0" w:space="0" w:color="auto"/>
                <w:left w:val="none" w:sz="0" w:space="0" w:color="auto"/>
                <w:bottom w:val="none" w:sz="0" w:space="0" w:color="auto"/>
                <w:right w:val="none" w:sz="0" w:space="0" w:color="auto"/>
              </w:divBdr>
              <w:divsChild>
                <w:div w:id="958073557">
                  <w:marLeft w:val="0"/>
                  <w:marRight w:val="240"/>
                  <w:marTop w:val="0"/>
                  <w:marBottom w:val="0"/>
                  <w:divBdr>
                    <w:top w:val="none" w:sz="0" w:space="0" w:color="auto"/>
                    <w:left w:val="none" w:sz="0" w:space="0" w:color="auto"/>
                    <w:bottom w:val="none" w:sz="0" w:space="0" w:color="auto"/>
                    <w:right w:val="none" w:sz="0" w:space="0" w:color="auto"/>
                  </w:divBdr>
                  <w:divsChild>
                    <w:div w:id="538125803">
                      <w:marLeft w:val="0"/>
                      <w:marRight w:val="0"/>
                      <w:marTop w:val="0"/>
                      <w:marBottom w:val="0"/>
                      <w:divBdr>
                        <w:top w:val="none" w:sz="0" w:space="0" w:color="auto"/>
                        <w:left w:val="none" w:sz="0" w:space="0" w:color="auto"/>
                        <w:bottom w:val="none" w:sz="0" w:space="0" w:color="auto"/>
                        <w:right w:val="none" w:sz="0" w:space="0" w:color="auto"/>
                      </w:divBdr>
                      <w:divsChild>
                        <w:div w:id="1737049447">
                          <w:marLeft w:val="0"/>
                          <w:marRight w:val="0"/>
                          <w:marTop w:val="0"/>
                          <w:marBottom w:val="0"/>
                          <w:divBdr>
                            <w:top w:val="none" w:sz="0" w:space="0" w:color="auto"/>
                            <w:left w:val="none" w:sz="0" w:space="0" w:color="auto"/>
                            <w:bottom w:val="none" w:sz="0" w:space="0" w:color="auto"/>
                            <w:right w:val="none" w:sz="0" w:space="0" w:color="auto"/>
                          </w:divBdr>
                          <w:divsChild>
                            <w:div w:id="764420254">
                              <w:marLeft w:val="0"/>
                              <w:marRight w:val="0"/>
                              <w:marTop w:val="0"/>
                              <w:marBottom w:val="0"/>
                              <w:divBdr>
                                <w:top w:val="none" w:sz="0" w:space="0" w:color="auto"/>
                                <w:left w:val="none" w:sz="0" w:space="0" w:color="auto"/>
                                <w:bottom w:val="none" w:sz="0" w:space="0" w:color="auto"/>
                                <w:right w:val="none" w:sz="0" w:space="0" w:color="auto"/>
                              </w:divBdr>
                              <w:divsChild>
                                <w:div w:id="1290166934">
                                  <w:marLeft w:val="2"/>
                                  <w:marRight w:val="0"/>
                                  <w:marTop w:val="0"/>
                                  <w:marBottom w:val="0"/>
                                  <w:divBdr>
                                    <w:top w:val="none" w:sz="0" w:space="0" w:color="auto"/>
                                    <w:left w:val="none" w:sz="0" w:space="0" w:color="auto"/>
                                    <w:bottom w:val="none" w:sz="0" w:space="0" w:color="auto"/>
                                    <w:right w:val="none" w:sz="0" w:space="0" w:color="auto"/>
                                  </w:divBdr>
                                  <w:divsChild>
                                    <w:div w:id="1643537804">
                                      <w:marLeft w:val="0"/>
                                      <w:marRight w:val="0"/>
                                      <w:marTop w:val="0"/>
                                      <w:marBottom w:val="0"/>
                                      <w:divBdr>
                                        <w:top w:val="none" w:sz="0" w:space="0" w:color="auto"/>
                                        <w:left w:val="none" w:sz="0" w:space="0" w:color="auto"/>
                                        <w:bottom w:val="none" w:sz="0" w:space="0" w:color="auto"/>
                                        <w:right w:val="none" w:sz="0" w:space="0" w:color="auto"/>
                                      </w:divBdr>
                                      <w:divsChild>
                                        <w:div w:id="1698970150">
                                          <w:marLeft w:val="0"/>
                                          <w:marRight w:val="0"/>
                                          <w:marTop w:val="0"/>
                                          <w:marBottom w:val="0"/>
                                          <w:divBdr>
                                            <w:top w:val="none" w:sz="0" w:space="0" w:color="auto"/>
                                            <w:left w:val="none" w:sz="0" w:space="0" w:color="auto"/>
                                            <w:bottom w:val="none" w:sz="0" w:space="0" w:color="auto"/>
                                            <w:right w:val="none" w:sz="0" w:space="0" w:color="auto"/>
                                          </w:divBdr>
                                          <w:divsChild>
                                            <w:div w:id="1088111240">
                                              <w:marLeft w:val="0"/>
                                              <w:marRight w:val="0"/>
                                              <w:marTop w:val="0"/>
                                              <w:marBottom w:val="0"/>
                                              <w:divBdr>
                                                <w:top w:val="none" w:sz="0" w:space="0" w:color="auto"/>
                                                <w:left w:val="none" w:sz="0" w:space="0" w:color="auto"/>
                                                <w:bottom w:val="none" w:sz="0" w:space="0" w:color="auto"/>
                                                <w:right w:val="none" w:sz="0" w:space="0" w:color="auto"/>
                                              </w:divBdr>
                                              <w:divsChild>
                                                <w:div w:id="781613006">
                                                  <w:marLeft w:val="0"/>
                                                  <w:marRight w:val="0"/>
                                                  <w:marTop w:val="0"/>
                                                  <w:marBottom w:val="450"/>
                                                  <w:divBdr>
                                                    <w:top w:val="none" w:sz="0" w:space="0" w:color="auto"/>
                                                    <w:left w:val="none" w:sz="0" w:space="0" w:color="auto"/>
                                                    <w:bottom w:val="none" w:sz="0" w:space="0" w:color="auto"/>
                                                    <w:right w:val="none" w:sz="0" w:space="0" w:color="auto"/>
                                                  </w:divBdr>
                                                  <w:divsChild>
                                                    <w:div w:id="67466102">
                                                      <w:marLeft w:val="7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2193960">
      <w:bodyDiv w:val="1"/>
      <w:marLeft w:val="0"/>
      <w:marRight w:val="0"/>
      <w:marTop w:val="0"/>
      <w:marBottom w:val="0"/>
      <w:divBdr>
        <w:top w:val="none" w:sz="0" w:space="0" w:color="auto"/>
        <w:left w:val="none" w:sz="0" w:space="0" w:color="auto"/>
        <w:bottom w:val="none" w:sz="0" w:space="0" w:color="auto"/>
        <w:right w:val="none" w:sz="0" w:space="0" w:color="auto"/>
      </w:divBdr>
    </w:div>
    <w:div w:id="1694332939">
      <w:bodyDiv w:val="1"/>
      <w:marLeft w:val="0"/>
      <w:marRight w:val="0"/>
      <w:marTop w:val="0"/>
      <w:marBottom w:val="0"/>
      <w:divBdr>
        <w:top w:val="none" w:sz="0" w:space="0" w:color="auto"/>
        <w:left w:val="none" w:sz="0" w:space="0" w:color="auto"/>
        <w:bottom w:val="none" w:sz="0" w:space="0" w:color="auto"/>
        <w:right w:val="none" w:sz="0" w:space="0" w:color="auto"/>
      </w:divBdr>
    </w:div>
    <w:div w:id="1733456223">
      <w:bodyDiv w:val="1"/>
      <w:marLeft w:val="0"/>
      <w:marRight w:val="0"/>
      <w:marTop w:val="0"/>
      <w:marBottom w:val="0"/>
      <w:divBdr>
        <w:top w:val="none" w:sz="0" w:space="0" w:color="auto"/>
        <w:left w:val="none" w:sz="0" w:space="0" w:color="auto"/>
        <w:bottom w:val="none" w:sz="0" w:space="0" w:color="auto"/>
        <w:right w:val="none" w:sz="0" w:space="0" w:color="auto"/>
      </w:divBdr>
    </w:div>
    <w:div w:id="1772503156">
      <w:bodyDiv w:val="1"/>
      <w:marLeft w:val="0"/>
      <w:marRight w:val="0"/>
      <w:marTop w:val="0"/>
      <w:marBottom w:val="0"/>
      <w:divBdr>
        <w:top w:val="none" w:sz="0" w:space="0" w:color="auto"/>
        <w:left w:val="none" w:sz="0" w:space="0" w:color="auto"/>
        <w:bottom w:val="none" w:sz="0" w:space="0" w:color="auto"/>
        <w:right w:val="none" w:sz="0" w:space="0" w:color="auto"/>
      </w:divBdr>
    </w:div>
    <w:div w:id="1984040918">
      <w:bodyDiv w:val="1"/>
      <w:marLeft w:val="0"/>
      <w:marRight w:val="0"/>
      <w:marTop w:val="0"/>
      <w:marBottom w:val="0"/>
      <w:divBdr>
        <w:top w:val="none" w:sz="0" w:space="0" w:color="auto"/>
        <w:left w:val="none" w:sz="0" w:space="0" w:color="auto"/>
        <w:bottom w:val="none" w:sz="0" w:space="0" w:color="auto"/>
        <w:right w:val="none" w:sz="0" w:space="0" w:color="auto"/>
      </w:divBdr>
      <w:divsChild>
        <w:div w:id="479225319">
          <w:marLeft w:val="0"/>
          <w:marRight w:val="0"/>
          <w:marTop w:val="0"/>
          <w:marBottom w:val="0"/>
          <w:divBdr>
            <w:top w:val="none" w:sz="0" w:space="0" w:color="auto"/>
            <w:left w:val="none" w:sz="0" w:space="0" w:color="auto"/>
            <w:bottom w:val="none" w:sz="0" w:space="0" w:color="auto"/>
            <w:right w:val="none" w:sz="0" w:space="0" w:color="auto"/>
          </w:divBdr>
          <w:divsChild>
            <w:div w:id="820074012">
              <w:marLeft w:val="0"/>
              <w:marRight w:val="0"/>
              <w:marTop w:val="0"/>
              <w:marBottom w:val="0"/>
              <w:divBdr>
                <w:top w:val="none" w:sz="0" w:space="0" w:color="auto"/>
                <w:left w:val="none" w:sz="0" w:space="0" w:color="auto"/>
                <w:bottom w:val="none" w:sz="0" w:space="0" w:color="auto"/>
                <w:right w:val="none" w:sz="0" w:space="0" w:color="auto"/>
              </w:divBdr>
              <w:divsChild>
                <w:div w:id="336659060">
                  <w:marLeft w:val="0"/>
                  <w:marRight w:val="0"/>
                  <w:marTop w:val="0"/>
                  <w:marBottom w:val="0"/>
                  <w:divBdr>
                    <w:top w:val="none" w:sz="0" w:space="0" w:color="auto"/>
                    <w:left w:val="none" w:sz="0" w:space="0" w:color="auto"/>
                    <w:bottom w:val="none" w:sz="0" w:space="0" w:color="auto"/>
                    <w:right w:val="none" w:sz="0" w:space="0" w:color="auto"/>
                  </w:divBdr>
                  <w:divsChild>
                    <w:div w:id="1357539029">
                      <w:marLeft w:val="10"/>
                      <w:marRight w:val="0"/>
                      <w:marTop w:val="0"/>
                      <w:marBottom w:val="0"/>
                      <w:divBdr>
                        <w:top w:val="none" w:sz="0" w:space="0" w:color="auto"/>
                        <w:left w:val="none" w:sz="0" w:space="0" w:color="auto"/>
                        <w:bottom w:val="none" w:sz="0" w:space="0" w:color="auto"/>
                        <w:right w:val="none" w:sz="0" w:space="0" w:color="auto"/>
                      </w:divBdr>
                      <w:divsChild>
                        <w:div w:id="200403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770379">
      <w:bodyDiv w:val="1"/>
      <w:marLeft w:val="0"/>
      <w:marRight w:val="0"/>
      <w:marTop w:val="0"/>
      <w:marBottom w:val="0"/>
      <w:divBdr>
        <w:top w:val="none" w:sz="0" w:space="0" w:color="auto"/>
        <w:left w:val="none" w:sz="0" w:space="0" w:color="auto"/>
        <w:bottom w:val="none" w:sz="0" w:space="0" w:color="auto"/>
        <w:right w:val="none" w:sz="0" w:space="0" w:color="auto"/>
      </w:divBdr>
    </w:div>
    <w:div w:id="2040348387">
      <w:bodyDiv w:val="1"/>
      <w:marLeft w:val="0"/>
      <w:marRight w:val="0"/>
      <w:marTop w:val="0"/>
      <w:marBottom w:val="0"/>
      <w:divBdr>
        <w:top w:val="none" w:sz="0" w:space="0" w:color="auto"/>
        <w:left w:val="none" w:sz="0" w:space="0" w:color="auto"/>
        <w:bottom w:val="none" w:sz="0" w:space="0" w:color="auto"/>
        <w:right w:val="none" w:sz="0" w:space="0" w:color="auto"/>
      </w:divBdr>
    </w:div>
    <w:div w:id="211597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7400\Desktop\&#38928;&#31639;&#20013;&#24515;&#27243;&#24335;&#31684;&#26412;&#21450;&#31243;&#24335;&#26032;\doctemp091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686CB6-0D61-49DA-86C3-7C30C8410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doctemp0914.dot</Template>
  <TotalTime>0</TotalTime>
  <Pages>19</Pages>
  <Words>357</Words>
  <Characters>2039</Characters>
  <Application>Microsoft Office Word</Application>
  <DocSecurity>0</DocSecurity>
  <Lines>16</Lines>
  <Paragraphs>4</Paragraphs>
  <ScaleCrop>false</ScaleCrop>
  <Company/>
  <LinksUpToDate>false</LinksUpToDate>
  <CharactersWithSpaces>2392</CharactersWithSpaces>
  <SharedDoc>false</SharedDoc>
  <HLinks>
    <vt:vector size="78" baseType="variant">
      <vt:variant>
        <vt:i4>1048625</vt:i4>
      </vt:variant>
      <vt:variant>
        <vt:i4>74</vt:i4>
      </vt:variant>
      <vt:variant>
        <vt:i4>0</vt:i4>
      </vt:variant>
      <vt:variant>
        <vt:i4>5</vt:i4>
      </vt:variant>
      <vt:variant>
        <vt:lpwstr/>
      </vt:variant>
      <vt:variant>
        <vt:lpwstr>_Toc181965736</vt:lpwstr>
      </vt:variant>
      <vt:variant>
        <vt:i4>1048625</vt:i4>
      </vt:variant>
      <vt:variant>
        <vt:i4>68</vt:i4>
      </vt:variant>
      <vt:variant>
        <vt:i4>0</vt:i4>
      </vt:variant>
      <vt:variant>
        <vt:i4>5</vt:i4>
      </vt:variant>
      <vt:variant>
        <vt:lpwstr/>
      </vt:variant>
      <vt:variant>
        <vt:lpwstr>_Toc181965735</vt:lpwstr>
      </vt:variant>
      <vt:variant>
        <vt:i4>1048625</vt:i4>
      </vt:variant>
      <vt:variant>
        <vt:i4>62</vt:i4>
      </vt:variant>
      <vt:variant>
        <vt:i4>0</vt:i4>
      </vt:variant>
      <vt:variant>
        <vt:i4>5</vt:i4>
      </vt:variant>
      <vt:variant>
        <vt:lpwstr/>
      </vt:variant>
      <vt:variant>
        <vt:lpwstr>_Toc181965734</vt:lpwstr>
      </vt:variant>
      <vt:variant>
        <vt:i4>1048625</vt:i4>
      </vt:variant>
      <vt:variant>
        <vt:i4>56</vt:i4>
      </vt:variant>
      <vt:variant>
        <vt:i4>0</vt:i4>
      </vt:variant>
      <vt:variant>
        <vt:i4>5</vt:i4>
      </vt:variant>
      <vt:variant>
        <vt:lpwstr/>
      </vt:variant>
      <vt:variant>
        <vt:lpwstr>_Toc181965733</vt:lpwstr>
      </vt:variant>
      <vt:variant>
        <vt:i4>1048625</vt:i4>
      </vt:variant>
      <vt:variant>
        <vt:i4>50</vt:i4>
      </vt:variant>
      <vt:variant>
        <vt:i4>0</vt:i4>
      </vt:variant>
      <vt:variant>
        <vt:i4>5</vt:i4>
      </vt:variant>
      <vt:variant>
        <vt:lpwstr/>
      </vt:variant>
      <vt:variant>
        <vt:lpwstr>_Toc181965732</vt:lpwstr>
      </vt:variant>
      <vt:variant>
        <vt:i4>1048625</vt:i4>
      </vt:variant>
      <vt:variant>
        <vt:i4>44</vt:i4>
      </vt:variant>
      <vt:variant>
        <vt:i4>0</vt:i4>
      </vt:variant>
      <vt:variant>
        <vt:i4>5</vt:i4>
      </vt:variant>
      <vt:variant>
        <vt:lpwstr/>
      </vt:variant>
      <vt:variant>
        <vt:lpwstr>_Toc181965731</vt:lpwstr>
      </vt:variant>
      <vt:variant>
        <vt:i4>1048625</vt:i4>
      </vt:variant>
      <vt:variant>
        <vt:i4>38</vt:i4>
      </vt:variant>
      <vt:variant>
        <vt:i4>0</vt:i4>
      </vt:variant>
      <vt:variant>
        <vt:i4>5</vt:i4>
      </vt:variant>
      <vt:variant>
        <vt:lpwstr/>
      </vt:variant>
      <vt:variant>
        <vt:lpwstr>_Toc181965730</vt:lpwstr>
      </vt:variant>
      <vt:variant>
        <vt:i4>1114161</vt:i4>
      </vt:variant>
      <vt:variant>
        <vt:i4>32</vt:i4>
      </vt:variant>
      <vt:variant>
        <vt:i4>0</vt:i4>
      </vt:variant>
      <vt:variant>
        <vt:i4>5</vt:i4>
      </vt:variant>
      <vt:variant>
        <vt:lpwstr/>
      </vt:variant>
      <vt:variant>
        <vt:lpwstr>_Toc181965729</vt:lpwstr>
      </vt:variant>
      <vt:variant>
        <vt:i4>1114161</vt:i4>
      </vt:variant>
      <vt:variant>
        <vt:i4>26</vt:i4>
      </vt:variant>
      <vt:variant>
        <vt:i4>0</vt:i4>
      </vt:variant>
      <vt:variant>
        <vt:i4>5</vt:i4>
      </vt:variant>
      <vt:variant>
        <vt:lpwstr/>
      </vt:variant>
      <vt:variant>
        <vt:lpwstr>_Toc181965728</vt:lpwstr>
      </vt:variant>
      <vt:variant>
        <vt:i4>1114161</vt:i4>
      </vt:variant>
      <vt:variant>
        <vt:i4>20</vt:i4>
      </vt:variant>
      <vt:variant>
        <vt:i4>0</vt:i4>
      </vt:variant>
      <vt:variant>
        <vt:i4>5</vt:i4>
      </vt:variant>
      <vt:variant>
        <vt:lpwstr/>
      </vt:variant>
      <vt:variant>
        <vt:lpwstr>_Toc181965727</vt:lpwstr>
      </vt:variant>
      <vt:variant>
        <vt:i4>1114161</vt:i4>
      </vt:variant>
      <vt:variant>
        <vt:i4>14</vt:i4>
      </vt:variant>
      <vt:variant>
        <vt:i4>0</vt:i4>
      </vt:variant>
      <vt:variant>
        <vt:i4>5</vt:i4>
      </vt:variant>
      <vt:variant>
        <vt:lpwstr/>
      </vt:variant>
      <vt:variant>
        <vt:lpwstr>_Toc181965726</vt:lpwstr>
      </vt:variant>
      <vt:variant>
        <vt:i4>1114161</vt:i4>
      </vt:variant>
      <vt:variant>
        <vt:i4>8</vt:i4>
      </vt:variant>
      <vt:variant>
        <vt:i4>0</vt:i4>
      </vt:variant>
      <vt:variant>
        <vt:i4>5</vt:i4>
      </vt:variant>
      <vt:variant>
        <vt:lpwstr/>
      </vt:variant>
      <vt:variant>
        <vt:lpwstr>_Toc181965725</vt:lpwstr>
      </vt:variant>
      <vt:variant>
        <vt:i4>1114161</vt:i4>
      </vt:variant>
      <vt:variant>
        <vt:i4>2</vt:i4>
      </vt:variant>
      <vt:variant>
        <vt:i4>0</vt:i4>
      </vt:variant>
      <vt:variant>
        <vt:i4>5</vt:i4>
      </vt:variant>
      <vt:variant>
        <vt:lpwstr/>
      </vt:variant>
      <vt:variant>
        <vt:lpwstr>_Toc181965724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2024-11-08T03:06:00Z</cp:lastPrinted>
  <dcterms:created xsi:type="dcterms:W3CDTF">2024-11-08T07:42:00Z</dcterms:created>
  <dcterms:modified xsi:type="dcterms:W3CDTF">2024-11-08T07:42:00Z</dcterms:modified>
</cp:coreProperties>
</file>