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515E4" w:rsidRPr="00507BD2" w:rsidRDefault="00494324" w:rsidP="00556E2F">
      <w:pPr>
        <w:pStyle w:val="aa"/>
        <w:rPr>
          <w:rFonts w:hAnsi="標楷體" w:hint="eastAsia"/>
          <w:sz w:val="24"/>
        </w:rPr>
      </w:pPr>
      <w:bookmarkStart w:id="0" w:name="_GoBack"/>
      <w:bookmarkEnd w:id="0"/>
      <w:r w:rsidRPr="00507BD2">
        <w:rPr>
          <w:rFonts w:hAnsi="標楷體" w:hint="eastAsia"/>
        </w:rPr>
        <w:t>中央銀行11</w:t>
      </w:r>
      <w:r w:rsidR="00532EDB" w:rsidRPr="00507BD2">
        <w:rPr>
          <w:rFonts w:hAnsi="標楷體"/>
        </w:rPr>
        <w:t>4</w:t>
      </w:r>
      <w:r w:rsidRPr="00507BD2">
        <w:rPr>
          <w:rFonts w:hAnsi="標楷體" w:hint="eastAsia"/>
        </w:rPr>
        <w:t>年度營業預算評估報告目錄</w:t>
      </w:r>
      <w:r w:rsidR="006515E4" w:rsidRPr="00507BD2">
        <w:rPr>
          <w:rFonts w:hAnsi="標楷體" w:hint="eastAsia"/>
        </w:rPr>
        <w:t xml:space="preserve"> </w:t>
      </w:r>
      <w:r w:rsidR="00D72836" w:rsidRPr="00507BD2">
        <w:rPr>
          <w:rFonts w:hAnsi="標楷體" w:hint="eastAsia"/>
        </w:rPr>
        <w:t xml:space="preserve">   </w:t>
      </w:r>
      <w:r w:rsidR="006515E4" w:rsidRPr="00507BD2">
        <w:rPr>
          <w:rFonts w:hAnsi="標楷體" w:hint="eastAsia"/>
        </w:rPr>
        <w:t xml:space="preserve">  </w:t>
      </w:r>
      <w:r w:rsidR="001D0B27" w:rsidRPr="00507BD2">
        <w:rPr>
          <w:rFonts w:hAnsi="標楷體" w:hint="eastAsia"/>
        </w:rPr>
        <w:t xml:space="preserve"> </w:t>
      </w:r>
      <w:r w:rsidR="00014B6C" w:rsidRPr="00507BD2">
        <w:rPr>
          <w:rFonts w:hAnsi="標楷體" w:hint="eastAsia"/>
        </w:rPr>
        <w:t xml:space="preserve">  </w:t>
      </w:r>
      <w:r w:rsidR="006515E4" w:rsidRPr="00507BD2">
        <w:rPr>
          <w:rFonts w:hAnsi="標楷體" w:hint="eastAsia"/>
          <w:sz w:val="24"/>
        </w:rPr>
        <w:t>頁次</w:t>
      </w:r>
    </w:p>
    <w:p w:rsidR="0024584F" w:rsidRPr="00627AAC" w:rsidRDefault="008E4E0D">
      <w:pPr>
        <w:pStyle w:val="11"/>
        <w:ind w:left="486" w:hanging="486"/>
        <w:rPr>
          <w:rFonts w:ascii="Calibri" w:eastAsia="新細明體" w:hAnsi="Calibri"/>
          <w:b w:val="0"/>
          <w:noProof/>
          <w:snapToGrid/>
          <w:szCs w:val="22"/>
        </w:rPr>
      </w:pPr>
      <w:r w:rsidRPr="00507BD2">
        <w:rPr>
          <w:rFonts w:hAnsi="標楷體"/>
          <w:b w:val="0"/>
        </w:rPr>
        <w:fldChar w:fldCharType="begin"/>
      </w:r>
      <w:r w:rsidRPr="00507BD2">
        <w:rPr>
          <w:rFonts w:hAnsi="標楷體"/>
          <w:b w:val="0"/>
        </w:rPr>
        <w:instrText xml:space="preserve"> TOC \o "1-3" \h \z \t "第二層(14號字),2,第一層(14號字),1" </w:instrText>
      </w:r>
      <w:r w:rsidRPr="00507BD2">
        <w:rPr>
          <w:rFonts w:hAnsi="標楷體"/>
          <w:b w:val="0"/>
        </w:rPr>
        <w:fldChar w:fldCharType="separate"/>
      </w:r>
      <w:hyperlink w:anchor="_Toc181965724" w:history="1">
        <w:r w:rsidR="0024584F" w:rsidRPr="004A67B1">
          <w:rPr>
            <w:rStyle w:val="ae"/>
            <w:rFonts w:hAnsi="標楷體" w:hint="eastAsia"/>
            <w:noProof/>
          </w:rPr>
          <w:t>壹、業務計畫方面</w:t>
        </w:r>
        <w:r w:rsidR="0024584F">
          <w:rPr>
            <w:noProof/>
            <w:webHidden/>
          </w:rPr>
          <w:tab/>
        </w:r>
        <w:r w:rsidR="0024584F">
          <w:rPr>
            <w:noProof/>
            <w:webHidden/>
          </w:rPr>
          <w:fldChar w:fldCharType="begin"/>
        </w:r>
        <w:r w:rsidR="0024584F">
          <w:rPr>
            <w:noProof/>
            <w:webHidden/>
          </w:rPr>
          <w:instrText xml:space="preserve"> PAGEREF _Toc181965724 \h </w:instrText>
        </w:r>
        <w:r w:rsidR="0024584F">
          <w:rPr>
            <w:noProof/>
            <w:webHidden/>
          </w:rPr>
        </w:r>
        <w:r w:rsidR="0024584F">
          <w:rPr>
            <w:noProof/>
            <w:webHidden/>
          </w:rPr>
          <w:fldChar w:fldCharType="separate"/>
        </w:r>
        <w:r w:rsidR="0024584F">
          <w:rPr>
            <w:noProof/>
            <w:webHidden/>
          </w:rPr>
          <w:t>1</w:t>
        </w:r>
        <w:r w:rsidR="0024584F">
          <w:rPr>
            <w:noProof/>
            <w:webHidden/>
          </w:rPr>
          <w:fldChar w:fldCharType="end"/>
        </w:r>
      </w:hyperlink>
    </w:p>
    <w:p w:rsidR="0024584F" w:rsidRPr="00627AAC" w:rsidRDefault="0024584F">
      <w:pPr>
        <w:pStyle w:val="23"/>
        <w:rPr>
          <w:rFonts w:ascii="Calibri" w:eastAsia="新細明體" w:hAnsi="Calibri"/>
          <w:snapToGrid/>
          <w:szCs w:val="22"/>
        </w:rPr>
      </w:pPr>
      <w:hyperlink w:anchor="_Toc181965725" w:history="1">
        <w:r w:rsidRPr="004A67B1">
          <w:rPr>
            <w:rStyle w:val="ae"/>
            <w:rFonts w:hAnsi="標楷體" w:hint="eastAsia"/>
          </w:rPr>
          <w:t>一、不動產貸款集中度問題猶存，</w:t>
        </w:r>
        <w:r w:rsidRPr="004A67B1">
          <w:rPr>
            <w:rStyle w:val="ae"/>
            <w:rFonts w:hAnsi="標楷體"/>
          </w:rPr>
          <w:t>113</w:t>
        </w:r>
        <w:r w:rsidRPr="004A67B1">
          <w:rPr>
            <w:rStyle w:val="ae"/>
            <w:rFonts w:hAnsi="標楷體" w:hint="eastAsia"/>
          </w:rPr>
          <w:t>年度至</w:t>
        </w:r>
        <w:r w:rsidRPr="004A67B1">
          <w:rPr>
            <w:rStyle w:val="ae"/>
            <w:rFonts w:hAnsi="標楷體"/>
          </w:rPr>
          <w:t>8</w:t>
        </w:r>
        <w:r w:rsidRPr="004A67B1">
          <w:rPr>
            <w:rStyle w:val="ae"/>
            <w:rFonts w:hAnsi="標楷體" w:hint="eastAsia"/>
          </w:rPr>
          <w:t>月底購置住宅貸款餘額急速增加，多數銀行建築放款趨近法定及內部警戒上限，允宜滾動檢討選擇性信用管制措施，俾維持金融穩定並兼顧民眾需求</w:t>
        </w:r>
        <w:r>
          <w:rPr>
            <w:webHidden/>
          </w:rPr>
          <w:tab/>
        </w:r>
        <w:r>
          <w:rPr>
            <w:webHidden/>
          </w:rPr>
          <w:fldChar w:fldCharType="begin"/>
        </w:r>
        <w:r>
          <w:rPr>
            <w:webHidden/>
          </w:rPr>
          <w:instrText xml:space="preserve"> PAGEREF _Toc181965725 \h </w:instrText>
        </w:r>
        <w:r>
          <w:rPr>
            <w:webHidden/>
          </w:rPr>
        </w:r>
        <w:r>
          <w:rPr>
            <w:webHidden/>
          </w:rPr>
          <w:fldChar w:fldCharType="separate"/>
        </w:r>
        <w:r>
          <w:rPr>
            <w:webHidden/>
          </w:rPr>
          <w:t>1</w:t>
        </w:r>
        <w:r>
          <w:rPr>
            <w:webHidden/>
          </w:rPr>
          <w:fldChar w:fldCharType="end"/>
        </w:r>
      </w:hyperlink>
    </w:p>
    <w:p w:rsidR="0024584F" w:rsidRPr="00627AAC" w:rsidRDefault="0024584F">
      <w:pPr>
        <w:pStyle w:val="23"/>
        <w:rPr>
          <w:rFonts w:ascii="Calibri" w:eastAsia="新細明體" w:hAnsi="Calibri"/>
          <w:snapToGrid/>
          <w:szCs w:val="22"/>
        </w:rPr>
      </w:pPr>
      <w:hyperlink w:anchor="_Toc181965726" w:history="1">
        <w:r w:rsidRPr="004A67B1">
          <w:rPr>
            <w:rStyle w:val="ae"/>
            <w:rFonts w:hAnsi="標楷體" w:hint="eastAsia"/>
          </w:rPr>
          <w:t>二、國際貨幣基金刻正進行「第七版國際收支及國際投資部位手冊」研修作業，允宜審慎規劃統計改版事宜，俾利接軌</w:t>
        </w:r>
        <w:r>
          <w:rPr>
            <w:webHidden/>
          </w:rPr>
          <w:tab/>
        </w:r>
        <w:r>
          <w:rPr>
            <w:webHidden/>
          </w:rPr>
          <w:fldChar w:fldCharType="begin"/>
        </w:r>
        <w:r>
          <w:rPr>
            <w:webHidden/>
          </w:rPr>
          <w:instrText xml:space="preserve"> PAGEREF _Toc181965726 \h </w:instrText>
        </w:r>
        <w:r>
          <w:rPr>
            <w:webHidden/>
          </w:rPr>
        </w:r>
        <w:r>
          <w:rPr>
            <w:webHidden/>
          </w:rPr>
          <w:fldChar w:fldCharType="separate"/>
        </w:r>
        <w:r>
          <w:rPr>
            <w:webHidden/>
          </w:rPr>
          <w:t>7</w:t>
        </w:r>
        <w:r>
          <w:rPr>
            <w:webHidden/>
          </w:rPr>
          <w:fldChar w:fldCharType="end"/>
        </w:r>
      </w:hyperlink>
    </w:p>
    <w:p w:rsidR="0024584F" w:rsidRPr="00627AAC" w:rsidRDefault="0024584F">
      <w:pPr>
        <w:pStyle w:val="23"/>
        <w:rPr>
          <w:rFonts w:ascii="Calibri" w:eastAsia="新細明體" w:hAnsi="Calibri"/>
          <w:snapToGrid/>
          <w:szCs w:val="22"/>
        </w:rPr>
      </w:pPr>
      <w:hyperlink w:anchor="_Toc181965727" w:history="1">
        <w:r w:rsidRPr="004A67B1">
          <w:rPr>
            <w:rStyle w:val="ae"/>
            <w:rFonts w:hint="eastAsia"/>
          </w:rPr>
          <w:t>三、亞洲主要國家持續減持美國公債，鑒於美國貨幣政策調整幅度仍待觀察，允宜密切留意適時調節，俾維護對外幣值穩定，並協助經濟發展</w:t>
        </w:r>
        <w:r>
          <w:rPr>
            <w:webHidden/>
          </w:rPr>
          <w:tab/>
        </w:r>
        <w:r>
          <w:rPr>
            <w:webHidden/>
          </w:rPr>
          <w:fldChar w:fldCharType="begin"/>
        </w:r>
        <w:r>
          <w:rPr>
            <w:webHidden/>
          </w:rPr>
          <w:instrText xml:space="preserve"> PAGEREF _Toc181965727 \h </w:instrText>
        </w:r>
        <w:r>
          <w:rPr>
            <w:webHidden/>
          </w:rPr>
        </w:r>
        <w:r>
          <w:rPr>
            <w:webHidden/>
          </w:rPr>
          <w:fldChar w:fldCharType="separate"/>
        </w:r>
        <w:r>
          <w:rPr>
            <w:webHidden/>
          </w:rPr>
          <w:t>9</w:t>
        </w:r>
        <w:r>
          <w:rPr>
            <w:webHidden/>
          </w:rPr>
          <w:fldChar w:fldCharType="end"/>
        </w:r>
      </w:hyperlink>
    </w:p>
    <w:p w:rsidR="0024584F" w:rsidRPr="00627AAC" w:rsidRDefault="0024584F">
      <w:pPr>
        <w:pStyle w:val="23"/>
        <w:rPr>
          <w:rFonts w:ascii="Calibri" w:eastAsia="新細明體" w:hAnsi="Calibri"/>
          <w:snapToGrid/>
          <w:szCs w:val="22"/>
        </w:rPr>
      </w:pPr>
      <w:hyperlink w:anchor="_Toc181965728" w:history="1">
        <w:r w:rsidRPr="004A67B1">
          <w:rPr>
            <w:rStyle w:val="ae"/>
            <w:rFonts w:hAnsi="標楷體" w:hint="eastAsia"/>
          </w:rPr>
          <w:t>四、多數央行研發數位貨幣且</w:t>
        </w:r>
        <w:r w:rsidRPr="004A67B1">
          <w:rPr>
            <w:rStyle w:val="ae"/>
            <w:rFonts w:hAnsi="標楷體"/>
          </w:rPr>
          <w:t>7</w:t>
        </w:r>
        <w:r w:rsidRPr="004A67B1">
          <w:rPr>
            <w:rStyle w:val="ae"/>
            <w:rFonts w:hAnsi="標楷體" w:hint="eastAsia"/>
          </w:rPr>
          <w:t>國參與國際清算銀行跨境結算實驗計畫，允宜掌握發展趨勢衡酌善用監理沙盒方式試驗，俾縝密試行作業</w:t>
        </w:r>
        <w:r>
          <w:rPr>
            <w:webHidden/>
          </w:rPr>
          <w:tab/>
        </w:r>
        <w:r>
          <w:rPr>
            <w:webHidden/>
          </w:rPr>
          <w:fldChar w:fldCharType="begin"/>
        </w:r>
        <w:r>
          <w:rPr>
            <w:webHidden/>
          </w:rPr>
          <w:instrText xml:space="preserve"> PAGEREF _Toc181965728 \h </w:instrText>
        </w:r>
        <w:r>
          <w:rPr>
            <w:webHidden/>
          </w:rPr>
        </w:r>
        <w:r>
          <w:rPr>
            <w:webHidden/>
          </w:rPr>
          <w:fldChar w:fldCharType="separate"/>
        </w:r>
        <w:r>
          <w:rPr>
            <w:webHidden/>
          </w:rPr>
          <w:t>12</w:t>
        </w:r>
        <w:r>
          <w:rPr>
            <w:webHidden/>
          </w:rPr>
          <w:fldChar w:fldCharType="end"/>
        </w:r>
      </w:hyperlink>
    </w:p>
    <w:p w:rsidR="0024584F" w:rsidRPr="00627AAC" w:rsidRDefault="0024584F">
      <w:pPr>
        <w:pStyle w:val="23"/>
        <w:rPr>
          <w:rFonts w:ascii="Calibri" w:eastAsia="新細明體" w:hAnsi="Calibri"/>
          <w:snapToGrid/>
          <w:szCs w:val="22"/>
        </w:rPr>
      </w:pPr>
      <w:hyperlink w:anchor="_Toc181965729" w:history="1">
        <w:r w:rsidRPr="004A67B1">
          <w:rPr>
            <w:rStyle w:val="ae"/>
            <w:rFonts w:hAnsi="標楷體" w:hint="eastAsia"/>
          </w:rPr>
          <w:t>五、我國持續被美國列為匯率操縱國觀察名單，為鞏固產業競爭優勢，允宜賡續追蹤並保持良性溝通，俾利經貿合作及匯市調節彈性</w:t>
        </w:r>
        <w:r>
          <w:rPr>
            <w:webHidden/>
          </w:rPr>
          <w:tab/>
        </w:r>
        <w:r>
          <w:rPr>
            <w:webHidden/>
          </w:rPr>
          <w:fldChar w:fldCharType="begin"/>
        </w:r>
        <w:r>
          <w:rPr>
            <w:webHidden/>
          </w:rPr>
          <w:instrText xml:space="preserve"> PAGEREF _Toc181965729 \h </w:instrText>
        </w:r>
        <w:r>
          <w:rPr>
            <w:webHidden/>
          </w:rPr>
        </w:r>
        <w:r>
          <w:rPr>
            <w:webHidden/>
          </w:rPr>
          <w:fldChar w:fldCharType="separate"/>
        </w:r>
        <w:r>
          <w:rPr>
            <w:webHidden/>
          </w:rPr>
          <w:t>15</w:t>
        </w:r>
        <w:r>
          <w:rPr>
            <w:webHidden/>
          </w:rPr>
          <w:fldChar w:fldCharType="end"/>
        </w:r>
      </w:hyperlink>
    </w:p>
    <w:p w:rsidR="0024584F" w:rsidRPr="00627AAC" w:rsidRDefault="0024584F">
      <w:pPr>
        <w:pStyle w:val="23"/>
        <w:rPr>
          <w:rFonts w:ascii="Calibri" w:eastAsia="新細明體" w:hAnsi="Calibri"/>
          <w:snapToGrid/>
          <w:szCs w:val="22"/>
        </w:rPr>
      </w:pPr>
      <w:hyperlink w:anchor="_Toc181965730" w:history="1">
        <w:r w:rsidRPr="004A67B1">
          <w:rPr>
            <w:rStyle w:val="ae"/>
            <w:rFonts w:hAnsi="標楷體" w:hint="eastAsia"/>
          </w:rPr>
          <w:t>六、硬幣再流通計畫推動以來雖具成效，惟</w:t>
        </w:r>
        <w:r w:rsidRPr="004A67B1">
          <w:rPr>
            <w:rStyle w:val="ae"/>
            <w:rFonts w:hAnsi="標楷體"/>
          </w:rPr>
          <w:t>112</w:t>
        </w:r>
        <w:r w:rsidRPr="004A67B1">
          <w:rPr>
            <w:rStyle w:val="ae"/>
            <w:rFonts w:hAnsi="標楷體" w:hint="eastAsia"/>
          </w:rPr>
          <w:t>年度硬幣新增發行量減幅趨緩，允宜加強推動，俾撙節鑄幣成本</w:t>
        </w:r>
        <w:r>
          <w:rPr>
            <w:webHidden/>
          </w:rPr>
          <w:tab/>
        </w:r>
        <w:r>
          <w:rPr>
            <w:webHidden/>
          </w:rPr>
          <w:fldChar w:fldCharType="begin"/>
        </w:r>
        <w:r>
          <w:rPr>
            <w:webHidden/>
          </w:rPr>
          <w:instrText xml:space="preserve"> PAGEREF _Toc181965730 \h </w:instrText>
        </w:r>
        <w:r>
          <w:rPr>
            <w:webHidden/>
          </w:rPr>
        </w:r>
        <w:r>
          <w:rPr>
            <w:webHidden/>
          </w:rPr>
          <w:fldChar w:fldCharType="separate"/>
        </w:r>
        <w:r>
          <w:rPr>
            <w:webHidden/>
          </w:rPr>
          <w:t>18</w:t>
        </w:r>
        <w:r>
          <w:rPr>
            <w:webHidden/>
          </w:rPr>
          <w:fldChar w:fldCharType="end"/>
        </w:r>
      </w:hyperlink>
    </w:p>
    <w:p w:rsidR="0024584F" w:rsidRPr="00627AAC" w:rsidRDefault="0024584F">
      <w:pPr>
        <w:pStyle w:val="23"/>
        <w:rPr>
          <w:rFonts w:ascii="Calibri" w:eastAsia="新細明體" w:hAnsi="Calibri"/>
          <w:snapToGrid/>
          <w:szCs w:val="22"/>
        </w:rPr>
      </w:pPr>
      <w:hyperlink w:anchor="_Toc181965731" w:history="1">
        <w:r w:rsidRPr="004A67B1">
          <w:rPr>
            <w:rStyle w:val="ae"/>
            <w:rFonts w:hAnsi="標楷體" w:hint="eastAsia"/>
          </w:rPr>
          <w:t>七、近年來金融帳呈現資金大幅流出現象，鑒於現有地緣政治風險升高，部分國家貨幣政策調整及美國選後政策走向等不確定因素，允宜密切觀察資金流向，俾維護金融及匯率穩定</w:t>
        </w:r>
        <w:r>
          <w:rPr>
            <w:webHidden/>
          </w:rPr>
          <w:tab/>
        </w:r>
        <w:r>
          <w:rPr>
            <w:webHidden/>
          </w:rPr>
          <w:fldChar w:fldCharType="begin"/>
        </w:r>
        <w:r>
          <w:rPr>
            <w:webHidden/>
          </w:rPr>
          <w:instrText xml:space="preserve"> PAGEREF _Toc181965731 \h </w:instrText>
        </w:r>
        <w:r>
          <w:rPr>
            <w:webHidden/>
          </w:rPr>
        </w:r>
        <w:r>
          <w:rPr>
            <w:webHidden/>
          </w:rPr>
          <w:fldChar w:fldCharType="separate"/>
        </w:r>
        <w:r>
          <w:rPr>
            <w:webHidden/>
          </w:rPr>
          <w:t>20</w:t>
        </w:r>
        <w:r>
          <w:rPr>
            <w:webHidden/>
          </w:rPr>
          <w:fldChar w:fldCharType="end"/>
        </w:r>
      </w:hyperlink>
    </w:p>
    <w:p w:rsidR="0024584F" w:rsidRPr="00627AAC" w:rsidRDefault="0024584F">
      <w:pPr>
        <w:pStyle w:val="11"/>
        <w:ind w:left="486" w:hanging="486"/>
        <w:rPr>
          <w:rFonts w:ascii="Calibri" w:eastAsia="新細明體" w:hAnsi="Calibri"/>
          <w:b w:val="0"/>
          <w:noProof/>
          <w:snapToGrid/>
          <w:szCs w:val="22"/>
        </w:rPr>
      </w:pPr>
      <w:hyperlink w:anchor="_Toc181965732" w:history="1">
        <w:r w:rsidRPr="004A67B1">
          <w:rPr>
            <w:rStyle w:val="ae"/>
            <w:rFonts w:hAnsi="標楷體" w:hint="eastAsia"/>
            <w:noProof/>
          </w:rPr>
          <w:t>貳、營業收支方面</w:t>
        </w:r>
        <w:r>
          <w:rPr>
            <w:noProof/>
            <w:webHidden/>
          </w:rPr>
          <w:tab/>
        </w:r>
        <w:r>
          <w:rPr>
            <w:noProof/>
            <w:webHidden/>
          </w:rPr>
          <w:fldChar w:fldCharType="begin"/>
        </w:r>
        <w:r>
          <w:rPr>
            <w:noProof/>
            <w:webHidden/>
          </w:rPr>
          <w:instrText xml:space="preserve"> PAGEREF _Toc181965732 \h </w:instrText>
        </w:r>
        <w:r>
          <w:rPr>
            <w:noProof/>
            <w:webHidden/>
          </w:rPr>
        </w:r>
        <w:r>
          <w:rPr>
            <w:noProof/>
            <w:webHidden/>
          </w:rPr>
          <w:fldChar w:fldCharType="separate"/>
        </w:r>
        <w:r>
          <w:rPr>
            <w:noProof/>
            <w:webHidden/>
          </w:rPr>
          <w:t>23</w:t>
        </w:r>
        <w:r>
          <w:rPr>
            <w:noProof/>
            <w:webHidden/>
          </w:rPr>
          <w:fldChar w:fldCharType="end"/>
        </w:r>
      </w:hyperlink>
    </w:p>
    <w:p w:rsidR="0024584F" w:rsidRPr="00627AAC" w:rsidRDefault="0024584F">
      <w:pPr>
        <w:pStyle w:val="23"/>
        <w:rPr>
          <w:rFonts w:ascii="Calibri" w:eastAsia="新細明體" w:hAnsi="Calibri"/>
          <w:snapToGrid/>
          <w:szCs w:val="22"/>
        </w:rPr>
      </w:pPr>
      <w:hyperlink w:anchor="_Toc181965733" w:history="1">
        <w:r w:rsidRPr="004A67B1">
          <w:rPr>
            <w:rStyle w:val="ae"/>
            <w:rFonts w:hAnsi="標楷體" w:hint="eastAsia"/>
          </w:rPr>
          <w:t>八、歷年度利息費用估列數偏高，預決算迭有差異，</w:t>
        </w:r>
        <w:r w:rsidRPr="004A67B1">
          <w:rPr>
            <w:rStyle w:val="ae"/>
            <w:rFonts w:hAnsi="標楷體"/>
          </w:rPr>
          <w:t>112</w:t>
        </w:r>
        <w:r w:rsidRPr="004A67B1">
          <w:rPr>
            <w:rStyle w:val="ae"/>
            <w:rFonts w:hAnsi="標楷體" w:hint="eastAsia"/>
          </w:rPr>
          <w:t>年度差異數較上年度擴大，允宜賡續策進編製作業</w:t>
        </w:r>
        <w:r>
          <w:rPr>
            <w:webHidden/>
          </w:rPr>
          <w:tab/>
        </w:r>
        <w:r>
          <w:rPr>
            <w:webHidden/>
          </w:rPr>
          <w:fldChar w:fldCharType="begin"/>
        </w:r>
        <w:r>
          <w:rPr>
            <w:webHidden/>
          </w:rPr>
          <w:instrText xml:space="preserve"> PAGEREF _Toc181965733 \h </w:instrText>
        </w:r>
        <w:r>
          <w:rPr>
            <w:webHidden/>
          </w:rPr>
        </w:r>
        <w:r>
          <w:rPr>
            <w:webHidden/>
          </w:rPr>
          <w:fldChar w:fldCharType="separate"/>
        </w:r>
        <w:r>
          <w:rPr>
            <w:webHidden/>
          </w:rPr>
          <w:t>23</w:t>
        </w:r>
        <w:r>
          <w:rPr>
            <w:webHidden/>
          </w:rPr>
          <w:fldChar w:fldCharType="end"/>
        </w:r>
      </w:hyperlink>
    </w:p>
    <w:p w:rsidR="0024584F" w:rsidRPr="00627AAC" w:rsidRDefault="0024584F">
      <w:pPr>
        <w:pStyle w:val="23"/>
        <w:rPr>
          <w:rFonts w:ascii="Calibri" w:eastAsia="新細明體" w:hAnsi="Calibri"/>
          <w:snapToGrid/>
          <w:szCs w:val="22"/>
        </w:rPr>
      </w:pPr>
      <w:hyperlink w:anchor="_Toc181965734" w:history="1">
        <w:r w:rsidRPr="004A67B1">
          <w:rPr>
            <w:rStyle w:val="ae"/>
            <w:rFonts w:hAnsi="標楷體" w:hint="eastAsia"/>
          </w:rPr>
          <w:t>九、委外投資平均收益率僅少數年度達成目標值及高於自行經營，</w:t>
        </w:r>
        <w:r w:rsidRPr="004A67B1">
          <w:rPr>
            <w:rStyle w:val="ae"/>
            <w:rFonts w:hAnsi="標楷體"/>
          </w:rPr>
          <w:t>112</w:t>
        </w:r>
        <w:r w:rsidRPr="004A67B1">
          <w:rPr>
            <w:rStyle w:val="ae"/>
            <w:rFonts w:hAnsi="標楷體" w:hint="eastAsia"/>
          </w:rPr>
          <w:t>年度上升後復於</w:t>
        </w:r>
        <w:r w:rsidRPr="004A67B1">
          <w:rPr>
            <w:rStyle w:val="ae"/>
            <w:rFonts w:hAnsi="標楷體"/>
          </w:rPr>
          <w:t>113</w:t>
        </w:r>
        <w:r w:rsidRPr="004A67B1">
          <w:rPr>
            <w:rStyle w:val="ae"/>
            <w:rFonts w:hAnsi="標楷體" w:hint="eastAsia"/>
          </w:rPr>
          <w:t>年度</w:t>
        </w:r>
        <w:r w:rsidRPr="004A67B1">
          <w:rPr>
            <w:rStyle w:val="ae"/>
            <w:rFonts w:hAnsi="標楷體"/>
          </w:rPr>
          <w:t>(</w:t>
        </w:r>
        <w:r w:rsidRPr="004A67B1">
          <w:rPr>
            <w:rStyle w:val="ae"/>
            <w:rFonts w:hAnsi="標楷體" w:hint="eastAsia"/>
          </w:rPr>
          <w:t>截至</w:t>
        </w:r>
        <w:r w:rsidRPr="004A67B1">
          <w:rPr>
            <w:rStyle w:val="ae"/>
            <w:rFonts w:hAnsi="標楷體"/>
          </w:rPr>
          <w:t>8</w:t>
        </w:r>
        <w:r w:rsidRPr="004A67B1">
          <w:rPr>
            <w:rStyle w:val="ae"/>
            <w:rFonts w:hAnsi="標楷體" w:hint="eastAsia"/>
          </w:rPr>
          <w:t>月底止</w:t>
        </w:r>
        <w:r w:rsidRPr="004A67B1">
          <w:rPr>
            <w:rStyle w:val="ae"/>
            <w:rFonts w:hAnsi="標楷體"/>
          </w:rPr>
          <w:t>)</w:t>
        </w:r>
        <w:r w:rsidRPr="004A67B1">
          <w:rPr>
            <w:rStyle w:val="ae"/>
            <w:rFonts w:hAnsi="標楷體" w:hint="eastAsia"/>
          </w:rPr>
          <w:t>下降，績效及穩定度容待加強</w:t>
        </w:r>
        <w:r>
          <w:rPr>
            <w:webHidden/>
          </w:rPr>
          <w:tab/>
        </w:r>
        <w:r>
          <w:rPr>
            <w:webHidden/>
          </w:rPr>
          <w:fldChar w:fldCharType="begin"/>
        </w:r>
        <w:r>
          <w:rPr>
            <w:webHidden/>
          </w:rPr>
          <w:instrText xml:space="preserve"> PAGEREF _Toc181965734 \h </w:instrText>
        </w:r>
        <w:r>
          <w:rPr>
            <w:webHidden/>
          </w:rPr>
        </w:r>
        <w:r>
          <w:rPr>
            <w:webHidden/>
          </w:rPr>
          <w:fldChar w:fldCharType="separate"/>
        </w:r>
        <w:r>
          <w:rPr>
            <w:webHidden/>
          </w:rPr>
          <w:t>25</w:t>
        </w:r>
        <w:r>
          <w:rPr>
            <w:webHidden/>
          </w:rPr>
          <w:fldChar w:fldCharType="end"/>
        </w:r>
      </w:hyperlink>
    </w:p>
    <w:p w:rsidR="0024584F" w:rsidRPr="00627AAC" w:rsidRDefault="0024584F">
      <w:pPr>
        <w:pStyle w:val="11"/>
        <w:ind w:left="486" w:hanging="486"/>
        <w:rPr>
          <w:rFonts w:ascii="Calibri" w:eastAsia="新細明體" w:hAnsi="Calibri"/>
          <w:b w:val="0"/>
          <w:noProof/>
          <w:snapToGrid/>
          <w:szCs w:val="22"/>
        </w:rPr>
      </w:pPr>
      <w:hyperlink w:anchor="_Toc181965735" w:history="1">
        <w:r w:rsidRPr="004A67B1">
          <w:rPr>
            <w:rStyle w:val="ae"/>
            <w:rFonts w:hint="eastAsia"/>
            <w:noProof/>
          </w:rPr>
          <w:t>參、資金轉投資方面</w:t>
        </w:r>
        <w:r>
          <w:rPr>
            <w:noProof/>
            <w:webHidden/>
          </w:rPr>
          <w:tab/>
        </w:r>
        <w:r>
          <w:rPr>
            <w:noProof/>
            <w:webHidden/>
          </w:rPr>
          <w:fldChar w:fldCharType="begin"/>
        </w:r>
        <w:r>
          <w:rPr>
            <w:noProof/>
            <w:webHidden/>
          </w:rPr>
          <w:instrText xml:space="preserve"> PAGEREF _Toc181965735 \h </w:instrText>
        </w:r>
        <w:r>
          <w:rPr>
            <w:noProof/>
            <w:webHidden/>
          </w:rPr>
        </w:r>
        <w:r>
          <w:rPr>
            <w:noProof/>
            <w:webHidden/>
          </w:rPr>
          <w:fldChar w:fldCharType="separate"/>
        </w:r>
        <w:r>
          <w:rPr>
            <w:noProof/>
            <w:webHidden/>
          </w:rPr>
          <w:t>28</w:t>
        </w:r>
        <w:r>
          <w:rPr>
            <w:noProof/>
            <w:webHidden/>
          </w:rPr>
          <w:fldChar w:fldCharType="end"/>
        </w:r>
      </w:hyperlink>
    </w:p>
    <w:p w:rsidR="0024584F" w:rsidRPr="00627AAC" w:rsidRDefault="0024584F">
      <w:pPr>
        <w:pStyle w:val="23"/>
        <w:rPr>
          <w:rFonts w:ascii="Calibri" w:eastAsia="新細明體" w:hAnsi="Calibri"/>
          <w:snapToGrid/>
          <w:szCs w:val="22"/>
        </w:rPr>
      </w:pPr>
      <w:hyperlink w:anchor="_Toc181965736" w:history="1">
        <w:r w:rsidRPr="004A67B1">
          <w:rPr>
            <w:rStyle w:val="ae"/>
            <w:rFonts w:hint="eastAsia"/>
          </w:rPr>
          <w:t>一０、認列轉投資財金資訊股份有限公司利益預決算差異甚巨，允宜責成精進估算作業，俾覈實編列預算</w:t>
        </w:r>
        <w:r>
          <w:rPr>
            <w:webHidden/>
          </w:rPr>
          <w:tab/>
        </w:r>
        <w:r>
          <w:rPr>
            <w:webHidden/>
          </w:rPr>
          <w:fldChar w:fldCharType="begin"/>
        </w:r>
        <w:r>
          <w:rPr>
            <w:webHidden/>
          </w:rPr>
          <w:instrText xml:space="preserve"> PAGEREF _Toc181965736 \h </w:instrText>
        </w:r>
        <w:r>
          <w:rPr>
            <w:webHidden/>
          </w:rPr>
        </w:r>
        <w:r>
          <w:rPr>
            <w:webHidden/>
          </w:rPr>
          <w:fldChar w:fldCharType="separate"/>
        </w:r>
        <w:r>
          <w:rPr>
            <w:webHidden/>
          </w:rPr>
          <w:t>28</w:t>
        </w:r>
        <w:r>
          <w:rPr>
            <w:webHidden/>
          </w:rPr>
          <w:fldChar w:fldCharType="end"/>
        </w:r>
      </w:hyperlink>
    </w:p>
    <w:p w:rsidR="006515E4" w:rsidRPr="00507BD2" w:rsidRDefault="008E4E0D" w:rsidP="00C06599">
      <w:pPr>
        <w:tabs>
          <w:tab w:val="right" w:leader="hyphen" w:pos="8505"/>
        </w:tabs>
        <w:ind w:left="566" w:rightChars="149" w:right="422" w:firstLine="487"/>
        <w:rPr>
          <w:rFonts w:hAnsi="標楷體"/>
        </w:rPr>
        <w:sectPr w:rsidR="006515E4" w:rsidRPr="00507BD2" w:rsidSect="006515E4">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pPr>
      <w:r w:rsidRPr="00507BD2">
        <w:rPr>
          <w:rFonts w:hAnsi="標楷體"/>
          <w:b/>
          <w:noProof/>
          <w:sz w:val="24"/>
        </w:rPr>
        <w:fldChar w:fldCharType="end"/>
      </w:r>
    </w:p>
    <w:p w:rsidR="006515E4" w:rsidRPr="00507BD2" w:rsidRDefault="00494324" w:rsidP="006515E4">
      <w:pPr>
        <w:adjustRightInd w:val="0"/>
        <w:ind w:leftChars="0" w:left="0" w:firstLineChars="0" w:firstLine="0"/>
        <w:rPr>
          <w:rFonts w:hAnsi="標楷體" w:hint="eastAsia"/>
          <w:b/>
          <w:sz w:val="36"/>
        </w:rPr>
      </w:pPr>
      <w:r w:rsidRPr="00507BD2">
        <w:rPr>
          <w:rFonts w:hAnsi="標楷體" w:hint="eastAsia"/>
          <w:b/>
          <w:sz w:val="36"/>
        </w:rPr>
        <w:lastRenderedPageBreak/>
        <w:t>中央銀行11</w:t>
      </w:r>
      <w:r w:rsidR="00532EDB" w:rsidRPr="00507BD2">
        <w:rPr>
          <w:rFonts w:hAnsi="標楷體"/>
          <w:b/>
          <w:sz w:val="36"/>
        </w:rPr>
        <w:t>4</w:t>
      </w:r>
      <w:r w:rsidRPr="00507BD2">
        <w:rPr>
          <w:rFonts w:hAnsi="標楷體" w:hint="eastAsia"/>
          <w:b/>
          <w:sz w:val="36"/>
        </w:rPr>
        <w:t>年度營業預算評估報告</w:t>
      </w:r>
    </w:p>
    <w:p w:rsidR="00494324" w:rsidRPr="00507BD2" w:rsidRDefault="00494324" w:rsidP="00A90610">
      <w:pPr>
        <w:pStyle w:val="a8"/>
        <w:ind w:firstLine="566"/>
        <w:rPr>
          <w:rFonts w:hAnsi="標楷體" w:hint="eastAsia"/>
        </w:rPr>
      </w:pPr>
      <w:r w:rsidRPr="00507BD2">
        <w:rPr>
          <w:rFonts w:hAnsi="標楷體" w:hint="eastAsia"/>
        </w:rPr>
        <w:t>中央銀行</w:t>
      </w:r>
      <w:r w:rsidR="00532EDB" w:rsidRPr="00507BD2">
        <w:rPr>
          <w:rFonts w:hAnsi="標楷體" w:hint="eastAsia"/>
        </w:rPr>
        <w:t>(</w:t>
      </w:r>
      <w:r w:rsidRPr="00507BD2">
        <w:rPr>
          <w:rFonts w:hAnsi="標楷體" w:hint="eastAsia"/>
        </w:rPr>
        <w:t>以下簡稱央行</w:t>
      </w:r>
      <w:r w:rsidR="00532EDB" w:rsidRPr="00507BD2">
        <w:rPr>
          <w:rFonts w:hAnsi="標楷體" w:hint="eastAsia"/>
        </w:rPr>
        <w:t>)</w:t>
      </w:r>
      <w:r w:rsidRPr="00507BD2">
        <w:rPr>
          <w:rFonts w:hAnsi="標楷體" w:hint="eastAsia"/>
        </w:rPr>
        <w:t>為國家銀行，</w:t>
      </w:r>
      <w:r w:rsidR="00C75457" w:rsidRPr="00507BD2">
        <w:rPr>
          <w:rFonts w:hAnsi="標楷體" w:hint="eastAsia"/>
        </w:rPr>
        <w:t>係貨幣政策之制定及執行機關，</w:t>
      </w:r>
      <w:r w:rsidR="00A90610" w:rsidRPr="00A90610">
        <w:rPr>
          <w:rFonts w:hAnsi="標楷體" w:hint="eastAsia"/>
        </w:rPr>
        <w:t>促進金融穩定</w:t>
      </w:r>
      <w:r w:rsidR="00A90610">
        <w:rPr>
          <w:rFonts w:hAnsi="標楷體" w:hint="eastAsia"/>
        </w:rPr>
        <w:t>、健全銀行業務、維護對內與對外幣值之穩定及</w:t>
      </w:r>
      <w:r w:rsidR="00A90610" w:rsidRPr="00A90610">
        <w:rPr>
          <w:rFonts w:hAnsi="標楷體" w:hint="eastAsia"/>
        </w:rPr>
        <w:t>協助經濟之發展。</w:t>
      </w:r>
      <w:r w:rsidR="000E56BC" w:rsidRPr="00507BD2">
        <w:rPr>
          <w:rFonts w:hAnsi="標楷體" w:hint="eastAsia"/>
        </w:rPr>
        <w:t>央行</w:t>
      </w:r>
      <w:r w:rsidRPr="00507BD2">
        <w:rPr>
          <w:rFonts w:hAnsi="標楷體" w:hint="eastAsia"/>
        </w:rPr>
        <w:t>11</w:t>
      </w:r>
      <w:r w:rsidR="006054CF" w:rsidRPr="00507BD2">
        <w:rPr>
          <w:rFonts w:hAnsi="標楷體"/>
        </w:rPr>
        <w:t>4</w:t>
      </w:r>
      <w:r w:rsidRPr="00507BD2">
        <w:rPr>
          <w:rFonts w:hAnsi="標楷體" w:hint="eastAsia"/>
        </w:rPr>
        <w:t>年度</w:t>
      </w:r>
      <w:r w:rsidR="006A53C1" w:rsidRPr="00507BD2">
        <w:rPr>
          <w:rFonts w:hAnsi="標楷體" w:hint="eastAsia"/>
        </w:rPr>
        <w:t>預算案</w:t>
      </w:r>
      <w:r w:rsidRPr="00507BD2">
        <w:rPr>
          <w:rFonts w:hAnsi="標楷體" w:hint="eastAsia"/>
        </w:rPr>
        <w:t>「營業收入」編列</w:t>
      </w:r>
      <w:r w:rsidR="00BD467A" w:rsidRPr="00507BD2">
        <w:rPr>
          <w:rFonts w:hAnsi="標楷體"/>
        </w:rPr>
        <w:t>4,267</w:t>
      </w:r>
      <w:r w:rsidR="00BD467A" w:rsidRPr="00507BD2">
        <w:rPr>
          <w:rFonts w:hAnsi="標楷體" w:hint="eastAsia"/>
        </w:rPr>
        <w:t>億</w:t>
      </w:r>
      <w:r w:rsidR="00BD467A" w:rsidRPr="00507BD2">
        <w:rPr>
          <w:rFonts w:hAnsi="標楷體"/>
        </w:rPr>
        <w:t>8,139</w:t>
      </w:r>
      <w:r w:rsidR="00BD467A" w:rsidRPr="00507BD2">
        <w:rPr>
          <w:rFonts w:hAnsi="標楷體" w:hint="eastAsia"/>
        </w:rPr>
        <w:t>萬</w:t>
      </w:r>
      <w:r w:rsidR="00BD467A" w:rsidRPr="00507BD2">
        <w:rPr>
          <w:rFonts w:hAnsi="標楷體"/>
        </w:rPr>
        <w:t>9</w:t>
      </w:r>
      <w:r w:rsidRPr="00507BD2">
        <w:rPr>
          <w:rFonts w:hAnsi="標楷體" w:hint="eastAsia"/>
        </w:rPr>
        <w:t>千元，「營業成本」編列</w:t>
      </w:r>
      <w:r w:rsidR="00BD467A" w:rsidRPr="00507BD2">
        <w:rPr>
          <w:rFonts w:hAnsi="標楷體"/>
        </w:rPr>
        <w:t>2,484</w:t>
      </w:r>
      <w:r w:rsidR="00BD467A" w:rsidRPr="00507BD2">
        <w:rPr>
          <w:rFonts w:hAnsi="標楷體" w:hint="eastAsia"/>
        </w:rPr>
        <w:t>億</w:t>
      </w:r>
      <w:r w:rsidR="00BD467A" w:rsidRPr="00507BD2">
        <w:rPr>
          <w:rFonts w:hAnsi="標楷體"/>
        </w:rPr>
        <w:t>3,942</w:t>
      </w:r>
      <w:r w:rsidR="00BD467A" w:rsidRPr="00507BD2">
        <w:rPr>
          <w:rFonts w:hAnsi="標楷體" w:hint="eastAsia"/>
        </w:rPr>
        <w:t>萬</w:t>
      </w:r>
      <w:r w:rsidR="00BD467A" w:rsidRPr="00507BD2">
        <w:rPr>
          <w:rFonts w:hAnsi="標楷體"/>
        </w:rPr>
        <w:t>5</w:t>
      </w:r>
      <w:r w:rsidRPr="00507BD2">
        <w:rPr>
          <w:rFonts w:hAnsi="標楷體" w:hint="eastAsia"/>
        </w:rPr>
        <w:t>千元，「營業費用」編列</w:t>
      </w:r>
      <w:r w:rsidR="00BD467A" w:rsidRPr="00507BD2">
        <w:rPr>
          <w:rFonts w:hAnsi="標楷體"/>
        </w:rPr>
        <w:t>25</w:t>
      </w:r>
      <w:r w:rsidR="00BD467A" w:rsidRPr="00507BD2">
        <w:rPr>
          <w:rFonts w:hAnsi="標楷體" w:hint="eastAsia"/>
        </w:rPr>
        <w:t>億</w:t>
      </w:r>
      <w:r w:rsidR="00BD467A" w:rsidRPr="00507BD2">
        <w:rPr>
          <w:rFonts w:hAnsi="標楷體"/>
        </w:rPr>
        <w:t>960</w:t>
      </w:r>
      <w:r w:rsidR="00BD467A" w:rsidRPr="00507BD2">
        <w:rPr>
          <w:rFonts w:hAnsi="標楷體" w:hint="eastAsia"/>
        </w:rPr>
        <w:t>萬</w:t>
      </w:r>
      <w:r w:rsidR="00BD467A" w:rsidRPr="00507BD2">
        <w:rPr>
          <w:rFonts w:hAnsi="標楷體"/>
        </w:rPr>
        <w:t>5</w:t>
      </w:r>
      <w:r w:rsidRPr="00507BD2">
        <w:rPr>
          <w:rFonts w:hAnsi="標楷體" w:hint="eastAsia"/>
        </w:rPr>
        <w:t>千元，「營業利益」</w:t>
      </w:r>
      <w:r w:rsidR="000C6CB7" w:rsidRPr="00507BD2">
        <w:rPr>
          <w:rFonts w:hAnsi="標楷體" w:hint="eastAsia"/>
        </w:rPr>
        <w:t>編列</w:t>
      </w:r>
      <w:r w:rsidR="00BD467A" w:rsidRPr="00507BD2">
        <w:rPr>
          <w:rFonts w:hAnsi="標楷體"/>
        </w:rPr>
        <w:t>1,758</w:t>
      </w:r>
      <w:r w:rsidR="00BD467A" w:rsidRPr="00507BD2">
        <w:rPr>
          <w:rFonts w:hAnsi="標楷體" w:hint="eastAsia"/>
        </w:rPr>
        <w:t>億</w:t>
      </w:r>
      <w:r w:rsidR="00BD467A" w:rsidRPr="00507BD2">
        <w:rPr>
          <w:rFonts w:hAnsi="標楷體"/>
        </w:rPr>
        <w:t>3,236</w:t>
      </w:r>
      <w:r w:rsidR="00BD467A" w:rsidRPr="00507BD2">
        <w:rPr>
          <w:rFonts w:hAnsi="標楷體" w:hint="eastAsia"/>
        </w:rPr>
        <w:t>萬</w:t>
      </w:r>
      <w:r w:rsidR="00BD467A" w:rsidRPr="00507BD2">
        <w:rPr>
          <w:rFonts w:hAnsi="標楷體"/>
        </w:rPr>
        <w:t>9</w:t>
      </w:r>
      <w:r w:rsidR="000C6CB7" w:rsidRPr="00507BD2">
        <w:rPr>
          <w:rFonts w:hAnsi="標楷體" w:hint="eastAsia"/>
        </w:rPr>
        <w:t>千</w:t>
      </w:r>
      <w:r w:rsidRPr="00507BD2">
        <w:rPr>
          <w:rFonts w:hAnsi="標楷體" w:hint="eastAsia"/>
        </w:rPr>
        <w:t>元，</w:t>
      </w:r>
      <w:r w:rsidR="00A90610">
        <w:rPr>
          <w:rFonts w:hAnsi="標楷體" w:hint="eastAsia"/>
        </w:rPr>
        <w:t>營業利益加計</w:t>
      </w:r>
      <w:r w:rsidRPr="00507BD2">
        <w:rPr>
          <w:rFonts w:hAnsi="標楷體" w:hint="eastAsia"/>
        </w:rPr>
        <w:t>「營業外收入」</w:t>
      </w:r>
      <w:r w:rsidR="00BD467A" w:rsidRPr="00507BD2">
        <w:rPr>
          <w:rFonts w:hAnsi="標楷體"/>
        </w:rPr>
        <w:t>2</w:t>
      </w:r>
      <w:r w:rsidR="00BD467A" w:rsidRPr="00507BD2">
        <w:rPr>
          <w:rFonts w:hAnsi="標楷體" w:hint="eastAsia"/>
        </w:rPr>
        <w:t>億</w:t>
      </w:r>
      <w:r w:rsidR="00BD467A" w:rsidRPr="00507BD2">
        <w:rPr>
          <w:rFonts w:hAnsi="標楷體"/>
        </w:rPr>
        <w:t>2,763</w:t>
      </w:r>
      <w:r w:rsidR="00BD467A" w:rsidRPr="00507BD2">
        <w:rPr>
          <w:rFonts w:hAnsi="標楷體" w:hint="eastAsia"/>
        </w:rPr>
        <w:t>萬</w:t>
      </w:r>
      <w:r w:rsidR="00BD467A" w:rsidRPr="00507BD2">
        <w:rPr>
          <w:rFonts w:hAnsi="標楷體"/>
        </w:rPr>
        <w:t>3</w:t>
      </w:r>
      <w:r w:rsidRPr="00507BD2">
        <w:rPr>
          <w:rFonts w:hAnsi="標楷體" w:hint="eastAsia"/>
        </w:rPr>
        <w:t>千元，扣除「營業外費用」</w:t>
      </w:r>
      <w:r w:rsidR="005E6189" w:rsidRPr="00507BD2">
        <w:rPr>
          <w:rFonts w:hAnsi="標楷體"/>
        </w:rPr>
        <w:t>7</w:t>
      </w:r>
      <w:r w:rsidR="005E6189" w:rsidRPr="00507BD2">
        <w:rPr>
          <w:rFonts w:hAnsi="標楷體" w:hint="eastAsia"/>
        </w:rPr>
        <w:t>億</w:t>
      </w:r>
      <w:r w:rsidR="005E6189" w:rsidRPr="00507BD2">
        <w:rPr>
          <w:rFonts w:hAnsi="標楷體"/>
        </w:rPr>
        <w:t>4,000</w:t>
      </w:r>
      <w:r w:rsidR="005E6189" w:rsidRPr="00507BD2">
        <w:rPr>
          <w:rFonts w:hAnsi="標楷體" w:hint="eastAsia"/>
        </w:rPr>
        <w:t>萬</w:t>
      </w:r>
      <w:r w:rsidRPr="00507BD2">
        <w:rPr>
          <w:rFonts w:hAnsi="標楷體" w:hint="eastAsia"/>
        </w:rPr>
        <w:t>元後，</w:t>
      </w:r>
      <w:r w:rsidR="009D0693" w:rsidRPr="00507BD2">
        <w:rPr>
          <w:rFonts w:hAnsi="標楷體" w:hint="eastAsia"/>
        </w:rPr>
        <w:t>預計</w:t>
      </w:r>
      <w:r w:rsidRPr="00507BD2">
        <w:rPr>
          <w:rFonts w:hAnsi="標楷體" w:hint="eastAsia"/>
        </w:rPr>
        <w:t>本期淨利為</w:t>
      </w:r>
      <w:r w:rsidR="005E6189" w:rsidRPr="00507BD2">
        <w:rPr>
          <w:rFonts w:hAnsi="標楷體"/>
        </w:rPr>
        <w:t>1,753</w:t>
      </w:r>
      <w:r w:rsidR="005E6189" w:rsidRPr="00507BD2">
        <w:rPr>
          <w:rFonts w:hAnsi="標楷體" w:hint="eastAsia"/>
        </w:rPr>
        <w:t>億</w:t>
      </w:r>
      <w:r w:rsidR="005E6189" w:rsidRPr="00507BD2">
        <w:rPr>
          <w:rFonts w:hAnsi="標楷體"/>
        </w:rPr>
        <w:t>2,000</w:t>
      </w:r>
      <w:r w:rsidR="005E6189" w:rsidRPr="00507BD2">
        <w:rPr>
          <w:rFonts w:hAnsi="標楷體" w:hint="eastAsia"/>
        </w:rPr>
        <w:t>萬</w:t>
      </w:r>
      <w:r w:rsidR="005E6189" w:rsidRPr="00507BD2">
        <w:rPr>
          <w:rFonts w:hAnsi="標楷體"/>
        </w:rPr>
        <w:t>2</w:t>
      </w:r>
      <w:r w:rsidRPr="00507BD2">
        <w:rPr>
          <w:rFonts w:hAnsi="標楷體" w:hint="eastAsia"/>
        </w:rPr>
        <w:t>千元，較11</w:t>
      </w:r>
      <w:r w:rsidR="000C6CB7" w:rsidRPr="00507BD2">
        <w:rPr>
          <w:rFonts w:hAnsi="標楷體"/>
        </w:rPr>
        <w:t>3</w:t>
      </w:r>
      <w:r w:rsidRPr="00507BD2">
        <w:rPr>
          <w:rFonts w:hAnsi="標楷體" w:hint="eastAsia"/>
        </w:rPr>
        <w:t>年度預算</w:t>
      </w:r>
      <w:r w:rsidR="000C6CB7" w:rsidRPr="00507BD2">
        <w:rPr>
          <w:rFonts w:hAnsi="標楷體" w:hint="eastAsia"/>
        </w:rPr>
        <w:t>案數</w:t>
      </w:r>
      <w:r w:rsidR="005E6189" w:rsidRPr="00507BD2">
        <w:rPr>
          <w:rFonts w:hAnsi="標楷體"/>
        </w:rPr>
        <w:t>1,753</w:t>
      </w:r>
      <w:r w:rsidR="005E6189" w:rsidRPr="00507BD2">
        <w:rPr>
          <w:rFonts w:hAnsi="標楷體" w:hint="eastAsia"/>
        </w:rPr>
        <w:t>億</w:t>
      </w:r>
      <w:r w:rsidR="005E6189" w:rsidRPr="00507BD2">
        <w:rPr>
          <w:rFonts w:hAnsi="標楷體"/>
        </w:rPr>
        <w:t>546</w:t>
      </w:r>
      <w:r w:rsidR="005E6189" w:rsidRPr="00507BD2">
        <w:rPr>
          <w:rFonts w:hAnsi="標楷體" w:hint="eastAsia"/>
        </w:rPr>
        <w:t>萬</w:t>
      </w:r>
      <w:r w:rsidR="005E6189" w:rsidRPr="00507BD2">
        <w:rPr>
          <w:rFonts w:hAnsi="標楷體"/>
        </w:rPr>
        <w:t>2</w:t>
      </w:r>
      <w:r w:rsidRPr="00507BD2">
        <w:rPr>
          <w:rFonts w:hAnsi="標楷體" w:hint="eastAsia"/>
        </w:rPr>
        <w:t>千元增加</w:t>
      </w:r>
      <w:r w:rsidR="005E6189" w:rsidRPr="00507BD2">
        <w:rPr>
          <w:rFonts w:hAnsi="標楷體"/>
        </w:rPr>
        <w:t>1,454</w:t>
      </w:r>
      <w:r w:rsidR="00D57402" w:rsidRPr="00507BD2">
        <w:rPr>
          <w:rFonts w:hAnsi="標楷體" w:hint="eastAsia"/>
        </w:rPr>
        <w:t>萬</w:t>
      </w:r>
      <w:r w:rsidRPr="00507BD2">
        <w:rPr>
          <w:rFonts w:hAnsi="標楷體" w:hint="eastAsia"/>
        </w:rPr>
        <w:t>元</w:t>
      </w:r>
      <w:r w:rsidR="00EB438C" w:rsidRPr="00507BD2">
        <w:rPr>
          <w:rFonts w:hAnsi="標楷體" w:hint="eastAsia"/>
        </w:rPr>
        <w:t>(</w:t>
      </w:r>
      <w:r w:rsidR="009D0693" w:rsidRPr="00507BD2">
        <w:rPr>
          <w:rFonts w:hAnsi="標楷體" w:hint="eastAsia"/>
        </w:rPr>
        <w:t>增幅</w:t>
      </w:r>
      <w:r w:rsidR="00D57402" w:rsidRPr="00507BD2">
        <w:rPr>
          <w:rFonts w:hAnsi="標楷體" w:hint="eastAsia"/>
        </w:rPr>
        <w:t>0.01</w:t>
      </w:r>
      <w:r w:rsidR="009D0693" w:rsidRPr="00507BD2">
        <w:rPr>
          <w:rFonts w:hAnsi="標楷體" w:hint="eastAsia"/>
        </w:rPr>
        <w:t>%</w:t>
      </w:r>
      <w:r w:rsidR="00EB438C" w:rsidRPr="00507BD2">
        <w:rPr>
          <w:rFonts w:hAnsi="標楷體" w:hint="eastAsia"/>
        </w:rPr>
        <w:t>）</w:t>
      </w:r>
      <w:r w:rsidRPr="00507BD2">
        <w:rPr>
          <w:rFonts w:hAnsi="標楷體" w:hint="eastAsia"/>
        </w:rPr>
        <w:t>。茲就</w:t>
      </w:r>
      <w:r w:rsidR="006054CF" w:rsidRPr="00507BD2">
        <w:rPr>
          <w:rFonts w:hAnsi="標楷體" w:hint="eastAsia"/>
        </w:rPr>
        <w:t>該</w:t>
      </w:r>
      <w:r w:rsidRPr="00507BD2">
        <w:rPr>
          <w:rFonts w:hAnsi="標楷體" w:hint="eastAsia"/>
        </w:rPr>
        <w:t>行11</w:t>
      </w:r>
      <w:r w:rsidR="006054CF" w:rsidRPr="00507BD2">
        <w:rPr>
          <w:rFonts w:hAnsi="標楷體"/>
        </w:rPr>
        <w:t>4</w:t>
      </w:r>
      <w:r w:rsidR="006A53C1" w:rsidRPr="00507BD2">
        <w:rPr>
          <w:rFonts w:hAnsi="標楷體" w:hint="eastAsia"/>
        </w:rPr>
        <w:t>年</w:t>
      </w:r>
      <w:r w:rsidRPr="00507BD2">
        <w:rPr>
          <w:rFonts w:hAnsi="標楷體" w:hint="eastAsia"/>
        </w:rPr>
        <w:t>度營業預算案</w:t>
      </w:r>
      <w:r w:rsidR="006054CF" w:rsidRPr="00507BD2">
        <w:rPr>
          <w:rFonts w:hAnsi="標楷體" w:hint="eastAsia"/>
        </w:rPr>
        <w:t>評析</w:t>
      </w:r>
      <w:r w:rsidRPr="00507BD2">
        <w:rPr>
          <w:rFonts w:hAnsi="標楷體" w:hint="eastAsia"/>
        </w:rPr>
        <w:t>如下：</w:t>
      </w:r>
    </w:p>
    <w:p w:rsidR="00494324" w:rsidRPr="00507BD2" w:rsidRDefault="00494324" w:rsidP="00494324">
      <w:pPr>
        <w:pStyle w:val="144"/>
        <w:ind w:left="567" w:hanging="567"/>
        <w:rPr>
          <w:rFonts w:hAnsi="標楷體"/>
        </w:rPr>
      </w:pPr>
      <w:bookmarkStart w:id="1" w:name="_Toc181965724"/>
      <w:r w:rsidRPr="00507BD2">
        <w:rPr>
          <w:rFonts w:hAnsi="標楷體" w:hint="eastAsia"/>
        </w:rPr>
        <w:t>壹、業務計畫方面</w:t>
      </w:r>
      <w:bookmarkEnd w:id="1"/>
    </w:p>
    <w:p w:rsidR="00C75457" w:rsidRPr="00507BD2" w:rsidRDefault="00C75457" w:rsidP="00CE444F">
      <w:pPr>
        <w:pStyle w:val="14"/>
        <w:ind w:left="567" w:hanging="567"/>
        <w:rPr>
          <w:rFonts w:hAnsi="標楷體" w:hint="eastAsia"/>
        </w:rPr>
      </w:pPr>
      <w:bookmarkStart w:id="2" w:name="_Toc229476289"/>
      <w:bookmarkStart w:id="3" w:name="_Toc276390718"/>
      <w:bookmarkStart w:id="4" w:name="_Toc303763647"/>
      <w:bookmarkStart w:id="5" w:name="_Toc514147231"/>
      <w:bookmarkStart w:id="6" w:name="_Toc81923765"/>
      <w:bookmarkStart w:id="7" w:name="_Toc81923766"/>
      <w:bookmarkStart w:id="8" w:name="_Toc181965725"/>
      <w:r w:rsidRPr="00507BD2">
        <w:rPr>
          <w:rFonts w:hAnsi="標楷體" w:hint="eastAsia"/>
        </w:rPr>
        <w:t>一、</w:t>
      </w:r>
      <w:r w:rsidR="002334C6" w:rsidRPr="00507BD2">
        <w:rPr>
          <w:rFonts w:hAnsi="標楷體" w:hint="eastAsia"/>
        </w:rPr>
        <w:t>不動產貸款集中度問題猶存，113年度</w:t>
      </w:r>
      <w:r w:rsidR="00A90610">
        <w:rPr>
          <w:rFonts w:hAnsi="標楷體" w:hint="eastAsia"/>
        </w:rPr>
        <w:t>至8月底</w:t>
      </w:r>
      <w:r w:rsidR="002334C6" w:rsidRPr="00507BD2">
        <w:rPr>
          <w:rFonts w:hAnsi="標楷體" w:hint="eastAsia"/>
        </w:rPr>
        <w:t>購置住宅貸款餘額急速增加，</w:t>
      </w:r>
      <w:r w:rsidR="00EA5898" w:rsidRPr="00507BD2">
        <w:rPr>
          <w:rFonts w:hAnsi="標楷體" w:hint="eastAsia"/>
        </w:rPr>
        <w:t>多數銀行</w:t>
      </w:r>
      <w:r w:rsidR="00A90610">
        <w:rPr>
          <w:rFonts w:hAnsi="標楷體" w:hint="eastAsia"/>
        </w:rPr>
        <w:t>建築放款</w:t>
      </w:r>
      <w:r w:rsidR="00EA5898" w:rsidRPr="00507BD2">
        <w:rPr>
          <w:rFonts w:hAnsi="標楷體" w:hint="eastAsia"/>
        </w:rPr>
        <w:t>趨近法定</w:t>
      </w:r>
      <w:r w:rsidR="00854BFD">
        <w:rPr>
          <w:rFonts w:hAnsi="標楷體" w:hint="eastAsia"/>
        </w:rPr>
        <w:t>及內部警戒</w:t>
      </w:r>
      <w:r w:rsidR="00EA5898" w:rsidRPr="00507BD2">
        <w:rPr>
          <w:rFonts w:hAnsi="標楷體" w:hint="eastAsia"/>
        </w:rPr>
        <w:t>上限，</w:t>
      </w:r>
      <w:r w:rsidR="00C27307" w:rsidRPr="00507BD2">
        <w:rPr>
          <w:rFonts w:hAnsi="標楷體" w:hint="eastAsia"/>
        </w:rPr>
        <w:t>允宜</w:t>
      </w:r>
      <w:r w:rsidR="0080469D">
        <w:rPr>
          <w:rFonts w:hAnsi="標楷體" w:hint="eastAsia"/>
        </w:rPr>
        <w:t>滾動</w:t>
      </w:r>
      <w:r w:rsidR="00A2645A" w:rsidRPr="00507BD2">
        <w:rPr>
          <w:rFonts w:hAnsi="標楷體" w:hint="eastAsia"/>
        </w:rPr>
        <w:t>檢討選擇性信用管制措施</w:t>
      </w:r>
      <w:r w:rsidR="008405FD" w:rsidRPr="00507BD2">
        <w:rPr>
          <w:rFonts w:hAnsi="標楷體" w:hint="eastAsia"/>
        </w:rPr>
        <w:t>，俾</w:t>
      </w:r>
      <w:r w:rsidR="00BE29CB" w:rsidRPr="00507BD2">
        <w:rPr>
          <w:rFonts w:hAnsi="標楷體" w:hint="eastAsia"/>
        </w:rPr>
        <w:t>維</w:t>
      </w:r>
      <w:r w:rsidR="00854BFD">
        <w:rPr>
          <w:rFonts w:hAnsi="標楷體" w:hint="eastAsia"/>
        </w:rPr>
        <w:t>持</w:t>
      </w:r>
      <w:r w:rsidR="00BE29CB" w:rsidRPr="00507BD2">
        <w:rPr>
          <w:rFonts w:hAnsi="標楷體" w:hint="eastAsia"/>
        </w:rPr>
        <w:t>金融</w:t>
      </w:r>
      <w:r w:rsidR="00EB61E1">
        <w:rPr>
          <w:rFonts w:hAnsi="標楷體" w:hint="eastAsia"/>
        </w:rPr>
        <w:t>穩定</w:t>
      </w:r>
      <w:r w:rsidR="00BE29CB" w:rsidRPr="00507BD2">
        <w:rPr>
          <w:rFonts w:hAnsi="標楷體" w:hint="eastAsia"/>
        </w:rPr>
        <w:t>並兼顧</w:t>
      </w:r>
      <w:r w:rsidR="008E11C1" w:rsidRPr="00507BD2">
        <w:rPr>
          <w:rFonts w:hAnsi="標楷體" w:hint="eastAsia"/>
        </w:rPr>
        <w:t>民眾需求</w:t>
      </w:r>
      <w:bookmarkEnd w:id="8"/>
    </w:p>
    <w:p w:rsidR="00C75457" w:rsidRPr="00507BD2" w:rsidRDefault="00444C73" w:rsidP="00CE444F">
      <w:pPr>
        <w:ind w:left="566" w:firstLine="566"/>
        <w:rPr>
          <w:rFonts w:hAnsi="標楷體" w:hint="eastAsia"/>
        </w:rPr>
      </w:pPr>
      <w:r w:rsidRPr="00507BD2">
        <w:rPr>
          <w:rFonts w:hAnsi="標楷體" w:hint="eastAsia"/>
        </w:rPr>
        <w:t>央行114年度預算案</w:t>
      </w:r>
      <w:r w:rsidR="000E29C6" w:rsidRPr="00507BD2">
        <w:rPr>
          <w:rFonts w:hAnsi="標楷體" w:hint="eastAsia"/>
        </w:rPr>
        <w:t>於</w:t>
      </w:r>
      <w:r w:rsidRPr="00507BD2">
        <w:rPr>
          <w:rFonts w:hAnsi="標楷體" w:hint="eastAsia"/>
        </w:rPr>
        <w:t>「貳、經營政策」</w:t>
      </w:r>
      <w:r w:rsidR="00696714">
        <w:rPr>
          <w:rFonts w:hAnsi="標楷體" w:hint="eastAsia"/>
        </w:rPr>
        <w:t>-「一、調節金融」</w:t>
      </w:r>
      <w:r w:rsidRPr="00507BD2">
        <w:rPr>
          <w:rFonts w:hAnsi="標楷體" w:hint="eastAsia"/>
        </w:rPr>
        <w:t>列有「持續執行選擇性信用管制措施，督促金融機構控管不動產授信風險；配合行政院『健全房地產市場方案』，協助促進房地產市場健全發展。」</w:t>
      </w:r>
      <w:r w:rsidR="00B55562" w:rsidRPr="00507BD2">
        <w:rPr>
          <w:rFonts w:hAnsi="標楷體" w:hint="eastAsia"/>
        </w:rPr>
        <w:t>近年度不</w:t>
      </w:r>
      <w:r w:rsidR="00022CAB" w:rsidRPr="00507BD2">
        <w:rPr>
          <w:rFonts w:hAnsi="標楷體" w:hint="eastAsia"/>
        </w:rPr>
        <w:t>動產貸款餘額明顯上升</w:t>
      </w:r>
      <w:r w:rsidR="00B55562" w:rsidRPr="00507BD2">
        <w:rPr>
          <w:rFonts w:hAnsi="標楷體" w:hint="eastAsia"/>
        </w:rPr>
        <w:t>，</w:t>
      </w:r>
      <w:r w:rsidR="00C75457" w:rsidRPr="00507BD2">
        <w:rPr>
          <w:rFonts w:hAnsi="標楷體" w:hint="eastAsia"/>
        </w:rPr>
        <w:t>央行</w:t>
      </w:r>
      <w:r w:rsidR="00B55562" w:rsidRPr="00507BD2">
        <w:rPr>
          <w:rFonts w:hAnsi="標楷體" w:hint="eastAsia"/>
        </w:rPr>
        <w:t>實施</w:t>
      </w:r>
      <w:r w:rsidR="00C75457" w:rsidRPr="00507BD2">
        <w:rPr>
          <w:rFonts w:hAnsi="標楷體" w:hint="eastAsia"/>
        </w:rPr>
        <w:t>選擇性</w:t>
      </w:r>
      <w:r w:rsidR="0033609C" w:rsidRPr="00507BD2">
        <w:rPr>
          <w:rFonts w:hAnsi="標楷體" w:hint="eastAsia"/>
        </w:rPr>
        <w:t>信用</w:t>
      </w:r>
      <w:r w:rsidR="00C75457" w:rsidRPr="00507BD2">
        <w:rPr>
          <w:rFonts w:hAnsi="標楷體" w:hint="eastAsia"/>
        </w:rPr>
        <w:t>管制措施後</w:t>
      </w:r>
      <w:r w:rsidR="00022CAB" w:rsidRPr="00507BD2">
        <w:rPr>
          <w:rFonts w:hAnsi="標楷體" w:hint="eastAsia"/>
        </w:rPr>
        <w:t>集中度</w:t>
      </w:r>
      <w:r w:rsidR="00B55562" w:rsidRPr="00507BD2">
        <w:rPr>
          <w:rFonts w:hAnsi="標楷體" w:hint="eastAsia"/>
        </w:rPr>
        <w:t>仍居高不下</w:t>
      </w:r>
      <w:r w:rsidR="00961DD6" w:rsidRPr="00507BD2">
        <w:rPr>
          <w:rFonts w:hAnsi="標楷體" w:hint="eastAsia"/>
        </w:rPr>
        <w:t>，</w:t>
      </w:r>
      <w:r w:rsidR="006E0056" w:rsidRPr="00507BD2">
        <w:rPr>
          <w:rFonts w:hAnsi="標楷體" w:hint="eastAsia"/>
        </w:rPr>
        <w:t>多數</w:t>
      </w:r>
      <w:r w:rsidR="00B55562" w:rsidRPr="00507BD2">
        <w:rPr>
          <w:rFonts w:hAnsi="標楷體" w:hint="eastAsia"/>
        </w:rPr>
        <w:t>銀行</w:t>
      </w:r>
      <w:r w:rsidRPr="00507BD2">
        <w:rPr>
          <w:rFonts w:hAnsi="標楷體" w:hint="eastAsia"/>
        </w:rPr>
        <w:t>甚至</w:t>
      </w:r>
      <w:r w:rsidR="006060C5">
        <w:rPr>
          <w:rFonts w:hAnsi="標楷體" w:hint="eastAsia"/>
        </w:rPr>
        <w:t>趨</w:t>
      </w:r>
      <w:r w:rsidR="00B55562" w:rsidRPr="00507BD2">
        <w:rPr>
          <w:rFonts w:hAnsi="標楷體" w:hint="eastAsia"/>
        </w:rPr>
        <w:t>近銀行法第72條之2</w:t>
      </w:r>
      <w:r w:rsidR="006E0056" w:rsidRPr="00507BD2">
        <w:rPr>
          <w:rFonts w:hAnsi="標楷體" w:hint="eastAsia"/>
        </w:rPr>
        <w:t>及內部警戒</w:t>
      </w:r>
      <w:r w:rsidR="00B55562" w:rsidRPr="00507BD2">
        <w:rPr>
          <w:rFonts w:hAnsi="標楷體" w:hint="eastAsia"/>
        </w:rPr>
        <w:t>上限</w:t>
      </w:r>
      <w:r w:rsidRPr="00507BD2">
        <w:rPr>
          <w:rFonts w:hAnsi="標楷體" w:hint="eastAsia"/>
        </w:rPr>
        <w:t>，容有審慎管控必要</w:t>
      </w:r>
      <w:r w:rsidR="00C75457" w:rsidRPr="00507BD2">
        <w:rPr>
          <w:rFonts w:hAnsi="標楷體" w:hint="eastAsia"/>
        </w:rPr>
        <w:t>。</w:t>
      </w:r>
      <w:r w:rsidR="00454129" w:rsidRPr="00507BD2">
        <w:rPr>
          <w:rFonts w:hAnsi="標楷體" w:hint="eastAsia"/>
        </w:rPr>
        <w:t>謹</w:t>
      </w:r>
      <w:r w:rsidR="00C75457" w:rsidRPr="00507BD2">
        <w:rPr>
          <w:rFonts w:hAnsi="標楷體" w:hint="eastAsia"/>
        </w:rPr>
        <w:t>說明如下：</w:t>
      </w:r>
    </w:p>
    <w:p w:rsidR="00C75457" w:rsidRPr="00507BD2" w:rsidRDefault="00C75457" w:rsidP="00C75457">
      <w:pPr>
        <w:pStyle w:val="a4"/>
        <w:rPr>
          <w:rFonts w:hint="eastAsia"/>
          <w:b/>
        </w:rPr>
      </w:pPr>
      <w:r w:rsidRPr="00507BD2">
        <w:rPr>
          <w:rFonts w:hint="eastAsia"/>
          <w:b/>
        </w:rPr>
        <w:t>(一)</w:t>
      </w:r>
      <w:r w:rsidR="00022CAB" w:rsidRPr="00507BD2">
        <w:rPr>
          <w:rFonts w:hint="eastAsia"/>
          <w:b/>
        </w:rPr>
        <w:t>為</w:t>
      </w:r>
      <w:r w:rsidR="00AD5171" w:rsidRPr="00507BD2">
        <w:rPr>
          <w:rFonts w:hint="eastAsia"/>
          <w:b/>
        </w:rPr>
        <w:t>健全房市並使房價合理化</w:t>
      </w:r>
      <w:r w:rsidR="00C640A8" w:rsidRPr="00507BD2">
        <w:rPr>
          <w:rFonts w:hint="eastAsia"/>
          <w:b/>
        </w:rPr>
        <w:t>，</w:t>
      </w:r>
      <w:r w:rsidRPr="00507BD2">
        <w:rPr>
          <w:rFonts w:hint="eastAsia"/>
          <w:b/>
        </w:rPr>
        <w:t>央行</w:t>
      </w:r>
      <w:r w:rsidR="00503849" w:rsidRPr="00507BD2">
        <w:rPr>
          <w:rFonts w:hint="eastAsia"/>
          <w:b/>
        </w:rPr>
        <w:t>實施選擇性信用管制措施</w:t>
      </w:r>
      <w:r w:rsidR="00A4421F" w:rsidRPr="00507BD2">
        <w:rPr>
          <w:rFonts w:hint="eastAsia"/>
          <w:b/>
        </w:rPr>
        <w:t>，期引導信用資源有效配置及合理運用</w:t>
      </w:r>
    </w:p>
    <w:p w:rsidR="00781FC9" w:rsidRDefault="00C17B1F" w:rsidP="00EE4C60">
      <w:pPr>
        <w:pStyle w:val="21"/>
        <w:ind w:left="850" w:firstLine="566"/>
        <w:rPr>
          <w:rFonts w:hAnsi="標楷體"/>
        </w:rPr>
      </w:pPr>
      <w:r w:rsidRPr="00507BD2">
        <w:rPr>
          <w:rFonts w:hAnsi="標楷體" w:hint="eastAsia"/>
        </w:rPr>
        <w:t>因美中貿易戰供應鏈重組促使臺商資金回流及半導體投資帶動經濟發展，</w:t>
      </w:r>
      <w:r w:rsidR="00854BFD">
        <w:rPr>
          <w:rFonts w:hAnsi="標楷體" w:hint="eastAsia"/>
        </w:rPr>
        <w:t>加</w:t>
      </w:r>
      <w:r w:rsidRPr="00507BD2">
        <w:rPr>
          <w:rFonts w:hAnsi="標楷體" w:hint="eastAsia"/>
        </w:rPr>
        <w:t>以我國</w:t>
      </w:r>
      <w:r w:rsidR="00CD5989">
        <w:rPr>
          <w:rFonts w:hAnsi="標楷體" w:hint="eastAsia"/>
        </w:rPr>
        <w:t>利率</w:t>
      </w:r>
      <w:r w:rsidR="00A90610">
        <w:rPr>
          <w:rFonts w:hAnsi="標楷體" w:hint="eastAsia"/>
        </w:rPr>
        <w:t>相對</w:t>
      </w:r>
      <w:r w:rsidR="00CD5989">
        <w:rPr>
          <w:rFonts w:hAnsi="標楷體" w:hint="eastAsia"/>
        </w:rPr>
        <w:t>不高</w:t>
      </w:r>
      <w:r w:rsidRPr="00507BD2">
        <w:rPr>
          <w:rFonts w:hAnsi="標楷體" w:hint="eastAsia"/>
        </w:rPr>
        <w:t>，「青年安心成家購屋優惠貸款」</w:t>
      </w:r>
      <w:r w:rsidR="00022CAB" w:rsidRPr="00507BD2">
        <w:rPr>
          <w:rFonts w:hAnsi="標楷體" w:hint="eastAsia"/>
        </w:rPr>
        <w:t>(新青安貸款)</w:t>
      </w:r>
      <w:r w:rsidRPr="00507BD2">
        <w:rPr>
          <w:rFonts w:hAnsi="標楷體" w:hint="eastAsia"/>
        </w:rPr>
        <w:t>降低購屋門檻，致房價價格急劇上漲</w:t>
      </w:r>
      <w:r w:rsidR="00800409">
        <w:rPr>
          <w:rFonts w:hAnsi="標楷體" w:hint="eastAsia"/>
        </w:rPr>
        <w:t>(詳圖1)</w:t>
      </w:r>
      <w:r w:rsidRPr="00507BD2">
        <w:rPr>
          <w:rFonts w:hAnsi="標楷體" w:hint="eastAsia"/>
        </w:rPr>
        <w:t>，形成預期心理，衍生房貸增加</w:t>
      </w:r>
      <w:r w:rsidR="00A90610">
        <w:rPr>
          <w:rFonts w:hAnsi="標楷體" w:hint="eastAsia"/>
        </w:rPr>
        <w:t>，</w:t>
      </w:r>
      <w:r w:rsidRPr="00507BD2">
        <w:rPr>
          <w:rFonts w:hAnsi="標楷體" w:hint="eastAsia"/>
        </w:rPr>
        <w:t>政府亦加大補貼之</w:t>
      </w:r>
      <w:r w:rsidR="00A90610">
        <w:rPr>
          <w:rFonts w:hAnsi="標楷體" w:hint="eastAsia"/>
        </w:rPr>
        <w:t>現象</w:t>
      </w:r>
      <w:r w:rsidRPr="00507BD2">
        <w:rPr>
          <w:rFonts w:hAnsi="標楷體" w:hint="eastAsia"/>
        </w:rPr>
        <w:t>。</w:t>
      </w:r>
      <w:r w:rsidR="00781FC9" w:rsidRPr="00507BD2">
        <w:rPr>
          <w:rFonts w:hAnsi="標楷體" w:hint="eastAsia"/>
        </w:rPr>
        <w:lastRenderedPageBreak/>
        <w:t>為遏止炒作或不合理價量猖獗，</w:t>
      </w:r>
      <w:r w:rsidR="00AD5171" w:rsidRPr="00507BD2">
        <w:rPr>
          <w:rFonts w:hAnsi="標楷體" w:hint="eastAsia"/>
        </w:rPr>
        <w:t>健全房市並使房價合理化，</w:t>
      </w:r>
      <w:r w:rsidR="00EE4C60" w:rsidRPr="00507BD2">
        <w:rPr>
          <w:rFonts w:hAnsi="標楷體" w:hint="eastAsia"/>
        </w:rPr>
        <w:t>行政院於109年12月3日推出「健全房地產市場方案」，相關部會陸續祭出多項因應措施，</w:t>
      </w:r>
      <w:r w:rsidR="00956CBA" w:rsidRPr="00507BD2">
        <w:rPr>
          <w:rFonts w:hAnsi="標楷體" w:hint="eastAsia"/>
        </w:rPr>
        <w:t>央行就</w:t>
      </w:r>
      <w:r w:rsidR="00A4421F" w:rsidRPr="00507BD2">
        <w:rPr>
          <w:rFonts w:hAnsi="標楷體" w:hint="eastAsia"/>
        </w:rPr>
        <w:t>職掌</w:t>
      </w:r>
      <w:r w:rsidR="00956CBA" w:rsidRPr="00507BD2">
        <w:rPr>
          <w:rFonts w:hAnsi="標楷體" w:hint="eastAsia"/>
        </w:rPr>
        <w:t>業務</w:t>
      </w:r>
      <w:r w:rsidR="00A53844">
        <w:rPr>
          <w:rFonts w:hAnsi="標楷體" w:hint="eastAsia"/>
        </w:rPr>
        <w:t>陸續</w:t>
      </w:r>
      <w:r w:rsidR="00761751" w:rsidRPr="00507BD2">
        <w:rPr>
          <w:rFonts w:hAnsi="標楷體" w:hint="eastAsia"/>
        </w:rPr>
        <w:t>實施選擇性信用管制措施，</w:t>
      </w:r>
      <w:r w:rsidR="00BF0F46" w:rsidRPr="00507BD2">
        <w:rPr>
          <w:rFonts w:hAnsi="標楷體" w:hint="eastAsia"/>
        </w:rPr>
        <w:t>修訂</w:t>
      </w:r>
      <w:r w:rsidR="00956CBA" w:rsidRPr="00507BD2">
        <w:rPr>
          <w:rFonts w:hAnsi="標楷體" w:hint="eastAsia"/>
        </w:rPr>
        <w:t>「</w:t>
      </w:r>
      <w:r w:rsidR="00EE4C60" w:rsidRPr="00507BD2">
        <w:rPr>
          <w:rFonts w:hAnsi="標楷體" w:hint="eastAsia"/>
        </w:rPr>
        <w:t>中央銀行對金融機構辦理不動產抵押貸款業務規定</w:t>
      </w:r>
      <w:r w:rsidR="00956CBA" w:rsidRPr="00507BD2">
        <w:rPr>
          <w:rFonts w:hAnsi="標楷體" w:hint="eastAsia"/>
        </w:rPr>
        <w:t>」</w:t>
      </w:r>
      <w:r w:rsidR="00EE4C60" w:rsidRPr="00507BD2">
        <w:rPr>
          <w:rFonts w:hAnsi="標楷體" w:hint="eastAsia"/>
        </w:rPr>
        <w:t>，期</w:t>
      </w:r>
      <w:r w:rsidR="00B55562" w:rsidRPr="00507BD2">
        <w:rPr>
          <w:rFonts w:hAnsi="標楷體" w:hint="eastAsia"/>
        </w:rPr>
        <w:t>引導信用資源有效配置及合理運用，並控管銀行授信風險。</w:t>
      </w:r>
    </w:p>
    <w:p w:rsidR="00667DBD" w:rsidRDefault="00923052" w:rsidP="007E7FCC">
      <w:pPr>
        <w:pStyle w:val="21"/>
        <w:ind w:leftChars="0" w:left="0" w:firstLineChars="0" w:firstLine="0"/>
        <w:rPr>
          <w:rFonts w:hAnsi="標楷體" w:hint="eastAsia"/>
        </w:rPr>
      </w:pPr>
      <w:r>
        <w:rPr>
          <w:noProof/>
        </w:rPr>
        <w:drawing>
          <wp:anchor distT="0" distB="0" distL="114300" distR="114300" simplePos="0" relativeHeight="251657728" behindDoc="0" locked="0" layoutInCell="1" allowOverlap="1">
            <wp:simplePos x="0" y="0"/>
            <wp:positionH relativeFrom="column">
              <wp:posOffset>-514985</wp:posOffset>
            </wp:positionH>
            <wp:positionV relativeFrom="paragraph">
              <wp:posOffset>329565</wp:posOffset>
            </wp:positionV>
            <wp:extent cx="6559550" cy="2555875"/>
            <wp:effectExtent l="0" t="0" r="0" b="0"/>
            <wp:wrapSquare wrapText="bothSides"/>
            <wp:docPr id="7" name="圖片 7" descr="房地產指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房地產指數"/>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559550" cy="25558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67DBD">
        <w:rPr>
          <w:rFonts w:hint="eastAsia"/>
          <w:b/>
        </w:rPr>
        <w:t>圖1</w:t>
      </w:r>
      <w:r w:rsidR="00667DBD" w:rsidRPr="00507BD2">
        <w:rPr>
          <w:rFonts w:hAnsi="標楷體" w:hint="eastAsia"/>
          <w:b/>
        </w:rPr>
        <w:t xml:space="preserve"> 10</w:t>
      </w:r>
      <w:r w:rsidR="00667DBD">
        <w:rPr>
          <w:b/>
        </w:rPr>
        <w:t>7</w:t>
      </w:r>
      <w:r w:rsidR="00667DBD" w:rsidRPr="00507BD2">
        <w:rPr>
          <w:rFonts w:hAnsi="標楷體" w:hint="eastAsia"/>
          <w:b/>
        </w:rPr>
        <w:t>至11</w:t>
      </w:r>
      <w:r w:rsidR="00667DBD" w:rsidRPr="00507BD2">
        <w:rPr>
          <w:rFonts w:hAnsi="標楷體"/>
          <w:b/>
        </w:rPr>
        <w:t>3</w:t>
      </w:r>
      <w:r w:rsidR="00667DBD" w:rsidRPr="00507BD2">
        <w:rPr>
          <w:rFonts w:hAnsi="標楷體" w:hint="eastAsia"/>
          <w:b/>
        </w:rPr>
        <w:t>年</w:t>
      </w:r>
      <w:r w:rsidR="00667DBD">
        <w:rPr>
          <w:rFonts w:hint="eastAsia"/>
          <w:b/>
        </w:rPr>
        <w:t>第</w:t>
      </w:r>
      <w:r w:rsidR="00C11884">
        <w:rPr>
          <w:b/>
        </w:rPr>
        <w:t>3</w:t>
      </w:r>
      <w:r w:rsidR="00667DBD">
        <w:rPr>
          <w:rFonts w:hint="eastAsia"/>
          <w:b/>
        </w:rPr>
        <w:t>季國泰房地產指數走勢圖</w:t>
      </w:r>
    </w:p>
    <w:p w:rsidR="00800409" w:rsidRDefault="00800409" w:rsidP="007E7FCC">
      <w:pPr>
        <w:pStyle w:val="142"/>
      </w:pPr>
      <w:r w:rsidRPr="00667DBD">
        <w:rPr>
          <w:rStyle w:val="143"/>
          <w:rFonts w:hint="eastAsia"/>
        </w:rPr>
        <w:t>資料來源：內政部不動產資訊平臺。</w:t>
      </w:r>
    </w:p>
    <w:p w:rsidR="00C84F3E" w:rsidRDefault="00EE4C60" w:rsidP="00EE4C60">
      <w:pPr>
        <w:pStyle w:val="21"/>
        <w:ind w:left="850" w:firstLine="566"/>
        <w:rPr>
          <w:rFonts w:hAnsi="標楷體"/>
        </w:rPr>
      </w:pPr>
      <w:r w:rsidRPr="00507BD2">
        <w:rPr>
          <w:rFonts w:hAnsi="標楷體" w:hint="eastAsia"/>
        </w:rPr>
        <w:t>由</w:t>
      </w:r>
      <w:r w:rsidR="00B457A3" w:rsidRPr="00507BD2">
        <w:rPr>
          <w:rFonts w:hAnsi="標楷體" w:hint="eastAsia"/>
        </w:rPr>
        <w:t>7次</w:t>
      </w:r>
      <w:r w:rsidR="003C7857" w:rsidRPr="00507BD2">
        <w:rPr>
          <w:rFonts w:hAnsi="標楷體" w:hint="eastAsia"/>
        </w:rPr>
        <w:t>調整</w:t>
      </w:r>
      <w:r w:rsidR="00CE5711" w:rsidRPr="00507BD2">
        <w:rPr>
          <w:rFonts w:hAnsi="標楷體" w:hint="eastAsia"/>
        </w:rPr>
        <w:t>內容</w:t>
      </w:r>
      <w:r w:rsidRPr="00507BD2">
        <w:rPr>
          <w:rFonts w:hAnsi="標楷體" w:hint="eastAsia"/>
        </w:rPr>
        <w:t>以觀(詳表1)，</w:t>
      </w:r>
      <w:r w:rsidR="00C84F3E" w:rsidRPr="00507BD2">
        <w:rPr>
          <w:rFonts w:hAnsi="標楷體" w:hint="eastAsia"/>
        </w:rPr>
        <w:t>規範</w:t>
      </w:r>
      <w:r w:rsidR="00B457A3" w:rsidRPr="00507BD2">
        <w:rPr>
          <w:rFonts w:hAnsi="標楷體" w:hint="eastAsia"/>
        </w:rPr>
        <w:t>項目包括</w:t>
      </w:r>
      <w:r w:rsidR="00C84F3E" w:rsidRPr="00507BD2">
        <w:rPr>
          <w:rFonts w:hAnsi="標楷體" w:hint="eastAsia"/>
        </w:rPr>
        <w:t>金融機構承作公司法人購置住宅貸款</w:t>
      </w:r>
      <w:r w:rsidR="0095653E" w:rsidRPr="00507BD2">
        <w:rPr>
          <w:rFonts w:hAnsi="標楷體" w:hint="eastAsia"/>
        </w:rPr>
        <w:t>成數、自然人購置高價住宅及特定地區購屋貸款成數</w:t>
      </w:r>
      <w:r w:rsidR="00C84F3E" w:rsidRPr="00507BD2">
        <w:rPr>
          <w:rFonts w:hAnsi="標楷體" w:hint="eastAsia"/>
        </w:rPr>
        <w:t>、購地貸款</w:t>
      </w:r>
      <w:r w:rsidR="0095653E" w:rsidRPr="00507BD2">
        <w:rPr>
          <w:rFonts w:hAnsi="標楷體" w:hint="eastAsia"/>
        </w:rPr>
        <w:t>成數</w:t>
      </w:r>
      <w:r w:rsidR="00C84F3E" w:rsidRPr="00507BD2">
        <w:rPr>
          <w:rFonts w:hAnsi="標楷體" w:hint="eastAsia"/>
        </w:rPr>
        <w:t>、餘屋貸款</w:t>
      </w:r>
      <w:r w:rsidR="00BF218A" w:rsidRPr="00507BD2">
        <w:rPr>
          <w:rFonts w:hAnsi="標楷體" w:hint="eastAsia"/>
        </w:rPr>
        <w:t>額度</w:t>
      </w:r>
      <w:r w:rsidR="0095653E" w:rsidRPr="00507BD2">
        <w:rPr>
          <w:rFonts w:hAnsi="標楷體" w:hint="eastAsia"/>
        </w:rPr>
        <w:t>及工業區閒置土地抵押貸款成數</w:t>
      </w:r>
      <w:r w:rsidR="00BF218A" w:rsidRPr="00507BD2">
        <w:rPr>
          <w:rFonts w:hAnsi="標楷體" w:hint="eastAsia"/>
        </w:rPr>
        <w:t>。嗣銀行信用資源向不動產相關部門傾斜之情勢更加嚴峻，為免過度流向不動產市場，不利金融穩定與經濟永續發展，爰</w:t>
      </w:r>
      <w:r w:rsidR="000E56BC" w:rsidRPr="00507BD2">
        <w:rPr>
          <w:rFonts w:hAnsi="標楷體" w:hint="eastAsia"/>
        </w:rPr>
        <w:t>自</w:t>
      </w:r>
      <w:r w:rsidR="00CE5711" w:rsidRPr="00507BD2">
        <w:rPr>
          <w:rFonts w:hAnsi="標楷體" w:hint="eastAsia"/>
        </w:rPr>
        <w:t>113年9月20日起</w:t>
      </w:r>
      <w:r w:rsidR="003C7857" w:rsidRPr="00507BD2">
        <w:rPr>
          <w:rFonts w:hAnsi="標楷體" w:hint="eastAsia"/>
        </w:rPr>
        <w:t>再</w:t>
      </w:r>
      <w:r w:rsidR="00A62E16" w:rsidRPr="00507BD2">
        <w:rPr>
          <w:rFonts w:hAnsi="標楷體" w:hint="eastAsia"/>
        </w:rPr>
        <w:t>調降</w:t>
      </w:r>
      <w:r w:rsidR="0095653E" w:rsidRPr="00507BD2">
        <w:rPr>
          <w:rFonts w:hAnsi="標楷體" w:hint="eastAsia"/>
        </w:rPr>
        <w:t>貸款成數</w:t>
      </w:r>
      <w:r w:rsidR="00B457A3" w:rsidRPr="00507BD2">
        <w:rPr>
          <w:rFonts w:hAnsi="標楷體" w:hint="eastAsia"/>
        </w:rPr>
        <w:t>，自然人購置第2戶貸款</w:t>
      </w:r>
      <w:r w:rsidR="0095653E" w:rsidRPr="00507BD2">
        <w:rPr>
          <w:rFonts w:hAnsi="標楷體" w:hint="eastAsia"/>
        </w:rPr>
        <w:t>成數</w:t>
      </w:r>
      <w:r w:rsidR="00A62E16" w:rsidRPr="00507BD2">
        <w:rPr>
          <w:rFonts w:hAnsi="標楷體" w:hint="eastAsia"/>
        </w:rPr>
        <w:t>實施地區</w:t>
      </w:r>
      <w:r w:rsidR="000E56BC" w:rsidRPr="00507BD2">
        <w:rPr>
          <w:rFonts w:hAnsi="標楷體" w:hint="eastAsia"/>
        </w:rPr>
        <w:t>更</w:t>
      </w:r>
      <w:r w:rsidR="00B457A3" w:rsidRPr="00507BD2">
        <w:rPr>
          <w:rFonts w:hAnsi="標楷體" w:hint="eastAsia"/>
        </w:rPr>
        <w:t>擴及全國。</w:t>
      </w:r>
    </w:p>
    <w:p w:rsidR="00C75457" w:rsidRPr="00507BD2" w:rsidRDefault="00C75457" w:rsidP="00BF0F46">
      <w:pPr>
        <w:pStyle w:val="ad"/>
        <w:ind w:left="283" w:hanging="283"/>
        <w:rPr>
          <w:rFonts w:hAnsi="標楷體" w:hint="eastAsia"/>
          <w:b/>
        </w:rPr>
      </w:pPr>
      <w:r w:rsidRPr="00507BD2">
        <w:rPr>
          <w:rFonts w:hAnsi="標楷體" w:hint="eastAsia"/>
          <w:b/>
        </w:rPr>
        <w:t>表1</w:t>
      </w:r>
      <w:r w:rsidR="00BF0F46" w:rsidRPr="00507BD2">
        <w:rPr>
          <w:rFonts w:hAnsi="標楷體" w:hint="eastAsia"/>
          <w:b/>
        </w:rPr>
        <w:t xml:space="preserve"> </w:t>
      </w:r>
      <w:r w:rsidRPr="00507BD2">
        <w:rPr>
          <w:rFonts w:hAnsi="標楷體" w:hint="eastAsia"/>
          <w:b/>
        </w:rPr>
        <w:t>截至1</w:t>
      </w:r>
      <w:r w:rsidRPr="00507BD2">
        <w:rPr>
          <w:rFonts w:hAnsi="標楷體"/>
          <w:b/>
        </w:rPr>
        <w:t>1</w:t>
      </w:r>
      <w:r w:rsidR="00943025" w:rsidRPr="00507BD2">
        <w:rPr>
          <w:rFonts w:hAnsi="標楷體"/>
          <w:b/>
        </w:rPr>
        <w:t>3</w:t>
      </w:r>
      <w:r w:rsidRPr="00507BD2">
        <w:rPr>
          <w:rFonts w:hAnsi="標楷體"/>
          <w:b/>
        </w:rPr>
        <w:t>年</w:t>
      </w:r>
      <w:r w:rsidR="00943025" w:rsidRPr="00507BD2">
        <w:rPr>
          <w:rFonts w:hAnsi="標楷體" w:hint="eastAsia"/>
          <w:b/>
        </w:rPr>
        <w:t>9</w:t>
      </w:r>
      <w:r w:rsidR="00943025" w:rsidRPr="00507BD2">
        <w:rPr>
          <w:rFonts w:hAnsi="標楷體"/>
          <w:b/>
        </w:rPr>
        <w:t>月25</w:t>
      </w:r>
      <w:r w:rsidR="00943025" w:rsidRPr="00507BD2">
        <w:rPr>
          <w:rFonts w:hAnsi="標楷體" w:hint="eastAsia"/>
          <w:b/>
        </w:rPr>
        <w:t>日</w:t>
      </w:r>
      <w:r w:rsidR="00BF0F46" w:rsidRPr="00507BD2">
        <w:rPr>
          <w:rFonts w:hAnsi="標楷體" w:hint="eastAsia"/>
          <w:b/>
        </w:rPr>
        <w:t>止</w:t>
      </w:r>
      <w:r w:rsidRPr="00507BD2">
        <w:rPr>
          <w:rFonts w:hAnsi="標楷體" w:hint="eastAsia"/>
          <w:b/>
        </w:rPr>
        <w:t>央行選擇性信用管制措施調整情形表</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57" w:type="dxa"/>
          <w:right w:w="57" w:type="dxa"/>
        </w:tblCellMar>
        <w:tblLook w:val="04A0" w:firstRow="1" w:lastRow="0" w:firstColumn="1" w:lastColumn="0" w:noHBand="0" w:noVBand="1"/>
      </w:tblPr>
      <w:tblGrid>
        <w:gridCol w:w="294"/>
        <w:gridCol w:w="1456"/>
        <w:gridCol w:w="1132"/>
        <w:gridCol w:w="1105"/>
        <w:gridCol w:w="1017"/>
        <w:gridCol w:w="926"/>
        <w:gridCol w:w="926"/>
        <w:gridCol w:w="926"/>
        <w:gridCol w:w="836"/>
      </w:tblGrid>
      <w:tr w:rsidR="00BF0F46" w:rsidRPr="00507BD2" w:rsidTr="00EB398E">
        <w:trPr>
          <w:trHeight w:val="20"/>
          <w:tblHeader/>
        </w:trPr>
        <w:tc>
          <w:tcPr>
            <w:tcW w:w="1015" w:type="pct"/>
            <w:gridSpan w:val="2"/>
            <w:vMerge w:val="restart"/>
            <w:shd w:val="clear" w:color="auto" w:fill="auto"/>
            <w:vAlign w:val="center"/>
          </w:tcPr>
          <w:p w:rsidR="00BF0F46" w:rsidRPr="00507BD2" w:rsidRDefault="00BF0F46" w:rsidP="00BF0F46">
            <w:pPr>
              <w:spacing w:line="280" w:lineRule="exact"/>
              <w:ind w:leftChars="0" w:left="0" w:firstLineChars="0" w:firstLine="0"/>
              <w:jc w:val="center"/>
              <w:rPr>
                <w:rFonts w:hAnsi="標楷體"/>
                <w:b/>
                <w:spacing w:val="-20"/>
                <w:sz w:val="22"/>
                <w:szCs w:val="22"/>
              </w:rPr>
            </w:pPr>
            <w:r w:rsidRPr="00507BD2">
              <w:rPr>
                <w:rFonts w:hAnsi="標楷體"/>
                <w:b/>
                <w:spacing w:val="-20"/>
                <w:sz w:val="22"/>
                <w:szCs w:val="22"/>
              </w:rPr>
              <w:t>貸款項目</w:t>
            </w:r>
          </w:p>
        </w:tc>
        <w:tc>
          <w:tcPr>
            <w:tcW w:w="3985" w:type="pct"/>
            <w:gridSpan w:val="7"/>
          </w:tcPr>
          <w:p w:rsidR="00BF0F46" w:rsidRPr="00507BD2" w:rsidRDefault="00BF0F46" w:rsidP="00BF0F46">
            <w:pPr>
              <w:spacing w:line="280" w:lineRule="exact"/>
              <w:ind w:leftChars="0" w:left="0" w:firstLineChars="0" w:firstLine="0"/>
              <w:jc w:val="center"/>
              <w:rPr>
                <w:rFonts w:hAnsi="標楷體"/>
                <w:b/>
                <w:spacing w:val="-20"/>
                <w:sz w:val="22"/>
                <w:szCs w:val="22"/>
              </w:rPr>
            </w:pPr>
            <w:r w:rsidRPr="00507BD2">
              <w:rPr>
                <w:rFonts w:hAnsi="標楷體"/>
                <w:b/>
                <w:spacing w:val="-20"/>
                <w:sz w:val="22"/>
                <w:szCs w:val="22"/>
              </w:rPr>
              <w:t>貸款條件</w:t>
            </w:r>
          </w:p>
        </w:tc>
      </w:tr>
      <w:tr w:rsidR="00BF0F46" w:rsidRPr="00507BD2" w:rsidTr="00EB398E">
        <w:trPr>
          <w:trHeight w:val="20"/>
          <w:tblHeader/>
        </w:trPr>
        <w:tc>
          <w:tcPr>
            <w:tcW w:w="1015" w:type="pct"/>
            <w:gridSpan w:val="2"/>
            <w:vMerge/>
            <w:shd w:val="clear" w:color="auto" w:fill="auto"/>
          </w:tcPr>
          <w:p w:rsidR="00BF0F46" w:rsidRPr="00507BD2" w:rsidRDefault="00BF0F46" w:rsidP="00BF0F46">
            <w:pPr>
              <w:spacing w:line="280" w:lineRule="exact"/>
              <w:ind w:leftChars="0" w:left="0" w:firstLineChars="0" w:firstLine="0"/>
              <w:jc w:val="center"/>
              <w:rPr>
                <w:rFonts w:hAnsi="標楷體"/>
                <w:b/>
                <w:spacing w:val="-20"/>
                <w:sz w:val="22"/>
                <w:szCs w:val="22"/>
              </w:rPr>
            </w:pPr>
          </w:p>
        </w:tc>
        <w:tc>
          <w:tcPr>
            <w:tcW w:w="657" w:type="pct"/>
            <w:shd w:val="clear" w:color="auto" w:fill="auto"/>
            <w:vAlign w:val="center"/>
          </w:tcPr>
          <w:p w:rsidR="00BF0F46" w:rsidRPr="00507BD2" w:rsidRDefault="00BF0F46" w:rsidP="00BF0F46">
            <w:pPr>
              <w:spacing w:line="280" w:lineRule="exact"/>
              <w:ind w:leftChars="0" w:left="0" w:firstLineChars="0" w:firstLine="0"/>
              <w:jc w:val="center"/>
              <w:rPr>
                <w:rFonts w:hAnsi="標楷體"/>
                <w:b/>
                <w:spacing w:val="-20"/>
                <w:sz w:val="22"/>
                <w:szCs w:val="22"/>
              </w:rPr>
            </w:pPr>
            <w:r w:rsidRPr="00507BD2">
              <w:rPr>
                <w:rFonts w:hAnsi="標楷體"/>
                <w:b/>
                <w:spacing w:val="-20"/>
                <w:sz w:val="22"/>
                <w:szCs w:val="22"/>
              </w:rPr>
              <w:t>109.12.8</w:t>
            </w:r>
          </w:p>
          <w:p w:rsidR="00BF0F46" w:rsidRPr="00507BD2" w:rsidRDefault="00BF0F46" w:rsidP="00BF0F46">
            <w:pPr>
              <w:spacing w:line="280" w:lineRule="exact"/>
              <w:ind w:leftChars="0" w:left="0" w:firstLineChars="0" w:firstLine="0"/>
              <w:jc w:val="center"/>
              <w:rPr>
                <w:rFonts w:hAnsi="標楷體"/>
                <w:b/>
                <w:spacing w:val="-20"/>
                <w:sz w:val="22"/>
                <w:szCs w:val="22"/>
              </w:rPr>
            </w:pPr>
            <w:r w:rsidRPr="00507BD2">
              <w:rPr>
                <w:rFonts w:hAnsi="標楷體"/>
                <w:b/>
                <w:spacing w:val="-20"/>
                <w:sz w:val="22"/>
                <w:szCs w:val="22"/>
              </w:rPr>
              <w:t>~110.3.18</w:t>
            </w:r>
          </w:p>
        </w:tc>
        <w:tc>
          <w:tcPr>
            <w:tcW w:w="641" w:type="pct"/>
            <w:shd w:val="clear" w:color="auto" w:fill="auto"/>
            <w:vAlign w:val="center"/>
          </w:tcPr>
          <w:p w:rsidR="00BF0F46" w:rsidRPr="00507BD2" w:rsidRDefault="00BF0F46" w:rsidP="00BF0F46">
            <w:pPr>
              <w:spacing w:line="280" w:lineRule="exact"/>
              <w:ind w:leftChars="0" w:left="0" w:firstLineChars="0" w:firstLine="0"/>
              <w:jc w:val="center"/>
              <w:rPr>
                <w:rFonts w:hAnsi="標楷體"/>
                <w:b/>
                <w:spacing w:val="-20"/>
                <w:sz w:val="22"/>
                <w:szCs w:val="22"/>
              </w:rPr>
            </w:pPr>
            <w:r w:rsidRPr="00507BD2">
              <w:rPr>
                <w:rFonts w:hAnsi="標楷體"/>
                <w:b/>
                <w:spacing w:val="-20"/>
                <w:sz w:val="22"/>
                <w:szCs w:val="22"/>
              </w:rPr>
              <w:t>110.3.19</w:t>
            </w:r>
          </w:p>
          <w:p w:rsidR="00BF0F46" w:rsidRPr="00507BD2" w:rsidRDefault="00BF0F46" w:rsidP="00BF0F46">
            <w:pPr>
              <w:spacing w:line="280" w:lineRule="exact"/>
              <w:ind w:leftChars="0" w:left="0" w:firstLineChars="0" w:firstLine="0"/>
              <w:jc w:val="center"/>
              <w:rPr>
                <w:rFonts w:hAnsi="標楷體"/>
                <w:b/>
                <w:spacing w:val="-20"/>
                <w:sz w:val="22"/>
                <w:szCs w:val="22"/>
              </w:rPr>
            </w:pPr>
            <w:r w:rsidRPr="00507BD2">
              <w:rPr>
                <w:rFonts w:hAnsi="標楷體"/>
                <w:b/>
                <w:spacing w:val="-20"/>
                <w:sz w:val="22"/>
                <w:szCs w:val="22"/>
              </w:rPr>
              <w:t>~110.9.23</w:t>
            </w:r>
          </w:p>
        </w:tc>
        <w:tc>
          <w:tcPr>
            <w:tcW w:w="590" w:type="pct"/>
          </w:tcPr>
          <w:p w:rsidR="00BF0F46" w:rsidRPr="00507BD2" w:rsidRDefault="00BF0F46" w:rsidP="00BF0F46">
            <w:pPr>
              <w:spacing w:line="280" w:lineRule="exact"/>
              <w:ind w:leftChars="0" w:left="0" w:firstLineChars="0" w:firstLine="0"/>
              <w:jc w:val="center"/>
              <w:rPr>
                <w:rFonts w:hAnsi="標楷體"/>
                <w:b/>
                <w:spacing w:val="-20"/>
                <w:sz w:val="22"/>
                <w:szCs w:val="22"/>
              </w:rPr>
            </w:pPr>
            <w:r w:rsidRPr="00507BD2">
              <w:rPr>
                <w:rFonts w:hAnsi="標楷體"/>
                <w:b/>
                <w:spacing w:val="-20"/>
                <w:sz w:val="22"/>
                <w:szCs w:val="22"/>
              </w:rPr>
              <w:t>110.9.24</w:t>
            </w:r>
          </w:p>
          <w:p w:rsidR="00BF0F46" w:rsidRPr="00507BD2" w:rsidRDefault="00BF0F46" w:rsidP="00BF0F46">
            <w:pPr>
              <w:spacing w:line="280" w:lineRule="exact"/>
              <w:ind w:leftChars="0" w:left="0" w:firstLineChars="0" w:firstLine="0"/>
              <w:jc w:val="center"/>
              <w:rPr>
                <w:rFonts w:hAnsi="標楷體"/>
                <w:b/>
                <w:spacing w:val="-20"/>
                <w:sz w:val="22"/>
                <w:szCs w:val="22"/>
              </w:rPr>
            </w:pPr>
            <w:r w:rsidRPr="00507BD2">
              <w:rPr>
                <w:rFonts w:hAnsi="標楷體"/>
                <w:b/>
                <w:spacing w:val="-20"/>
                <w:sz w:val="22"/>
                <w:szCs w:val="22"/>
              </w:rPr>
              <w:t>~110.12.16</w:t>
            </w:r>
          </w:p>
        </w:tc>
        <w:tc>
          <w:tcPr>
            <w:tcW w:w="537" w:type="pct"/>
            <w:vAlign w:val="center"/>
          </w:tcPr>
          <w:p w:rsidR="00BF0F46" w:rsidRPr="00507BD2" w:rsidRDefault="00BF0F46" w:rsidP="00BF0F46">
            <w:pPr>
              <w:spacing w:line="280" w:lineRule="exact"/>
              <w:ind w:leftChars="0" w:left="0" w:firstLineChars="0" w:firstLine="0"/>
              <w:jc w:val="center"/>
              <w:rPr>
                <w:rFonts w:hAnsi="標楷體"/>
                <w:b/>
                <w:spacing w:val="-20"/>
                <w:sz w:val="22"/>
                <w:szCs w:val="22"/>
              </w:rPr>
            </w:pPr>
            <w:r w:rsidRPr="00507BD2">
              <w:rPr>
                <w:rFonts w:hAnsi="標楷體"/>
                <w:b/>
                <w:spacing w:val="-20"/>
                <w:sz w:val="22"/>
                <w:szCs w:val="22"/>
              </w:rPr>
              <w:t>110.12.16</w:t>
            </w:r>
          </w:p>
          <w:p w:rsidR="00BF0F46" w:rsidRPr="00507BD2" w:rsidRDefault="00BF0F46" w:rsidP="00BF0F46">
            <w:pPr>
              <w:spacing w:line="280" w:lineRule="exact"/>
              <w:ind w:leftChars="0" w:left="0" w:firstLineChars="0" w:firstLine="0"/>
              <w:jc w:val="center"/>
              <w:rPr>
                <w:rFonts w:hAnsi="標楷體"/>
                <w:b/>
                <w:spacing w:val="-20"/>
                <w:sz w:val="22"/>
                <w:szCs w:val="22"/>
              </w:rPr>
            </w:pPr>
            <w:r w:rsidRPr="00507BD2">
              <w:rPr>
                <w:rFonts w:hAnsi="標楷體"/>
                <w:b/>
                <w:spacing w:val="-20"/>
                <w:sz w:val="22"/>
                <w:szCs w:val="22"/>
              </w:rPr>
              <w:t>~11</w:t>
            </w:r>
            <w:r w:rsidRPr="00507BD2">
              <w:rPr>
                <w:rFonts w:hAnsi="標楷體" w:hint="eastAsia"/>
                <w:b/>
                <w:spacing w:val="-20"/>
                <w:sz w:val="22"/>
                <w:szCs w:val="22"/>
              </w:rPr>
              <w:t>2</w:t>
            </w:r>
            <w:r w:rsidRPr="00507BD2">
              <w:rPr>
                <w:rFonts w:hAnsi="標楷體"/>
                <w:b/>
                <w:spacing w:val="-20"/>
                <w:sz w:val="22"/>
                <w:szCs w:val="22"/>
              </w:rPr>
              <w:t>.</w:t>
            </w:r>
            <w:r w:rsidRPr="00507BD2">
              <w:rPr>
                <w:rFonts w:hAnsi="標楷體" w:hint="eastAsia"/>
                <w:b/>
                <w:spacing w:val="-20"/>
                <w:sz w:val="22"/>
                <w:szCs w:val="22"/>
              </w:rPr>
              <w:t>6</w:t>
            </w:r>
            <w:r w:rsidRPr="00507BD2">
              <w:rPr>
                <w:rFonts w:hAnsi="標楷體"/>
                <w:b/>
                <w:spacing w:val="-20"/>
                <w:sz w:val="22"/>
                <w:szCs w:val="22"/>
              </w:rPr>
              <w:t>.</w:t>
            </w:r>
            <w:r w:rsidRPr="00507BD2">
              <w:rPr>
                <w:rFonts w:hAnsi="標楷體" w:hint="eastAsia"/>
                <w:b/>
                <w:spacing w:val="-20"/>
                <w:sz w:val="22"/>
                <w:szCs w:val="22"/>
              </w:rPr>
              <w:t>15</w:t>
            </w:r>
          </w:p>
        </w:tc>
        <w:tc>
          <w:tcPr>
            <w:tcW w:w="537" w:type="pct"/>
          </w:tcPr>
          <w:p w:rsidR="00BF0F46" w:rsidRPr="00507BD2" w:rsidRDefault="00BF0F46" w:rsidP="00BF0F46">
            <w:pPr>
              <w:spacing w:line="280" w:lineRule="exact"/>
              <w:ind w:leftChars="0" w:left="0" w:firstLineChars="0" w:firstLine="0"/>
              <w:jc w:val="center"/>
              <w:rPr>
                <w:rFonts w:hAnsi="標楷體"/>
                <w:b/>
                <w:spacing w:val="-20"/>
                <w:sz w:val="22"/>
                <w:szCs w:val="22"/>
              </w:rPr>
            </w:pPr>
            <w:r w:rsidRPr="00507BD2">
              <w:rPr>
                <w:rFonts w:hAnsi="標楷體"/>
                <w:b/>
                <w:spacing w:val="-20"/>
                <w:sz w:val="22"/>
                <w:szCs w:val="22"/>
              </w:rPr>
              <w:t>112.6.16</w:t>
            </w:r>
          </w:p>
          <w:p w:rsidR="00BF0F46" w:rsidRPr="00507BD2" w:rsidRDefault="00BF0F46" w:rsidP="00BF0F46">
            <w:pPr>
              <w:spacing w:line="280" w:lineRule="exact"/>
              <w:ind w:leftChars="0" w:left="0" w:firstLineChars="0" w:firstLine="0"/>
              <w:jc w:val="center"/>
              <w:rPr>
                <w:rFonts w:hAnsi="標楷體"/>
                <w:b/>
                <w:spacing w:val="-20"/>
                <w:sz w:val="22"/>
                <w:szCs w:val="22"/>
              </w:rPr>
            </w:pPr>
            <w:r w:rsidRPr="00507BD2">
              <w:rPr>
                <w:rFonts w:hAnsi="標楷體"/>
                <w:b/>
                <w:spacing w:val="-20"/>
                <w:sz w:val="22"/>
                <w:szCs w:val="22"/>
              </w:rPr>
              <w:t>~113.6.13</w:t>
            </w:r>
          </w:p>
        </w:tc>
        <w:tc>
          <w:tcPr>
            <w:tcW w:w="537" w:type="pct"/>
          </w:tcPr>
          <w:p w:rsidR="00BF0F46" w:rsidRPr="00507BD2" w:rsidRDefault="00BF0F46" w:rsidP="00BF0F46">
            <w:pPr>
              <w:spacing w:line="280" w:lineRule="exact"/>
              <w:ind w:leftChars="0" w:left="0" w:firstLineChars="0" w:firstLine="0"/>
              <w:jc w:val="center"/>
              <w:rPr>
                <w:rFonts w:hAnsi="標楷體"/>
                <w:b/>
                <w:spacing w:val="-20"/>
                <w:sz w:val="22"/>
                <w:szCs w:val="22"/>
              </w:rPr>
            </w:pPr>
            <w:r w:rsidRPr="00507BD2">
              <w:rPr>
                <w:rFonts w:hAnsi="標楷體"/>
                <w:b/>
                <w:spacing w:val="-20"/>
                <w:sz w:val="22"/>
                <w:szCs w:val="22"/>
              </w:rPr>
              <w:t>113.6.14</w:t>
            </w:r>
          </w:p>
          <w:p w:rsidR="00BF0F46" w:rsidRPr="00507BD2" w:rsidRDefault="00BF0F46" w:rsidP="00BF0F46">
            <w:pPr>
              <w:spacing w:line="280" w:lineRule="exact"/>
              <w:ind w:leftChars="0" w:left="0" w:firstLineChars="0" w:firstLine="0"/>
              <w:jc w:val="center"/>
              <w:rPr>
                <w:rFonts w:hAnsi="標楷體"/>
                <w:b/>
                <w:spacing w:val="-20"/>
                <w:sz w:val="22"/>
                <w:szCs w:val="22"/>
              </w:rPr>
            </w:pPr>
            <w:r w:rsidRPr="00507BD2">
              <w:rPr>
                <w:rFonts w:hAnsi="標楷體"/>
                <w:b/>
                <w:spacing w:val="-20"/>
                <w:sz w:val="22"/>
                <w:szCs w:val="22"/>
              </w:rPr>
              <w:t>~113.</w:t>
            </w:r>
            <w:r w:rsidRPr="00507BD2">
              <w:rPr>
                <w:rFonts w:hAnsi="標楷體" w:hint="eastAsia"/>
                <w:b/>
                <w:spacing w:val="-20"/>
                <w:sz w:val="22"/>
                <w:szCs w:val="22"/>
              </w:rPr>
              <w:t>9</w:t>
            </w:r>
            <w:r w:rsidRPr="00507BD2">
              <w:rPr>
                <w:rFonts w:hAnsi="標楷體"/>
                <w:b/>
                <w:spacing w:val="-20"/>
                <w:sz w:val="22"/>
                <w:szCs w:val="22"/>
              </w:rPr>
              <w:t>.</w:t>
            </w:r>
            <w:r w:rsidRPr="00507BD2">
              <w:rPr>
                <w:rFonts w:hAnsi="標楷體" w:hint="eastAsia"/>
                <w:b/>
                <w:spacing w:val="-20"/>
                <w:sz w:val="22"/>
                <w:szCs w:val="22"/>
              </w:rPr>
              <w:t>19</w:t>
            </w:r>
          </w:p>
        </w:tc>
        <w:tc>
          <w:tcPr>
            <w:tcW w:w="485" w:type="pct"/>
            <w:vAlign w:val="center"/>
          </w:tcPr>
          <w:p w:rsidR="00BF0F46" w:rsidRPr="00507BD2" w:rsidRDefault="00BF0F46" w:rsidP="00BF0F46">
            <w:pPr>
              <w:spacing w:line="280" w:lineRule="exact"/>
              <w:ind w:leftChars="0" w:left="0" w:firstLineChars="0" w:firstLine="0"/>
              <w:jc w:val="center"/>
              <w:rPr>
                <w:rFonts w:hAnsi="標楷體" w:hint="eastAsia"/>
                <w:b/>
                <w:spacing w:val="-40"/>
                <w:sz w:val="22"/>
                <w:szCs w:val="22"/>
              </w:rPr>
            </w:pPr>
            <w:r w:rsidRPr="00507BD2">
              <w:rPr>
                <w:rFonts w:hAnsi="標楷體"/>
                <w:b/>
                <w:spacing w:val="-40"/>
                <w:sz w:val="22"/>
                <w:szCs w:val="22"/>
              </w:rPr>
              <w:t>113.</w:t>
            </w:r>
            <w:r w:rsidRPr="00507BD2">
              <w:rPr>
                <w:rFonts w:hAnsi="標楷體" w:hint="eastAsia"/>
                <w:b/>
                <w:spacing w:val="-40"/>
                <w:sz w:val="22"/>
                <w:szCs w:val="22"/>
              </w:rPr>
              <w:t>9</w:t>
            </w:r>
            <w:r w:rsidRPr="00507BD2">
              <w:rPr>
                <w:rFonts w:hAnsi="標楷體"/>
                <w:b/>
                <w:spacing w:val="-40"/>
                <w:sz w:val="22"/>
                <w:szCs w:val="22"/>
              </w:rPr>
              <w:t>.</w:t>
            </w:r>
            <w:r w:rsidRPr="00507BD2">
              <w:rPr>
                <w:rFonts w:hAnsi="標楷體" w:hint="eastAsia"/>
                <w:b/>
                <w:spacing w:val="-40"/>
                <w:sz w:val="22"/>
                <w:szCs w:val="22"/>
              </w:rPr>
              <w:t>20起</w:t>
            </w:r>
          </w:p>
        </w:tc>
      </w:tr>
      <w:tr w:rsidR="00BF0F46" w:rsidRPr="00507BD2" w:rsidTr="00EB398E">
        <w:trPr>
          <w:trHeight w:val="20"/>
        </w:trPr>
        <w:tc>
          <w:tcPr>
            <w:tcW w:w="171" w:type="pct"/>
            <w:vMerge w:val="restart"/>
            <w:shd w:val="clear" w:color="auto" w:fill="auto"/>
            <w:vAlign w:val="center"/>
          </w:tcPr>
          <w:p w:rsidR="00BF0F46" w:rsidRPr="00507BD2" w:rsidRDefault="00BF0F46" w:rsidP="00BF0F46">
            <w:pPr>
              <w:spacing w:line="280" w:lineRule="exact"/>
              <w:ind w:leftChars="0" w:left="0" w:firstLineChars="0" w:firstLine="0"/>
              <w:rPr>
                <w:rFonts w:hAnsi="標楷體"/>
                <w:spacing w:val="-20"/>
                <w:sz w:val="22"/>
                <w:szCs w:val="22"/>
              </w:rPr>
            </w:pPr>
            <w:r w:rsidRPr="00507BD2">
              <w:rPr>
                <w:rFonts w:hAnsi="標楷體"/>
                <w:spacing w:val="-20"/>
                <w:sz w:val="22"/>
                <w:szCs w:val="22"/>
              </w:rPr>
              <w:t>公</w:t>
            </w:r>
          </w:p>
          <w:p w:rsidR="00BF0F46" w:rsidRPr="00507BD2" w:rsidRDefault="00BF0F46" w:rsidP="00BF0F46">
            <w:pPr>
              <w:spacing w:line="280" w:lineRule="exact"/>
              <w:ind w:leftChars="0" w:left="0" w:firstLineChars="0" w:firstLine="0"/>
              <w:rPr>
                <w:rFonts w:hAnsi="標楷體"/>
                <w:spacing w:val="-20"/>
                <w:sz w:val="22"/>
                <w:szCs w:val="22"/>
              </w:rPr>
            </w:pPr>
            <w:r w:rsidRPr="00507BD2">
              <w:rPr>
                <w:rFonts w:hAnsi="標楷體"/>
                <w:spacing w:val="-20"/>
                <w:sz w:val="22"/>
                <w:szCs w:val="22"/>
              </w:rPr>
              <w:t>司</w:t>
            </w:r>
          </w:p>
          <w:p w:rsidR="00BF0F46" w:rsidRPr="00507BD2" w:rsidRDefault="00BF0F46" w:rsidP="00BF0F46">
            <w:pPr>
              <w:spacing w:line="280" w:lineRule="exact"/>
              <w:ind w:leftChars="0" w:left="0" w:firstLineChars="0" w:firstLine="0"/>
              <w:rPr>
                <w:rFonts w:hAnsi="標楷體"/>
                <w:spacing w:val="-20"/>
                <w:sz w:val="22"/>
                <w:szCs w:val="22"/>
              </w:rPr>
            </w:pPr>
            <w:r w:rsidRPr="00507BD2">
              <w:rPr>
                <w:rFonts w:hAnsi="標楷體"/>
                <w:spacing w:val="-20"/>
                <w:sz w:val="22"/>
                <w:szCs w:val="22"/>
              </w:rPr>
              <w:lastRenderedPageBreak/>
              <w:t>法</w:t>
            </w:r>
          </w:p>
          <w:p w:rsidR="00BF0F46" w:rsidRPr="00507BD2" w:rsidRDefault="00BF0F46" w:rsidP="00BF0F46">
            <w:pPr>
              <w:spacing w:line="280" w:lineRule="exact"/>
              <w:ind w:leftChars="0" w:left="0" w:firstLineChars="0" w:firstLine="0"/>
              <w:rPr>
                <w:rFonts w:hAnsi="標楷體"/>
                <w:spacing w:val="-20"/>
                <w:sz w:val="22"/>
                <w:szCs w:val="22"/>
              </w:rPr>
            </w:pPr>
            <w:r w:rsidRPr="00507BD2">
              <w:rPr>
                <w:rFonts w:hAnsi="標楷體"/>
                <w:spacing w:val="-20"/>
                <w:sz w:val="22"/>
                <w:szCs w:val="22"/>
              </w:rPr>
              <w:t>人</w:t>
            </w:r>
          </w:p>
        </w:tc>
        <w:tc>
          <w:tcPr>
            <w:tcW w:w="845" w:type="pct"/>
            <w:shd w:val="clear" w:color="auto" w:fill="auto"/>
            <w:vAlign w:val="center"/>
          </w:tcPr>
          <w:p w:rsidR="00BF0F46" w:rsidRPr="00507BD2" w:rsidRDefault="00BF0F46" w:rsidP="00BF0F46">
            <w:pPr>
              <w:spacing w:line="280" w:lineRule="exact"/>
              <w:ind w:leftChars="0" w:left="0" w:firstLineChars="0" w:firstLine="0"/>
              <w:rPr>
                <w:rFonts w:hAnsi="標楷體"/>
                <w:sz w:val="22"/>
                <w:szCs w:val="22"/>
              </w:rPr>
            </w:pPr>
            <w:r w:rsidRPr="00507BD2">
              <w:rPr>
                <w:rFonts w:hAnsi="標楷體"/>
                <w:sz w:val="22"/>
                <w:szCs w:val="22"/>
              </w:rPr>
              <w:lastRenderedPageBreak/>
              <w:t>第1戶購置住宅貸款</w:t>
            </w:r>
          </w:p>
        </w:tc>
        <w:tc>
          <w:tcPr>
            <w:tcW w:w="657" w:type="pct"/>
            <w:shd w:val="clear" w:color="auto" w:fill="auto"/>
            <w:vAlign w:val="center"/>
          </w:tcPr>
          <w:p w:rsidR="00F413FE" w:rsidRDefault="00BF0F46" w:rsidP="00BF0F46">
            <w:pPr>
              <w:spacing w:line="280" w:lineRule="exact"/>
              <w:ind w:leftChars="0" w:left="0" w:firstLineChars="0" w:firstLine="0"/>
              <w:rPr>
                <w:rFonts w:hAnsi="標楷體"/>
                <w:spacing w:val="-20"/>
                <w:sz w:val="22"/>
                <w:szCs w:val="22"/>
              </w:rPr>
            </w:pPr>
            <w:r w:rsidRPr="00507BD2">
              <w:rPr>
                <w:rFonts w:hAnsi="標楷體"/>
                <w:spacing w:val="-20"/>
                <w:sz w:val="22"/>
                <w:szCs w:val="22"/>
              </w:rPr>
              <w:t>6成，</w:t>
            </w:r>
          </w:p>
          <w:p w:rsidR="00BF0F46" w:rsidRPr="00507BD2" w:rsidRDefault="00F413FE" w:rsidP="00BF0F46">
            <w:pPr>
              <w:spacing w:line="280" w:lineRule="exact"/>
              <w:ind w:leftChars="0" w:left="0" w:firstLineChars="0" w:firstLine="0"/>
              <w:rPr>
                <w:rFonts w:hAnsi="標楷體"/>
                <w:spacing w:val="-20"/>
                <w:sz w:val="22"/>
                <w:szCs w:val="22"/>
              </w:rPr>
            </w:pPr>
            <w:r>
              <w:rPr>
                <w:rFonts w:hAnsi="標楷體" w:hint="eastAsia"/>
                <w:spacing w:val="-20"/>
                <w:sz w:val="22"/>
                <w:szCs w:val="22"/>
              </w:rPr>
              <w:t>無</w:t>
            </w:r>
            <w:r w:rsidR="00BF0F46" w:rsidRPr="00507BD2">
              <w:rPr>
                <w:rFonts w:hAnsi="標楷體"/>
                <w:spacing w:val="-20"/>
                <w:sz w:val="22"/>
                <w:szCs w:val="22"/>
              </w:rPr>
              <w:t>寬限期</w:t>
            </w:r>
          </w:p>
        </w:tc>
        <w:tc>
          <w:tcPr>
            <w:tcW w:w="641" w:type="pct"/>
            <w:vMerge w:val="restart"/>
            <w:shd w:val="clear" w:color="auto" w:fill="auto"/>
            <w:tcMar>
              <w:left w:w="85" w:type="dxa"/>
              <w:right w:w="28" w:type="dxa"/>
            </w:tcMar>
            <w:vAlign w:val="center"/>
          </w:tcPr>
          <w:p w:rsidR="00F413FE" w:rsidRDefault="00BF0F46" w:rsidP="00BF0F46">
            <w:pPr>
              <w:spacing w:line="280" w:lineRule="exact"/>
              <w:ind w:leftChars="0" w:left="0" w:firstLineChars="0" w:firstLine="0"/>
              <w:rPr>
                <w:rFonts w:hAnsi="標楷體"/>
                <w:spacing w:val="-20"/>
                <w:sz w:val="22"/>
                <w:szCs w:val="22"/>
              </w:rPr>
            </w:pPr>
            <w:r w:rsidRPr="00507BD2">
              <w:rPr>
                <w:rFonts w:hAnsi="標楷體"/>
                <w:spacing w:val="-20"/>
                <w:sz w:val="22"/>
                <w:szCs w:val="22"/>
              </w:rPr>
              <w:t>4成，</w:t>
            </w:r>
          </w:p>
          <w:p w:rsidR="00BF0F46" w:rsidRPr="00507BD2" w:rsidRDefault="00F413FE" w:rsidP="00BF0F46">
            <w:pPr>
              <w:spacing w:line="280" w:lineRule="exact"/>
              <w:ind w:leftChars="0" w:left="0" w:firstLineChars="0" w:firstLine="0"/>
              <w:rPr>
                <w:rFonts w:hAnsi="標楷體"/>
                <w:spacing w:val="-20"/>
                <w:sz w:val="22"/>
                <w:szCs w:val="22"/>
              </w:rPr>
            </w:pPr>
            <w:r>
              <w:rPr>
                <w:rFonts w:hAnsi="標楷體" w:hint="eastAsia"/>
                <w:spacing w:val="-20"/>
                <w:sz w:val="22"/>
                <w:szCs w:val="22"/>
              </w:rPr>
              <w:t>無</w:t>
            </w:r>
            <w:r w:rsidR="00BF0F46" w:rsidRPr="00507BD2">
              <w:rPr>
                <w:rFonts w:hAnsi="標楷體"/>
                <w:spacing w:val="-20"/>
                <w:sz w:val="22"/>
                <w:szCs w:val="22"/>
              </w:rPr>
              <w:t>寬限期</w:t>
            </w:r>
          </w:p>
        </w:tc>
        <w:tc>
          <w:tcPr>
            <w:tcW w:w="590" w:type="pct"/>
            <w:vMerge w:val="restart"/>
            <w:vAlign w:val="center"/>
          </w:tcPr>
          <w:p w:rsidR="00BF0F46" w:rsidRPr="00507BD2" w:rsidRDefault="00BF0F46" w:rsidP="00BF0F46">
            <w:pPr>
              <w:spacing w:line="280" w:lineRule="exact"/>
              <w:ind w:leftChars="0" w:left="0" w:firstLineChars="0" w:firstLine="0"/>
              <w:rPr>
                <w:rFonts w:hAnsi="標楷體"/>
                <w:spacing w:val="-20"/>
                <w:sz w:val="22"/>
                <w:szCs w:val="22"/>
              </w:rPr>
            </w:pPr>
            <w:r w:rsidRPr="00507BD2">
              <w:rPr>
                <w:rFonts w:hAnsi="標楷體"/>
                <w:spacing w:val="-20"/>
                <w:sz w:val="22"/>
                <w:szCs w:val="22"/>
              </w:rPr>
              <w:t>維持不變</w:t>
            </w:r>
          </w:p>
        </w:tc>
        <w:tc>
          <w:tcPr>
            <w:tcW w:w="537" w:type="pct"/>
            <w:vMerge w:val="restart"/>
            <w:vAlign w:val="center"/>
          </w:tcPr>
          <w:p w:rsidR="00BF0F46" w:rsidRPr="00507BD2" w:rsidRDefault="00BF0F46" w:rsidP="00BF0F46">
            <w:pPr>
              <w:spacing w:line="280" w:lineRule="exact"/>
              <w:ind w:leftChars="0" w:left="0" w:firstLineChars="0" w:firstLine="0"/>
              <w:rPr>
                <w:rFonts w:hAnsi="標楷體"/>
                <w:spacing w:val="-20"/>
                <w:sz w:val="22"/>
                <w:szCs w:val="22"/>
              </w:rPr>
            </w:pPr>
            <w:r w:rsidRPr="00507BD2">
              <w:rPr>
                <w:rFonts w:hAnsi="標楷體"/>
                <w:spacing w:val="-20"/>
                <w:sz w:val="22"/>
                <w:szCs w:val="22"/>
              </w:rPr>
              <w:t>維持不變</w:t>
            </w:r>
          </w:p>
        </w:tc>
        <w:tc>
          <w:tcPr>
            <w:tcW w:w="537" w:type="pct"/>
            <w:vMerge w:val="restart"/>
            <w:vAlign w:val="center"/>
          </w:tcPr>
          <w:p w:rsidR="00BF0F46" w:rsidRPr="00507BD2" w:rsidRDefault="00BF0F46" w:rsidP="00BF0F46">
            <w:pPr>
              <w:spacing w:line="280" w:lineRule="exact"/>
              <w:ind w:leftChars="0" w:left="0" w:firstLineChars="0" w:firstLine="0"/>
              <w:rPr>
                <w:rFonts w:hAnsi="標楷體"/>
                <w:spacing w:val="-20"/>
                <w:sz w:val="22"/>
                <w:szCs w:val="22"/>
              </w:rPr>
            </w:pPr>
            <w:r w:rsidRPr="00507BD2">
              <w:rPr>
                <w:rFonts w:hAnsi="標楷體"/>
                <w:spacing w:val="-20"/>
                <w:sz w:val="22"/>
                <w:szCs w:val="22"/>
              </w:rPr>
              <w:t>維持不變</w:t>
            </w:r>
          </w:p>
        </w:tc>
        <w:tc>
          <w:tcPr>
            <w:tcW w:w="537" w:type="pct"/>
            <w:vMerge w:val="restart"/>
            <w:vAlign w:val="center"/>
          </w:tcPr>
          <w:p w:rsidR="00BF0F46" w:rsidRPr="00507BD2" w:rsidRDefault="00BF0F46" w:rsidP="00BF0F46">
            <w:pPr>
              <w:spacing w:line="280" w:lineRule="exact"/>
              <w:ind w:leftChars="0" w:left="0" w:firstLineChars="0" w:firstLine="0"/>
              <w:rPr>
                <w:rFonts w:hAnsi="標楷體"/>
                <w:spacing w:val="-20"/>
                <w:sz w:val="22"/>
                <w:szCs w:val="22"/>
              </w:rPr>
            </w:pPr>
            <w:r w:rsidRPr="00507BD2">
              <w:rPr>
                <w:rFonts w:hAnsi="標楷體"/>
                <w:spacing w:val="-20"/>
                <w:sz w:val="22"/>
                <w:szCs w:val="22"/>
              </w:rPr>
              <w:t>維持不變</w:t>
            </w:r>
          </w:p>
        </w:tc>
        <w:tc>
          <w:tcPr>
            <w:tcW w:w="485" w:type="pct"/>
            <w:vMerge w:val="restart"/>
            <w:vAlign w:val="center"/>
          </w:tcPr>
          <w:p w:rsidR="00BF0F46" w:rsidRPr="00507BD2" w:rsidRDefault="00BF0F46" w:rsidP="00BF0F46">
            <w:pPr>
              <w:spacing w:line="280" w:lineRule="exact"/>
              <w:ind w:leftChars="0" w:left="0" w:firstLineChars="0" w:firstLine="0"/>
              <w:rPr>
                <w:rFonts w:hAnsi="標楷體"/>
                <w:spacing w:val="-20"/>
                <w:sz w:val="22"/>
                <w:szCs w:val="22"/>
              </w:rPr>
            </w:pPr>
            <w:r w:rsidRPr="00507BD2">
              <w:rPr>
                <w:rFonts w:hAnsi="標楷體" w:hint="eastAsia"/>
                <w:spacing w:val="-20"/>
                <w:sz w:val="22"/>
                <w:szCs w:val="22"/>
              </w:rPr>
              <w:t>3</w:t>
            </w:r>
            <w:r w:rsidRPr="00507BD2">
              <w:rPr>
                <w:rFonts w:hAnsi="標楷體"/>
                <w:spacing w:val="-20"/>
                <w:sz w:val="22"/>
                <w:szCs w:val="22"/>
              </w:rPr>
              <w:t>成，</w:t>
            </w:r>
          </w:p>
          <w:p w:rsidR="00BF0F46" w:rsidRPr="00507BD2" w:rsidRDefault="00BF0F46" w:rsidP="00BF0F46">
            <w:pPr>
              <w:spacing w:line="280" w:lineRule="exact"/>
              <w:ind w:leftChars="0" w:left="0" w:firstLineChars="0" w:firstLine="0"/>
              <w:rPr>
                <w:rFonts w:hAnsi="標楷體"/>
                <w:spacing w:val="-20"/>
                <w:sz w:val="22"/>
                <w:szCs w:val="22"/>
              </w:rPr>
            </w:pPr>
            <w:r w:rsidRPr="00507BD2">
              <w:rPr>
                <w:rFonts w:hAnsi="標楷體"/>
                <w:spacing w:val="-20"/>
                <w:sz w:val="22"/>
                <w:szCs w:val="22"/>
              </w:rPr>
              <w:t>無寬限期</w:t>
            </w:r>
          </w:p>
        </w:tc>
      </w:tr>
      <w:tr w:rsidR="00BF0F46" w:rsidRPr="00507BD2" w:rsidTr="00EB398E">
        <w:trPr>
          <w:trHeight w:val="20"/>
        </w:trPr>
        <w:tc>
          <w:tcPr>
            <w:tcW w:w="171" w:type="pct"/>
            <w:vMerge/>
            <w:shd w:val="clear" w:color="auto" w:fill="auto"/>
            <w:vAlign w:val="center"/>
          </w:tcPr>
          <w:p w:rsidR="00BF0F46" w:rsidRPr="00507BD2" w:rsidRDefault="00BF0F46" w:rsidP="00BF0F46">
            <w:pPr>
              <w:spacing w:line="280" w:lineRule="exact"/>
              <w:ind w:leftChars="0" w:left="0" w:firstLineChars="0" w:firstLine="0"/>
              <w:rPr>
                <w:rFonts w:hAnsi="標楷體"/>
                <w:spacing w:val="-20"/>
                <w:sz w:val="22"/>
                <w:szCs w:val="22"/>
              </w:rPr>
            </w:pPr>
          </w:p>
        </w:tc>
        <w:tc>
          <w:tcPr>
            <w:tcW w:w="845" w:type="pct"/>
            <w:shd w:val="clear" w:color="auto" w:fill="auto"/>
            <w:vAlign w:val="center"/>
          </w:tcPr>
          <w:p w:rsidR="00BF0F46" w:rsidRPr="00507BD2" w:rsidRDefault="00BF0F46" w:rsidP="00BF0F46">
            <w:pPr>
              <w:spacing w:line="280" w:lineRule="exact"/>
              <w:ind w:leftChars="0" w:left="0" w:firstLineChars="0" w:firstLine="0"/>
              <w:rPr>
                <w:rFonts w:hAnsi="標楷體"/>
                <w:spacing w:val="-20"/>
                <w:sz w:val="22"/>
                <w:szCs w:val="22"/>
              </w:rPr>
            </w:pPr>
            <w:r w:rsidRPr="00507BD2">
              <w:rPr>
                <w:rFonts w:hAnsi="標楷體"/>
                <w:spacing w:val="-20"/>
                <w:sz w:val="22"/>
                <w:szCs w:val="22"/>
              </w:rPr>
              <w:t>第2戶以上購置住宅貸款</w:t>
            </w:r>
          </w:p>
        </w:tc>
        <w:tc>
          <w:tcPr>
            <w:tcW w:w="657" w:type="pct"/>
            <w:shd w:val="clear" w:color="auto" w:fill="auto"/>
            <w:vAlign w:val="center"/>
          </w:tcPr>
          <w:p w:rsidR="00F413FE" w:rsidRDefault="00BF0F46" w:rsidP="00BF0F46">
            <w:pPr>
              <w:spacing w:line="280" w:lineRule="exact"/>
              <w:ind w:leftChars="0" w:left="0" w:firstLineChars="0" w:firstLine="0"/>
              <w:rPr>
                <w:rFonts w:hAnsi="標楷體"/>
                <w:spacing w:val="-20"/>
                <w:sz w:val="22"/>
                <w:szCs w:val="22"/>
              </w:rPr>
            </w:pPr>
            <w:r w:rsidRPr="00507BD2">
              <w:rPr>
                <w:rFonts w:hAnsi="標楷體"/>
                <w:spacing w:val="-20"/>
                <w:sz w:val="22"/>
                <w:szCs w:val="22"/>
              </w:rPr>
              <w:t>5成，</w:t>
            </w:r>
          </w:p>
          <w:p w:rsidR="00BF0F46" w:rsidRPr="00507BD2" w:rsidRDefault="00F413FE" w:rsidP="00BF0F46">
            <w:pPr>
              <w:spacing w:line="280" w:lineRule="exact"/>
              <w:ind w:leftChars="0" w:left="0" w:firstLineChars="0" w:firstLine="0"/>
              <w:rPr>
                <w:rFonts w:hAnsi="標楷體"/>
                <w:spacing w:val="-20"/>
                <w:sz w:val="22"/>
                <w:szCs w:val="22"/>
              </w:rPr>
            </w:pPr>
            <w:r>
              <w:rPr>
                <w:rFonts w:hAnsi="標楷體" w:hint="eastAsia"/>
                <w:spacing w:val="-20"/>
                <w:sz w:val="22"/>
                <w:szCs w:val="22"/>
              </w:rPr>
              <w:t>無</w:t>
            </w:r>
            <w:r w:rsidR="00BF0F46" w:rsidRPr="00507BD2">
              <w:rPr>
                <w:rFonts w:hAnsi="標楷體"/>
                <w:spacing w:val="-20"/>
                <w:sz w:val="22"/>
                <w:szCs w:val="22"/>
              </w:rPr>
              <w:t>寬限期</w:t>
            </w:r>
          </w:p>
        </w:tc>
        <w:tc>
          <w:tcPr>
            <w:tcW w:w="641" w:type="pct"/>
            <w:vMerge/>
            <w:shd w:val="clear" w:color="auto" w:fill="auto"/>
            <w:tcMar>
              <w:left w:w="85" w:type="dxa"/>
              <w:right w:w="28" w:type="dxa"/>
            </w:tcMar>
            <w:vAlign w:val="center"/>
          </w:tcPr>
          <w:p w:rsidR="00BF0F46" w:rsidRPr="00507BD2" w:rsidRDefault="00BF0F46" w:rsidP="00BF0F46">
            <w:pPr>
              <w:spacing w:line="280" w:lineRule="exact"/>
              <w:ind w:leftChars="0" w:left="0" w:firstLineChars="0" w:firstLine="0"/>
              <w:rPr>
                <w:rFonts w:hAnsi="標楷體"/>
                <w:spacing w:val="-20"/>
                <w:sz w:val="22"/>
                <w:szCs w:val="22"/>
              </w:rPr>
            </w:pPr>
          </w:p>
        </w:tc>
        <w:tc>
          <w:tcPr>
            <w:tcW w:w="590" w:type="pct"/>
            <w:vMerge/>
          </w:tcPr>
          <w:p w:rsidR="00BF0F46" w:rsidRPr="00507BD2" w:rsidRDefault="00BF0F46" w:rsidP="00BF0F46">
            <w:pPr>
              <w:spacing w:line="280" w:lineRule="exact"/>
              <w:ind w:leftChars="0" w:left="0" w:firstLineChars="0" w:firstLine="0"/>
              <w:rPr>
                <w:rFonts w:hAnsi="標楷體"/>
                <w:spacing w:val="-20"/>
                <w:sz w:val="22"/>
                <w:szCs w:val="22"/>
              </w:rPr>
            </w:pPr>
          </w:p>
        </w:tc>
        <w:tc>
          <w:tcPr>
            <w:tcW w:w="537" w:type="pct"/>
            <w:vMerge/>
            <w:vAlign w:val="center"/>
          </w:tcPr>
          <w:p w:rsidR="00BF0F46" w:rsidRPr="00507BD2" w:rsidRDefault="00BF0F46" w:rsidP="00BF0F46">
            <w:pPr>
              <w:spacing w:line="280" w:lineRule="exact"/>
              <w:ind w:leftChars="0" w:left="0" w:firstLineChars="0" w:firstLine="0"/>
              <w:rPr>
                <w:rFonts w:hAnsi="標楷體"/>
                <w:spacing w:val="-20"/>
                <w:sz w:val="22"/>
                <w:szCs w:val="22"/>
              </w:rPr>
            </w:pPr>
          </w:p>
        </w:tc>
        <w:tc>
          <w:tcPr>
            <w:tcW w:w="537" w:type="pct"/>
            <w:vMerge/>
          </w:tcPr>
          <w:p w:rsidR="00BF0F46" w:rsidRPr="00507BD2" w:rsidRDefault="00BF0F46" w:rsidP="00BF0F46">
            <w:pPr>
              <w:spacing w:line="280" w:lineRule="exact"/>
              <w:ind w:leftChars="0" w:left="0" w:firstLineChars="0" w:firstLine="0"/>
              <w:rPr>
                <w:rFonts w:hAnsi="標楷體"/>
                <w:spacing w:val="-20"/>
                <w:sz w:val="22"/>
                <w:szCs w:val="22"/>
              </w:rPr>
            </w:pPr>
          </w:p>
        </w:tc>
        <w:tc>
          <w:tcPr>
            <w:tcW w:w="537" w:type="pct"/>
            <w:vMerge/>
          </w:tcPr>
          <w:p w:rsidR="00BF0F46" w:rsidRPr="00507BD2" w:rsidRDefault="00BF0F46" w:rsidP="00BF0F46">
            <w:pPr>
              <w:spacing w:line="280" w:lineRule="exact"/>
              <w:ind w:leftChars="0" w:left="0" w:firstLineChars="0" w:firstLine="0"/>
              <w:rPr>
                <w:rFonts w:hAnsi="標楷體"/>
                <w:spacing w:val="-20"/>
                <w:sz w:val="22"/>
                <w:szCs w:val="22"/>
              </w:rPr>
            </w:pPr>
          </w:p>
        </w:tc>
        <w:tc>
          <w:tcPr>
            <w:tcW w:w="485" w:type="pct"/>
            <w:vMerge/>
            <w:vAlign w:val="center"/>
          </w:tcPr>
          <w:p w:rsidR="00BF0F46" w:rsidRPr="00507BD2" w:rsidRDefault="00BF0F46" w:rsidP="00BF0F46">
            <w:pPr>
              <w:spacing w:line="280" w:lineRule="exact"/>
              <w:ind w:leftChars="0" w:left="0" w:firstLineChars="0" w:firstLine="0"/>
              <w:rPr>
                <w:rFonts w:hAnsi="標楷體"/>
                <w:spacing w:val="-20"/>
                <w:sz w:val="22"/>
                <w:szCs w:val="22"/>
              </w:rPr>
            </w:pPr>
          </w:p>
        </w:tc>
      </w:tr>
      <w:tr w:rsidR="00BF0F46" w:rsidRPr="00507BD2" w:rsidTr="00EB398E">
        <w:trPr>
          <w:trHeight w:val="20"/>
        </w:trPr>
        <w:tc>
          <w:tcPr>
            <w:tcW w:w="171" w:type="pct"/>
            <w:vMerge w:val="restart"/>
            <w:shd w:val="clear" w:color="auto" w:fill="auto"/>
            <w:vAlign w:val="center"/>
          </w:tcPr>
          <w:p w:rsidR="00BF0F46" w:rsidRPr="00507BD2" w:rsidRDefault="00BF0F46" w:rsidP="00BF0F46">
            <w:pPr>
              <w:spacing w:line="280" w:lineRule="exact"/>
              <w:ind w:leftChars="0" w:left="0" w:firstLineChars="0" w:firstLine="0"/>
              <w:rPr>
                <w:rFonts w:hAnsi="標楷體"/>
                <w:spacing w:val="-20"/>
                <w:sz w:val="22"/>
                <w:szCs w:val="22"/>
              </w:rPr>
            </w:pPr>
            <w:r w:rsidRPr="00507BD2">
              <w:rPr>
                <w:rFonts w:hAnsi="標楷體"/>
                <w:spacing w:val="-20"/>
                <w:sz w:val="22"/>
                <w:szCs w:val="22"/>
              </w:rPr>
              <w:t>自</w:t>
            </w:r>
          </w:p>
          <w:p w:rsidR="00BF0F46" w:rsidRPr="00507BD2" w:rsidRDefault="00BF0F46" w:rsidP="00BF0F46">
            <w:pPr>
              <w:spacing w:line="280" w:lineRule="exact"/>
              <w:ind w:leftChars="0" w:left="0" w:firstLineChars="0" w:firstLine="0"/>
              <w:rPr>
                <w:rFonts w:hAnsi="標楷體"/>
                <w:spacing w:val="-20"/>
                <w:sz w:val="22"/>
                <w:szCs w:val="22"/>
              </w:rPr>
            </w:pPr>
            <w:r w:rsidRPr="00507BD2">
              <w:rPr>
                <w:rFonts w:hAnsi="標楷體"/>
                <w:spacing w:val="-20"/>
                <w:sz w:val="22"/>
                <w:szCs w:val="22"/>
              </w:rPr>
              <w:t>然</w:t>
            </w:r>
          </w:p>
          <w:p w:rsidR="00BF0F46" w:rsidRPr="00507BD2" w:rsidRDefault="00BF0F46" w:rsidP="00BF0F46">
            <w:pPr>
              <w:spacing w:line="280" w:lineRule="exact"/>
              <w:ind w:leftChars="0" w:left="0" w:firstLineChars="0" w:firstLine="0"/>
              <w:rPr>
                <w:rFonts w:hAnsi="標楷體"/>
                <w:spacing w:val="-20"/>
                <w:sz w:val="22"/>
                <w:szCs w:val="22"/>
              </w:rPr>
            </w:pPr>
            <w:r w:rsidRPr="00507BD2">
              <w:rPr>
                <w:rFonts w:hAnsi="標楷體"/>
                <w:spacing w:val="-20"/>
                <w:sz w:val="22"/>
                <w:szCs w:val="22"/>
              </w:rPr>
              <w:t>人</w:t>
            </w:r>
          </w:p>
        </w:tc>
        <w:tc>
          <w:tcPr>
            <w:tcW w:w="845" w:type="pct"/>
            <w:shd w:val="clear" w:color="auto" w:fill="auto"/>
            <w:vAlign w:val="center"/>
          </w:tcPr>
          <w:p w:rsidR="00BF0F46" w:rsidRPr="00507BD2" w:rsidRDefault="00BF0F46" w:rsidP="00BF0F46">
            <w:pPr>
              <w:spacing w:line="280" w:lineRule="exact"/>
              <w:ind w:leftChars="0" w:left="0" w:firstLineChars="0" w:firstLine="0"/>
              <w:rPr>
                <w:rFonts w:hAnsi="標楷體"/>
                <w:spacing w:val="-20"/>
                <w:sz w:val="22"/>
                <w:szCs w:val="22"/>
              </w:rPr>
            </w:pPr>
            <w:r w:rsidRPr="00507BD2">
              <w:rPr>
                <w:rFonts w:hAnsi="標楷體"/>
                <w:spacing w:val="-20"/>
                <w:sz w:val="22"/>
                <w:szCs w:val="22"/>
              </w:rPr>
              <w:t>已有2戶以下房貸之購置高價住宅貸款</w:t>
            </w:r>
          </w:p>
        </w:tc>
        <w:tc>
          <w:tcPr>
            <w:tcW w:w="657" w:type="pct"/>
            <w:vMerge w:val="restart"/>
            <w:shd w:val="clear" w:color="auto" w:fill="auto"/>
            <w:vAlign w:val="center"/>
          </w:tcPr>
          <w:p w:rsidR="00BF0F46" w:rsidRPr="00507BD2" w:rsidRDefault="00BF0F46" w:rsidP="00BF0F46">
            <w:pPr>
              <w:spacing w:line="280" w:lineRule="exact"/>
              <w:ind w:leftChars="0" w:left="0" w:firstLineChars="0" w:firstLine="0"/>
              <w:rPr>
                <w:rFonts w:hAnsi="標楷體"/>
                <w:sz w:val="22"/>
                <w:szCs w:val="22"/>
              </w:rPr>
            </w:pPr>
            <w:r w:rsidRPr="00507BD2">
              <w:rPr>
                <w:rFonts w:hAnsi="標楷體" w:hint="eastAsia"/>
                <w:sz w:val="22"/>
                <w:szCs w:val="22"/>
              </w:rPr>
              <w:t>6成，</w:t>
            </w:r>
          </w:p>
          <w:p w:rsidR="00BF0F46" w:rsidRPr="00507BD2" w:rsidRDefault="00BF0F46" w:rsidP="00BF0F46">
            <w:pPr>
              <w:spacing w:line="280" w:lineRule="exact"/>
              <w:ind w:leftChars="0" w:left="0" w:firstLineChars="0" w:firstLine="0"/>
              <w:rPr>
                <w:rFonts w:hAnsi="標楷體"/>
                <w:sz w:val="22"/>
                <w:szCs w:val="22"/>
              </w:rPr>
            </w:pPr>
            <w:r w:rsidRPr="00507BD2">
              <w:rPr>
                <w:rFonts w:hAnsi="標楷體" w:hint="eastAsia"/>
                <w:sz w:val="22"/>
                <w:szCs w:val="22"/>
              </w:rPr>
              <w:t>無寬限期</w:t>
            </w:r>
          </w:p>
        </w:tc>
        <w:tc>
          <w:tcPr>
            <w:tcW w:w="641" w:type="pct"/>
            <w:shd w:val="clear" w:color="auto" w:fill="auto"/>
            <w:tcMar>
              <w:left w:w="85" w:type="dxa"/>
              <w:right w:w="28" w:type="dxa"/>
            </w:tcMar>
            <w:vAlign w:val="center"/>
          </w:tcPr>
          <w:p w:rsidR="00BF0F46" w:rsidRPr="00507BD2" w:rsidRDefault="00BF0F46" w:rsidP="00BF0F46">
            <w:pPr>
              <w:spacing w:line="280" w:lineRule="exact"/>
              <w:ind w:leftChars="0" w:left="0" w:firstLineChars="0" w:firstLine="0"/>
              <w:rPr>
                <w:rFonts w:hAnsi="標楷體"/>
                <w:spacing w:val="-20"/>
                <w:sz w:val="22"/>
                <w:szCs w:val="22"/>
              </w:rPr>
            </w:pPr>
            <w:r w:rsidRPr="00507BD2">
              <w:rPr>
                <w:rFonts w:hAnsi="標楷體"/>
                <w:spacing w:val="-20"/>
                <w:sz w:val="22"/>
                <w:szCs w:val="22"/>
              </w:rPr>
              <w:t>5.5成，</w:t>
            </w:r>
          </w:p>
          <w:p w:rsidR="00BF0F46" w:rsidRPr="00507BD2" w:rsidRDefault="00BF0F46" w:rsidP="00BF0F46">
            <w:pPr>
              <w:spacing w:line="280" w:lineRule="exact"/>
              <w:ind w:leftChars="0" w:left="0" w:firstLineChars="0" w:firstLine="0"/>
              <w:rPr>
                <w:rFonts w:hAnsi="標楷體"/>
                <w:spacing w:val="-20"/>
                <w:sz w:val="22"/>
                <w:szCs w:val="22"/>
              </w:rPr>
            </w:pPr>
            <w:r w:rsidRPr="00507BD2">
              <w:rPr>
                <w:rFonts w:hAnsi="標楷體"/>
                <w:spacing w:val="-20"/>
                <w:sz w:val="22"/>
                <w:szCs w:val="22"/>
              </w:rPr>
              <w:t>無寬限期</w:t>
            </w:r>
          </w:p>
        </w:tc>
        <w:tc>
          <w:tcPr>
            <w:tcW w:w="590" w:type="pct"/>
            <w:vMerge w:val="restart"/>
            <w:vAlign w:val="center"/>
          </w:tcPr>
          <w:p w:rsidR="00BF0F46" w:rsidRPr="00507BD2" w:rsidRDefault="00BF0F46" w:rsidP="00BF0F46">
            <w:pPr>
              <w:spacing w:line="280" w:lineRule="exact"/>
              <w:ind w:leftChars="0" w:left="0" w:firstLineChars="0" w:firstLine="0"/>
              <w:rPr>
                <w:rFonts w:hAnsi="標楷體"/>
                <w:spacing w:val="-20"/>
                <w:sz w:val="22"/>
                <w:szCs w:val="22"/>
              </w:rPr>
            </w:pPr>
            <w:r w:rsidRPr="00507BD2">
              <w:rPr>
                <w:rFonts w:hAnsi="標楷體" w:hint="eastAsia"/>
                <w:spacing w:val="-20"/>
                <w:sz w:val="22"/>
                <w:szCs w:val="22"/>
              </w:rPr>
              <w:t>維持不變</w:t>
            </w:r>
          </w:p>
        </w:tc>
        <w:tc>
          <w:tcPr>
            <w:tcW w:w="537" w:type="pct"/>
            <w:vAlign w:val="center"/>
          </w:tcPr>
          <w:p w:rsidR="00BF0F46" w:rsidRPr="00507BD2" w:rsidRDefault="00BF0F46" w:rsidP="00BF0F46">
            <w:pPr>
              <w:spacing w:line="280" w:lineRule="exact"/>
              <w:ind w:leftChars="0" w:left="0" w:firstLineChars="0" w:firstLine="0"/>
              <w:rPr>
                <w:rFonts w:hAnsi="標楷體"/>
                <w:spacing w:val="-20"/>
                <w:sz w:val="22"/>
                <w:szCs w:val="22"/>
              </w:rPr>
            </w:pPr>
            <w:r w:rsidRPr="00507BD2">
              <w:rPr>
                <w:rFonts w:hAnsi="標楷體"/>
                <w:spacing w:val="-20"/>
                <w:sz w:val="22"/>
                <w:szCs w:val="22"/>
              </w:rPr>
              <w:t>4成，</w:t>
            </w:r>
          </w:p>
          <w:p w:rsidR="00BF0F46" w:rsidRPr="00507BD2" w:rsidRDefault="00BF0F46" w:rsidP="00BF0F46">
            <w:pPr>
              <w:spacing w:line="280" w:lineRule="exact"/>
              <w:ind w:leftChars="0" w:left="0" w:firstLineChars="0" w:firstLine="0"/>
              <w:rPr>
                <w:rFonts w:hAnsi="標楷體"/>
                <w:spacing w:val="-20"/>
                <w:sz w:val="22"/>
                <w:szCs w:val="22"/>
              </w:rPr>
            </w:pPr>
            <w:r w:rsidRPr="00507BD2">
              <w:rPr>
                <w:rFonts w:hAnsi="標楷體"/>
                <w:spacing w:val="-20"/>
                <w:sz w:val="22"/>
                <w:szCs w:val="22"/>
              </w:rPr>
              <w:t>無寬限期</w:t>
            </w:r>
          </w:p>
        </w:tc>
        <w:tc>
          <w:tcPr>
            <w:tcW w:w="537" w:type="pct"/>
            <w:vMerge w:val="restart"/>
            <w:vAlign w:val="center"/>
          </w:tcPr>
          <w:p w:rsidR="00BF0F46" w:rsidRPr="00507BD2" w:rsidRDefault="00BF0F46" w:rsidP="00BF0F46">
            <w:pPr>
              <w:spacing w:line="280" w:lineRule="exact"/>
              <w:ind w:leftChars="0" w:left="0" w:firstLineChars="0" w:firstLine="0"/>
              <w:rPr>
                <w:rFonts w:hAnsi="標楷體"/>
                <w:spacing w:val="-20"/>
                <w:sz w:val="22"/>
                <w:szCs w:val="22"/>
              </w:rPr>
            </w:pPr>
            <w:r w:rsidRPr="00507BD2">
              <w:rPr>
                <w:rFonts w:hAnsi="標楷體"/>
                <w:spacing w:val="-20"/>
                <w:sz w:val="22"/>
                <w:szCs w:val="22"/>
              </w:rPr>
              <w:t>維持不變</w:t>
            </w:r>
          </w:p>
        </w:tc>
        <w:tc>
          <w:tcPr>
            <w:tcW w:w="537" w:type="pct"/>
            <w:vMerge w:val="restart"/>
            <w:vAlign w:val="center"/>
          </w:tcPr>
          <w:p w:rsidR="00BF0F46" w:rsidRPr="00507BD2" w:rsidRDefault="00BF0F46" w:rsidP="00BF0F46">
            <w:pPr>
              <w:spacing w:line="280" w:lineRule="exact"/>
              <w:ind w:leftChars="0" w:left="0" w:firstLineChars="0" w:firstLine="0"/>
              <w:rPr>
                <w:rFonts w:hAnsi="標楷體"/>
                <w:spacing w:val="-20"/>
                <w:sz w:val="22"/>
                <w:szCs w:val="22"/>
              </w:rPr>
            </w:pPr>
            <w:r w:rsidRPr="00507BD2">
              <w:rPr>
                <w:rFonts w:hAnsi="標楷體"/>
                <w:spacing w:val="-20"/>
                <w:sz w:val="22"/>
                <w:szCs w:val="22"/>
              </w:rPr>
              <w:t>維持不變</w:t>
            </w:r>
          </w:p>
        </w:tc>
        <w:tc>
          <w:tcPr>
            <w:tcW w:w="485" w:type="pct"/>
            <w:vMerge w:val="restart"/>
            <w:vAlign w:val="center"/>
          </w:tcPr>
          <w:p w:rsidR="00BF0F46" w:rsidRPr="00507BD2" w:rsidRDefault="00BF0F46" w:rsidP="00BF0F46">
            <w:pPr>
              <w:spacing w:line="280" w:lineRule="exact"/>
              <w:ind w:leftChars="0" w:left="0" w:firstLineChars="0" w:firstLine="0"/>
              <w:rPr>
                <w:rFonts w:hAnsi="標楷體"/>
                <w:spacing w:val="-20"/>
                <w:sz w:val="22"/>
                <w:szCs w:val="22"/>
              </w:rPr>
            </w:pPr>
            <w:r w:rsidRPr="00507BD2">
              <w:rPr>
                <w:rFonts w:hAnsi="標楷體" w:hint="eastAsia"/>
                <w:spacing w:val="-20"/>
                <w:sz w:val="22"/>
                <w:szCs w:val="22"/>
              </w:rPr>
              <w:t>3</w:t>
            </w:r>
            <w:r w:rsidRPr="00507BD2">
              <w:rPr>
                <w:rFonts w:hAnsi="標楷體"/>
                <w:spacing w:val="-20"/>
                <w:sz w:val="22"/>
                <w:szCs w:val="22"/>
              </w:rPr>
              <w:t>成，</w:t>
            </w:r>
          </w:p>
          <w:p w:rsidR="00BF0F46" w:rsidRPr="00507BD2" w:rsidRDefault="00F413FE" w:rsidP="00BF0F46">
            <w:pPr>
              <w:spacing w:line="280" w:lineRule="exact"/>
              <w:ind w:leftChars="0" w:left="0" w:firstLineChars="0" w:firstLine="0"/>
              <w:rPr>
                <w:rFonts w:hAnsi="標楷體"/>
                <w:spacing w:val="-20"/>
                <w:sz w:val="22"/>
                <w:szCs w:val="22"/>
              </w:rPr>
            </w:pPr>
            <w:r>
              <w:rPr>
                <w:rFonts w:hAnsi="標楷體" w:hint="eastAsia"/>
                <w:spacing w:val="-20"/>
                <w:sz w:val="22"/>
                <w:szCs w:val="22"/>
              </w:rPr>
              <w:t>無</w:t>
            </w:r>
            <w:r w:rsidR="00BF0F46" w:rsidRPr="00507BD2">
              <w:rPr>
                <w:rFonts w:hAnsi="標楷體"/>
                <w:spacing w:val="-20"/>
                <w:sz w:val="22"/>
                <w:szCs w:val="22"/>
              </w:rPr>
              <w:t>寬限期</w:t>
            </w:r>
          </w:p>
        </w:tc>
      </w:tr>
      <w:tr w:rsidR="00BF0F46" w:rsidRPr="00507BD2" w:rsidTr="00EB398E">
        <w:trPr>
          <w:trHeight w:val="20"/>
        </w:trPr>
        <w:tc>
          <w:tcPr>
            <w:tcW w:w="171" w:type="pct"/>
            <w:vMerge/>
            <w:shd w:val="clear" w:color="auto" w:fill="auto"/>
            <w:vAlign w:val="center"/>
          </w:tcPr>
          <w:p w:rsidR="00BF0F46" w:rsidRPr="00507BD2" w:rsidRDefault="00BF0F46" w:rsidP="00BF0F46">
            <w:pPr>
              <w:spacing w:line="280" w:lineRule="exact"/>
              <w:ind w:leftChars="0" w:left="0" w:firstLineChars="0" w:firstLine="0"/>
              <w:rPr>
                <w:rFonts w:hAnsi="標楷體"/>
                <w:spacing w:val="-20"/>
                <w:sz w:val="22"/>
                <w:szCs w:val="22"/>
              </w:rPr>
            </w:pPr>
          </w:p>
        </w:tc>
        <w:tc>
          <w:tcPr>
            <w:tcW w:w="845" w:type="pct"/>
            <w:shd w:val="clear" w:color="auto" w:fill="auto"/>
            <w:vAlign w:val="center"/>
          </w:tcPr>
          <w:p w:rsidR="00BF0F46" w:rsidRPr="00507BD2" w:rsidRDefault="00BF0F46" w:rsidP="00BF0F46">
            <w:pPr>
              <w:spacing w:line="280" w:lineRule="exact"/>
              <w:ind w:leftChars="0" w:left="0" w:firstLineChars="0" w:firstLine="0"/>
              <w:rPr>
                <w:rFonts w:hAnsi="標楷體"/>
                <w:spacing w:val="-20"/>
                <w:sz w:val="22"/>
                <w:szCs w:val="22"/>
              </w:rPr>
            </w:pPr>
            <w:r w:rsidRPr="00507BD2">
              <w:rPr>
                <w:rFonts w:hAnsi="標楷體"/>
                <w:spacing w:val="-20"/>
                <w:sz w:val="22"/>
                <w:szCs w:val="22"/>
              </w:rPr>
              <w:t>已有3戶以上房貸之購置高價住宅貸款</w:t>
            </w:r>
          </w:p>
        </w:tc>
        <w:tc>
          <w:tcPr>
            <w:tcW w:w="657" w:type="pct"/>
            <w:vMerge/>
            <w:shd w:val="clear" w:color="auto" w:fill="auto"/>
            <w:vAlign w:val="center"/>
          </w:tcPr>
          <w:p w:rsidR="00BF0F46" w:rsidRPr="00507BD2" w:rsidRDefault="00BF0F46" w:rsidP="00BF0F46">
            <w:pPr>
              <w:spacing w:line="280" w:lineRule="exact"/>
              <w:ind w:leftChars="0" w:left="0" w:firstLineChars="0" w:firstLine="0"/>
              <w:rPr>
                <w:rFonts w:hAnsi="標楷體"/>
                <w:spacing w:val="-20"/>
                <w:sz w:val="22"/>
                <w:szCs w:val="22"/>
              </w:rPr>
            </w:pPr>
          </w:p>
        </w:tc>
        <w:tc>
          <w:tcPr>
            <w:tcW w:w="641" w:type="pct"/>
            <w:shd w:val="clear" w:color="auto" w:fill="auto"/>
            <w:tcMar>
              <w:left w:w="85" w:type="dxa"/>
              <w:right w:w="28" w:type="dxa"/>
            </w:tcMar>
            <w:vAlign w:val="center"/>
          </w:tcPr>
          <w:p w:rsidR="00BF0F46" w:rsidRPr="00507BD2" w:rsidRDefault="00BF0F46" w:rsidP="00BF0F46">
            <w:pPr>
              <w:spacing w:line="280" w:lineRule="exact"/>
              <w:ind w:leftChars="0" w:left="0" w:firstLineChars="0" w:firstLine="0"/>
              <w:rPr>
                <w:rFonts w:hAnsi="標楷體"/>
                <w:spacing w:val="-20"/>
                <w:sz w:val="22"/>
                <w:szCs w:val="22"/>
              </w:rPr>
            </w:pPr>
            <w:r w:rsidRPr="00507BD2">
              <w:rPr>
                <w:rFonts w:hAnsi="標楷體"/>
                <w:spacing w:val="-20"/>
                <w:sz w:val="22"/>
                <w:szCs w:val="22"/>
              </w:rPr>
              <w:t>4成，</w:t>
            </w:r>
          </w:p>
          <w:p w:rsidR="00BF0F46" w:rsidRPr="00507BD2" w:rsidRDefault="00BF0F46" w:rsidP="00BF0F46">
            <w:pPr>
              <w:spacing w:line="280" w:lineRule="exact"/>
              <w:ind w:leftChars="0" w:left="0" w:firstLineChars="0" w:firstLine="0"/>
              <w:rPr>
                <w:rFonts w:hAnsi="標楷體"/>
                <w:spacing w:val="-20"/>
                <w:sz w:val="22"/>
                <w:szCs w:val="22"/>
              </w:rPr>
            </w:pPr>
            <w:r w:rsidRPr="00507BD2">
              <w:rPr>
                <w:rFonts w:hAnsi="標楷體"/>
                <w:spacing w:val="-20"/>
                <w:sz w:val="22"/>
                <w:szCs w:val="22"/>
              </w:rPr>
              <w:t>無寬限期</w:t>
            </w:r>
          </w:p>
        </w:tc>
        <w:tc>
          <w:tcPr>
            <w:tcW w:w="590" w:type="pct"/>
            <w:vMerge/>
            <w:vAlign w:val="center"/>
          </w:tcPr>
          <w:p w:rsidR="00BF0F46" w:rsidRPr="00507BD2" w:rsidRDefault="00BF0F46" w:rsidP="00BF0F46">
            <w:pPr>
              <w:spacing w:line="280" w:lineRule="exact"/>
              <w:ind w:leftChars="0" w:left="0" w:firstLineChars="0" w:firstLine="0"/>
              <w:rPr>
                <w:rFonts w:hAnsi="標楷體"/>
                <w:spacing w:val="-20"/>
                <w:sz w:val="22"/>
                <w:szCs w:val="22"/>
              </w:rPr>
            </w:pPr>
          </w:p>
        </w:tc>
        <w:tc>
          <w:tcPr>
            <w:tcW w:w="537" w:type="pct"/>
            <w:vAlign w:val="center"/>
          </w:tcPr>
          <w:p w:rsidR="00BF0F46" w:rsidRPr="00507BD2" w:rsidRDefault="00BF0F46" w:rsidP="00BF0F46">
            <w:pPr>
              <w:spacing w:line="280" w:lineRule="exact"/>
              <w:ind w:leftChars="0" w:left="0" w:firstLineChars="0" w:firstLine="0"/>
              <w:rPr>
                <w:rFonts w:hAnsi="標楷體"/>
                <w:spacing w:val="-20"/>
                <w:sz w:val="22"/>
                <w:szCs w:val="22"/>
              </w:rPr>
            </w:pPr>
            <w:r w:rsidRPr="00507BD2">
              <w:rPr>
                <w:rFonts w:hAnsi="標楷體"/>
                <w:spacing w:val="-20"/>
                <w:sz w:val="22"/>
                <w:szCs w:val="22"/>
              </w:rPr>
              <w:t>維持不變</w:t>
            </w:r>
          </w:p>
        </w:tc>
        <w:tc>
          <w:tcPr>
            <w:tcW w:w="537" w:type="pct"/>
            <w:vMerge/>
            <w:vAlign w:val="center"/>
          </w:tcPr>
          <w:p w:rsidR="00BF0F46" w:rsidRPr="00507BD2" w:rsidRDefault="00BF0F46" w:rsidP="00BF0F46">
            <w:pPr>
              <w:spacing w:line="280" w:lineRule="exact"/>
              <w:ind w:leftChars="0" w:left="0" w:firstLineChars="0" w:firstLine="0"/>
              <w:rPr>
                <w:rFonts w:hAnsi="標楷體"/>
                <w:spacing w:val="-20"/>
                <w:sz w:val="22"/>
                <w:szCs w:val="22"/>
              </w:rPr>
            </w:pPr>
          </w:p>
        </w:tc>
        <w:tc>
          <w:tcPr>
            <w:tcW w:w="537" w:type="pct"/>
            <w:vMerge/>
            <w:vAlign w:val="center"/>
          </w:tcPr>
          <w:p w:rsidR="00BF0F46" w:rsidRPr="00507BD2" w:rsidRDefault="00BF0F46" w:rsidP="00BF0F46">
            <w:pPr>
              <w:spacing w:line="280" w:lineRule="exact"/>
              <w:ind w:leftChars="0" w:left="0" w:firstLineChars="0" w:firstLine="0"/>
              <w:rPr>
                <w:rFonts w:hAnsi="標楷體"/>
                <w:spacing w:val="-20"/>
                <w:sz w:val="22"/>
                <w:szCs w:val="22"/>
              </w:rPr>
            </w:pPr>
          </w:p>
        </w:tc>
        <w:tc>
          <w:tcPr>
            <w:tcW w:w="485" w:type="pct"/>
            <w:vMerge/>
            <w:vAlign w:val="center"/>
          </w:tcPr>
          <w:p w:rsidR="00BF0F46" w:rsidRPr="00507BD2" w:rsidRDefault="00BF0F46" w:rsidP="00BF0F46">
            <w:pPr>
              <w:spacing w:line="280" w:lineRule="exact"/>
              <w:ind w:leftChars="0" w:left="0" w:firstLineChars="0" w:firstLine="0"/>
              <w:rPr>
                <w:rFonts w:hAnsi="標楷體"/>
                <w:spacing w:val="-20"/>
                <w:sz w:val="22"/>
                <w:szCs w:val="22"/>
              </w:rPr>
            </w:pPr>
          </w:p>
        </w:tc>
      </w:tr>
      <w:tr w:rsidR="00BF0F46" w:rsidRPr="00507BD2" w:rsidTr="00EB398E">
        <w:trPr>
          <w:trHeight w:val="20"/>
        </w:trPr>
        <w:tc>
          <w:tcPr>
            <w:tcW w:w="171" w:type="pct"/>
            <w:vMerge/>
            <w:shd w:val="clear" w:color="auto" w:fill="auto"/>
            <w:vAlign w:val="center"/>
          </w:tcPr>
          <w:p w:rsidR="00BF0F46" w:rsidRPr="00507BD2" w:rsidRDefault="00BF0F46" w:rsidP="00BF0F46">
            <w:pPr>
              <w:spacing w:line="280" w:lineRule="exact"/>
              <w:ind w:leftChars="0" w:left="0" w:firstLineChars="0" w:firstLine="0"/>
              <w:rPr>
                <w:rFonts w:hAnsi="標楷體"/>
                <w:spacing w:val="-20"/>
                <w:sz w:val="22"/>
                <w:szCs w:val="22"/>
              </w:rPr>
            </w:pPr>
          </w:p>
        </w:tc>
        <w:tc>
          <w:tcPr>
            <w:tcW w:w="845" w:type="pct"/>
            <w:shd w:val="clear" w:color="auto" w:fill="auto"/>
            <w:vAlign w:val="center"/>
          </w:tcPr>
          <w:p w:rsidR="00BF0F46" w:rsidRPr="00507BD2" w:rsidRDefault="00BF0F46" w:rsidP="00BF0F46">
            <w:pPr>
              <w:spacing w:line="280" w:lineRule="exact"/>
              <w:ind w:leftChars="0" w:left="0" w:firstLineChars="0" w:firstLine="0"/>
              <w:rPr>
                <w:rFonts w:hAnsi="標楷體"/>
                <w:spacing w:val="-20"/>
                <w:sz w:val="22"/>
                <w:szCs w:val="22"/>
              </w:rPr>
            </w:pPr>
            <w:r w:rsidRPr="00507BD2">
              <w:rPr>
                <w:rFonts w:hAnsi="標楷體" w:hint="eastAsia"/>
                <w:spacing w:val="-20"/>
                <w:sz w:val="22"/>
                <w:szCs w:val="22"/>
              </w:rPr>
              <w:t>名下有房屋者第1戶購屋貸款</w:t>
            </w:r>
          </w:p>
        </w:tc>
        <w:tc>
          <w:tcPr>
            <w:tcW w:w="657" w:type="pct"/>
            <w:shd w:val="clear" w:color="auto" w:fill="auto"/>
            <w:vAlign w:val="center"/>
          </w:tcPr>
          <w:p w:rsidR="00BF0F46" w:rsidRPr="00507BD2" w:rsidRDefault="00BF0F46" w:rsidP="00BF0F46">
            <w:pPr>
              <w:spacing w:line="280" w:lineRule="exact"/>
              <w:ind w:leftChars="0" w:left="0" w:firstLineChars="0" w:firstLine="0"/>
              <w:rPr>
                <w:rFonts w:hAnsi="標楷體"/>
                <w:spacing w:val="-20"/>
                <w:sz w:val="22"/>
                <w:szCs w:val="22"/>
              </w:rPr>
            </w:pPr>
            <w:r w:rsidRPr="00507BD2">
              <w:rPr>
                <w:rFonts w:hAnsi="標楷體"/>
                <w:spacing w:val="-20"/>
                <w:sz w:val="22"/>
                <w:szCs w:val="22"/>
              </w:rPr>
              <w:t>未規範</w:t>
            </w:r>
          </w:p>
        </w:tc>
        <w:tc>
          <w:tcPr>
            <w:tcW w:w="641" w:type="pct"/>
            <w:shd w:val="clear" w:color="auto" w:fill="auto"/>
            <w:vAlign w:val="center"/>
          </w:tcPr>
          <w:p w:rsidR="00BF0F46" w:rsidRPr="00507BD2" w:rsidRDefault="00BF0F46" w:rsidP="00BF0F46">
            <w:pPr>
              <w:spacing w:line="280" w:lineRule="exact"/>
              <w:ind w:leftChars="0" w:left="0" w:firstLineChars="0" w:firstLine="0"/>
              <w:rPr>
                <w:rFonts w:hAnsi="標楷體"/>
                <w:spacing w:val="-20"/>
                <w:sz w:val="22"/>
                <w:szCs w:val="22"/>
              </w:rPr>
            </w:pPr>
            <w:r w:rsidRPr="00507BD2">
              <w:rPr>
                <w:rFonts w:hAnsi="標楷體"/>
                <w:spacing w:val="-20"/>
                <w:sz w:val="22"/>
                <w:szCs w:val="22"/>
              </w:rPr>
              <w:t>未規範</w:t>
            </w:r>
          </w:p>
        </w:tc>
        <w:tc>
          <w:tcPr>
            <w:tcW w:w="590" w:type="pct"/>
            <w:vAlign w:val="center"/>
          </w:tcPr>
          <w:p w:rsidR="00BF0F46" w:rsidRPr="00507BD2" w:rsidRDefault="00BF0F46" w:rsidP="00BF0F46">
            <w:pPr>
              <w:spacing w:line="280" w:lineRule="exact"/>
              <w:ind w:leftChars="0" w:left="0" w:firstLineChars="0" w:firstLine="0"/>
              <w:rPr>
                <w:rFonts w:hAnsi="標楷體"/>
                <w:spacing w:val="-20"/>
                <w:sz w:val="22"/>
                <w:szCs w:val="22"/>
              </w:rPr>
            </w:pPr>
            <w:r w:rsidRPr="00507BD2">
              <w:rPr>
                <w:rFonts w:hAnsi="標楷體"/>
                <w:spacing w:val="-20"/>
                <w:sz w:val="22"/>
                <w:szCs w:val="22"/>
              </w:rPr>
              <w:t>未規範</w:t>
            </w:r>
          </w:p>
        </w:tc>
        <w:tc>
          <w:tcPr>
            <w:tcW w:w="537" w:type="pct"/>
            <w:vAlign w:val="center"/>
          </w:tcPr>
          <w:p w:rsidR="00BF0F46" w:rsidRPr="00507BD2" w:rsidRDefault="00BF0F46" w:rsidP="00BF0F46">
            <w:pPr>
              <w:spacing w:line="280" w:lineRule="exact"/>
              <w:ind w:leftChars="0" w:left="0" w:firstLineChars="0" w:firstLine="0"/>
              <w:rPr>
                <w:rFonts w:hAnsi="標楷體"/>
                <w:spacing w:val="-20"/>
                <w:sz w:val="22"/>
                <w:szCs w:val="22"/>
              </w:rPr>
            </w:pPr>
            <w:r w:rsidRPr="00507BD2">
              <w:rPr>
                <w:rFonts w:hAnsi="標楷體"/>
                <w:spacing w:val="-20"/>
                <w:sz w:val="22"/>
                <w:szCs w:val="22"/>
              </w:rPr>
              <w:t>未規範</w:t>
            </w:r>
          </w:p>
        </w:tc>
        <w:tc>
          <w:tcPr>
            <w:tcW w:w="537" w:type="pct"/>
            <w:vAlign w:val="center"/>
          </w:tcPr>
          <w:p w:rsidR="00BF0F46" w:rsidRPr="00507BD2" w:rsidRDefault="00BF0F46" w:rsidP="00BF0F46">
            <w:pPr>
              <w:spacing w:line="280" w:lineRule="exact"/>
              <w:ind w:leftChars="0" w:left="0" w:firstLineChars="0" w:firstLine="0"/>
              <w:rPr>
                <w:rFonts w:hAnsi="標楷體"/>
                <w:spacing w:val="-20"/>
                <w:sz w:val="22"/>
                <w:szCs w:val="22"/>
              </w:rPr>
            </w:pPr>
            <w:r w:rsidRPr="00507BD2">
              <w:rPr>
                <w:rFonts w:hAnsi="標楷體"/>
                <w:spacing w:val="-20"/>
                <w:sz w:val="22"/>
                <w:szCs w:val="22"/>
              </w:rPr>
              <w:t>未規範</w:t>
            </w:r>
          </w:p>
        </w:tc>
        <w:tc>
          <w:tcPr>
            <w:tcW w:w="537" w:type="pct"/>
            <w:vAlign w:val="center"/>
          </w:tcPr>
          <w:p w:rsidR="00BF0F46" w:rsidRPr="00507BD2" w:rsidRDefault="00BF0F46" w:rsidP="00BF0F46">
            <w:pPr>
              <w:spacing w:line="280" w:lineRule="exact"/>
              <w:ind w:leftChars="0" w:left="0" w:firstLineChars="0" w:firstLine="0"/>
              <w:rPr>
                <w:rFonts w:hAnsi="標楷體"/>
                <w:spacing w:val="-20"/>
                <w:sz w:val="22"/>
                <w:szCs w:val="22"/>
              </w:rPr>
            </w:pPr>
            <w:r w:rsidRPr="00507BD2">
              <w:rPr>
                <w:rFonts w:hAnsi="標楷體"/>
                <w:spacing w:val="-20"/>
                <w:sz w:val="22"/>
                <w:szCs w:val="22"/>
              </w:rPr>
              <w:t>未規範</w:t>
            </w:r>
          </w:p>
        </w:tc>
        <w:tc>
          <w:tcPr>
            <w:tcW w:w="485" w:type="pct"/>
            <w:vAlign w:val="center"/>
          </w:tcPr>
          <w:p w:rsidR="00BF0F46" w:rsidRPr="00507BD2" w:rsidRDefault="00BF0F46" w:rsidP="00BF0F46">
            <w:pPr>
              <w:spacing w:line="280" w:lineRule="exact"/>
              <w:ind w:leftChars="0" w:left="0" w:firstLineChars="0" w:firstLine="0"/>
              <w:rPr>
                <w:rFonts w:hAnsi="標楷體" w:hint="eastAsia"/>
                <w:spacing w:val="-20"/>
                <w:sz w:val="22"/>
                <w:szCs w:val="22"/>
              </w:rPr>
            </w:pPr>
            <w:r w:rsidRPr="00507BD2">
              <w:rPr>
                <w:rFonts w:hAnsi="標楷體"/>
                <w:spacing w:val="-20"/>
                <w:sz w:val="22"/>
                <w:szCs w:val="22"/>
              </w:rPr>
              <w:t>無寬限期</w:t>
            </w:r>
          </w:p>
        </w:tc>
      </w:tr>
      <w:tr w:rsidR="00BF0F46" w:rsidRPr="00507BD2" w:rsidTr="00EB398E">
        <w:trPr>
          <w:trHeight w:val="20"/>
        </w:trPr>
        <w:tc>
          <w:tcPr>
            <w:tcW w:w="171" w:type="pct"/>
            <w:vMerge/>
            <w:shd w:val="clear" w:color="auto" w:fill="auto"/>
          </w:tcPr>
          <w:p w:rsidR="00BF0F46" w:rsidRPr="00507BD2" w:rsidRDefault="00BF0F46" w:rsidP="00BF0F46">
            <w:pPr>
              <w:spacing w:line="280" w:lineRule="exact"/>
              <w:ind w:leftChars="0" w:left="0" w:firstLineChars="0" w:firstLine="0"/>
              <w:rPr>
                <w:rFonts w:hAnsi="標楷體"/>
                <w:spacing w:val="-20"/>
                <w:sz w:val="22"/>
                <w:szCs w:val="22"/>
              </w:rPr>
            </w:pPr>
          </w:p>
        </w:tc>
        <w:tc>
          <w:tcPr>
            <w:tcW w:w="845" w:type="pct"/>
            <w:shd w:val="clear" w:color="auto" w:fill="auto"/>
            <w:vAlign w:val="center"/>
          </w:tcPr>
          <w:p w:rsidR="00BF0F46" w:rsidRPr="00507BD2" w:rsidRDefault="00BF0F46" w:rsidP="00BF0F46">
            <w:pPr>
              <w:spacing w:line="280" w:lineRule="exact"/>
              <w:ind w:leftChars="0" w:left="0" w:firstLineChars="0" w:firstLine="0"/>
              <w:rPr>
                <w:rFonts w:hAnsi="標楷體"/>
                <w:spacing w:val="-20"/>
                <w:sz w:val="22"/>
                <w:szCs w:val="22"/>
              </w:rPr>
            </w:pPr>
            <w:r w:rsidRPr="00507BD2">
              <w:rPr>
                <w:rFonts w:hAnsi="標楷體"/>
                <w:spacing w:val="-20"/>
                <w:sz w:val="22"/>
                <w:szCs w:val="22"/>
              </w:rPr>
              <w:t>第2戶購屋貸款</w:t>
            </w:r>
          </w:p>
        </w:tc>
        <w:tc>
          <w:tcPr>
            <w:tcW w:w="657" w:type="pct"/>
            <w:shd w:val="clear" w:color="auto" w:fill="auto"/>
            <w:vAlign w:val="center"/>
          </w:tcPr>
          <w:p w:rsidR="00BF0F46" w:rsidRPr="00507BD2" w:rsidRDefault="00BF0F46" w:rsidP="00BF0F46">
            <w:pPr>
              <w:spacing w:line="280" w:lineRule="exact"/>
              <w:ind w:leftChars="0" w:left="0" w:firstLineChars="0" w:firstLine="0"/>
              <w:rPr>
                <w:rFonts w:hAnsi="標楷體"/>
                <w:spacing w:val="-20"/>
                <w:sz w:val="22"/>
                <w:szCs w:val="22"/>
              </w:rPr>
            </w:pPr>
            <w:r w:rsidRPr="00507BD2">
              <w:rPr>
                <w:rFonts w:hAnsi="標楷體"/>
                <w:spacing w:val="-20"/>
                <w:sz w:val="22"/>
                <w:szCs w:val="22"/>
              </w:rPr>
              <w:t>未規範</w:t>
            </w:r>
          </w:p>
        </w:tc>
        <w:tc>
          <w:tcPr>
            <w:tcW w:w="641" w:type="pct"/>
            <w:shd w:val="clear" w:color="auto" w:fill="auto"/>
            <w:vAlign w:val="center"/>
          </w:tcPr>
          <w:p w:rsidR="00BF0F46" w:rsidRPr="00507BD2" w:rsidRDefault="00BF0F46" w:rsidP="00BF0F46">
            <w:pPr>
              <w:spacing w:line="280" w:lineRule="exact"/>
              <w:ind w:leftChars="0" w:left="0" w:firstLineChars="0" w:firstLine="0"/>
              <w:rPr>
                <w:rFonts w:hAnsi="標楷體"/>
                <w:spacing w:val="-20"/>
                <w:sz w:val="22"/>
                <w:szCs w:val="22"/>
              </w:rPr>
            </w:pPr>
            <w:r w:rsidRPr="00507BD2">
              <w:rPr>
                <w:rFonts w:hAnsi="標楷體"/>
                <w:spacing w:val="-20"/>
                <w:sz w:val="22"/>
                <w:szCs w:val="22"/>
              </w:rPr>
              <w:t>未規範</w:t>
            </w:r>
          </w:p>
        </w:tc>
        <w:tc>
          <w:tcPr>
            <w:tcW w:w="590" w:type="pct"/>
            <w:vAlign w:val="center"/>
          </w:tcPr>
          <w:p w:rsidR="00BF0F46" w:rsidRPr="00507BD2" w:rsidRDefault="00BF0F46" w:rsidP="00F413FE">
            <w:pPr>
              <w:overflowPunct w:val="0"/>
              <w:autoSpaceDE w:val="0"/>
              <w:autoSpaceDN w:val="0"/>
              <w:spacing w:line="280" w:lineRule="exact"/>
              <w:ind w:leftChars="0" w:left="0" w:firstLineChars="0" w:firstLine="0"/>
              <w:rPr>
                <w:rFonts w:hAnsi="標楷體"/>
                <w:spacing w:val="-20"/>
                <w:sz w:val="22"/>
                <w:szCs w:val="22"/>
              </w:rPr>
            </w:pPr>
            <w:r w:rsidRPr="00507BD2">
              <w:rPr>
                <w:rFonts w:hAnsi="標楷體" w:hint="eastAsia"/>
                <w:spacing w:val="-20"/>
                <w:sz w:val="22"/>
                <w:szCs w:val="22"/>
              </w:rPr>
              <w:t>特定地區</w:t>
            </w:r>
            <w:r w:rsidRPr="00F413FE">
              <w:rPr>
                <w:rFonts w:hAnsi="標楷體" w:hint="eastAsia"/>
                <w:sz w:val="22"/>
                <w:szCs w:val="22"/>
                <w:vertAlign w:val="superscript"/>
              </w:rPr>
              <w:t>說明1</w:t>
            </w:r>
            <w:r w:rsidRPr="00507BD2">
              <w:rPr>
                <w:rFonts w:hAnsi="標楷體"/>
                <w:spacing w:val="-20"/>
                <w:sz w:val="22"/>
                <w:szCs w:val="22"/>
              </w:rPr>
              <w:t>無寬限期</w:t>
            </w:r>
          </w:p>
        </w:tc>
        <w:tc>
          <w:tcPr>
            <w:tcW w:w="537" w:type="pct"/>
            <w:vAlign w:val="center"/>
          </w:tcPr>
          <w:p w:rsidR="00BF0F46" w:rsidRPr="00507BD2" w:rsidRDefault="00BF0F46" w:rsidP="00BF0F46">
            <w:pPr>
              <w:spacing w:line="280" w:lineRule="exact"/>
              <w:ind w:leftChars="0" w:left="0" w:firstLineChars="0" w:firstLine="0"/>
              <w:rPr>
                <w:rFonts w:hAnsi="標楷體"/>
                <w:spacing w:val="-20"/>
                <w:sz w:val="22"/>
                <w:szCs w:val="22"/>
              </w:rPr>
            </w:pPr>
            <w:r w:rsidRPr="00507BD2">
              <w:rPr>
                <w:rFonts w:hAnsi="標楷體"/>
                <w:spacing w:val="-20"/>
                <w:sz w:val="22"/>
                <w:szCs w:val="22"/>
              </w:rPr>
              <w:t>維持不變</w:t>
            </w:r>
          </w:p>
        </w:tc>
        <w:tc>
          <w:tcPr>
            <w:tcW w:w="537" w:type="pct"/>
            <w:vAlign w:val="center"/>
          </w:tcPr>
          <w:p w:rsidR="00BF0F46" w:rsidRPr="00507BD2" w:rsidRDefault="00BF0F46" w:rsidP="00F413FE">
            <w:pPr>
              <w:overflowPunct w:val="0"/>
              <w:autoSpaceDE w:val="0"/>
              <w:autoSpaceDN w:val="0"/>
              <w:spacing w:line="280" w:lineRule="exact"/>
              <w:ind w:leftChars="0" w:left="0" w:firstLineChars="0" w:firstLine="0"/>
              <w:rPr>
                <w:rFonts w:hAnsi="標楷體"/>
                <w:spacing w:val="-20"/>
                <w:sz w:val="22"/>
                <w:szCs w:val="22"/>
              </w:rPr>
            </w:pPr>
            <w:r w:rsidRPr="00507BD2">
              <w:rPr>
                <w:rFonts w:hAnsi="標楷體" w:hint="eastAsia"/>
                <w:spacing w:val="-20"/>
                <w:sz w:val="22"/>
                <w:szCs w:val="22"/>
              </w:rPr>
              <w:t>特定地區</w:t>
            </w:r>
            <w:r w:rsidRPr="00F413FE">
              <w:rPr>
                <w:rFonts w:hAnsi="標楷體" w:hint="eastAsia"/>
                <w:sz w:val="22"/>
                <w:szCs w:val="22"/>
                <w:vertAlign w:val="superscript"/>
              </w:rPr>
              <w:t>說明1</w:t>
            </w:r>
            <w:r w:rsidRPr="00507BD2">
              <w:rPr>
                <w:rFonts w:hAnsi="標楷體"/>
                <w:spacing w:val="-20"/>
                <w:sz w:val="22"/>
                <w:szCs w:val="22"/>
              </w:rPr>
              <w:t>7成，無寬限期</w:t>
            </w:r>
          </w:p>
        </w:tc>
        <w:tc>
          <w:tcPr>
            <w:tcW w:w="537" w:type="pct"/>
            <w:vAlign w:val="center"/>
          </w:tcPr>
          <w:p w:rsidR="00BF0F46" w:rsidRPr="00507BD2" w:rsidRDefault="00BF0F46" w:rsidP="00F413FE">
            <w:pPr>
              <w:overflowPunct w:val="0"/>
              <w:autoSpaceDE w:val="0"/>
              <w:autoSpaceDN w:val="0"/>
              <w:spacing w:line="280" w:lineRule="exact"/>
              <w:ind w:leftChars="0" w:left="0" w:firstLineChars="0" w:firstLine="0"/>
              <w:rPr>
                <w:rFonts w:hAnsi="標楷體"/>
                <w:spacing w:val="-20"/>
                <w:sz w:val="22"/>
                <w:szCs w:val="22"/>
              </w:rPr>
            </w:pPr>
            <w:r w:rsidRPr="00507BD2">
              <w:rPr>
                <w:rFonts w:hAnsi="標楷體" w:hint="eastAsia"/>
                <w:spacing w:val="-20"/>
                <w:sz w:val="22"/>
                <w:szCs w:val="22"/>
              </w:rPr>
              <w:t>特定地區</w:t>
            </w:r>
            <w:r w:rsidRPr="00F413FE">
              <w:rPr>
                <w:rFonts w:hAnsi="標楷體" w:hint="eastAsia"/>
                <w:sz w:val="22"/>
                <w:szCs w:val="22"/>
                <w:vertAlign w:val="superscript"/>
              </w:rPr>
              <w:t>說明1</w:t>
            </w:r>
            <w:r w:rsidRPr="00507BD2">
              <w:rPr>
                <w:rFonts w:hAnsi="標楷體"/>
                <w:spacing w:val="-20"/>
                <w:sz w:val="22"/>
                <w:szCs w:val="22"/>
              </w:rPr>
              <w:t>6成，無寬限期</w:t>
            </w:r>
          </w:p>
        </w:tc>
        <w:tc>
          <w:tcPr>
            <w:tcW w:w="485" w:type="pct"/>
            <w:vAlign w:val="center"/>
          </w:tcPr>
          <w:p w:rsidR="00BF0F46" w:rsidRPr="00507BD2" w:rsidRDefault="00BF0F46" w:rsidP="00BF0F46">
            <w:pPr>
              <w:spacing w:line="280" w:lineRule="exact"/>
              <w:ind w:leftChars="0" w:left="0" w:firstLineChars="0" w:firstLine="0"/>
              <w:rPr>
                <w:rFonts w:hAnsi="標楷體"/>
                <w:spacing w:val="-20"/>
                <w:sz w:val="22"/>
                <w:szCs w:val="22"/>
              </w:rPr>
            </w:pPr>
            <w:r w:rsidRPr="00507BD2">
              <w:rPr>
                <w:rFonts w:hAnsi="標楷體" w:hint="eastAsia"/>
                <w:b/>
                <w:spacing w:val="-20"/>
                <w:sz w:val="22"/>
                <w:szCs w:val="22"/>
              </w:rPr>
              <w:t>全國</w:t>
            </w:r>
            <w:r w:rsidRPr="00507BD2">
              <w:rPr>
                <w:rFonts w:hAnsi="標楷體" w:hint="eastAsia"/>
                <w:spacing w:val="-20"/>
                <w:sz w:val="22"/>
                <w:szCs w:val="22"/>
              </w:rPr>
              <w:t>5</w:t>
            </w:r>
            <w:r w:rsidRPr="00507BD2">
              <w:rPr>
                <w:rFonts w:hAnsi="標楷體"/>
                <w:spacing w:val="-20"/>
                <w:sz w:val="22"/>
                <w:szCs w:val="22"/>
              </w:rPr>
              <w:t>成，無寬限期</w:t>
            </w:r>
          </w:p>
        </w:tc>
      </w:tr>
      <w:tr w:rsidR="00BF0F46" w:rsidRPr="00507BD2" w:rsidTr="00EB398E">
        <w:trPr>
          <w:trHeight w:val="20"/>
        </w:trPr>
        <w:tc>
          <w:tcPr>
            <w:tcW w:w="171" w:type="pct"/>
            <w:vMerge/>
            <w:shd w:val="clear" w:color="auto" w:fill="auto"/>
          </w:tcPr>
          <w:p w:rsidR="00BF0F46" w:rsidRPr="00507BD2" w:rsidRDefault="00BF0F46" w:rsidP="00BF0F46">
            <w:pPr>
              <w:spacing w:line="280" w:lineRule="exact"/>
              <w:ind w:leftChars="0" w:left="0" w:firstLineChars="0" w:firstLine="0"/>
              <w:rPr>
                <w:rFonts w:hAnsi="標楷體"/>
                <w:spacing w:val="-20"/>
                <w:sz w:val="22"/>
                <w:szCs w:val="22"/>
              </w:rPr>
            </w:pPr>
          </w:p>
        </w:tc>
        <w:tc>
          <w:tcPr>
            <w:tcW w:w="845" w:type="pct"/>
            <w:shd w:val="clear" w:color="auto" w:fill="auto"/>
            <w:vAlign w:val="center"/>
          </w:tcPr>
          <w:p w:rsidR="00BF0F46" w:rsidRPr="00507BD2" w:rsidRDefault="00BF0F46" w:rsidP="00BF0F46">
            <w:pPr>
              <w:spacing w:line="280" w:lineRule="exact"/>
              <w:ind w:leftChars="0" w:left="0" w:firstLineChars="0" w:firstLine="0"/>
              <w:rPr>
                <w:rFonts w:hAnsi="標楷體"/>
                <w:spacing w:val="-20"/>
                <w:sz w:val="22"/>
                <w:szCs w:val="22"/>
              </w:rPr>
            </w:pPr>
            <w:r w:rsidRPr="00507BD2">
              <w:rPr>
                <w:rFonts w:hAnsi="標楷體"/>
                <w:spacing w:val="-20"/>
                <w:sz w:val="22"/>
                <w:szCs w:val="22"/>
              </w:rPr>
              <w:t>第3戶購屋貸款</w:t>
            </w:r>
          </w:p>
        </w:tc>
        <w:tc>
          <w:tcPr>
            <w:tcW w:w="657" w:type="pct"/>
            <w:shd w:val="clear" w:color="auto" w:fill="auto"/>
            <w:vAlign w:val="center"/>
          </w:tcPr>
          <w:p w:rsidR="00BF0F46" w:rsidRPr="00507BD2" w:rsidRDefault="00BF0F46" w:rsidP="00BF0F46">
            <w:pPr>
              <w:spacing w:line="280" w:lineRule="exact"/>
              <w:ind w:leftChars="0" w:left="0" w:firstLineChars="0" w:firstLine="0"/>
              <w:rPr>
                <w:rFonts w:hAnsi="標楷體"/>
                <w:sz w:val="22"/>
                <w:szCs w:val="22"/>
              </w:rPr>
            </w:pPr>
            <w:r w:rsidRPr="00507BD2">
              <w:rPr>
                <w:rFonts w:hAnsi="標楷體"/>
                <w:sz w:val="22"/>
                <w:szCs w:val="22"/>
              </w:rPr>
              <w:t>6成，無寬限期</w:t>
            </w:r>
          </w:p>
        </w:tc>
        <w:tc>
          <w:tcPr>
            <w:tcW w:w="641" w:type="pct"/>
            <w:shd w:val="clear" w:color="auto" w:fill="auto"/>
            <w:tcMar>
              <w:left w:w="57" w:type="dxa"/>
              <w:right w:w="28" w:type="dxa"/>
            </w:tcMar>
            <w:vAlign w:val="center"/>
          </w:tcPr>
          <w:p w:rsidR="00BF0F46" w:rsidRPr="00507BD2" w:rsidRDefault="00BF0F46" w:rsidP="00BF0F46">
            <w:pPr>
              <w:spacing w:line="280" w:lineRule="exact"/>
              <w:ind w:leftChars="0" w:left="0" w:firstLineChars="0" w:firstLine="0"/>
              <w:rPr>
                <w:rFonts w:hAnsi="標楷體"/>
                <w:spacing w:val="-20"/>
                <w:sz w:val="22"/>
                <w:szCs w:val="22"/>
              </w:rPr>
            </w:pPr>
            <w:r w:rsidRPr="00507BD2">
              <w:rPr>
                <w:rFonts w:hAnsi="標楷體"/>
                <w:spacing w:val="-20"/>
                <w:sz w:val="22"/>
                <w:szCs w:val="22"/>
              </w:rPr>
              <w:t>5.5成，無寬限期</w:t>
            </w:r>
          </w:p>
        </w:tc>
        <w:tc>
          <w:tcPr>
            <w:tcW w:w="590" w:type="pct"/>
            <w:vAlign w:val="center"/>
          </w:tcPr>
          <w:p w:rsidR="00BF0F46" w:rsidRPr="00507BD2" w:rsidRDefault="00BF0F46" w:rsidP="00BF0F46">
            <w:pPr>
              <w:spacing w:line="280" w:lineRule="exact"/>
              <w:ind w:leftChars="0" w:left="0" w:firstLineChars="0" w:firstLine="0"/>
              <w:rPr>
                <w:rFonts w:hAnsi="標楷體"/>
                <w:spacing w:val="-20"/>
                <w:sz w:val="22"/>
                <w:szCs w:val="22"/>
              </w:rPr>
            </w:pPr>
            <w:r w:rsidRPr="00507BD2">
              <w:rPr>
                <w:rFonts w:hAnsi="標楷體"/>
                <w:spacing w:val="-20"/>
                <w:sz w:val="22"/>
                <w:szCs w:val="22"/>
              </w:rPr>
              <w:t>維持不變</w:t>
            </w:r>
          </w:p>
        </w:tc>
        <w:tc>
          <w:tcPr>
            <w:tcW w:w="537" w:type="pct"/>
            <w:vMerge w:val="restart"/>
            <w:vAlign w:val="center"/>
          </w:tcPr>
          <w:p w:rsidR="00BF0F46" w:rsidRPr="00507BD2" w:rsidRDefault="00BF0F46" w:rsidP="00BF0F46">
            <w:pPr>
              <w:spacing w:line="280" w:lineRule="exact"/>
              <w:ind w:leftChars="0" w:left="0" w:firstLineChars="0" w:firstLine="0"/>
              <w:rPr>
                <w:rFonts w:hAnsi="標楷體"/>
                <w:spacing w:val="-20"/>
                <w:sz w:val="22"/>
                <w:szCs w:val="22"/>
              </w:rPr>
            </w:pPr>
            <w:r w:rsidRPr="00507BD2">
              <w:rPr>
                <w:rFonts w:hAnsi="標楷體"/>
                <w:spacing w:val="-20"/>
                <w:sz w:val="22"/>
                <w:szCs w:val="22"/>
              </w:rPr>
              <w:t>4成，無寬限期</w:t>
            </w:r>
          </w:p>
        </w:tc>
        <w:tc>
          <w:tcPr>
            <w:tcW w:w="537" w:type="pct"/>
            <w:vMerge w:val="restart"/>
            <w:vAlign w:val="center"/>
          </w:tcPr>
          <w:p w:rsidR="00BF0F46" w:rsidRPr="00507BD2" w:rsidRDefault="00BF0F46" w:rsidP="00BF0F46">
            <w:pPr>
              <w:spacing w:line="280" w:lineRule="exact"/>
              <w:ind w:leftChars="0" w:left="0" w:firstLineChars="0" w:firstLine="0"/>
              <w:rPr>
                <w:rFonts w:hAnsi="標楷體"/>
                <w:spacing w:val="-20"/>
                <w:sz w:val="22"/>
                <w:szCs w:val="22"/>
              </w:rPr>
            </w:pPr>
            <w:r w:rsidRPr="00507BD2">
              <w:rPr>
                <w:rFonts w:hAnsi="標楷體"/>
                <w:spacing w:val="-20"/>
                <w:sz w:val="22"/>
                <w:szCs w:val="22"/>
              </w:rPr>
              <w:t>維持不變</w:t>
            </w:r>
          </w:p>
        </w:tc>
        <w:tc>
          <w:tcPr>
            <w:tcW w:w="537" w:type="pct"/>
            <w:vMerge w:val="restart"/>
            <w:vAlign w:val="center"/>
          </w:tcPr>
          <w:p w:rsidR="00BF0F46" w:rsidRPr="00507BD2" w:rsidRDefault="00BF0F46" w:rsidP="00BF0F46">
            <w:pPr>
              <w:spacing w:line="280" w:lineRule="exact"/>
              <w:ind w:leftChars="0" w:left="0" w:firstLineChars="0" w:firstLine="0"/>
              <w:rPr>
                <w:rFonts w:hAnsi="標楷體"/>
                <w:spacing w:val="-20"/>
                <w:sz w:val="22"/>
                <w:szCs w:val="22"/>
              </w:rPr>
            </w:pPr>
            <w:r w:rsidRPr="00507BD2">
              <w:rPr>
                <w:rFonts w:hAnsi="標楷體"/>
                <w:spacing w:val="-20"/>
                <w:sz w:val="22"/>
                <w:szCs w:val="22"/>
              </w:rPr>
              <w:t>維持不變</w:t>
            </w:r>
          </w:p>
        </w:tc>
        <w:tc>
          <w:tcPr>
            <w:tcW w:w="485" w:type="pct"/>
            <w:vMerge w:val="restart"/>
            <w:vAlign w:val="center"/>
          </w:tcPr>
          <w:p w:rsidR="00BF0F46" w:rsidRPr="00507BD2" w:rsidRDefault="00BF0F46" w:rsidP="00BF0F46">
            <w:pPr>
              <w:spacing w:line="280" w:lineRule="exact"/>
              <w:ind w:leftChars="0" w:left="0" w:firstLineChars="0" w:firstLine="0"/>
              <w:rPr>
                <w:rFonts w:hAnsi="標楷體"/>
                <w:spacing w:val="-20"/>
                <w:sz w:val="22"/>
                <w:szCs w:val="22"/>
              </w:rPr>
            </w:pPr>
            <w:r w:rsidRPr="00507BD2">
              <w:rPr>
                <w:rFonts w:hAnsi="標楷體" w:hint="eastAsia"/>
                <w:spacing w:val="-20"/>
                <w:sz w:val="22"/>
                <w:szCs w:val="22"/>
              </w:rPr>
              <w:t>3</w:t>
            </w:r>
            <w:r w:rsidRPr="00507BD2">
              <w:rPr>
                <w:rFonts w:hAnsi="標楷體"/>
                <w:spacing w:val="-20"/>
                <w:sz w:val="22"/>
                <w:szCs w:val="22"/>
              </w:rPr>
              <w:t>成，無寬限期</w:t>
            </w:r>
          </w:p>
        </w:tc>
      </w:tr>
      <w:tr w:rsidR="00BF0F46" w:rsidRPr="00507BD2" w:rsidTr="00EB398E">
        <w:trPr>
          <w:trHeight w:val="20"/>
        </w:trPr>
        <w:tc>
          <w:tcPr>
            <w:tcW w:w="171" w:type="pct"/>
            <w:vMerge/>
            <w:shd w:val="clear" w:color="auto" w:fill="auto"/>
          </w:tcPr>
          <w:p w:rsidR="00BF0F46" w:rsidRPr="00507BD2" w:rsidRDefault="00BF0F46" w:rsidP="00BF0F46">
            <w:pPr>
              <w:spacing w:line="280" w:lineRule="exact"/>
              <w:ind w:leftChars="0" w:left="0" w:firstLineChars="0" w:firstLine="0"/>
              <w:rPr>
                <w:rFonts w:hAnsi="標楷體"/>
                <w:spacing w:val="-20"/>
                <w:sz w:val="22"/>
                <w:szCs w:val="22"/>
              </w:rPr>
            </w:pPr>
          </w:p>
        </w:tc>
        <w:tc>
          <w:tcPr>
            <w:tcW w:w="845" w:type="pct"/>
            <w:shd w:val="clear" w:color="auto" w:fill="auto"/>
            <w:vAlign w:val="center"/>
          </w:tcPr>
          <w:p w:rsidR="00BF0F46" w:rsidRPr="00507BD2" w:rsidRDefault="00BF0F46" w:rsidP="00BF0F46">
            <w:pPr>
              <w:spacing w:line="280" w:lineRule="exact"/>
              <w:ind w:leftChars="0" w:left="0" w:firstLineChars="0" w:firstLine="0"/>
              <w:rPr>
                <w:rFonts w:hAnsi="標楷體"/>
                <w:sz w:val="22"/>
                <w:szCs w:val="22"/>
              </w:rPr>
            </w:pPr>
            <w:r w:rsidRPr="00507BD2">
              <w:rPr>
                <w:rFonts w:hAnsi="標楷體"/>
                <w:sz w:val="22"/>
                <w:szCs w:val="22"/>
              </w:rPr>
              <w:t>第4戶以上購屋貸款</w:t>
            </w:r>
          </w:p>
        </w:tc>
        <w:tc>
          <w:tcPr>
            <w:tcW w:w="657" w:type="pct"/>
            <w:shd w:val="clear" w:color="auto" w:fill="auto"/>
            <w:vAlign w:val="center"/>
          </w:tcPr>
          <w:p w:rsidR="00BF0F46" w:rsidRPr="00507BD2" w:rsidRDefault="00BF0F46" w:rsidP="00BF0F46">
            <w:pPr>
              <w:spacing w:line="280" w:lineRule="exact"/>
              <w:ind w:leftChars="0" w:left="0" w:firstLineChars="0" w:firstLine="0"/>
              <w:rPr>
                <w:rFonts w:hAnsi="標楷體"/>
                <w:spacing w:val="-20"/>
                <w:sz w:val="22"/>
                <w:szCs w:val="22"/>
              </w:rPr>
            </w:pPr>
            <w:r w:rsidRPr="00507BD2">
              <w:rPr>
                <w:rFonts w:hAnsi="標楷體"/>
                <w:spacing w:val="-20"/>
                <w:sz w:val="22"/>
                <w:szCs w:val="22"/>
              </w:rPr>
              <w:t>(同第3戶，未另規定)</w:t>
            </w:r>
          </w:p>
        </w:tc>
        <w:tc>
          <w:tcPr>
            <w:tcW w:w="641" w:type="pct"/>
            <w:shd w:val="clear" w:color="auto" w:fill="auto"/>
            <w:tcMar>
              <w:left w:w="85" w:type="dxa"/>
              <w:right w:w="28" w:type="dxa"/>
            </w:tcMar>
            <w:vAlign w:val="center"/>
          </w:tcPr>
          <w:p w:rsidR="00BF0F46" w:rsidRPr="00507BD2" w:rsidRDefault="00BF0F46" w:rsidP="00BF0F46">
            <w:pPr>
              <w:spacing w:line="280" w:lineRule="exact"/>
              <w:ind w:leftChars="0" w:left="0" w:firstLineChars="0" w:firstLine="0"/>
              <w:rPr>
                <w:rFonts w:hAnsi="標楷體"/>
                <w:sz w:val="22"/>
                <w:szCs w:val="22"/>
              </w:rPr>
            </w:pPr>
            <w:r w:rsidRPr="00507BD2">
              <w:rPr>
                <w:rFonts w:hAnsi="標楷體"/>
                <w:sz w:val="22"/>
                <w:szCs w:val="22"/>
              </w:rPr>
              <w:t>5成，無寬限期</w:t>
            </w:r>
          </w:p>
        </w:tc>
        <w:tc>
          <w:tcPr>
            <w:tcW w:w="590" w:type="pct"/>
            <w:vAlign w:val="center"/>
          </w:tcPr>
          <w:p w:rsidR="00BF0F46" w:rsidRPr="00507BD2" w:rsidRDefault="00BF0F46" w:rsidP="00BF0F46">
            <w:pPr>
              <w:spacing w:line="280" w:lineRule="exact"/>
              <w:ind w:leftChars="0" w:left="0" w:firstLineChars="0" w:firstLine="0"/>
              <w:rPr>
                <w:rFonts w:hAnsi="標楷體"/>
                <w:spacing w:val="-20"/>
                <w:sz w:val="22"/>
                <w:szCs w:val="22"/>
              </w:rPr>
            </w:pPr>
            <w:r w:rsidRPr="00507BD2">
              <w:rPr>
                <w:rFonts w:hAnsi="標楷體"/>
                <w:spacing w:val="-20"/>
                <w:sz w:val="22"/>
                <w:szCs w:val="22"/>
              </w:rPr>
              <w:t>維持不變</w:t>
            </w:r>
          </w:p>
        </w:tc>
        <w:tc>
          <w:tcPr>
            <w:tcW w:w="537" w:type="pct"/>
            <w:vMerge/>
            <w:vAlign w:val="center"/>
          </w:tcPr>
          <w:p w:rsidR="00BF0F46" w:rsidRPr="00507BD2" w:rsidRDefault="00BF0F46" w:rsidP="00BF0F46">
            <w:pPr>
              <w:spacing w:line="280" w:lineRule="exact"/>
              <w:ind w:leftChars="0" w:left="0" w:firstLineChars="0" w:firstLine="0"/>
              <w:rPr>
                <w:rFonts w:hAnsi="標楷體"/>
                <w:spacing w:val="-20"/>
                <w:sz w:val="22"/>
                <w:szCs w:val="22"/>
              </w:rPr>
            </w:pPr>
          </w:p>
        </w:tc>
        <w:tc>
          <w:tcPr>
            <w:tcW w:w="537" w:type="pct"/>
            <w:vMerge/>
          </w:tcPr>
          <w:p w:rsidR="00BF0F46" w:rsidRPr="00507BD2" w:rsidRDefault="00BF0F46" w:rsidP="00BF0F46">
            <w:pPr>
              <w:spacing w:line="280" w:lineRule="exact"/>
              <w:ind w:leftChars="0" w:left="0" w:firstLineChars="0" w:firstLine="0"/>
              <w:rPr>
                <w:rFonts w:hAnsi="標楷體"/>
                <w:spacing w:val="-20"/>
                <w:sz w:val="22"/>
                <w:szCs w:val="22"/>
              </w:rPr>
            </w:pPr>
          </w:p>
        </w:tc>
        <w:tc>
          <w:tcPr>
            <w:tcW w:w="537" w:type="pct"/>
            <w:vMerge/>
          </w:tcPr>
          <w:p w:rsidR="00BF0F46" w:rsidRPr="00507BD2" w:rsidRDefault="00BF0F46" w:rsidP="00BF0F46">
            <w:pPr>
              <w:spacing w:line="280" w:lineRule="exact"/>
              <w:ind w:leftChars="0" w:left="0" w:firstLineChars="0" w:firstLine="0"/>
              <w:rPr>
                <w:rFonts w:hAnsi="標楷體"/>
                <w:spacing w:val="-20"/>
                <w:sz w:val="22"/>
                <w:szCs w:val="22"/>
              </w:rPr>
            </w:pPr>
          </w:p>
        </w:tc>
        <w:tc>
          <w:tcPr>
            <w:tcW w:w="485" w:type="pct"/>
            <w:vMerge/>
            <w:vAlign w:val="center"/>
          </w:tcPr>
          <w:p w:rsidR="00BF0F46" w:rsidRPr="00507BD2" w:rsidRDefault="00BF0F46" w:rsidP="00BF0F46">
            <w:pPr>
              <w:spacing w:line="280" w:lineRule="exact"/>
              <w:ind w:leftChars="0" w:left="0" w:firstLineChars="0" w:firstLine="0"/>
              <w:rPr>
                <w:rFonts w:hAnsi="標楷體"/>
                <w:spacing w:val="-20"/>
                <w:sz w:val="22"/>
                <w:szCs w:val="22"/>
              </w:rPr>
            </w:pPr>
          </w:p>
        </w:tc>
      </w:tr>
      <w:tr w:rsidR="00BF0F46" w:rsidRPr="00507BD2" w:rsidTr="00EB398E">
        <w:trPr>
          <w:trHeight w:val="20"/>
        </w:trPr>
        <w:tc>
          <w:tcPr>
            <w:tcW w:w="1015" w:type="pct"/>
            <w:gridSpan w:val="2"/>
            <w:shd w:val="clear" w:color="auto" w:fill="auto"/>
            <w:vAlign w:val="center"/>
          </w:tcPr>
          <w:p w:rsidR="00BF0F46" w:rsidRPr="00507BD2" w:rsidRDefault="00BF0F46" w:rsidP="00BF0F46">
            <w:pPr>
              <w:spacing w:line="280" w:lineRule="exact"/>
              <w:ind w:leftChars="0" w:left="0" w:firstLineChars="0" w:firstLine="0"/>
              <w:rPr>
                <w:rFonts w:hAnsi="標楷體"/>
                <w:spacing w:val="-20"/>
                <w:sz w:val="22"/>
                <w:szCs w:val="22"/>
              </w:rPr>
            </w:pPr>
            <w:r w:rsidRPr="00507BD2">
              <w:rPr>
                <w:rFonts w:hAnsi="標楷體"/>
                <w:spacing w:val="-20"/>
                <w:sz w:val="22"/>
                <w:szCs w:val="22"/>
              </w:rPr>
              <w:t>購地貸款</w:t>
            </w:r>
          </w:p>
        </w:tc>
        <w:tc>
          <w:tcPr>
            <w:tcW w:w="657" w:type="pct"/>
            <w:shd w:val="clear" w:color="auto" w:fill="auto"/>
            <w:tcMar>
              <w:left w:w="85" w:type="dxa"/>
              <w:right w:w="28" w:type="dxa"/>
            </w:tcMar>
          </w:tcPr>
          <w:p w:rsidR="00BF0F46" w:rsidRPr="00507BD2" w:rsidRDefault="00BF0F46" w:rsidP="00CC4DC2">
            <w:pPr>
              <w:numPr>
                <w:ilvl w:val="0"/>
                <w:numId w:val="41"/>
              </w:numPr>
              <w:spacing w:line="280" w:lineRule="exact"/>
              <w:ind w:leftChars="0" w:left="96" w:firstLineChars="0" w:hanging="140"/>
              <w:rPr>
                <w:rFonts w:hAnsi="標楷體"/>
                <w:spacing w:val="-25"/>
                <w:sz w:val="22"/>
                <w:szCs w:val="22"/>
              </w:rPr>
            </w:pPr>
            <w:r w:rsidRPr="00507BD2">
              <w:rPr>
                <w:rFonts w:hAnsi="標楷體"/>
                <w:spacing w:val="-25"/>
                <w:sz w:val="22"/>
                <w:szCs w:val="22"/>
              </w:rPr>
              <w:t>6.5成，保留1成動工款</w:t>
            </w:r>
          </w:p>
          <w:p w:rsidR="00BF0F46" w:rsidRPr="00507BD2" w:rsidRDefault="00BF0F46" w:rsidP="00CC4DC2">
            <w:pPr>
              <w:numPr>
                <w:ilvl w:val="0"/>
                <w:numId w:val="41"/>
              </w:numPr>
              <w:spacing w:line="280" w:lineRule="exact"/>
              <w:ind w:leftChars="0" w:left="166" w:firstLineChars="0" w:hanging="166"/>
              <w:rPr>
                <w:rFonts w:hAnsi="標楷體"/>
                <w:spacing w:val="-20"/>
                <w:sz w:val="22"/>
                <w:szCs w:val="22"/>
              </w:rPr>
            </w:pPr>
            <w:r w:rsidRPr="00507BD2">
              <w:rPr>
                <w:rFonts w:hAnsi="標楷體"/>
                <w:spacing w:val="-20"/>
                <w:sz w:val="22"/>
                <w:szCs w:val="22"/>
              </w:rPr>
              <w:t>檢附具體興建計畫</w:t>
            </w:r>
          </w:p>
        </w:tc>
        <w:tc>
          <w:tcPr>
            <w:tcW w:w="641" w:type="pct"/>
            <w:shd w:val="clear" w:color="auto" w:fill="auto"/>
            <w:tcMar>
              <w:left w:w="57" w:type="dxa"/>
              <w:right w:w="57" w:type="dxa"/>
            </w:tcMar>
            <w:vAlign w:val="center"/>
          </w:tcPr>
          <w:p w:rsidR="00BF0F46" w:rsidRPr="00507BD2" w:rsidRDefault="00BF0F46" w:rsidP="00BF0F46">
            <w:pPr>
              <w:spacing w:line="280" w:lineRule="exact"/>
              <w:ind w:leftChars="0" w:left="0" w:firstLineChars="0" w:firstLine="0"/>
              <w:rPr>
                <w:rFonts w:hAnsi="標楷體"/>
                <w:spacing w:val="-20"/>
                <w:sz w:val="22"/>
                <w:szCs w:val="22"/>
              </w:rPr>
            </w:pPr>
            <w:r w:rsidRPr="00507BD2">
              <w:rPr>
                <w:rFonts w:hAnsi="標楷體"/>
                <w:spacing w:val="-20"/>
                <w:sz w:val="22"/>
                <w:szCs w:val="22"/>
              </w:rPr>
              <w:t>維持不變</w:t>
            </w:r>
          </w:p>
        </w:tc>
        <w:tc>
          <w:tcPr>
            <w:tcW w:w="590" w:type="pct"/>
            <w:tcMar>
              <w:left w:w="85" w:type="dxa"/>
              <w:right w:w="28" w:type="dxa"/>
            </w:tcMar>
          </w:tcPr>
          <w:p w:rsidR="00BF0F46" w:rsidRPr="00F413FE" w:rsidRDefault="00BF0F46" w:rsidP="00F413FE">
            <w:pPr>
              <w:numPr>
                <w:ilvl w:val="0"/>
                <w:numId w:val="42"/>
              </w:numPr>
              <w:overflowPunct w:val="0"/>
              <w:autoSpaceDE w:val="0"/>
              <w:autoSpaceDN w:val="0"/>
              <w:spacing w:line="280" w:lineRule="exact"/>
              <w:ind w:leftChars="-30" w:left="80" w:hangingChars="90" w:hanging="165"/>
              <w:rPr>
                <w:rFonts w:hAnsi="標楷體"/>
                <w:spacing w:val="-20"/>
                <w:sz w:val="22"/>
                <w:szCs w:val="22"/>
              </w:rPr>
            </w:pPr>
            <w:r w:rsidRPr="00F413FE">
              <w:rPr>
                <w:rFonts w:hAnsi="標楷體"/>
                <w:spacing w:val="-20"/>
                <w:sz w:val="22"/>
                <w:szCs w:val="22"/>
              </w:rPr>
              <w:t>6成，保留1成動工款</w:t>
            </w:r>
          </w:p>
          <w:p w:rsidR="00BF0F46" w:rsidRPr="00507BD2" w:rsidRDefault="00BF0F46" w:rsidP="00CC4DC2">
            <w:pPr>
              <w:numPr>
                <w:ilvl w:val="0"/>
                <w:numId w:val="42"/>
              </w:numPr>
              <w:spacing w:line="280" w:lineRule="exact"/>
              <w:ind w:leftChars="-30" w:left="80" w:hangingChars="90" w:hanging="165"/>
              <w:rPr>
                <w:rFonts w:hAnsi="標楷體"/>
                <w:spacing w:val="-20"/>
                <w:sz w:val="22"/>
                <w:szCs w:val="22"/>
              </w:rPr>
            </w:pPr>
            <w:r w:rsidRPr="00507BD2">
              <w:rPr>
                <w:rFonts w:hAnsi="標楷體"/>
                <w:spacing w:val="-20"/>
                <w:sz w:val="22"/>
                <w:szCs w:val="22"/>
              </w:rPr>
              <w:t>檢附具體興建計畫</w:t>
            </w:r>
          </w:p>
        </w:tc>
        <w:tc>
          <w:tcPr>
            <w:tcW w:w="537" w:type="pct"/>
            <w:tcMar>
              <w:left w:w="85" w:type="dxa"/>
              <w:right w:w="28" w:type="dxa"/>
            </w:tcMar>
            <w:vAlign w:val="center"/>
          </w:tcPr>
          <w:p w:rsidR="00BF0F46" w:rsidRPr="00507BD2" w:rsidRDefault="00BF0F46" w:rsidP="00CC4DC2">
            <w:pPr>
              <w:numPr>
                <w:ilvl w:val="0"/>
                <w:numId w:val="44"/>
              </w:numPr>
              <w:spacing w:line="280" w:lineRule="exact"/>
              <w:ind w:leftChars="0" w:left="215" w:firstLineChars="0" w:hanging="191"/>
              <w:rPr>
                <w:rFonts w:hAnsi="標楷體"/>
                <w:spacing w:val="-20"/>
                <w:sz w:val="22"/>
                <w:szCs w:val="22"/>
              </w:rPr>
            </w:pPr>
            <w:r w:rsidRPr="00507BD2">
              <w:rPr>
                <w:rFonts w:hAnsi="標楷體"/>
                <w:spacing w:val="-20"/>
                <w:sz w:val="22"/>
                <w:szCs w:val="22"/>
              </w:rPr>
              <w:t>5成，保留1成動工款</w:t>
            </w:r>
          </w:p>
          <w:p w:rsidR="00BF0F46" w:rsidRPr="00507BD2" w:rsidRDefault="00BF0F46" w:rsidP="00CC4DC2">
            <w:pPr>
              <w:numPr>
                <w:ilvl w:val="0"/>
                <w:numId w:val="44"/>
              </w:numPr>
              <w:spacing w:line="280" w:lineRule="exact"/>
              <w:ind w:leftChars="0" w:left="215" w:firstLineChars="0" w:hanging="191"/>
              <w:rPr>
                <w:rFonts w:hAnsi="標楷體"/>
                <w:spacing w:val="-20"/>
                <w:sz w:val="22"/>
                <w:szCs w:val="22"/>
              </w:rPr>
            </w:pPr>
            <w:r w:rsidRPr="00507BD2">
              <w:rPr>
                <w:rFonts w:hAnsi="標楷體"/>
                <w:spacing w:val="-30"/>
                <w:sz w:val="22"/>
                <w:szCs w:val="22"/>
              </w:rPr>
              <w:t>檢附具體興建計畫，並切結一定期間內動工興建</w:t>
            </w:r>
          </w:p>
        </w:tc>
        <w:tc>
          <w:tcPr>
            <w:tcW w:w="537" w:type="pct"/>
            <w:vAlign w:val="center"/>
          </w:tcPr>
          <w:p w:rsidR="00BF0F46" w:rsidRPr="00507BD2" w:rsidRDefault="00BF0F46" w:rsidP="00BF0F46">
            <w:pPr>
              <w:spacing w:line="280" w:lineRule="exact"/>
              <w:ind w:leftChars="0" w:left="0" w:firstLineChars="0" w:firstLine="0"/>
              <w:rPr>
                <w:rFonts w:hAnsi="標楷體"/>
                <w:spacing w:val="-20"/>
                <w:sz w:val="22"/>
                <w:szCs w:val="22"/>
              </w:rPr>
            </w:pPr>
            <w:r w:rsidRPr="00507BD2">
              <w:rPr>
                <w:rFonts w:hAnsi="標楷體"/>
                <w:spacing w:val="-20"/>
                <w:sz w:val="22"/>
                <w:szCs w:val="22"/>
              </w:rPr>
              <w:t>維持不變</w:t>
            </w:r>
          </w:p>
        </w:tc>
        <w:tc>
          <w:tcPr>
            <w:tcW w:w="537" w:type="pct"/>
            <w:vAlign w:val="center"/>
          </w:tcPr>
          <w:p w:rsidR="00BF0F46" w:rsidRPr="00507BD2" w:rsidRDefault="00BF0F46" w:rsidP="00BF0F46">
            <w:pPr>
              <w:spacing w:line="280" w:lineRule="exact"/>
              <w:ind w:leftChars="0" w:left="0" w:firstLineChars="0" w:firstLine="0"/>
              <w:rPr>
                <w:rFonts w:hAnsi="標楷體"/>
                <w:spacing w:val="-20"/>
                <w:sz w:val="22"/>
                <w:szCs w:val="22"/>
              </w:rPr>
            </w:pPr>
            <w:r w:rsidRPr="00507BD2">
              <w:rPr>
                <w:rFonts w:hAnsi="標楷體"/>
                <w:spacing w:val="-20"/>
                <w:sz w:val="22"/>
                <w:szCs w:val="22"/>
              </w:rPr>
              <w:t>維持不變</w:t>
            </w:r>
          </w:p>
        </w:tc>
        <w:tc>
          <w:tcPr>
            <w:tcW w:w="485" w:type="pct"/>
            <w:vAlign w:val="center"/>
          </w:tcPr>
          <w:p w:rsidR="00BF0F46" w:rsidRPr="00507BD2" w:rsidRDefault="00BF0F46" w:rsidP="00BF0F46">
            <w:pPr>
              <w:spacing w:line="280" w:lineRule="exact"/>
              <w:ind w:leftChars="0" w:left="0" w:firstLineChars="0" w:firstLine="0"/>
              <w:rPr>
                <w:rFonts w:hAnsi="標楷體"/>
                <w:spacing w:val="-20"/>
                <w:sz w:val="22"/>
                <w:szCs w:val="22"/>
              </w:rPr>
            </w:pPr>
            <w:r w:rsidRPr="00507BD2">
              <w:rPr>
                <w:rFonts w:hAnsi="標楷體"/>
                <w:spacing w:val="-20"/>
                <w:sz w:val="22"/>
                <w:szCs w:val="22"/>
              </w:rPr>
              <w:t>維持不變</w:t>
            </w:r>
          </w:p>
        </w:tc>
      </w:tr>
      <w:tr w:rsidR="00BF0F46" w:rsidRPr="00507BD2" w:rsidTr="00EB398E">
        <w:trPr>
          <w:trHeight w:val="20"/>
        </w:trPr>
        <w:tc>
          <w:tcPr>
            <w:tcW w:w="1015" w:type="pct"/>
            <w:gridSpan w:val="2"/>
            <w:shd w:val="clear" w:color="auto" w:fill="auto"/>
            <w:vAlign w:val="center"/>
          </w:tcPr>
          <w:p w:rsidR="00BF0F46" w:rsidRPr="00507BD2" w:rsidRDefault="00BF0F46" w:rsidP="00BF0F46">
            <w:pPr>
              <w:spacing w:line="280" w:lineRule="exact"/>
              <w:ind w:leftChars="0" w:left="0" w:firstLineChars="0" w:firstLine="0"/>
              <w:rPr>
                <w:rFonts w:hAnsi="標楷體"/>
                <w:spacing w:val="-20"/>
                <w:sz w:val="22"/>
                <w:szCs w:val="22"/>
              </w:rPr>
            </w:pPr>
            <w:r w:rsidRPr="00507BD2">
              <w:rPr>
                <w:rFonts w:hAnsi="標楷體"/>
                <w:spacing w:val="-20"/>
                <w:sz w:val="22"/>
                <w:szCs w:val="22"/>
              </w:rPr>
              <w:t>餘屋貸款</w:t>
            </w:r>
          </w:p>
        </w:tc>
        <w:tc>
          <w:tcPr>
            <w:tcW w:w="657" w:type="pct"/>
            <w:shd w:val="clear" w:color="auto" w:fill="auto"/>
            <w:vAlign w:val="center"/>
          </w:tcPr>
          <w:p w:rsidR="00BF0F46" w:rsidRPr="00507BD2" w:rsidRDefault="00BF0F46" w:rsidP="00BF0F46">
            <w:pPr>
              <w:spacing w:line="280" w:lineRule="exact"/>
              <w:ind w:leftChars="0" w:left="0" w:firstLineChars="0" w:firstLine="0"/>
              <w:rPr>
                <w:rFonts w:hAnsi="標楷體"/>
                <w:spacing w:val="-20"/>
                <w:sz w:val="22"/>
                <w:szCs w:val="22"/>
              </w:rPr>
            </w:pPr>
            <w:r w:rsidRPr="00507BD2">
              <w:rPr>
                <w:rFonts w:hAnsi="標楷體"/>
                <w:spacing w:val="-20"/>
                <w:sz w:val="22"/>
                <w:szCs w:val="22"/>
              </w:rPr>
              <w:t>5成</w:t>
            </w:r>
          </w:p>
        </w:tc>
        <w:tc>
          <w:tcPr>
            <w:tcW w:w="641" w:type="pct"/>
            <w:shd w:val="clear" w:color="auto" w:fill="auto"/>
            <w:tcMar>
              <w:left w:w="57" w:type="dxa"/>
              <w:right w:w="57" w:type="dxa"/>
            </w:tcMar>
            <w:vAlign w:val="center"/>
          </w:tcPr>
          <w:p w:rsidR="00BF0F46" w:rsidRPr="00507BD2" w:rsidRDefault="00BF0F46" w:rsidP="00BF0F46">
            <w:pPr>
              <w:spacing w:line="280" w:lineRule="exact"/>
              <w:ind w:leftChars="0" w:left="0" w:firstLineChars="0" w:firstLine="0"/>
              <w:rPr>
                <w:rFonts w:hAnsi="標楷體"/>
                <w:spacing w:val="-20"/>
                <w:sz w:val="22"/>
                <w:szCs w:val="22"/>
              </w:rPr>
            </w:pPr>
            <w:r w:rsidRPr="00507BD2">
              <w:rPr>
                <w:rFonts w:hAnsi="標楷體"/>
                <w:spacing w:val="-20"/>
                <w:sz w:val="22"/>
                <w:szCs w:val="22"/>
              </w:rPr>
              <w:t>維持不變</w:t>
            </w:r>
          </w:p>
        </w:tc>
        <w:tc>
          <w:tcPr>
            <w:tcW w:w="590" w:type="pct"/>
            <w:vAlign w:val="center"/>
          </w:tcPr>
          <w:p w:rsidR="00BF0F46" w:rsidRPr="00507BD2" w:rsidRDefault="00BF0F46" w:rsidP="00BF0F46">
            <w:pPr>
              <w:spacing w:line="280" w:lineRule="exact"/>
              <w:ind w:leftChars="0" w:left="0" w:firstLineChars="0" w:firstLine="0"/>
              <w:rPr>
                <w:rFonts w:hAnsi="標楷體"/>
                <w:spacing w:val="-20"/>
                <w:sz w:val="22"/>
                <w:szCs w:val="22"/>
              </w:rPr>
            </w:pPr>
            <w:r w:rsidRPr="00507BD2">
              <w:rPr>
                <w:rFonts w:hAnsi="標楷體"/>
                <w:spacing w:val="-20"/>
                <w:sz w:val="22"/>
                <w:szCs w:val="22"/>
              </w:rPr>
              <w:t>維持不變</w:t>
            </w:r>
          </w:p>
        </w:tc>
        <w:tc>
          <w:tcPr>
            <w:tcW w:w="537" w:type="pct"/>
            <w:vAlign w:val="center"/>
          </w:tcPr>
          <w:p w:rsidR="00BF0F46" w:rsidRPr="00507BD2" w:rsidRDefault="00BF0F46" w:rsidP="00BF0F46">
            <w:pPr>
              <w:spacing w:line="280" w:lineRule="exact"/>
              <w:ind w:leftChars="0" w:left="0" w:firstLineChars="0" w:firstLine="0"/>
              <w:rPr>
                <w:rFonts w:hAnsi="標楷體"/>
                <w:spacing w:val="-20"/>
                <w:sz w:val="22"/>
                <w:szCs w:val="22"/>
              </w:rPr>
            </w:pPr>
            <w:r w:rsidRPr="00507BD2">
              <w:rPr>
                <w:rFonts w:hAnsi="標楷體"/>
                <w:spacing w:val="-20"/>
                <w:sz w:val="22"/>
                <w:szCs w:val="22"/>
              </w:rPr>
              <w:t>4成</w:t>
            </w:r>
          </w:p>
        </w:tc>
        <w:tc>
          <w:tcPr>
            <w:tcW w:w="537" w:type="pct"/>
            <w:vAlign w:val="center"/>
          </w:tcPr>
          <w:p w:rsidR="00BF0F46" w:rsidRPr="00507BD2" w:rsidRDefault="00BF0F46" w:rsidP="00BF0F46">
            <w:pPr>
              <w:spacing w:line="280" w:lineRule="exact"/>
              <w:ind w:leftChars="0" w:left="0" w:firstLineChars="0" w:firstLine="0"/>
              <w:rPr>
                <w:rFonts w:hAnsi="標楷體"/>
                <w:spacing w:val="-20"/>
                <w:sz w:val="22"/>
                <w:szCs w:val="22"/>
              </w:rPr>
            </w:pPr>
            <w:r w:rsidRPr="00507BD2">
              <w:rPr>
                <w:rFonts w:hAnsi="標楷體"/>
                <w:spacing w:val="-20"/>
                <w:sz w:val="22"/>
                <w:szCs w:val="22"/>
              </w:rPr>
              <w:t>維持不變</w:t>
            </w:r>
          </w:p>
        </w:tc>
        <w:tc>
          <w:tcPr>
            <w:tcW w:w="537" w:type="pct"/>
            <w:vAlign w:val="center"/>
          </w:tcPr>
          <w:p w:rsidR="00BF0F46" w:rsidRPr="00507BD2" w:rsidRDefault="00BF0F46" w:rsidP="00BF0F46">
            <w:pPr>
              <w:spacing w:line="280" w:lineRule="exact"/>
              <w:ind w:leftChars="0" w:left="0" w:firstLineChars="0" w:firstLine="0"/>
              <w:rPr>
                <w:rFonts w:hAnsi="標楷體"/>
                <w:spacing w:val="-20"/>
                <w:sz w:val="22"/>
                <w:szCs w:val="22"/>
              </w:rPr>
            </w:pPr>
            <w:r w:rsidRPr="00507BD2">
              <w:rPr>
                <w:rFonts w:hAnsi="標楷體"/>
                <w:spacing w:val="-20"/>
                <w:sz w:val="22"/>
                <w:szCs w:val="22"/>
              </w:rPr>
              <w:t>維持不變</w:t>
            </w:r>
          </w:p>
        </w:tc>
        <w:tc>
          <w:tcPr>
            <w:tcW w:w="485" w:type="pct"/>
            <w:vAlign w:val="center"/>
          </w:tcPr>
          <w:p w:rsidR="00BF0F46" w:rsidRPr="00507BD2" w:rsidRDefault="00BF0F46" w:rsidP="00BF0F46">
            <w:pPr>
              <w:spacing w:line="280" w:lineRule="exact"/>
              <w:ind w:leftChars="0" w:left="0" w:firstLineChars="0" w:firstLine="0"/>
              <w:rPr>
                <w:rFonts w:hAnsi="標楷體"/>
                <w:spacing w:val="-20"/>
                <w:sz w:val="22"/>
                <w:szCs w:val="22"/>
              </w:rPr>
            </w:pPr>
            <w:r w:rsidRPr="00507BD2">
              <w:rPr>
                <w:rFonts w:hAnsi="標楷體" w:hint="eastAsia"/>
                <w:spacing w:val="-20"/>
                <w:sz w:val="22"/>
                <w:szCs w:val="22"/>
              </w:rPr>
              <w:t>3成</w:t>
            </w:r>
          </w:p>
        </w:tc>
      </w:tr>
      <w:tr w:rsidR="00BF0F46" w:rsidRPr="00507BD2" w:rsidTr="00EB398E">
        <w:trPr>
          <w:trHeight w:val="20"/>
        </w:trPr>
        <w:tc>
          <w:tcPr>
            <w:tcW w:w="1015" w:type="pct"/>
            <w:gridSpan w:val="2"/>
            <w:shd w:val="clear" w:color="auto" w:fill="auto"/>
            <w:vAlign w:val="center"/>
          </w:tcPr>
          <w:p w:rsidR="00BF0F46" w:rsidRPr="00507BD2" w:rsidRDefault="00BF0F46" w:rsidP="00BF0F46">
            <w:pPr>
              <w:spacing w:line="280" w:lineRule="exact"/>
              <w:ind w:leftChars="0" w:left="0" w:firstLineChars="0" w:firstLine="0"/>
              <w:rPr>
                <w:rFonts w:hAnsi="標楷體"/>
                <w:sz w:val="22"/>
                <w:szCs w:val="22"/>
              </w:rPr>
            </w:pPr>
            <w:r w:rsidRPr="00507BD2">
              <w:rPr>
                <w:rFonts w:hAnsi="標楷體"/>
                <w:sz w:val="22"/>
                <w:szCs w:val="22"/>
              </w:rPr>
              <w:t>工業區閒置土地抵押貸款</w:t>
            </w:r>
          </w:p>
        </w:tc>
        <w:tc>
          <w:tcPr>
            <w:tcW w:w="657" w:type="pct"/>
            <w:shd w:val="clear" w:color="auto" w:fill="auto"/>
            <w:vAlign w:val="center"/>
          </w:tcPr>
          <w:p w:rsidR="00BF0F46" w:rsidRPr="00507BD2" w:rsidRDefault="00BF0F46" w:rsidP="00BF0F46">
            <w:pPr>
              <w:spacing w:line="280" w:lineRule="exact"/>
              <w:ind w:leftChars="0" w:left="0" w:firstLineChars="0" w:firstLine="0"/>
              <w:rPr>
                <w:rFonts w:hAnsi="標楷體"/>
                <w:sz w:val="22"/>
                <w:szCs w:val="22"/>
              </w:rPr>
            </w:pPr>
            <w:r w:rsidRPr="00507BD2">
              <w:rPr>
                <w:rFonts w:hAnsi="標楷體"/>
                <w:sz w:val="22"/>
                <w:szCs w:val="22"/>
              </w:rPr>
              <w:t>銀行自律規範</w:t>
            </w:r>
          </w:p>
        </w:tc>
        <w:tc>
          <w:tcPr>
            <w:tcW w:w="641" w:type="pct"/>
            <w:shd w:val="clear" w:color="auto" w:fill="auto"/>
            <w:vAlign w:val="center"/>
          </w:tcPr>
          <w:p w:rsidR="00BF0F46" w:rsidRPr="00507BD2" w:rsidRDefault="00BF0F46" w:rsidP="00BF0F46">
            <w:pPr>
              <w:spacing w:line="280" w:lineRule="exact"/>
              <w:ind w:leftChars="0" w:left="0" w:firstLineChars="0" w:firstLine="0"/>
              <w:rPr>
                <w:rFonts w:hAnsi="標楷體"/>
                <w:spacing w:val="-20"/>
                <w:sz w:val="22"/>
                <w:szCs w:val="22"/>
              </w:rPr>
            </w:pPr>
            <w:r w:rsidRPr="00507BD2">
              <w:rPr>
                <w:rFonts w:hAnsi="標楷體"/>
                <w:spacing w:val="-20"/>
                <w:sz w:val="22"/>
                <w:szCs w:val="22"/>
              </w:rPr>
              <w:t>5.5成</w:t>
            </w:r>
            <w:r w:rsidRPr="00F413FE">
              <w:rPr>
                <w:rFonts w:hAnsi="標楷體"/>
                <w:sz w:val="22"/>
                <w:szCs w:val="22"/>
                <w:vertAlign w:val="superscript"/>
              </w:rPr>
              <w:t>說明</w:t>
            </w:r>
            <w:r w:rsidRPr="00F413FE">
              <w:rPr>
                <w:rFonts w:hAnsi="標楷體" w:hint="eastAsia"/>
                <w:sz w:val="22"/>
                <w:szCs w:val="22"/>
                <w:vertAlign w:val="superscript"/>
              </w:rPr>
              <w:t>2</w:t>
            </w:r>
          </w:p>
        </w:tc>
        <w:tc>
          <w:tcPr>
            <w:tcW w:w="590" w:type="pct"/>
            <w:vAlign w:val="center"/>
          </w:tcPr>
          <w:p w:rsidR="00BF0F46" w:rsidRPr="00507BD2" w:rsidRDefault="00BF0F46" w:rsidP="00BF0F46">
            <w:pPr>
              <w:spacing w:line="280" w:lineRule="exact"/>
              <w:ind w:leftChars="0" w:left="0" w:firstLineChars="0" w:firstLine="0"/>
              <w:rPr>
                <w:rFonts w:hAnsi="標楷體"/>
                <w:spacing w:val="-20"/>
                <w:sz w:val="22"/>
                <w:szCs w:val="22"/>
              </w:rPr>
            </w:pPr>
            <w:r w:rsidRPr="00507BD2">
              <w:rPr>
                <w:rFonts w:hAnsi="標楷體"/>
                <w:spacing w:val="-20"/>
                <w:sz w:val="22"/>
                <w:szCs w:val="22"/>
              </w:rPr>
              <w:t>5成</w:t>
            </w:r>
            <w:r w:rsidRPr="00F413FE">
              <w:rPr>
                <w:rFonts w:hAnsi="標楷體"/>
                <w:sz w:val="22"/>
                <w:szCs w:val="22"/>
                <w:vertAlign w:val="superscript"/>
              </w:rPr>
              <w:t>說明2</w:t>
            </w:r>
          </w:p>
        </w:tc>
        <w:tc>
          <w:tcPr>
            <w:tcW w:w="537" w:type="pct"/>
            <w:vAlign w:val="center"/>
          </w:tcPr>
          <w:p w:rsidR="00BF0F46" w:rsidRPr="00507BD2" w:rsidRDefault="00BF0F46" w:rsidP="00BF0F46">
            <w:pPr>
              <w:spacing w:line="280" w:lineRule="exact"/>
              <w:ind w:leftChars="0" w:left="0" w:firstLineChars="0" w:firstLine="0"/>
              <w:rPr>
                <w:rFonts w:hAnsi="標楷體"/>
                <w:spacing w:val="-20"/>
                <w:sz w:val="22"/>
                <w:szCs w:val="22"/>
              </w:rPr>
            </w:pPr>
            <w:r w:rsidRPr="00507BD2">
              <w:rPr>
                <w:rFonts w:hAnsi="標楷體"/>
                <w:spacing w:val="-20"/>
                <w:sz w:val="22"/>
                <w:szCs w:val="22"/>
              </w:rPr>
              <w:t>4成</w:t>
            </w:r>
            <w:r w:rsidRPr="00F413FE">
              <w:rPr>
                <w:rFonts w:hAnsi="標楷體"/>
                <w:sz w:val="22"/>
                <w:szCs w:val="22"/>
                <w:vertAlign w:val="superscript"/>
              </w:rPr>
              <w:t>說明2</w:t>
            </w:r>
          </w:p>
        </w:tc>
        <w:tc>
          <w:tcPr>
            <w:tcW w:w="537" w:type="pct"/>
            <w:vAlign w:val="center"/>
          </w:tcPr>
          <w:p w:rsidR="00BF0F46" w:rsidRPr="00507BD2" w:rsidRDefault="00BF0F46" w:rsidP="00BF0F46">
            <w:pPr>
              <w:spacing w:line="280" w:lineRule="exact"/>
              <w:ind w:leftChars="0" w:left="0" w:firstLineChars="0" w:firstLine="0"/>
              <w:rPr>
                <w:rFonts w:hAnsi="標楷體"/>
                <w:spacing w:val="-20"/>
                <w:sz w:val="22"/>
                <w:szCs w:val="22"/>
              </w:rPr>
            </w:pPr>
            <w:r w:rsidRPr="00507BD2">
              <w:rPr>
                <w:rFonts w:hAnsi="標楷體"/>
                <w:spacing w:val="-20"/>
                <w:sz w:val="22"/>
                <w:szCs w:val="22"/>
              </w:rPr>
              <w:t>維持不變</w:t>
            </w:r>
          </w:p>
        </w:tc>
        <w:tc>
          <w:tcPr>
            <w:tcW w:w="537" w:type="pct"/>
            <w:vAlign w:val="center"/>
          </w:tcPr>
          <w:p w:rsidR="00BF0F46" w:rsidRPr="00507BD2" w:rsidRDefault="00BF0F46" w:rsidP="00BF0F46">
            <w:pPr>
              <w:spacing w:line="280" w:lineRule="exact"/>
              <w:ind w:leftChars="0" w:left="0" w:firstLineChars="0" w:firstLine="0"/>
              <w:rPr>
                <w:rFonts w:hAnsi="標楷體"/>
                <w:spacing w:val="-20"/>
                <w:sz w:val="22"/>
                <w:szCs w:val="22"/>
              </w:rPr>
            </w:pPr>
            <w:r w:rsidRPr="00507BD2">
              <w:rPr>
                <w:rFonts w:hAnsi="標楷體"/>
                <w:spacing w:val="-20"/>
                <w:sz w:val="22"/>
                <w:szCs w:val="22"/>
              </w:rPr>
              <w:t>維持不變</w:t>
            </w:r>
          </w:p>
        </w:tc>
        <w:tc>
          <w:tcPr>
            <w:tcW w:w="485" w:type="pct"/>
            <w:vAlign w:val="center"/>
          </w:tcPr>
          <w:p w:rsidR="00BF0F46" w:rsidRPr="00507BD2" w:rsidRDefault="00BF0F46" w:rsidP="00BF0F46">
            <w:pPr>
              <w:spacing w:line="280" w:lineRule="exact"/>
              <w:ind w:leftChars="0" w:left="0" w:firstLineChars="0" w:firstLine="0"/>
              <w:rPr>
                <w:rFonts w:hAnsi="標楷體"/>
                <w:spacing w:val="-20"/>
                <w:sz w:val="22"/>
                <w:szCs w:val="22"/>
              </w:rPr>
            </w:pPr>
            <w:r w:rsidRPr="00507BD2">
              <w:rPr>
                <w:rFonts w:hAnsi="標楷體"/>
                <w:spacing w:val="-20"/>
                <w:sz w:val="22"/>
                <w:szCs w:val="22"/>
              </w:rPr>
              <w:t>維持不變</w:t>
            </w:r>
          </w:p>
        </w:tc>
      </w:tr>
    </w:tbl>
    <w:p w:rsidR="003C7857" w:rsidRPr="00507BD2" w:rsidRDefault="00C75457" w:rsidP="00DF4CD0">
      <w:pPr>
        <w:pStyle w:val="142"/>
        <w:ind w:left="1413" w:hangingChars="581" w:hanging="1413"/>
        <w:jc w:val="both"/>
        <w:rPr>
          <w:rFonts w:hAnsi="標楷體" w:hint="eastAsia"/>
        </w:rPr>
      </w:pPr>
      <w:r w:rsidRPr="00507BD2">
        <w:rPr>
          <w:rFonts w:hAnsi="標楷體" w:hint="eastAsia"/>
        </w:rPr>
        <w:t>說    明：</w:t>
      </w:r>
      <w:r w:rsidR="003C7857" w:rsidRPr="00507BD2">
        <w:rPr>
          <w:rFonts w:hAnsi="標楷體" w:hint="eastAsia"/>
        </w:rPr>
        <w:t>1.特定地區包括臺北市、新北市、桃園市、臺中市、臺南市、高雄市、新竹縣及新竹市。</w:t>
      </w:r>
    </w:p>
    <w:p w:rsidR="00C75457" w:rsidRPr="00507BD2" w:rsidRDefault="003C7857" w:rsidP="00DF4CD0">
      <w:pPr>
        <w:pStyle w:val="142"/>
        <w:ind w:leftChars="426" w:left="1454" w:hangingChars="102" w:hanging="248"/>
        <w:jc w:val="both"/>
        <w:rPr>
          <w:rFonts w:hAnsi="標楷體" w:hint="eastAsia"/>
        </w:rPr>
      </w:pPr>
      <w:r w:rsidRPr="00507BD2">
        <w:rPr>
          <w:rFonts w:hAnsi="標楷體" w:hint="eastAsia"/>
        </w:rPr>
        <w:t>2.若抵押土地已動工興建開發，或借款人檢附抵押土地具體興建開發計畫，並切結於一定期間內(110年9月23日修正為1年)興建開發者，可排除適用。</w:t>
      </w:r>
    </w:p>
    <w:p w:rsidR="00C75457" w:rsidRPr="00507BD2" w:rsidRDefault="00C75457" w:rsidP="003C7857">
      <w:pPr>
        <w:pStyle w:val="142"/>
        <w:rPr>
          <w:rFonts w:hAnsi="標楷體" w:hint="eastAsia"/>
        </w:rPr>
      </w:pPr>
      <w:r w:rsidRPr="00507BD2">
        <w:rPr>
          <w:rFonts w:hAnsi="標楷體" w:hint="eastAsia"/>
        </w:rPr>
        <w:t>資料來源：央行。</w:t>
      </w:r>
    </w:p>
    <w:p w:rsidR="00C75457" w:rsidRPr="00507BD2" w:rsidRDefault="00C75457" w:rsidP="00C75457">
      <w:pPr>
        <w:pStyle w:val="a4"/>
        <w:rPr>
          <w:rFonts w:hint="eastAsia"/>
          <w:b/>
        </w:rPr>
      </w:pPr>
      <w:r w:rsidRPr="00507BD2">
        <w:rPr>
          <w:rFonts w:hint="eastAsia"/>
          <w:b/>
        </w:rPr>
        <w:t>(二)</w:t>
      </w:r>
      <w:r w:rsidR="005702F5" w:rsidRPr="00A90610">
        <w:rPr>
          <w:rFonts w:hint="eastAsia"/>
          <w:b/>
        </w:rPr>
        <w:t>不動產貸款</w:t>
      </w:r>
      <w:r w:rsidR="00DF4CD0" w:rsidRPr="00A90610">
        <w:rPr>
          <w:rFonts w:hint="eastAsia"/>
          <w:b/>
        </w:rPr>
        <w:t>集中度</w:t>
      </w:r>
      <w:r w:rsidR="002334C6" w:rsidRPr="00A90610">
        <w:rPr>
          <w:rFonts w:hint="eastAsia"/>
          <w:b/>
        </w:rPr>
        <w:t>問題</w:t>
      </w:r>
      <w:r w:rsidR="00937398" w:rsidRPr="00A90610">
        <w:rPr>
          <w:rFonts w:hint="eastAsia"/>
          <w:b/>
        </w:rPr>
        <w:t>猶存</w:t>
      </w:r>
      <w:r w:rsidR="00DF4CD0" w:rsidRPr="00A90610">
        <w:rPr>
          <w:rFonts w:hint="eastAsia"/>
          <w:b/>
        </w:rPr>
        <w:t>，</w:t>
      </w:r>
      <w:r w:rsidR="00F764C0" w:rsidRPr="00A90610">
        <w:rPr>
          <w:rFonts w:hint="eastAsia"/>
          <w:b/>
        </w:rPr>
        <w:t>113年度</w:t>
      </w:r>
      <w:r w:rsidR="00A90610" w:rsidRPr="00A90610">
        <w:rPr>
          <w:rFonts w:hint="eastAsia"/>
          <w:b/>
        </w:rPr>
        <w:t>至8月底</w:t>
      </w:r>
      <w:r w:rsidR="000F3CFE" w:rsidRPr="00A90610">
        <w:rPr>
          <w:rFonts w:hint="eastAsia"/>
          <w:b/>
        </w:rPr>
        <w:t>購置住宅貸款</w:t>
      </w:r>
      <w:r w:rsidR="00F764C0" w:rsidRPr="00A90610">
        <w:rPr>
          <w:rFonts w:hint="eastAsia"/>
          <w:b/>
        </w:rPr>
        <w:t>餘額急速增加</w:t>
      </w:r>
    </w:p>
    <w:p w:rsidR="00726CE3" w:rsidRPr="00507BD2" w:rsidRDefault="002F2C41" w:rsidP="00C75457">
      <w:pPr>
        <w:pStyle w:val="21"/>
        <w:ind w:left="850" w:firstLine="566"/>
        <w:rPr>
          <w:rFonts w:hAnsi="標楷體"/>
        </w:rPr>
      </w:pPr>
      <w:r w:rsidRPr="00507BD2">
        <w:rPr>
          <w:rFonts w:hAnsi="標楷體" w:hint="eastAsia"/>
        </w:rPr>
        <w:t>檢視</w:t>
      </w:r>
      <w:r w:rsidR="00726CE3" w:rsidRPr="00507BD2">
        <w:rPr>
          <w:rFonts w:hAnsi="標楷體" w:hint="eastAsia"/>
        </w:rPr>
        <w:t>自109年12月</w:t>
      </w:r>
      <w:r w:rsidR="00C80A58" w:rsidRPr="00507BD2">
        <w:rPr>
          <w:rFonts w:hAnsi="標楷體" w:hint="eastAsia"/>
        </w:rPr>
        <w:t>實施</w:t>
      </w:r>
      <w:r w:rsidR="00726CE3" w:rsidRPr="00507BD2">
        <w:rPr>
          <w:rFonts w:hAnsi="標楷體" w:hint="eastAsia"/>
        </w:rPr>
        <w:t>選擇性信用管制措施</w:t>
      </w:r>
      <w:r w:rsidR="004D501E" w:rsidRPr="00507BD2">
        <w:rPr>
          <w:rFonts w:hAnsi="標楷體" w:hint="eastAsia"/>
        </w:rPr>
        <w:t>以</w:t>
      </w:r>
      <w:r w:rsidR="00C80A58" w:rsidRPr="00507BD2">
        <w:rPr>
          <w:rFonts w:hAnsi="標楷體" w:hint="eastAsia"/>
        </w:rPr>
        <w:t>來</w:t>
      </w:r>
      <w:r w:rsidR="00726CE3" w:rsidRPr="00507BD2">
        <w:rPr>
          <w:rFonts w:hAnsi="標楷體" w:hint="eastAsia"/>
        </w:rPr>
        <w:t>政策成效，</w:t>
      </w:r>
      <w:r w:rsidR="0071071B" w:rsidRPr="00507BD2">
        <w:rPr>
          <w:rFonts w:hAnsi="標楷體" w:hint="eastAsia"/>
        </w:rPr>
        <w:t>銀行信用資源仍持續流向不動產市場</w:t>
      </w:r>
      <w:r w:rsidR="00235062" w:rsidRPr="00507BD2">
        <w:rPr>
          <w:rFonts w:hAnsi="標楷體" w:hint="eastAsia"/>
        </w:rPr>
        <w:t>。</w:t>
      </w:r>
      <w:r w:rsidR="0071071B" w:rsidRPr="00507BD2">
        <w:rPr>
          <w:rFonts w:hAnsi="標楷體" w:hint="eastAsia"/>
        </w:rPr>
        <w:t>茲</w:t>
      </w:r>
      <w:r w:rsidR="00904E57" w:rsidRPr="00507BD2">
        <w:rPr>
          <w:rFonts w:hAnsi="標楷體" w:hint="eastAsia"/>
        </w:rPr>
        <w:t>說明如次</w:t>
      </w:r>
      <w:r w:rsidR="0071071B" w:rsidRPr="00507BD2">
        <w:rPr>
          <w:rFonts w:hAnsi="標楷體" w:hint="eastAsia"/>
        </w:rPr>
        <w:t>：</w:t>
      </w:r>
    </w:p>
    <w:p w:rsidR="00904E57" w:rsidRPr="00507BD2" w:rsidRDefault="00904E57" w:rsidP="00904E57">
      <w:pPr>
        <w:ind w:leftChars="300" w:left="1133" w:hangingChars="100" w:hanging="283"/>
        <w:rPr>
          <w:rFonts w:hAnsi="標楷體" w:cs="標楷體" w:hint="eastAsia"/>
          <w:color w:val="000000"/>
        </w:rPr>
      </w:pPr>
      <w:r w:rsidRPr="00507BD2">
        <w:rPr>
          <w:rFonts w:hAnsi="標楷體" w:cs="標楷體"/>
          <w:b/>
          <w:color w:val="000000"/>
        </w:rPr>
        <w:t>1.</w:t>
      </w:r>
      <w:r w:rsidRPr="00507BD2">
        <w:rPr>
          <w:rFonts w:hAnsi="標楷體" w:cs="標楷體" w:hint="eastAsia"/>
          <w:b/>
          <w:color w:val="000000"/>
        </w:rPr>
        <w:t>不動產貸款集中度居高：</w:t>
      </w:r>
      <w:r w:rsidRPr="00507BD2">
        <w:rPr>
          <w:rFonts w:hAnsi="標楷體" w:cs="標楷體" w:hint="eastAsia"/>
          <w:color w:val="000000"/>
        </w:rPr>
        <w:t>109至113年8月間不動產貸款集中度於35.34%至37.64%間波動，</w:t>
      </w:r>
      <w:r w:rsidR="00854BFD">
        <w:rPr>
          <w:rFonts w:hAnsi="標楷體" w:cs="標楷體" w:hint="eastAsia"/>
          <w:color w:val="000000"/>
        </w:rPr>
        <w:t>112年度起皆高於37%</w:t>
      </w:r>
      <w:r w:rsidR="003D312E" w:rsidRPr="00507BD2">
        <w:rPr>
          <w:rFonts w:hAnsi="標楷體" w:cs="標楷體" w:hint="eastAsia"/>
          <w:color w:val="000000"/>
        </w:rPr>
        <w:t>，年平均數仍呈現趨增現象</w:t>
      </w:r>
      <w:r w:rsidR="00854BFD">
        <w:rPr>
          <w:rFonts w:hAnsi="標楷體" w:cs="標楷體" w:hint="eastAsia"/>
          <w:color w:val="000000"/>
        </w:rPr>
        <w:t>，</w:t>
      </w:r>
      <w:r w:rsidRPr="00507BD2">
        <w:rPr>
          <w:rFonts w:hAnsi="標楷體" w:cs="標楷體" w:hint="eastAsia"/>
          <w:color w:val="000000"/>
        </w:rPr>
        <w:t>11</w:t>
      </w:r>
      <w:r w:rsidRPr="00507BD2">
        <w:rPr>
          <w:rFonts w:hAnsi="標楷體" w:cs="標楷體"/>
          <w:color w:val="000000"/>
        </w:rPr>
        <w:t>3</w:t>
      </w:r>
      <w:r w:rsidRPr="00507BD2">
        <w:rPr>
          <w:rFonts w:hAnsi="標楷體" w:cs="標楷體" w:hint="eastAsia"/>
          <w:color w:val="000000"/>
        </w:rPr>
        <w:t>年8月底為37.49%(詳表2)，集中度</w:t>
      </w:r>
      <w:r w:rsidR="00A90610">
        <w:rPr>
          <w:rFonts w:hAnsi="標楷體" w:cs="標楷體" w:hint="eastAsia"/>
          <w:color w:val="000000"/>
        </w:rPr>
        <w:t>趨</w:t>
      </w:r>
      <w:r w:rsidRPr="00507BD2">
        <w:rPr>
          <w:rFonts w:hAnsi="標楷體" w:cs="標楷體" w:hint="eastAsia"/>
          <w:color w:val="000000"/>
        </w:rPr>
        <w:t>高，未因實施選擇性信用管制措施而有效下降。</w:t>
      </w:r>
    </w:p>
    <w:p w:rsidR="00904E57" w:rsidRPr="00507BD2" w:rsidRDefault="00904E57" w:rsidP="00904E57">
      <w:pPr>
        <w:ind w:left="566" w:firstLineChars="101" w:firstLine="286"/>
        <w:rPr>
          <w:rFonts w:hAnsi="標楷體"/>
        </w:rPr>
      </w:pPr>
      <w:r w:rsidRPr="00507BD2">
        <w:rPr>
          <w:rFonts w:hAnsi="標楷體" w:hint="eastAsia"/>
          <w:b/>
        </w:rPr>
        <w:t>表</w:t>
      </w:r>
      <w:r w:rsidRPr="00507BD2">
        <w:rPr>
          <w:rFonts w:hAnsi="標楷體"/>
          <w:b/>
        </w:rPr>
        <w:t xml:space="preserve">2 </w:t>
      </w:r>
      <w:r w:rsidR="00075BEE" w:rsidRPr="00507BD2">
        <w:rPr>
          <w:rFonts w:hAnsi="標楷體" w:hint="eastAsia"/>
          <w:b/>
        </w:rPr>
        <w:t xml:space="preserve"> </w:t>
      </w:r>
      <w:r w:rsidRPr="00507BD2">
        <w:rPr>
          <w:rFonts w:hAnsi="標楷體"/>
          <w:b/>
        </w:rPr>
        <w:t>109</w:t>
      </w:r>
      <w:r w:rsidRPr="00507BD2">
        <w:rPr>
          <w:rFonts w:hAnsi="標楷體" w:hint="eastAsia"/>
          <w:b/>
        </w:rPr>
        <w:t>至1</w:t>
      </w:r>
      <w:r w:rsidRPr="00507BD2">
        <w:rPr>
          <w:rFonts w:hAnsi="標楷體"/>
          <w:b/>
        </w:rPr>
        <w:t>13</w:t>
      </w:r>
      <w:r w:rsidRPr="00507BD2">
        <w:rPr>
          <w:rFonts w:hAnsi="標楷體" w:hint="eastAsia"/>
          <w:b/>
        </w:rPr>
        <w:t>年8月不動產貸款集中度</w:t>
      </w:r>
      <w:r w:rsidR="00A90610">
        <w:rPr>
          <w:rFonts w:hAnsi="標楷體" w:hint="eastAsia"/>
          <w:b/>
        </w:rPr>
        <w:t xml:space="preserve">情形表 </w:t>
      </w:r>
      <w:r w:rsidRPr="00507BD2">
        <w:rPr>
          <w:rFonts w:hAnsi="標楷體"/>
        </w:rPr>
        <w:t xml:space="preserve">     </w:t>
      </w:r>
      <w:r w:rsidRPr="00507BD2">
        <w:rPr>
          <w:rFonts w:hAnsi="標楷體" w:hint="eastAsia"/>
          <w:sz w:val="24"/>
          <w:szCs w:val="24"/>
        </w:rPr>
        <w:t>單位：%</w:t>
      </w:r>
    </w:p>
    <w:tbl>
      <w:tblPr>
        <w:tblW w:w="7654" w:type="dxa"/>
        <w:tblInd w:w="87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933"/>
        <w:gridCol w:w="1231"/>
        <w:gridCol w:w="1273"/>
        <w:gridCol w:w="1273"/>
        <w:gridCol w:w="1272"/>
        <w:gridCol w:w="1672"/>
      </w:tblGrid>
      <w:tr w:rsidR="00904E57" w:rsidRPr="00507BD2" w:rsidTr="003829D2">
        <w:trPr>
          <w:trHeight w:val="340"/>
          <w:tblHeader/>
        </w:trPr>
        <w:tc>
          <w:tcPr>
            <w:tcW w:w="933" w:type="dxa"/>
            <w:shd w:val="clear" w:color="auto" w:fill="auto"/>
            <w:vAlign w:val="center"/>
            <w:hideMark/>
          </w:tcPr>
          <w:p w:rsidR="00904E57" w:rsidRPr="00507BD2" w:rsidRDefault="00904E57" w:rsidP="00DF4CD0">
            <w:pPr>
              <w:pStyle w:val="142"/>
              <w:jc w:val="center"/>
              <w:rPr>
                <w:rFonts w:hAnsi="標楷體"/>
                <w:b/>
              </w:rPr>
            </w:pPr>
            <w:r w:rsidRPr="00507BD2">
              <w:rPr>
                <w:rFonts w:hAnsi="標楷體" w:hint="eastAsia"/>
                <w:b/>
              </w:rPr>
              <w:t>月份</w:t>
            </w:r>
          </w:p>
        </w:tc>
        <w:tc>
          <w:tcPr>
            <w:tcW w:w="1231" w:type="dxa"/>
            <w:shd w:val="clear" w:color="auto" w:fill="auto"/>
            <w:vAlign w:val="center"/>
            <w:hideMark/>
          </w:tcPr>
          <w:p w:rsidR="00904E57" w:rsidRPr="00507BD2" w:rsidRDefault="00904E57" w:rsidP="00DF4CD0">
            <w:pPr>
              <w:pStyle w:val="142"/>
              <w:jc w:val="center"/>
              <w:rPr>
                <w:rFonts w:hAnsi="標楷體" w:hint="eastAsia"/>
                <w:b/>
              </w:rPr>
            </w:pPr>
            <w:r w:rsidRPr="00507BD2">
              <w:rPr>
                <w:rFonts w:hAnsi="標楷體" w:hint="eastAsia"/>
                <w:b/>
              </w:rPr>
              <w:t>109年度</w:t>
            </w:r>
          </w:p>
        </w:tc>
        <w:tc>
          <w:tcPr>
            <w:tcW w:w="1273" w:type="dxa"/>
            <w:shd w:val="clear" w:color="auto" w:fill="auto"/>
            <w:vAlign w:val="center"/>
            <w:hideMark/>
          </w:tcPr>
          <w:p w:rsidR="00904E57" w:rsidRPr="00507BD2" w:rsidRDefault="00904E57" w:rsidP="00DF4CD0">
            <w:pPr>
              <w:pStyle w:val="142"/>
              <w:jc w:val="center"/>
              <w:rPr>
                <w:rFonts w:hAnsi="標楷體" w:hint="eastAsia"/>
                <w:b/>
              </w:rPr>
            </w:pPr>
            <w:r w:rsidRPr="00507BD2">
              <w:rPr>
                <w:rFonts w:hAnsi="標楷體" w:hint="eastAsia"/>
                <w:b/>
              </w:rPr>
              <w:t>110年度</w:t>
            </w:r>
          </w:p>
        </w:tc>
        <w:tc>
          <w:tcPr>
            <w:tcW w:w="1273" w:type="dxa"/>
            <w:shd w:val="clear" w:color="auto" w:fill="auto"/>
            <w:vAlign w:val="center"/>
            <w:hideMark/>
          </w:tcPr>
          <w:p w:rsidR="00904E57" w:rsidRPr="00507BD2" w:rsidRDefault="00904E57" w:rsidP="00DF4CD0">
            <w:pPr>
              <w:pStyle w:val="142"/>
              <w:jc w:val="center"/>
              <w:rPr>
                <w:rFonts w:hAnsi="標楷體" w:hint="eastAsia"/>
                <w:b/>
              </w:rPr>
            </w:pPr>
            <w:r w:rsidRPr="00507BD2">
              <w:rPr>
                <w:rFonts w:hAnsi="標楷體" w:hint="eastAsia"/>
                <w:b/>
              </w:rPr>
              <w:t>111年度</w:t>
            </w:r>
          </w:p>
        </w:tc>
        <w:tc>
          <w:tcPr>
            <w:tcW w:w="1272" w:type="dxa"/>
            <w:shd w:val="clear" w:color="auto" w:fill="auto"/>
            <w:vAlign w:val="center"/>
            <w:hideMark/>
          </w:tcPr>
          <w:p w:rsidR="00904E57" w:rsidRPr="00507BD2" w:rsidRDefault="00904E57" w:rsidP="00DF4CD0">
            <w:pPr>
              <w:pStyle w:val="142"/>
              <w:jc w:val="center"/>
              <w:rPr>
                <w:rFonts w:hAnsi="標楷體" w:hint="eastAsia"/>
                <w:b/>
              </w:rPr>
            </w:pPr>
            <w:r w:rsidRPr="00507BD2">
              <w:rPr>
                <w:rFonts w:hAnsi="標楷體" w:hint="eastAsia"/>
                <w:b/>
              </w:rPr>
              <w:t>112年度</w:t>
            </w:r>
          </w:p>
        </w:tc>
        <w:tc>
          <w:tcPr>
            <w:tcW w:w="1672" w:type="dxa"/>
            <w:shd w:val="clear" w:color="auto" w:fill="auto"/>
            <w:vAlign w:val="center"/>
            <w:hideMark/>
          </w:tcPr>
          <w:p w:rsidR="00904E57" w:rsidRPr="00507BD2" w:rsidRDefault="00904E57" w:rsidP="00DF4CD0">
            <w:pPr>
              <w:pStyle w:val="142"/>
              <w:jc w:val="center"/>
              <w:rPr>
                <w:rFonts w:hAnsi="標楷體" w:hint="eastAsia"/>
                <w:b/>
              </w:rPr>
            </w:pPr>
            <w:r w:rsidRPr="00507BD2">
              <w:rPr>
                <w:rFonts w:hAnsi="標楷體" w:hint="eastAsia"/>
                <w:b/>
              </w:rPr>
              <w:t>113年度</w:t>
            </w:r>
          </w:p>
        </w:tc>
      </w:tr>
      <w:tr w:rsidR="00904E57" w:rsidRPr="00507BD2" w:rsidTr="003829D2">
        <w:trPr>
          <w:trHeight w:val="20"/>
        </w:trPr>
        <w:tc>
          <w:tcPr>
            <w:tcW w:w="933" w:type="dxa"/>
            <w:shd w:val="clear" w:color="auto" w:fill="auto"/>
            <w:vAlign w:val="center"/>
            <w:hideMark/>
          </w:tcPr>
          <w:p w:rsidR="00904E57" w:rsidRPr="00507BD2" w:rsidRDefault="00904E57" w:rsidP="00DF4CD0">
            <w:pPr>
              <w:pStyle w:val="142"/>
              <w:jc w:val="center"/>
              <w:rPr>
                <w:rFonts w:hAnsi="標楷體" w:hint="eastAsia"/>
              </w:rPr>
            </w:pPr>
            <w:r w:rsidRPr="00507BD2">
              <w:rPr>
                <w:rFonts w:hAnsi="標楷體" w:hint="eastAsia"/>
              </w:rPr>
              <w:t>1</w:t>
            </w:r>
          </w:p>
        </w:tc>
        <w:tc>
          <w:tcPr>
            <w:tcW w:w="1231" w:type="dxa"/>
            <w:shd w:val="clear" w:color="auto" w:fill="F2F2F2"/>
            <w:vAlign w:val="center"/>
            <w:hideMark/>
          </w:tcPr>
          <w:p w:rsidR="00904E57" w:rsidRPr="00507BD2" w:rsidRDefault="00904E57" w:rsidP="00904E57">
            <w:pPr>
              <w:pStyle w:val="142"/>
              <w:jc w:val="right"/>
              <w:rPr>
                <w:rFonts w:hAnsi="標楷體" w:hint="eastAsia"/>
                <w:b/>
              </w:rPr>
            </w:pPr>
            <w:r w:rsidRPr="00507BD2">
              <w:rPr>
                <w:rFonts w:hAnsi="標楷體" w:hint="eastAsia"/>
                <w:b/>
              </w:rPr>
              <w:t>35.34</w:t>
            </w:r>
          </w:p>
        </w:tc>
        <w:tc>
          <w:tcPr>
            <w:tcW w:w="1273" w:type="dxa"/>
            <w:shd w:val="clear" w:color="auto" w:fill="auto"/>
            <w:vAlign w:val="center"/>
            <w:hideMark/>
          </w:tcPr>
          <w:p w:rsidR="00904E57" w:rsidRPr="00507BD2" w:rsidRDefault="00904E57" w:rsidP="00904E57">
            <w:pPr>
              <w:pStyle w:val="142"/>
              <w:jc w:val="right"/>
              <w:rPr>
                <w:rFonts w:hAnsi="標楷體" w:hint="eastAsia"/>
              </w:rPr>
            </w:pPr>
            <w:r w:rsidRPr="00507BD2">
              <w:rPr>
                <w:rFonts w:hAnsi="標楷體" w:hint="eastAsia"/>
              </w:rPr>
              <w:t>36.74</w:t>
            </w:r>
          </w:p>
        </w:tc>
        <w:tc>
          <w:tcPr>
            <w:tcW w:w="1273" w:type="dxa"/>
            <w:shd w:val="clear" w:color="auto" w:fill="auto"/>
            <w:vAlign w:val="center"/>
            <w:hideMark/>
          </w:tcPr>
          <w:p w:rsidR="00904E57" w:rsidRPr="00507BD2" w:rsidRDefault="00904E57" w:rsidP="00904E57">
            <w:pPr>
              <w:pStyle w:val="142"/>
              <w:jc w:val="right"/>
              <w:rPr>
                <w:rFonts w:hAnsi="標楷體" w:hint="eastAsia"/>
              </w:rPr>
            </w:pPr>
            <w:r w:rsidRPr="00507BD2">
              <w:rPr>
                <w:rFonts w:hAnsi="標楷體" w:hint="eastAsia"/>
              </w:rPr>
              <w:t>37.21</w:t>
            </w:r>
          </w:p>
        </w:tc>
        <w:tc>
          <w:tcPr>
            <w:tcW w:w="1272" w:type="dxa"/>
            <w:shd w:val="clear" w:color="auto" w:fill="auto"/>
            <w:vAlign w:val="center"/>
            <w:hideMark/>
          </w:tcPr>
          <w:p w:rsidR="00904E57" w:rsidRPr="00507BD2" w:rsidRDefault="00904E57" w:rsidP="00904E57">
            <w:pPr>
              <w:pStyle w:val="142"/>
              <w:jc w:val="right"/>
              <w:rPr>
                <w:rFonts w:hAnsi="標楷體" w:hint="eastAsia"/>
              </w:rPr>
            </w:pPr>
            <w:r w:rsidRPr="00507BD2">
              <w:rPr>
                <w:rFonts w:hAnsi="標楷體" w:hint="eastAsia"/>
              </w:rPr>
              <w:t>37.07</w:t>
            </w:r>
          </w:p>
        </w:tc>
        <w:tc>
          <w:tcPr>
            <w:tcW w:w="1672" w:type="dxa"/>
            <w:shd w:val="clear" w:color="auto" w:fill="F2F2F2"/>
            <w:vAlign w:val="center"/>
            <w:hideMark/>
          </w:tcPr>
          <w:p w:rsidR="00904E57" w:rsidRPr="00507BD2" w:rsidRDefault="00904E57" w:rsidP="00904E57">
            <w:pPr>
              <w:pStyle w:val="142"/>
              <w:jc w:val="right"/>
              <w:rPr>
                <w:rFonts w:hAnsi="標楷體" w:hint="eastAsia"/>
                <w:b/>
              </w:rPr>
            </w:pPr>
            <w:r w:rsidRPr="00507BD2">
              <w:rPr>
                <w:rFonts w:hAnsi="標楷體" w:hint="eastAsia"/>
                <w:b/>
              </w:rPr>
              <w:t>3</w:t>
            </w:r>
            <w:r w:rsidRPr="00507BD2">
              <w:rPr>
                <w:rFonts w:hAnsi="標楷體" w:hint="eastAsia"/>
                <w:b/>
                <w:shd w:val="clear" w:color="auto" w:fill="F2F2F2"/>
              </w:rPr>
              <w:t>7.64</w:t>
            </w:r>
          </w:p>
        </w:tc>
      </w:tr>
      <w:tr w:rsidR="00904E57" w:rsidRPr="00507BD2" w:rsidTr="003829D2">
        <w:trPr>
          <w:trHeight w:val="20"/>
        </w:trPr>
        <w:tc>
          <w:tcPr>
            <w:tcW w:w="933" w:type="dxa"/>
            <w:shd w:val="clear" w:color="auto" w:fill="auto"/>
            <w:vAlign w:val="center"/>
            <w:hideMark/>
          </w:tcPr>
          <w:p w:rsidR="00904E57" w:rsidRPr="00507BD2" w:rsidRDefault="00904E57" w:rsidP="00DF4CD0">
            <w:pPr>
              <w:pStyle w:val="142"/>
              <w:jc w:val="center"/>
              <w:rPr>
                <w:rFonts w:hAnsi="標楷體" w:hint="eastAsia"/>
              </w:rPr>
            </w:pPr>
            <w:r w:rsidRPr="00507BD2">
              <w:rPr>
                <w:rFonts w:hAnsi="標楷體" w:hint="eastAsia"/>
              </w:rPr>
              <w:t>2</w:t>
            </w:r>
          </w:p>
        </w:tc>
        <w:tc>
          <w:tcPr>
            <w:tcW w:w="1231" w:type="dxa"/>
            <w:shd w:val="clear" w:color="auto" w:fill="auto"/>
            <w:vAlign w:val="center"/>
            <w:hideMark/>
          </w:tcPr>
          <w:p w:rsidR="00904E57" w:rsidRPr="00507BD2" w:rsidRDefault="00904E57" w:rsidP="00904E57">
            <w:pPr>
              <w:pStyle w:val="142"/>
              <w:jc w:val="right"/>
              <w:rPr>
                <w:rFonts w:hAnsi="標楷體" w:hint="eastAsia"/>
              </w:rPr>
            </w:pPr>
            <w:r w:rsidRPr="00507BD2">
              <w:rPr>
                <w:rFonts w:hAnsi="標楷體" w:hint="eastAsia"/>
              </w:rPr>
              <w:t>35.37</w:t>
            </w:r>
          </w:p>
        </w:tc>
        <w:tc>
          <w:tcPr>
            <w:tcW w:w="1273" w:type="dxa"/>
            <w:shd w:val="clear" w:color="auto" w:fill="auto"/>
            <w:vAlign w:val="center"/>
            <w:hideMark/>
          </w:tcPr>
          <w:p w:rsidR="00904E57" w:rsidRPr="00507BD2" w:rsidRDefault="00904E57" w:rsidP="00904E57">
            <w:pPr>
              <w:pStyle w:val="142"/>
              <w:jc w:val="right"/>
              <w:rPr>
                <w:rFonts w:hAnsi="標楷體" w:hint="eastAsia"/>
              </w:rPr>
            </w:pPr>
            <w:r w:rsidRPr="00507BD2">
              <w:rPr>
                <w:rFonts w:hAnsi="標楷體" w:hint="eastAsia"/>
              </w:rPr>
              <w:t>36.74</w:t>
            </w:r>
          </w:p>
        </w:tc>
        <w:tc>
          <w:tcPr>
            <w:tcW w:w="1273" w:type="dxa"/>
            <w:shd w:val="clear" w:color="auto" w:fill="auto"/>
            <w:vAlign w:val="center"/>
            <w:hideMark/>
          </w:tcPr>
          <w:p w:rsidR="00904E57" w:rsidRPr="00507BD2" w:rsidRDefault="00904E57" w:rsidP="00904E57">
            <w:pPr>
              <w:pStyle w:val="142"/>
              <w:jc w:val="right"/>
              <w:rPr>
                <w:rFonts w:hAnsi="標楷體" w:hint="eastAsia"/>
              </w:rPr>
            </w:pPr>
            <w:r w:rsidRPr="00507BD2">
              <w:rPr>
                <w:rFonts w:hAnsi="標楷體" w:hint="eastAsia"/>
              </w:rPr>
              <w:t>37.31</w:t>
            </w:r>
          </w:p>
        </w:tc>
        <w:tc>
          <w:tcPr>
            <w:tcW w:w="1272" w:type="dxa"/>
            <w:shd w:val="clear" w:color="auto" w:fill="auto"/>
            <w:vAlign w:val="center"/>
            <w:hideMark/>
          </w:tcPr>
          <w:p w:rsidR="00904E57" w:rsidRPr="00507BD2" w:rsidRDefault="00904E57" w:rsidP="00904E57">
            <w:pPr>
              <w:pStyle w:val="142"/>
              <w:jc w:val="right"/>
              <w:rPr>
                <w:rFonts w:hAnsi="標楷體" w:hint="eastAsia"/>
              </w:rPr>
            </w:pPr>
            <w:r w:rsidRPr="00507BD2">
              <w:rPr>
                <w:rFonts w:hAnsi="標楷體" w:hint="eastAsia"/>
              </w:rPr>
              <w:t>37.25</w:t>
            </w:r>
          </w:p>
        </w:tc>
        <w:tc>
          <w:tcPr>
            <w:tcW w:w="1672" w:type="dxa"/>
            <w:shd w:val="clear" w:color="auto" w:fill="auto"/>
            <w:vAlign w:val="center"/>
            <w:hideMark/>
          </w:tcPr>
          <w:p w:rsidR="00904E57" w:rsidRPr="00507BD2" w:rsidRDefault="00904E57" w:rsidP="00904E57">
            <w:pPr>
              <w:pStyle w:val="142"/>
              <w:jc w:val="right"/>
              <w:rPr>
                <w:rFonts w:hAnsi="標楷體" w:hint="eastAsia"/>
              </w:rPr>
            </w:pPr>
            <w:r w:rsidRPr="00507BD2">
              <w:rPr>
                <w:rFonts w:hAnsi="標楷體" w:hint="eastAsia"/>
              </w:rPr>
              <w:t>37.45</w:t>
            </w:r>
          </w:p>
        </w:tc>
      </w:tr>
      <w:tr w:rsidR="00904E57" w:rsidRPr="00507BD2" w:rsidTr="003829D2">
        <w:trPr>
          <w:trHeight w:val="20"/>
        </w:trPr>
        <w:tc>
          <w:tcPr>
            <w:tcW w:w="933" w:type="dxa"/>
            <w:shd w:val="clear" w:color="auto" w:fill="auto"/>
            <w:vAlign w:val="center"/>
            <w:hideMark/>
          </w:tcPr>
          <w:p w:rsidR="00904E57" w:rsidRPr="00507BD2" w:rsidRDefault="00904E57" w:rsidP="00DF4CD0">
            <w:pPr>
              <w:pStyle w:val="142"/>
              <w:jc w:val="center"/>
              <w:rPr>
                <w:rFonts w:hAnsi="標楷體" w:hint="eastAsia"/>
              </w:rPr>
            </w:pPr>
            <w:r w:rsidRPr="00507BD2">
              <w:rPr>
                <w:rFonts w:hAnsi="標楷體" w:hint="eastAsia"/>
              </w:rPr>
              <w:t>3</w:t>
            </w:r>
          </w:p>
        </w:tc>
        <w:tc>
          <w:tcPr>
            <w:tcW w:w="1231" w:type="dxa"/>
            <w:shd w:val="clear" w:color="auto" w:fill="auto"/>
            <w:vAlign w:val="center"/>
            <w:hideMark/>
          </w:tcPr>
          <w:p w:rsidR="00904E57" w:rsidRPr="00507BD2" w:rsidRDefault="00904E57" w:rsidP="00904E57">
            <w:pPr>
              <w:pStyle w:val="142"/>
              <w:jc w:val="right"/>
              <w:rPr>
                <w:rFonts w:hAnsi="標楷體" w:hint="eastAsia"/>
              </w:rPr>
            </w:pPr>
            <w:r w:rsidRPr="00507BD2">
              <w:rPr>
                <w:rFonts w:hAnsi="標楷體" w:hint="eastAsia"/>
              </w:rPr>
              <w:t>35.43</w:t>
            </w:r>
          </w:p>
        </w:tc>
        <w:tc>
          <w:tcPr>
            <w:tcW w:w="1273" w:type="dxa"/>
            <w:shd w:val="clear" w:color="auto" w:fill="auto"/>
            <w:vAlign w:val="center"/>
            <w:hideMark/>
          </w:tcPr>
          <w:p w:rsidR="00904E57" w:rsidRPr="00507BD2" w:rsidRDefault="00904E57" w:rsidP="00904E57">
            <w:pPr>
              <w:pStyle w:val="142"/>
              <w:jc w:val="right"/>
              <w:rPr>
                <w:rFonts w:hAnsi="標楷體" w:hint="eastAsia"/>
              </w:rPr>
            </w:pPr>
            <w:r w:rsidRPr="00507BD2">
              <w:rPr>
                <w:rFonts w:hAnsi="標楷體" w:hint="eastAsia"/>
              </w:rPr>
              <w:t xml:space="preserve">36.7 </w:t>
            </w:r>
          </w:p>
        </w:tc>
        <w:tc>
          <w:tcPr>
            <w:tcW w:w="1273" w:type="dxa"/>
            <w:shd w:val="clear" w:color="auto" w:fill="auto"/>
            <w:vAlign w:val="center"/>
            <w:hideMark/>
          </w:tcPr>
          <w:p w:rsidR="00904E57" w:rsidRPr="00507BD2" w:rsidRDefault="00904E57" w:rsidP="00904E57">
            <w:pPr>
              <w:pStyle w:val="142"/>
              <w:jc w:val="right"/>
              <w:rPr>
                <w:rFonts w:hAnsi="標楷體" w:hint="eastAsia"/>
              </w:rPr>
            </w:pPr>
            <w:r w:rsidRPr="00507BD2">
              <w:rPr>
                <w:rFonts w:hAnsi="標楷體" w:hint="eastAsia"/>
              </w:rPr>
              <w:t>37.29</w:t>
            </w:r>
          </w:p>
        </w:tc>
        <w:tc>
          <w:tcPr>
            <w:tcW w:w="1272" w:type="dxa"/>
            <w:shd w:val="clear" w:color="auto" w:fill="auto"/>
            <w:vAlign w:val="center"/>
            <w:hideMark/>
          </w:tcPr>
          <w:p w:rsidR="00904E57" w:rsidRPr="00507BD2" w:rsidRDefault="00904E57" w:rsidP="00904E57">
            <w:pPr>
              <w:pStyle w:val="142"/>
              <w:jc w:val="right"/>
              <w:rPr>
                <w:rFonts w:hAnsi="標楷體" w:hint="eastAsia"/>
              </w:rPr>
            </w:pPr>
            <w:r w:rsidRPr="00507BD2">
              <w:rPr>
                <w:rFonts w:hAnsi="標楷體" w:hint="eastAsia"/>
              </w:rPr>
              <w:t>37.04</w:t>
            </w:r>
          </w:p>
        </w:tc>
        <w:tc>
          <w:tcPr>
            <w:tcW w:w="1672" w:type="dxa"/>
            <w:shd w:val="clear" w:color="auto" w:fill="auto"/>
            <w:vAlign w:val="center"/>
            <w:hideMark/>
          </w:tcPr>
          <w:p w:rsidR="00904E57" w:rsidRPr="00507BD2" w:rsidRDefault="00904E57" w:rsidP="00904E57">
            <w:pPr>
              <w:pStyle w:val="142"/>
              <w:jc w:val="right"/>
              <w:rPr>
                <w:rFonts w:hAnsi="標楷體" w:hint="eastAsia"/>
              </w:rPr>
            </w:pPr>
            <w:r w:rsidRPr="00507BD2">
              <w:rPr>
                <w:rFonts w:hAnsi="標楷體" w:hint="eastAsia"/>
              </w:rPr>
              <w:t>37.27</w:t>
            </w:r>
          </w:p>
        </w:tc>
      </w:tr>
      <w:tr w:rsidR="00904E57" w:rsidRPr="00507BD2" w:rsidTr="003829D2">
        <w:trPr>
          <w:trHeight w:val="20"/>
        </w:trPr>
        <w:tc>
          <w:tcPr>
            <w:tcW w:w="933" w:type="dxa"/>
            <w:shd w:val="clear" w:color="auto" w:fill="auto"/>
            <w:vAlign w:val="center"/>
            <w:hideMark/>
          </w:tcPr>
          <w:p w:rsidR="00904E57" w:rsidRPr="00507BD2" w:rsidRDefault="00904E57" w:rsidP="00DF4CD0">
            <w:pPr>
              <w:pStyle w:val="142"/>
              <w:jc w:val="center"/>
              <w:rPr>
                <w:rFonts w:hAnsi="標楷體" w:hint="eastAsia"/>
              </w:rPr>
            </w:pPr>
            <w:r w:rsidRPr="00507BD2">
              <w:rPr>
                <w:rFonts w:hAnsi="標楷體" w:hint="eastAsia"/>
              </w:rPr>
              <w:t>4</w:t>
            </w:r>
          </w:p>
        </w:tc>
        <w:tc>
          <w:tcPr>
            <w:tcW w:w="1231" w:type="dxa"/>
            <w:shd w:val="clear" w:color="auto" w:fill="auto"/>
            <w:vAlign w:val="center"/>
            <w:hideMark/>
          </w:tcPr>
          <w:p w:rsidR="00904E57" w:rsidRPr="00507BD2" w:rsidRDefault="00904E57" w:rsidP="00904E57">
            <w:pPr>
              <w:pStyle w:val="142"/>
              <w:jc w:val="right"/>
              <w:rPr>
                <w:rFonts w:hAnsi="標楷體" w:hint="eastAsia"/>
              </w:rPr>
            </w:pPr>
            <w:r w:rsidRPr="00507BD2">
              <w:rPr>
                <w:rFonts w:hAnsi="標楷體" w:hint="eastAsia"/>
              </w:rPr>
              <w:t>35.5</w:t>
            </w:r>
            <w:r w:rsidR="00C334EB" w:rsidRPr="00507BD2">
              <w:rPr>
                <w:rFonts w:hAnsi="標楷體" w:hint="eastAsia"/>
              </w:rPr>
              <w:t xml:space="preserve"> </w:t>
            </w:r>
            <w:r w:rsidR="0055327C" w:rsidRPr="00507BD2">
              <w:rPr>
                <w:rFonts w:hAnsi="標楷體" w:hint="eastAsia"/>
              </w:rPr>
              <w:t xml:space="preserve">  </w:t>
            </w:r>
            <w:r w:rsidRPr="00507BD2">
              <w:rPr>
                <w:rFonts w:hAnsi="標楷體" w:hint="eastAsia"/>
              </w:rPr>
              <w:t xml:space="preserve"> </w:t>
            </w:r>
          </w:p>
        </w:tc>
        <w:tc>
          <w:tcPr>
            <w:tcW w:w="1273" w:type="dxa"/>
            <w:shd w:val="clear" w:color="auto" w:fill="auto"/>
            <w:vAlign w:val="center"/>
            <w:hideMark/>
          </w:tcPr>
          <w:p w:rsidR="00904E57" w:rsidRPr="00507BD2" w:rsidRDefault="00904E57" w:rsidP="00904E57">
            <w:pPr>
              <w:pStyle w:val="142"/>
              <w:jc w:val="right"/>
              <w:rPr>
                <w:rFonts w:hAnsi="標楷體" w:hint="eastAsia"/>
              </w:rPr>
            </w:pPr>
            <w:r w:rsidRPr="00507BD2">
              <w:rPr>
                <w:rFonts w:hAnsi="標楷體" w:hint="eastAsia"/>
              </w:rPr>
              <w:t>36.95</w:t>
            </w:r>
          </w:p>
        </w:tc>
        <w:tc>
          <w:tcPr>
            <w:tcW w:w="1273" w:type="dxa"/>
            <w:shd w:val="clear" w:color="auto" w:fill="auto"/>
            <w:vAlign w:val="center"/>
            <w:hideMark/>
          </w:tcPr>
          <w:p w:rsidR="00904E57" w:rsidRPr="00507BD2" w:rsidRDefault="00904E57" w:rsidP="00904E57">
            <w:pPr>
              <w:pStyle w:val="142"/>
              <w:jc w:val="right"/>
              <w:rPr>
                <w:rFonts w:hAnsi="標楷體" w:hint="eastAsia"/>
              </w:rPr>
            </w:pPr>
            <w:r w:rsidRPr="00507BD2">
              <w:rPr>
                <w:rFonts w:hAnsi="標楷體" w:hint="eastAsia"/>
              </w:rPr>
              <w:t>37.12</w:t>
            </w:r>
          </w:p>
        </w:tc>
        <w:tc>
          <w:tcPr>
            <w:tcW w:w="1272" w:type="dxa"/>
            <w:shd w:val="clear" w:color="auto" w:fill="auto"/>
            <w:vAlign w:val="center"/>
            <w:hideMark/>
          </w:tcPr>
          <w:p w:rsidR="00904E57" w:rsidRPr="00507BD2" w:rsidRDefault="00904E57" w:rsidP="00904E57">
            <w:pPr>
              <w:pStyle w:val="142"/>
              <w:jc w:val="right"/>
              <w:rPr>
                <w:rFonts w:hAnsi="標楷體" w:hint="eastAsia"/>
              </w:rPr>
            </w:pPr>
            <w:r w:rsidRPr="00507BD2">
              <w:rPr>
                <w:rFonts w:hAnsi="標楷體" w:hint="eastAsia"/>
              </w:rPr>
              <w:t>37.23</w:t>
            </w:r>
          </w:p>
        </w:tc>
        <w:tc>
          <w:tcPr>
            <w:tcW w:w="1672" w:type="dxa"/>
            <w:shd w:val="clear" w:color="auto" w:fill="auto"/>
            <w:vAlign w:val="center"/>
            <w:hideMark/>
          </w:tcPr>
          <w:p w:rsidR="00904E57" w:rsidRPr="00507BD2" w:rsidRDefault="00904E57" w:rsidP="00904E57">
            <w:pPr>
              <w:pStyle w:val="142"/>
              <w:jc w:val="right"/>
              <w:rPr>
                <w:rFonts w:hAnsi="標楷體" w:hint="eastAsia"/>
              </w:rPr>
            </w:pPr>
            <w:r w:rsidRPr="00507BD2">
              <w:rPr>
                <w:rFonts w:hAnsi="標楷體" w:hint="eastAsia"/>
              </w:rPr>
              <w:t xml:space="preserve">37.4 </w:t>
            </w:r>
          </w:p>
        </w:tc>
      </w:tr>
      <w:tr w:rsidR="00904E57" w:rsidRPr="00507BD2" w:rsidTr="003829D2">
        <w:trPr>
          <w:trHeight w:val="20"/>
        </w:trPr>
        <w:tc>
          <w:tcPr>
            <w:tcW w:w="933" w:type="dxa"/>
            <w:shd w:val="clear" w:color="auto" w:fill="auto"/>
            <w:vAlign w:val="center"/>
            <w:hideMark/>
          </w:tcPr>
          <w:p w:rsidR="00904E57" w:rsidRPr="00507BD2" w:rsidRDefault="00904E57" w:rsidP="00DF4CD0">
            <w:pPr>
              <w:pStyle w:val="142"/>
              <w:jc w:val="center"/>
              <w:rPr>
                <w:rFonts w:hAnsi="標楷體" w:hint="eastAsia"/>
              </w:rPr>
            </w:pPr>
            <w:r w:rsidRPr="00507BD2">
              <w:rPr>
                <w:rFonts w:hAnsi="標楷體" w:hint="eastAsia"/>
              </w:rPr>
              <w:t>5</w:t>
            </w:r>
          </w:p>
        </w:tc>
        <w:tc>
          <w:tcPr>
            <w:tcW w:w="1231" w:type="dxa"/>
            <w:shd w:val="clear" w:color="auto" w:fill="auto"/>
            <w:vAlign w:val="center"/>
            <w:hideMark/>
          </w:tcPr>
          <w:p w:rsidR="00904E57" w:rsidRPr="00507BD2" w:rsidRDefault="00904E57" w:rsidP="00904E57">
            <w:pPr>
              <w:pStyle w:val="142"/>
              <w:jc w:val="right"/>
              <w:rPr>
                <w:rFonts w:hAnsi="標楷體" w:hint="eastAsia"/>
              </w:rPr>
            </w:pPr>
            <w:r w:rsidRPr="00507BD2">
              <w:rPr>
                <w:rFonts w:hAnsi="標楷體" w:hint="eastAsia"/>
              </w:rPr>
              <w:t>35.44</w:t>
            </w:r>
          </w:p>
        </w:tc>
        <w:tc>
          <w:tcPr>
            <w:tcW w:w="1273" w:type="dxa"/>
            <w:shd w:val="clear" w:color="auto" w:fill="auto"/>
            <w:vAlign w:val="center"/>
            <w:hideMark/>
          </w:tcPr>
          <w:p w:rsidR="00904E57" w:rsidRPr="00507BD2" w:rsidRDefault="00904E57" w:rsidP="00904E57">
            <w:pPr>
              <w:pStyle w:val="142"/>
              <w:jc w:val="right"/>
              <w:rPr>
                <w:rFonts w:hAnsi="標楷體" w:hint="eastAsia"/>
              </w:rPr>
            </w:pPr>
            <w:r w:rsidRPr="00507BD2">
              <w:rPr>
                <w:rFonts w:hAnsi="標楷體" w:hint="eastAsia"/>
              </w:rPr>
              <w:t>36.79</w:t>
            </w:r>
          </w:p>
        </w:tc>
        <w:tc>
          <w:tcPr>
            <w:tcW w:w="1273" w:type="dxa"/>
            <w:shd w:val="clear" w:color="auto" w:fill="auto"/>
            <w:vAlign w:val="center"/>
            <w:hideMark/>
          </w:tcPr>
          <w:p w:rsidR="00904E57" w:rsidRPr="00507BD2" w:rsidRDefault="00904E57" w:rsidP="00904E57">
            <w:pPr>
              <w:pStyle w:val="142"/>
              <w:jc w:val="right"/>
              <w:rPr>
                <w:rFonts w:hAnsi="標楷體" w:hint="eastAsia"/>
              </w:rPr>
            </w:pPr>
            <w:r w:rsidRPr="00507BD2">
              <w:rPr>
                <w:rFonts w:hAnsi="標楷體" w:hint="eastAsia"/>
              </w:rPr>
              <w:t xml:space="preserve">37.2 </w:t>
            </w:r>
          </w:p>
        </w:tc>
        <w:tc>
          <w:tcPr>
            <w:tcW w:w="1272" w:type="dxa"/>
            <w:shd w:val="clear" w:color="auto" w:fill="auto"/>
            <w:vAlign w:val="center"/>
            <w:hideMark/>
          </w:tcPr>
          <w:p w:rsidR="00904E57" w:rsidRPr="00507BD2" w:rsidRDefault="00904E57" w:rsidP="00904E57">
            <w:pPr>
              <w:pStyle w:val="142"/>
              <w:jc w:val="right"/>
              <w:rPr>
                <w:rFonts w:hAnsi="標楷體" w:hint="eastAsia"/>
              </w:rPr>
            </w:pPr>
            <w:r w:rsidRPr="00507BD2">
              <w:rPr>
                <w:rFonts w:hAnsi="標楷體" w:hint="eastAsia"/>
              </w:rPr>
              <w:t>37.17</w:t>
            </w:r>
          </w:p>
        </w:tc>
        <w:tc>
          <w:tcPr>
            <w:tcW w:w="1672" w:type="dxa"/>
            <w:shd w:val="clear" w:color="auto" w:fill="auto"/>
            <w:vAlign w:val="center"/>
            <w:hideMark/>
          </w:tcPr>
          <w:p w:rsidR="00904E57" w:rsidRPr="00507BD2" w:rsidRDefault="00904E57" w:rsidP="00904E57">
            <w:pPr>
              <w:pStyle w:val="142"/>
              <w:jc w:val="right"/>
              <w:rPr>
                <w:rFonts w:hAnsi="標楷體" w:hint="eastAsia"/>
              </w:rPr>
            </w:pPr>
            <w:r w:rsidRPr="00507BD2">
              <w:rPr>
                <w:rFonts w:hAnsi="標楷體" w:hint="eastAsia"/>
              </w:rPr>
              <w:t>37.31</w:t>
            </w:r>
          </w:p>
        </w:tc>
      </w:tr>
      <w:tr w:rsidR="00904E57" w:rsidRPr="00507BD2" w:rsidTr="003829D2">
        <w:trPr>
          <w:trHeight w:val="20"/>
        </w:trPr>
        <w:tc>
          <w:tcPr>
            <w:tcW w:w="933" w:type="dxa"/>
            <w:shd w:val="clear" w:color="auto" w:fill="auto"/>
            <w:vAlign w:val="center"/>
            <w:hideMark/>
          </w:tcPr>
          <w:p w:rsidR="00904E57" w:rsidRPr="00507BD2" w:rsidRDefault="00904E57" w:rsidP="00DF4CD0">
            <w:pPr>
              <w:pStyle w:val="142"/>
              <w:jc w:val="center"/>
              <w:rPr>
                <w:rFonts w:hAnsi="標楷體" w:hint="eastAsia"/>
              </w:rPr>
            </w:pPr>
            <w:r w:rsidRPr="00507BD2">
              <w:rPr>
                <w:rFonts w:hAnsi="標楷體" w:hint="eastAsia"/>
              </w:rPr>
              <w:t>6</w:t>
            </w:r>
          </w:p>
        </w:tc>
        <w:tc>
          <w:tcPr>
            <w:tcW w:w="1231" w:type="dxa"/>
            <w:shd w:val="clear" w:color="auto" w:fill="auto"/>
            <w:vAlign w:val="center"/>
            <w:hideMark/>
          </w:tcPr>
          <w:p w:rsidR="00904E57" w:rsidRPr="00507BD2" w:rsidRDefault="00904E57" w:rsidP="00904E57">
            <w:pPr>
              <w:pStyle w:val="142"/>
              <w:jc w:val="right"/>
              <w:rPr>
                <w:rFonts w:hAnsi="標楷體" w:hint="eastAsia"/>
              </w:rPr>
            </w:pPr>
            <w:r w:rsidRPr="00507BD2">
              <w:rPr>
                <w:rFonts w:hAnsi="標楷體" w:hint="eastAsia"/>
              </w:rPr>
              <w:t>35.35</w:t>
            </w:r>
          </w:p>
        </w:tc>
        <w:tc>
          <w:tcPr>
            <w:tcW w:w="1273" w:type="dxa"/>
            <w:shd w:val="clear" w:color="auto" w:fill="auto"/>
            <w:vAlign w:val="center"/>
            <w:hideMark/>
          </w:tcPr>
          <w:p w:rsidR="00904E57" w:rsidRPr="00507BD2" w:rsidRDefault="00904E57" w:rsidP="00904E57">
            <w:pPr>
              <w:pStyle w:val="142"/>
              <w:jc w:val="right"/>
              <w:rPr>
                <w:rFonts w:hAnsi="標楷體" w:hint="eastAsia"/>
              </w:rPr>
            </w:pPr>
            <w:r w:rsidRPr="00507BD2">
              <w:rPr>
                <w:rFonts w:hAnsi="標楷體" w:hint="eastAsia"/>
              </w:rPr>
              <w:t>36.59</w:t>
            </w:r>
          </w:p>
        </w:tc>
        <w:tc>
          <w:tcPr>
            <w:tcW w:w="1273" w:type="dxa"/>
            <w:shd w:val="clear" w:color="auto" w:fill="auto"/>
            <w:vAlign w:val="center"/>
            <w:hideMark/>
          </w:tcPr>
          <w:p w:rsidR="00904E57" w:rsidRPr="00507BD2" w:rsidRDefault="00904E57" w:rsidP="00904E57">
            <w:pPr>
              <w:pStyle w:val="142"/>
              <w:jc w:val="right"/>
              <w:rPr>
                <w:rFonts w:hAnsi="標楷體" w:hint="eastAsia"/>
              </w:rPr>
            </w:pPr>
            <w:r w:rsidRPr="00507BD2">
              <w:rPr>
                <w:rFonts w:hAnsi="標楷體" w:hint="eastAsia"/>
              </w:rPr>
              <w:t>37.12</w:t>
            </w:r>
          </w:p>
        </w:tc>
        <w:tc>
          <w:tcPr>
            <w:tcW w:w="1272" w:type="dxa"/>
            <w:shd w:val="clear" w:color="auto" w:fill="auto"/>
            <w:vAlign w:val="center"/>
            <w:hideMark/>
          </w:tcPr>
          <w:p w:rsidR="00904E57" w:rsidRPr="00507BD2" w:rsidRDefault="00904E57" w:rsidP="00904E57">
            <w:pPr>
              <w:pStyle w:val="142"/>
              <w:jc w:val="right"/>
              <w:rPr>
                <w:rFonts w:hAnsi="標楷體" w:hint="eastAsia"/>
              </w:rPr>
            </w:pPr>
            <w:r w:rsidRPr="00507BD2">
              <w:rPr>
                <w:rFonts w:hAnsi="標楷體" w:hint="eastAsia"/>
              </w:rPr>
              <w:t>37.52</w:t>
            </w:r>
          </w:p>
        </w:tc>
        <w:tc>
          <w:tcPr>
            <w:tcW w:w="1672" w:type="dxa"/>
            <w:shd w:val="clear" w:color="auto" w:fill="auto"/>
            <w:vAlign w:val="center"/>
            <w:hideMark/>
          </w:tcPr>
          <w:p w:rsidR="00904E57" w:rsidRPr="00507BD2" w:rsidRDefault="00904E57" w:rsidP="00904E57">
            <w:pPr>
              <w:pStyle w:val="142"/>
              <w:jc w:val="right"/>
              <w:rPr>
                <w:rFonts w:hAnsi="標楷體" w:hint="eastAsia"/>
              </w:rPr>
            </w:pPr>
            <w:r w:rsidRPr="00507BD2">
              <w:rPr>
                <w:rFonts w:hAnsi="標楷體" w:hint="eastAsia"/>
              </w:rPr>
              <w:t>37.61</w:t>
            </w:r>
          </w:p>
        </w:tc>
      </w:tr>
      <w:tr w:rsidR="00904E57" w:rsidRPr="00507BD2" w:rsidTr="003829D2">
        <w:trPr>
          <w:trHeight w:val="20"/>
        </w:trPr>
        <w:tc>
          <w:tcPr>
            <w:tcW w:w="933" w:type="dxa"/>
            <w:shd w:val="clear" w:color="auto" w:fill="auto"/>
            <w:vAlign w:val="center"/>
            <w:hideMark/>
          </w:tcPr>
          <w:p w:rsidR="00904E57" w:rsidRPr="00507BD2" w:rsidRDefault="00904E57" w:rsidP="00DF4CD0">
            <w:pPr>
              <w:pStyle w:val="142"/>
              <w:jc w:val="center"/>
              <w:rPr>
                <w:rFonts w:hAnsi="標楷體" w:hint="eastAsia"/>
              </w:rPr>
            </w:pPr>
            <w:r w:rsidRPr="00507BD2">
              <w:rPr>
                <w:rFonts w:hAnsi="標楷體" w:hint="eastAsia"/>
              </w:rPr>
              <w:t>7</w:t>
            </w:r>
          </w:p>
        </w:tc>
        <w:tc>
          <w:tcPr>
            <w:tcW w:w="1231" w:type="dxa"/>
            <w:shd w:val="clear" w:color="auto" w:fill="auto"/>
            <w:vAlign w:val="center"/>
            <w:hideMark/>
          </w:tcPr>
          <w:p w:rsidR="00904E57" w:rsidRPr="00507BD2" w:rsidRDefault="00904E57" w:rsidP="00904E57">
            <w:pPr>
              <w:pStyle w:val="142"/>
              <w:jc w:val="right"/>
              <w:rPr>
                <w:rFonts w:hAnsi="標楷體" w:hint="eastAsia"/>
              </w:rPr>
            </w:pPr>
            <w:r w:rsidRPr="00507BD2">
              <w:rPr>
                <w:rFonts w:hAnsi="標楷體" w:hint="eastAsia"/>
              </w:rPr>
              <w:t>35.55</w:t>
            </w:r>
          </w:p>
        </w:tc>
        <w:tc>
          <w:tcPr>
            <w:tcW w:w="1273" w:type="dxa"/>
            <w:shd w:val="clear" w:color="auto" w:fill="auto"/>
            <w:vAlign w:val="center"/>
            <w:hideMark/>
          </w:tcPr>
          <w:p w:rsidR="00904E57" w:rsidRPr="00507BD2" w:rsidRDefault="00904E57" w:rsidP="00904E57">
            <w:pPr>
              <w:pStyle w:val="142"/>
              <w:jc w:val="right"/>
              <w:rPr>
                <w:rFonts w:hAnsi="標楷體" w:hint="eastAsia"/>
              </w:rPr>
            </w:pPr>
            <w:r w:rsidRPr="00507BD2">
              <w:rPr>
                <w:rFonts w:hAnsi="標楷體" w:hint="eastAsia"/>
              </w:rPr>
              <w:t>36.93</w:t>
            </w:r>
          </w:p>
        </w:tc>
        <w:tc>
          <w:tcPr>
            <w:tcW w:w="1273" w:type="dxa"/>
            <w:shd w:val="clear" w:color="auto" w:fill="auto"/>
            <w:vAlign w:val="center"/>
            <w:hideMark/>
          </w:tcPr>
          <w:p w:rsidR="00904E57" w:rsidRPr="00507BD2" w:rsidRDefault="00904E57" w:rsidP="00904E57">
            <w:pPr>
              <w:pStyle w:val="142"/>
              <w:jc w:val="right"/>
              <w:rPr>
                <w:rFonts w:hAnsi="標楷體" w:hint="eastAsia"/>
              </w:rPr>
            </w:pPr>
            <w:r w:rsidRPr="00507BD2">
              <w:rPr>
                <w:rFonts w:hAnsi="標楷體" w:hint="eastAsia"/>
              </w:rPr>
              <w:t>37.28</w:t>
            </w:r>
          </w:p>
        </w:tc>
        <w:tc>
          <w:tcPr>
            <w:tcW w:w="1272" w:type="dxa"/>
            <w:shd w:val="clear" w:color="auto" w:fill="auto"/>
            <w:vAlign w:val="center"/>
            <w:hideMark/>
          </w:tcPr>
          <w:p w:rsidR="00904E57" w:rsidRPr="00507BD2" w:rsidRDefault="00904E57" w:rsidP="00904E57">
            <w:pPr>
              <w:pStyle w:val="142"/>
              <w:jc w:val="right"/>
              <w:rPr>
                <w:rFonts w:hAnsi="標楷體" w:hint="eastAsia"/>
              </w:rPr>
            </w:pPr>
            <w:r w:rsidRPr="00507BD2">
              <w:rPr>
                <w:rFonts w:hAnsi="標楷體" w:hint="eastAsia"/>
              </w:rPr>
              <w:t>37.41</w:t>
            </w:r>
          </w:p>
        </w:tc>
        <w:tc>
          <w:tcPr>
            <w:tcW w:w="1672" w:type="dxa"/>
            <w:shd w:val="clear" w:color="auto" w:fill="auto"/>
            <w:vAlign w:val="center"/>
            <w:hideMark/>
          </w:tcPr>
          <w:p w:rsidR="00904E57" w:rsidRPr="00507BD2" w:rsidRDefault="00904E57" w:rsidP="00904E57">
            <w:pPr>
              <w:pStyle w:val="142"/>
              <w:jc w:val="right"/>
              <w:rPr>
                <w:rFonts w:hAnsi="標楷體" w:hint="eastAsia"/>
              </w:rPr>
            </w:pPr>
            <w:r w:rsidRPr="00507BD2">
              <w:rPr>
                <w:rFonts w:hAnsi="標楷體" w:hint="eastAsia"/>
              </w:rPr>
              <w:t xml:space="preserve">37.4 </w:t>
            </w:r>
          </w:p>
        </w:tc>
      </w:tr>
      <w:tr w:rsidR="00904E57" w:rsidRPr="00507BD2" w:rsidTr="003829D2">
        <w:trPr>
          <w:trHeight w:val="20"/>
        </w:trPr>
        <w:tc>
          <w:tcPr>
            <w:tcW w:w="933" w:type="dxa"/>
            <w:shd w:val="clear" w:color="auto" w:fill="auto"/>
            <w:vAlign w:val="center"/>
            <w:hideMark/>
          </w:tcPr>
          <w:p w:rsidR="00904E57" w:rsidRPr="00507BD2" w:rsidRDefault="00904E57" w:rsidP="00DF4CD0">
            <w:pPr>
              <w:pStyle w:val="142"/>
              <w:jc w:val="center"/>
              <w:rPr>
                <w:rFonts w:hAnsi="標楷體" w:hint="eastAsia"/>
              </w:rPr>
            </w:pPr>
            <w:r w:rsidRPr="00507BD2">
              <w:rPr>
                <w:rFonts w:hAnsi="標楷體" w:hint="eastAsia"/>
              </w:rPr>
              <w:t>8</w:t>
            </w:r>
          </w:p>
        </w:tc>
        <w:tc>
          <w:tcPr>
            <w:tcW w:w="1231" w:type="dxa"/>
            <w:shd w:val="clear" w:color="auto" w:fill="auto"/>
            <w:vAlign w:val="center"/>
            <w:hideMark/>
          </w:tcPr>
          <w:p w:rsidR="00904E57" w:rsidRPr="00507BD2" w:rsidRDefault="00904E57" w:rsidP="00904E57">
            <w:pPr>
              <w:pStyle w:val="142"/>
              <w:jc w:val="right"/>
              <w:rPr>
                <w:rFonts w:hAnsi="標楷體" w:hint="eastAsia"/>
              </w:rPr>
            </w:pPr>
            <w:r w:rsidRPr="00507BD2">
              <w:rPr>
                <w:rFonts w:hAnsi="標楷體" w:hint="eastAsia"/>
              </w:rPr>
              <w:t>35.63</w:t>
            </w:r>
          </w:p>
        </w:tc>
        <w:tc>
          <w:tcPr>
            <w:tcW w:w="1273" w:type="dxa"/>
            <w:shd w:val="clear" w:color="auto" w:fill="auto"/>
            <w:vAlign w:val="center"/>
            <w:hideMark/>
          </w:tcPr>
          <w:p w:rsidR="00904E57" w:rsidRPr="00507BD2" w:rsidRDefault="00904E57" w:rsidP="00904E57">
            <w:pPr>
              <w:pStyle w:val="142"/>
              <w:jc w:val="right"/>
              <w:rPr>
                <w:rFonts w:hAnsi="標楷體" w:hint="eastAsia"/>
              </w:rPr>
            </w:pPr>
            <w:r w:rsidRPr="00507BD2">
              <w:rPr>
                <w:rFonts w:hAnsi="標楷體" w:hint="eastAsia"/>
              </w:rPr>
              <w:t>36.84</w:t>
            </w:r>
          </w:p>
        </w:tc>
        <w:tc>
          <w:tcPr>
            <w:tcW w:w="1273" w:type="dxa"/>
            <w:shd w:val="clear" w:color="auto" w:fill="auto"/>
            <w:vAlign w:val="center"/>
            <w:hideMark/>
          </w:tcPr>
          <w:p w:rsidR="00904E57" w:rsidRPr="00507BD2" w:rsidRDefault="00904E57" w:rsidP="00904E57">
            <w:pPr>
              <w:pStyle w:val="142"/>
              <w:jc w:val="right"/>
              <w:rPr>
                <w:rFonts w:hAnsi="標楷體" w:hint="eastAsia"/>
              </w:rPr>
            </w:pPr>
            <w:r w:rsidRPr="00507BD2">
              <w:rPr>
                <w:rFonts w:hAnsi="標楷體" w:hint="eastAsia"/>
              </w:rPr>
              <w:t>37.08</w:t>
            </w:r>
          </w:p>
        </w:tc>
        <w:tc>
          <w:tcPr>
            <w:tcW w:w="1272" w:type="dxa"/>
            <w:shd w:val="clear" w:color="auto" w:fill="auto"/>
            <w:vAlign w:val="center"/>
            <w:hideMark/>
          </w:tcPr>
          <w:p w:rsidR="00904E57" w:rsidRPr="00507BD2" w:rsidRDefault="00904E57" w:rsidP="00904E57">
            <w:pPr>
              <w:pStyle w:val="142"/>
              <w:jc w:val="right"/>
              <w:rPr>
                <w:rFonts w:hAnsi="標楷體" w:hint="eastAsia"/>
              </w:rPr>
            </w:pPr>
            <w:r w:rsidRPr="00507BD2">
              <w:rPr>
                <w:rFonts w:hAnsi="標楷體" w:hint="eastAsia"/>
              </w:rPr>
              <w:t>37.38</w:t>
            </w:r>
          </w:p>
        </w:tc>
        <w:tc>
          <w:tcPr>
            <w:tcW w:w="1672" w:type="dxa"/>
            <w:tcBorders>
              <w:bottom w:val="single" w:sz="6" w:space="0" w:color="auto"/>
            </w:tcBorders>
            <w:shd w:val="clear" w:color="auto" w:fill="auto"/>
            <w:vAlign w:val="center"/>
            <w:hideMark/>
          </w:tcPr>
          <w:p w:rsidR="00904E57" w:rsidRPr="00507BD2" w:rsidRDefault="00904E57" w:rsidP="00904E57">
            <w:pPr>
              <w:pStyle w:val="142"/>
              <w:jc w:val="right"/>
              <w:rPr>
                <w:rFonts w:hAnsi="標楷體" w:hint="eastAsia"/>
              </w:rPr>
            </w:pPr>
            <w:r w:rsidRPr="00507BD2">
              <w:rPr>
                <w:rFonts w:hAnsi="標楷體" w:hint="eastAsia"/>
              </w:rPr>
              <w:t>37.49</w:t>
            </w:r>
          </w:p>
        </w:tc>
      </w:tr>
      <w:tr w:rsidR="00904E57" w:rsidRPr="00507BD2" w:rsidTr="003829D2">
        <w:trPr>
          <w:trHeight w:val="20"/>
        </w:trPr>
        <w:tc>
          <w:tcPr>
            <w:tcW w:w="933" w:type="dxa"/>
            <w:shd w:val="clear" w:color="auto" w:fill="auto"/>
            <w:vAlign w:val="center"/>
            <w:hideMark/>
          </w:tcPr>
          <w:p w:rsidR="00904E57" w:rsidRPr="00507BD2" w:rsidRDefault="00904E57" w:rsidP="00DF4CD0">
            <w:pPr>
              <w:pStyle w:val="142"/>
              <w:jc w:val="center"/>
              <w:rPr>
                <w:rFonts w:hAnsi="標楷體" w:hint="eastAsia"/>
              </w:rPr>
            </w:pPr>
            <w:r w:rsidRPr="00507BD2">
              <w:rPr>
                <w:rFonts w:hAnsi="標楷體" w:hint="eastAsia"/>
              </w:rPr>
              <w:t>9</w:t>
            </w:r>
          </w:p>
        </w:tc>
        <w:tc>
          <w:tcPr>
            <w:tcW w:w="1231" w:type="dxa"/>
            <w:shd w:val="clear" w:color="auto" w:fill="auto"/>
            <w:vAlign w:val="center"/>
            <w:hideMark/>
          </w:tcPr>
          <w:p w:rsidR="00904E57" w:rsidRPr="00507BD2" w:rsidRDefault="00904E57" w:rsidP="00904E57">
            <w:pPr>
              <w:pStyle w:val="142"/>
              <w:jc w:val="right"/>
              <w:rPr>
                <w:rFonts w:hAnsi="標楷體" w:hint="eastAsia"/>
              </w:rPr>
            </w:pPr>
            <w:r w:rsidRPr="00507BD2">
              <w:rPr>
                <w:rFonts w:hAnsi="標楷體" w:hint="eastAsia"/>
              </w:rPr>
              <w:t>35.77</w:t>
            </w:r>
          </w:p>
        </w:tc>
        <w:tc>
          <w:tcPr>
            <w:tcW w:w="1273" w:type="dxa"/>
            <w:shd w:val="clear" w:color="auto" w:fill="auto"/>
            <w:vAlign w:val="center"/>
            <w:hideMark/>
          </w:tcPr>
          <w:p w:rsidR="00904E57" w:rsidRPr="00507BD2" w:rsidRDefault="00904E57" w:rsidP="00904E57">
            <w:pPr>
              <w:pStyle w:val="142"/>
              <w:jc w:val="right"/>
              <w:rPr>
                <w:rFonts w:hAnsi="標楷體" w:hint="eastAsia"/>
              </w:rPr>
            </w:pPr>
            <w:r w:rsidRPr="00507BD2">
              <w:rPr>
                <w:rFonts w:hAnsi="標楷體" w:hint="eastAsia"/>
              </w:rPr>
              <w:t>36.76</w:t>
            </w:r>
          </w:p>
        </w:tc>
        <w:tc>
          <w:tcPr>
            <w:tcW w:w="1273" w:type="dxa"/>
            <w:shd w:val="clear" w:color="auto" w:fill="auto"/>
            <w:vAlign w:val="center"/>
            <w:hideMark/>
          </w:tcPr>
          <w:p w:rsidR="00904E57" w:rsidRPr="00507BD2" w:rsidRDefault="00904E57" w:rsidP="00904E57">
            <w:pPr>
              <w:pStyle w:val="142"/>
              <w:jc w:val="right"/>
              <w:rPr>
                <w:rFonts w:hAnsi="標楷體" w:hint="eastAsia"/>
              </w:rPr>
            </w:pPr>
            <w:r w:rsidRPr="00507BD2">
              <w:rPr>
                <w:rFonts w:hAnsi="標楷體" w:hint="eastAsia"/>
              </w:rPr>
              <w:t>36.84</w:t>
            </w:r>
          </w:p>
        </w:tc>
        <w:tc>
          <w:tcPr>
            <w:tcW w:w="1272" w:type="dxa"/>
            <w:shd w:val="clear" w:color="auto" w:fill="auto"/>
            <w:vAlign w:val="center"/>
            <w:hideMark/>
          </w:tcPr>
          <w:p w:rsidR="00904E57" w:rsidRPr="00507BD2" w:rsidRDefault="00904E57" w:rsidP="00904E57">
            <w:pPr>
              <w:pStyle w:val="142"/>
              <w:jc w:val="right"/>
              <w:rPr>
                <w:rFonts w:hAnsi="標楷體" w:hint="eastAsia"/>
              </w:rPr>
            </w:pPr>
            <w:r w:rsidRPr="00507BD2">
              <w:rPr>
                <w:rFonts w:hAnsi="標楷體" w:hint="eastAsia"/>
              </w:rPr>
              <w:t>37.34</w:t>
            </w:r>
          </w:p>
        </w:tc>
        <w:tc>
          <w:tcPr>
            <w:tcW w:w="1672" w:type="dxa"/>
            <w:vMerge w:val="restart"/>
            <w:tcBorders>
              <w:top w:val="single" w:sz="6" w:space="0" w:color="auto"/>
              <w:bottom w:val="single" w:sz="12" w:space="0" w:color="auto"/>
              <w:tr2bl w:val="single" w:sz="6" w:space="0" w:color="auto"/>
            </w:tcBorders>
            <w:shd w:val="clear" w:color="auto" w:fill="auto"/>
            <w:vAlign w:val="center"/>
            <w:hideMark/>
          </w:tcPr>
          <w:p w:rsidR="00904E57" w:rsidRPr="00507BD2" w:rsidRDefault="00904E57" w:rsidP="00904E57">
            <w:pPr>
              <w:pStyle w:val="142"/>
              <w:rPr>
                <w:rFonts w:hAnsi="標楷體" w:hint="eastAsia"/>
              </w:rPr>
            </w:pPr>
          </w:p>
        </w:tc>
      </w:tr>
      <w:tr w:rsidR="00904E57" w:rsidRPr="00507BD2" w:rsidTr="003829D2">
        <w:trPr>
          <w:trHeight w:val="20"/>
        </w:trPr>
        <w:tc>
          <w:tcPr>
            <w:tcW w:w="933" w:type="dxa"/>
            <w:shd w:val="clear" w:color="auto" w:fill="auto"/>
            <w:vAlign w:val="center"/>
            <w:hideMark/>
          </w:tcPr>
          <w:p w:rsidR="00904E57" w:rsidRPr="00507BD2" w:rsidRDefault="00904E57" w:rsidP="00DF4CD0">
            <w:pPr>
              <w:pStyle w:val="142"/>
              <w:jc w:val="center"/>
              <w:rPr>
                <w:rFonts w:hAnsi="標楷體" w:hint="eastAsia"/>
              </w:rPr>
            </w:pPr>
            <w:r w:rsidRPr="00507BD2">
              <w:rPr>
                <w:rFonts w:hAnsi="標楷體" w:hint="eastAsia"/>
              </w:rPr>
              <w:t>10</w:t>
            </w:r>
          </w:p>
        </w:tc>
        <w:tc>
          <w:tcPr>
            <w:tcW w:w="1231" w:type="dxa"/>
            <w:shd w:val="clear" w:color="auto" w:fill="auto"/>
            <w:vAlign w:val="center"/>
            <w:hideMark/>
          </w:tcPr>
          <w:p w:rsidR="00904E57" w:rsidRPr="00507BD2" w:rsidRDefault="00904E57" w:rsidP="00904E57">
            <w:pPr>
              <w:pStyle w:val="142"/>
              <w:jc w:val="right"/>
              <w:rPr>
                <w:rFonts w:hAnsi="標楷體" w:hint="eastAsia"/>
              </w:rPr>
            </w:pPr>
            <w:r w:rsidRPr="00507BD2">
              <w:rPr>
                <w:rFonts w:hAnsi="標楷體" w:hint="eastAsia"/>
              </w:rPr>
              <w:t>35.93</w:t>
            </w:r>
          </w:p>
        </w:tc>
        <w:tc>
          <w:tcPr>
            <w:tcW w:w="1273" w:type="dxa"/>
            <w:shd w:val="clear" w:color="auto" w:fill="auto"/>
            <w:vAlign w:val="center"/>
            <w:hideMark/>
          </w:tcPr>
          <w:p w:rsidR="00904E57" w:rsidRPr="00507BD2" w:rsidRDefault="00904E57" w:rsidP="00904E57">
            <w:pPr>
              <w:pStyle w:val="142"/>
              <w:jc w:val="right"/>
              <w:rPr>
                <w:rFonts w:hAnsi="標楷體" w:hint="eastAsia"/>
              </w:rPr>
            </w:pPr>
            <w:r w:rsidRPr="00507BD2">
              <w:rPr>
                <w:rFonts w:hAnsi="標楷體" w:hint="eastAsia"/>
              </w:rPr>
              <w:t>37.02</w:t>
            </w:r>
          </w:p>
        </w:tc>
        <w:tc>
          <w:tcPr>
            <w:tcW w:w="1273" w:type="dxa"/>
            <w:shd w:val="clear" w:color="auto" w:fill="auto"/>
            <w:vAlign w:val="center"/>
            <w:hideMark/>
          </w:tcPr>
          <w:p w:rsidR="00904E57" w:rsidRPr="00507BD2" w:rsidRDefault="00904E57" w:rsidP="00904E57">
            <w:pPr>
              <w:pStyle w:val="142"/>
              <w:jc w:val="right"/>
              <w:rPr>
                <w:rFonts w:hAnsi="標楷體" w:hint="eastAsia"/>
              </w:rPr>
            </w:pPr>
            <w:r w:rsidRPr="00507BD2">
              <w:rPr>
                <w:rFonts w:hAnsi="標楷體" w:hint="eastAsia"/>
              </w:rPr>
              <w:t xml:space="preserve">36.9 </w:t>
            </w:r>
          </w:p>
        </w:tc>
        <w:tc>
          <w:tcPr>
            <w:tcW w:w="1272" w:type="dxa"/>
            <w:shd w:val="clear" w:color="auto" w:fill="auto"/>
            <w:vAlign w:val="center"/>
            <w:hideMark/>
          </w:tcPr>
          <w:p w:rsidR="00904E57" w:rsidRPr="00507BD2" w:rsidRDefault="00904E57" w:rsidP="00904E57">
            <w:pPr>
              <w:pStyle w:val="142"/>
              <w:jc w:val="right"/>
              <w:rPr>
                <w:rFonts w:hAnsi="標楷體" w:hint="eastAsia"/>
              </w:rPr>
            </w:pPr>
            <w:r w:rsidRPr="00507BD2">
              <w:rPr>
                <w:rFonts w:hAnsi="標楷體" w:hint="eastAsia"/>
              </w:rPr>
              <w:t xml:space="preserve">37.6 </w:t>
            </w:r>
          </w:p>
        </w:tc>
        <w:tc>
          <w:tcPr>
            <w:tcW w:w="1672" w:type="dxa"/>
            <w:vMerge/>
            <w:tcBorders>
              <w:top w:val="nil"/>
              <w:bottom w:val="single" w:sz="12" w:space="0" w:color="auto"/>
              <w:tr2bl w:val="single" w:sz="6" w:space="0" w:color="auto"/>
            </w:tcBorders>
            <w:vAlign w:val="center"/>
            <w:hideMark/>
          </w:tcPr>
          <w:p w:rsidR="00904E57" w:rsidRPr="00507BD2" w:rsidRDefault="00904E57" w:rsidP="00904E57">
            <w:pPr>
              <w:pStyle w:val="142"/>
              <w:rPr>
                <w:rFonts w:hAnsi="標楷體"/>
              </w:rPr>
            </w:pPr>
          </w:p>
        </w:tc>
      </w:tr>
      <w:tr w:rsidR="00904E57" w:rsidRPr="00507BD2" w:rsidTr="003829D2">
        <w:trPr>
          <w:trHeight w:val="20"/>
        </w:trPr>
        <w:tc>
          <w:tcPr>
            <w:tcW w:w="933" w:type="dxa"/>
            <w:shd w:val="clear" w:color="auto" w:fill="auto"/>
            <w:vAlign w:val="center"/>
            <w:hideMark/>
          </w:tcPr>
          <w:p w:rsidR="00904E57" w:rsidRPr="00507BD2" w:rsidRDefault="00904E57" w:rsidP="00DF4CD0">
            <w:pPr>
              <w:pStyle w:val="142"/>
              <w:jc w:val="center"/>
              <w:rPr>
                <w:rFonts w:hAnsi="標楷體" w:hint="eastAsia"/>
              </w:rPr>
            </w:pPr>
            <w:r w:rsidRPr="00507BD2">
              <w:rPr>
                <w:rFonts w:hAnsi="標楷體" w:hint="eastAsia"/>
              </w:rPr>
              <w:t>11</w:t>
            </w:r>
          </w:p>
        </w:tc>
        <w:tc>
          <w:tcPr>
            <w:tcW w:w="1231" w:type="dxa"/>
            <w:shd w:val="clear" w:color="auto" w:fill="auto"/>
            <w:vAlign w:val="center"/>
            <w:hideMark/>
          </w:tcPr>
          <w:p w:rsidR="00904E57" w:rsidRPr="00507BD2" w:rsidRDefault="00904E57" w:rsidP="00904E57">
            <w:pPr>
              <w:pStyle w:val="142"/>
              <w:jc w:val="right"/>
              <w:rPr>
                <w:rFonts w:hAnsi="標楷體" w:hint="eastAsia"/>
              </w:rPr>
            </w:pPr>
            <w:r w:rsidRPr="00507BD2">
              <w:rPr>
                <w:rFonts w:hAnsi="標楷體" w:hint="eastAsia"/>
              </w:rPr>
              <w:t>36.16</w:t>
            </w:r>
          </w:p>
        </w:tc>
        <w:tc>
          <w:tcPr>
            <w:tcW w:w="1273" w:type="dxa"/>
            <w:shd w:val="clear" w:color="auto" w:fill="auto"/>
            <w:vAlign w:val="center"/>
            <w:hideMark/>
          </w:tcPr>
          <w:p w:rsidR="00904E57" w:rsidRPr="00507BD2" w:rsidRDefault="00904E57" w:rsidP="00904E57">
            <w:pPr>
              <w:pStyle w:val="142"/>
              <w:jc w:val="right"/>
              <w:rPr>
                <w:rFonts w:hAnsi="標楷體" w:hint="eastAsia"/>
              </w:rPr>
            </w:pPr>
            <w:r w:rsidRPr="00507BD2">
              <w:rPr>
                <w:rFonts w:hAnsi="標楷體" w:hint="eastAsia"/>
              </w:rPr>
              <w:t>37.17</w:t>
            </w:r>
          </w:p>
        </w:tc>
        <w:tc>
          <w:tcPr>
            <w:tcW w:w="1273" w:type="dxa"/>
            <w:shd w:val="clear" w:color="auto" w:fill="auto"/>
            <w:vAlign w:val="center"/>
            <w:hideMark/>
          </w:tcPr>
          <w:p w:rsidR="00904E57" w:rsidRPr="00507BD2" w:rsidRDefault="00904E57" w:rsidP="00904E57">
            <w:pPr>
              <w:pStyle w:val="142"/>
              <w:jc w:val="right"/>
              <w:rPr>
                <w:rFonts w:hAnsi="標楷體" w:hint="eastAsia"/>
              </w:rPr>
            </w:pPr>
            <w:r w:rsidRPr="00507BD2">
              <w:rPr>
                <w:rFonts w:hAnsi="標楷體" w:hint="eastAsia"/>
              </w:rPr>
              <w:t>36.98</w:t>
            </w:r>
          </w:p>
        </w:tc>
        <w:tc>
          <w:tcPr>
            <w:tcW w:w="1272" w:type="dxa"/>
            <w:shd w:val="clear" w:color="auto" w:fill="auto"/>
            <w:vAlign w:val="center"/>
            <w:hideMark/>
          </w:tcPr>
          <w:p w:rsidR="00904E57" w:rsidRPr="00507BD2" w:rsidRDefault="00904E57" w:rsidP="00904E57">
            <w:pPr>
              <w:pStyle w:val="142"/>
              <w:jc w:val="right"/>
              <w:rPr>
                <w:rFonts w:hAnsi="標楷體" w:hint="eastAsia"/>
              </w:rPr>
            </w:pPr>
            <w:r w:rsidRPr="00507BD2">
              <w:rPr>
                <w:rFonts w:hAnsi="標楷體" w:hint="eastAsia"/>
              </w:rPr>
              <w:t>37.54</w:t>
            </w:r>
          </w:p>
        </w:tc>
        <w:tc>
          <w:tcPr>
            <w:tcW w:w="1672" w:type="dxa"/>
            <w:vMerge/>
            <w:tcBorders>
              <w:top w:val="nil"/>
              <w:bottom w:val="single" w:sz="12" w:space="0" w:color="auto"/>
              <w:tr2bl w:val="single" w:sz="6" w:space="0" w:color="auto"/>
            </w:tcBorders>
            <w:vAlign w:val="center"/>
            <w:hideMark/>
          </w:tcPr>
          <w:p w:rsidR="00904E57" w:rsidRPr="00507BD2" w:rsidRDefault="00904E57" w:rsidP="00904E57">
            <w:pPr>
              <w:pStyle w:val="142"/>
              <w:rPr>
                <w:rFonts w:hAnsi="標楷體"/>
              </w:rPr>
            </w:pPr>
          </w:p>
        </w:tc>
      </w:tr>
      <w:tr w:rsidR="00904E57" w:rsidRPr="00507BD2" w:rsidTr="003829D2">
        <w:trPr>
          <w:trHeight w:val="283"/>
        </w:trPr>
        <w:tc>
          <w:tcPr>
            <w:tcW w:w="933" w:type="dxa"/>
            <w:shd w:val="clear" w:color="auto" w:fill="auto"/>
            <w:vAlign w:val="center"/>
            <w:hideMark/>
          </w:tcPr>
          <w:p w:rsidR="00904E57" w:rsidRPr="00507BD2" w:rsidRDefault="00904E57" w:rsidP="00DF4CD0">
            <w:pPr>
              <w:pStyle w:val="142"/>
              <w:jc w:val="center"/>
              <w:rPr>
                <w:rFonts w:hAnsi="標楷體" w:hint="eastAsia"/>
              </w:rPr>
            </w:pPr>
            <w:r w:rsidRPr="00507BD2">
              <w:rPr>
                <w:rFonts w:hAnsi="標楷體" w:hint="eastAsia"/>
              </w:rPr>
              <w:t>12</w:t>
            </w:r>
          </w:p>
        </w:tc>
        <w:tc>
          <w:tcPr>
            <w:tcW w:w="1231" w:type="dxa"/>
            <w:shd w:val="clear" w:color="auto" w:fill="auto"/>
            <w:vAlign w:val="center"/>
            <w:hideMark/>
          </w:tcPr>
          <w:p w:rsidR="00904E57" w:rsidRPr="00507BD2" w:rsidRDefault="00904E57" w:rsidP="00904E57">
            <w:pPr>
              <w:pStyle w:val="142"/>
              <w:jc w:val="right"/>
              <w:rPr>
                <w:rFonts w:hAnsi="標楷體" w:hint="eastAsia"/>
              </w:rPr>
            </w:pPr>
            <w:r w:rsidRPr="00507BD2">
              <w:rPr>
                <w:rFonts w:hAnsi="標楷體" w:hint="eastAsia"/>
              </w:rPr>
              <w:t>36.64</w:t>
            </w:r>
          </w:p>
        </w:tc>
        <w:tc>
          <w:tcPr>
            <w:tcW w:w="1273" w:type="dxa"/>
            <w:shd w:val="clear" w:color="auto" w:fill="auto"/>
            <w:vAlign w:val="center"/>
            <w:hideMark/>
          </w:tcPr>
          <w:p w:rsidR="00904E57" w:rsidRPr="00507BD2" w:rsidRDefault="00904E57" w:rsidP="00904E57">
            <w:pPr>
              <w:pStyle w:val="142"/>
              <w:jc w:val="right"/>
              <w:rPr>
                <w:rFonts w:hAnsi="標楷體" w:hint="eastAsia"/>
              </w:rPr>
            </w:pPr>
            <w:r w:rsidRPr="00507BD2">
              <w:rPr>
                <w:rFonts w:hAnsi="標楷體" w:hint="eastAsia"/>
              </w:rPr>
              <w:t>37.37</w:t>
            </w:r>
          </w:p>
        </w:tc>
        <w:tc>
          <w:tcPr>
            <w:tcW w:w="1273" w:type="dxa"/>
            <w:shd w:val="clear" w:color="auto" w:fill="auto"/>
            <w:vAlign w:val="center"/>
            <w:hideMark/>
          </w:tcPr>
          <w:p w:rsidR="00904E57" w:rsidRPr="00507BD2" w:rsidRDefault="00904E57" w:rsidP="00904E57">
            <w:pPr>
              <w:pStyle w:val="142"/>
              <w:jc w:val="right"/>
              <w:rPr>
                <w:rFonts w:hAnsi="標楷體" w:hint="eastAsia"/>
              </w:rPr>
            </w:pPr>
            <w:r w:rsidRPr="00507BD2">
              <w:rPr>
                <w:rFonts w:hAnsi="標楷體" w:hint="eastAsia"/>
              </w:rPr>
              <w:t>37.03</w:t>
            </w:r>
          </w:p>
        </w:tc>
        <w:tc>
          <w:tcPr>
            <w:tcW w:w="1272" w:type="dxa"/>
            <w:shd w:val="clear" w:color="auto" w:fill="auto"/>
            <w:vAlign w:val="center"/>
            <w:hideMark/>
          </w:tcPr>
          <w:p w:rsidR="00904E57" w:rsidRPr="00507BD2" w:rsidRDefault="00904E57" w:rsidP="00904E57">
            <w:pPr>
              <w:pStyle w:val="142"/>
              <w:jc w:val="right"/>
              <w:rPr>
                <w:rFonts w:hAnsi="標楷體" w:hint="eastAsia"/>
              </w:rPr>
            </w:pPr>
            <w:r w:rsidRPr="00507BD2">
              <w:rPr>
                <w:rFonts w:hAnsi="標楷體" w:hint="eastAsia"/>
              </w:rPr>
              <w:t>37.49</w:t>
            </w:r>
          </w:p>
        </w:tc>
        <w:tc>
          <w:tcPr>
            <w:tcW w:w="1672" w:type="dxa"/>
            <w:vMerge/>
            <w:tcBorders>
              <w:top w:val="nil"/>
              <w:bottom w:val="single" w:sz="12" w:space="0" w:color="auto"/>
              <w:tr2bl w:val="single" w:sz="6" w:space="0" w:color="auto"/>
            </w:tcBorders>
            <w:vAlign w:val="center"/>
            <w:hideMark/>
          </w:tcPr>
          <w:p w:rsidR="00904E57" w:rsidRPr="00507BD2" w:rsidRDefault="00904E57" w:rsidP="00904E57">
            <w:pPr>
              <w:pStyle w:val="142"/>
              <w:rPr>
                <w:rFonts w:hAnsi="標楷體"/>
              </w:rPr>
            </w:pPr>
          </w:p>
        </w:tc>
      </w:tr>
      <w:tr w:rsidR="00904E57" w:rsidRPr="00507BD2" w:rsidTr="00233FC9">
        <w:trPr>
          <w:trHeight w:val="227"/>
        </w:trPr>
        <w:tc>
          <w:tcPr>
            <w:tcW w:w="933" w:type="dxa"/>
            <w:shd w:val="clear" w:color="auto" w:fill="F2F2F2"/>
            <w:vAlign w:val="center"/>
            <w:hideMark/>
          </w:tcPr>
          <w:p w:rsidR="00904E57" w:rsidRPr="00507BD2" w:rsidRDefault="00904E57" w:rsidP="00DF4CD0">
            <w:pPr>
              <w:pStyle w:val="142"/>
              <w:jc w:val="center"/>
              <w:rPr>
                <w:rFonts w:hAnsi="標楷體" w:hint="eastAsia"/>
              </w:rPr>
            </w:pPr>
            <w:r w:rsidRPr="00507BD2">
              <w:rPr>
                <w:rFonts w:hAnsi="標楷體" w:hint="eastAsia"/>
              </w:rPr>
              <w:t>平均</w:t>
            </w:r>
          </w:p>
        </w:tc>
        <w:tc>
          <w:tcPr>
            <w:tcW w:w="1231" w:type="dxa"/>
            <w:shd w:val="clear" w:color="auto" w:fill="F2F2F2"/>
            <w:vAlign w:val="center"/>
            <w:hideMark/>
          </w:tcPr>
          <w:p w:rsidR="00904E57" w:rsidRPr="00507BD2" w:rsidRDefault="00904E57" w:rsidP="00904E57">
            <w:pPr>
              <w:pStyle w:val="142"/>
              <w:jc w:val="right"/>
              <w:rPr>
                <w:rFonts w:hAnsi="標楷體" w:hint="eastAsia"/>
              </w:rPr>
            </w:pPr>
            <w:r w:rsidRPr="00507BD2">
              <w:rPr>
                <w:rFonts w:hAnsi="標楷體" w:hint="eastAsia"/>
              </w:rPr>
              <w:t>35.68</w:t>
            </w:r>
          </w:p>
        </w:tc>
        <w:tc>
          <w:tcPr>
            <w:tcW w:w="1273" w:type="dxa"/>
            <w:shd w:val="clear" w:color="auto" w:fill="F2F2F2"/>
            <w:vAlign w:val="center"/>
            <w:hideMark/>
          </w:tcPr>
          <w:p w:rsidR="00904E57" w:rsidRPr="00507BD2" w:rsidRDefault="00904E57" w:rsidP="00904E57">
            <w:pPr>
              <w:pStyle w:val="142"/>
              <w:jc w:val="right"/>
              <w:rPr>
                <w:rFonts w:hAnsi="標楷體" w:hint="eastAsia"/>
              </w:rPr>
            </w:pPr>
            <w:r w:rsidRPr="00507BD2">
              <w:rPr>
                <w:rFonts w:hAnsi="標楷體" w:hint="eastAsia"/>
              </w:rPr>
              <w:t>36.89</w:t>
            </w:r>
          </w:p>
        </w:tc>
        <w:tc>
          <w:tcPr>
            <w:tcW w:w="1273" w:type="dxa"/>
            <w:shd w:val="clear" w:color="auto" w:fill="F2F2F2"/>
            <w:vAlign w:val="center"/>
            <w:hideMark/>
          </w:tcPr>
          <w:p w:rsidR="00904E57" w:rsidRPr="00507BD2" w:rsidRDefault="00904E57" w:rsidP="00904E57">
            <w:pPr>
              <w:pStyle w:val="142"/>
              <w:jc w:val="right"/>
              <w:rPr>
                <w:rFonts w:hAnsi="標楷體" w:hint="eastAsia"/>
              </w:rPr>
            </w:pPr>
            <w:r w:rsidRPr="00507BD2">
              <w:rPr>
                <w:rFonts w:hAnsi="標楷體" w:hint="eastAsia"/>
              </w:rPr>
              <w:t>37.11</w:t>
            </w:r>
          </w:p>
        </w:tc>
        <w:tc>
          <w:tcPr>
            <w:tcW w:w="1272" w:type="dxa"/>
            <w:shd w:val="clear" w:color="auto" w:fill="F2F2F2"/>
            <w:vAlign w:val="center"/>
            <w:hideMark/>
          </w:tcPr>
          <w:p w:rsidR="00904E57" w:rsidRPr="00507BD2" w:rsidRDefault="00904E57" w:rsidP="00904E57">
            <w:pPr>
              <w:pStyle w:val="142"/>
              <w:jc w:val="right"/>
              <w:rPr>
                <w:rFonts w:hAnsi="標楷體" w:hint="eastAsia"/>
              </w:rPr>
            </w:pPr>
            <w:r w:rsidRPr="00507BD2">
              <w:rPr>
                <w:rFonts w:hAnsi="標楷體" w:hint="eastAsia"/>
              </w:rPr>
              <w:t>37.34</w:t>
            </w:r>
          </w:p>
        </w:tc>
        <w:tc>
          <w:tcPr>
            <w:tcW w:w="1672" w:type="dxa"/>
            <w:vMerge/>
            <w:tcBorders>
              <w:top w:val="nil"/>
              <w:bottom w:val="single" w:sz="12" w:space="0" w:color="auto"/>
              <w:tr2bl w:val="single" w:sz="6" w:space="0" w:color="auto"/>
            </w:tcBorders>
            <w:vAlign w:val="center"/>
            <w:hideMark/>
          </w:tcPr>
          <w:p w:rsidR="00904E57" w:rsidRPr="00507BD2" w:rsidRDefault="00904E57" w:rsidP="00904E57">
            <w:pPr>
              <w:pStyle w:val="142"/>
              <w:rPr>
                <w:rFonts w:hAnsi="標楷體"/>
              </w:rPr>
            </w:pPr>
          </w:p>
        </w:tc>
      </w:tr>
    </w:tbl>
    <w:p w:rsidR="00904E57" w:rsidRPr="00507BD2" w:rsidRDefault="00904E57" w:rsidP="00904E57">
      <w:pPr>
        <w:pStyle w:val="142"/>
        <w:ind w:leftChars="300" w:left="850"/>
        <w:rPr>
          <w:rFonts w:hAnsi="標楷體" w:hint="eastAsia"/>
        </w:rPr>
      </w:pPr>
      <w:r w:rsidRPr="00507BD2">
        <w:rPr>
          <w:rFonts w:hAnsi="標楷體" w:hint="eastAsia"/>
        </w:rPr>
        <w:t>資料來源：央行。</w:t>
      </w:r>
    </w:p>
    <w:p w:rsidR="0071071B" w:rsidRPr="00507BD2" w:rsidRDefault="00DF4CD0" w:rsidP="00FB1C38">
      <w:pPr>
        <w:pStyle w:val="123"/>
        <w:rPr>
          <w:rFonts w:ascii="標楷體"/>
        </w:rPr>
      </w:pPr>
      <w:r w:rsidRPr="00507BD2">
        <w:rPr>
          <w:rFonts w:ascii="標楷體"/>
          <w:b/>
        </w:rPr>
        <w:t>2</w:t>
      </w:r>
      <w:r w:rsidR="0071071B" w:rsidRPr="00507BD2">
        <w:rPr>
          <w:rFonts w:ascii="標楷體" w:hint="eastAsia"/>
          <w:b/>
        </w:rPr>
        <w:t>.</w:t>
      </w:r>
      <w:r w:rsidR="00F42C51" w:rsidRPr="00507BD2">
        <w:rPr>
          <w:rFonts w:ascii="標楷體" w:hint="eastAsia"/>
          <w:b/>
        </w:rPr>
        <w:t>不動產貸款餘</w:t>
      </w:r>
      <w:r w:rsidR="00D70DBC" w:rsidRPr="00507BD2">
        <w:rPr>
          <w:rFonts w:ascii="標楷體" w:hint="eastAsia"/>
          <w:b/>
        </w:rPr>
        <w:t>額</w:t>
      </w:r>
      <w:r w:rsidR="00F42C51" w:rsidRPr="00507BD2">
        <w:rPr>
          <w:rFonts w:ascii="標楷體" w:hint="eastAsia"/>
          <w:b/>
        </w:rPr>
        <w:t>大抵</w:t>
      </w:r>
      <w:r w:rsidR="00AD5171" w:rsidRPr="00507BD2">
        <w:rPr>
          <w:rFonts w:ascii="標楷體" w:hint="eastAsia"/>
          <w:b/>
        </w:rPr>
        <w:t>仍</w:t>
      </w:r>
      <w:r w:rsidR="00F42C51" w:rsidRPr="00507BD2">
        <w:rPr>
          <w:rFonts w:ascii="標楷體" w:hint="eastAsia"/>
          <w:b/>
        </w:rPr>
        <w:t>持續上升，113年度</w:t>
      </w:r>
      <w:r w:rsidR="00A90610">
        <w:rPr>
          <w:rFonts w:ascii="標楷體" w:hint="eastAsia"/>
          <w:b/>
        </w:rPr>
        <w:t>至8月底</w:t>
      </w:r>
      <w:r w:rsidR="00A62E16" w:rsidRPr="00507BD2">
        <w:rPr>
          <w:rFonts w:ascii="標楷體" w:hint="eastAsia"/>
          <w:b/>
        </w:rPr>
        <w:t>購置住宅貸款</w:t>
      </w:r>
      <w:r w:rsidR="000F3CFE" w:rsidRPr="00507BD2">
        <w:rPr>
          <w:rFonts w:ascii="標楷體" w:hint="eastAsia"/>
          <w:b/>
        </w:rPr>
        <w:t>餘額</w:t>
      </w:r>
      <w:r w:rsidR="00F764C0" w:rsidRPr="00507BD2">
        <w:rPr>
          <w:rFonts w:ascii="標楷體" w:hint="eastAsia"/>
          <w:b/>
        </w:rPr>
        <w:t>急速增加</w:t>
      </w:r>
      <w:r w:rsidR="00A62E16" w:rsidRPr="00507BD2">
        <w:rPr>
          <w:rFonts w:ascii="標楷體" w:hint="eastAsia"/>
          <w:b/>
        </w:rPr>
        <w:t>：</w:t>
      </w:r>
      <w:r w:rsidR="00A4631C" w:rsidRPr="00507BD2">
        <w:rPr>
          <w:rFonts w:ascii="標楷體" w:hint="eastAsia"/>
        </w:rPr>
        <w:t>觀諸</w:t>
      </w:r>
      <w:r w:rsidR="00FB31B2" w:rsidRPr="00507BD2">
        <w:rPr>
          <w:rFonts w:ascii="標楷體" w:hint="eastAsia"/>
        </w:rPr>
        <w:t>各季底</w:t>
      </w:r>
      <w:r w:rsidR="004D501E" w:rsidRPr="00507BD2">
        <w:rPr>
          <w:rFonts w:ascii="標楷體" w:hint="eastAsia"/>
        </w:rPr>
        <w:t>購置住宅貸款及建築貸款餘額</w:t>
      </w:r>
      <w:r w:rsidR="00FB31B2" w:rsidRPr="00507BD2">
        <w:rPr>
          <w:rFonts w:ascii="標楷體" w:hint="eastAsia"/>
        </w:rPr>
        <w:t>，</w:t>
      </w:r>
      <w:r w:rsidR="00C80A58" w:rsidRPr="00507BD2">
        <w:rPr>
          <w:rFonts w:ascii="標楷體" w:hint="eastAsia"/>
        </w:rPr>
        <w:t>大抵</w:t>
      </w:r>
      <w:r w:rsidR="00AD5171" w:rsidRPr="00507BD2">
        <w:rPr>
          <w:rFonts w:ascii="標楷體" w:hint="eastAsia"/>
        </w:rPr>
        <w:t>仍</w:t>
      </w:r>
      <w:r w:rsidR="004D501E" w:rsidRPr="00507BD2">
        <w:rPr>
          <w:rFonts w:ascii="標楷體" w:hint="eastAsia"/>
        </w:rPr>
        <w:t>持續</w:t>
      </w:r>
      <w:r w:rsidR="00A02349" w:rsidRPr="00507BD2">
        <w:rPr>
          <w:rFonts w:ascii="標楷體" w:hint="eastAsia"/>
        </w:rPr>
        <w:t>上升</w:t>
      </w:r>
      <w:r w:rsidR="004D501E" w:rsidRPr="00507BD2">
        <w:rPr>
          <w:rFonts w:ascii="標楷體" w:hint="eastAsia"/>
        </w:rPr>
        <w:t>，</w:t>
      </w:r>
      <w:r w:rsidR="00075BEE" w:rsidRPr="00507BD2">
        <w:rPr>
          <w:rFonts w:ascii="標楷體" w:hint="eastAsia"/>
        </w:rPr>
        <w:t>113年度</w:t>
      </w:r>
      <w:r w:rsidR="00A90610">
        <w:rPr>
          <w:rFonts w:ascii="標楷體" w:hint="eastAsia"/>
        </w:rPr>
        <w:t>至8月底</w:t>
      </w:r>
      <w:r w:rsidR="00BD0749" w:rsidRPr="00507BD2">
        <w:rPr>
          <w:rFonts w:ascii="標楷體" w:hint="eastAsia"/>
        </w:rPr>
        <w:t>建築貸款餘額增加趨勢</w:t>
      </w:r>
      <w:r w:rsidR="000A596F" w:rsidRPr="00507BD2">
        <w:rPr>
          <w:rFonts w:ascii="標楷體" w:hint="eastAsia"/>
        </w:rPr>
        <w:t>略</w:t>
      </w:r>
      <w:r w:rsidR="00BD0749" w:rsidRPr="00507BD2">
        <w:rPr>
          <w:rFonts w:ascii="標楷體" w:hint="eastAsia"/>
        </w:rPr>
        <w:t>緩，惟</w:t>
      </w:r>
      <w:r w:rsidR="002F2C41" w:rsidRPr="00507BD2">
        <w:rPr>
          <w:rFonts w:ascii="標楷體" w:hint="eastAsia"/>
        </w:rPr>
        <w:t>購置住宅貸款餘額自</w:t>
      </w:r>
      <w:r w:rsidR="00FB31B2" w:rsidRPr="00507BD2">
        <w:rPr>
          <w:rFonts w:ascii="標楷體" w:hint="eastAsia"/>
        </w:rPr>
        <w:t>1</w:t>
      </w:r>
      <w:r w:rsidR="00FB31B2" w:rsidRPr="00507BD2">
        <w:rPr>
          <w:rFonts w:ascii="標楷體"/>
        </w:rPr>
        <w:t>13</w:t>
      </w:r>
      <w:r w:rsidR="00FB31B2" w:rsidRPr="00507BD2">
        <w:rPr>
          <w:rFonts w:ascii="標楷體" w:hint="eastAsia"/>
        </w:rPr>
        <w:t>年第1季起</w:t>
      </w:r>
      <w:r w:rsidR="00BD0749" w:rsidRPr="00507BD2">
        <w:rPr>
          <w:rFonts w:ascii="標楷體" w:hint="eastAsia"/>
        </w:rPr>
        <w:t>急速增加，</w:t>
      </w:r>
      <w:r w:rsidR="00FB31B2" w:rsidRPr="00507BD2">
        <w:rPr>
          <w:rFonts w:ascii="標楷體" w:hint="eastAsia"/>
        </w:rPr>
        <w:t>年增率</w:t>
      </w:r>
      <w:r w:rsidR="00BD0749" w:rsidRPr="00507BD2">
        <w:rPr>
          <w:rFonts w:ascii="標楷體" w:hint="eastAsia"/>
        </w:rPr>
        <w:t>分別為第1季8.55%、第2季10.21%及8月底11.03%</w:t>
      </w:r>
      <w:r w:rsidR="00BA5770" w:rsidRPr="00507BD2">
        <w:rPr>
          <w:rFonts w:ascii="標楷體"/>
        </w:rPr>
        <w:t>(</w:t>
      </w:r>
      <w:r w:rsidR="00BA5770" w:rsidRPr="00507BD2">
        <w:rPr>
          <w:rFonts w:ascii="標楷體" w:hint="eastAsia"/>
        </w:rPr>
        <w:t>詳表3</w:t>
      </w:r>
      <w:r w:rsidR="00BA5770" w:rsidRPr="00507BD2">
        <w:rPr>
          <w:rFonts w:ascii="標楷體"/>
        </w:rPr>
        <w:t>)</w:t>
      </w:r>
      <w:r w:rsidR="00601184" w:rsidRPr="00507BD2">
        <w:rPr>
          <w:rFonts w:ascii="標楷體" w:hint="eastAsia"/>
        </w:rPr>
        <w:t>，銀行信用資源快速</w:t>
      </w:r>
      <w:r w:rsidR="007937BF" w:rsidRPr="00507BD2">
        <w:rPr>
          <w:rFonts w:ascii="標楷體" w:hint="eastAsia"/>
        </w:rPr>
        <w:t>流向</w:t>
      </w:r>
      <w:r w:rsidR="00235062" w:rsidRPr="00507BD2">
        <w:rPr>
          <w:rFonts w:ascii="標楷體" w:hint="eastAsia"/>
        </w:rPr>
        <w:t>購置住宅貸款，如未能有效抑制，恐使住宅價格隨需求增加</w:t>
      </w:r>
      <w:r w:rsidR="00075BEE" w:rsidRPr="00507BD2">
        <w:rPr>
          <w:rFonts w:ascii="標楷體" w:hint="eastAsia"/>
        </w:rPr>
        <w:t>，</w:t>
      </w:r>
      <w:r w:rsidR="008E11C1" w:rsidRPr="00507BD2">
        <w:rPr>
          <w:rFonts w:ascii="標楷體" w:hint="eastAsia"/>
        </w:rPr>
        <w:t>助長投機交易，</w:t>
      </w:r>
      <w:r w:rsidR="00075BEE" w:rsidRPr="00507BD2">
        <w:rPr>
          <w:rFonts w:ascii="標楷體" w:hint="eastAsia"/>
        </w:rPr>
        <w:t>加重民眾購屋負擔</w:t>
      </w:r>
      <w:r w:rsidR="00FB1C38" w:rsidRPr="00507BD2">
        <w:rPr>
          <w:rFonts w:ascii="標楷體" w:hint="eastAsia"/>
        </w:rPr>
        <w:t>。</w:t>
      </w:r>
    </w:p>
    <w:p w:rsidR="00FB31B2" w:rsidRPr="00507BD2" w:rsidRDefault="00A02349" w:rsidP="00A02349">
      <w:pPr>
        <w:pStyle w:val="a4"/>
        <w:ind w:left="1133" w:hangingChars="200" w:hanging="567"/>
        <w:rPr>
          <w:rFonts w:hint="eastAsia"/>
          <w:snapToGrid/>
          <w:sz w:val="24"/>
          <w:szCs w:val="24"/>
        </w:rPr>
      </w:pPr>
      <w:r w:rsidRPr="00507BD2">
        <w:rPr>
          <w:rFonts w:hint="eastAsia"/>
          <w:b/>
        </w:rPr>
        <w:t>表</w:t>
      </w:r>
      <w:r w:rsidR="00BA5770" w:rsidRPr="00507BD2">
        <w:rPr>
          <w:b/>
        </w:rPr>
        <w:t>3</w:t>
      </w:r>
      <w:r w:rsidRPr="00507BD2">
        <w:rPr>
          <w:rFonts w:hint="eastAsia"/>
          <w:b/>
        </w:rPr>
        <w:t xml:space="preserve"> 109至11</w:t>
      </w:r>
      <w:r w:rsidRPr="00507BD2">
        <w:rPr>
          <w:b/>
        </w:rPr>
        <w:t>3</w:t>
      </w:r>
      <w:r w:rsidRPr="00507BD2">
        <w:rPr>
          <w:rFonts w:hint="eastAsia"/>
          <w:b/>
        </w:rPr>
        <w:t xml:space="preserve">年8月底消費者購置住宅貸款及建築貸款餘額明細表   </w:t>
      </w:r>
      <w:r w:rsidRPr="00507BD2">
        <w:rPr>
          <w:rFonts w:hint="eastAsia"/>
        </w:rPr>
        <w:t xml:space="preserve">         </w:t>
      </w:r>
      <w:r w:rsidR="00C640A8" w:rsidRPr="00507BD2">
        <w:rPr>
          <w:rFonts w:hint="eastAsia"/>
        </w:rPr>
        <w:t xml:space="preserve">    </w:t>
      </w:r>
      <w:r w:rsidRPr="00507BD2">
        <w:rPr>
          <w:rFonts w:hint="eastAsia"/>
        </w:rPr>
        <w:t xml:space="preserve">        </w:t>
      </w:r>
      <w:r w:rsidR="00C80A58" w:rsidRPr="00507BD2">
        <w:rPr>
          <w:rFonts w:hint="eastAsia"/>
        </w:rPr>
        <w:t xml:space="preserve">  </w:t>
      </w:r>
      <w:r w:rsidRPr="00507BD2">
        <w:rPr>
          <w:rFonts w:hint="eastAsia"/>
        </w:rPr>
        <w:t xml:space="preserve">    </w:t>
      </w:r>
      <w:r w:rsidR="00FB31B2" w:rsidRPr="00507BD2">
        <w:rPr>
          <w:rFonts w:hint="eastAsia"/>
          <w:sz w:val="24"/>
          <w:szCs w:val="24"/>
        </w:rPr>
        <w:t>單位：新臺幣百萬元</w:t>
      </w:r>
      <w:r w:rsidR="002F2C41" w:rsidRPr="00507BD2">
        <w:rPr>
          <w:rFonts w:hint="eastAsia"/>
          <w:sz w:val="24"/>
          <w:szCs w:val="24"/>
        </w:rPr>
        <w:t>；%</w:t>
      </w:r>
    </w:p>
    <w:tbl>
      <w:tblPr>
        <w:tblW w:w="7938" w:type="dxa"/>
        <w:tblInd w:w="595" w:type="dxa"/>
        <w:tblCellMar>
          <w:left w:w="28" w:type="dxa"/>
          <w:right w:w="28" w:type="dxa"/>
        </w:tblCellMar>
        <w:tblLook w:val="04A0" w:firstRow="1" w:lastRow="0" w:firstColumn="1" w:lastColumn="0" w:noHBand="0" w:noVBand="1"/>
      </w:tblPr>
      <w:tblGrid>
        <w:gridCol w:w="2268"/>
        <w:gridCol w:w="1560"/>
        <w:gridCol w:w="1275"/>
        <w:gridCol w:w="1560"/>
        <w:gridCol w:w="1275"/>
      </w:tblGrid>
      <w:tr w:rsidR="002F2C41" w:rsidRPr="00507BD2" w:rsidTr="003829D2">
        <w:trPr>
          <w:trHeight w:val="20"/>
          <w:tblHeader/>
        </w:trPr>
        <w:tc>
          <w:tcPr>
            <w:tcW w:w="2268" w:type="dxa"/>
            <w:vMerge w:val="restart"/>
            <w:tcBorders>
              <w:top w:val="single" w:sz="12" w:space="0" w:color="auto"/>
              <w:left w:val="single" w:sz="12" w:space="0" w:color="auto"/>
              <w:bottom w:val="single" w:sz="8" w:space="0" w:color="000000"/>
              <w:right w:val="single" w:sz="8" w:space="0" w:color="auto"/>
            </w:tcBorders>
            <w:shd w:val="clear" w:color="auto" w:fill="auto"/>
            <w:vAlign w:val="center"/>
            <w:hideMark/>
          </w:tcPr>
          <w:p w:rsidR="002F2C41" w:rsidRPr="00507BD2" w:rsidRDefault="002F2C41" w:rsidP="002F2C41">
            <w:pPr>
              <w:pStyle w:val="142"/>
              <w:jc w:val="center"/>
              <w:rPr>
                <w:rFonts w:hAnsi="標楷體"/>
                <w:b/>
                <w:snapToGrid/>
              </w:rPr>
            </w:pPr>
            <w:r w:rsidRPr="00507BD2">
              <w:rPr>
                <w:rFonts w:hAnsi="標楷體" w:hint="eastAsia"/>
                <w:b/>
                <w:snapToGrid/>
              </w:rPr>
              <w:t>時點</w:t>
            </w:r>
          </w:p>
        </w:tc>
        <w:tc>
          <w:tcPr>
            <w:tcW w:w="2835" w:type="dxa"/>
            <w:gridSpan w:val="2"/>
            <w:tcBorders>
              <w:top w:val="single" w:sz="12" w:space="0" w:color="auto"/>
              <w:left w:val="nil"/>
              <w:bottom w:val="single" w:sz="8" w:space="0" w:color="auto"/>
              <w:right w:val="single" w:sz="8" w:space="0" w:color="000000"/>
            </w:tcBorders>
            <w:shd w:val="clear" w:color="auto" w:fill="auto"/>
            <w:vAlign w:val="center"/>
            <w:hideMark/>
          </w:tcPr>
          <w:p w:rsidR="002F2C41" w:rsidRPr="00507BD2" w:rsidRDefault="002F2C41" w:rsidP="002F2C41">
            <w:pPr>
              <w:pStyle w:val="142"/>
              <w:jc w:val="center"/>
              <w:rPr>
                <w:rFonts w:hAnsi="標楷體" w:hint="eastAsia"/>
                <w:b/>
                <w:snapToGrid/>
              </w:rPr>
            </w:pPr>
            <w:r w:rsidRPr="00507BD2">
              <w:rPr>
                <w:rFonts w:hAnsi="標楷體" w:hint="eastAsia"/>
                <w:b/>
                <w:snapToGrid/>
              </w:rPr>
              <w:t>購置住宅貸款</w:t>
            </w:r>
          </w:p>
        </w:tc>
        <w:tc>
          <w:tcPr>
            <w:tcW w:w="2835" w:type="dxa"/>
            <w:gridSpan w:val="2"/>
            <w:tcBorders>
              <w:top w:val="single" w:sz="12" w:space="0" w:color="auto"/>
              <w:left w:val="nil"/>
              <w:bottom w:val="single" w:sz="8" w:space="0" w:color="auto"/>
              <w:right w:val="single" w:sz="12" w:space="0" w:color="000000"/>
            </w:tcBorders>
            <w:shd w:val="clear" w:color="auto" w:fill="auto"/>
            <w:vAlign w:val="center"/>
            <w:hideMark/>
          </w:tcPr>
          <w:p w:rsidR="002F2C41" w:rsidRPr="00507BD2" w:rsidRDefault="002F2C41" w:rsidP="002F2C41">
            <w:pPr>
              <w:pStyle w:val="142"/>
              <w:jc w:val="center"/>
              <w:rPr>
                <w:rFonts w:hAnsi="標楷體" w:hint="eastAsia"/>
                <w:b/>
                <w:snapToGrid/>
              </w:rPr>
            </w:pPr>
            <w:r w:rsidRPr="00507BD2">
              <w:rPr>
                <w:rFonts w:hAnsi="標楷體" w:hint="eastAsia"/>
                <w:b/>
                <w:snapToGrid/>
              </w:rPr>
              <w:t>建築貸款</w:t>
            </w:r>
          </w:p>
        </w:tc>
      </w:tr>
      <w:tr w:rsidR="002F2C41" w:rsidRPr="00507BD2" w:rsidTr="003829D2">
        <w:trPr>
          <w:trHeight w:val="20"/>
          <w:tblHeader/>
        </w:trPr>
        <w:tc>
          <w:tcPr>
            <w:tcW w:w="2268" w:type="dxa"/>
            <w:vMerge/>
            <w:tcBorders>
              <w:top w:val="single" w:sz="12" w:space="0" w:color="auto"/>
              <w:left w:val="single" w:sz="12" w:space="0" w:color="auto"/>
              <w:bottom w:val="single" w:sz="8" w:space="0" w:color="000000"/>
              <w:right w:val="single" w:sz="8" w:space="0" w:color="auto"/>
            </w:tcBorders>
            <w:vAlign w:val="center"/>
            <w:hideMark/>
          </w:tcPr>
          <w:p w:rsidR="002F2C41" w:rsidRPr="00507BD2" w:rsidRDefault="002F2C41" w:rsidP="002F2C41">
            <w:pPr>
              <w:pStyle w:val="142"/>
              <w:jc w:val="center"/>
              <w:rPr>
                <w:rFonts w:hAnsi="標楷體"/>
                <w:b/>
                <w:snapToGrid/>
              </w:rPr>
            </w:pPr>
          </w:p>
        </w:tc>
        <w:tc>
          <w:tcPr>
            <w:tcW w:w="1560" w:type="dxa"/>
            <w:tcBorders>
              <w:top w:val="nil"/>
              <w:left w:val="nil"/>
              <w:bottom w:val="single" w:sz="8" w:space="0" w:color="auto"/>
              <w:right w:val="single" w:sz="8" w:space="0" w:color="auto"/>
            </w:tcBorders>
            <w:shd w:val="clear" w:color="auto" w:fill="auto"/>
            <w:vAlign w:val="center"/>
            <w:hideMark/>
          </w:tcPr>
          <w:p w:rsidR="002F2C41" w:rsidRPr="00507BD2" w:rsidRDefault="002F2C41" w:rsidP="002F2C41">
            <w:pPr>
              <w:pStyle w:val="142"/>
              <w:jc w:val="center"/>
              <w:rPr>
                <w:rFonts w:hAnsi="標楷體" w:hint="eastAsia"/>
                <w:b/>
                <w:snapToGrid/>
              </w:rPr>
            </w:pPr>
            <w:r w:rsidRPr="00507BD2">
              <w:rPr>
                <w:rFonts w:hAnsi="標楷體" w:hint="eastAsia"/>
                <w:b/>
                <w:snapToGrid/>
              </w:rPr>
              <w:t>餘額</w:t>
            </w:r>
          </w:p>
        </w:tc>
        <w:tc>
          <w:tcPr>
            <w:tcW w:w="1275" w:type="dxa"/>
            <w:tcBorders>
              <w:top w:val="nil"/>
              <w:left w:val="nil"/>
              <w:bottom w:val="single" w:sz="8" w:space="0" w:color="auto"/>
              <w:right w:val="single" w:sz="8" w:space="0" w:color="auto"/>
            </w:tcBorders>
            <w:shd w:val="clear" w:color="auto" w:fill="auto"/>
            <w:vAlign w:val="center"/>
            <w:hideMark/>
          </w:tcPr>
          <w:p w:rsidR="002F2C41" w:rsidRPr="00507BD2" w:rsidRDefault="002F2C41" w:rsidP="002F2C41">
            <w:pPr>
              <w:pStyle w:val="142"/>
              <w:jc w:val="center"/>
              <w:rPr>
                <w:rFonts w:hAnsi="標楷體" w:hint="eastAsia"/>
                <w:b/>
                <w:snapToGrid/>
              </w:rPr>
            </w:pPr>
            <w:r w:rsidRPr="00507BD2">
              <w:rPr>
                <w:rFonts w:hAnsi="標楷體" w:hint="eastAsia"/>
                <w:b/>
                <w:snapToGrid/>
              </w:rPr>
              <w:t>年增率</w:t>
            </w:r>
          </w:p>
        </w:tc>
        <w:tc>
          <w:tcPr>
            <w:tcW w:w="1560" w:type="dxa"/>
            <w:tcBorders>
              <w:top w:val="nil"/>
              <w:left w:val="nil"/>
              <w:bottom w:val="single" w:sz="8" w:space="0" w:color="auto"/>
              <w:right w:val="single" w:sz="8" w:space="0" w:color="auto"/>
            </w:tcBorders>
            <w:shd w:val="clear" w:color="auto" w:fill="auto"/>
            <w:vAlign w:val="center"/>
            <w:hideMark/>
          </w:tcPr>
          <w:p w:rsidR="002F2C41" w:rsidRPr="00507BD2" w:rsidRDefault="002F2C41" w:rsidP="002F2C41">
            <w:pPr>
              <w:pStyle w:val="142"/>
              <w:jc w:val="center"/>
              <w:rPr>
                <w:rFonts w:hAnsi="標楷體" w:hint="eastAsia"/>
                <w:b/>
                <w:snapToGrid/>
              </w:rPr>
            </w:pPr>
            <w:r w:rsidRPr="00507BD2">
              <w:rPr>
                <w:rFonts w:hAnsi="標楷體" w:hint="eastAsia"/>
                <w:b/>
                <w:snapToGrid/>
              </w:rPr>
              <w:t>餘額</w:t>
            </w:r>
          </w:p>
        </w:tc>
        <w:tc>
          <w:tcPr>
            <w:tcW w:w="1275" w:type="dxa"/>
            <w:tcBorders>
              <w:top w:val="nil"/>
              <w:left w:val="nil"/>
              <w:bottom w:val="single" w:sz="8" w:space="0" w:color="auto"/>
              <w:right w:val="single" w:sz="12" w:space="0" w:color="auto"/>
            </w:tcBorders>
            <w:shd w:val="clear" w:color="auto" w:fill="auto"/>
            <w:vAlign w:val="center"/>
            <w:hideMark/>
          </w:tcPr>
          <w:p w:rsidR="002F2C41" w:rsidRPr="00507BD2" w:rsidRDefault="002F2C41" w:rsidP="002F2C41">
            <w:pPr>
              <w:pStyle w:val="142"/>
              <w:jc w:val="center"/>
              <w:rPr>
                <w:rFonts w:hAnsi="標楷體" w:hint="eastAsia"/>
                <w:b/>
                <w:snapToGrid/>
              </w:rPr>
            </w:pPr>
            <w:r w:rsidRPr="00507BD2">
              <w:rPr>
                <w:rFonts w:hAnsi="標楷體" w:hint="eastAsia"/>
                <w:b/>
                <w:snapToGrid/>
              </w:rPr>
              <w:t>年增率</w:t>
            </w:r>
          </w:p>
        </w:tc>
      </w:tr>
      <w:tr w:rsidR="002F2C41" w:rsidRPr="00507BD2" w:rsidTr="003829D2">
        <w:trPr>
          <w:trHeight w:val="20"/>
        </w:trPr>
        <w:tc>
          <w:tcPr>
            <w:tcW w:w="2268" w:type="dxa"/>
            <w:tcBorders>
              <w:top w:val="nil"/>
              <w:left w:val="single" w:sz="12" w:space="0" w:color="auto"/>
              <w:bottom w:val="single" w:sz="8" w:space="0" w:color="auto"/>
              <w:right w:val="single" w:sz="8" w:space="0" w:color="auto"/>
            </w:tcBorders>
            <w:shd w:val="clear" w:color="auto" w:fill="auto"/>
            <w:vAlign w:val="center"/>
            <w:hideMark/>
          </w:tcPr>
          <w:p w:rsidR="002F2C41" w:rsidRPr="00507BD2" w:rsidRDefault="002F2C41" w:rsidP="002F2C41">
            <w:pPr>
              <w:pStyle w:val="142"/>
              <w:rPr>
                <w:rFonts w:hAnsi="標楷體" w:hint="eastAsia"/>
                <w:snapToGrid/>
              </w:rPr>
            </w:pPr>
            <w:r w:rsidRPr="00507BD2">
              <w:rPr>
                <w:rFonts w:hAnsi="標楷體" w:hint="eastAsia"/>
                <w:snapToGrid/>
              </w:rPr>
              <w:t>109年底</w:t>
            </w:r>
          </w:p>
        </w:tc>
        <w:tc>
          <w:tcPr>
            <w:tcW w:w="1560" w:type="dxa"/>
            <w:tcBorders>
              <w:top w:val="nil"/>
              <w:left w:val="nil"/>
              <w:bottom w:val="single" w:sz="8" w:space="0" w:color="auto"/>
              <w:right w:val="single" w:sz="8" w:space="0" w:color="auto"/>
            </w:tcBorders>
            <w:shd w:val="clear" w:color="auto" w:fill="auto"/>
            <w:vAlign w:val="center"/>
            <w:hideMark/>
          </w:tcPr>
          <w:p w:rsidR="002F2C41" w:rsidRPr="00507BD2" w:rsidRDefault="002F2C41" w:rsidP="002F2C41">
            <w:pPr>
              <w:pStyle w:val="142"/>
              <w:jc w:val="right"/>
              <w:rPr>
                <w:rFonts w:hAnsi="標楷體" w:hint="eastAsia"/>
                <w:snapToGrid/>
              </w:rPr>
            </w:pPr>
            <w:r w:rsidRPr="00507BD2">
              <w:rPr>
                <w:rFonts w:hAnsi="標楷體" w:hint="eastAsia"/>
                <w:snapToGrid/>
              </w:rPr>
              <w:t>8,042,296</w:t>
            </w:r>
          </w:p>
        </w:tc>
        <w:tc>
          <w:tcPr>
            <w:tcW w:w="1275" w:type="dxa"/>
            <w:tcBorders>
              <w:top w:val="nil"/>
              <w:left w:val="nil"/>
              <w:bottom w:val="single" w:sz="8" w:space="0" w:color="auto"/>
              <w:right w:val="single" w:sz="8" w:space="0" w:color="auto"/>
            </w:tcBorders>
            <w:shd w:val="clear" w:color="auto" w:fill="auto"/>
            <w:vAlign w:val="center"/>
            <w:hideMark/>
          </w:tcPr>
          <w:p w:rsidR="002F2C41" w:rsidRPr="00507BD2" w:rsidRDefault="002F2C41" w:rsidP="002F2C41">
            <w:pPr>
              <w:pStyle w:val="142"/>
              <w:jc w:val="right"/>
              <w:rPr>
                <w:rFonts w:hAnsi="標楷體" w:hint="eastAsia"/>
                <w:snapToGrid/>
              </w:rPr>
            </w:pPr>
            <w:r w:rsidRPr="00507BD2">
              <w:rPr>
                <w:rFonts w:hAnsi="標楷體" w:hint="eastAsia"/>
                <w:snapToGrid/>
              </w:rPr>
              <w:t>8.5</w:t>
            </w:r>
          </w:p>
        </w:tc>
        <w:tc>
          <w:tcPr>
            <w:tcW w:w="1560" w:type="dxa"/>
            <w:tcBorders>
              <w:top w:val="nil"/>
              <w:left w:val="nil"/>
              <w:bottom w:val="single" w:sz="8" w:space="0" w:color="auto"/>
              <w:right w:val="single" w:sz="8" w:space="0" w:color="auto"/>
            </w:tcBorders>
            <w:shd w:val="clear" w:color="auto" w:fill="auto"/>
            <w:vAlign w:val="center"/>
            <w:hideMark/>
          </w:tcPr>
          <w:p w:rsidR="002F2C41" w:rsidRPr="00507BD2" w:rsidRDefault="002F2C41" w:rsidP="002F2C41">
            <w:pPr>
              <w:pStyle w:val="142"/>
              <w:jc w:val="right"/>
              <w:rPr>
                <w:rFonts w:hAnsi="標楷體" w:hint="eastAsia"/>
                <w:snapToGrid/>
              </w:rPr>
            </w:pPr>
            <w:r w:rsidRPr="00507BD2">
              <w:rPr>
                <w:rFonts w:hAnsi="標楷體" w:hint="eastAsia"/>
                <w:snapToGrid/>
              </w:rPr>
              <w:t>2,523,876</w:t>
            </w:r>
          </w:p>
        </w:tc>
        <w:tc>
          <w:tcPr>
            <w:tcW w:w="1275" w:type="dxa"/>
            <w:tcBorders>
              <w:top w:val="nil"/>
              <w:left w:val="nil"/>
              <w:bottom w:val="single" w:sz="8" w:space="0" w:color="auto"/>
              <w:right w:val="single" w:sz="12" w:space="0" w:color="auto"/>
            </w:tcBorders>
            <w:shd w:val="clear" w:color="auto" w:fill="auto"/>
            <w:vAlign w:val="center"/>
            <w:hideMark/>
          </w:tcPr>
          <w:p w:rsidR="002F2C41" w:rsidRPr="00507BD2" w:rsidRDefault="002F2C41" w:rsidP="002F2C41">
            <w:pPr>
              <w:pStyle w:val="142"/>
              <w:jc w:val="right"/>
              <w:rPr>
                <w:rFonts w:hAnsi="標楷體" w:hint="eastAsia"/>
                <w:snapToGrid/>
              </w:rPr>
            </w:pPr>
            <w:r w:rsidRPr="00507BD2">
              <w:rPr>
                <w:rFonts w:hAnsi="標楷體" w:hint="eastAsia"/>
                <w:snapToGrid/>
              </w:rPr>
              <w:t>20.51</w:t>
            </w:r>
          </w:p>
        </w:tc>
      </w:tr>
      <w:tr w:rsidR="002F2C41" w:rsidRPr="00507BD2" w:rsidTr="003829D2">
        <w:trPr>
          <w:trHeight w:val="20"/>
        </w:trPr>
        <w:tc>
          <w:tcPr>
            <w:tcW w:w="2268" w:type="dxa"/>
            <w:tcBorders>
              <w:top w:val="nil"/>
              <w:left w:val="single" w:sz="12" w:space="0" w:color="auto"/>
              <w:bottom w:val="single" w:sz="8" w:space="0" w:color="auto"/>
              <w:right w:val="single" w:sz="8" w:space="0" w:color="auto"/>
            </w:tcBorders>
            <w:shd w:val="clear" w:color="auto" w:fill="auto"/>
            <w:vAlign w:val="center"/>
            <w:hideMark/>
          </w:tcPr>
          <w:p w:rsidR="002F2C41" w:rsidRPr="00507BD2" w:rsidRDefault="002F2C41" w:rsidP="002F2C41">
            <w:pPr>
              <w:pStyle w:val="142"/>
              <w:rPr>
                <w:rFonts w:hAnsi="標楷體" w:hint="eastAsia"/>
                <w:snapToGrid/>
              </w:rPr>
            </w:pPr>
            <w:r w:rsidRPr="00507BD2">
              <w:rPr>
                <w:rFonts w:hAnsi="標楷體" w:hint="eastAsia"/>
                <w:snapToGrid/>
              </w:rPr>
              <w:t>110年</w:t>
            </w:r>
            <w:r w:rsidR="00F413FE">
              <w:rPr>
                <w:rFonts w:hAnsi="標楷體" w:hint="eastAsia"/>
                <w:snapToGrid/>
              </w:rPr>
              <w:t>第1季</w:t>
            </w:r>
            <w:r w:rsidRPr="00507BD2">
              <w:rPr>
                <w:rFonts w:hAnsi="標楷體" w:hint="eastAsia"/>
                <w:snapToGrid/>
              </w:rPr>
              <w:t>底</w:t>
            </w:r>
          </w:p>
        </w:tc>
        <w:tc>
          <w:tcPr>
            <w:tcW w:w="1560" w:type="dxa"/>
            <w:tcBorders>
              <w:top w:val="nil"/>
              <w:left w:val="nil"/>
              <w:bottom w:val="single" w:sz="8" w:space="0" w:color="auto"/>
              <w:right w:val="single" w:sz="8" w:space="0" w:color="auto"/>
            </w:tcBorders>
            <w:shd w:val="clear" w:color="auto" w:fill="auto"/>
            <w:vAlign w:val="center"/>
            <w:hideMark/>
          </w:tcPr>
          <w:p w:rsidR="002F2C41" w:rsidRPr="00507BD2" w:rsidRDefault="002F2C41" w:rsidP="002F2C41">
            <w:pPr>
              <w:pStyle w:val="142"/>
              <w:jc w:val="right"/>
              <w:rPr>
                <w:rFonts w:hAnsi="標楷體" w:hint="eastAsia"/>
                <w:snapToGrid/>
              </w:rPr>
            </w:pPr>
            <w:r w:rsidRPr="00507BD2">
              <w:rPr>
                <w:rFonts w:hAnsi="標楷體" w:hint="eastAsia"/>
                <w:snapToGrid/>
              </w:rPr>
              <w:t>8,187,509</w:t>
            </w:r>
          </w:p>
        </w:tc>
        <w:tc>
          <w:tcPr>
            <w:tcW w:w="1275" w:type="dxa"/>
            <w:tcBorders>
              <w:top w:val="nil"/>
              <w:left w:val="nil"/>
              <w:bottom w:val="single" w:sz="8" w:space="0" w:color="auto"/>
              <w:right w:val="single" w:sz="8" w:space="0" w:color="auto"/>
            </w:tcBorders>
            <w:shd w:val="clear" w:color="auto" w:fill="auto"/>
            <w:vAlign w:val="center"/>
            <w:hideMark/>
          </w:tcPr>
          <w:p w:rsidR="002F2C41" w:rsidRPr="00507BD2" w:rsidRDefault="002F2C41" w:rsidP="002F2C41">
            <w:pPr>
              <w:pStyle w:val="142"/>
              <w:jc w:val="right"/>
              <w:rPr>
                <w:rFonts w:hAnsi="標楷體" w:hint="eastAsia"/>
                <w:snapToGrid/>
              </w:rPr>
            </w:pPr>
            <w:r w:rsidRPr="00507BD2">
              <w:rPr>
                <w:rFonts w:hAnsi="標楷體" w:hint="eastAsia"/>
                <w:snapToGrid/>
              </w:rPr>
              <w:t>9.25</w:t>
            </w:r>
          </w:p>
        </w:tc>
        <w:tc>
          <w:tcPr>
            <w:tcW w:w="1560" w:type="dxa"/>
            <w:tcBorders>
              <w:top w:val="nil"/>
              <w:left w:val="nil"/>
              <w:bottom w:val="single" w:sz="8" w:space="0" w:color="auto"/>
              <w:right w:val="single" w:sz="8" w:space="0" w:color="auto"/>
            </w:tcBorders>
            <w:shd w:val="clear" w:color="auto" w:fill="auto"/>
            <w:vAlign w:val="center"/>
            <w:hideMark/>
          </w:tcPr>
          <w:p w:rsidR="002F2C41" w:rsidRPr="00507BD2" w:rsidRDefault="002F2C41" w:rsidP="002F2C41">
            <w:pPr>
              <w:pStyle w:val="142"/>
              <w:jc w:val="right"/>
              <w:rPr>
                <w:rFonts w:hAnsi="標楷體" w:hint="eastAsia"/>
                <w:snapToGrid/>
              </w:rPr>
            </w:pPr>
            <w:r w:rsidRPr="00507BD2">
              <w:rPr>
                <w:rFonts w:hAnsi="標楷體" w:hint="eastAsia"/>
                <w:snapToGrid/>
              </w:rPr>
              <w:t>2,603,258</w:t>
            </w:r>
          </w:p>
        </w:tc>
        <w:tc>
          <w:tcPr>
            <w:tcW w:w="1275" w:type="dxa"/>
            <w:tcBorders>
              <w:top w:val="nil"/>
              <w:left w:val="nil"/>
              <w:bottom w:val="single" w:sz="8" w:space="0" w:color="auto"/>
              <w:right w:val="single" w:sz="12" w:space="0" w:color="auto"/>
            </w:tcBorders>
            <w:shd w:val="clear" w:color="auto" w:fill="auto"/>
            <w:vAlign w:val="center"/>
            <w:hideMark/>
          </w:tcPr>
          <w:p w:rsidR="002F2C41" w:rsidRPr="00507BD2" w:rsidRDefault="002F2C41" w:rsidP="002F2C41">
            <w:pPr>
              <w:pStyle w:val="142"/>
              <w:jc w:val="right"/>
              <w:rPr>
                <w:rFonts w:hAnsi="標楷體" w:hint="eastAsia"/>
                <w:snapToGrid/>
              </w:rPr>
            </w:pPr>
            <w:r w:rsidRPr="00507BD2">
              <w:rPr>
                <w:rFonts w:hAnsi="標楷體" w:hint="eastAsia"/>
                <w:snapToGrid/>
              </w:rPr>
              <w:t>20.75</w:t>
            </w:r>
          </w:p>
        </w:tc>
      </w:tr>
      <w:tr w:rsidR="002F2C41" w:rsidRPr="00507BD2" w:rsidTr="003829D2">
        <w:trPr>
          <w:trHeight w:val="20"/>
        </w:trPr>
        <w:tc>
          <w:tcPr>
            <w:tcW w:w="2268" w:type="dxa"/>
            <w:tcBorders>
              <w:top w:val="nil"/>
              <w:left w:val="single" w:sz="12" w:space="0" w:color="auto"/>
              <w:bottom w:val="single" w:sz="8" w:space="0" w:color="auto"/>
              <w:right w:val="single" w:sz="8" w:space="0" w:color="auto"/>
            </w:tcBorders>
            <w:shd w:val="clear" w:color="auto" w:fill="auto"/>
            <w:vAlign w:val="center"/>
            <w:hideMark/>
          </w:tcPr>
          <w:p w:rsidR="002F2C41" w:rsidRPr="00507BD2" w:rsidRDefault="002F2C41" w:rsidP="002F2C41">
            <w:pPr>
              <w:pStyle w:val="142"/>
              <w:rPr>
                <w:rFonts w:hAnsi="標楷體" w:hint="eastAsia"/>
                <w:snapToGrid/>
              </w:rPr>
            </w:pPr>
            <w:r w:rsidRPr="00507BD2">
              <w:rPr>
                <w:rFonts w:hAnsi="標楷體" w:hint="eastAsia"/>
                <w:snapToGrid/>
              </w:rPr>
              <w:t>110年</w:t>
            </w:r>
            <w:r w:rsidR="00F413FE">
              <w:rPr>
                <w:rFonts w:hAnsi="標楷體" w:hint="eastAsia"/>
                <w:snapToGrid/>
              </w:rPr>
              <w:t>第2季</w:t>
            </w:r>
            <w:r w:rsidRPr="00507BD2">
              <w:rPr>
                <w:rFonts w:hAnsi="標楷體" w:hint="eastAsia"/>
                <w:snapToGrid/>
              </w:rPr>
              <w:t>底</w:t>
            </w:r>
          </w:p>
        </w:tc>
        <w:tc>
          <w:tcPr>
            <w:tcW w:w="1560" w:type="dxa"/>
            <w:tcBorders>
              <w:top w:val="nil"/>
              <w:left w:val="nil"/>
              <w:bottom w:val="single" w:sz="8" w:space="0" w:color="auto"/>
              <w:right w:val="single" w:sz="8" w:space="0" w:color="auto"/>
            </w:tcBorders>
            <w:shd w:val="clear" w:color="auto" w:fill="auto"/>
            <w:vAlign w:val="center"/>
            <w:hideMark/>
          </w:tcPr>
          <w:p w:rsidR="002F2C41" w:rsidRPr="00507BD2" w:rsidRDefault="002F2C41" w:rsidP="002F2C41">
            <w:pPr>
              <w:pStyle w:val="142"/>
              <w:jc w:val="right"/>
              <w:rPr>
                <w:rFonts w:hAnsi="標楷體" w:hint="eastAsia"/>
                <w:snapToGrid/>
              </w:rPr>
            </w:pPr>
            <w:r w:rsidRPr="00507BD2">
              <w:rPr>
                <w:rFonts w:hAnsi="標楷體" w:hint="eastAsia"/>
                <w:snapToGrid/>
              </w:rPr>
              <w:t>8,406,898</w:t>
            </w:r>
          </w:p>
        </w:tc>
        <w:tc>
          <w:tcPr>
            <w:tcW w:w="1275" w:type="dxa"/>
            <w:tcBorders>
              <w:top w:val="nil"/>
              <w:left w:val="nil"/>
              <w:bottom w:val="single" w:sz="8" w:space="0" w:color="auto"/>
              <w:right w:val="single" w:sz="8" w:space="0" w:color="auto"/>
            </w:tcBorders>
            <w:shd w:val="clear" w:color="auto" w:fill="auto"/>
            <w:vAlign w:val="center"/>
            <w:hideMark/>
          </w:tcPr>
          <w:p w:rsidR="002F2C41" w:rsidRPr="00507BD2" w:rsidRDefault="002F2C41" w:rsidP="002F2C41">
            <w:pPr>
              <w:pStyle w:val="142"/>
              <w:jc w:val="right"/>
              <w:rPr>
                <w:rFonts w:hAnsi="標楷體" w:hint="eastAsia"/>
                <w:snapToGrid/>
              </w:rPr>
            </w:pPr>
            <w:r w:rsidRPr="00507BD2">
              <w:rPr>
                <w:rFonts w:hAnsi="標楷體" w:hint="eastAsia"/>
                <w:snapToGrid/>
              </w:rPr>
              <w:t>10.42</w:t>
            </w:r>
          </w:p>
        </w:tc>
        <w:tc>
          <w:tcPr>
            <w:tcW w:w="1560" w:type="dxa"/>
            <w:tcBorders>
              <w:top w:val="nil"/>
              <w:left w:val="nil"/>
              <w:bottom w:val="single" w:sz="8" w:space="0" w:color="auto"/>
              <w:right w:val="single" w:sz="8" w:space="0" w:color="auto"/>
            </w:tcBorders>
            <w:shd w:val="clear" w:color="auto" w:fill="auto"/>
            <w:vAlign w:val="center"/>
            <w:hideMark/>
          </w:tcPr>
          <w:p w:rsidR="002F2C41" w:rsidRPr="00507BD2" w:rsidRDefault="002F2C41" w:rsidP="002F2C41">
            <w:pPr>
              <w:pStyle w:val="142"/>
              <w:jc w:val="right"/>
              <w:rPr>
                <w:rFonts w:hAnsi="標楷體" w:hint="eastAsia"/>
                <w:snapToGrid/>
              </w:rPr>
            </w:pPr>
            <w:r w:rsidRPr="00507BD2">
              <w:rPr>
                <w:rFonts w:hAnsi="標楷體" w:hint="eastAsia"/>
                <w:snapToGrid/>
              </w:rPr>
              <w:t>2,683,086</w:t>
            </w:r>
          </w:p>
        </w:tc>
        <w:tc>
          <w:tcPr>
            <w:tcW w:w="1275" w:type="dxa"/>
            <w:tcBorders>
              <w:top w:val="nil"/>
              <w:left w:val="nil"/>
              <w:bottom w:val="single" w:sz="8" w:space="0" w:color="auto"/>
              <w:right w:val="single" w:sz="12" w:space="0" w:color="auto"/>
            </w:tcBorders>
            <w:shd w:val="clear" w:color="auto" w:fill="auto"/>
            <w:vAlign w:val="center"/>
            <w:hideMark/>
          </w:tcPr>
          <w:p w:rsidR="002F2C41" w:rsidRPr="00507BD2" w:rsidRDefault="002F2C41" w:rsidP="002F2C41">
            <w:pPr>
              <w:pStyle w:val="142"/>
              <w:jc w:val="right"/>
              <w:rPr>
                <w:rFonts w:hAnsi="標楷體" w:hint="eastAsia"/>
                <w:snapToGrid/>
              </w:rPr>
            </w:pPr>
            <w:r w:rsidRPr="00507BD2">
              <w:rPr>
                <w:rFonts w:hAnsi="標楷體" w:hint="eastAsia"/>
                <w:snapToGrid/>
              </w:rPr>
              <w:t>19.45</w:t>
            </w:r>
          </w:p>
        </w:tc>
      </w:tr>
      <w:tr w:rsidR="002F2C41" w:rsidRPr="00507BD2" w:rsidTr="003829D2">
        <w:trPr>
          <w:trHeight w:val="20"/>
        </w:trPr>
        <w:tc>
          <w:tcPr>
            <w:tcW w:w="2268" w:type="dxa"/>
            <w:tcBorders>
              <w:top w:val="nil"/>
              <w:left w:val="single" w:sz="12" w:space="0" w:color="auto"/>
              <w:bottom w:val="single" w:sz="8" w:space="0" w:color="auto"/>
              <w:right w:val="single" w:sz="8" w:space="0" w:color="auto"/>
            </w:tcBorders>
            <w:shd w:val="clear" w:color="auto" w:fill="auto"/>
            <w:vAlign w:val="center"/>
            <w:hideMark/>
          </w:tcPr>
          <w:p w:rsidR="002F2C41" w:rsidRPr="00507BD2" w:rsidRDefault="002F2C41" w:rsidP="002F2C41">
            <w:pPr>
              <w:pStyle w:val="142"/>
              <w:rPr>
                <w:rFonts w:hAnsi="標楷體" w:hint="eastAsia"/>
                <w:snapToGrid/>
              </w:rPr>
            </w:pPr>
            <w:r w:rsidRPr="00507BD2">
              <w:rPr>
                <w:rFonts w:hAnsi="標楷體" w:hint="eastAsia"/>
                <w:snapToGrid/>
              </w:rPr>
              <w:t>110年</w:t>
            </w:r>
            <w:r w:rsidR="00F413FE">
              <w:rPr>
                <w:rFonts w:hAnsi="標楷體" w:hint="eastAsia"/>
                <w:snapToGrid/>
              </w:rPr>
              <w:t>第3季</w:t>
            </w:r>
            <w:r w:rsidRPr="00507BD2">
              <w:rPr>
                <w:rFonts w:hAnsi="標楷體" w:hint="eastAsia"/>
                <w:snapToGrid/>
              </w:rPr>
              <w:t>底</w:t>
            </w:r>
          </w:p>
        </w:tc>
        <w:tc>
          <w:tcPr>
            <w:tcW w:w="1560" w:type="dxa"/>
            <w:tcBorders>
              <w:top w:val="nil"/>
              <w:left w:val="nil"/>
              <w:bottom w:val="single" w:sz="8" w:space="0" w:color="auto"/>
              <w:right w:val="single" w:sz="8" w:space="0" w:color="auto"/>
            </w:tcBorders>
            <w:shd w:val="clear" w:color="auto" w:fill="auto"/>
            <w:vAlign w:val="center"/>
            <w:hideMark/>
          </w:tcPr>
          <w:p w:rsidR="002F2C41" w:rsidRPr="00507BD2" w:rsidRDefault="002F2C41" w:rsidP="002F2C41">
            <w:pPr>
              <w:pStyle w:val="142"/>
              <w:jc w:val="right"/>
              <w:rPr>
                <w:rFonts w:hAnsi="標楷體" w:hint="eastAsia"/>
                <w:snapToGrid/>
              </w:rPr>
            </w:pPr>
            <w:r w:rsidRPr="00507BD2">
              <w:rPr>
                <w:rFonts w:hAnsi="標楷體" w:hint="eastAsia"/>
                <w:snapToGrid/>
              </w:rPr>
              <w:t>8,544,347</w:t>
            </w:r>
          </w:p>
        </w:tc>
        <w:tc>
          <w:tcPr>
            <w:tcW w:w="1275" w:type="dxa"/>
            <w:tcBorders>
              <w:top w:val="nil"/>
              <w:left w:val="nil"/>
              <w:bottom w:val="single" w:sz="8" w:space="0" w:color="auto"/>
              <w:right w:val="single" w:sz="8" w:space="0" w:color="auto"/>
            </w:tcBorders>
            <w:shd w:val="clear" w:color="auto" w:fill="auto"/>
            <w:vAlign w:val="center"/>
            <w:hideMark/>
          </w:tcPr>
          <w:p w:rsidR="002F2C41" w:rsidRPr="00507BD2" w:rsidRDefault="002F2C41" w:rsidP="002F2C41">
            <w:pPr>
              <w:pStyle w:val="142"/>
              <w:jc w:val="right"/>
              <w:rPr>
                <w:rFonts w:hAnsi="標楷體" w:hint="eastAsia"/>
                <w:snapToGrid/>
              </w:rPr>
            </w:pPr>
            <w:r w:rsidRPr="00507BD2">
              <w:rPr>
                <w:rFonts w:hAnsi="標楷體" w:hint="eastAsia"/>
                <w:snapToGrid/>
              </w:rPr>
              <w:t>9.38</w:t>
            </w:r>
          </w:p>
        </w:tc>
        <w:tc>
          <w:tcPr>
            <w:tcW w:w="1560" w:type="dxa"/>
            <w:tcBorders>
              <w:top w:val="nil"/>
              <w:left w:val="nil"/>
              <w:bottom w:val="single" w:sz="8" w:space="0" w:color="auto"/>
              <w:right w:val="single" w:sz="8" w:space="0" w:color="auto"/>
            </w:tcBorders>
            <w:shd w:val="clear" w:color="auto" w:fill="auto"/>
            <w:vAlign w:val="center"/>
            <w:hideMark/>
          </w:tcPr>
          <w:p w:rsidR="002F2C41" w:rsidRPr="00507BD2" w:rsidRDefault="002F2C41" w:rsidP="002F2C41">
            <w:pPr>
              <w:pStyle w:val="142"/>
              <w:jc w:val="right"/>
              <w:rPr>
                <w:rFonts w:hAnsi="標楷體" w:hint="eastAsia"/>
                <w:snapToGrid/>
              </w:rPr>
            </w:pPr>
            <w:r w:rsidRPr="00507BD2">
              <w:rPr>
                <w:rFonts w:hAnsi="標楷體" w:hint="eastAsia"/>
                <w:snapToGrid/>
              </w:rPr>
              <w:t>2,768,946</w:t>
            </w:r>
          </w:p>
        </w:tc>
        <w:tc>
          <w:tcPr>
            <w:tcW w:w="1275" w:type="dxa"/>
            <w:tcBorders>
              <w:top w:val="nil"/>
              <w:left w:val="nil"/>
              <w:bottom w:val="single" w:sz="8" w:space="0" w:color="auto"/>
              <w:right w:val="single" w:sz="12" w:space="0" w:color="auto"/>
            </w:tcBorders>
            <w:shd w:val="clear" w:color="auto" w:fill="auto"/>
            <w:vAlign w:val="center"/>
            <w:hideMark/>
          </w:tcPr>
          <w:p w:rsidR="002F2C41" w:rsidRPr="00507BD2" w:rsidRDefault="002F2C41" w:rsidP="002F2C41">
            <w:pPr>
              <w:pStyle w:val="142"/>
              <w:jc w:val="right"/>
              <w:rPr>
                <w:rFonts w:hAnsi="標楷體" w:hint="eastAsia"/>
                <w:snapToGrid/>
              </w:rPr>
            </w:pPr>
            <w:r w:rsidRPr="00507BD2">
              <w:rPr>
                <w:rFonts w:hAnsi="標楷體" w:hint="eastAsia"/>
                <w:snapToGrid/>
              </w:rPr>
              <w:t>19.18</w:t>
            </w:r>
          </w:p>
        </w:tc>
      </w:tr>
      <w:tr w:rsidR="002F2C41" w:rsidRPr="00507BD2" w:rsidTr="003829D2">
        <w:trPr>
          <w:trHeight w:val="20"/>
        </w:trPr>
        <w:tc>
          <w:tcPr>
            <w:tcW w:w="2268" w:type="dxa"/>
            <w:tcBorders>
              <w:top w:val="nil"/>
              <w:left w:val="single" w:sz="12" w:space="0" w:color="auto"/>
              <w:bottom w:val="single" w:sz="8" w:space="0" w:color="auto"/>
              <w:right w:val="single" w:sz="8" w:space="0" w:color="auto"/>
            </w:tcBorders>
            <w:shd w:val="clear" w:color="auto" w:fill="auto"/>
            <w:vAlign w:val="center"/>
            <w:hideMark/>
          </w:tcPr>
          <w:p w:rsidR="002F2C41" w:rsidRPr="00507BD2" w:rsidRDefault="002F2C41" w:rsidP="002F2C41">
            <w:pPr>
              <w:pStyle w:val="142"/>
              <w:rPr>
                <w:rFonts w:hAnsi="標楷體" w:hint="eastAsia"/>
                <w:snapToGrid/>
              </w:rPr>
            </w:pPr>
            <w:r w:rsidRPr="00507BD2">
              <w:rPr>
                <w:rFonts w:hAnsi="標楷體" w:hint="eastAsia"/>
                <w:snapToGrid/>
              </w:rPr>
              <w:t>110年底</w:t>
            </w:r>
          </w:p>
        </w:tc>
        <w:tc>
          <w:tcPr>
            <w:tcW w:w="1560" w:type="dxa"/>
            <w:tcBorders>
              <w:top w:val="nil"/>
              <w:left w:val="nil"/>
              <w:bottom w:val="single" w:sz="8" w:space="0" w:color="auto"/>
              <w:right w:val="single" w:sz="8" w:space="0" w:color="auto"/>
            </w:tcBorders>
            <w:shd w:val="clear" w:color="auto" w:fill="auto"/>
            <w:vAlign w:val="center"/>
            <w:hideMark/>
          </w:tcPr>
          <w:p w:rsidR="002F2C41" w:rsidRPr="00507BD2" w:rsidRDefault="002F2C41" w:rsidP="002F2C41">
            <w:pPr>
              <w:pStyle w:val="142"/>
              <w:jc w:val="right"/>
              <w:rPr>
                <w:rFonts w:hAnsi="標楷體" w:hint="eastAsia"/>
                <w:snapToGrid/>
              </w:rPr>
            </w:pPr>
            <w:r w:rsidRPr="00507BD2">
              <w:rPr>
                <w:rFonts w:hAnsi="標楷體" w:hint="eastAsia"/>
                <w:snapToGrid/>
              </w:rPr>
              <w:t>8,803,024</w:t>
            </w:r>
          </w:p>
        </w:tc>
        <w:tc>
          <w:tcPr>
            <w:tcW w:w="1275" w:type="dxa"/>
            <w:tcBorders>
              <w:top w:val="nil"/>
              <w:left w:val="nil"/>
              <w:bottom w:val="single" w:sz="8" w:space="0" w:color="auto"/>
              <w:right w:val="single" w:sz="8" w:space="0" w:color="auto"/>
            </w:tcBorders>
            <w:shd w:val="clear" w:color="auto" w:fill="auto"/>
            <w:vAlign w:val="center"/>
            <w:hideMark/>
          </w:tcPr>
          <w:p w:rsidR="002F2C41" w:rsidRPr="00507BD2" w:rsidRDefault="002F2C41" w:rsidP="002F2C41">
            <w:pPr>
              <w:pStyle w:val="142"/>
              <w:jc w:val="right"/>
              <w:rPr>
                <w:rFonts w:hAnsi="標楷體" w:hint="eastAsia"/>
                <w:snapToGrid/>
              </w:rPr>
            </w:pPr>
            <w:r w:rsidRPr="00507BD2">
              <w:rPr>
                <w:rFonts w:hAnsi="標楷體" w:hint="eastAsia"/>
                <w:snapToGrid/>
              </w:rPr>
              <w:t>9.46</w:t>
            </w:r>
          </w:p>
        </w:tc>
        <w:tc>
          <w:tcPr>
            <w:tcW w:w="1560" w:type="dxa"/>
            <w:tcBorders>
              <w:top w:val="nil"/>
              <w:left w:val="nil"/>
              <w:bottom w:val="single" w:sz="8" w:space="0" w:color="auto"/>
              <w:right w:val="single" w:sz="8" w:space="0" w:color="auto"/>
            </w:tcBorders>
            <w:shd w:val="clear" w:color="auto" w:fill="auto"/>
            <w:vAlign w:val="center"/>
            <w:hideMark/>
          </w:tcPr>
          <w:p w:rsidR="002F2C41" w:rsidRPr="00507BD2" w:rsidRDefault="002F2C41" w:rsidP="002F2C41">
            <w:pPr>
              <w:pStyle w:val="142"/>
              <w:jc w:val="right"/>
              <w:rPr>
                <w:rFonts w:hAnsi="標楷體" w:hint="eastAsia"/>
                <w:snapToGrid/>
              </w:rPr>
            </w:pPr>
            <w:r w:rsidRPr="00507BD2">
              <w:rPr>
                <w:rFonts w:hAnsi="標楷體" w:hint="eastAsia"/>
                <w:snapToGrid/>
              </w:rPr>
              <w:t>2,876,421</w:t>
            </w:r>
          </w:p>
        </w:tc>
        <w:tc>
          <w:tcPr>
            <w:tcW w:w="1275" w:type="dxa"/>
            <w:tcBorders>
              <w:top w:val="nil"/>
              <w:left w:val="nil"/>
              <w:bottom w:val="single" w:sz="8" w:space="0" w:color="auto"/>
              <w:right w:val="single" w:sz="12" w:space="0" w:color="auto"/>
            </w:tcBorders>
            <w:shd w:val="clear" w:color="auto" w:fill="auto"/>
            <w:vAlign w:val="center"/>
            <w:hideMark/>
          </w:tcPr>
          <w:p w:rsidR="002F2C41" w:rsidRPr="00507BD2" w:rsidRDefault="002F2C41" w:rsidP="002F2C41">
            <w:pPr>
              <w:pStyle w:val="142"/>
              <w:jc w:val="right"/>
              <w:rPr>
                <w:rFonts w:hAnsi="標楷體" w:hint="eastAsia"/>
                <w:snapToGrid/>
              </w:rPr>
            </w:pPr>
            <w:r w:rsidRPr="00507BD2">
              <w:rPr>
                <w:rFonts w:hAnsi="標楷體" w:hint="eastAsia"/>
                <w:snapToGrid/>
              </w:rPr>
              <w:t>13.97</w:t>
            </w:r>
          </w:p>
        </w:tc>
      </w:tr>
      <w:tr w:rsidR="002F2C41" w:rsidRPr="00507BD2" w:rsidTr="003829D2">
        <w:trPr>
          <w:trHeight w:val="20"/>
        </w:trPr>
        <w:tc>
          <w:tcPr>
            <w:tcW w:w="2268" w:type="dxa"/>
            <w:tcBorders>
              <w:top w:val="nil"/>
              <w:left w:val="single" w:sz="12" w:space="0" w:color="auto"/>
              <w:bottom w:val="single" w:sz="8" w:space="0" w:color="auto"/>
              <w:right w:val="single" w:sz="8" w:space="0" w:color="auto"/>
            </w:tcBorders>
            <w:shd w:val="clear" w:color="auto" w:fill="auto"/>
            <w:vAlign w:val="center"/>
            <w:hideMark/>
          </w:tcPr>
          <w:p w:rsidR="002F2C41" w:rsidRPr="00507BD2" w:rsidRDefault="002F2C41" w:rsidP="002F2C41">
            <w:pPr>
              <w:pStyle w:val="142"/>
              <w:rPr>
                <w:rFonts w:hAnsi="標楷體" w:hint="eastAsia"/>
                <w:snapToGrid/>
              </w:rPr>
            </w:pPr>
            <w:r w:rsidRPr="00507BD2">
              <w:rPr>
                <w:rFonts w:hAnsi="標楷體" w:hint="eastAsia"/>
                <w:snapToGrid/>
              </w:rPr>
              <w:t>111年</w:t>
            </w:r>
            <w:r w:rsidR="00F413FE">
              <w:rPr>
                <w:rFonts w:hAnsi="標楷體" w:hint="eastAsia"/>
                <w:snapToGrid/>
              </w:rPr>
              <w:t>第1季</w:t>
            </w:r>
            <w:r w:rsidRPr="00507BD2">
              <w:rPr>
                <w:rFonts w:hAnsi="標楷體" w:hint="eastAsia"/>
                <w:snapToGrid/>
              </w:rPr>
              <w:t>底</w:t>
            </w:r>
          </w:p>
        </w:tc>
        <w:tc>
          <w:tcPr>
            <w:tcW w:w="1560" w:type="dxa"/>
            <w:tcBorders>
              <w:top w:val="nil"/>
              <w:left w:val="nil"/>
              <w:bottom w:val="single" w:sz="8" w:space="0" w:color="auto"/>
              <w:right w:val="single" w:sz="8" w:space="0" w:color="auto"/>
            </w:tcBorders>
            <w:shd w:val="clear" w:color="auto" w:fill="auto"/>
            <w:vAlign w:val="center"/>
            <w:hideMark/>
          </w:tcPr>
          <w:p w:rsidR="002F2C41" w:rsidRPr="00507BD2" w:rsidRDefault="002F2C41" w:rsidP="002F2C41">
            <w:pPr>
              <w:pStyle w:val="142"/>
              <w:jc w:val="right"/>
              <w:rPr>
                <w:rFonts w:hAnsi="標楷體" w:hint="eastAsia"/>
                <w:snapToGrid/>
              </w:rPr>
            </w:pPr>
            <w:r w:rsidRPr="00507BD2">
              <w:rPr>
                <w:rFonts w:hAnsi="標楷體" w:hint="eastAsia"/>
                <w:snapToGrid/>
              </w:rPr>
              <w:t>8,961,316</w:t>
            </w:r>
          </w:p>
        </w:tc>
        <w:tc>
          <w:tcPr>
            <w:tcW w:w="1275" w:type="dxa"/>
            <w:tcBorders>
              <w:top w:val="nil"/>
              <w:left w:val="nil"/>
              <w:bottom w:val="single" w:sz="8" w:space="0" w:color="auto"/>
              <w:right w:val="single" w:sz="8" w:space="0" w:color="auto"/>
            </w:tcBorders>
            <w:shd w:val="clear" w:color="auto" w:fill="auto"/>
            <w:vAlign w:val="center"/>
            <w:hideMark/>
          </w:tcPr>
          <w:p w:rsidR="002F2C41" w:rsidRPr="00507BD2" w:rsidRDefault="002F2C41" w:rsidP="002F2C41">
            <w:pPr>
              <w:pStyle w:val="142"/>
              <w:jc w:val="right"/>
              <w:rPr>
                <w:rFonts w:hAnsi="標楷體" w:hint="eastAsia"/>
                <w:snapToGrid/>
              </w:rPr>
            </w:pPr>
            <w:r w:rsidRPr="00507BD2">
              <w:rPr>
                <w:rFonts w:hAnsi="標楷體" w:hint="eastAsia"/>
                <w:snapToGrid/>
              </w:rPr>
              <w:t>9.45</w:t>
            </w:r>
          </w:p>
        </w:tc>
        <w:tc>
          <w:tcPr>
            <w:tcW w:w="1560" w:type="dxa"/>
            <w:tcBorders>
              <w:top w:val="nil"/>
              <w:left w:val="nil"/>
              <w:bottom w:val="single" w:sz="8" w:space="0" w:color="auto"/>
              <w:right w:val="single" w:sz="8" w:space="0" w:color="auto"/>
            </w:tcBorders>
            <w:shd w:val="clear" w:color="auto" w:fill="auto"/>
            <w:vAlign w:val="center"/>
            <w:hideMark/>
          </w:tcPr>
          <w:p w:rsidR="002F2C41" w:rsidRPr="00507BD2" w:rsidRDefault="002F2C41" w:rsidP="002F2C41">
            <w:pPr>
              <w:pStyle w:val="142"/>
              <w:jc w:val="right"/>
              <w:rPr>
                <w:rFonts w:hAnsi="標楷體" w:hint="eastAsia"/>
                <w:snapToGrid/>
              </w:rPr>
            </w:pPr>
            <w:r w:rsidRPr="00507BD2">
              <w:rPr>
                <w:rFonts w:hAnsi="標楷體" w:hint="eastAsia"/>
                <w:snapToGrid/>
              </w:rPr>
              <w:t>2,954,006</w:t>
            </w:r>
          </w:p>
        </w:tc>
        <w:tc>
          <w:tcPr>
            <w:tcW w:w="1275" w:type="dxa"/>
            <w:tcBorders>
              <w:top w:val="nil"/>
              <w:left w:val="nil"/>
              <w:bottom w:val="single" w:sz="8" w:space="0" w:color="auto"/>
              <w:right w:val="single" w:sz="12" w:space="0" w:color="auto"/>
            </w:tcBorders>
            <w:shd w:val="clear" w:color="auto" w:fill="auto"/>
            <w:vAlign w:val="center"/>
            <w:hideMark/>
          </w:tcPr>
          <w:p w:rsidR="002F2C41" w:rsidRPr="00507BD2" w:rsidRDefault="002F2C41" w:rsidP="002F2C41">
            <w:pPr>
              <w:pStyle w:val="142"/>
              <w:jc w:val="right"/>
              <w:rPr>
                <w:rFonts w:hAnsi="標楷體" w:hint="eastAsia"/>
                <w:snapToGrid/>
              </w:rPr>
            </w:pPr>
            <w:r w:rsidRPr="00507BD2">
              <w:rPr>
                <w:rFonts w:hAnsi="標楷體" w:hint="eastAsia"/>
                <w:snapToGrid/>
              </w:rPr>
              <w:t>13.47</w:t>
            </w:r>
          </w:p>
        </w:tc>
      </w:tr>
      <w:tr w:rsidR="002F2C41" w:rsidRPr="00507BD2" w:rsidTr="003829D2">
        <w:trPr>
          <w:trHeight w:val="20"/>
        </w:trPr>
        <w:tc>
          <w:tcPr>
            <w:tcW w:w="2268" w:type="dxa"/>
            <w:tcBorders>
              <w:top w:val="nil"/>
              <w:left w:val="single" w:sz="12" w:space="0" w:color="auto"/>
              <w:bottom w:val="single" w:sz="8" w:space="0" w:color="auto"/>
              <w:right w:val="single" w:sz="8" w:space="0" w:color="auto"/>
            </w:tcBorders>
            <w:shd w:val="clear" w:color="auto" w:fill="auto"/>
            <w:vAlign w:val="center"/>
            <w:hideMark/>
          </w:tcPr>
          <w:p w:rsidR="002F2C41" w:rsidRPr="00507BD2" w:rsidRDefault="002F2C41" w:rsidP="002F2C41">
            <w:pPr>
              <w:pStyle w:val="142"/>
              <w:rPr>
                <w:rFonts w:hAnsi="標楷體" w:hint="eastAsia"/>
                <w:snapToGrid/>
              </w:rPr>
            </w:pPr>
            <w:r w:rsidRPr="00507BD2">
              <w:rPr>
                <w:rFonts w:hAnsi="標楷體" w:hint="eastAsia"/>
                <w:snapToGrid/>
              </w:rPr>
              <w:t>111年</w:t>
            </w:r>
            <w:r w:rsidR="00F413FE">
              <w:rPr>
                <w:rFonts w:hAnsi="標楷體" w:hint="eastAsia"/>
                <w:snapToGrid/>
              </w:rPr>
              <w:t>第2季</w:t>
            </w:r>
            <w:r w:rsidRPr="00507BD2">
              <w:rPr>
                <w:rFonts w:hAnsi="標楷體" w:hint="eastAsia"/>
                <w:snapToGrid/>
              </w:rPr>
              <w:t>底</w:t>
            </w:r>
          </w:p>
        </w:tc>
        <w:tc>
          <w:tcPr>
            <w:tcW w:w="1560" w:type="dxa"/>
            <w:tcBorders>
              <w:top w:val="nil"/>
              <w:left w:val="nil"/>
              <w:bottom w:val="single" w:sz="8" w:space="0" w:color="auto"/>
              <w:right w:val="single" w:sz="8" w:space="0" w:color="auto"/>
            </w:tcBorders>
            <w:shd w:val="clear" w:color="auto" w:fill="auto"/>
            <w:vAlign w:val="center"/>
            <w:hideMark/>
          </w:tcPr>
          <w:p w:rsidR="002F2C41" w:rsidRPr="00507BD2" w:rsidRDefault="002F2C41" w:rsidP="002F2C41">
            <w:pPr>
              <w:pStyle w:val="142"/>
              <w:jc w:val="right"/>
              <w:rPr>
                <w:rFonts w:hAnsi="標楷體" w:hint="eastAsia"/>
                <w:snapToGrid/>
              </w:rPr>
            </w:pPr>
            <w:r w:rsidRPr="00507BD2">
              <w:rPr>
                <w:rFonts w:hAnsi="標楷體" w:hint="eastAsia"/>
                <w:snapToGrid/>
              </w:rPr>
              <w:t>9,140,607</w:t>
            </w:r>
          </w:p>
        </w:tc>
        <w:tc>
          <w:tcPr>
            <w:tcW w:w="1275" w:type="dxa"/>
            <w:tcBorders>
              <w:top w:val="nil"/>
              <w:left w:val="nil"/>
              <w:bottom w:val="single" w:sz="8" w:space="0" w:color="auto"/>
              <w:right w:val="single" w:sz="8" w:space="0" w:color="auto"/>
            </w:tcBorders>
            <w:shd w:val="clear" w:color="auto" w:fill="auto"/>
            <w:vAlign w:val="center"/>
            <w:hideMark/>
          </w:tcPr>
          <w:p w:rsidR="002F2C41" w:rsidRPr="00507BD2" w:rsidRDefault="002F2C41" w:rsidP="002F2C41">
            <w:pPr>
              <w:pStyle w:val="142"/>
              <w:jc w:val="right"/>
              <w:rPr>
                <w:rFonts w:hAnsi="標楷體" w:hint="eastAsia"/>
                <w:snapToGrid/>
              </w:rPr>
            </w:pPr>
            <w:r w:rsidRPr="00507BD2">
              <w:rPr>
                <w:rFonts w:hAnsi="標楷體" w:hint="eastAsia"/>
                <w:snapToGrid/>
              </w:rPr>
              <w:t>8.73</w:t>
            </w:r>
          </w:p>
        </w:tc>
        <w:tc>
          <w:tcPr>
            <w:tcW w:w="1560" w:type="dxa"/>
            <w:tcBorders>
              <w:top w:val="nil"/>
              <w:left w:val="nil"/>
              <w:bottom w:val="single" w:sz="8" w:space="0" w:color="auto"/>
              <w:right w:val="single" w:sz="8" w:space="0" w:color="auto"/>
            </w:tcBorders>
            <w:shd w:val="clear" w:color="auto" w:fill="auto"/>
            <w:vAlign w:val="center"/>
            <w:hideMark/>
          </w:tcPr>
          <w:p w:rsidR="002F2C41" w:rsidRPr="00507BD2" w:rsidRDefault="002F2C41" w:rsidP="002F2C41">
            <w:pPr>
              <w:pStyle w:val="142"/>
              <w:jc w:val="right"/>
              <w:rPr>
                <w:rFonts w:hAnsi="標楷體" w:hint="eastAsia"/>
                <w:snapToGrid/>
              </w:rPr>
            </w:pPr>
            <w:r w:rsidRPr="00507BD2">
              <w:rPr>
                <w:rFonts w:hAnsi="標楷體" w:hint="eastAsia"/>
                <w:snapToGrid/>
              </w:rPr>
              <w:t>3,025,243</w:t>
            </w:r>
          </w:p>
        </w:tc>
        <w:tc>
          <w:tcPr>
            <w:tcW w:w="1275" w:type="dxa"/>
            <w:tcBorders>
              <w:top w:val="nil"/>
              <w:left w:val="nil"/>
              <w:bottom w:val="single" w:sz="8" w:space="0" w:color="auto"/>
              <w:right w:val="single" w:sz="12" w:space="0" w:color="auto"/>
            </w:tcBorders>
            <w:shd w:val="clear" w:color="auto" w:fill="auto"/>
            <w:vAlign w:val="center"/>
            <w:hideMark/>
          </w:tcPr>
          <w:p w:rsidR="002F2C41" w:rsidRPr="00507BD2" w:rsidRDefault="002F2C41" w:rsidP="002F2C41">
            <w:pPr>
              <w:pStyle w:val="142"/>
              <w:jc w:val="right"/>
              <w:rPr>
                <w:rFonts w:hAnsi="標楷體" w:hint="eastAsia"/>
                <w:snapToGrid/>
              </w:rPr>
            </w:pPr>
            <w:r w:rsidRPr="00507BD2">
              <w:rPr>
                <w:rFonts w:hAnsi="標楷體" w:hint="eastAsia"/>
                <w:snapToGrid/>
              </w:rPr>
              <w:t>12.75</w:t>
            </w:r>
          </w:p>
        </w:tc>
      </w:tr>
      <w:tr w:rsidR="002F2C41" w:rsidRPr="00507BD2" w:rsidTr="003829D2">
        <w:trPr>
          <w:trHeight w:val="20"/>
        </w:trPr>
        <w:tc>
          <w:tcPr>
            <w:tcW w:w="2268" w:type="dxa"/>
            <w:tcBorders>
              <w:top w:val="nil"/>
              <w:left w:val="single" w:sz="12" w:space="0" w:color="auto"/>
              <w:bottom w:val="single" w:sz="8" w:space="0" w:color="auto"/>
              <w:right w:val="single" w:sz="8" w:space="0" w:color="auto"/>
            </w:tcBorders>
            <w:shd w:val="clear" w:color="auto" w:fill="auto"/>
            <w:vAlign w:val="center"/>
            <w:hideMark/>
          </w:tcPr>
          <w:p w:rsidR="002F2C41" w:rsidRPr="00507BD2" w:rsidRDefault="002F2C41" w:rsidP="002F2C41">
            <w:pPr>
              <w:pStyle w:val="142"/>
              <w:rPr>
                <w:rFonts w:hAnsi="標楷體" w:hint="eastAsia"/>
                <w:snapToGrid/>
              </w:rPr>
            </w:pPr>
            <w:r w:rsidRPr="00507BD2">
              <w:rPr>
                <w:rFonts w:hAnsi="標楷體" w:hint="eastAsia"/>
                <w:snapToGrid/>
              </w:rPr>
              <w:t>111年</w:t>
            </w:r>
            <w:r w:rsidR="00F413FE">
              <w:rPr>
                <w:rFonts w:hAnsi="標楷體" w:hint="eastAsia"/>
                <w:snapToGrid/>
              </w:rPr>
              <w:t>第3季</w:t>
            </w:r>
            <w:r w:rsidRPr="00507BD2">
              <w:rPr>
                <w:rFonts w:hAnsi="標楷體" w:hint="eastAsia"/>
                <w:snapToGrid/>
              </w:rPr>
              <w:t>底</w:t>
            </w:r>
          </w:p>
        </w:tc>
        <w:tc>
          <w:tcPr>
            <w:tcW w:w="1560" w:type="dxa"/>
            <w:tcBorders>
              <w:top w:val="nil"/>
              <w:left w:val="nil"/>
              <w:bottom w:val="single" w:sz="8" w:space="0" w:color="auto"/>
              <w:right w:val="single" w:sz="8" w:space="0" w:color="auto"/>
            </w:tcBorders>
            <w:shd w:val="clear" w:color="auto" w:fill="auto"/>
            <w:vAlign w:val="center"/>
            <w:hideMark/>
          </w:tcPr>
          <w:p w:rsidR="002F2C41" w:rsidRPr="00507BD2" w:rsidRDefault="002F2C41" w:rsidP="002F2C41">
            <w:pPr>
              <w:pStyle w:val="142"/>
              <w:jc w:val="right"/>
              <w:rPr>
                <w:rFonts w:hAnsi="標楷體" w:hint="eastAsia"/>
                <w:snapToGrid/>
              </w:rPr>
            </w:pPr>
            <w:r w:rsidRPr="00507BD2">
              <w:rPr>
                <w:rFonts w:hAnsi="標楷體" w:hint="eastAsia"/>
                <w:snapToGrid/>
              </w:rPr>
              <w:t>9,242,675</w:t>
            </w:r>
          </w:p>
        </w:tc>
        <w:tc>
          <w:tcPr>
            <w:tcW w:w="1275" w:type="dxa"/>
            <w:tcBorders>
              <w:top w:val="nil"/>
              <w:left w:val="nil"/>
              <w:bottom w:val="single" w:sz="8" w:space="0" w:color="auto"/>
              <w:right w:val="single" w:sz="8" w:space="0" w:color="auto"/>
            </w:tcBorders>
            <w:shd w:val="clear" w:color="auto" w:fill="auto"/>
            <w:vAlign w:val="center"/>
            <w:hideMark/>
          </w:tcPr>
          <w:p w:rsidR="002F2C41" w:rsidRPr="00507BD2" w:rsidRDefault="002F2C41" w:rsidP="002F2C41">
            <w:pPr>
              <w:pStyle w:val="142"/>
              <w:jc w:val="right"/>
              <w:rPr>
                <w:rFonts w:hAnsi="標楷體" w:hint="eastAsia"/>
                <w:snapToGrid/>
              </w:rPr>
            </w:pPr>
            <w:r w:rsidRPr="00507BD2">
              <w:rPr>
                <w:rFonts w:hAnsi="標楷體" w:hint="eastAsia"/>
                <w:snapToGrid/>
              </w:rPr>
              <w:t>8.17</w:t>
            </w:r>
          </w:p>
        </w:tc>
        <w:tc>
          <w:tcPr>
            <w:tcW w:w="1560" w:type="dxa"/>
            <w:tcBorders>
              <w:top w:val="nil"/>
              <w:left w:val="nil"/>
              <w:bottom w:val="single" w:sz="8" w:space="0" w:color="auto"/>
              <w:right w:val="single" w:sz="8" w:space="0" w:color="auto"/>
            </w:tcBorders>
            <w:shd w:val="clear" w:color="auto" w:fill="auto"/>
            <w:vAlign w:val="center"/>
            <w:hideMark/>
          </w:tcPr>
          <w:p w:rsidR="002F2C41" w:rsidRPr="00507BD2" w:rsidRDefault="002F2C41" w:rsidP="002F2C41">
            <w:pPr>
              <w:pStyle w:val="142"/>
              <w:jc w:val="right"/>
              <w:rPr>
                <w:rFonts w:hAnsi="標楷體" w:hint="eastAsia"/>
                <w:snapToGrid/>
              </w:rPr>
            </w:pPr>
            <w:r w:rsidRPr="00507BD2">
              <w:rPr>
                <w:rFonts w:hAnsi="標楷體" w:hint="eastAsia"/>
                <w:snapToGrid/>
              </w:rPr>
              <w:t>3,095,262</w:t>
            </w:r>
          </w:p>
        </w:tc>
        <w:tc>
          <w:tcPr>
            <w:tcW w:w="1275" w:type="dxa"/>
            <w:tcBorders>
              <w:top w:val="nil"/>
              <w:left w:val="nil"/>
              <w:bottom w:val="single" w:sz="8" w:space="0" w:color="auto"/>
              <w:right w:val="single" w:sz="12" w:space="0" w:color="auto"/>
            </w:tcBorders>
            <w:shd w:val="clear" w:color="auto" w:fill="auto"/>
            <w:vAlign w:val="center"/>
            <w:hideMark/>
          </w:tcPr>
          <w:p w:rsidR="002F2C41" w:rsidRPr="00507BD2" w:rsidRDefault="002F2C41" w:rsidP="002F2C41">
            <w:pPr>
              <w:pStyle w:val="142"/>
              <w:jc w:val="right"/>
              <w:rPr>
                <w:rFonts w:hAnsi="標楷體" w:hint="eastAsia"/>
                <w:snapToGrid/>
              </w:rPr>
            </w:pPr>
            <w:r w:rsidRPr="00507BD2">
              <w:rPr>
                <w:rFonts w:hAnsi="標楷體" w:hint="eastAsia"/>
                <w:snapToGrid/>
              </w:rPr>
              <w:t>11.78</w:t>
            </w:r>
          </w:p>
        </w:tc>
      </w:tr>
      <w:tr w:rsidR="002F2C41" w:rsidRPr="00507BD2" w:rsidTr="003829D2">
        <w:trPr>
          <w:trHeight w:val="20"/>
        </w:trPr>
        <w:tc>
          <w:tcPr>
            <w:tcW w:w="2268" w:type="dxa"/>
            <w:tcBorders>
              <w:top w:val="nil"/>
              <w:left w:val="single" w:sz="12" w:space="0" w:color="auto"/>
              <w:bottom w:val="single" w:sz="8" w:space="0" w:color="auto"/>
              <w:right w:val="single" w:sz="8" w:space="0" w:color="auto"/>
            </w:tcBorders>
            <w:shd w:val="clear" w:color="auto" w:fill="auto"/>
            <w:vAlign w:val="center"/>
            <w:hideMark/>
          </w:tcPr>
          <w:p w:rsidR="002F2C41" w:rsidRPr="00507BD2" w:rsidRDefault="002F2C41" w:rsidP="002F2C41">
            <w:pPr>
              <w:pStyle w:val="142"/>
              <w:rPr>
                <w:rFonts w:hAnsi="標楷體" w:hint="eastAsia"/>
                <w:snapToGrid/>
              </w:rPr>
            </w:pPr>
            <w:r w:rsidRPr="00507BD2">
              <w:rPr>
                <w:rFonts w:hAnsi="標楷體" w:hint="eastAsia"/>
                <w:snapToGrid/>
              </w:rPr>
              <w:t>111年底</w:t>
            </w:r>
          </w:p>
        </w:tc>
        <w:tc>
          <w:tcPr>
            <w:tcW w:w="1560" w:type="dxa"/>
            <w:tcBorders>
              <w:top w:val="nil"/>
              <w:left w:val="nil"/>
              <w:bottom w:val="single" w:sz="8" w:space="0" w:color="auto"/>
              <w:right w:val="single" w:sz="8" w:space="0" w:color="auto"/>
            </w:tcBorders>
            <w:shd w:val="clear" w:color="auto" w:fill="auto"/>
            <w:vAlign w:val="center"/>
            <w:hideMark/>
          </w:tcPr>
          <w:p w:rsidR="002F2C41" w:rsidRPr="00507BD2" w:rsidRDefault="002F2C41" w:rsidP="002F2C41">
            <w:pPr>
              <w:pStyle w:val="142"/>
              <w:jc w:val="right"/>
              <w:rPr>
                <w:rFonts w:hAnsi="標楷體" w:hint="eastAsia"/>
                <w:snapToGrid/>
              </w:rPr>
            </w:pPr>
            <w:r w:rsidRPr="00507BD2">
              <w:rPr>
                <w:rFonts w:hAnsi="標楷體" w:hint="eastAsia"/>
                <w:snapToGrid/>
              </w:rPr>
              <w:t>9,377,342</w:t>
            </w:r>
          </w:p>
        </w:tc>
        <w:tc>
          <w:tcPr>
            <w:tcW w:w="1275" w:type="dxa"/>
            <w:tcBorders>
              <w:top w:val="nil"/>
              <w:left w:val="nil"/>
              <w:bottom w:val="single" w:sz="8" w:space="0" w:color="auto"/>
              <w:right w:val="single" w:sz="8" w:space="0" w:color="auto"/>
            </w:tcBorders>
            <w:shd w:val="clear" w:color="auto" w:fill="auto"/>
            <w:vAlign w:val="center"/>
            <w:hideMark/>
          </w:tcPr>
          <w:p w:rsidR="002F2C41" w:rsidRPr="00507BD2" w:rsidRDefault="002F2C41" w:rsidP="002F2C41">
            <w:pPr>
              <w:pStyle w:val="142"/>
              <w:jc w:val="right"/>
              <w:rPr>
                <w:rFonts w:hAnsi="標楷體" w:hint="eastAsia"/>
                <w:snapToGrid/>
              </w:rPr>
            </w:pPr>
            <w:r w:rsidRPr="00507BD2">
              <w:rPr>
                <w:rFonts w:hAnsi="標楷體" w:hint="eastAsia"/>
                <w:snapToGrid/>
              </w:rPr>
              <w:t>6.52</w:t>
            </w:r>
          </w:p>
        </w:tc>
        <w:tc>
          <w:tcPr>
            <w:tcW w:w="1560" w:type="dxa"/>
            <w:tcBorders>
              <w:top w:val="nil"/>
              <w:left w:val="nil"/>
              <w:bottom w:val="single" w:sz="8" w:space="0" w:color="auto"/>
              <w:right w:val="single" w:sz="8" w:space="0" w:color="auto"/>
            </w:tcBorders>
            <w:shd w:val="clear" w:color="auto" w:fill="auto"/>
            <w:vAlign w:val="center"/>
            <w:hideMark/>
          </w:tcPr>
          <w:p w:rsidR="002F2C41" w:rsidRPr="00507BD2" w:rsidRDefault="002F2C41" w:rsidP="002F2C41">
            <w:pPr>
              <w:pStyle w:val="142"/>
              <w:jc w:val="right"/>
              <w:rPr>
                <w:rFonts w:hAnsi="標楷體" w:hint="eastAsia"/>
                <w:snapToGrid/>
              </w:rPr>
            </w:pPr>
            <w:r w:rsidRPr="00507BD2">
              <w:rPr>
                <w:rFonts w:hAnsi="標楷體" w:hint="eastAsia"/>
                <w:snapToGrid/>
              </w:rPr>
              <w:t>3,165,817</w:t>
            </w:r>
          </w:p>
        </w:tc>
        <w:tc>
          <w:tcPr>
            <w:tcW w:w="1275" w:type="dxa"/>
            <w:tcBorders>
              <w:top w:val="nil"/>
              <w:left w:val="nil"/>
              <w:bottom w:val="single" w:sz="8" w:space="0" w:color="auto"/>
              <w:right w:val="single" w:sz="12" w:space="0" w:color="auto"/>
            </w:tcBorders>
            <w:shd w:val="clear" w:color="auto" w:fill="auto"/>
            <w:vAlign w:val="center"/>
            <w:hideMark/>
          </w:tcPr>
          <w:p w:rsidR="002F2C41" w:rsidRPr="00507BD2" w:rsidRDefault="002F2C41" w:rsidP="002F2C41">
            <w:pPr>
              <w:pStyle w:val="142"/>
              <w:jc w:val="right"/>
              <w:rPr>
                <w:rFonts w:hAnsi="標楷體" w:hint="eastAsia"/>
                <w:snapToGrid/>
              </w:rPr>
            </w:pPr>
            <w:r w:rsidRPr="00507BD2">
              <w:rPr>
                <w:rFonts w:hAnsi="標楷體" w:hint="eastAsia"/>
                <w:snapToGrid/>
              </w:rPr>
              <w:t>10.06</w:t>
            </w:r>
          </w:p>
        </w:tc>
      </w:tr>
      <w:tr w:rsidR="002F2C41" w:rsidRPr="00507BD2" w:rsidTr="003829D2">
        <w:trPr>
          <w:trHeight w:val="20"/>
        </w:trPr>
        <w:tc>
          <w:tcPr>
            <w:tcW w:w="2268" w:type="dxa"/>
            <w:tcBorders>
              <w:top w:val="nil"/>
              <w:left w:val="single" w:sz="12" w:space="0" w:color="auto"/>
              <w:bottom w:val="single" w:sz="8" w:space="0" w:color="auto"/>
              <w:right w:val="single" w:sz="8" w:space="0" w:color="auto"/>
            </w:tcBorders>
            <w:shd w:val="clear" w:color="auto" w:fill="auto"/>
            <w:vAlign w:val="center"/>
            <w:hideMark/>
          </w:tcPr>
          <w:p w:rsidR="002F2C41" w:rsidRPr="00507BD2" w:rsidRDefault="002F2C41" w:rsidP="002F2C41">
            <w:pPr>
              <w:pStyle w:val="142"/>
              <w:rPr>
                <w:rFonts w:hAnsi="標楷體" w:hint="eastAsia"/>
                <w:snapToGrid/>
              </w:rPr>
            </w:pPr>
            <w:r w:rsidRPr="00507BD2">
              <w:rPr>
                <w:rFonts w:hAnsi="標楷體" w:hint="eastAsia"/>
                <w:snapToGrid/>
              </w:rPr>
              <w:t>112年</w:t>
            </w:r>
            <w:r w:rsidR="00F413FE">
              <w:rPr>
                <w:rFonts w:hAnsi="標楷體" w:hint="eastAsia"/>
                <w:snapToGrid/>
              </w:rPr>
              <w:t>第1季</w:t>
            </w:r>
            <w:r w:rsidRPr="00507BD2">
              <w:rPr>
                <w:rFonts w:hAnsi="標楷體" w:hint="eastAsia"/>
                <w:snapToGrid/>
              </w:rPr>
              <w:t>底</w:t>
            </w:r>
          </w:p>
        </w:tc>
        <w:tc>
          <w:tcPr>
            <w:tcW w:w="1560" w:type="dxa"/>
            <w:tcBorders>
              <w:top w:val="nil"/>
              <w:left w:val="nil"/>
              <w:bottom w:val="single" w:sz="8" w:space="0" w:color="auto"/>
              <w:right w:val="single" w:sz="8" w:space="0" w:color="auto"/>
            </w:tcBorders>
            <w:shd w:val="clear" w:color="auto" w:fill="auto"/>
            <w:vAlign w:val="center"/>
            <w:hideMark/>
          </w:tcPr>
          <w:p w:rsidR="002F2C41" w:rsidRPr="00507BD2" w:rsidRDefault="002F2C41" w:rsidP="002F2C41">
            <w:pPr>
              <w:pStyle w:val="142"/>
              <w:jc w:val="right"/>
              <w:rPr>
                <w:rFonts w:hAnsi="標楷體" w:hint="eastAsia"/>
                <w:snapToGrid/>
              </w:rPr>
            </w:pPr>
            <w:r w:rsidRPr="00507BD2">
              <w:rPr>
                <w:rFonts w:hAnsi="標楷體" w:hint="eastAsia"/>
                <w:snapToGrid/>
              </w:rPr>
              <w:t>9,414,921</w:t>
            </w:r>
          </w:p>
        </w:tc>
        <w:tc>
          <w:tcPr>
            <w:tcW w:w="1275" w:type="dxa"/>
            <w:tcBorders>
              <w:top w:val="nil"/>
              <w:left w:val="nil"/>
              <w:bottom w:val="single" w:sz="8" w:space="0" w:color="auto"/>
              <w:right w:val="single" w:sz="8" w:space="0" w:color="auto"/>
            </w:tcBorders>
            <w:shd w:val="clear" w:color="auto" w:fill="auto"/>
            <w:vAlign w:val="center"/>
            <w:hideMark/>
          </w:tcPr>
          <w:p w:rsidR="002F2C41" w:rsidRPr="00507BD2" w:rsidRDefault="002F2C41" w:rsidP="002F2C41">
            <w:pPr>
              <w:pStyle w:val="142"/>
              <w:jc w:val="right"/>
              <w:rPr>
                <w:rFonts w:hAnsi="標楷體" w:hint="eastAsia"/>
                <w:snapToGrid/>
              </w:rPr>
            </w:pPr>
            <w:r w:rsidRPr="00507BD2">
              <w:rPr>
                <w:rFonts w:hAnsi="標楷體" w:hint="eastAsia"/>
                <w:snapToGrid/>
              </w:rPr>
              <w:t>5.06</w:t>
            </w:r>
          </w:p>
        </w:tc>
        <w:tc>
          <w:tcPr>
            <w:tcW w:w="1560" w:type="dxa"/>
            <w:tcBorders>
              <w:top w:val="nil"/>
              <w:left w:val="nil"/>
              <w:bottom w:val="single" w:sz="8" w:space="0" w:color="auto"/>
              <w:right w:val="single" w:sz="8" w:space="0" w:color="auto"/>
            </w:tcBorders>
            <w:shd w:val="clear" w:color="auto" w:fill="auto"/>
            <w:vAlign w:val="center"/>
            <w:hideMark/>
          </w:tcPr>
          <w:p w:rsidR="002F2C41" w:rsidRPr="00507BD2" w:rsidRDefault="002F2C41" w:rsidP="002F2C41">
            <w:pPr>
              <w:pStyle w:val="142"/>
              <w:jc w:val="right"/>
              <w:rPr>
                <w:rFonts w:hAnsi="標楷體" w:hint="eastAsia"/>
                <w:snapToGrid/>
              </w:rPr>
            </w:pPr>
            <w:r w:rsidRPr="00507BD2">
              <w:rPr>
                <w:rFonts w:hAnsi="標楷體" w:hint="eastAsia"/>
                <w:snapToGrid/>
              </w:rPr>
              <w:t>3,219,427</w:t>
            </w:r>
          </w:p>
        </w:tc>
        <w:tc>
          <w:tcPr>
            <w:tcW w:w="1275" w:type="dxa"/>
            <w:tcBorders>
              <w:top w:val="nil"/>
              <w:left w:val="nil"/>
              <w:bottom w:val="single" w:sz="8" w:space="0" w:color="auto"/>
              <w:right w:val="single" w:sz="12" w:space="0" w:color="auto"/>
            </w:tcBorders>
            <w:shd w:val="clear" w:color="auto" w:fill="auto"/>
            <w:vAlign w:val="center"/>
            <w:hideMark/>
          </w:tcPr>
          <w:p w:rsidR="002F2C41" w:rsidRPr="00507BD2" w:rsidRDefault="002F2C41" w:rsidP="002F2C41">
            <w:pPr>
              <w:pStyle w:val="142"/>
              <w:jc w:val="right"/>
              <w:rPr>
                <w:rFonts w:hAnsi="標楷體" w:hint="eastAsia"/>
                <w:snapToGrid/>
              </w:rPr>
            </w:pPr>
            <w:r w:rsidRPr="00507BD2">
              <w:rPr>
                <w:rFonts w:hAnsi="標楷體" w:hint="eastAsia"/>
                <w:snapToGrid/>
              </w:rPr>
              <w:t>8.99</w:t>
            </w:r>
          </w:p>
        </w:tc>
      </w:tr>
      <w:tr w:rsidR="002F2C41" w:rsidRPr="00507BD2" w:rsidTr="003829D2">
        <w:trPr>
          <w:trHeight w:val="20"/>
        </w:trPr>
        <w:tc>
          <w:tcPr>
            <w:tcW w:w="2268" w:type="dxa"/>
            <w:tcBorders>
              <w:top w:val="nil"/>
              <w:left w:val="single" w:sz="12" w:space="0" w:color="auto"/>
              <w:bottom w:val="single" w:sz="8" w:space="0" w:color="auto"/>
              <w:right w:val="single" w:sz="8" w:space="0" w:color="auto"/>
            </w:tcBorders>
            <w:shd w:val="clear" w:color="auto" w:fill="auto"/>
            <w:vAlign w:val="center"/>
            <w:hideMark/>
          </w:tcPr>
          <w:p w:rsidR="002F2C41" w:rsidRPr="00507BD2" w:rsidRDefault="002F2C41" w:rsidP="002F2C41">
            <w:pPr>
              <w:pStyle w:val="142"/>
              <w:rPr>
                <w:rFonts w:hAnsi="標楷體" w:hint="eastAsia"/>
                <w:snapToGrid/>
              </w:rPr>
            </w:pPr>
            <w:r w:rsidRPr="00507BD2">
              <w:rPr>
                <w:rFonts w:hAnsi="標楷體" w:hint="eastAsia"/>
                <w:snapToGrid/>
              </w:rPr>
              <w:t>112年</w:t>
            </w:r>
            <w:r w:rsidR="00F413FE">
              <w:rPr>
                <w:rFonts w:hAnsi="標楷體" w:hint="eastAsia"/>
                <w:snapToGrid/>
              </w:rPr>
              <w:t>第2季</w:t>
            </w:r>
            <w:r w:rsidRPr="00507BD2">
              <w:rPr>
                <w:rFonts w:hAnsi="標楷體" w:hint="eastAsia"/>
                <w:snapToGrid/>
              </w:rPr>
              <w:t>底</w:t>
            </w:r>
          </w:p>
        </w:tc>
        <w:tc>
          <w:tcPr>
            <w:tcW w:w="1560" w:type="dxa"/>
            <w:tcBorders>
              <w:top w:val="nil"/>
              <w:left w:val="nil"/>
              <w:bottom w:val="single" w:sz="8" w:space="0" w:color="auto"/>
              <w:right w:val="single" w:sz="8" w:space="0" w:color="auto"/>
            </w:tcBorders>
            <w:shd w:val="clear" w:color="auto" w:fill="auto"/>
            <w:vAlign w:val="center"/>
            <w:hideMark/>
          </w:tcPr>
          <w:p w:rsidR="002F2C41" w:rsidRPr="00507BD2" w:rsidRDefault="002F2C41" w:rsidP="002F2C41">
            <w:pPr>
              <w:pStyle w:val="142"/>
              <w:jc w:val="right"/>
              <w:rPr>
                <w:rFonts w:hAnsi="標楷體" w:hint="eastAsia"/>
                <w:snapToGrid/>
              </w:rPr>
            </w:pPr>
            <w:r w:rsidRPr="00507BD2">
              <w:rPr>
                <w:rFonts w:hAnsi="標楷體" w:hint="eastAsia"/>
                <w:snapToGrid/>
              </w:rPr>
              <w:t>9,563,803</w:t>
            </w:r>
          </w:p>
        </w:tc>
        <w:tc>
          <w:tcPr>
            <w:tcW w:w="1275" w:type="dxa"/>
            <w:tcBorders>
              <w:top w:val="nil"/>
              <w:left w:val="nil"/>
              <w:bottom w:val="single" w:sz="8" w:space="0" w:color="auto"/>
              <w:right w:val="single" w:sz="8" w:space="0" w:color="auto"/>
            </w:tcBorders>
            <w:shd w:val="clear" w:color="auto" w:fill="auto"/>
            <w:vAlign w:val="center"/>
            <w:hideMark/>
          </w:tcPr>
          <w:p w:rsidR="002F2C41" w:rsidRPr="00507BD2" w:rsidRDefault="002F2C41" w:rsidP="002F2C41">
            <w:pPr>
              <w:pStyle w:val="142"/>
              <w:jc w:val="right"/>
              <w:rPr>
                <w:rFonts w:hAnsi="標楷體" w:hint="eastAsia"/>
                <w:snapToGrid/>
              </w:rPr>
            </w:pPr>
            <w:r w:rsidRPr="00507BD2">
              <w:rPr>
                <w:rFonts w:hAnsi="標楷體" w:hint="eastAsia"/>
                <w:snapToGrid/>
              </w:rPr>
              <w:t>4.63</w:t>
            </w:r>
          </w:p>
        </w:tc>
        <w:tc>
          <w:tcPr>
            <w:tcW w:w="1560" w:type="dxa"/>
            <w:tcBorders>
              <w:top w:val="nil"/>
              <w:left w:val="nil"/>
              <w:bottom w:val="single" w:sz="8" w:space="0" w:color="auto"/>
              <w:right w:val="single" w:sz="8" w:space="0" w:color="auto"/>
            </w:tcBorders>
            <w:shd w:val="clear" w:color="auto" w:fill="auto"/>
            <w:vAlign w:val="center"/>
            <w:hideMark/>
          </w:tcPr>
          <w:p w:rsidR="002F2C41" w:rsidRPr="00507BD2" w:rsidRDefault="002F2C41" w:rsidP="002F2C41">
            <w:pPr>
              <w:pStyle w:val="142"/>
              <w:jc w:val="right"/>
              <w:rPr>
                <w:rFonts w:hAnsi="標楷體" w:hint="eastAsia"/>
                <w:snapToGrid/>
              </w:rPr>
            </w:pPr>
            <w:r w:rsidRPr="00507BD2">
              <w:rPr>
                <w:rFonts w:hAnsi="標楷體" w:hint="eastAsia"/>
                <w:snapToGrid/>
              </w:rPr>
              <w:t>3,275,573</w:t>
            </w:r>
          </w:p>
        </w:tc>
        <w:tc>
          <w:tcPr>
            <w:tcW w:w="1275" w:type="dxa"/>
            <w:tcBorders>
              <w:top w:val="nil"/>
              <w:left w:val="nil"/>
              <w:bottom w:val="single" w:sz="8" w:space="0" w:color="auto"/>
              <w:right w:val="single" w:sz="12" w:space="0" w:color="auto"/>
            </w:tcBorders>
            <w:shd w:val="clear" w:color="auto" w:fill="auto"/>
            <w:vAlign w:val="center"/>
            <w:hideMark/>
          </w:tcPr>
          <w:p w:rsidR="002F2C41" w:rsidRPr="00507BD2" w:rsidRDefault="002F2C41" w:rsidP="002F2C41">
            <w:pPr>
              <w:pStyle w:val="142"/>
              <w:jc w:val="right"/>
              <w:rPr>
                <w:rFonts w:hAnsi="標楷體" w:hint="eastAsia"/>
                <w:snapToGrid/>
              </w:rPr>
            </w:pPr>
            <w:r w:rsidRPr="00507BD2">
              <w:rPr>
                <w:rFonts w:hAnsi="標楷體" w:hint="eastAsia"/>
                <w:snapToGrid/>
              </w:rPr>
              <w:t>8.27</w:t>
            </w:r>
          </w:p>
        </w:tc>
      </w:tr>
      <w:tr w:rsidR="002F2C41" w:rsidRPr="00507BD2" w:rsidTr="003829D2">
        <w:trPr>
          <w:trHeight w:val="20"/>
        </w:trPr>
        <w:tc>
          <w:tcPr>
            <w:tcW w:w="2268" w:type="dxa"/>
            <w:tcBorders>
              <w:top w:val="nil"/>
              <w:left w:val="single" w:sz="12" w:space="0" w:color="auto"/>
              <w:bottom w:val="single" w:sz="8" w:space="0" w:color="auto"/>
              <w:right w:val="single" w:sz="8" w:space="0" w:color="auto"/>
            </w:tcBorders>
            <w:shd w:val="clear" w:color="auto" w:fill="auto"/>
            <w:vAlign w:val="center"/>
            <w:hideMark/>
          </w:tcPr>
          <w:p w:rsidR="002F2C41" w:rsidRPr="00507BD2" w:rsidRDefault="002F2C41" w:rsidP="002F2C41">
            <w:pPr>
              <w:pStyle w:val="142"/>
              <w:rPr>
                <w:rFonts w:hAnsi="標楷體" w:hint="eastAsia"/>
                <w:snapToGrid/>
              </w:rPr>
            </w:pPr>
            <w:r w:rsidRPr="00507BD2">
              <w:rPr>
                <w:rFonts w:hAnsi="標楷體" w:hint="eastAsia"/>
                <w:snapToGrid/>
              </w:rPr>
              <w:t>112年</w:t>
            </w:r>
            <w:r w:rsidR="00F413FE">
              <w:rPr>
                <w:rFonts w:hAnsi="標楷體" w:hint="eastAsia"/>
                <w:snapToGrid/>
              </w:rPr>
              <w:t>第3季</w:t>
            </w:r>
            <w:r w:rsidRPr="00507BD2">
              <w:rPr>
                <w:rFonts w:hAnsi="標楷體" w:hint="eastAsia"/>
                <w:snapToGrid/>
              </w:rPr>
              <w:t>底</w:t>
            </w:r>
          </w:p>
        </w:tc>
        <w:tc>
          <w:tcPr>
            <w:tcW w:w="1560" w:type="dxa"/>
            <w:tcBorders>
              <w:top w:val="nil"/>
              <w:left w:val="nil"/>
              <w:bottom w:val="single" w:sz="8" w:space="0" w:color="auto"/>
              <w:right w:val="single" w:sz="8" w:space="0" w:color="auto"/>
            </w:tcBorders>
            <w:shd w:val="clear" w:color="auto" w:fill="auto"/>
            <w:vAlign w:val="center"/>
            <w:hideMark/>
          </w:tcPr>
          <w:p w:rsidR="002F2C41" w:rsidRPr="00507BD2" w:rsidRDefault="002F2C41" w:rsidP="002F2C41">
            <w:pPr>
              <w:pStyle w:val="142"/>
              <w:jc w:val="right"/>
              <w:rPr>
                <w:rFonts w:hAnsi="標楷體" w:hint="eastAsia"/>
                <w:snapToGrid/>
              </w:rPr>
            </w:pPr>
            <w:r w:rsidRPr="00507BD2">
              <w:rPr>
                <w:rFonts w:hAnsi="標楷體" w:hint="eastAsia"/>
                <w:snapToGrid/>
              </w:rPr>
              <w:t>9,760,782</w:t>
            </w:r>
          </w:p>
        </w:tc>
        <w:tc>
          <w:tcPr>
            <w:tcW w:w="1275" w:type="dxa"/>
            <w:tcBorders>
              <w:top w:val="nil"/>
              <w:left w:val="nil"/>
              <w:bottom w:val="single" w:sz="8" w:space="0" w:color="auto"/>
              <w:right w:val="single" w:sz="8" w:space="0" w:color="auto"/>
            </w:tcBorders>
            <w:shd w:val="clear" w:color="auto" w:fill="auto"/>
            <w:vAlign w:val="center"/>
            <w:hideMark/>
          </w:tcPr>
          <w:p w:rsidR="002F2C41" w:rsidRPr="00507BD2" w:rsidRDefault="002F2C41" w:rsidP="002F2C41">
            <w:pPr>
              <w:pStyle w:val="142"/>
              <w:jc w:val="right"/>
              <w:rPr>
                <w:rFonts w:hAnsi="標楷體" w:hint="eastAsia"/>
                <w:snapToGrid/>
              </w:rPr>
            </w:pPr>
            <w:r w:rsidRPr="00507BD2">
              <w:rPr>
                <w:rFonts w:hAnsi="標楷體" w:hint="eastAsia"/>
                <w:snapToGrid/>
              </w:rPr>
              <w:t>5.61</w:t>
            </w:r>
          </w:p>
        </w:tc>
        <w:tc>
          <w:tcPr>
            <w:tcW w:w="1560" w:type="dxa"/>
            <w:tcBorders>
              <w:top w:val="nil"/>
              <w:left w:val="nil"/>
              <w:bottom w:val="single" w:sz="8" w:space="0" w:color="auto"/>
              <w:right w:val="single" w:sz="8" w:space="0" w:color="auto"/>
            </w:tcBorders>
            <w:shd w:val="clear" w:color="auto" w:fill="auto"/>
            <w:vAlign w:val="center"/>
            <w:hideMark/>
          </w:tcPr>
          <w:p w:rsidR="002F2C41" w:rsidRPr="00507BD2" w:rsidRDefault="002F2C41" w:rsidP="002F2C41">
            <w:pPr>
              <w:pStyle w:val="142"/>
              <w:jc w:val="right"/>
              <w:rPr>
                <w:rFonts w:hAnsi="標楷體" w:hint="eastAsia"/>
                <w:snapToGrid/>
              </w:rPr>
            </w:pPr>
            <w:r w:rsidRPr="00507BD2">
              <w:rPr>
                <w:rFonts w:hAnsi="標楷體" w:hint="eastAsia"/>
                <w:snapToGrid/>
              </w:rPr>
              <w:t>3,304,148</w:t>
            </w:r>
          </w:p>
        </w:tc>
        <w:tc>
          <w:tcPr>
            <w:tcW w:w="1275" w:type="dxa"/>
            <w:tcBorders>
              <w:top w:val="nil"/>
              <w:left w:val="nil"/>
              <w:bottom w:val="single" w:sz="8" w:space="0" w:color="auto"/>
              <w:right w:val="single" w:sz="12" w:space="0" w:color="auto"/>
            </w:tcBorders>
            <w:shd w:val="clear" w:color="auto" w:fill="auto"/>
            <w:vAlign w:val="center"/>
            <w:hideMark/>
          </w:tcPr>
          <w:p w:rsidR="002F2C41" w:rsidRPr="00507BD2" w:rsidRDefault="002F2C41" w:rsidP="002F2C41">
            <w:pPr>
              <w:pStyle w:val="142"/>
              <w:jc w:val="right"/>
              <w:rPr>
                <w:rFonts w:hAnsi="標楷體" w:hint="eastAsia"/>
                <w:snapToGrid/>
              </w:rPr>
            </w:pPr>
            <w:r w:rsidRPr="00507BD2">
              <w:rPr>
                <w:rFonts w:hAnsi="標楷體" w:hint="eastAsia"/>
                <w:snapToGrid/>
              </w:rPr>
              <w:t>6.75</w:t>
            </w:r>
          </w:p>
        </w:tc>
      </w:tr>
      <w:tr w:rsidR="002F2C41" w:rsidRPr="00507BD2" w:rsidTr="003829D2">
        <w:trPr>
          <w:trHeight w:val="20"/>
        </w:trPr>
        <w:tc>
          <w:tcPr>
            <w:tcW w:w="2268" w:type="dxa"/>
            <w:tcBorders>
              <w:top w:val="nil"/>
              <w:left w:val="single" w:sz="12" w:space="0" w:color="auto"/>
              <w:bottom w:val="single" w:sz="8" w:space="0" w:color="auto"/>
              <w:right w:val="single" w:sz="8" w:space="0" w:color="auto"/>
            </w:tcBorders>
            <w:shd w:val="clear" w:color="auto" w:fill="auto"/>
            <w:vAlign w:val="center"/>
            <w:hideMark/>
          </w:tcPr>
          <w:p w:rsidR="002F2C41" w:rsidRPr="00507BD2" w:rsidRDefault="002F2C41" w:rsidP="002F2C41">
            <w:pPr>
              <w:pStyle w:val="142"/>
              <w:rPr>
                <w:rFonts w:hAnsi="標楷體" w:hint="eastAsia"/>
                <w:snapToGrid/>
              </w:rPr>
            </w:pPr>
            <w:r w:rsidRPr="00507BD2">
              <w:rPr>
                <w:rFonts w:hAnsi="標楷體" w:hint="eastAsia"/>
                <w:snapToGrid/>
              </w:rPr>
              <w:t>112年底</w:t>
            </w:r>
          </w:p>
        </w:tc>
        <w:tc>
          <w:tcPr>
            <w:tcW w:w="1560" w:type="dxa"/>
            <w:tcBorders>
              <w:top w:val="nil"/>
              <w:left w:val="nil"/>
              <w:bottom w:val="single" w:sz="8" w:space="0" w:color="auto"/>
              <w:right w:val="single" w:sz="8" w:space="0" w:color="auto"/>
            </w:tcBorders>
            <w:shd w:val="clear" w:color="auto" w:fill="auto"/>
            <w:vAlign w:val="center"/>
            <w:hideMark/>
          </w:tcPr>
          <w:p w:rsidR="002F2C41" w:rsidRPr="00507BD2" w:rsidRDefault="002F2C41" w:rsidP="002F2C41">
            <w:pPr>
              <w:pStyle w:val="142"/>
              <w:jc w:val="right"/>
              <w:rPr>
                <w:rFonts w:hAnsi="標楷體" w:hint="eastAsia"/>
                <w:snapToGrid/>
              </w:rPr>
            </w:pPr>
            <w:r w:rsidRPr="00507BD2">
              <w:rPr>
                <w:rFonts w:hAnsi="標楷體" w:hint="eastAsia"/>
                <w:snapToGrid/>
              </w:rPr>
              <w:t>10,037,686</w:t>
            </w:r>
          </w:p>
        </w:tc>
        <w:tc>
          <w:tcPr>
            <w:tcW w:w="1275" w:type="dxa"/>
            <w:tcBorders>
              <w:top w:val="nil"/>
              <w:left w:val="nil"/>
              <w:bottom w:val="single" w:sz="8" w:space="0" w:color="auto"/>
              <w:right w:val="single" w:sz="8" w:space="0" w:color="auto"/>
            </w:tcBorders>
            <w:shd w:val="clear" w:color="auto" w:fill="auto"/>
            <w:vAlign w:val="center"/>
            <w:hideMark/>
          </w:tcPr>
          <w:p w:rsidR="002F2C41" w:rsidRPr="00507BD2" w:rsidRDefault="002F2C41" w:rsidP="002F2C41">
            <w:pPr>
              <w:pStyle w:val="142"/>
              <w:jc w:val="right"/>
              <w:rPr>
                <w:rFonts w:hAnsi="標楷體" w:hint="eastAsia"/>
                <w:snapToGrid/>
              </w:rPr>
            </w:pPr>
            <w:r w:rsidRPr="00507BD2">
              <w:rPr>
                <w:rFonts w:hAnsi="標楷體" w:hint="eastAsia"/>
                <w:snapToGrid/>
              </w:rPr>
              <w:t>7.04</w:t>
            </w:r>
          </w:p>
        </w:tc>
        <w:tc>
          <w:tcPr>
            <w:tcW w:w="1560" w:type="dxa"/>
            <w:tcBorders>
              <w:top w:val="nil"/>
              <w:left w:val="nil"/>
              <w:bottom w:val="single" w:sz="8" w:space="0" w:color="auto"/>
              <w:right w:val="single" w:sz="8" w:space="0" w:color="auto"/>
            </w:tcBorders>
            <w:shd w:val="clear" w:color="auto" w:fill="auto"/>
            <w:vAlign w:val="center"/>
            <w:hideMark/>
          </w:tcPr>
          <w:p w:rsidR="002F2C41" w:rsidRPr="00507BD2" w:rsidRDefault="002F2C41" w:rsidP="002F2C41">
            <w:pPr>
              <w:pStyle w:val="142"/>
              <w:jc w:val="right"/>
              <w:rPr>
                <w:rFonts w:hAnsi="標楷體" w:hint="eastAsia"/>
                <w:snapToGrid/>
              </w:rPr>
            </w:pPr>
            <w:r w:rsidRPr="00507BD2">
              <w:rPr>
                <w:rFonts w:hAnsi="標楷體" w:hint="eastAsia"/>
                <w:snapToGrid/>
              </w:rPr>
              <w:t>3,295,366</w:t>
            </w:r>
          </w:p>
        </w:tc>
        <w:tc>
          <w:tcPr>
            <w:tcW w:w="1275" w:type="dxa"/>
            <w:tcBorders>
              <w:top w:val="nil"/>
              <w:left w:val="nil"/>
              <w:bottom w:val="single" w:sz="8" w:space="0" w:color="auto"/>
              <w:right w:val="single" w:sz="12" w:space="0" w:color="auto"/>
            </w:tcBorders>
            <w:shd w:val="clear" w:color="auto" w:fill="auto"/>
            <w:vAlign w:val="center"/>
            <w:hideMark/>
          </w:tcPr>
          <w:p w:rsidR="002F2C41" w:rsidRPr="00507BD2" w:rsidRDefault="002F2C41" w:rsidP="002F2C41">
            <w:pPr>
              <w:pStyle w:val="142"/>
              <w:jc w:val="right"/>
              <w:rPr>
                <w:rFonts w:hAnsi="標楷體" w:hint="eastAsia"/>
                <w:snapToGrid/>
              </w:rPr>
            </w:pPr>
            <w:r w:rsidRPr="00507BD2">
              <w:rPr>
                <w:rFonts w:hAnsi="標楷體" w:hint="eastAsia"/>
                <w:snapToGrid/>
              </w:rPr>
              <w:t>4.09</w:t>
            </w:r>
          </w:p>
        </w:tc>
      </w:tr>
      <w:tr w:rsidR="002F2C41" w:rsidRPr="00507BD2" w:rsidTr="003829D2">
        <w:trPr>
          <w:trHeight w:val="20"/>
        </w:trPr>
        <w:tc>
          <w:tcPr>
            <w:tcW w:w="2268" w:type="dxa"/>
            <w:tcBorders>
              <w:top w:val="nil"/>
              <w:left w:val="single" w:sz="12" w:space="0" w:color="auto"/>
              <w:bottom w:val="single" w:sz="8" w:space="0" w:color="auto"/>
              <w:right w:val="single" w:sz="8" w:space="0" w:color="auto"/>
            </w:tcBorders>
            <w:shd w:val="clear" w:color="auto" w:fill="auto"/>
            <w:vAlign w:val="center"/>
            <w:hideMark/>
          </w:tcPr>
          <w:p w:rsidR="002F2C41" w:rsidRPr="00507BD2" w:rsidRDefault="002F2C41" w:rsidP="002F2C41">
            <w:pPr>
              <w:pStyle w:val="142"/>
              <w:rPr>
                <w:rFonts w:hAnsi="標楷體" w:hint="eastAsia"/>
                <w:snapToGrid/>
              </w:rPr>
            </w:pPr>
            <w:r w:rsidRPr="00507BD2">
              <w:rPr>
                <w:rFonts w:hAnsi="標楷體" w:hint="eastAsia"/>
                <w:snapToGrid/>
              </w:rPr>
              <w:t>113年</w:t>
            </w:r>
            <w:r w:rsidR="00F413FE">
              <w:rPr>
                <w:rFonts w:hAnsi="標楷體" w:hint="eastAsia"/>
                <w:snapToGrid/>
              </w:rPr>
              <w:t>第1季</w:t>
            </w:r>
            <w:r w:rsidRPr="00507BD2">
              <w:rPr>
                <w:rFonts w:hAnsi="標楷體" w:hint="eastAsia"/>
                <w:snapToGrid/>
              </w:rPr>
              <w:t>底</w:t>
            </w:r>
          </w:p>
        </w:tc>
        <w:tc>
          <w:tcPr>
            <w:tcW w:w="1560" w:type="dxa"/>
            <w:tcBorders>
              <w:top w:val="nil"/>
              <w:left w:val="nil"/>
              <w:bottom w:val="single" w:sz="8" w:space="0" w:color="auto"/>
              <w:right w:val="single" w:sz="8" w:space="0" w:color="auto"/>
            </w:tcBorders>
            <w:shd w:val="clear" w:color="auto" w:fill="auto"/>
            <w:vAlign w:val="center"/>
            <w:hideMark/>
          </w:tcPr>
          <w:p w:rsidR="002F2C41" w:rsidRPr="00507BD2" w:rsidRDefault="002F2C41" w:rsidP="002F2C41">
            <w:pPr>
              <w:pStyle w:val="142"/>
              <w:jc w:val="right"/>
              <w:rPr>
                <w:rFonts w:hAnsi="標楷體" w:hint="eastAsia"/>
                <w:snapToGrid/>
              </w:rPr>
            </w:pPr>
            <w:r w:rsidRPr="00507BD2">
              <w:rPr>
                <w:rFonts w:hAnsi="標楷體" w:hint="eastAsia"/>
                <w:snapToGrid/>
              </w:rPr>
              <w:t>10,220,252</w:t>
            </w:r>
          </w:p>
        </w:tc>
        <w:tc>
          <w:tcPr>
            <w:tcW w:w="1275" w:type="dxa"/>
            <w:tcBorders>
              <w:top w:val="nil"/>
              <w:left w:val="nil"/>
              <w:bottom w:val="single" w:sz="8" w:space="0" w:color="auto"/>
              <w:right w:val="single" w:sz="8" w:space="0" w:color="auto"/>
            </w:tcBorders>
            <w:shd w:val="clear" w:color="auto" w:fill="auto"/>
            <w:vAlign w:val="center"/>
            <w:hideMark/>
          </w:tcPr>
          <w:p w:rsidR="002F2C41" w:rsidRPr="00507BD2" w:rsidRDefault="002F2C41" w:rsidP="002F2C41">
            <w:pPr>
              <w:pStyle w:val="142"/>
              <w:jc w:val="right"/>
              <w:rPr>
                <w:rFonts w:hAnsi="標楷體" w:hint="eastAsia"/>
                <w:b/>
                <w:snapToGrid/>
              </w:rPr>
            </w:pPr>
            <w:r w:rsidRPr="00507BD2">
              <w:rPr>
                <w:rFonts w:hAnsi="標楷體" w:hint="eastAsia"/>
                <w:b/>
                <w:snapToGrid/>
              </w:rPr>
              <w:t>8.55</w:t>
            </w:r>
          </w:p>
        </w:tc>
        <w:tc>
          <w:tcPr>
            <w:tcW w:w="1560" w:type="dxa"/>
            <w:tcBorders>
              <w:top w:val="nil"/>
              <w:left w:val="nil"/>
              <w:bottom w:val="single" w:sz="8" w:space="0" w:color="auto"/>
              <w:right w:val="single" w:sz="8" w:space="0" w:color="auto"/>
            </w:tcBorders>
            <w:shd w:val="clear" w:color="auto" w:fill="auto"/>
            <w:vAlign w:val="center"/>
            <w:hideMark/>
          </w:tcPr>
          <w:p w:rsidR="002F2C41" w:rsidRPr="00507BD2" w:rsidRDefault="002F2C41" w:rsidP="002F2C41">
            <w:pPr>
              <w:pStyle w:val="142"/>
              <w:jc w:val="right"/>
              <w:rPr>
                <w:rFonts w:hAnsi="標楷體" w:hint="eastAsia"/>
                <w:snapToGrid/>
              </w:rPr>
            </w:pPr>
            <w:r w:rsidRPr="00507BD2">
              <w:rPr>
                <w:rFonts w:hAnsi="標楷體" w:hint="eastAsia"/>
                <w:snapToGrid/>
              </w:rPr>
              <w:t>3,331,754</w:t>
            </w:r>
          </w:p>
        </w:tc>
        <w:tc>
          <w:tcPr>
            <w:tcW w:w="1275" w:type="dxa"/>
            <w:tcBorders>
              <w:top w:val="nil"/>
              <w:left w:val="nil"/>
              <w:bottom w:val="single" w:sz="8" w:space="0" w:color="auto"/>
              <w:right w:val="single" w:sz="12" w:space="0" w:color="auto"/>
            </w:tcBorders>
            <w:shd w:val="clear" w:color="auto" w:fill="auto"/>
            <w:vAlign w:val="center"/>
            <w:hideMark/>
          </w:tcPr>
          <w:p w:rsidR="002F2C41" w:rsidRPr="00507BD2" w:rsidRDefault="002F2C41" w:rsidP="002F2C41">
            <w:pPr>
              <w:pStyle w:val="142"/>
              <w:jc w:val="right"/>
              <w:rPr>
                <w:rFonts w:hAnsi="標楷體" w:hint="eastAsia"/>
                <w:snapToGrid/>
              </w:rPr>
            </w:pPr>
            <w:r w:rsidRPr="00507BD2">
              <w:rPr>
                <w:rFonts w:hAnsi="標楷體" w:hint="eastAsia"/>
                <w:snapToGrid/>
              </w:rPr>
              <w:t>3.49</w:t>
            </w:r>
          </w:p>
        </w:tc>
      </w:tr>
      <w:tr w:rsidR="002F2C41" w:rsidRPr="00507BD2" w:rsidTr="003829D2">
        <w:trPr>
          <w:trHeight w:val="20"/>
        </w:trPr>
        <w:tc>
          <w:tcPr>
            <w:tcW w:w="2268" w:type="dxa"/>
            <w:tcBorders>
              <w:top w:val="nil"/>
              <w:left w:val="single" w:sz="12" w:space="0" w:color="auto"/>
              <w:bottom w:val="single" w:sz="8" w:space="0" w:color="auto"/>
              <w:right w:val="single" w:sz="8" w:space="0" w:color="auto"/>
            </w:tcBorders>
            <w:shd w:val="clear" w:color="auto" w:fill="auto"/>
            <w:vAlign w:val="center"/>
            <w:hideMark/>
          </w:tcPr>
          <w:p w:rsidR="002F2C41" w:rsidRPr="00507BD2" w:rsidRDefault="002F2C41" w:rsidP="002F2C41">
            <w:pPr>
              <w:pStyle w:val="142"/>
              <w:rPr>
                <w:rFonts w:hAnsi="標楷體" w:hint="eastAsia"/>
                <w:snapToGrid/>
              </w:rPr>
            </w:pPr>
            <w:r w:rsidRPr="00507BD2">
              <w:rPr>
                <w:rFonts w:hAnsi="標楷體" w:hint="eastAsia"/>
                <w:snapToGrid/>
              </w:rPr>
              <w:t>113年</w:t>
            </w:r>
            <w:r w:rsidR="00F413FE">
              <w:rPr>
                <w:rFonts w:hAnsi="標楷體" w:hint="eastAsia"/>
                <w:snapToGrid/>
              </w:rPr>
              <w:t>第2季</w:t>
            </w:r>
            <w:r w:rsidRPr="00507BD2">
              <w:rPr>
                <w:rFonts w:hAnsi="標楷體" w:hint="eastAsia"/>
                <w:snapToGrid/>
              </w:rPr>
              <w:t>底</w:t>
            </w:r>
          </w:p>
        </w:tc>
        <w:tc>
          <w:tcPr>
            <w:tcW w:w="1560" w:type="dxa"/>
            <w:tcBorders>
              <w:top w:val="nil"/>
              <w:left w:val="nil"/>
              <w:bottom w:val="single" w:sz="8" w:space="0" w:color="auto"/>
              <w:right w:val="single" w:sz="8" w:space="0" w:color="auto"/>
            </w:tcBorders>
            <w:shd w:val="clear" w:color="auto" w:fill="auto"/>
            <w:vAlign w:val="center"/>
            <w:hideMark/>
          </w:tcPr>
          <w:p w:rsidR="002F2C41" w:rsidRPr="00507BD2" w:rsidRDefault="002F2C41" w:rsidP="002F2C41">
            <w:pPr>
              <w:pStyle w:val="142"/>
              <w:jc w:val="right"/>
              <w:rPr>
                <w:rFonts w:hAnsi="標楷體" w:hint="eastAsia"/>
                <w:snapToGrid/>
              </w:rPr>
            </w:pPr>
            <w:r w:rsidRPr="00507BD2">
              <w:rPr>
                <w:rFonts w:hAnsi="標楷體" w:hint="eastAsia"/>
                <w:snapToGrid/>
              </w:rPr>
              <w:t>10,540,479</w:t>
            </w:r>
          </w:p>
        </w:tc>
        <w:tc>
          <w:tcPr>
            <w:tcW w:w="1275" w:type="dxa"/>
            <w:tcBorders>
              <w:top w:val="nil"/>
              <w:left w:val="nil"/>
              <w:bottom w:val="single" w:sz="8" w:space="0" w:color="auto"/>
              <w:right w:val="single" w:sz="8" w:space="0" w:color="auto"/>
            </w:tcBorders>
            <w:shd w:val="clear" w:color="auto" w:fill="auto"/>
            <w:vAlign w:val="center"/>
            <w:hideMark/>
          </w:tcPr>
          <w:p w:rsidR="002F2C41" w:rsidRPr="00507BD2" w:rsidRDefault="002F2C41" w:rsidP="002F2C41">
            <w:pPr>
              <w:pStyle w:val="142"/>
              <w:jc w:val="right"/>
              <w:rPr>
                <w:rFonts w:hAnsi="標楷體" w:hint="eastAsia"/>
                <w:b/>
                <w:snapToGrid/>
              </w:rPr>
            </w:pPr>
            <w:r w:rsidRPr="00507BD2">
              <w:rPr>
                <w:rFonts w:hAnsi="標楷體" w:hint="eastAsia"/>
                <w:b/>
                <w:snapToGrid/>
              </w:rPr>
              <w:t>10.21</w:t>
            </w:r>
          </w:p>
        </w:tc>
        <w:tc>
          <w:tcPr>
            <w:tcW w:w="1560" w:type="dxa"/>
            <w:tcBorders>
              <w:top w:val="nil"/>
              <w:left w:val="nil"/>
              <w:bottom w:val="single" w:sz="8" w:space="0" w:color="auto"/>
              <w:right w:val="single" w:sz="8" w:space="0" w:color="auto"/>
            </w:tcBorders>
            <w:shd w:val="clear" w:color="auto" w:fill="auto"/>
            <w:vAlign w:val="center"/>
            <w:hideMark/>
          </w:tcPr>
          <w:p w:rsidR="002F2C41" w:rsidRPr="00507BD2" w:rsidRDefault="002F2C41" w:rsidP="002F2C41">
            <w:pPr>
              <w:pStyle w:val="142"/>
              <w:jc w:val="right"/>
              <w:rPr>
                <w:rFonts w:hAnsi="標楷體" w:hint="eastAsia"/>
                <w:snapToGrid/>
              </w:rPr>
            </w:pPr>
            <w:r w:rsidRPr="00507BD2">
              <w:rPr>
                <w:rFonts w:hAnsi="標楷體" w:hint="eastAsia"/>
                <w:snapToGrid/>
              </w:rPr>
              <w:t>3,372,636</w:t>
            </w:r>
          </w:p>
        </w:tc>
        <w:tc>
          <w:tcPr>
            <w:tcW w:w="1275" w:type="dxa"/>
            <w:tcBorders>
              <w:top w:val="nil"/>
              <w:left w:val="nil"/>
              <w:bottom w:val="single" w:sz="8" w:space="0" w:color="auto"/>
              <w:right w:val="single" w:sz="12" w:space="0" w:color="auto"/>
            </w:tcBorders>
            <w:shd w:val="clear" w:color="auto" w:fill="auto"/>
            <w:vAlign w:val="center"/>
            <w:hideMark/>
          </w:tcPr>
          <w:p w:rsidR="002F2C41" w:rsidRPr="00507BD2" w:rsidRDefault="002F2C41" w:rsidP="002F2C41">
            <w:pPr>
              <w:pStyle w:val="142"/>
              <w:jc w:val="right"/>
              <w:rPr>
                <w:rFonts w:hAnsi="標楷體" w:hint="eastAsia"/>
                <w:snapToGrid/>
              </w:rPr>
            </w:pPr>
            <w:r w:rsidRPr="00507BD2">
              <w:rPr>
                <w:rFonts w:hAnsi="標楷體" w:hint="eastAsia"/>
                <w:snapToGrid/>
              </w:rPr>
              <w:t>2.96</w:t>
            </w:r>
          </w:p>
        </w:tc>
      </w:tr>
      <w:tr w:rsidR="002F2C41" w:rsidRPr="00507BD2" w:rsidTr="003829D2">
        <w:trPr>
          <w:trHeight w:val="20"/>
        </w:trPr>
        <w:tc>
          <w:tcPr>
            <w:tcW w:w="2268" w:type="dxa"/>
            <w:tcBorders>
              <w:top w:val="nil"/>
              <w:left w:val="single" w:sz="12" w:space="0" w:color="auto"/>
              <w:bottom w:val="single" w:sz="12" w:space="0" w:color="auto"/>
              <w:right w:val="single" w:sz="8" w:space="0" w:color="auto"/>
            </w:tcBorders>
            <w:shd w:val="clear" w:color="auto" w:fill="auto"/>
            <w:vAlign w:val="center"/>
            <w:hideMark/>
          </w:tcPr>
          <w:p w:rsidR="002F2C41" w:rsidRPr="00507BD2" w:rsidRDefault="002F2C41" w:rsidP="002F2C41">
            <w:pPr>
              <w:pStyle w:val="142"/>
              <w:rPr>
                <w:rFonts w:hAnsi="標楷體" w:hint="eastAsia"/>
                <w:snapToGrid/>
              </w:rPr>
            </w:pPr>
            <w:r w:rsidRPr="00507BD2">
              <w:rPr>
                <w:rFonts w:hAnsi="標楷體" w:hint="eastAsia"/>
                <w:snapToGrid/>
              </w:rPr>
              <w:t>113年</w:t>
            </w:r>
            <w:r w:rsidR="00F413FE">
              <w:rPr>
                <w:rFonts w:hAnsi="標楷體" w:hint="eastAsia"/>
                <w:snapToGrid/>
              </w:rPr>
              <w:t>8月</w:t>
            </w:r>
            <w:r w:rsidRPr="00507BD2">
              <w:rPr>
                <w:rFonts w:hAnsi="標楷體" w:hint="eastAsia"/>
                <w:snapToGrid/>
              </w:rPr>
              <w:t>底</w:t>
            </w:r>
          </w:p>
        </w:tc>
        <w:tc>
          <w:tcPr>
            <w:tcW w:w="1560" w:type="dxa"/>
            <w:tcBorders>
              <w:top w:val="nil"/>
              <w:left w:val="nil"/>
              <w:bottom w:val="single" w:sz="12" w:space="0" w:color="auto"/>
              <w:right w:val="single" w:sz="8" w:space="0" w:color="auto"/>
            </w:tcBorders>
            <w:shd w:val="clear" w:color="auto" w:fill="auto"/>
            <w:vAlign w:val="center"/>
            <w:hideMark/>
          </w:tcPr>
          <w:p w:rsidR="002F2C41" w:rsidRPr="00507BD2" w:rsidRDefault="002F2C41" w:rsidP="002F2C41">
            <w:pPr>
              <w:pStyle w:val="142"/>
              <w:jc w:val="right"/>
              <w:rPr>
                <w:rFonts w:hAnsi="標楷體" w:hint="eastAsia"/>
                <w:snapToGrid/>
              </w:rPr>
            </w:pPr>
            <w:r w:rsidRPr="00507BD2">
              <w:rPr>
                <w:rFonts w:hAnsi="標楷體" w:hint="eastAsia"/>
                <w:snapToGrid/>
              </w:rPr>
              <w:t>10,748,824</w:t>
            </w:r>
          </w:p>
        </w:tc>
        <w:tc>
          <w:tcPr>
            <w:tcW w:w="1275" w:type="dxa"/>
            <w:tcBorders>
              <w:top w:val="nil"/>
              <w:left w:val="nil"/>
              <w:bottom w:val="single" w:sz="12" w:space="0" w:color="auto"/>
              <w:right w:val="single" w:sz="8" w:space="0" w:color="auto"/>
            </w:tcBorders>
            <w:shd w:val="clear" w:color="auto" w:fill="auto"/>
            <w:vAlign w:val="center"/>
            <w:hideMark/>
          </w:tcPr>
          <w:p w:rsidR="002F2C41" w:rsidRPr="00507BD2" w:rsidRDefault="002F2C41" w:rsidP="002F2C41">
            <w:pPr>
              <w:pStyle w:val="142"/>
              <w:jc w:val="right"/>
              <w:rPr>
                <w:rFonts w:hAnsi="標楷體" w:hint="eastAsia"/>
                <w:b/>
                <w:snapToGrid/>
              </w:rPr>
            </w:pPr>
            <w:r w:rsidRPr="00507BD2">
              <w:rPr>
                <w:rFonts w:hAnsi="標楷體" w:hint="eastAsia"/>
                <w:b/>
                <w:snapToGrid/>
              </w:rPr>
              <w:t>11.03</w:t>
            </w:r>
          </w:p>
        </w:tc>
        <w:tc>
          <w:tcPr>
            <w:tcW w:w="1560" w:type="dxa"/>
            <w:tcBorders>
              <w:top w:val="nil"/>
              <w:left w:val="nil"/>
              <w:bottom w:val="single" w:sz="12" w:space="0" w:color="auto"/>
              <w:right w:val="single" w:sz="8" w:space="0" w:color="auto"/>
            </w:tcBorders>
            <w:shd w:val="clear" w:color="auto" w:fill="auto"/>
            <w:vAlign w:val="center"/>
            <w:hideMark/>
          </w:tcPr>
          <w:p w:rsidR="002F2C41" w:rsidRPr="00507BD2" w:rsidRDefault="002F2C41" w:rsidP="002F2C41">
            <w:pPr>
              <w:pStyle w:val="142"/>
              <w:jc w:val="right"/>
              <w:rPr>
                <w:rFonts w:hAnsi="標楷體" w:hint="eastAsia"/>
                <w:snapToGrid/>
              </w:rPr>
            </w:pPr>
            <w:r w:rsidRPr="00507BD2">
              <w:rPr>
                <w:rFonts w:hAnsi="標楷體" w:hint="eastAsia"/>
                <w:snapToGrid/>
              </w:rPr>
              <w:t>3,459,613</w:t>
            </w:r>
          </w:p>
        </w:tc>
        <w:tc>
          <w:tcPr>
            <w:tcW w:w="1275" w:type="dxa"/>
            <w:tcBorders>
              <w:top w:val="nil"/>
              <w:left w:val="nil"/>
              <w:bottom w:val="single" w:sz="12" w:space="0" w:color="auto"/>
              <w:right w:val="single" w:sz="12" w:space="0" w:color="auto"/>
            </w:tcBorders>
            <w:shd w:val="clear" w:color="auto" w:fill="auto"/>
            <w:vAlign w:val="center"/>
            <w:hideMark/>
          </w:tcPr>
          <w:p w:rsidR="002F2C41" w:rsidRPr="00507BD2" w:rsidRDefault="002F2C41" w:rsidP="002F2C41">
            <w:pPr>
              <w:pStyle w:val="142"/>
              <w:jc w:val="right"/>
              <w:rPr>
                <w:rFonts w:hAnsi="標楷體" w:hint="eastAsia"/>
                <w:snapToGrid/>
              </w:rPr>
            </w:pPr>
            <w:r w:rsidRPr="00507BD2">
              <w:rPr>
                <w:rFonts w:hAnsi="標楷體" w:hint="eastAsia"/>
                <w:snapToGrid/>
              </w:rPr>
              <w:t>4.98</w:t>
            </w:r>
          </w:p>
        </w:tc>
      </w:tr>
    </w:tbl>
    <w:p w:rsidR="004D501E" w:rsidRDefault="00FB31B2" w:rsidP="00A02349">
      <w:pPr>
        <w:pStyle w:val="142"/>
        <w:ind w:firstLineChars="233" w:firstLine="567"/>
        <w:rPr>
          <w:rFonts w:hAnsi="標楷體"/>
        </w:rPr>
      </w:pPr>
      <w:r w:rsidRPr="00507BD2">
        <w:rPr>
          <w:rFonts w:hAnsi="標楷體" w:hint="eastAsia"/>
        </w:rPr>
        <w:t>資料來源：央行。</w:t>
      </w:r>
    </w:p>
    <w:p w:rsidR="003024BA" w:rsidRPr="00507BD2" w:rsidRDefault="00C25B9A" w:rsidP="0095653E">
      <w:pPr>
        <w:pStyle w:val="a4"/>
        <w:rPr>
          <w:b/>
        </w:rPr>
      </w:pPr>
      <w:r w:rsidRPr="00507BD2">
        <w:rPr>
          <w:rFonts w:hint="eastAsia"/>
          <w:b/>
        </w:rPr>
        <w:t>(三)多數銀行</w:t>
      </w:r>
      <w:r w:rsidR="00EA5898" w:rsidRPr="00507BD2">
        <w:rPr>
          <w:rFonts w:hint="eastAsia"/>
          <w:b/>
        </w:rPr>
        <w:t>建築放款</w:t>
      </w:r>
      <w:r w:rsidR="00766D81" w:rsidRPr="00507BD2">
        <w:rPr>
          <w:rFonts w:hint="eastAsia"/>
          <w:b/>
        </w:rPr>
        <w:t>趨近</w:t>
      </w:r>
      <w:r w:rsidR="00EA5898" w:rsidRPr="00507BD2">
        <w:rPr>
          <w:rFonts w:hint="eastAsia"/>
          <w:b/>
        </w:rPr>
        <w:t>法定上限</w:t>
      </w:r>
      <w:r w:rsidR="00AD5171" w:rsidRPr="00507BD2">
        <w:rPr>
          <w:rFonts w:hint="eastAsia"/>
          <w:b/>
        </w:rPr>
        <w:t>而</w:t>
      </w:r>
      <w:r w:rsidR="00C17B1F" w:rsidRPr="00507BD2">
        <w:rPr>
          <w:rFonts w:hint="eastAsia"/>
          <w:b/>
        </w:rPr>
        <w:t>籲請銀行自主管理</w:t>
      </w:r>
      <w:r w:rsidR="00AD5171" w:rsidRPr="00507BD2">
        <w:rPr>
          <w:rFonts w:hint="eastAsia"/>
          <w:b/>
        </w:rPr>
        <w:t>，惟過程引發恐慌，已採行</w:t>
      </w:r>
      <w:r w:rsidR="00C17B1F" w:rsidRPr="00507BD2">
        <w:rPr>
          <w:rFonts w:hint="eastAsia"/>
          <w:b/>
        </w:rPr>
        <w:t>協處措施</w:t>
      </w:r>
    </w:p>
    <w:p w:rsidR="003E608F" w:rsidRPr="00507BD2" w:rsidRDefault="003E608F" w:rsidP="0095653E">
      <w:pPr>
        <w:pStyle w:val="21"/>
        <w:ind w:left="850" w:firstLine="566"/>
        <w:rPr>
          <w:rFonts w:hAnsi="標楷體"/>
        </w:rPr>
      </w:pPr>
      <w:r w:rsidRPr="00507BD2">
        <w:rPr>
          <w:rFonts w:hAnsi="標楷體" w:hint="eastAsia"/>
        </w:rPr>
        <w:t>113年度央行</w:t>
      </w:r>
      <w:r w:rsidR="0095653E" w:rsidRPr="00507BD2">
        <w:rPr>
          <w:rFonts w:hAnsi="標楷體" w:hint="eastAsia"/>
        </w:rPr>
        <w:t>為避免信用資源過度流向不動產</w:t>
      </w:r>
      <w:r w:rsidRPr="00507BD2">
        <w:rPr>
          <w:rFonts w:hAnsi="標楷體" w:hint="eastAsia"/>
        </w:rPr>
        <w:t>，爰</w:t>
      </w:r>
      <w:r w:rsidR="0095653E" w:rsidRPr="00507BD2">
        <w:rPr>
          <w:rFonts w:hAnsi="標楷體" w:hint="eastAsia"/>
        </w:rPr>
        <w:t>賡續實施選擇性信用管制並</w:t>
      </w:r>
      <w:r w:rsidRPr="00507BD2">
        <w:rPr>
          <w:rFonts w:hAnsi="標楷體" w:hint="eastAsia"/>
        </w:rPr>
        <w:t>請銀行自主管理，惟過程引</w:t>
      </w:r>
      <w:r w:rsidR="0095653E" w:rsidRPr="00507BD2">
        <w:rPr>
          <w:rFonts w:hAnsi="標楷體" w:hint="eastAsia"/>
        </w:rPr>
        <w:t>發恐慌，容須審慎處理。茲說明如下：</w:t>
      </w:r>
    </w:p>
    <w:p w:rsidR="000F3CFE" w:rsidRPr="00507BD2" w:rsidRDefault="00314A3F" w:rsidP="0095653E">
      <w:pPr>
        <w:pStyle w:val="123"/>
        <w:rPr>
          <w:rFonts w:ascii="標楷體"/>
        </w:rPr>
      </w:pPr>
      <w:r w:rsidRPr="00507BD2">
        <w:rPr>
          <w:rFonts w:ascii="標楷體" w:hint="eastAsia"/>
          <w:b/>
        </w:rPr>
        <w:t>1.多數銀行建築放款趨近法定</w:t>
      </w:r>
      <w:r w:rsidR="00854BFD">
        <w:rPr>
          <w:rFonts w:ascii="標楷體" w:hint="eastAsia"/>
          <w:b/>
        </w:rPr>
        <w:t>及內部警戒</w:t>
      </w:r>
      <w:r w:rsidRPr="00507BD2">
        <w:rPr>
          <w:rFonts w:ascii="標楷體" w:hint="eastAsia"/>
          <w:b/>
        </w:rPr>
        <w:t>上限</w:t>
      </w:r>
      <w:r w:rsidR="0095653E" w:rsidRPr="00507BD2">
        <w:rPr>
          <w:rFonts w:ascii="標楷體" w:hint="eastAsia"/>
          <w:b/>
        </w:rPr>
        <w:t>：</w:t>
      </w:r>
      <w:r w:rsidR="00AA35A5" w:rsidRPr="00507BD2">
        <w:rPr>
          <w:rFonts w:ascii="標楷體" w:hint="eastAsia"/>
        </w:rPr>
        <w:t>為避免商業銀行對建築放款過度擴張並維持銀行資產之適當流動性，</w:t>
      </w:r>
      <w:r w:rsidR="00235062" w:rsidRPr="00507BD2">
        <w:rPr>
          <w:rFonts w:ascii="標楷體" w:hint="eastAsia"/>
        </w:rPr>
        <w:t>銀行法第72條之2</w:t>
      </w:r>
      <w:r w:rsidR="002244F3">
        <w:rPr>
          <w:rFonts w:ascii="標楷體" w:hint="eastAsia"/>
        </w:rPr>
        <w:t>訂有不得逾</w:t>
      </w:r>
      <w:r w:rsidR="002244F3" w:rsidRPr="002244F3">
        <w:rPr>
          <w:rFonts w:ascii="標楷體" w:hint="eastAsia"/>
        </w:rPr>
        <w:t>存款</w:t>
      </w:r>
      <w:r w:rsidR="002244F3">
        <w:rPr>
          <w:rFonts w:ascii="標楷體" w:hint="eastAsia"/>
        </w:rPr>
        <w:t>及金融債券</w:t>
      </w:r>
      <w:r w:rsidR="002244F3" w:rsidRPr="002244F3">
        <w:rPr>
          <w:rFonts w:ascii="標楷體" w:hint="eastAsia"/>
        </w:rPr>
        <w:t>總額30</w:t>
      </w:r>
      <w:r w:rsidR="002244F3">
        <w:rPr>
          <w:rFonts w:ascii="標楷體" w:hint="eastAsia"/>
        </w:rPr>
        <w:t>%</w:t>
      </w:r>
      <w:r w:rsidR="00A45DA7">
        <w:rPr>
          <w:rFonts w:ascii="標楷體" w:hint="eastAsia"/>
        </w:rPr>
        <w:t>之限額</w:t>
      </w:r>
      <w:r w:rsidR="00A45DA7">
        <w:rPr>
          <w:rStyle w:val="af1"/>
          <w:rFonts w:ascii="標楷體"/>
        </w:rPr>
        <w:footnoteReference w:id="1"/>
      </w:r>
      <w:r w:rsidR="00F3519F" w:rsidRPr="00507BD2">
        <w:rPr>
          <w:rFonts w:ascii="標楷體" w:hint="eastAsia"/>
        </w:rPr>
        <w:t>；</w:t>
      </w:r>
      <w:r w:rsidR="000A596F" w:rsidRPr="00507BD2">
        <w:rPr>
          <w:rFonts w:ascii="標楷體" w:hint="eastAsia"/>
        </w:rPr>
        <w:t>另據央行理監會後記者會參考資料，銀行多以28%至28.5%作為內部警戒值</w:t>
      </w:r>
      <w:r w:rsidR="00880350">
        <w:rPr>
          <w:rFonts w:ascii="標楷體" w:hint="eastAsia"/>
        </w:rPr>
        <w:t>，</w:t>
      </w:r>
      <w:r w:rsidR="00235062" w:rsidRPr="00507BD2">
        <w:rPr>
          <w:rFonts w:ascii="標楷體" w:hint="eastAsia"/>
        </w:rPr>
        <w:t>113年8月底</w:t>
      </w:r>
      <w:r w:rsidR="00880350">
        <w:rPr>
          <w:rFonts w:ascii="標楷體" w:hint="eastAsia"/>
        </w:rPr>
        <w:t>33家本國銀行中</w:t>
      </w:r>
      <w:r w:rsidR="003834ED">
        <w:rPr>
          <w:rFonts w:ascii="標楷體" w:hint="eastAsia"/>
        </w:rPr>
        <w:t>，</w:t>
      </w:r>
      <w:r w:rsidR="00880350">
        <w:rPr>
          <w:rFonts w:ascii="標楷體" w:hint="eastAsia"/>
        </w:rPr>
        <w:t>已有</w:t>
      </w:r>
      <w:r w:rsidR="00235062" w:rsidRPr="00507BD2">
        <w:rPr>
          <w:rFonts w:ascii="標楷體" w:hint="eastAsia"/>
        </w:rPr>
        <w:t>21家</w:t>
      </w:r>
      <w:r w:rsidR="00800C24" w:rsidRPr="00507BD2">
        <w:rPr>
          <w:rFonts w:ascii="標楷體" w:hint="eastAsia"/>
        </w:rPr>
        <w:t>本國銀行</w:t>
      </w:r>
      <w:r w:rsidR="004F6B79" w:rsidRPr="00507BD2">
        <w:rPr>
          <w:rFonts w:ascii="標楷體" w:hint="eastAsia"/>
        </w:rPr>
        <w:t>放款總額逾26%，1家高於29%</w:t>
      </w:r>
      <w:r w:rsidR="004F6B79" w:rsidRPr="00507BD2">
        <w:rPr>
          <w:rFonts w:ascii="標楷體"/>
        </w:rPr>
        <w:t>(</w:t>
      </w:r>
      <w:r w:rsidR="004F6B79" w:rsidRPr="00507BD2">
        <w:rPr>
          <w:rFonts w:ascii="標楷體" w:hint="eastAsia"/>
        </w:rPr>
        <w:t>詳表</w:t>
      </w:r>
      <w:r w:rsidR="00BA5770" w:rsidRPr="00507BD2">
        <w:rPr>
          <w:rFonts w:ascii="標楷體"/>
        </w:rPr>
        <w:t>4</w:t>
      </w:r>
      <w:r w:rsidR="004F6B79" w:rsidRPr="00507BD2">
        <w:rPr>
          <w:rFonts w:ascii="標楷體"/>
        </w:rPr>
        <w:t>)</w:t>
      </w:r>
      <w:r w:rsidR="004F6B79" w:rsidRPr="00507BD2">
        <w:rPr>
          <w:rFonts w:ascii="標楷體" w:hint="eastAsia"/>
        </w:rPr>
        <w:t>，趨近法</w:t>
      </w:r>
      <w:r w:rsidR="000A596F" w:rsidRPr="00507BD2">
        <w:rPr>
          <w:rFonts w:ascii="標楷體" w:hint="eastAsia"/>
        </w:rPr>
        <w:t>定</w:t>
      </w:r>
      <w:r w:rsidR="00854BFD">
        <w:rPr>
          <w:rFonts w:ascii="標楷體" w:hint="eastAsia"/>
        </w:rPr>
        <w:t>及內部警戒</w:t>
      </w:r>
      <w:r w:rsidR="004F6B79" w:rsidRPr="00507BD2">
        <w:rPr>
          <w:rFonts w:ascii="標楷體" w:hint="eastAsia"/>
        </w:rPr>
        <w:t>上限。</w:t>
      </w:r>
    </w:p>
    <w:p w:rsidR="003829D2" w:rsidRPr="00507BD2" w:rsidRDefault="003829D2" w:rsidP="005B25F9">
      <w:pPr>
        <w:pStyle w:val="ad"/>
        <w:ind w:left="283" w:hanging="283"/>
        <w:rPr>
          <w:rFonts w:hAnsi="標楷體" w:hint="eastAsia"/>
          <w:snapToGrid/>
          <w:sz w:val="24"/>
          <w:szCs w:val="24"/>
        </w:rPr>
      </w:pPr>
      <w:r w:rsidRPr="00507BD2">
        <w:rPr>
          <w:rFonts w:hAnsi="標楷體" w:hint="eastAsia"/>
          <w:b/>
        </w:rPr>
        <w:t>表</w:t>
      </w:r>
      <w:r w:rsidR="00BA5770" w:rsidRPr="00507BD2">
        <w:rPr>
          <w:rFonts w:hAnsi="標楷體"/>
          <w:b/>
        </w:rPr>
        <w:t>4</w:t>
      </w:r>
      <w:r w:rsidRPr="00507BD2">
        <w:rPr>
          <w:rFonts w:hAnsi="標楷體" w:hint="eastAsia"/>
          <w:b/>
        </w:rPr>
        <w:t xml:space="preserve"> </w:t>
      </w:r>
      <w:r w:rsidR="000A596F" w:rsidRPr="00507BD2">
        <w:rPr>
          <w:rFonts w:hAnsi="標楷體"/>
          <w:b/>
        </w:rPr>
        <w:t>113</w:t>
      </w:r>
      <w:r w:rsidRPr="00507BD2">
        <w:rPr>
          <w:rFonts w:hAnsi="標楷體" w:hint="eastAsia"/>
          <w:b/>
        </w:rPr>
        <w:t>年8月底</w:t>
      </w:r>
      <w:r w:rsidR="000A596F" w:rsidRPr="00507BD2">
        <w:rPr>
          <w:rFonts w:hAnsi="標楷體" w:hint="eastAsia"/>
          <w:b/>
        </w:rPr>
        <w:t>本國銀行建築放款水位</w:t>
      </w:r>
      <w:r w:rsidRPr="00507BD2">
        <w:rPr>
          <w:rFonts w:hAnsi="標楷體" w:hint="eastAsia"/>
          <w:b/>
        </w:rPr>
        <w:t>明細表</w:t>
      </w:r>
      <w:r w:rsidR="000A596F" w:rsidRPr="00507BD2">
        <w:rPr>
          <w:rFonts w:hAnsi="標楷體" w:hint="eastAsia"/>
        </w:rPr>
        <w:t xml:space="preserve">   </w:t>
      </w:r>
      <w:r w:rsidR="005B25F9" w:rsidRPr="00507BD2">
        <w:rPr>
          <w:rFonts w:hAnsi="標楷體"/>
        </w:rPr>
        <w:t xml:space="preserve">   </w:t>
      </w:r>
      <w:r w:rsidR="000A596F" w:rsidRPr="00507BD2">
        <w:rPr>
          <w:rFonts w:hAnsi="標楷體" w:hint="eastAsia"/>
        </w:rPr>
        <w:t xml:space="preserve">     </w:t>
      </w:r>
      <w:r w:rsidRPr="00507BD2">
        <w:rPr>
          <w:rFonts w:hAnsi="標楷體" w:hint="eastAsia"/>
          <w:sz w:val="24"/>
          <w:szCs w:val="24"/>
        </w:rPr>
        <w:t>單位：</w:t>
      </w:r>
      <w:r w:rsidR="000A596F" w:rsidRPr="00507BD2">
        <w:rPr>
          <w:rFonts w:hAnsi="標楷體" w:hint="eastAsia"/>
          <w:sz w:val="24"/>
          <w:szCs w:val="24"/>
        </w:rPr>
        <w:t>家</w:t>
      </w:r>
    </w:p>
    <w:tbl>
      <w:tblPr>
        <w:tblW w:w="0" w:type="auto"/>
        <w:tblInd w:w="9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128"/>
        <w:gridCol w:w="1223"/>
        <w:gridCol w:w="1223"/>
        <w:gridCol w:w="1223"/>
        <w:gridCol w:w="1223"/>
        <w:gridCol w:w="1223"/>
        <w:gridCol w:w="1223"/>
      </w:tblGrid>
      <w:tr w:rsidR="005B25F9" w:rsidRPr="00507BD2" w:rsidTr="009F49AA">
        <w:tc>
          <w:tcPr>
            <w:tcW w:w="1128" w:type="dxa"/>
            <w:shd w:val="clear" w:color="auto" w:fill="auto"/>
          </w:tcPr>
          <w:p w:rsidR="005B25F9" w:rsidRPr="00507BD2" w:rsidRDefault="005B25F9" w:rsidP="005B25F9">
            <w:pPr>
              <w:pStyle w:val="142"/>
              <w:rPr>
                <w:rFonts w:hAnsi="標楷體" w:hint="eastAsia"/>
                <w:b/>
                <w:sz w:val="22"/>
                <w:szCs w:val="22"/>
              </w:rPr>
            </w:pPr>
            <w:r w:rsidRPr="00507BD2">
              <w:rPr>
                <w:rFonts w:hAnsi="標楷體" w:hint="eastAsia"/>
                <w:b/>
                <w:sz w:val="22"/>
                <w:szCs w:val="22"/>
              </w:rPr>
              <w:t>比率區間</w:t>
            </w:r>
          </w:p>
        </w:tc>
        <w:tc>
          <w:tcPr>
            <w:tcW w:w="1223" w:type="dxa"/>
            <w:shd w:val="clear" w:color="auto" w:fill="auto"/>
          </w:tcPr>
          <w:p w:rsidR="005B25F9" w:rsidRPr="00507BD2" w:rsidRDefault="005B25F9" w:rsidP="0020064C">
            <w:pPr>
              <w:pStyle w:val="142"/>
              <w:jc w:val="center"/>
              <w:rPr>
                <w:rFonts w:hAnsi="標楷體" w:hint="eastAsia"/>
                <w:b/>
                <w:sz w:val="22"/>
                <w:szCs w:val="22"/>
              </w:rPr>
            </w:pPr>
            <w:r w:rsidRPr="00507BD2">
              <w:rPr>
                <w:rFonts w:hAnsi="標楷體" w:hint="eastAsia"/>
                <w:b/>
                <w:sz w:val="22"/>
                <w:szCs w:val="22"/>
              </w:rPr>
              <w:t>低於25%</w:t>
            </w:r>
          </w:p>
        </w:tc>
        <w:tc>
          <w:tcPr>
            <w:tcW w:w="1223" w:type="dxa"/>
            <w:shd w:val="clear" w:color="auto" w:fill="auto"/>
          </w:tcPr>
          <w:p w:rsidR="005B25F9" w:rsidRPr="00507BD2" w:rsidRDefault="005B25F9" w:rsidP="0020064C">
            <w:pPr>
              <w:pStyle w:val="142"/>
              <w:jc w:val="center"/>
              <w:rPr>
                <w:rFonts w:hAnsi="標楷體" w:hint="eastAsia"/>
                <w:b/>
                <w:sz w:val="22"/>
                <w:szCs w:val="22"/>
              </w:rPr>
            </w:pPr>
            <w:r w:rsidRPr="00507BD2">
              <w:rPr>
                <w:rFonts w:hAnsi="標楷體" w:hint="eastAsia"/>
                <w:b/>
                <w:sz w:val="22"/>
                <w:szCs w:val="22"/>
              </w:rPr>
              <w:t>25</w:t>
            </w:r>
            <w:r w:rsidRPr="00507BD2">
              <w:rPr>
                <w:rFonts w:hAnsi="標楷體"/>
                <w:b/>
                <w:sz w:val="22"/>
                <w:szCs w:val="22"/>
              </w:rPr>
              <w:t>%</w:t>
            </w:r>
            <w:r w:rsidRPr="00507BD2">
              <w:rPr>
                <w:rFonts w:hAnsi="標楷體" w:hint="eastAsia"/>
                <w:b/>
                <w:sz w:val="22"/>
                <w:szCs w:val="22"/>
              </w:rPr>
              <w:t>~26%</w:t>
            </w:r>
          </w:p>
        </w:tc>
        <w:tc>
          <w:tcPr>
            <w:tcW w:w="1223" w:type="dxa"/>
            <w:shd w:val="clear" w:color="auto" w:fill="auto"/>
          </w:tcPr>
          <w:p w:rsidR="005B25F9" w:rsidRPr="00507BD2" w:rsidRDefault="005B25F9" w:rsidP="0020064C">
            <w:pPr>
              <w:pStyle w:val="142"/>
              <w:jc w:val="center"/>
              <w:rPr>
                <w:rFonts w:hAnsi="標楷體" w:hint="eastAsia"/>
                <w:b/>
                <w:sz w:val="22"/>
                <w:szCs w:val="22"/>
              </w:rPr>
            </w:pPr>
            <w:r w:rsidRPr="00507BD2">
              <w:rPr>
                <w:rFonts w:hAnsi="標楷體" w:hint="eastAsia"/>
                <w:b/>
                <w:sz w:val="22"/>
                <w:szCs w:val="22"/>
              </w:rPr>
              <w:t>26</w:t>
            </w:r>
            <w:r w:rsidRPr="00507BD2">
              <w:rPr>
                <w:rFonts w:hAnsi="標楷體"/>
                <w:b/>
                <w:sz w:val="22"/>
                <w:szCs w:val="22"/>
              </w:rPr>
              <w:t>%~27%</w:t>
            </w:r>
          </w:p>
        </w:tc>
        <w:tc>
          <w:tcPr>
            <w:tcW w:w="1223" w:type="dxa"/>
            <w:shd w:val="clear" w:color="auto" w:fill="auto"/>
          </w:tcPr>
          <w:p w:rsidR="005B25F9" w:rsidRPr="00507BD2" w:rsidRDefault="005B25F9" w:rsidP="0020064C">
            <w:pPr>
              <w:pStyle w:val="142"/>
              <w:jc w:val="center"/>
              <w:rPr>
                <w:rFonts w:hAnsi="標楷體" w:hint="eastAsia"/>
                <w:b/>
                <w:sz w:val="22"/>
                <w:szCs w:val="22"/>
              </w:rPr>
            </w:pPr>
            <w:r w:rsidRPr="00507BD2">
              <w:rPr>
                <w:rFonts w:hAnsi="標楷體"/>
                <w:b/>
                <w:sz w:val="22"/>
                <w:szCs w:val="22"/>
              </w:rPr>
              <w:t>27%~28%</w:t>
            </w:r>
          </w:p>
        </w:tc>
        <w:tc>
          <w:tcPr>
            <w:tcW w:w="1223" w:type="dxa"/>
            <w:shd w:val="clear" w:color="auto" w:fill="auto"/>
          </w:tcPr>
          <w:p w:rsidR="005B25F9" w:rsidRPr="00507BD2" w:rsidRDefault="005B25F9" w:rsidP="0020064C">
            <w:pPr>
              <w:pStyle w:val="142"/>
              <w:jc w:val="center"/>
              <w:rPr>
                <w:rFonts w:hAnsi="標楷體" w:hint="eastAsia"/>
                <w:b/>
                <w:sz w:val="22"/>
                <w:szCs w:val="22"/>
              </w:rPr>
            </w:pPr>
            <w:r w:rsidRPr="00507BD2">
              <w:rPr>
                <w:rFonts w:hAnsi="標楷體" w:hint="eastAsia"/>
                <w:b/>
                <w:sz w:val="22"/>
                <w:szCs w:val="22"/>
              </w:rPr>
              <w:t>28%~29%</w:t>
            </w:r>
          </w:p>
        </w:tc>
        <w:tc>
          <w:tcPr>
            <w:tcW w:w="1223" w:type="dxa"/>
            <w:shd w:val="clear" w:color="auto" w:fill="auto"/>
          </w:tcPr>
          <w:p w:rsidR="005B25F9" w:rsidRPr="00507BD2" w:rsidRDefault="005B25F9" w:rsidP="0020064C">
            <w:pPr>
              <w:pStyle w:val="142"/>
              <w:jc w:val="center"/>
              <w:rPr>
                <w:rFonts w:hAnsi="標楷體" w:hint="eastAsia"/>
                <w:b/>
                <w:sz w:val="22"/>
                <w:szCs w:val="22"/>
              </w:rPr>
            </w:pPr>
            <w:r w:rsidRPr="00507BD2">
              <w:rPr>
                <w:rFonts w:hAnsi="標楷體" w:hint="eastAsia"/>
                <w:b/>
                <w:sz w:val="22"/>
                <w:szCs w:val="22"/>
              </w:rPr>
              <w:t>高於29%</w:t>
            </w:r>
          </w:p>
        </w:tc>
      </w:tr>
      <w:tr w:rsidR="005B25F9" w:rsidRPr="00507BD2" w:rsidTr="009F49AA">
        <w:tc>
          <w:tcPr>
            <w:tcW w:w="1128" w:type="dxa"/>
            <w:shd w:val="clear" w:color="auto" w:fill="auto"/>
          </w:tcPr>
          <w:p w:rsidR="005B25F9" w:rsidRPr="00507BD2" w:rsidRDefault="005B25F9" w:rsidP="005B25F9">
            <w:pPr>
              <w:pStyle w:val="142"/>
              <w:rPr>
                <w:rFonts w:hAnsi="標楷體" w:hint="eastAsia"/>
                <w:sz w:val="22"/>
                <w:szCs w:val="22"/>
              </w:rPr>
            </w:pPr>
            <w:r w:rsidRPr="00507BD2">
              <w:rPr>
                <w:rFonts w:hAnsi="標楷體" w:hint="eastAsia"/>
                <w:sz w:val="22"/>
                <w:szCs w:val="22"/>
              </w:rPr>
              <w:t>家數</w:t>
            </w:r>
          </w:p>
        </w:tc>
        <w:tc>
          <w:tcPr>
            <w:tcW w:w="1223" w:type="dxa"/>
            <w:shd w:val="clear" w:color="auto" w:fill="auto"/>
          </w:tcPr>
          <w:p w:rsidR="005B25F9" w:rsidRPr="00507BD2" w:rsidRDefault="005B25F9" w:rsidP="009F49AA">
            <w:pPr>
              <w:pStyle w:val="142"/>
              <w:jc w:val="right"/>
              <w:rPr>
                <w:rFonts w:hAnsi="標楷體" w:hint="eastAsia"/>
                <w:sz w:val="22"/>
                <w:szCs w:val="22"/>
              </w:rPr>
            </w:pPr>
            <w:r w:rsidRPr="00507BD2">
              <w:rPr>
                <w:rFonts w:hAnsi="標楷體" w:hint="eastAsia"/>
                <w:sz w:val="22"/>
                <w:szCs w:val="22"/>
              </w:rPr>
              <w:t>10</w:t>
            </w:r>
          </w:p>
        </w:tc>
        <w:tc>
          <w:tcPr>
            <w:tcW w:w="1223" w:type="dxa"/>
            <w:shd w:val="clear" w:color="auto" w:fill="auto"/>
          </w:tcPr>
          <w:p w:rsidR="005B25F9" w:rsidRPr="00507BD2" w:rsidRDefault="005B25F9" w:rsidP="009F49AA">
            <w:pPr>
              <w:pStyle w:val="142"/>
              <w:jc w:val="right"/>
              <w:rPr>
                <w:rFonts w:hAnsi="標楷體" w:hint="eastAsia"/>
                <w:sz w:val="22"/>
                <w:szCs w:val="22"/>
              </w:rPr>
            </w:pPr>
            <w:r w:rsidRPr="00507BD2">
              <w:rPr>
                <w:rFonts w:hAnsi="標楷體" w:hint="eastAsia"/>
                <w:sz w:val="22"/>
                <w:szCs w:val="22"/>
              </w:rPr>
              <w:t>2</w:t>
            </w:r>
          </w:p>
        </w:tc>
        <w:tc>
          <w:tcPr>
            <w:tcW w:w="1223" w:type="dxa"/>
            <w:shd w:val="clear" w:color="auto" w:fill="auto"/>
          </w:tcPr>
          <w:p w:rsidR="005B25F9" w:rsidRPr="00507BD2" w:rsidRDefault="005B25F9" w:rsidP="009F49AA">
            <w:pPr>
              <w:pStyle w:val="142"/>
              <w:jc w:val="right"/>
              <w:rPr>
                <w:rFonts w:hAnsi="標楷體" w:hint="eastAsia"/>
                <w:sz w:val="22"/>
                <w:szCs w:val="22"/>
              </w:rPr>
            </w:pPr>
            <w:r w:rsidRPr="00507BD2">
              <w:rPr>
                <w:rFonts w:hAnsi="標楷體" w:hint="eastAsia"/>
                <w:sz w:val="22"/>
                <w:szCs w:val="22"/>
              </w:rPr>
              <w:t>6</w:t>
            </w:r>
          </w:p>
        </w:tc>
        <w:tc>
          <w:tcPr>
            <w:tcW w:w="1223" w:type="dxa"/>
            <w:shd w:val="clear" w:color="auto" w:fill="auto"/>
          </w:tcPr>
          <w:p w:rsidR="005B25F9" w:rsidRPr="00507BD2" w:rsidRDefault="005B25F9" w:rsidP="009F49AA">
            <w:pPr>
              <w:pStyle w:val="142"/>
              <w:jc w:val="right"/>
              <w:rPr>
                <w:rFonts w:hAnsi="標楷體" w:hint="eastAsia"/>
                <w:sz w:val="22"/>
                <w:szCs w:val="22"/>
              </w:rPr>
            </w:pPr>
            <w:r w:rsidRPr="00507BD2">
              <w:rPr>
                <w:rFonts w:hAnsi="標楷體" w:hint="eastAsia"/>
                <w:sz w:val="22"/>
                <w:szCs w:val="22"/>
              </w:rPr>
              <w:t>11</w:t>
            </w:r>
          </w:p>
        </w:tc>
        <w:tc>
          <w:tcPr>
            <w:tcW w:w="1223" w:type="dxa"/>
            <w:shd w:val="clear" w:color="auto" w:fill="auto"/>
          </w:tcPr>
          <w:p w:rsidR="005B25F9" w:rsidRPr="00507BD2" w:rsidRDefault="005B25F9" w:rsidP="009F49AA">
            <w:pPr>
              <w:pStyle w:val="142"/>
              <w:jc w:val="right"/>
              <w:rPr>
                <w:rFonts w:hAnsi="標楷體" w:hint="eastAsia"/>
                <w:sz w:val="22"/>
                <w:szCs w:val="22"/>
              </w:rPr>
            </w:pPr>
            <w:r w:rsidRPr="00507BD2">
              <w:rPr>
                <w:rFonts w:hAnsi="標楷體" w:hint="eastAsia"/>
                <w:sz w:val="22"/>
                <w:szCs w:val="22"/>
              </w:rPr>
              <w:t>3</w:t>
            </w:r>
          </w:p>
        </w:tc>
        <w:tc>
          <w:tcPr>
            <w:tcW w:w="1223" w:type="dxa"/>
            <w:shd w:val="clear" w:color="auto" w:fill="auto"/>
          </w:tcPr>
          <w:p w:rsidR="005B25F9" w:rsidRPr="00507BD2" w:rsidRDefault="005B25F9" w:rsidP="009F49AA">
            <w:pPr>
              <w:pStyle w:val="142"/>
              <w:jc w:val="right"/>
              <w:rPr>
                <w:rFonts w:hAnsi="標楷體" w:hint="eastAsia"/>
                <w:sz w:val="22"/>
                <w:szCs w:val="22"/>
              </w:rPr>
            </w:pPr>
            <w:r w:rsidRPr="00507BD2">
              <w:rPr>
                <w:rFonts w:hAnsi="標楷體" w:hint="eastAsia"/>
                <w:sz w:val="22"/>
                <w:szCs w:val="22"/>
              </w:rPr>
              <w:t>1</w:t>
            </w:r>
          </w:p>
        </w:tc>
      </w:tr>
    </w:tbl>
    <w:p w:rsidR="005B25F9" w:rsidRPr="00507BD2" w:rsidRDefault="005B25F9" w:rsidP="005B25F9">
      <w:pPr>
        <w:pStyle w:val="142"/>
        <w:rPr>
          <w:rFonts w:hAnsi="標楷體"/>
        </w:rPr>
      </w:pPr>
      <w:r w:rsidRPr="00507BD2">
        <w:rPr>
          <w:rFonts w:hAnsi="標楷體"/>
        </w:rPr>
        <w:t>說</w:t>
      </w:r>
      <w:r w:rsidR="00830CF3" w:rsidRPr="00507BD2">
        <w:rPr>
          <w:rFonts w:hAnsi="標楷體" w:hint="eastAsia"/>
        </w:rPr>
        <w:t xml:space="preserve">    </w:t>
      </w:r>
      <w:r w:rsidRPr="00507BD2">
        <w:rPr>
          <w:rFonts w:hAnsi="標楷體"/>
        </w:rPr>
        <w:t>明</w:t>
      </w:r>
      <w:r w:rsidRPr="00507BD2">
        <w:rPr>
          <w:rFonts w:hAnsi="標楷體" w:hint="eastAsia"/>
        </w:rPr>
        <w:t>：1.本表以銀行法第72條之2規定計算。</w:t>
      </w:r>
    </w:p>
    <w:p w:rsidR="005B25F9" w:rsidRPr="00507BD2" w:rsidRDefault="005B25F9" w:rsidP="00830CF3">
      <w:pPr>
        <w:pStyle w:val="142"/>
        <w:ind w:leftChars="419" w:left="1428" w:hangingChars="99" w:hanging="241"/>
        <w:jc w:val="both"/>
        <w:rPr>
          <w:rFonts w:hAnsi="標楷體"/>
        </w:rPr>
      </w:pPr>
      <w:r w:rsidRPr="00507BD2">
        <w:rPr>
          <w:rFonts w:hAnsi="標楷體"/>
        </w:rPr>
        <w:t>2.本表不含土地銀行</w:t>
      </w:r>
      <w:r w:rsidRPr="00507BD2">
        <w:rPr>
          <w:rFonts w:hAnsi="標楷體" w:hint="eastAsia"/>
        </w:rPr>
        <w:t>、農業金庫、中國輸出入銀行、樂天國際商業銀行、連線商業銀行與花旗(臺灣</w:t>
      </w:r>
      <w:r w:rsidRPr="00507BD2">
        <w:rPr>
          <w:rFonts w:hAnsi="標楷體"/>
        </w:rPr>
        <w:t>)商業銀行</w:t>
      </w:r>
      <w:r w:rsidRPr="00507BD2">
        <w:rPr>
          <w:rFonts w:hAnsi="標楷體" w:hint="eastAsia"/>
        </w:rPr>
        <w:t>。</w:t>
      </w:r>
    </w:p>
    <w:p w:rsidR="003829D2" w:rsidRPr="00507BD2" w:rsidRDefault="003829D2" w:rsidP="005B25F9">
      <w:pPr>
        <w:pStyle w:val="142"/>
        <w:rPr>
          <w:rFonts w:hAnsi="標楷體"/>
        </w:rPr>
      </w:pPr>
      <w:r w:rsidRPr="00507BD2">
        <w:rPr>
          <w:rFonts w:hAnsi="標楷體" w:hint="eastAsia"/>
        </w:rPr>
        <w:t>資料來源：113年9月19日央行理監事會後記者會參考資料。</w:t>
      </w:r>
    </w:p>
    <w:p w:rsidR="00C50F88" w:rsidRPr="00507BD2" w:rsidRDefault="0095653E" w:rsidP="009518D3">
      <w:pPr>
        <w:pStyle w:val="123"/>
        <w:rPr>
          <w:rFonts w:ascii="標楷體"/>
        </w:rPr>
      </w:pPr>
      <w:r w:rsidRPr="00507BD2">
        <w:rPr>
          <w:rFonts w:ascii="標楷體" w:hint="eastAsia"/>
          <w:b/>
        </w:rPr>
        <w:t>2.</w:t>
      </w:r>
      <w:r w:rsidR="00C17B1F" w:rsidRPr="00507BD2">
        <w:rPr>
          <w:rFonts w:ascii="標楷體" w:hint="eastAsia"/>
          <w:b/>
        </w:rPr>
        <w:t>籲請銀行自主管理</w:t>
      </w:r>
      <w:r w:rsidRPr="00507BD2">
        <w:rPr>
          <w:rFonts w:ascii="標楷體" w:hint="eastAsia"/>
          <w:b/>
        </w:rPr>
        <w:t>過程引發恐慌，已</w:t>
      </w:r>
      <w:r w:rsidR="001218FA" w:rsidRPr="00507BD2">
        <w:rPr>
          <w:rFonts w:ascii="標楷體" w:hint="eastAsia"/>
          <w:b/>
        </w:rPr>
        <w:t>公布協處措施</w:t>
      </w:r>
      <w:r w:rsidRPr="00507BD2">
        <w:rPr>
          <w:rFonts w:ascii="標楷體" w:hint="eastAsia"/>
          <w:b/>
        </w:rPr>
        <w:t>：</w:t>
      </w:r>
      <w:r w:rsidR="00CD651B" w:rsidRPr="00507BD2">
        <w:rPr>
          <w:rFonts w:ascii="標楷體" w:hint="eastAsia"/>
        </w:rPr>
        <w:t>茲就採行措施詢據央行略以，113年8月</w:t>
      </w:r>
      <w:r w:rsidR="009E089A" w:rsidRPr="00507BD2">
        <w:rPr>
          <w:rFonts w:ascii="標楷體" w:hint="eastAsia"/>
        </w:rPr>
        <w:t>籲請各銀行自主管理不動產貸款總量，同年9月20日起調整選擇性信用管制措施，並自10月1日起調升存款準備率0.25個百分點，以降低借款人財務槓桿，抑制投機與囤房行為，引導信用資源優先提供無自用住宅者購屋貸款。央行宣示政策以來，</w:t>
      </w:r>
      <w:r w:rsidR="00F749E6" w:rsidRPr="00507BD2">
        <w:rPr>
          <w:rFonts w:ascii="標楷體" w:hint="eastAsia"/>
        </w:rPr>
        <w:t>引發民眾無法貸得款項</w:t>
      </w:r>
      <w:r w:rsidR="009329B5" w:rsidRPr="00507BD2">
        <w:rPr>
          <w:rFonts w:ascii="標楷體" w:hint="eastAsia"/>
        </w:rPr>
        <w:t>恐慌</w:t>
      </w:r>
      <w:r w:rsidR="00F749E6" w:rsidRPr="00507BD2">
        <w:rPr>
          <w:rFonts w:ascii="標楷體" w:hint="eastAsia"/>
        </w:rPr>
        <w:t>，</w:t>
      </w:r>
      <w:r w:rsidR="00D90B8C">
        <w:rPr>
          <w:rFonts w:ascii="標楷體" w:hint="eastAsia"/>
        </w:rPr>
        <w:t>旋即</w:t>
      </w:r>
      <w:r w:rsidR="001218FA" w:rsidRPr="00507BD2">
        <w:rPr>
          <w:rFonts w:ascii="標楷體" w:hint="eastAsia"/>
        </w:rPr>
        <w:t>於113年8月22日及10月9日</w:t>
      </w:r>
      <w:r w:rsidR="003E608F" w:rsidRPr="00507BD2">
        <w:rPr>
          <w:rFonts w:ascii="標楷體" w:hint="eastAsia"/>
        </w:rPr>
        <w:t>2次發布新聞稿，申明係請銀行依據自身經營情況研提未來1年自主管理之不動產貸款具體量化改善方案，俾</w:t>
      </w:r>
      <w:r w:rsidR="001218FA" w:rsidRPr="00507BD2">
        <w:rPr>
          <w:rFonts w:ascii="標楷體" w:hint="eastAsia"/>
        </w:rPr>
        <w:t>以</w:t>
      </w:r>
      <w:r w:rsidR="003E608F" w:rsidRPr="00507BD2">
        <w:rPr>
          <w:rFonts w:ascii="標楷體" w:hint="eastAsia"/>
        </w:rPr>
        <w:t>漸進方式強化風險管理</w:t>
      </w:r>
      <w:r w:rsidR="001218FA" w:rsidRPr="00507BD2">
        <w:rPr>
          <w:rFonts w:ascii="標楷體" w:hint="eastAsia"/>
        </w:rPr>
        <w:t>，另針對自然人繼承、換屋、已購屋將貸款等3類民眾提供</w:t>
      </w:r>
      <w:r w:rsidR="007D41EC" w:rsidRPr="00507BD2">
        <w:rPr>
          <w:rFonts w:ascii="標楷體" w:hint="eastAsia"/>
        </w:rPr>
        <w:t>協處措施</w:t>
      </w:r>
      <w:r w:rsidR="00FC1D66" w:rsidRPr="00507BD2">
        <w:rPr>
          <w:rFonts w:ascii="標楷體" w:hint="eastAsia"/>
        </w:rPr>
        <w:t>(詳表</w:t>
      </w:r>
      <w:r w:rsidR="00FC1D66" w:rsidRPr="00507BD2">
        <w:rPr>
          <w:rFonts w:ascii="標楷體"/>
        </w:rPr>
        <w:t>5</w:t>
      </w:r>
      <w:r w:rsidR="00FC1D66" w:rsidRPr="00507BD2">
        <w:rPr>
          <w:rFonts w:ascii="標楷體" w:hint="eastAsia"/>
        </w:rPr>
        <w:t>)，並提供</w:t>
      </w:r>
      <w:r w:rsidR="00A907DF" w:rsidRPr="00507BD2">
        <w:rPr>
          <w:rFonts w:ascii="標楷體" w:hint="eastAsia"/>
        </w:rPr>
        <w:t>電話</w:t>
      </w:r>
      <w:r w:rsidR="00FC1D66" w:rsidRPr="00507BD2">
        <w:rPr>
          <w:rFonts w:ascii="標楷體" w:hint="eastAsia"/>
        </w:rPr>
        <w:t>諮詢</w:t>
      </w:r>
      <w:r w:rsidR="004B1A0B" w:rsidRPr="00507BD2">
        <w:rPr>
          <w:rFonts w:ascii="標楷體" w:hint="eastAsia"/>
        </w:rPr>
        <w:t>。</w:t>
      </w:r>
    </w:p>
    <w:p w:rsidR="001218FA" w:rsidRPr="00507BD2" w:rsidRDefault="00C17B1F" w:rsidP="00FC1D66">
      <w:pPr>
        <w:pStyle w:val="ad"/>
        <w:ind w:left="283" w:hanging="283"/>
        <w:rPr>
          <w:rFonts w:hAnsi="標楷體"/>
          <w:b/>
        </w:rPr>
      </w:pPr>
      <w:r w:rsidRPr="00507BD2">
        <w:rPr>
          <w:rFonts w:hAnsi="標楷體"/>
          <w:b/>
        </w:rPr>
        <w:t>表</w:t>
      </w:r>
      <w:r w:rsidR="00BA5770" w:rsidRPr="00507BD2">
        <w:rPr>
          <w:rFonts w:hAnsi="標楷體"/>
          <w:b/>
        </w:rPr>
        <w:t>5</w:t>
      </w:r>
      <w:r w:rsidRPr="00507BD2">
        <w:rPr>
          <w:rFonts w:hAnsi="標楷體"/>
          <w:b/>
        </w:rPr>
        <w:t xml:space="preserve"> 113年10月9日</w:t>
      </w:r>
      <w:r w:rsidRPr="00507BD2">
        <w:rPr>
          <w:rFonts w:hAnsi="標楷體" w:hint="eastAsia"/>
          <w:b/>
        </w:rPr>
        <w:t>央行選擇性信用管制措施之協處措施</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457"/>
        <w:gridCol w:w="819"/>
        <w:gridCol w:w="851"/>
        <w:gridCol w:w="1417"/>
        <w:gridCol w:w="4992"/>
      </w:tblGrid>
      <w:tr w:rsidR="00BA5770" w:rsidRPr="00507BD2" w:rsidTr="00CC2CDC">
        <w:tc>
          <w:tcPr>
            <w:tcW w:w="457" w:type="dxa"/>
            <w:shd w:val="clear" w:color="auto" w:fill="auto"/>
            <w:vAlign w:val="center"/>
          </w:tcPr>
          <w:p w:rsidR="00BA5770" w:rsidRPr="00507BD2" w:rsidRDefault="00BA5770" w:rsidP="00C93DF5">
            <w:pPr>
              <w:pStyle w:val="142"/>
              <w:jc w:val="center"/>
              <w:rPr>
                <w:rFonts w:hAnsi="標楷體"/>
                <w:b/>
              </w:rPr>
            </w:pPr>
            <w:r w:rsidRPr="00507BD2">
              <w:rPr>
                <w:rFonts w:hAnsi="標楷體" w:hint="eastAsia"/>
                <w:b/>
              </w:rPr>
              <w:t>對象</w:t>
            </w:r>
          </w:p>
        </w:tc>
        <w:tc>
          <w:tcPr>
            <w:tcW w:w="819" w:type="dxa"/>
            <w:shd w:val="clear" w:color="auto" w:fill="auto"/>
            <w:vAlign w:val="center"/>
          </w:tcPr>
          <w:p w:rsidR="00BA5770" w:rsidRPr="00507BD2" w:rsidRDefault="00BA5770" w:rsidP="00C93DF5">
            <w:pPr>
              <w:pStyle w:val="142"/>
              <w:jc w:val="center"/>
              <w:rPr>
                <w:rFonts w:hAnsi="標楷體"/>
                <w:b/>
              </w:rPr>
            </w:pPr>
            <w:r w:rsidRPr="00507BD2">
              <w:rPr>
                <w:rFonts w:hAnsi="標楷體" w:hint="eastAsia"/>
                <w:b/>
              </w:rPr>
              <w:t>購置</w:t>
            </w:r>
          </w:p>
          <w:p w:rsidR="00BA5770" w:rsidRPr="00507BD2" w:rsidRDefault="00BA5770" w:rsidP="00C93DF5">
            <w:pPr>
              <w:pStyle w:val="142"/>
              <w:jc w:val="center"/>
              <w:rPr>
                <w:rFonts w:hAnsi="標楷體" w:hint="eastAsia"/>
                <w:b/>
              </w:rPr>
            </w:pPr>
            <w:r w:rsidRPr="00507BD2">
              <w:rPr>
                <w:rFonts w:hAnsi="標楷體" w:hint="eastAsia"/>
                <w:b/>
              </w:rPr>
              <w:t>屋型</w:t>
            </w:r>
          </w:p>
        </w:tc>
        <w:tc>
          <w:tcPr>
            <w:tcW w:w="7260" w:type="dxa"/>
            <w:gridSpan w:val="3"/>
            <w:shd w:val="clear" w:color="auto" w:fill="auto"/>
            <w:vAlign w:val="center"/>
          </w:tcPr>
          <w:p w:rsidR="00BA5770" w:rsidRPr="00507BD2" w:rsidRDefault="00BA5770" w:rsidP="00C93DF5">
            <w:pPr>
              <w:pStyle w:val="142"/>
              <w:jc w:val="center"/>
              <w:rPr>
                <w:rFonts w:hAnsi="標楷體"/>
                <w:b/>
              </w:rPr>
            </w:pPr>
            <w:r w:rsidRPr="00507BD2">
              <w:rPr>
                <w:rFonts w:hAnsi="標楷體" w:hint="eastAsia"/>
                <w:b/>
              </w:rPr>
              <w:t>排除適用情形</w:t>
            </w:r>
          </w:p>
        </w:tc>
      </w:tr>
      <w:tr w:rsidR="00BA5770" w:rsidRPr="00507BD2" w:rsidTr="00CC2CDC">
        <w:tc>
          <w:tcPr>
            <w:tcW w:w="457" w:type="dxa"/>
            <w:vMerge w:val="restart"/>
            <w:shd w:val="clear" w:color="auto" w:fill="auto"/>
            <w:vAlign w:val="center"/>
          </w:tcPr>
          <w:p w:rsidR="00BA5770" w:rsidRPr="00507BD2" w:rsidRDefault="00BA5770" w:rsidP="00C93DF5">
            <w:pPr>
              <w:pStyle w:val="142"/>
              <w:jc w:val="center"/>
              <w:rPr>
                <w:rFonts w:hAnsi="標楷體"/>
              </w:rPr>
            </w:pPr>
            <w:r w:rsidRPr="00507BD2">
              <w:rPr>
                <w:rFonts w:hAnsi="標楷體" w:hint="eastAsia"/>
              </w:rPr>
              <w:t>自然人</w:t>
            </w:r>
          </w:p>
        </w:tc>
        <w:tc>
          <w:tcPr>
            <w:tcW w:w="819" w:type="dxa"/>
            <w:vMerge w:val="restart"/>
            <w:shd w:val="clear" w:color="auto" w:fill="auto"/>
            <w:vAlign w:val="center"/>
          </w:tcPr>
          <w:p w:rsidR="00BA5770" w:rsidRPr="00507BD2" w:rsidRDefault="00BA5770" w:rsidP="00C93DF5">
            <w:pPr>
              <w:pStyle w:val="142"/>
              <w:jc w:val="center"/>
              <w:rPr>
                <w:rFonts w:hAnsi="標楷體"/>
              </w:rPr>
            </w:pPr>
            <w:r w:rsidRPr="00507BD2">
              <w:rPr>
                <w:rFonts w:hAnsi="標楷體" w:hint="eastAsia"/>
              </w:rPr>
              <w:t>非高</w:t>
            </w:r>
          </w:p>
          <w:p w:rsidR="00BA5770" w:rsidRPr="00507BD2" w:rsidRDefault="00BA5770" w:rsidP="00C93DF5">
            <w:pPr>
              <w:pStyle w:val="142"/>
              <w:jc w:val="center"/>
              <w:rPr>
                <w:rFonts w:hAnsi="標楷體"/>
              </w:rPr>
            </w:pPr>
            <w:r w:rsidRPr="00507BD2">
              <w:rPr>
                <w:rFonts w:hAnsi="標楷體" w:hint="eastAsia"/>
              </w:rPr>
              <w:t>價住</w:t>
            </w:r>
          </w:p>
          <w:p w:rsidR="00BA5770" w:rsidRPr="00507BD2" w:rsidRDefault="00BA5770" w:rsidP="00C93DF5">
            <w:pPr>
              <w:pStyle w:val="142"/>
              <w:jc w:val="center"/>
              <w:rPr>
                <w:rFonts w:hAnsi="標楷體"/>
              </w:rPr>
            </w:pPr>
            <w:r w:rsidRPr="00507BD2">
              <w:rPr>
                <w:rFonts w:hAnsi="標楷體" w:hint="eastAsia"/>
              </w:rPr>
              <w:t>宅</w:t>
            </w:r>
          </w:p>
        </w:tc>
        <w:tc>
          <w:tcPr>
            <w:tcW w:w="851" w:type="dxa"/>
            <w:shd w:val="clear" w:color="auto" w:fill="auto"/>
            <w:vAlign w:val="center"/>
          </w:tcPr>
          <w:p w:rsidR="00BA5770" w:rsidRPr="00507BD2" w:rsidRDefault="00BA5770" w:rsidP="00C93DF5">
            <w:pPr>
              <w:pStyle w:val="142"/>
              <w:jc w:val="both"/>
              <w:rPr>
                <w:rFonts w:hAnsi="標楷體"/>
              </w:rPr>
            </w:pPr>
            <w:r w:rsidRPr="00507BD2">
              <w:rPr>
                <w:rFonts w:hAnsi="標楷體" w:hint="eastAsia"/>
              </w:rPr>
              <w:t>繼承</w:t>
            </w:r>
          </w:p>
        </w:tc>
        <w:tc>
          <w:tcPr>
            <w:tcW w:w="6409" w:type="dxa"/>
            <w:gridSpan w:val="2"/>
            <w:shd w:val="clear" w:color="auto" w:fill="auto"/>
          </w:tcPr>
          <w:p w:rsidR="00BA5770" w:rsidRPr="00507BD2" w:rsidRDefault="00092FE9" w:rsidP="00C93DF5">
            <w:pPr>
              <w:pStyle w:val="142"/>
              <w:jc w:val="both"/>
              <w:rPr>
                <w:rFonts w:hAnsi="標楷體"/>
              </w:rPr>
            </w:pPr>
            <w:r w:rsidRPr="00507BD2">
              <w:rPr>
                <w:rFonts w:hAnsi="標楷體" w:hint="eastAsia"/>
              </w:rPr>
              <w:t>取得之房屋及房貸，不計入規定房屋數及房貸戶數。</w:t>
            </w:r>
          </w:p>
        </w:tc>
      </w:tr>
      <w:tr w:rsidR="00092FE9" w:rsidRPr="00507BD2" w:rsidTr="00364674">
        <w:tc>
          <w:tcPr>
            <w:tcW w:w="457" w:type="dxa"/>
            <w:vMerge/>
            <w:shd w:val="clear" w:color="auto" w:fill="auto"/>
          </w:tcPr>
          <w:p w:rsidR="00092FE9" w:rsidRPr="00507BD2" w:rsidRDefault="00092FE9" w:rsidP="00C93DF5">
            <w:pPr>
              <w:pStyle w:val="142"/>
              <w:jc w:val="both"/>
              <w:rPr>
                <w:rFonts w:hAnsi="標楷體"/>
              </w:rPr>
            </w:pPr>
          </w:p>
        </w:tc>
        <w:tc>
          <w:tcPr>
            <w:tcW w:w="819" w:type="dxa"/>
            <w:vMerge/>
            <w:shd w:val="clear" w:color="auto" w:fill="auto"/>
          </w:tcPr>
          <w:p w:rsidR="00092FE9" w:rsidRPr="00507BD2" w:rsidRDefault="00092FE9" w:rsidP="00C93DF5">
            <w:pPr>
              <w:pStyle w:val="142"/>
              <w:jc w:val="both"/>
              <w:rPr>
                <w:rFonts w:hAnsi="標楷體"/>
              </w:rPr>
            </w:pPr>
          </w:p>
        </w:tc>
        <w:tc>
          <w:tcPr>
            <w:tcW w:w="851" w:type="dxa"/>
            <w:vMerge w:val="restart"/>
            <w:shd w:val="clear" w:color="auto" w:fill="auto"/>
            <w:vAlign w:val="center"/>
          </w:tcPr>
          <w:p w:rsidR="00092FE9" w:rsidRPr="00507BD2" w:rsidRDefault="00092FE9" w:rsidP="00C93DF5">
            <w:pPr>
              <w:pStyle w:val="142"/>
              <w:jc w:val="both"/>
              <w:rPr>
                <w:rFonts w:hAnsi="標楷體"/>
              </w:rPr>
            </w:pPr>
            <w:r w:rsidRPr="00507BD2">
              <w:rPr>
                <w:rFonts w:hAnsi="標楷體" w:hint="eastAsia"/>
              </w:rPr>
              <w:t>換屋</w:t>
            </w:r>
          </w:p>
        </w:tc>
        <w:tc>
          <w:tcPr>
            <w:tcW w:w="1417" w:type="dxa"/>
            <w:vMerge w:val="restart"/>
            <w:shd w:val="clear" w:color="auto" w:fill="auto"/>
          </w:tcPr>
          <w:p w:rsidR="00092FE9" w:rsidRPr="00507BD2" w:rsidRDefault="00092FE9" w:rsidP="00C93DF5">
            <w:pPr>
              <w:pStyle w:val="142"/>
              <w:jc w:val="both"/>
              <w:rPr>
                <w:rFonts w:hAnsi="標楷體"/>
              </w:rPr>
            </w:pPr>
            <w:r w:rsidRPr="00507BD2">
              <w:rPr>
                <w:rFonts w:hAnsi="標楷體" w:hint="eastAsia"/>
              </w:rPr>
              <w:t>須與承貸金融機構切結約定右列事項，新申辦之第1戶或第2戶</w:t>
            </w:r>
          </w:p>
        </w:tc>
        <w:tc>
          <w:tcPr>
            <w:tcW w:w="4992" w:type="dxa"/>
            <w:shd w:val="clear" w:color="auto" w:fill="auto"/>
          </w:tcPr>
          <w:p w:rsidR="00092FE9" w:rsidRPr="00507BD2" w:rsidRDefault="00FC1D66" w:rsidP="00C93DF5">
            <w:pPr>
              <w:pStyle w:val="142"/>
              <w:jc w:val="both"/>
              <w:rPr>
                <w:rFonts w:hAnsi="標楷體"/>
              </w:rPr>
            </w:pPr>
            <w:r w:rsidRPr="00507BD2">
              <w:rPr>
                <w:rFonts w:hAnsi="標楷體" w:hint="eastAsia"/>
              </w:rPr>
              <w:t>新申辦之購屋貸款撥款後1年內，將名下原有房屋出售並完成產權移轉登記，且不得以轉貸等方式規避。</w:t>
            </w:r>
          </w:p>
        </w:tc>
      </w:tr>
      <w:tr w:rsidR="00092FE9" w:rsidRPr="00507BD2" w:rsidTr="00364674">
        <w:tc>
          <w:tcPr>
            <w:tcW w:w="457" w:type="dxa"/>
            <w:vMerge/>
            <w:shd w:val="clear" w:color="auto" w:fill="auto"/>
          </w:tcPr>
          <w:p w:rsidR="00092FE9" w:rsidRPr="00507BD2" w:rsidRDefault="00092FE9" w:rsidP="00C93DF5">
            <w:pPr>
              <w:pStyle w:val="142"/>
              <w:jc w:val="both"/>
              <w:rPr>
                <w:rFonts w:hAnsi="標楷體"/>
              </w:rPr>
            </w:pPr>
          </w:p>
        </w:tc>
        <w:tc>
          <w:tcPr>
            <w:tcW w:w="819" w:type="dxa"/>
            <w:vMerge/>
            <w:shd w:val="clear" w:color="auto" w:fill="auto"/>
          </w:tcPr>
          <w:p w:rsidR="00092FE9" w:rsidRPr="00507BD2" w:rsidRDefault="00092FE9" w:rsidP="00C93DF5">
            <w:pPr>
              <w:pStyle w:val="142"/>
              <w:jc w:val="both"/>
              <w:rPr>
                <w:rFonts w:hAnsi="標楷體"/>
              </w:rPr>
            </w:pPr>
          </w:p>
        </w:tc>
        <w:tc>
          <w:tcPr>
            <w:tcW w:w="851" w:type="dxa"/>
            <w:vMerge/>
            <w:shd w:val="clear" w:color="auto" w:fill="auto"/>
            <w:vAlign w:val="center"/>
          </w:tcPr>
          <w:p w:rsidR="00092FE9" w:rsidRPr="00507BD2" w:rsidRDefault="00092FE9" w:rsidP="00C93DF5">
            <w:pPr>
              <w:pStyle w:val="142"/>
              <w:jc w:val="both"/>
              <w:rPr>
                <w:rFonts w:hAnsi="標楷體"/>
              </w:rPr>
            </w:pPr>
          </w:p>
        </w:tc>
        <w:tc>
          <w:tcPr>
            <w:tcW w:w="1417" w:type="dxa"/>
            <w:vMerge/>
            <w:shd w:val="clear" w:color="auto" w:fill="auto"/>
          </w:tcPr>
          <w:p w:rsidR="00092FE9" w:rsidRPr="00507BD2" w:rsidRDefault="00092FE9" w:rsidP="00C93DF5">
            <w:pPr>
              <w:pStyle w:val="142"/>
              <w:jc w:val="both"/>
              <w:rPr>
                <w:rFonts w:hAnsi="標楷體"/>
              </w:rPr>
            </w:pPr>
          </w:p>
        </w:tc>
        <w:tc>
          <w:tcPr>
            <w:tcW w:w="4992" w:type="dxa"/>
            <w:shd w:val="clear" w:color="auto" w:fill="auto"/>
          </w:tcPr>
          <w:p w:rsidR="00092FE9" w:rsidRPr="00507BD2" w:rsidRDefault="00FC1D66" w:rsidP="00C93DF5">
            <w:pPr>
              <w:pStyle w:val="142"/>
              <w:jc w:val="both"/>
              <w:rPr>
                <w:rFonts w:hAnsi="標楷體"/>
              </w:rPr>
            </w:pPr>
            <w:r w:rsidRPr="0020064C">
              <w:rPr>
                <w:rFonts w:hAnsi="標楷體"/>
              </w:rPr>
              <w:t>違反切結事項時，承貸金融機構應對借款人取消寬限期、收回原應分期償還之貸款本金或貸款成數差額、追收罰息及加收違約金等。</w:t>
            </w:r>
          </w:p>
        </w:tc>
      </w:tr>
      <w:tr w:rsidR="00BA5770" w:rsidRPr="00507BD2" w:rsidTr="00CC2CDC">
        <w:tc>
          <w:tcPr>
            <w:tcW w:w="457" w:type="dxa"/>
            <w:vMerge/>
            <w:shd w:val="clear" w:color="auto" w:fill="auto"/>
          </w:tcPr>
          <w:p w:rsidR="00BA5770" w:rsidRPr="00507BD2" w:rsidRDefault="00BA5770" w:rsidP="00C93DF5">
            <w:pPr>
              <w:pStyle w:val="142"/>
              <w:jc w:val="both"/>
              <w:rPr>
                <w:rFonts w:hAnsi="標楷體"/>
              </w:rPr>
            </w:pPr>
          </w:p>
        </w:tc>
        <w:tc>
          <w:tcPr>
            <w:tcW w:w="819" w:type="dxa"/>
            <w:vMerge/>
            <w:shd w:val="clear" w:color="auto" w:fill="auto"/>
          </w:tcPr>
          <w:p w:rsidR="00BA5770" w:rsidRPr="00507BD2" w:rsidRDefault="00BA5770" w:rsidP="00C93DF5">
            <w:pPr>
              <w:pStyle w:val="142"/>
              <w:jc w:val="both"/>
              <w:rPr>
                <w:rFonts w:hAnsi="標楷體"/>
              </w:rPr>
            </w:pPr>
          </w:p>
        </w:tc>
        <w:tc>
          <w:tcPr>
            <w:tcW w:w="851" w:type="dxa"/>
            <w:vMerge w:val="restart"/>
            <w:shd w:val="clear" w:color="auto" w:fill="auto"/>
            <w:vAlign w:val="center"/>
          </w:tcPr>
          <w:p w:rsidR="00BA5770" w:rsidRPr="00507BD2" w:rsidRDefault="00BA5770" w:rsidP="00C93DF5">
            <w:pPr>
              <w:pStyle w:val="142"/>
              <w:jc w:val="both"/>
              <w:rPr>
                <w:rFonts w:hAnsi="標楷體"/>
              </w:rPr>
            </w:pPr>
            <w:r w:rsidRPr="00507BD2">
              <w:rPr>
                <w:rFonts w:hAnsi="標楷體" w:hint="eastAsia"/>
              </w:rPr>
              <w:t>已簽約，將申辦貸款</w:t>
            </w:r>
          </w:p>
        </w:tc>
        <w:tc>
          <w:tcPr>
            <w:tcW w:w="6409" w:type="dxa"/>
            <w:gridSpan w:val="2"/>
            <w:shd w:val="clear" w:color="auto" w:fill="auto"/>
          </w:tcPr>
          <w:p w:rsidR="00BA5770" w:rsidRPr="00507BD2" w:rsidRDefault="00FC1D66" w:rsidP="00C93DF5">
            <w:pPr>
              <w:pStyle w:val="142"/>
              <w:jc w:val="both"/>
              <w:rPr>
                <w:rFonts w:hAnsi="標楷體"/>
              </w:rPr>
            </w:pPr>
            <w:r w:rsidRPr="00507BD2">
              <w:rPr>
                <w:rFonts w:hAnsi="標楷體" w:hint="eastAsia"/>
              </w:rPr>
              <w:t>符合上開情形者，仍可排除。</w:t>
            </w:r>
          </w:p>
        </w:tc>
      </w:tr>
      <w:tr w:rsidR="00BA5770" w:rsidRPr="00507BD2" w:rsidTr="00CC2CDC">
        <w:tc>
          <w:tcPr>
            <w:tcW w:w="457" w:type="dxa"/>
            <w:vMerge/>
            <w:shd w:val="clear" w:color="auto" w:fill="auto"/>
          </w:tcPr>
          <w:p w:rsidR="00BA5770" w:rsidRPr="00507BD2" w:rsidRDefault="00BA5770" w:rsidP="00C93DF5">
            <w:pPr>
              <w:pStyle w:val="142"/>
              <w:jc w:val="both"/>
              <w:rPr>
                <w:rFonts w:hAnsi="標楷體"/>
              </w:rPr>
            </w:pPr>
          </w:p>
        </w:tc>
        <w:tc>
          <w:tcPr>
            <w:tcW w:w="819" w:type="dxa"/>
            <w:vMerge/>
            <w:shd w:val="clear" w:color="auto" w:fill="auto"/>
          </w:tcPr>
          <w:p w:rsidR="00BA5770" w:rsidRPr="00507BD2" w:rsidRDefault="00BA5770" w:rsidP="00C93DF5">
            <w:pPr>
              <w:pStyle w:val="142"/>
              <w:jc w:val="both"/>
              <w:rPr>
                <w:rFonts w:hAnsi="標楷體"/>
              </w:rPr>
            </w:pPr>
          </w:p>
        </w:tc>
        <w:tc>
          <w:tcPr>
            <w:tcW w:w="851" w:type="dxa"/>
            <w:vMerge/>
            <w:shd w:val="clear" w:color="auto" w:fill="auto"/>
          </w:tcPr>
          <w:p w:rsidR="00BA5770" w:rsidRPr="00507BD2" w:rsidRDefault="00BA5770" w:rsidP="00C93DF5">
            <w:pPr>
              <w:pStyle w:val="142"/>
              <w:jc w:val="both"/>
              <w:rPr>
                <w:rFonts w:hAnsi="標楷體"/>
              </w:rPr>
            </w:pPr>
          </w:p>
        </w:tc>
        <w:tc>
          <w:tcPr>
            <w:tcW w:w="6409" w:type="dxa"/>
            <w:gridSpan w:val="2"/>
            <w:shd w:val="clear" w:color="auto" w:fill="auto"/>
          </w:tcPr>
          <w:p w:rsidR="00BA5770" w:rsidRPr="00507BD2" w:rsidRDefault="00FC1D66" w:rsidP="0020064C">
            <w:pPr>
              <w:pStyle w:val="142"/>
              <w:jc w:val="both"/>
              <w:rPr>
                <w:rFonts w:hAnsi="標楷體"/>
              </w:rPr>
            </w:pPr>
            <w:r w:rsidRPr="00507BD2">
              <w:rPr>
                <w:rFonts w:hAnsi="標楷體" w:hint="eastAsia"/>
              </w:rPr>
              <w:t>青年安心成家購屋優惠貸款，且非屬高價住宅貸款，不受規定第1戶及第2戶購屋貸款限制。</w:t>
            </w:r>
          </w:p>
        </w:tc>
      </w:tr>
    </w:tbl>
    <w:p w:rsidR="00C50F88" w:rsidRPr="00507BD2" w:rsidRDefault="002B4543" w:rsidP="00CC2CDC">
      <w:pPr>
        <w:pStyle w:val="142"/>
        <w:rPr>
          <w:rFonts w:hAnsi="標楷體"/>
        </w:rPr>
      </w:pPr>
      <w:r w:rsidRPr="00507BD2">
        <w:rPr>
          <w:rFonts w:hAnsi="標楷體" w:hint="eastAsia"/>
        </w:rPr>
        <w:t>資料來源：整理自</w:t>
      </w:r>
      <w:r w:rsidR="00A4631C" w:rsidRPr="00507BD2">
        <w:rPr>
          <w:rFonts w:hAnsi="標楷體" w:hint="eastAsia"/>
        </w:rPr>
        <w:t>央行</w:t>
      </w:r>
      <w:r w:rsidRPr="00507BD2">
        <w:rPr>
          <w:rFonts w:hAnsi="標楷體" w:hint="eastAsia"/>
        </w:rPr>
        <w:t>113年10月9日新聞稿。</w:t>
      </w:r>
    </w:p>
    <w:p w:rsidR="00C50F88" w:rsidRDefault="002B4543" w:rsidP="00FC1D66">
      <w:pPr>
        <w:ind w:left="566" w:firstLine="566"/>
        <w:rPr>
          <w:rFonts w:hAnsi="標楷體"/>
        </w:rPr>
      </w:pPr>
      <w:r w:rsidRPr="00507BD2">
        <w:rPr>
          <w:rFonts w:hAnsi="標楷體" w:hint="eastAsia"/>
        </w:rPr>
        <w:t>綜上，</w:t>
      </w:r>
      <w:r w:rsidR="00A2645A" w:rsidRPr="00507BD2">
        <w:rPr>
          <w:rFonts w:hAnsi="標楷體" w:hint="eastAsia"/>
        </w:rPr>
        <w:t>央行實施選擇性信用管制措施以來，</w:t>
      </w:r>
      <w:r w:rsidR="00075579" w:rsidRPr="00507BD2">
        <w:rPr>
          <w:rFonts w:hAnsi="標楷體" w:hint="eastAsia"/>
        </w:rPr>
        <w:t>因</w:t>
      </w:r>
      <w:r w:rsidR="002978F5" w:rsidRPr="00507BD2">
        <w:rPr>
          <w:rFonts w:hAnsi="標楷體" w:hint="eastAsia"/>
        </w:rPr>
        <w:t>不動產貸款集中度</w:t>
      </w:r>
      <w:r w:rsidR="002334C6" w:rsidRPr="00507BD2">
        <w:rPr>
          <w:rFonts w:hAnsi="標楷體" w:hint="eastAsia"/>
        </w:rPr>
        <w:t>問題猶存</w:t>
      </w:r>
      <w:r w:rsidR="002978F5" w:rsidRPr="00507BD2">
        <w:rPr>
          <w:rFonts w:hAnsi="標楷體" w:hint="eastAsia"/>
        </w:rPr>
        <w:t>，113年度</w:t>
      </w:r>
      <w:r w:rsidR="00A90610">
        <w:rPr>
          <w:rFonts w:hAnsi="標楷體" w:hint="eastAsia"/>
        </w:rPr>
        <w:t>至8月底</w:t>
      </w:r>
      <w:r w:rsidR="002978F5" w:rsidRPr="00507BD2">
        <w:rPr>
          <w:rFonts w:hAnsi="標楷體" w:hint="eastAsia"/>
        </w:rPr>
        <w:t>購置住宅貸款餘額急速增加，多數銀行</w:t>
      </w:r>
      <w:r w:rsidR="00A90610">
        <w:rPr>
          <w:rFonts w:hAnsi="標楷體" w:hint="eastAsia"/>
        </w:rPr>
        <w:t>建築放款</w:t>
      </w:r>
      <w:r w:rsidR="002978F5" w:rsidRPr="00507BD2">
        <w:rPr>
          <w:rFonts w:hAnsi="標楷體" w:hint="eastAsia"/>
        </w:rPr>
        <w:t>趨近法定及內部警戒上限，爰請銀行自主管理</w:t>
      </w:r>
      <w:r w:rsidRPr="00507BD2">
        <w:rPr>
          <w:rFonts w:hAnsi="標楷體" w:hint="eastAsia"/>
        </w:rPr>
        <w:t>，惟過程引發</w:t>
      </w:r>
      <w:r w:rsidR="00AD5171" w:rsidRPr="00507BD2">
        <w:rPr>
          <w:rFonts w:hAnsi="標楷體" w:hint="eastAsia"/>
        </w:rPr>
        <w:t>民眾</w:t>
      </w:r>
      <w:r w:rsidRPr="00507BD2">
        <w:rPr>
          <w:rFonts w:hAnsi="標楷體" w:hint="eastAsia"/>
        </w:rPr>
        <w:t>恐慌，</w:t>
      </w:r>
      <w:r w:rsidR="002978F5" w:rsidRPr="00507BD2">
        <w:rPr>
          <w:rFonts w:hAnsi="標楷體" w:hint="eastAsia"/>
        </w:rPr>
        <w:t>已採行協處措施。</w:t>
      </w:r>
      <w:r w:rsidR="00C47A5A" w:rsidRPr="00507BD2">
        <w:rPr>
          <w:rFonts w:hAnsi="標楷體" w:hint="eastAsia"/>
        </w:rPr>
        <w:t>為</w:t>
      </w:r>
      <w:r w:rsidR="00A778E6" w:rsidRPr="00507BD2">
        <w:rPr>
          <w:rFonts w:hAnsi="標楷體" w:hint="eastAsia"/>
        </w:rPr>
        <w:t>掌握關鍵</w:t>
      </w:r>
      <w:r w:rsidR="00075579" w:rsidRPr="00507BD2">
        <w:rPr>
          <w:rFonts w:hAnsi="標楷體" w:hint="eastAsia"/>
        </w:rPr>
        <w:t>資訊</w:t>
      </w:r>
      <w:r w:rsidR="00A778E6" w:rsidRPr="00507BD2">
        <w:rPr>
          <w:rFonts w:hAnsi="標楷體" w:hint="eastAsia"/>
        </w:rPr>
        <w:t>作為</w:t>
      </w:r>
      <w:r w:rsidR="00F17DC8" w:rsidRPr="00507BD2">
        <w:rPr>
          <w:rFonts w:hAnsi="標楷體" w:hint="eastAsia"/>
        </w:rPr>
        <w:t>理監事會議</w:t>
      </w:r>
      <w:r w:rsidR="00A778E6" w:rsidRPr="00507BD2">
        <w:rPr>
          <w:rFonts w:hAnsi="標楷體" w:hint="eastAsia"/>
        </w:rPr>
        <w:t>判斷</w:t>
      </w:r>
      <w:r w:rsidR="00113AE8">
        <w:rPr>
          <w:rFonts w:hAnsi="標楷體" w:hint="eastAsia"/>
        </w:rPr>
        <w:t>依據</w:t>
      </w:r>
      <w:r w:rsidR="00075579" w:rsidRPr="00507BD2">
        <w:rPr>
          <w:rFonts w:hAnsi="標楷體" w:hint="eastAsia"/>
        </w:rPr>
        <w:t>，</w:t>
      </w:r>
      <w:r w:rsidR="00C47A5A" w:rsidRPr="00507BD2">
        <w:rPr>
          <w:rFonts w:hAnsi="標楷體" w:hint="eastAsia"/>
        </w:rPr>
        <w:t>使</w:t>
      </w:r>
      <w:r w:rsidR="00A778E6" w:rsidRPr="00507BD2">
        <w:rPr>
          <w:rFonts w:hAnsi="標楷體" w:hint="eastAsia"/>
        </w:rPr>
        <w:t>政策朝</w:t>
      </w:r>
      <w:r w:rsidR="007E4483" w:rsidRPr="00507BD2">
        <w:rPr>
          <w:rFonts w:hAnsi="標楷體" w:hint="eastAsia"/>
        </w:rPr>
        <w:t>向</w:t>
      </w:r>
      <w:r w:rsidR="00C47A5A" w:rsidRPr="00507BD2">
        <w:rPr>
          <w:rFonts w:hAnsi="標楷體" w:hint="eastAsia"/>
        </w:rPr>
        <w:t>房價合理化</w:t>
      </w:r>
      <w:r w:rsidR="00800409">
        <w:rPr>
          <w:rFonts w:hAnsi="標楷體" w:hint="eastAsia"/>
        </w:rPr>
        <w:t>及穩定社會氛圍</w:t>
      </w:r>
      <w:r w:rsidR="00A778E6" w:rsidRPr="00507BD2">
        <w:rPr>
          <w:rFonts w:hAnsi="標楷體" w:hint="eastAsia"/>
        </w:rPr>
        <w:t>進行</w:t>
      </w:r>
      <w:r w:rsidRPr="00507BD2">
        <w:rPr>
          <w:rFonts w:hAnsi="標楷體" w:hint="eastAsia"/>
        </w:rPr>
        <w:t>，</w:t>
      </w:r>
      <w:r w:rsidR="00C47A5A" w:rsidRPr="00507BD2">
        <w:rPr>
          <w:rFonts w:hAnsi="標楷體" w:hint="eastAsia"/>
        </w:rPr>
        <w:t>允宜</w:t>
      </w:r>
      <w:r w:rsidRPr="00507BD2">
        <w:rPr>
          <w:rFonts w:hAnsi="標楷體" w:hint="eastAsia"/>
        </w:rPr>
        <w:t>於</w:t>
      </w:r>
      <w:r w:rsidR="00A778E6" w:rsidRPr="00507BD2">
        <w:rPr>
          <w:rFonts w:hAnsi="標楷體" w:hint="eastAsia"/>
        </w:rPr>
        <w:t>會前</w:t>
      </w:r>
      <w:r w:rsidRPr="00507BD2">
        <w:rPr>
          <w:rFonts w:hAnsi="標楷體" w:hint="eastAsia"/>
        </w:rPr>
        <w:t>模擬</w:t>
      </w:r>
      <w:r w:rsidR="00E92086">
        <w:rPr>
          <w:rFonts w:hAnsi="標楷體" w:hint="eastAsia"/>
        </w:rPr>
        <w:t>政策效應</w:t>
      </w:r>
      <w:r w:rsidRPr="00507BD2">
        <w:rPr>
          <w:rFonts w:hAnsi="標楷體" w:hint="eastAsia"/>
        </w:rPr>
        <w:t>，俾</w:t>
      </w:r>
      <w:r w:rsidR="0080469D">
        <w:rPr>
          <w:rFonts w:hAnsi="標楷體" w:hint="eastAsia"/>
        </w:rPr>
        <w:t>滾動</w:t>
      </w:r>
      <w:r w:rsidR="00994FEA" w:rsidRPr="00507BD2">
        <w:rPr>
          <w:rFonts w:hAnsi="標楷體" w:hint="eastAsia"/>
        </w:rPr>
        <w:t>檢討相關措施，</w:t>
      </w:r>
      <w:r w:rsidR="007E4483" w:rsidRPr="00507BD2">
        <w:rPr>
          <w:rFonts w:hAnsi="標楷體" w:hint="eastAsia"/>
        </w:rPr>
        <w:t>維</w:t>
      </w:r>
      <w:r w:rsidR="00854BFD">
        <w:rPr>
          <w:rFonts w:hAnsi="標楷體" w:hint="eastAsia"/>
        </w:rPr>
        <w:t>持</w:t>
      </w:r>
      <w:r w:rsidR="008E11C1" w:rsidRPr="00507BD2">
        <w:rPr>
          <w:rFonts w:hAnsi="標楷體" w:hint="eastAsia"/>
        </w:rPr>
        <w:t>金融穩定</w:t>
      </w:r>
      <w:r w:rsidR="007E4483" w:rsidRPr="00507BD2">
        <w:rPr>
          <w:rFonts w:hAnsi="標楷體" w:hint="eastAsia"/>
        </w:rPr>
        <w:t>並兼顧</w:t>
      </w:r>
      <w:r w:rsidR="008E11C1" w:rsidRPr="00507BD2">
        <w:rPr>
          <w:rFonts w:hAnsi="標楷體" w:hint="eastAsia"/>
        </w:rPr>
        <w:t>民眾需求</w:t>
      </w:r>
      <w:r w:rsidRPr="00507BD2">
        <w:rPr>
          <w:rFonts w:hAnsi="標楷體" w:hint="eastAsia"/>
        </w:rPr>
        <w:t>。</w:t>
      </w:r>
    </w:p>
    <w:p w:rsidR="00B07B17" w:rsidRDefault="00B07B17" w:rsidP="00FC1D66">
      <w:pPr>
        <w:ind w:left="566" w:firstLine="566"/>
        <w:rPr>
          <w:rFonts w:hAnsi="標楷體" w:hint="eastAsia"/>
        </w:rPr>
      </w:pPr>
    </w:p>
    <w:p w:rsidR="00EA1955" w:rsidRPr="00507BD2" w:rsidRDefault="007E491E" w:rsidP="008121F0">
      <w:pPr>
        <w:pStyle w:val="14"/>
        <w:ind w:left="567" w:hanging="567"/>
        <w:rPr>
          <w:rFonts w:hAnsi="標楷體" w:hint="eastAsia"/>
        </w:rPr>
      </w:pPr>
      <w:bookmarkStart w:id="9" w:name="_Toc181965726"/>
      <w:r w:rsidRPr="00507BD2">
        <w:rPr>
          <w:rFonts w:hAnsi="標楷體" w:hint="eastAsia"/>
        </w:rPr>
        <w:t>二</w:t>
      </w:r>
      <w:r w:rsidR="00EA1955" w:rsidRPr="00507BD2">
        <w:rPr>
          <w:rFonts w:hAnsi="標楷體" w:hint="eastAsia"/>
        </w:rPr>
        <w:t>、</w:t>
      </w:r>
      <w:bookmarkEnd w:id="7"/>
      <w:r w:rsidR="009F470E" w:rsidRPr="00507BD2">
        <w:rPr>
          <w:rFonts w:hAnsi="標楷體" w:hint="eastAsia"/>
        </w:rPr>
        <w:t>國際貨幣基金刻正進行「第七版國際收支及國際投資部位手冊」研修作業，</w:t>
      </w:r>
      <w:r w:rsidR="00CB601E" w:rsidRPr="00507BD2">
        <w:rPr>
          <w:rFonts w:hAnsi="標楷體" w:hint="eastAsia"/>
        </w:rPr>
        <w:t>允宜審慎規劃統計改版事宜，俾利接軌</w:t>
      </w:r>
      <w:bookmarkEnd w:id="9"/>
    </w:p>
    <w:p w:rsidR="00EA1955" w:rsidRPr="00507BD2" w:rsidRDefault="00512008" w:rsidP="004B1930">
      <w:pPr>
        <w:ind w:left="566" w:firstLine="566"/>
        <w:rPr>
          <w:rFonts w:hAnsi="標楷體"/>
        </w:rPr>
      </w:pPr>
      <w:r w:rsidRPr="00507BD2">
        <w:rPr>
          <w:rFonts w:hAnsi="標楷體" w:hint="eastAsia"/>
        </w:rPr>
        <w:t>央行114年度預算案</w:t>
      </w:r>
      <w:r w:rsidR="000E29C6" w:rsidRPr="00507BD2">
        <w:rPr>
          <w:rFonts w:hAnsi="標楷體" w:hint="eastAsia"/>
        </w:rPr>
        <w:t>於</w:t>
      </w:r>
      <w:r w:rsidRPr="00507BD2">
        <w:rPr>
          <w:rFonts w:hAnsi="標楷體" w:hint="eastAsia"/>
        </w:rPr>
        <w:t>「</w:t>
      </w:r>
      <w:r w:rsidR="00A9445D">
        <w:rPr>
          <w:rFonts w:hAnsi="標楷體" w:hint="eastAsia"/>
        </w:rPr>
        <w:t>參、業務計畫</w:t>
      </w:r>
      <w:r w:rsidRPr="00507BD2">
        <w:rPr>
          <w:rFonts w:hAnsi="標楷體" w:hint="eastAsia"/>
        </w:rPr>
        <w:t>」</w:t>
      </w:r>
      <w:r w:rsidR="0020064C">
        <w:rPr>
          <w:rFonts w:hAnsi="標楷體" w:hint="eastAsia"/>
        </w:rPr>
        <w:t>-「三、經濟研究計畫」</w:t>
      </w:r>
      <w:r w:rsidRPr="00507BD2">
        <w:rPr>
          <w:rFonts w:hAnsi="標楷體" w:hint="eastAsia"/>
        </w:rPr>
        <w:t>列有「</w:t>
      </w:r>
      <w:r w:rsidR="00ED2F09" w:rsidRPr="00507BD2">
        <w:rPr>
          <w:rFonts w:hAnsi="標楷體" w:hint="eastAsia"/>
        </w:rPr>
        <w:t>編製</w:t>
      </w:r>
      <w:r w:rsidR="00B3156E" w:rsidRPr="00507BD2">
        <w:rPr>
          <w:rFonts w:hAnsi="標楷體" w:hint="eastAsia"/>
        </w:rPr>
        <w:t>國際收支統計，據以分析商品及服務貿易、所得收支、資本移動及匯率變動對我國經濟金融的影響；另編製國際投資部位統計，據以分析對外資產負債存量、金融開放比率、對外融資穩定度及風險評估等變化。</w:t>
      </w:r>
      <w:r w:rsidRPr="00507BD2">
        <w:rPr>
          <w:rFonts w:hAnsi="標楷體" w:hint="eastAsia"/>
        </w:rPr>
        <w:t>」</w:t>
      </w:r>
      <w:r w:rsidR="003D312E">
        <w:rPr>
          <w:rFonts w:hAnsi="標楷體" w:hint="eastAsia"/>
        </w:rPr>
        <w:t>該</w:t>
      </w:r>
      <w:r w:rsidR="00B3156E" w:rsidRPr="00507BD2">
        <w:rPr>
          <w:rFonts w:hAnsi="標楷體" w:hint="eastAsia"/>
        </w:rPr>
        <w:t>行</w:t>
      </w:r>
      <w:r w:rsidR="00851DF3" w:rsidRPr="00507BD2">
        <w:rPr>
          <w:rFonts w:hAnsi="標楷體" w:hint="eastAsia"/>
        </w:rPr>
        <w:t>依循國際規範</w:t>
      </w:r>
      <w:r w:rsidR="00B3156E" w:rsidRPr="00507BD2">
        <w:rPr>
          <w:rFonts w:hAnsi="標楷體" w:hint="eastAsia"/>
        </w:rPr>
        <w:t>編製國際收支及國際投資部位統計行之有年，</w:t>
      </w:r>
      <w:r w:rsidRPr="00507BD2">
        <w:rPr>
          <w:rFonts w:hAnsi="標楷體" w:hint="eastAsia"/>
        </w:rPr>
        <w:t>近</w:t>
      </w:r>
      <w:r w:rsidR="00B3156E" w:rsidRPr="00507BD2">
        <w:rPr>
          <w:rFonts w:hAnsi="標楷體" w:hint="eastAsia"/>
        </w:rPr>
        <w:t>期國際貨幣基金</w:t>
      </w:r>
      <w:r w:rsidR="00560FE7" w:rsidRPr="00507BD2">
        <w:rPr>
          <w:rFonts w:hAnsi="標楷體" w:hint="eastAsia"/>
        </w:rPr>
        <w:t>刻正</w:t>
      </w:r>
      <w:r w:rsidR="00851DF3" w:rsidRPr="00507BD2">
        <w:rPr>
          <w:rFonts w:hAnsi="標楷體" w:hint="eastAsia"/>
        </w:rPr>
        <w:t>研修</w:t>
      </w:r>
      <w:r w:rsidR="00651202" w:rsidRPr="00507BD2">
        <w:rPr>
          <w:rFonts w:hAnsi="標楷體" w:hint="eastAsia"/>
        </w:rPr>
        <w:t>「第七版國際收支及國際投資部位手冊」</w:t>
      </w:r>
      <w:r w:rsidR="00851DF3" w:rsidRPr="00507BD2">
        <w:rPr>
          <w:rFonts w:hAnsi="標楷體" w:hint="eastAsia"/>
        </w:rPr>
        <w:t>，</w:t>
      </w:r>
      <w:r w:rsidR="00560FE7" w:rsidRPr="00507BD2">
        <w:rPr>
          <w:rFonts w:hAnsi="標楷體" w:hint="eastAsia"/>
        </w:rPr>
        <w:t>將影響後續編製作業</w:t>
      </w:r>
      <w:r w:rsidRPr="00507BD2">
        <w:rPr>
          <w:rFonts w:hAnsi="標楷體" w:hint="eastAsia"/>
        </w:rPr>
        <w:t>。謹說明如下：</w:t>
      </w:r>
    </w:p>
    <w:p w:rsidR="00EA1955" w:rsidRPr="00507BD2" w:rsidRDefault="00EA1955" w:rsidP="00570060">
      <w:pPr>
        <w:pStyle w:val="a4"/>
        <w:rPr>
          <w:rFonts w:hint="eastAsia"/>
          <w:b/>
          <w:bCs/>
        </w:rPr>
      </w:pPr>
      <w:r w:rsidRPr="00507BD2">
        <w:rPr>
          <w:rFonts w:hint="eastAsia"/>
          <w:b/>
          <w:bCs/>
        </w:rPr>
        <w:t>(一</w:t>
      </w:r>
      <w:r w:rsidRPr="00507BD2">
        <w:rPr>
          <w:b/>
          <w:bCs/>
        </w:rPr>
        <w:t>)</w:t>
      </w:r>
      <w:r w:rsidR="00B34690">
        <w:rPr>
          <w:rFonts w:hint="eastAsia"/>
          <w:b/>
          <w:bCs/>
        </w:rPr>
        <w:t>我國</w:t>
      </w:r>
      <w:r w:rsidR="00CB601E" w:rsidRPr="00507BD2">
        <w:rPr>
          <w:rFonts w:hint="eastAsia"/>
          <w:b/>
          <w:bCs/>
        </w:rPr>
        <w:t>國際收支及國際投資部位統計</w:t>
      </w:r>
      <w:r w:rsidR="00F5404D" w:rsidRPr="00507BD2">
        <w:rPr>
          <w:rFonts w:hint="eastAsia"/>
          <w:b/>
          <w:bCs/>
        </w:rPr>
        <w:t>現</w:t>
      </w:r>
      <w:r w:rsidR="00A967B8" w:rsidRPr="00507BD2">
        <w:rPr>
          <w:rFonts w:hint="eastAsia"/>
          <w:b/>
          <w:bCs/>
        </w:rPr>
        <w:t>按</w:t>
      </w:r>
      <w:r w:rsidR="00CB601E" w:rsidRPr="00507BD2">
        <w:rPr>
          <w:rFonts w:hint="eastAsia"/>
          <w:b/>
          <w:bCs/>
        </w:rPr>
        <w:t>國際貨幣基金(IMF</w:t>
      </w:r>
      <w:r w:rsidR="00CB601E" w:rsidRPr="00507BD2">
        <w:rPr>
          <w:b/>
          <w:bCs/>
        </w:rPr>
        <w:t>)</w:t>
      </w:r>
      <w:r w:rsidR="00651202" w:rsidRPr="00507BD2">
        <w:rPr>
          <w:rFonts w:hint="eastAsia"/>
          <w:b/>
          <w:bCs/>
        </w:rPr>
        <w:t>「第六版國際收支與國際投資部位手冊」</w:t>
      </w:r>
      <w:r w:rsidR="00A967B8" w:rsidRPr="00507BD2">
        <w:rPr>
          <w:rFonts w:hint="eastAsia"/>
          <w:b/>
          <w:bCs/>
        </w:rPr>
        <w:t>編製</w:t>
      </w:r>
    </w:p>
    <w:p w:rsidR="00FD04D4" w:rsidRPr="00507BD2" w:rsidRDefault="00C1213F" w:rsidP="009F21D9">
      <w:pPr>
        <w:pStyle w:val="21"/>
        <w:ind w:left="850" w:firstLine="566"/>
        <w:rPr>
          <w:rFonts w:hAnsi="標楷體"/>
        </w:rPr>
      </w:pPr>
      <w:r w:rsidRPr="00507BD2">
        <w:rPr>
          <w:rFonts w:hAnsi="標楷體" w:hint="eastAsia"/>
        </w:rPr>
        <w:t>為監測國內與國際經濟活動間之資金流動，</w:t>
      </w:r>
      <w:r w:rsidR="0067263F" w:rsidRPr="00507BD2">
        <w:rPr>
          <w:rFonts w:hAnsi="標楷體" w:hint="eastAsia"/>
        </w:rPr>
        <w:t>央行</w:t>
      </w:r>
      <w:r w:rsidR="00D13E17" w:rsidRPr="00507BD2">
        <w:rPr>
          <w:rFonts w:hAnsi="標楷體" w:hint="eastAsia"/>
        </w:rPr>
        <w:t>依國際貨幣基金規範</w:t>
      </w:r>
      <w:r w:rsidR="00884F23" w:rsidRPr="00507BD2">
        <w:rPr>
          <w:rFonts w:hAnsi="標楷體" w:hint="eastAsia"/>
        </w:rPr>
        <w:t>針對國際收支與國際投資部位進行統計</w:t>
      </w:r>
      <w:r w:rsidR="009F21D9" w:rsidRPr="00507BD2">
        <w:rPr>
          <w:rFonts w:hAnsi="標楷體" w:hint="eastAsia"/>
        </w:rPr>
        <w:t>。</w:t>
      </w:r>
      <w:r w:rsidR="00CD29DA" w:rsidRPr="00507BD2">
        <w:rPr>
          <w:rFonts w:hAnsi="標楷體" w:hint="eastAsia"/>
        </w:rPr>
        <w:t>國際收支</w:t>
      </w:r>
      <w:r w:rsidR="009F21D9" w:rsidRPr="00507BD2">
        <w:rPr>
          <w:rFonts w:hAnsi="標楷體" w:hint="eastAsia"/>
        </w:rPr>
        <w:t>為交易量統計，</w:t>
      </w:r>
      <w:r w:rsidR="00CD29DA" w:rsidRPr="00507BD2">
        <w:rPr>
          <w:rFonts w:hAnsi="標楷體" w:hint="eastAsia"/>
        </w:rPr>
        <w:t>反映</w:t>
      </w:r>
      <w:r w:rsidR="00717C56" w:rsidRPr="00507BD2">
        <w:rPr>
          <w:rFonts w:hAnsi="標楷體" w:hint="eastAsia"/>
        </w:rPr>
        <w:t>國家</w:t>
      </w:r>
      <w:r w:rsidR="00CD29DA" w:rsidRPr="00507BD2">
        <w:rPr>
          <w:rFonts w:hAnsi="標楷體" w:hint="eastAsia"/>
        </w:rPr>
        <w:t>與全球經濟體系之間商品、服務、資本及金融資產交易，國際投資部位</w:t>
      </w:r>
      <w:r w:rsidR="009F21D9" w:rsidRPr="00507BD2">
        <w:rPr>
          <w:rFonts w:hAnsi="標楷體" w:hint="eastAsia"/>
        </w:rPr>
        <w:t>為存量統計，</w:t>
      </w:r>
      <w:r w:rsidR="00A92E38" w:rsidRPr="00507BD2">
        <w:rPr>
          <w:rFonts w:hAnsi="標楷體" w:hint="eastAsia"/>
        </w:rPr>
        <w:t>記載中央銀行、銀行部門、政府部門與民間部門對外持有金融資產與負債之存量統計</w:t>
      </w:r>
      <w:r w:rsidR="00FD04D4" w:rsidRPr="00507BD2">
        <w:rPr>
          <w:rFonts w:hAnsi="標楷體" w:hint="eastAsia"/>
        </w:rPr>
        <w:t>，</w:t>
      </w:r>
      <w:r w:rsidR="009F21D9" w:rsidRPr="00507BD2">
        <w:rPr>
          <w:rFonts w:hAnsi="標楷體" w:hint="eastAsia"/>
        </w:rPr>
        <w:t>構成整套對外交易帳；</w:t>
      </w:r>
      <w:r w:rsidR="0091741D" w:rsidRPr="00507BD2">
        <w:rPr>
          <w:rFonts w:hAnsi="標楷體" w:hint="eastAsia"/>
        </w:rPr>
        <w:t>藉由</w:t>
      </w:r>
      <w:r w:rsidR="00FD04D4" w:rsidRPr="00507BD2">
        <w:rPr>
          <w:rFonts w:hAnsi="標楷體" w:hint="eastAsia"/>
        </w:rPr>
        <w:t>前揭數據反映之經濟活動</w:t>
      </w:r>
      <w:r w:rsidR="000A7F26" w:rsidRPr="00507BD2">
        <w:rPr>
          <w:rFonts w:hAnsi="標楷體" w:hint="eastAsia"/>
        </w:rPr>
        <w:t>及國際資金流向</w:t>
      </w:r>
      <w:r w:rsidR="00FD04D4" w:rsidRPr="00507BD2">
        <w:rPr>
          <w:rFonts w:hAnsi="標楷體" w:hint="eastAsia"/>
        </w:rPr>
        <w:t>積極管理，制定有效政策以確保經濟穩定並避免風險，保護國家於全球金融體系之地位</w:t>
      </w:r>
      <w:r w:rsidR="00884F23" w:rsidRPr="00507BD2">
        <w:rPr>
          <w:rFonts w:hAnsi="標楷體" w:hint="eastAsia"/>
        </w:rPr>
        <w:t>。</w:t>
      </w:r>
    </w:p>
    <w:p w:rsidR="00C1213F" w:rsidRPr="00507BD2" w:rsidRDefault="00CD29DA" w:rsidP="00A43FDC">
      <w:pPr>
        <w:pStyle w:val="21"/>
        <w:kinsoku w:val="0"/>
        <w:overflowPunct w:val="0"/>
        <w:autoSpaceDE w:val="0"/>
        <w:autoSpaceDN w:val="0"/>
        <w:ind w:left="850" w:firstLine="566"/>
        <w:rPr>
          <w:rFonts w:hAnsi="標楷體" w:hint="eastAsia"/>
        </w:rPr>
      </w:pPr>
      <w:r w:rsidRPr="00507BD2">
        <w:rPr>
          <w:rFonts w:hAnsi="標楷體" w:hint="eastAsia"/>
        </w:rPr>
        <w:t>央行</w:t>
      </w:r>
      <w:r w:rsidR="00A967B8" w:rsidRPr="00507BD2">
        <w:rPr>
          <w:rFonts w:hAnsi="標楷體" w:hint="eastAsia"/>
        </w:rPr>
        <w:t>前開統計</w:t>
      </w:r>
      <w:r w:rsidR="00F5404D" w:rsidRPr="00507BD2">
        <w:rPr>
          <w:rFonts w:hAnsi="標楷體" w:hint="eastAsia"/>
        </w:rPr>
        <w:t>現</w:t>
      </w:r>
      <w:r w:rsidR="00651202" w:rsidRPr="00507BD2">
        <w:rPr>
          <w:rFonts w:hAnsi="標楷體" w:hint="eastAsia"/>
        </w:rPr>
        <w:t>按國際貨幣基金(IMF)「第六版國際收支與國際投資部位手冊」</w:t>
      </w:r>
      <w:r w:rsidR="00651202" w:rsidRPr="00507BD2">
        <w:rPr>
          <w:rFonts w:hAnsi="標楷體"/>
        </w:rPr>
        <w:t>(</w:t>
      </w:r>
      <w:r w:rsidR="00651202" w:rsidRPr="00507BD2">
        <w:rPr>
          <w:rFonts w:hAnsi="標楷體" w:hint="eastAsia"/>
        </w:rPr>
        <w:t>Balance of Payments and International Investment Position Manual,BPM6</w:t>
      </w:r>
      <w:r w:rsidR="00651202" w:rsidRPr="00507BD2">
        <w:rPr>
          <w:rFonts w:hAnsi="標楷體"/>
        </w:rPr>
        <w:t>)</w:t>
      </w:r>
      <w:r w:rsidR="00651202" w:rsidRPr="00507BD2">
        <w:rPr>
          <w:rFonts w:hAnsi="標楷體" w:hint="eastAsia"/>
        </w:rPr>
        <w:t>規範編製</w:t>
      </w:r>
      <w:r w:rsidRPr="00507BD2">
        <w:rPr>
          <w:rFonts w:hAnsi="標楷體" w:hint="eastAsia"/>
        </w:rPr>
        <w:t>，</w:t>
      </w:r>
      <w:r w:rsidR="00120257" w:rsidRPr="00507BD2">
        <w:rPr>
          <w:rFonts w:hAnsi="標楷體" w:hint="eastAsia"/>
        </w:rPr>
        <w:t>組成項目</w:t>
      </w:r>
      <w:r w:rsidR="008E11C1" w:rsidRPr="00507BD2">
        <w:rPr>
          <w:rFonts w:hAnsi="標楷體" w:hint="eastAsia"/>
        </w:rPr>
        <w:t>彙整如下</w:t>
      </w:r>
      <w:r w:rsidR="00120257" w:rsidRPr="00507BD2">
        <w:rPr>
          <w:rFonts w:hAnsi="標楷體" w:hint="eastAsia"/>
        </w:rPr>
        <w:t>(詳表1)</w:t>
      </w:r>
      <w:r w:rsidR="008A4474" w:rsidRPr="00507BD2">
        <w:rPr>
          <w:rFonts w:hAnsi="標楷體" w:hint="eastAsia"/>
        </w:rPr>
        <w:t>：</w:t>
      </w:r>
    </w:p>
    <w:p w:rsidR="00C1213F" w:rsidRPr="00507BD2" w:rsidRDefault="00651202" w:rsidP="003A5BD6">
      <w:pPr>
        <w:pStyle w:val="123"/>
        <w:rPr>
          <w:rFonts w:ascii="標楷體"/>
        </w:rPr>
      </w:pPr>
      <w:r w:rsidRPr="00507BD2">
        <w:rPr>
          <w:rFonts w:ascii="標楷體" w:hint="eastAsia"/>
          <w:b/>
        </w:rPr>
        <w:t>1.國際收支：</w:t>
      </w:r>
      <w:r w:rsidRPr="00507BD2">
        <w:rPr>
          <w:rFonts w:ascii="標楷體" w:hint="eastAsia"/>
        </w:rPr>
        <w:t>經常帳、資本帳、</w:t>
      </w:r>
      <w:r w:rsidR="003A5BD6" w:rsidRPr="00507BD2">
        <w:rPr>
          <w:rFonts w:ascii="標楷體" w:hint="eastAsia"/>
        </w:rPr>
        <w:t>金融帳及準備資產。</w:t>
      </w:r>
    </w:p>
    <w:p w:rsidR="00651202" w:rsidRDefault="00651202" w:rsidP="003A5BD6">
      <w:pPr>
        <w:pStyle w:val="123"/>
        <w:rPr>
          <w:rFonts w:ascii="標楷體"/>
        </w:rPr>
      </w:pPr>
      <w:r w:rsidRPr="00507BD2">
        <w:rPr>
          <w:rFonts w:ascii="標楷體" w:hint="eastAsia"/>
          <w:b/>
        </w:rPr>
        <w:t>2.</w:t>
      </w:r>
      <w:r w:rsidR="009F21D9" w:rsidRPr="00507BD2">
        <w:rPr>
          <w:rFonts w:ascii="標楷體" w:hint="eastAsia"/>
          <w:b/>
        </w:rPr>
        <w:t>國際投資部位：</w:t>
      </w:r>
      <w:r w:rsidR="00FF37FB" w:rsidRPr="00507BD2">
        <w:rPr>
          <w:rFonts w:ascii="標楷體" w:hint="eastAsia"/>
        </w:rPr>
        <w:t>資產、負債</w:t>
      </w:r>
      <w:r w:rsidR="009F21D9" w:rsidRPr="00507BD2">
        <w:rPr>
          <w:rFonts w:ascii="標楷體" w:hint="eastAsia"/>
        </w:rPr>
        <w:t>。</w:t>
      </w:r>
    </w:p>
    <w:p w:rsidR="009F21D9" w:rsidRPr="00507BD2" w:rsidRDefault="009F21D9" w:rsidP="009F21D9">
      <w:pPr>
        <w:pStyle w:val="ad"/>
        <w:ind w:left="283" w:hanging="283"/>
        <w:rPr>
          <w:rFonts w:hAnsi="標楷體"/>
          <w:b/>
        </w:rPr>
      </w:pPr>
      <w:r w:rsidRPr="00507BD2">
        <w:rPr>
          <w:rFonts w:hAnsi="標楷體"/>
          <w:b/>
        </w:rPr>
        <w:t xml:space="preserve">表1 </w:t>
      </w:r>
      <w:r w:rsidRPr="00507BD2">
        <w:rPr>
          <w:rFonts w:hAnsi="標楷體" w:hint="eastAsia"/>
          <w:b/>
        </w:rPr>
        <w:t>央行</w:t>
      </w:r>
      <w:r w:rsidR="0052626E" w:rsidRPr="00507BD2">
        <w:rPr>
          <w:rFonts w:hAnsi="標楷體" w:hint="eastAsia"/>
          <w:b/>
        </w:rPr>
        <w:t>國際收支及國際投資部位統計項目簡表</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276"/>
        <w:gridCol w:w="1276"/>
        <w:gridCol w:w="5973"/>
      </w:tblGrid>
      <w:tr w:rsidR="000F6C2B" w:rsidRPr="00507BD2" w:rsidTr="00291DD3">
        <w:trPr>
          <w:tblHeader/>
        </w:trPr>
        <w:tc>
          <w:tcPr>
            <w:tcW w:w="1276" w:type="dxa"/>
            <w:shd w:val="clear" w:color="auto" w:fill="auto"/>
          </w:tcPr>
          <w:p w:rsidR="000F6C2B" w:rsidRPr="00507BD2" w:rsidRDefault="000F6C2B" w:rsidP="00291DD3">
            <w:pPr>
              <w:pStyle w:val="142"/>
              <w:jc w:val="center"/>
              <w:rPr>
                <w:rFonts w:hAnsi="標楷體" w:hint="eastAsia"/>
                <w:b/>
              </w:rPr>
            </w:pPr>
            <w:r w:rsidRPr="00507BD2">
              <w:rPr>
                <w:rFonts w:hAnsi="標楷體" w:hint="eastAsia"/>
                <w:b/>
              </w:rPr>
              <w:t>統計事項</w:t>
            </w:r>
          </w:p>
        </w:tc>
        <w:tc>
          <w:tcPr>
            <w:tcW w:w="1276" w:type="dxa"/>
            <w:shd w:val="clear" w:color="auto" w:fill="auto"/>
          </w:tcPr>
          <w:p w:rsidR="000F6C2B" w:rsidRPr="00507BD2" w:rsidRDefault="00120257" w:rsidP="00291DD3">
            <w:pPr>
              <w:pStyle w:val="142"/>
              <w:jc w:val="center"/>
              <w:rPr>
                <w:rFonts w:hAnsi="標楷體" w:hint="eastAsia"/>
                <w:b/>
              </w:rPr>
            </w:pPr>
            <w:r w:rsidRPr="00507BD2">
              <w:rPr>
                <w:rFonts w:hAnsi="標楷體" w:hint="eastAsia"/>
                <w:b/>
              </w:rPr>
              <w:t>組成項目</w:t>
            </w:r>
          </w:p>
        </w:tc>
        <w:tc>
          <w:tcPr>
            <w:tcW w:w="5973" w:type="dxa"/>
            <w:shd w:val="clear" w:color="auto" w:fill="auto"/>
          </w:tcPr>
          <w:p w:rsidR="000F6C2B" w:rsidRPr="00507BD2" w:rsidRDefault="000F6C2B" w:rsidP="00291DD3">
            <w:pPr>
              <w:pStyle w:val="142"/>
              <w:jc w:val="center"/>
              <w:rPr>
                <w:rFonts w:hAnsi="標楷體" w:hint="eastAsia"/>
                <w:b/>
              </w:rPr>
            </w:pPr>
            <w:r w:rsidRPr="00507BD2">
              <w:rPr>
                <w:rFonts w:hAnsi="標楷體" w:hint="eastAsia"/>
                <w:b/>
              </w:rPr>
              <w:t>子項/定義</w:t>
            </w:r>
          </w:p>
        </w:tc>
      </w:tr>
      <w:tr w:rsidR="000F6C2B" w:rsidRPr="00507BD2" w:rsidTr="00291DD3">
        <w:tc>
          <w:tcPr>
            <w:tcW w:w="1276" w:type="dxa"/>
            <w:vMerge w:val="restart"/>
            <w:shd w:val="clear" w:color="auto" w:fill="auto"/>
            <w:vAlign w:val="center"/>
          </w:tcPr>
          <w:p w:rsidR="000F6C2B" w:rsidRPr="00507BD2" w:rsidRDefault="000F6C2B" w:rsidP="00291DD3">
            <w:pPr>
              <w:pStyle w:val="142"/>
              <w:rPr>
                <w:rFonts w:hAnsi="標楷體" w:hint="eastAsia"/>
              </w:rPr>
            </w:pPr>
            <w:r w:rsidRPr="00507BD2">
              <w:rPr>
                <w:rFonts w:hAnsi="標楷體" w:hint="eastAsia"/>
              </w:rPr>
              <w:t>國際收支</w:t>
            </w:r>
          </w:p>
        </w:tc>
        <w:tc>
          <w:tcPr>
            <w:tcW w:w="1276" w:type="dxa"/>
            <w:shd w:val="clear" w:color="auto" w:fill="auto"/>
            <w:vAlign w:val="center"/>
          </w:tcPr>
          <w:p w:rsidR="000F6C2B" w:rsidRPr="00507BD2" w:rsidRDefault="000F6C2B" w:rsidP="00291DD3">
            <w:pPr>
              <w:pStyle w:val="142"/>
              <w:jc w:val="both"/>
              <w:rPr>
                <w:rFonts w:hAnsi="標楷體" w:hint="eastAsia"/>
              </w:rPr>
            </w:pPr>
            <w:r w:rsidRPr="00507BD2">
              <w:rPr>
                <w:rFonts w:hAnsi="標楷體" w:hint="eastAsia"/>
              </w:rPr>
              <w:t>經常帳</w:t>
            </w:r>
          </w:p>
        </w:tc>
        <w:tc>
          <w:tcPr>
            <w:tcW w:w="5973" w:type="dxa"/>
            <w:shd w:val="clear" w:color="auto" w:fill="auto"/>
          </w:tcPr>
          <w:p w:rsidR="000F6C2B" w:rsidRPr="00507BD2" w:rsidRDefault="000F6C2B" w:rsidP="00291DD3">
            <w:pPr>
              <w:pStyle w:val="142"/>
              <w:jc w:val="both"/>
              <w:rPr>
                <w:rFonts w:hAnsi="標楷體" w:hint="eastAsia"/>
              </w:rPr>
            </w:pPr>
            <w:r w:rsidRPr="00507BD2">
              <w:rPr>
                <w:rFonts w:hAnsi="標楷體" w:hint="eastAsia"/>
              </w:rPr>
              <w:t>商品、服務、初次所得(薪資所得、投資所得等)、二次所得(居民向非居民無償提供之資源或金融資產，如工作者匯款、捐贈、贍家匯款、禮物與樣品、保險理賠收支等)</w:t>
            </w:r>
          </w:p>
        </w:tc>
      </w:tr>
      <w:tr w:rsidR="000F6C2B" w:rsidRPr="00507BD2" w:rsidTr="00291DD3">
        <w:tc>
          <w:tcPr>
            <w:tcW w:w="1276" w:type="dxa"/>
            <w:vMerge/>
            <w:shd w:val="clear" w:color="auto" w:fill="auto"/>
          </w:tcPr>
          <w:p w:rsidR="000F6C2B" w:rsidRPr="00507BD2" w:rsidRDefault="000F6C2B" w:rsidP="00291DD3">
            <w:pPr>
              <w:pStyle w:val="142"/>
              <w:rPr>
                <w:rFonts w:hAnsi="標楷體" w:hint="eastAsia"/>
              </w:rPr>
            </w:pPr>
          </w:p>
        </w:tc>
        <w:tc>
          <w:tcPr>
            <w:tcW w:w="1276" w:type="dxa"/>
            <w:shd w:val="clear" w:color="auto" w:fill="auto"/>
            <w:vAlign w:val="center"/>
          </w:tcPr>
          <w:p w:rsidR="000F6C2B" w:rsidRPr="00507BD2" w:rsidRDefault="000F6C2B" w:rsidP="00291DD3">
            <w:pPr>
              <w:pStyle w:val="142"/>
              <w:jc w:val="both"/>
              <w:rPr>
                <w:rFonts w:hAnsi="標楷體" w:hint="eastAsia"/>
              </w:rPr>
            </w:pPr>
            <w:r w:rsidRPr="00507BD2">
              <w:rPr>
                <w:rFonts w:hAnsi="標楷體" w:hint="eastAsia"/>
              </w:rPr>
              <w:t>資本帳</w:t>
            </w:r>
          </w:p>
        </w:tc>
        <w:tc>
          <w:tcPr>
            <w:tcW w:w="5973" w:type="dxa"/>
            <w:shd w:val="clear" w:color="auto" w:fill="auto"/>
          </w:tcPr>
          <w:p w:rsidR="000F6C2B" w:rsidRPr="00507BD2" w:rsidRDefault="000F6C2B" w:rsidP="00291DD3">
            <w:pPr>
              <w:pStyle w:val="142"/>
              <w:jc w:val="both"/>
              <w:rPr>
                <w:rFonts w:hAnsi="標楷體" w:hint="eastAsia"/>
              </w:rPr>
            </w:pPr>
            <w:r w:rsidRPr="00507BD2">
              <w:rPr>
                <w:rFonts w:hAnsi="標楷體" w:hint="eastAsia"/>
              </w:rPr>
              <w:t>資本移轉及非生產性、非金融性資產(如商標、經銷權、網域名稱)之取得與處分。</w:t>
            </w:r>
          </w:p>
        </w:tc>
      </w:tr>
      <w:tr w:rsidR="000F6C2B" w:rsidRPr="00507BD2" w:rsidTr="00291DD3">
        <w:tc>
          <w:tcPr>
            <w:tcW w:w="1276" w:type="dxa"/>
            <w:vMerge/>
            <w:shd w:val="clear" w:color="auto" w:fill="auto"/>
          </w:tcPr>
          <w:p w:rsidR="000F6C2B" w:rsidRPr="00507BD2" w:rsidRDefault="000F6C2B" w:rsidP="00291DD3">
            <w:pPr>
              <w:pStyle w:val="142"/>
              <w:rPr>
                <w:rFonts w:hAnsi="標楷體" w:hint="eastAsia"/>
              </w:rPr>
            </w:pPr>
          </w:p>
        </w:tc>
        <w:tc>
          <w:tcPr>
            <w:tcW w:w="1276" w:type="dxa"/>
            <w:shd w:val="clear" w:color="auto" w:fill="auto"/>
            <w:vAlign w:val="center"/>
          </w:tcPr>
          <w:p w:rsidR="000F6C2B" w:rsidRPr="00507BD2" w:rsidRDefault="000F6C2B" w:rsidP="00291DD3">
            <w:pPr>
              <w:pStyle w:val="142"/>
              <w:jc w:val="both"/>
              <w:rPr>
                <w:rFonts w:hAnsi="標楷體" w:hint="eastAsia"/>
              </w:rPr>
            </w:pPr>
            <w:r w:rsidRPr="00507BD2">
              <w:rPr>
                <w:rFonts w:hAnsi="標楷體" w:hint="eastAsia"/>
              </w:rPr>
              <w:t>金融帳</w:t>
            </w:r>
          </w:p>
        </w:tc>
        <w:tc>
          <w:tcPr>
            <w:tcW w:w="5973" w:type="dxa"/>
            <w:shd w:val="clear" w:color="auto" w:fill="auto"/>
          </w:tcPr>
          <w:p w:rsidR="000F6C2B" w:rsidRPr="00507BD2" w:rsidRDefault="000F6C2B" w:rsidP="00291DD3">
            <w:pPr>
              <w:pStyle w:val="142"/>
              <w:jc w:val="both"/>
              <w:rPr>
                <w:rFonts w:hAnsi="標楷體" w:hint="eastAsia"/>
              </w:rPr>
            </w:pPr>
            <w:r w:rsidRPr="00507BD2">
              <w:rPr>
                <w:rFonts w:hAnsi="標楷體" w:hint="eastAsia"/>
              </w:rPr>
              <w:t>記載經濟體直接投資、證券投資、衍生金融商品與其他投資等對外金融資產與負債交易</w:t>
            </w:r>
          </w:p>
        </w:tc>
      </w:tr>
      <w:tr w:rsidR="000F6C2B" w:rsidRPr="00507BD2" w:rsidTr="00291DD3">
        <w:tc>
          <w:tcPr>
            <w:tcW w:w="1276" w:type="dxa"/>
            <w:vMerge/>
            <w:shd w:val="clear" w:color="auto" w:fill="auto"/>
          </w:tcPr>
          <w:p w:rsidR="000F6C2B" w:rsidRPr="00507BD2" w:rsidRDefault="000F6C2B" w:rsidP="00291DD3">
            <w:pPr>
              <w:pStyle w:val="142"/>
              <w:rPr>
                <w:rFonts w:hAnsi="標楷體" w:hint="eastAsia"/>
              </w:rPr>
            </w:pPr>
          </w:p>
        </w:tc>
        <w:tc>
          <w:tcPr>
            <w:tcW w:w="1276" w:type="dxa"/>
            <w:shd w:val="clear" w:color="auto" w:fill="auto"/>
            <w:vAlign w:val="center"/>
          </w:tcPr>
          <w:p w:rsidR="000F6C2B" w:rsidRPr="00507BD2" w:rsidRDefault="000F6C2B" w:rsidP="00291DD3">
            <w:pPr>
              <w:pStyle w:val="142"/>
              <w:jc w:val="both"/>
              <w:rPr>
                <w:rFonts w:hAnsi="標楷體" w:hint="eastAsia"/>
              </w:rPr>
            </w:pPr>
            <w:r w:rsidRPr="00507BD2">
              <w:rPr>
                <w:rFonts w:hAnsi="標楷體" w:hint="eastAsia"/>
              </w:rPr>
              <w:t>準備資產</w:t>
            </w:r>
          </w:p>
        </w:tc>
        <w:tc>
          <w:tcPr>
            <w:tcW w:w="5973" w:type="dxa"/>
            <w:shd w:val="clear" w:color="auto" w:fill="auto"/>
          </w:tcPr>
          <w:p w:rsidR="000F6C2B" w:rsidRPr="00507BD2" w:rsidRDefault="000F6C2B" w:rsidP="00291DD3">
            <w:pPr>
              <w:pStyle w:val="142"/>
              <w:jc w:val="both"/>
              <w:rPr>
                <w:rFonts w:hAnsi="標楷體" w:hint="eastAsia"/>
              </w:rPr>
            </w:pPr>
            <w:r w:rsidRPr="00507BD2">
              <w:rPr>
                <w:rFonts w:hAnsi="標楷體" w:hint="eastAsia"/>
              </w:rPr>
              <w:t>貨幣當局所控管貨幣用黃金、外匯存底與其他債權等隨時可動用國外資產</w:t>
            </w:r>
          </w:p>
        </w:tc>
      </w:tr>
      <w:tr w:rsidR="000F6C2B" w:rsidRPr="00507BD2" w:rsidTr="00291DD3">
        <w:tc>
          <w:tcPr>
            <w:tcW w:w="1276" w:type="dxa"/>
            <w:vMerge w:val="restart"/>
            <w:shd w:val="clear" w:color="auto" w:fill="auto"/>
            <w:vAlign w:val="center"/>
          </w:tcPr>
          <w:p w:rsidR="000F6C2B" w:rsidRPr="00507BD2" w:rsidRDefault="000F6C2B" w:rsidP="00291DD3">
            <w:pPr>
              <w:pStyle w:val="142"/>
              <w:rPr>
                <w:rFonts w:hAnsi="標楷體" w:hint="eastAsia"/>
              </w:rPr>
            </w:pPr>
            <w:r w:rsidRPr="00507BD2">
              <w:rPr>
                <w:rFonts w:hAnsi="標楷體" w:hint="eastAsia"/>
              </w:rPr>
              <w:t>國際投資部位</w:t>
            </w:r>
          </w:p>
        </w:tc>
        <w:tc>
          <w:tcPr>
            <w:tcW w:w="1276" w:type="dxa"/>
            <w:shd w:val="clear" w:color="auto" w:fill="auto"/>
            <w:vAlign w:val="center"/>
          </w:tcPr>
          <w:p w:rsidR="000F6C2B" w:rsidRPr="00507BD2" w:rsidRDefault="000F6C2B" w:rsidP="00291DD3">
            <w:pPr>
              <w:pStyle w:val="142"/>
              <w:jc w:val="both"/>
              <w:rPr>
                <w:rFonts w:hAnsi="標楷體" w:hint="eastAsia"/>
              </w:rPr>
            </w:pPr>
            <w:r w:rsidRPr="00507BD2">
              <w:rPr>
                <w:rFonts w:hAnsi="標楷體" w:hint="eastAsia"/>
              </w:rPr>
              <w:t>資產</w:t>
            </w:r>
          </w:p>
        </w:tc>
        <w:tc>
          <w:tcPr>
            <w:tcW w:w="5973" w:type="dxa"/>
            <w:shd w:val="clear" w:color="auto" w:fill="auto"/>
          </w:tcPr>
          <w:p w:rsidR="000F6C2B" w:rsidRPr="00507BD2" w:rsidRDefault="000F6C2B" w:rsidP="00291DD3">
            <w:pPr>
              <w:pStyle w:val="142"/>
              <w:jc w:val="both"/>
              <w:rPr>
                <w:rFonts w:hAnsi="標楷體" w:hint="eastAsia"/>
              </w:rPr>
            </w:pPr>
            <w:r w:rsidRPr="00507BD2">
              <w:rPr>
                <w:rFonts w:hAnsi="標楷體" w:hint="eastAsia"/>
              </w:rPr>
              <w:t>直接投資、證券投資、衍生金融商品、其他投資、準備資產</w:t>
            </w:r>
          </w:p>
        </w:tc>
      </w:tr>
      <w:tr w:rsidR="000F6C2B" w:rsidRPr="00507BD2" w:rsidTr="00291DD3">
        <w:tc>
          <w:tcPr>
            <w:tcW w:w="1276" w:type="dxa"/>
            <w:vMerge/>
            <w:shd w:val="clear" w:color="auto" w:fill="auto"/>
          </w:tcPr>
          <w:p w:rsidR="000F6C2B" w:rsidRPr="00507BD2" w:rsidRDefault="000F6C2B" w:rsidP="00291DD3">
            <w:pPr>
              <w:pStyle w:val="142"/>
              <w:rPr>
                <w:rFonts w:hAnsi="標楷體" w:hint="eastAsia"/>
              </w:rPr>
            </w:pPr>
          </w:p>
        </w:tc>
        <w:tc>
          <w:tcPr>
            <w:tcW w:w="1276" w:type="dxa"/>
            <w:shd w:val="clear" w:color="auto" w:fill="auto"/>
            <w:vAlign w:val="center"/>
          </w:tcPr>
          <w:p w:rsidR="000F6C2B" w:rsidRPr="00507BD2" w:rsidRDefault="000F6C2B" w:rsidP="00291DD3">
            <w:pPr>
              <w:pStyle w:val="142"/>
              <w:jc w:val="both"/>
              <w:rPr>
                <w:rFonts w:hAnsi="標楷體" w:hint="eastAsia"/>
              </w:rPr>
            </w:pPr>
            <w:r w:rsidRPr="00507BD2">
              <w:rPr>
                <w:rFonts w:hAnsi="標楷體" w:hint="eastAsia"/>
              </w:rPr>
              <w:t>負債</w:t>
            </w:r>
          </w:p>
        </w:tc>
        <w:tc>
          <w:tcPr>
            <w:tcW w:w="5973" w:type="dxa"/>
            <w:shd w:val="clear" w:color="auto" w:fill="auto"/>
          </w:tcPr>
          <w:p w:rsidR="000F6C2B" w:rsidRPr="00507BD2" w:rsidRDefault="000F6C2B" w:rsidP="00291DD3">
            <w:pPr>
              <w:pStyle w:val="142"/>
              <w:jc w:val="both"/>
              <w:rPr>
                <w:rFonts w:hAnsi="標楷體" w:hint="eastAsia"/>
              </w:rPr>
            </w:pPr>
            <w:r w:rsidRPr="00507BD2">
              <w:rPr>
                <w:rFonts w:hAnsi="標楷體" w:hint="eastAsia"/>
              </w:rPr>
              <w:t>直接投資、證券投資、衍生金融商品、其他投資</w:t>
            </w:r>
          </w:p>
        </w:tc>
      </w:tr>
    </w:tbl>
    <w:p w:rsidR="009F21D9" w:rsidRPr="00507BD2" w:rsidRDefault="009F21D9" w:rsidP="009F21D9">
      <w:pPr>
        <w:pStyle w:val="142"/>
        <w:rPr>
          <w:rFonts w:hAnsi="標楷體"/>
        </w:rPr>
      </w:pPr>
      <w:r w:rsidRPr="00507BD2">
        <w:rPr>
          <w:rFonts w:hAnsi="標楷體" w:hint="eastAsia"/>
        </w:rPr>
        <w:t>資料來源：整理</w:t>
      </w:r>
      <w:r w:rsidR="003072A4" w:rsidRPr="00507BD2">
        <w:rPr>
          <w:rFonts w:hAnsi="標楷體" w:hint="eastAsia"/>
        </w:rPr>
        <w:t>自</w:t>
      </w:r>
      <w:r w:rsidRPr="00507BD2">
        <w:rPr>
          <w:rFonts w:hAnsi="標楷體" w:hint="eastAsia"/>
        </w:rPr>
        <w:t>央行</w:t>
      </w:r>
      <w:r w:rsidR="0052626E" w:rsidRPr="00507BD2">
        <w:rPr>
          <w:rFonts w:hAnsi="標楷體" w:hint="eastAsia"/>
        </w:rPr>
        <w:t>各統計表</w:t>
      </w:r>
      <w:r w:rsidRPr="00507BD2">
        <w:rPr>
          <w:rFonts w:hAnsi="標楷體" w:hint="eastAsia"/>
        </w:rPr>
        <w:t>。</w:t>
      </w:r>
    </w:p>
    <w:p w:rsidR="00EA1955" w:rsidRPr="00507BD2" w:rsidRDefault="00EA1955" w:rsidP="00FA5050">
      <w:pPr>
        <w:pStyle w:val="a4"/>
        <w:rPr>
          <w:b/>
          <w:bCs/>
        </w:rPr>
      </w:pPr>
      <w:r w:rsidRPr="00507BD2">
        <w:rPr>
          <w:rFonts w:hint="eastAsia"/>
          <w:b/>
          <w:bCs/>
        </w:rPr>
        <w:t>(</w:t>
      </w:r>
      <w:r w:rsidRPr="00507BD2">
        <w:rPr>
          <w:b/>
          <w:bCs/>
        </w:rPr>
        <w:t>二)</w:t>
      </w:r>
      <w:r w:rsidR="00372286" w:rsidRPr="0020064C">
        <w:rPr>
          <w:rFonts w:hint="eastAsia"/>
          <w:b/>
          <w:bCs/>
        </w:rPr>
        <w:t>規範</w:t>
      </w:r>
      <w:r w:rsidR="00727D1E" w:rsidRPr="0020064C">
        <w:rPr>
          <w:rFonts w:hint="eastAsia"/>
          <w:b/>
          <w:bCs/>
        </w:rPr>
        <w:t>研修</w:t>
      </w:r>
      <w:r w:rsidR="00372286" w:rsidRPr="0020064C">
        <w:rPr>
          <w:rFonts w:hint="eastAsia"/>
          <w:b/>
          <w:bCs/>
        </w:rPr>
        <w:t>作業刻正進行，允宜審慎規劃統計改版事宜</w:t>
      </w:r>
    </w:p>
    <w:p w:rsidR="005C7AD8" w:rsidRPr="00507BD2" w:rsidRDefault="004B78AF" w:rsidP="004F213E">
      <w:pPr>
        <w:pStyle w:val="21"/>
        <w:ind w:left="850" w:firstLine="566"/>
        <w:rPr>
          <w:rFonts w:hAnsi="標楷體"/>
        </w:rPr>
      </w:pPr>
      <w:r w:rsidRPr="00507BD2">
        <w:rPr>
          <w:rFonts w:hAnsi="標楷體"/>
        </w:rPr>
        <w:t>IMF</w:t>
      </w:r>
      <w:r w:rsidR="00A849D0" w:rsidRPr="00507BD2">
        <w:rPr>
          <w:rFonts w:hAnsi="標楷體" w:hint="eastAsia"/>
        </w:rPr>
        <w:t>自2020年3月啟動</w:t>
      </w:r>
      <w:r w:rsidR="00372286" w:rsidRPr="00507BD2">
        <w:rPr>
          <w:rFonts w:hAnsi="標楷體" w:hint="eastAsia"/>
        </w:rPr>
        <w:t>規範</w:t>
      </w:r>
      <w:r w:rsidR="00727D1E" w:rsidRPr="00507BD2">
        <w:rPr>
          <w:rFonts w:hAnsi="標楷體" w:hint="eastAsia"/>
        </w:rPr>
        <w:t>研修</w:t>
      </w:r>
      <w:r w:rsidR="00A849D0" w:rsidRPr="00507BD2">
        <w:rPr>
          <w:rFonts w:hAnsi="標楷體" w:hint="eastAsia"/>
        </w:rPr>
        <w:t>作業</w:t>
      </w:r>
      <w:r w:rsidR="00AC3E8B" w:rsidRPr="00507BD2">
        <w:rPr>
          <w:rFonts w:hAnsi="標楷體" w:hint="eastAsia"/>
        </w:rPr>
        <w:t>，第1階段</w:t>
      </w:r>
      <w:r w:rsidR="004F213E" w:rsidRPr="00507BD2">
        <w:rPr>
          <w:rFonts w:hAnsi="標楷體" w:hint="eastAsia"/>
        </w:rPr>
        <w:t>(2020年3月至2022年3月)</w:t>
      </w:r>
      <w:r w:rsidR="00AC3E8B" w:rsidRPr="00507BD2">
        <w:rPr>
          <w:rFonts w:hAnsi="標楷體" w:hint="eastAsia"/>
        </w:rPr>
        <w:t>研究</w:t>
      </w:r>
      <w:r w:rsidR="00F512AC" w:rsidRPr="00507BD2">
        <w:rPr>
          <w:rFonts w:hAnsi="標楷體" w:hint="eastAsia"/>
        </w:rPr>
        <w:t>預計</w:t>
      </w:r>
      <w:r w:rsidR="00AC3E8B" w:rsidRPr="00507BD2">
        <w:rPr>
          <w:rFonts w:hAnsi="標楷體" w:hint="eastAsia"/>
        </w:rPr>
        <w:t>修正</w:t>
      </w:r>
      <w:r w:rsidR="00F512AC" w:rsidRPr="00507BD2">
        <w:rPr>
          <w:rFonts w:hAnsi="標楷體" w:hint="eastAsia"/>
        </w:rPr>
        <w:t>範圍</w:t>
      </w:r>
      <w:r w:rsidR="00AC3E8B" w:rsidRPr="00507BD2">
        <w:rPr>
          <w:rFonts w:hAnsi="標楷體" w:hint="eastAsia"/>
        </w:rPr>
        <w:t>，第2階段</w:t>
      </w:r>
      <w:r w:rsidR="004F213E" w:rsidRPr="00507BD2">
        <w:rPr>
          <w:rFonts w:hAnsi="標楷體" w:hint="eastAsia"/>
        </w:rPr>
        <w:t>(2022年4月至2025年3月)</w:t>
      </w:r>
      <w:r w:rsidR="00AC3E8B" w:rsidRPr="00507BD2">
        <w:rPr>
          <w:rFonts w:hAnsi="標楷體" w:hint="eastAsia"/>
        </w:rPr>
        <w:t>確定註釋大綱</w:t>
      </w:r>
      <w:r w:rsidR="005D0E69" w:rsidRPr="00507BD2">
        <w:rPr>
          <w:rFonts w:hAnsi="標楷體" w:hint="eastAsia"/>
        </w:rPr>
        <w:t>並</w:t>
      </w:r>
      <w:r w:rsidR="00AC3E8B" w:rsidRPr="00507BD2">
        <w:rPr>
          <w:rFonts w:hAnsi="標楷體" w:hint="eastAsia"/>
        </w:rPr>
        <w:t>起草章節</w:t>
      </w:r>
      <w:r w:rsidR="004F213E" w:rsidRPr="00507BD2">
        <w:rPr>
          <w:rFonts w:hAnsi="標楷體" w:hint="eastAsia"/>
        </w:rPr>
        <w:t>、</w:t>
      </w:r>
      <w:r w:rsidR="005D0E69" w:rsidRPr="00507BD2">
        <w:rPr>
          <w:rFonts w:hAnsi="標楷體" w:hint="eastAsia"/>
        </w:rPr>
        <w:t>附錄，</w:t>
      </w:r>
      <w:r w:rsidR="00AC3E8B" w:rsidRPr="00507BD2">
        <w:rPr>
          <w:rFonts w:hAnsi="標楷體" w:hint="eastAsia"/>
        </w:rPr>
        <w:t>進行意見徵詢</w:t>
      </w:r>
      <w:r w:rsidR="004F213E" w:rsidRPr="00507BD2">
        <w:rPr>
          <w:rFonts w:hAnsi="標楷體" w:hint="eastAsia"/>
        </w:rPr>
        <w:t>，</w:t>
      </w:r>
      <w:r w:rsidRPr="00507BD2">
        <w:rPr>
          <w:rFonts w:hAnsi="標楷體" w:hint="eastAsia"/>
        </w:rPr>
        <w:t>目標</w:t>
      </w:r>
      <w:r w:rsidR="004F213E" w:rsidRPr="00507BD2">
        <w:rPr>
          <w:rFonts w:hAnsi="標楷體" w:hint="eastAsia"/>
        </w:rPr>
        <w:t>於</w:t>
      </w:r>
      <w:r w:rsidR="00AC3E8B" w:rsidRPr="00507BD2">
        <w:rPr>
          <w:rFonts w:hAnsi="標楷體" w:hint="eastAsia"/>
        </w:rPr>
        <w:t>2025年</w:t>
      </w:r>
      <w:r w:rsidR="004F213E" w:rsidRPr="00507BD2">
        <w:rPr>
          <w:rFonts w:hAnsi="標楷體" w:hint="eastAsia"/>
        </w:rPr>
        <w:t>3月發布</w:t>
      </w:r>
      <w:r w:rsidRPr="00507BD2">
        <w:rPr>
          <w:rFonts w:hAnsi="標楷體" w:hint="eastAsia"/>
        </w:rPr>
        <w:t>「第七版國際收支與國際投資部位手冊」。</w:t>
      </w:r>
      <w:r w:rsidR="005C7AD8" w:rsidRPr="00507BD2">
        <w:rPr>
          <w:rFonts w:hAnsi="標楷體" w:hint="eastAsia"/>
        </w:rPr>
        <w:t>茲</w:t>
      </w:r>
      <w:r w:rsidR="00372286" w:rsidRPr="00507BD2">
        <w:rPr>
          <w:rFonts w:hAnsi="標楷體" w:hint="eastAsia"/>
        </w:rPr>
        <w:t>概述</w:t>
      </w:r>
      <w:r w:rsidR="005C7AD8" w:rsidRPr="00507BD2">
        <w:rPr>
          <w:rFonts w:hAnsi="標楷體" w:hint="eastAsia"/>
        </w:rPr>
        <w:t>第七版</w:t>
      </w:r>
      <w:r w:rsidR="00372286" w:rsidRPr="00507BD2">
        <w:rPr>
          <w:rFonts w:hAnsi="標楷體" w:hint="eastAsia"/>
        </w:rPr>
        <w:t>現況</w:t>
      </w:r>
      <w:r w:rsidR="005C7AD8" w:rsidRPr="00507BD2">
        <w:rPr>
          <w:rFonts w:hAnsi="標楷體" w:hint="eastAsia"/>
        </w:rPr>
        <w:t>及辦理進度如下：</w:t>
      </w:r>
    </w:p>
    <w:p w:rsidR="00AC3E8B" w:rsidRPr="00507BD2" w:rsidRDefault="005C7AD8" w:rsidP="005C7AD8">
      <w:pPr>
        <w:pStyle w:val="123"/>
        <w:rPr>
          <w:rFonts w:ascii="標楷體" w:hint="eastAsia"/>
        </w:rPr>
      </w:pPr>
      <w:r w:rsidRPr="00507BD2">
        <w:rPr>
          <w:rFonts w:ascii="標楷體" w:hint="eastAsia"/>
          <w:b/>
        </w:rPr>
        <w:t>1.第七版</w:t>
      </w:r>
      <w:r w:rsidR="00372286" w:rsidRPr="00507BD2">
        <w:rPr>
          <w:rFonts w:ascii="標楷體" w:hint="eastAsia"/>
          <w:b/>
        </w:rPr>
        <w:t>現</w:t>
      </w:r>
      <w:r w:rsidRPr="00507BD2">
        <w:rPr>
          <w:rFonts w:ascii="標楷體" w:hint="eastAsia"/>
          <w:b/>
        </w:rPr>
        <w:t>況：</w:t>
      </w:r>
      <w:r w:rsidR="00F65800" w:rsidRPr="00507BD2">
        <w:rPr>
          <w:rFonts w:ascii="標楷體" w:hint="eastAsia"/>
        </w:rPr>
        <w:t>初步預計</w:t>
      </w:r>
      <w:r w:rsidR="007E491E" w:rsidRPr="00507BD2">
        <w:rPr>
          <w:rFonts w:ascii="標楷體" w:hint="eastAsia"/>
        </w:rPr>
        <w:t>將新增</w:t>
      </w:r>
      <w:r w:rsidR="00F65800" w:rsidRPr="00507BD2">
        <w:rPr>
          <w:rFonts w:ascii="標楷體" w:hint="eastAsia"/>
        </w:rPr>
        <w:t>全球化、數位化、伊斯蘭金融、非正式活動</w:t>
      </w:r>
      <w:r w:rsidR="007E491E" w:rsidRPr="00507BD2">
        <w:rPr>
          <w:rFonts w:ascii="標楷體" w:hint="eastAsia"/>
        </w:rPr>
        <w:t>及總體經濟</w:t>
      </w:r>
      <w:r w:rsidR="00F65800" w:rsidRPr="00507BD2">
        <w:rPr>
          <w:rFonts w:ascii="標楷體" w:hint="eastAsia"/>
        </w:rPr>
        <w:t>數據通報</w:t>
      </w:r>
      <w:r w:rsidR="007E491E" w:rsidRPr="00507BD2">
        <w:rPr>
          <w:rFonts w:ascii="標楷體" w:hint="eastAsia"/>
        </w:rPr>
        <w:t>溝通</w:t>
      </w:r>
      <w:r w:rsidR="00F65800" w:rsidRPr="00507BD2">
        <w:rPr>
          <w:rFonts w:ascii="標楷體" w:hint="eastAsia"/>
        </w:rPr>
        <w:t>等章節，</w:t>
      </w:r>
      <w:r w:rsidR="007E491E" w:rsidRPr="00507BD2">
        <w:rPr>
          <w:rFonts w:ascii="標楷體" w:hint="eastAsia"/>
        </w:rPr>
        <w:t>跨境貿易問題精選</w:t>
      </w:r>
      <w:r w:rsidR="00AD2F10">
        <w:rPr>
          <w:rFonts w:ascii="標楷體" w:hint="eastAsia"/>
        </w:rPr>
        <w:t>及</w:t>
      </w:r>
      <w:r w:rsidR="00F0024F" w:rsidRPr="00507BD2">
        <w:rPr>
          <w:rFonts w:ascii="標楷體" w:hint="eastAsia"/>
        </w:rPr>
        <w:t>對外部門統計之永續金融(氣候變遷相關指標)</w:t>
      </w:r>
      <w:r w:rsidR="00943073" w:rsidRPr="00507BD2">
        <w:rPr>
          <w:rFonts w:ascii="標楷體" w:hint="eastAsia"/>
        </w:rPr>
        <w:t>等附錄</w:t>
      </w:r>
      <w:r w:rsidR="007E491E" w:rsidRPr="00507BD2">
        <w:rPr>
          <w:rFonts w:ascii="標楷體" w:hint="eastAsia"/>
        </w:rPr>
        <w:t>，並修訂其他章節附錄</w:t>
      </w:r>
      <w:r w:rsidR="004B78AF" w:rsidRPr="00507BD2">
        <w:rPr>
          <w:rFonts w:ascii="標楷體" w:hint="eastAsia"/>
        </w:rPr>
        <w:t>；IMF已於2023年9月公布</w:t>
      </w:r>
      <w:r w:rsidR="005D0E69" w:rsidRPr="00507BD2">
        <w:rPr>
          <w:rFonts w:ascii="標楷體" w:hint="eastAsia"/>
        </w:rPr>
        <w:t>註釋大綱</w:t>
      </w:r>
      <w:r w:rsidR="004B78AF" w:rsidRPr="00507BD2">
        <w:rPr>
          <w:rFonts w:ascii="標楷體" w:hint="eastAsia"/>
        </w:rPr>
        <w:t>初稿</w:t>
      </w:r>
      <w:r w:rsidR="005D0E69" w:rsidRPr="00507BD2">
        <w:rPr>
          <w:rFonts w:ascii="標楷體" w:hint="eastAsia"/>
        </w:rPr>
        <w:t>，刻正進行意見徵詢，待彙總意見後供其國際收支統計委員會審查、核准及其他準備工作。</w:t>
      </w:r>
    </w:p>
    <w:p w:rsidR="005C7AD8" w:rsidRPr="00507BD2" w:rsidRDefault="005C7AD8" w:rsidP="005C7AD8">
      <w:pPr>
        <w:pStyle w:val="123"/>
        <w:rPr>
          <w:rFonts w:ascii="標楷體"/>
        </w:rPr>
      </w:pPr>
      <w:r w:rsidRPr="00507BD2">
        <w:rPr>
          <w:rFonts w:ascii="標楷體"/>
          <w:b/>
        </w:rPr>
        <w:t>2.</w:t>
      </w:r>
      <w:r w:rsidRPr="00507BD2">
        <w:rPr>
          <w:rFonts w:ascii="標楷體" w:hint="eastAsia"/>
          <w:b/>
        </w:rPr>
        <w:t>辦理進度：</w:t>
      </w:r>
      <w:r w:rsidR="00C03353" w:rsidRPr="00507BD2">
        <w:rPr>
          <w:rFonts w:ascii="標楷體" w:hint="eastAsia"/>
        </w:rPr>
        <w:t>據央行說明</w:t>
      </w:r>
      <w:r w:rsidR="005D0E69" w:rsidRPr="00507BD2">
        <w:rPr>
          <w:rFonts w:ascii="標楷體" w:hint="eastAsia"/>
        </w:rPr>
        <w:t>，我國非IMF會員國，仰賴IMF及主要國家公布手冊及實務編製訊息</w:t>
      </w:r>
      <w:r w:rsidR="00CD6673" w:rsidRPr="00507BD2">
        <w:rPr>
          <w:rFonts w:ascii="標楷體" w:hint="eastAsia"/>
        </w:rPr>
        <w:t>獲取資訊，</w:t>
      </w:r>
      <w:r w:rsidR="005D0E69" w:rsidRPr="00507BD2">
        <w:rPr>
          <w:rFonts w:ascii="標楷體" w:hint="eastAsia"/>
        </w:rPr>
        <w:t>最終版本公布</w:t>
      </w:r>
      <w:r w:rsidR="00CD6673" w:rsidRPr="00507BD2">
        <w:rPr>
          <w:rFonts w:ascii="標楷體" w:hint="eastAsia"/>
        </w:rPr>
        <w:t>後尚須</w:t>
      </w:r>
      <w:r w:rsidR="005D0E69" w:rsidRPr="00507BD2">
        <w:rPr>
          <w:rFonts w:ascii="標楷體" w:hint="eastAsia"/>
        </w:rPr>
        <w:t>進行匯款分類項目新增或修改、新增調查及修改現有調查表等工作，已密切關注更新狀況，並適時因應。</w:t>
      </w:r>
    </w:p>
    <w:p w:rsidR="00AC3E8B" w:rsidRPr="00507BD2" w:rsidRDefault="005C7AD8" w:rsidP="005C7AD8">
      <w:pPr>
        <w:pStyle w:val="123"/>
        <w:rPr>
          <w:rFonts w:ascii="標楷體"/>
        </w:rPr>
      </w:pPr>
      <w:r w:rsidRPr="00507BD2">
        <w:rPr>
          <w:rFonts w:ascii="標楷體" w:hint="eastAsia"/>
          <w:b/>
        </w:rPr>
        <w:t>3.可能影響：</w:t>
      </w:r>
      <w:r w:rsidR="00507BD2" w:rsidRPr="00507BD2">
        <w:rPr>
          <w:rFonts w:ascii="標楷體" w:hint="eastAsia"/>
        </w:rPr>
        <w:t>規範</w:t>
      </w:r>
      <w:r w:rsidR="00CD6673" w:rsidRPr="00507BD2">
        <w:rPr>
          <w:rFonts w:ascii="標楷體" w:hint="eastAsia"/>
        </w:rPr>
        <w:t>改版影響統計方式及結果，以第六版改版為例，104年度資料</w:t>
      </w:r>
      <w:r w:rsidR="00EA2520" w:rsidRPr="00507BD2">
        <w:rPr>
          <w:rFonts w:ascii="標楷體" w:hint="eastAsia"/>
        </w:rPr>
        <w:t>以第六版改編後</w:t>
      </w:r>
      <w:r w:rsidR="00CD6673" w:rsidRPr="00507BD2">
        <w:rPr>
          <w:rFonts w:ascii="標楷體" w:hint="eastAsia"/>
        </w:rPr>
        <w:t>商品貿易順差擴大，服務貿易轉呈逆差，服務貿易輸出入結構改變、初次所得與資本帳之餘額皆縮小</w:t>
      </w:r>
      <w:r w:rsidR="00CF0197" w:rsidRPr="00507BD2">
        <w:rPr>
          <w:rStyle w:val="af1"/>
          <w:rFonts w:ascii="標楷體"/>
        </w:rPr>
        <w:footnoteReference w:id="2"/>
      </w:r>
      <w:r w:rsidR="00EA2520" w:rsidRPr="00507BD2">
        <w:rPr>
          <w:rFonts w:ascii="標楷體" w:hint="eastAsia"/>
        </w:rPr>
        <w:t>，</w:t>
      </w:r>
      <w:r w:rsidRPr="00507BD2">
        <w:rPr>
          <w:rFonts w:ascii="標楷體" w:hint="eastAsia"/>
        </w:rPr>
        <w:t>允宜審慎規劃改版事宜，俾</w:t>
      </w:r>
      <w:r w:rsidR="00F4064E">
        <w:rPr>
          <w:rFonts w:ascii="標楷體" w:hint="eastAsia"/>
        </w:rPr>
        <w:t>免產生統計偏差</w:t>
      </w:r>
      <w:r w:rsidRPr="00507BD2">
        <w:rPr>
          <w:rFonts w:ascii="標楷體" w:hint="eastAsia"/>
        </w:rPr>
        <w:t>。</w:t>
      </w:r>
    </w:p>
    <w:p w:rsidR="00EA1955" w:rsidRPr="00507BD2" w:rsidRDefault="00EA1955" w:rsidP="009456FE">
      <w:pPr>
        <w:ind w:left="566" w:firstLine="566"/>
        <w:rPr>
          <w:rFonts w:hAnsi="標楷體" w:hint="eastAsia"/>
        </w:rPr>
      </w:pPr>
      <w:r w:rsidRPr="00507BD2">
        <w:rPr>
          <w:rFonts w:hAnsi="標楷體"/>
        </w:rPr>
        <w:t>綜上</w:t>
      </w:r>
      <w:r w:rsidRPr="00507BD2">
        <w:rPr>
          <w:rFonts w:hAnsi="標楷體" w:hint="eastAsia"/>
        </w:rPr>
        <w:t>，</w:t>
      </w:r>
      <w:r w:rsidR="007E491E" w:rsidRPr="00507BD2">
        <w:rPr>
          <w:rFonts w:hAnsi="標楷體" w:hint="eastAsia"/>
        </w:rPr>
        <w:t>為監測國內與國際經濟活動間之資金流動，</w:t>
      </w:r>
      <w:r w:rsidR="00CF0197" w:rsidRPr="00507BD2">
        <w:rPr>
          <w:rFonts w:hAnsi="標楷體" w:hint="eastAsia"/>
        </w:rPr>
        <w:t>央行依國際貨幣基金(</w:t>
      </w:r>
      <w:r w:rsidR="00CF0197" w:rsidRPr="00507BD2">
        <w:rPr>
          <w:rFonts w:hAnsi="標楷體"/>
        </w:rPr>
        <w:t>IMF</w:t>
      </w:r>
      <w:r w:rsidR="00CF0197" w:rsidRPr="00507BD2">
        <w:rPr>
          <w:rFonts w:hAnsi="標楷體" w:hint="eastAsia"/>
        </w:rPr>
        <w:t>)規範針對國際收支與國際投資部位進行統計，</w:t>
      </w:r>
      <w:r w:rsidR="00914BC1">
        <w:rPr>
          <w:rFonts w:hAnsi="標楷體" w:hint="eastAsia"/>
        </w:rPr>
        <w:t>近期</w:t>
      </w:r>
      <w:r w:rsidR="00CF0197" w:rsidRPr="00507BD2">
        <w:rPr>
          <w:rFonts w:hAnsi="標楷體" w:hint="eastAsia"/>
        </w:rPr>
        <w:t>IMF</w:t>
      </w:r>
      <w:r w:rsidR="00A907DF">
        <w:rPr>
          <w:rFonts w:hAnsi="標楷體" w:hint="eastAsia"/>
        </w:rPr>
        <w:t>進行「第七</w:t>
      </w:r>
      <w:r w:rsidR="00CF0197" w:rsidRPr="00507BD2">
        <w:rPr>
          <w:rFonts w:hAnsi="標楷體" w:hint="eastAsia"/>
        </w:rPr>
        <w:t>版國際收支與國際投資部位手冊」</w:t>
      </w:r>
      <w:r w:rsidR="00727D1E" w:rsidRPr="00507BD2">
        <w:rPr>
          <w:rFonts w:hAnsi="標楷體" w:hint="eastAsia"/>
        </w:rPr>
        <w:t>研修</w:t>
      </w:r>
      <w:r w:rsidR="00CF0197" w:rsidRPr="00507BD2">
        <w:rPr>
          <w:rFonts w:hAnsi="標楷體" w:hint="eastAsia"/>
        </w:rPr>
        <w:t>作業</w:t>
      </w:r>
      <w:r w:rsidR="00A907DF">
        <w:rPr>
          <w:rFonts w:hAnsi="標楷體" w:hint="eastAsia"/>
        </w:rPr>
        <w:t>，目標於2025年3月發布</w:t>
      </w:r>
      <w:r w:rsidR="00914BC1">
        <w:rPr>
          <w:rFonts w:hAnsi="標楷體" w:hint="eastAsia"/>
        </w:rPr>
        <w:t>；鑒於前次</w:t>
      </w:r>
      <w:r w:rsidR="00CF0197" w:rsidRPr="00507BD2">
        <w:rPr>
          <w:rFonts w:hAnsi="標楷體" w:hint="eastAsia"/>
        </w:rPr>
        <w:t>編製基礎異動</w:t>
      </w:r>
      <w:r w:rsidR="003834ED">
        <w:rPr>
          <w:rFonts w:hAnsi="標楷體" w:hint="eastAsia"/>
        </w:rPr>
        <w:t>影響</w:t>
      </w:r>
      <w:r w:rsidR="00CF0197" w:rsidRPr="00507BD2">
        <w:rPr>
          <w:rFonts w:hAnsi="標楷體" w:hint="eastAsia"/>
        </w:rPr>
        <w:t>國際資本統計結果，</w:t>
      </w:r>
      <w:r w:rsidR="003834ED">
        <w:rPr>
          <w:rFonts w:hAnsi="標楷體" w:hint="eastAsia"/>
        </w:rPr>
        <w:t>為期</w:t>
      </w:r>
      <w:r w:rsidR="00914BC1">
        <w:rPr>
          <w:rFonts w:hAnsi="標楷體" w:hint="eastAsia"/>
        </w:rPr>
        <w:t>資訊正確並具跨年、</w:t>
      </w:r>
      <w:r w:rsidR="00CF0197" w:rsidRPr="00507BD2">
        <w:rPr>
          <w:rFonts w:hAnsi="標楷體" w:hint="eastAsia"/>
        </w:rPr>
        <w:t>跨國比較性，爰宜審慎規劃改版事宜，俾利接軌</w:t>
      </w:r>
      <w:r w:rsidRPr="00507BD2">
        <w:rPr>
          <w:rFonts w:hAnsi="標楷體" w:hint="eastAsia"/>
        </w:rPr>
        <w:t>。</w:t>
      </w:r>
    </w:p>
    <w:p w:rsidR="00EA1955" w:rsidRDefault="00EA1955" w:rsidP="0016255C">
      <w:pPr>
        <w:ind w:left="566" w:firstLine="566"/>
        <w:rPr>
          <w:rFonts w:hAnsi="標楷體"/>
        </w:rPr>
      </w:pPr>
    </w:p>
    <w:p w:rsidR="00A539CE" w:rsidRPr="009454EF" w:rsidRDefault="00E704F9" w:rsidP="009454EF">
      <w:pPr>
        <w:pStyle w:val="14"/>
        <w:ind w:left="567" w:hanging="567"/>
      </w:pPr>
      <w:bookmarkStart w:id="10" w:name="_Toc181965727"/>
      <w:r w:rsidRPr="009454EF">
        <w:rPr>
          <w:rFonts w:hint="eastAsia"/>
        </w:rPr>
        <w:t>三</w:t>
      </w:r>
      <w:r w:rsidR="00A539CE" w:rsidRPr="009454EF">
        <w:rPr>
          <w:rFonts w:hint="eastAsia"/>
        </w:rPr>
        <w:t>、</w:t>
      </w:r>
      <w:r w:rsidR="00445614" w:rsidRPr="009454EF">
        <w:rPr>
          <w:rFonts w:hint="eastAsia"/>
        </w:rPr>
        <w:t>亞洲主要國家</w:t>
      </w:r>
      <w:r w:rsidR="009D57C1">
        <w:rPr>
          <w:rFonts w:hint="eastAsia"/>
        </w:rPr>
        <w:t>持續減持</w:t>
      </w:r>
      <w:r w:rsidR="00445614" w:rsidRPr="009454EF">
        <w:t>美國公債，</w:t>
      </w:r>
      <w:r w:rsidR="00445614" w:rsidRPr="009454EF">
        <w:rPr>
          <w:rFonts w:hint="eastAsia"/>
        </w:rPr>
        <w:t>鑒於</w:t>
      </w:r>
      <w:r w:rsidR="00AD7BB6">
        <w:rPr>
          <w:rFonts w:hint="eastAsia"/>
        </w:rPr>
        <w:t>美國貨幣政策</w:t>
      </w:r>
      <w:r w:rsidR="00E92B76">
        <w:rPr>
          <w:rFonts w:hint="eastAsia"/>
        </w:rPr>
        <w:t>調整幅度仍待觀察</w:t>
      </w:r>
      <w:r w:rsidR="00445614" w:rsidRPr="009454EF">
        <w:t>，</w:t>
      </w:r>
      <w:r w:rsidR="009454EF">
        <w:rPr>
          <w:rFonts w:hint="eastAsia"/>
        </w:rPr>
        <w:t>允宜密切留意適時調節，俾維護對外幣值穩定，並協助經濟發展</w:t>
      </w:r>
      <w:bookmarkEnd w:id="10"/>
    </w:p>
    <w:p w:rsidR="00A539CE" w:rsidRPr="00507BD2" w:rsidRDefault="00A9445D" w:rsidP="00A539CE">
      <w:pPr>
        <w:ind w:left="566" w:firstLine="566"/>
        <w:rPr>
          <w:rFonts w:hAnsi="標楷體" w:hint="eastAsia"/>
        </w:rPr>
      </w:pPr>
      <w:r>
        <w:rPr>
          <w:rFonts w:hAnsi="標楷體" w:hint="eastAsia"/>
        </w:rPr>
        <w:t>央行114年度預算案於「貳、經營政策」</w:t>
      </w:r>
      <w:r w:rsidR="00F4064E">
        <w:rPr>
          <w:rFonts w:hAnsi="標楷體" w:hint="eastAsia"/>
        </w:rPr>
        <w:t>-「三、外匯管理」</w:t>
      </w:r>
      <w:r>
        <w:rPr>
          <w:rFonts w:hAnsi="標楷體" w:hint="eastAsia"/>
        </w:rPr>
        <w:t>列有「</w:t>
      </w:r>
      <w:r w:rsidR="00E0072F">
        <w:rPr>
          <w:rFonts w:hAnsi="標楷體" w:hint="eastAsia"/>
        </w:rPr>
        <w:t>密切注意國際金融動態及跨境資金移動，並強化外資資金</w:t>
      </w:r>
      <w:r w:rsidR="003F3F0E">
        <w:rPr>
          <w:rFonts w:hAnsi="標楷體" w:hint="eastAsia"/>
        </w:rPr>
        <w:t>進</w:t>
      </w:r>
      <w:r w:rsidR="00E0072F">
        <w:rPr>
          <w:rFonts w:hAnsi="標楷體" w:hint="eastAsia"/>
        </w:rPr>
        <w:t>出管理機制，維護國內金融市場穩定</w:t>
      </w:r>
      <w:r>
        <w:rPr>
          <w:rFonts w:hAnsi="標楷體" w:hint="eastAsia"/>
        </w:rPr>
        <w:t>」</w:t>
      </w:r>
      <w:r w:rsidR="00E0072F">
        <w:rPr>
          <w:rFonts w:hAnsi="標楷體" w:hint="eastAsia"/>
        </w:rPr>
        <w:t>及「研析國際金融情勢，確保安全性、流動</w:t>
      </w:r>
      <w:r w:rsidR="000150DF">
        <w:rPr>
          <w:rFonts w:hAnsi="標楷體" w:hint="eastAsia"/>
        </w:rPr>
        <w:t>性</w:t>
      </w:r>
      <w:r w:rsidR="00E0072F">
        <w:rPr>
          <w:rFonts w:hAnsi="標楷體" w:hint="eastAsia"/>
        </w:rPr>
        <w:t>與收益性原則，適時調整外匯存底投資組合，</w:t>
      </w:r>
      <w:r w:rsidR="00E0072F">
        <w:rPr>
          <w:rFonts w:hAnsi="標楷體"/>
        </w:rPr>
        <w:t>…</w:t>
      </w:r>
      <w:r w:rsidR="00E0072F">
        <w:rPr>
          <w:rFonts w:hAnsi="標楷體" w:hint="eastAsia"/>
        </w:rPr>
        <w:t>。」</w:t>
      </w:r>
      <w:r w:rsidR="003F3F0E">
        <w:rPr>
          <w:rFonts w:hAnsi="標楷體" w:hint="eastAsia"/>
        </w:rPr>
        <w:t>，爰匯率調節及穩定金融市場為央行重要任務。經查</w:t>
      </w:r>
      <w:r w:rsidR="00A539CE" w:rsidRPr="00507BD2">
        <w:rPr>
          <w:rFonts w:hAnsi="標楷體" w:hint="eastAsia"/>
        </w:rPr>
        <w:t>：</w:t>
      </w:r>
    </w:p>
    <w:p w:rsidR="00C37D29" w:rsidRPr="00507BD2" w:rsidRDefault="00A539CE" w:rsidP="00A539CE">
      <w:pPr>
        <w:pStyle w:val="a4"/>
        <w:rPr>
          <w:rFonts w:hint="eastAsia"/>
          <w:b/>
        </w:rPr>
      </w:pPr>
      <w:r w:rsidRPr="00507BD2">
        <w:rPr>
          <w:rFonts w:hint="eastAsia"/>
          <w:b/>
        </w:rPr>
        <w:t>(一)</w:t>
      </w:r>
      <w:r w:rsidR="00890134">
        <w:rPr>
          <w:rFonts w:hint="eastAsia"/>
          <w:b/>
        </w:rPr>
        <w:t>外</w:t>
      </w:r>
      <w:r w:rsidR="001D76C0">
        <w:rPr>
          <w:rFonts w:hint="eastAsia"/>
          <w:b/>
        </w:rPr>
        <w:t>幣</w:t>
      </w:r>
      <w:r w:rsidR="00890134">
        <w:rPr>
          <w:rFonts w:hint="eastAsia"/>
          <w:b/>
        </w:rPr>
        <w:t>資產包括含美國公債在內之</w:t>
      </w:r>
      <w:r w:rsidR="00767BBC">
        <w:rPr>
          <w:rFonts w:hint="eastAsia"/>
          <w:b/>
        </w:rPr>
        <w:t>先進</w:t>
      </w:r>
      <w:r w:rsidR="00C37D29">
        <w:rPr>
          <w:rFonts w:hint="eastAsia"/>
          <w:b/>
        </w:rPr>
        <w:t>國家</w:t>
      </w:r>
      <w:r w:rsidR="004278A5">
        <w:rPr>
          <w:rFonts w:hint="eastAsia"/>
          <w:b/>
        </w:rPr>
        <w:t>債券</w:t>
      </w:r>
      <w:r w:rsidR="00170413">
        <w:rPr>
          <w:rFonts w:hint="eastAsia"/>
          <w:b/>
        </w:rPr>
        <w:t>，其</w:t>
      </w:r>
      <w:r w:rsidR="00C37D29">
        <w:rPr>
          <w:rFonts w:hint="eastAsia"/>
          <w:b/>
        </w:rPr>
        <w:t>數額及價格波動攸關</w:t>
      </w:r>
      <w:r w:rsidR="00AD21D6" w:rsidRPr="00AD21D6">
        <w:rPr>
          <w:rFonts w:hint="eastAsia"/>
          <w:b/>
        </w:rPr>
        <w:t>匯率調節及因應緊急危機能力</w:t>
      </w:r>
    </w:p>
    <w:p w:rsidR="004278A5" w:rsidRPr="006E09E4" w:rsidRDefault="00A42EB0" w:rsidP="00754EB6">
      <w:pPr>
        <w:pStyle w:val="21"/>
        <w:ind w:left="850" w:firstLine="566"/>
        <w:rPr>
          <w:rFonts w:hAnsi="標楷體"/>
        </w:rPr>
      </w:pPr>
      <w:r>
        <w:rPr>
          <w:rFonts w:hAnsi="標楷體" w:hint="eastAsia"/>
        </w:rPr>
        <w:t>為</w:t>
      </w:r>
      <w:r w:rsidR="00170413" w:rsidRPr="00170413">
        <w:rPr>
          <w:rFonts w:hAnsi="標楷體" w:hint="eastAsia"/>
        </w:rPr>
        <w:t>維護對內及對外幣值之穩定，央行持有外幣資產之目的為挹注國際收支發生短絀時之外匯需求，並藉以調節供需，維持有秩序之外匯市場</w:t>
      </w:r>
      <w:r w:rsidR="00170413">
        <w:rPr>
          <w:rFonts w:hAnsi="標楷體" w:hint="eastAsia"/>
        </w:rPr>
        <w:t>，</w:t>
      </w:r>
      <w:r w:rsidR="00090645">
        <w:rPr>
          <w:rFonts w:hAnsi="標楷體" w:hint="eastAsia"/>
        </w:rPr>
        <w:t>提供廠商</w:t>
      </w:r>
      <w:r w:rsidR="00F855D5">
        <w:rPr>
          <w:rFonts w:hAnsi="標楷體" w:hint="eastAsia"/>
        </w:rPr>
        <w:t>良好</w:t>
      </w:r>
      <w:r w:rsidR="00090645">
        <w:rPr>
          <w:rFonts w:hAnsi="標楷體" w:hint="eastAsia"/>
        </w:rPr>
        <w:t>貿易環境，</w:t>
      </w:r>
      <w:r w:rsidR="00170413" w:rsidRPr="00170413">
        <w:rPr>
          <w:rFonts w:hAnsi="標楷體" w:hint="eastAsia"/>
        </w:rPr>
        <w:t>須隨時保持高度流動性</w:t>
      </w:r>
      <w:r w:rsidR="00090645">
        <w:rPr>
          <w:rFonts w:hAnsi="標楷體" w:hint="eastAsia"/>
        </w:rPr>
        <w:t>，其數額及價格波動</w:t>
      </w:r>
      <w:r w:rsidR="00920024">
        <w:rPr>
          <w:rFonts w:hAnsi="標楷體" w:hint="eastAsia"/>
        </w:rPr>
        <w:t>攸關變現價值，影響</w:t>
      </w:r>
      <w:r w:rsidR="00767BBC">
        <w:rPr>
          <w:rFonts w:hAnsi="標楷體" w:hint="eastAsia"/>
        </w:rPr>
        <w:t>匯率調節</w:t>
      </w:r>
      <w:r w:rsidR="00826037">
        <w:rPr>
          <w:rFonts w:hAnsi="標楷體" w:hint="eastAsia"/>
        </w:rPr>
        <w:t>及緊急危機</w:t>
      </w:r>
      <w:r w:rsidR="00271392">
        <w:rPr>
          <w:rFonts w:hAnsi="標楷體" w:hint="eastAsia"/>
        </w:rPr>
        <w:t>應變</w:t>
      </w:r>
      <w:r w:rsidR="00090645">
        <w:rPr>
          <w:rFonts w:hAnsi="標楷體" w:hint="eastAsia"/>
        </w:rPr>
        <w:t>能力</w:t>
      </w:r>
      <w:r w:rsidR="00826037">
        <w:rPr>
          <w:rFonts w:hAnsi="標楷體" w:hint="eastAsia"/>
        </w:rPr>
        <w:t>。</w:t>
      </w:r>
      <w:r w:rsidR="009B2892">
        <w:rPr>
          <w:rFonts w:hAnsi="標楷體" w:hint="eastAsia"/>
        </w:rPr>
        <w:t>鑒</w:t>
      </w:r>
      <w:r w:rsidR="00170413" w:rsidRPr="00170413">
        <w:rPr>
          <w:rFonts w:hAnsi="標楷體" w:hint="eastAsia"/>
        </w:rPr>
        <w:t>於美國金融市場之規模、深度與廣度皆居世界首位，政經現況仍屬已開發國家中相對較優者，央行</w:t>
      </w:r>
      <w:r w:rsidR="00AF1D9E">
        <w:rPr>
          <w:rFonts w:hAnsi="標楷體" w:hint="eastAsia"/>
        </w:rPr>
        <w:t>表示</w:t>
      </w:r>
      <w:r w:rsidR="00170413" w:rsidRPr="00170413">
        <w:rPr>
          <w:rFonts w:hAnsi="標楷體" w:hint="eastAsia"/>
        </w:rPr>
        <w:t>外匯存底以持有安全性佳及流動性高之美國公債為主</w:t>
      </w:r>
      <w:r w:rsidR="00767BBC">
        <w:rPr>
          <w:rFonts w:hAnsi="標楷體" w:hint="eastAsia"/>
        </w:rPr>
        <w:t>，多持有至到期；</w:t>
      </w:r>
      <w:r w:rsidR="00090645">
        <w:rPr>
          <w:rFonts w:hAnsi="標楷體" w:hint="eastAsia"/>
        </w:rPr>
        <w:t>1</w:t>
      </w:r>
      <w:r w:rsidR="00090645">
        <w:rPr>
          <w:rFonts w:hAnsi="標楷體"/>
        </w:rPr>
        <w:t>13</w:t>
      </w:r>
      <w:r w:rsidR="00090645">
        <w:rPr>
          <w:rFonts w:hAnsi="標楷體" w:hint="eastAsia"/>
        </w:rPr>
        <w:t>年8月底</w:t>
      </w:r>
      <w:r w:rsidR="00767BBC">
        <w:rPr>
          <w:rFonts w:hAnsi="標楷體" w:hint="eastAsia"/>
        </w:rPr>
        <w:t>外幣</w:t>
      </w:r>
      <w:r w:rsidR="00890134">
        <w:rPr>
          <w:rFonts w:hAnsi="標楷體" w:hint="eastAsia"/>
        </w:rPr>
        <w:t>債券</w:t>
      </w:r>
      <w:r w:rsidR="00FD2F07">
        <w:rPr>
          <w:rFonts w:hAnsi="標楷體" w:hint="eastAsia"/>
        </w:rPr>
        <w:t>包括</w:t>
      </w:r>
      <w:r w:rsidR="00A640F4">
        <w:rPr>
          <w:rFonts w:hAnsi="標楷體" w:hint="eastAsia"/>
        </w:rPr>
        <w:t>收取孳息</w:t>
      </w:r>
      <w:r w:rsidR="00713E85">
        <w:rPr>
          <w:rFonts w:hAnsi="標楷體" w:hint="eastAsia"/>
        </w:rPr>
        <w:t>等</w:t>
      </w:r>
      <w:r w:rsidR="00767BBC">
        <w:rPr>
          <w:rFonts w:hAnsi="標楷體" w:hint="eastAsia"/>
        </w:rPr>
        <w:t>以歐美等先進國家高信用評等政府公債為主之</w:t>
      </w:r>
      <w:r w:rsidR="00890134">
        <w:rPr>
          <w:rFonts w:hAnsi="標楷體" w:hint="eastAsia"/>
        </w:rPr>
        <w:t>債券</w:t>
      </w:r>
      <w:r w:rsidR="00767BBC">
        <w:rPr>
          <w:rFonts w:hAnsi="標楷體" w:hint="eastAsia"/>
        </w:rPr>
        <w:t>17兆3</w:t>
      </w:r>
      <w:r w:rsidR="00767BBC">
        <w:rPr>
          <w:rFonts w:hAnsi="標楷體"/>
        </w:rPr>
        <w:t>,</w:t>
      </w:r>
      <w:r w:rsidR="00767BBC">
        <w:rPr>
          <w:rFonts w:hAnsi="標楷體" w:hint="eastAsia"/>
        </w:rPr>
        <w:t>872億6</w:t>
      </w:r>
      <w:r w:rsidR="00767BBC">
        <w:rPr>
          <w:rFonts w:hAnsi="標楷體"/>
        </w:rPr>
        <w:t>,</w:t>
      </w:r>
      <w:r w:rsidR="00767BBC">
        <w:rPr>
          <w:rFonts w:hAnsi="標楷體" w:hint="eastAsia"/>
        </w:rPr>
        <w:t>900萬2千元及</w:t>
      </w:r>
      <w:r w:rsidR="00A640F4">
        <w:rPr>
          <w:rFonts w:hAnsi="標楷體" w:hint="eastAsia"/>
        </w:rPr>
        <w:t>以交易為目的美國公債3億1</w:t>
      </w:r>
      <w:r w:rsidR="00A640F4">
        <w:rPr>
          <w:rFonts w:hAnsi="標楷體"/>
        </w:rPr>
        <w:t>,</w:t>
      </w:r>
      <w:r w:rsidR="00A640F4">
        <w:rPr>
          <w:rFonts w:hAnsi="標楷體" w:hint="eastAsia"/>
        </w:rPr>
        <w:t>242萬4千元</w:t>
      </w:r>
      <w:r w:rsidR="00FD2F07">
        <w:rPr>
          <w:rFonts w:hAnsi="標楷體" w:hint="eastAsia"/>
        </w:rPr>
        <w:t>，合共</w:t>
      </w:r>
      <w:r w:rsidR="00FD2F07">
        <w:rPr>
          <w:rFonts w:hAnsi="標楷體"/>
        </w:rPr>
        <w:t>17</w:t>
      </w:r>
      <w:r w:rsidR="00FD2F07">
        <w:rPr>
          <w:rFonts w:hAnsi="標楷體" w:hint="eastAsia"/>
        </w:rPr>
        <w:t>兆</w:t>
      </w:r>
      <w:r w:rsidR="00FD2F07">
        <w:rPr>
          <w:rFonts w:hAnsi="標楷體"/>
        </w:rPr>
        <w:t>3,875</w:t>
      </w:r>
      <w:r w:rsidR="00FD2F07">
        <w:rPr>
          <w:rFonts w:hAnsi="標楷體" w:hint="eastAsia"/>
        </w:rPr>
        <w:t>億</w:t>
      </w:r>
      <w:r w:rsidR="00FD2F07">
        <w:rPr>
          <w:rFonts w:hAnsi="標楷體"/>
        </w:rPr>
        <w:t>8,1</w:t>
      </w:r>
      <w:r w:rsidR="00FD2F07" w:rsidRPr="00FD2F07">
        <w:rPr>
          <w:rFonts w:hAnsi="標楷體"/>
        </w:rPr>
        <w:t>42</w:t>
      </w:r>
      <w:r w:rsidR="00FD2F07">
        <w:rPr>
          <w:rFonts w:hAnsi="標楷體" w:hint="eastAsia"/>
        </w:rPr>
        <w:t>萬</w:t>
      </w:r>
      <w:r w:rsidR="00FD2F07" w:rsidRPr="00FD2F07">
        <w:rPr>
          <w:rFonts w:hAnsi="標楷體"/>
        </w:rPr>
        <w:t>6</w:t>
      </w:r>
      <w:r w:rsidR="00FD2F07">
        <w:rPr>
          <w:rFonts w:hAnsi="標楷體" w:hint="eastAsia"/>
        </w:rPr>
        <w:t>千元</w:t>
      </w:r>
      <w:r w:rsidR="00A640F4">
        <w:rPr>
          <w:rFonts w:hAnsi="標楷體" w:hint="eastAsia"/>
        </w:rPr>
        <w:t>(詳表1)。</w:t>
      </w:r>
    </w:p>
    <w:p w:rsidR="007F2288" w:rsidRPr="007F2288" w:rsidRDefault="002F1476" w:rsidP="00987AE7">
      <w:pPr>
        <w:pStyle w:val="ad"/>
        <w:ind w:left="283" w:hanging="283"/>
      </w:pPr>
      <w:r w:rsidRPr="00987AE7">
        <w:rPr>
          <w:rFonts w:hint="eastAsia"/>
          <w:b/>
        </w:rPr>
        <w:t>表1</w:t>
      </w:r>
      <w:r w:rsidRPr="00987AE7">
        <w:rPr>
          <w:b/>
        </w:rPr>
        <w:t xml:space="preserve">  </w:t>
      </w:r>
      <w:bookmarkStart w:id="11" w:name="_Hlk146120855"/>
      <w:r w:rsidR="00987AE7" w:rsidRPr="00987AE7">
        <w:rPr>
          <w:b/>
        </w:rPr>
        <w:t>113</w:t>
      </w:r>
      <w:r w:rsidR="00987AE7" w:rsidRPr="00987AE7">
        <w:rPr>
          <w:rFonts w:hint="eastAsia"/>
          <w:b/>
        </w:rPr>
        <w:t>年8月底央行</w:t>
      </w:r>
      <w:r w:rsidR="00F4064E">
        <w:rPr>
          <w:rFonts w:hint="eastAsia"/>
          <w:b/>
        </w:rPr>
        <w:t>持有</w:t>
      </w:r>
      <w:r w:rsidR="00987AE7" w:rsidRPr="00987AE7">
        <w:rPr>
          <w:rFonts w:hint="eastAsia"/>
          <w:b/>
        </w:rPr>
        <w:t>債券明細表</w:t>
      </w:r>
      <w:bookmarkEnd w:id="11"/>
      <w:r w:rsidR="00987AE7">
        <w:rPr>
          <w:rFonts w:hint="eastAsia"/>
        </w:rPr>
        <w:t xml:space="preserve">    </w:t>
      </w:r>
      <w:r w:rsidR="007F2288" w:rsidRPr="00987AE7">
        <w:rPr>
          <w:sz w:val="24"/>
          <w:szCs w:val="24"/>
        </w:rPr>
        <w:t>單位</w:t>
      </w:r>
      <w:r w:rsidR="007F2288" w:rsidRPr="00987AE7">
        <w:rPr>
          <w:rFonts w:hint="eastAsia"/>
          <w:sz w:val="24"/>
          <w:szCs w:val="24"/>
        </w:rPr>
        <w:t>：</w:t>
      </w:r>
      <w:r w:rsidR="007F2288" w:rsidRPr="00987AE7">
        <w:rPr>
          <w:sz w:val="24"/>
          <w:szCs w:val="24"/>
        </w:rPr>
        <w:t>美金千元；新臺幣千元</w:t>
      </w:r>
    </w:p>
    <w:tbl>
      <w:tblPr>
        <w:tblW w:w="85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10"/>
        <w:gridCol w:w="2552"/>
        <w:gridCol w:w="1701"/>
        <w:gridCol w:w="1842"/>
      </w:tblGrid>
      <w:tr w:rsidR="007F2288" w:rsidRPr="00795661" w:rsidTr="00987AE7">
        <w:tc>
          <w:tcPr>
            <w:tcW w:w="2410" w:type="dxa"/>
            <w:vMerge w:val="restart"/>
            <w:tcBorders>
              <w:top w:val="single" w:sz="12" w:space="0" w:color="auto"/>
              <w:left w:val="single" w:sz="12" w:space="0" w:color="auto"/>
              <w:bottom w:val="single" w:sz="6" w:space="0" w:color="auto"/>
              <w:right w:val="single" w:sz="6" w:space="0" w:color="auto"/>
            </w:tcBorders>
            <w:shd w:val="clear" w:color="auto" w:fill="auto"/>
            <w:vAlign w:val="center"/>
          </w:tcPr>
          <w:p w:rsidR="007F2288" w:rsidRPr="00987AE7" w:rsidRDefault="007F2288" w:rsidP="007F2288">
            <w:pPr>
              <w:pStyle w:val="142"/>
              <w:jc w:val="center"/>
              <w:rPr>
                <w:b/>
              </w:rPr>
            </w:pPr>
            <w:r w:rsidRPr="00987AE7">
              <w:rPr>
                <w:b/>
              </w:rPr>
              <w:t>科目別</w:t>
            </w:r>
          </w:p>
        </w:tc>
        <w:tc>
          <w:tcPr>
            <w:tcW w:w="2552" w:type="dxa"/>
            <w:vMerge w:val="restart"/>
            <w:tcBorders>
              <w:top w:val="single" w:sz="12" w:space="0" w:color="auto"/>
              <w:left w:val="single" w:sz="6" w:space="0" w:color="auto"/>
              <w:bottom w:val="single" w:sz="6" w:space="0" w:color="auto"/>
              <w:right w:val="single" w:sz="6" w:space="0" w:color="auto"/>
            </w:tcBorders>
            <w:shd w:val="clear" w:color="auto" w:fill="auto"/>
            <w:vAlign w:val="center"/>
          </w:tcPr>
          <w:p w:rsidR="007F2288" w:rsidRPr="00987AE7" w:rsidRDefault="007F2288" w:rsidP="007F2288">
            <w:pPr>
              <w:pStyle w:val="142"/>
              <w:jc w:val="center"/>
              <w:rPr>
                <w:b/>
              </w:rPr>
            </w:pPr>
            <w:r w:rsidRPr="00987AE7">
              <w:rPr>
                <w:b/>
              </w:rPr>
              <w:t>債券種類</w:t>
            </w:r>
          </w:p>
        </w:tc>
        <w:tc>
          <w:tcPr>
            <w:tcW w:w="3543" w:type="dxa"/>
            <w:gridSpan w:val="2"/>
            <w:tcBorders>
              <w:top w:val="single" w:sz="12" w:space="0" w:color="auto"/>
              <w:left w:val="single" w:sz="6" w:space="0" w:color="auto"/>
              <w:bottom w:val="single" w:sz="6" w:space="0" w:color="auto"/>
              <w:right w:val="single" w:sz="12" w:space="0" w:color="auto"/>
            </w:tcBorders>
            <w:shd w:val="clear" w:color="auto" w:fill="auto"/>
            <w:vAlign w:val="center"/>
          </w:tcPr>
          <w:p w:rsidR="007F2288" w:rsidRPr="00987AE7" w:rsidRDefault="007F2288" w:rsidP="007F2288">
            <w:pPr>
              <w:pStyle w:val="142"/>
              <w:jc w:val="center"/>
              <w:rPr>
                <w:b/>
              </w:rPr>
            </w:pPr>
            <w:r w:rsidRPr="00987AE7">
              <w:rPr>
                <w:b/>
              </w:rPr>
              <w:t>帳列數</w:t>
            </w:r>
          </w:p>
        </w:tc>
      </w:tr>
      <w:tr w:rsidR="00987AE7" w:rsidRPr="00795661" w:rsidTr="00987AE7">
        <w:tc>
          <w:tcPr>
            <w:tcW w:w="2410" w:type="dxa"/>
            <w:vMerge/>
            <w:tcBorders>
              <w:top w:val="single" w:sz="6" w:space="0" w:color="auto"/>
              <w:left w:val="single" w:sz="12" w:space="0" w:color="auto"/>
              <w:bottom w:val="single" w:sz="6" w:space="0" w:color="auto"/>
              <w:right w:val="single" w:sz="6" w:space="0" w:color="auto"/>
            </w:tcBorders>
            <w:shd w:val="clear" w:color="auto" w:fill="auto"/>
            <w:vAlign w:val="center"/>
          </w:tcPr>
          <w:p w:rsidR="007F2288" w:rsidRPr="00987AE7" w:rsidRDefault="007F2288" w:rsidP="007F2288">
            <w:pPr>
              <w:pStyle w:val="142"/>
              <w:jc w:val="center"/>
              <w:rPr>
                <w:b/>
              </w:rPr>
            </w:pPr>
          </w:p>
        </w:tc>
        <w:tc>
          <w:tcPr>
            <w:tcW w:w="2552" w:type="dxa"/>
            <w:vMerge/>
            <w:tcBorders>
              <w:top w:val="single" w:sz="6" w:space="0" w:color="auto"/>
              <w:left w:val="single" w:sz="6" w:space="0" w:color="auto"/>
              <w:bottom w:val="single" w:sz="6" w:space="0" w:color="auto"/>
              <w:right w:val="single" w:sz="6" w:space="0" w:color="auto"/>
            </w:tcBorders>
            <w:shd w:val="clear" w:color="auto" w:fill="auto"/>
            <w:vAlign w:val="center"/>
          </w:tcPr>
          <w:p w:rsidR="007F2288" w:rsidRPr="00987AE7" w:rsidRDefault="007F2288" w:rsidP="007F2288">
            <w:pPr>
              <w:pStyle w:val="142"/>
              <w:jc w:val="center"/>
              <w:rPr>
                <w:b/>
              </w:rPr>
            </w:pPr>
          </w:p>
        </w:tc>
        <w:tc>
          <w:tcPr>
            <w:tcW w:w="1701" w:type="dxa"/>
            <w:tcBorders>
              <w:top w:val="single" w:sz="6" w:space="0" w:color="auto"/>
              <w:left w:val="single" w:sz="6" w:space="0" w:color="auto"/>
              <w:bottom w:val="single" w:sz="6" w:space="0" w:color="auto"/>
              <w:right w:val="single" w:sz="6" w:space="0" w:color="auto"/>
            </w:tcBorders>
            <w:shd w:val="clear" w:color="auto" w:fill="auto"/>
            <w:tcMar>
              <w:left w:w="57" w:type="dxa"/>
              <w:right w:w="57" w:type="dxa"/>
            </w:tcMar>
            <w:vAlign w:val="center"/>
          </w:tcPr>
          <w:p w:rsidR="007F2288" w:rsidRPr="00987AE7" w:rsidRDefault="007F2288" w:rsidP="007F2288">
            <w:pPr>
              <w:pStyle w:val="142"/>
              <w:jc w:val="center"/>
              <w:rPr>
                <w:b/>
              </w:rPr>
            </w:pPr>
            <w:r w:rsidRPr="00987AE7">
              <w:rPr>
                <w:b/>
              </w:rPr>
              <w:t>美元數</w:t>
            </w:r>
          </w:p>
        </w:tc>
        <w:tc>
          <w:tcPr>
            <w:tcW w:w="1842" w:type="dxa"/>
            <w:tcBorders>
              <w:top w:val="single" w:sz="6" w:space="0" w:color="auto"/>
              <w:left w:val="single" w:sz="6" w:space="0" w:color="auto"/>
              <w:bottom w:val="single" w:sz="6" w:space="0" w:color="auto"/>
              <w:right w:val="single" w:sz="12" w:space="0" w:color="auto"/>
            </w:tcBorders>
            <w:shd w:val="clear" w:color="auto" w:fill="auto"/>
            <w:vAlign w:val="center"/>
          </w:tcPr>
          <w:p w:rsidR="007F2288" w:rsidRPr="00987AE7" w:rsidRDefault="007F2288" w:rsidP="007F2288">
            <w:pPr>
              <w:pStyle w:val="142"/>
              <w:jc w:val="center"/>
              <w:rPr>
                <w:b/>
              </w:rPr>
            </w:pPr>
            <w:r w:rsidRPr="00987AE7">
              <w:rPr>
                <w:b/>
              </w:rPr>
              <w:t>新臺幣數</w:t>
            </w:r>
          </w:p>
        </w:tc>
      </w:tr>
      <w:tr w:rsidR="00987AE7" w:rsidRPr="00795661" w:rsidTr="00987AE7">
        <w:tc>
          <w:tcPr>
            <w:tcW w:w="2410" w:type="dxa"/>
            <w:tcBorders>
              <w:top w:val="single" w:sz="6" w:space="0" w:color="auto"/>
              <w:left w:val="single" w:sz="12" w:space="0" w:color="auto"/>
              <w:bottom w:val="single" w:sz="6" w:space="0" w:color="auto"/>
              <w:right w:val="single" w:sz="6" w:space="0" w:color="auto"/>
            </w:tcBorders>
            <w:shd w:val="clear" w:color="auto" w:fill="auto"/>
            <w:vAlign w:val="center"/>
          </w:tcPr>
          <w:p w:rsidR="007F2288" w:rsidRPr="007F2288" w:rsidRDefault="007F2288" w:rsidP="007F2288">
            <w:pPr>
              <w:pStyle w:val="142"/>
            </w:pPr>
            <w:r w:rsidRPr="007F2288">
              <w:t>按攤銷後成本衡量之金融資產</w:t>
            </w:r>
            <w:r w:rsidRPr="007F2288">
              <w:rPr>
                <w:rFonts w:hint="eastAsia"/>
              </w:rPr>
              <w:t>-非流動</w:t>
            </w:r>
          </w:p>
        </w:tc>
        <w:tc>
          <w:tcPr>
            <w:tcW w:w="2552" w:type="dxa"/>
            <w:tcBorders>
              <w:top w:val="single" w:sz="6" w:space="0" w:color="auto"/>
              <w:left w:val="single" w:sz="6" w:space="0" w:color="auto"/>
              <w:bottom w:val="single" w:sz="6" w:space="0" w:color="auto"/>
              <w:right w:val="single" w:sz="6" w:space="0" w:color="auto"/>
            </w:tcBorders>
            <w:shd w:val="clear" w:color="auto" w:fill="auto"/>
          </w:tcPr>
          <w:p w:rsidR="007F2288" w:rsidRPr="007F2288" w:rsidRDefault="007F2288" w:rsidP="007F2288">
            <w:pPr>
              <w:pStyle w:val="142"/>
            </w:pPr>
            <w:r w:rsidRPr="007F2288">
              <w:rPr>
                <w:rFonts w:hint="eastAsia"/>
              </w:rPr>
              <w:t>多為歐美先進國家高信用評等之政府公債</w:t>
            </w:r>
          </w:p>
        </w:tc>
        <w:tc>
          <w:tcPr>
            <w:tcW w:w="1701" w:type="dxa"/>
            <w:tcBorders>
              <w:top w:val="single" w:sz="6" w:space="0" w:color="auto"/>
              <w:left w:val="single" w:sz="6" w:space="0" w:color="auto"/>
              <w:bottom w:val="single" w:sz="6" w:space="0" w:color="auto"/>
              <w:right w:val="single" w:sz="6" w:space="0" w:color="auto"/>
            </w:tcBorders>
            <w:shd w:val="clear" w:color="auto" w:fill="auto"/>
            <w:tcMar>
              <w:left w:w="28" w:type="dxa"/>
              <w:right w:w="57" w:type="dxa"/>
            </w:tcMar>
            <w:vAlign w:val="center"/>
          </w:tcPr>
          <w:p w:rsidR="007F2288" w:rsidRPr="007F2288" w:rsidRDefault="007F2288" w:rsidP="00987AE7">
            <w:pPr>
              <w:pStyle w:val="142"/>
              <w:jc w:val="right"/>
            </w:pPr>
            <w:r w:rsidRPr="007F2288">
              <w:t>543,845,016</w:t>
            </w:r>
          </w:p>
        </w:tc>
        <w:tc>
          <w:tcPr>
            <w:tcW w:w="1842" w:type="dxa"/>
            <w:tcBorders>
              <w:top w:val="single" w:sz="6" w:space="0" w:color="auto"/>
              <w:left w:val="single" w:sz="6" w:space="0" w:color="auto"/>
              <w:bottom w:val="single" w:sz="6" w:space="0" w:color="auto"/>
              <w:right w:val="single" w:sz="12" w:space="0" w:color="auto"/>
            </w:tcBorders>
            <w:shd w:val="clear" w:color="auto" w:fill="auto"/>
            <w:tcMar>
              <w:left w:w="28" w:type="dxa"/>
              <w:right w:w="57" w:type="dxa"/>
            </w:tcMar>
            <w:vAlign w:val="center"/>
          </w:tcPr>
          <w:p w:rsidR="007F2288" w:rsidRPr="007F2288" w:rsidRDefault="007F2288" w:rsidP="00987AE7">
            <w:pPr>
              <w:pStyle w:val="142"/>
              <w:jc w:val="right"/>
            </w:pPr>
            <w:r w:rsidRPr="007F2288">
              <w:t>17,387,269,002</w:t>
            </w:r>
          </w:p>
        </w:tc>
      </w:tr>
      <w:tr w:rsidR="00987AE7" w:rsidRPr="00795661" w:rsidTr="00987AE7">
        <w:tc>
          <w:tcPr>
            <w:tcW w:w="2410" w:type="dxa"/>
            <w:tcBorders>
              <w:top w:val="single" w:sz="6" w:space="0" w:color="auto"/>
              <w:left w:val="single" w:sz="12" w:space="0" w:color="auto"/>
              <w:bottom w:val="single" w:sz="6" w:space="0" w:color="auto"/>
              <w:right w:val="single" w:sz="6" w:space="0" w:color="auto"/>
            </w:tcBorders>
            <w:shd w:val="clear" w:color="auto" w:fill="auto"/>
            <w:vAlign w:val="center"/>
          </w:tcPr>
          <w:p w:rsidR="007F2288" w:rsidRPr="00987AE7" w:rsidRDefault="007F2288" w:rsidP="007F2288">
            <w:pPr>
              <w:pStyle w:val="142"/>
              <w:rPr>
                <w:spacing w:val="-9"/>
              </w:rPr>
            </w:pPr>
            <w:r w:rsidRPr="00987AE7">
              <w:rPr>
                <w:spacing w:val="-9"/>
              </w:rPr>
              <w:t>透過損益按公允價值衡量之金融資產</w:t>
            </w:r>
            <w:r w:rsidRPr="00987AE7">
              <w:rPr>
                <w:rFonts w:hint="eastAsia"/>
                <w:spacing w:val="-9"/>
              </w:rPr>
              <w:t>-流動</w:t>
            </w:r>
          </w:p>
        </w:tc>
        <w:tc>
          <w:tcPr>
            <w:tcW w:w="2552" w:type="dxa"/>
            <w:tcBorders>
              <w:top w:val="single" w:sz="6" w:space="0" w:color="auto"/>
              <w:left w:val="single" w:sz="6" w:space="0" w:color="auto"/>
              <w:bottom w:val="single" w:sz="6" w:space="0" w:color="auto"/>
              <w:right w:val="single" w:sz="6" w:space="0" w:color="auto"/>
            </w:tcBorders>
            <w:shd w:val="clear" w:color="auto" w:fill="auto"/>
            <w:vAlign w:val="center"/>
          </w:tcPr>
          <w:p w:rsidR="007F2288" w:rsidRPr="007F2288" w:rsidRDefault="007F2288" w:rsidP="007F2288">
            <w:pPr>
              <w:pStyle w:val="142"/>
            </w:pPr>
            <w:r w:rsidRPr="007F2288">
              <w:t>美國公債</w:t>
            </w:r>
          </w:p>
        </w:tc>
        <w:tc>
          <w:tcPr>
            <w:tcW w:w="1701" w:type="dxa"/>
            <w:tcBorders>
              <w:top w:val="single" w:sz="6" w:space="0" w:color="auto"/>
              <w:left w:val="single" w:sz="6" w:space="0" w:color="auto"/>
              <w:bottom w:val="single" w:sz="6" w:space="0" w:color="auto"/>
              <w:right w:val="single" w:sz="6" w:space="0" w:color="auto"/>
            </w:tcBorders>
            <w:shd w:val="clear" w:color="auto" w:fill="auto"/>
            <w:tcMar>
              <w:left w:w="28" w:type="dxa"/>
              <w:right w:w="57" w:type="dxa"/>
            </w:tcMar>
            <w:vAlign w:val="center"/>
          </w:tcPr>
          <w:p w:rsidR="007F2288" w:rsidRPr="007F2288" w:rsidRDefault="007F2288" w:rsidP="00987AE7">
            <w:pPr>
              <w:pStyle w:val="142"/>
              <w:jc w:val="right"/>
            </w:pPr>
            <w:r w:rsidRPr="007F2288">
              <w:t>9,772</w:t>
            </w:r>
          </w:p>
        </w:tc>
        <w:tc>
          <w:tcPr>
            <w:tcW w:w="1842" w:type="dxa"/>
            <w:tcBorders>
              <w:top w:val="single" w:sz="6" w:space="0" w:color="auto"/>
              <w:left w:val="single" w:sz="6" w:space="0" w:color="auto"/>
              <w:bottom w:val="single" w:sz="6" w:space="0" w:color="auto"/>
              <w:right w:val="single" w:sz="12" w:space="0" w:color="auto"/>
            </w:tcBorders>
            <w:shd w:val="clear" w:color="auto" w:fill="auto"/>
            <w:tcMar>
              <w:left w:w="28" w:type="dxa"/>
              <w:right w:w="57" w:type="dxa"/>
            </w:tcMar>
            <w:vAlign w:val="center"/>
          </w:tcPr>
          <w:p w:rsidR="007F2288" w:rsidRPr="007F2288" w:rsidRDefault="007F2288" w:rsidP="00987AE7">
            <w:pPr>
              <w:pStyle w:val="142"/>
              <w:jc w:val="right"/>
            </w:pPr>
            <w:r w:rsidRPr="007F2288">
              <w:t>312,424</w:t>
            </w:r>
          </w:p>
        </w:tc>
      </w:tr>
      <w:tr w:rsidR="00987AE7" w:rsidRPr="00795661" w:rsidTr="00987AE7">
        <w:tc>
          <w:tcPr>
            <w:tcW w:w="4962" w:type="dxa"/>
            <w:gridSpan w:val="2"/>
            <w:tcBorders>
              <w:top w:val="single" w:sz="6" w:space="0" w:color="auto"/>
              <w:left w:val="single" w:sz="12" w:space="0" w:color="auto"/>
              <w:bottom w:val="single" w:sz="12" w:space="0" w:color="auto"/>
              <w:right w:val="single" w:sz="6" w:space="0" w:color="auto"/>
            </w:tcBorders>
            <w:shd w:val="clear" w:color="auto" w:fill="auto"/>
          </w:tcPr>
          <w:p w:rsidR="00987AE7" w:rsidRPr="007F2288" w:rsidRDefault="00987AE7" w:rsidP="00987AE7">
            <w:pPr>
              <w:pStyle w:val="142"/>
              <w:jc w:val="center"/>
            </w:pPr>
            <w:r>
              <w:rPr>
                <w:rFonts w:hint="eastAsia"/>
              </w:rPr>
              <w:t>合  計</w:t>
            </w:r>
          </w:p>
        </w:tc>
        <w:tc>
          <w:tcPr>
            <w:tcW w:w="1701" w:type="dxa"/>
            <w:tcBorders>
              <w:top w:val="single" w:sz="6" w:space="0" w:color="auto"/>
              <w:left w:val="single" w:sz="6" w:space="0" w:color="auto"/>
              <w:bottom w:val="single" w:sz="12" w:space="0" w:color="auto"/>
              <w:right w:val="single" w:sz="6" w:space="0" w:color="auto"/>
            </w:tcBorders>
            <w:shd w:val="clear" w:color="auto" w:fill="auto"/>
            <w:tcMar>
              <w:left w:w="28" w:type="dxa"/>
              <w:right w:w="57" w:type="dxa"/>
            </w:tcMar>
          </w:tcPr>
          <w:p w:rsidR="00987AE7" w:rsidRPr="007F2288" w:rsidRDefault="00987AE7" w:rsidP="00987AE7">
            <w:pPr>
              <w:pStyle w:val="142"/>
              <w:jc w:val="right"/>
            </w:pPr>
            <w:r w:rsidRPr="007F2288">
              <w:t>543,8</w:t>
            </w:r>
            <w:r w:rsidRPr="007F2288">
              <w:rPr>
                <w:rFonts w:hint="eastAsia"/>
              </w:rPr>
              <w:t>54</w:t>
            </w:r>
            <w:r w:rsidRPr="007F2288">
              <w:t>,788</w:t>
            </w:r>
          </w:p>
        </w:tc>
        <w:tc>
          <w:tcPr>
            <w:tcW w:w="1842" w:type="dxa"/>
            <w:tcBorders>
              <w:top w:val="single" w:sz="6" w:space="0" w:color="auto"/>
              <w:left w:val="single" w:sz="6" w:space="0" w:color="auto"/>
              <w:bottom w:val="single" w:sz="12" w:space="0" w:color="auto"/>
              <w:right w:val="single" w:sz="12" w:space="0" w:color="auto"/>
            </w:tcBorders>
            <w:shd w:val="clear" w:color="auto" w:fill="auto"/>
            <w:tcMar>
              <w:left w:w="28" w:type="dxa"/>
              <w:right w:w="57" w:type="dxa"/>
            </w:tcMar>
          </w:tcPr>
          <w:p w:rsidR="00987AE7" w:rsidRPr="007F2288" w:rsidRDefault="00987AE7" w:rsidP="00987AE7">
            <w:pPr>
              <w:pStyle w:val="142"/>
              <w:jc w:val="right"/>
            </w:pPr>
            <w:r w:rsidRPr="007F2288">
              <w:t>17,387,581,426</w:t>
            </w:r>
          </w:p>
        </w:tc>
      </w:tr>
    </w:tbl>
    <w:p w:rsidR="002F1476" w:rsidRPr="00987AE7" w:rsidRDefault="002F1476" w:rsidP="00B37DFA">
      <w:pPr>
        <w:pStyle w:val="142"/>
        <w:rPr>
          <w:rFonts w:hint="eastAsia"/>
        </w:rPr>
      </w:pPr>
      <w:r w:rsidRPr="00987AE7">
        <w:t>說</w:t>
      </w:r>
      <w:r w:rsidRPr="00987AE7">
        <w:rPr>
          <w:rFonts w:hint="eastAsia"/>
        </w:rPr>
        <w:t xml:space="preserve"> </w:t>
      </w:r>
      <w:r w:rsidRPr="00987AE7">
        <w:t xml:space="preserve">   明</w:t>
      </w:r>
      <w:r w:rsidRPr="00987AE7">
        <w:rPr>
          <w:rFonts w:hint="eastAsia"/>
        </w:rPr>
        <w:t>：</w:t>
      </w:r>
      <w:r w:rsidR="00B37DFA">
        <w:rPr>
          <w:rFonts w:hint="eastAsia"/>
        </w:rPr>
        <w:t>「</w:t>
      </w:r>
      <w:r w:rsidR="007F2288" w:rsidRPr="00987AE7">
        <w:t>按攤銷後成本衡量之金融資產</w:t>
      </w:r>
      <w:r w:rsidR="007F2288" w:rsidRPr="00987AE7">
        <w:rPr>
          <w:rFonts w:hint="eastAsia"/>
        </w:rPr>
        <w:t>-非流動」無法拆分</w:t>
      </w:r>
      <w:r w:rsidR="00987AE7">
        <w:rPr>
          <w:rFonts w:hint="eastAsia"/>
        </w:rPr>
        <w:t>債券種類</w:t>
      </w:r>
      <w:r w:rsidR="007F2288" w:rsidRPr="00987AE7">
        <w:rPr>
          <w:rFonts w:hint="eastAsia"/>
        </w:rPr>
        <w:t>。</w:t>
      </w:r>
    </w:p>
    <w:p w:rsidR="002F1476" w:rsidRPr="00987AE7" w:rsidRDefault="002F1476" w:rsidP="00987AE7">
      <w:pPr>
        <w:pStyle w:val="142"/>
      </w:pPr>
      <w:r w:rsidRPr="00987AE7">
        <w:rPr>
          <w:rFonts w:hint="eastAsia"/>
        </w:rPr>
        <w:t>資料來源：</w:t>
      </w:r>
      <w:r w:rsidR="006F5501" w:rsidRPr="00987AE7">
        <w:rPr>
          <w:rFonts w:hint="eastAsia"/>
        </w:rPr>
        <w:t>央行</w:t>
      </w:r>
      <w:r w:rsidRPr="00987AE7">
        <w:rPr>
          <w:rFonts w:hint="eastAsia"/>
        </w:rPr>
        <w:t>。</w:t>
      </w:r>
    </w:p>
    <w:p w:rsidR="00A539CE" w:rsidRPr="00507BD2" w:rsidRDefault="00A539CE" w:rsidP="00A539CE">
      <w:pPr>
        <w:pStyle w:val="a4"/>
        <w:rPr>
          <w:rFonts w:hint="eastAsia"/>
          <w:b/>
          <w:color w:val="FF0000"/>
        </w:rPr>
      </w:pPr>
      <w:r w:rsidRPr="00507BD2">
        <w:rPr>
          <w:rFonts w:hint="eastAsia"/>
          <w:b/>
        </w:rPr>
        <w:t>(二)</w:t>
      </w:r>
      <w:r w:rsidR="00555079">
        <w:rPr>
          <w:rFonts w:hint="eastAsia"/>
          <w:b/>
        </w:rPr>
        <w:t>日本與中國大陸基於債信及</w:t>
      </w:r>
      <w:r w:rsidR="00272F49">
        <w:rPr>
          <w:rFonts w:hint="eastAsia"/>
          <w:b/>
        </w:rPr>
        <w:t>維護貨幣穩定</w:t>
      </w:r>
      <w:r w:rsidR="00555079">
        <w:rPr>
          <w:rFonts w:hint="eastAsia"/>
          <w:b/>
        </w:rPr>
        <w:t>等因素</w:t>
      </w:r>
      <w:r w:rsidR="00272F49">
        <w:rPr>
          <w:rFonts w:hint="eastAsia"/>
          <w:b/>
        </w:rPr>
        <w:t>，2024年以來持續</w:t>
      </w:r>
      <w:r w:rsidR="006F5501">
        <w:rPr>
          <w:rFonts w:hint="eastAsia"/>
          <w:b/>
        </w:rPr>
        <w:t>減持</w:t>
      </w:r>
      <w:r w:rsidR="00272F49">
        <w:rPr>
          <w:rFonts w:hint="eastAsia"/>
          <w:b/>
        </w:rPr>
        <w:t>美國公債</w:t>
      </w:r>
    </w:p>
    <w:p w:rsidR="003F3F0E" w:rsidRDefault="00555079" w:rsidP="009B2892">
      <w:pPr>
        <w:pStyle w:val="21"/>
        <w:ind w:left="850" w:firstLine="566"/>
        <w:rPr>
          <w:rFonts w:hAnsi="標楷體"/>
        </w:rPr>
      </w:pPr>
      <w:r>
        <w:rPr>
          <w:rFonts w:hAnsi="標楷體" w:hint="eastAsia"/>
        </w:rPr>
        <w:t>鑒於美國公債</w:t>
      </w:r>
      <w:r w:rsidRPr="008E2BC7">
        <w:rPr>
          <w:rFonts w:hAnsi="標楷體" w:hint="eastAsia"/>
        </w:rPr>
        <w:t>因公共債務攀升、赤字常居高不下，近年美國政府常面臨觸及舉債上限(debt ceiling)或政府關門等窘境，</w:t>
      </w:r>
      <w:r>
        <w:rPr>
          <w:rFonts w:hAnsi="標楷體" w:hint="eastAsia"/>
        </w:rPr>
        <w:t>加以</w:t>
      </w:r>
      <w:r w:rsidR="00980722">
        <w:rPr>
          <w:rFonts w:hAnsi="標楷體" w:hint="eastAsia"/>
        </w:rPr>
        <w:t>美國</w:t>
      </w:r>
      <w:r w:rsidR="00017E79">
        <w:rPr>
          <w:rFonts w:hAnsi="標楷體" w:hint="eastAsia"/>
        </w:rPr>
        <w:t>前</w:t>
      </w:r>
      <w:r w:rsidR="00980722">
        <w:rPr>
          <w:rFonts w:hAnsi="標楷體" w:hint="eastAsia"/>
        </w:rPr>
        <w:t>為抑制通貨膨脹採取緊縮政策，美元指數走升</w:t>
      </w:r>
      <w:r w:rsidR="00D54048">
        <w:rPr>
          <w:rFonts w:hAnsi="標楷體" w:hint="eastAsia"/>
        </w:rPr>
        <w:t>，</w:t>
      </w:r>
      <w:r>
        <w:rPr>
          <w:rFonts w:hAnsi="標楷體" w:hint="eastAsia"/>
        </w:rPr>
        <w:t>為</w:t>
      </w:r>
      <w:r w:rsidR="00017E79">
        <w:rPr>
          <w:rFonts w:hAnsi="標楷體" w:hint="eastAsia"/>
        </w:rPr>
        <w:t>使外匯準備多元化</w:t>
      </w:r>
      <w:r>
        <w:rPr>
          <w:rFonts w:hAnsi="標楷體" w:hint="eastAsia"/>
        </w:rPr>
        <w:t>降低美元影響性、調節匯率及</w:t>
      </w:r>
      <w:r w:rsidR="00AC6072">
        <w:rPr>
          <w:rFonts w:hAnsi="標楷體" w:hint="eastAsia"/>
        </w:rPr>
        <w:t>獲利考量</w:t>
      </w:r>
      <w:r>
        <w:rPr>
          <w:rFonts w:hAnsi="標楷體" w:hint="eastAsia"/>
        </w:rPr>
        <w:t>，據</w:t>
      </w:r>
      <w:r w:rsidR="00890134" w:rsidRPr="00507BD2">
        <w:rPr>
          <w:rFonts w:hAnsi="標楷體" w:hint="eastAsia"/>
        </w:rPr>
        <w:t>美國財政部公布之美國國際資本流動報告(TIC)顯示，</w:t>
      </w:r>
      <w:r>
        <w:rPr>
          <w:rFonts w:hAnsi="標楷體" w:hint="eastAsia"/>
        </w:rPr>
        <w:t>日本及中國大陸2024年以來持續減持美國公債</w:t>
      </w:r>
      <w:r w:rsidR="009B2892">
        <w:rPr>
          <w:rFonts w:hAnsi="標楷體"/>
        </w:rPr>
        <w:t>75</w:t>
      </w:r>
      <w:r w:rsidR="009B2892">
        <w:rPr>
          <w:rFonts w:hAnsi="標楷體" w:hint="eastAsia"/>
        </w:rPr>
        <w:t>億美元及</w:t>
      </w:r>
      <w:r w:rsidR="009B2892">
        <w:rPr>
          <w:rFonts w:hAnsi="標楷體"/>
        </w:rPr>
        <w:t>417</w:t>
      </w:r>
      <w:r w:rsidR="009B2892">
        <w:rPr>
          <w:rFonts w:hAnsi="標楷體" w:hint="eastAsia"/>
        </w:rPr>
        <w:t>億美</w:t>
      </w:r>
      <w:r>
        <w:rPr>
          <w:rFonts w:hAnsi="標楷體" w:hint="eastAsia"/>
        </w:rPr>
        <w:t>元</w:t>
      </w:r>
      <w:r w:rsidR="00A53844">
        <w:rPr>
          <w:rFonts w:hAnsi="標楷體" w:hint="eastAsia"/>
        </w:rPr>
        <w:t>(詳表2</w:t>
      </w:r>
      <w:r w:rsidR="00A53844">
        <w:rPr>
          <w:rFonts w:hAnsi="標楷體"/>
        </w:rPr>
        <w:t>)</w:t>
      </w:r>
      <w:r>
        <w:rPr>
          <w:rFonts w:hAnsi="標楷體" w:hint="eastAsia"/>
        </w:rPr>
        <w:t>，</w:t>
      </w:r>
      <w:r w:rsidR="009B2892">
        <w:rPr>
          <w:rFonts w:hAnsi="標楷體" w:hint="eastAsia"/>
        </w:rPr>
        <w:t>惟</w:t>
      </w:r>
      <w:r>
        <w:rPr>
          <w:rFonts w:hAnsi="標楷體" w:hint="eastAsia"/>
        </w:rPr>
        <w:t>仍為</w:t>
      </w:r>
      <w:r w:rsidR="00717B5F">
        <w:rPr>
          <w:rFonts w:hAnsi="標楷體" w:hint="eastAsia"/>
        </w:rPr>
        <w:t>前2大主要持有國，</w:t>
      </w:r>
      <w:r w:rsidR="00F845E7">
        <w:rPr>
          <w:rFonts w:hAnsi="標楷體" w:hint="eastAsia"/>
        </w:rPr>
        <w:t>後續</w:t>
      </w:r>
      <w:r w:rsidR="00017E79">
        <w:rPr>
          <w:rFonts w:hAnsi="標楷體" w:hint="eastAsia"/>
        </w:rPr>
        <w:t>拋售行為</w:t>
      </w:r>
      <w:r w:rsidR="00DE220B">
        <w:rPr>
          <w:rFonts w:hAnsi="標楷體" w:hint="eastAsia"/>
        </w:rPr>
        <w:t>將</w:t>
      </w:r>
      <w:r w:rsidR="00920024">
        <w:rPr>
          <w:rFonts w:hAnsi="標楷體" w:hint="eastAsia"/>
        </w:rPr>
        <w:t>影響價格下跌</w:t>
      </w:r>
      <w:r w:rsidR="00BF18B3">
        <w:rPr>
          <w:rFonts w:hAnsi="標楷體" w:hint="eastAsia"/>
        </w:rPr>
        <w:t>、</w:t>
      </w:r>
      <w:r w:rsidR="00717B5F">
        <w:rPr>
          <w:rFonts w:hAnsi="標楷體" w:hint="eastAsia"/>
        </w:rPr>
        <w:t>流動性</w:t>
      </w:r>
      <w:r w:rsidR="009B2892">
        <w:rPr>
          <w:rFonts w:hAnsi="標楷體" w:hint="eastAsia"/>
        </w:rPr>
        <w:t>及</w:t>
      </w:r>
      <w:r w:rsidR="00BF18B3">
        <w:rPr>
          <w:rFonts w:hAnsi="標楷體" w:hint="eastAsia"/>
        </w:rPr>
        <w:t>該國</w:t>
      </w:r>
      <w:r w:rsidR="00717B5F">
        <w:rPr>
          <w:rFonts w:hAnsi="標楷體" w:hint="eastAsia"/>
        </w:rPr>
        <w:t>匯率，容須密切留意</w:t>
      </w:r>
      <w:r w:rsidR="00F73AB1">
        <w:rPr>
          <w:rFonts w:hAnsi="標楷體" w:hint="eastAsia"/>
        </w:rPr>
        <w:t>對我國之影響</w:t>
      </w:r>
      <w:r w:rsidR="00717B5F">
        <w:rPr>
          <w:rFonts w:hAnsi="標楷體" w:hint="eastAsia"/>
        </w:rPr>
        <w:t>。</w:t>
      </w:r>
    </w:p>
    <w:p w:rsidR="00987AE7" w:rsidRDefault="00987AE7" w:rsidP="00B37DFA">
      <w:pPr>
        <w:pStyle w:val="ad"/>
        <w:ind w:left="283" w:hanging="283"/>
        <w:rPr>
          <w:sz w:val="24"/>
          <w:szCs w:val="24"/>
        </w:rPr>
      </w:pPr>
      <w:r w:rsidRPr="00B37DFA">
        <w:rPr>
          <w:rFonts w:hint="eastAsia"/>
          <w:b/>
        </w:rPr>
        <w:t>表2</w:t>
      </w:r>
      <w:r w:rsidRPr="00B37DFA">
        <w:rPr>
          <w:b/>
        </w:rPr>
        <w:t xml:space="preserve">  </w:t>
      </w:r>
      <w:r w:rsidR="003C3076" w:rsidRPr="00B37DFA">
        <w:rPr>
          <w:b/>
        </w:rPr>
        <w:t>2024</w:t>
      </w:r>
      <w:r w:rsidR="003C3076" w:rsidRPr="00B37DFA">
        <w:rPr>
          <w:rFonts w:hint="eastAsia"/>
          <w:b/>
        </w:rPr>
        <w:t>年</w:t>
      </w:r>
      <w:r w:rsidR="00A90610">
        <w:rPr>
          <w:rFonts w:hint="eastAsia"/>
          <w:b/>
        </w:rPr>
        <w:t>8月</w:t>
      </w:r>
      <w:r w:rsidR="003C3076" w:rsidRPr="00B37DFA">
        <w:rPr>
          <w:rFonts w:hint="eastAsia"/>
          <w:b/>
        </w:rPr>
        <w:t>前1</w:t>
      </w:r>
      <w:r w:rsidR="00EF5281">
        <w:rPr>
          <w:b/>
        </w:rPr>
        <w:t>0</w:t>
      </w:r>
      <w:r w:rsidR="003C3076" w:rsidRPr="00B37DFA">
        <w:rPr>
          <w:rFonts w:hint="eastAsia"/>
          <w:b/>
        </w:rPr>
        <w:t>大國家持有美國公債變化</w:t>
      </w:r>
      <w:r w:rsidRPr="00B37DFA">
        <w:rPr>
          <w:rFonts w:hint="eastAsia"/>
          <w:b/>
        </w:rPr>
        <w:t>表</w:t>
      </w:r>
      <w:r w:rsidRPr="00987AE7">
        <w:rPr>
          <w:rFonts w:hint="eastAsia"/>
        </w:rPr>
        <w:t xml:space="preserve"> </w:t>
      </w:r>
      <w:r w:rsidR="00B37DFA">
        <w:rPr>
          <w:rFonts w:hint="eastAsia"/>
        </w:rPr>
        <w:t xml:space="preserve"> </w:t>
      </w:r>
      <w:r w:rsidR="003C3076">
        <w:rPr>
          <w:rFonts w:hint="eastAsia"/>
        </w:rPr>
        <w:t xml:space="preserve"> </w:t>
      </w:r>
      <w:r w:rsidRPr="00987AE7">
        <w:t xml:space="preserve"> </w:t>
      </w:r>
      <w:r w:rsidRPr="00987AE7">
        <w:rPr>
          <w:sz w:val="24"/>
          <w:szCs w:val="24"/>
        </w:rPr>
        <w:t>單位</w:t>
      </w:r>
      <w:r w:rsidRPr="00987AE7">
        <w:rPr>
          <w:rFonts w:hint="eastAsia"/>
          <w:sz w:val="24"/>
          <w:szCs w:val="24"/>
        </w:rPr>
        <w:t>：</w:t>
      </w:r>
      <w:r w:rsidR="003C3076">
        <w:rPr>
          <w:sz w:val="24"/>
          <w:szCs w:val="24"/>
        </w:rPr>
        <w:t>10</w:t>
      </w:r>
      <w:r w:rsidR="003C3076">
        <w:rPr>
          <w:rFonts w:hint="eastAsia"/>
          <w:sz w:val="24"/>
          <w:szCs w:val="24"/>
        </w:rPr>
        <w:t>億美元</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817"/>
        <w:gridCol w:w="789"/>
        <w:gridCol w:w="784"/>
        <w:gridCol w:w="784"/>
        <w:gridCol w:w="784"/>
        <w:gridCol w:w="784"/>
        <w:gridCol w:w="784"/>
        <w:gridCol w:w="784"/>
        <w:gridCol w:w="784"/>
        <w:gridCol w:w="784"/>
        <w:gridCol w:w="682"/>
      </w:tblGrid>
      <w:tr w:rsidR="00F70503" w:rsidRPr="0055660F" w:rsidTr="00A42EB0">
        <w:trPr>
          <w:trHeight w:val="680"/>
          <w:tblHeader/>
        </w:trPr>
        <w:tc>
          <w:tcPr>
            <w:tcW w:w="477" w:type="pct"/>
            <w:shd w:val="clear" w:color="auto" w:fill="auto"/>
            <w:vAlign w:val="center"/>
            <w:hideMark/>
          </w:tcPr>
          <w:p w:rsidR="00F70503" w:rsidRPr="00F70503" w:rsidRDefault="00F70503" w:rsidP="00F70503">
            <w:pPr>
              <w:pStyle w:val="142"/>
              <w:jc w:val="center"/>
              <w:rPr>
                <w:b/>
                <w:spacing w:val="-16"/>
              </w:rPr>
            </w:pPr>
            <w:r w:rsidRPr="00F70503">
              <w:rPr>
                <w:rFonts w:hint="eastAsia"/>
                <w:b/>
                <w:spacing w:val="-16"/>
              </w:rPr>
              <w:t>國家</w:t>
            </w:r>
          </w:p>
        </w:tc>
        <w:tc>
          <w:tcPr>
            <w:tcW w:w="461" w:type="pct"/>
            <w:shd w:val="clear" w:color="auto" w:fill="auto"/>
            <w:vAlign w:val="center"/>
            <w:hideMark/>
          </w:tcPr>
          <w:p w:rsidR="00F70503" w:rsidRPr="00F70503" w:rsidRDefault="00F70503" w:rsidP="00F70503">
            <w:pPr>
              <w:pStyle w:val="142"/>
              <w:jc w:val="center"/>
              <w:rPr>
                <w:b/>
                <w:spacing w:val="-16"/>
              </w:rPr>
            </w:pPr>
            <w:r w:rsidRPr="00F70503">
              <w:rPr>
                <w:rFonts w:hint="eastAsia"/>
                <w:b/>
                <w:spacing w:val="-16"/>
              </w:rPr>
              <w:t>2023年</w:t>
            </w:r>
          </w:p>
          <w:p w:rsidR="00F70503" w:rsidRPr="00F70503" w:rsidRDefault="00F70503" w:rsidP="00F70503">
            <w:pPr>
              <w:pStyle w:val="142"/>
              <w:jc w:val="center"/>
              <w:rPr>
                <w:rFonts w:hint="eastAsia"/>
                <w:b/>
                <w:spacing w:val="-16"/>
              </w:rPr>
            </w:pPr>
            <w:r w:rsidRPr="00F70503">
              <w:rPr>
                <w:rFonts w:hint="eastAsia"/>
                <w:b/>
                <w:spacing w:val="-16"/>
              </w:rPr>
              <w:t>12月</w:t>
            </w:r>
          </w:p>
        </w:tc>
        <w:tc>
          <w:tcPr>
            <w:tcW w:w="458" w:type="pct"/>
            <w:shd w:val="clear" w:color="auto" w:fill="auto"/>
            <w:vAlign w:val="center"/>
            <w:hideMark/>
          </w:tcPr>
          <w:p w:rsidR="00F70503" w:rsidRPr="00F70503" w:rsidRDefault="00F70503" w:rsidP="00F70503">
            <w:pPr>
              <w:pStyle w:val="142"/>
              <w:jc w:val="center"/>
              <w:rPr>
                <w:b/>
                <w:spacing w:val="-16"/>
              </w:rPr>
            </w:pPr>
            <w:r w:rsidRPr="00F70503">
              <w:rPr>
                <w:rFonts w:hint="eastAsia"/>
                <w:b/>
                <w:spacing w:val="-16"/>
              </w:rPr>
              <w:t>2024年</w:t>
            </w:r>
          </w:p>
          <w:p w:rsidR="00F70503" w:rsidRPr="00F70503" w:rsidRDefault="00F70503" w:rsidP="00F70503">
            <w:pPr>
              <w:pStyle w:val="142"/>
              <w:jc w:val="center"/>
              <w:rPr>
                <w:rFonts w:hint="eastAsia"/>
                <w:b/>
                <w:spacing w:val="-16"/>
              </w:rPr>
            </w:pPr>
            <w:r w:rsidRPr="00F70503">
              <w:rPr>
                <w:rFonts w:hint="eastAsia"/>
                <w:b/>
                <w:spacing w:val="-16"/>
              </w:rPr>
              <w:t>1月</w:t>
            </w:r>
          </w:p>
        </w:tc>
        <w:tc>
          <w:tcPr>
            <w:tcW w:w="458" w:type="pct"/>
            <w:shd w:val="clear" w:color="auto" w:fill="auto"/>
            <w:vAlign w:val="center"/>
            <w:hideMark/>
          </w:tcPr>
          <w:p w:rsidR="00F70503" w:rsidRPr="00F70503" w:rsidRDefault="00F70503" w:rsidP="00F70503">
            <w:pPr>
              <w:pStyle w:val="142"/>
              <w:jc w:val="center"/>
              <w:rPr>
                <w:b/>
                <w:spacing w:val="-16"/>
              </w:rPr>
            </w:pPr>
            <w:r w:rsidRPr="00F70503">
              <w:rPr>
                <w:rFonts w:hint="eastAsia"/>
                <w:b/>
                <w:spacing w:val="-16"/>
              </w:rPr>
              <w:t>2024年</w:t>
            </w:r>
          </w:p>
          <w:p w:rsidR="00F70503" w:rsidRPr="00F70503" w:rsidRDefault="00A53844" w:rsidP="00F70503">
            <w:pPr>
              <w:pStyle w:val="142"/>
              <w:jc w:val="center"/>
              <w:rPr>
                <w:rFonts w:hint="eastAsia"/>
                <w:b/>
                <w:spacing w:val="-16"/>
              </w:rPr>
            </w:pPr>
            <w:r>
              <w:rPr>
                <w:rFonts w:hint="eastAsia"/>
                <w:b/>
                <w:spacing w:val="-16"/>
              </w:rPr>
              <w:t>2</w:t>
            </w:r>
            <w:r w:rsidR="00F70503" w:rsidRPr="00F70503">
              <w:rPr>
                <w:rFonts w:hint="eastAsia"/>
                <w:b/>
                <w:spacing w:val="-16"/>
              </w:rPr>
              <w:t>月</w:t>
            </w:r>
          </w:p>
        </w:tc>
        <w:tc>
          <w:tcPr>
            <w:tcW w:w="458" w:type="pct"/>
            <w:shd w:val="clear" w:color="auto" w:fill="auto"/>
            <w:vAlign w:val="center"/>
            <w:hideMark/>
          </w:tcPr>
          <w:p w:rsidR="00F70503" w:rsidRPr="00F70503" w:rsidRDefault="00F70503" w:rsidP="00F70503">
            <w:pPr>
              <w:pStyle w:val="142"/>
              <w:jc w:val="center"/>
              <w:rPr>
                <w:b/>
                <w:spacing w:val="-16"/>
              </w:rPr>
            </w:pPr>
            <w:r w:rsidRPr="00F70503">
              <w:rPr>
                <w:rFonts w:hint="eastAsia"/>
                <w:b/>
                <w:spacing w:val="-16"/>
              </w:rPr>
              <w:t>2024年</w:t>
            </w:r>
          </w:p>
          <w:p w:rsidR="00F70503" w:rsidRPr="00F70503" w:rsidRDefault="00F70503" w:rsidP="00F70503">
            <w:pPr>
              <w:pStyle w:val="142"/>
              <w:jc w:val="center"/>
              <w:rPr>
                <w:rFonts w:hint="eastAsia"/>
                <w:b/>
                <w:spacing w:val="-16"/>
              </w:rPr>
            </w:pPr>
            <w:r w:rsidRPr="00F70503">
              <w:rPr>
                <w:rFonts w:hint="eastAsia"/>
                <w:b/>
                <w:spacing w:val="-16"/>
              </w:rPr>
              <w:t>3月</w:t>
            </w:r>
          </w:p>
        </w:tc>
        <w:tc>
          <w:tcPr>
            <w:tcW w:w="458" w:type="pct"/>
            <w:shd w:val="clear" w:color="auto" w:fill="auto"/>
            <w:vAlign w:val="center"/>
            <w:hideMark/>
          </w:tcPr>
          <w:p w:rsidR="00F70503" w:rsidRPr="00F70503" w:rsidRDefault="00F70503" w:rsidP="00F70503">
            <w:pPr>
              <w:pStyle w:val="142"/>
              <w:jc w:val="center"/>
              <w:rPr>
                <w:b/>
                <w:spacing w:val="-16"/>
              </w:rPr>
            </w:pPr>
            <w:r w:rsidRPr="00F70503">
              <w:rPr>
                <w:rFonts w:hint="eastAsia"/>
                <w:b/>
                <w:spacing w:val="-16"/>
              </w:rPr>
              <w:t>2024年</w:t>
            </w:r>
          </w:p>
          <w:p w:rsidR="00F70503" w:rsidRPr="00F70503" w:rsidRDefault="00F70503" w:rsidP="00F70503">
            <w:pPr>
              <w:pStyle w:val="142"/>
              <w:jc w:val="center"/>
              <w:rPr>
                <w:rFonts w:hint="eastAsia"/>
                <w:b/>
                <w:spacing w:val="-16"/>
              </w:rPr>
            </w:pPr>
            <w:r w:rsidRPr="00F70503">
              <w:rPr>
                <w:rFonts w:hint="eastAsia"/>
                <w:b/>
                <w:spacing w:val="-16"/>
              </w:rPr>
              <w:t>4月</w:t>
            </w:r>
          </w:p>
        </w:tc>
        <w:tc>
          <w:tcPr>
            <w:tcW w:w="458" w:type="pct"/>
            <w:shd w:val="clear" w:color="auto" w:fill="auto"/>
            <w:vAlign w:val="center"/>
            <w:hideMark/>
          </w:tcPr>
          <w:p w:rsidR="00F70503" w:rsidRPr="00F70503" w:rsidRDefault="00F70503" w:rsidP="00F70503">
            <w:pPr>
              <w:pStyle w:val="142"/>
              <w:jc w:val="center"/>
              <w:rPr>
                <w:b/>
                <w:spacing w:val="-16"/>
              </w:rPr>
            </w:pPr>
            <w:r w:rsidRPr="00F70503">
              <w:rPr>
                <w:rFonts w:hint="eastAsia"/>
                <w:b/>
                <w:spacing w:val="-16"/>
              </w:rPr>
              <w:t>2024年</w:t>
            </w:r>
          </w:p>
          <w:p w:rsidR="00F70503" w:rsidRPr="00F70503" w:rsidRDefault="00F70503" w:rsidP="00F70503">
            <w:pPr>
              <w:pStyle w:val="142"/>
              <w:jc w:val="center"/>
              <w:rPr>
                <w:rFonts w:hint="eastAsia"/>
                <w:b/>
                <w:spacing w:val="-16"/>
              </w:rPr>
            </w:pPr>
            <w:r w:rsidRPr="00F70503">
              <w:rPr>
                <w:rFonts w:hint="eastAsia"/>
                <w:b/>
                <w:spacing w:val="-16"/>
              </w:rPr>
              <w:t>5月</w:t>
            </w:r>
          </w:p>
        </w:tc>
        <w:tc>
          <w:tcPr>
            <w:tcW w:w="458" w:type="pct"/>
            <w:shd w:val="clear" w:color="auto" w:fill="auto"/>
            <w:vAlign w:val="center"/>
            <w:hideMark/>
          </w:tcPr>
          <w:p w:rsidR="00F70503" w:rsidRPr="00F70503" w:rsidRDefault="00F70503" w:rsidP="00F70503">
            <w:pPr>
              <w:pStyle w:val="142"/>
              <w:jc w:val="center"/>
              <w:rPr>
                <w:b/>
                <w:spacing w:val="-16"/>
              </w:rPr>
            </w:pPr>
            <w:r w:rsidRPr="00F70503">
              <w:rPr>
                <w:rFonts w:hint="eastAsia"/>
                <w:b/>
                <w:spacing w:val="-16"/>
              </w:rPr>
              <w:t>2024年</w:t>
            </w:r>
          </w:p>
          <w:p w:rsidR="00F70503" w:rsidRPr="00F70503" w:rsidRDefault="00F70503" w:rsidP="00F70503">
            <w:pPr>
              <w:pStyle w:val="142"/>
              <w:jc w:val="center"/>
              <w:rPr>
                <w:rFonts w:hint="eastAsia"/>
                <w:b/>
                <w:spacing w:val="-16"/>
              </w:rPr>
            </w:pPr>
            <w:r w:rsidRPr="00F70503">
              <w:rPr>
                <w:rFonts w:hint="eastAsia"/>
                <w:b/>
                <w:spacing w:val="-16"/>
              </w:rPr>
              <w:t>6月</w:t>
            </w:r>
          </w:p>
        </w:tc>
        <w:tc>
          <w:tcPr>
            <w:tcW w:w="458" w:type="pct"/>
            <w:shd w:val="clear" w:color="auto" w:fill="auto"/>
            <w:vAlign w:val="center"/>
            <w:hideMark/>
          </w:tcPr>
          <w:p w:rsidR="00F70503" w:rsidRPr="00F70503" w:rsidRDefault="00F70503" w:rsidP="00F70503">
            <w:pPr>
              <w:pStyle w:val="142"/>
              <w:jc w:val="center"/>
              <w:rPr>
                <w:b/>
                <w:spacing w:val="-16"/>
              </w:rPr>
            </w:pPr>
            <w:r w:rsidRPr="00F70503">
              <w:rPr>
                <w:rFonts w:hint="eastAsia"/>
                <w:b/>
                <w:spacing w:val="-16"/>
              </w:rPr>
              <w:t>2024年</w:t>
            </w:r>
          </w:p>
          <w:p w:rsidR="00F70503" w:rsidRPr="00F70503" w:rsidRDefault="00F70503" w:rsidP="00F70503">
            <w:pPr>
              <w:pStyle w:val="142"/>
              <w:jc w:val="center"/>
              <w:rPr>
                <w:rFonts w:hint="eastAsia"/>
                <w:b/>
                <w:spacing w:val="-16"/>
              </w:rPr>
            </w:pPr>
            <w:r w:rsidRPr="00F70503">
              <w:rPr>
                <w:rFonts w:hint="eastAsia"/>
                <w:b/>
                <w:spacing w:val="-16"/>
              </w:rPr>
              <w:t>7月</w:t>
            </w:r>
          </w:p>
        </w:tc>
        <w:tc>
          <w:tcPr>
            <w:tcW w:w="458" w:type="pct"/>
            <w:shd w:val="clear" w:color="auto" w:fill="auto"/>
            <w:vAlign w:val="center"/>
            <w:hideMark/>
          </w:tcPr>
          <w:p w:rsidR="00F70503" w:rsidRPr="00F70503" w:rsidRDefault="00F70503" w:rsidP="00F70503">
            <w:pPr>
              <w:pStyle w:val="142"/>
              <w:jc w:val="center"/>
              <w:rPr>
                <w:b/>
                <w:spacing w:val="-16"/>
              </w:rPr>
            </w:pPr>
            <w:r w:rsidRPr="00F70503">
              <w:rPr>
                <w:rFonts w:hint="eastAsia"/>
                <w:b/>
                <w:spacing w:val="-16"/>
              </w:rPr>
              <w:t>2024年</w:t>
            </w:r>
          </w:p>
          <w:p w:rsidR="00F70503" w:rsidRPr="00F70503" w:rsidRDefault="00F70503" w:rsidP="00F70503">
            <w:pPr>
              <w:pStyle w:val="142"/>
              <w:jc w:val="center"/>
              <w:rPr>
                <w:rFonts w:hint="eastAsia"/>
                <w:b/>
                <w:spacing w:val="-16"/>
              </w:rPr>
            </w:pPr>
            <w:r w:rsidRPr="00F70503">
              <w:rPr>
                <w:rFonts w:hint="eastAsia"/>
                <w:b/>
                <w:spacing w:val="-16"/>
              </w:rPr>
              <w:t>8月</w:t>
            </w:r>
          </w:p>
        </w:tc>
        <w:tc>
          <w:tcPr>
            <w:tcW w:w="398" w:type="pct"/>
            <w:shd w:val="clear" w:color="auto" w:fill="auto"/>
            <w:vAlign w:val="center"/>
            <w:hideMark/>
          </w:tcPr>
          <w:p w:rsidR="00F70503" w:rsidRPr="00F70503" w:rsidRDefault="00F70503" w:rsidP="00F70503">
            <w:pPr>
              <w:pStyle w:val="142"/>
              <w:jc w:val="center"/>
              <w:rPr>
                <w:rFonts w:hint="eastAsia"/>
                <w:b/>
                <w:spacing w:val="-16"/>
              </w:rPr>
            </w:pPr>
            <w:r w:rsidRPr="00F70503">
              <w:rPr>
                <w:rFonts w:hint="eastAsia"/>
                <w:b/>
                <w:spacing w:val="-16"/>
              </w:rPr>
              <w:t>增(減)量</w:t>
            </w:r>
          </w:p>
        </w:tc>
      </w:tr>
      <w:tr w:rsidR="00F70503" w:rsidRPr="0055660F" w:rsidTr="00EF5281">
        <w:trPr>
          <w:trHeight w:val="340"/>
        </w:trPr>
        <w:tc>
          <w:tcPr>
            <w:tcW w:w="477" w:type="pct"/>
            <w:shd w:val="clear" w:color="auto" w:fill="auto"/>
            <w:vAlign w:val="center"/>
            <w:hideMark/>
          </w:tcPr>
          <w:p w:rsidR="00F70503" w:rsidRPr="00F70503" w:rsidRDefault="00F70503" w:rsidP="00F70503">
            <w:pPr>
              <w:pStyle w:val="142"/>
              <w:rPr>
                <w:rFonts w:hint="eastAsia"/>
                <w:b/>
                <w:spacing w:val="-16"/>
              </w:rPr>
            </w:pPr>
            <w:r w:rsidRPr="00F70503">
              <w:rPr>
                <w:rFonts w:hint="eastAsia"/>
                <w:b/>
                <w:spacing w:val="-16"/>
              </w:rPr>
              <w:t>日本</w:t>
            </w:r>
          </w:p>
        </w:tc>
        <w:tc>
          <w:tcPr>
            <w:tcW w:w="461" w:type="pct"/>
            <w:shd w:val="clear" w:color="auto" w:fill="auto"/>
            <w:vAlign w:val="center"/>
            <w:hideMark/>
          </w:tcPr>
          <w:p w:rsidR="00F70503" w:rsidRPr="00F70503" w:rsidRDefault="00F70503" w:rsidP="00F70503">
            <w:pPr>
              <w:pStyle w:val="142"/>
              <w:jc w:val="right"/>
              <w:rPr>
                <w:rFonts w:hint="eastAsia"/>
                <w:spacing w:val="-16"/>
              </w:rPr>
            </w:pPr>
            <w:r w:rsidRPr="00F70503">
              <w:rPr>
                <w:rFonts w:hint="eastAsia"/>
                <w:spacing w:val="-16"/>
              </w:rPr>
              <w:t>1,136.7</w:t>
            </w:r>
          </w:p>
        </w:tc>
        <w:tc>
          <w:tcPr>
            <w:tcW w:w="458" w:type="pct"/>
            <w:shd w:val="clear" w:color="auto" w:fill="auto"/>
            <w:vAlign w:val="center"/>
            <w:hideMark/>
          </w:tcPr>
          <w:p w:rsidR="00F70503" w:rsidRPr="00F70503" w:rsidRDefault="00F70503" w:rsidP="00F70503">
            <w:pPr>
              <w:pStyle w:val="142"/>
              <w:jc w:val="right"/>
              <w:rPr>
                <w:rFonts w:hint="eastAsia"/>
                <w:spacing w:val="-16"/>
              </w:rPr>
            </w:pPr>
            <w:r w:rsidRPr="00F70503">
              <w:rPr>
                <w:rFonts w:hint="eastAsia"/>
                <w:spacing w:val="-16"/>
              </w:rPr>
              <w:t>1,151.5</w:t>
            </w:r>
          </w:p>
        </w:tc>
        <w:tc>
          <w:tcPr>
            <w:tcW w:w="458" w:type="pct"/>
            <w:shd w:val="clear" w:color="auto" w:fill="auto"/>
            <w:vAlign w:val="center"/>
            <w:hideMark/>
          </w:tcPr>
          <w:p w:rsidR="00F70503" w:rsidRPr="00F70503" w:rsidRDefault="00F70503" w:rsidP="00F70503">
            <w:pPr>
              <w:pStyle w:val="142"/>
              <w:jc w:val="right"/>
              <w:rPr>
                <w:rFonts w:hint="eastAsia"/>
                <w:spacing w:val="-16"/>
              </w:rPr>
            </w:pPr>
            <w:r w:rsidRPr="00F70503">
              <w:rPr>
                <w:rFonts w:hint="eastAsia"/>
                <w:spacing w:val="-16"/>
              </w:rPr>
              <w:t>1,167.9</w:t>
            </w:r>
          </w:p>
        </w:tc>
        <w:tc>
          <w:tcPr>
            <w:tcW w:w="458" w:type="pct"/>
            <w:shd w:val="clear" w:color="auto" w:fill="auto"/>
            <w:vAlign w:val="center"/>
            <w:hideMark/>
          </w:tcPr>
          <w:p w:rsidR="00F70503" w:rsidRPr="00F70503" w:rsidRDefault="00F70503" w:rsidP="00F70503">
            <w:pPr>
              <w:pStyle w:val="142"/>
              <w:jc w:val="right"/>
              <w:rPr>
                <w:rFonts w:hint="eastAsia"/>
                <w:spacing w:val="-16"/>
              </w:rPr>
            </w:pPr>
            <w:r w:rsidRPr="00F70503">
              <w:rPr>
                <w:rFonts w:hint="eastAsia"/>
                <w:spacing w:val="-16"/>
              </w:rPr>
              <w:t>1,187.8</w:t>
            </w:r>
          </w:p>
        </w:tc>
        <w:tc>
          <w:tcPr>
            <w:tcW w:w="458" w:type="pct"/>
            <w:shd w:val="clear" w:color="auto" w:fill="auto"/>
            <w:vAlign w:val="center"/>
            <w:hideMark/>
          </w:tcPr>
          <w:p w:rsidR="00F70503" w:rsidRPr="00F70503" w:rsidRDefault="00F70503" w:rsidP="00F70503">
            <w:pPr>
              <w:pStyle w:val="142"/>
              <w:jc w:val="right"/>
              <w:rPr>
                <w:rFonts w:hint="eastAsia"/>
                <w:spacing w:val="-16"/>
              </w:rPr>
            </w:pPr>
            <w:r w:rsidRPr="00F70503">
              <w:rPr>
                <w:rFonts w:hint="eastAsia"/>
                <w:spacing w:val="-16"/>
              </w:rPr>
              <w:t>1,150.3</w:t>
            </w:r>
          </w:p>
        </w:tc>
        <w:tc>
          <w:tcPr>
            <w:tcW w:w="458" w:type="pct"/>
            <w:shd w:val="clear" w:color="auto" w:fill="auto"/>
            <w:vAlign w:val="center"/>
            <w:hideMark/>
          </w:tcPr>
          <w:p w:rsidR="00F70503" w:rsidRPr="00F70503" w:rsidRDefault="00F70503" w:rsidP="00F70503">
            <w:pPr>
              <w:pStyle w:val="142"/>
              <w:jc w:val="right"/>
              <w:rPr>
                <w:rFonts w:hint="eastAsia"/>
                <w:spacing w:val="-16"/>
              </w:rPr>
            </w:pPr>
            <w:r w:rsidRPr="00F70503">
              <w:rPr>
                <w:rFonts w:hint="eastAsia"/>
                <w:spacing w:val="-16"/>
              </w:rPr>
              <w:t>1,128.2</w:t>
            </w:r>
          </w:p>
        </w:tc>
        <w:tc>
          <w:tcPr>
            <w:tcW w:w="458" w:type="pct"/>
            <w:shd w:val="clear" w:color="auto" w:fill="auto"/>
            <w:vAlign w:val="center"/>
            <w:hideMark/>
          </w:tcPr>
          <w:p w:rsidR="00F70503" w:rsidRPr="00F70503" w:rsidRDefault="00F70503" w:rsidP="00F70503">
            <w:pPr>
              <w:pStyle w:val="142"/>
              <w:jc w:val="right"/>
              <w:rPr>
                <w:rFonts w:hint="eastAsia"/>
                <w:spacing w:val="-16"/>
              </w:rPr>
            </w:pPr>
            <w:r w:rsidRPr="00F70503">
              <w:rPr>
                <w:rFonts w:hint="eastAsia"/>
                <w:spacing w:val="-16"/>
              </w:rPr>
              <w:t>1,117.7</w:t>
            </w:r>
          </w:p>
        </w:tc>
        <w:tc>
          <w:tcPr>
            <w:tcW w:w="458" w:type="pct"/>
            <w:shd w:val="clear" w:color="auto" w:fill="auto"/>
            <w:vAlign w:val="center"/>
            <w:hideMark/>
          </w:tcPr>
          <w:p w:rsidR="00F70503" w:rsidRPr="00F70503" w:rsidRDefault="00F70503" w:rsidP="00F70503">
            <w:pPr>
              <w:pStyle w:val="142"/>
              <w:jc w:val="right"/>
              <w:rPr>
                <w:rFonts w:hint="eastAsia"/>
                <w:spacing w:val="-16"/>
              </w:rPr>
            </w:pPr>
            <w:r w:rsidRPr="00F70503">
              <w:rPr>
                <w:rFonts w:hint="eastAsia"/>
                <w:spacing w:val="-16"/>
              </w:rPr>
              <w:t>1,115.7</w:t>
            </w:r>
          </w:p>
        </w:tc>
        <w:tc>
          <w:tcPr>
            <w:tcW w:w="458" w:type="pct"/>
            <w:shd w:val="clear" w:color="auto" w:fill="auto"/>
            <w:vAlign w:val="center"/>
            <w:hideMark/>
          </w:tcPr>
          <w:p w:rsidR="00F70503" w:rsidRPr="00F70503" w:rsidRDefault="00F70503" w:rsidP="00F70503">
            <w:pPr>
              <w:pStyle w:val="142"/>
              <w:jc w:val="right"/>
              <w:rPr>
                <w:rFonts w:hint="eastAsia"/>
                <w:spacing w:val="-16"/>
              </w:rPr>
            </w:pPr>
            <w:r w:rsidRPr="00F70503">
              <w:rPr>
                <w:rFonts w:hint="eastAsia"/>
                <w:spacing w:val="-16"/>
              </w:rPr>
              <w:t>1,129.2</w:t>
            </w:r>
          </w:p>
        </w:tc>
        <w:tc>
          <w:tcPr>
            <w:tcW w:w="398" w:type="pct"/>
            <w:shd w:val="clear" w:color="auto" w:fill="auto"/>
            <w:noWrap/>
            <w:vAlign w:val="center"/>
            <w:hideMark/>
          </w:tcPr>
          <w:p w:rsidR="00F70503" w:rsidRPr="00F70503" w:rsidRDefault="00F70503" w:rsidP="00F70503">
            <w:pPr>
              <w:pStyle w:val="142"/>
              <w:jc w:val="right"/>
              <w:rPr>
                <w:rFonts w:hint="eastAsia"/>
                <w:b/>
                <w:spacing w:val="-16"/>
              </w:rPr>
            </w:pPr>
            <w:r w:rsidRPr="00F70503">
              <w:rPr>
                <w:rFonts w:hint="eastAsia"/>
                <w:b/>
                <w:spacing w:val="-16"/>
              </w:rPr>
              <w:t>-7.50</w:t>
            </w:r>
          </w:p>
        </w:tc>
      </w:tr>
      <w:tr w:rsidR="00F70503" w:rsidRPr="0055660F" w:rsidTr="00EF5281">
        <w:trPr>
          <w:trHeight w:val="340"/>
        </w:trPr>
        <w:tc>
          <w:tcPr>
            <w:tcW w:w="477" w:type="pct"/>
            <w:shd w:val="clear" w:color="auto" w:fill="auto"/>
            <w:vAlign w:val="center"/>
            <w:hideMark/>
          </w:tcPr>
          <w:p w:rsidR="00F70503" w:rsidRPr="00F70503" w:rsidRDefault="00F70503" w:rsidP="00F70503">
            <w:pPr>
              <w:pStyle w:val="142"/>
              <w:rPr>
                <w:b/>
                <w:spacing w:val="-16"/>
              </w:rPr>
            </w:pPr>
            <w:r w:rsidRPr="00F70503">
              <w:rPr>
                <w:rFonts w:hint="eastAsia"/>
                <w:b/>
                <w:spacing w:val="-16"/>
              </w:rPr>
              <w:t>中國</w:t>
            </w:r>
          </w:p>
          <w:p w:rsidR="00F70503" w:rsidRPr="00F70503" w:rsidRDefault="00F70503" w:rsidP="00F70503">
            <w:pPr>
              <w:pStyle w:val="142"/>
              <w:rPr>
                <w:rFonts w:hint="eastAsia"/>
                <w:b/>
                <w:spacing w:val="-16"/>
              </w:rPr>
            </w:pPr>
            <w:r w:rsidRPr="00F70503">
              <w:rPr>
                <w:rFonts w:hint="eastAsia"/>
                <w:b/>
                <w:spacing w:val="-16"/>
              </w:rPr>
              <w:t>大陸</w:t>
            </w:r>
          </w:p>
        </w:tc>
        <w:tc>
          <w:tcPr>
            <w:tcW w:w="461" w:type="pct"/>
            <w:shd w:val="clear" w:color="auto" w:fill="auto"/>
            <w:vAlign w:val="center"/>
            <w:hideMark/>
          </w:tcPr>
          <w:p w:rsidR="00F70503" w:rsidRPr="00F70503" w:rsidRDefault="00F70503" w:rsidP="00F70503">
            <w:pPr>
              <w:pStyle w:val="142"/>
              <w:jc w:val="right"/>
              <w:rPr>
                <w:rFonts w:hint="eastAsia"/>
                <w:spacing w:val="-16"/>
              </w:rPr>
            </w:pPr>
            <w:r w:rsidRPr="00F70503">
              <w:rPr>
                <w:rFonts w:hint="eastAsia"/>
                <w:spacing w:val="-16"/>
              </w:rPr>
              <w:t>816.3</w:t>
            </w:r>
          </w:p>
        </w:tc>
        <w:tc>
          <w:tcPr>
            <w:tcW w:w="458" w:type="pct"/>
            <w:shd w:val="clear" w:color="auto" w:fill="auto"/>
            <w:vAlign w:val="center"/>
            <w:hideMark/>
          </w:tcPr>
          <w:p w:rsidR="00F70503" w:rsidRPr="00F70503" w:rsidRDefault="00F70503" w:rsidP="00F70503">
            <w:pPr>
              <w:pStyle w:val="142"/>
              <w:jc w:val="right"/>
              <w:rPr>
                <w:rFonts w:hint="eastAsia"/>
                <w:spacing w:val="-16"/>
              </w:rPr>
            </w:pPr>
            <w:r w:rsidRPr="00F70503">
              <w:rPr>
                <w:rFonts w:hint="eastAsia"/>
                <w:spacing w:val="-16"/>
              </w:rPr>
              <w:t>797.7</w:t>
            </w:r>
          </w:p>
        </w:tc>
        <w:tc>
          <w:tcPr>
            <w:tcW w:w="458" w:type="pct"/>
            <w:shd w:val="clear" w:color="auto" w:fill="auto"/>
            <w:vAlign w:val="center"/>
            <w:hideMark/>
          </w:tcPr>
          <w:p w:rsidR="00F70503" w:rsidRPr="00F70503" w:rsidRDefault="00F70503" w:rsidP="00F70503">
            <w:pPr>
              <w:pStyle w:val="142"/>
              <w:jc w:val="right"/>
              <w:rPr>
                <w:rFonts w:hint="eastAsia"/>
                <w:spacing w:val="-16"/>
              </w:rPr>
            </w:pPr>
            <w:r w:rsidRPr="00F70503">
              <w:rPr>
                <w:rFonts w:hint="eastAsia"/>
                <w:spacing w:val="-16"/>
              </w:rPr>
              <w:t>775.0</w:t>
            </w:r>
          </w:p>
        </w:tc>
        <w:tc>
          <w:tcPr>
            <w:tcW w:w="458" w:type="pct"/>
            <w:shd w:val="clear" w:color="auto" w:fill="auto"/>
            <w:vAlign w:val="center"/>
            <w:hideMark/>
          </w:tcPr>
          <w:p w:rsidR="00F70503" w:rsidRPr="00F70503" w:rsidRDefault="00F70503" w:rsidP="00F70503">
            <w:pPr>
              <w:pStyle w:val="142"/>
              <w:jc w:val="right"/>
              <w:rPr>
                <w:rFonts w:hint="eastAsia"/>
                <w:spacing w:val="-16"/>
              </w:rPr>
            </w:pPr>
            <w:r w:rsidRPr="00F70503">
              <w:rPr>
                <w:rFonts w:hint="eastAsia"/>
                <w:spacing w:val="-16"/>
              </w:rPr>
              <w:t>767.4</w:t>
            </w:r>
          </w:p>
        </w:tc>
        <w:tc>
          <w:tcPr>
            <w:tcW w:w="458" w:type="pct"/>
            <w:shd w:val="clear" w:color="auto" w:fill="auto"/>
            <w:vAlign w:val="center"/>
            <w:hideMark/>
          </w:tcPr>
          <w:p w:rsidR="00F70503" w:rsidRPr="00F70503" w:rsidRDefault="00F70503" w:rsidP="00F70503">
            <w:pPr>
              <w:pStyle w:val="142"/>
              <w:jc w:val="right"/>
              <w:rPr>
                <w:rFonts w:hint="eastAsia"/>
                <w:spacing w:val="-16"/>
              </w:rPr>
            </w:pPr>
            <w:r w:rsidRPr="00F70503">
              <w:rPr>
                <w:rFonts w:hint="eastAsia"/>
                <w:spacing w:val="-16"/>
              </w:rPr>
              <w:t>770.7</w:t>
            </w:r>
          </w:p>
        </w:tc>
        <w:tc>
          <w:tcPr>
            <w:tcW w:w="458" w:type="pct"/>
            <w:shd w:val="clear" w:color="auto" w:fill="auto"/>
            <w:vAlign w:val="center"/>
            <w:hideMark/>
          </w:tcPr>
          <w:p w:rsidR="00F70503" w:rsidRPr="00F70503" w:rsidRDefault="00F70503" w:rsidP="00F70503">
            <w:pPr>
              <w:pStyle w:val="142"/>
              <w:jc w:val="right"/>
              <w:rPr>
                <w:rFonts w:hint="eastAsia"/>
                <w:spacing w:val="-16"/>
              </w:rPr>
            </w:pPr>
            <w:r w:rsidRPr="00F70503">
              <w:rPr>
                <w:rFonts w:hint="eastAsia"/>
                <w:spacing w:val="-16"/>
              </w:rPr>
              <w:t>768.3</w:t>
            </w:r>
          </w:p>
        </w:tc>
        <w:tc>
          <w:tcPr>
            <w:tcW w:w="458" w:type="pct"/>
            <w:shd w:val="clear" w:color="auto" w:fill="auto"/>
            <w:vAlign w:val="center"/>
            <w:hideMark/>
          </w:tcPr>
          <w:p w:rsidR="00F70503" w:rsidRPr="00F70503" w:rsidRDefault="00F70503" w:rsidP="00F70503">
            <w:pPr>
              <w:pStyle w:val="142"/>
              <w:jc w:val="right"/>
              <w:rPr>
                <w:rFonts w:hint="eastAsia"/>
                <w:spacing w:val="-16"/>
              </w:rPr>
            </w:pPr>
            <w:r w:rsidRPr="00F70503">
              <w:rPr>
                <w:rFonts w:hint="eastAsia"/>
                <w:spacing w:val="-16"/>
              </w:rPr>
              <w:t>780.2</w:t>
            </w:r>
          </w:p>
        </w:tc>
        <w:tc>
          <w:tcPr>
            <w:tcW w:w="458" w:type="pct"/>
            <w:shd w:val="clear" w:color="auto" w:fill="auto"/>
            <w:vAlign w:val="center"/>
            <w:hideMark/>
          </w:tcPr>
          <w:p w:rsidR="00F70503" w:rsidRPr="00F70503" w:rsidRDefault="00F70503" w:rsidP="00F70503">
            <w:pPr>
              <w:pStyle w:val="142"/>
              <w:jc w:val="right"/>
              <w:rPr>
                <w:rFonts w:hint="eastAsia"/>
                <w:spacing w:val="-16"/>
              </w:rPr>
            </w:pPr>
            <w:r w:rsidRPr="00F70503">
              <w:rPr>
                <w:rFonts w:hint="eastAsia"/>
                <w:spacing w:val="-16"/>
              </w:rPr>
              <w:t>776.5</w:t>
            </w:r>
          </w:p>
        </w:tc>
        <w:tc>
          <w:tcPr>
            <w:tcW w:w="458" w:type="pct"/>
            <w:shd w:val="clear" w:color="auto" w:fill="auto"/>
            <w:vAlign w:val="center"/>
            <w:hideMark/>
          </w:tcPr>
          <w:p w:rsidR="00F70503" w:rsidRPr="00F70503" w:rsidRDefault="00F70503" w:rsidP="00F70503">
            <w:pPr>
              <w:pStyle w:val="142"/>
              <w:jc w:val="right"/>
              <w:rPr>
                <w:rFonts w:hint="eastAsia"/>
                <w:spacing w:val="-16"/>
              </w:rPr>
            </w:pPr>
            <w:r w:rsidRPr="00F70503">
              <w:rPr>
                <w:rFonts w:hint="eastAsia"/>
                <w:spacing w:val="-16"/>
              </w:rPr>
              <w:t>774.6</w:t>
            </w:r>
          </w:p>
        </w:tc>
        <w:tc>
          <w:tcPr>
            <w:tcW w:w="398" w:type="pct"/>
            <w:shd w:val="clear" w:color="auto" w:fill="auto"/>
            <w:noWrap/>
            <w:vAlign w:val="center"/>
            <w:hideMark/>
          </w:tcPr>
          <w:p w:rsidR="00F70503" w:rsidRPr="00F70503" w:rsidRDefault="00F70503" w:rsidP="00F70503">
            <w:pPr>
              <w:pStyle w:val="142"/>
              <w:jc w:val="right"/>
              <w:rPr>
                <w:rFonts w:hint="eastAsia"/>
                <w:b/>
                <w:spacing w:val="-16"/>
              </w:rPr>
            </w:pPr>
            <w:r w:rsidRPr="00F70503">
              <w:rPr>
                <w:rFonts w:hint="eastAsia"/>
                <w:b/>
                <w:spacing w:val="-16"/>
              </w:rPr>
              <w:t>-41.70</w:t>
            </w:r>
          </w:p>
        </w:tc>
      </w:tr>
      <w:tr w:rsidR="00F70503" w:rsidRPr="0055660F" w:rsidTr="00EF5281">
        <w:trPr>
          <w:trHeight w:val="340"/>
        </w:trPr>
        <w:tc>
          <w:tcPr>
            <w:tcW w:w="477" w:type="pct"/>
            <w:shd w:val="clear" w:color="auto" w:fill="auto"/>
            <w:vAlign w:val="center"/>
            <w:hideMark/>
          </w:tcPr>
          <w:p w:rsidR="00F70503" w:rsidRPr="00F70503" w:rsidRDefault="00F70503" w:rsidP="00F70503">
            <w:pPr>
              <w:pStyle w:val="142"/>
              <w:rPr>
                <w:rFonts w:hint="eastAsia"/>
                <w:spacing w:val="-16"/>
              </w:rPr>
            </w:pPr>
            <w:r w:rsidRPr="00F70503">
              <w:rPr>
                <w:rFonts w:hint="eastAsia"/>
                <w:spacing w:val="-16"/>
              </w:rPr>
              <w:t>英國</w:t>
            </w:r>
          </w:p>
        </w:tc>
        <w:tc>
          <w:tcPr>
            <w:tcW w:w="461" w:type="pct"/>
            <w:shd w:val="clear" w:color="auto" w:fill="auto"/>
            <w:vAlign w:val="center"/>
            <w:hideMark/>
          </w:tcPr>
          <w:p w:rsidR="00F70503" w:rsidRPr="00F70503" w:rsidRDefault="00F70503" w:rsidP="00F70503">
            <w:pPr>
              <w:pStyle w:val="142"/>
              <w:jc w:val="right"/>
              <w:rPr>
                <w:rFonts w:hint="eastAsia"/>
                <w:spacing w:val="-16"/>
              </w:rPr>
            </w:pPr>
            <w:r w:rsidRPr="00F70503">
              <w:rPr>
                <w:rFonts w:hint="eastAsia"/>
                <w:spacing w:val="-16"/>
              </w:rPr>
              <w:t>679.2</w:t>
            </w:r>
          </w:p>
        </w:tc>
        <w:tc>
          <w:tcPr>
            <w:tcW w:w="458" w:type="pct"/>
            <w:shd w:val="clear" w:color="auto" w:fill="auto"/>
            <w:vAlign w:val="center"/>
            <w:hideMark/>
          </w:tcPr>
          <w:p w:rsidR="00F70503" w:rsidRPr="00F70503" w:rsidRDefault="00F70503" w:rsidP="00F70503">
            <w:pPr>
              <w:pStyle w:val="142"/>
              <w:jc w:val="right"/>
              <w:rPr>
                <w:rFonts w:hint="eastAsia"/>
                <w:spacing w:val="-16"/>
              </w:rPr>
            </w:pPr>
            <w:r w:rsidRPr="00F70503">
              <w:rPr>
                <w:rFonts w:hint="eastAsia"/>
                <w:spacing w:val="-16"/>
              </w:rPr>
              <w:t>691.9</w:t>
            </w:r>
          </w:p>
        </w:tc>
        <w:tc>
          <w:tcPr>
            <w:tcW w:w="458" w:type="pct"/>
            <w:shd w:val="clear" w:color="auto" w:fill="auto"/>
            <w:vAlign w:val="center"/>
            <w:hideMark/>
          </w:tcPr>
          <w:p w:rsidR="00F70503" w:rsidRPr="00F70503" w:rsidRDefault="00F70503" w:rsidP="00F70503">
            <w:pPr>
              <w:pStyle w:val="142"/>
              <w:jc w:val="right"/>
              <w:rPr>
                <w:rFonts w:hint="eastAsia"/>
                <w:spacing w:val="-16"/>
              </w:rPr>
            </w:pPr>
            <w:r w:rsidRPr="00F70503">
              <w:rPr>
                <w:rFonts w:hint="eastAsia"/>
                <w:spacing w:val="-16"/>
              </w:rPr>
              <w:t>701.3</w:t>
            </w:r>
          </w:p>
        </w:tc>
        <w:tc>
          <w:tcPr>
            <w:tcW w:w="458" w:type="pct"/>
            <w:shd w:val="clear" w:color="auto" w:fill="auto"/>
            <w:vAlign w:val="center"/>
            <w:hideMark/>
          </w:tcPr>
          <w:p w:rsidR="00F70503" w:rsidRPr="00F70503" w:rsidRDefault="00F70503" w:rsidP="00F70503">
            <w:pPr>
              <w:pStyle w:val="142"/>
              <w:jc w:val="right"/>
              <w:rPr>
                <w:rFonts w:hint="eastAsia"/>
                <w:spacing w:val="-16"/>
              </w:rPr>
            </w:pPr>
            <w:r w:rsidRPr="00F70503">
              <w:rPr>
                <w:rFonts w:hint="eastAsia"/>
                <w:spacing w:val="-16"/>
              </w:rPr>
              <w:t>728.3</w:t>
            </w:r>
          </w:p>
        </w:tc>
        <w:tc>
          <w:tcPr>
            <w:tcW w:w="458" w:type="pct"/>
            <w:shd w:val="clear" w:color="auto" w:fill="auto"/>
            <w:vAlign w:val="center"/>
            <w:hideMark/>
          </w:tcPr>
          <w:p w:rsidR="00F70503" w:rsidRPr="00F70503" w:rsidRDefault="00F70503" w:rsidP="00F70503">
            <w:pPr>
              <w:pStyle w:val="142"/>
              <w:jc w:val="right"/>
              <w:rPr>
                <w:rFonts w:hint="eastAsia"/>
                <w:spacing w:val="-16"/>
              </w:rPr>
            </w:pPr>
            <w:r w:rsidRPr="00F70503">
              <w:rPr>
                <w:rFonts w:hint="eastAsia"/>
                <w:spacing w:val="-16"/>
              </w:rPr>
              <w:t>710.2</w:t>
            </w:r>
          </w:p>
        </w:tc>
        <w:tc>
          <w:tcPr>
            <w:tcW w:w="458" w:type="pct"/>
            <w:shd w:val="clear" w:color="auto" w:fill="auto"/>
            <w:vAlign w:val="center"/>
            <w:hideMark/>
          </w:tcPr>
          <w:p w:rsidR="00F70503" w:rsidRPr="00F70503" w:rsidRDefault="00F70503" w:rsidP="00F70503">
            <w:pPr>
              <w:pStyle w:val="142"/>
              <w:jc w:val="right"/>
              <w:rPr>
                <w:rFonts w:hint="eastAsia"/>
                <w:spacing w:val="-16"/>
              </w:rPr>
            </w:pPr>
            <w:r w:rsidRPr="00F70503">
              <w:rPr>
                <w:rFonts w:hint="eastAsia"/>
                <w:spacing w:val="-16"/>
              </w:rPr>
              <w:t>723.4</w:t>
            </w:r>
          </w:p>
        </w:tc>
        <w:tc>
          <w:tcPr>
            <w:tcW w:w="458" w:type="pct"/>
            <w:shd w:val="clear" w:color="auto" w:fill="auto"/>
            <w:vAlign w:val="center"/>
            <w:hideMark/>
          </w:tcPr>
          <w:p w:rsidR="00F70503" w:rsidRPr="00F70503" w:rsidRDefault="00F70503" w:rsidP="00F70503">
            <w:pPr>
              <w:pStyle w:val="142"/>
              <w:jc w:val="right"/>
              <w:rPr>
                <w:rFonts w:hint="eastAsia"/>
                <w:spacing w:val="-16"/>
              </w:rPr>
            </w:pPr>
            <w:r w:rsidRPr="00F70503">
              <w:rPr>
                <w:rFonts w:hint="eastAsia"/>
                <w:spacing w:val="-16"/>
              </w:rPr>
              <w:t>741.5</w:t>
            </w:r>
          </w:p>
        </w:tc>
        <w:tc>
          <w:tcPr>
            <w:tcW w:w="458" w:type="pct"/>
            <w:shd w:val="clear" w:color="auto" w:fill="auto"/>
            <w:vAlign w:val="center"/>
            <w:hideMark/>
          </w:tcPr>
          <w:p w:rsidR="00F70503" w:rsidRPr="00F70503" w:rsidRDefault="00F70503" w:rsidP="00F70503">
            <w:pPr>
              <w:pStyle w:val="142"/>
              <w:jc w:val="right"/>
              <w:rPr>
                <w:rFonts w:hint="eastAsia"/>
                <w:spacing w:val="-16"/>
              </w:rPr>
            </w:pPr>
            <w:r w:rsidRPr="00F70503">
              <w:rPr>
                <w:rFonts w:hint="eastAsia"/>
                <w:spacing w:val="-16"/>
              </w:rPr>
              <w:t>728.3</w:t>
            </w:r>
          </w:p>
        </w:tc>
        <w:tc>
          <w:tcPr>
            <w:tcW w:w="458" w:type="pct"/>
            <w:shd w:val="clear" w:color="auto" w:fill="auto"/>
            <w:vAlign w:val="center"/>
            <w:hideMark/>
          </w:tcPr>
          <w:p w:rsidR="00F70503" w:rsidRPr="00F70503" w:rsidRDefault="00F70503" w:rsidP="00F70503">
            <w:pPr>
              <w:pStyle w:val="142"/>
              <w:jc w:val="right"/>
              <w:rPr>
                <w:rFonts w:hint="eastAsia"/>
                <w:spacing w:val="-16"/>
              </w:rPr>
            </w:pPr>
            <w:r w:rsidRPr="00F70503">
              <w:rPr>
                <w:rFonts w:hint="eastAsia"/>
                <w:spacing w:val="-16"/>
              </w:rPr>
              <w:t>743.9</w:t>
            </w:r>
          </w:p>
        </w:tc>
        <w:tc>
          <w:tcPr>
            <w:tcW w:w="398" w:type="pct"/>
            <w:shd w:val="clear" w:color="auto" w:fill="auto"/>
            <w:noWrap/>
            <w:vAlign w:val="center"/>
            <w:hideMark/>
          </w:tcPr>
          <w:p w:rsidR="00F70503" w:rsidRPr="00F70503" w:rsidRDefault="00F70503" w:rsidP="00F70503">
            <w:pPr>
              <w:pStyle w:val="142"/>
              <w:jc w:val="right"/>
              <w:rPr>
                <w:rFonts w:hint="eastAsia"/>
                <w:spacing w:val="-16"/>
              </w:rPr>
            </w:pPr>
            <w:r w:rsidRPr="00F70503">
              <w:rPr>
                <w:rFonts w:hint="eastAsia"/>
                <w:spacing w:val="-16"/>
              </w:rPr>
              <w:t>64.70</w:t>
            </w:r>
          </w:p>
        </w:tc>
      </w:tr>
      <w:tr w:rsidR="00F70503" w:rsidRPr="0055660F" w:rsidTr="00EF5281">
        <w:trPr>
          <w:trHeight w:val="340"/>
        </w:trPr>
        <w:tc>
          <w:tcPr>
            <w:tcW w:w="477" w:type="pct"/>
            <w:shd w:val="clear" w:color="auto" w:fill="auto"/>
            <w:vAlign w:val="center"/>
            <w:hideMark/>
          </w:tcPr>
          <w:p w:rsidR="00F70503" w:rsidRDefault="00F70503" w:rsidP="00F70503">
            <w:pPr>
              <w:pStyle w:val="142"/>
              <w:rPr>
                <w:spacing w:val="-16"/>
              </w:rPr>
            </w:pPr>
            <w:r w:rsidRPr="00F70503">
              <w:rPr>
                <w:rFonts w:hint="eastAsia"/>
                <w:spacing w:val="-16"/>
              </w:rPr>
              <w:t>開曼</w:t>
            </w:r>
          </w:p>
          <w:p w:rsidR="00F70503" w:rsidRPr="00F70503" w:rsidRDefault="00F70503" w:rsidP="00F70503">
            <w:pPr>
              <w:pStyle w:val="142"/>
              <w:rPr>
                <w:rFonts w:hint="eastAsia"/>
                <w:spacing w:val="-16"/>
              </w:rPr>
            </w:pPr>
            <w:r w:rsidRPr="00F70503">
              <w:rPr>
                <w:rFonts w:hint="eastAsia"/>
                <w:spacing w:val="-16"/>
              </w:rPr>
              <w:t>群島</w:t>
            </w:r>
          </w:p>
        </w:tc>
        <w:tc>
          <w:tcPr>
            <w:tcW w:w="461" w:type="pct"/>
            <w:shd w:val="clear" w:color="auto" w:fill="auto"/>
            <w:vAlign w:val="center"/>
            <w:hideMark/>
          </w:tcPr>
          <w:p w:rsidR="00F70503" w:rsidRPr="00F70503" w:rsidRDefault="00F70503" w:rsidP="00F70503">
            <w:pPr>
              <w:pStyle w:val="142"/>
              <w:jc w:val="right"/>
              <w:rPr>
                <w:rFonts w:hint="eastAsia"/>
                <w:spacing w:val="-16"/>
              </w:rPr>
            </w:pPr>
            <w:r w:rsidRPr="00F70503">
              <w:rPr>
                <w:rFonts w:hint="eastAsia"/>
                <w:spacing w:val="-16"/>
              </w:rPr>
              <w:t>305.5</w:t>
            </w:r>
          </w:p>
        </w:tc>
        <w:tc>
          <w:tcPr>
            <w:tcW w:w="458" w:type="pct"/>
            <w:shd w:val="clear" w:color="auto" w:fill="auto"/>
            <w:vAlign w:val="center"/>
            <w:hideMark/>
          </w:tcPr>
          <w:p w:rsidR="00F70503" w:rsidRPr="00F70503" w:rsidRDefault="00F70503" w:rsidP="00F70503">
            <w:pPr>
              <w:pStyle w:val="142"/>
              <w:jc w:val="right"/>
              <w:rPr>
                <w:rFonts w:hint="eastAsia"/>
                <w:spacing w:val="-16"/>
              </w:rPr>
            </w:pPr>
            <w:r w:rsidRPr="00F70503">
              <w:rPr>
                <w:rFonts w:hint="eastAsia"/>
                <w:spacing w:val="-16"/>
              </w:rPr>
              <w:t>318.7</w:t>
            </w:r>
          </w:p>
        </w:tc>
        <w:tc>
          <w:tcPr>
            <w:tcW w:w="458" w:type="pct"/>
            <w:shd w:val="clear" w:color="auto" w:fill="auto"/>
            <w:vAlign w:val="center"/>
            <w:hideMark/>
          </w:tcPr>
          <w:p w:rsidR="00F70503" w:rsidRPr="00F70503" w:rsidRDefault="00F70503" w:rsidP="00F70503">
            <w:pPr>
              <w:pStyle w:val="142"/>
              <w:jc w:val="right"/>
              <w:rPr>
                <w:rFonts w:hint="eastAsia"/>
                <w:spacing w:val="-16"/>
              </w:rPr>
            </w:pPr>
            <w:r w:rsidRPr="00F70503">
              <w:rPr>
                <w:rFonts w:hint="eastAsia"/>
                <w:spacing w:val="-16"/>
              </w:rPr>
              <w:t>302.7</w:t>
            </w:r>
          </w:p>
        </w:tc>
        <w:tc>
          <w:tcPr>
            <w:tcW w:w="458" w:type="pct"/>
            <w:shd w:val="clear" w:color="auto" w:fill="auto"/>
            <w:vAlign w:val="center"/>
            <w:hideMark/>
          </w:tcPr>
          <w:p w:rsidR="00F70503" w:rsidRPr="00F70503" w:rsidRDefault="00F70503" w:rsidP="00F70503">
            <w:pPr>
              <w:pStyle w:val="142"/>
              <w:jc w:val="right"/>
              <w:rPr>
                <w:rFonts w:hint="eastAsia"/>
                <w:spacing w:val="-16"/>
              </w:rPr>
            </w:pPr>
            <w:r w:rsidRPr="00F70503">
              <w:rPr>
                <w:rFonts w:hint="eastAsia"/>
                <w:spacing w:val="-16"/>
              </w:rPr>
              <w:t>303.5</w:t>
            </w:r>
          </w:p>
        </w:tc>
        <w:tc>
          <w:tcPr>
            <w:tcW w:w="458" w:type="pct"/>
            <w:shd w:val="clear" w:color="auto" w:fill="auto"/>
            <w:vAlign w:val="center"/>
            <w:hideMark/>
          </w:tcPr>
          <w:p w:rsidR="00F70503" w:rsidRPr="00F70503" w:rsidRDefault="00F70503" w:rsidP="00F70503">
            <w:pPr>
              <w:pStyle w:val="142"/>
              <w:jc w:val="right"/>
              <w:rPr>
                <w:rFonts w:hint="eastAsia"/>
                <w:spacing w:val="-16"/>
              </w:rPr>
            </w:pPr>
            <w:r w:rsidRPr="00F70503">
              <w:rPr>
                <w:rFonts w:hint="eastAsia"/>
                <w:spacing w:val="-16"/>
              </w:rPr>
              <w:t>319.4</w:t>
            </w:r>
          </w:p>
        </w:tc>
        <w:tc>
          <w:tcPr>
            <w:tcW w:w="458" w:type="pct"/>
            <w:shd w:val="clear" w:color="auto" w:fill="auto"/>
            <w:vAlign w:val="center"/>
            <w:hideMark/>
          </w:tcPr>
          <w:p w:rsidR="00F70503" w:rsidRPr="00F70503" w:rsidRDefault="00F70503" w:rsidP="00F70503">
            <w:pPr>
              <w:pStyle w:val="142"/>
              <w:jc w:val="right"/>
              <w:rPr>
                <w:rFonts w:hint="eastAsia"/>
                <w:spacing w:val="-16"/>
              </w:rPr>
            </w:pPr>
            <w:r w:rsidRPr="00F70503">
              <w:rPr>
                <w:rFonts w:hint="eastAsia"/>
                <w:spacing w:val="-16"/>
              </w:rPr>
              <w:t>336.5</w:t>
            </w:r>
          </w:p>
        </w:tc>
        <w:tc>
          <w:tcPr>
            <w:tcW w:w="458" w:type="pct"/>
            <w:shd w:val="clear" w:color="auto" w:fill="auto"/>
            <w:vAlign w:val="center"/>
            <w:hideMark/>
          </w:tcPr>
          <w:p w:rsidR="00F70503" w:rsidRPr="00F70503" w:rsidRDefault="00F70503" w:rsidP="00F70503">
            <w:pPr>
              <w:pStyle w:val="142"/>
              <w:jc w:val="right"/>
              <w:rPr>
                <w:rFonts w:hint="eastAsia"/>
                <w:spacing w:val="-16"/>
              </w:rPr>
            </w:pPr>
            <w:r w:rsidRPr="00F70503">
              <w:rPr>
                <w:rFonts w:hint="eastAsia"/>
                <w:spacing w:val="-16"/>
              </w:rPr>
              <w:t>319.4</w:t>
            </w:r>
          </w:p>
        </w:tc>
        <w:tc>
          <w:tcPr>
            <w:tcW w:w="458" w:type="pct"/>
            <w:shd w:val="clear" w:color="auto" w:fill="auto"/>
            <w:vAlign w:val="center"/>
            <w:hideMark/>
          </w:tcPr>
          <w:p w:rsidR="00F70503" w:rsidRPr="00F70503" w:rsidRDefault="00F70503" w:rsidP="00F70503">
            <w:pPr>
              <w:pStyle w:val="142"/>
              <w:jc w:val="right"/>
              <w:rPr>
                <w:rFonts w:hint="eastAsia"/>
                <w:spacing w:val="-16"/>
              </w:rPr>
            </w:pPr>
            <w:r w:rsidRPr="00F70503">
              <w:rPr>
                <w:rFonts w:hint="eastAsia"/>
                <w:spacing w:val="-16"/>
              </w:rPr>
              <w:t>378.1</w:t>
            </w:r>
          </w:p>
        </w:tc>
        <w:tc>
          <w:tcPr>
            <w:tcW w:w="458" w:type="pct"/>
            <w:shd w:val="clear" w:color="auto" w:fill="auto"/>
            <w:vAlign w:val="center"/>
            <w:hideMark/>
          </w:tcPr>
          <w:p w:rsidR="00F70503" w:rsidRPr="00F70503" w:rsidRDefault="00F70503" w:rsidP="00F70503">
            <w:pPr>
              <w:pStyle w:val="142"/>
              <w:jc w:val="right"/>
              <w:rPr>
                <w:rFonts w:hint="eastAsia"/>
                <w:spacing w:val="-16"/>
              </w:rPr>
            </w:pPr>
            <w:r w:rsidRPr="00F70503">
              <w:rPr>
                <w:rFonts w:hint="eastAsia"/>
                <w:spacing w:val="-16"/>
              </w:rPr>
              <w:t>419.5</w:t>
            </w:r>
          </w:p>
        </w:tc>
        <w:tc>
          <w:tcPr>
            <w:tcW w:w="398" w:type="pct"/>
            <w:shd w:val="clear" w:color="auto" w:fill="auto"/>
            <w:noWrap/>
            <w:vAlign w:val="center"/>
            <w:hideMark/>
          </w:tcPr>
          <w:p w:rsidR="00F70503" w:rsidRPr="00F70503" w:rsidRDefault="00F70503" w:rsidP="00F70503">
            <w:pPr>
              <w:pStyle w:val="142"/>
              <w:jc w:val="right"/>
              <w:rPr>
                <w:rFonts w:hint="eastAsia"/>
                <w:spacing w:val="-16"/>
              </w:rPr>
            </w:pPr>
            <w:r w:rsidRPr="00F70503">
              <w:rPr>
                <w:rFonts w:hint="eastAsia"/>
                <w:spacing w:val="-16"/>
              </w:rPr>
              <w:t>114.00</w:t>
            </w:r>
          </w:p>
        </w:tc>
      </w:tr>
      <w:tr w:rsidR="00F70503" w:rsidRPr="0055660F" w:rsidTr="00EF5281">
        <w:trPr>
          <w:trHeight w:val="340"/>
        </w:trPr>
        <w:tc>
          <w:tcPr>
            <w:tcW w:w="477" w:type="pct"/>
            <w:shd w:val="clear" w:color="auto" w:fill="auto"/>
            <w:vAlign w:val="center"/>
            <w:hideMark/>
          </w:tcPr>
          <w:p w:rsidR="00F70503" w:rsidRPr="00F70503" w:rsidRDefault="00F70503" w:rsidP="00F70503">
            <w:pPr>
              <w:pStyle w:val="142"/>
              <w:rPr>
                <w:rFonts w:hint="eastAsia"/>
                <w:spacing w:val="-16"/>
              </w:rPr>
            </w:pPr>
            <w:r w:rsidRPr="00F70503">
              <w:rPr>
                <w:rFonts w:hint="eastAsia"/>
                <w:spacing w:val="-16"/>
              </w:rPr>
              <w:t>盧森堡</w:t>
            </w:r>
          </w:p>
        </w:tc>
        <w:tc>
          <w:tcPr>
            <w:tcW w:w="461" w:type="pct"/>
            <w:shd w:val="clear" w:color="auto" w:fill="auto"/>
            <w:vAlign w:val="center"/>
            <w:hideMark/>
          </w:tcPr>
          <w:p w:rsidR="00F70503" w:rsidRPr="00F70503" w:rsidRDefault="00F70503" w:rsidP="00F70503">
            <w:pPr>
              <w:pStyle w:val="142"/>
              <w:jc w:val="right"/>
              <w:rPr>
                <w:rFonts w:hint="eastAsia"/>
                <w:spacing w:val="-16"/>
              </w:rPr>
            </w:pPr>
            <w:r w:rsidRPr="00F70503">
              <w:rPr>
                <w:rFonts w:hint="eastAsia"/>
                <w:spacing w:val="-16"/>
              </w:rPr>
              <w:t>370.7</w:t>
            </w:r>
          </w:p>
        </w:tc>
        <w:tc>
          <w:tcPr>
            <w:tcW w:w="458" w:type="pct"/>
            <w:shd w:val="clear" w:color="auto" w:fill="auto"/>
            <w:vAlign w:val="center"/>
            <w:hideMark/>
          </w:tcPr>
          <w:p w:rsidR="00F70503" w:rsidRPr="00F70503" w:rsidRDefault="00F70503" w:rsidP="00F70503">
            <w:pPr>
              <w:pStyle w:val="142"/>
              <w:jc w:val="right"/>
              <w:rPr>
                <w:rFonts w:hint="eastAsia"/>
                <w:spacing w:val="-16"/>
              </w:rPr>
            </w:pPr>
            <w:r w:rsidRPr="00F70503">
              <w:rPr>
                <w:rFonts w:hint="eastAsia"/>
                <w:spacing w:val="-16"/>
              </w:rPr>
              <w:t>376.5</w:t>
            </w:r>
          </w:p>
        </w:tc>
        <w:tc>
          <w:tcPr>
            <w:tcW w:w="458" w:type="pct"/>
            <w:shd w:val="clear" w:color="auto" w:fill="auto"/>
            <w:vAlign w:val="center"/>
            <w:hideMark/>
          </w:tcPr>
          <w:p w:rsidR="00F70503" w:rsidRPr="00F70503" w:rsidRDefault="00F70503" w:rsidP="00F70503">
            <w:pPr>
              <w:pStyle w:val="142"/>
              <w:jc w:val="right"/>
              <w:rPr>
                <w:rFonts w:hint="eastAsia"/>
                <w:spacing w:val="-16"/>
              </w:rPr>
            </w:pPr>
            <w:r w:rsidRPr="00F70503">
              <w:rPr>
                <w:rFonts w:hint="eastAsia"/>
                <w:spacing w:val="-16"/>
              </w:rPr>
              <w:t>380.5</w:t>
            </w:r>
          </w:p>
        </w:tc>
        <w:tc>
          <w:tcPr>
            <w:tcW w:w="458" w:type="pct"/>
            <w:shd w:val="clear" w:color="auto" w:fill="auto"/>
            <w:vAlign w:val="center"/>
            <w:hideMark/>
          </w:tcPr>
          <w:p w:rsidR="00F70503" w:rsidRPr="00F70503" w:rsidRDefault="00F70503" w:rsidP="00F70503">
            <w:pPr>
              <w:pStyle w:val="142"/>
              <w:jc w:val="right"/>
              <w:rPr>
                <w:rFonts w:hint="eastAsia"/>
                <w:spacing w:val="-16"/>
              </w:rPr>
            </w:pPr>
            <w:r w:rsidRPr="00F70503">
              <w:rPr>
                <w:rFonts w:hint="eastAsia"/>
                <w:spacing w:val="-16"/>
              </w:rPr>
              <w:t>400.9</w:t>
            </w:r>
          </w:p>
        </w:tc>
        <w:tc>
          <w:tcPr>
            <w:tcW w:w="458" w:type="pct"/>
            <w:shd w:val="clear" w:color="auto" w:fill="auto"/>
            <w:vAlign w:val="center"/>
            <w:hideMark/>
          </w:tcPr>
          <w:p w:rsidR="00F70503" w:rsidRPr="00F70503" w:rsidRDefault="00F70503" w:rsidP="00F70503">
            <w:pPr>
              <w:pStyle w:val="142"/>
              <w:jc w:val="right"/>
              <w:rPr>
                <w:rFonts w:hint="eastAsia"/>
                <w:spacing w:val="-16"/>
              </w:rPr>
            </w:pPr>
            <w:r w:rsidRPr="00F70503">
              <w:rPr>
                <w:rFonts w:hint="eastAsia"/>
                <w:spacing w:val="-16"/>
              </w:rPr>
              <w:t>385.8</w:t>
            </w:r>
          </w:p>
        </w:tc>
        <w:tc>
          <w:tcPr>
            <w:tcW w:w="458" w:type="pct"/>
            <w:shd w:val="clear" w:color="auto" w:fill="auto"/>
            <w:vAlign w:val="center"/>
            <w:hideMark/>
          </w:tcPr>
          <w:p w:rsidR="00F70503" w:rsidRPr="00F70503" w:rsidRDefault="00F70503" w:rsidP="00F70503">
            <w:pPr>
              <w:pStyle w:val="142"/>
              <w:jc w:val="right"/>
              <w:rPr>
                <w:rFonts w:hint="eastAsia"/>
                <w:spacing w:val="-16"/>
              </w:rPr>
            </w:pPr>
            <w:r w:rsidRPr="00F70503">
              <w:rPr>
                <w:rFonts w:hint="eastAsia"/>
                <w:spacing w:val="-16"/>
              </w:rPr>
              <w:t>385.4</w:t>
            </w:r>
          </w:p>
        </w:tc>
        <w:tc>
          <w:tcPr>
            <w:tcW w:w="458" w:type="pct"/>
            <w:shd w:val="clear" w:color="auto" w:fill="auto"/>
            <w:vAlign w:val="center"/>
            <w:hideMark/>
          </w:tcPr>
          <w:p w:rsidR="00F70503" w:rsidRPr="00F70503" w:rsidRDefault="00F70503" w:rsidP="00F70503">
            <w:pPr>
              <w:pStyle w:val="142"/>
              <w:jc w:val="right"/>
              <w:rPr>
                <w:rFonts w:hint="eastAsia"/>
                <w:spacing w:val="-16"/>
              </w:rPr>
            </w:pPr>
            <w:r w:rsidRPr="00F70503">
              <w:rPr>
                <w:rFonts w:hint="eastAsia"/>
                <w:spacing w:val="-16"/>
              </w:rPr>
              <w:t>384.2</w:t>
            </w:r>
          </w:p>
        </w:tc>
        <w:tc>
          <w:tcPr>
            <w:tcW w:w="458" w:type="pct"/>
            <w:shd w:val="clear" w:color="auto" w:fill="auto"/>
            <w:vAlign w:val="center"/>
            <w:hideMark/>
          </w:tcPr>
          <w:p w:rsidR="00F70503" w:rsidRPr="00F70503" w:rsidRDefault="00F70503" w:rsidP="00F70503">
            <w:pPr>
              <w:pStyle w:val="142"/>
              <w:jc w:val="right"/>
              <w:rPr>
                <w:rFonts w:hint="eastAsia"/>
                <w:spacing w:val="-16"/>
              </w:rPr>
            </w:pPr>
            <w:r w:rsidRPr="00F70503">
              <w:rPr>
                <w:rFonts w:hint="eastAsia"/>
                <w:spacing w:val="-16"/>
              </w:rPr>
              <w:t>399.9</w:t>
            </w:r>
          </w:p>
        </w:tc>
        <w:tc>
          <w:tcPr>
            <w:tcW w:w="458" w:type="pct"/>
            <w:shd w:val="clear" w:color="auto" w:fill="auto"/>
            <w:vAlign w:val="center"/>
            <w:hideMark/>
          </w:tcPr>
          <w:p w:rsidR="00F70503" w:rsidRPr="00F70503" w:rsidRDefault="00F70503" w:rsidP="00F70503">
            <w:pPr>
              <w:pStyle w:val="142"/>
              <w:jc w:val="right"/>
              <w:rPr>
                <w:rFonts w:hint="eastAsia"/>
                <w:spacing w:val="-16"/>
              </w:rPr>
            </w:pPr>
            <w:r w:rsidRPr="00F70503">
              <w:rPr>
                <w:rFonts w:hint="eastAsia"/>
                <w:spacing w:val="-16"/>
              </w:rPr>
              <w:t>402.0</w:t>
            </w:r>
          </w:p>
        </w:tc>
        <w:tc>
          <w:tcPr>
            <w:tcW w:w="398" w:type="pct"/>
            <w:shd w:val="clear" w:color="auto" w:fill="auto"/>
            <w:noWrap/>
            <w:vAlign w:val="center"/>
            <w:hideMark/>
          </w:tcPr>
          <w:p w:rsidR="00F70503" w:rsidRPr="00F70503" w:rsidRDefault="00F70503" w:rsidP="00F70503">
            <w:pPr>
              <w:pStyle w:val="142"/>
              <w:jc w:val="right"/>
              <w:rPr>
                <w:rFonts w:hint="eastAsia"/>
                <w:spacing w:val="-16"/>
              </w:rPr>
            </w:pPr>
            <w:r w:rsidRPr="00F70503">
              <w:rPr>
                <w:rFonts w:hint="eastAsia"/>
                <w:spacing w:val="-16"/>
              </w:rPr>
              <w:t>31.30</w:t>
            </w:r>
          </w:p>
        </w:tc>
      </w:tr>
      <w:tr w:rsidR="00F70503" w:rsidRPr="0055660F" w:rsidTr="00EF5281">
        <w:trPr>
          <w:trHeight w:val="340"/>
        </w:trPr>
        <w:tc>
          <w:tcPr>
            <w:tcW w:w="477" w:type="pct"/>
            <w:shd w:val="clear" w:color="auto" w:fill="auto"/>
            <w:vAlign w:val="center"/>
            <w:hideMark/>
          </w:tcPr>
          <w:p w:rsidR="00F70503" w:rsidRPr="00F70503" w:rsidRDefault="00F70503" w:rsidP="00F70503">
            <w:pPr>
              <w:pStyle w:val="142"/>
              <w:rPr>
                <w:rFonts w:hint="eastAsia"/>
                <w:spacing w:val="-16"/>
              </w:rPr>
            </w:pPr>
            <w:r w:rsidRPr="00F70503">
              <w:rPr>
                <w:rFonts w:hint="eastAsia"/>
                <w:spacing w:val="-16"/>
              </w:rPr>
              <w:t>加拿大</w:t>
            </w:r>
          </w:p>
        </w:tc>
        <w:tc>
          <w:tcPr>
            <w:tcW w:w="461" w:type="pct"/>
            <w:shd w:val="clear" w:color="auto" w:fill="auto"/>
            <w:vAlign w:val="center"/>
            <w:hideMark/>
          </w:tcPr>
          <w:p w:rsidR="00F70503" w:rsidRPr="00F70503" w:rsidRDefault="00F70503" w:rsidP="00F70503">
            <w:pPr>
              <w:pStyle w:val="142"/>
              <w:jc w:val="right"/>
              <w:rPr>
                <w:rFonts w:hint="eastAsia"/>
                <w:spacing w:val="-16"/>
              </w:rPr>
            </w:pPr>
            <w:r w:rsidRPr="00F70503">
              <w:rPr>
                <w:rFonts w:hint="eastAsia"/>
                <w:spacing w:val="-16"/>
              </w:rPr>
              <w:t>347.3</w:t>
            </w:r>
          </w:p>
        </w:tc>
        <w:tc>
          <w:tcPr>
            <w:tcW w:w="458" w:type="pct"/>
            <w:shd w:val="clear" w:color="auto" w:fill="auto"/>
            <w:vAlign w:val="center"/>
            <w:hideMark/>
          </w:tcPr>
          <w:p w:rsidR="00F70503" w:rsidRPr="00F70503" w:rsidRDefault="00F70503" w:rsidP="00F70503">
            <w:pPr>
              <w:pStyle w:val="142"/>
              <w:jc w:val="right"/>
              <w:rPr>
                <w:rFonts w:hint="eastAsia"/>
                <w:spacing w:val="-16"/>
              </w:rPr>
            </w:pPr>
            <w:r w:rsidRPr="00F70503">
              <w:rPr>
                <w:rFonts w:hint="eastAsia"/>
                <w:spacing w:val="-16"/>
              </w:rPr>
              <w:t>350.3</w:t>
            </w:r>
          </w:p>
        </w:tc>
        <w:tc>
          <w:tcPr>
            <w:tcW w:w="458" w:type="pct"/>
            <w:shd w:val="clear" w:color="auto" w:fill="auto"/>
            <w:vAlign w:val="center"/>
            <w:hideMark/>
          </w:tcPr>
          <w:p w:rsidR="00F70503" w:rsidRPr="00F70503" w:rsidRDefault="00F70503" w:rsidP="00F70503">
            <w:pPr>
              <w:pStyle w:val="142"/>
              <w:jc w:val="right"/>
              <w:rPr>
                <w:rFonts w:hint="eastAsia"/>
                <w:spacing w:val="-16"/>
              </w:rPr>
            </w:pPr>
            <w:r w:rsidRPr="00F70503">
              <w:rPr>
                <w:rFonts w:hint="eastAsia"/>
                <w:spacing w:val="-16"/>
              </w:rPr>
              <w:t>364.2</w:t>
            </w:r>
          </w:p>
        </w:tc>
        <w:tc>
          <w:tcPr>
            <w:tcW w:w="458" w:type="pct"/>
            <w:shd w:val="clear" w:color="auto" w:fill="auto"/>
            <w:vAlign w:val="center"/>
            <w:hideMark/>
          </w:tcPr>
          <w:p w:rsidR="00F70503" w:rsidRPr="00F70503" w:rsidRDefault="00F70503" w:rsidP="00F70503">
            <w:pPr>
              <w:pStyle w:val="142"/>
              <w:jc w:val="right"/>
              <w:rPr>
                <w:rFonts w:hint="eastAsia"/>
                <w:spacing w:val="-16"/>
              </w:rPr>
            </w:pPr>
            <w:r w:rsidRPr="00F70503">
              <w:rPr>
                <w:rFonts w:hint="eastAsia"/>
                <w:spacing w:val="-16"/>
              </w:rPr>
              <w:t>369.4</w:t>
            </w:r>
          </w:p>
        </w:tc>
        <w:tc>
          <w:tcPr>
            <w:tcW w:w="458" w:type="pct"/>
            <w:shd w:val="clear" w:color="auto" w:fill="auto"/>
            <w:vAlign w:val="center"/>
            <w:hideMark/>
          </w:tcPr>
          <w:p w:rsidR="00F70503" w:rsidRPr="00F70503" w:rsidRDefault="00F70503" w:rsidP="00F70503">
            <w:pPr>
              <w:pStyle w:val="142"/>
              <w:jc w:val="right"/>
              <w:rPr>
                <w:rFonts w:hint="eastAsia"/>
                <w:spacing w:val="-16"/>
              </w:rPr>
            </w:pPr>
            <w:r w:rsidRPr="00F70503">
              <w:rPr>
                <w:rFonts w:hint="eastAsia"/>
                <w:spacing w:val="-16"/>
              </w:rPr>
              <w:t>342.6</w:t>
            </w:r>
          </w:p>
        </w:tc>
        <w:tc>
          <w:tcPr>
            <w:tcW w:w="458" w:type="pct"/>
            <w:shd w:val="clear" w:color="auto" w:fill="auto"/>
            <w:vAlign w:val="center"/>
            <w:hideMark/>
          </w:tcPr>
          <w:p w:rsidR="00F70503" w:rsidRPr="00F70503" w:rsidRDefault="00F70503" w:rsidP="00F70503">
            <w:pPr>
              <w:pStyle w:val="142"/>
              <w:jc w:val="right"/>
              <w:rPr>
                <w:rFonts w:hint="eastAsia"/>
                <w:spacing w:val="-16"/>
              </w:rPr>
            </w:pPr>
            <w:r w:rsidRPr="00F70503">
              <w:rPr>
                <w:rFonts w:hint="eastAsia"/>
                <w:spacing w:val="-16"/>
              </w:rPr>
              <w:t>357.4</w:t>
            </w:r>
          </w:p>
        </w:tc>
        <w:tc>
          <w:tcPr>
            <w:tcW w:w="458" w:type="pct"/>
            <w:shd w:val="clear" w:color="auto" w:fill="auto"/>
            <w:vAlign w:val="center"/>
            <w:hideMark/>
          </w:tcPr>
          <w:p w:rsidR="00F70503" w:rsidRPr="00F70503" w:rsidRDefault="00F70503" w:rsidP="00F70503">
            <w:pPr>
              <w:pStyle w:val="142"/>
              <w:jc w:val="right"/>
              <w:rPr>
                <w:rFonts w:hint="eastAsia"/>
                <w:spacing w:val="-16"/>
              </w:rPr>
            </w:pPr>
            <w:r w:rsidRPr="00F70503">
              <w:rPr>
                <w:rFonts w:hint="eastAsia"/>
                <w:spacing w:val="-16"/>
              </w:rPr>
              <w:t>374.8</w:t>
            </w:r>
          </w:p>
        </w:tc>
        <w:tc>
          <w:tcPr>
            <w:tcW w:w="458" w:type="pct"/>
            <w:shd w:val="clear" w:color="auto" w:fill="auto"/>
            <w:vAlign w:val="center"/>
            <w:hideMark/>
          </w:tcPr>
          <w:p w:rsidR="00F70503" w:rsidRPr="00F70503" w:rsidRDefault="00F70503" w:rsidP="00F70503">
            <w:pPr>
              <w:pStyle w:val="142"/>
              <w:jc w:val="right"/>
              <w:rPr>
                <w:rFonts w:hint="eastAsia"/>
                <w:spacing w:val="-16"/>
              </w:rPr>
            </w:pPr>
            <w:r w:rsidRPr="00F70503">
              <w:rPr>
                <w:rFonts w:hint="eastAsia"/>
                <w:spacing w:val="-16"/>
              </w:rPr>
              <w:t>377.7</w:t>
            </w:r>
          </w:p>
        </w:tc>
        <w:tc>
          <w:tcPr>
            <w:tcW w:w="458" w:type="pct"/>
            <w:shd w:val="clear" w:color="auto" w:fill="auto"/>
            <w:vAlign w:val="center"/>
            <w:hideMark/>
          </w:tcPr>
          <w:p w:rsidR="00F70503" w:rsidRPr="00F70503" w:rsidRDefault="00F70503" w:rsidP="00F70503">
            <w:pPr>
              <w:pStyle w:val="142"/>
              <w:jc w:val="right"/>
              <w:rPr>
                <w:rFonts w:hint="eastAsia"/>
                <w:spacing w:val="-16"/>
              </w:rPr>
            </w:pPr>
            <w:r w:rsidRPr="00F70503">
              <w:rPr>
                <w:rFonts w:hint="eastAsia"/>
                <w:spacing w:val="-16"/>
              </w:rPr>
              <w:t>365.4</w:t>
            </w:r>
          </w:p>
        </w:tc>
        <w:tc>
          <w:tcPr>
            <w:tcW w:w="398" w:type="pct"/>
            <w:shd w:val="clear" w:color="auto" w:fill="auto"/>
            <w:noWrap/>
            <w:vAlign w:val="center"/>
            <w:hideMark/>
          </w:tcPr>
          <w:p w:rsidR="00F70503" w:rsidRPr="00F70503" w:rsidRDefault="00F70503" w:rsidP="00F70503">
            <w:pPr>
              <w:pStyle w:val="142"/>
              <w:jc w:val="right"/>
              <w:rPr>
                <w:rFonts w:hint="eastAsia"/>
                <w:spacing w:val="-16"/>
              </w:rPr>
            </w:pPr>
            <w:r w:rsidRPr="00F70503">
              <w:rPr>
                <w:rFonts w:hint="eastAsia"/>
                <w:spacing w:val="-16"/>
              </w:rPr>
              <w:t>18.10</w:t>
            </w:r>
          </w:p>
        </w:tc>
      </w:tr>
      <w:tr w:rsidR="00F70503" w:rsidRPr="0055660F" w:rsidTr="00EF5281">
        <w:trPr>
          <w:trHeight w:val="340"/>
        </w:trPr>
        <w:tc>
          <w:tcPr>
            <w:tcW w:w="477" w:type="pct"/>
            <w:shd w:val="clear" w:color="auto" w:fill="auto"/>
            <w:vAlign w:val="center"/>
            <w:hideMark/>
          </w:tcPr>
          <w:p w:rsidR="00F70503" w:rsidRPr="00F70503" w:rsidRDefault="00F70503" w:rsidP="00F70503">
            <w:pPr>
              <w:pStyle w:val="142"/>
              <w:rPr>
                <w:rFonts w:hint="eastAsia"/>
                <w:spacing w:val="-16"/>
              </w:rPr>
            </w:pPr>
            <w:r w:rsidRPr="00F70503">
              <w:rPr>
                <w:rFonts w:hint="eastAsia"/>
                <w:spacing w:val="-16"/>
              </w:rPr>
              <w:t>比利時</w:t>
            </w:r>
          </w:p>
        </w:tc>
        <w:tc>
          <w:tcPr>
            <w:tcW w:w="461" w:type="pct"/>
            <w:shd w:val="clear" w:color="auto" w:fill="auto"/>
            <w:vAlign w:val="center"/>
            <w:hideMark/>
          </w:tcPr>
          <w:p w:rsidR="00F70503" w:rsidRPr="00F70503" w:rsidRDefault="00F70503" w:rsidP="00F70503">
            <w:pPr>
              <w:pStyle w:val="142"/>
              <w:jc w:val="right"/>
              <w:rPr>
                <w:rFonts w:hint="eastAsia"/>
                <w:spacing w:val="-16"/>
              </w:rPr>
            </w:pPr>
            <w:r w:rsidRPr="00F70503">
              <w:rPr>
                <w:rFonts w:hint="eastAsia"/>
                <w:spacing w:val="-16"/>
              </w:rPr>
              <w:t>314.4</w:t>
            </w:r>
          </w:p>
        </w:tc>
        <w:tc>
          <w:tcPr>
            <w:tcW w:w="458" w:type="pct"/>
            <w:shd w:val="clear" w:color="auto" w:fill="auto"/>
            <w:vAlign w:val="center"/>
            <w:hideMark/>
          </w:tcPr>
          <w:p w:rsidR="00F70503" w:rsidRPr="00F70503" w:rsidRDefault="00F70503" w:rsidP="00F70503">
            <w:pPr>
              <w:pStyle w:val="142"/>
              <w:jc w:val="right"/>
              <w:rPr>
                <w:rFonts w:hint="eastAsia"/>
                <w:spacing w:val="-16"/>
              </w:rPr>
            </w:pPr>
            <w:r w:rsidRPr="00F70503">
              <w:rPr>
                <w:rFonts w:hint="eastAsia"/>
                <w:spacing w:val="-16"/>
              </w:rPr>
              <w:t>293.1</w:t>
            </w:r>
          </w:p>
        </w:tc>
        <w:tc>
          <w:tcPr>
            <w:tcW w:w="458" w:type="pct"/>
            <w:shd w:val="clear" w:color="auto" w:fill="auto"/>
            <w:vAlign w:val="center"/>
            <w:hideMark/>
          </w:tcPr>
          <w:p w:rsidR="00F70503" w:rsidRPr="00F70503" w:rsidRDefault="00F70503" w:rsidP="00F70503">
            <w:pPr>
              <w:pStyle w:val="142"/>
              <w:jc w:val="right"/>
              <w:rPr>
                <w:rFonts w:hint="eastAsia"/>
                <w:spacing w:val="-16"/>
              </w:rPr>
            </w:pPr>
            <w:r w:rsidRPr="00F70503">
              <w:rPr>
                <w:rFonts w:hint="eastAsia"/>
                <w:spacing w:val="-16"/>
              </w:rPr>
              <w:t>320.0</w:t>
            </w:r>
          </w:p>
        </w:tc>
        <w:tc>
          <w:tcPr>
            <w:tcW w:w="458" w:type="pct"/>
            <w:shd w:val="clear" w:color="auto" w:fill="auto"/>
            <w:vAlign w:val="center"/>
            <w:hideMark/>
          </w:tcPr>
          <w:p w:rsidR="00F70503" w:rsidRPr="00F70503" w:rsidRDefault="00F70503" w:rsidP="00F70503">
            <w:pPr>
              <w:pStyle w:val="142"/>
              <w:jc w:val="right"/>
              <w:rPr>
                <w:rFonts w:hint="eastAsia"/>
                <w:spacing w:val="-16"/>
              </w:rPr>
            </w:pPr>
            <w:r w:rsidRPr="00F70503">
              <w:rPr>
                <w:rFonts w:hint="eastAsia"/>
                <w:spacing w:val="-16"/>
              </w:rPr>
              <w:t>317.1</w:t>
            </w:r>
          </w:p>
        </w:tc>
        <w:tc>
          <w:tcPr>
            <w:tcW w:w="458" w:type="pct"/>
            <w:shd w:val="clear" w:color="auto" w:fill="auto"/>
            <w:vAlign w:val="center"/>
            <w:hideMark/>
          </w:tcPr>
          <w:p w:rsidR="00F70503" w:rsidRPr="00F70503" w:rsidRDefault="00F70503" w:rsidP="00F70503">
            <w:pPr>
              <w:pStyle w:val="142"/>
              <w:jc w:val="right"/>
              <w:rPr>
                <w:rFonts w:hint="eastAsia"/>
                <w:spacing w:val="-16"/>
              </w:rPr>
            </w:pPr>
            <w:r w:rsidRPr="00F70503">
              <w:rPr>
                <w:rFonts w:hint="eastAsia"/>
                <w:spacing w:val="-16"/>
              </w:rPr>
              <w:t>312.4</w:t>
            </w:r>
          </w:p>
        </w:tc>
        <w:tc>
          <w:tcPr>
            <w:tcW w:w="458" w:type="pct"/>
            <w:shd w:val="clear" w:color="auto" w:fill="auto"/>
            <w:vAlign w:val="center"/>
            <w:hideMark/>
          </w:tcPr>
          <w:p w:rsidR="00F70503" w:rsidRPr="00F70503" w:rsidRDefault="00F70503" w:rsidP="00F70503">
            <w:pPr>
              <w:pStyle w:val="142"/>
              <w:jc w:val="right"/>
              <w:rPr>
                <w:rFonts w:hint="eastAsia"/>
                <w:spacing w:val="-16"/>
              </w:rPr>
            </w:pPr>
            <w:r w:rsidRPr="00F70503">
              <w:rPr>
                <w:rFonts w:hint="eastAsia"/>
                <w:spacing w:val="-16"/>
              </w:rPr>
              <w:t>313.0</w:t>
            </w:r>
          </w:p>
        </w:tc>
        <w:tc>
          <w:tcPr>
            <w:tcW w:w="458" w:type="pct"/>
            <w:shd w:val="clear" w:color="auto" w:fill="auto"/>
            <w:vAlign w:val="center"/>
            <w:hideMark/>
          </w:tcPr>
          <w:p w:rsidR="00F70503" w:rsidRPr="00F70503" w:rsidRDefault="00F70503" w:rsidP="00F70503">
            <w:pPr>
              <w:pStyle w:val="142"/>
              <w:jc w:val="right"/>
              <w:rPr>
                <w:rFonts w:hint="eastAsia"/>
                <w:spacing w:val="-16"/>
              </w:rPr>
            </w:pPr>
            <w:r w:rsidRPr="00F70503">
              <w:rPr>
                <w:rFonts w:hint="eastAsia"/>
                <w:spacing w:val="-16"/>
              </w:rPr>
              <w:t>318.0</w:t>
            </w:r>
          </w:p>
        </w:tc>
        <w:tc>
          <w:tcPr>
            <w:tcW w:w="458" w:type="pct"/>
            <w:shd w:val="clear" w:color="auto" w:fill="auto"/>
            <w:vAlign w:val="center"/>
            <w:hideMark/>
          </w:tcPr>
          <w:p w:rsidR="00F70503" w:rsidRPr="00F70503" w:rsidRDefault="00F70503" w:rsidP="00F70503">
            <w:pPr>
              <w:pStyle w:val="142"/>
              <w:jc w:val="right"/>
              <w:rPr>
                <w:rFonts w:hint="eastAsia"/>
                <w:spacing w:val="-16"/>
              </w:rPr>
            </w:pPr>
            <w:r w:rsidRPr="00F70503">
              <w:rPr>
                <w:rFonts w:hint="eastAsia"/>
                <w:spacing w:val="-16"/>
              </w:rPr>
              <w:t>315.9</w:t>
            </w:r>
          </w:p>
        </w:tc>
        <w:tc>
          <w:tcPr>
            <w:tcW w:w="458" w:type="pct"/>
            <w:shd w:val="clear" w:color="auto" w:fill="auto"/>
            <w:vAlign w:val="center"/>
            <w:hideMark/>
          </w:tcPr>
          <w:p w:rsidR="00F70503" w:rsidRPr="00F70503" w:rsidRDefault="00F70503" w:rsidP="00F70503">
            <w:pPr>
              <w:pStyle w:val="142"/>
              <w:jc w:val="right"/>
              <w:rPr>
                <w:rFonts w:hint="eastAsia"/>
                <w:spacing w:val="-16"/>
              </w:rPr>
            </w:pPr>
            <w:r w:rsidRPr="00F70503">
              <w:rPr>
                <w:rFonts w:hint="eastAsia"/>
                <w:spacing w:val="-16"/>
              </w:rPr>
              <w:t>325.0</w:t>
            </w:r>
          </w:p>
        </w:tc>
        <w:tc>
          <w:tcPr>
            <w:tcW w:w="398" w:type="pct"/>
            <w:shd w:val="clear" w:color="auto" w:fill="auto"/>
            <w:noWrap/>
            <w:vAlign w:val="center"/>
            <w:hideMark/>
          </w:tcPr>
          <w:p w:rsidR="00F70503" w:rsidRPr="00F70503" w:rsidRDefault="00F70503" w:rsidP="00F70503">
            <w:pPr>
              <w:pStyle w:val="142"/>
              <w:jc w:val="right"/>
              <w:rPr>
                <w:rFonts w:hint="eastAsia"/>
                <w:spacing w:val="-16"/>
              </w:rPr>
            </w:pPr>
            <w:r w:rsidRPr="00F70503">
              <w:rPr>
                <w:rFonts w:hint="eastAsia"/>
                <w:spacing w:val="-16"/>
              </w:rPr>
              <w:t>10.60</w:t>
            </w:r>
          </w:p>
        </w:tc>
      </w:tr>
      <w:tr w:rsidR="00F70503" w:rsidRPr="0055660F" w:rsidTr="00EF5281">
        <w:trPr>
          <w:trHeight w:val="340"/>
        </w:trPr>
        <w:tc>
          <w:tcPr>
            <w:tcW w:w="477" w:type="pct"/>
            <w:shd w:val="clear" w:color="auto" w:fill="auto"/>
            <w:vAlign w:val="center"/>
            <w:hideMark/>
          </w:tcPr>
          <w:p w:rsidR="00F70503" w:rsidRPr="00F70503" w:rsidRDefault="00F70503" w:rsidP="00F70503">
            <w:pPr>
              <w:pStyle w:val="142"/>
              <w:rPr>
                <w:rFonts w:hint="eastAsia"/>
                <w:spacing w:val="-16"/>
              </w:rPr>
            </w:pPr>
            <w:r w:rsidRPr="00F70503">
              <w:rPr>
                <w:rFonts w:hint="eastAsia"/>
                <w:spacing w:val="-16"/>
              </w:rPr>
              <w:t>愛爾蘭</w:t>
            </w:r>
          </w:p>
        </w:tc>
        <w:tc>
          <w:tcPr>
            <w:tcW w:w="461" w:type="pct"/>
            <w:shd w:val="clear" w:color="auto" w:fill="auto"/>
            <w:vAlign w:val="center"/>
            <w:hideMark/>
          </w:tcPr>
          <w:p w:rsidR="00F70503" w:rsidRPr="00F70503" w:rsidRDefault="00F70503" w:rsidP="00F70503">
            <w:pPr>
              <w:pStyle w:val="142"/>
              <w:jc w:val="right"/>
              <w:rPr>
                <w:rFonts w:hint="eastAsia"/>
                <w:spacing w:val="-16"/>
              </w:rPr>
            </w:pPr>
            <w:r w:rsidRPr="00F70503">
              <w:rPr>
                <w:rFonts w:hint="eastAsia"/>
                <w:spacing w:val="-16"/>
              </w:rPr>
              <w:t>331.5</w:t>
            </w:r>
          </w:p>
        </w:tc>
        <w:tc>
          <w:tcPr>
            <w:tcW w:w="458" w:type="pct"/>
            <w:shd w:val="clear" w:color="auto" w:fill="auto"/>
            <w:vAlign w:val="center"/>
            <w:hideMark/>
          </w:tcPr>
          <w:p w:rsidR="00F70503" w:rsidRPr="00F70503" w:rsidRDefault="00F70503" w:rsidP="00F70503">
            <w:pPr>
              <w:pStyle w:val="142"/>
              <w:jc w:val="right"/>
              <w:rPr>
                <w:rFonts w:hint="eastAsia"/>
                <w:spacing w:val="-16"/>
              </w:rPr>
            </w:pPr>
            <w:r w:rsidRPr="00F70503">
              <w:rPr>
                <w:rFonts w:hint="eastAsia"/>
                <w:spacing w:val="-16"/>
              </w:rPr>
              <w:t>319.0</w:t>
            </w:r>
          </w:p>
        </w:tc>
        <w:tc>
          <w:tcPr>
            <w:tcW w:w="458" w:type="pct"/>
            <w:shd w:val="clear" w:color="auto" w:fill="auto"/>
            <w:vAlign w:val="center"/>
            <w:hideMark/>
          </w:tcPr>
          <w:p w:rsidR="00F70503" w:rsidRPr="00F70503" w:rsidRDefault="00F70503" w:rsidP="00F70503">
            <w:pPr>
              <w:pStyle w:val="142"/>
              <w:jc w:val="right"/>
              <w:rPr>
                <w:rFonts w:hint="eastAsia"/>
                <w:spacing w:val="-16"/>
              </w:rPr>
            </w:pPr>
            <w:r w:rsidRPr="00F70503">
              <w:rPr>
                <w:rFonts w:hint="eastAsia"/>
                <w:spacing w:val="-16"/>
              </w:rPr>
              <w:t>316.9</w:t>
            </w:r>
          </w:p>
        </w:tc>
        <w:tc>
          <w:tcPr>
            <w:tcW w:w="458" w:type="pct"/>
            <w:shd w:val="clear" w:color="auto" w:fill="auto"/>
            <w:vAlign w:val="center"/>
            <w:hideMark/>
          </w:tcPr>
          <w:p w:rsidR="00F70503" w:rsidRPr="00F70503" w:rsidRDefault="00F70503" w:rsidP="00F70503">
            <w:pPr>
              <w:pStyle w:val="142"/>
              <w:jc w:val="right"/>
              <w:rPr>
                <w:rFonts w:hint="eastAsia"/>
                <w:spacing w:val="-16"/>
              </w:rPr>
            </w:pPr>
            <w:r w:rsidRPr="00F70503">
              <w:rPr>
                <w:rFonts w:hint="eastAsia"/>
                <w:spacing w:val="-16"/>
              </w:rPr>
              <w:t>317.8</w:t>
            </w:r>
          </w:p>
        </w:tc>
        <w:tc>
          <w:tcPr>
            <w:tcW w:w="458" w:type="pct"/>
            <w:shd w:val="clear" w:color="auto" w:fill="auto"/>
            <w:vAlign w:val="center"/>
            <w:hideMark/>
          </w:tcPr>
          <w:p w:rsidR="00F70503" w:rsidRPr="00F70503" w:rsidRDefault="00F70503" w:rsidP="00F70503">
            <w:pPr>
              <w:pStyle w:val="142"/>
              <w:jc w:val="right"/>
              <w:rPr>
                <w:rFonts w:hint="eastAsia"/>
                <w:spacing w:val="-16"/>
              </w:rPr>
            </w:pPr>
            <w:r w:rsidRPr="00F70503">
              <w:rPr>
                <w:rFonts w:hint="eastAsia"/>
                <w:spacing w:val="-16"/>
              </w:rPr>
              <w:t>307.6</w:t>
            </w:r>
          </w:p>
        </w:tc>
        <w:tc>
          <w:tcPr>
            <w:tcW w:w="458" w:type="pct"/>
            <w:shd w:val="clear" w:color="auto" w:fill="auto"/>
            <w:vAlign w:val="center"/>
            <w:hideMark/>
          </w:tcPr>
          <w:p w:rsidR="00F70503" w:rsidRPr="00F70503" w:rsidRDefault="00F70503" w:rsidP="00F70503">
            <w:pPr>
              <w:pStyle w:val="142"/>
              <w:jc w:val="right"/>
              <w:rPr>
                <w:rFonts w:hint="eastAsia"/>
                <w:spacing w:val="-16"/>
              </w:rPr>
            </w:pPr>
            <w:r w:rsidRPr="00F70503">
              <w:rPr>
                <w:rFonts w:hint="eastAsia"/>
                <w:spacing w:val="-16"/>
              </w:rPr>
              <w:t>317.7</w:t>
            </w:r>
          </w:p>
        </w:tc>
        <w:tc>
          <w:tcPr>
            <w:tcW w:w="458" w:type="pct"/>
            <w:shd w:val="clear" w:color="auto" w:fill="auto"/>
            <w:vAlign w:val="center"/>
            <w:hideMark/>
          </w:tcPr>
          <w:p w:rsidR="00F70503" w:rsidRPr="00F70503" w:rsidRDefault="00F70503" w:rsidP="00F70503">
            <w:pPr>
              <w:pStyle w:val="142"/>
              <w:jc w:val="right"/>
              <w:rPr>
                <w:rFonts w:hint="eastAsia"/>
                <w:spacing w:val="-16"/>
              </w:rPr>
            </w:pPr>
            <w:r w:rsidRPr="00F70503">
              <w:rPr>
                <w:rFonts w:hint="eastAsia"/>
                <w:spacing w:val="-16"/>
              </w:rPr>
              <w:t>308.0</w:t>
            </w:r>
          </w:p>
        </w:tc>
        <w:tc>
          <w:tcPr>
            <w:tcW w:w="458" w:type="pct"/>
            <w:shd w:val="clear" w:color="auto" w:fill="auto"/>
            <w:vAlign w:val="center"/>
            <w:hideMark/>
          </w:tcPr>
          <w:p w:rsidR="00F70503" w:rsidRPr="00F70503" w:rsidRDefault="00F70503" w:rsidP="00F70503">
            <w:pPr>
              <w:pStyle w:val="142"/>
              <w:jc w:val="right"/>
              <w:rPr>
                <w:rFonts w:hint="eastAsia"/>
                <w:spacing w:val="-16"/>
              </w:rPr>
            </w:pPr>
            <w:r w:rsidRPr="00F70503">
              <w:rPr>
                <w:rFonts w:hint="eastAsia"/>
                <w:spacing w:val="-16"/>
              </w:rPr>
              <w:t>312.7</w:t>
            </w:r>
          </w:p>
        </w:tc>
        <w:tc>
          <w:tcPr>
            <w:tcW w:w="458" w:type="pct"/>
            <w:shd w:val="clear" w:color="auto" w:fill="auto"/>
            <w:vAlign w:val="center"/>
            <w:hideMark/>
          </w:tcPr>
          <w:p w:rsidR="00F70503" w:rsidRPr="00F70503" w:rsidRDefault="00F70503" w:rsidP="00F70503">
            <w:pPr>
              <w:pStyle w:val="142"/>
              <w:jc w:val="right"/>
              <w:rPr>
                <w:rFonts w:hint="eastAsia"/>
                <w:spacing w:val="-16"/>
              </w:rPr>
            </w:pPr>
            <w:r w:rsidRPr="00F70503">
              <w:rPr>
                <w:rFonts w:hint="eastAsia"/>
                <w:spacing w:val="-16"/>
              </w:rPr>
              <w:t>321.8</w:t>
            </w:r>
          </w:p>
        </w:tc>
        <w:tc>
          <w:tcPr>
            <w:tcW w:w="398" w:type="pct"/>
            <w:shd w:val="clear" w:color="auto" w:fill="auto"/>
            <w:noWrap/>
            <w:vAlign w:val="center"/>
            <w:hideMark/>
          </w:tcPr>
          <w:p w:rsidR="00F70503" w:rsidRPr="00F70503" w:rsidRDefault="00F70503" w:rsidP="00F70503">
            <w:pPr>
              <w:pStyle w:val="142"/>
              <w:jc w:val="right"/>
              <w:rPr>
                <w:rFonts w:hint="eastAsia"/>
                <w:spacing w:val="-16"/>
              </w:rPr>
            </w:pPr>
            <w:r w:rsidRPr="00F70503">
              <w:rPr>
                <w:rFonts w:hint="eastAsia"/>
                <w:spacing w:val="-16"/>
              </w:rPr>
              <w:t>-9.70</w:t>
            </w:r>
          </w:p>
        </w:tc>
      </w:tr>
      <w:tr w:rsidR="00F70503" w:rsidRPr="0055660F" w:rsidTr="00EF5281">
        <w:trPr>
          <w:trHeight w:val="340"/>
        </w:trPr>
        <w:tc>
          <w:tcPr>
            <w:tcW w:w="477" w:type="pct"/>
            <w:shd w:val="clear" w:color="auto" w:fill="auto"/>
            <w:vAlign w:val="center"/>
            <w:hideMark/>
          </w:tcPr>
          <w:p w:rsidR="00F70503" w:rsidRPr="00F70503" w:rsidRDefault="00F70503" w:rsidP="00F70503">
            <w:pPr>
              <w:pStyle w:val="142"/>
              <w:rPr>
                <w:rFonts w:hint="eastAsia"/>
                <w:spacing w:val="-16"/>
              </w:rPr>
            </w:pPr>
            <w:r w:rsidRPr="00F70503">
              <w:rPr>
                <w:rFonts w:hint="eastAsia"/>
                <w:spacing w:val="-16"/>
              </w:rPr>
              <w:t>法國</w:t>
            </w:r>
          </w:p>
        </w:tc>
        <w:tc>
          <w:tcPr>
            <w:tcW w:w="461" w:type="pct"/>
            <w:shd w:val="clear" w:color="auto" w:fill="auto"/>
            <w:vAlign w:val="center"/>
            <w:hideMark/>
          </w:tcPr>
          <w:p w:rsidR="00F70503" w:rsidRPr="00F70503" w:rsidRDefault="00F70503" w:rsidP="00F70503">
            <w:pPr>
              <w:pStyle w:val="142"/>
              <w:jc w:val="right"/>
              <w:rPr>
                <w:rFonts w:hint="eastAsia"/>
                <w:spacing w:val="-16"/>
              </w:rPr>
            </w:pPr>
            <w:r w:rsidRPr="00F70503">
              <w:rPr>
                <w:rFonts w:hint="eastAsia"/>
                <w:spacing w:val="-16"/>
              </w:rPr>
              <w:t>236.7</w:t>
            </w:r>
          </w:p>
        </w:tc>
        <w:tc>
          <w:tcPr>
            <w:tcW w:w="458" w:type="pct"/>
            <w:shd w:val="clear" w:color="auto" w:fill="auto"/>
            <w:vAlign w:val="center"/>
            <w:hideMark/>
          </w:tcPr>
          <w:p w:rsidR="00F70503" w:rsidRPr="00F70503" w:rsidRDefault="00F70503" w:rsidP="00F70503">
            <w:pPr>
              <w:pStyle w:val="142"/>
              <w:jc w:val="right"/>
              <w:rPr>
                <w:rFonts w:hint="eastAsia"/>
                <w:spacing w:val="-16"/>
              </w:rPr>
            </w:pPr>
            <w:r w:rsidRPr="00F70503">
              <w:rPr>
                <w:rFonts w:hint="eastAsia"/>
                <w:spacing w:val="-16"/>
              </w:rPr>
              <w:t>256.3</w:t>
            </w:r>
          </w:p>
        </w:tc>
        <w:tc>
          <w:tcPr>
            <w:tcW w:w="458" w:type="pct"/>
            <w:shd w:val="clear" w:color="auto" w:fill="auto"/>
            <w:vAlign w:val="center"/>
            <w:hideMark/>
          </w:tcPr>
          <w:p w:rsidR="00F70503" w:rsidRPr="00F70503" w:rsidRDefault="00F70503" w:rsidP="00F70503">
            <w:pPr>
              <w:pStyle w:val="142"/>
              <w:jc w:val="right"/>
              <w:rPr>
                <w:rFonts w:hint="eastAsia"/>
                <w:spacing w:val="-16"/>
              </w:rPr>
            </w:pPr>
            <w:r w:rsidRPr="00F70503">
              <w:rPr>
                <w:rFonts w:hint="eastAsia"/>
                <w:spacing w:val="-16"/>
              </w:rPr>
              <w:t>271.5</w:t>
            </w:r>
          </w:p>
        </w:tc>
        <w:tc>
          <w:tcPr>
            <w:tcW w:w="458" w:type="pct"/>
            <w:shd w:val="clear" w:color="auto" w:fill="auto"/>
            <w:vAlign w:val="center"/>
            <w:hideMark/>
          </w:tcPr>
          <w:p w:rsidR="00F70503" w:rsidRPr="00F70503" w:rsidRDefault="00F70503" w:rsidP="00F70503">
            <w:pPr>
              <w:pStyle w:val="142"/>
              <w:jc w:val="right"/>
              <w:rPr>
                <w:rFonts w:hint="eastAsia"/>
                <w:spacing w:val="-16"/>
              </w:rPr>
            </w:pPr>
            <w:r w:rsidRPr="00F70503">
              <w:rPr>
                <w:rFonts w:hint="eastAsia"/>
                <w:spacing w:val="-16"/>
              </w:rPr>
              <w:t>271.8</w:t>
            </w:r>
          </w:p>
        </w:tc>
        <w:tc>
          <w:tcPr>
            <w:tcW w:w="458" w:type="pct"/>
            <w:shd w:val="clear" w:color="auto" w:fill="auto"/>
            <w:vAlign w:val="center"/>
            <w:hideMark/>
          </w:tcPr>
          <w:p w:rsidR="00F70503" w:rsidRPr="00F70503" w:rsidRDefault="00F70503" w:rsidP="00F70503">
            <w:pPr>
              <w:pStyle w:val="142"/>
              <w:jc w:val="right"/>
              <w:rPr>
                <w:rFonts w:hint="eastAsia"/>
                <w:spacing w:val="-16"/>
              </w:rPr>
            </w:pPr>
            <w:r w:rsidRPr="00F70503">
              <w:rPr>
                <w:rFonts w:hint="eastAsia"/>
                <w:spacing w:val="-16"/>
              </w:rPr>
              <w:t>276.5</w:t>
            </w:r>
          </w:p>
        </w:tc>
        <w:tc>
          <w:tcPr>
            <w:tcW w:w="458" w:type="pct"/>
            <w:shd w:val="clear" w:color="auto" w:fill="auto"/>
            <w:vAlign w:val="center"/>
            <w:hideMark/>
          </w:tcPr>
          <w:p w:rsidR="00F70503" w:rsidRPr="00F70503" w:rsidRDefault="00F70503" w:rsidP="00F70503">
            <w:pPr>
              <w:pStyle w:val="142"/>
              <w:jc w:val="right"/>
              <w:rPr>
                <w:rFonts w:hint="eastAsia"/>
                <w:spacing w:val="-16"/>
              </w:rPr>
            </w:pPr>
            <w:r w:rsidRPr="00F70503">
              <w:rPr>
                <w:rFonts w:hint="eastAsia"/>
                <w:spacing w:val="-16"/>
              </w:rPr>
              <w:t>283.0</w:t>
            </w:r>
          </w:p>
        </w:tc>
        <w:tc>
          <w:tcPr>
            <w:tcW w:w="458" w:type="pct"/>
            <w:shd w:val="clear" w:color="auto" w:fill="auto"/>
            <w:vAlign w:val="center"/>
            <w:hideMark/>
          </w:tcPr>
          <w:p w:rsidR="00F70503" w:rsidRPr="00F70503" w:rsidRDefault="00F70503" w:rsidP="00F70503">
            <w:pPr>
              <w:pStyle w:val="142"/>
              <w:jc w:val="right"/>
              <w:rPr>
                <w:rFonts w:hint="eastAsia"/>
                <w:spacing w:val="-16"/>
              </w:rPr>
            </w:pPr>
            <w:r w:rsidRPr="00F70503">
              <w:rPr>
                <w:rFonts w:hint="eastAsia"/>
                <w:spacing w:val="-16"/>
              </w:rPr>
              <w:t>307.2</w:t>
            </w:r>
          </w:p>
        </w:tc>
        <w:tc>
          <w:tcPr>
            <w:tcW w:w="458" w:type="pct"/>
            <w:shd w:val="clear" w:color="auto" w:fill="auto"/>
            <w:vAlign w:val="center"/>
            <w:hideMark/>
          </w:tcPr>
          <w:p w:rsidR="00F70503" w:rsidRPr="00F70503" w:rsidRDefault="00F70503" w:rsidP="00F70503">
            <w:pPr>
              <w:pStyle w:val="142"/>
              <w:jc w:val="right"/>
              <w:rPr>
                <w:rFonts w:hint="eastAsia"/>
                <w:spacing w:val="-16"/>
              </w:rPr>
            </w:pPr>
            <w:r w:rsidRPr="00F70503">
              <w:rPr>
                <w:rFonts w:hint="eastAsia"/>
                <w:spacing w:val="-16"/>
              </w:rPr>
              <w:t>290.9</w:t>
            </w:r>
          </w:p>
        </w:tc>
        <w:tc>
          <w:tcPr>
            <w:tcW w:w="458" w:type="pct"/>
            <w:shd w:val="clear" w:color="auto" w:fill="auto"/>
            <w:vAlign w:val="center"/>
            <w:hideMark/>
          </w:tcPr>
          <w:p w:rsidR="00F70503" w:rsidRPr="00F70503" w:rsidRDefault="00F70503" w:rsidP="00F70503">
            <w:pPr>
              <w:pStyle w:val="142"/>
              <w:jc w:val="right"/>
              <w:rPr>
                <w:rFonts w:hint="eastAsia"/>
                <w:spacing w:val="-16"/>
              </w:rPr>
            </w:pPr>
            <w:r w:rsidRPr="00F70503">
              <w:rPr>
                <w:rFonts w:hint="eastAsia"/>
                <w:spacing w:val="-16"/>
              </w:rPr>
              <w:t>312.2</w:t>
            </w:r>
          </w:p>
        </w:tc>
        <w:tc>
          <w:tcPr>
            <w:tcW w:w="398" w:type="pct"/>
            <w:shd w:val="clear" w:color="auto" w:fill="auto"/>
            <w:noWrap/>
            <w:vAlign w:val="center"/>
            <w:hideMark/>
          </w:tcPr>
          <w:p w:rsidR="00F70503" w:rsidRPr="00F70503" w:rsidRDefault="00F70503" w:rsidP="00F70503">
            <w:pPr>
              <w:pStyle w:val="142"/>
              <w:jc w:val="right"/>
              <w:rPr>
                <w:rFonts w:hint="eastAsia"/>
                <w:spacing w:val="-16"/>
              </w:rPr>
            </w:pPr>
            <w:r w:rsidRPr="00F70503">
              <w:rPr>
                <w:rFonts w:hint="eastAsia"/>
                <w:spacing w:val="-16"/>
              </w:rPr>
              <w:t>75.50</w:t>
            </w:r>
          </w:p>
        </w:tc>
      </w:tr>
      <w:tr w:rsidR="00F70503" w:rsidRPr="0055660F" w:rsidTr="00EF5281">
        <w:trPr>
          <w:trHeight w:val="340"/>
        </w:trPr>
        <w:tc>
          <w:tcPr>
            <w:tcW w:w="477" w:type="pct"/>
            <w:shd w:val="clear" w:color="auto" w:fill="auto"/>
            <w:vAlign w:val="center"/>
            <w:hideMark/>
          </w:tcPr>
          <w:p w:rsidR="00F70503" w:rsidRPr="00F70503" w:rsidRDefault="00F70503" w:rsidP="00F70503">
            <w:pPr>
              <w:pStyle w:val="142"/>
              <w:rPr>
                <w:rFonts w:hint="eastAsia"/>
                <w:spacing w:val="-16"/>
              </w:rPr>
            </w:pPr>
            <w:r w:rsidRPr="00F70503">
              <w:rPr>
                <w:rFonts w:hint="eastAsia"/>
                <w:spacing w:val="-16"/>
              </w:rPr>
              <w:t>瑞士</w:t>
            </w:r>
          </w:p>
        </w:tc>
        <w:tc>
          <w:tcPr>
            <w:tcW w:w="461" w:type="pct"/>
            <w:shd w:val="clear" w:color="auto" w:fill="auto"/>
            <w:vAlign w:val="center"/>
            <w:hideMark/>
          </w:tcPr>
          <w:p w:rsidR="00F70503" w:rsidRPr="00F70503" w:rsidRDefault="00F70503" w:rsidP="00F70503">
            <w:pPr>
              <w:pStyle w:val="142"/>
              <w:jc w:val="right"/>
              <w:rPr>
                <w:rFonts w:hint="eastAsia"/>
                <w:spacing w:val="-16"/>
              </w:rPr>
            </w:pPr>
            <w:r w:rsidRPr="00F70503">
              <w:rPr>
                <w:rFonts w:hint="eastAsia"/>
                <w:spacing w:val="-16"/>
              </w:rPr>
              <w:t>287.9</w:t>
            </w:r>
          </w:p>
        </w:tc>
        <w:tc>
          <w:tcPr>
            <w:tcW w:w="458" w:type="pct"/>
            <w:shd w:val="clear" w:color="auto" w:fill="auto"/>
            <w:vAlign w:val="center"/>
            <w:hideMark/>
          </w:tcPr>
          <w:p w:rsidR="00F70503" w:rsidRPr="00F70503" w:rsidRDefault="00F70503" w:rsidP="00F70503">
            <w:pPr>
              <w:pStyle w:val="142"/>
              <w:jc w:val="right"/>
              <w:rPr>
                <w:rFonts w:hint="eastAsia"/>
                <w:spacing w:val="-16"/>
              </w:rPr>
            </w:pPr>
            <w:r w:rsidRPr="00F70503">
              <w:rPr>
                <w:rFonts w:hint="eastAsia"/>
                <w:spacing w:val="-16"/>
              </w:rPr>
              <w:t>283.1</w:t>
            </w:r>
          </w:p>
        </w:tc>
        <w:tc>
          <w:tcPr>
            <w:tcW w:w="458" w:type="pct"/>
            <w:shd w:val="clear" w:color="auto" w:fill="auto"/>
            <w:vAlign w:val="center"/>
            <w:hideMark/>
          </w:tcPr>
          <w:p w:rsidR="00F70503" w:rsidRPr="00F70503" w:rsidRDefault="00F70503" w:rsidP="00F70503">
            <w:pPr>
              <w:pStyle w:val="142"/>
              <w:jc w:val="right"/>
              <w:rPr>
                <w:rFonts w:hint="eastAsia"/>
                <w:spacing w:val="-16"/>
              </w:rPr>
            </w:pPr>
            <w:r w:rsidRPr="00F70503">
              <w:rPr>
                <w:rFonts w:hint="eastAsia"/>
                <w:spacing w:val="-16"/>
              </w:rPr>
              <w:t>277.5</w:t>
            </w:r>
          </w:p>
        </w:tc>
        <w:tc>
          <w:tcPr>
            <w:tcW w:w="458" w:type="pct"/>
            <w:shd w:val="clear" w:color="auto" w:fill="auto"/>
            <w:vAlign w:val="center"/>
            <w:hideMark/>
          </w:tcPr>
          <w:p w:rsidR="00F70503" w:rsidRPr="00F70503" w:rsidRDefault="00F70503" w:rsidP="00F70503">
            <w:pPr>
              <w:pStyle w:val="142"/>
              <w:jc w:val="right"/>
              <w:rPr>
                <w:rFonts w:hint="eastAsia"/>
                <w:spacing w:val="-16"/>
              </w:rPr>
            </w:pPr>
            <w:r w:rsidRPr="00F70503">
              <w:rPr>
                <w:rFonts w:hint="eastAsia"/>
                <w:spacing w:val="-16"/>
              </w:rPr>
              <w:t>283.5</w:t>
            </w:r>
          </w:p>
        </w:tc>
        <w:tc>
          <w:tcPr>
            <w:tcW w:w="458" w:type="pct"/>
            <w:shd w:val="clear" w:color="auto" w:fill="auto"/>
            <w:vAlign w:val="center"/>
            <w:hideMark/>
          </w:tcPr>
          <w:p w:rsidR="00F70503" w:rsidRPr="00F70503" w:rsidRDefault="00F70503" w:rsidP="00F70503">
            <w:pPr>
              <w:pStyle w:val="142"/>
              <w:jc w:val="right"/>
              <w:rPr>
                <w:rFonts w:hint="eastAsia"/>
                <w:spacing w:val="-16"/>
              </w:rPr>
            </w:pPr>
            <w:r w:rsidRPr="00F70503">
              <w:rPr>
                <w:rFonts w:hint="eastAsia"/>
                <w:spacing w:val="-16"/>
              </w:rPr>
              <w:t>291.4</w:t>
            </w:r>
          </w:p>
        </w:tc>
        <w:tc>
          <w:tcPr>
            <w:tcW w:w="458" w:type="pct"/>
            <w:shd w:val="clear" w:color="auto" w:fill="auto"/>
            <w:vAlign w:val="center"/>
            <w:hideMark/>
          </w:tcPr>
          <w:p w:rsidR="00F70503" w:rsidRPr="00F70503" w:rsidRDefault="00F70503" w:rsidP="00F70503">
            <w:pPr>
              <w:pStyle w:val="142"/>
              <w:jc w:val="right"/>
              <w:rPr>
                <w:rFonts w:hint="eastAsia"/>
                <w:spacing w:val="-16"/>
              </w:rPr>
            </w:pPr>
            <w:r w:rsidRPr="00F70503">
              <w:rPr>
                <w:rFonts w:hint="eastAsia"/>
                <w:spacing w:val="-16"/>
              </w:rPr>
              <w:t>290.4</w:t>
            </w:r>
          </w:p>
        </w:tc>
        <w:tc>
          <w:tcPr>
            <w:tcW w:w="458" w:type="pct"/>
            <w:shd w:val="clear" w:color="auto" w:fill="auto"/>
            <w:vAlign w:val="center"/>
            <w:hideMark/>
          </w:tcPr>
          <w:p w:rsidR="00F70503" w:rsidRPr="00F70503" w:rsidRDefault="00F70503" w:rsidP="00F70503">
            <w:pPr>
              <w:pStyle w:val="142"/>
              <w:jc w:val="right"/>
              <w:rPr>
                <w:rFonts w:hint="eastAsia"/>
                <w:spacing w:val="-16"/>
              </w:rPr>
            </w:pPr>
            <w:r w:rsidRPr="00F70503">
              <w:rPr>
                <w:rFonts w:hint="eastAsia"/>
                <w:spacing w:val="-16"/>
              </w:rPr>
              <w:t>287.1</w:t>
            </w:r>
          </w:p>
        </w:tc>
        <w:tc>
          <w:tcPr>
            <w:tcW w:w="458" w:type="pct"/>
            <w:shd w:val="clear" w:color="auto" w:fill="auto"/>
            <w:vAlign w:val="center"/>
            <w:hideMark/>
          </w:tcPr>
          <w:p w:rsidR="00F70503" w:rsidRPr="00F70503" w:rsidRDefault="00F70503" w:rsidP="00F70503">
            <w:pPr>
              <w:pStyle w:val="142"/>
              <w:jc w:val="right"/>
              <w:rPr>
                <w:rFonts w:hint="eastAsia"/>
                <w:spacing w:val="-16"/>
              </w:rPr>
            </w:pPr>
            <w:r w:rsidRPr="00F70503">
              <w:rPr>
                <w:rFonts w:hint="eastAsia"/>
                <w:spacing w:val="-16"/>
              </w:rPr>
              <w:t>285.4</w:t>
            </w:r>
          </w:p>
        </w:tc>
        <w:tc>
          <w:tcPr>
            <w:tcW w:w="458" w:type="pct"/>
            <w:shd w:val="clear" w:color="auto" w:fill="auto"/>
            <w:vAlign w:val="center"/>
            <w:hideMark/>
          </w:tcPr>
          <w:p w:rsidR="00F70503" w:rsidRPr="00F70503" w:rsidRDefault="00F70503" w:rsidP="00F70503">
            <w:pPr>
              <w:pStyle w:val="142"/>
              <w:jc w:val="right"/>
              <w:rPr>
                <w:rFonts w:hint="eastAsia"/>
                <w:spacing w:val="-16"/>
              </w:rPr>
            </w:pPr>
            <w:r w:rsidRPr="00F70503">
              <w:rPr>
                <w:rFonts w:hint="eastAsia"/>
                <w:spacing w:val="-16"/>
              </w:rPr>
              <w:t>296.3</w:t>
            </w:r>
          </w:p>
        </w:tc>
        <w:tc>
          <w:tcPr>
            <w:tcW w:w="398" w:type="pct"/>
            <w:shd w:val="clear" w:color="auto" w:fill="auto"/>
            <w:noWrap/>
            <w:vAlign w:val="center"/>
            <w:hideMark/>
          </w:tcPr>
          <w:p w:rsidR="00F70503" w:rsidRPr="00F70503" w:rsidRDefault="00F70503" w:rsidP="00F70503">
            <w:pPr>
              <w:pStyle w:val="142"/>
              <w:jc w:val="right"/>
              <w:rPr>
                <w:rFonts w:hint="eastAsia"/>
                <w:spacing w:val="-16"/>
              </w:rPr>
            </w:pPr>
            <w:r w:rsidRPr="00F70503">
              <w:rPr>
                <w:rFonts w:hint="eastAsia"/>
                <w:spacing w:val="-16"/>
              </w:rPr>
              <w:t>8.40</w:t>
            </w:r>
          </w:p>
        </w:tc>
      </w:tr>
      <w:tr w:rsidR="00EF5281" w:rsidRPr="00EF5281" w:rsidTr="00E67E36">
        <w:trPr>
          <w:trHeight w:val="340"/>
        </w:trPr>
        <w:tc>
          <w:tcPr>
            <w:tcW w:w="477" w:type="pct"/>
            <w:shd w:val="clear" w:color="auto" w:fill="auto"/>
            <w:vAlign w:val="center"/>
            <w:hideMark/>
          </w:tcPr>
          <w:p w:rsidR="00EF5281" w:rsidRPr="00F70503" w:rsidRDefault="00EF5281" w:rsidP="00EF5281">
            <w:pPr>
              <w:pStyle w:val="142"/>
              <w:rPr>
                <w:rFonts w:hint="eastAsia"/>
                <w:spacing w:val="-16"/>
              </w:rPr>
            </w:pPr>
            <w:r w:rsidRPr="00F70503">
              <w:rPr>
                <w:rFonts w:hint="eastAsia"/>
                <w:spacing w:val="-16"/>
              </w:rPr>
              <w:t>其他</w:t>
            </w:r>
          </w:p>
        </w:tc>
        <w:tc>
          <w:tcPr>
            <w:tcW w:w="461" w:type="pct"/>
            <w:shd w:val="clear" w:color="auto" w:fill="auto"/>
          </w:tcPr>
          <w:p w:rsidR="00EF5281" w:rsidRPr="00EF5281" w:rsidRDefault="00EF5281" w:rsidP="00EF5281">
            <w:pPr>
              <w:pStyle w:val="142"/>
              <w:jc w:val="right"/>
              <w:rPr>
                <w:spacing w:val="-16"/>
              </w:rPr>
            </w:pPr>
            <w:r w:rsidRPr="00EF5281">
              <w:rPr>
                <w:spacing w:val="-16"/>
              </w:rPr>
              <w:t>3,118.2</w:t>
            </w:r>
          </w:p>
        </w:tc>
        <w:tc>
          <w:tcPr>
            <w:tcW w:w="458" w:type="pct"/>
            <w:shd w:val="clear" w:color="auto" w:fill="auto"/>
          </w:tcPr>
          <w:p w:rsidR="00EF5281" w:rsidRPr="00EF5281" w:rsidRDefault="00EF5281" w:rsidP="00EF5281">
            <w:pPr>
              <w:pStyle w:val="142"/>
              <w:jc w:val="right"/>
              <w:rPr>
                <w:spacing w:val="-16"/>
              </w:rPr>
            </w:pPr>
            <w:r w:rsidRPr="00EF5281">
              <w:rPr>
                <w:spacing w:val="-16"/>
              </w:rPr>
              <w:t>3,114.0</w:t>
            </w:r>
          </w:p>
        </w:tc>
        <w:tc>
          <w:tcPr>
            <w:tcW w:w="458" w:type="pct"/>
            <w:shd w:val="clear" w:color="auto" w:fill="auto"/>
          </w:tcPr>
          <w:p w:rsidR="00EF5281" w:rsidRPr="00EF5281" w:rsidRDefault="00EF5281" w:rsidP="00EF5281">
            <w:pPr>
              <w:pStyle w:val="142"/>
              <w:jc w:val="right"/>
              <w:rPr>
                <w:spacing w:val="-16"/>
              </w:rPr>
            </w:pPr>
            <w:r w:rsidRPr="00EF5281">
              <w:rPr>
                <w:spacing w:val="-16"/>
              </w:rPr>
              <w:t>3,115.7</w:t>
            </w:r>
          </w:p>
        </w:tc>
        <w:tc>
          <w:tcPr>
            <w:tcW w:w="458" w:type="pct"/>
            <w:shd w:val="clear" w:color="auto" w:fill="auto"/>
          </w:tcPr>
          <w:p w:rsidR="00EF5281" w:rsidRPr="00EF5281" w:rsidRDefault="00EF5281" w:rsidP="00EF5281">
            <w:pPr>
              <w:pStyle w:val="142"/>
              <w:jc w:val="right"/>
              <w:rPr>
                <w:spacing w:val="-16"/>
              </w:rPr>
            </w:pPr>
            <w:r w:rsidRPr="00EF5281">
              <w:rPr>
                <w:spacing w:val="-16"/>
              </w:rPr>
              <w:t>3,167.4</w:t>
            </w:r>
          </w:p>
        </w:tc>
        <w:tc>
          <w:tcPr>
            <w:tcW w:w="458" w:type="pct"/>
            <w:shd w:val="clear" w:color="auto" w:fill="auto"/>
          </w:tcPr>
          <w:p w:rsidR="00EF5281" w:rsidRPr="00EF5281" w:rsidRDefault="00EF5281" w:rsidP="00EF5281">
            <w:pPr>
              <w:pStyle w:val="142"/>
              <w:jc w:val="right"/>
              <w:rPr>
                <w:spacing w:val="-16"/>
              </w:rPr>
            </w:pPr>
            <w:r w:rsidRPr="00EF5281">
              <w:rPr>
                <w:spacing w:val="-16"/>
              </w:rPr>
              <w:t>3,177.0</w:t>
            </w:r>
          </w:p>
        </w:tc>
        <w:tc>
          <w:tcPr>
            <w:tcW w:w="458" w:type="pct"/>
            <w:shd w:val="clear" w:color="auto" w:fill="auto"/>
          </w:tcPr>
          <w:p w:rsidR="00EF5281" w:rsidRPr="00EF5281" w:rsidRDefault="00EF5281" w:rsidP="00EF5281">
            <w:pPr>
              <w:pStyle w:val="142"/>
              <w:jc w:val="right"/>
              <w:rPr>
                <w:spacing w:val="-16"/>
              </w:rPr>
            </w:pPr>
            <w:r w:rsidRPr="00EF5281">
              <w:rPr>
                <w:spacing w:val="-16"/>
              </w:rPr>
              <w:t>3,228.6</w:t>
            </w:r>
          </w:p>
        </w:tc>
        <w:tc>
          <w:tcPr>
            <w:tcW w:w="458" w:type="pct"/>
            <w:shd w:val="clear" w:color="auto" w:fill="auto"/>
          </w:tcPr>
          <w:p w:rsidR="00EF5281" w:rsidRPr="00EF5281" w:rsidRDefault="00EF5281" w:rsidP="00EF5281">
            <w:pPr>
              <w:pStyle w:val="142"/>
              <w:jc w:val="right"/>
              <w:rPr>
                <w:spacing w:val="-16"/>
              </w:rPr>
            </w:pPr>
            <w:r w:rsidRPr="00EF5281">
              <w:rPr>
                <w:spacing w:val="-16"/>
              </w:rPr>
              <w:t>3,272.5</w:t>
            </w:r>
          </w:p>
        </w:tc>
        <w:tc>
          <w:tcPr>
            <w:tcW w:w="458" w:type="pct"/>
            <w:shd w:val="clear" w:color="auto" w:fill="auto"/>
          </w:tcPr>
          <w:p w:rsidR="00EF5281" w:rsidRPr="00EF5281" w:rsidRDefault="00EF5281" w:rsidP="00EF5281">
            <w:pPr>
              <w:pStyle w:val="142"/>
              <w:jc w:val="right"/>
              <w:rPr>
                <w:spacing w:val="-16"/>
              </w:rPr>
            </w:pPr>
            <w:r w:rsidRPr="00EF5281">
              <w:rPr>
                <w:spacing w:val="-16"/>
              </w:rPr>
              <w:t>3,357.4</w:t>
            </w:r>
          </w:p>
        </w:tc>
        <w:tc>
          <w:tcPr>
            <w:tcW w:w="458" w:type="pct"/>
            <w:shd w:val="clear" w:color="auto" w:fill="auto"/>
          </w:tcPr>
          <w:p w:rsidR="00EF5281" w:rsidRPr="00EF5281" w:rsidRDefault="00EF5281" w:rsidP="00EF5281">
            <w:pPr>
              <w:pStyle w:val="142"/>
              <w:jc w:val="right"/>
              <w:rPr>
                <w:spacing w:val="-16"/>
              </w:rPr>
            </w:pPr>
            <w:r w:rsidRPr="00EF5281">
              <w:rPr>
                <w:spacing w:val="-16"/>
              </w:rPr>
              <w:t>3,413.5</w:t>
            </w:r>
          </w:p>
        </w:tc>
        <w:tc>
          <w:tcPr>
            <w:tcW w:w="398" w:type="pct"/>
            <w:shd w:val="clear" w:color="auto" w:fill="auto"/>
            <w:noWrap/>
          </w:tcPr>
          <w:p w:rsidR="00EF5281" w:rsidRPr="00EF5281" w:rsidRDefault="00EF5281" w:rsidP="00EF5281">
            <w:pPr>
              <w:pStyle w:val="142"/>
              <w:jc w:val="right"/>
              <w:rPr>
                <w:spacing w:val="-16"/>
              </w:rPr>
            </w:pPr>
            <w:r w:rsidRPr="00EF5281">
              <w:rPr>
                <w:spacing w:val="-16"/>
              </w:rPr>
              <w:t>295.30</w:t>
            </w:r>
          </w:p>
        </w:tc>
      </w:tr>
      <w:tr w:rsidR="00F70503" w:rsidRPr="0055660F" w:rsidTr="00EF5281">
        <w:trPr>
          <w:trHeight w:val="340"/>
        </w:trPr>
        <w:tc>
          <w:tcPr>
            <w:tcW w:w="477" w:type="pct"/>
            <w:shd w:val="clear" w:color="auto" w:fill="auto"/>
            <w:vAlign w:val="center"/>
            <w:hideMark/>
          </w:tcPr>
          <w:p w:rsidR="00F70503" w:rsidRPr="00F70503" w:rsidRDefault="00F70503" w:rsidP="00F70503">
            <w:pPr>
              <w:pStyle w:val="142"/>
              <w:rPr>
                <w:rFonts w:hint="eastAsia"/>
                <w:spacing w:val="-16"/>
              </w:rPr>
            </w:pPr>
            <w:r w:rsidRPr="00F70503">
              <w:rPr>
                <w:rFonts w:hint="eastAsia"/>
                <w:spacing w:val="-16"/>
              </w:rPr>
              <w:t>合計</w:t>
            </w:r>
          </w:p>
        </w:tc>
        <w:tc>
          <w:tcPr>
            <w:tcW w:w="461" w:type="pct"/>
            <w:shd w:val="clear" w:color="auto" w:fill="auto"/>
            <w:vAlign w:val="center"/>
            <w:hideMark/>
          </w:tcPr>
          <w:p w:rsidR="00F70503" w:rsidRPr="00F70503" w:rsidRDefault="00F70503" w:rsidP="00F70503">
            <w:pPr>
              <w:pStyle w:val="142"/>
              <w:jc w:val="right"/>
              <w:rPr>
                <w:rFonts w:hint="eastAsia"/>
                <w:spacing w:val="-16"/>
              </w:rPr>
            </w:pPr>
            <w:r w:rsidRPr="00F70503">
              <w:rPr>
                <w:rFonts w:hint="eastAsia"/>
                <w:spacing w:val="-16"/>
              </w:rPr>
              <w:t>7,944.4</w:t>
            </w:r>
          </w:p>
        </w:tc>
        <w:tc>
          <w:tcPr>
            <w:tcW w:w="458" w:type="pct"/>
            <w:shd w:val="clear" w:color="auto" w:fill="auto"/>
            <w:vAlign w:val="center"/>
            <w:hideMark/>
          </w:tcPr>
          <w:p w:rsidR="00F70503" w:rsidRPr="00F70503" w:rsidRDefault="00F70503" w:rsidP="00F70503">
            <w:pPr>
              <w:pStyle w:val="142"/>
              <w:jc w:val="right"/>
              <w:rPr>
                <w:rFonts w:hint="eastAsia"/>
                <w:spacing w:val="-16"/>
              </w:rPr>
            </w:pPr>
            <w:r w:rsidRPr="00F70503">
              <w:rPr>
                <w:rFonts w:hint="eastAsia"/>
                <w:spacing w:val="-16"/>
              </w:rPr>
              <w:t>7,952.1</w:t>
            </w:r>
          </w:p>
        </w:tc>
        <w:tc>
          <w:tcPr>
            <w:tcW w:w="458" w:type="pct"/>
            <w:shd w:val="clear" w:color="auto" w:fill="auto"/>
            <w:vAlign w:val="center"/>
            <w:hideMark/>
          </w:tcPr>
          <w:p w:rsidR="00F70503" w:rsidRPr="00F70503" w:rsidRDefault="00F70503" w:rsidP="00F70503">
            <w:pPr>
              <w:pStyle w:val="142"/>
              <w:jc w:val="right"/>
              <w:rPr>
                <w:rFonts w:hint="eastAsia"/>
                <w:spacing w:val="-16"/>
              </w:rPr>
            </w:pPr>
            <w:r w:rsidRPr="00F70503">
              <w:rPr>
                <w:rFonts w:hint="eastAsia"/>
                <w:spacing w:val="-16"/>
              </w:rPr>
              <w:t>7,993.2</w:t>
            </w:r>
          </w:p>
        </w:tc>
        <w:tc>
          <w:tcPr>
            <w:tcW w:w="458" w:type="pct"/>
            <w:shd w:val="clear" w:color="auto" w:fill="auto"/>
            <w:vAlign w:val="center"/>
            <w:hideMark/>
          </w:tcPr>
          <w:p w:rsidR="00F70503" w:rsidRPr="00F70503" w:rsidRDefault="00F70503" w:rsidP="00F70503">
            <w:pPr>
              <w:pStyle w:val="142"/>
              <w:jc w:val="right"/>
              <w:rPr>
                <w:rFonts w:hint="eastAsia"/>
                <w:spacing w:val="-16"/>
              </w:rPr>
            </w:pPr>
            <w:r w:rsidRPr="00F70503">
              <w:rPr>
                <w:rFonts w:hint="eastAsia"/>
                <w:spacing w:val="-16"/>
              </w:rPr>
              <w:t>8,114.9</w:t>
            </w:r>
          </w:p>
        </w:tc>
        <w:tc>
          <w:tcPr>
            <w:tcW w:w="458" w:type="pct"/>
            <w:shd w:val="clear" w:color="auto" w:fill="auto"/>
            <w:vAlign w:val="center"/>
            <w:hideMark/>
          </w:tcPr>
          <w:p w:rsidR="00F70503" w:rsidRPr="00F70503" w:rsidRDefault="00F70503" w:rsidP="00F70503">
            <w:pPr>
              <w:pStyle w:val="142"/>
              <w:jc w:val="right"/>
              <w:rPr>
                <w:rFonts w:hint="eastAsia"/>
                <w:spacing w:val="-16"/>
              </w:rPr>
            </w:pPr>
            <w:r w:rsidRPr="00F70503">
              <w:rPr>
                <w:rFonts w:hint="eastAsia"/>
                <w:spacing w:val="-16"/>
              </w:rPr>
              <w:t>8,043.9</w:t>
            </w:r>
          </w:p>
        </w:tc>
        <w:tc>
          <w:tcPr>
            <w:tcW w:w="458" w:type="pct"/>
            <w:shd w:val="clear" w:color="auto" w:fill="auto"/>
            <w:vAlign w:val="center"/>
            <w:hideMark/>
          </w:tcPr>
          <w:p w:rsidR="00F70503" w:rsidRPr="00F70503" w:rsidRDefault="00F70503" w:rsidP="00F70503">
            <w:pPr>
              <w:pStyle w:val="142"/>
              <w:jc w:val="right"/>
              <w:rPr>
                <w:rFonts w:hint="eastAsia"/>
                <w:spacing w:val="-16"/>
              </w:rPr>
            </w:pPr>
            <w:r w:rsidRPr="00F70503">
              <w:rPr>
                <w:rFonts w:hint="eastAsia"/>
                <w:spacing w:val="-16"/>
              </w:rPr>
              <w:t>8,131.9</w:t>
            </w:r>
          </w:p>
        </w:tc>
        <w:tc>
          <w:tcPr>
            <w:tcW w:w="458" w:type="pct"/>
            <w:shd w:val="clear" w:color="auto" w:fill="auto"/>
            <w:vAlign w:val="center"/>
            <w:hideMark/>
          </w:tcPr>
          <w:p w:rsidR="00F70503" w:rsidRPr="00F70503" w:rsidRDefault="00F70503" w:rsidP="00F70503">
            <w:pPr>
              <w:pStyle w:val="142"/>
              <w:jc w:val="right"/>
              <w:rPr>
                <w:rFonts w:hint="eastAsia"/>
                <w:spacing w:val="-16"/>
              </w:rPr>
            </w:pPr>
            <w:r w:rsidRPr="00F70503">
              <w:rPr>
                <w:rFonts w:hint="eastAsia"/>
                <w:spacing w:val="-16"/>
              </w:rPr>
              <w:t>8,210.6</w:t>
            </w:r>
          </w:p>
        </w:tc>
        <w:tc>
          <w:tcPr>
            <w:tcW w:w="458" w:type="pct"/>
            <w:shd w:val="clear" w:color="auto" w:fill="auto"/>
            <w:vAlign w:val="center"/>
            <w:hideMark/>
          </w:tcPr>
          <w:p w:rsidR="00F70503" w:rsidRPr="00F70503" w:rsidRDefault="00F70503" w:rsidP="00F70503">
            <w:pPr>
              <w:pStyle w:val="142"/>
              <w:jc w:val="right"/>
              <w:rPr>
                <w:rFonts w:hint="eastAsia"/>
                <w:spacing w:val="-16"/>
              </w:rPr>
            </w:pPr>
            <w:r w:rsidRPr="00F70503">
              <w:rPr>
                <w:rFonts w:hint="eastAsia"/>
                <w:spacing w:val="-16"/>
              </w:rPr>
              <w:t>8,338.5</w:t>
            </w:r>
          </w:p>
        </w:tc>
        <w:tc>
          <w:tcPr>
            <w:tcW w:w="458" w:type="pct"/>
            <w:shd w:val="clear" w:color="auto" w:fill="auto"/>
            <w:vAlign w:val="center"/>
            <w:hideMark/>
          </w:tcPr>
          <w:p w:rsidR="00F70503" w:rsidRPr="00F70503" w:rsidRDefault="00F70503" w:rsidP="00F70503">
            <w:pPr>
              <w:pStyle w:val="142"/>
              <w:jc w:val="right"/>
              <w:rPr>
                <w:rFonts w:hint="eastAsia"/>
                <w:spacing w:val="-16"/>
              </w:rPr>
            </w:pPr>
            <w:r w:rsidRPr="00F70503">
              <w:rPr>
                <w:rFonts w:hint="eastAsia"/>
                <w:spacing w:val="-16"/>
              </w:rPr>
              <w:t>8,503.4</w:t>
            </w:r>
          </w:p>
        </w:tc>
        <w:tc>
          <w:tcPr>
            <w:tcW w:w="398" w:type="pct"/>
            <w:shd w:val="clear" w:color="auto" w:fill="auto"/>
            <w:noWrap/>
            <w:vAlign w:val="center"/>
            <w:hideMark/>
          </w:tcPr>
          <w:p w:rsidR="00F70503" w:rsidRPr="00F70503" w:rsidRDefault="00F70503" w:rsidP="00F70503">
            <w:pPr>
              <w:pStyle w:val="142"/>
              <w:jc w:val="right"/>
              <w:rPr>
                <w:rFonts w:hint="eastAsia"/>
                <w:spacing w:val="-16"/>
              </w:rPr>
            </w:pPr>
            <w:r w:rsidRPr="00F70503">
              <w:rPr>
                <w:rFonts w:hint="eastAsia"/>
                <w:spacing w:val="-16"/>
              </w:rPr>
              <w:t>559.00</w:t>
            </w:r>
          </w:p>
        </w:tc>
      </w:tr>
    </w:tbl>
    <w:p w:rsidR="00987AE7" w:rsidRPr="00987AE7" w:rsidRDefault="00987AE7" w:rsidP="00B37DFA">
      <w:pPr>
        <w:pStyle w:val="142"/>
      </w:pPr>
      <w:r w:rsidRPr="00987AE7">
        <w:rPr>
          <w:rFonts w:hint="eastAsia"/>
        </w:rPr>
        <w:t xml:space="preserve">說 </w:t>
      </w:r>
      <w:r w:rsidRPr="00987AE7">
        <w:t xml:space="preserve">   明</w:t>
      </w:r>
      <w:r w:rsidRPr="00987AE7">
        <w:rPr>
          <w:rFonts w:hint="eastAsia"/>
        </w:rPr>
        <w:t>：表中數據為月底值。</w:t>
      </w:r>
    </w:p>
    <w:p w:rsidR="004771D4" w:rsidRPr="00507BD2" w:rsidRDefault="004771D4" w:rsidP="00B37DFA">
      <w:pPr>
        <w:pStyle w:val="142"/>
        <w:rPr>
          <w:rFonts w:hint="eastAsia"/>
        </w:rPr>
      </w:pPr>
      <w:r>
        <w:rPr>
          <w:rFonts w:hint="eastAsia"/>
        </w:rPr>
        <w:t>資料來源：美國財政部</w:t>
      </w:r>
      <w:r w:rsidRPr="004771D4">
        <w:rPr>
          <w:rFonts w:hint="eastAsia"/>
        </w:rPr>
        <w:t>國際資本流動報告</w:t>
      </w:r>
      <w:r>
        <w:rPr>
          <w:rFonts w:hint="eastAsia"/>
        </w:rPr>
        <w:t>(</w:t>
      </w:r>
      <w:r w:rsidRPr="004771D4">
        <w:rPr>
          <w:rFonts w:hint="eastAsia"/>
        </w:rPr>
        <w:t>TIC</w:t>
      </w:r>
      <w:r>
        <w:rPr>
          <w:rFonts w:hint="eastAsia"/>
        </w:rPr>
        <w:t>)。</w:t>
      </w:r>
    </w:p>
    <w:p w:rsidR="00272F49" w:rsidRPr="00EF5281" w:rsidRDefault="00272F49" w:rsidP="00272F49">
      <w:pPr>
        <w:pStyle w:val="a4"/>
        <w:rPr>
          <w:b/>
        </w:rPr>
      </w:pPr>
      <w:r w:rsidRPr="00EF5281">
        <w:rPr>
          <w:rFonts w:hint="eastAsia"/>
          <w:b/>
        </w:rPr>
        <w:t>(三</w:t>
      </w:r>
      <w:r w:rsidRPr="00EF5281">
        <w:rPr>
          <w:b/>
        </w:rPr>
        <w:t>)</w:t>
      </w:r>
      <w:r w:rsidRPr="00EF5281">
        <w:rPr>
          <w:rFonts w:hint="eastAsia"/>
          <w:b/>
        </w:rPr>
        <w:t>美國貨幣政策調整</w:t>
      </w:r>
      <w:r w:rsidR="00E92B76">
        <w:rPr>
          <w:rFonts w:hint="eastAsia"/>
          <w:b/>
        </w:rPr>
        <w:t>幅度仍待觀察</w:t>
      </w:r>
      <w:r w:rsidRPr="00EF5281">
        <w:rPr>
          <w:rFonts w:hint="eastAsia"/>
          <w:b/>
        </w:rPr>
        <w:t>，允宜綜據前項因素適時調節，俾維護對外幣值穩定，並協助經濟發展</w:t>
      </w:r>
    </w:p>
    <w:p w:rsidR="00DC3051" w:rsidRPr="00507BD2" w:rsidRDefault="00DC3051" w:rsidP="009656E1">
      <w:pPr>
        <w:pStyle w:val="21"/>
        <w:ind w:left="850" w:firstLine="566"/>
        <w:rPr>
          <w:rFonts w:hint="eastAsia"/>
        </w:rPr>
      </w:pPr>
      <w:r>
        <w:rPr>
          <w:rFonts w:hAnsi="標楷體" w:hint="eastAsia"/>
        </w:rPr>
        <w:t>臺灣</w:t>
      </w:r>
      <w:r w:rsidRPr="00A611B3">
        <w:rPr>
          <w:rFonts w:hAnsi="標楷體" w:hint="eastAsia"/>
        </w:rPr>
        <w:t>為小型開放經濟體，貿易依存度高，資本移動十分頻繁；若匯率過度波動，將不利國內經濟與金融穩定，</w:t>
      </w:r>
      <w:r>
        <w:rPr>
          <w:rFonts w:hAnsi="標楷體" w:hint="eastAsia"/>
        </w:rPr>
        <w:t>又臺灣非</w:t>
      </w:r>
      <w:r w:rsidRPr="00A611B3">
        <w:rPr>
          <w:rFonts w:hAnsi="標楷體" w:hint="eastAsia"/>
        </w:rPr>
        <w:t>國際貨幣基金(IMF)會員國，</w:t>
      </w:r>
      <w:r w:rsidR="00EF5281">
        <w:rPr>
          <w:rFonts w:hAnsi="標楷體" w:hint="eastAsia"/>
        </w:rPr>
        <w:t>發生金融危機時</w:t>
      </w:r>
      <w:r w:rsidRPr="00A611B3">
        <w:rPr>
          <w:rFonts w:hAnsi="標楷體" w:hint="eastAsia"/>
        </w:rPr>
        <w:t>無法獲得奧援，</w:t>
      </w:r>
      <w:r>
        <w:rPr>
          <w:rFonts w:hAnsi="標楷體" w:hint="eastAsia"/>
        </w:rPr>
        <w:t>央行維持新臺幣匯率穩定</w:t>
      </w:r>
      <w:r w:rsidR="00F1404D">
        <w:rPr>
          <w:rFonts w:hAnsi="標楷體" w:hint="eastAsia"/>
        </w:rPr>
        <w:t>益</w:t>
      </w:r>
      <w:r>
        <w:rPr>
          <w:rFonts w:hAnsi="標楷體" w:hint="eastAsia"/>
        </w:rPr>
        <w:t>顯重要</w:t>
      </w:r>
      <w:r w:rsidR="00EF5281">
        <w:rPr>
          <w:rFonts w:hAnsi="標楷體" w:hint="eastAsia"/>
        </w:rPr>
        <w:t>。</w:t>
      </w:r>
      <w:r w:rsidR="00914BC1">
        <w:rPr>
          <w:rFonts w:hAnsi="標楷體" w:hint="eastAsia"/>
        </w:rPr>
        <w:t>然</w:t>
      </w:r>
      <w:r w:rsidR="00AD7BB6">
        <w:rPr>
          <w:rFonts w:hAnsi="標楷體" w:hint="eastAsia"/>
        </w:rPr>
        <w:t>美國</w:t>
      </w:r>
      <w:r w:rsidR="00DE220B" w:rsidRPr="00504068">
        <w:rPr>
          <w:rFonts w:hAnsi="標楷體" w:hint="eastAsia"/>
        </w:rPr>
        <w:t>降息</w:t>
      </w:r>
      <w:r w:rsidR="00DE220B">
        <w:rPr>
          <w:rFonts w:hAnsi="標楷體" w:hint="eastAsia"/>
        </w:rPr>
        <w:t>增加貨幣供</w:t>
      </w:r>
      <w:r w:rsidR="00B07B17">
        <w:rPr>
          <w:rFonts w:hAnsi="標楷體" w:hint="eastAsia"/>
        </w:rPr>
        <w:t>給</w:t>
      </w:r>
      <w:r w:rsidR="00DE220B">
        <w:rPr>
          <w:rFonts w:hAnsi="標楷體" w:hint="eastAsia"/>
        </w:rPr>
        <w:t>量</w:t>
      </w:r>
      <w:r w:rsidR="003D5F44">
        <w:rPr>
          <w:rFonts w:hAnsi="標楷體" w:hint="eastAsia"/>
        </w:rPr>
        <w:t>影響</w:t>
      </w:r>
      <w:r w:rsidR="00DE220B">
        <w:rPr>
          <w:rFonts w:hAnsi="標楷體" w:hint="eastAsia"/>
        </w:rPr>
        <w:t>美元</w:t>
      </w:r>
      <w:r w:rsidR="00E823AB">
        <w:rPr>
          <w:rFonts w:hAnsi="標楷體" w:hint="eastAsia"/>
        </w:rPr>
        <w:t>走</w:t>
      </w:r>
      <w:r w:rsidR="003D5F44">
        <w:rPr>
          <w:rFonts w:hAnsi="標楷體" w:hint="eastAsia"/>
        </w:rPr>
        <w:t>勢</w:t>
      </w:r>
      <w:r w:rsidR="00DE220B">
        <w:rPr>
          <w:rFonts w:hAnsi="標楷體" w:hint="eastAsia"/>
        </w:rPr>
        <w:t>，</w:t>
      </w:r>
      <w:r w:rsidR="000373DB">
        <w:rPr>
          <w:rFonts w:hAnsi="標楷體" w:hint="eastAsia"/>
        </w:rPr>
        <w:t>聯準會</w:t>
      </w:r>
      <w:r w:rsidR="00767726">
        <w:rPr>
          <w:rFonts w:hAnsi="標楷體" w:hint="eastAsia"/>
        </w:rPr>
        <w:t>於2024年9月18日調降利率2碼</w:t>
      </w:r>
      <w:r w:rsidR="009D75D5">
        <w:rPr>
          <w:rFonts w:hAnsi="標楷體" w:hint="eastAsia"/>
        </w:rPr>
        <w:t>至4.75%~5</w:t>
      </w:r>
      <w:r w:rsidR="009D75D5">
        <w:rPr>
          <w:rFonts w:hAnsi="標楷體"/>
        </w:rPr>
        <w:t>%</w:t>
      </w:r>
      <w:r w:rsidR="00767726">
        <w:rPr>
          <w:rFonts w:hAnsi="標楷體" w:hint="eastAsia"/>
        </w:rPr>
        <w:t>，市場預期進入降息循環，</w:t>
      </w:r>
      <w:r w:rsidR="00395189">
        <w:rPr>
          <w:rFonts w:hAnsi="標楷體" w:hint="eastAsia"/>
        </w:rPr>
        <w:t>惟</w:t>
      </w:r>
      <w:r w:rsidR="000373DB">
        <w:rPr>
          <w:rFonts w:hAnsi="標楷體" w:hint="eastAsia"/>
        </w:rPr>
        <w:t>降息時點及速度取決於未來數據、經濟前景及風險，</w:t>
      </w:r>
      <w:r w:rsidR="007D6CFC">
        <w:rPr>
          <w:rFonts w:hAnsi="標楷體" w:hint="eastAsia"/>
        </w:rPr>
        <w:t>為避免對我國造成</w:t>
      </w:r>
      <w:r w:rsidR="00DE220B">
        <w:rPr>
          <w:rFonts w:hAnsi="標楷體" w:hint="eastAsia"/>
        </w:rPr>
        <w:t>重大</w:t>
      </w:r>
      <w:r w:rsidR="007D6CFC">
        <w:rPr>
          <w:rFonts w:hAnsi="標楷體" w:hint="eastAsia"/>
        </w:rPr>
        <w:t>影響，</w:t>
      </w:r>
      <w:r w:rsidR="00733E0F">
        <w:rPr>
          <w:rFonts w:hAnsi="標楷體" w:hint="eastAsia"/>
        </w:rPr>
        <w:t>爰央行允宜綜據前項因素適時調節，俾維護</w:t>
      </w:r>
      <w:r w:rsidR="00733E0F" w:rsidRPr="00733E0F">
        <w:rPr>
          <w:rFonts w:hAnsi="標楷體" w:hint="eastAsia"/>
        </w:rPr>
        <w:t>對外幣值穩定，並協助經濟發展</w:t>
      </w:r>
      <w:r w:rsidR="00733E0F">
        <w:rPr>
          <w:rFonts w:hAnsi="標楷體" w:hint="eastAsia"/>
        </w:rPr>
        <w:t>。</w:t>
      </w:r>
    </w:p>
    <w:p w:rsidR="00A539CE" w:rsidRPr="00507BD2" w:rsidRDefault="00A539CE" w:rsidP="00A539CE">
      <w:pPr>
        <w:ind w:left="566" w:firstLine="566"/>
        <w:rPr>
          <w:rFonts w:hAnsi="標楷體" w:hint="eastAsia"/>
        </w:rPr>
      </w:pPr>
      <w:r w:rsidRPr="00507BD2">
        <w:rPr>
          <w:rFonts w:hAnsi="標楷體" w:hint="eastAsia"/>
        </w:rPr>
        <w:t>綜上，</w:t>
      </w:r>
      <w:r w:rsidR="00AF1D9E">
        <w:rPr>
          <w:rFonts w:hAnsi="標楷體" w:hint="eastAsia"/>
        </w:rPr>
        <w:t>央行</w:t>
      </w:r>
      <w:r w:rsidR="001D76C0">
        <w:rPr>
          <w:rFonts w:hAnsi="標楷體" w:hint="eastAsia"/>
        </w:rPr>
        <w:t>外幣資產</w:t>
      </w:r>
      <w:r w:rsidR="001D76C0" w:rsidRPr="001D76C0">
        <w:rPr>
          <w:rFonts w:hAnsi="標楷體" w:hint="eastAsia"/>
        </w:rPr>
        <w:t>包括含美國公債在內之先進國家債券，其數額及價格波動</w:t>
      </w:r>
      <w:r w:rsidR="00271392">
        <w:rPr>
          <w:rFonts w:hAnsi="標楷體" w:hint="eastAsia"/>
        </w:rPr>
        <w:t>代表</w:t>
      </w:r>
      <w:r w:rsidR="001D76C0" w:rsidRPr="001D76C0">
        <w:rPr>
          <w:rFonts w:hAnsi="標楷體" w:hint="eastAsia"/>
        </w:rPr>
        <w:t>變現價值，攸關</w:t>
      </w:r>
      <w:r w:rsidR="00007489" w:rsidRPr="00007489">
        <w:rPr>
          <w:rFonts w:hAnsi="標楷體" w:hint="eastAsia"/>
        </w:rPr>
        <w:t>匯率調節及緊急危機</w:t>
      </w:r>
      <w:r w:rsidR="00271392">
        <w:rPr>
          <w:rFonts w:hAnsi="標楷體" w:hint="eastAsia"/>
        </w:rPr>
        <w:t>應變</w:t>
      </w:r>
      <w:r w:rsidR="00007489" w:rsidRPr="00007489">
        <w:rPr>
          <w:rFonts w:hAnsi="標楷體" w:hint="eastAsia"/>
        </w:rPr>
        <w:t>能力</w:t>
      </w:r>
      <w:r w:rsidR="00A90610">
        <w:rPr>
          <w:rFonts w:hAnsi="標楷體" w:hint="eastAsia"/>
        </w:rPr>
        <w:t>。由於</w:t>
      </w:r>
      <w:r w:rsidR="001D76C0" w:rsidRPr="001D76C0">
        <w:rPr>
          <w:rFonts w:hAnsi="標楷體" w:hint="eastAsia"/>
        </w:rPr>
        <w:t>日本與中國大陸2024年以來持續減持美國公債</w:t>
      </w:r>
      <w:r w:rsidR="001D76C0">
        <w:rPr>
          <w:rFonts w:hAnsi="標楷體" w:hint="eastAsia"/>
        </w:rPr>
        <w:t>，</w:t>
      </w:r>
      <w:r w:rsidR="00A90610">
        <w:rPr>
          <w:rFonts w:hAnsi="標楷體" w:hint="eastAsia"/>
        </w:rPr>
        <w:t>且</w:t>
      </w:r>
      <w:r w:rsidR="001D76C0" w:rsidRPr="001D76C0">
        <w:rPr>
          <w:rFonts w:hAnsi="標楷體" w:hint="eastAsia"/>
        </w:rPr>
        <w:t>為前2大主要持有國，</w:t>
      </w:r>
      <w:r w:rsidR="00DE220B" w:rsidRPr="001D76C0">
        <w:rPr>
          <w:rFonts w:hAnsi="標楷體" w:hint="eastAsia"/>
        </w:rPr>
        <w:t>仍</w:t>
      </w:r>
      <w:r w:rsidR="00DE220B">
        <w:rPr>
          <w:rFonts w:hAnsi="標楷體" w:hint="eastAsia"/>
        </w:rPr>
        <w:t>具相當</w:t>
      </w:r>
      <w:r w:rsidR="001D76C0">
        <w:rPr>
          <w:rFonts w:hAnsi="標楷體" w:hint="eastAsia"/>
        </w:rPr>
        <w:t>影響力</w:t>
      </w:r>
      <w:r w:rsidR="00A90610">
        <w:rPr>
          <w:rFonts w:hAnsi="標楷體" w:hint="eastAsia"/>
        </w:rPr>
        <w:t>；</w:t>
      </w:r>
      <w:r w:rsidR="00EA6553">
        <w:rPr>
          <w:rFonts w:hAnsi="標楷體" w:hint="eastAsia"/>
        </w:rPr>
        <w:t>又美國貨幣政策影響</w:t>
      </w:r>
      <w:r w:rsidR="00F07369">
        <w:rPr>
          <w:rFonts w:hAnsi="標楷體" w:hint="eastAsia"/>
        </w:rPr>
        <w:t>美元走勢</w:t>
      </w:r>
      <w:r w:rsidR="00EA6553">
        <w:rPr>
          <w:rFonts w:hAnsi="標楷體" w:hint="eastAsia"/>
        </w:rPr>
        <w:t>，現已進入降息循環，調整幅度仍待觀察，爰央行允宜密切留意適時調節，俾維護幣值穩定並協助經濟發展</w:t>
      </w:r>
      <w:r w:rsidRPr="00507BD2">
        <w:rPr>
          <w:rFonts w:hAnsi="標楷體" w:hint="eastAsia"/>
        </w:rPr>
        <w:t>。</w:t>
      </w:r>
    </w:p>
    <w:bookmarkEnd w:id="6"/>
    <w:p w:rsidR="00767336" w:rsidRDefault="00767336" w:rsidP="00310BF7">
      <w:pPr>
        <w:ind w:left="566" w:firstLine="566"/>
      </w:pPr>
    </w:p>
    <w:p w:rsidR="003834ED" w:rsidRPr="0057320C" w:rsidRDefault="00E96693" w:rsidP="003834ED">
      <w:pPr>
        <w:pStyle w:val="14"/>
        <w:ind w:left="567" w:hanging="567"/>
        <w:rPr>
          <w:rFonts w:hint="eastAsia"/>
        </w:rPr>
      </w:pPr>
      <w:bookmarkStart w:id="12" w:name="_Toc181965728"/>
      <w:r>
        <w:rPr>
          <w:rFonts w:hAnsi="標楷體" w:hint="eastAsia"/>
        </w:rPr>
        <w:t>四</w:t>
      </w:r>
      <w:r w:rsidR="00E86C0B" w:rsidRPr="00507BD2">
        <w:rPr>
          <w:rFonts w:hAnsi="標楷體" w:hint="eastAsia"/>
        </w:rPr>
        <w:t>、</w:t>
      </w:r>
      <w:r w:rsidR="002212B3" w:rsidRPr="002212B3">
        <w:rPr>
          <w:rFonts w:hAnsi="標楷體" w:hint="eastAsia"/>
        </w:rPr>
        <w:t>多數央行研發數位貨幣且7國參與國際清算銀行跨境結算實驗計畫，允宜掌握</w:t>
      </w:r>
      <w:r w:rsidR="009F1980">
        <w:rPr>
          <w:rFonts w:hAnsi="標楷體" w:hint="eastAsia"/>
        </w:rPr>
        <w:t>發展趨勢</w:t>
      </w:r>
      <w:r w:rsidR="002C3CD1">
        <w:rPr>
          <w:rFonts w:hAnsi="標楷體" w:hint="eastAsia"/>
        </w:rPr>
        <w:t>衡酌</w:t>
      </w:r>
      <w:r w:rsidR="002212B3" w:rsidRPr="002212B3">
        <w:rPr>
          <w:rFonts w:hAnsi="標楷體" w:hint="eastAsia"/>
        </w:rPr>
        <w:t>善用監理沙盒方式試驗，俾</w:t>
      </w:r>
      <w:r w:rsidR="00A53844">
        <w:rPr>
          <w:rFonts w:hAnsi="標楷體" w:hint="eastAsia"/>
        </w:rPr>
        <w:t>縝密試</w:t>
      </w:r>
      <w:r w:rsidR="002212B3" w:rsidRPr="002212B3">
        <w:rPr>
          <w:rFonts w:hAnsi="標楷體" w:hint="eastAsia"/>
        </w:rPr>
        <w:t>行</w:t>
      </w:r>
      <w:r w:rsidR="00054020">
        <w:rPr>
          <w:rFonts w:hAnsi="標楷體" w:hint="eastAsia"/>
        </w:rPr>
        <w:t>作業</w:t>
      </w:r>
      <w:bookmarkEnd w:id="12"/>
    </w:p>
    <w:p w:rsidR="003834ED" w:rsidRPr="0057320C" w:rsidRDefault="002212B3" w:rsidP="003834ED">
      <w:pPr>
        <w:ind w:left="566" w:firstLine="566"/>
        <w:rPr>
          <w:rFonts w:hint="eastAsia"/>
        </w:rPr>
      </w:pPr>
      <w:r w:rsidRPr="002212B3">
        <w:rPr>
          <w:rFonts w:hint="eastAsia"/>
        </w:rPr>
        <w:t>央行114年度預算案於「委託調查研究費」編列560萬元，較113年度預算案數540萬元增加20萬元(增幅3.7%)，較112年度決算數700萬元則減少140萬元(減幅20%)，用於辦理舉辦數位貨幣公聽會、說明會及論壇；另於「貳、經營政策」</w:t>
      </w:r>
      <w:r w:rsidR="00F4064E">
        <w:rPr>
          <w:rFonts w:hint="eastAsia"/>
        </w:rPr>
        <w:t>-「一、調節金融」</w:t>
      </w:r>
      <w:r w:rsidRPr="002212B3">
        <w:rPr>
          <w:rFonts w:hint="eastAsia"/>
        </w:rPr>
        <w:t>列有「持續推動央行數位貨幣試驗計畫，並協助推展金融科技於支付領域之應用」。經查：</w:t>
      </w:r>
    </w:p>
    <w:p w:rsidR="003834ED" w:rsidRPr="0057320C" w:rsidRDefault="003834ED" w:rsidP="003834ED">
      <w:pPr>
        <w:pStyle w:val="a4"/>
        <w:rPr>
          <w:rFonts w:hint="eastAsia"/>
          <w:b/>
        </w:rPr>
      </w:pPr>
      <w:r w:rsidRPr="0057320C">
        <w:rPr>
          <w:rFonts w:hint="eastAsia"/>
          <w:b/>
        </w:rPr>
        <w:t>(一)</w:t>
      </w:r>
      <w:r w:rsidR="002212B3" w:rsidRPr="002212B3">
        <w:rPr>
          <w:rFonts w:hint="eastAsia"/>
          <w:b/>
        </w:rPr>
        <w:t>為因應數位經濟發展，多數國家央行研發數位貨幣，7國參與國際清算銀行跨境結算實驗計畫</w:t>
      </w:r>
    </w:p>
    <w:p w:rsidR="002212B3" w:rsidRPr="002212B3" w:rsidRDefault="002212B3" w:rsidP="002212B3">
      <w:pPr>
        <w:pStyle w:val="21"/>
        <w:ind w:left="850" w:firstLine="566"/>
        <w:rPr>
          <w:rFonts w:hint="eastAsia"/>
        </w:rPr>
      </w:pPr>
      <w:r w:rsidRPr="002212B3">
        <w:rPr>
          <w:rFonts w:hint="eastAsia"/>
        </w:rPr>
        <w:t>為因應數位經濟發展衍生之多元支付需求，建構安全、效率之支付生態體系，面對比特幣、穩定幣等民間發行之虛擬通貨挑戰，各國央行紛紛</w:t>
      </w:r>
      <w:r w:rsidR="00F4064E">
        <w:rPr>
          <w:rFonts w:hint="eastAsia"/>
        </w:rPr>
        <w:t>發展</w:t>
      </w:r>
      <w:r w:rsidRPr="002212B3">
        <w:rPr>
          <w:rFonts w:hint="eastAsia"/>
        </w:rPr>
        <w:t>數位貨幣</w:t>
      </w:r>
      <w:r w:rsidR="00F4064E">
        <w:rPr>
          <w:rStyle w:val="af1"/>
        </w:rPr>
        <w:footnoteReference w:id="3"/>
      </w:r>
      <w:r w:rsidRPr="002212B3">
        <w:rPr>
          <w:rFonts w:hint="eastAsia"/>
        </w:rPr>
        <w:t>(Central Bank Digital Currency)，據國際清算銀行調查，全球央行有94%投入相關工作；茲因發行數位貨幣將衝擊金融及貨幣體制，多數國家</w:t>
      </w:r>
      <w:r w:rsidR="00151CEB">
        <w:rPr>
          <w:rFonts w:hint="eastAsia"/>
        </w:rPr>
        <w:t>未</w:t>
      </w:r>
      <w:r w:rsidRPr="002212B3">
        <w:rPr>
          <w:rFonts w:hint="eastAsia"/>
        </w:rPr>
        <w:t>敢貿然全面上線，謹將發展進度概述如下：</w:t>
      </w:r>
    </w:p>
    <w:p w:rsidR="002212B3" w:rsidRPr="002212B3" w:rsidRDefault="002212B3" w:rsidP="002212B3">
      <w:pPr>
        <w:pStyle w:val="123"/>
        <w:rPr>
          <w:rFonts w:ascii="標楷體" w:hAnsi="Times New Roman" w:cs="Times New Roman" w:hint="eastAsia"/>
          <w:color w:val="auto"/>
        </w:rPr>
      </w:pPr>
      <w:r w:rsidRPr="002212B3">
        <w:rPr>
          <w:rFonts w:ascii="標楷體" w:hAnsi="Times New Roman" w:cs="Times New Roman" w:hint="eastAsia"/>
          <w:b/>
          <w:color w:val="auto"/>
        </w:rPr>
        <w:t>1.各國發展現況：</w:t>
      </w:r>
      <w:r w:rsidRPr="002212B3">
        <w:rPr>
          <w:rFonts w:ascii="標楷體" w:hAnsi="Times New Roman" w:cs="Times New Roman" w:hint="eastAsia"/>
          <w:color w:val="auto"/>
        </w:rPr>
        <w:t>歐元區、英國、美國、日本等主要國家多處於概念驗證或原型建構階段，中國大陸等少數國家進入試點階段，僅巴哈馬、牙買加與奈及利亞已實際發行，冀由發行數位貨幣促進國內普惠金融。</w:t>
      </w:r>
    </w:p>
    <w:p w:rsidR="0002240F" w:rsidRPr="002212B3" w:rsidRDefault="002212B3" w:rsidP="002212B3">
      <w:pPr>
        <w:pStyle w:val="123"/>
        <w:rPr>
          <w:color w:val="auto"/>
        </w:rPr>
      </w:pPr>
      <w:r w:rsidRPr="002212B3">
        <w:rPr>
          <w:rFonts w:ascii="標楷體" w:hAnsi="Times New Roman" w:cs="Times New Roman" w:hint="eastAsia"/>
          <w:b/>
          <w:color w:val="auto"/>
        </w:rPr>
        <w:t>2.7國參與國際清算銀行跨境結算實驗計畫：</w:t>
      </w:r>
      <w:r w:rsidRPr="002212B3">
        <w:rPr>
          <w:rFonts w:ascii="標楷體" w:hAnsi="Times New Roman" w:cs="Times New Roman" w:hint="eastAsia"/>
          <w:color w:val="auto"/>
        </w:rPr>
        <w:t>為提升跨境支付效率，國際清算銀行與國際金融協會於113年4月共同發起規劃整合批發型數位貨幣與商業銀行存款代幣至可程式化之聯合帳本，以實現高效支付與清算流程，並兼顧現代貨幣體系之雙層式架構實驗計畫(Agora)，計有法國(代表歐元區)、日本、南韓、墨西哥、瑞士、英國、美國(由紐約聯邦準備銀行參加)等7國央行參加，並由國際金融協會招募民間金融機構共同參與</w:t>
      </w:r>
      <w:r w:rsidR="00DB137B">
        <w:rPr>
          <w:rFonts w:ascii="標楷體" w:hAnsi="Times New Roman" w:cs="Times New Roman" w:hint="eastAsia"/>
          <w:color w:val="auto"/>
        </w:rPr>
        <w:t>；</w:t>
      </w:r>
      <w:r w:rsidRPr="002212B3">
        <w:rPr>
          <w:rFonts w:ascii="標楷體" w:hAnsi="Times New Roman" w:cs="Times New Roman" w:hint="eastAsia"/>
          <w:color w:val="auto"/>
        </w:rPr>
        <w:t>該計畫具有</w:t>
      </w:r>
      <w:r w:rsidR="00DB137B">
        <w:rPr>
          <w:rFonts w:ascii="標楷體" w:hAnsi="Times New Roman" w:cs="Times New Roman" w:hint="eastAsia"/>
          <w:color w:val="auto"/>
        </w:rPr>
        <w:t>多國公私部門</w:t>
      </w:r>
      <w:r w:rsidRPr="002212B3">
        <w:rPr>
          <w:rFonts w:ascii="標楷體" w:hAnsi="Times New Roman" w:cs="Times New Roman" w:hint="eastAsia"/>
          <w:color w:val="auto"/>
        </w:rPr>
        <w:t>技術合作及資源共享等系統開發優勢，加速標準化與互通性，爰央行允宜掌握動向，俾汲取成功經驗應用於我國。</w:t>
      </w:r>
    </w:p>
    <w:p w:rsidR="002212B3" w:rsidRPr="002212B3" w:rsidRDefault="002212B3" w:rsidP="002212B3">
      <w:pPr>
        <w:pStyle w:val="a4"/>
        <w:rPr>
          <w:rFonts w:hint="eastAsia"/>
          <w:b/>
        </w:rPr>
      </w:pPr>
      <w:r w:rsidRPr="002212B3">
        <w:rPr>
          <w:b/>
        </w:rPr>
        <w:t>(</w:t>
      </w:r>
      <w:r w:rsidRPr="002212B3">
        <w:rPr>
          <w:rFonts w:hint="eastAsia"/>
          <w:b/>
        </w:rPr>
        <w:t>二</w:t>
      </w:r>
      <w:r w:rsidRPr="002212B3">
        <w:rPr>
          <w:b/>
        </w:rPr>
        <w:t>)</w:t>
      </w:r>
      <w:r w:rsidRPr="002212B3">
        <w:rPr>
          <w:rFonts w:hint="eastAsia"/>
          <w:b/>
        </w:rPr>
        <w:t>我國已完成批發型及零售型試驗，後續將持續</w:t>
      </w:r>
      <w:r w:rsidR="00DB137B">
        <w:rPr>
          <w:rFonts w:hint="eastAsia"/>
          <w:b/>
        </w:rPr>
        <w:t>他項</w:t>
      </w:r>
      <w:r w:rsidRPr="002212B3">
        <w:rPr>
          <w:rFonts w:hint="eastAsia"/>
          <w:b/>
        </w:rPr>
        <w:t>試驗，為使</w:t>
      </w:r>
      <w:r w:rsidR="00A53844">
        <w:rPr>
          <w:rFonts w:hint="eastAsia"/>
          <w:b/>
        </w:rPr>
        <w:t>試行</w:t>
      </w:r>
      <w:r w:rsidR="00054020">
        <w:rPr>
          <w:rFonts w:hint="eastAsia"/>
          <w:b/>
        </w:rPr>
        <w:t>作業</w:t>
      </w:r>
      <w:r w:rsidRPr="002212B3">
        <w:rPr>
          <w:rFonts w:hint="eastAsia"/>
          <w:b/>
        </w:rPr>
        <w:t>周延，允宜衡酌善用監理沙盒方式試驗</w:t>
      </w:r>
    </w:p>
    <w:p w:rsidR="002212B3" w:rsidRPr="002212B3" w:rsidRDefault="002212B3" w:rsidP="002212B3">
      <w:pPr>
        <w:pStyle w:val="21"/>
        <w:ind w:left="850" w:firstLine="566"/>
        <w:rPr>
          <w:rFonts w:hint="eastAsia"/>
        </w:rPr>
      </w:pPr>
      <w:r w:rsidRPr="002212B3">
        <w:rPr>
          <w:rFonts w:hint="eastAsia"/>
        </w:rPr>
        <w:t>數位貨幣</w:t>
      </w:r>
      <w:r w:rsidR="00DB137B" w:rsidRPr="002212B3">
        <w:rPr>
          <w:rFonts w:hint="eastAsia"/>
        </w:rPr>
        <w:t>按使用對象區分為批發型與零售型</w:t>
      </w:r>
      <w:r w:rsidR="00DB137B">
        <w:rPr>
          <w:rFonts w:hint="eastAsia"/>
        </w:rPr>
        <w:t>，</w:t>
      </w:r>
      <w:r w:rsidRPr="002212B3">
        <w:rPr>
          <w:rFonts w:hint="eastAsia"/>
        </w:rPr>
        <w:t>依存在形式</w:t>
      </w:r>
      <w:r w:rsidR="00DB137B">
        <w:rPr>
          <w:rFonts w:hint="eastAsia"/>
        </w:rPr>
        <w:t>亦</w:t>
      </w:r>
      <w:r w:rsidRPr="002212B3">
        <w:rPr>
          <w:rFonts w:hint="eastAsia"/>
        </w:rPr>
        <w:t>區分為類似個人存款帳戶之帳戶基礎及存放於電子錢包之代幣基礎，且有使用範圍、匿名程度、金額限制、營運時間及計息方式等不同選擇，不同形式數位貨幣對央行支付系統、貨幣政策及金融穩定影響程度有別。茲說明央行發展進度如下：</w:t>
      </w:r>
    </w:p>
    <w:p w:rsidR="002212B3" w:rsidRPr="002212B3" w:rsidRDefault="002212B3" w:rsidP="002212B3">
      <w:pPr>
        <w:pStyle w:val="123"/>
        <w:rPr>
          <w:color w:val="auto"/>
        </w:rPr>
      </w:pPr>
      <w:r w:rsidRPr="002212B3">
        <w:rPr>
          <w:rFonts w:hint="eastAsia"/>
          <w:b/>
          <w:color w:val="auto"/>
        </w:rPr>
        <w:t>1.</w:t>
      </w:r>
      <w:r w:rsidRPr="002212B3">
        <w:rPr>
          <w:rFonts w:hint="eastAsia"/>
          <w:b/>
          <w:color w:val="auto"/>
        </w:rPr>
        <w:t>批發型：</w:t>
      </w:r>
      <w:r w:rsidRPr="002212B3">
        <w:rPr>
          <w:rFonts w:hint="eastAsia"/>
          <w:color w:val="auto"/>
        </w:rPr>
        <w:t>作為金融機構跨行清算工具，限於銀行間大額支付，需處理</w:t>
      </w:r>
      <w:r w:rsidR="00DB137B">
        <w:rPr>
          <w:rFonts w:hint="eastAsia"/>
          <w:color w:val="auto"/>
        </w:rPr>
        <w:t>之</w:t>
      </w:r>
      <w:r w:rsidRPr="002212B3">
        <w:rPr>
          <w:rFonts w:hint="eastAsia"/>
          <w:color w:val="auto"/>
        </w:rPr>
        <w:t>交易量有限，據央行</w:t>
      </w:r>
      <w:r w:rsidRPr="002212B3">
        <w:rPr>
          <w:rFonts w:hint="eastAsia"/>
          <w:color w:val="auto"/>
        </w:rPr>
        <w:t>108</w:t>
      </w:r>
      <w:r w:rsidR="00DB137B">
        <w:rPr>
          <w:rFonts w:hint="eastAsia"/>
          <w:color w:val="auto"/>
        </w:rPr>
        <w:t>年</w:t>
      </w:r>
      <w:r w:rsidR="00DB137B">
        <w:rPr>
          <w:rFonts w:hint="eastAsia"/>
          <w:color w:val="auto"/>
        </w:rPr>
        <w:t>6</w:t>
      </w:r>
      <w:r w:rsidR="00DB137B">
        <w:rPr>
          <w:rFonts w:hint="eastAsia"/>
          <w:color w:val="auto"/>
        </w:rPr>
        <w:t>月</w:t>
      </w:r>
      <w:r w:rsidRPr="002212B3">
        <w:rPr>
          <w:rFonts w:hint="eastAsia"/>
          <w:color w:val="auto"/>
        </w:rPr>
        <w:t>至</w:t>
      </w:r>
      <w:r w:rsidRPr="002212B3">
        <w:rPr>
          <w:rFonts w:hint="eastAsia"/>
          <w:color w:val="auto"/>
        </w:rPr>
        <w:t>109</w:t>
      </w:r>
      <w:r w:rsidRPr="002212B3">
        <w:rPr>
          <w:rFonts w:hint="eastAsia"/>
          <w:color w:val="auto"/>
        </w:rPr>
        <w:t>年</w:t>
      </w:r>
      <w:r w:rsidR="00DB137B">
        <w:rPr>
          <w:rFonts w:hint="eastAsia"/>
          <w:color w:val="auto"/>
        </w:rPr>
        <w:t>6</w:t>
      </w:r>
      <w:r w:rsidR="00DB137B">
        <w:rPr>
          <w:rFonts w:hint="eastAsia"/>
          <w:color w:val="auto"/>
        </w:rPr>
        <w:t>月</w:t>
      </w:r>
      <w:r w:rsidRPr="002212B3">
        <w:rPr>
          <w:rFonts w:hint="eastAsia"/>
          <w:color w:val="auto"/>
        </w:rPr>
        <w:t>以分散式帳本技術研究發現，因隱私保護機制影響運作效能，無法滿足即時、大量、高頻交易等需求，改良後效能雖不及現行電子支付系統作業化系統，惟此類市場所需效能較低，或許可符合需求。</w:t>
      </w:r>
    </w:p>
    <w:p w:rsidR="002212B3" w:rsidRPr="002212B3" w:rsidRDefault="002212B3" w:rsidP="002212B3">
      <w:pPr>
        <w:pStyle w:val="123"/>
        <w:rPr>
          <w:color w:val="auto"/>
        </w:rPr>
      </w:pPr>
      <w:r w:rsidRPr="002212B3">
        <w:rPr>
          <w:rFonts w:hint="eastAsia"/>
          <w:b/>
          <w:color w:val="auto"/>
        </w:rPr>
        <w:t>2.</w:t>
      </w:r>
      <w:r w:rsidRPr="002212B3">
        <w:rPr>
          <w:rFonts w:hint="eastAsia"/>
          <w:b/>
          <w:color w:val="auto"/>
        </w:rPr>
        <w:t>零售型</w:t>
      </w:r>
      <w:r w:rsidRPr="002212B3">
        <w:rPr>
          <w:rFonts w:hint="eastAsia"/>
          <w:b/>
          <w:color w:val="auto"/>
        </w:rPr>
        <w:t>(</w:t>
      </w:r>
      <w:r w:rsidRPr="002212B3">
        <w:rPr>
          <w:rFonts w:hint="eastAsia"/>
          <w:b/>
          <w:color w:val="auto"/>
        </w:rPr>
        <w:t>亦稱通用型</w:t>
      </w:r>
      <w:r w:rsidRPr="002212B3">
        <w:rPr>
          <w:rFonts w:hint="eastAsia"/>
          <w:b/>
          <w:color w:val="auto"/>
        </w:rPr>
        <w:t>)</w:t>
      </w:r>
      <w:r w:rsidRPr="002212B3">
        <w:rPr>
          <w:rFonts w:hint="eastAsia"/>
          <w:b/>
          <w:color w:val="auto"/>
        </w:rPr>
        <w:t>：</w:t>
      </w:r>
      <w:r w:rsidRPr="002212B3">
        <w:rPr>
          <w:rFonts w:hint="eastAsia"/>
          <w:color w:val="auto"/>
        </w:rPr>
        <w:t>供民眾使用，央行已於</w:t>
      </w:r>
      <w:r w:rsidRPr="002212B3">
        <w:rPr>
          <w:rFonts w:hint="eastAsia"/>
          <w:color w:val="auto"/>
        </w:rPr>
        <w:t>109</w:t>
      </w:r>
      <w:r w:rsidR="002B7C32">
        <w:rPr>
          <w:rFonts w:hint="eastAsia"/>
          <w:color w:val="auto"/>
        </w:rPr>
        <w:t>年</w:t>
      </w:r>
      <w:r w:rsidR="002B7C32">
        <w:rPr>
          <w:rFonts w:hint="eastAsia"/>
          <w:color w:val="auto"/>
        </w:rPr>
        <w:t>9</w:t>
      </w:r>
      <w:r w:rsidR="002B7C32">
        <w:rPr>
          <w:rFonts w:hint="eastAsia"/>
          <w:color w:val="auto"/>
        </w:rPr>
        <w:t>月</w:t>
      </w:r>
      <w:r w:rsidRPr="002212B3">
        <w:rPr>
          <w:rFonts w:hint="eastAsia"/>
          <w:color w:val="auto"/>
        </w:rPr>
        <w:t>至</w:t>
      </w:r>
      <w:r w:rsidRPr="002212B3">
        <w:rPr>
          <w:rFonts w:hint="eastAsia"/>
          <w:color w:val="auto"/>
        </w:rPr>
        <w:t>111</w:t>
      </w:r>
      <w:r w:rsidRPr="002212B3">
        <w:rPr>
          <w:rFonts w:hint="eastAsia"/>
          <w:color w:val="auto"/>
        </w:rPr>
        <w:t>年</w:t>
      </w:r>
      <w:r w:rsidR="002B7C32">
        <w:rPr>
          <w:rFonts w:hint="eastAsia"/>
          <w:color w:val="auto"/>
        </w:rPr>
        <w:t>6</w:t>
      </w:r>
      <w:r w:rsidR="002B7C32">
        <w:rPr>
          <w:rFonts w:hint="eastAsia"/>
          <w:color w:val="auto"/>
        </w:rPr>
        <w:t>月</w:t>
      </w:r>
      <w:r w:rsidRPr="002212B3">
        <w:rPr>
          <w:rFonts w:hint="eastAsia"/>
          <w:color w:val="auto"/>
        </w:rPr>
        <w:t>，以中心化系統為基礎，交易資料儲存等功能結合分散式帳本技術完成試驗，</w:t>
      </w:r>
      <w:r w:rsidR="002B7C32">
        <w:rPr>
          <w:rFonts w:hint="eastAsia"/>
          <w:color w:val="auto"/>
        </w:rPr>
        <w:t>刻正</w:t>
      </w:r>
      <w:r w:rsidRPr="002212B3">
        <w:rPr>
          <w:rFonts w:hint="eastAsia"/>
          <w:color w:val="auto"/>
        </w:rPr>
        <w:t>進行廣泛溝通、精進平臺技術及研議法律架構；另已設計運作架構及功能</w:t>
      </w:r>
      <w:r w:rsidRPr="002212B3">
        <w:rPr>
          <w:rStyle w:val="af1"/>
          <w:color w:val="auto"/>
        </w:rPr>
        <w:footnoteReference w:id="4"/>
      </w:r>
      <w:r w:rsidRPr="002212B3">
        <w:rPr>
          <w:rFonts w:hint="eastAsia"/>
          <w:color w:val="auto"/>
        </w:rPr>
        <w:t>建置雛</w:t>
      </w:r>
      <w:r w:rsidR="002775D4">
        <w:rPr>
          <w:rFonts w:hint="eastAsia"/>
          <w:color w:val="auto"/>
        </w:rPr>
        <w:t>型</w:t>
      </w:r>
      <w:r w:rsidRPr="002212B3">
        <w:rPr>
          <w:rFonts w:hint="eastAsia"/>
          <w:color w:val="auto"/>
        </w:rPr>
        <w:t>平臺。</w:t>
      </w:r>
    </w:p>
    <w:p w:rsidR="002212B3" w:rsidRPr="002212B3" w:rsidRDefault="002212B3" w:rsidP="002212B3">
      <w:pPr>
        <w:pStyle w:val="123"/>
        <w:rPr>
          <w:rFonts w:hint="eastAsia"/>
          <w:color w:val="auto"/>
        </w:rPr>
      </w:pPr>
      <w:r w:rsidRPr="002212B3">
        <w:rPr>
          <w:b/>
          <w:color w:val="auto"/>
        </w:rPr>
        <w:t>3.114</w:t>
      </w:r>
      <w:r w:rsidRPr="002212B3">
        <w:rPr>
          <w:rFonts w:hint="eastAsia"/>
          <w:b/>
          <w:color w:val="auto"/>
        </w:rPr>
        <w:t>年度試驗計畫：</w:t>
      </w:r>
      <w:r w:rsidRPr="002212B3">
        <w:rPr>
          <w:rFonts w:hint="eastAsia"/>
          <w:color w:val="auto"/>
        </w:rPr>
        <w:t>以零售型雛型平臺與數發部「政府機關發放共用平臺」介接合作，未來可支援</w:t>
      </w:r>
      <w:r w:rsidR="002B7C32" w:rsidRPr="002212B3">
        <w:rPr>
          <w:rFonts w:hint="eastAsia"/>
          <w:color w:val="auto"/>
        </w:rPr>
        <w:t>各機關支付</w:t>
      </w:r>
      <w:r w:rsidRPr="002212B3">
        <w:rPr>
          <w:rFonts w:hint="eastAsia"/>
          <w:color w:val="auto"/>
        </w:rPr>
        <w:t>數位券</w:t>
      </w:r>
      <w:r w:rsidRPr="002212B3">
        <w:rPr>
          <w:color w:val="auto"/>
        </w:rPr>
        <w:t>;</w:t>
      </w:r>
      <w:r w:rsidRPr="002212B3">
        <w:rPr>
          <w:rFonts w:hint="eastAsia"/>
          <w:color w:val="auto"/>
        </w:rPr>
        <w:t>建置代幣化實驗平臺，試驗銀行存款代幣之跨行移轉、款券同步交割</w:t>
      </w:r>
      <w:r w:rsidRPr="002212B3">
        <w:rPr>
          <w:rFonts w:hint="eastAsia"/>
          <w:color w:val="auto"/>
        </w:rPr>
        <w:t>(DvP)</w:t>
      </w:r>
      <w:r w:rsidRPr="002212B3">
        <w:rPr>
          <w:rFonts w:hint="eastAsia"/>
          <w:color w:val="auto"/>
        </w:rPr>
        <w:t>、特殊目的代幣</w:t>
      </w:r>
      <w:r w:rsidRPr="002212B3">
        <w:rPr>
          <w:rFonts w:hint="eastAsia"/>
          <w:color w:val="auto"/>
        </w:rPr>
        <w:t>(Special Purpose Digital Money</w:t>
      </w:r>
      <w:r w:rsidRPr="002212B3">
        <w:rPr>
          <w:color w:val="auto"/>
        </w:rPr>
        <w:t>)</w:t>
      </w:r>
      <w:r w:rsidRPr="002212B3">
        <w:rPr>
          <w:rFonts w:hint="eastAsia"/>
          <w:color w:val="auto"/>
        </w:rPr>
        <w:t>等</w:t>
      </w:r>
      <w:r w:rsidRPr="002212B3">
        <w:rPr>
          <w:rFonts w:hint="eastAsia"/>
          <w:color w:val="auto"/>
        </w:rPr>
        <w:t>3</w:t>
      </w:r>
      <w:r w:rsidRPr="002212B3">
        <w:rPr>
          <w:rFonts w:hint="eastAsia"/>
          <w:color w:val="auto"/>
        </w:rPr>
        <w:t>種情境</w:t>
      </w:r>
      <w:r w:rsidR="004332AD">
        <w:rPr>
          <w:rFonts w:hint="eastAsia"/>
          <w:color w:val="auto"/>
        </w:rPr>
        <w:t>；</w:t>
      </w:r>
      <w:r w:rsidRPr="002212B3">
        <w:rPr>
          <w:rFonts w:hint="eastAsia"/>
          <w:color w:val="auto"/>
        </w:rPr>
        <w:t>研究離線支付技術，</w:t>
      </w:r>
      <w:r w:rsidR="002B7C32">
        <w:rPr>
          <w:rFonts w:hint="eastAsia"/>
          <w:color w:val="auto"/>
        </w:rPr>
        <w:t>得於</w:t>
      </w:r>
      <w:r w:rsidRPr="002212B3">
        <w:rPr>
          <w:rFonts w:hint="eastAsia"/>
          <w:color w:val="auto"/>
        </w:rPr>
        <w:t>不用手機或無網路情形下，藉由卡片或手機進行離線支付。</w:t>
      </w:r>
    </w:p>
    <w:p w:rsidR="002212B3" w:rsidRPr="002212B3" w:rsidRDefault="002212B3" w:rsidP="002212B3">
      <w:pPr>
        <w:pStyle w:val="21"/>
        <w:ind w:left="850" w:firstLine="566"/>
        <w:rPr>
          <w:rFonts w:hint="eastAsia"/>
          <w:b/>
        </w:rPr>
      </w:pPr>
      <w:r w:rsidRPr="002212B3">
        <w:rPr>
          <w:rFonts w:hint="eastAsia"/>
          <w:bCs/>
        </w:rPr>
        <w:t>準此，</w:t>
      </w:r>
      <w:r w:rsidRPr="002212B3">
        <w:rPr>
          <w:rFonts w:hint="eastAsia"/>
        </w:rPr>
        <w:t>央行雖規劃於發行數位券時試用</w:t>
      </w:r>
      <w:r w:rsidR="002B7C32" w:rsidRPr="002212B3">
        <w:rPr>
          <w:rFonts w:hint="eastAsia"/>
          <w:bCs/>
        </w:rPr>
        <w:t>零售型雛</w:t>
      </w:r>
      <w:r w:rsidR="002B7C32">
        <w:rPr>
          <w:rFonts w:hint="eastAsia"/>
          <w:bCs/>
        </w:rPr>
        <w:t>型</w:t>
      </w:r>
      <w:r w:rsidR="002B7C32" w:rsidRPr="002212B3">
        <w:rPr>
          <w:rFonts w:hint="eastAsia"/>
          <w:bCs/>
        </w:rPr>
        <w:t>平臺</w:t>
      </w:r>
      <w:r w:rsidRPr="002212B3">
        <w:rPr>
          <w:rFonts w:hint="eastAsia"/>
        </w:rPr>
        <w:t>，惟未完全成熟即對不特定大眾發放，易面臨大規模使用導致技術故障、隱私、安全等多方面風險，</w:t>
      </w:r>
      <w:r w:rsidR="002B7C32">
        <w:rPr>
          <w:rFonts w:hint="eastAsia"/>
        </w:rPr>
        <w:t>恐</w:t>
      </w:r>
      <w:r w:rsidRPr="002212B3">
        <w:rPr>
          <w:rFonts w:hint="eastAsia"/>
        </w:rPr>
        <w:t>損及公眾信任，又未經充分測試，難以全面考量關鍵細節及實務應用之挑戰，確保未來法規</w:t>
      </w:r>
      <w:r w:rsidR="006A34D8">
        <w:rPr>
          <w:rFonts w:hint="eastAsia"/>
        </w:rPr>
        <w:t>研修之完備性</w:t>
      </w:r>
      <w:r w:rsidRPr="002212B3">
        <w:rPr>
          <w:rFonts w:hint="eastAsia"/>
        </w:rPr>
        <w:t>與可持續性</w:t>
      </w:r>
      <w:r w:rsidR="004332AD">
        <w:rPr>
          <w:rFonts w:hint="eastAsia"/>
        </w:rPr>
        <w:t>；</w:t>
      </w:r>
      <w:r w:rsidRPr="002212B3">
        <w:rPr>
          <w:rFonts w:hint="eastAsia"/>
        </w:rPr>
        <w:t>鑒於我國為推動金融科技引進監理沙盒機制，設計風險可控管之實驗場域，測試產品、服務及商業模式，他國如新加坡</w:t>
      </w:r>
      <w:r w:rsidRPr="002212B3">
        <w:rPr>
          <w:rStyle w:val="af1"/>
        </w:rPr>
        <w:footnoteReference w:id="5"/>
      </w:r>
      <w:r w:rsidRPr="002212B3">
        <w:rPr>
          <w:rFonts w:hint="eastAsia"/>
        </w:rPr>
        <w:t>亦曾以此方式進行測試，可衡酌採行，俾利於風險控制下加速數位貨幣發展進程。</w:t>
      </w:r>
    </w:p>
    <w:p w:rsidR="002212B3" w:rsidRPr="002212B3" w:rsidRDefault="002212B3" w:rsidP="002212B3">
      <w:pPr>
        <w:ind w:left="566" w:firstLine="566"/>
        <w:rPr>
          <w:rFonts w:hint="eastAsia"/>
        </w:rPr>
      </w:pPr>
      <w:r w:rsidRPr="002212B3">
        <w:rPr>
          <w:rFonts w:hint="eastAsia"/>
        </w:rPr>
        <w:t>綜上，為因應數位經濟發展衍生之多元支付需求，建構安全、效率之支付生態體系，全球央行有94%投入數位貨幣研發工作，法國、日本、南韓、墨西哥、瑞士、英國</w:t>
      </w:r>
      <w:r w:rsidR="002B7C32">
        <w:rPr>
          <w:rFonts w:hint="eastAsia"/>
        </w:rPr>
        <w:t>及</w:t>
      </w:r>
      <w:r w:rsidRPr="002212B3">
        <w:rPr>
          <w:rFonts w:hint="eastAsia"/>
        </w:rPr>
        <w:t>美國等7國央行參加國際清算銀行跨境結算實驗計畫</w:t>
      </w:r>
      <w:r w:rsidR="004332AD">
        <w:rPr>
          <w:rFonts w:hint="eastAsia"/>
        </w:rPr>
        <w:t>；</w:t>
      </w:r>
      <w:r w:rsidRPr="002212B3">
        <w:rPr>
          <w:rFonts w:hint="eastAsia"/>
        </w:rPr>
        <w:t>我國</w:t>
      </w:r>
      <w:r w:rsidR="002B7C32">
        <w:rPr>
          <w:rFonts w:hint="eastAsia"/>
        </w:rPr>
        <w:t>已</w:t>
      </w:r>
      <w:r w:rsidRPr="002212B3">
        <w:rPr>
          <w:rFonts w:hint="eastAsia"/>
        </w:rPr>
        <w:t>完成批發型及零售型試驗，後續將與數發部合作發行數位券，</w:t>
      </w:r>
      <w:r w:rsidR="002B7C32">
        <w:rPr>
          <w:rFonts w:hint="eastAsia"/>
        </w:rPr>
        <w:t>為</w:t>
      </w:r>
      <w:r w:rsidR="004332AD" w:rsidRPr="002212B3">
        <w:rPr>
          <w:rFonts w:hint="eastAsia"/>
        </w:rPr>
        <w:t>汲取先進國家經驗</w:t>
      </w:r>
      <w:r w:rsidR="002B7C32">
        <w:rPr>
          <w:rFonts w:hint="eastAsia"/>
        </w:rPr>
        <w:t>及降低風險</w:t>
      </w:r>
      <w:r w:rsidRPr="002212B3">
        <w:rPr>
          <w:rFonts w:hint="eastAsia"/>
        </w:rPr>
        <w:t>，允宜掌握</w:t>
      </w:r>
      <w:r w:rsidR="009F1980">
        <w:rPr>
          <w:rFonts w:hint="eastAsia"/>
        </w:rPr>
        <w:t>發展趨勢</w:t>
      </w:r>
      <w:r w:rsidRPr="002212B3">
        <w:rPr>
          <w:rFonts w:hint="eastAsia"/>
        </w:rPr>
        <w:t>衡酌善用監理沙盒方式試驗，俾使</w:t>
      </w:r>
      <w:r w:rsidR="00A53844">
        <w:rPr>
          <w:rFonts w:hint="eastAsia"/>
        </w:rPr>
        <w:t>試行</w:t>
      </w:r>
      <w:r w:rsidRPr="002212B3">
        <w:rPr>
          <w:rFonts w:hint="eastAsia"/>
        </w:rPr>
        <w:t>作業暢順，所修法規全面周延。</w:t>
      </w:r>
    </w:p>
    <w:p w:rsidR="003834ED" w:rsidRPr="0057320C" w:rsidRDefault="003834ED" w:rsidP="003834ED">
      <w:pPr>
        <w:ind w:left="566" w:firstLine="566"/>
        <w:rPr>
          <w:rFonts w:hint="eastAsia"/>
        </w:rPr>
      </w:pPr>
    </w:p>
    <w:p w:rsidR="004E7CF5" w:rsidRPr="00507BD2" w:rsidRDefault="00E96693" w:rsidP="004E7CF5">
      <w:pPr>
        <w:pStyle w:val="14"/>
        <w:ind w:left="567" w:hanging="567"/>
        <w:rPr>
          <w:rFonts w:hAnsi="標楷體"/>
        </w:rPr>
      </w:pPr>
      <w:bookmarkStart w:id="13" w:name="_Toc181965729"/>
      <w:r>
        <w:rPr>
          <w:rFonts w:hAnsi="標楷體" w:hint="eastAsia"/>
        </w:rPr>
        <w:t>五</w:t>
      </w:r>
      <w:r w:rsidR="004E7CF5" w:rsidRPr="00507BD2">
        <w:rPr>
          <w:rFonts w:hAnsi="標楷體" w:hint="eastAsia"/>
        </w:rPr>
        <w:t>、</w:t>
      </w:r>
      <w:bookmarkStart w:id="14" w:name="_Toc96523908"/>
      <w:r w:rsidR="004E7CF5" w:rsidRPr="00507BD2">
        <w:rPr>
          <w:rFonts w:hAnsi="標楷體" w:hint="eastAsia"/>
        </w:rPr>
        <w:t>我國</w:t>
      </w:r>
      <w:r w:rsidR="0099758C">
        <w:rPr>
          <w:rFonts w:hAnsi="標楷體" w:hint="eastAsia"/>
        </w:rPr>
        <w:t>持續</w:t>
      </w:r>
      <w:r w:rsidR="00975115">
        <w:rPr>
          <w:rFonts w:hAnsi="標楷體" w:hint="eastAsia"/>
        </w:rPr>
        <w:t>被美國</w:t>
      </w:r>
      <w:r w:rsidR="004E7CF5" w:rsidRPr="00507BD2">
        <w:rPr>
          <w:rFonts w:hAnsi="標楷體" w:hint="eastAsia"/>
        </w:rPr>
        <w:t>列為匯率操縱國</w:t>
      </w:r>
      <w:r w:rsidR="00975115">
        <w:rPr>
          <w:rFonts w:hAnsi="標楷體" w:hint="eastAsia"/>
        </w:rPr>
        <w:t>觀察名單，</w:t>
      </w:r>
      <w:r w:rsidR="00082DF9">
        <w:rPr>
          <w:rFonts w:hAnsi="標楷體" w:hint="eastAsia"/>
        </w:rPr>
        <w:t>為鞏固產業競爭優勢，</w:t>
      </w:r>
      <w:r w:rsidR="004E7CF5" w:rsidRPr="00507BD2">
        <w:rPr>
          <w:rFonts w:hAnsi="標楷體" w:hint="eastAsia"/>
        </w:rPr>
        <w:t>允宜</w:t>
      </w:r>
      <w:r w:rsidR="00975115">
        <w:rPr>
          <w:rFonts w:hAnsi="標楷體" w:hint="eastAsia"/>
        </w:rPr>
        <w:t>賡續追蹤並保持良性溝通</w:t>
      </w:r>
      <w:r w:rsidR="004E7CF5" w:rsidRPr="00507BD2">
        <w:rPr>
          <w:rFonts w:hAnsi="標楷體" w:hint="eastAsia"/>
        </w:rPr>
        <w:t>，俾</w:t>
      </w:r>
      <w:bookmarkEnd w:id="14"/>
      <w:r w:rsidR="00975115">
        <w:rPr>
          <w:rFonts w:hAnsi="標楷體" w:hint="eastAsia"/>
        </w:rPr>
        <w:t>利經貿合作及匯市</w:t>
      </w:r>
      <w:r w:rsidR="00114994">
        <w:rPr>
          <w:rFonts w:hAnsi="標楷體" w:hint="eastAsia"/>
        </w:rPr>
        <w:t>調節彈性</w:t>
      </w:r>
      <w:bookmarkEnd w:id="13"/>
    </w:p>
    <w:p w:rsidR="004E7CF5" w:rsidRPr="00507BD2" w:rsidRDefault="000E29C6" w:rsidP="004E7CF5">
      <w:pPr>
        <w:ind w:left="566" w:firstLine="566"/>
        <w:rPr>
          <w:rFonts w:hAnsi="標楷體"/>
        </w:rPr>
      </w:pPr>
      <w:r>
        <w:rPr>
          <w:rFonts w:hAnsi="標楷體" w:hint="eastAsia"/>
        </w:rPr>
        <w:t>央行114</w:t>
      </w:r>
      <w:r w:rsidR="00A9445D">
        <w:rPr>
          <w:rFonts w:hAnsi="標楷體" w:hint="eastAsia"/>
        </w:rPr>
        <w:t>年度預算案於「參、業務計畫</w:t>
      </w:r>
      <w:r>
        <w:rPr>
          <w:rFonts w:hAnsi="標楷體" w:hint="eastAsia"/>
        </w:rPr>
        <w:t>」揭示</w:t>
      </w:r>
      <w:r w:rsidR="002B7C32">
        <w:rPr>
          <w:rFonts w:hAnsi="標楷體" w:hint="eastAsia"/>
        </w:rPr>
        <w:t>其</w:t>
      </w:r>
      <w:r w:rsidR="00A9445D">
        <w:rPr>
          <w:rFonts w:hAnsi="標楷體" w:hint="eastAsia"/>
        </w:rPr>
        <w:t>營運計畫</w:t>
      </w:r>
      <w:r>
        <w:rPr>
          <w:rFonts w:hAnsi="標楷體" w:hint="eastAsia"/>
        </w:rPr>
        <w:t>業務重點為，有效調節信用，鞏固幣信，靈活調度外匯及經理國庫，以穩定金融，協助經濟成長；</w:t>
      </w:r>
      <w:r w:rsidR="009E3558">
        <w:rPr>
          <w:rFonts w:hAnsi="標楷體" w:hint="eastAsia"/>
        </w:rPr>
        <w:t>美國係我國重要貿易合作國家，惟</w:t>
      </w:r>
      <w:r w:rsidR="00FD183A">
        <w:rPr>
          <w:rFonts w:hAnsi="標楷體" w:hint="eastAsia"/>
        </w:rPr>
        <w:t>我</w:t>
      </w:r>
      <w:r w:rsidR="009E3558">
        <w:rPr>
          <w:rFonts w:hAnsi="標楷體" w:hint="eastAsia"/>
        </w:rPr>
        <w:t>國</w:t>
      </w:r>
      <w:r w:rsidR="00FD183A">
        <w:rPr>
          <w:rFonts w:hAnsi="標楷體" w:hint="eastAsia"/>
        </w:rPr>
        <w:t>於2024年6月</w:t>
      </w:r>
      <w:r w:rsidR="009E3558">
        <w:rPr>
          <w:rFonts w:hAnsi="標楷體" w:hint="eastAsia"/>
        </w:rPr>
        <w:t>持續被</w:t>
      </w:r>
      <w:r w:rsidR="002B7C32">
        <w:rPr>
          <w:rFonts w:hAnsi="標楷體" w:hint="eastAsia"/>
        </w:rPr>
        <w:t>其</w:t>
      </w:r>
      <w:r w:rsidR="00513237">
        <w:rPr>
          <w:rFonts w:hAnsi="標楷體" w:hint="eastAsia"/>
        </w:rPr>
        <w:t>列為匯率操縱國觀察名單</w:t>
      </w:r>
      <w:r w:rsidR="00E03010">
        <w:rPr>
          <w:rFonts w:hAnsi="標楷體" w:hint="eastAsia"/>
        </w:rPr>
        <w:t>，</w:t>
      </w:r>
      <w:r>
        <w:rPr>
          <w:rFonts w:hAnsi="標楷體" w:hint="eastAsia"/>
        </w:rPr>
        <w:t>容</w:t>
      </w:r>
      <w:r w:rsidR="00E03010">
        <w:rPr>
          <w:rFonts w:hAnsi="標楷體" w:hint="eastAsia"/>
        </w:rPr>
        <w:t>須賡續追蹤因應。謹說明如下</w:t>
      </w:r>
      <w:r w:rsidR="004E7CF5" w:rsidRPr="00507BD2">
        <w:rPr>
          <w:rFonts w:hAnsi="標楷體" w:hint="eastAsia"/>
        </w:rPr>
        <w:t>：</w:t>
      </w:r>
    </w:p>
    <w:p w:rsidR="004E7CF5" w:rsidRPr="0099758C" w:rsidRDefault="004E7CF5" w:rsidP="004E7CF5">
      <w:pPr>
        <w:pStyle w:val="a4"/>
        <w:rPr>
          <w:rFonts w:hint="eastAsia"/>
          <w:b/>
          <w:snapToGrid/>
          <w:spacing w:val="-9"/>
          <w:kern w:val="0"/>
        </w:rPr>
      </w:pPr>
      <w:r w:rsidRPr="00507BD2">
        <w:rPr>
          <w:rFonts w:hint="eastAsia"/>
          <w:b/>
          <w:snapToGrid/>
          <w:kern w:val="0"/>
        </w:rPr>
        <w:t>(一)</w:t>
      </w:r>
      <w:r w:rsidR="00E66F67" w:rsidRPr="0099758C">
        <w:rPr>
          <w:rFonts w:hint="eastAsia"/>
          <w:b/>
          <w:snapToGrid/>
          <w:spacing w:val="-9"/>
          <w:kern w:val="0"/>
        </w:rPr>
        <w:t>美國財政部每半年向國會提交「美國主要貿易夥伴外匯政策報告」，</w:t>
      </w:r>
      <w:r w:rsidR="001B7A67" w:rsidRPr="0099758C">
        <w:rPr>
          <w:rFonts w:hint="eastAsia"/>
          <w:b/>
          <w:snapToGrid/>
          <w:spacing w:val="-9"/>
          <w:kern w:val="0"/>
        </w:rPr>
        <w:t>我國</w:t>
      </w:r>
      <w:r w:rsidR="00E66F67" w:rsidRPr="0099758C">
        <w:rPr>
          <w:rFonts w:hint="eastAsia"/>
          <w:b/>
          <w:snapToGrid/>
          <w:spacing w:val="-9"/>
          <w:kern w:val="0"/>
        </w:rPr>
        <w:t>於2024年6月</w:t>
      </w:r>
      <w:r w:rsidR="0099758C" w:rsidRPr="0099758C">
        <w:rPr>
          <w:rFonts w:hint="eastAsia"/>
          <w:b/>
          <w:snapToGrid/>
          <w:spacing w:val="-9"/>
          <w:kern w:val="0"/>
        </w:rPr>
        <w:t>第6次</w:t>
      </w:r>
      <w:r w:rsidR="001B7A67" w:rsidRPr="0099758C">
        <w:rPr>
          <w:rFonts w:hint="eastAsia"/>
          <w:b/>
          <w:snapToGrid/>
          <w:spacing w:val="-9"/>
          <w:kern w:val="0"/>
        </w:rPr>
        <w:t>被列為匯率操縱國觀察名單</w:t>
      </w:r>
    </w:p>
    <w:p w:rsidR="00087035" w:rsidRDefault="00B9366D" w:rsidP="00B9366D">
      <w:pPr>
        <w:pStyle w:val="21"/>
        <w:ind w:left="850" w:firstLine="566"/>
        <w:rPr>
          <w:rFonts w:hAnsi="標楷體"/>
        </w:rPr>
      </w:pPr>
      <w:r>
        <w:rPr>
          <w:rFonts w:hAnsi="標楷體" w:hint="eastAsia"/>
        </w:rPr>
        <w:t>按美國財政部</w:t>
      </w:r>
      <w:r w:rsidR="0099758C">
        <w:rPr>
          <w:rFonts w:hAnsi="標楷體" w:hint="eastAsia"/>
        </w:rPr>
        <w:t>每半年向國會提交「</w:t>
      </w:r>
      <w:r w:rsidRPr="00B9366D">
        <w:rPr>
          <w:rFonts w:hAnsi="標楷體" w:hint="eastAsia"/>
        </w:rPr>
        <w:t>美國主要貿易夥伴外匯政策報告」</w:t>
      </w:r>
      <w:r w:rsidR="00D9313C">
        <w:rPr>
          <w:rFonts w:hAnsi="標楷體" w:hint="eastAsia"/>
        </w:rPr>
        <w:t>(下稱</w:t>
      </w:r>
      <w:r w:rsidR="0099758C">
        <w:rPr>
          <w:rFonts w:hAnsi="標楷體" w:hint="eastAsia"/>
        </w:rPr>
        <w:t>「</w:t>
      </w:r>
      <w:r w:rsidR="002B7C32">
        <w:rPr>
          <w:rFonts w:hAnsi="標楷體" w:hint="eastAsia"/>
        </w:rPr>
        <w:t>外匯政策</w:t>
      </w:r>
      <w:r w:rsidR="00D9313C">
        <w:rPr>
          <w:rFonts w:hAnsi="標楷體" w:hint="eastAsia"/>
        </w:rPr>
        <w:t>報告</w:t>
      </w:r>
      <w:r w:rsidR="0099758C">
        <w:rPr>
          <w:rFonts w:hAnsi="標楷體" w:hint="eastAsia"/>
        </w:rPr>
        <w:t>」</w:t>
      </w:r>
      <w:r w:rsidR="00D9313C">
        <w:rPr>
          <w:rFonts w:hAnsi="標楷體" w:hint="eastAsia"/>
        </w:rPr>
        <w:t>)</w:t>
      </w:r>
      <w:r w:rsidRPr="00B9366D">
        <w:rPr>
          <w:rFonts w:hAnsi="標楷體" w:hint="eastAsia"/>
        </w:rPr>
        <w:t>，觀察主要貿易夥伴是否藉由匯率政策進行不公平貿易</w:t>
      </w:r>
      <w:r w:rsidRPr="00507BD2">
        <w:rPr>
          <w:rStyle w:val="af1"/>
          <w:rFonts w:hAnsi="標楷體"/>
        </w:rPr>
        <w:footnoteReference w:id="6"/>
      </w:r>
      <w:r>
        <w:rPr>
          <w:rFonts w:hAnsi="標楷體" w:hint="eastAsia"/>
        </w:rPr>
        <w:t>。</w:t>
      </w:r>
      <w:r w:rsidR="001B7A67" w:rsidRPr="00507BD2">
        <w:rPr>
          <w:rFonts w:hAnsi="標楷體" w:hint="eastAsia"/>
        </w:rPr>
        <w:t>我國自</w:t>
      </w:r>
      <w:r w:rsidR="00D9313C" w:rsidRPr="00D9313C">
        <w:rPr>
          <w:rFonts w:hAnsi="標楷體" w:hint="eastAsia"/>
        </w:rPr>
        <w:t>2017年4月</w:t>
      </w:r>
      <w:r w:rsidR="00D9313C">
        <w:rPr>
          <w:rFonts w:hAnsi="標楷體" w:hint="eastAsia"/>
        </w:rPr>
        <w:t>從</w:t>
      </w:r>
      <w:r w:rsidR="00D9313C" w:rsidRPr="00D9313C">
        <w:rPr>
          <w:rFonts w:hAnsi="標楷體" w:hint="eastAsia"/>
        </w:rPr>
        <w:t>匯率操縱觀察名單除名後，截至2024年8月底止，</w:t>
      </w:r>
      <w:r w:rsidR="00D9313C">
        <w:rPr>
          <w:rFonts w:hAnsi="標楷體" w:hint="eastAsia"/>
        </w:rPr>
        <w:t>計</w:t>
      </w:r>
      <w:r w:rsidR="00D9313C" w:rsidRPr="00D9313C">
        <w:rPr>
          <w:rFonts w:hAnsi="標楷體" w:hint="eastAsia"/>
        </w:rPr>
        <w:t>有6次被列為觀察名單，分別為2020年12月、2022年6月、2022年11月、2023年6月、2023年11月及2024年6月</w:t>
      </w:r>
      <w:r w:rsidR="00A62399">
        <w:rPr>
          <w:rFonts w:hAnsi="標楷體" w:hint="eastAsia"/>
        </w:rPr>
        <w:t>，2021年4月及12月共2次被列為密切磋商對象</w:t>
      </w:r>
      <w:r w:rsidR="00D9313C">
        <w:rPr>
          <w:rFonts w:hAnsi="標楷體" w:hint="eastAsia"/>
        </w:rPr>
        <w:t>(詳表1)</w:t>
      </w:r>
      <w:r w:rsidR="00740048">
        <w:rPr>
          <w:rFonts w:hAnsi="標楷體" w:hint="eastAsia"/>
        </w:rPr>
        <w:t>；</w:t>
      </w:r>
      <w:r w:rsidR="00A62399">
        <w:rPr>
          <w:rFonts w:hAnsi="標楷體" w:hint="eastAsia"/>
        </w:rPr>
        <w:t>最近一次(</w:t>
      </w:r>
      <w:r w:rsidR="00740048">
        <w:rPr>
          <w:rFonts w:hAnsi="標楷體" w:hint="eastAsia"/>
        </w:rPr>
        <w:t>2024年6月</w:t>
      </w:r>
      <w:r w:rsidR="00A62399">
        <w:rPr>
          <w:rFonts w:hAnsi="標楷體" w:hint="eastAsia"/>
        </w:rPr>
        <w:t>)</w:t>
      </w:r>
      <w:r w:rsidR="000B1739">
        <w:rPr>
          <w:rFonts w:hAnsi="標楷體" w:hint="eastAsia"/>
        </w:rPr>
        <w:t>「</w:t>
      </w:r>
      <w:r w:rsidR="002B7C32" w:rsidRPr="002B7C32">
        <w:rPr>
          <w:rFonts w:hAnsi="標楷體" w:hint="eastAsia"/>
        </w:rPr>
        <w:t>外匯政策報告</w:t>
      </w:r>
      <w:r w:rsidR="000B1739">
        <w:rPr>
          <w:rFonts w:hAnsi="標楷體" w:hint="eastAsia"/>
        </w:rPr>
        <w:t>」</w:t>
      </w:r>
      <w:r w:rsidR="00047D5D" w:rsidRPr="00047D5D">
        <w:rPr>
          <w:rFonts w:hAnsi="標楷體" w:hint="eastAsia"/>
        </w:rPr>
        <w:t>(檢視期間為2023年全年)，未將任何貿易對手國列為匯率操縱國，</w:t>
      </w:r>
      <w:r w:rsidR="00047D5D">
        <w:rPr>
          <w:rFonts w:hAnsi="標楷體" w:hint="eastAsia"/>
        </w:rPr>
        <w:t>我國</w:t>
      </w:r>
      <w:r w:rsidR="003D312E">
        <w:rPr>
          <w:rFonts w:hAnsi="標楷體" w:hint="eastAsia"/>
        </w:rPr>
        <w:t>則</w:t>
      </w:r>
      <w:r w:rsidR="00047D5D">
        <w:rPr>
          <w:rFonts w:hAnsi="標楷體" w:hint="eastAsia"/>
        </w:rPr>
        <w:t>與</w:t>
      </w:r>
      <w:r w:rsidR="00047D5D" w:rsidRPr="00047D5D">
        <w:rPr>
          <w:rFonts w:hAnsi="標楷體" w:hint="eastAsia"/>
        </w:rPr>
        <w:t>中國大陸、德國、馬來西亞、新加坡、越南、日本</w:t>
      </w:r>
      <w:r w:rsidR="00047D5D">
        <w:rPr>
          <w:rFonts w:hAnsi="標楷體" w:hint="eastAsia"/>
        </w:rPr>
        <w:t>等</w:t>
      </w:r>
      <w:r w:rsidR="00A62399">
        <w:rPr>
          <w:rFonts w:hAnsi="標楷體" w:hint="eastAsia"/>
        </w:rPr>
        <w:t>共</w:t>
      </w:r>
      <w:r w:rsidR="00047D5D">
        <w:rPr>
          <w:rFonts w:hAnsi="標楷體" w:hint="eastAsia"/>
        </w:rPr>
        <w:t>7個國家</w:t>
      </w:r>
      <w:r w:rsidR="003D312E">
        <w:rPr>
          <w:rFonts w:hAnsi="標楷體" w:hint="eastAsia"/>
        </w:rPr>
        <w:t>併</w:t>
      </w:r>
      <w:r w:rsidR="00047D5D" w:rsidRPr="00047D5D">
        <w:rPr>
          <w:rFonts w:hAnsi="標楷體" w:hint="eastAsia"/>
        </w:rPr>
        <w:t>列為觀察名單。</w:t>
      </w:r>
    </w:p>
    <w:p w:rsidR="00DA4E61" w:rsidRPr="00B04957" w:rsidRDefault="00DA4E61" w:rsidP="00B04957">
      <w:pPr>
        <w:pStyle w:val="ad"/>
        <w:ind w:left="283" w:hanging="283"/>
        <w:rPr>
          <w:b/>
        </w:rPr>
      </w:pPr>
      <w:r w:rsidRPr="00B04957">
        <w:rPr>
          <w:rFonts w:hint="eastAsia"/>
          <w:b/>
        </w:rPr>
        <w:t>表</w:t>
      </w:r>
      <w:r w:rsidRPr="00B04957">
        <w:rPr>
          <w:b/>
        </w:rPr>
        <w:t xml:space="preserve">1 </w:t>
      </w:r>
      <w:r w:rsidRPr="00B04957">
        <w:rPr>
          <w:rFonts w:hint="eastAsia"/>
          <w:b/>
        </w:rPr>
        <w:t>2017年4月後</w:t>
      </w:r>
      <w:r w:rsidRPr="00B04957">
        <w:rPr>
          <w:b/>
        </w:rPr>
        <w:t>我國歷次被列入</w:t>
      </w:r>
      <w:r w:rsidRPr="00B04957">
        <w:rPr>
          <w:rFonts w:hint="eastAsia"/>
          <w:b/>
        </w:rPr>
        <w:t>「匯率操縱國觀察名單」情形表</w:t>
      </w:r>
    </w:p>
    <w:tbl>
      <w:tblPr>
        <w:tblW w:w="4938" w:type="pct"/>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560"/>
        <w:gridCol w:w="1702"/>
        <w:gridCol w:w="3119"/>
        <w:gridCol w:w="2231"/>
      </w:tblGrid>
      <w:tr w:rsidR="00B04957" w:rsidRPr="00B04957" w:rsidTr="000E02F2">
        <w:tc>
          <w:tcPr>
            <w:tcW w:w="906" w:type="pct"/>
            <w:vMerge w:val="restart"/>
            <w:shd w:val="clear" w:color="auto" w:fill="F2F2F2"/>
            <w:vAlign w:val="center"/>
          </w:tcPr>
          <w:p w:rsidR="00B04957" w:rsidRPr="0086632E" w:rsidRDefault="00B04957" w:rsidP="00A52049">
            <w:pPr>
              <w:pStyle w:val="142"/>
              <w:jc w:val="both"/>
              <w:rPr>
                <w:rFonts w:hint="eastAsia"/>
                <w:sz w:val="22"/>
                <w:szCs w:val="22"/>
              </w:rPr>
            </w:pPr>
            <w:r w:rsidRPr="0086632E">
              <w:rPr>
                <w:rFonts w:hint="eastAsia"/>
                <w:sz w:val="22"/>
                <w:szCs w:val="22"/>
              </w:rPr>
              <w:t>報告發布日期</w:t>
            </w:r>
          </w:p>
        </w:tc>
        <w:tc>
          <w:tcPr>
            <w:tcW w:w="4094" w:type="pct"/>
            <w:gridSpan w:val="3"/>
            <w:shd w:val="clear" w:color="auto" w:fill="F2F2F2"/>
          </w:tcPr>
          <w:p w:rsidR="00B04957" w:rsidRPr="0086632E" w:rsidRDefault="00B04957" w:rsidP="0086632E">
            <w:pPr>
              <w:pStyle w:val="142"/>
              <w:jc w:val="center"/>
              <w:rPr>
                <w:rFonts w:hint="eastAsia"/>
                <w:sz w:val="22"/>
                <w:szCs w:val="22"/>
              </w:rPr>
            </w:pPr>
            <w:r w:rsidRPr="0086632E">
              <w:rPr>
                <w:rFonts w:hint="eastAsia"/>
                <w:sz w:val="22"/>
                <w:szCs w:val="22"/>
              </w:rPr>
              <w:t>檢視標準</w:t>
            </w:r>
          </w:p>
        </w:tc>
      </w:tr>
      <w:tr w:rsidR="00B04957" w:rsidRPr="00B04957" w:rsidTr="000E02F2">
        <w:tc>
          <w:tcPr>
            <w:tcW w:w="906" w:type="pct"/>
            <w:vMerge/>
            <w:shd w:val="clear" w:color="auto" w:fill="F2F2F2"/>
          </w:tcPr>
          <w:p w:rsidR="00B04957" w:rsidRPr="0086632E" w:rsidRDefault="00B04957" w:rsidP="0086632E">
            <w:pPr>
              <w:pStyle w:val="142"/>
              <w:rPr>
                <w:rFonts w:hint="eastAsia"/>
                <w:sz w:val="22"/>
                <w:szCs w:val="22"/>
              </w:rPr>
            </w:pPr>
          </w:p>
        </w:tc>
        <w:tc>
          <w:tcPr>
            <w:tcW w:w="988" w:type="pct"/>
            <w:shd w:val="clear" w:color="auto" w:fill="F2F2F2"/>
            <w:vAlign w:val="center"/>
          </w:tcPr>
          <w:p w:rsidR="00B04957" w:rsidRPr="0086632E" w:rsidRDefault="00B04957" w:rsidP="00A52049">
            <w:pPr>
              <w:pStyle w:val="142"/>
              <w:jc w:val="both"/>
              <w:rPr>
                <w:rFonts w:hint="eastAsia"/>
                <w:sz w:val="22"/>
                <w:szCs w:val="22"/>
              </w:rPr>
            </w:pPr>
            <w:r w:rsidRPr="0086632E">
              <w:rPr>
                <w:rFonts w:hint="eastAsia"/>
                <w:sz w:val="22"/>
                <w:szCs w:val="22"/>
              </w:rPr>
              <w:t>對美國商品貿易出超&gt;200億美元</w:t>
            </w:r>
          </w:p>
        </w:tc>
        <w:tc>
          <w:tcPr>
            <w:tcW w:w="1811" w:type="pct"/>
            <w:shd w:val="clear" w:color="auto" w:fill="F2F2F2"/>
            <w:vAlign w:val="center"/>
          </w:tcPr>
          <w:p w:rsidR="00B04957" w:rsidRPr="0086632E" w:rsidRDefault="00B04957" w:rsidP="00A52049">
            <w:pPr>
              <w:pStyle w:val="142"/>
              <w:jc w:val="center"/>
              <w:rPr>
                <w:rFonts w:hint="eastAsia"/>
                <w:sz w:val="22"/>
                <w:szCs w:val="22"/>
              </w:rPr>
            </w:pPr>
            <w:r w:rsidRPr="0086632E">
              <w:rPr>
                <w:rFonts w:hint="eastAsia"/>
                <w:sz w:val="22"/>
                <w:szCs w:val="22"/>
              </w:rPr>
              <w:t>經常帳順差占</w:t>
            </w:r>
            <w:r w:rsidRPr="0086632E">
              <w:rPr>
                <w:sz w:val="22"/>
                <w:szCs w:val="22"/>
              </w:rPr>
              <w:t>GDP</w:t>
            </w:r>
            <w:r w:rsidRPr="0086632E">
              <w:rPr>
                <w:rFonts w:hint="eastAsia"/>
                <w:sz w:val="22"/>
                <w:szCs w:val="22"/>
              </w:rPr>
              <w:t>比重&gt;</w:t>
            </w:r>
            <w:r w:rsidRPr="0086632E">
              <w:rPr>
                <w:sz w:val="22"/>
                <w:szCs w:val="22"/>
              </w:rPr>
              <w:t>2%</w:t>
            </w:r>
          </w:p>
        </w:tc>
        <w:tc>
          <w:tcPr>
            <w:tcW w:w="1295" w:type="pct"/>
            <w:shd w:val="clear" w:color="auto" w:fill="F2F2F2"/>
            <w:vAlign w:val="center"/>
          </w:tcPr>
          <w:p w:rsidR="00B04957" w:rsidRPr="0086632E" w:rsidRDefault="00A62399" w:rsidP="00A52049">
            <w:pPr>
              <w:pStyle w:val="142"/>
              <w:jc w:val="both"/>
              <w:rPr>
                <w:rFonts w:hint="eastAsia"/>
                <w:sz w:val="22"/>
                <w:szCs w:val="22"/>
              </w:rPr>
            </w:pPr>
            <w:r>
              <w:rPr>
                <w:rFonts w:hint="eastAsia"/>
                <w:sz w:val="22"/>
                <w:szCs w:val="22"/>
              </w:rPr>
              <w:t>淨</w:t>
            </w:r>
            <w:r w:rsidR="00B04957" w:rsidRPr="0086632E">
              <w:rPr>
                <w:rFonts w:hint="eastAsia"/>
                <w:sz w:val="22"/>
                <w:szCs w:val="22"/>
              </w:rPr>
              <w:t>買匯金額對</w:t>
            </w:r>
            <w:r w:rsidR="00B04957" w:rsidRPr="0086632E">
              <w:rPr>
                <w:sz w:val="22"/>
                <w:szCs w:val="22"/>
              </w:rPr>
              <w:t>GDP</w:t>
            </w:r>
            <w:r w:rsidR="00B04957" w:rsidRPr="0086632E">
              <w:rPr>
                <w:rFonts w:hint="eastAsia"/>
                <w:sz w:val="22"/>
                <w:szCs w:val="22"/>
              </w:rPr>
              <w:t>比率逾2%，且12個月中有6個月(含)以上為淨買匯</w:t>
            </w:r>
          </w:p>
        </w:tc>
      </w:tr>
      <w:tr w:rsidR="00B04957" w:rsidRPr="00B04957" w:rsidTr="00A52049">
        <w:tc>
          <w:tcPr>
            <w:tcW w:w="906" w:type="pct"/>
            <w:tcBorders>
              <w:bottom w:val="single" w:sz="4" w:space="0" w:color="auto"/>
            </w:tcBorders>
            <w:shd w:val="clear" w:color="auto" w:fill="auto"/>
          </w:tcPr>
          <w:p w:rsidR="00B04957" w:rsidRPr="0086632E" w:rsidRDefault="00B04957" w:rsidP="0086632E">
            <w:pPr>
              <w:pStyle w:val="142"/>
              <w:rPr>
                <w:rFonts w:hint="eastAsia"/>
                <w:sz w:val="22"/>
                <w:szCs w:val="22"/>
              </w:rPr>
            </w:pPr>
            <w:r w:rsidRPr="0086632E">
              <w:rPr>
                <w:sz w:val="22"/>
                <w:szCs w:val="22"/>
              </w:rPr>
              <w:t>2020</w:t>
            </w:r>
            <w:r w:rsidRPr="0086632E">
              <w:rPr>
                <w:rFonts w:hint="eastAsia"/>
                <w:sz w:val="22"/>
                <w:szCs w:val="22"/>
              </w:rPr>
              <w:t>年</w:t>
            </w:r>
            <w:r w:rsidRPr="0086632E">
              <w:rPr>
                <w:sz w:val="22"/>
                <w:szCs w:val="22"/>
              </w:rPr>
              <w:t>12</w:t>
            </w:r>
            <w:r w:rsidRPr="0086632E">
              <w:rPr>
                <w:rFonts w:hint="eastAsia"/>
                <w:sz w:val="22"/>
                <w:szCs w:val="22"/>
              </w:rPr>
              <w:t>月</w:t>
            </w:r>
          </w:p>
        </w:tc>
        <w:tc>
          <w:tcPr>
            <w:tcW w:w="988" w:type="pct"/>
            <w:tcBorders>
              <w:bottom w:val="single" w:sz="4" w:space="0" w:color="auto"/>
            </w:tcBorders>
            <w:shd w:val="clear" w:color="auto" w:fill="auto"/>
          </w:tcPr>
          <w:p w:rsidR="00B04957" w:rsidRPr="0086632E" w:rsidRDefault="00B04957" w:rsidP="0086632E">
            <w:pPr>
              <w:pStyle w:val="142"/>
              <w:rPr>
                <w:rFonts w:hint="eastAsia"/>
                <w:b/>
                <w:sz w:val="22"/>
                <w:szCs w:val="22"/>
              </w:rPr>
            </w:pPr>
            <w:r w:rsidRPr="0086632E">
              <w:rPr>
                <w:rFonts w:hint="eastAsia"/>
                <w:b/>
                <w:sz w:val="22"/>
                <w:szCs w:val="22"/>
              </w:rPr>
              <w:t>250億美元</w:t>
            </w:r>
          </w:p>
        </w:tc>
        <w:tc>
          <w:tcPr>
            <w:tcW w:w="1811" w:type="pct"/>
            <w:tcBorders>
              <w:bottom w:val="single" w:sz="4" w:space="0" w:color="auto"/>
            </w:tcBorders>
            <w:shd w:val="clear" w:color="auto" w:fill="auto"/>
          </w:tcPr>
          <w:p w:rsidR="00B04957" w:rsidRPr="0086632E" w:rsidRDefault="00B04957" w:rsidP="0086632E">
            <w:pPr>
              <w:pStyle w:val="142"/>
              <w:rPr>
                <w:rFonts w:hint="eastAsia"/>
                <w:b/>
                <w:sz w:val="22"/>
                <w:szCs w:val="22"/>
              </w:rPr>
            </w:pPr>
            <w:r w:rsidRPr="0086632E">
              <w:rPr>
                <w:b/>
                <w:sz w:val="22"/>
                <w:szCs w:val="22"/>
              </w:rPr>
              <w:t>10.9%</w:t>
            </w:r>
          </w:p>
        </w:tc>
        <w:tc>
          <w:tcPr>
            <w:tcW w:w="1295" w:type="pct"/>
            <w:tcBorders>
              <w:bottom w:val="single" w:sz="4" w:space="0" w:color="auto"/>
            </w:tcBorders>
            <w:shd w:val="clear" w:color="auto" w:fill="auto"/>
          </w:tcPr>
          <w:p w:rsidR="00B04957" w:rsidRPr="0086632E" w:rsidRDefault="00B04957" w:rsidP="0086632E">
            <w:pPr>
              <w:pStyle w:val="142"/>
              <w:rPr>
                <w:rFonts w:hint="eastAsia"/>
                <w:sz w:val="22"/>
                <w:szCs w:val="22"/>
              </w:rPr>
            </w:pPr>
            <w:r w:rsidRPr="0086632E">
              <w:rPr>
                <w:rFonts w:hint="eastAsia"/>
                <w:sz w:val="22"/>
                <w:szCs w:val="22"/>
              </w:rPr>
              <w:t>1.7%；是</w:t>
            </w:r>
          </w:p>
        </w:tc>
      </w:tr>
      <w:tr w:rsidR="00B04957" w:rsidRPr="00B04957" w:rsidTr="00A52049">
        <w:tc>
          <w:tcPr>
            <w:tcW w:w="906" w:type="pct"/>
            <w:tcBorders>
              <w:top w:val="single" w:sz="4" w:space="0" w:color="auto"/>
              <w:bottom w:val="double" w:sz="4" w:space="0" w:color="auto"/>
            </w:tcBorders>
            <w:shd w:val="clear" w:color="auto" w:fill="auto"/>
          </w:tcPr>
          <w:p w:rsidR="00B04957" w:rsidRPr="0086632E" w:rsidRDefault="00B04957" w:rsidP="0086632E">
            <w:pPr>
              <w:pStyle w:val="142"/>
              <w:rPr>
                <w:rFonts w:hint="eastAsia"/>
                <w:sz w:val="22"/>
                <w:szCs w:val="22"/>
              </w:rPr>
            </w:pPr>
            <w:r w:rsidRPr="0086632E">
              <w:rPr>
                <w:sz w:val="22"/>
                <w:szCs w:val="22"/>
              </w:rPr>
              <w:t>2021</w:t>
            </w:r>
            <w:r w:rsidRPr="0086632E">
              <w:rPr>
                <w:rFonts w:hint="eastAsia"/>
                <w:sz w:val="22"/>
                <w:szCs w:val="22"/>
              </w:rPr>
              <w:t>年</w:t>
            </w:r>
            <w:r w:rsidRPr="0086632E">
              <w:rPr>
                <w:sz w:val="22"/>
                <w:szCs w:val="22"/>
              </w:rPr>
              <w:t>4</w:t>
            </w:r>
            <w:r w:rsidRPr="0086632E">
              <w:rPr>
                <w:rFonts w:hint="eastAsia"/>
                <w:sz w:val="22"/>
                <w:szCs w:val="22"/>
              </w:rPr>
              <w:t>月</w:t>
            </w:r>
          </w:p>
        </w:tc>
        <w:tc>
          <w:tcPr>
            <w:tcW w:w="988" w:type="pct"/>
            <w:tcBorders>
              <w:top w:val="single" w:sz="4" w:space="0" w:color="auto"/>
              <w:bottom w:val="double" w:sz="4" w:space="0" w:color="auto"/>
            </w:tcBorders>
            <w:shd w:val="clear" w:color="auto" w:fill="auto"/>
          </w:tcPr>
          <w:p w:rsidR="00B04957" w:rsidRPr="0086632E" w:rsidRDefault="00B04957" w:rsidP="0086632E">
            <w:pPr>
              <w:pStyle w:val="142"/>
              <w:rPr>
                <w:rFonts w:hint="eastAsia"/>
                <w:b/>
                <w:sz w:val="22"/>
                <w:szCs w:val="22"/>
              </w:rPr>
            </w:pPr>
            <w:r w:rsidRPr="0086632E">
              <w:rPr>
                <w:rFonts w:hint="eastAsia"/>
                <w:b/>
                <w:sz w:val="22"/>
                <w:szCs w:val="22"/>
              </w:rPr>
              <w:t>300億美元</w:t>
            </w:r>
          </w:p>
        </w:tc>
        <w:tc>
          <w:tcPr>
            <w:tcW w:w="1811" w:type="pct"/>
            <w:tcBorders>
              <w:top w:val="single" w:sz="4" w:space="0" w:color="auto"/>
              <w:bottom w:val="double" w:sz="4" w:space="0" w:color="auto"/>
            </w:tcBorders>
            <w:shd w:val="clear" w:color="auto" w:fill="auto"/>
          </w:tcPr>
          <w:p w:rsidR="00B04957" w:rsidRPr="0086632E" w:rsidRDefault="00B04957" w:rsidP="0086632E">
            <w:pPr>
              <w:pStyle w:val="142"/>
              <w:rPr>
                <w:rFonts w:hint="eastAsia"/>
                <w:b/>
                <w:sz w:val="22"/>
                <w:szCs w:val="22"/>
              </w:rPr>
            </w:pPr>
            <w:r w:rsidRPr="0086632E">
              <w:rPr>
                <w:b/>
                <w:sz w:val="22"/>
                <w:szCs w:val="22"/>
              </w:rPr>
              <w:t>14.1%</w:t>
            </w:r>
          </w:p>
        </w:tc>
        <w:tc>
          <w:tcPr>
            <w:tcW w:w="1295" w:type="pct"/>
            <w:tcBorders>
              <w:top w:val="single" w:sz="4" w:space="0" w:color="auto"/>
              <w:bottom w:val="double" w:sz="4" w:space="0" w:color="auto"/>
            </w:tcBorders>
            <w:shd w:val="clear" w:color="auto" w:fill="auto"/>
          </w:tcPr>
          <w:p w:rsidR="00B04957" w:rsidRPr="0086632E" w:rsidRDefault="00B04957" w:rsidP="0086632E">
            <w:pPr>
              <w:pStyle w:val="142"/>
              <w:rPr>
                <w:rFonts w:hint="eastAsia"/>
                <w:b/>
                <w:sz w:val="22"/>
                <w:szCs w:val="22"/>
              </w:rPr>
            </w:pPr>
            <w:r w:rsidRPr="0086632E">
              <w:rPr>
                <w:rFonts w:hint="eastAsia"/>
                <w:b/>
                <w:sz w:val="22"/>
                <w:szCs w:val="22"/>
              </w:rPr>
              <w:t>5.8%；是</w:t>
            </w:r>
          </w:p>
        </w:tc>
      </w:tr>
      <w:tr w:rsidR="00B04957" w:rsidRPr="00B04957" w:rsidTr="000E02F2">
        <w:tc>
          <w:tcPr>
            <w:tcW w:w="906" w:type="pct"/>
            <w:tcBorders>
              <w:top w:val="double" w:sz="4" w:space="0" w:color="auto"/>
            </w:tcBorders>
            <w:shd w:val="clear" w:color="auto" w:fill="F2F2F2"/>
            <w:vAlign w:val="center"/>
          </w:tcPr>
          <w:p w:rsidR="00B04957" w:rsidRPr="0086632E" w:rsidRDefault="00B04957" w:rsidP="00A52049">
            <w:pPr>
              <w:pStyle w:val="142"/>
              <w:jc w:val="center"/>
              <w:rPr>
                <w:rFonts w:hint="eastAsia"/>
                <w:sz w:val="22"/>
                <w:szCs w:val="22"/>
              </w:rPr>
            </w:pPr>
            <w:r w:rsidRPr="0086632E">
              <w:rPr>
                <w:rFonts w:hint="eastAsia"/>
                <w:sz w:val="22"/>
                <w:szCs w:val="22"/>
              </w:rPr>
              <w:t>報告發布日期</w:t>
            </w:r>
          </w:p>
        </w:tc>
        <w:tc>
          <w:tcPr>
            <w:tcW w:w="988" w:type="pct"/>
            <w:tcBorders>
              <w:top w:val="double" w:sz="4" w:space="0" w:color="auto"/>
            </w:tcBorders>
            <w:shd w:val="clear" w:color="auto" w:fill="F2F2F2"/>
            <w:vAlign w:val="center"/>
          </w:tcPr>
          <w:p w:rsidR="00B04957" w:rsidRPr="0086632E" w:rsidRDefault="00B04957" w:rsidP="00A52049">
            <w:pPr>
              <w:pStyle w:val="142"/>
              <w:jc w:val="both"/>
              <w:rPr>
                <w:rFonts w:hint="eastAsia"/>
                <w:sz w:val="22"/>
                <w:szCs w:val="22"/>
              </w:rPr>
            </w:pPr>
            <w:r w:rsidRPr="0086632E">
              <w:rPr>
                <w:rFonts w:hint="eastAsia"/>
                <w:sz w:val="22"/>
                <w:szCs w:val="22"/>
              </w:rPr>
              <w:t>對美商品與服務順差&gt;150億美元</w:t>
            </w:r>
          </w:p>
        </w:tc>
        <w:tc>
          <w:tcPr>
            <w:tcW w:w="1811" w:type="pct"/>
            <w:tcBorders>
              <w:top w:val="double" w:sz="4" w:space="0" w:color="auto"/>
            </w:tcBorders>
            <w:shd w:val="clear" w:color="auto" w:fill="F2F2F2"/>
            <w:vAlign w:val="center"/>
          </w:tcPr>
          <w:p w:rsidR="00B04957" w:rsidRPr="0086632E" w:rsidRDefault="00B04957" w:rsidP="00A52049">
            <w:pPr>
              <w:pStyle w:val="142"/>
              <w:rPr>
                <w:sz w:val="22"/>
                <w:szCs w:val="22"/>
              </w:rPr>
            </w:pPr>
            <w:r w:rsidRPr="0086632E">
              <w:rPr>
                <w:rFonts w:hint="eastAsia"/>
                <w:sz w:val="22"/>
                <w:szCs w:val="22"/>
              </w:rPr>
              <w:t>1.經常帳順差占</w:t>
            </w:r>
            <w:r w:rsidRPr="0086632E">
              <w:rPr>
                <w:sz w:val="22"/>
                <w:szCs w:val="22"/>
              </w:rPr>
              <w:t>GDP</w:t>
            </w:r>
            <w:r w:rsidRPr="0086632E">
              <w:rPr>
                <w:rFonts w:hint="eastAsia"/>
                <w:sz w:val="22"/>
                <w:szCs w:val="22"/>
              </w:rPr>
              <w:t>比重&gt;</w:t>
            </w:r>
            <w:r w:rsidRPr="0086632E">
              <w:rPr>
                <w:sz w:val="22"/>
                <w:szCs w:val="22"/>
              </w:rPr>
              <w:t>3%</w:t>
            </w:r>
          </w:p>
          <w:p w:rsidR="00B04957" w:rsidRPr="0086632E" w:rsidRDefault="00B04957" w:rsidP="00A52049">
            <w:pPr>
              <w:pStyle w:val="142"/>
              <w:ind w:leftChars="1" w:left="215" w:hangingChars="95" w:hanging="212"/>
              <w:jc w:val="both"/>
              <w:rPr>
                <w:rFonts w:hint="eastAsia"/>
                <w:sz w:val="22"/>
                <w:szCs w:val="22"/>
              </w:rPr>
            </w:pPr>
            <w:r w:rsidRPr="0086632E">
              <w:rPr>
                <w:sz w:val="22"/>
                <w:szCs w:val="22"/>
              </w:rPr>
              <w:t>2.</w:t>
            </w:r>
            <w:r w:rsidRPr="0086632E">
              <w:rPr>
                <w:rFonts w:hint="eastAsia"/>
                <w:sz w:val="22"/>
                <w:szCs w:val="22"/>
              </w:rPr>
              <w:t>依美國財政部模型估算經常帳缺口對GDP比率逾</w:t>
            </w:r>
            <w:r w:rsidRPr="0086632E">
              <w:rPr>
                <w:sz w:val="22"/>
                <w:szCs w:val="22"/>
              </w:rPr>
              <w:t>1</w:t>
            </w:r>
            <w:r w:rsidRPr="0086632E">
              <w:rPr>
                <w:rFonts w:hint="eastAsia"/>
                <w:sz w:val="22"/>
                <w:szCs w:val="22"/>
              </w:rPr>
              <w:t>個百分點</w:t>
            </w:r>
          </w:p>
        </w:tc>
        <w:tc>
          <w:tcPr>
            <w:tcW w:w="1295" w:type="pct"/>
            <w:tcBorders>
              <w:top w:val="double" w:sz="4" w:space="0" w:color="auto"/>
            </w:tcBorders>
            <w:shd w:val="clear" w:color="auto" w:fill="F2F2F2"/>
            <w:vAlign w:val="center"/>
          </w:tcPr>
          <w:p w:rsidR="00B04957" w:rsidRPr="0086632E" w:rsidRDefault="00B04957" w:rsidP="00A52049">
            <w:pPr>
              <w:pStyle w:val="142"/>
              <w:jc w:val="both"/>
              <w:rPr>
                <w:rFonts w:hint="eastAsia"/>
                <w:sz w:val="22"/>
                <w:szCs w:val="22"/>
              </w:rPr>
            </w:pPr>
            <w:r w:rsidRPr="0086632E">
              <w:rPr>
                <w:rFonts w:hint="eastAsia"/>
                <w:sz w:val="22"/>
                <w:szCs w:val="22"/>
              </w:rPr>
              <w:t>淨買匯金額占</w:t>
            </w:r>
            <w:r w:rsidRPr="0086632E">
              <w:rPr>
                <w:sz w:val="22"/>
                <w:szCs w:val="22"/>
              </w:rPr>
              <w:t>GDP</w:t>
            </w:r>
            <w:r w:rsidRPr="0086632E">
              <w:rPr>
                <w:rFonts w:hint="eastAsia"/>
                <w:sz w:val="22"/>
                <w:szCs w:val="22"/>
              </w:rPr>
              <w:t>比重&gt;2</w:t>
            </w:r>
            <w:r w:rsidRPr="0086632E">
              <w:rPr>
                <w:sz w:val="22"/>
                <w:szCs w:val="22"/>
              </w:rPr>
              <w:t>%，</w:t>
            </w:r>
            <w:r w:rsidRPr="0086632E">
              <w:rPr>
                <w:rFonts w:hint="eastAsia"/>
                <w:sz w:val="22"/>
                <w:szCs w:val="22"/>
              </w:rPr>
              <w:t>且12個月中有8個月(含)以上為淨買匯</w:t>
            </w:r>
          </w:p>
        </w:tc>
      </w:tr>
      <w:tr w:rsidR="00B04957" w:rsidRPr="00B04957" w:rsidTr="0086632E">
        <w:tc>
          <w:tcPr>
            <w:tcW w:w="906" w:type="pct"/>
            <w:shd w:val="clear" w:color="auto" w:fill="auto"/>
          </w:tcPr>
          <w:p w:rsidR="00B04957" w:rsidRPr="0086632E" w:rsidRDefault="00B04957" w:rsidP="0086632E">
            <w:pPr>
              <w:pStyle w:val="142"/>
              <w:rPr>
                <w:rFonts w:hint="eastAsia"/>
                <w:sz w:val="22"/>
                <w:szCs w:val="22"/>
              </w:rPr>
            </w:pPr>
            <w:r w:rsidRPr="0086632E">
              <w:rPr>
                <w:sz w:val="22"/>
                <w:szCs w:val="22"/>
              </w:rPr>
              <w:t>2021</w:t>
            </w:r>
            <w:r w:rsidRPr="0086632E">
              <w:rPr>
                <w:rFonts w:hint="eastAsia"/>
                <w:sz w:val="22"/>
                <w:szCs w:val="22"/>
              </w:rPr>
              <w:t>年</w:t>
            </w:r>
            <w:r w:rsidRPr="0086632E">
              <w:rPr>
                <w:sz w:val="22"/>
                <w:szCs w:val="22"/>
              </w:rPr>
              <w:t>12</w:t>
            </w:r>
            <w:r w:rsidRPr="0086632E">
              <w:rPr>
                <w:rFonts w:hint="eastAsia"/>
                <w:sz w:val="22"/>
                <w:szCs w:val="22"/>
              </w:rPr>
              <w:t>月</w:t>
            </w:r>
          </w:p>
        </w:tc>
        <w:tc>
          <w:tcPr>
            <w:tcW w:w="988" w:type="pct"/>
            <w:shd w:val="clear" w:color="auto" w:fill="auto"/>
          </w:tcPr>
          <w:p w:rsidR="00B04957" w:rsidRPr="0086632E" w:rsidRDefault="00B04957" w:rsidP="0086632E">
            <w:pPr>
              <w:pStyle w:val="142"/>
              <w:rPr>
                <w:rFonts w:hint="eastAsia"/>
                <w:b/>
                <w:sz w:val="22"/>
                <w:szCs w:val="22"/>
              </w:rPr>
            </w:pPr>
            <w:r w:rsidRPr="0086632E">
              <w:rPr>
                <w:rFonts w:hint="eastAsia"/>
                <w:b/>
                <w:sz w:val="22"/>
                <w:szCs w:val="22"/>
              </w:rPr>
              <w:t>320億美元</w:t>
            </w:r>
          </w:p>
        </w:tc>
        <w:tc>
          <w:tcPr>
            <w:tcW w:w="1811" w:type="pct"/>
            <w:shd w:val="clear" w:color="auto" w:fill="auto"/>
          </w:tcPr>
          <w:p w:rsidR="00B04957" w:rsidRPr="0086632E" w:rsidRDefault="00B04957" w:rsidP="0086632E">
            <w:pPr>
              <w:pStyle w:val="142"/>
              <w:rPr>
                <w:b/>
                <w:sz w:val="22"/>
                <w:szCs w:val="22"/>
              </w:rPr>
            </w:pPr>
            <w:r w:rsidRPr="0086632E">
              <w:rPr>
                <w:b/>
                <w:sz w:val="22"/>
                <w:szCs w:val="22"/>
              </w:rPr>
              <w:t>1.15.3%</w:t>
            </w:r>
          </w:p>
          <w:p w:rsidR="00B04957" w:rsidRPr="0086632E" w:rsidRDefault="00B04957" w:rsidP="0086632E">
            <w:pPr>
              <w:pStyle w:val="142"/>
              <w:rPr>
                <w:rFonts w:hint="eastAsia"/>
                <w:b/>
                <w:sz w:val="22"/>
                <w:szCs w:val="22"/>
              </w:rPr>
            </w:pPr>
            <w:r w:rsidRPr="0086632E">
              <w:rPr>
                <w:b/>
                <w:sz w:val="22"/>
                <w:szCs w:val="22"/>
              </w:rPr>
              <w:t>2.</w:t>
            </w:r>
            <w:r w:rsidRPr="0086632E">
              <w:rPr>
                <w:rFonts w:hint="eastAsia"/>
                <w:b/>
                <w:sz w:val="22"/>
                <w:szCs w:val="22"/>
              </w:rPr>
              <w:t>7.0個百分點</w:t>
            </w:r>
          </w:p>
        </w:tc>
        <w:tc>
          <w:tcPr>
            <w:tcW w:w="1295" w:type="pct"/>
            <w:shd w:val="clear" w:color="auto" w:fill="auto"/>
          </w:tcPr>
          <w:p w:rsidR="00B04957" w:rsidRPr="0086632E" w:rsidRDefault="00B04957" w:rsidP="0086632E">
            <w:pPr>
              <w:pStyle w:val="142"/>
              <w:rPr>
                <w:rFonts w:hint="eastAsia"/>
                <w:b/>
                <w:sz w:val="22"/>
                <w:szCs w:val="22"/>
              </w:rPr>
            </w:pPr>
            <w:r w:rsidRPr="0086632E">
              <w:rPr>
                <w:rFonts w:hint="eastAsia"/>
                <w:b/>
                <w:sz w:val="22"/>
                <w:szCs w:val="22"/>
              </w:rPr>
              <w:t>6.0%；是</w:t>
            </w:r>
          </w:p>
        </w:tc>
      </w:tr>
      <w:tr w:rsidR="00B04957" w:rsidRPr="00B04957" w:rsidTr="0086632E">
        <w:tc>
          <w:tcPr>
            <w:tcW w:w="906" w:type="pct"/>
            <w:shd w:val="clear" w:color="auto" w:fill="auto"/>
          </w:tcPr>
          <w:p w:rsidR="00B04957" w:rsidRPr="0086632E" w:rsidRDefault="00B04957" w:rsidP="0086632E">
            <w:pPr>
              <w:pStyle w:val="142"/>
              <w:rPr>
                <w:rFonts w:hint="eastAsia"/>
                <w:sz w:val="22"/>
                <w:szCs w:val="22"/>
              </w:rPr>
            </w:pPr>
            <w:r w:rsidRPr="0086632E">
              <w:rPr>
                <w:sz w:val="22"/>
                <w:szCs w:val="22"/>
              </w:rPr>
              <w:t>2022</w:t>
            </w:r>
            <w:r w:rsidRPr="0086632E">
              <w:rPr>
                <w:rFonts w:hint="eastAsia"/>
                <w:sz w:val="22"/>
                <w:szCs w:val="22"/>
              </w:rPr>
              <w:t>年</w:t>
            </w:r>
            <w:r w:rsidRPr="0086632E">
              <w:rPr>
                <w:sz w:val="22"/>
                <w:szCs w:val="22"/>
              </w:rPr>
              <w:t>6</w:t>
            </w:r>
            <w:r w:rsidRPr="0086632E">
              <w:rPr>
                <w:rFonts w:hint="eastAsia"/>
                <w:sz w:val="22"/>
                <w:szCs w:val="22"/>
              </w:rPr>
              <w:t>月</w:t>
            </w:r>
          </w:p>
        </w:tc>
        <w:tc>
          <w:tcPr>
            <w:tcW w:w="988" w:type="pct"/>
            <w:shd w:val="clear" w:color="auto" w:fill="auto"/>
          </w:tcPr>
          <w:p w:rsidR="00B04957" w:rsidRPr="0086632E" w:rsidRDefault="00B04957" w:rsidP="0086632E">
            <w:pPr>
              <w:pStyle w:val="142"/>
              <w:rPr>
                <w:rFonts w:hint="eastAsia"/>
                <w:b/>
                <w:sz w:val="22"/>
                <w:szCs w:val="22"/>
              </w:rPr>
            </w:pPr>
            <w:r w:rsidRPr="0086632E">
              <w:rPr>
                <w:rFonts w:hint="eastAsia"/>
                <w:b/>
                <w:sz w:val="22"/>
                <w:szCs w:val="22"/>
              </w:rPr>
              <w:t>400億美元</w:t>
            </w:r>
          </w:p>
        </w:tc>
        <w:tc>
          <w:tcPr>
            <w:tcW w:w="1811" w:type="pct"/>
            <w:shd w:val="clear" w:color="auto" w:fill="auto"/>
          </w:tcPr>
          <w:p w:rsidR="00B04957" w:rsidRPr="0086632E" w:rsidRDefault="00B04957" w:rsidP="0086632E">
            <w:pPr>
              <w:pStyle w:val="142"/>
              <w:rPr>
                <w:b/>
                <w:sz w:val="22"/>
                <w:szCs w:val="22"/>
              </w:rPr>
            </w:pPr>
            <w:r w:rsidRPr="0086632E">
              <w:rPr>
                <w:b/>
                <w:sz w:val="22"/>
                <w:szCs w:val="22"/>
              </w:rPr>
              <w:t>1.14.8%</w:t>
            </w:r>
          </w:p>
          <w:p w:rsidR="00B04957" w:rsidRPr="0086632E" w:rsidRDefault="00B04957" w:rsidP="0086632E">
            <w:pPr>
              <w:pStyle w:val="142"/>
              <w:rPr>
                <w:rFonts w:hint="eastAsia"/>
                <w:b/>
                <w:sz w:val="22"/>
                <w:szCs w:val="22"/>
              </w:rPr>
            </w:pPr>
            <w:r w:rsidRPr="0086632E">
              <w:rPr>
                <w:b/>
                <w:sz w:val="22"/>
                <w:szCs w:val="22"/>
              </w:rPr>
              <w:t>2.</w:t>
            </w:r>
            <w:r w:rsidRPr="0086632E">
              <w:rPr>
                <w:rFonts w:hint="eastAsia"/>
                <w:b/>
                <w:sz w:val="22"/>
                <w:szCs w:val="22"/>
              </w:rPr>
              <w:t>7.4個百分點</w:t>
            </w:r>
          </w:p>
        </w:tc>
        <w:tc>
          <w:tcPr>
            <w:tcW w:w="1295" w:type="pct"/>
            <w:shd w:val="clear" w:color="auto" w:fill="auto"/>
          </w:tcPr>
          <w:p w:rsidR="00B04957" w:rsidRPr="0086632E" w:rsidRDefault="00B04957" w:rsidP="0086632E">
            <w:pPr>
              <w:pStyle w:val="142"/>
              <w:rPr>
                <w:rFonts w:hint="eastAsia"/>
                <w:b/>
                <w:sz w:val="22"/>
                <w:szCs w:val="22"/>
              </w:rPr>
            </w:pPr>
            <w:r w:rsidRPr="0086632E">
              <w:rPr>
                <w:rFonts w:hint="eastAsia"/>
                <w:b/>
                <w:sz w:val="22"/>
                <w:szCs w:val="22"/>
              </w:rPr>
              <w:t>1.2%；是</w:t>
            </w:r>
          </w:p>
        </w:tc>
      </w:tr>
      <w:tr w:rsidR="00B04957" w:rsidRPr="00B04957" w:rsidTr="0086632E">
        <w:tc>
          <w:tcPr>
            <w:tcW w:w="906" w:type="pct"/>
            <w:shd w:val="clear" w:color="auto" w:fill="auto"/>
          </w:tcPr>
          <w:p w:rsidR="00B04957" w:rsidRPr="0086632E" w:rsidRDefault="00B04957" w:rsidP="0086632E">
            <w:pPr>
              <w:pStyle w:val="142"/>
              <w:rPr>
                <w:rFonts w:hint="eastAsia"/>
                <w:sz w:val="22"/>
                <w:szCs w:val="22"/>
              </w:rPr>
            </w:pPr>
            <w:r w:rsidRPr="0086632E">
              <w:rPr>
                <w:sz w:val="22"/>
                <w:szCs w:val="22"/>
              </w:rPr>
              <w:t>2022</w:t>
            </w:r>
            <w:r w:rsidRPr="0086632E">
              <w:rPr>
                <w:rFonts w:hint="eastAsia"/>
                <w:sz w:val="22"/>
                <w:szCs w:val="22"/>
              </w:rPr>
              <w:t>年</w:t>
            </w:r>
            <w:r w:rsidRPr="0086632E">
              <w:rPr>
                <w:sz w:val="22"/>
                <w:szCs w:val="22"/>
              </w:rPr>
              <w:t>11</w:t>
            </w:r>
            <w:r w:rsidRPr="0086632E">
              <w:rPr>
                <w:rFonts w:hint="eastAsia"/>
                <w:sz w:val="22"/>
                <w:szCs w:val="22"/>
              </w:rPr>
              <w:t>月</w:t>
            </w:r>
          </w:p>
        </w:tc>
        <w:tc>
          <w:tcPr>
            <w:tcW w:w="988" w:type="pct"/>
            <w:shd w:val="clear" w:color="auto" w:fill="auto"/>
          </w:tcPr>
          <w:p w:rsidR="00B04957" w:rsidRPr="0086632E" w:rsidRDefault="00B04957" w:rsidP="0086632E">
            <w:pPr>
              <w:pStyle w:val="142"/>
              <w:rPr>
                <w:rFonts w:hint="eastAsia"/>
                <w:b/>
                <w:sz w:val="22"/>
                <w:szCs w:val="22"/>
              </w:rPr>
            </w:pPr>
            <w:r w:rsidRPr="0086632E">
              <w:rPr>
                <w:rFonts w:hint="eastAsia"/>
                <w:b/>
                <w:sz w:val="22"/>
                <w:szCs w:val="22"/>
              </w:rPr>
              <w:t>490億美元</w:t>
            </w:r>
          </w:p>
        </w:tc>
        <w:tc>
          <w:tcPr>
            <w:tcW w:w="1811" w:type="pct"/>
            <w:shd w:val="clear" w:color="auto" w:fill="auto"/>
          </w:tcPr>
          <w:p w:rsidR="00B04957" w:rsidRPr="0086632E" w:rsidRDefault="00B04957" w:rsidP="0086632E">
            <w:pPr>
              <w:pStyle w:val="142"/>
              <w:rPr>
                <w:rFonts w:hint="eastAsia"/>
                <w:sz w:val="22"/>
                <w:szCs w:val="22"/>
              </w:rPr>
            </w:pPr>
            <w:r w:rsidRPr="0086632E">
              <w:rPr>
                <w:b/>
                <w:sz w:val="22"/>
                <w:szCs w:val="22"/>
              </w:rPr>
              <w:t>1.14.7%</w:t>
            </w:r>
          </w:p>
        </w:tc>
        <w:tc>
          <w:tcPr>
            <w:tcW w:w="1295" w:type="pct"/>
            <w:shd w:val="clear" w:color="auto" w:fill="auto"/>
          </w:tcPr>
          <w:p w:rsidR="00B04957" w:rsidRPr="0086632E" w:rsidRDefault="00B04957" w:rsidP="0086632E">
            <w:pPr>
              <w:pStyle w:val="142"/>
              <w:rPr>
                <w:rFonts w:hint="eastAsia"/>
                <w:sz w:val="22"/>
                <w:szCs w:val="22"/>
              </w:rPr>
            </w:pPr>
            <w:r w:rsidRPr="0086632E">
              <w:rPr>
                <w:rFonts w:hint="eastAsia"/>
                <w:sz w:val="22"/>
                <w:szCs w:val="22"/>
              </w:rPr>
              <w:t>-1.0%；是</w:t>
            </w:r>
          </w:p>
        </w:tc>
      </w:tr>
      <w:tr w:rsidR="00B04957" w:rsidRPr="00B04957" w:rsidTr="00A52049">
        <w:tc>
          <w:tcPr>
            <w:tcW w:w="906" w:type="pct"/>
            <w:tcBorders>
              <w:bottom w:val="single" w:sz="4" w:space="0" w:color="auto"/>
            </w:tcBorders>
            <w:shd w:val="clear" w:color="auto" w:fill="auto"/>
          </w:tcPr>
          <w:p w:rsidR="00B04957" w:rsidRPr="0086632E" w:rsidRDefault="00B04957" w:rsidP="0086632E">
            <w:pPr>
              <w:pStyle w:val="142"/>
              <w:rPr>
                <w:rFonts w:hint="eastAsia"/>
                <w:sz w:val="22"/>
                <w:szCs w:val="22"/>
              </w:rPr>
            </w:pPr>
            <w:r w:rsidRPr="0086632E">
              <w:rPr>
                <w:sz w:val="22"/>
                <w:szCs w:val="22"/>
              </w:rPr>
              <w:t>2023</w:t>
            </w:r>
            <w:r w:rsidRPr="0086632E">
              <w:rPr>
                <w:rFonts w:hint="eastAsia"/>
                <w:sz w:val="22"/>
                <w:szCs w:val="22"/>
              </w:rPr>
              <w:t>年</w:t>
            </w:r>
            <w:r w:rsidRPr="0086632E">
              <w:rPr>
                <w:sz w:val="22"/>
                <w:szCs w:val="22"/>
              </w:rPr>
              <w:t>6</w:t>
            </w:r>
            <w:r w:rsidRPr="0086632E">
              <w:rPr>
                <w:rFonts w:hint="eastAsia"/>
                <w:sz w:val="22"/>
                <w:szCs w:val="22"/>
              </w:rPr>
              <w:t>月</w:t>
            </w:r>
          </w:p>
        </w:tc>
        <w:tc>
          <w:tcPr>
            <w:tcW w:w="988" w:type="pct"/>
            <w:tcBorders>
              <w:bottom w:val="single" w:sz="4" w:space="0" w:color="auto"/>
            </w:tcBorders>
            <w:shd w:val="clear" w:color="auto" w:fill="auto"/>
          </w:tcPr>
          <w:p w:rsidR="00B04957" w:rsidRPr="0086632E" w:rsidRDefault="00B04957" w:rsidP="0086632E">
            <w:pPr>
              <w:pStyle w:val="142"/>
              <w:rPr>
                <w:rFonts w:hint="eastAsia"/>
                <w:b/>
                <w:sz w:val="22"/>
                <w:szCs w:val="22"/>
              </w:rPr>
            </w:pPr>
            <w:r w:rsidRPr="0086632E">
              <w:rPr>
                <w:rFonts w:hint="eastAsia"/>
                <w:b/>
                <w:sz w:val="22"/>
                <w:szCs w:val="22"/>
              </w:rPr>
              <w:t>510億美元</w:t>
            </w:r>
          </w:p>
        </w:tc>
        <w:tc>
          <w:tcPr>
            <w:tcW w:w="1811" w:type="pct"/>
            <w:tcBorders>
              <w:bottom w:val="single" w:sz="4" w:space="0" w:color="auto"/>
            </w:tcBorders>
            <w:shd w:val="clear" w:color="auto" w:fill="auto"/>
          </w:tcPr>
          <w:p w:rsidR="00B04957" w:rsidRPr="0086632E" w:rsidRDefault="00B04957" w:rsidP="0086632E">
            <w:pPr>
              <w:pStyle w:val="142"/>
              <w:rPr>
                <w:rFonts w:hint="eastAsia"/>
                <w:b/>
                <w:sz w:val="22"/>
                <w:szCs w:val="22"/>
              </w:rPr>
            </w:pPr>
            <w:r w:rsidRPr="0086632E">
              <w:rPr>
                <w:b/>
                <w:sz w:val="22"/>
                <w:szCs w:val="22"/>
              </w:rPr>
              <w:t>1.13.3%</w:t>
            </w:r>
          </w:p>
        </w:tc>
        <w:tc>
          <w:tcPr>
            <w:tcW w:w="1295" w:type="pct"/>
            <w:tcBorders>
              <w:bottom w:val="single" w:sz="4" w:space="0" w:color="auto"/>
            </w:tcBorders>
            <w:shd w:val="clear" w:color="auto" w:fill="auto"/>
          </w:tcPr>
          <w:p w:rsidR="00B04957" w:rsidRPr="0086632E" w:rsidRDefault="00B04957" w:rsidP="0086632E">
            <w:pPr>
              <w:pStyle w:val="142"/>
              <w:rPr>
                <w:rFonts w:hint="eastAsia"/>
                <w:sz w:val="22"/>
                <w:szCs w:val="22"/>
              </w:rPr>
            </w:pPr>
            <w:r w:rsidRPr="0086632E">
              <w:rPr>
                <w:rFonts w:hint="eastAsia"/>
                <w:sz w:val="22"/>
                <w:szCs w:val="22"/>
              </w:rPr>
              <w:t>-1.7%；否</w:t>
            </w:r>
          </w:p>
        </w:tc>
      </w:tr>
      <w:tr w:rsidR="00B04957" w:rsidRPr="00B04957" w:rsidTr="00A52049">
        <w:tc>
          <w:tcPr>
            <w:tcW w:w="906" w:type="pct"/>
            <w:tcBorders>
              <w:top w:val="single" w:sz="4" w:space="0" w:color="auto"/>
              <w:bottom w:val="double" w:sz="4" w:space="0" w:color="auto"/>
            </w:tcBorders>
            <w:shd w:val="clear" w:color="auto" w:fill="auto"/>
          </w:tcPr>
          <w:p w:rsidR="00B04957" w:rsidRPr="0086632E" w:rsidRDefault="00B04957" w:rsidP="0086632E">
            <w:pPr>
              <w:pStyle w:val="142"/>
              <w:rPr>
                <w:rFonts w:hint="eastAsia"/>
                <w:sz w:val="22"/>
                <w:szCs w:val="22"/>
              </w:rPr>
            </w:pPr>
            <w:r w:rsidRPr="0086632E">
              <w:rPr>
                <w:sz w:val="22"/>
                <w:szCs w:val="22"/>
              </w:rPr>
              <w:t>2023</w:t>
            </w:r>
            <w:r w:rsidRPr="0086632E">
              <w:rPr>
                <w:rFonts w:hint="eastAsia"/>
                <w:sz w:val="22"/>
                <w:szCs w:val="22"/>
              </w:rPr>
              <w:t>年</w:t>
            </w:r>
            <w:r w:rsidRPr="0086632E">
              <w:rPr>
                <w:sz w:val="22"/>
                <w:szCs w:val="22"/>
              </w:rPr>
              <w:t>11</w:t>
            </w:r>
            <w:r w:rsidRPr="0086632E">
              <w:rPr>
                <w:rFonts w:hint="eastAsia"/>
                <w:sz w:val="22"/>
                <w:szCs w:val="22"/>
              </w:rPr>
              <w:t>月</w:t>
            </w:r>
          </w:p>
        </w:tc>
        <w:tc>
          <w:tcPr>
            <w:tcW w:w="988" w:type="pct"/>
            <w:tcBorders>
              <w:top w:val="single" w:sz="4" w:space="0" w:color="auto"/>
              <w:bottom w:val="double" w:sz="4" w:space="0" w:color="auto"/>
            </w:tcBorders>
            <w:shd w:val="clear" w:color="auto" w:fill="auto"/>
          </w:tcPr>
          <w:p w:rsidR="00B04957" w:rsidRPr="0086632E" w:rsidRDefault="00B04957" w:rsidP="0086632E">
            <w:pPr>
              <w:pStyle w:val="142"/>
              <w:rPr>
                <w:rFonts w:hint="eastAsia"/>
                <w:b/>
                <w:sz w:val="22"/>
                <w:szCs w:val="22"/>
              </w:rPr>
            </w:pPr>
            <w:r w:rsidRPr="0086632E">
              <w:rPr>
                <w:rFonts w:hint="eastAsia"/>
                <w:b/>
                <w:sz w:val="22"/>
                <w:szCs w:val="22"/>
              </w:rPr>
              <w:t>480億美元</w:t>
            </w:r>
          </w:p>
        </w:tc>
        <w:tc>
          <w:tcPr>
            <w:tcW w:w="1811" w:type="pct"/>
            <w:tcBorders>
              <w:top w:val="single" w:sz="4" w:space="0" w:color="auto"/>
              <w:bottom w:val="double" w:sz="4" w:space="0" w:color="auto"/>
            </w:tcBorders>
            <w:shd w:val="clear" w:color="auto" w:fill="auto"/>
          </w:tcPr>
          <w:p w:rsidR="00B04957" w:rsidRPr="0086632E" w:rsidRDefault="00B04957" w:rsidP="0086632E">
            <w:pPr>
              <w:pStyle w:val="142"/>
              <w:rPr>
                <w:rFonts w:hint="eastAsia"/>
                <w:b/>
                <w:sz w:val="22"/>
                <w:szCs w:val="22"/>
              </w:rPr>
            </w:pPr>
            <w:r w:rsidRPr="0086632E">
              <w:rPr>
                <w:b/>
                <w:sz w:val="22"/>
                <w:szCs w:val="22"/>
              </w:rPr>
              <w:t>1.11.8%</w:t>
            </w:r>
          </w:p>
        </w:tc>
        <w:tc>
          <w:tcPr>
            <w:tcW w:w="1295" w:type="pct"/>
            <w:tcBorders>
              <w:top w:val="single" w:sz="4" w:space="0" w:color="auto"/>
              <w:bottom w:val="double" w:sz="4" w:space="0" w:color="auto"/>
            </w:tcBorders>
            <w:shd w:val="clear" w:color="auto" w:fill="auto"/>
          </w:tcPr>
          <w:p w:rsidR="00B04957" w:rsidRPr="0086632E" w:rsidRDefault="00B04957" w:rsidP="0086632E">
            <w:pPr>
              <w:pStyle w:val="142"/>
              <w:rPr>
                <w:rFonts w:hint="eastAsia"/>
                <w:sz w:val="22"/>
                <w:szCs w:val="22"/>
              </w:rPr>
            </w:pPr>
            <w:r w:rsidRPr="0086632E">
              <w:rPr>
                <w:rFonts w:hint="eastAsia"/>
                <w:sz w:val="22"/>
                <w:szCs w:val="22"/>
              </w:rPr>
              <w:t>-0.8%；否</w:t>
            </w:r>
          </w:p>
        </w:tc>
      </w:tr>
      <w:tr w:rsidR="00B04957" w:rsidRPr="00B04957" w:rsidTr="000E02F2">
        <w:tc>
          <w:tcPr>
            <w:tcW w:w="906" w:type="pct"/>
            <w:tcBorders>
              <w:top w:val="double" w:sz="4" w:space="0" w:color="auto"/>
            </w:tcBorders>
            <w:shd w:val="clear" w:color="auto" w:fill="F2F2F2"/>
            <w:vAlign w:val="center"/>
          </w:tcPr>
          <w:p w:rsidR="00B04957" w:rsidRPr="0086632E" w:rsidRDefault="00B04957" w:rsidP="00A52049">
            <w:pPr>
              <w:pStyle w:val="142"/>
              <w:jc w:val="both"/>
              <w:rPr>
                <w:rFonts w:hint="eastAsia"/>
                <w:sz w:val="22"/>
                <w:szCs w:val="22"/>
              </w:rPr>
            </w:pPr>
            <w:r w:rsidRPr="0086632E">
              <w:rPr>
                <w:rFonts w:hint="eastAsia"/>
                <w:sz w:val="22"/>
                <w:szCs w:val="22"/>
              </w:rPr>
              <w:t>報告發布日期</w:t>
            </w:r>
          </w:p>
        </w:tc>
        <w:tc>
          <w:tcPr>
            <w:tcW w:w="988" w:type="pct"/>
            <w:tcBorders>
              <w:top w:val="double" w:sz="4" w:space="0" w:color="auto"/>
            </w:tcBorders>
            <w:shd w:val="clear" w:color="auto" w:fill="F2F2F2"/>
            <w:vAlign w:val="center"/>
          </w:tcPr>
          <w:p w:rsidR="00B04957" w:rsidRPr="0086632E" w:rsidRDefault="00B04957" w:rsidP="00A52049">
            <w:pPr>
              <w:pStyle w:val="142"/>
              <w:jc w:val="both"/>
              <w:rPr>
                <w:rFonts w:hint="eastAsia"/>
                <w:sz w:val="22"/>
                <w:szCs w:val="22"/>
              </w:rPr>
            </w:pPr>
            <w:r w:rsidRPr="0086632E">
              <w:rPr>
                <w:rFonts w:hint="eastAsia"/>
                <w:sz w:val="22"/>
                <w:szCs w:val="22"/>
              </w:rPr>
              <w:t>對美商品與服務順差&gt;150億美元</w:t>
            </w:r>
          </w:p>
        </w:tc>
        <w:tc>
          <w:tcPr>
            <w:tcW w:w="1811" w:type="pct"/>
            <w:tcBorders>
              <w:top w:val="double" w:sz="4" w:space="0" w:color="auto"/>
            </w:tcBorders>
            <w:shd w:val="clear" w:color="auto" w:fill="F2F2F2"/>
            <w:vAlign w:val="center"/>
          </w:tcPr>
          <w:p w:rsidR="00B04957" w:rsidRPr="0086632E" w:rsidRDefault="00B04957" w:rsidP="00A52049">
            <w:pPr>
              <w:pStyle w:val="142"/>
              <w:jc w:val="both"/>
              <w:rPr>
                <w:rFonts w:hint="eastAsia"/>
                <w:spacing w:val="-20"/>
                <w:sz w:val="22"/>
                <w:szCs w:val="22"/>
              </w:rPr>
            </w:pPr>
            <w:r w:rsidRPr="0086632E">
              <w:rPr>
                <w:rFonts w:hint="eastAsia"/>
                <w:spacing w:val="-20"/>
                <w:sz w:val="22"/>
                <w:szCs w:val="22"/>
              </w:rPr>
              <w:t>經常帳順差占</w:t>
            </w:r>
            <w:r w:rsidRPr="0086632E">
              <w:rPr>
                <w:spacing w:val="-20"/>
                <w:sz w:val="22"/>
                <w:szCs w:val="22"/>
              </w:rPr>
              <w:t>GDP</w:t>
            </w:r>
            <w:r w:rsidRPr="0086632E">
              <w:rPr>
                <w:rFonts w:hint="eastAsia"/>
                <w:spacing w:val="-20"/>
                <w:sz w:val="22"/>
                <w:szCs w:val="22"/>
              </w:rPr>
              <w:t>比重&gt;</w:t>
            </w:r>
            <w:r w:rsidRPr="0086632E">
              <w:rPr>
                <w:spacing w:val="-20"/>
                <w:sz w:val="22"/>
                <w:szCs w:val="22"/>
              </w:rPr>
              <w:t>3%</w:t>
            </w:r>
          </w:p>
        </w:tc>
        <w:tc>
          <w:tcPr>
            <w:tcW w:w="1295" w:type="pct"/>
            <w:tcBorders>
              <w:top w:val="double" w:sz="4" w:space="0" w:color="auto"/>
            </w:tcBorders>
            <w:shd w:val="clear" w:color="auto" w:fill="F2F2F2"/>
            <w:vAlign w:val="center"/>
          </w:tcPr>
          <w:p w:rsidR="00B04957" w:rsidRPr="0086632E" w:rsidRDefault="00B04957" w:rsidP="00A52049">
            <w:pPr>
              <w:pStyle w:val="142"/>
              <w:jc w:val="both"/>
              <w:rPr>
                <w:rFonts w:hint="eastAsia"/>
                <w:spacing w:val="-20"/>
                <w:sz w:val="22"/>
                <w:szCs w:val="22"/>
              </w:rPr>
            </w:pPr>
            <w:r w:rsidRPr="0086632E">
              <w:rPr>
                <w:rFonts w:hint="eastAsia"/>
                <w:spacing w:val="-20"/>
                <w:sz w:val="22"/>
                <w:szCs w:val="22"/>
              </w:rPr>
              <w:t>淨買匯金額占</w:t>
            </w:r>
            <w:r w:rsidRPr="0086632E">
              <w:rPr>
                <w:spacing w:val="-20"/>
                <w:sz w:val="22"/>
                <w:szCs w:val="22"/>
              </w:rPr>
              <w:t>GDP</w:t>
            </w:r>
            <w:r w:rsidRPr="0086632E">
              <w:rPr>
                <w:rFonts w:hint="eastAsia"/>
                <w:spacing w:val="-20"/>
                <w:sz w:val="22"/>
                <w:szCs w:val="22"/>
              </w:rPr>
              <w:t>比重&gt;2</w:t>
            </w:r>
            <w:r w:rsidRPr="0086632E">
              <w:rPr>
                <w:spacing w:val="-20"/>
                <w:sz w:val="22"/>
                <w:szCs w:val="22"/>
              </w:rPr>
              <w:t>%，</w:t>
            </w:r>
            <w:r w:rsidRPr="0086632E">
              <w:rPr>
                <w:rFonts w:hint="eastAsia"/>
                <w:spacing w:val="-20"/>
                <w:sz w:val="22"/>
                <w:szCs w:val="22"/>
              </w:rPr>
              <w:t>且12個月中有8個月(含)以上為淨買匯</w:t>
            </w:r>
          </w:p>
        </w:tc>
      </w:tr>
      <w:tr w:rsidR="00B04957" w:rsidRPr="00B04957" w:rsidTr="0086632E">
        <w:tc>
          <w:tcPr>
            <w:tcW w:w="906" w:type="pct"/>
            <w:shd w:val="clear" w:color="auto" w:fill="auto"/>
          </w:tcPr>
          <w:p w:rsidR="00B04957" w:rsidRPr="0086632E" w:rsidRDefault="00B04957" w:rsidP="0086632E">
            <w:pPr>
              <w:pStyle w:val="142"/>
              <w:rPr>
                <w:rFonts w:hint="eastAsia"/>
                <w:sz w:val="22"/>
                <w:szCs w:val="22"/>
              </w:rPr>
            </w:pPr>
            <w:r w:rsidRPr="0086632E">
              <w:rPr>
                <w:sz w:val="22"/>
                <w:szCs w:val="22"/>
              </w:rPr>
              <w:t>2024</w:t>
            </w:r>
            <w:r w:rsidRPr="0086632E">
              <w:rPr>
                <w:rFonts w:hint="eastAsia"/>
                <w:sz w:val="22"/>
                <w:szCs w:val="22"/>
              </w:rPr>
              <w:t>年</w:t>
            </w:r>
            <w:r w:rsidRPr="0086632E">
              <w:rPr>
                <w:sz w:val="22"/>
                <w:szCs w:val="22"/>
              </w:rPr>
              <w:t>6</w:t>
            </w:r>
            <w:r w:rsidRPr="0086632E">
              <w:rPr>
                <w:rFonts w:hint="eastAsia"/>
                <w:sz w:val="22"/>
                <w:szCs w:val="22"/>
              </w:rPr>
              <w:t>月</w:t>
            </w:r>
          </w:p>
        </w:tc>
        <w:tc>
          <w:tcPr>
            <w:tcW w:w="988" w:type="pct"/>
            <w:shd w:val="clear" w:color="auto" w:fill="auto"/>
          </w:tcPr>
          <w:p w:rsidR="00B04957" w:rsidRPr="0086632E" w:rsidRDefault="00B04957" w:rsidP="0086632E">
            <w:pPr>
              <w:pStyle w:val="142"/>
              <w:rPr>
                <w:rFonts w:hint="eastAsia"/>
                <w:b/>
                <w:sz w:val="22"/>
                <w:szCs w:val="22"/>
              </w:rPr>
            </w:pPr>
            <w:r w:rsidRPr="0086632E">
              <w:rPr>
                <w:rFonts w:hint="eastAsia"/>
                <w:b/>
                <w:sz w:val="22"/>
                <w:szCs w:val="22"/>
              </w:rPr>
              <w:t>481億美元</w:t>
            </w:r>
          </w:p>
        </w:tc>
        <w:tc>
          <w:tcPr>
            <w:tcW w:w="1811" w:type="pct"/>
            <w:shd w:val="clear" w:color="auto" w:fill="auto"/>
          </w:tcPr>
          <w:p w:rsidR="00B04957" w:rsidRPr="0086632E" w:rsidRDefault="00B04957" w:rsidP="0086632E">
            <w:pPr>
              <w:pStyle w:val="142"/>
              <w:rPr>
                <w:rFonts w:hint="eastAsia"/>
                <w:b/>
                <w:sz w:val="22"/>
                <w:szCs w:val="22"/>
              </w:rPr>
            </w:pPr>
            <w:r w:rsidRPr="0086632E">
              <w:rPr>
                <w:b/>
                <w:sz w:val="22"/>
                <w:szCs w:val="22"/>
              </w:rPr>
              <w:t>13.9%</w:t>
            </w:r>
          </w:p>
        </w:tc>
        <w:tc>
          <w:tcPr>
            <w:tcW w:w="1295" w:type="pct"/>
            <w:shd w:val="clear" w:color="auto" w:fill="auto"/>
          </w:tcPr>
          <w:p w:rsidR="00B04957" w:rsidRPr="0086632E" w:rsidRDefault="00B04957" w:rsidP="0086632E">
            <w:pPr>
              <w:pStyle w:val="142"/>
              <w:rPr>
                <w:rFonts w:hint="eastAsia"/>
                <w:sz w:val="22"/>
                <w:szCs w:val="22"/>
              </w:rPr>
            </w:pPr>
            <w:r w:rsidRPr="0086632E">
              <w:rPr>
                <w:rFonts w:hint="eastAsia"/>
                <w:sz w:val="22"/>
                <w:szCs w:val="22"/>
              </w:rPr>
              <w:t>-0.4%；否</w:t>
            </w:r>
          </w:p>
        </w:tc>
      </w:tr>
    </w:tbl>
    <w:p w:rsidR="00DA4E61" w:rsidRPr="00D9313C" w:rsidRDefault="00DA4E61" w:rsidP="00243EAC">
      <w:pPr>
        <w:spacing w:line="280" w:lineRule="exact"/>
        <w:ind w:leftChars="0" w:left="0" w:firstLineChars="0" w:firstLine="0"/>
        <w:jc w:val="left"/>
        <w:rPr>
          <w:rFonts w:hAnsi="標楷體" w:hint="eastAsia"/>
          <w:sz w:val="24"/>
        </w:rPr>
      </w:pPr>
      <w:r w:rsidRPr="00D9313C">
        <w:rPr>
          <w:rFonts w:hAnsi="標楷體" w:hint="eastAsia"/>
          <w:sz w:val="24"/>
        </w:rPr>
        <w:t>資料來源：</w:t>
      </w:r>
      <w:r w:rsidR="00B04957">
        <w:rPr>
          <w:rFonts w:hAnsi="標楷體" w:hint="eastAsia"/>
          <w:sz w:val="24"/>
        </w:rPr>
        <w:t>整理自央行資料</w:t>
      </w:r>
      <w:r w:rsidRPr="00D9313C">
        <w:rPr>
          <w:rFonts w:hAnsi="標楷體" w:hint="eastAsia"/>
          <w:sz w:val="24"/>
        </w:rPr>
        <w:t>。</w:t>
      </w:r>
    </w:p>
    <w:p w:rsidR="00715301" w:rsidRDefault="00B135DB" w:rsidP="00B9366D">
      <w:pPr>
        <w:pStyle w:val="21"/>
        <w:ind w:left="850" w:firstLine="566"/>
        <w:rPr>
          <w:rFonts w:hAnsi="標楷體"/>
        </w:rPr>
      </w:pPr>
      <w:r>
        <w:rPr>
          <w:rFonts w:hAnsi="標楷體" w:hint="eastAsia"/>
        </w:rPr>
        <w:t>揆以我國列為匯率操縱國觀察名單因素，</w:t>
      </w:r>
      <w:r w:rsidR="00715301" w:rsidRPr="00715301">
        <w:rPr>
          <w:rFonts w:hAnsi="標楷體" w:hint="eastAsia"/>
        </w:rPr>
        <w:t>2020年受美國</w:t>
      </w:r>
      <w:r>
        <w:rPr>
          <w:rFonts w:hAnsi="標楷體" w:hint="eastAsia"/>
        </w:rPr>
        <w:t>疫情期間採取寬鬆貨幣政策影響</w:t>
      </w:r>
      <w:r w:rsidR="00715301" w:rsidRPr="00715301">
        <w:rPr>
          <w:rFonts w:hAnsi="標楷體" w:hint="eastAsia"/>
        </w:rPr>
        <w:t>，美元資金大量流入，致國內匯市供需嚴重失衡，央行為避免國內匯市嚴重失序，進一步造成金融不穩定且外溢至實體經濟面，爰加大匯市調節力道，致我國淨買匯金額對GDP比率逾2%，</w:t>
      </w:r>
      <w:r w:rsidRPr="00715301">
        <w:rPr>
          <w:rFonts w:hAnsi="標楷體" w:hint="eastAsia"/>
        </w:rPr>
        <w:t>於2021年4月及12月匯率報告</w:t>
      </w:r>
      <w:r>
        <w:rPr>
          <w:rFonts w:hAnsi="標楷體" w:hint="eastAsia"/>
        </w:rPr>
        <w:t>觸及檢視標準</w:t>
      </w:r>
      <w:r w:rsidR="00715301" w:rsidRPr="00715301">
        <w:rPr>
          <w:rFonts w:hAnsi="標楷體" w:hint="eastAsia"/>
        </w:rPr>
        <w:t>，餘各次列入匯率操縱國觀察名單皆因美對臺科技產品需求劇增及長期以來我國國內超額儲蓄等因素</w:t>
      </w:r>
      <w:r w:rsidR="0039539D">
        <w:rPr>
          <w:rFonts w:hAnsi="標楷體" w:hint="eastAsia"/>
        </w:rPr>
        <w:t>所致</w:t>
      </w:r>
      <w:r w:rsidR="00715301" w:rsidRPr="00715301">
        <w:rPr>
          <w:rFonts w:hAnsi="標楷體" w:hint="eastAsia"/>
        </w:rPr>
        <w:t>。</w:t>
      </w:r>
    </w:p>
    <w:p w:rsidR="00740048" w:rsidRPr="00AB3E8C" w:rsidRDefault="00900713" w:rsidP="00900713">
      <w:pPr>
        <w:pStyle w:val="a4"/>
        <w:rPr>
          <w:rFonts w:hint="eastAsia"/>
          <w:b/>
        </w:rPr>
      </w:pPr>
      <w:r w:rsidRPr="00AB3E8C">
        <w:rPr>
          <w:rFonts w:hint="eastAsia"/>
          <w:b/>
        </w:rPr>
        <w:t>(二)</w:t>
      </w:r>
      <w:r w:rsidR="0039539D" w:rsidRPr="00AB3E8C">
        <w:rPr>
          <w:rFonts w:hint="eastAsia"/>
          <w:b/>
        </w:rPr>
        <w:t>為鞏固產業競爭優勢，允宜賡續追蹤並保持良性溝通</w:t>
      </w:r>
    </w:p>
    <w:p w:rsidR="00B329A0" w:rsidRDefault="00C52BE1" w:rsidP="009D13BE">
      <w:pPr>
        <w:pStyle w:val="21"/>
        <w:ind w:left="850" w:firstLine="566"/>
        <w:rPr>
          <w:rFonts w:hAnsi="標楷體"/>
        </w:rPr>
      </w:pPr>
      <w:r>
        <w:rPr>
          <w:rFonts w:hAnsi="標楷體" w:hint="eastAsia"/>
        </w:rPr>
        <w:t>我國自2022年11月後皆未觸及第3項檢視標準</w:t>
      </w:r>
      <w:r w:rsidR="0039539D">
        <w:rPr>
          <w:rFonts w:hAnsi="標楷體" w:hint="eastAsia"/>
        </w:rPr>
        <w:t>(詳表1)，</w:t>
      </w:r>
      <w:r>
        <w:rPr>
          <w:rFonts w:hAnsi="標楷體" w:hint="eastAsia"/>
        </w:rPr>
        <w:t>惟如被列入匯率操縱國或觀察名單，</w:t>
      </w:r>
      <w:r w:rsidR="00243EAC">
        <w:rPr>
          <w:rFonts w:hAnsi="標楷體" w:hint="eastAsia"/>
        </w:rPr>
        <w:t>美國</w:t>
      </w:r>
      <w:r>
        <w:rPr>
          <w:rFonts w:hAnsi="標楷體" w:hint="eastAsia"/>
        </w:rPr>
        <w:t>將要求對手國改善或採行懲罰措施，</w:t>
      </w:r>
      <w:r w:rsidR="00E53D72">
        <w:rPr>
          <w:rFonts w:hAnsi="標楷體" w:hint="eastAsia"/>
        </w:rPr>
        <w:t>並可能限縮該國央行</w:t>
      </w:r>
      <w:r w:rsidR="00FF3F2A">
        <w:rPr>
          <w:rFonts w:hAnsi="標楷體" w:hint="eastAsia"/>
        </w:rPr>
        <w:t>部分</w:t>
      </w:r>
      <w:r w:rsidR="00E53D72">
        <w:rPr>
          <w:rFonts w:hAnsi="標楷體" w:hint="eastAsia"/>
        </w:rPr>
        <w:t>調節匯市空間，</w:t>
      </w:r>
      <w:r>
        <w:rPr>
          <w:rFonts w:hAnsi="標楷體" w:hint="eastAsia"/>
        </w:rPr>
        <w:t>對貨幣匯率、對美貿易及經濟造成重大影響，</w:t>
      </w:r>
      <w:r w:rsidR="00B329A0">
        <w:rPr>
          <w:rFonts w:hAnsi="標楷體" w:hint="eastAsia"/>
        </w:rPr>
        <w:t>舉例如下：</w:t>
      </w:r>
    </w:p>
    <w:p w:rsidR="00B329A0" w:rsidRPr="00A45DA7" w:rsidRDefault="00B329A0" w:rsidP="00A45DA7">
      <w:pPr>
        <w:pStyle w:val="123"/>
      </w:pPr>
      <w:r w:rsidRPr="00A45DA7">
        <w:t>1.</w:t>
      </w:r>
      <w:r w:rsidR="00C52BE1" w:rsidRPr="00A45DA7">
        <w:rPr>
          <w:rFonts w:hint="eastAsia"/>
        </w:rPr>
        <w:t>我國於</w:t>
      </w:r>
      <w:r w:rsidR="00C52BE1" w:rsidRPr="00A45DA7">
        <w:rPr>
          <w:rFonts w:hint="eastAsia"/>
        </w:rPr>
        <w:t>1988</w:t>
      </w:r>
      <w:r w:rsidR="00C52BE1" w:rsidRPr="00A45DA7">
        <w:rPr>
          <w:rFonts w:hint="eastAsia"/>
        </w:rPr>
        <w:t>至</w:t>
      </w:r>
      <w:r w:rsidR="00C52BE1" w:rsidRPr="00A45DA7">
        <w:rPr>
          <w:rFonts w:hint="eastAsia"/>
        </w:rPr>
        <w:t>1992</w:t>
      </w:r>
      <w:r w:rsidR="00C52BE1" w:rsidRPr="00A45DA7">
        <w:rPr>
          <w:rFonts w:hint="eastAsia"/>
        </w:rPr>
        <w:t>年間</w:t>
      </w:r>
      <w:r w:rsidR="00C52BE1" w:rsidRPr="00A45DA7">
        <w:rPr>
          <w:rFonts w:hint="eastAsia"/>
        </w:rPr>
        <w:t>4</w:t>
      </w:r>
      <w:r w:rsidR="00C52BE1" w:rsidRPr="00A45DA7">
        <w:rPr>
          <w:rFonts w:hint="eastAsia"/>
        </w:rPr>
        <w:t>度被列為匯率操縱國，承受美方雙邊貿易談判壓力，</w:t>
      </w:r>
      <w:r w:rsidR="009150D0" w:rsidRPr="00A45DA7">
        <w:rPr>
          <w:rFonts w:hint="eastAsia"/>
        </w:rPr>
        <w:t>迫使新臺幣升值而加速產業外移，經貿結構劇烈調整</w:t>
      </w:r>
      <w:r w:rsidR="00E53D72" w:rsidRPr="00A45DA7">
        <w:rPr>
          <w:rFonts w:hint="eastAsia"/>
        </w:rPr>
        <w:t>。</w:t>
      </w:r>
    </w:p>
    <w:p w:rsidR="00B329A0" w:rsidRPr="00A45DA7" w:rsidRDefault="00E53D72" w:rsidP="00A45DA7">
      <w:pPr>
        <w:pStyle w:val="123"/>
      </w:pPr>
      <w:r w:rsidRPr="00A45DA7">
        <w:rPr>
          <w:rFonts w:hint="eastAsia"/>
        </w:rPr>
        <w:t>2</w:t>
      </w:r>
      <w:r w:rsidRPr="00A45DA7">
        <w:t>.</w:t>
      </w:r>
      <w:r w:rsidR="009150D0" w:rsidRPr="00A45DA7">
        <w:rPr>
          <w:rFonts w:hint="eastAsia"/>
        </w:rPr>
        <w:t>2019</w:t>
      </w:r>
      <w:r w:rsidR="009150D0" w:rsidRPr="00A45DA7">
        <w:rPr>
          <w:rFonts w:hint="eastAsia"/>
        </w:rPr>
        <w:t>年</w:t>
      </w:r>
      <w:r w:rsidR="009150D0" w:rsidRPr="00A45DA7">
        <w:rPr>
          <w:rFonts w:hint="eastAsia"/>
        </w:rPr>
        <w:t>8</w:t>
      </w:r>
      <w:r w:rsidR="009150D0" w:rsidRPr="00A45DA7">
        <w:rPr>
          <w:rFonts w:hint="eastAsia"/>
        </w:rPr>
        <w:t>月中國大陸被列為匯率操縱國，被迫加大對美採購以縮減對美貿易順差</w:t>
      </w:r>
      <w:r w:rsidRPr="00A45DA7">
        <w:rPr>
          <w:rFonts w:hint="eastAsia"/>
        </w:rPr>
        <w:t>。</w:t>
      </w:r>
    </w:p>
    <w:p w:rsidR="00900713" w:rsidRPr="00A45DA7" w:rsidRDefault="00E53D72" w:rsidP="00A45DA7">
      <w:pPr>
        <w:pStyle w:val="123"/>
      </w:pPr>
      <w:r w:rsidRPr="00A45DA7">
        <w:t>3.</w:t>
      </w:r>
      <w:r w:rsidR="009150D0" w:rsidRPr="00A45DA7">
        <w:rPr>
          <w:rFonts w:hint="eastAsia"/>
        </w:rPr>
        <w:t>2020</w:t>
      </w:r>
      <w:r w:rsidR="009150D0" w:rsidRPr="00A45DA7">
        <w:rPr>
          <w:rFonts w:hint="eastAsia"/>
        </w:rPr>
        <w:t>年</w:t>
      </w:r>
      <w:r w:rsidR="009150D0" w:rsidRPr="00A45DA7">
        <w:rPr>
          <w:rFonts w:hint="eastAsia"/>
        </w:rPr>
        <w:t>12</w:t>
      </w:r>
      <w:r w:rsidR="009150D0" w:rsidRPr="00A45DA7">
        <w:rPr>
          <w:rFonts w:hint="eastAsia"/>
        </w:rPr>
        <w:t>月瑞士及越南被列為匯率操縱國，</w:t>
      </w:r>
      <w:r w:rsidR="00A87F1E" w:rsidRPr="00A45DA7">
        <w:rPr>
          <w:rFonts w:hint="eastAsia"/>
        </w:rPr>
        <w:t>以</w:t>
      </w:r>
      <w:r w:rsidR="009150D0" w:rsidRPr="00A45DA7">
        <w:rPr>
          <w:rFonts w:hint="eastAsia"/>
        </w:rPr>
        <w:t>雙邊諮商要求改善，</w:t>
      </w:r>
      <w:r w:rsidR="009150D0" w:rsidRPr="00A45DA7">
        <w:rPr>
          <w:rFonts w:hint="eastAsia"/>
        </w:rPr>
        <w:t>1</w:t>
      </w:r>
      <w:r w:rsidR="009150D0" w:rsidRPr="00A45DA7">
        <w:rPr>
          <w:rFonts w:hint="eastAsia"/>
        </w:rPr>
        <w:t>年觀察期，限縮該國取得美國官方融通資金、限制參與美國政府採購標案</w:t>
      </w:r>
      <w:r w:rsidR="00A87F1E" w:rsidRPr="00A45DA7">
        <w:rPr>
          <w:rFonts w:hint="eastAsia"/>
        </w:rPr>
        <w:t>及啟動貿易諮商或貿易協定之懲罰措施等</w:t>
      </w:r>
      <w:r w:rsidR="009150D0" w:rsidRPr="00A45DA7">
        <w:rPr>
          <w:rFonts w:hint="eastAsia"/>
        </w:rPr>
        <w:t>3</w:t>
      </w:r>
      <w:r w:rsidR="009150D0" w:rsidRPr="00A45DA7">
        <w:rPr>
          <w:rFonts w:hint="eastAsia"/>
        </w:rPr>
        <w:t>階段要求改善</w:t>
      </w:r>
      <w:r w:rsidR="00A87F1E" w:rsidRPr="00A45DA7">
        <w:rPr>
          <w:rFonts w:hint="eastAsia"/>
        </w:rPr>
        <w:t>。</w:t>
      </w:r>
    </w:p>
    <w:p w:rsidR="00155FD1" w:rsidRDefault="00A87F1E" w:rsidP="009D13BE">
      <w:pPr>
        <w:pStyle w:val="21"/>
        <w:ind w:left="850" w:firstLine="566"/>
        <w:rPr>
          <w:rFonts w:hAnsi="標楷體" w:hint="eastAsia"/>
        </w:rPr>
      </w:pPr>
      <w:r>
        <w:rPr>
          <w:rFonts w:hAnsi="標楷體" w:hint="eastAsia"/>
        </w:rPr>
        <w:t>我國為出口導向</w:t>
      </w:r>
      <w:r w:rsidR="00AB3E8C">
        <w:rPr>
          <w:rFonts w:hAnsi="標楷體" w:hint="eastAsia"/>
        </w:rPr>
        <w:t>國家</w:t>
      </w:r>
      <w:r>
        <w:rPr>
          <w:rFonts w:hAnsi="標楷體" w:hint="eastAsia"/>
        </w:rPr>
        <w:t>，</w:t>
      </w:r>
      <w:r w:rsidR="006642B8" w:rsidRPr="006642B8">
        <w:rPr>
          <w:rFonts w:hAnsi="標楷體" w:hint="eastAsia"/>
        </w:rPr>
        <w:t>出口減少將使經濟成長率下降，</w:t>
      </w:r>
      <w:r w:rsidRPr="00A87F1E">
        <w:rPr>
          <w:rFonts w:hAnsi="標楷體" w:hint="eastAsia"/>
        </w:rPr>
        <w:t>對外貿易之榮枯關係經濟發展命脈</w:t>
      </w:r>
      <w:r w:rsidR="00AB3E8C">
        <w:rPr>
          <w:rFonts w:hAnsi="標楷體" w:hint="eastAsia"/>
        </w:rPr>
        <w:t>，</w:t>
      </w:r>
      <w:r w:rsidR="00E63897" w:rsidRPr="00E63897">
        <w:rPr>
          <w:rFonts w:hAnsi="標楷體" w:hint="eastAsia"/>
        </w:rPr>
        <w:t>112年度我國對美國出口連續7年正成長，出口金額達762億美元(增幅1.6%)，為第3大出口</w:t>
      </w:r>
      <w:r w:rsidR="007E66AE">
        <w:rPr>
          <w:rFonts w:hAnsi="標楷體" w:hint="eastAsia"/>
        </w:rPr>
        <w:t>市場</w:t>
      </w:r>
      <w:r w:rsidR="00E63897">
        <w:rPr>
          <w:rStyle w:val="af1"/>
          <w:rFonts w:hAnsi="標楷體"/>
        </w:rPr>
        <w:footnoteReference w:id="7"/>
      </w:r>
      <w:r w:rsidR="00E63897">
        <w:rPr>
          <w:rFonts w:hAnsi="標楷體" w:hint="eastAsia"/>
        </w:rPr>
        <w:t>，</w:t>
      </w:r>
      <w:r w:rsidR="002775D4">
        <w:rPr>
          <w:rFonts w:hAnsi="標楷體" w:hint="eastAsia"/>
        </w:rPr>
        <w:t>乃</w:t>
      </w:r>
      <w:r w:rsidR="00E63897">
        <w:rPr>
          <w:rFonts w:hAnsi="標楷體" w:hint="eastAsia"/>
        </w:rPr>
        <w:t>近年來</w:t>
      </w:r>
      <w:r w:rsidR="00E63897" w:rsidRPr="00E63897">
        <w:rPr>
          <w:rFonts w:hAnsi="標楷體" w:hint="eastAsia"/>
        </w:rPr>
        <w:t>受惠於美中貿易及科技爭端、美國強化資安防護及新冠肺炎疫情等因素，</w:t>
      </w:r>
      <w:r w:rsidR="00F04348">
        <w:rPr>
          <w:rFonts w:hAnsi="標楷體" w:hint="eastAsia"/>
        </w:rPr>
        <w:t>美對我</w:t>
      </w:r>
      <w:r w:rsidR="00E63897" w:rsidRPr="00E63897">
        <w:rPr>
          <w:rFonts w:hAnsi="標楷體" w:hint="eastAsia"/>
        </w:rPr>
        <w:t>科技產品需求增加</w:t>
      </w:r>
      <w:r w:rsidR="00A62399">
        <w:rPr>
          <w:rFonts w:hAnsi="標楷體" w:hint="eastAsia"/>
        </w:rPr>
        <w:t>所致</w:t>
      </w:r>
      <w:r w:rsidR="002164F6">
        <w:rPr>
          <w:rFonts w:hAnsi="標楷體" w:hint="eastAsia"/>
        </w:rPr>
        <w:t>，</w:t>
      </w:r>
      <w:r w:rsidR="00A62399">
        <w:rPr>
          <w:rFonts w:hAnsi="標楷體" w:hint="eastAsia"/>
        </w:rPr>
        <w:t>爰</w:t>
      </w:r>
      <w:r w:rsidR="00F04348">
        <w:rPr>
          <w:rFonts w:hAnsi="標楷體" w:hint="eastAsia"/>
        </w:rPr>
        <w:t>須</w:t>
      </w:r>
      <w:r w:rsidR="00A936F8">
        <w:rPr>
          <w:rFonts w:hAnsi="標楷體" w:hint="eastAsia"/>
        </w:rPr>
        <w:t>維持</w:t>
      </w:r>
      <w:r w:rsidR="00155FD1">
        <w:rPr>
          <w:rFonts w:hAnsi="標楷體" w:hint="eastAsia"/>
        </w:rPr>
        <w:t>良好貿易關係</w:t>
      </w:r>
      <w:r w:rsidR="002164F6">
        <w:rPr>
          <w:rFonts w:hAnsi="標楷體" w:hint="eastAsia"/>
        </w:rPr>
        <w:t>，</w:t>
      </w:r>
      <w:r w:rsidR="00F04348">
        <w:rPr>
          <w:rFonts w:hAnsi="標楷體" w:hint="eastAsia"/>
        </w:rPr>
        <w:t>俾利</w:t>
      </w:r>
      <w:r w:rsidR="002164F6">
        <w:rPr>
          <w:rFonts w:hAnsi="標楷體" w:hint="eastAsia"/>
        </w:rPr>
        <w:t>產業深根臺灣</w:t>
      </w:r>
      <w:r w:rsidR="00F04348">
        <w:rPr>
          <w:rFonts w:hAnsi="標楷體" w:hint="eastAsia"/>
        </w:rPr>
        <w:t>發展</w:t>
      </w:r>
      <w:r w:rsidR="00A936F8">
        <w:rPr>
          <w:rFonts w:hAnsi="標楷體" w:hint="eastAsia"/>
        </w:rPr>
        <w:t>；</w:t>
      </w:r>
      <w:r w:rsidR="00095600">
        <w:rPr>
          <w:rFonts w:hAnsi="標楷體" w:hint="eastAsia"/>
        </w:rPr>
        <w:t>又新臺幣匯率雖由外匯市場供需決定，</w:t>
      </w:r>
      <w:r w:rsidR="002164F6">
        <w:rPr>
          <w:rFonts w:hAnsi="標楷體" w:hint="eastAsia"/>
        </w:rPr>
        <w:t>惟短期資金大量進出與季節因素導致匯率波動或失序時，央行仍須維持市場秩序，以穩定經濟金融</w:t>
      </w:r>
      <w:r w:rsidR="00F04348">
        <w:rPr>
          <w:rFonts w:hAnsi="標楷體" w:hint="eastAsia"/>
        </w:rPr>
        <w:t>。</w:t>
      </w:r>
      <w:r w:rsidR="002164F6">
        <w:rPr>
          <w:rFonts w:hAnsi="標楷體" w:hint="eastAsia"/>
        </w:rPr>
        <w:t>據央行表示</w:t>
      </w:r>
      <w:r w:rsidR="00884878">
        <w:rPr>
          <w:rFonts w:hAnsi="標楷體" w:hint="eastAsia"/>
        </w:rPr>
        <w:t>經我方持續向美方溝通</w:t>
      </w:r>
      <w:r w:rsidR="002164F6">
        <w:rPr>
          <w:rFonts w:hAnsi="標楷體" w:hint="eastAsia"/>
        </w:rPr>
        <w:t>，尚能得美方理解，為</w:t>
      </w:r>
      <w:r w:rsidR="00F04348">
        <w:rPr>
          <w:rFonts w:hAnsi="標楷體" w:hint="eastAsia"/>
        </w:rPr>
        <w:t>鞏固產業競爭優勢，允宜賡續追蹤並維持良性溝通。</w:t>
      </w:r>
    </w:p>
    <w:p w:rsidR="004E7CF5" w:rsidRDefault="004E7CF5" w:rsidP="004E7CF5">
      <w:pPr>
        <w:ind w:left="566" w:firstLine="566"/>
        <w:rPr>
          <w:rFonts w:hAnsi="標楷體"/>
        </w:rPr>
      </w:pPr>
      <w:r w:rsidRPr="00507BD2">
        <w:rPr>
          <w:rFonts w:hAnsi="標楷體" w:hint="eastAsia"/>
        </w:rPr>
        <w:t>綜上，</w:t>
      </w:r>
      <w:r w:rsidR="0099758C" w:rsidRPr="0099758C">
        <w:rPr>
          <w:rFonts w:hAnsi="標楷體" w:hint="eastAsia"/>
        </w:rPr>
        <w:t>美國</w:t>
      </w:r>
      <w:r w:rsidR="0099758C">
        <w:rPr>
          <w:rFonts w:hAnsi="標楷體" w:hint="eastAsia"/>
        </w:rPr>
        <w:t>財政部</w:t>
      </w:r>
      <w:r w:rsidR="0099758C" w:rsidRPr="0099758C">
        <w:rPr>
          <w:rFonts w:hAnsi="標楷體" w:hint="eastAsia"/>
        </w:rPr>
        <w:t>每半年向國會提交「</w:t>
      </w:r>
      <w:r w:rsidR="00A62399">
        <w:rPr>
          <w:rFonts w:hAnsi="標楷體" w:hint="eastAsia"/>
        </w:rPr>
        <w:t>外匯政策報告</w:t>
      </w:r>
      <w:r w:rsidR="0099758C" w:rsidRPr="0099758C">
        <w:rPr>
          <w:rFonts w:hAnsi="標楷體" w:hint="eastAsia"/>
        </w:rPr>
        <w:t>」</w:t>
      </w:r>
      <w:r w:rsidR="00585329">
        <w:rPr>
          <w:rFonts w:hAnsi="標楷體" w:hint="eastAsia"/>
        </w:rPr>
        <w:t>作為判斷不公平貿易之準據</w:t>
      </w:r>
      <w:r w:rsidR="0099758C">
        <w:rPr>
          <w:rFonts w:hAnsi="標楷體" w:hint="eastAsia"/>
        </w:rPr>
        <w:t>，</w:t>
      </w:r>
      <w:r w:rsidR="007E66AE">
        <w:rPr>
          <w:rFonts w:hAnsi="標楷體" w:hint="eastAsia"/>
        </w:rPr>
        <w:t>列為匯率操縱國將</w:t>
      </w:r>
      <w:r w:rsidR="00A66E4C">
        <w:rPr>
          <w:rFonts w:hAnsi="標楷體" w:hint="eastAsia"/>
        </w:rPr>
        <w:t>被</w:t>
      </w:r>
      <w:r w:rsidR="007E66AE">
        <w:rPr>
          <w:rFonts w:hAnsi="標楷體" w:hint="eastAsia"/>
        </w:rPr>
        <w:t>要求改善或採行懲罰措施，</w:t>
      </w:r>
      <w:r w:rsidR="00B329A0">
        <w:rPr>
          <w:rFonts w:hAnsi="標楷體" w:hint="eastAsia"/>
        </w:rPr>
        <w:t>恐有礙貿易往來及匯率調節，</w:t>
      </w:r>
      <w:r w:rsidR="00243EAC">
        <w:rPr>
          <w:rFonts w:hAnsi="標楷體" w:hint="eastAsia"/>
        </w:rPr>
        <w:t>不利產業深根發展，</w:t>
      </w:r>
      <w:r w:rsidR="0099758C">
        <w:rPr>
          <w:rFonts w:hAnsi="標楷體" w:hint="eastAsia"/>
        </w:rPr>
        <w:t>我國於2024年6月持續</w:t>
      </w:r>
      <w:r w:rsidR="0099758C" w:rsidRPr="0099758C">
        <w:rPr>
          <w:rFonts w:hAnsi="標楷體" w:hint="eastAsia"/>
        </w:rPr>
        <w:t>被美國列為匯率操縱國觀察名單</w:t>
      </w:r>
      <w:r w:rsidR="00243EAC">
        <w:rPr>
          <w:rFonts w:hAnsi="標楷體" w:hint="eastAsia"/>
        </w:rPr>
        <w:t>，</w:t>
      </w:r>
      <w:r w:rsidR="00297E42">
        <w:rPr>
          <w:rFonts w:hAnsi="標楷體" w:hint="eastAsia"/>
        </w:rPr>
        <w:t>雖</w:t>
      </w:r>
      <w:r w:rsidR="00243EAC">
        <w:rPr>
          <w:rFonts w:hAnsi="標楷體" w:hint="eastAsia"/>
        </w:rPr>
        <w:t>非操縱國</w:t>
      </w:r>
      <w:r w:rsidR="00A66E4C">
        <w:rPr>
          <w:rFonts w:hAnsi="標楷體" w:hint="eastAsia"/>
        </w:rPr>
        <w:t>，惟</w:t>
      </w:r>
      <w:r w:rsidR="007E66AE">
        <w:rPr>
          <w:rFonts w:hAnsi="標楷體" w:hint="eastAsia"/>
        </w:rPr>
        <w:t>美國</w:t>
      </w:r>
      <w:r w:rsidR="00FF3F2A">
        <w:rPr>
          <w:rFonts w:hAnsi="標楷體" w:hint="eastAsia"/>
        </w:rPr>
        <w:t>係</w:t>
      </w:r>
      <w:r w:rsidR="007E66AE">
        <w:rPr>
          <w:rFonts w:hAnsi="標楷體" w:hint="eastAsia"/>
        </w:rPr>
        <w:t>我國</w:t>
      </w:r>
      <w:r w:rsidR="007E66AE" w:rsidRPr="007E66AE">
        <w:rPr>
          <w:rFonts w:hAnsi="標楷體" w:hint="eastAsia"/>
        </w:rPr>
        <w:t>第3大出口市場</w:t>
      </w:r>
      <w:r w:rsidR="007E66AE">
        <w:rPr>
          <w:rFonts w:hAnsi="標楷體" w:hint="eastAsia"/>
        </w:rPr>
        <w:t>，貿易</w:t>
      </w:r>
      <w:r w:rsidR="00E53D72">
        <w:rPr>
          <w:rFonts w:hAnsi="標楷體" w:hint="eastAsia"/>
        </w:rPr>
        <w:t>合作</w:t>
      </w:r>
      <w:r w:rsidR="007E66AE">
        <w:rPr>
          <w:rFonts w:hAnsi="標楷體" w:hint="eastAsia"/>
        </w:rPr>
        <w:t>攸關經濟發展，為鞏固產業競爭優勢，允宜賡續追蹤並維持良性溝通</w:t>
      </w:r>
      <w:r w:rsidRPr="00507BD2">
        <w:rPr>
          <w:rFonts w:hAnsi="標楷體" w:hint="eastAsia"/>
        </w:rPr>
        <w:t>。</w:t>
      </w:r>
    </w:p>
    <w:p w:rsidR="00B07B17" w:rsidRPr="00507BD2" w:rsidRDefault="00B07B17" w:rsidP="004E7CF5">
      <w:pPr>
        <w:ind w:left="566" w:firstLine="566"/>
        <w:rPr>
          <w:rFonts w:hAnsi="標楷體" w:hint="eastAsia"/>
        </w:rPr>
      </w:pPr>
    </w:p>
    <w:p w:rsidR="00F968C5" w:rsidRPr="00507BD2" w:rsidRDefault="00A539CE" w:rsidP="00F968C5">
      <w:pPr>
        <w:pStyle w:val="14"/>
        <w:ind w:left="567" w:hanging="567"/>
        <w:rPr>
          <w:rFonts w:hAnsi="標楷體"/>
        </w:rPr>
      </w:pPr>
      <w:bookmarkStart w:id="15" w:name="_Toc181965730"/>
      <w:r w:rsidRPr="00507BD2">
        <w:rPr>
          <w:rFonts w:hAnsi="標楷體" w:hint="eastAsia"/>
        </w:rPr>
        <w:t>六</w:t>
      </w:r>
      <w:r w:rsidR="000E6EC6" w:rsidRPr="00507BD2">
        <w:rPr>
          <w:rFonts w:hAnsi="標楷體" w:hint="eastAsia"/>
        </w:rPr>
        <w:t>、</w:t>
      </w:r>
      <w:r w:rsidR="00A62399" w:rsidRPr="00507BD2">
        <w:rPr>
          <w:rFonts w:hAnsi="標楷體" w:hint="eastAsia"/>
        </w:rPr>
        <w:t>硬幣再流通計畫</w:t>
      </w:r>
      <w:r w:rsidR="00A62399">
        <w:rPr>
          <w:rFonts w:hAnsi="標楷體" w:hint="eastAsia"/>
        </w:rPr>
        <w:t>推動以來雖具成效，惟</w:t>
      </w:r>
      <w:r w:rsidR="007E4120">
        <w:rPr>
          <w:rFonts w:hAnsi="標楷體" w:hint="eastAsia"/>
        </w:rPr>
        <w:t>112年度硬幣</w:t>
      </w:r>
      <w:r w:rsidR="00A7375D">
        <w:rPr>
          <w:rFonts w:hAnsi="標楷體" w:hint="eastAsia"/>
        </w:rPr>
        <w:t>新增</w:t>
      </w:r>
      <w:r w:rsidR="007E4120">
        <w:rPr>
          <w:rFonts w:hAnsi="標楷體" w:hint="eastAsia"/>
        </w:rPr>
        <w:t>發行量減幅趨</w:t>
      </w:r>
      <w:r w:rsidR="00151CEB">
        <w:rPr>
          <w:rFonts w:hAnsi="標楷體" w:hint="eastAsia"/>
        </w:rPr>
        <w:t>緩</w:t>
      </w:r>
      <w:r w:rsidR="007E4120">
        <w:rPr>
          <w:rFonts w:hAnsi="標楷體" w:hint="eastAsia"/>
        </w:rPr>
        <w:t>，允宜加強推動，俾撙節鑄幣成本</w:t>
      </w:r>
      <w:bookmarkEnd w:id="15"/>
    </w:p>
    <w:p w:rsidR="00F968C5" w:rsidRPr="00507BD2" w:rsidRDefault="00F968C5" w:rsidP="00F968C5">
      <w:pPr>
        <w:ind w:left="566" w:firstLine="566"/>
        <w:rPr>
          <w:rFonts w:hAnsi="標楷體" w:hint="eastAsia"/>
        </w:rPr>
      </w:pPr>
      <w:r w:rsidRPr="00507BD2">
        <w:rPr>
          <w:rFonts w:hAnsi="標楷體" w:hint="eastAsia"/>
        </w:rPr>
        <w:t>央行1</w:t>
      </w:r>
      <w:r w:rsidRPr="00507BD2">
        <w:rPr>
          <w:rFonts w:hAnsi="標楷體"/>
        </w:rPr>
        <w:t>1</w:t>
      </w:r>
      <w:r w:rsidR="002A41D8">
        <w:rPr>
          <w:rFonts w:hAnsi="標楷體"/>
        </w:rPr>
        <w:t>4</w:t>
      </w:r>
      <w:r w:rsidRPr="00507BD2">
        <w:rPr>
          <w:rFonts w:hAnsi="標楷體"/>
        </w:rPr>
        <w:t>年度</w:t>
      </w:r>
      <w:r w:rsidR="00230049" w:rsidRPr="00507BD2">
        <w:rPr>
          <w:rFonts w:hAnsi="標楷體"/>
        </w:rPr>
        <w:t>預算案於</w:t>
      </w:r>
      <w:r w:rsidR="00230049" w:rsidRPr="00507BD2">
        <w:rPr>
          <w:rFonts w:hAnsi="標楷體" w:hint="eastAsia"/>
        </w:rPr>
        <w:t>「金融保險成本」科目編列「發行硬幣費用」</w:t>
      </w:r>
      <w:r w:rsidR="002A41D8">
        <w:rPr>
          <w:rFonts w:hAnsi="標楷體"/>
        </w:rPr>
        <w:t>17</w:t>
      </w:r>
      <w:r w:rsidR="002A41D8">
        <w:rPr>
          <w:rFonts w:hAnsi="標楷體" w:hint="eastAsia"/>
        </w:rPr>
        <w:t>億</w:t>
      </w:r>
      <w:r w:rsidR="002A41D8">
        <w:rPr>
          <w:rFonts w:hAnsi="標楷體"/>
        </w:rPr>
        <w:t>1,685</w:t>
      </w:r>
      <w:r w:rsidR="002A41D8">
        <w:rPr>
          <w:rFonts w:hAnsi="標楷體" w:hint="eastAsia"/>
        </w:rPr>
        <w:t>萬</w:t>
      </w:r>
      <w:r w:rsidR="002A41D8">
        <w:rPr>
          <w:rFonts w:hAnsi="標楷體"/>
        </w:rPr>
        <w:t>6</w:t>
      </w:r>
      <w:r w:rsidR="00230049" w:rsidRPr="00507BD2">
        <w:rPr>
          <w:rFonts w:hAnsi="標楷體"/>
        </w:rPr>
        <w:t>千元</w:t>
      </w:r>
      <w:r w:rsidR="00230049" w:rsidRPr="00507BD2">
        <w:rPr>
          <w:rFonts w:hAnsi="標楷體" w:hint="eastAsia"/>
        </w:rPr>
        <w:t>，</w:t>
      </w:r>
      <w:r w:rsidR="00230049" w:rsidRPr="00507BD2">
        <w:rPr>
          <w:rFonts w:hAnsi="標楷體"/>
        </w:rPr>
        <w:t>較</w:t>
      </w:r>
      <w:r w:rsidR="00230049" w:rsidRPr="00507BD2">
        <w:rPr>
          <w:rFonts w:hAnsi="標楷體" w:hint="eastAsia"/>
        </w:rPr>
        <w:t>1</w:t>
      </w:r>
      <w:r w:rsidR="00230049" w:rsidRPr="00507BD2">
        <w:rPr>
          <w:rFonts w:hAnsi="標楷體"/>
        </w:rPr>
        <w:t>1</w:t>
      </w:r>
      <w:r w:rsidR="002A41D8">
        <w:rPr>
          <w:rFonts w:hAnsi="標楷體"/>
        </w:rPr>
        <w:t>3</w:t>
      </w:r>
      <w:r w:rsidR="00230049" w:rsidRPr="00507BD2">
        <w:rPr>
          <w:rFonts w:hAnsi="標楷體"/>
        </w:rPr>
        <w:t>年度</w:t>
      </w:r>
      <w:r w:rsidR="00F07417">
        <w:rPr>
          <w:rFonts w:hAnsi="標楷體" w:hint="eastAsia"/>
        </w:rPr>
        <w:t>預算案數</w:t>
      </w:r>
      <w:r w:rsidR="002A41D8">
        <w:rPr>
          <w:rFonts w:hAnsi="標楷體"/>
        </w:rPr>
        <w:t>17</w:t>
      </w:r>
      <w:r w:rsidR="002A41D8">
        <w:rPr>
          <w:rFonts w:hAnsi="標楷體" w:hint="eastAsia"/>
        </w:rPr>
        <w:t>億</w:t>
      </w:r>
      <w:r w:rsidR="002A41D8">
        <w:rPr>
          <w:rFonts w:hAnsi="標楷體"/>
        </w:rPr>
        <w:t>5,064</w:t>
      </w:r>
      <w:r w:rsidR="002A41D8">
        <w:rPr>
          <w:rFonts w:hAnsi="標楷體" w:hint="eastAsia"/>
        </w:rPr>
        <w:t>萬</w:t>
      </w:r>
      <w:r w:rsidR="002A41D8">
        <w:rPr>
          <w:rFonts w:hAnsi="標楷體"/>
        </w:rPr>
        <w:t>6</w:t>
      </w:r>
      <w:r w:rsidR="00230049" w:rsidRPr="00507BD2">
        <w:rPr>
          <w:rFonts w:hAnsi="標楷體"/>
        </w:rPr>
        <w:t>千元</w:t>
      </w:r>
      <w:r w:rsidR="00F07417">
        <w:rPr>
          <w:rFonts w:hAnsi="標楷體" w:hint="eastAsia"/>
        </w:rPr>
        <w:t>減少</w:t>
      </w:r>
      <w:r w:rsidR="00F07417">
        <w:rPr>
          <w:rFonts w:hAnsi="標楷體"/>
        </w:rPr>
        <w:t>3,379</w:t>
      </w:r>
      <w:r w:rsidR="00F07417">
        <w:rPr>
          <w:rFonts w:hAnsi="標楷體" w:hint="eastAsia"/>
        </w:rPr>
        <w:t>萬</w:t>
      </w:r>
      <w:r w:rsidR="00230049" w:rsidRPr="00507BD2">
        <w:rPr>
          <w:rFonts w:hAnsi="標楷體"/>
        </w:rPr>
        <w:t>元</w:t>
      </w:r>
      <w:r w:rsidR="00F07417">
        <w:rPr>
          <w:rFonts w:hAnsi="標楷體" w:hint="eastAsia"/>
        </w:rPr>
        <w:t>(減</w:t>
      </w:r>
      <w:r w:rsidR="00230049" w:rsidRPr="00507BD2">
        <w:rPr>
          <w:rFonts w:hAnsi="標楷體"/>
        </w:rPr>
        <w:t>幅</w:t>
      </w:r>
      <w:r w:rsidR="00230049" w:rsidRPr="00507BD2">
        <w:rPr>
          <w:rFonts w:hAnsi="標楷體" w:hint="eastAsia"/>
        </w:rPr>
        <w:t>9</w:t>
      </w:r>
      <w:r w:rsidR="00230049" w:rsidRPr="00507BD2">
        <w:rPr>
          <w:rFonts w:hAnsi="標楷體"/>
        </w:rPr>
        <w:t>.79%</w:t>
      </w:r>
      <w:r w:rsidR="00F07417">
        <w:rPr>
          <w:rFonts w:hAnsi="標楷體"/>
        </w:rPr>
        <w:t>)</w:t>
      </w:r>
      <w:r w:rsidR="00F07417">
        <w:rPr>
          <w:rFonts w:hAnsi="標楷體" w:hint="eastAsia"/>
        </w:rPr>
        <w:t>，較112年度決算數14億7</w:t>
      </w:r>
      <w:r w:rsidR="00F07417">
        <w:rPr>
          <w:rFonts w:hAnsi="標楷體"/>
        </w:rPr>
        <w:t>,</w:t>
      </w:r>
      <w:r w:rsidR="00F07417">
        <w:rPr>
          <w:rFonts w:hAnsi="標楷體" w:hint="eastAsia"/>
        </w:rPr>
        <w:t>579萬5千元則增加2億4</w:t>
      </w:r>
      <w:r w:rsidR="00F07417">
        <w:rPr>
          <w:rFonts w:hAnsi="標楷體"/>
        </w:rPr>
        <w:t>,</w:t>
      </w:r>
      <w:r w:rsidR="00F07417">
        <w:rPr>
          <w:rFonts w:hAnsi="標楷體" w:hint="eastAsia"/>
        </w:rPr>
        <w:t>106萬1千元(增幅16.33%)</w:t>
      </w:r>
      <w:r w:rsidR="00230049" w:rsidRPr="00507BD2">
        <w:rPr>
          <w:rFonts w:hAnsi="標楷體" w:hint="eastAsia"/>
        </w:rPr>
        <w:t>，</w:t>
      </w:r>
      <w:r w:rsidR="00F07417">
        <w:rPr>
          <w:rFonts w:hAnsi="標楷體" w:hint="eastAsia"/>
        </w:rPr>
        <w:t>包括硬幣整理、銷毀、其他發行費用、宣導</w:t>
      </w:r>
      <w:r w:rsidR="00434824">
        <w:rPr>
          <w:rFonts w:hAnsi="標楷體" w:hint="eastAsia"/>
        </w:rPr>
        <w:t>「</w:t>
      </w:r>
      <w:r w:rsidR="00F07417" w:rsidRPr="00507BD2">
        <w:rPr>
          <w:rFonts w:hAnsi="標楷體"/>
        </w:rPr>
        <w:t>硬幣再流通計畫</w:t>
      </w:r>
      <w:r w:rsidR="00434824">
        <w:rPr>
          <w:rFonts w:hAnsi="標楷體" w:hint="eastAsia"/>
        </w:rPr>
        <w:t>」</w:t>
      </w:r>
      <w:r w:rsidR="00F07417">
        <w:rPr>
          <w:rFonts w:hAnsi="標楷體" w:hint="eastAsia"/>
        </w:rPr>
        <w:t>等</w:t>
      </w:r>
      <w:r w:rsidRPr="00507BD2">
        <w:rPr>
          <w:rFonts w:hAnsi="標楷體" w:hint="eastAsia"/>
        </w:rPr>
        <w:t>。該行為降低鑄幣成本，節省社會資源，自1</w:t>
      </w:r>
      <w:r w:rsidRPr="00507BD2">
        <w:rPr>
          <w:rFonts w:hAnsi="標楷體"/>
        </w:rPr>
        <w:t>03年度起推動</w:t>
      </w:r>
      <w:r w:rsidR="00434824">
        <w:rPr>
          <w:rFonts w:hAnsi="標楷體" w:hint="eastAsia"/>
        </w:rPr>
        <w:t>「</w:t>
      </w:r>
      <w:r w:rsidR="00F07417" w:rsidRPr="00507BD2">
        <w:rPr>
          <w:rFonts w:hAnsi="標楷體"/>
        </w:rPr>
        <w:t>硬幣再流通計畫</w:t>
      </w:r>
      <w:r w:rsidR="00434824">
        <w:rPr>
          <w:rFonts w:hAnsi="標楷體" w:hint="eastAsia"/>
        </w:rPr>
        <w:t>」</w:t>
      </w:r>
      <w:r w:rsidR="007E4120">
        <w:rPr>
          <w:rFonts w:hAnsi="標楷體" w:hint="eastAsia"/>
        </w:rPr>
        <w:t>回收利用</w:t>
      </w:r>
      <w:r w:rsidRPr="00507BD2">
        <w:rPr>
          <w:rFonts w:hAnsi="標楷體" w:hint="eastAsia"/>
        </w:rPr>
        <w:t>，</w:t>
      </w:r>
      <w:r w:rsidR="007E4120">
        <w:rPr>
          <w:rFonts w:hAnsi="標楷體" w:hint="eastAsia"/>
        </w:rPr>
        <w:t>惟</w:t>
      </w:r>
      <w:r w:rsidR="00FF3F2A">
        <w:rPr>
          <w:rFonts w:hAnsi="標楷體" w:hint="eastAsia"/>
        </w:rPr>
        <w:t>近期成效仍有待改善處</w:t>
      </w:r>
      <w:r w:rsidRPr="00507BD2">
        <w:rPr>
          <w:rFonts w:hAnsi="標楷體" w:hint="eastAsia"/>
        </w:rPr>
        <w:t>。謹說明如下：</w:t>
      </w:r>
    </w:p>
    <w:p w:rsidR="00F968C5" w:rsidRPr="00507BD2" w:rsidRDefault="00F968C5" w:rsidP="00F968C5">
      <w:pPr>
        <w:pStyle w:val="a4"/>
        <w:rPr>
          <w:b/>
          <w:bCs/>
        </w:rPr>
      </w:pPr>
      <w:r w:rsidRPr="00507BD2">
        <w:rPr>
          <w:rFonts w:hint="eastAsia"/>
          <w:b/>
          <w:bCs/>
        </w:rPr>
        <w:t>(</w:t>
      </w:r>
      <w:r w:rsidRPr="00507BD2">
        <w:rPr>
          <w:b/>
          <w:bCs/>
        </w:rPr>
        <w:t>一)</w:t>
      </w:r>
      <w:r w:rsidR="004D0386">
        <w:rPr>
          <w:rFonts w:hint="eastAsia"/>
          <w:b/>
          <w:bCs/>
        </w:rPr>
        <w:t>硬幣回收量</w:t>
      </w:r>
      <w:r w:rsidR="00337055">
        <w:rPr>
          <w:rFonts w:hint="eastAsia"/>
          <w:b/>
          <w:bCs/>
        </w:rPr>
        <w:t>隨設置機臺數</w:t>
      </w:r>
      <w:r w:rsidR="004D0386">
        <w:rPr>
          <w:rFonts w:hint="eastAsia"/>
          <w:b/>
          <w:bCs/>
        </w:rPr>
        <w:t>逐年遞增，臺北捷運及國泰</w:t>
      </w:r>
      <w:r w:rsidR="00151CEB">
        <w:rPr>
          <w:rFonts w:hint="eastAsia"/>
          <w:b/>
          <w:bCs/>
        </w:rPr>
        <w:t>銀行</w:t>
      </w:r>
      <w:r w:rsidR="004D0386">
        <w:rPr>
          <w:rFonts w:hint="eastAsia"/>
          <w:b/>
          <w:bCs/>
        </w:rPr>
        <w:t>設置機臺數較多回收量較高</w:t>
      </w:r>
    </w:p>
    <w:p w:rsidR="00F968C5" w:rsidRPr="00507BD2" w:rsidRDefault="00434824" w:rsidP="00223971">
      <w:pPr>
        <w:pStyle w:val="21"/>
        <w:ind w:left="850" w:firstLine="566"/>
        <w:rPr>
          <w:rFonts w:hAnsi="標楷體"/>
        </w:rPr>
      </w:pPr>
      <w:r w:rsidRPr="003D5A14">
        <w:rPr>
          <w:rFonts w:hint="eastAsia"/>
        </w:rPr>
        <w:t>為建立硬幣再流通管道，</w:t>
      </w:r>
      <w:r w:rsidR="00F968C5" w:rsidRPr="003D5A14">
        <w:rPr>
          <w:rFonts w:hint="eastAsia"/>
        </w:rPr>
        <w:t>央行</w:t>
      </w:r>
      <w:r w:rsidRPr="003D5A14">
        <w:rPr>
          <w:rFonts w:hint="eastAsia"/>
        </w:rPr>
        <w:t>自</w:t>
      </w:r>
      <w:r w:rsidR="00F968C5" w:rsidRPr="003D5A14">
        <w:rPr>
          <w:rFonts w:hint="eastAsia"/>
        </w:rPr>
        <w:t>1</w:t>
      </w:r>
      <w:r w:rsidR="00F968C5" w:rsidRPr="003D5A14">
        <w:t>03年度</w:t>
      </w:r>
      <w:r w:rsidRPr="003D5A14">
        <w:t>推動</w:t>
      </w:r>
      <w:r w:rsidR="00F968C5" w:rsidRPr="003D5A14">
        <w:rPr>
          <w:rFonts w:hint="eastAsia"/>
        </w:rPr>
        <w:t>「硬幣再流通計畫」</w:t>
      </w:r>
      <w:r w:rsidRPr="003D5A14">
        <w:rPr>
          <w:rFonts w:hint="eastAsia"/>
        </w:rPr>
        <w:t>，</w:t>
      </w:r>
      <w:r w:rsidR="00F968C5" w:rsidRPr="003D5A14">
        <w:rPr>
          <w:rFonts w:hint="eastAsia"/>
        </w:rPr>
        <w:t>商請電子支付機構</w:t>
      </w:r>
      <w:r w:rsidRPr="003D5A14">
        <w:rPr>
          <w:rFonts w:hint="eastAsia"/>
        </w:rPr>
        <w:t>、</w:t>
      </w:r>
      <w:r w:rsidR="00F968C5" w:rsidRPr="003D5A14">
        <w:rPr>
          <w:rFonts w:hint="eastAsia"/>
        </w:rPr>
        <w:t>統一、全家、萊爾富、OK等4大超商共同推出零錢加值服務並於捷運公司改裝售票加值機提供硬幣加值服務，嗣於107年6月擴大實施，除請零售連鎖超市擴大硬幣加值儲值卡服務外，並鼓勵金融機構設置硬幣存款機。</w:t>
      </w:r>
      <w:r w:rsidR="00337055" w:rsidRPr="003D5A14">
        <w:rPr>
          <w:rFonts w:hint="eastAsia"/>
        </w:rPr>
        <w:t>觀諸擴大實施以來硬幣回收成效(詳表1)，硬幣回收量隨設置機臺數逐年遞增，</w:t>
      </w:r>
      <w:r w:rsidR="00012A5D">
        <w:rPr>
          <w:rFonts w:hint="eastAsia"/>
        </w:rPr>
        <w:t>臺北捷運及國泰</w:t>
      </w:r>
      <w:r w:rsidR="00151CEB">
        <w:rPr>
          <w:rFonts w:hint="eastAsia"/>
        </w:rPr>
        <w:t>銀行</w:t>
      </w:r>
      <w:r w:rsidR="00012A5D">
        <w:rPr>
          <w:rFonts w:hint="eastAsia"/>
        </w:rPr>
        <w:t>設置機臺數較多回收量較高，</w:t>
      </w:r>
      <w:r w:rsidR="00223971">
        <w:rPr>
          <w:rFonts w:hint="eastAsia"/>
        </w:rPr>
        <w:t>為回收數量大宗，整體平均回收量則介於每臺18萬枚至22萬枚間，113年度上半年</w:t>
      </w:r>
      <w:r w:rsidR="00A62399">
        <w:rPr>
          <w:rFonts w:hint="eastAsia"/>
        </w:rPr>
        <w:t>平均</w:t>
      </w:r>
      <w:r w:rsidR="00223971">
        <w:rPr>
          <w:rFonts w:hint="eastAsia"/>
        </w:rPr>
        <w:t>每臺</w:t>
      </w:r>
      <w:r w:rsidR="00A62399">
        <w:rPr>
          <w:rFonts w:hint="eastAsia"/>
        </w:rPr>
        <w:t>亦有</w:t>
      </w:r>
      <w:r w:rsidR="00223971">
        <w:rPr>
          <w:rFonts w:hint="eastAsia"/>
        </w:rPr>
        <w:t>12萬枚。</w:t>
      </w:r>
    </w:p>
    <w:p w:rsidR="00A83ED1" w:rsidRPr="00507BD2" w:rsidRDefault="00F968C5" w:rsidP="00A83ED1">
      <w:pPr>
        <w:ind w:leftChars="-14" w:left="567" w:hangingChars="214" w:hanging="607"/>
        <w:rPr>
          <w:rFonts w:hAnsi="標楷體"/>
          <w:b/>
          <w:bCs/>
        </w:rPr>
      </w:pPr>
      <w:r w:rsidRPr="00507BD2">
        <w:rPr>
          <w:rFonts w:hAnsi="標楷體" w:hint="eastAsia"/>
          <w:b/>
          <w:bCs/>
        </w:rPr>
        <w:t>表1</w:t>
      </w:r>
      <w:r w:rsidRPr="00507BD2">
        <w:rPr>
          <w:rFonts w:hAnsi="標楷體"/>
          <w:b/>
          <w:bCs/>
        </w:rPr>
        <w:t xml:space="preserve">  央行</w:t>
      </w:r>
      <w:r w:rsidRPr="00507BD2">
        <w:rPr>
          <w:rFonts w:hAnsi="標楷體" w:hint="eastAsia"/>
          <w:b/>
          <w:bCs/>
        </w:rPr>
        <w:t>1</w:t>
      </w:r>
      <w:r w:rsidRPr="00507BD2">
        <w:rPr>
          <w:rFonts w:hAnsi="標楷體"/>
          <w:b/>
          <w:bCs/>
        </w:rPr>
        <w:t>07至</w:t>
      </w:r>
      <w:r w:rsidRPr="00507BD2">
        <w:rPr>
          <w:rFonts w:hAnsi="標楷體" w:hint="eastAsia"/>
          <w:b/>
          <w:bCs/>
        </w:rPr>
        <w:t>1</w:t>
      </w:r>
      <w:r w:rsidRPr="00507BD2">
        <w:rPr>
          <w:rFonts w:hAnsi="標楷體"/>
          <w:b/>
          <w:bCs/>
        </w:rPr>
        <w:t>13年度</w:t>
      </w:r>
      <w:r w:rsidR="007A21F7">
        <w:rPr>
          <w:rFonts w:hAnsi="標楷體" w:hint="eastAsia"/>
          <w:b/>
          <w:bCs/>
        </w:rPr>
        <w:t>上半年各硬幣回收管道明細表</w:t>
      </w:r>
    </w:p>
    <w:p w:rsidR="00F968C5" w:rsidRPr="00507BD2" w:rsidRDefault="00F968C5" w:rsidP="00223971">
      <w:pPr>
        <w:pStyle w:val="142"/>
        <w:ind w:left="1" w:firstLineChars="1030" w:firstLine="2505"/>
        <w:jc w:val="right"/>
        <w:rPr>
          <w:rFonts w:hAnsi="標楷體"/>
          <w:szCs w:val="24"/>
        </w:rPr>
      </w:pPr>
      <w:r w:rsidRPr="00507BD2">
        <w:rPr>
          <w:rFonts w:hAnsi="標楷體" w:hint="eastAsia"/>
        </w:rPr>
        <w:t xml:space="preserve"> </w:t>
      </w:r>
      <w:r w:rsidRPr="00507BD2">
        <w:rPr>
          <w:rFonts w:hAnsi="標楷體"/>
        </w:rPr>
        <w:t xml:space="preserve">     </w:t>
      </w:r>
      <w:r w:rsidR="00BE0B88" w:rsidRPr="00507BD2">
        <w:rPr>
          <w:rFonts w:hAnsi="標楷體"/>
        </w:rPr>
        <w:t xml:space="preserve">  </w:t>
      </w:r>
      <w:r w:rsidR="00D72C77" w:rsidRPr="00507BD2">
        <w:rPr>
          <w:rFonts w:hAnsi="標楷體"/>
        </w:rPr>
        <w:t xml:space="preserve">      </w:t>
      </w:r>
      <w:r w:rsidR="00BE0B88" w:rsidRPr="00507BD2">
        <w:rPr>
          <w:rFonts w:hAnsi="標楷體"/>
        </w:rPr>
        <w:t xml:space="preserve">  </w:t>
      </w:r>
      <w:r w:rsidRPr="00507BD2">
        <w:rPr>
          <w:rFonts w:hAnsi="標楷體"/>
        </w:rPr>
        <w:t xml:space="preserve">                 </w:t>
      </w:r>
      <w:r w:rsidRPr="00507BD2">
        <w:rPr>
          <w:rStyle w:val="143"/>
          <w:rFonts w:hAnsi="標楷體"/>
        </w:rPr>
        <w:t>單位</w:t>
      </w:r>
      <w:r w:rsidRPr="00507BD2">
        <w:rPr>
          <w:rStyle w:val="143"/>
          <w:rFonts w:hAnsi="標楷體" w:hint="eastAsia"/>
        </w:rPr>
        <w:t>：</w:t>
      </w:r>
      <w:r w:rsidR="00223971">
        <w:rPr>
          <w:rStyle w:val="143"/>
          <w:rFonts w:hAnsi="標楷體" w:hint="eastAsia"/>
        </w:rPr>
        <w:t>臺/百萬枚</w:t>
      </w:r>
    </w:p>
    <w:tbl>
      <w:tblPr>
        <w:tblW w:w="5000" w:type="pct"/>
        <w:tblCellMar>
          <w:left w:w="28" w:type="dxa"/>
          <w:right w:w="28" w:type="dxa"/>
        </w:tblCellMar>
        <w:tblLook w:val="04A0" w:firstRow="1" w:lastRow="0" w:firstColumn="1" w:lastColumn="0" w:noHBand="0" w:noVBand="1"/>
      </w:tblPr>
      <w:tblGrid>
        <w:gridCol w:w="453"/>
        <w:gridCol w:w="283"/>
        <w:gridCol w:w="596"/>
        <w:gridCol w:w="598"/>
        <w:gridCol w:w="481"/>
        <w:gridCol w:w="481"/>
        <w:gridCol w:w="529"/>
        <w:gridCol w:w="481"/>
        <w:gridCol w:w="483"/>
        <w:gridCol w:w="529"/>
        <w:gridCol w:w="598"/>
        <w:gridCol w:w="529"/>
        <w:gridCol w:w="483"/>
        <w:gridCol w:w="483"/>
        <w:gridCol w:w="484"/>
        <w:gridCol w:w="596"/>
        <w:gridCol w:w="473"/>
      </w:tblGrid>
      <w:tr w:rsidR="00012A5D" w:rsidRPr="008020CF" w:rsidTr="007F0EA4">
        <w:trPr>
          <w:trHeight w:val="350"/>
          <w:tblHeader/>
        </w:trPr>
        <w:tc>
          <w:tcPr>
            <w:tcW w:w="265" w:type="pct"/>
            <w:vMerge w:val="restart"/>
            <w:tcBorders>
              <w:top w:val="single" w:sz="12" w:space="0" w:color="auto"/>
              <w:left w:val="single" w:sz="12"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center"/>
              <w:rPr>
                <w:rFonts w:hint="eastAsia"/>
                <w:b/>
                <w:spacing w:val="-20"/>
                <w:sz w:val="22"/>
                <w:szCs w:val="22"/>
              </w:rPr>
            </w:pPr>
            <w:r w:rsidRPr="00012A5D">
              <w:rPr>
                <w:rFonts w:hint="eastAsia"/>
                <w:b/>
                <w:spacing w:val="-20"/>
                <w:sz w:val="22"/>
                <w:szCs w:val="22"/>
              </w:rPr>
              <w:t>年度</w:t>
            </w:r>
          </w:p>
        </w:tc>
        <w:tc>
          <w:tcPr>
            <w:tcW w:w="166" w:type="pct"/>
            <w:vMerge w:val="restart"/>
            <w:tcBorders>
              <w:top w:val="single" w:sz="12"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center"/>
              <w:rPr>
                <w:b/>
                <w:spacing w:val="-20"/>
                <w:sz w:val="20"/>
                <w:szCs w:val="20"/>
              </w:rPr>
            </w:pPr>
            <w:r w:rsidRPr="00012A5D">
              <w:rPr>
                <w:rFonts w:hint="eastAsia"/>
                <w:b/>
                <w:spacing w:val="-20"/>
                <w:sz w:val="20"/>
                <w:szCs w:val="20"/>
              </w:rPr>
              <w:t>管道</w:t>
            </w:r>
          </w:p>
        </w:tc>
        <w:tc>
          <w:tcPr>
            <w:tcW w:w="348" w:type="pct"/>
            <w:tcBorders>
              <w:top w:val="single" w:sz="12"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center"/>
              <w:rPr>
                <w:b/>
                <w:spacing w:val="-20"/>
                <w:sz w:val="20"/>
                <w:szCs w:val="20"/>
              </w:rPr>
            </w:pPr>
            <w:r w:rsidRPr="00012A5D">
              <w:rPr>
                <w:rFonts w:hint="eastAsia"/>
                <w:b/>
                <w:spacing w:val="-20"/>
                <w:sz w:val="20"/>
                <w:szCs w:val="20"/>
              </w:rPr>
              <w:t>類別</w:t>
            </w:r>
          </w:p>
        </w:tc>
        <w:tc>
          <w:tcPr>
            <w:tcW w:w="1220" w:type="pct"/>
            <w:gridSpan w:val="4"/>
            <w:tcBorders>
              <w:top w:val="single" w:sz="12"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center"/>
              <w:rPr>
                <w:b/>
                <w:spacing w:val="-20"/>
                <w:sz w:val="22"/>
                <w:szCs w:val="22"/>
              </w:rPr>
            </w:pPr>
            <w:r w:rsidRPr="00012A5D">
              <w:rPr>
                <w:rFonts w:hint="eastAsia"/>
                <w:b/>
                <w:spacing w:val="-20"/>
                <w:sz w:val="22"/>
                <w:szCs w:val="22"/>
              </w:rPr>
              <w:t>捷運</w:t>
            </w:r>
          </w:p>
        </w:tc>
        <w:tc>
          <w:tcPr>
            <w:tcW w:w="2377" w:type="pct"/>
            <w:gridSpan w:val="8"/>
            <w:tcBorders>
              <w:top w:val="single" w:sz="12"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center"/>
              <w:rPr>
                <w:b/>
                <w:spacing w:val="-20"/>
                <w:sz w:val="22"/>
                <w:szCs w:val="22"/>
              </w:rPr>
            </w:pPr>
            <w:r w:rsidRPr="00012A5D">
              <w:rPr>
                <w:rFonts w:hint="eastAsia"/>
                <w:b/>
                <w:spacing w:val="-20"/>
                <w:sz w:val="22"/>
                <w:szCs w:val="22"/>
              </w:rPr>
              <w:t>金融機構</w:t>
            </w:r>
          </w:p>
        </w:tc>
        <w:tc>
          <w:tcPr>
            <w:tcW w:w="348" w:type="pct"/>
            <w:vMerge w:val="restart"/>
            <w:tcBorders>
              <w:top w:val="single" w:sz="12" w:space="0" w:color="auto"/>
              <w:left w:val="single" w:sz="6" w:space="0" w:color="auto"/>
              <w:bottom w:val="single" w:sz="6" w:space="0" w:color="auto"/>
              <w:right w:val="single" w:sz="6" w:space="0" w:color="auto"/>
            </w:tcBorders>
            <w:shd w:val="clear" w:color="auto" w:fill="auto"/>
            <w:noWrap/>
            <w:vAlign w:val="center"/>
            <w:hideMark/>
          </w:tcPr>
          <w:p w:rsidR="005D4B6B" w:rsidRPr="00012A5D" w:rsidRDefault="005D4B6B" w:rsidP="00012A5D">
            <w:pPr>
              <w:pStyle w:val="142"/>
              <w:jc w:val="center"/>
              <w:rPr>
                <w:b/>
                <w:spacing w:val="-20"/>
                <w:sz w:val="22"/>
                <w:szCs w:val="22"/>
              </w:rPr>
            </w:pPr>
            <w:r w:rsidRPr="00012A5D">
              <w:rPr>
                <w:rFonts w:hint="eastAsia"/>
                <w:b/>
                <w:spacing w:val="-20"/>
                <w:sz w:val="22"/>
                <w:szCs w:val="22"/>
              </w:rPr>
              <w:t>合計</w:t>
            </w:r>
          </w:p>
        </w:tc>
        <w:tc>
          <w:tcPr>
            <w:tcW w:w="276" w:type="pct"/>
            <w:vMerge w:val="restart"/>
            <w:tcBorders>
              <w:top w:val="single" w:sz="12" w:space="0" w:color="auto"/>
              <w:left w:val="single" w:sz="6" w:space="0" w:color="auto"/>
              <w:bottom w:val="single" w:sz="6" w:space="0" w:color="auto"/>
              <w:right w:val="single" w:sz="12" w:space="0" w:color="auto"/>
            </w:tcBorders>
            <w:shd w:val="clear" w:color="auto" w:fill="auto"/>
            <w:vAlign w:val="center"/>
            <w:hideMark/>
          </w:tcPr>
          <w:p w:rsidR="005D4B6B" w:rsidRPr="00012A5D" w:rsidRDefault="005D4B6B" w:rsidP="00012A5D">
            <w:pPr>
              <w:pStyle w:val="142"/>
              <w:jc w:val="center"/>
              <w:rPr>
                <w:b/>
                <w:spacing w:val="-20"/>
                <w:sz w:val="22"/>
                <w:szCs w:val="22"/>
              </w:rPr>
            </w:pPr>
            <w:r w:rsidRPr="00012A5D">
              <w:rPr>
                <w:rFonts w:hint="eastAsia"/>
                <w:b/>
                <w:spacing w:val="-20"/>
                <w:sz w:val="22"/>
                <w:szCs w:val="22"/>
              </w:rPr>
              <w:t>平均回收量</w:t>
            </w:r>
          </w:p>
        </w:tc>
      </w:tr>
      <w:tr w:rsidR="005D4B6B" w:rsidRPr="007C79CD" w:rsidTr="007F0EA4">
        <w:trPr>
          <w:trHeight w:val="350"/>
          <w:tblHeader/>
        </w:trPr>
        <w:tc>
          <w:tcPr>
            <w:tcW w:w="265" w:type="pct"/>
            <w:vMerge/>
            <w:tcBorders>
              <w:top w:val="single" w:sz="6" w:space="0" w:color="auto"/>
              <w:left w:val="single" w:sz="12" w:space="0" w:color="auto"/>
              <w:bottom w:val="single" w:sz="6" w:space="0" w:color="auto"/>
              <w:right w:val="single" w:sz="6" w:space="0" w:color="auto"/>
            </w:tcBorders>
            <w:vAlign w:val="center"/>
            <w:hideMark/>
          </w:tcPr>
          <w:p w:rsidR="005D4B6B" w:rsidRPr="005D4B6B" w:rsidRDefault="005D4B6B" w:rsidP="005D4B6B">
            <w:pPr>
              <w:pStyle w:val="142"/>
              <w:rPr>
                <w:spacing w:val="-20"/>
                <w:sz w:val="22"/>
                <w:szCs w:val="22"/>
              </w:rPr>
            </w:pPr>
          </w:p>
        </w:tc>
        <w:tc>
          <w:tcPr>
            <w:tcW w:w="166" w:type="pct"/>
            <w:vMerge/>
            <w:tcBorders>
              <w:top w:val="single" w:sz="6" w:space="0" w:color="auto"/>
              <w:left w:val="single" w:sz="6" w:space="0" w:color="auto"/>
              <w:bottom w:val="single" w:sz="6" w:space="0" w:color="auto"/>
              <w:right w:val="single" w:sz="6" w:space="0" w:color="auto"/>
            </w:tcBorders>
            <w:vAlign w:val="center"/>
            <w:hideMark/>
          </w:tcPr>
          <w:p w:rsidR="005D4B6B" w:rsidRPr="00012A5D" w:rsidRDefault="005D4B6B" w:rsidP="005D4B6B">
            <w:pPr>
              <w:pStyle w:val="142"/>
              <w:rPr>
                <w:spacing w:val="-20"/>
                <w:sz w:val="20"/>
                <w:szCs w:val="20"/>
              </w:rPr>
            </w:pPr>
          </w:p>
        </w:tc>
        <w:tc>
          <w:tcPr>
            <w:tcW w:w="348"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center"/>
              <w:rPr>
                <w:rFonts w:hint="eastAsia"/>
                <w:b/>
                <w:spacing w:val="-20"/>
                <w:sz w:val="20"/>
                <w:szCs w:val="20"/>
              </w:rPr>
            </w:pPr>
            <w:r w:rsidRPr="00012A5D">
              <w:rPr>
                <w:rFonts w:hint="eastAsia"/>
                <w:b/>
                <w:spacing w:val="-20"/>
                <w:sz w:val="20"/>
                <w:szCs w:val="20"/>
              </w:rPr>
              <w:t>名稱</w:t>
            </w:r>
          </w:p>
        </w:tc>
        <w:tc>
          <w:tcPr>
            <w:tcW w:w="349"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center"/>
              <w:rPr>
                <w:b/>
                <w:spacing w:val="-20"/>
                <w:sz w:val="22"/>
                <w:szCs w:val="22"/>
              </w:rPr>
            </w:pPr>
            <w:r w:rsidRPr="00012A5D">
              <w:rPr>
                <w:rFonts w:hint="eastAsia"/>
                <w:b/>
                <w:spacing w:val="-20"/>
                <w:sz w:val="22"/>
                <w:szCs w:val="22"/>
              </w:rPr>
              <w:t>臺北</w:t>
            </w:r>
          </w:p>
        </w:tc>
        <w:tc>
          <w:tcPr>
            <w:tcW w:w="281"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center"/>
              <w:rPr>
                <w:b/>
                <w:spacing w:val="-20"/>
                <w:sz w:val="22"/>
                <w:szCs w:val="22"/>
              </w:rPr>
            </w:pPr>
            <w:r w:rsidRPr="00012A5D">
              <w:rPr>
                <w:rFonts w:hint="eastAsia"/>
                <w:b/>
                <w:spacing w:val="-20"/>
                <w:sz w:val="22"/>
                <w:szCs w:val="22"/>
              </w:rPr>
              <w:t>新北</w:t>
            </w:r>
          </w:p>
        </w:tc>
        <w:tc>
          <w:tcPr>
            <w:tcW w:w="281"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center"/>
              <w:rPr>
                <w:b/>
                <w:spacing w:val="-20"/>
                <w:sz w:val="22"/>
                <w:szCs w:val="22"/>
              </w:rPr>
            </w:pPr>
            <w:r w:rsidRPr="00012A5D">
              <w:rPr>
                <w:rFonts w:hint="eastAsia"/>
                <w:b/>
                <w:spacing w:val="-20"/>
                <w:sz w:val="22"/>
                <w:szCs w:val="22"/>
              </w:rPr>
              <w:t>臺中</w:t>
            </w:r>
          </w:p>
        </w:tc>
        <w:tc>
          <w:tcPr>
            <w:tcW w:w="309"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center"/>
              <w:rPr>
                <w:b/>
                <w:spacing w:val="-20"/>
                <w:sz w:val="22"/>
                <w:szCs w:val="22"/>
              </w:rPr>
            </w:pPr>
            <w:r w:rsidRPr="00012A5D">
              <w:rPr>
                <w:rFonts w:hint="eastAsia"/>
                <w:b/>
                <w:spacing w:val="-20"/>
                <w:sz w:val="22"/>
                <w:szCs w:val="22"/>
              </w:rPr>
              <w:t>高雄</w:t>
            </w:r>
          </w:p>
        </w:tc>
        <w:tc>
          <w:tcPr>
            <w:tcW w:w="281"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center"/>
              <w:rPr>
                <w:b/>
                <w:spacing w:val="-20"/>
                <w:sz w:val="22"/>
                <w:szCs w:val="22"/>
              </w:rPr>
            </w:pPr>
            <w:r w:rsidRPr="00012A5D">
              <w:rPr>
                <w:rFonts w:hint="eastAsia"/>
                <w:b/>
                <w:spacing w:val="-20"/>
                <w:sz w:val="22"/>
                <w:szCs w:val="22"/>
              </w:rPr>
              <w:t>臺銀</w:t>
            </w:r>
          </w:p>
        </w:tc>
        <w:tc>
          <w:tcPr>
            <w:tcW w:w="282"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center"/>
              <w:rPr>
                <w:b/>
                <w:spacing w:val="-20"/>
                <w:sz w:val="22"/>
                <w:szCs w:val="22"/>
              </w:rPr>
            </w:pPr>
            <w:r w:rsidRPr="00012A5D">
              <w:rPr>
                <w:rFonts w:hint="eastAsia"/>
                <w:b/>
                <w:spacing w:val="-20"/>
                <w:sz w:val="22"/>
                <w:szCs w:val="22"/>
              </w:rPr>
              <w:t>渣打</w:t>
            </w:r>
          </w:p>
        </w:tc>
        <w:tc>
          <w:tcPr>
            <w:tcW w:w="309"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center"/>
              <w:rPr>
                <w:b/>
                <w:spacing w:val="-20"/>
                <w:sz w:val="22"/>
                <w:szCs w:val="22"/>
              </w:rPr>
            </w:pPr>
            <w:r w:rsidRPr="00012A5D">
              <w:rPr>
                <w:rFonts w:hint="eastAsia"/>
                <w:b/>
                <w:spacing w:val="-20"/>
                <w:sz w:val="22"/>
                <w:szCs w:val="22"/>
              </w:rPr>
              <w:t>台新</w:t>
            </w:r>
          </w:p>
        </w:tc>
        <w:tc>
          <w:tcPr>
            <w:tcW w:w="349"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center"/>
              <w:rPr>
                <w:b/>
                <w:spacing w:val="-20"/>
                <w:sz w:val="22"/>
                <w:szCs w:val="22"/>
              </w:rPr>
            </w:pPr>
            <w:r w:rsidRPr="00012A5D">
              <w:rPr>
                <w:rFonts w:hint="eastAsia"/>
                <w:b/>
                <w:spacing w:val="-20"/>
                <w:sz w:val="22"/>
                <w:szCs w:val="22"/>
              </w:rPr>
              <w:t>國泰</w:t>
            </w:r>
          </w:p>
        </w:tc>
        <w:tc>
          <w:tcPr>
            <w:tcW w:w="309"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center"/>
              <w:rPr>
                <w:b/>
                <w:spacing w:val="-20"/>
                <w:sz w:val="22"/>
                <w:szCs w:val="22"/>
              </w:rPr>
            </w:pPr>
            <w:r w:rsidRPr="00012A5D">
              <w:rPr>
                <w:rFonts w:hint="eastAsia"/>
                <w:b/>
                <w:spacing w:val="-20"/>
                <w:sz w:val="22"/>
                <w:szCs w:val="22"/>
              </w:rPr>
              <w:t>中信</w:t>
            </w:r>
          </w:p>
        </w:tc>
        <w:tc>
          <w:tcPr>
            <w:tcW w:w="282"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center"/>
              <w:rPr>
                <w:b/>
                <w:spacing w:val="-20"/>
                <w:sz w:val="22"/>
                <w:szCs w:val="22"/>
              </w:rPr>
            </w:pPr>
            <w:r w:rsidRPr="00012A5D">
              <w:rPr>
                <w:rFonts w:hint="eastAsia"/>
                <w:b/>
                <w:spacing w:val="-20"/>
                <w:sz w:val="22"/>
                <w:szCs w:val="22"/>
              </w:rPr>
              <w:t>永豐</w:t>
            </w:r>
          </w:p>
        </w:tc>
        <w:tc>
          <w:tcPr>
            <w:tcW w:w="282"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center"/>
              <w:rPr>
                <w:b/>
                <w:spacing w:val="-20"/>
                <w:sz w:val="22"/>
                <w:szCs w:val="22"/>
              </w:rPr>
            </w:pPr>
            <w:r w:rsidRPr="00012A5D">
              <w:rPr>
                <w:rFonts w:hint="eastAsia"/>
                <w:b/>
                <w:spacing w:val="-20"/>
                <w:sz w:val="22"/>
                <w:szCs w:val="22"/>
              </w:rPr>
              <w:t>上海</w:t>
            </w:r>
          </w:p>
        </w:tc>
        <w:tc>
          <w:tcPr>
            <w:tcW w:w="283"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center"/>
              <w:rPr>
                <w:b/>
                <w:spacing w:val="-20"/>
                <w:sz w:val="22"/>
                <w:szCs w:val="22"/>
              </w:rPr>
            </w:pPr>
            <w:r w:rsidRPr="00012A5D">
              <w:rPr>
                <w:rFonts w:hint="eastAsia"/>
                <w:b/>
                <w:spacing w:val="-20"/>
                <w:sz w:val="22"/>
                <w:szCs w:val="22"/>
              </w:rPr>
              <w:t>郵局</w:t>
            </w:r>
          </w:p>
        </w:tc>
        <w:tc>
          <w:tcPr>
            <w:tcW w:w="348" w:type="pct"/>
            <w:vMerge/>
            <w:tcBorders>
              <w:top w:val="single" w:sz="6" w:space="0" w:color="auto"/>
              <w:left w:val="single" w:sz="6" w:space="0" w:color="auto"/>
              <w:bottom w:val="single" w:sz="6" w:space="0" w:color="auto"/>
              <w:right w:val="single" w:sz="6" w:space="0" w:color="auto"/>
            </w:tcBorders>
            <w:vAlign w:val="center"/>
            <w:hideMark/>
          </w:tcPr>
          <w:p w:rsidR="005D4B6B" w:rsidRPr="005D4B6B" w:rsidRDefault="005D4B6B" w:rsidP="005D4B6B">
            <w:pPr>
              <w:pStyle w:val="142"/>
              <w:rPr>
                <w:spacing w:val="-20"/>
                <w:sz w:val="22"/>
                <w:szCs w:val="22"/>
              </w:rPr>
            </w:pPr>
          </w:p>
        </w:tc>
        <w:tc>
          <w:tcPr>
            <w:tcW w:w="276" w:type="pct"/>
            <w:vMerge/>
            <w:tcBorders>
              <w:top w:val="single" w:sz="6" w:space="0" w:color="auto"/>
              <w:left w:val="single" w:sz="6" w:space="0" w:color="auto"/>
              <w:bottom w:val="single" w:sz="6" w:space="0" w:color="auto"/>
              <w:right w:val="single" w:sz="12" w:space="0" w:color="auto"/>
            </w:tcBorders>
            <w:vAlign w:val="center"/>
            <w:hideMark/>
          </w:tcPr>
          <w:p w:rsidR="005D4B6B" w:rsidRPr="005D4B6B" w:rsidRDefault="005D4B6B" w:rsidP="005D4B6B">
            <w:pPr>
              <w:pStyle w:val="142"/>
              <w:rPr>
                <w:spacing w:val="-20"/>
                <w:sz w:val="22"/>
                <w:szCs w:val="22"/>
              </w:rPr>
            </w:pPr>
          </w:p>
        </w:tc>
      </w:tr>
      <w:tr w:rsidR="005D4B6B" w:rsidRPr="007C79CD" w:rsidTr="00A62399">
        <w:trPr>
          <w:trHeight w:val="350"/>
        </w:trPr>
        <w:tc>
          <w:tcPr>
            <w:tcW w:w="265" w:type="pct"/>
            <w:vMerge w:val="restart"/>
            <w:tcBorders>
              <w:top w:val="single" w:sz="6" w:space="0" w:color="auto"/>
              <w:left w:val="single" w:sz="12" w:space="0" w:color="auto"/>
              <w:bottom w:val="single" w:sz="6" w:space="0" w:color="auto"/>
              <w:right w:val="single" w:sz="6" w:space="0" w:color="auto"/>
            </w:tcBorders>
            <w:shd w:val="clear" w:color="auto" w:fill="auto"/>
            <w:vAlign w:val="center"/>
            <w:hideMark/>
          </w:tcPr>
          <w:p w:rsidR="005D4B6B" w:rsidRPr="005D4B6B" w:rsidRDefault="005D4B6B" w:rsidP="00223971">
            <w:pPr>
              <w:pStyle w:val="142"/>
              <w:jc w:val="center"/>
              <w:rPr>
                <w:spacing w:val="-20"/>
                <w:sz w:val="22"/>
                <w:szCs w:val="22"/>
              </w:rPr>
            </w:pPr>
            <w:r w:rsidRPr="005D4B6B">
              <w:rPr>
                <w:spacing w:val="-20"/>
                <w:sz w:val="22"/>
                <w:szCs w:val="22"/>
              </w:rPr>
              <w:t>107</w:t>
            </w:r>
          </w:p>
        </w:tc>
        <w:tc>
          <w:tcPr>
            <w:tcW w:w="513" w:type="pct"/>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5D4B6B" w:rsidRDefault="005D4B6B" w:rsidP="00A62399">
            <w:pPr>
              <w:pStyle w:val="142"/>
              <w:jc w:val="both"/>
              <w:rPr>
                <w:spacing w:val="-20"/>
                <w:sz w:val="20"/>
                <w:szCs w:val="20"/>
              </w:rPr>
            </w:pPr>
            <w:r w:rsidRPr="005D4B6B">
              <w:rPr>
                <w:rFonts w:hint="eastAsia"/>
                <w:spacing w:val="-20"/>
                <w:sz w:val="20"/>
                <w:szCs w:val="20"/>
              </w:rPr>
              <w:t>機臺數</w:t>
            </w:r>
          </w:p>
        </w:tc>
        <w:tc>
          <w:tcPr>
            <w:tcW w:w="349"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rFonts w:hint="eastAsia"/>
                <w:b/>
                <w:spacing w:val="-20"/>
                <w:sz w:val="22"/>
                <w:szCs w:val="22"/>
              </w:rPr>
            </w:pPr>
            <w:r w:rsidRPr="00012A5D">
              <w:rPr>
                <w:b/>
                <w:spacing w:val="-20"/>
                <w:sz w:val="22"/>
                <w:szCs w:val="22"/>
              </w:rPr>
              <w:t>467</w:t>
            </w:r>
          </w:p>
        </w:tc>
        <w:tc>
          <w:tcPr>
            <w:tcW w:w="281"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A30BEF" w:rsidP="00012A5D">
            <w:pPr>
              <w:pStyle w:val="142"/>
              <w:jc w:val="right"/>
              <w:rPr>
                <w:spacing w:val="-20"/>
                <w:sz w:val="22"/>
                <w:szCs w:val="22"/>
              </w:rPr>
            </w:pPr>
            <w:r>
              <w:rPr>
                <w:rFonts w:hint="eastAsia"/>
                <w:spacing w:val="-20"/>
                <w:sz w:val="22"/>
                <w:szCs w:val="22"/>
              </w:rPr>
              <w:t>-</w:t>
            </w:r>
            <w:r w:rsidR="005D4B6B" w:rsidRPr="00012A5D">
              <w:rPr>
                <w:spacing w:val="-20"/>
                <w:sz w:val="22"/>
                <w:szCs w:val="22"/>
              </w:rPr>
              <w:t xml:space="preserve">　</w:t>
            </w:r>
          </w:p>
        </w:tc>
        <w:tc>
          <w:tcPr>
            <w:tcW w:w="281"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A30BEF" w:rsidP="00012A5D">
            <w:pPr>
              <w:pStyle w:val="142"/>
              <w:jc w:val="right"/>
              <w:rPr>
                <w:spacing w:val="-20"/>
                <w:sz w:val="22"/>
                <w:szCs w:val="22"/>
              </w:rPr>
            </w:pPr>
            <w:r>
              <w:rPr>
                <w:rFonts w:hint="eastAsia"/>
                <w:spacing w:val="-20"/>
                <w:sz w:val="22"/>
                <w:szCs w:val="22"/>
              </w:rPr>
              <w:t>-</w:t>
            </w:r>
            <w:r w:rsidR="005D4B6B" w:rsidRPr="00012A5D">
              <w:rPr>
                <w:spacing w:val="-20"/>
                <w:sz w:val="22"/>
                <w:szCs w:val="22"/>
              </w:rPr>
              <w:t xml:space="preserve">　</w:t>
            </w:r>
          </w:p>
        </w:tc>
        <w:tc>
          <w:tcPr>
            <w:tcW w:w="309"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spacing w:val="-20"/>
                <w:sz w:val="22"/>
                <w:szCs w:val="22"/>
              </w:rPr>
            </w:pPr>
            <w:r w:rsidRPr="00012A5D">
              <w:rPr>
                <w:spacing w:val="-20"/>
                <w:sz w:val="22"/>
                <w:szCs w:val="22"/>
              </w:rPr>
              <w:t>199</w:t>
            </w:r>
          </w:p>
        </w:tc>
        <w:tc>
          <w:tcPr>
            <w:tcW w:w="281"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600C50" w:rsidP="00012A5D">
            <w:pPr>
              <w:pStyle w:val="142"/>
              <w:jc w:val="right"/>
              <w:rPr>
                <w:spacing w:val="-20"/>
                <w:sz w:val="22"/>
                <w:szCs w:val="22"/>
              </w:rPr>
            </w:pPr>
            <w:r>
              <w:rPr>
                <w:rFonts w:hint="eastAsia"/>
                <w:spacing w:val="-20"/>
                <w:sz w:val="22"/>
                <w:szCs w:val="22"/>
              </w:rPr>
              <w:t>-</w:t>
            </w:r>
            <w:r w:rsidR="005D4B6B" w:rsidRPr="00012A5D">
              <w:rPr>
                <w:spacing w:val="-20"/>
                <w:sz w:val="22"/>
                <w:szCs w:val="22"/>
              </w:rPr>
              <w:t xml:space="preserve">　</w:t>
            </w:r>
          </w:p>
        </w:tc>
        <w:tc>
          <w:tcPr>
            <w:tcW w:w="282"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spacing w:val="-20"/>
                <w:sz w:val="22"/>
                <w:szCs w:val="22"/>
              </w:rPr>
            </w:pPr>
            <w:r w:rsidRPr="00012A5D">
              <w:rPr>
                <w:spacing w:val="-20"/>
                <w:sz w:val="22"/>
                <w:szCs w:val="22"/>
              </w:rPr>
              <w:t>25</w:t>
            </w:r>
          </w:p>
        </w:tc>
        <w:tc>
          <w:tcPr>
            <w:tcW w:w="309"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spacing w:val="-20"/>
                <w:sz w:val="22"/>
                <w:szCs w:val="22"/>
              </w:rPr>
            </w:pPr>
            <w:r w:rsidRPr="00012A5D">
              <w:rPr>
                <w:spacing w:val="-20"/>
                <w:sz w:val="22"/>
                <w:szCs w:val="22"/>
              </w:rPr>
              <w:t>7</w:t>
            </w:r>
          </w:p>
        </w:tc>
        <w:tc>
          <w:tcPr>
            <w:tcW w:w="349"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b/>
                <w:spacing w:val="-20"/>
                <w:sz w:val="22"/>
                <w:szCs w:val="22"/>
              </w:rPr>
            </w:pPr>
            <w:r w:rsidRPr="00012A5D">
              <w:rPr>
                <w:b/>
                <w:spacing w:val="-20"/>
                <w:sz w:val="22"/>
                <w:szCs w:val="22"/>
              </w:rPr>
              <w:t>3</w:t>
            </w:r>
          </w:p>
        </w:tc>
        <w:tc>
          <w:tcPr>
            <w:tcW w:w="309"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spacing w:val="-20"/>
                <w:sz w:val="22"/>
                <w:szCs w:val="22"/>
              </w:rPr>
            </w:pPr>
            <w:r w:rsidRPr="00012A5D">
              <w:rPr>
                <w:spacing w:val="-20"/>
                <w:sz w:val="22"/>
                <w:szCs w:val="22"/>
              </w:rPr>
              <w:t>3</w:t>
            </w:r>
          </w:p>
        </w:tc>
        <w:tc>
          <w:tcPr>
            <w:tcW w:w="282"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A30BEF" w:rsidP="00012A5D">
            <w:pPr>
              <w:pStyle w:val="142"/>
              <w:jc w:val="right"/>
              <w:rPr>
                <w:spacing w:val="-20"/>
                <w:sz w:val="22"/>
                <w:szCs w:val="22"/>
              </w:rPr>
            </w:pPr>
            <w:r>
              <w:rPr>
                <w:rFonts w:hint="eastAsia"/>
                <w:spacing w:val="-20"/>
                <w:sz w:val="22"/>
                <w:szCs w:val="22"/>
              </w:rPr>
              <w:t>-</w:t>
            </w:r>
            <w:r w:rsidR="005D4B6B" w:rsidRPr="00012A5D">
              <w:rPr>
                <w:spacing w:val="-20"/>
                <w:sz w:val="22"/>
                <w:szCs w:val="22"/>
              </w:rPr>
              <w:t xml:space="preserve">　</w:t>
            </w:r>
          </w:p>
        </w:tc>
        <w:tc>
          <w:tcPr>
            <w:tcW w:w="282"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A30BEF" w:rsidP="00012A5D">
            <w:pPr>
              <w:pStyle w:val="142"/>
              <w:jc w:val="right"/>
              <w:rPr>
                <w:spacing w:val="-20"/>
                <w:sz w:val="22"/>
                <w:szCs w:val="22"/>
              </w:rPr>
            </w:pPr>
            <w:r>
              <w:rPr>
                <w:rFonts w:hint="eastAsia"/>
                <w:spacing w:val="-20"/>
                <w:sz w:val="22"/>
                <w:szCs w:val="22"/>
              </w:rPr>
              <w:t>-</w:t>
            </w:r>
            <w:r w:rsidR="005D4B6B" w:rsidRPr="00012A5D">
              <w:rPr>
                <w:spacing w:val="-20"/>
                <w:sz w:val="22"/>
                <w:szCs w:val="22"/>
              </w:rPr>
              <w:t xml:space="preserve">　</w:t>
            </w:r>
          </w:p>
        </w:tc>
        <w:tc>
          <w:tcPr>
            <w:tcW w:w="283"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A30BEF" w:rsidP="00012A5D">
            <w:pPr>
              <w:pStyle w:val="142"/>
              <w:jc w:val="right"/>
              <w:rPr>
                <w:spacing w:val="-20"/>
                <w:sz w:val="22"/>
                <w:szCs w:val="22"/>
              </w:rPr>
            </w:pPr>
            <w:r>
              <w:rPr>
                <w:rFonts w:hint="eastAsia"/>
                <w:spacing w:val="-20"/>
                <w:sz w:val="22"/>
                <w:szCs w:val="22"/>
              </w:rPr>
              <w:t>-</w:t>
            </w:r>
            <w:r w:rsidR="005D4B6B" w:rsidRPr="00012A5D">
              <w:rPr>
                <w:spacing w:val="-20"/>
                <w:sz w:val="22"/>
                <w:szCs w:val="22"/>
              </w:rPr>
              <w:t xml:space="preserve">　</w:t>
            </w:r>
          </w:p>
        </w:tc>
        <w:tc>
          <w:tcPr>
            <w:tcW w:w="348" w:type="pct"/>
            <w:tcBorders>
              <w:top w:val="single" w:sz="6" w:space="0" w:color="auto"/>
              <w:left w:val="single" w:sz="6" w:space="0" w:color="auto"/>
              <w:bottom w:val="single" w:sz="6" w:space="0" w:color="auto"/>
              <w:right w:val="single" w:sz="6" w:space="0" w:color="auto"/>
            </w:tcBorders>
            <w:shd w:val="clear" w:color="auto" w:fill="auto"/>
            <w:noWrap/>
            <w:vAlign w:val="center"/>
            <w:hideMark/>
          </w:tcPr>
          <w:p w:rsidR="005D4B6B" w:rsidRPr="00012A5D" w:rsidRDefault="005D4B6B" w:rsidP="00012A5D">
            <w:pPr>
              <w:pStyle w:val="142"/>
              <w:jc w:val="right"/>
              <w:rPr>
                <w:spacing w:val="-20"/>
                <w:sz w:val="22"/>
                <w:szCs w:val="22"/>
              </w:rPr>
            </w:pPr>
            <w:r w:rsidRPr="00012A5D">
              <w:rPr>
                <w:spacing w:val="-20"/>
                <w:sz w:val="22"/>
                <w:szCs w:val="22"/>
              </w:rPr>
              <w:t>704</w:t>
            </w:r>
          </w:p>
        </w:tc>
        <w:tc>
          <w:tcPr>
            <w:tcW w:w="276" w:type="pct"/>
            <w:tcBorders>
              <w:top w:val="single" w:sz="6" w:space="0" w:color="auto"/>
              <w:left w:val="single" w:sz="6" w:space="0" w:color="auto"/>
              <w:right w:val="single" w:sz="12" w:space="0" w:color="auto"/>
            </w:tcBorders>
            <w:shd w:val="clear" w:color="auto" w:fill="auto"/>
            <w:noWrap/>
            <w:vAlign w:val="center"/>
            <w:hideMark/>
          </w:tcPr>
          <w:p w:rsidR="005D4B6B" w:rsidRPr="00012A5D" w:rsidRDefault="005D4B6B" w:rsidP="00012A5D">
            <w:pPr>
              <w:pStyle w:val="142"/>
              <w:jc w:val="right"/>
              <w:rPr>
                <w:spacing w:val="-20"/>
                <w:sz w:val="22"/>
                <w:szCs w:val="22"/>
              </w:rPr>
            </w:pPr>
            <w:r w:rsidRPr="00012A5D">
              <w:rPr>
                <w:rFonts w:hint="eastAsia"/>
                <w:spacing w:val="-20"/>
                <w:sz w:val="22"/>
                <w:szCs w:val="22"/>
              </w:rPr>
              <w:t xml:space="preserve">　</w:t>
            </w:r>
          </w:p>
        </w:tc>
      </w:tr>
      <w:tr w:rsidR="005D4B6B" w:rsidRPr="007C79CD" w:rsidTr="00A62399">
        <w:trPr>
          <w:trHeight w:val="350"/>
        </w:trPr>
        <w:tc>
          <w:tcPr>
            <w:tcW w:w="265" w:type="pct"/>
            <w:vMerge/>
            <w:tcBorders>
              <w:top w:val="single" w:sz="6" w:space="0" w:color="auto"/>
              <w:left w:val="single" w:sz="12" w:space="0" w:color="auto"/>
              <w:bottom w:val="single" w:sz="6" w:space="0" w:color="auto"/>
              <w:right w:val="single" w:sz="6" w:space="0" w:color="auto"/>
            </w:tcBorders>
            <w:vAlign w:val="center"/>
            <w:hideMark/>
          </w:tcPr>
          <w:p w:rsidR="005D4B6B" w:rsidRPr="005D4B6B" w:rsidRDefault="005D4B6B" w:rsidP="00223971">
            <w:pPr>
              <w:pStyle w:val="142"/>
              <w:jc w:val="center"/>
              <w:rPr>
                <w:spacing w:val="-20"/>
                <w:sz w:val="22"/>
                <w:szCs w:val="22"/>
              </w:rPr>
            </w:pPr>
          </w:p>
        </w:tc>
        <w:tc>
          <w:tcPr>
            <w:tcW w:w="513" w:type="pct"/>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5D4B6B" w:rsidRDefault="005D4B6B" w:rsidP="002A7D98">
            <w:pPr>
              <w:pStyle w:val="142"/>
              <w:jc w:val="both"/>
              <w:rPr>
                <w:rFonts w:hint="eastAsia"/>
                <w:spacing w:val="-20"/>
                <w:sz w:val="20"/>
                <w:szCs w:val="20"/>
              </w:rPr>
            </w:pPr>
            <w:r w:rsidRPr="005D4B6B">
              <w:rPr>
                <w:rFonts w:hint="eastAsia"/>
                <w:spacing w:val="-20"/>
                <w:sz w:val="20"/>
                <w:szCs w:val="20"/>
              </w:rPr>
              <w:t>硬幣回</w:t>
            </w:r>
            <w:r w:rsidR="002A7D98">
              <w:rPr>
                <w:rFonts w:hint="eastAsia"/>
                <w:spacing w:val="-20"/>
                <w:sz w:val="20"/>
                <w:szCs w:val="20"/>
              </w:rPr>
              <w:t>存</w:t>
            </w:r>
            <w:r w:rsidR="00A62399">
              <w:rPr>
                <w:rFonts w:hint="eastAsia"/>
                <w:spacing w:val="-20"/>
                <w:sz w:val="20"/>
                <w:szCs w:val="20"/>
              </w:rPr>
              <w:t>/加值</w:t>
            </w:r>
            <w:r w:rsidRPr="005D4B6B">
              <w:rPr>
                <w:rFonts w:hint="eastAsia"/>
                <w:spacing w:val="-20"/>
                <w:sz w:val="20"/>
                <w:szCs w:val="20"/>
              </w:rPr>
              <w:t>數</w:t>
            </w:r>
          </w:p>
        </w:tc>
        <w:tc>
          <w:tcPr>
            <w:tcW w:w="349"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b/>
                <w:spacing w:val="-20"/>
                <w:sz w:val="22"/>
                <w:szCs w:val="22"/>
              </w:rPr>
            </w:pPr>
            <w:r w:rsidRPr="00012A5D">
              <w:rPr>
                <w:b/>
                <w:spacing w:val="-20"/>
                <w:sz w:val="22"/>
                <w:szCs w:val="22"/>
              </w:rPr>
              <w:t>120.26</w:t>
            </w:r>
          </w:p>
        </w:tc>
        <w:tc>
          <w:tcPr>
            <w:tcW w:w="281"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A30BEF" w:rsidP="00012A5D">
            <w:pPr>
              <w:pStyle w:val="142"/>
              <w:jc w:val="right"/>
              <w:rPr>
                <w:spacing w:val="-20"/>
                <w:sz w:val="22"/>
                <w:szCs w:val="22"/>
              </w:rPr>
            </w:pPr>
            <w:r>
              <w:rPr>
                <w:rFonts w:hint="eastAsia"/>
                <w:spacing w:val="-20"/>
                <w:sz w:val="22"/>
                <w:szCs w:val="22"/>
              </w:rPr>
              <w:t>-</w:t>
            </w:r>
            <w:r w:rsidR="005D4B6B" w:rsidRPr="00012A5D">
              <w:rPr>
                <w:spacing w:val="-20"/>
                <w:sz w:val="22"/>
                <w:szCs w:val="22"/>
              </w:rPr>
              <w:t xml:space="preserve">　</w:t>
            </w:r>
          </w:p>
        </w:tc>
        <w:tc>
          <w:tcPr>
            <w:tcW w:w="281"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A30BEF" w:rsidP="00012A5D">
            <w:pPr>
              <w:pStyle w:val="142"/>
              <w:jc w:val="right"/>
              <w:rPr>
                <w:spacing w:val="-20"/>
                <w:sz w:val="22"/>
                <w:szCs w:val="22"/>
              </w:rPr>
            </w:pPr>
            <w:r>
              <w:rPr>
                <w:rFonts w:hint="eastAsia"/>
                <w:spacing w:val="-20"/>
                <w:sz w:val="22"/>
                <w:szCs w:val="22"/>
              </w:rPr>
              <w:t>-</w:t>
            </w:r>
            <w:r w:rsidR="005D4B6B" w:rsidRPr="00012A5D">
              <w:rPr>
                <w:spacing w:val="-20"/>
                <w:sz w:val="22"/>
                <w:szCs w:val="22"/>
              </w:rPr>
              <w:t xml:space="preserve">　</w:t>
            </w:r>
          </w:p>
        </w:tc>
        <w:tc>
          <w:tcPr>
            <w:tcW w:w="309"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spacing w:val="-20"/>
                <w:sz w:val="22"/>
                <w:szCs w:val="22"/>
              </w:rPr>
            </w:pPr>
            <w:r w:rsidRPr="00012A5D">
              <w:rPr>
                <w:spacing w:val="-20"/>
                <w:sz w:val="22"/>
                <w:szCs w:val="22"/>
              </w:rPr>
              <w:t>6.76</w:t>
            </w:r>
          </w:p>
        </w:tc>
        <w:tc>
          <w:tcPr>
            <w:tcW w:w="281"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600C50" w:rsidP="00012A5D">
            <w:pPr>
              <w:pStyle w:val="142"/>
              <w:jc w:val="right"/>
              <w:rPr>
                <w:spacing w:val="-20"/>
                <w:sz w:val="22"/>
                <w:szCs w:val="22"/>
              </w:rPr>
            </w:pPr>
            <w:r>
              <w:rPr>
                <w:rFonts w:hint="eastAsia"/>
                <w:spacing w:val="-20"/>
                <w:sz w:val="22"/>
                <w:szCs w:val="22"/>
              </w:rPr>
              <w:t>-</w:t>
            </w:r>
            <w:r w:rsidR="005D4B6B" w:rsidRPr="00012A5D">
              <w:rPr>
                <w:spacing w:val="-20"/>
                <w:sz w:val="22"/>
                <w:szCs w:val="22"/>
              </w:rPr>
              <w:t xml:space="preserve">　</w:t>
            </w:r>
          </w:p>
        </w:tc>
        <w:tc>
          <w:tcPr>
            <w:tcW w:w="282"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spacing w:val="-20"/>
                <w:sz w:val="22"/>
                <w:szCs w:val="22"/>
              </w:rPr>
            </w:pPr>
            <w:r w:rsidRPr="00012A5D">
              <w:rPr>
                <w:spacing w:val="-20"/>
                <w:sz w:val="22"/>
                <w:szCs w:val="22"/>
              </w:rPr>
              <w:t>1.16</w:t>
            </w:r>
          </w:p>
        </w:tc>
        <w:tc>
          <w:tcPr>
            <w:tcW w:w="309" w:type="pct"/>
            <w:tcBorders>
              <w:top w:val="single" w:sz="6" w:space="0" w:color="auto"/>
              <w:left w:val="single" w:sz="6" w:space="0" w:color="auto"/>
              <w:bottom w:val="single" w:sz="6" w:space="0" w:color="auto"/>
              <w:right w:val="single" w:sz="6" w:space="0" w:color="auto"/>
            </w:tcBorders>
            <w:shd w:val="clear" w:color="auto" w:fill="auto"/>
            <w:noWrap/>
            <w:vAlign w:val="center"/>
            <w:hideMark/>
          </w:tcPr>
          <w:p w:rsidR="005D4B6B" w:rsidRPr="00012A5D" w:rsidRDefault="005D4B6B" w:rsidP="00012A5D">
            <w:pPr>
              <w:pStyle w:val="142"/>
              <w:jc w:val="right"/>
              <w:rPr>
                <w:spacing w:val="-20"/>
                <w:sz w:val="22"/>
                <w:szCs w:val="22"/>
              </w:rPr>
            </w:pPr>
            <w:r w:rsidRPr="00012A5D">
              <w:rPr>
                <w:spacing w:val="-20"/>
                <w:sz w:val="22"/>
                <w:szCs w:val="22"/>
              </w:rPr>
              <w:t>2.01</w:t>
            </w:r>
          </w:p>
        </w:tc>
        <w:tc>
          <w:tcPr>
            <w:tcW w:w="349"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b/>
                <w:spacing w:val="-20"/>
                <w:sz w:val="22"/>
                <w:szCs w:val="22"/>
              </w:rPr>
            </w:pPr>
            <w:r w:rsidRPr="00012A5D">
              <w:rPr>
                <w:b/>
                <w:spacing w:val="-20"/>
                <w:sz w:val="22"/>
                <w:szCs w:val="22"/>
              </w:rPr>
              <w:t>0.07</w:t>
            </w:r>
          </w:p>
        </w:tc>
        <w:tc>
          <w:tcPr>
            <w:tcW w:w="309" w:type="pct"/>
            <w:tcBorders>
              <w:top w:val="single" w:sz="6" w:space="0" w:color="auto"/>
              <w:left w:val="single" w:sz="6" w:space="0" w:color="auto"/>
              <w:bottom w:val="single" w:sz="6" w:space="0" w:color="auto"/>
              <w:right w:val="single" w:sz="6" w:space="0" w:color="auto"/>
            </w:tcBorders>
            <w:shd w:val="clear" w:color="auto" w:fill="auto"/>
            <w:noWrap/>
            <w:vAlign w:val="center"/>
            <w:hideMark/>
          </w:tcPr>
          <w:p w:rsidR="005D4B6B" w:rsidRPr="00012A5D" w:rsidRDefault="005D4B6B" w:rsidP="00012A5D">
            <w:pPr>
              <w:pStyle w:val="142"/>
              <w:jc w:val="right"/>
              <w:rPr>
                <w:spacing w:val="-20"/>
                <w:sz w:val="22"/>
                <w:szCs w:val="22"/>
              </w:rPr>
            </w:pPr>
            <w:r w:rsidRPr="00012A5D">
              <w:rPr>
                <w:spacing w:val="-20"/>
                <w:sz w:val="22"/>
                <w:szCs w:val="22"/>
              </w:rPr>
              <w:t>2.81</w:t>
            </w:r>
          </w:p>
        </w:tc>
        <w:tc>
          <w:tcPr>
            <w:tcW w:w="282"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A30BEF" w:rsidP="00012A5D">
            <w:pPr>
              <w:pStyle w:val="142"/>
              <w:jc w:val="right"/>
              <w:rPr>
                <w:spacing w:val="-20"/>
                <w:sz w:val="22"/>
                <w:szCs w:val="22"/>
              </w:rPr>
            </w:pPr>
            <w:r>
              <w:rPr>
                <w:rFonts w:hint="eastAsia"/>
                <w:spacing w:val="-20"/>
                <w:sz w:val="22"/>
                <w:szCs w:val="22"/>
              </w:rPr>
              <w:t>-</w:t>
            </w:r>
            <w:r w:rsidR="005D4B6B" w:rsidRPr="00012A5D">
              <w:rPr>
                <w:spacing w:val="-20"/>
                <w:sz w:val="22"/>
                <w:szCs w:val="22"/>
              </w:rPr>
              <w:t xml:space="preserve">　</w:t>
            </w:r>
          </w:p>
        </w:tc>
        <w:tc>
          <w:tcPr>
            <w:tcW w:w="282"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A30BEF" w:rsidP="00012A5D">
            <w:pPr>
              <w:pStyle w:val="142"/>
              <w:jc w:val="right"/>
              <w:rPr>
                <w:spacing w:val="-20"/>
                <w:sz w:val="22"/>
                <w:szCs w:val="22"/>
              </w:rPr>
            </w:pPr>
            <w:r>
              <w:rPr>
                <w:rFonts w:hint="eastAsia"/>
                <w:spacing w:val="-20"/>
                <w:sz w:val="22"/>
                <w:szCs w:val="22"/>
              </w:rPr>
              <w:t>-</w:t>
            </w:r>
            <w:r w:rsidR="005D4B6B" w:rsidRPr="00012A5D">
              <w:rPr>
                <w:spacing w:val="-20"/>
                <w:sz w:val="22"/>
                <w:szCs w:val="22"/>
              </w:rPr>
              <w:t xml:space="preserve">　</w:t>
            </w:r>
          </w:p>
        </w:tc>
        <w:tc>
          <w:tcPr>
            <w:tcW w:w="283"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A30BEF" w:rsidP="00012A5D">
            <w:pPr>
              <w:pStyle w:val="142"/>
              <w:jc w:val="right"/>
              <w:rPr>
                <w:spacing w:val="-20"/>
                <w:sz w:val="22"/>
                <w:szCs w:val="22"/>
              </w:rPr>
            </w:pPr>
            <w:r>
              <w:rPr>
                <w:rFonts w:hint="eastAsia"/>
                <w:spacing w:val="-20"/>
                <w:sz w:val="22"/>
                <w:szCs w:val="22"/>
              </w:rPr>
              <w:t>-</w:t>
            </w:r>
            <w:r w:rsidR="005D4B6B" w:rsidRPr="00012A5D">
              <w:rPr>
                <w:spacing w:val="-20"/>
                <w:sz w:val="22"/>
                <w:szCs w:val="22"/>
              </w:rPr>
              <w:t xml:space="preserve">　</w:t>
            </w:r>
          </w:p>
        </w:tc>
        <w:tc>
          <w:tcPr>
            <w:tcW w:w="348" w:type="pct"/>
            <w:tcBorders>
              <w:top w:val="single" w:sz="6" w:space="0" w:color="auto"/>
              <w:left w:val="single" w:sz="6" w:space="0" w:color="auto"/>
              <w:bottom w:val="single" w:sz="6" w:space="0" w:color="auto"/>
              <w:right w:val="single" w:sz="6" w:space="0" w:color="auto"/>
            </w:tcBorders>
            <w:shd w:val="clear" w:color="auto" w:fill="auto"/>
            <w:noWrap/>
            <w:vAlign w:val="center"/>
            <w:hideMark/>
          </w:tcPr>
          <w:p w:rsidR="005D4B6B" w:rsidRPr="00012A5D" w:rsidRDefault="005D4B6B" w:rsidP="00012A5D">
            <w:pPr>
              <w:pStyle w:val="142"/>
              <w:jc w:val="right"/>
              <w:rPr>
                <w:spacing w:val="-20"/>
                <w:sz w:val="22"/>
                <w:szCs w:val="22"/>
              </w:rPr>
            </w:pPr>
            <w:r w:rsidRPr="00012A5D">
              <w:rPr>
                <w:spacing w:val="-20"/>
                <w:sz w:val="22"/>
                <w:szCs w:val="22"/>
              </w:rPr>
              <w:t>133.07</w:t>
            </w:r>
          </w:p>
        </w:tc>
        <w:tc>
          <w:tcPr>
            <w:tcW w:w="276" w:type="pct"/>
            <w:tcBorders>
              <w:left w:val="single" w:sz="6" w:space="0" w:color="auto"/>
              <w:bottom w:val="single" w:sz="6" w:space="0" w:color="auto"/>
              <w:right w:val="single" w:sz="12" w:space="0" w:color="auto"/>
            </w:tcBorders>
            <w:shd w:val="clear" w:color="auto" w:fill="auto"/>
            <w:noWrap/>
            <w:vAlign w:val="center"/>
            <w:hideMark/>
          </w:tcPr>
          <w:p w:rsidR="005D4B6B" w:rsidRPr="00012A5D" w:rsidRDefault="005D4B6B" w:rsidP="00012A5D">
            <w:pPr>
              <w:pStyle w:val="142"/>
              <w:jc w:val="right"/>
              <w:rPr>
                <w:spacing w:val="-20"/>
                <w:sz w:val="22"/>
                <w:szCs w:val="22"/>
              </w:rPr>
            </w:pPr>
            <w:r w:rsidRPr="00012A5D">
              <w:rPr>
                <w:rFonts w:hint="eastAsia"/>
                <w:spacing w:val="-20"/>
                <w:sz w:val="22"/>
                <w:szCs w:val="22"/>
              </w:rPr>
              <w:t>0.19</w:t>
            </w:r>
          </w:p>
        </w:tc>
      </w:tr>
      <w:tr w:rsidR="005D4B6B" w:rsidRPr="007C79CD" w:rsidTr="00A62399">
        <w:trPr>
          <w:trHeight w:val="350"/>
        </w:trPr>
        <w:tc>
          <w:tcPr>
            <w:tcW w:w="265" w:type="pct"/>
            <w:vMerge w:val="restart"/>
            <w:tcBorders>
              <w:top w:val="single" w:sz="6" w:space="0" w:color="auto"/>
              <w:left w:val="single" w:sz="12" w:space="0" w:color="auto"/>
              <w:bottom w:val="single" w:sz="6" w:space="0" w:color="auto"/>
              <w:right w:val="single" w:sz="6" w:space="0" w:color="auto"/>
            </w:tcBorders>
            <w:shd w:val="clear" w:color="auto" w:fill="auto"/>
            <w:vAlign w:val="center"/>
            <w:hideMark/>
          </w:tcPr>
          <w:p w:rsidR="005D4B6B" w:rsidRPr="005D4B6B" w:rsidRDefault="005D4B6B" w:rsidP="00223971">
            <w:pPr>
              <w:pStyle w:val="142"/>
              <w:jc w:val="center"/>
              <w:rPr>
                <w:rFonts w:hint="eastAsia"/>
                <w:spacing w:val="-20"/>
                <w:sz w:val="22"/>
                <w:szCs w:val="22"/>
              </w:rPr>
            </w:pPr>
            <w:r w:rsidRPr="005D4B6B">
              <w:rPr>
                <w:spacing w:val="-20"/>
                <w:sz w:val="22"/>
                <w:szCs w:val="22"/>
              </w:rPr>
              <w:t>108</w:t>
            </w:r>
          </w:p>
        </w:tc>
        <w:tc>
          <w:tcPr>
            <w:tcW w:w="513" w:type="pct"/>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5D4B6B" w:rsidRDefault="005D4B6B" w:rsidP="00A62399">
            <w:pPr>
              <w:pStyle w:val="142"/>
              <w:jc w:val="both"/>
              <w:rPr>
                <w:spacing w:val="-20"/>
                <w:sz w:val="20"/>
                <w:szCs w:val="20"/>
              </w:rPr>
            </w:pPr>
            <w:r w:rsidRPr="005D4B6B">
              <w:rPr>
                <w:rFonts w:hint="eastAsia"/>
                <w:spacing w:val="-20"/>
                <w:sz w:val="20"/>
                <w:szCs w:val="20"/>
              </w:rPr>
              <w:t>機臺數</w:t>
            </w:r>
          </w:p>
        </w:tc>
        <w:tc>
          <w:tcPr>
            <w:tcW w:w="349"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rFonts w:hint="eastAsia"/>
                <w:b/>
                <w:spacing w:val="-20"/>
                <w:sz w:val="22"/>
                <w:szCs w:val="22"/>
              </w:rPr>
            </w:pPr>
            <w:r w:rsidRPr="00012A5D">
              <w:rPr>
                <w:b/>
                <w:spacing w:val="-20"/>
                <w:sz w:val="22"/>
                <w:szCs w:val="22"/>
              </w:rPr>
              <w:t>467</w:t>
            </w:r>
          </w:p>
        </w:tc>
        <w:tc>
          <w:tcPr>
            <w:tcW w:w="281"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A30BEF" w:rsidP="00012A5D">
            <w:pPr>
              <w:pStyle w:val="142"/>
              <w:jc w:val="right"/>
              <w:rPr>
                <w:spacing w:val="-20"/>
                <w:sz w:val="22"/>
                <w:szCs w:val="22"/>
              </w:rPr>
            </w:pPr>
            <w:r>
              <w:rPr>
                <w:rFonts w:hint="eastAsia"/>
                <w:spacing w:val="-20"/>
                <w:sz w:val="22"/>
                <w:szCs w:val="22"/>
              </w:rPr>
              <w:t>-</w:t>
            </w:r>
            <w:r w:rsidR="005D4B6B" w:rsidRPr="00012A5D">
              <w:rPr>
                <w:spacing w:val="-20"/>
                <w:sz w:val="22"/>
                <w:szCs w:val="22"/>
              </w:rPr>
              <w:t xml:space="preserve">　</w:t>
            </w:r>
          </w:p>
        </w:tc>
        <w:tc>
          <w:tcPr>
            <w:tcW w:w="281"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A30BEF" w:rsidP="00012A5D">
            <w:pPr>
              <w:pStyle w:val="142"/>
              <w:jc w:val="right"/>
              <w:rPr>
                <w:spacing w:val="-20"/>
                <w:sz w:val="22"/>
                <w:szCs w:val="22"/>
              </w:rPr>
            </w:pPr>
            <w:r>
              <w:rPr>
                <w:rFonts w:hint="eastAsia"/>
                <w:spacing w:val="-20"/>
                <w:sz w:val="22"/>
                <w:szCs w:val="22"/>
              </w:rPr>
              <w:t>-</w:t>
            </w:r>
            <w:r w:rsidR="005D4B6B" w:rsidRPr="00012A5D">
              <w:rPr>
                <w:spacing w:val="-20"/>
                <w:sz w:val="22"/>
                <w:szCs w:val="22"/>
              </w:rPr>
              <w:t xml:space="preserve">　</w:t>
            </w:r>
          </w:p>
        </w:tc>
        <w:tc>
          <w:tcPr>
            <w:tcW w:w="309"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spacing w:val="-20"/>
                <w:sz w:val="22"/>
                <w:szCs w:val="22"/>
              </w:rPr>
            </w:pPr>
            <w:r w:rsidRPr="00012A5D">
              <w:rPr>
                <w:spacing w:val="-20"/>
                <w:sz w:val="22"/>
                <w:szCs w:val="22"/>
              </w:rPr>
              <w:t>200</w:t>
            </w:r>
          </w:p>
        </w:tc>
        <w:tc>
          <w:tcPr>
            <w:tcW w:w="281"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600C50" w:rsidP="00012A5D">
            <w:pPr>
              <w:pStyle w:val="142"/>
              <w:jc w:val="right"/>
              <w:rPr>
                <w:spacing w:val="-20"/>
                <w:sz w:val="22"/>
                <w:szCs w:val="22"/>
              </w:rPr>
            </w:pPr>
            <w:r>
              <w:rPr>
                <w:rFonts w:hint="eastAsia"/>
                <w:spacing w:val="-20"/>
                <w:sz w:val="22"/>
                <w:szCs w:val="22"/>
              </w:rPr>
              <w:t>-</w:t>
            </w:r>
            <w:r w:rsidR="005D4B6B" w:rsidRPr="00012A5D">
              <w:rPr>
                <w:spacing w:val="-20"/>
                <w:sz w:val="22"/>
                <w:szCs w:val="22"/>
              </w:rPr>
              <w:t xml:space="preserve">　</w:t>
            </w:r>
          </w:p>
        </w:tc>
        <w:tc>
          <w:tcPr>
            <w:tcW w:w="282"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spacing w:val="-20"/>
                <w:sz w:val="22"/>
                <w:szCs w:val="22"/>
              </w:rPr>
            </w:pPr>
            <w:r w:rsidRPr="00012A5D">
              <w:rPr>
                <w:spacing w:val="-20"/>
                <w:sz w:val="22"/>
                <w:szCs w:val="22"/>
              </w:rPr>
              <w:t>19</w:t>
            </w:r>
          </w:p>
        </w:tc>
        <w:tc>
          <w:tcPr>
            <w:tcW w:w="309"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spacing w:val="-20"/>
                <w:sz w:val="22"/>
                <w:szCs w:val="22"/>
              </w:rPr>
            </w:pPr>
            <w:r w:rsidRPr="00012A5D">
              <w:rPr>
                <w:spacing w:val="-20"/>
                <w:sz w:val="22"/>
                <w:szCs w:val="22"/>
              </w:rPr>
              <w:t>10</w:t>
            </w:r>
          </w:p>
        </w:tc>
        <w:tc>
          <w:tcPr>
            <w:tcW w:w="349"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b/>
                <w:spacing w:val="-20"/>
                <w:sz w:val="22"/>
                <w:szCs w:val="22"/>
              </w:rPr>
            </w:pPr>
            <w:r w:rsidRPr="00012A5D">
              <w:rPr>
                <w:b/>
                <w:spacing w:val="-20"/>
                <w:sz w:val="22"/>
                <w:szCs w:val="22"/>
              </w:rPr>
              <w:t>160</w:t>
            </w:r>
          </w:p>
        </w:tc>
        <w:tc>
          <w:tcPr>
            <w:tcW w:w="309"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spacing w:val="-20"/>
                <w:sz w:val="22"/>
                <w:szCs w:val="22"/>
              </w:rPr>
            </w:pPr>
            <w:r w:rsidRPr="00012A5D">
              <w:rPr>
                <w:spacing w:val="-20"/>
                <w:sz w:val="22"/>
                <w:szCs w:val="22"/>
              </w:rPr>
              <w:t>3</w:t>
            </w:r>
          </w:p>
        </w:tc>
        <w:tc>
          <w:tcPr>
            <w:tcW w:w="282"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A30BEF" w:rsidP="00012A5D">
            <w:pPr>
              <w:pStyle w:val="142"/>
              <w:jc w:val="right"/>
              <w:rPr>
                <w:spacing w:val="-20"/>
                <w:sz w:val="22"/>
                <w:szCs w:val="22"/>
              </w:rPr>
            </w:pPr>
            <w:r>
              <w:rPr>
                <w:rFonts w:hint="eastAsia"/>
                <w:spacing w:val="-20"/>
                <w:sz w:val="22"/>
                <w:szCs w:val="22"/>
              </w:rPr>
              <w:t>-</w:t>
            </w:r>
            <w:r w:rsidR="005D4B6B" w:rsidRPr="00012A5D">
              <w:rPr>
                <w:spacing w:val="-20"/>
                <w:sz w:val="22"/>
                <w:szCs w:val="22"/>
              </w:rPr>
              <w:t xml:space="preserve">　</w:t>
            </w:r>
          </w:p>
        </w:tc>
        <w:tc>
          <w:tcPr>
            <w:tcW w:w="282"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A30BEF" w:rsidP="00012A5D">
            <w:pPr>
              <w:pStyle w:val="142"/>
              <w:jc w:val="right"/>
              <w:rPr>
                <w:spacing w:val="-20"/>
                <w:sz w:val="22"/>
                <w:szCs w:val="22"/>
              </w:rPr>
            </w:pPr>
            <w:r>
              <w:rPr>
                <w:rFonts w:hint="eastAsia"/>
                <w:spacing w:val="-20"/>
                <w:sz w:val="22"/>
                <w:szCs w:val="22"/>
              </w:rPr>
              <w:t>-</w:t>
            </w:r>
            <w:r w:rsidR="005D4B6B" w:rsidRPr="00012A5D">
              <w:rPr>
                <w:spacing w:val="-20"/>
                <w:sz w:val="22"/>
                <w:szCs w:val="22"/>
              </w:rPr>
              <w:t xml:space="preserve">　</w:t>
            </w:r>
          </w:p>
        </w:tc>
        <w:tc>
          <w:tcPr>
            <w:tcW w:w="283"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A30BEF" w:rsidP="00012A5D">
            <w:pPr>
              <w:pStyle w:val="142"/>
              <w:jc w:val="right"/>
              <w:rPr>
                <w:spacing w:val="-20"/>
                <w:sz w:val="22"/>
                <w:szCs w:val="22"/>
              </w:rPr>
            </w:pPr>
            <w:r>
              <w:rPr>
                <w:rFonts w:hint="eastAsia"/>
                <w:spacing w:val="-20"/>
                <w:sz w:val="22"/>
                <w:szCs w:val="22"/>
              </w:rPr>
              <w:t>-</w:t>
            </w:r>
            <w:r w:rsidR="005D4B6B" w:rsidRPr="00012A5D">
              <w:rPr>
                <w:spacing w:val="-20"/>
                <w:sz w:val="22"/>
                <w:szCs w:val="22"/>
              </w:rPr>
              <w:t xml:space="preserve">　</w:t>
            </w:r>
          </w:p>
        </w:tc>
        <w:tc>
          <w:tcPr>
            <w:tcW w:w="348" w:type="pct"/>
            <w:tcBorders>
              <w:top w:val="single" w:sz="6" w:space="0" w:color="auto"/>
              <w:left w:val="single" w:sz="6" w:space="0" w:color="auto"/>
              <w:bottom w:val="single" w:sz="6" w:space="0" w:color="auto"/>
              <w:right w:val="single" w:sz="6" w:space="0" w:color="auto"/>
            </w:tcBorders>
            <w:shd w:val="clear" w:color="auto" w:fill="auto"/>
            <w:noWrap/>
            <w:vAlign w:val="center"/>
            <w:hideMark/>
          </w:tcPr>
          <w:p w:rsidR="005D4B6B" w:rsidRPr="00012A5D" w:rsidRDefault="005D4B6B" w:rsidP="00012A5D">
            <w:pPr>
              <w:pStyle w:val="142"/>
              <w:jc w:val="right"/>
              <w:rPr>
                <w:spacing w:val="-20"/>
                <w:sz w:val="22"/>
                <w:szCs w:val="22"/>
              </w:rPr>
            </w:pPr>
            <w:r w:rsidRPr="00012A5D">
              <w:rPr>
                <w:spacing w:val="-20"/>
                <w:sz w:val="22"/>
                <w:szCs w:val="22"/>
              </w:rPr>
              <w:t>859</w:t>
            </w:r>
          </w:p>
        </w:tc>
        <w:tc>
          <w:tcPr>
            <w:tcW w:w="276" w:type="pct"/>
            <w:tcBorders>
              <w:top w:val="single" w:sz="6" w:space="0" w:color="auto"/>
              <w:left w:val="single" w:sz="6" w:space="0" w:color="auto"/>
              <w:bottom w:val="single" w:sz="6" w:space="0" w:color="FFFFFF"/>
              <w:right w:val="single" w:sz="12" w:space="0" w:color="auto"/>
            </w:tcBorders>
            <w:shd w:val="clear" w:color="auto" w:fill="auto"/>
            <w:noWrap/>
            <w:vAlign w:val="center"/>
            <w:hideMark/>
          </w:tcPr>
          <w:p w:rsidR="005D4B6B" w:rsidRPr="00012A5D" w:rsidRDefault="005D4B6B" w:rsidP="00012A5D">
            <w:pPr>
              <w:pStyle w:val="142"/>
              <w:jc w:val="right"/>
              <w:rPr>
                <w:spacing w:val="-20"/>
                <w:sz w:val="22"/>
                <w:szCs w:val="22"/>
              </w:rPr>
            </w:pPr>
            <w:r w:rsidRPr="00012A5D">
              <w:rPr>
                <w:rFonts w:hint="eastAsia"/>
                <w:spacing w:val="-20"/>
                <w:sz w:val="22"/>
                <w:szCs w:val="22"/>
              </w:rPr>
              <w:t xml:space="preserve">　</w:t>
            </w:r>
          </w:p>
        </w:tc>
      </w:tr>
      <w:tr w:rsidR="005D4B6B" w:rsidRPr="007C79CD" w:rsidTr="00A62399">
        <w:trPr>
          <w:trHeight w:val="350"/>
        </w:trPr>
        <w:tc>
          <w:tcPr>
            <w:tcW w:w="265" w:type="pct"/>
            <w:vMerge/>
            <w:tcBorders>
              <w:top w:val="single" w:sz="6" w:space="0" w:color="auto"/>
              <w:left w:val="single" w:sz="12" w:space="0" w:color="auto"/>
              <w:bottom w:val="single" w:sz="6" w:space="0" w:color="auto"/>
              <w:right w:val="single" w:sz="6" w:space="0" w:color="auto"/>
            </w:tcBorders>
            <w:vAlign w:val="center"/>
            <w:hideMark/>
          </w:tcPr>
          <w:p w:rsidR="005D4B6B" w:rsidRPr="005D4B6B" w:rsidRDefault="005D4B6B" w:rsidP="00223971">
            <w:pPr>
              <w:pStyle w:val="142"/>
              <w:jc w:val="center"/>
              <w:rPr>
                <w:spacing w:val="-20"/>
                <w:sz w:val="22"/>
                <w:szCs w:val="22"/>
              </w:rPr>
            </w:pPr>
          </w:p>
        </w:tc>
        <w:tc>
          <w:tcPr>
            <w:tcW w:w="513" w:type="pct"/>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5D4B6B" w:rsidRDefault="005D4B6B" w:rsidP="00A62399">
            <w:pPr>
              <w:pStyle w:val="142"/>
              <w:jc w:val="both"/>
              <w:rPr>
                <w:rFonts w:hint="eastAsia"/>
                <w:spacing w:val="-20"/>
                <w:sz w:val="20"/>
                <w:szCs w:val="20"/>
              </w:rPr>
            </w:pPr>
            <w:r w:rsidRPr="005D4B6B">
              <w:rPr>
                <w:rFonts w:hint="eastAsia"/>
                <w:spacing w:val="-20"/>
                <w:sz w:val="20"/>
                <w:szCs w:val="20"/>
              </w:rPr>
              <w:t>硬幣回</w:t>
            </w:r>
            <w:r w:rsidR="002A7D98">
              <w:rPr>
                <w:rFonts w:hint="eastAsia"/>
                <w:spacing w:val="-20"/>
                <w:sz w:val="20"/>
                <w:szCs w:val="20"/>
              </w:rPr>
              <w:t>存</w:t>
            </w:r>
            <w:r w:rsidR="00A62399">
              <w:rPr>
                <w:rFonts w:hint="eastAsia"/>
                <w:spacing w:val="-20"/>
                <w:sz w:val="20"/>
                <w:szCs w:val="20"/>
              </w:rPr>
              <w:t>/加值</w:t>
            </w:r>
            <w:r w:rsidRPr="005D4B6B">
              <w:rPr>
                <w:rFonts w:hint="eastAsia"/>
                <w:spacing w:val="-20"/>
                <w:sz w:val="20"/>
                <w:szCs w:val="20"/>
              </w:rPr>
              <w:t>數</w:t>
            </w:r>
          </w:p>
        </w:tc>
        <w:tc>
          <w:tcPr>
            <w:tcW w:w="349"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b/>
                <w:spacing w:val="-20"/>
                <w:sz w:val="22"/>
                <w:szCs w:val="22"/>
              </w:rPr>
            </w:pPr>
            <w:r w:rsidRPr="00012A5D">
              <w:rPr>
                <w:b/>
                <w:spacing w:val="-20"/>
                <w:sz w:val="22"/>
                <w:szCs w:val="22"/>
              </w:rPr>
              <w:t>130.14</w:t>
            </w:r>
          </w:p>
        </w:tc>
        <w:tc>
          <w:tcPr>
            <w:tcW w:w="281"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A30BEF" w:rsidP="00012A5D">
            <w:pPr>
              <w:pStyle w:val="142"/>
              <w:jc w:val="right"/>
              <w:rPr>
                <w:spacing w:val="-20"/>
                <w:sz w:val="22"/>
                <w:szCs w:val="22"/>
              </w:rPr>
            </w:pPr>
            <w:r>
              <w:rPr>
                <w:rFonts w:hint="eastAsia"/>
                <w:spacing w:val="-20"/>
                <w:sz w:val="22"/>
                <w:szCs w:val="22"/>
              </w:rPr>
              <w:t>-</w:t>
            </w:r>
            <w:r w:rsidR="005D4B6B" w:rsidRPr="00012A5D">
              <w:rPr>
                <w:spacing w:val="-20"/>
                <w:sz w:val="22"/>
                <w:szCs w:val="22"/>
              </w:rPr>
              <w:t xml:space="preserve">　</w:t>
            </w:r>
          </w:p>
        </w:tc>
        <w:tc>
          <w:tcPr>
            <w:tcW w:w="281"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A30BEF" w:rsidP="00012A5D">
            <w:pPr>
              <w:pStyle w:val="142"/>
              <w:jc w:val="right"/>
              <w:rPr>
                <w:spacing w:val="-20"/>
                <w:sz w:val="22"/>
                <w:szCs w:val="22"/>
              </w:rPr>
            </w:pPr>
            <w:r>
              <w:rPr>
                <w:rFonts w:hint="eastAsia"/>
                <w:spacing w:val="-20"/>
                <w:sz w:val="22"/>
                <w:szCs w:val="22"/>
              </w:rPr>
              <w:t>-</w:t>
            </w:r>
            <w:r w:rsidR="005D4B6B" w:rsidRPr="00012A5D">
              <w:rPr>
                <w:spacing w:val="-20"/>
                <w:sz w:val="22"/>
                <w:szCs w:val="22"/>
              </w:rPr>
              <w:t xml:space="preserve">　</w:t>
            </w:r>
          </w:p>
        </w:tc>
        <w:tc>
          <w:tcPr>
            <w:tcW w:w="309"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spacing w:val="-20"/>
                <w:sz w:val="22"/>
                <w:szCs w:val="22"/>
              </w:rPr>
            </w:pPr>
            <w:r w:rsidRPr="00012A5D">
              <w:rPr>
                <w:spacing w:val="-20"/>
                <w:sz w:val="22"/>
                <w:szCs w:val="22"/>
              </w:rPr>
              <w:t>20.20</w:t>
            </w:r>
          </w:p>
        </w:tc>
        <w:tc>
          <w:tcPr>
            <w:tcW w:w="281"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600C50" w:rsidP="00012A5D">
            <w:pPr>
              <w:pStyle w:val="142"/>
              <w:jc w:val="right"/>
              <w:rPr>
                <w:spacing w:val="-20"/>
                <w:sz w:val="22"/>
                <w:szCs w:val="22"/>
              </w:rPr>
            </w:pPr>
            <w:r>
              <w:rPr>
                <w:rFonts w:hint="eastAsia"/>
                <w:spacing w:val="-20"/>
                <w:sz w:val="22"/>
                <w:szCs w:val="22"/>
              </w:rPr>
              <w:t>-</w:t>
            </w:r>
            <w:r w:rsidR="005D4B6B" w:rsidRPr="00012A5D">
              <w:rPr>
                <w:spacing w:val="-20"/>
                <w:sz w:val="22"/>
                <w:szCs w:val="22"/>
              </w:rPr>
              <w:t xml:space="preserve">　</w:t>
            </w:r>
          </w:p>
        </w:tc>
        <w:tc>
          <w:tcPr>
            <w:tcW w:w="282"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spacing w:val="-20"/>
                <w:sz w:val="22"/>
                <w:szCs w:val="22"/>
              </w:rPr>
            </w:pPr>
            <w:r w:rsidRPr="00012A5D">
              <w:rPr>
                <w:spacing w:val="-20"/>
                <w:sz w:val="22"/>
                <w:szCs w:val="22"/>
              </w:rPr>
              <w:t>3.20</w:t>
            </w:r>
          </w:p>
        </w:tc>
        <w:tc>
          <w:tcPr>
            <w:tcW w:w="309" w:type="pct"/>
            <w:tcBorders>
              <w:top w:val="single" w:sz="6" w:space="0" w:color="auto"/>
              <w:left w:val="single" w:sz="6" w:space="0" w:color="auto"/>
              <w:bottom w:val="single" w:sz="6" w:space="0" w:color="auto"/>
              <w:right w:val="single" w:sz="6" w:space="0" w:color="auto"/>
            </w:tcBorders>
            <w:shd w:val="clear" w:color="auto" w:fill="auto"/>
            <w:noWrap/>
            <w:vAlign w:val="center"/>
            <w:hideMark/>
          </w:tcPr>
          <w:p w:rsidR="005D4B6B" w:rsidRPr="00012A5D" w:rsidRDefault="005D4B6B" w:rsidP="00012A5D">
            <w:pPr>
              <w:pStyle w:val="142"/>
              <w:jc w:val="right"/>
              <w:rPr>
                <w:spacing w:val="-20"/>
                <w:sz w:val="22"/>
                <w:szCs w:val="22"/>
              </w:rPr>
            </w:pPr>
            <w:r w:rsidRPr="00012A5D">
              <w:rPr>
                <w:spacing w:val="-20"/>
                <w:sz w:val="22"/>
                <w:szCs w:val="22"/>
              </w:rPr>
              <w:t>11.52</w:t>
            </w:r>
          </w:p>
        </w:tc>
        <w:tc>
          <w:tcPr>
            <w:tcW w:w="349"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b/>
                <w:spacing w:val="-20"/>
                <w:sz w:val="22"/>
                <w:szCs w:val="22"/>
              </w:rPr>
            </w:pPr>
            <w:r w:rsidRPr="00012A5D">
              <w:rPr>
                <w:b/>
                <w:spacing w:val="-20"/>
                <w:sz w:val="22"/>
                <w:szCs w:val="22"/>
              </w:rPr>
              <w:t>11.69</w:t>
            </w:r>
          </w:p>
        </w:tc>
        <w:tc>
          <w:tcPr>
            <w:tcW w:w="309" w:type="pct"/>
            <w:tcBorders>
              <w:top w:val="single" w:sz="6" w:space="0" w:color="auto"/>
              <w:left w:val="single" w:sz="6" w:space="0" w:color="auto"/>
              <w:bottom w:val="single" w:sz="6" w:space="0" w:color="auto"/>
              <w:right w:val="single" w:sz="6" w:space="0" w:color="auto"/>
            </w:tcBorders>
            <w:shd w:val="clear" w:color="auto" w:fill="auto"/>
            <w:noWrap/>
            <w:vAlign w:val="center"/>
            <w:hideMark/>
          </w:tcPr>
          <w:p w:rsidR="005D4B6B" w:rsidRPr="00012A5D" w:rsidRDefault="005D4B6B" w:rsidP="00012A5D">
            <w:pPr>
              <w:pStyle w:val="142"/>
              <w:jc w:val="right"/>
              <w:rPr>
                <w:spacing w:val="-20"/>
                <w:sz w:val="22"/>
                <w:szCs w:val="22"/>
              </w:rPr>
            </w:pPr>
            <w:r w:rsidRPr="00012A5D">
              <w:rPr>
                <w:spacing w:val="-20"/>
                <w:sz w:val="22"/>
                <w:szCs w:val="22"/>
              </w:rPr>
              <w:t>9.69</w:t>
            </w:r>
          </w:p>
        </w:tc>
        <w:tc>
          <w:tcPr>
            <w:tcW w:w="282"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A30BEF" w:rsidP="00012A5D">
            <w:pPr>
              <w:pStyle w:val="142"/>
              <w:jc w:val="right"/>
              <w:rPr>
                <w:spacing w:val="-20"/>
                <w:sz w:val="22"/>
                <w:szCs w:val="22"/>
              </w:rPr>
            </w:pPr>
            <w:r>
              <w:rPr>
                <w:rFonts w:hint="eastAsia"/>
                <w:spacing w:val="-20"/>
                <w:sz w:val="22"/>
                <w:szCs w:val="22"/>
              </w:rPr>
              <w:t>-</w:t>
            </w:r>
            <w:r w:rsidR="005D4B6B" w:rsidRPr="00012A5D">
              <w:rPr>
                <w:spacing w:val="-20"/>
                <w:sz w:val="22"/>
                <w:szCs w:val="22"/>
              </w:rPr>
              <w:t xml:space="preserve">　</w:t>
            </w:r>
          </w:p>
        </w:tc>
        <w:tc>
          <w:tcPr>
            <w:tcW w:w="282"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A30BEF" w:rsidP="00012A5D">
            <w:pPr>
              <w:pStyle w:val="142"/>
              <w:jc w:val="right"/>
              <w:rPr>
                <w:spacing w:val="-20"/>
                <w:sz w:val="22"/>
                <w:szCs w:val="22"/>
              </w:rPr>
            </w:pPr>
            <w:r>
              <w:rPr>
                <w:rFonts w:hint="eastAsia"/>
                <w:spacing w:val="-20"/>
                <w:sz w:val="22"/>
                <w:szCs w:val="22"/>
              </w:rPr>
              <w:t>-</w:t>
            </w:r>
            <w:r w:rsidR="005D4B6B" w:rsidRPr="00012A5D">
              <w:rPr>
                <w:spacing w:val="-20"/>
                <w:sz w:val="22"/>
                <w:szCs w:val="22"/>
              </w:rPr>
              <w:t xml:space="preserve">　</w:t>
            </w:r>
          </w:p>
        </w:tc>
        <w:tc>
          <w:tcPr>
            <w:tcW w:w="283"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A30BEF" w:rsidP="00012A5D">
            <w:pPr>
              <w:pStyle w:val="142"/>
              <w:jc w:val="right"/>
              <w:rPr>
                <w:spacing w:val="-20"/>
                <w:sz w:val="22"/>
                <w:szCs w:val="22"/>
              </w:rPr>
            </w:pPr>
            <w:r>
              <w:rPr>
                <w:rFonts w:hint="eastAsia"/>
                <w:spacing w:val="-20"/>
                <w:sz w:val="22"/>
                <w:szCs w:val="22"/>
              </w:rPr>
              <w:t>-</w:t>
            </w:r>
            <w:r w:rsidR="005D4B6B" w:rsidRPr="00012A5D">
              <w:rPr>
                <w:spacing w:val="-20"/>
                <w:sz w:val="22"/>
                <w:szCs w:val="22"/>
              </w:rPr>
              <w:t xml:space="preserve">　</w:t>
            </w:r>
          </w:p>
        </w:tc>
        <w:tc>
          <w:tcPr>
            <w:tcW w:w="348" w:type="pct"/>
            <w:tcBorders>
              <w:top w:val="single" w:sz="6" w:space="0" w:color="auto"/>
              <w:left w:val="single" w:sz="6" w:space="0" w:color="auto"/>
              <w:bottom w:val="single" w:sz="6" w:space="0" w:color="auto"/>
              <w:right w:val="single" w:sz="6" w:space="0" w:color="auto"/>
            </w:tcBorders>
            <w:shd w:val="clear" w:color="auto" w:fill="auto"/>
            <w:noWrap/>
            <w:vAlign w:val="center"/>
            <w:hideMark/>
          </w:tcPr>
          <w:p w:rsidR="005D4B6B" w:rsidRPr="00012A5D" w:rsidRDefault="005D4B6B" w:rsidP="00012A5D">
            <w:pPr>
              <w:pStyle w:val="142"/>
              <w:jc w:val="right"/>
              <w:rPr>
                <w:spacing w:val="-20"/>
                <w:sz w:val="22"/>
                <w:szCs w:val="22"/>
              </w:rPr>
            </w:pPr>
            <w:r w:rsidRPr="00012A5D">
              <w:rPr>
                <w:spacing w:val="-20"/>
                <w:sz w:val="22"/>
                <w:szCs w:val="22"/>
              </w:rPr>
              <w:t>186.44</w:t>
            </w:r>
          </w:p>
        </w:tc>
        <w:tc>
          <w:tcPr>
            <w:tcW w:w="276" w:type="pct"/>
            <w:tcBorders>
              <w:top w:val="single" w:sz="6" w:space="0" w:color="FFFFFF"/>
              <w:left w:val="single" w:sz="6" w:space="0" w:color="auto"/>
              <w:bottom w:val="single" w:sz="6" w:space="0" w:color="auto"/>
              <w:right w:val="single" w:sz="12" w:space="0" w:color="auto"/>
            </w:tcBorders>
            <w:shd w:val="clear" w:color="auto" w:fill="auto"/>
            <w:noWrap/>
            <w:vAlign w:val="center"/>
            <w:hideMark/>
          </w:tcPr>
          <w:p w:rsidR="005D4B6B" w:rsidRPr="00012A5D" w:rsidRDefault="005D4B6B" w:rsidP="00012A5D">
            <w:pPr>
              <w:pStyle w:val="142"/>
              <w:jc w:val="right"/>
              <w:rPr>
                <w:spacing w:val="-20"/>
                <w:sz w:val="22"/>
                <w:szCs w:val="22"/>
              </w:rPr>
            </w:pPr>
            <w:r w:rsidRPr="00012A5D">
              <w:rPr>
                <w:rFonts w:hint="eastAsia"/>
                <w:spacing w:val="-20"/>
                <w:sz w:val="22"/>
                <w:szCs w:val="22"/>
              </w:rPr>
              <w:t>0.22</w:t>
            </w:r>
          </w:p>
        </w:tc>
      </w:tr>
      <w:tr w:rsidR="005D4B6B" w:rsidRPr="007C79CD" w:rsidTr="00A62399">
        <w:trPr>
          <w:trHeight w:val="350"/>
        </w:trPr>
        <w:tc>
          <w:tcPr>
            <w:tcW w:w="265" w:type="pct"/>
            <w:vMerge w:val="restart"/>
            <w:tcBorders>
              <w:top w:val="single" w:sz="6" w:space="0" w:color="auto"/>
              <w:left w:val="single" w:sz="12" w:space="0" w:color="auto"/>
              <w:bottom w:val="single" w:sz="6" w:space="0" w:color="auto"/>
              <w:right w:val="single" w:sz="6" w:space="0" w:color="auto"/>
            </w:tcBorders>
            <w:shd w:val="clear" w:color="auto" w:fill="auto"/>
            <w:vAlign w:val="center"/>
            <w:hideMark/>
          </w:tcPr>
          <w:p w:rsidR="005D4B6B" w:rsidRPr="005D4B6B" w:rsidRDefault="005D4B6B" w:rsidP="00223971">
            <w:pPr>
              <w:pStyle w:val="142"/>
              <w:jc w:val="center"/>
              <w:rPr>
                <w:rFonts w:hint="eastAsia"/>
                <w:spacing w:val="-20"/>
                <w:sz w:val="22"/>
                <w:szCs w:val="22"/>
              </w:rPr>
            </w:pPr>
            <w:r w:rsidRPr="005D4B6B">
              <w:rPr>
                <w:spacing w:val="-20"/>
                <w:sz w:val="22"/>
                <w:szCs w:val="22"/>
              </w:rPr>
              <w:t>109</w:t>
            </w:r>
          </w:p>
        </w:tc>
        <w:tc>
          <w:tcPr>
            <w:tcW w:w="513" w:type="pct"/>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5D4B6B" w:rsidRDefault="005D4B6B" w:rsidP="00A62399">
            <w:pPr>
              <w:pStyle w:val="142"/>
              <w:jc w:val="both"/>
              <w:rPr>
                <w:spacing w:val="-20"/>
                <w:sz w:val="20"/>
                <w:szCs w:val="20"/>
              </w:rPr>
            </w:pPr>
            <w:r w:rsidRPr="005D4B6B">
              <w:rPr>
                <w:rFonts w:hint="eastAsia"/>
                <w:spacing w:val="-20"/>
                <w:sz w:val="20"/>
                <w:szCs w:val="20"/>
              </w:rPr>
              <w:t>機臺數</w:t>
            </w:r>
          </w:p>
        </w:tc>
        <w:tc>
          <w:tcPr>
            <w:tcW w:w="349"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rFonts w:hint="eastAsia"/>
                <w:b/>
                <w:spacing w:val="-20"/>
                <w:sz w:val="22"/>
                <w:szCs w:val="22"/>
              </w:rPr>
            </w:pPr>
            <w:r w:rsidRPr="00012A5D">
              <w:rPr>
                <w:b/>
                <w:spacing w:val="-20"/>
                <w:sz w:val="22"/>
                <w:szCs w:val="22"/>
              </w:rPr>
              <w:t>533</w:t>
            </w:r>
          </w:p>
        </w:tc>
        <w:tc>
          <w:tcPr>
            <w:tcW w:w="281"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A30BEF" w:rsidP="00012A5D">
            <w:pPr>
              <w:pStyle w:val="142"/>
              <w:jc w:val="right"/>
              <w:rPr>
                <w:spacing w:val="-20"/>
                <w:sz w:val="22"/>
                <w:szCs w:val="22"/>
              </w:rPr>
            </w:pPr>
            <w:r>
              <w:rPr>
                <w:rFonts w:hint="eastAsia"/>
                <w:spacing w:val="-20"/>
                <w:sz w:val="22"/>
                <w:szCs w:val="22"/>
              </w:rPr>
              <w:t>-</w:t>
            </w:r>
            <w:r w:rsidR="005D4B6B" w:rsidRPr="00012A5D">
              <w:rPr>
                <w:spacing w:val="-20"/>
                <w:sz w:val="22"/>
                <w:szCs w:val="22"/>
              </w:rPr>
              <w:t xml:space="preserve">　</w:t>
            </w:r>
          </w:p>
        </w:tc>
        <w:tc>
          <w:tcPr>
            <w:tcW w:w="281"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A30BEF" w:rsidP="00012A5D">
            <w:pPr>
              <w:pStyle w:val="142"/>
              <w:jc w:val="right"/>
              <w:rPr>
                <w:spacing w:val="-20"/>
                <w:sz w:val="22"/>
                <w:szCs w:val="22"/>
              </w:rPr>
            </w:pPr>
            <w:r>
              <w:rPr>
                <w:rFonts w:hint="eastAsia"/>
                <w:spacing w:val="-20"/>
                <w:sz w:val="22"/>
                <w:szCs w:val="22"/>
              </w:rPr>
              <w:t>-</w:t>
            </w:r>
            <w:r w:rsidR="005D4B6B" w:rsidRPr="00012A5D">
              <w:rPr>
                <w:spacing w:val="-20"/>
                <w:sz w:val="22"/>
                <w:szCs w:val="22"/>
              </w:rPr>
              <w:t xml:space="preserve">　</w:t>
            </w:r>
          </w:p>
        </w:tc>
        <w:tc>
          <w:tcPr>
            <w:tcW w:w="309"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spacing w:val="-20"/>
                <w:sz w:val="22"/>
                <w:szCs w:val="22"/>
              </w:rPr>
            </w:pPr>
            <w:r w:rsidRPr="00012A5D">
              <w:rPr>
                <w:spacing w:val="-20"/>
                <w:sz w:val="22"/>
                <w:szCs w:val="22"/>
              </w:rPr>
              <w:t>190</w:t>
            </w:r>
          </w:p>
        </w:tc>
        <w:tc>
          <w:tcPr>
            <w:tcW w:w="281"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600C50" w:rsidP="00012A5D">
            <w:pPr>
              <w:pStyle w:val="142"/>
              <w:jc w:val="right"/>
              <w:rPr>
                <w:spacing w:val="-20"/>
                <w:sz w:val="22"/>
                <w:szCs w:val="22"/>
              </w:rPr>
            </w:pPr>
            <w:r>
              <w:rPr>
                <w:rFonts w:hint="eastAsia"/>
                <w:spacing w:val="-20"/>
                <w:sz w:val="22"/>
                <w:szCs w:val="22"/>
              </w:rPr>
              <w:t>-</w:t>
            </w:r>
            <w:r w:rsidR="005D4B6B" w:rsidRPr="00012A5D">
              <w:rPr>
                <w:spacing w:val="-20"/>
                <w:sz w:val="22"/>
                <w:szCs w:val="22"/>
              </w:rPr>
              <w:t xml:space="preserve">　</w:t>
            </w:r>
          </w:p>
        </w:tc>
        <w:tc>
          <w:tcPr>
            <w:tcW w:w="282"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spacing w:val="-20"/>
                <w:sz w:val="22"/>
                <w:szCs w:val="22"/>
              </w:rPr>
            </w:pPr>
            <w:r w:rsidRPr="00012A5D">
              <w:rPr>
                <w:spacing w:val="-20"/>
                <w:sz w:val="22"/>
                <w:szCs w:val="22"/>
              </w:rPr>
              <w:t>17</w:t>
            </w:r>
          </w:p>
        </w:tc>
        <w:tc>
          <w:tcPr>
            <w:tcW w:w="309"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spacing w:val="-20"/>
                <w:sz w:val="22"/>
                <w:szCs w:val="22"/>
              </w:rPr>
            </w:pPr>
            <w:r w:rsidRPr="00012A5D">
              <w:rPr>
                <w:spacing w:val="-20"/>
                <w:sz w:val="22"/>
                <w:szCs w:val="22"/>
              </w:rPr>
              <w:t>10</w:t>
            </w:r>
          </w:p>
        </w:tc>
        <w:tc>
          <w:tcPr>
            <w:tcW w:w="349"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b/>
                <w:spacing w:val="-20"/>
                <w:sz w:val="22"/>
                <w:szCs w:val="22"/>
              </w:rPr>
            </w:pPr>
            <w:r w:rsidRPr="00012A5D">
              <w:rPr>
                <w:b/>
                <w:spacing w:val="-20"/>
                <w:sz w:val="22"/>
                <w:szCs w:val="22"/>
              </w:rPr>
              <w:t>298</w:t>
            </w:r>
          </w:p>
        </w:tc>
        <w:tc>
          <w:tcPr>
            <w:tcW w:w="309"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spacing w:val="-20"/>
                <w:sz w:val="22"/>
                <w:szCs w:val="22"/>
              </w:rPr>
            </w:pPr>
            <w:r w:rsidRPr="00012A5D">
              <w:rPr>
                <w:spacing w:val="-20"/>
                <w:sz w:val="22"/>
                <w:szCs w:val="22"/>
              </w:rPr>
              <w:t>3</w:t>
            </w:r>
          </w:p>
        </w:tc>
        <w:tc>
          <w:tcPr>
            <w:tcW w:w="282"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A30BEF" w:rsidP="00012A5D">
            <w:pPr>
              <w:pStyle w:val="142"/>
              <w:jc w:val="right"/>
              <w:rPr>
                <w:spacing w:val="-20"/>
                <w:sz w:val="22"/>
                <w:szCs w:val="22"/>
              </w:rPr>
            </w:pPr>
            <w:r>
              <w:rPr>
                <w:rFonts w:hint="eastAsia"/>
                <w:spacing w:val="-20"/>
                <w:sz w:val="22"/>
                <w:szCs w:val="22"/>
              </w:rPr>
              <w:t>-</w:t>
            </w:r>
            <w:r w:rsidR="005D4B6B" w:rsidRPr="00012A5D">
              <w:rPr>
                <w:spacing w:val="-20"/>
                <w:sz w:val="22"/>
                <w:szCs w:val="22"/>
              </w:rPr>
              <w:t xml:space="preserve">　</w:t>
            </w:r>
          </w:p>
        </w:tc>
        <w:tc>
          <w:tcPr>
            <w:tcW w:w="282"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A30BEF" w:rsidP="00012A5D">
            <w:pPr>
              <w:pStyle w:val="142"/>
              <w:jc w:val="right"/>
              <w:rPr>
                <w:spacing w:val="-20"/>
                <w:sz w:val="22"/>
                <w:szCs w:val="22"/>
              </w:rPr>
            </w:pPr>
            <w:r>
              <w:rPr>
                <w:rFonts w:hint="eastAsia"/>
                <w:spacing w:val="-20"/>
                <w:sz w:val="22"/>
                <w:szCs w:val="22"/>
              </w:rPr>
              <w:t>-</w:t>
            </w:r>
            <w:r w:rsidR="005D4B6B" w:rsidRPr="00012A5D">
              <w:rPr>
                <w:spacing w:val="-20"/>
                <w:sz w:val="22"/>
                <w:szCs w:val="22"/>
              </w:rPr>
              <w:t xml:space="preserve">　</w:t>
            </w:r>
          </w:p>
        </w:tc>
        <w:tc>
          <w:tcPr>
            <w:tcW w:w="283"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A30BEF" w:rsidP="00012A5D">
            <w:pPr>
              <w:pStyle w:val="142"/>
              <w:jc w:val="right"/>
              <w:rPr>
                <w:spacing w:val="-20"/>
                <w:sz w:val="22"/>
                <w:szCs w:val="22"/>
              </w:rPr>
            </w:pPr>
            <w:r>
              <w:rPr>
                <w:rFonts w:hint="eastAsia"/>
                <w:spacing w:val="-20"/>
                <w:sz w:val="22"/>
                <w:szCs w:val="22"/>
              </w:rPr>
              <w:t>-</w:t>
            </w:r>
            <w:r w:rsidR="005D4B6B" w:rsidRPr="00012A5D">
              <w:rPr>
                <w:spacing w:val="-20"/>
                <w:sz w:val="22"/>
                <w:szCs w:val="22"/>
              </w:rPr>
              <w:t xml:space="preserve">　</w:t>
            </w:r>
          </w:p>
        </w:tc>
        <w:tc>
          <w:tcPr>
            <w:tcW w:w="348" w:type="pct"/>
            <w:tcBorders>
              <w:top w:val="single" w:sz="6" w:space="0" w:color="auto"/>
              <w:left w:val="single" w:sz="6" w:space="0" w:color="auto"/>
              <w:bottom w:val="single" w:sz="6" w:space="0" w:color="auto"/>
              <w:right w:val="single" w:sz="6" w:space="0" w:color="auto"/>
            </w:tcBorders>
            <w:shd w:val="clear" w:color="auto" w:fill="auto"/>
            <w:noWrap/>
            <w:vAlign w:val="center"/>
            <w:hideMark/>
          </w:tcPr>
          <w:p w:rsidR="005D4B6B" w:rsidRPr="00012A5D" w:rsidRDefault="005D4B6B" w:rsidP="00012A5D">
            <w:pPr>
              <w:pStyle w:val="142"/>
              <w:jc w:val="right"/>
              <w:rPr>
                <w:spacing w:val="-20"/>
                <w:sz w:val="22"/>
                <w:szCs w:val="22"/>
              </w:rPr>
            </w:pPr>
            <w:r w:rsidRPr="00012A5D">
              <w:rPr>
                <w:spacing w:val="-20"/>
                <w:sz w:val="22"/>
                <w:szCs w:val="22"/>
              </w:rPr>
              <w:t>1,051</w:t>
            </w:r>
          </w:p>
        </w:tc>
        <w:tc>
          <w:tcPr>
            <w:tcW w:w="276" w:type="pct"/>
            <w:tcBorders>
              <w:top w:val="single" w:sz="6" w:space="0" w:color="auto"/>
              <w:left w:val="single" w:sz="6" w:space="0" w:color="auto"/>
              <w:bottom w:val="single" w:sz="6" w:space="0" w:color="FFFFFF"/>
              <w:right w:val="single" w:sz="12" w:space="0" w:color="auto"/>
            </w:tcBorders>
            <w:shd w:val="clear" w:color="auto" w:fill="auto"/>
            <w:noWrap/>
            <w:vAlign w:val="center"/>
            <w:hideMark/>
          </w:tcPr>
          <w:p w:rsidR="005D4B6B" w:rsidRPr="00012A5D" w:rsidRDefault="005D4B6B" w:rsidP="00012A5D">
            <w:pPr>
              <w:pStyle w:val="142"/>
              <w:jc w:val="right"/>
              <w:rPr>
                <w:spacing w:val="-20"/>
                <w:sz w:val="22"/>
                <w:szCs w:val="22"/>
              </w:rPr>
            </w:pPr>
            <w:r w:rsidRPr="00012A5D">
              <w:rPr>
                <w:rFonts w:hint="eastAsia"/>
                <w:spacing w:val="-20"/>
                <w:sz w:val="22"/>
                <w:szCs w:val="22"/>
              </w:rPr>
              <w:t xml:space="preserve">　</w:t>
            </w:r>
          </w:p>
        </w:tc>
      </w:tr>
      <w:tr w:rsidR="005D4B6B" w:rsidRPr="007C79CD" w:rsidTr="00A62399">
        <w:trPr>
          <w:trHeight w:val="360"/>
        </w:trPr>
        <w:tc>
          <w:tcPr>
            <w:tcW w:w="265" w:type="pct"/>
            <w:vMerge/>
            <w:tcBorders>
              <w:top w:val="single" w:sz="6" w:space="0" w:color="auto"/>
              <w:left w:val="single" w:sz="12" w:space="0" w:color="auto"/>
              <w:bottom w:val="single" w:sz="6" w:space="0" w:color="auto"/>
              <w:right w:val="single" w:sz="6" w:space="0" w:color="auto"/>
            </w:tcBorders>
            <w:vAlign w:val="center"/>
            <w:hideMark/>
          </w:tcPr>
          <w:p w:rsidR="005D4B6B" w:rsidRPr="005D4B6B" w:rsidRDefault="005D4B6B" w:rsidP="00223971">
            <w:pPr>
              <w:pStyle w:val="142"/>
              <w:jc w:val="center"/>
              <w:rPr>
                <w:spacing w:val="-20"/>
                <w:sz w:val="22"/>
                <w:szCs w:val="22"/>
              </w:rPr>
            </w:pPr>
          </w:p>
        </w:tc>
        <w:tc>
          <w:tcPr>
            <w:tcW w:w="513" w:type="pct"/>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5D4B6B" w:rsidRDefault="002A7D98" w:rsidP="00A62399">
            <w:pPr>
              <w:pStyle w:val="142"/>
              <w:jc w:val="both"/>
              <w:rPr>
                <w:rFonts w:hint="eastAsia"/>
                <w:spacing w:val="-20"/>
                <w:sz w:val="20"/>
                <w:szCs w:val="20"/>
              </w:rPr>
            </w:pPr>
            <w:r>
              <w:rPr>
                <w:rFonts w:hint="eastAsia"/>
                <w:spacing w:val="-20"/>
                <w:sz w:val="20"/>
                <w:szCs w:val="20"/>
              </w:rPr>
              <w:t>硬幣回存</w:t>
            </w:r>
            <w:r w:rsidR="00A62399">
              <w:rPr>
                <w:rFonts w:hint="eastAsia"/>
                <w:spacing w:val="-20"/>
                <w:sz w:val="20"/>
                <w:szCs w:val="20"/>
              </w:rPr>
              <w:t>/加值</w:t>
            </w:r>
            <w:r w:rsidR="005D4B6B" w:rsidRPr="005D4B6B">
              <w:rPr>
                <w:rFonts w:hint="eastAsia"/>
                <w:spacing w:val="-20"/>
                <w:sz w:val="20"/>
                <w:szCs w:val="20"/>
              </w:rPr>
              <w:t>數</w:t>
            </w:r>
          </w:p>
        </w:tc>
        <w:tc>
          <w:tcPr>
            <w:tcW w:w="349"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b/>
                <w:spacing w:val="-20"/>
                <w:sz w:val="22"/>
                <w:szCs w:val="22"/>
              </w:rPr>
            </w:pPr>
            <w:r w:rsidRPr="00012A5D">
              <w:rPr>
                <w:b/>
                <w:spacing w:val="-20"/>
                <w:sz w:val="22"/>
                <w:szCs w:val="22"/>
              </w:rPr>
              <w:t>116.53</w:t>
            </w:r>
          </w:p>
        </w:tc>
        <w:tc>
          <w:tcPr>
            <w:tcW w:w="281"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A30BEF" w:rsidP="00012A5D">
            <w:pPr>
              <w:pStyle w:val="142"/>
              <w:jc w:val="right"/>
              <w:rPr>
                <w:spacing w:val="-20"/>
                <w:sz w:val="22"/>
                <w:szCs w:val="22"/>
              </w:rPr>
            </w:pPr>
            <w:r>
              <w:rPr>
                <w:rFonts w:hint="eastAsia"/>
                <w:spacing w:val="-20"/>
                <w:sz w:val="22"/>
                <w:szCs w:val="22"/>
              </w:rPr>
              <w:t>-</w:t>
            </w:r>
            <w:r w:rsidR="005D4B6B" w:rsidRPr="00012A5D">
              <w:rPr>
                <w:spacing w:val="-20"/>
                <w:sz w:val="22"/>
                <w:szCs w:val="22"/>
              </w:rPr>
              <w:t xml:space="preserve">　</w:t>
            </w:r>
          </w:p>
        </w:tc>
        <w:tc>
          <w:tcPr>
            <w:tcW w:w="281"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A30BEF" w:rsidP="00012A5D">
            <w:pPr>
              <w:pStyle w:val="142"/>
              <w:jc w:val="right"/>
              <w:rPr>
                <w:spacing w:val="-20"/>
                <w:sz w:val="22"/>
                <w:szCs w:val="22"/>
              </w:rPr>
            </w:pPr>
            <w:r>
              <w:rPr>
                <w:rFonts w:hint="eastAsia"/>
                <w:spacing w:val="-20"/>
                <w:sz w:val="22"/>
                <w:szCs w:val="22"/>
              </w:rPr>
              <w:t>-</w:t>
            </w:r>
            <w:r w:rsidR="005D4B6B" w:rsidRPr="00012A5D">
              <w:rPr>
                <w:spacing w:val="-20"/>
                <w:sz w:val="22"/>
                <w:szCs w:val="22"/>
              </w:rPr>
              <w:t xml:space="preserve">　</w:t>
            </w:r>
          </w:p>
        </w:tc>
        <w:tc>
          <w:tcPr>
            <w:tcW w:w="309"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spacing w:val="-20"/>
                <w:sz w:val="22"/>
                <w:szCs w:val="22"/>
              </w:rPr>
            </w:pPr>
            <w:r w:rsidRPr="00012A5D">
              <w:rPr>
                <w:spacing w:val="-20"/>
                <w:sz w:val="22"/>
                <w:szCs w:val="22"/>
              </w:rPr>
              <w:t>15.58</w:t>
            </w:r>
          </w:p>
        </w:tc>
        <w:tc>
          <w:tcPr>
            <w:tcW w:w="281"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600C50" w:rsidP="00012A5D">
            <w:pPr>
              <w:pStyle w:val="142"/>
              <w:jc w:val="right"/>
              <w:rPr>
                <w:spacing w:val="-20"/>
                <w:sz w:val="22"/>
                <w:szCs w:val="22"/>
              </w:rPr>
            </w:pPr>
            <w:r>
              <w:rPr>
                <w:rFonts w:hint="eastAsia"/>
                <w:spacing w:val="-20"/>
                <w:sz w:val="22"/>
                <w:szCs w:val="22"/>
              </w:rPr>
              <w:t>-</w:t>
            </w:r>
            <w:r w:rsidR="005D4B6B" w:rsidRPr="00012A5D">
              <w:rPr>
                <w:spacing w:val="-20"/>
                <w:sz w:val="22"/>
                <w:szCs w:val="22"/>
              </w:rPr>
              <w:t xml:space="preserve">　</w:t>
            </w:r>
          </w:p>
        </w:tc>
        <w:tc>
          <w:tcPr>
            <w:tcW w:w="282"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spacing w:val="-20"/>
                <w:sz w:val="22"/>
                <w:szCs w:val="22"/>
              </w:rPr>
            </w:pPr>
            <w:r w:rsidRPr="00012A5D">
              <w:rPr>
                <w:spacing w:val="-20"/>
                <w:sz w:val="22"/>
                <w:szCs w:val="22"/>
              </w:rPr>
              <w:t>2.49</w:t>
            </w:r>
          </w:p>
        </w:tc>
        <w:tc>
          <w:tcPr>
            <w:tcW w:w="309" w:type="pct"/>
            <w:tcBorders>
              <w:top w:val="single" w:sz="6" w:space="0" w:color="auto"/>
              <w:left w:val="single" w:sz="6" w:space="0" w:color="auto"/>
              <w:bottom w:val="single" w:sz="6" w:space="0" w:color="auto"/>
              <w:right w:val="single" w:sz="6" w:space="0" w:color="auto"/>
            </w:tcBorders>
            <w:shd w:val="clear" w:color="auto" w:fill="auto"/>
            <w:noWrap/>
            <w:vAlign w:val="center"/>
            <w:hideMark/>
          </w:tcPr>
          <w:p w:rsidR="005D4B6B" w:rsidRPr="00012A5D" w:rsidRDefault="005D4B6B" w:rsidP="00012A5D">
            <w:pPr>
              <w:pStyle w:val="142"/>
              <w:jc w:val="right"/>
              <w:rPr>
                <w:spacing w:val="-20"/>
                <w:sz w:val="22"/>
                <w:szCs w:val="22"/>
              </w:rPr>
            </w:pPr>
            <w:r w:rsidRPr="00012A5D">
              <w:rPr>
                <w:spacing w:val="-20"/>
                <w:sz w:val="22"/>
                <w:szCs w:val="22"/>
              </w:rPr>
              <w:t>12.24</w:t>
            </w:r>
          </w:p>
        </w:tc>
        <w:tc>
          <w:tcPr>
            <w:tcW w:w="349"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b/>
                <w:spacing w:val="-20"/>
                <w:sz w:val="22"/>
                <w:szCs w:val="22"/>
              </w:rPr>
            </w:pPr>
            <w:r w:rsidRPr="00012A5D">
              <w:rPr>
                <w:b/>
                <w:spacing w:val="-20"/>
                <w:sz w:val="22"/>
                <w:szCs w:val="22"/>
              </w:rPr>
              <w:t>59.38</w:t>
            </w:r>
          </w:p>
        </w:tc>
        <w:tc>
          <w:tcPr>
            <w:tcW w:w="309" w:type="pct"/>
            <w:tcBorders>
              <w:top w:val="single" w:sz="6" w:space="0" w:color="auto"/>
              <w:left w:val="single" w:sz="6" w:space="0" w:color="auto"/>
              <w:bottom w:val="single" w:sz="6" w:space="0" w:color="auto"/>
              <w:right w:val="single" w:sz="6" w:space="0" w:color="auto"/>
            </w:tcBorders>
            <w:shd w:val="clear" w:color="auto" w:fill="auto"/>
            <w:noWrap/>
            <w:vAlign w:val="center"/>
            <w:hideMark/>
          </w:tcPr>
          <w:p w:rsidR="005D4B6B" w:rsidRPr="00012A5D" w:rsidRDefault="005D4B6B" w:rsidP="00012A5D">
            <w:pPr>
              <w:pStyle w:val="142"/>
              <w:jc w:val="right"/>
              <w:rPr>
                <w:spacing w:val="-20"/>
                <w:sz w:val="22"/>
                <w:szCs w:val="22"/>
              </w:rPr>
            </w:pPr>
            <w:r w:rsidRPr="00012A5D">
              <w:rPr>
                <w:spacing w:val="-20"/>
                <w:sz w:val="22"/>
                <w:szCs w:val="22"/>
              </w:rPr>
              <w:t>9.41</w:t>
            </w:r>
          </w:p>
        </w:tc>
        <w:tc>
          <w:tcPr>
            <w:tcW w:w="282"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A30BEF" w:rsidP="00012A5D">
            <w:pPr>
              <w:pStyle w:val="142"/>
              <w:jc w:val="right"/>
              <w:rPr>
                <w:spacing w:val="-20"/>
                <w:sz w:val="22"/>
                <w:szCs w:val="22"/>
              </w:rPr>
            </w:pPr>
            <w:r>
              <w:rPr>
                <w:rFonts w:hint="eastAsia"/>
                <w:spacing w:val="-20"/>
                <w:sz w:val="22"/>
                <w:szCs w:val="22"/>
              </w:rPr>
              <w:t>-</w:t>
            </w:r>
            <w:r w:rsidR="005D4B6B" w:rsidRPr="00012A5D">
              <w:rPr>
                <w:spacing w:val="-20"/>
                <w:sz w:val="22"/>
                <w:szCs w:val="22"/>
              </w:rPr>
              <w:t xml:space="preserve">　</w:t>
            </w:r>
          </w:p>
        </w:tc>
        <w:tc>
          <w:tcPr>
            <w:tcW w:w="282"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A30BEF" w:rsidP="00012A5D">
            <w:pPr>
              <w:pStyle w:val="142"/>
              <w:jc w:val="right"/>
              <w:rPr>
                <w:spacing w:val="-20"/>
                <w:sz w:val="22"/>
                <w:szCs w:val="22"/>
              </w:rPr>
            </w:pPr>
            <w:r>
              <w:rPr>
                <w:rFonts w:hint="eastAsia"/>
                <w:spacing w:val="-20"/>
                <w:sz w:val="22"/>
                <w:szCs w:val="22"/>
              </w:rPr>
              <w:t>-</w:t>
            </w:r>
            <w:r w:rsidR="005D4B6B" w:rsidRPr="00012A5D">
              <w:rPr>
                <w:spacing w:val="-20"/>
                <w:sz w:val="22"/>
                <w:szCs w:val="22"/>
              </w:rPr>
              <w:t xml:space="preserve">　</w:t>
            </w:r>
          </w:p>
        </w:tc>
        <w:tc>
          <w:tcPr>
            <w:tcW w:w="283"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A30BEF" w:rsidP="00012A5D">
            <w:pPr>
              <w:pStyle w:val="142"/>
              <w:jc w:val="right"/>
              <w:rPr>
                <w:spacing w:val="-20"/>
                <w:sz w:val="22"/>
                <w:szCs w:val="22"/>
              </w:rPr>
            </w:pPr>
            <w:r>
              <w:rPr>
                <w:rFonts w:hint="eastAsia"/>
                <w:spacing w:val="-20"/>
                <w:sz w:val="22"/>
                <w:szCs w:val="22"/>
              </w:rPr>
              <w:t>-</w:t>
            </w:r>
            <w:r w:rsidR="005D4B6B" w:rsidRPr="00012A5D">
              <w:rPr>
                <w:spacing w:val="-20"/>
                <w:sz w:val="22"/>
                <w:szCs w:val="22"/>
              </w:rPr>
              <w:t xml:space="preserve">　</w:t>
            </w:r>
          </w:p>
        </w:tc>
        <w:tc>
          <w:tcPr>
            <w:tcW w:w="348" w:type="pct"/>
            <w:tcBorders>
              <w:top w:val="single" w:sz="6" w:space="0" w:color="auto"/>
              <w:left w:val="single" w:sz="6" w:space="0" w:color="auto"/>
              <w:bottom w:val="single" w:sz="6" w:space="0" w:color="auto"/>
              <w:right w:val="single" w:sz="6" w:space="0" w:color="auto"/>
            </w:tcBorders>
            <w:shd w:val="clear" w:color="auto" w:fill="auto"/>
            <w:noWrap/>
            <w:vAlign w:val="center"/>
            <w:hideMark/>
          </w:tcPr>
          <w:p w:rsidR="005D4B6B" w:rsidRPr="00012A5D" w:rsidRDefault="005D4B6B" w:rsidP="00012A5D">
            <w:pPr>
              <w:pStyle w:val="142"/>
              <w:jc w:val="right"/>
              <w:rPr>
                <w:spacing w:val="-20"/>
                <w:sz w:val="22"/>
                <w:szCs w:val="22"/>
              </w:rPr>
            </w:pPr>
            <w:r w:rsidRPr="00012A5D">
              <w:rPr>
                <w:spacing w:val="-20"/>
                <w:sz w:val="22"/>
                <w:szCs w:val="22"/>
              </w:rPr>
              <w:t>215.63</w:t>
            </w:r>
          </w:p>
        </w:tc>
        <w:tc>
          <w:tcPr>
            <w:tcW w:w="276" w:type="pct"/>
            <w:tcBorders>
              <w:top w:val="single" w:sz="6" w:space="0" w:color="FFFFFF"/>
              <w:left w:val="single" w:sz="6" w:space="0" w:color="auto"/>
              <w:bottom w:val="single" w:sz="6" w:space="0" w:color="auto"/>
              <w:right w:val="single" w:sz="12" w:space="0" w:color="auto"/>
            </w:tcBorders>
            <w:shd w:val="clear" w:color="auto" w:fill="auto"/>
            <w:noWrap/>
            <w:vAlign w:val="center"/>
            <w:hideMark/>
          </w:tcPr>
          <w:p w:rsidR="005D4B6B" w:rsidRPr="00012A5D" w:rsidRDefault="005D4B6B" w:rsidP="00012A5D">
            <w:pPr>
              <w:pStyle w:val="142"/>
              <w:jc w:val="right"/>
              <w:rPr>
                <w:spacing w:val="-20"/>
                <w:sz w:val="22"/>
                <w:szCs w:val="22"/>
              </w:rPr>
            </w:pPr>
            <w:r w:rsidRPr="00012A5D">
              <w:rPr>
                <w:rFonts w:hint="eastAsia"/>
                <w:spacing w:val="-20"/>
                <w:sz w:val="22"/>
                <w:szCs w:val="22"/>
              </w:rPr>
              <w:t>0.21</w:t>
            </w:r>
          </w:p>
        </w:tc>
      </w:tr>
      <w:tr w:rsidR="005D4B6B" w:rsidRPr="007C79CD" w:rsidTr="00A62399">
        <w:trPr>
          <w:trHeight w:val="350"/>
        </w:trPr>
        <w:tc>
          <w:tcPr>
            <w:tcW w:w="265" w:type="pct"/>
            <w:vMerge w:val="restart"/>
            <w:tcBorders>
              <w:top w:val="single" w:sz="6" w:space="0" w:color="auto"/>
              <w:left w:val="single" w:sz="12" w:space="0" w:color="auto"/>
              <w:bottom w:val="single" w:sz="6" w:space="0" w:color="auto"/>
              <w:right w:val="single" w:sz="6" w:space="0" w:color="auto"/>
            </w:tcBorders>
            <w:shd w:val="clear" w:color="auto" w:fill="auto"/>
            <w:vAlign w:val="center"/>
            <w:hideMark/>
          </w:tcPr>
          <w:p w:rsidR="005D4B6B" w:rsidRPr="005D4B6B" w:rsidRDefault="005D4B6B" w:rsidP="00223971">
            <w:pPr>
              <w:pStyle w:val="142"/>
              <w:jc w:val="center"/>
              <w:rPr>
                <w:rFonts w:hint="eastAsia"/>
                <w:spacing w:val="-20"/>
                <w:sz w:val="22"/>
                <w:szCs w:val="22"/>
              </w:rPr>
            </w:pPr>
            <w:r w:rsidRPr="005D4B6B">
              <w:rPr>
                <w:spacing w:val="-20"/>
                <w:sz w:val="22"/>
                <w:szCs w:val="22"/>
              </w:rPr>
              <w:t>110</w:t>
            </w:r>
          </w:p>
        </w:tc>
        <w:tc>
          <w:tcPr>
            <w:tcW w:w="513" w:type="pct"/>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5D4B6B" w:rsidRDefault="005D4B6B" w:rsidP="00A62399">
            <w:pPr>
              <w:pStyle w:val="142"/>
              <w:jc w:val="both"/>
              <w:rPr>
                <w:spacing w:val="-20"/>
                <w:sz w:val="20"/>
                <w:szCs w:val="20"/>
              </w:rPr>
            </w:pPr>
            <w:r w:rsidRPr="005D4B6B">
              <w:rPr>
                <w:rFonts w:hint="eastAsia"/>
                <w:spacing w:val="-20"/>
                <w:sz w:val="20"/>
                <w:szCs w:val="20"/>
              </w:rPr>
              <w:t>機臺數</w:t>
            </w:r>
          </w:p>
        </w:tc>
        <w:tc>
          <w:tcPr>
            <w:tcW w:w="349"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rFonts w:hint="eastAsia"/>
                <w:b/>
                <w:spacing w:val="-20"/>
                <w:sz w:val="22"/>
                <w:szCs w:val="22"/>
              </w:rPr>
            </w:pPr>
            <w:r w:rsidRPr="00012A5D">
              <w:rPr>
                <w:b/>
                <w:spacing w:val="-20"/>
                <w:sz w:val="22"/>
                <w:szCs w:val="22"/>
              </w:rPr>
              <w:t>533</w:t>
            </w:r>
          </w:p>
        </w:tc>
        <w:tc>
          <w:tcPr>
            <w:tcW w:w="281"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A30BEF" w:rsidP="00012A5D">
            <w:pPr>
              <w:pStyle w:val="142"/>
              <w:jc w:val="right"/>
              <w:rPr>
                <w:spacing w:val="-20"/>
                <w:sz w:val="22"/>
                <w:szCs w:val="22"/>
              </w:rPr>
            </w:pPr>
            <w:r>
              <w:rPr>
                <w:rFonts w:hint="eastAsia"/>
                <w:spacing w:val="-20"/>
                <w:sz w:val="22"/>
                <w:szCs w:val="22"/>
              </w:rPr>
              <w:t>-</w:t>
            </w:r>
            <w:r w:rsidR="005D4B6B" w:rsidRPr="00012A5D">
              <w:rPr>
                <w:spacing w:val="-20"/>
                <w:sz w:val="22"/>
                <w:szCs w:val="22"/>
              </w:rPr>
              <w:t xml:space="preserve">　</w:t>
            </w:r>
          </w:p>
        </w:tc>
        <w:tc>
          <w:tcPr>
            <w:tcW w:w="281"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A30BEF" w:rsidP="00012A5D">
            <w:pPr>
              <w:pStyle w:val="142"/>
              <w:jc w:val="right"/>
              <w:rPr>
                <w:spacing w:val="-20"/>
                <w:sz w:val="22"/>
                <w:szCs w:val="22"/>
              </w:rPr>
            </w:pPr>
            <w:r>
              <w:rPr>
                <w:rFonts w:hint="eastAsia"/>
                <w:spacing w:val="-20"/>
                <w:sz w:val="22"/>
                <w:szCs w:val="22"/>
              </w:rPr>
              <w:t>-</w:t>
            </w:r>
            <w:r w:rsidR="005D4B6B" w:rsidRPr="00012A5D">
              <w:rPr>
                <w:spacing w:val="-20"/>
                <w:sz w:val="22"/>
                <w:szCs w:val="22"/>
              </w:rPr>
              <w:t xml:space="preserve">　</w:t>
            </w:r>
          </w:p>
        </w:tc>
        <w:tc>
          <w:tcPr>
            <w:tcW w:w="309"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spacing w:val="-20"/>
                <w:sz w:val="22"/>
                <w:szCs w:val="22"/>
              </w:rPr>
            </w:pPr>
            <w:r w:rsidRPr="00012A5D">
              <w:rPr>
                <w:spacing w:val="-20"/>
                <w:sz w:val="22"/>
                <w:szCs w:val="22"/>
              </w:rPr>
              <w:t>174</w:t>
            </w:r>
          </w:p>
        </w:tc>
        <w:tc>
          <w:tcPr>
            <w:tcW w:w="281"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spacing w:val="-20"/>
                <w:sz w:val="22"/>
                <w:szCs w:val="22"/>
              </w:rPr>
            </w:pPr>
            <w:r w:rsidRPr="00012A5D">
              <w:rPr>
                <w:spacing w:val="-20"/>
                <w:sz w:val="22"/>
                <w:szCs w:val="22"/>
              </w:rPr>
              <w:t>10</w:t>
            </w:r>
          </w:p>
        </w:tc>
        <w:tc>
          <w:tcPr>
            <w:tcW w:w="282"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spacing w:val="-20"/>
                <w:sz w:val="22"/>
                <w:szCs w:val="22"/>
              </w:rPr>
            </w:pPr>
            <w:r w:rsidRPr="00012A5D">
              <w:rPr>
                <w:spacing w:val="-20"/>
                <w:sz w:val="22"/>
                <w:szCs w:val="22"/>
              </w:rPr>
              <w:t>17</w:t>
            </w:r>
          </w:p>
        </w:tc>
        <w:tc>
          <w:tcPr>
            <w:tcW w:w="309"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spacing w:val="-20"/>
                <w:sz w:val="22"/>
                <w:szCs w:val="22"/>
              </w:rPr>
            </w:pPr>
            <w:r w:rsidRPr="00012A5D">
              <w:rPr>
                <w:spacing w:val="-20"/>
                <w:sz w:val="22"/>
                <w:szCs w:val="22"/>
              </w:rPr>
              <w:t>11</w:t>
            </w:r>
          </w:p>
        </w:tc>
        <w:tc>
          <w:tcPr>
            <w:tcW w:w="349"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b/>
                <w:spacing w:val="-20"/>
                <w:sz w:val="22"/>
                <w:szCs w:val="22"/>
              </w:rPr>
            </w:pPr>
            <w:r w:rsidRPr="00012A5D">
              <w:rPr>
                <w:b/>
                <w:spacing w:val="-20"/>
                <w:sz w:val="22"/>
                <w:szCs w:val="22"/>
              </w:rPr>
              <w:t>481</w:t>
            </w:r>
          </w:p>
        </w:tc>
        <w:tc>
          <w:tcPr>
            <w:tcW w:w="309"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spacing w:val="-20"/>
                <w:sz w:val="22"/>
                <w:szCs w:val="22"/>
              </w:rPr>
            </w:pPr>
            <w:r w:rsidRPr="00012A5D">
              <w:rPr>
                <w:spacing w:val="-20"/>
                <w:sz w:val="22"/>
                <w:szCs w:val="22"/>
              </w:rPr>
              <w:t>3</w:t>
            </w:r>
          </w:p>
        </w:tc>
        <w:tc>
          <w:tcPr>
            <w:tcW w:w="282"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A30BEF" w:rsidP="00012A5D">
            <w:pPr>
              <w:pStyle w:val="142"/>
              <w:jc w:val="right"/>
              <w:rPr>
                <w:spacing w:val="-20"/>
                <w:sz w:val="22"/>
                <w:szCs w:val="22"/>
              </w:rPr>
            </w:pPr>
            <w:r>
              <w:rPr>
                <w:rFonts w:hint="eastAsia"/>
                <w:spacing w:val="-20"/>
                <w:sz w:val="22"/>
                <w:szCs w:val="22"/>
              </w:rPr>
              <w:t>-</w:t>
            </w:r>
            <w:r w:rsidR="005D4B6B" w:rsidRPr="00012A5D">
              <w:rPr>
                <w:spacing w:val="-20"/>
                <w:sz w:val="22"/>
                <w:szCs w:val="22"/>
              </w:rPr>
              <w:t xml:space="preserve">　</w:t>
            </w:r>
          </w:p>
        </w:tc>
        <w:tc>
          <w:tcPr>
            <w:tcW w:w="282"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A30BEF" w:rsidP="00012A5D">
            <w:pPr>
              <w:pStyle w:val="142"/>
              <w:jc w:val="right"/>
              <w:rPr>
                <w:spacing w:val="-20"/>
                <w:sz w:val="22"/>
                <w:szCs w:val="22"/>
              </w:rPr>
            </w:pPr>
            <w:r>
              <w:rPr>
                <w:rFonts w:hint="eastAsia"/>
                <w:spacing w:val="-20"/>
                <w:sz w:val="22"/>
                <w:szCs w:val="22"/>
              </w:rPr>
              <w:t>-</w:t>
            </w:r>
            <w:r w:rsidR="005D4B6B" w:rsidRPr="00012A5D">
              <w:rPr>
                <w:spacing w:val="-20"/>
                <w:sz w:val="22"/>
                <w:szCs w:val="22"/>
              </w:rPr>
              <w:t xml:space="preserve">　</w:t>
            </w:r>
          </w:p>
        </w:tc>
        <w:tc>
          <w:tcPr>
            <w:tcW w:w="283"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A30BEF" w:rsidP="00012A5D">
            <w:pPr>
              <w:pStyle w:val="142"/>
              <w:jc w:val="right"/>
              <w:rPr>
                <w:spacing w:val="-20"/>
                <w:sz w:val="22"/>
                <w:szCs w:val="22"/>
              </w:rPr>
            </w:pPr>
            <w:r>
              <w:rPr>
                <w:rFonts w:hint="eastAsia"/>
                <w:spacing w:val="-20"/>
                <w:sz w:val="22"/>
                <w:szCs w:val="22"/>
              </w:rPr>
              <w:t>-</w:t>
            </w:r>
            <w:r w:rsidR="005D4B6B" w:rsidRPr="00012A5D">
              <w:rPr>
                <w:spacing w:val="-20"/>
                <w:sz w:val="22"/>
                <w:szCs w:val="22"/>
              </w:rPr>
              <w:t xml:space="preserve">　</w:t>
            </w:r>
          </w:p>
        </w:tc>
        <w:tc>
          <w:tcPr>
            <w:tcW w:w="348" w:type="pct"/>
            <w:tcBorders>
              <w:top w:val="single" w:sz="6" w:space="0" w:color="auto"/>
              <w:left w:val="single" w:sz="6" w:space="0" w:color="auto"/>
              <w:bottom w:val="single" w:sz="6" w:space="0" w:color="auto"/>
              <w:right w:val="single" w:sz="6" w:space="0" w:color="auto"/>
            </w:tcBorders>
            <w:shd w:val="clear" w:color="auto" w:fill="auto"/>
            <w:noWrap/>
            <w:vAlign w:val="center"/>
            <w:hideMark/>
          </w:tcPr>
          <w:p w:rsidR="005D4B6B" w:rsidRPr="00012A5D" w:rsidRDefault="005D4B6B" w:rsidP="00012A5D">
            <w:pPr>
              <w:pStyle w:val="142"/>
              <w:jc w:val="right"/>
              <w:rPr>
                <w:spacing w:val="-20"/>
                <w:sz w:val="22"/>
                <w:szCs w:val="22"/>
              </w:rPr>
            </w:pPr>
            <w:r w:rsidRPr="00012A5D">
              <w:rPr>
                <w:spacing w:val="-20"/>
                <w:sz w:val="22"/>
                <w:szCs w:val="22"/>
              </w:rPr>
              <w:t>1,229</w:t>
            </w:r>
          </w:p>
        </w:tc>
        <w:tc>
          <w:tcPr>
            <w:tcW w:w="276" w:type="pct"/>
            <w:tcBorders>
              <w:top w:val="single" w:sz="6" w:space="0" w:color="auto"/>
              <w:left w:val="single" w:sz="6" w:space="0" w:color="auto"/>
              <w:bottom w:val="single" w:sz="6" w:space="0" w:color="FFFFFF"/>
              <w:right w:val="single" w:sz="12" w:space="0" w:color="auto"/>
            </w:tcBorders>
            <w:shd w:val="clear" w:color="auto" w:fill="auto"/>
            <w:noWrap/>
            <w:vAlign w:val="center"/>
            <w:hideMark/>
          </w:tcPr>
          <w:p w:rsidR="005D4B6B" w:rsidRPr="00012A5D" w:rsidRDefault="005D4B6B" w:rsidP="00012A5D">
            <w:pPr>
              <w:pStyle w:val="142"/>
              <w:jc w:val="right"/>
              <w:rPr>
                <w:spacing w:val="-20"/>
                <w:sz w:val="22"/>
                <w:szCs w:val="22"/>
              </w:rPr>
            </w:pPr>
            <w:r w:rsidRPr="00012A5D">
              <w:rPr>
                <w:rFonts w:hint="eastAsia"/>
                <w:spacing w:val="-20"/>
                <w:sz w:val="22"/>
                <w:szCs w:val="22"/>
              </w:rPr>
              <w:t xml:space="preserve">　</w:t>
            </w:r>
          </w:p>
        </w:tc>
      </w:tr>
      <w:tr w:rsidR="005D4B6B" w:rsidRPr="007C79CD" w:rsidTr="00A62399">
        <w:trPr>
          <w:trHeight w:val="350"/>
        </w:trPr>
        <w:tc>
          <w:tcPr>
            <w:tcW w:w="265" w:type="pct"/>
            <w:vMerge/>
            <w:tcBorders>
              <w:top w:val="single" w:sz="6" w:space="0" w:color="auto"/>
              <w:left w:val="single" w:sz="12" w:space="0" w:color="auto"/>
              <w:bottom w:val="single" w:sz="6" w:space="0" w:color="auto"/>
              <w:right w:val="single" w:sz="6" w:space="0" w:color="auto"/>
            </w:tcBorders>
            <w:vAlign w:val="center"/>
            <w:hideMark/>
          </w:tcPr>
          <w:p w:rsidR="005D4B6B" w:rsidRPr="005D4B6B" w:rsidRDefault="005D4B6B" w:rsidP="00223971">
            <w:pPr>
              <w:pStyle w:val="142"/>
              <w:jc w:val="center"/>
              <w:rPr>
                <w:spacing w:val="-20"/>
                <w:sz w:val="22"/>
                <w:szCs w:val="22"/>
              </w:rPr>
            </w:pPr>
          </w:p>
        </w:tc>
        <w:tc>
          <w:tcPr>
            <w:tcW w:w="513" w:type="pct"/>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5D4B6B" w:rsidRDefault="002A7D98" w:rsidP="00A62399">
            <w:pPr>
              <w:pStyle w:val="142"/>
              <w:jc w:val="both"/>
              <w:rPr>
                <w:rFonts w:hint="eastAsia"/>
                <w:spacing w:val="-20"/>
                <w:sz w:val="20"/>
                <w:szCs w:val="20"/>
              </w:rPr>
            </w:pPr>
            <w:r>
              <w:rPr>
                <w:rFonts w:hint="eastAsia"/>
                <w:spacing w:val="-20"/>
                <w:sz w:val="20"/>
                <w:szCs w:val="20"/>
              </w:rPr>
              <w:t>硬幣回存</w:t>
            </w:r>
            <w:r w:rsidR="00A62399">
              <w:rPr>
                <w:rFonts w:hint="eastAsia"/>
                <w:spacing w:val="-20"/>
                <w:sz w:val="20"/>
                <w:szCs w:val="20"/>
              </w:rPr>
              <w:t>/加值</w:t>
            </w:r>
            <w:r w:rsidR="005D4B6B" w:rsidRPr="005D4B6B">
              <w:rPr>
                <w:rFonts w:hint="eastAsia"/>
                <w:spacing w:val="-20"/>
                <w:sz w:val="20"/>
                <w:szCs w:val="20"/>
              </w:rPr>
              <w:t>數</w:t>
            </w:r>
          </w:p>
        </w:tc>
        <w:tc>
          <w:tcPr>
            <w:tcW w:w="349"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b/>
                <w:spacing w:val="-20"/>
                <w:sz w:val="22"/>
                <w:szCs w:val="22"/>
              </w:rPr>
            </w:pPr>
            <w:r w:rsidRPr="00012A5D">
              <w:rPr>
                <w:b/>
                <w:spacing w:val="-20"/>
                <w:sz w:val="22"/>
                <w:szCs w:val="22"/>
              </w:rPr>
              <w:t>91.58</w:t>
            </w:r>
          </w:p>
        </w:tc>
        <w:tc>
          <w:tcPr>
            <w:tcW w:w="281"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A30BEF" w:rsidP="00012A5D">
            <w:pPr>
              <w:pStyle w:val="142"/>
              <w:jc w:val="right"/>
              <w:rPr>
                <w:spacing w:val="-20"/>
                <w:sz w:val="22"/>
                <w:szCs w:val="22"/>
              </w:rPr>
            </w:pPr>
            <w:r>
              <w:rPr>
                <w:rFonts w:hint="eastAsia"/>
                <w:spacing w:val="-20"/>
                <w:sz w:val="22"/>
                <w:szCs w:val="22"/>
              </w:rPr>
              <w:t>-</w:t>
            </w:r>
            <w:r w:rsidR="005D4B6B" w:rsidRPr="00012A5D">
              <w:rPr>
                <w:spacing w:val="-20"/>
                <w:sz w:val="22"/>
                <w:szCs w:val="22"/>
              </w:rPr>
              <w:t xml:space="preserve">　</w:t>
            </w:r>
          </w:p>
        </w:tc>
        <w:tc>
          <w:tcPr>
            <w:tcW w:w="281"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A30BEF" w:rsidP="00012A5D">
            <w:pPr>
              <w:pStyle w:val="142"/>
              <w:jc w:val="right"/>
              <w:rPr>
                <w:spacing w:val="-20"/>
                <w:sz w:val="22"/>
                <w:szCs w:val="22"/>
              </w:rPr>
            </w:pPr>
            <w:r>
              <w:rPr>
                <w:rFonts w:hint="eastAsia"/>
                <w:spacing w:val="-20"/>
                <w:sz w:val="22"/>
                <w:szCs w:val="22"/>
              </w:rPr>
              <w:t>-</w:t>
            </w:r>
            <w:r w:rsidR="005D4B6B" w:rsidRPr="00012A5D">
              <w:rPr>
                <w:spacing w:val="-20"/>
                <w:sz w:val="22"/>
                <w:szCs w:val="22"/>
              </w:rPr>
              <w:t xml:space="preserve">　</w:t>
            </w:r>
          </w:p>
        </w:tc>
        <w:tc>
          <w:tcPr>
            <w:tcW w:w="309"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spacing w:val="-20"/>
                <w:sz w:val="22"/>
                <w:szCs w:val="22"/>
              </w:rPr>
            </w:pPr>
            <w:r w:rsidRPr="00012A5D">
              <w:rPr>
                <w:spacing w:val="-20"/>
                <w:sz w:val="22"/>
                <w:szCs w:val="22"/>
              </w:rPr>
              <w:t>12.00</w:t>
            </w:r>
          </w:p>
        </w:tc>
        <w:tc>
          <w:tcPr>
            <w:tcW w:w="281"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spacing w:val="-20"/>
                <w:sz w:val="22"/>
                <w:szCs w:val="22"/>
              </w:rPr>
            </w:pPr>
            <w:r w:rsidRPr="00012A5D">
              <w:rPr>
                <w:spacing w:val="-20"/>
                <w:sz w:val="22"/>
                <w:szCs w:val="22"/>
              </w:rPr>
              <w:t>0.89</w:t>
            </w:r>
          </w:p>
        </w:tc>
        <w:tc>
          <w:tcPr>
            <w:tcW w:w="282"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spacing w:val="-20"/>
                <w:sz w:val="22"/>
                <w:szCs w:val="22"/>
              </w:rPr>
            </w:pPr>
            <w:r w:rsidRPr="00012A5D">
              <w:rPr>
                <w:spacing w:val="-20"/>
                <w:sz w:val="22"/>
                <w:szCs w:val="22"/>
              </w:rPr>
              <w:t>2.23</w:t>
            </w:r>
          </w:p>
        </w:tc>
        <w:tc>
          <w:tcPr>
            <w:tcW w:w="309" w:type="pct"/>
            <w:tcBorders>
              <w:top w:val="single" w:sz="6" w:space="0" w:color="auto"/>
              <w:left w:val="single" w:sz="6" w:space="0" w:color="auto"/>
              <w:bottom w:val="single" w:sz="6" w:space="0" w:color="auto"/>
              <w:right w:val="single" w:sz="6" w:space="0" w:color="auto"/>
            </w:tcBorders>
            <w:shd w:val="clear" w:color="auto" w:fill="auto"/>
            <w:noWrap/>
            <w:vAlign w:val="center"/>
            <w:hideMark/>
          </w:tcPr>
          <w:p w:rsidR="005D4B6B" w:rsidRPr="00012A5D" w:rsidRDefault="005D4B6B" w:rsidP="00012A5D">
            <w:pPr>
              <w:pStyle w:val="142"/>
              <w:jc w:val="right"/>
              <w:rPr>
                <w:spacing w:val="-20"/>
                <w:sz w:val="22"/>
                <w:szCs w:val="22"/>
              </w:rPr>
            </w:pPr>
            <w:r w:rsidRPr="00012A5D">
              <w:rPr>
                <w:spacing w:val="-20"/>
                <w:sz w:val="22"/>
                <w:szCs w:val="22"/>
              </w:rPr>
              <w:t>9.41</w:t>
            </w:r>
          </w:p>
        </w:tc>
        <w:tc>
          <w:tcPr>
            <w:tcW w:w="349"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b/>
                <w:spacing w:val="-20"/>
                <w:sz w:val="22"/>
                <w:szCs w:val="22"/>
              </w:rPr>
            </w:pPr>
            <w:r w:rsidRPr="00012A5D">
              <w:rPr>
                <w:b/>
                <w:spacing w:val="-20"/>
                <w:sz w:val="22"/>
                <w:szCs w:val="22"/>
              </w:rPr>
              <w:t>90.90</w:t>
            </w:r>
          </w:p>
        </w:tc>
        <w:tc>
          <w:tcPr>
            <w:tcW w:w="309" w:type="pct"/>
            <w:tcBorders>
              <w:top w:val="single" w:sz="6" w:space="0" w:color="auto"/>
              <w:left w:val="single" w:sz="6" w:space="0" w:color="auto"/>
              <w:bottom w:val="single" w:sz="6" w:space="0" w:color="auto"/>
              <w:right w:val="single" w:sz="6" w:space="0" w:color="auto"/>
            </w:tcBorders>
            <w:shd w:val="clear" w:color="auto" w:fill="auto"/>
            <w:noWrap/>
            <w:vAlign w:val="center"/>
            <w:hideMark/>
          </w:tcPr>
          <w:p w:rsidR="005D4B6B" w:rsidRPr="00012A5D" w:rsidRDefault="005D4B6B" w:rsidP="00012A5D">
            <w:pPr>
              <w:pStyle w:val="142"/>
              <w:jc w:val="right"/>
              <w:rPr>
                <w:spacing w:val="-20"/>
                <w:sz w:val="22"/>
                <w:szCs w:val="22"/>
              </w:rPr>
            </w:pPr>
            <w:r w:rsidRPr="00012A5D">
              <w:rPr>
                <w:spacing w:val="-20"/>
                <w:sz w:val="22"/>
                <w:szCs w:val="22"/>
              </w:rPr>
              <w:t>9.09</w:t>
            </w:r>
          </w:p>
        </w:tc>
        <w:tc>
          <w:tcPr>
            <w:tcW w:w="282"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A30BEF" w:rsidP="00012A5D">
            <w:pPr>
              <w:pStyle w:val="142"/>
              <w:jc w:val="right"/>
              <w:rPr>
                <w:spacing w:val="-20"/>
                <w:sz w:val="22"/>
                <w:szCs w:val="22"/>
              </w:rPr>
            </w:pPr>
            <w:r>
              <w:rPr>
                <w:rFonts w:hint="eastAsia"/>
                <w:spacing w:val="-20"/>
                <w:sz w:val="22"/>
                <w:szCs w:val="22"/>
              </w:rPr>
              <w:t>-</w:t>
            </w:r>
            <w:r w:rsidR="005D4B6B" w:rsidRPr="00012A5D">
              <w:rPr>
                <w:spacing w:val="-20"/>
                <w:sz w:val="22"/>
                <w:szCs w:val="22"/>
              </w:rPr>
              <w:t xml:space="preserve">　</w:t>
            </w:r>
          </w:p>
        </w:tc>
        <w:tc>
          <w:tcPr>
            <w:tcW w:w="282"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A30BEF" w:rsidP="00012A5D">
            <w:pPr>
              <w:pStyle w:val="142"/>
              <w:jc w:val="right"/>
              <w:rPr>
                <w:spacing w:val="-20"/>
                <w:sz w:val="22"/>
                <w:szCs w:val="22"/>
              </w:rPr>
            </w:pPr>
            <w:r>
              <w:rPr>
                <w:rFonts w:hint="eastAsia"/>
                <w:spacing w:val="-20"/>
                <w:sz w:val="22"/>
                <w:szCs w:val="22"/>
              </w:rPr>
              <w:t>-</w:t>
            </w:r>
            <w:r w:rsidR="005D4B6B" w:rsidRPr="00012A5D">
              <w:rPr>
                <w:spacing w:val="-20"/>
                <w:sz w:val="22"/>
                <w:szCs w:val="22"/>
              </w:rPr>
              <w:t xml:space="preserve">　</w:t>
            </w:r>
          </w:p>
        </w:tc>
        <w:tc>
          <w:tcPr>
            <w:tcW w:w="283"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A30BEF" w:rsidP="00012A5D">
            <w:pPr>
              <w:pStyle w:val="142"/>
              <w:jc w:val="right"/>
              <w:rPr>
                <w:spacing w:val="-20"/>
                <w:sz w:val="22"/>
                <w:szCs w:val="22"/>
              </w:rPr>
            </w:pPr>
            <w:r>
              <w:rPr>
                <w:rFonts w:hint="eastAsia"/>
                <w:spacing w:val="-20"/>
                <w:sz w:val="22"/>
                <w:szCs w:val="22"/>
              </w:rPr>
              <w:t>-</w:t>
            </w:r>
            <w:r w:rsidR="005D4B6B" w:rsidRPr="00012A5D">
              <w:rPr>
                <w:spacing w:val="-20"/>
                <w:sz w:val="22"/>
                <w:szCs w:val="22"/>
              </w:rPr>
              <w:t xml:space="preserve">　</w:t>
            </w:r>
          </w:p>
        </w:tc>
        <w:tc>
          <w:tcPr>
            <w:tcW w:w="348" w:type="pct"/>
            <w:tcBorders>
              <w:top w:val="single" w:sz="6" w:space="0" w:color="auto"/>
              <w:left w:val="single" w:sz="6" w:space="0" w:color="auto"/>
              <w:bottom w:val="single" w:sz="6" w:space="0" w:color="auto"/>
              <w:right w:val="single" w:sz="6" w:space="0" w:color="auto"/>
            </w:tcBorders>
            <w:shd w:val="clear" w:color="auto" w:fill="auto"/>
            <w:noWrap/>
            <w:vAlign w:val="center"/>
            <w:hideMark/>
          </w:tcPr>
          <w:p w:rsidR="005D4B6B" w:rsidRPr="00012A5D" w:rsidRDefault="005D4B6B" w:rsidP="00012A5D">
            <w:pPr>
              <w:pStyle w:val="142"/>
              <w:jc w:val="right"/>
              <w:rPr>
                <w:spacing w:val="-20"/>
                <w:sz w:val="22"/>
                <w:szCs w:val="22"/>
              </w:rPr>
            </w:pPr>
            <w:r w:rsidRPr="00012A5D">
              <w:rPr>
                <w:spacing w:val="-20"/>
                <w:sz w:val="22"/>
                <w:szCs w:val="22"/>
              </w:rPr>
              <w:t>216.10</w:t>
            </w:r>
          </w:p>
        </w:tc>
        <w:tc>
          <w:tcPr>
            <w:tcW w:w="276" w:type="pct"/>
            <w:tcBorders>
              <w:top w:val="single" w:sz="6" w:space="0" w:color="FFFFFF"/>
              <w:left w:val="single" w:sz="6" w:space="0" w:color="auto"/>
              <w:bottom w:val="single" w:sz="6" w:space="0" w:color="auto"/>
              <w:right w:val="single" w:sz="12" w:space="0" w:color="auto"/>
            </w:tcBorders>
            <w:shd w:val="clear" w:color="auto" w:fill="auto"/>
            <w:noWrap/>
            <w:vAlign w:val="center"/>
            <w:hideMark/>
          </w:tcPr>
          <w:p w:rsidR="005D4B6B" w:rsidRPr="00012A5D" w:rsidRDefault="005D4B6B" w:rsidP="00012A5D">
            <w:pPr>
              <w:pStyle w:val="142"/>
              <w:jc w:val="right"/>
              <w:rPr>
                <w:spacing w:val="-20"/>
                <w:sz w:val="22"/>
                <w:szCs w:val="22"/>
              </w:rPr>
            </w:pPr>
            <w:r w:rsidRPr="00012A5D">
              <w:rPr>
                <w:rFonts w:hint="eastAsia"/>
                <w:spacing w:val="-20"/>
                <w:sz w:val="22"/>
                <w:szCs w:val="22"/>
              </w:rPr>
              <w:t>0.18</w:t>
            </w:r>
          </w:p>
        </w:tc>
      </w:tr>
      <w:tr w:rsidR="005D4B6B" w:rsidRPr="007C79CD" w:rsidTr="00A62399">
        <w:trPr>
          <w:trHeight w:val="350"/>
        </w:trPr>
        <w:tc>
          <w:tcPr>
            <w:tcW w:w="265" w:type="pct"/>
            <w:vMerge w:val="restart"/>
            <w:tcBorders>
              <w:top w:val="single" w:sz="6" w:space="0" w:color="auto"/>
              <w:left w:val="single" w:sz="12" w:space="0" w:color="auto"/>
              <w:bottom w:val="single" w:sz="6" w:space="0" w:color="auto"/>
              <w:right w:val="single" w:sz="6" w:space="0" w:color="auto"/>
            </w:tcBorders>
            <w:shd w:val="clear" w:color="auto" w:fill="auto"/>
            <w:vAlign w:val="center"/>
            <w:hideMark/>
          </w:tcPr>
          <w:p w:rsidR="005D4B6B" w:rsidRPr="005D4B6B" w:rsidRDefault="005D4B6B" w:rsidP="00223971">
            <w:pPr>
              <w:pStyle w:val="142"/>
              <w:jc w:val="center"/>
              <w:rPr>
                <w:rFonts w:hint="eastAsia"/>
                <w:spacing w:val="-20"/>
                <w:sz w:val="22"/>
                <w:szCs w:val="22"/>
              </w:rPr>
            </w:pPr>
            <w:r w:rsidRPr="005D4B6B">
              <w:rPr>
                <w:spacing w:val="-20"/>
                <w:sz w:val="22"/>
                <w:szCs w:val="22"/>
              </w:rPr>
              <w:t>111</w:t>
            </w:r>
          </w:p>
        </w:tc>
        <w:tc>
          <w:tcPr>
            <w:tcW w:w="513" w:type="pct"/>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5D4B6B" w:rsidRDefault="005D4B6B" w:rsidP="00A62399">
            <w:pPr>
              <w:pStyle w:val="142"/>
              <w:jc w:val="both"/>
              <w:rPr>
                <w:spacing w:val="-20"/>
                <w:sz w:val="20"/>
                <w:szCs w:val="20"/>
              </w:rPr>
            </w:pPr>
            <w:r w:rsidRPr="005D4B6B">
              <w:rPr>
                <w:rFonts w:hint="eastAsia"/>
                <w:spacing w:val="-20"/>
                <w:sz w:val="20"/>
                <w:szCs w:val="20"/>
              </w:rPr>
              <w:t>機臺數</w:t>
            </w:r>
          </w:p>
        </w:tc>
        <w:tc>
          <w:tcPr>
            <w:tcW w:w="349"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rFonts w:hint="eastAsia"/>
                <w:b/>
                <w:spacing w:val="-20"/>
                <w:sz w:val="22"/>
                <w:szCs w:val="22"/>
              </w:rPr>
            </w:pPr>
            <w:r w:rsidRPr="00012A5D">
              <w:rPr>
                <w:b/>
                <w:spacing w:val="-20"/>
                <w:sz w:val="22"/>
                <w:szCs w:val="22"/>
              </w:rPr>
              <w:t>533</w:t>
            </w:r>
          </w:p>
        </w:tc>
        <w:tc>
          <w:tcPr>
            <w:tcW w:w="281"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A30BEF" w:rsidP="00012A5D">
            <w:pPr>
              <w:pStyle w:val="142"/>
              <w:jc w:val="right"/>
              <w:rPr>
                <w:spacing w:val="-20"/>
                <w:sz w:val="22"/>
                <w:szCs w:val="22"/>
              </w:rPr>
            </w:pPr>
            <w:r>
              <w:rPr>
                <w:rFonts w:hint="eastAsia"/>
                <w:spacing w:val="-20"/>
                <w:sz w:val="22"/>
                <w:szCs w:val="22"/>
              </w:rPr>
              <w:t>-</w:t>
            </w:r>
            <w:r w:rsidR="005D4B6B" w:rsidRPr="00012A5D">
              <w:rPr>
                <w:spacing w:val="-20"/>
                <w:sz w:val="22"/>
                <w:szCs w:val="22"/>
              </w:rPr>
              <w:t xml:space="preserve">　</w:t>
            </w:r>
          </w:p>
        </w:tc>
        <w:tc>
          <w:tcPr>
            <w:tcW w:w="281"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spacing w:val="-20"/>
                <w:sz w:val="22"/>
                <w:szCs w:val="22"/>
              </w:rPr>
            </w:pPr>
            <w:r w:rsidRPr="00012A5D">
              <w:rPr>
                <w:spacing w:val="-20"/>
                <w:sz w:val="22"/>
                <w:szCs w:val="22"/>
              </w:rPr>
              <w:t>86</w:t>
            </w:r>
          </w:p>
        </w:tc>
        <w:tc>
          <w:tcPr>
            <w:tcW w:w="309"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spacing w:val="-20"/>
                <w:sz w:val="22"/>
                <w:szCs w:val="22"/>
              </w:rPr>
            </w:pPr>
            <w:r w:rsidRPr="00012A5D">
              <w:rPr>
                <w:spacing w:val="-20"/>
                <w:sz w:val="22"/>
                <w:szCs w:val="22"/>
              </w:rPr>
              <w:t>171</w:t>
            </w:r>
          </w:p>
        </w:tc>
        <w:tc>
          <w:tcPr>
            <w:tcW w:w="281"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spacing w:val="-20"/>
                <w:sz w:val="22"/>
                <w:szCs w:val="22"/>
              </w:rPr>
            </w:pPr>
            <w:r w:rsidRPr="00012A5D">
              <w:rPr>
                <w:spacing w:val="-20"/>
                <w:sz w:val="22"/>
                <w:szCs w:val="22"/>
              </w:rPr>
              <w:t>10</w:t>
            </w:r>
          </w:p>
        </w:tc>
        <w:tc>
          <w:tcPr>
            <w:tcW w:w="282"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spacing w:val="-20"/>
                <w:sz w:val="22"/>
                <w:szCs w:val="22"/>
              </w:rPr>
            </w:pPr>
            <w:r w:rsidRPr="00012A5D">
              <w:rPr>
                <w:spacing w:val="-20"/>
                <w:sz w:val="22"/>
                <w:szCs w:val="22"/>
              </w:rPr>
              <w:t>16</w:t>
            </w:r>
          </w:p>
        </w:tc>
        <w:tc>
          <w:tcPr>
            <w:tcW w:w="309"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spacing w:val="-20"/>
                <w:sz w:val="22"/>
                <w:szCs w:val="22"/>
              </w:rPr>
            </w:pPr>
            <w:r w:rsidRPr="00012A5D">
              <w:rPr>
                <w:spacing w:val="-20"/>
                <w:sz w:val="22"/>
                <w:szCs w:val="22"/>
              </w:rPr>
              <w:t>10</w:t>
            </w:r>
          </w:p>
        </w:tc>
        <w:tc>
          <w:tcPr>
            <w:tcW w:w="349"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b/>
                <w:spacing w:val="-20"/>
                <w:sz w:val="22"/>
                <w:szCs w:val="22"/>
              </w:rPr>
            </w:pPr>
            <w:r w:rsidRPr="00012A5D">
              <w:rPr>
                <w:b/>
                <w:spacing w:val="-20"/>
                <w:sz w:val="22"/>
                <w:szCs w:val="22"/>
              </w:rPr>
              <w:t>579</w:t>
            </w:r>
          </w:p>
        </w:tc>
        <w:tc>
          <w:tcPr>
            <w:tcW w:w="309"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spacing w:val="-20"/>
                <w:sz w:val="22"/>
                <w:szCs w:val="22"/>
              </w:rPr>
            </w:pPr>
            <w:r w:rsidRPr="00012A5D">
              <w:rPr>
                <w:spacing w:val="-20"/>
                <w:sz w:val="22"/>
                <w:szCs w:val="22"/>
              </w:rPr>
              <w:t>3</w:t>
            </w:r>
          </w:p>
        </w:tc>
        <w:tc>
          <w:tcPr>
            <w:tcW w:w="282"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spacing w:val="-20"/>
                <w:sz w:val="22"/>
                <w:szCs w:val="22"/>
              </w:rPr>
            </w:pPr>
            <w:r w:rsidRPr="00012A5D">
              <w:rPr>
                <w:spacing w:val="-20"/>
                <w:sz w:val="22"/>
                <w:szCs w:val="22"/>
              </w:rPr>
              <w:t>7</w:t>
            </w:r>
          </w:p>
        </w:tc>
        <w:tc>
          <w:tcPr>
            <w:tcW w:w="282"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spacing w:val="-20"/>
                <w:sz w:val="22"/>
                <w:szCs w:val="22"/>
              </w:rPr>
            </w:pPr>
            <w:r w:rsidRPr="00012A5D">
              <w:rPr>
                <w:spacing w:val="-20"/>
                <w:sz w:val="22"/>
                <w:szCs w:val="22"/>
              </w:rPr>
              <w:t>1</w:t>
            </w:r>
          </w:p>
        </w:tc>
        <w:tc>
          <w:tcPr>
            <w:tcW w:w="283"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spacing w:val="-20"/>
                <w:sz w:val="22"/>
                <w:szCs w:val="22"/>
              </w:rPr>
            </w:pPr>
            <w:r w:rsidRPr="00012A5D">
              <w:rPr>
                <w:spacing w:val="-20"/>
                <w:sz w:val="22"/>
                <w:szCs w:val="22"/>
              </w:rPr>
              <w:t>7</w:t>
            </w:r>
          </w:p>
        </w:tc>
        <w:tc>
          <w:tcPr>
            <w:tcW w:w="348" w:type="pct"/>
            <w:tcBorders>
              <w:top w:val="single" w:sz="6" w:space="0" w:color="auto"/>
              <w:left w:val="single" w:sz="6" w:space="0" w:color="auto"/>
              <w:bottom w:val="single" w:sz="6" w:space="0" w:color="auto"/>
              <w:right w:val="single" w:sz="6" w:space="0" w:color="auto"/>
            </w:tcBorders>
            <w:shd w:val="clear" w:color="auto" w:fill="auto"/>
            <w:noWrap/>
            <w:vAlign w:val="center"/>
            <w:hideMark/>
          </w:tcPr>
          <w:p w:rsidR="005D4B6B" w:rsidRPr="00012A5D" w:rsidRDefault="005D4B6B" w:rsidP="00012A5D">
            <w:pPr>
              <w:pStyle w:val="142"/>
              <w:jc w:val="right"/>
              <w:rPr>
                <w:spacing w:val="-20"/>
                <w:sz w:val="22"/>
                <w:szCs w:val="22"/>
              </w:rPr>
            </w:pPr>
            <w:r w:rsidRPr="00012A5D">
              <w:rPr>
                <w:spacing w:val="-20"/>
                <w:sz w:val="22"/>
                <w:szCs w:val="22"/>
              </w:rPr>
              <w:t>1,423</w:t>
            </w:r>
          </w:p>
        </w:tc>
        <w:tc>
          <w:tcPr>
            <w:tcW w:w="276" w:type="pct"/>
            <w:tcBorders>
              <w:top w:val="single" w:sz="6" w:space="0" w:color="auto"/>
              <w:left w:val="single" w:sz="6" w:space="0" w:color="auto"/>
              <w:bottom w:val="single" w:sz="6" w:space="0" w:color="FFFFFF"/>
              <w:right w:val="single" w:sz="12" w:space="0" w:color="auto"/>
            </w:tcBorders>
            <w:shd w:val="clear" w:color="auto" w:fill="auto"/>
            <w:noWrap/>
            <w:vAlign w:val="center"/>
            <w:hideMark/>
          </w:tcPr>
          <w:p w:rsidR="005D4B6B" w:rsidRPr="00012A5D" w:rsidRDefault="005D4B6B" w:rsidP="00012A5D">
            <w:pPr>
              <w:pStyle w:val="142"/>
              <w:jc w:val="right"/>
              <w:rPr>
                <w:spacing w:val="-20"/>
                <w:sz w:val="22"/>
                <w:szCs w:val="22"/>
              </w:rPr>
            </w:pPr>
            <w:r w:rsidRPr="00012A5D">
              <w:rPr>
                <w:rFonts w:hint="eastAsia"/>
                <w:spacing w:val="-20"/>
                <w:sz w:val="22"/>
                <w:szCs w:val="22"/>
              </w:rPr>
              <w:t xml:space="preserve">　</w:t>
            </w:r>
          </w:p>
        </w:tc>
      </w:tr>
      <w:tr w:rsidR="005D4B6B" w:rsidRPr="007C79CD" w:rsidTr="00A62399">
        <w:trPr>
          <w:trHeight w:val="350"/>
        </w:trPr>
        <w:tc>
          <w:tcPr>
            <w:tcW w:w="265" w:type="pct"/>
            <w:vMerge/>
            <w:tcBorders>
              <w:top w:val="single" w:sz="6" w:space="0" w:color="auto"/>
              <w:left w:val="single" w:sz="12" w:space="0" w:color="auto"/>
              <w:bottom w:val="single" w:sz="6" w:space="0" w:color="auto"/>
              <w:right w:val="single" w:sz="6" w:space="0" w:color="auto"/>
            </w:tcBorders>
            <w:vAlign w:val="center"/>
            <w:hideMark/>
          </w:tcPr>
          <w:p w:rsidR="005D4B6B" w:rsidRPr="005D4B6B" w:rsidRDefault="005D4B6B" w:rsidP="00223971">
            <w:pPr>
              <w:pStyle w:val="142"/>
              <w:jc w:val="center"/>
              <w:rPr>
                <w:spacing w:val="-20"/>
                <w:sz w:val="22"/>
                <w:szCs w:val="22"/>
              </w:rPr>
            </w:pPr>
          </w:p>
        </w:tc>
        <w:tc>
          <w:tcPr>
            <w:tcW w:w="513" w:type="pct"/>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5D4B6B" w:rsidRDefault="002A7D98" w:rsidP="00A62399">
            <w:pPr>
              <w:pStyle w:val="142"/>
              <w:jc w:val="both"/>
              <w:rPr>
                <w:rFonts w:hint="eastAsia"/>
                <w:spacing w:val="-20"/>
                <w:sz w:val="20"/>
                <w:szCs w:val="20"/>
              </w:rPr>
            </w:pPr>
            <w:r>
              <w:rPr>
                <w:rFonts w:hint="eastAsia"/>
                <w:spacing w:val="-20"/>
                <w:sz w:val="20"/>
                <w:szCs w:val="20"/>
              </w:rPr>
              <w:t>硬幣回存</w:t>
            </w:r>
            <w:r w:rsidR="00A62399">
              <w:rPr>
                <w:rFonts w:hint="eastAsia"/>
                <w:spacing w:val="-20"/>
                <w:sz w:val="20"/>
                <w:szCs w:val="20"/>
              </w:rPr>
              <w:t>/加值</w:t>
            </w:r>
            <w:r w:rsidR="005D4B6B" w:rsidRPr="005D4B6B">
              <w:rPr>
                <w:rFonts w:hint="eastAsia"/>
                <w:spacing w:val="-20"/>
                <w:sz w:val="20"/>
                <w:szCs w:val="20"/>
              </w:rPr>
              <w:t>數</w:t>
            </w:r>
          </w:p>
        </w:tc>
        <w:tc>
          <w:tcPr>
            <w:tcW w:w="349"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b/>
                <w:spacing w:val="-20"/>
                <w:sz w:val="22"/>
                <w:szCs w:val="22"/>
              </w:rPr>
            </w:pPr>
            <w:r w:rsidRPr="00012A5D">
              <w:rPr>
                <w:b/>
                <w:spacing w:val="-20"/>
                <w:sz w:val="22"/>
                <w:szCs w:val="22"/>
              </w:rPr>
              <w:t>101.88</w:t>
            </w:r>
          </w:p>
        </w:tc>
        <w:tc>
          <w:tcPr>
            <w:tcW w:w="281"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A30BEF" w:rsidP="00012A5D">
            <w:pPr>
              <w:pStyle w:val="142"/>
              <w:jc w:val="right"/>
              <w:rPr>
                <w:spacing w:val="-20"/>
                <w:sz w:val="22"/>
                <w:szCs w:val="22"/>
              </w:rPr>
            </w:pPr>
            <w:r>
              <w:rPr>
                <w:rFonts w:hint="eastAsia"/>
                <w:spacing w:val="-20"/>
                <w:sz w:val="22"/>
                <w:szCs w:val="22"/>
              </w:rPr>
              <w:t>-</w:t>
            </w:r>
            <w:r w:rsidR="005D4B6B" w:rsidRPr="00012A5D">
              <w:rPr>
                <w:spacing w:val="-20"/>
                <w:sz w:val="22"/>
                <w:szCs w:val="22"/>
              </w:rPr>
              <w:t xml:space="preserve">　</w:t>
            </w:r>
          </w:p>
        </w:tc>
        <w:tc>
          <w:tcPr>
            <w:tcW w:w="281"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spacing w:val="-20"/>
                <w:sz w:val="22"/>
                <w:szCs w:val="22"/>
              </w:rPr>
            </w:pPr>
            <w:r w:rsidRPr="00012A5D">
              <w:rPr>
                <w:spacing w:val="-20"/>
                <w:sz w:val="22"/>
                <w:szCs w:val="22"/>
              </w:rPr>
              <w:t>1.62</w:t>
            </w:r>
          </w:p>
        </w:tc>
        <w:tc>
          <w:tcPr>
            <w:tcW w:w="309"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spacing w:val="-20"/>
                <w:sz w:val="22"/>
                <w:szCs w:val="22"/>
              </w:rPr>
            </w:pPr>
            <w:r w:rsidRPr="00012A5D">
              <w:rPr>
                <w:spacing w:val="-20"/>
                <w:sz w:val="22"/>
                <w:szCs w:val="22"/>
              </w:rPr>
              <w:t>13.62</w:t>
            </w:r>
          </w:p>
        </w:tc>
        <w:tc>
          <w:tcPr>
            <w:tcW w:w="281"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spacing w:val="-20"/>
                <w:sz w:val="22"/>
                <w:szCs w:val="22"/>
              </w:rPr>
            </w:pPr>
            <w:r w:rsidRPr="00012A5D">
              <w:rPr>
                <w:spacing w:val="-20"/>
                <w:sz w:val="22"/>
                <w:szCs w:val="22"/>
              </w:rPr>
              <w:t>1.38</w:t>
            </w:r>
          </w:p>
        </w:tc>
        <w:tc>
          <w:tcPr>
            <w:tcW w:w="282"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spacing w:val="-20"/>
                <w:sz w:val="22"/>
                <w:szCs w:val="22"/>
              </w:rPr>
            </w:pPr>
            <w:r w:rsidRPr="00012A5D">
              <w:rPr>
                <w:spacing w:val="-20"/>
                <w:sz w:val="22"/>
                <w:szCs w:val="22"/>
              </w:rPr>
              <w:t>2.18</w:t>
            </w:r>
          </w:p>
        </w:tc>
        <w:tc>
          <w:tcPr>
            <w:tcW w:w="309" w:type="pct"/>
            <w:tcBorders>
              <w:top w:val="single" w:sz="6" w:space="0" w:color="auto"/>
              <w:left w:val="single" w:sz="6" w:space="0" w:color="auto"/>
              <w:bottom w:val="single" w:sz="6" w:space="0" w:color="auto"/>
              <w:right w:val="single" w:sz="6" w:space="0" w:color="auto"/>
            </w:tcBorders>
            <w:shd w:val="clear" w:color="auto" w:fill="auto"/>
            <w:noWrap/>
            <w:vAlign w:val="center"/>
            <w:hideMark/>
          </w:tcPr>
          <w:p w:rsidR="005D4B6B" w:rsidRPr="00012A5D" w:rsidRDefault="005D4B6B" w:rsidP="00012A5D">
            <w:pPr>
              <w:pStyle w:val="142"/>
              <w:jc w:val="right"/>
              <w:rPr>
                <w:spacing w:val="-20"/>
                <w:sz w:val="22"/>
                <w:szCs w:val="22"/>
              </w:rPr>
            </w:pPr>
            <w:r w:rsidRPr="00012A5D">
              <w:rPr>
                <w:spacing w:val="-20"/>
                <w:sz w:val="22"/>
                <w:szCs w:val="22"/>
              </w:rPr>
              <w:t>7.82</w:t>
            </w:r>
          </w:p>
        </w:tc>
        <w:tc>
          <w:tcPr>
            <w:tcW w:w="349"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b/>
                <w:spacing w:val="-20"/>
                <w:sz w:val="22"/>
                <w:szCs w:val="22"/>
              </w:rPr>
            </w:pPr>
            <w:r w:rsidRPr="00012A5D">
              <w:rPr>
                <w:b/>
                <w:spacing w:val="-20"/>
                <w:sz w:val="22"/>
                <w:szCs w:val="22"/>
              </w:rPr>
              <w:t>119.66</w:t>
            </w:r>
          </w:p>
        </w:tc>
        <w:tc>
          <w:tcPr>
            <w:tcW w:w="309" w:type="pct"/>
            <w:tcBorders>
              <w:top w:val="single" w:sz="6" w:space="0" w:color="auto"/>
              <w:left w:val="single" w:sz="6" w:space="0" w:color="auto"/>
              <w:bottom w:val="single" w:sz="6" w:space="0" w:color="auto"/>
              <w:right w:val="single" w:sz="6" w:space="0" w:color="auto"/>
            </w:tcBorders>
            <w:shd w:val="clear" w:color="auto" w:fill="auto"/>
            <w:noWrap/>
            <w:vAlign w:val="center"/>
            <w:hideMark/>
          </w:tcPr>
          <w:p w:rsidR="005D4B6B" w:rsidRPr="00012A5D" w:rsidRDefault="005D4B6B" w:rsidP="00012A5D">
            <w:pPr>
              <w:pStyle w:val="142"/>
              <w:jc w:val="right"/>
              <w:rPr>
                <w:spacing w:val="-20"/>
                <w:sz w:val="22"/>
                <w:szCs w:val="22"/>
              </w:rPr>
            </w:pPr>
            <w:r w:rsidRPr="00012A5D">
              <w:rPr>
                <w:spacing w:val="-20"/>
                <w:sz w:val="22"/>
                <w:szCs w:val="22"/>
              </w:rPr>
              <w:t>9.03</w:t>
            </w:r>
          </w:p>
        </w:tc>
        <w:tc>
          <w:tcPr>
            <w:tcW w:w="282"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spacing w:val="-20"/>
                <w:sz w:val="22"/>
                <w:szCs w:val="22"/>
              </w:rPr>
            </w:pPr>
            <w:r w:rsidRPr="00012A5D">
              <w:rPr>
                <w:spacing w:val="-20"/>
                <w:sz w:val="22"/>
                <w:szCs w:val="22"/>
              </w:rPr>
              <w:t>0.66</w:t>
            </w:r>
          </w:p>
        </w:tc>
        <w:tc>
          <w:tcPr>
            <w:tcW w:w="282"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spacing w:val="-20"/>
                <w:sz w:val="22"/>
                <w:szCs w:val="22"/>
              </w:rPr>
            </w:pPr>
            <w:r w:rsidRPr="00012A5D">
              <w:rPr>
                <w:spacing w:val="-20"/>
                <w:sz w:val="22"/>
                <w:szCs w:val="22"/>
              </w:rPr>
              <w:t>0.22</w:t>
            </w:r>
          </w:p>
        </w:tc>
        <w:tc>
          <w:tcPr>
            <w:tcW w:w="283"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spacing w:val="-20"/>
                <w:sz w:val="22"/>
                <w:szCs w:val="22"/>
              </w:rPr>
            </w:pPr>
            <w:r w:rsidRPr="00012A5D">
              <w:rPr>
                <w:spacing w:val="-20"/>
                <w:sz w:val="22"/>
                <w:szCs w:val="22"/>
              </w:rPr>
              <w:t>0.46</w:t>
            </w:r>
          </w:p>
        </w:tc>
        <w:tc>
          <w:tcPr>
            <w:tcW w:w="348" w:type="pct"/>
            <w:tcBorders>
              <w:top w:val="single" w:sz="6" w:space="0" w:color="auto"/>
              <w:left w:val="single" w:sz="6" w:space="0" w:color="auto"/>
              <w:bottom w:val="single" w:sz="6" w:space="0" w:color="auto"/>
              <w:right w:val="single" w:sz="6" w:space="0" w:color="auto"/>
            </w:tcBorders>
            <w:shd w:val="clear" w:color="auto" w:fill="auto"/>
            <w:noWrap/>
            <w:vAlign w:val="center"/>
            <w:hideMark/>
          </w:tcPr>
          <w:p w:rsidR="005D4B6B" w:rsidRPr="00012A5D" w:rsidRDefault="005D4B6B" w:rsidP="00012A5D">
            <w:pPr>
              <w:pStyle w:val="142"/>
              <w:jc w:val="right"/>
              <w:rPr>
                <w:spacing w:val="-20"/>
                <w:sz w:val="22"/>
                <w:szCs w:val="22"/>
              </w:rPr>
            </w:pPr>
            <w:r w:rsidRPr="00012A5D">
              <w:rPr>
                <w:spacing w:val="-20"/>
                <w:sz w:val="22"/>
                <w:szCs w:val="22"/>
              </w:rPr>
              <w:t>258.53</w:t>
            </w:r>
          </w:p>
        </w:tc>
        <w:tc>
          <w:tcPr>
            <w:tcW w:w="276" w:type="pct"/>
            <w:tcBorders>
              <w:top w:val="single" w:sz="6" w:space="0" w:color="FFFFFF"/>
              <w:left w:val="single" w:sz="6" w:space="0" w:color="auto"/>
              <w:bottom w:val="single" w:sz="6" w:space="0" w:color="auto"/>
              <w:right w:val="single" w:sz="12" w:space="0" w:color="auto"/>
            </w:tcBorders>
            <w:shd w:val="clear" w:color="auto" w:fill="auto"/>
            <w:noWrap/>
            <w:vAlign w:val="center"/>
            <w:hideMark/>
          </w:tcPr>
          <w:p w:rsidR="005D4B6B" w:rsidRPr="00012A5D" w:rsidRDefault="005D4B6B" w:rsidP="00012A5D">
            <w:pPr>
              <w:pStyle w:val="142"/>
              <w:jc w:val="right"/>
              <w:rPr>
                <w:spacing w:val="-20"/>
                <w:sz w:val="22"/>
                <w:szCs w:val="22"/>
              </w:rPr>
            </w:pPr>
            <w:r w:rsidRPr="00012A5D">
              <w:rPr>
                <w:rFonts w:hint="eastAsia"/>
                <w:spacing w:val="-20"/>
                <w:sz w:val="22"/>
                <w:szCs w:val="22"/>
              </w:rPr>
              <w:t>0.18</w:t>
            </w:r>
          </w:p>
        </w:tc>
      </w:tr>
      <w:tr w:rsidR="005D4B6B" w:rsidRPr="007C79CD" w:rsidTr="00A62399">
        <w:trPr>
          <w:trHeight w:val="350"/>
        </w:trPr>
        <w:tc>
          <w:tcPr>
            <w:tcW w:w="265" w:type="pct"/>
            <w:vMerge w:val="restart"/>
            <w:tcBorders>
              <w:top w:val="single" w:sz="6" w:space="0" w:color="auto"/>
              <w:left w:val="single" w:sz="12" w:space="0" w:color="auto"/>
              <w:bottom w:val="single" w:sz="6" w:space="0" w:color="auto"/>
              <w:right w:val="single" w:sz="6" w:space="0" w:color="auto"/>
            </w:tcBorders>
            <w:shd w:val="clear" w:color="auto" w:fill="auto"/>
            <w:vAlign w:val="center"/>
            <w:hideMark/>
          </w:tcPr>
          <w:p w:rsidR="005D4B6B" w:rsidRPr="005D4B6B" w:rsidRDefault="005D4B6B" w:rsidP="00223971">
            <w:pPr>
              <w:pStyle w:val="142"/>
              <w:jc w:val="center"/>
              <w:rPr>
                <w:rFonts w:hint="eastAsia"/>
                <w:spacing w:val="-20"/>
                <w:sz w:val="22"/>
                <w:szCs w:val="22"/>
              </w:rPr>
            </w:pPr>
            <w:r w:rsidRPr="005D4B6B">
              <w:rPr>
                <w:spacing w:val="-20"/>
                <w:sz w:val="22"/>
                <w:szCs w:val="22"/>
              </w:rPr>
              <w:t>112</w:t>
            </w:r>
          </w:p>
        </w:tc>
        <w:tc>
          <w:tcPr>
            <w:tcW w:w="513" w:type="pct"/>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5D4B6B" w:rsidRDefault="005D4B6B" w:rsidP="00A62399">
            <w:pPr>
              <w:pStyle w:val="142"/>
              <w:jc w:val="both"/>
              <w:rPr>
                <w:spacing w:val="-20"/>
                <w:sz w:val="20"/>
                <w:szCs w:val="20"/>
              </w:rPr>
            </w:pPr>
            <w:r w:rsidRPr="005D4B6B">
              <w:rPr>
                <w:rFonts w:hint="eastAsia"/>
                <w:spacing w:val="-20"/>
                <w:sz w:val="20"/>
                <w:szCs w:val="20"/>
              </w:rPr>
              <w:t>機臺數</w:t>
            </w:r>
          </w:p>
        </w:tc>
        <w:tc>
          <w:tcPr>
            <w:tcW w:w="349"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rFonts w:hint="eastAsia"/>
                <w:b/>
                <w:spacing w:val="-20"/>
                <w:sz w:val="22"/>
                <w:szCs w:val="22"/>
              </w:rPr>
            </w:pPr>
            <w:r w:rsidRPr="00012A5D">
              <w:rPr>
                <w:b/>
                <w:spacing w:val="-20"/>
                <w:sz w:val="22"/>
                <w:szCs w:val="22"/>
              </w:rPr>
              <w:t>480</w:t>
            </w:r>
          </w:p>
        </w:tc>
        <w:tc>
          <w:tcPr>
            <w:tcW w:w="281"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spacing w:val="-20"/>
                <w:sz w:val="22"/>
                <w:szCs w:val="22"/>
              </w:rPr>
            </w:pPr>
            <w:r w:rsidRPr="00012A5D">
              <w:rPr>
                <w:spacing w:val="-20"/>
                <w:sz w:val="22"/>
                <w:szCs w:val="22"/>
              </w:rPr>
              <w:t>105</w:t>
            </w:r>
          </w:p>
        </w:tc>
        <w:tc>
          <w:tcPr>
            <w:tcW w:w="281"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spacing w:val="-20"/>
                <w:sz w:val="22"/>
                <w:szCs w:val="22"/>
              </w:rPr>
            </w:pPr>
            <w:r w:rsidRPr="00012A5D">
              <w:rPr>
                <w:spacing w:val="-20"/>
                <w:sz w:val="22"/>
                <w:szCs w:val="22"/>
              </w:rPr>
              <w:t>86</w:t>
            </w:r>
          </w:p>
        </w:tc>
        <w:tc>
          <w:tcPr>
            <w:tcW w:w="309"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spacing w:val="-20"/>
                <w:sz w:val="22"/>
                <w:szCs w:val="22"/>
              </w:rPr>
            </w:pPr>
            <w:r w:rsidRPr="00012A5D">
              <w:rPr>
                <w:spacing w:val="-20"/>
                <w:sz w:val="22"/>
                <w:szCs w:val="22"/>
              </w:rPr>
              <w:t>171</w:t>
            </w:r>
          </w:p>
        </w:tc>
        <w:tc>
          <w:tcPr>
            <w:tcW w:w="281"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spacing w:val="-20"/>
                <w:sz w:val="22"/>
                <w:szCs w:val="22"/>
              </w:rPr>
            </w:pPr>
            <w:r w:rsidRPr="00012A5D">
              <w:rPr>
                <w:spacing w:val="-20"/>
                <w:sz w:val="22"/>
                <w:szCs w:val="22"/>
              </w:rPr>
              <w:t>10</w:t>
            </w:r>
          </w:p>
        </w:tc>
        <w:tc>
          <w:tcPr>
            <w:tcW w:w="282"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spacing w:val="-20"/>
                <w:sz w:val="22"/>
                <w:szCs w:val="22"/>
              </w:rPr>
            </w:pPr>
            <w:r w:rsidRPr="00012A5D">
              <w:rPr>
                <w:spacing w:val="-20"/>
                <w:sz w:val="22"/>
                <w:szCs w:val="22"/>
              </w:rPr>
              <w:t>16</w:t>
            </w:r>
          </w:p>
        </w:tc>
        <w:tc>
          <w:tcPr>
            <w:tcW w:w="309"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spacing w:val="-20"/>
                <w:sz w:val="22"/>
                <w:szCs w:val="22"/>
              </w:rPr>
            </w:pPr>
            <w:r w:rsidRPr="00012A5D">
              <w:rPr>
                <w:spacing w:val="-20"/>
                <w:sz w:val="22"/>
                <w:szCs w:val="22"/>
              </w:rPr>
              <w:t>10</w:t>
            </w:r>
          </w:p>
        </w:tc>
        <w:tc>
          <w:tcPr>
            <w:tcW w:w="349"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b/>
                <w:spacing w:val="-20"/>
                <w:sz w:val="22"/>
                <w:szCs w:val="22"/>
              </w:rPr>
            </w:pPr>
            <w:r w:rsidRPr="00012A5D">
              <w:rPr>
                <w:b/>
                <w:spacing w:val="-20"/>
                <w:sz w:val="22"/>
                <w:szCs w:val="22"/>
              </w:rPr>
              <w:t>641</w:t>
            </w:r>
          </w:p>
        </w:tc>
        <w:tc>
          <w:tcPr>
            <w:tcW w:w="309"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spacing w:val="-20"/>
                <w:sz w:val="22"/>
                <w:szCs w:val="22"/>
              </w:rPr>
            </w:pPr>
            <w:r w:rsidRPr="00012A5D">
              <w:rPr>
                <w:spacing w:val="-20"/>
                <w:sz w:val="22"/>
                <w:szCs w:val="22"/>
              </w:rPr>
              <w:t>6</w:t>
            </w:r>
          </w:p>
        </w:tc>
        <w:tc>
          <w:tcPr>
            <w:tcW w:w="282"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spacing w:val="-20"/>
                <w:sz w:val="22"/>
                <w:szCs w:val="22"/>
              </w:rPr>
            </w:pPr>
            <w:r w:rsidRPr="00012A5D">
              <w:rPr>
                <w:spacing w:val="-20"/>
                <w:sz w:val="22"/>
                <w:szCs w:val="22"/>
              </w:rPr>
              <w:t>7</w:t>
            </w:r>
          </w:p>
        </w:tc>
        <w:tc>
          <w:tcPr>
            <w:tcW w:w="282"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spacing w:val="-20"/>
                <w:sz w:val="22"/>
                <w:szCs w:val="22"/>
              </w:rPr>
            </w:pPr>
            <w:r w:rsidRPr="00012A5D">
              <w:rPr>
                <w:spacing w:val="-20"/>
                <w:sz w:val="22"/>
                <w:szCs w:val="22"/>
              </w:rPr>
              <w:t>1</w:t>
            </w:r>
          </w:p>
        </w:tc>
        <w:tc>
          <w:tcPr>
            <w:tcW w:w="283"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spacing w:val="-20"/>
                <w:sz w:val="22"/>
                <w:szCs w:val="22"/>
              </w:rPr>
            </w:pPr>
            <w:r w:rsidRPr="00012A5D">
              <w:rPr>
                <w:spacing w:val="-20"/>
                <w:sz w:val="22"/>
                <w:szCs w:val="22"/>
              </w:rPr>
              <w:t>7</w:t>
            </w:r>
          </w:p>
        </w:tc>
        <w:tc>
          <w:tcPr>
            <w:tcW w:w="348" w:type="pct"/>
            <w:tcBorders>
              <w:top w:val="single" w:sz="6" w:space="0" w:color="auto"/>
              <w:left w:val="single" w:sz="6" w:space="0" w:color="auto"/>
              <w:bottom w:val="single" w:sz="6" w:space="0" w:color="auto"/>
              <w:right w:val="single" w:sz="6" w:space="0" w:color="auto"/>
            </w:tcBorders>
            <w:shd w:val="clear" w:color="auto" w:fill="auto"/>
            <w:noWrap/>
            <w:vAlign w:val="center"/>
            <w:hideMark/>
          </w:tcPr>
          <w:p w:rsidR="005D4B6B" w:rsidRPr="00012A5D" w:rsidRDefault="005D4B6B" w:rsidP="00012A5D">
            <w:pPr>
              <w:pStyle w:val="142"/>
              <w:jc w:val="right"/>
              <w:rPr>
                <w:spacing w:val="-20"/>
                <w:sz w:val="22"/>
                <w:szCs w:val="22"/>
              </w:rPr>
            </w:pPr>
            <w:r w:rsidRPr="00012A5D">
              <w:rPr>
                <w:spacing w:val="-20"/>
                <w:sz w:val="22"/>
                <w:szCs w:val="22"/>
              </w:rPr>
              <w:t>1,540</w:t>
            </w:r>
          </w:p>
        </w:tc>
        <w:tc>
          <w:tcPr>
            <w:tcW w:w="276" w:type="pct"/>
            <w:tcBorders>
              <w:top w:val="single" w:sz="6" w:space="0" w:color="auto"/>
              <w:left w:val="single" w:sz="6" w:space="0" w:color="auto"/>
              <w:bottom w:val="single" w:sz="6" w:space="0" w:color="FFFFFF"/>
              <w:right w:val="single" w:sz="12" w:space="0" w:color="auto"/>
            </w:tcBorders>
            <w:shd w:val="clear" w:color="auto" w:fill="auto"/>
            <w:noWrap/>
            <w:vAlign w:val="center"/>
            <w:hideMark/>
          </w:tcPr>
          <w:p w:rsidR="005D4B6B" w:rsidRPr="00012A5D" w:rsidRDefault="005D4B6B" w:rsidP="00012A5D">
            <w:pPr>
              <w:pStyle w:val="142"/>
              <w:jc w:val="right"/>
              <w:rPr>
                <w:spacing w:val="-20"/>
                <w:sz w:val="22"/>
                <w:szCs w:val="22"/>
              </w:rPr>
            </w:pPr>
            <w:r w:rsidRPr="00012A5D">
              <w:rPr>
                <w:rFonts w:hint="eastAsia"/>
                <w:spacing w:val="-20"/>
                <w:sz w:val="22"/>
                <w:szCs w:val="22"/>
              </w:rPr>
              <w:t xml:space="preserve">　</w:t>
            </w:r>
          </w:p>
        </w:tc>
      </w:tr>
      <w:tr w:rsidR="005D4B6B" w:rsidRPr="007C79CD" w:rsidTr="00A62399">
        <w:trPr>
          <w:trHeight w:val="350"/>
        </w:trPr>
        <w:tc>
          <w:tcPr>
            <w:tcW w:w="265" w:type="pct"/>
            <w:vMerge/>
            <w:tcBorders>
              <w:top w:val="single" w:sz="6" w:space="0" w:color="auto"/>
              <w:left w:val="single" w:sz="12" w:space="0" w:color="auto"/>
              <w:bottom w:val="single" w:sz="6" w:space="0" w:color="auto"/>
              <w:right w:val="single" w:sz="6" w:space="0" w:color="auto"/>
            </w:tcBorders>
            <w:vAlign w:val="center"/>
            <w:hideMark/>
          </w:tcPr>
          <w:p w:rsidR="005D4B6B" w:rsidRPr="005D4B6B" w:rsidRDefault="005D4B6B" w:rsidP="00223971">
            <w:pPr>
              <w:pStyle w:val="142"/>
              <w:jc w:val="center"/>
              <w:rPr>
                <w:spacing w:val="-20"/>
                <w:sz w:val="22"/>
                <w:szCs w:val="22"/>
              </w:rPr>
            </w:pPr>
          </w:p>
        </w:tc>
        <w:tc>
          <w:tcPr>
            <w:tcW w:w="513" w:type="pct"/>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5D4B6B" w:rsidRDefault="002A7D98" w:rsidP="00A62399">
            <w:pPr>
              <w:pStyle w:val="142"/>
              <w:jc w:val="both"/>
              <w:rPr>
                <w:rFonts w:hint="eastAsia"/>
                <w:spacing w:val="-20"/>
                <w:sz w:val="20"/>
                <w:szCs w:val="20"/>
              </w:rPr>
            </w:pPr>
            <w:r>
              <w:rPr>
                <w:rFonts w:hint="eastAsia"/>
                <w:spacing w:val="-20"/>
                <w:sz w:val="20"/>
                <w:szCs w:val="20"/>
              </w:rPr>
              <w:t>硬幣回存</w:t>
            </w:r>
            <w:r w:rsidR="00A62399">
              <w:rPr>
                <w:rFonts w:hint="eastAsia"/>
                <w:spacing w:val="-20"/>
                <w:sz w:val="20"/>
                <w:szCs w:val="20"/>
              </w:rPr>
              <w:t>/加值</w:t>
            </w:r>
            <w:r w:rsidR="005D4B6B" w:rsidRPr="005D4B6B">
              <w:rPr>
                <w:rFonts w:hint="eastAsia"/>
                <w:spacing w:val="-20"/>
                <w:sz w:val="20"/>
                <w:szCs w:val="20"/>
              </w:rPr>
              <w:t>數</w:t>
            </w:r>
          </w:p>
        </w:tc>
        <w:tc>
          <w:tcPr>
            <w:tcW w:w="349"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b/>
                <w:spacing w:val="-20"/>
                <w:sz w:val="22"/>
                <w:szCs w:val="22"/>
              </w:rPr>
            </w:pPr>
            <w:r w:rsidRPr="00012A5D">
              <w:rPr>
                <w:b/>
                <w:spacing w:val="-20"/>
                <w:sz w:val="22"/>
                <w:szCs w:val="22"/>
              </w:rPr>
              <w:t>115.02</w:t>
            </w:r>
          </w:p>
        </w:tc>
        <w:tc>
          <w:tcPr>
            <w:tcW w:w="281"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spacing w:val="-20"/>
                <w:sz w:val="22"/>
                <w:szCs w:val="22"/>
              </w:rPr>
            </w:pPr>
            <w:r w:rsidRPr="00012A5D">
              <w:rPr>
                <w:spacing w:val="-20"/>
                <w:sz w:val="22"/>
                <w:szCs w:val="22"/>
              </w:rPr>
              <w:t>3.33</w:t>
            </w:r>
          </w:p>
        </w:tc>
        <w:tc>
          <w:tcPr>
            <w:tcW w:w="281"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spacing w:val="-20"/>
                <w:sz w:val="22"/>
                <w:szCs w:val="22"/>
              </w:rPr>
            </w:pPr>
            <w:r w:rsidRPr="00012A5D">
              <w:rPr>
                <w:spacing w:val="-20"/>
                <w:sz w:val="22"/>
                <w:szCs w:val="22"/>
              </w:rPr>
              <w:t>4.50</w:t>
            </w:r>
          </w:p>
        </w:tc>
        <w:tc>
          <w:tcPr>
            <w:tcW w:w="309"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spacing w:val="-20"/>
                <w:sz w:val="22"/>
                <w:szCs w:val="22"/>
              </w:rPr>
            </w:pPr>
            <w:r w:rsidRPr="00012A5D">
              <w:rPr>
                <w:spacing w:val="-20"/>
                <w:sz w:val="22"/>
                <w:szCs w:val="22"/>
              </w:rPr>
              <w:t>16.11</w:t>
            </w:r>
          </w:p>
        </w:tc>
        <w:tc>
          <w:tcPr>
            <w:tcW w:w="281"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spacing w:val="-20"/>
                <w:sz w:val="22"/>
                <w:szCs w:val="22"/>
              </w:rPr>
            </w:pPr>
            <w:r w:rsidRPr="00012A5D">
              <w:rPr>
                <w:spacing w:val="-20"/>
                <w:sz w:val="22"/>
                <w:szCs w:val="22"/>
              </w:rPr>
              <w:t>2.86</w:t>
            </w:r>
          </w:p>
        </w:tc>
        <w:tc>
          <w:tcPr>
            <w:tcW w:w="282"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spacing w:val="-20"/>
                <w:sz w:val="22"/>
                <w:szCs w:val="22"/>
              </w:rPr>
            </w:pPr>
            <w:r w:rsidRPr="00012A5D">
              <w:rPr>
                <w:spacing w:val="-20"/>
                <w:sz w:val="22"/>
                <w:szCs w:val="22"/>
              </w:rPr>
              <w:t>1.71</w:t>
            </w:r>
          </w:p>
        </w:tc>
        <w:tc>
          <w:tcPr>
            <w:tcW w:w="309"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spacing w:val="-20"/>
                <w:sz w:val="22"/>
                <w:szCs w:val="22"/>
              </w:rPr>
            </w:pPr>
            <w:r w:rsidRPr="00012A5D">
              <w:rPr>
                <w:spacing w:val="-20"/>
                <w:sz w:val="22"/>
                <w:szCs w:val="22"/>
              </w:rPr>
              <w:t>9.55</w:t>
            </w:r>
          </w:p>
        </w:tc>
        <w:tc>
          <w:tcPr>
            <w:tcW w:w="349"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b/>
                <w:spacing w:val="-20"/>
                <w:sz w:val="22"/>
                <w:szCs w:val="22"/>
              </w:rPr>
            </w:pPr>
            <w:r w:rsidRPr="00012A5D">
              <w:rPr>
                <w:b/>
                <w:spacing w:val="-20"/>
                <w:sz w:val="22"/>
                <w:szCs w:val="22"/>
              </w:rPr>
              <w:t>163.01</w:t>
            </w:r>
          </w:p>
        </w:tc>
        <w:tc>
          <w:tcPr>
            <w:tcW w:w="309"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spacing w:val="-20"/>
                <w:sz w:val="22"/>
                <w:szCs w:val="22"/>
              </w:rPr>
            </w:pPr>
            <w:r w:rsidRPr="00012A5D">
              <w:rPr>
                <w:spacing w:val="-20"/>
                <w:sz w:val="22"/>
                <w:szCs w:val="22"/>
              </w:rPr>
              <w:t>13.45</w:t>
            </w:r>
          </w:p>
        </w:tc>
        <w:tc>
          <w:tcPr>
            <w:tcW w:w="282"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spacing w:val="-20"/>
                <w:sz w:val="22"/>
                <w:szCs w:val="22"/>
              </w:rPr>
            </w:pPr>
            <w:r w:rsidRPr="00012A5D">
              <w:rPr>
                <w:spacing w:val="-20"/>
                <w:sz w:val="22"/>
                <w:szCs w:val="22"/>
              </w:rPr>
              <w:t>0.78</w:t>
            </w:r>
          </w:p>
        </w:tc>
        <w:tc>
          <w:tcPr>
            <w:tcW w:w="282"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spacing w:val="-20"/>
                <w:sz w:val="22"/>
                <w:szCs w:val="22"/>
              </w:rPr>
            </w:pPr>
            <w:r w:rsidRPr="00012A5D">
              <w:rPr>
                <w:spacing w:val="-20"/>
                <w:sz w:val="22"/>
                <w:szCs w:val="22"/>
              </w:rPr>
              <w:t>0.31</w:t>
            </w:r>
          </w:p>
        </w:tc>
        <w:tc>
          <w:tcPr>
            <w:tcW w:w="283"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spacing w:val="-20"/>
                <w:sz w:val="22"/>
                <w:szCs w:val="22"/>
              </w:rPr>
            </w:pPr>
            <w:r w:rsidRPr="00012A5D">
              <w:rPr>
                <w:spacing w:val="-20"/>
                <w:sz w:val="22"/>
                <w:szCs w:val="22"/>
              </w:rPr>
              <w:t>1.58</w:t>
            </w:r>
          </w:p>
        </w:tc>
        <w:tc>
          <w:tcPr>
            <w:tcW w:w="348" w:type="pct"/>
            <w:tcBorders>
              <w:top w:val="single" w:sz="6" w:space="0" w:color="auto"/>
              <w:left w:val="single" w:sz="6" w:space="0" w:color="auto"/>
              <w:bottom w:val="single" w:sz="6" w:space="0" w:color="auto"/>
              <w:right w:val="single" w:sz="6" w:space="0" w:color="auto"/>
            </w:tcBorders>
            <w:shd w:val="clear" w:color="auto" w:fill="auto"/>
            <w:noWrap/>
            <w:vAlign w:val="center"/>
            <w:hideMark/>
          </w:tcPr>
          <w:p w:rsidR="005D4B6B" w:rsidRPr="00012A5D" w:rsidRDefault="005D4B6B" w:rsidP="00012A5D">
            <w:pPr>
              <w:pStyle w:val="142"/>
              <w:jc w:val="right"/>
              <w:rPr>
                <w:spacing w:val="-20"/>
                <w:sz w:val="22"/>
                <w:szCs w:val="22"/>
              </w:rPr>
            </w:pPr>
            <w:r w:rsidRPr="00012A5D">
              <w:rPr>
                <w:spacing w:val="-20"/>
                <w:sz w:val="22"/>
                <w:szCs w:val="22"/>
              </w:rPr>
              <w:t>332.21</w:t>
            </w:r>
          </w:p>
        </w:tc>
        <w:tc>
          <w:tcPr>
            <w:tcW w:w="276" w:type="pct"/>
            <w:tcBorders>
              <w:top w:val="single" w:sz="6" w:space="0" w:color="FFFFFF"/>
              <w:left w:val="single" w:sz="6" w:space="0" w:color="auto"/>
              <w:bottom w:val="single" w:sz="6" w:space="0" w:color="auto"/>
              <w:right w:val="single" w:sz="12" w:space="0" w:color="auto"/>
            </w:tcBorders>
            <w:shd w:val="clear" w:color="auto" w:fill="auto"/>
            <w:noWrap/>
            <w:vAlign w:val="center"/>
            <w:hideMark/>
          </w:tcPr>
          <w:p w:rsidR="005D4B6B" w:rsidRPr="00012A5D" w:rsidRDefault="005D4B6B" w:rsidP="00012A5D">
            <w:pPr>
              <w:pStyle w:val="142"/>
              <w:jc w:val="right"/>
              <w:rPr>
                <w:spacing w:val="-20"/>
                <w:sz w:val="22"/>
                <w:szCs w:val="22"/>
              </w:rPr>
            </w:pPr>
            <w:r w:rsidRPr="00012A5D">
              <w:rPr>
                <w:rFonts w:hint="eastAsia"/>
                <w:spacing w:val="-20"/>
                <w:sz w:val="22"/>
                <w:szCs w:val="22"/>
              </w:rPr>
              <w:t>0.22</w:t>
            </w:r>
          </w:p>
        </w:tc>
      </w:tr>
      <w:tr w:rsidR="005D4B6B" w:rsidRPr="007C79CD" w:rsidTr="00A62399">
        <w:trPr>
          <w:trHeight w:val="350"/>
        </w:trPr>
        <w:tc>
          <w:tcPr>
            <w:tcW w:w="265" w:type="pct"/>
            <w:vMerge w:val="restart"/>
            <w:tcBorders>
              <w:top w:val="single" w:sz="6" w:space="0" w:color="auto"/>
              <w:left w:val="single" w:sz="12" w:space="0" w:color="auto"/>
              <w:bottom w:val="single" w:sz="6" w:space="0" w:color="auto"/>
              <w:right w:val="single" w:sz="6" w:space="0" w:color="auto"/>
            </w:tcBorders>
            <w:shd w:val="clear" w:color="auto" w:fill="auto"/>
            <w:vAlign w:val="center"/>
            <w:hideMark/>
          </w:tcPr>
          <w:p w:rsidR="005D4B6B" w:rsidRPr="005D4B6B" w:rsidRDefault="005D4B6B" w:rsidP="00223971">
            <w:pPr>
              <w:pStyle w:val="142"/>
              <w:jc w:val="center"/>
              <w:rPr>
                <w:spacing w:val="-20"/>
                <w:sz w:val="22"/>
                <w:szCs w:val="22"/>
              </w:rPr>
            </w:pPr>
            <w:r w:rsidRPr="005D4B6B">
              <w:rPr>
                <w:spacing w:val="-20"/>
                <w:sz w:val="22"/>
                <w:szCs w:val="22"/>
              </w:rPr>
              <w:t>113</w:t>
            </w:r>
          </w:p>
          <w:p w:rsidR="005D4B6B" w:rsidRPr="00012A5D" w:rsidRDefault="005D4B6B" w:rsidP="00223971">
            <w:pPr>
              <w:pStyle w:val="142"/>
              <w:jc w:val="center"/>
              <w:rPr>
                <w:rFonts w:hint="eastAsia"/>
                <w:spacing w:val="-20"/>
                <w:sz w:val="20"/>
                <w:szCs w:val="20"/>
              </w:rPr>
            </w:pPr>
            <w:r w:rsidRPr="00012A5D">
              <w:rPr>
                <w:spacing w:val="-20"/>
                <w:sz w:val="20"/>
                <w:szCs w:val="20"/>
              </w:rPr>
              <w:t>(</w:t>
            </w:r>
            <w:r w:rsidRPr="00012A5D">
              <w:rPr>
                <w:rFonts w:hint="eastAsia"/>
                <w:spacing w:val="-20"/>
                <w:sz w:val="20"/>
                <w:szCs w:val="20"/>
              </w:rPr>
              <w:t>上半年)</w:t>
            </w:r>
          </w:p>
        </w:tc>
        <w:tc>
          <w:tcPr>
            <w:tcW w:w="513" w:type="pct"/>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5D4B6B" w:rsidRDefault="005D4B6B" w:rsidP="00A62399">
            <w:pPr>
              <w:pStyle w:val="142"/>
              <w:jc w:val="both"/>
              <w:rPr>
                <w:spacing w:val="-20"/>
                <w:sz w:val="20"/>
                <w:szCs w:val="20"/>
              </w:rPr>
            </w:pPr>
            <w:r w:rsidRPr="005D4B6B">
              <w:rPr>
                <w:rFonts w:hint="eastAsia"/>
                <w:spacing w:val="-20"/>
                <w:sz w:val="20"/>
                <w:szCs w:val="20"/>
              </w:rPr>
              <w:t>機臺數</w:t>
            </w:r>
          </w:p>
        </w:tc>
        <w:tc>
          <w:tcPr>
            <w:tcW w:w="349"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rFonts w:hint="eastAsia"/>
                <w:b/>
                <w:spacing w:val="-20"/>
                <w:sz w:val="22"/>
                <w:szCs w:val="22"/>
              </w:rPr>
            </w:pPr>
            <w:r w:rsidRPr="00012A5D">
              <w:rPr>
                <w:b/>
                <w:spacing w:val="-20"/>
                <w:sz w:val="22"/>
                <w:szCs w:val="22"/>
              </w:rPr>
              <w:t>480</w:t>
            </w:r>
          </w:p>
        </w:tc>
        <w:tc>
          <w:tcPr>
            <w:tcW w:w="281"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spacing w:val="-20"/>
                <w:sz w:val="22"/>
                <w:szCs w:val="22"/>
              </w:rPr>
            </w:pPr>
            <w:r w:rsidRPr="00012A5D">
              <w:rPr>
                <w:spacing w:val="-20"/>
                <w:sz w:val="22"/>
                <w:szCs w:val="22"/>
              </w:rPr>
              <w:t>105</w:t>
            </w:r>
          </w:p>
        </w:tc>
        <w:tc>
          <w:tcPr>
            <w:tcW w:w="281"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spacing w:val="-20"/>
                <w:sz w:val="22"/>
                <w:szCs w:val="22"/>
              </w:rPr>
            </w:pPr>
            <w:r w:rsidRPr="00012A5D">
              <w:rPr>
                <w:spacing w:val="-20"/>
                <w:sz w:val="22"/>
                <w:szCs w:val="22"/>
              </w:rPr>
              <w:t>86</w:t>
            </w:r>
          </w:p>
        </w:tc>
        <w:tc>
          <w:tcPr>
            <w:tcW w:w="309"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spacing w:val="-20"/>
                <w:sz w:val="22"/>
                <w:szCs w:val="22"/>
              </w:rPr>
            </w:pPr>
            <w:r w:rsidRPr="00012A5D">
              <w:rPr>
                <w:spacing w:val="-20"/>
                <w:sz w:val="22"/>
                <w:szCs w:val="22"/>
              </w:rPr>
              <w:t>155</w:t>
            </w:r>
          </w:p>
        </w:tc>
        <w:tc>
          <w:tcPr>
            <w:tcW w:w="281"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spacing w:val="-20"/>
                <w:sz w:val="22"/>
                <w:szCs w:val="22"/>
              </w:rPr>
            </w:pPr>
            <w:r w:rsidRPr="00012A5D">
              <w:rPr>
                <w:spacing w:val="-20"/>
                <w:sz w:val="22"/>
                <w:szCs w:val="22"/>
              </w:rPr>
              <w:t>10</w:t>
            </w:r>
          </w:p>
        </w:tc>
        <w:tc>
          <w:tcPr>
            <w:tcW w:w="282"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spacing w:val="-20"/>
                <w:sz w:val="22"/>
                <w:szCs w:val="22"/>
              </w:rPr>
            </w:pPr>
            <w:r w:rsidRPr="00012A5D">
              <w:rPr>
                <w:spacing w:val="-20"/>
                <w:sz w:val="22"/>
                <w:szCs w:val="22"/>
              </w:rPr>
              <w:t>-</w:t>
            </w:r>
          </w:p>
        </w:tc>
        <w:tc>
          <w:tcPr>
            <w:tcW w:w="309"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spacing w:val="-20"/>
                <w:sz w:val="22"/>
                <w:szCs w:val="22"/>
              </w:rPr>
            </w:pPr>
            <w:r w:rsidRPr="00012A5D">
              <w:rPr>
                <w:spacing w:val="-20"/>
                <w:sz w:val="22"/>
                <w:szCs w:val="22"/>
              </w:rPr>
              <w:t>9</w:t>
            </w:r>
          </w:p>
        </w:tc>
        <w:tc>
          <w:tcPr>
            <w:tcW w:w="349"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b/>
                <w:spacing w:val="-20"/>
                <w:sz w:val="22"/>
                <w:szCs w:val="22"/>
              </w:rPr>
            </w:pPr>
            <w:r w:rsidRPr="00012A5D">
              <w:rPr>
                <w:b/>
                <w:spacing w:val="-20"/>
                <w:sz w:val="22"/>
                <w:szCs w:val="22"/>
              </w:rPr>
              <w:t>660</w:t>
            </w:r>
          </w:p>
        </w:tc>
        <w:tc>
          <w:tcPr>
            <w:tcW w:w="309"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spacing w:val="-20"/>
                <w:sz w:val="22"/>
                <w:szCs w:val="22"/>
              </w:rPr>
            </w:pPr>
            <w:r w:rsidRPr="00012A5D">
              <w:rPr>
                <w:spacing w:val="-20"/>
                <w:sz w:val="22"/>
                <w:szCs w:val="22"/>
              </w:rPr>
              <w:t>6</w:t>
            </w:r>
          </w:p>
        </w:tc>
        <w:tc>
          <w:tcPr>
            <w:tcW w:w="282"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spacing w:val="-20"/>
                <w:sz w:val="22"/>
                <w:szCs w:val="22"/>
              </w:rPr>
            </w:pPr>
            <w:r w:rsidRPr="00012A5D">
              <w:rPr>
                <w:spacing w:val="-20"/>
                <w:sz w:val="22"/>
                <w:szCs w:val="22"/>
              </w:rPr>
              <w:t>7</w:t>
            </w:r>
          </w:p>
        </w:tc>
        <w:tc>
          <w:tcPr>
            <w:tcW w:w="282"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spacing w:val="-20"/>
                <w:sz w:val="22"/>
                <w:szCs w:val="22"/>
              </w:rPr>
            </w:pPr>
            <w:r w:rsidRPr="00012A5D">
              <w:rPr>
                <w:spacing w:val="-20"/>
                <w:sz w:val="22"/>
                <w:szCs w:val="22"/>
              </w:rPr>
              <w:t>1</w:t>
            </w:r>
          </w:p>
        </w:tc>
        <w:tc>
          <w:tcPr>
            <w:tcW w:w="283"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5D4B6B" w:rsidRPr="00012A5D" w:rsidRDefault="005D4B6B" w:rsidP="00012A5D">
            <w:pPr>
              <w:pStyle w:val="142"/>
              <w:jc w:val="right"/>
              <w:rPr>
                <w:spacing w:val="-20"/>
                <w:sz w:val="22"/>
                <w:szCs w:val="22"/>
              </w:rPr>
            </w:pPr>
            <w:r w:rsidRPr="00012A5D">
              <w:rPr>
                <w:spacing w:val="-20"/>
                <w:sz w:val="22"/>
                <w:szCs w:val="22"/>
              </w:rPr>
              <w:t>7</w:t>
            </w:r>
          </w:p>
        </w:tc>
        <w:tc>
          <w:tcPr>
            <w:tcW w:w="348" w:type="pct"/>
            <w:tcBorders>
              <w:top w:val="single" w:sz="6" w:space="0" w:color="auto"/>
              <w:left w:val="single" w:sz="6" w:space="0" w:color="auto"/>
              <w:bottom w:val="single" w:sz="6" w:space="0" w:color="auto"/>
              <w:right w:val="single" w:sz="6" w:space="0" w:color="auto"/>
            </w:tcBorders>
            <w:shd w:val="clear" w:color="auto" w:fill="auto"/>
            <w:noWrap/>
            <w:vAlign w:val="center"/>
            <w:hideMark/>
          </w:tcPr>
          <w:p w:rsidR="005D4B6B" w:rsidRPr="00012A5D" w:rsidRDefault="005D4B6B" w:rsidP="00012A5D">
            <w:pPr>
              <w:pStyle w:val="142"/>
              <w:jc w:val="right"/>
              <w:rPr>
                <w:spacing w:val="-20"/>
                <w:sz w:val="22"/>
                <w:szCs w:val="22"/>
              </w:rPr>
            </w:pPr>
            <w:r w:rsidRPr="00012A5D">
              <w:rPr>
                <w:spacing w:val="-20"/>
                <w:sz w:val="22"/>
                <w:szCs w:val="22"/>
              </w:rPr>
              <w:t>1,526</w:t>
            </w:r>
          </w:p>
        </w:tc>
        <w:tc>
          <w:tcPr>
            <w:tcW w:w="276" w:type="pct"/>
            <w:tcBorders>
              <w:top w:val="single" w:sz="6" w:space="0" w:color="auto"/>
              <w:left w:val="single" w:sz="6" w:space="0" w:color="auto"/>
              <w:bottom w:val="single" w:sz="6" w:space="0" w:color="FFFFFF"/>
              <w:right w:val="single" w:sz="12" w:space="0" w:color="auto"/>
            </w:tcBorders>
            <w:shd w:val="clear" w:color="auto" w:fill="auto"/>
            <w:noWrap/>
            <w:vAlign w:val="center"/>
            <w:hideMark/>
          </w:tcPr>
          <w:p w:rsidR="005D4B6B" w:rsidRPr="00012A5D" w:rsidRDefault="005D4B6B" w:rsidP="00012A5D">
            <w:pPr>
              <w:pStyle w:val="142"/>
              <w:jc w:val="right"/>
              <w:rPr>
                <w:spacing w:val="-20"/>
                <w:sz w:val="22"/>
                <w:szCs w:val="22"/>
              </w:rPr>
            </w:pPr>
            <w:r w:rsidRPr="00012A5D">
              <w:rPr>
                <w:rFonts w:hint="eastAsia"/>
                <w:spacing w:val="-20"/>
                <w:sz w:val="22"/>
                <w:szCs w:val="22"/>
              </w:rPr>
              <w:t xml:space="preserve">　</w:t>
            </w:r>
          </w:p>
        </w:tc>
      </w:tr>
      <w:tr w:rsidR="005D4B6B" w:rsidRPr="007C79CD" w:rsidTr="00A62399">
        <w:trPr>
          <w:trHeight w:val="360"/>
        </w:trPr>
        <w:tc>
          <w:tcPr>
            <w:tcW w:w="265" w:type="pct"/>
            <w:vMerge/>
            <w:tcBorders>
              <w:top w:val="single" w:sz="6" w:space="0" w:color="auto"/>
              <w:left w:val="single" w:sz="12" w:space="0" w:color="auto"/>
              <w:bottom w:val="single" w:sz="12" w:space="0" w:color="auto"/>
              <w:right w:val="single" w:sz="6" w:space="0" w:color="auto"/>
            </w:tcBorders>
            <w:vAlign w:val="center"/>
            <w:hideMark/>
          </w:tcPr>
          <w:p w:rsidR="005D4B6B" w:rsidRPr="005D4B6B" w:rsidRDefault="005D4B6B" w:rsidP="005D4B6B">
            <w:pPr>
              <w:pStyle w:val="142"/>
              <w:rPr>
                <w:spacing w:val="-20"/>
                <w:sz w:val="22"/>
                <w:szCs w:val="22"/>
              </w:rPr>
            </w:pPr>
          </w:p>
        </w:tc>
        <w:tc>
          <w:tcPr>
            <w:tcW w:w="513" w:type="pct"/>
            <w:gridSpan w:val="2"/>
            <w:tcBorders>
              <w:top w:val="single" w:sz="6" w:space="0" w:color="auto"/>
              <w:left w:val="single" w:sz="6" w:space="0" w:color="auto"/>
              <w:bottom w:val="single" w:sz="12" w:space="0" w:color="auto"/>
              <w:right w:val="single" w:sz="6" w:space="0" w:color="auto"/>
            </w:tcBorders>
            <w:shd w:val="clear" w:color="auto" w:fill="auto"/>
            <w:vAlign w:val="center"/>
            <w:hideMark/>
          </w:tcPr>
          <w:p w:rsidR="005D4B6B" w:rsidRPr="005D4B6B" w:rsidRDefault="002A7D98" w:rsidP="00A62399">
            <w:pPr>
              <w:pStyle w:val="142"/>
              <w:jc w:val="both"/>
              <w:rPr>
                <w:rFonts w:hint="eastAsia"/>
                <w:spacing w:val="-20"/>
                <w:sz w:val="20"/>
                <w:szCs w:val="20"/>
              </w:rPr>
            </w:pPr>
            <w:r>
              <w:rPr>
                <w:rFonts w:hint="eastAsia"/>
                <w:spacing w:val="-20"/>
                <w:sz w:val="20"/>
                <w:szCs w:val="20"/>
              </w:rPr>
              <w:t>硬幣回存</w:t>
            </w:r>
            <w:r w:rsidR="00A62399">
              <w:rPr>
                <w:rFonts w:hint="eastAsia"/>
                <w:spacing w:val="-20"/>
                <w:sz w:val="20"/>
                <w:szCs w:val="20"/>
              </w:rPr>
              <w:t>/加值</w:t>
            </w:r>
            <w:r w:rsidR="005D4B6B" w:rsidRPr="005D4B6B">
              <w:rPr>
                <w:rFonts w:hint="eastAsia"/>
                <w:spacing w:val="-20"/>
                <w:sz w:val="20"/>
                <w:szCs w:val="20"/>
              </w:rPr>
              <w:t>數</w:t>
            </w:r>
          </w:p>
        </w:tc>
        <w:tc>
          <w:tcPr>
            <w:tcW w:w="349" w:type="pct"/>
            <w:tcBorders>
              <w:top w:val="single" w:sz="6" w:space="0" w:color="auto"/>
              <w:left w:val="single" w:sz="6" w:space="0" w:color="auto"/>
              <w:bottom w:val="single" w:sz="12" w:space="0" w:color="auto"/>
              <w:right w:val="single" w:sz="6" w:space="0" w:color="auto"/>
            </w:tcBorders>
            <w:shd w:val="clear" w:color="auto" w:fill="auto"/>
            <w:vAlign w:val="center"/>
            <w:hideMark/>
          </w:tcPr>
          <w:p w:rsidR="005D4B6B" w:rsidRPr="00012A5D" w:rsidRDefault="005D4B6B" w:rsidP="00012A5D">
            <w:pPr>
              <w:pStyle w:val="142"/>
              <w:jc w:val="right"/>
              <w:rPr>
                <w:b/>
                <w:spacing w:val="-20"/>
                <w:sz w:val="22"/>
                <w:szCs w:val="22"/>
              </w:rPr>
            </w:pPr>
            <w:r w:rsidRPr="00012A5D">
              <w:rPr>
                <w:b/>
                <w:spacing w:val="-20"/>
                <w:sz w:val="22"/>
                <w:szCs w:val="22"/>
              </w:rPr>
              <w:t>58.16</w:t>
            </w:r>
          </w:p>
        </w:tc>
        <w:tc>
          <w:tcPr>
            <w:tcW w:w="281" w:type="pct"/>
            <w:tcBorders>
              <w:top w:val="single" w:sz="6" w:space="0" w:color="auto"/>
              <w:left w:val="single" w:sz="6" w:space="0" w:color="auto"/>
              <w:bottom w:val="single" w:sz="12" w:space="0" w:color="auto"/>
              <w:right w:val="single" w:sz="6" w:space="0" w:color="auto"/>
            </w:tcBorders>
            <w:shd w:val="clear" w:color="auto" w:fill="auto"/>
            <w:vAlign w:val="center"/>
            <w:hideMark/>
          </w:tcPr>
          <w:p w:rsidR="005D4B6B" w:rsidRPr="00012A5D" w:rsidRDefault="005D4B6B" w:rsidP="00012A5D">
            <w:pPr>
              <w:pStyle w:val="142"/>
              <w:jc w:val="right"/>
              <w:rPr>
                <w:spacing w:val="-20"/>
                <w:sz w:val="22"/>
                <w:szCs w:val="22"/>
              </w:rPr>
            </w:pPr>
            <w:r w:rsidRPr="00012A5D">
              <w:rPr>
                <w:spacing w:val="-20"/>
                <w:sz w:val="22"/>
                <w:szCs w:val="22"/>
              </w:rPr>
              <w:t>1.84</w:t>
            </w:r>
          </w:p>
        </w:tc>
        <w:tc>
          <w:tcPr>
            <w:tcW w:w="281" w:type="pct"/>
            <w:tcBorders>
              <w:top w:val="single" w:sz="6" w:space="0" w:color="auto"/>
              <w:left w:val="single" w:sz="6" w:space="0" w:color="auto"/>
              <w:bottom w:val="single" w:sz="12" w:space="0" w:color="auto"/>
              <w:right w:val="single" w:sz="6" w:space="0" w:color="auto"/>
            </w:tcBorders>
            <w:shd w:val="clear" w:color="auto" w:fill="auto"/>
            <w:vAlign w:val="center"/>
            <w:hideMark/>
          </w:tcPr>
          <w:p w:rsidR="005D4B6B" w:rsidRPr="00012A5D" w:rsidRDefault="005D4B6B" w:rsidP="00012A5D">
            <w:pPr>
              <w:pStyle w:val="142"/>
              <w:jc w:val="right"/>
              <w:rPr>
                <w:spacing w:val="-20"/>
                <w:sz w:val="22"/>
                <w:szCs w:val="22"/>
              </w:rPr>
            </w:pPr>
            <w:r w:rsidRPr="00012A5D">
              <w:rPr>
                <w:spacing w:val="-20"/>
                <w:sz w:val="22"/>
                <w:szCs w:val="22"/>
              </w:rPr>
              <w:t>2.40</w:t>
            </w:r>
          </w:p>
        </w:tc>
        <w:tc>
          <w:tcPr>
            <w:tcW w:w="309" w:type="pct"/>
            <w:tcBorders>
              <w:top w:val="single" w:sz="6" w:space="0" w:color="auto"/>
              <w:left w:val="single" w:sz="6" w:space="0" w:color="auto"/>
              <w:bottom w:val="single" w:sz="12" w:space="0" w:color="auto"/>
              <w:right w:val="single" w:sz="6" w:space="0" w:color="auto"/>
            </w:tcBorders>
            <w:shd w:val="clear" w:color="auto" w:fill="auto"/>
            <w:vAlign w:val="center"/>
            <w:hideMark/>
          </w:tcPr>
          <w:p w:rsidR="005D4B6B" w:rsidRPr="00012A5D" w:rsidRDefault="005D4B6B" w:rsidP="00012A5D">
            <w:pPr>
              <w:pStyle w:val="142"/>
              <w:jc w:val="right"/>
              <w:rPr>
                <w:spacing w:val="-20"/>
                <w:sz w:val="22"/>
                <w:szCs w:val="22"/>
              </w:rPr>
            </w:pPr>
            <w:r w:rsidRPr="00012A5D">
              <w:rPr>
                <w:spacing w:val="-20"/>
                <w:sz w:val="22"/>
                <w:szCs w:val="22"/>
              </w:rPr>
              <w:t>7.92</w:t>
            </w:r>
          </w:p>
        </w:tc>
        <w:tc>
          <w:tcPr>
            <w:tcW w:w="281" w:type="pct"/>
            <w:tcBorders>
              <w:top w:val="single" w:sz="6" w:space="0" w:color="auto"/>
              <w:left w:val="single" w:sz="6" w:space="0" w:color="auto"/>
              <w:bottom w:val="single" w:sz="12" w:space="0" w:color="auto"/>
              <w:right w:val="single" w:sz="6" w:space="0" w:color="auto"/>
            </w:tcBorders>
            <w:shd w:val="clear" w:color="auto" w:fill="auto"/>
            <w:vAlign w:val="center"/>
            <w:hideMark/>
          </w:tcPr>
          <w:p w:rsidR="005D4B6B" w:rsidRPr="00012A5D" w:rsidRDefault="005D4B6B" w:rsidP="00012A5D">
            <w:pPr>
              <w:pStyle w:val="142"/>
              <w:jc w:val="right"/>
              <w:rPr>
                <w:spacing w:val="-20"/>
                <w:sz w:val="22"/>
                <w:szCs w:val="22"/>
              </w:rPr>
            </w:pPr>
            <w:r w:rsidRPr="00012A5D">
              <w:rPr>
                <w:spacing w:val="-20"/>
                <w:sz w:val="22"/>
                <w:szCs w:val="22"/>
              </w:rPr>
              <w:t>2.73</w:t>
            </w:r>
          </w:p>
        </w:tc>
        <w:tc>
          <w:tcPr>
            <w:tcW w:w="282" w:type="pct"/>
            <w:tcBorders>
              <w:top w:val="single" w:sz="6" w:space="0" w:color="auto"/>
              <w:left w:val="single" w:sz="6" w:space="0" w:color="auto"/>
              <w:bottom w:val="single" w:sz="12" w:space="0" w:color="auto"/>
              <w:right w:val="single" w:sz="6" w:space="0" w:color="auto"/>
            </w:tcBorders>
            <w:shd w:val="clear" w:color="auto" w:fill="auto"/>
            <w:vAlign w:val="center"/>
            <w:hideMark/>
          </w:tcPr>
          <w:p w:rsidR="005D4B6B" w:rsidRPr="00012A5D" w:rsidRDefault="005D4B6B" w:rsidP="00012A5D">
            <w:pPr>
              <w:pStyle w:val="142"/>
              <w:jc w:val="right"/>
              <w:rPr>
                <w:spacing w:val="-20"/>
                <w:sz w:val="22"/>
                <w:szCs w:val="22"/>
              </w:rPr>
            </w:pPr>
            <w:r w:rsidRPr="00012A5D">
              <w:rPr>
                <w:spacing w:val="-20"/>
                <w:sz w:val="22"/>
                <w:szCs w:val="22"/>
              </w:rPr>
              <w:t>-</w:t>
            </w:r>
          </w:p>
        </w:tc>
        <w:tc>
          <w:tcPr>
            <w:tcW w:w="309" w:type="pct"/>
            <w:tcBorders>
              <w:top w:val="single" w:sz="6" w:space="0" w:color="auto"/>
              <w:left w:val="single" w:sz="6" w:space="0" w:color="auto"/>
              <w:bottom w:val="single" w:sz="12" w:space="0" w:color="auto"/>
              <w:right w:val="single" w:sz="6" w:space="0" w:color="auto"/>
            </w:tcBorders>
            <w:shd w:val="clear" w:color="auto" w:fill="auto"/>
            <w:vAlign w:val="center"/>
            <w:hideMark/>
          </w:tcPr>
          <w:p w:rsidR="005D4B6B" w:rsidRPr="00012A5D" w:rsidRDefault="005D4B6B" w:rsidP="00012A5D">
            <w:pPr>
              <w:pStyle w:val="142"/>
              <w:jc w:val="right"/>
              <w:rPr>
                <w:spacing w:val="-20"/>
                <w:sz w:val="22"/>
                <w:szCs w:val="22"/>
              </w:rPr>
            </w:pPr>
            <w:r w:rsidRPr="00012A5D">
              <w:rPr>
                <w:spacing w:val="-20"/>
                <w:sz w:val="22"/>
                <w:szCs w:val="22"/>
              </w:rPr>
              <w:t>5.40</w:t>
            </w:r>
          </w:p>
        </w:tc>
        <w:tc>
          <w:tcPr>
            <w:tcW w:w="349" w:type="pct"/>
            <w:tcBorders>
              <w:top w:val="single" w:sz="6" w:space="0" w:color="auto"/>
              <w:left w:val="single" w:sz="6" w:space="0" w:color="auto"/>
              <w:bottom w:val="single" w:sz="12" w:space="0" w:color="auto"/>
              <w:right w:val="single" w:sz="6" w:space="0" w:color="auto"/>
            </w:tcBorders>
            <w:shd w:val="clear" w:color="auto" w:fill="auto"/>
            <w:vAlign w:val="center"/>
            <w:hideMark/>
          </w:tcPr>
          <w:p w:rsidR="005D4B6B" w:rsidRPr="00012A5D" w:rsidRDefault="005D4B6B" w:rsidP="00012A5D">
            <w:pPr>
              <w:pStyle w:val="142"/>
              <w:jc w:val="right"/>
              <w:rPr>
                <w:b/>
                <w:spacing w:val="-20"/>
                <w:sz w:val="22"/>
                <w:szCs w:val="22"/>
              </w:rPr>
            </w:pPr>
            <w:r w:rsidRPr="00012A5D">
              <w:rPr>
                <w:b/>
                <w:spacing w:val="-20"/>
                <w:sz w:val="22"/>
                <w:szCs w:val="22"/>
              </w:rPr>
              <w:t>90.22</w:t>
            </w:r>
          </w:p>
        </w:tc>
        <w:tc>
          <w:tcPr>
            <w:tcW w:w="309" w:type="pct"/>
            <w:tcBorders>
              <w:top w:val="single" w:sz="6" w:space="0" w:color="auto"/>
              <w:left w:val="single" w:sz="6" w:space="0" w:color="auto"/>
              <w:bottom w:val="single" w:sz="12" w:space="0" w:color="auto"/>
              <w:right w:val="single" w:sz="6" w:space="0" w:color="auto"/>
            </w:tcBorders>
            <w:shd w:val="clear" w:color="auto" w:fill="auto"/>
            <w:vAlign w:val="center"/>
            <w:hideMark/>
          </w:tcPr>
          <w:p w:rsidR="005D4B6B" w:rsidRPr="00012A5D" w:rsidRDefault="005D4B6B" w:rsidP="00012A5D">
            <w:pPr>
              <w:pStyle w:val="142"/>
              <w:jc w:val="right"/>
              <w:rPr>
                <w:spacing w:val="-20"/>
                <w:sz w:val="22"/>
                <w:szCs w:val="22"/>
              </w:rPr>
            </w:pPr>
            <w:r w:rsidRPr="00012A5D">
              <w:rPr>
                <w:spacing w:val="-20"/>
                <w:sz w:val="22"/>
                <w:szCs w:val="22"/>
              </w:rPr>
              <w:t>6.27</w:t>
            </w:r>
          </w:p>
        </w:tc>
        <w:tc>
          <w:tcPr>
            <w:tcW w:w="282" w:type="pct"/>
            <w:tcBorders>
              <w:top w:val="single" w:sz="6" w:space="0" w:color="auto"/>
              <w:left w:val="single" w:sz="6" w:space="0" w:color="auto"/>
              <w:bottom w:val="single" w:sz="12" w:space="0" w:color="auto"/>
              <w:right w:val="single" w:sz="6" w:space="0" w:color="auto"/>
            </w:tcBorders>
            <w:shd w:val="clear" w:color="auto" w:fill="auto"/>
            <w:vAlign w:val="center"/>
            <w:hideMark/>
          </w:tcPr>
          <w:p w:rsidR="005D4B6B" w:rsidRPr="00012A5D" w:rsidRDefault="005D4B6B" w:rsidP="00012A5D">
            <w:pPr>
              <w:pStyle w:val="142"/>
              <w:jc w:val="right"/>
              <w:rPr>
                <w:spacing w:val="-20"/>
                <w:sz w:val="22"/>
                <w:szCs w:val="22"/>
              </w:rPr>
            </w:pPr>
            <w:r w:rsidRPr="00012A5D">
              <w:rPr>
                <w:spacing w:val="-20"/>
                <w:sz w:val="22"/>
                <w:szCs w:val="22"/>
              </w:rPr>
              <w:t>0.37</w:t>
            </w:r>
          </w:p>
        </w:tc>
        <w:tc>
          <w:tcPr>
            <w:tcW w:w="282" w:type="pct"/>
            <w:tcBorders>
              <w:top w:val="single" w:sz="6" w:space="0" w:color="auto"/>
              <w:left w:val="single" w:sz="6" w:space="0" w:color="auto"/>
              <w:bottom w:val="single" w:sz="12" w:space="0" w:color="auto"/>
              <w:right w:val="single" w:sz="6" w:space="0" w:color="auto"/>
            </w:tcBorders>
            <w:shd w:val="clear" w:color="auto" w:fill="auto"/>
            <w:vAlign w:val="center"/>
            <w:hideMark/>
          </w:tcPr>
          <w:p w:rsidR="005D4B6B" w:rsidRPr="00012A5D" w:rsidRDefault="005D4B6B" w:rsidP="00012A5D">
            <w:pPr>
              <w:pStyle w:val="142"/>
              <w:jc w:val="right"/>
              <w:rPr>
                <w:spacing w:val="-20"/>
                <w:sz w:val="22"/>
                <w:szCs w:val="22"/>
              </w:rPr>
            </w:pPr>
            <w:r w:rsidRPr="00012A5D">
              <w:rPr>
                <w:spacing w:val="-20"/>
                <w:sz w:val="22"/>
                <w:szCs w:val="22"/>
              </w:rPr>
              <w:t>0.14</w:t>
            </w:r>
          </w:p>
        </w:tc>
        <w:tc>
          <w:tcPr>
            <w:tcW w:w="283" w:type="pct"/>
            <w:tcBorders>
              <w:top w:val="single" w:sz="6" w:space="0" w:color="auto"/>
              <w:left w:val="single" w:sz="6" w:space="0" w:color="auto"/>
              <w:bottom w:val="single" w:sz="12" w:space="0" w:color="auto"/>
              <w:right w:val="single" w:sz="6" w:space="0" w:color="auto"/>
            </w:tcBorders>
            <w:shd w:val="clear" w:color="auto" w:fill="auto"/>
            <w:vAlign w:val="center"/>
            <w:hideMark/>
          </w:tcPr>
          <w:p w:rsidR="005D4B6B" w:rsidRPr="00012A5D" w:rsidRDefault="005D4B6B" w:rsidP="00012A5D">
            <w:pPr>
              <w:pStyle w:val="142"/>
              <w:jc w:val="right"/>
              <w:rPr>
                <w:spacing w:val="-20"/>
                <w:sz w:val="22"/>
                <w:szCs w:val="22"/>
              </w:rPr>
            </w:pPr>
            <w:r w:rsidRPr="00012A5D">
              <w:rPr>
                <w:spacing w:val="-20"/>
                <w:sz w:val="22"/>
                <w:szCs w:val="22"/>
              </w:rPr>
              <w:t>1.11</w:t>
            </w:r>
          </w:p>
        </w:tc>
        <w:tc>
          <w:tcPr>
            <w:tcW w:w="348" w:type="pct"/>
            <w:tcBorders>
              <w:top w:val="single" w:sz="6" w:space="0" w:color="auto"/>
              <w:left w:val="single" w:sz="6" w:space="0" w:color="auto"/>
              <w:bottom w:val="single" w:sz="12" w:space="0" w:color="auto"/>
              <w:right w:val="single" w:sz="6" w:space="0" w:color="auto"/>
            </w:tcBorders>
            <w:shd w:val="clear" w:color="auto" w:fill="auto"/>
            <w:noWrap/>
            <w:vAlign w:val="center"/>
            <w:hideMark/>
          </w:tcPr>
          <w:p w:rsidR="005D4B6B" w:rsidRPr="00012A5D" w:rsidRDefault="005D4B6B" w:rsidP="00012A5D">
            <w:pPr>
              <w:pStyle w:val="142"/>
              <w:jc w:val="right"/>
              <w:rPr>
                <w:spacing w:val="-20"/>
                <w:sz w:val="22"/>
                <w:szCs w:val="22"/>
              </w:rPr>
            </w:pPr>
            <w:r w:rsidRPr="00012A5D">
              <w:rPr>
                <w:spacing w:val="-20"/>
                <w:sz w:val="22"/>
                <w:szCs w:val="22"/>
              </w:rPr>
              <w:t>176.56</w:t>
            </w:r>
          </w:p>
        </w:tc>
        <w:tc>
          <w:tcPr>
            <w:tcW w:w="276" w:type="pct"/>
            <w:tcBorders>
              <w:top w:val="single" w:sz="6" w:space="0" w:color="FFFFFF"/>
              <w:left w:val="single" w:sz="6" w:space="0" w:color="auto"/>
              <w:bottom w:val="single" w:sz="12" w:space="0" w:color="auto"/>
              <w:right w:val="single" w:sz="12" w:space="0" w:color="auto"/>
            </w:tcBorders>
            <w:shd w:val="clear" w:color="auto" w:fill="auto"/>
            <w:noWrap/>
            <w:vAlign w:val="center"/>
            <w:hideMark/>
          </w:tcPr>
          <w:p w:rsidR="005D4B6B" w:rsidRPr="00012A5D" w:rsidRDefault="005D4B6B" w:rsidP="00012A5D">
            <w:pPr>
              <w:pStyle w:val="142"/>
              <w:jc w:val="right"/>
              <w:rPr>
                <w:spacing w:val="-20"/>
                <w:sz w:val="22"/>
                <w:szCs w:val="22"/>
              </w:rPr>
            </w:pPr>
            <w:r w:rsidRPr="00012A5D">
              <w:rPr>
                <w:rFonts w:hint="eastAsia"/>
                <w:spacing w:val="-20"/>
                <w:sz w:val="22"/>
                <w:szCs w:val="22"/>
              </w:rPr>
              <w:t>0.12</w:t>
            </w:r>
          </w:p>
        </w:tc>
      </w:tr>
    </w:tbl>
    <w:p w:rsidR="00F968C5" w:rsidRPr="00507BD2" w:rsidRDefault="00F968C5" w:rsidP="00A83ED1">
      <w:pPr>
        <w:pStyle w:val="142"/>
        <w:ind w:leftChars="-10" w:left="1190" w:hangingChars="501" w:hanging="1218"/>
        <w:rPr>
          <w:rFonts w:hAnsi="標楷體"/>
        </w:rPr>
      </w:pPr>
      <w:r w:rsidRPr="00507BD2">
        <w:rPr>
          <w:rFonts w:hAnsi="標楷體" w:hint="eastAsia"/>
        </w:rPr>
        <w:t xml:space="preserve">說 </w:t>
      </w:r>
      <w:r w:rsidRPr="00507BD2">
        <w:rPr>
          <w:rFonts w:hAnsi="標楷體"/>
        </w:rPr>
        <w:t xml:space="preserve">   明</w:t>
      </w:r>
      <w:r w:rsidRPr="00507BD2">
        <w:rPr>
          <w:rFonts w:hAnsi="標楷體" w:hint="eastAsia"/>
        </w:rPr>
        <w:t>：</w:t>
      </w:r>
      <w:r w:rsidR="00223971" w:rsidRPr="00223971">
        <w:rPr>
          <w:rFonts w:hAnsi="標楷體" w:hint="eastAsia"/>
        </w:rPr>
        <w:t>超商及零售連鎖超市各分店資料不易彙集，</w:t>
      </w:r>
      <w:r w:rsidR="00223971">
        <w:rPr>
          <w:rFonts w:hAnsi="標楷體" w:hint="eastAsia"/>
        </w:rPr>
        <w:t>爰</w:t>
      </w:r>
      <w:r w:rsidR="00223971" w:rsidRPr="00223971">
        <w:rPr>
          <w:rFonts w:hAnsi="標楷體" w:hint="eastAsia"/>
        </w:rPr>
        <w:t>未提供統計資料。</w:t>
      </w:r>
    </w:p>
    <w:p w:rsidR="00F968C5" w:rsidRPr="00507BD2" w:rsidRDefault="00F968C5" w:rsidP="00A83ED1">
      <w:pPr>
        <w:pStyle w:val="142"/>
        <w:ind w:leftChars="-10" w:left="2064" w:hangingChars="860" w:hanging="2092"/>
        <w:rPr>
          <w:rFonts w:hAnsi="標楷體"/>
        </w:rPr>
      </w:pPr>
      <w:r w:rsidRPr="00507BD2">
        <w:rPr>
          <w:rFonts w:hAnsi="標楷體"/>
        </w:rPr>
        <w:t>資料來源</w:t>
      </w:r>
      <w:r w:rsidRPr="00507BD2">
        <w:rPr>
          <w:rFonts w:hAnsi="標楷體" w:hint="eastAsia"/>
        </w:rPr>
        <w:t>：</w:t>
      </w:r>
      <w:r w:rsidR="00012A5D">
        <w:rPr>
          <w:rFonts w:hAnsi="標楷體" w:hint="eastAsia"/>
        </w:rPr>
        <w:t>央行</w:t>
      </w:r>
      <w:r w:rsidRPr="00507BD2">
        <w:rPr>
          <w:rFonts w:hAnsi="標楷體" w:hint="eastAsia"/>
        </w:rPr>
        <w:t>。</w:t>
      </w:r>
    </w:p>
    <w:p w:rsidR="00F968C5" w:rsidRPr="00507BD2" w:rsidRDefault="00F968C5" w:rsidP="00F968C5">
      <w:pPr>
        <w:pStyle w:val="a4"/>
        <w:rPr>
          <w:b/>
          <w:bCs/>
        </w:rPr>
      </w:pPr>
      <w:r w:rsidRPr="00507BD2">
        <w:rPr>
          <w:rFonts w:hint="eastAsia"/>
          <w:b/>
          <w:bCs/>
        </w:rPr>
        <w:t>(二</w:t>
      </w:r>
      <w:r w:rsidRPr="00507BD2">
        <w:rPr>
          <w:b/>
          <w:bCs/>
        </w:rPr>
        <w:t>)</w:t>
      </w:r>
      <w:r w:rsidR="004F7725" w:rsidRPr="004F7725">
        <w:rPr>
          <w:rFonts w:hint="eastAsia"/>
          <w:b/>
          <w:bCs/>
        </w:rPr>
        <w:t>112年度</w:t>
      </w:r>
      <w:r w:rsidR="00A7375D">
        <w:rPr>
          <w:rFonts w:hint="eastAsia"/>
          <w:b/>
          <w:bCs/>
        </w:rPr>
        <w:t>新增</w:t>
      </w:r>
      <w:r w:rsidR="004F7725" w:rsidRPr="004F7725">
        <w:rPr>
          <w:rFonts w:hint="eastAsia"/>
          <w:b/>
          <w:bCs/>
        </w:rPr>
        <w:t>硬幣發行量減幅趨</w:t>
      </w:r>
      <w:r w:rsidR="00151CEB">
        <w:rPr>
          <w:rFonts w:hint="eastAsia"/>
          <w:b/>
          <w:bCs/>
        </w:rPr>
        <w:t>緩</w:t>
      </w:r>
      <w:r w:rsidR="004F7725" w:rsidRPr="004F7725">
        <w:rPr>
          <w:rFonts w:hint="eastAsia"/>
          <w:b/>
          <w:bCs/>
        </w:rPr>
        <w:t>，</w:t>
      </w:r>
      <w:r w:rsidR="007A21F7">
        <w:rPr>
          <w:rFonts w:hint="eastAsia"/>
          <w:b/>
          <w:bCs/>
        </w:rPr>
        <w:t>撙節成本效果降低</w:t>
      </w:r>
    </w:p>
    <w:p w:rsidR="00073A04" w:rsidRDefault="00F968C5" w:rsidP="00F968C5">
      <w:pPr>
        <w:pStyle w:val="21"/>
        <w:ind w:left="850" w:firstLine="566"/>
        <w:rPr>
          <w:rFonts w:hAnsi="標楷體"/>
        </w:rPr>
      </w:pPr>
      <w:r w:rsidRPr="00507BD2">
        <w:rPr>
          <w:rFonts w:hAnsi="標楷體" w:hint="eastAsia"/>
        </w:rPr>
        <w:t>央行推動</w:t>
      </w:r>
      <w:r w:rsidR="004F7725">
        <w:rPr>
          <w:rFonts w:hAnsi="標楷體" w:hint="eastAsia"/>
        </w:rPr>
        <w:t>「</w:t>
      </w:r>
      <w:r w:rsidRPr="00507BD2">
        <w:rPr>
          <w:rFonts w:hAnsi="標楷體" w:hint="eastAsia"/>
        </w:rPr>
        <w:t>硬幣再流通計畫</w:t>
      </w:r>
      <w:r w:rsidR="004F7725">
        <w:rPr>
          <w:rFonts w:hAnsi="標楷體" w:hint="eastAsia"/>
        </w:rPr>
        <w:t>」</w:t>
      </w:r>
      <w:r w:rsidRPr="00507BD2">
        <w:rPr>
          <w:rFonts w:hAnsi="標楷體" w:hint="eastAsia"/>
        </w:rPr>
        <w:t>係為使民眾將家中窖藏之硬幣取出使用或加值於儲值卡，以期</w:t>
      </w:r>
      <w:r w:rsidR="004F7725">
        <w:rPr>
          <w:rFonts w:hAnsi="標楷體" w:hint="eastAsia"/>
        </w:rPr>
        <w:t>新增硬幣發行量逐年減量</w:t>
      </w:r>
      <w:r w:rsidRPr="00507BD2">
        <w:rPr>
          <w:rFonts w:hAnsi="標楷體" w:hint="eastAsia"/>
        </w:rPr>
        <w:t>降低鑄幣成本，</w:t>
      </w:r>
      <w:r w:rsidR="004F7725">
        <w:rPr>
          <w:rFonts w:hAnsi="標楷體" w:hint="eastAsia"/>
        </w:rPr>
        <w:t>揆</w:t>
      </w:r>
      <w:r w:rsidR="00543411">
        <w:rPr>
          <w:rFonts w:hAnsi="標楷體" w:hint="eastAsia"/>
        </w:rPr>
        <w:t>諸</w:t>
      </w:r>
      <w:r w:rsidR="004F7725">
        <w:rPr>
          <w:rFonts w:hAnsi="標楷體" w:hint="eastAsia"/>
        </w:rPr>
        <w:t>實施以來成效(詳圖1)</w:t>
      </w:r>
      <w:r w:rsidR="00073A04">
        <w:rPr>
          <w:rFonts w:hAnsi="標楷體" w:hint="eastAsia"/>
        </w:rPr>
        <w:t>，初期新增硬幣發行量穩定下降，107年度起新增金融機構作為回收據點，</w:t>
      </w:r>
      <w:r w:rsidR="00A7375D">
        <w:rPr>
          <w:rFonts w:hAnsi="標楷體" w:hint="eastAsia"/>
        </w:rPr>
        <w:t>新增</w:t>
      </w:r>
      <w:r w:rsidR="0072196A">
        <w:rPr>
          <w:rFonts w:hAnsi="標楷體" w:hint="eastAsia"/>
        </w:rPr>
        <w:t>硬幣</w:t>
      </w:r>
      <w:r w:rsidR="00A7375D">
        <w:rPr>
          <w:rFonts w:hAnsi="標楷體" w:hint="eastAsia"/>
        </w:rPr>
        <w:t>發行量大幅下降，自107年度5億5</w:t>
      </w:r>
      <w:r w:rsidR="00A7375D">
        <w:rPr>
          <w:rFonts w:hAnsi="標楷體"/>
        </w:rPr>
        <w:t>,</w:t>
      </w:r>
      <w:r w:rsidR="00A7375D">
        <w:rPr>
          <w:rFonts w:hAnsi="標楷體" w:hint="eastAsia"/>
        </w:rPr>
        <w:t>284萬枚減少為10</w:t>
      </w:r>
      <w:r w:rsidR="007F0EA4">
        <w:rPr>
          <w:rFonts w:hAnsi="標楷體"/>
        </w:rPr>
        <w:t>9</w:t>
      </w:r>
      <w:r w:rsidR="00A7375D">
        <w:rPr>
          <w:rFonts w:hAnsi="標楷體" w:hint="eastAsia"/>
        </w:rPr>
        <w:t>年度</w:t>
      </w:r>
      <w:r w:rsidR="002F029D">
        <w:rPr>
          <w:rFonts w:hAnsi="標楷體" w:hint="eastAsia"/>
        </w:rPr>
        <w:t>4億</w:t>
      </w:r>
      <w:r w:rsidR="007F0EA4">
        <w:rPr>
          <w:rFonts w:hAnsi="標楷體"/>
        </w:rPr>
        <w:t>82</w:t>
      </w:r>
      <w:r w:rsidR="002F029D">
        <w:rPr>
          <w:rFonts w:hAnsi="標楷體" w:hint="eastAsia"/>
        </w:rPr>
        <w:t>萬枚</w:t>
      </w:r>
      <w:r w:rsidR="00A7375D">
        <w:rPr>
          <w:rFonts w:hAnsi="標楷體" w:hint="eastAsia"/>
        </w:rPr>
        <w:t>，惟112年度新增</w:t>
      </w:r>
      <w:r w:rsidR="0072196A">
        <w:rPr>
          <w:rFonts w:hAnsi="標楷體" w:hint="eastAsia"/>
        </w:rPr>
        <w:t>硬幣</w:t>
      </w:r>
      <w:r w:rsidR="00A7375D">
        <w:rPr>
          <w:rFonts w:hAnsi="標楷體" w:hint="eastAsia"/>
        </w:rPr>
        <w:t>發行量減幅趨緩，僅較111年度減少</w:t>
      </w:r>
      <w:r w:rsidR="002F029D">
        <w:rPr>
          <w:rFonts w:hAnsi="標楷體" w:hint="eastAsia"/>
        </w:rPr>
        <w:t>131萬枚，</w:t>
      </w:r>
      <w:r w:rsidR="007A21F7">
        <w:rPr>
          <w:rFonts w:hAnsi="標楷體" w:hint="eastAsia"/>
        </w:rPr>
        <w:t>撙節成本效果降低。</w:t>
      </w:r>
    </w:p>
    <w:p w:rsidR="003E57DD" w:rsidRDefault="003E57DD" w:rsidP="00F968C5">
      <w:pPr>
        <w:pStyle w:val="21"/>
        <w:ind w:left="850" w:firstLine="566"/>
        <w:rPr>
          <w:rFonts w:hAnsi="標楷體"/>
        </w:rPr>
      </w:pPr>
    </w:p>
    <w:p w:rsidR="003E57DD" w:rsidRDefault="003E57DD" w:rsidP="00F968C5">
      <w:pPr>
        <w:pStyle w:val="21"/>
        <w:ind w:left="850" w:firstLine="566"/>
        <w:rPr>
          <w:rFonts w:hAnsi="標楷體"/>
        </w:rPr>
      </w:pPr>
    </w:p>
    <w:p w:rsidR="003E57DD" w:rsidRDefault="003E57DD" w:rsidP="00F968C5">
      <w:pPr>
        <w:pStyle w:val="21"/>
        <w:ind w:left="850" w:firstLine="566"/>
        <w:rPr>
          <w:rFonts w:hAnsi="標楷體"/>
        </w:rPr>
      </w:pPr>
    </w:p>
    <w:p w:rsidR="007A21F7" w:rsidRDefault="007F0EA4" w:rsidP="00A20973">
      <w:pPr>
        <w:pStyle w:val="a4"/>
        <w:rPr>
          <w:b/>
        </w:rPr>
      </w:pPr>
      <w:r>
        <w:rPr>
          <w:rFonts w:hint="eastAsia"/>
          <w:b/>
        </w:rPr>
        <w:t>圖</w:t>
      </w:r>
      <w:r w:rsidR="003E57DD">
        <w:rPr>
          <w:b/>
        </w:rPr>
        <w:t>1</w:t>
      </w:r>
      <w:r w:rsidR="007A21F7" w:rsidRPr="00A20973">
        <w:rPr>
          <w:rFonts w:hint="eastAsia"/>
          <w:b/>
        </w:rPr>
        <w:t xml:space="preserve"> </w:t>
      </w:r>
      <w:r w:rsidR="007A21F7" w:rsidRPr="00A20973">
        <w:rPr>
          <w:b/>
        </w:rPr>
        <w:t>央行</w:t>
      </w:r>
      <w:r w:rsidR="007A21F7" w:rsidRPr="00A20973">
        <w:rPr>
          <w:rFonts w:hint="eastAsia"/>
          <w:b/>
        </w:rPr>
        <w:t>1</w:t>
      </w:r>
      <w:r w:rsidR="007A21F7" w:rsidRPr="00A20973">
        <w:rPr>
          <w:b/>
        </w:rPr>
        <w:t>07至</w:t>
      </w:r>
      <w:r w:rsidR="007A21F7" w:rsidRPr="00A20973">
        <w:rPr>
          <w:rFonts w:hint="eastAsia"/>
          <w:b/>
        </w:rPr>
        <w:t>1</w:t>
      </w:r>
      <w:r w:rsidR="007A21F7" w:rsidRPr="00A20973">
        <w:rPr>
          <w:b/>
        </w:rPr>
        <w:t>12年度</w:t>
      </w:r>
      <w:r w:rsidR="0072196A" w:rsidRPr="00A20973">
        <w:rPr>
          <w:rFonts w:hint="eastAsia"/>
          <w:b/>
        </w:rPr>
        <w:t>新增硬幣發行量趨勢圖</w:t>
      </w:r>
    </w:p>
    <w:p w:rsidR="00A20973" w:rsidRDefault="00923052" w:rsidP="00A20973">
      <w:pPr>
        <w:pStyle w:val="a4"/>
        <w:rPr>
          <w:b/>
        </w:rPr>
      </w:pPr>
      <w:r w:rsidRPr="00A20973">
        <w:rPr>
          <w:b/>
          <w:noProof/>
        </w:rPr>
        <w:drawing>
          <wp:anchor distT="0" distB="0" distL="114300" distR="114300" simplePos="0" relativeHeight="251656704" behindDoc="0" locked="0" layoutInCell="1" allowOverlap="1">
            <wp:simplePos x="0" y="0"/>
            <wp:positionH relativeFrom="column">
              <wp:posOffset>380365</wp:posOffset>
            </wp:positionH>
            <wp:positionV relativeFrom="paragraph">
              <wp:posOffset>40005</wp:posOffset>
            </wp:positionV>
            <wp:extent cx="5022850" cy="2569210"/>
            <wp:effectExtent l="0" t="0" r="0" b="0"/>
            <wp:wrapSquare wrapText="bothSides"/>
            <wp:docPr id="6" name="影像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影像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022850" cy="25692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20973" w:rsidRDefault="00A20973" w:rsidP="00A20973">
      <w:pPr>
        <w:pStyle w:val="a4"/>
        <w:rPr>
          <w:b/>
        </w:rPr>
      </w:pPr>
    </w:p>
    <w:p w:rsidR="00A20973" w:rsidRDefault="00A20973" w:rsidP="00A20973">
      <w:pPr>
        <w:pStyle w:val="a4"/>
        <w:rPr>
          <w:b/>
        </w:rPr>
      </w:pPr>
    </w:p>
    <w:p w:rsidR="00A20973" w:rsidRDefault="00A20973" w:rsidP="00A20973">
      <w:pPr>
        <w:pStyle w:val="a4"/>
        <w:rPr>
          <w:b/>
        </w:rPr>
      </w:pPr>
    </w:p>
    <w:p w:rsidR="00A20973" w:rsidRDefault="00A20973" w:rsidP="00A20973">
      <w:pPr>
        <w:pStyle w:val="a4"/>
        <w:rPr>
          <w:b/>
        </w:rPr>
      </w:pPr>
    </w:p>
    <w:p w:rsidR="00A20973" w:rsidRDefault="00A20973" w:rsidP="00A20973">
      <w:pPr>
        <w:pStyle w:val="a4"/>
        <w:rPr>
          <w:b/>
        </w:rPr>
      </w:pPr>
    </w:p>
    <w:p w:rsidR="00F30250" w:rsidRDefault="00F30250" w:rsidP="00A20973">
      <w:pPr>
        <w:pStyle w:val="a4"/>
        <w:rPr>
          <w:rFonts w:hint="eastAsia"/>
          <w:b/>
        </w:rPr>
      </w:pPr>
    </w:p>
    <w:p w:rsidR="00A20973" w:rsidRDefault="00A20973" w:rsidP="0072196A">
      <w:pPr>
        <w:pStyle w:val="142"/>
      </w:pPr>
    </w:p>
    <w:p w:rsidR="00F30250" w:rsidRDefault="00F30250" w:rsidP="0072196A">
      <w:pPr>
        <w:pStyle w:val="142"/>
      </w:pPr>
    </w:p>
    <w:p w:rsidR="00F30250" w:rsidRDefault="00F30250" w:rsidP="0072196A">
      <w:pPr>
        <w:pStyle w:val="142"/>
      </w:pPr>
    </w:p>
    <w:p w:rsidR="00F968C5" w:rsidRPr="00A20973" w:rsidRDefault="00F968C5" w:rsidP="00A20973">
      <w:pPr>
        <w:pStyle w:val="142"/>
        <w:ind w:firstLineChars="241" w:firstLine="586"/>
        <w:rPr>
          <w:rFonts w:hint="eastAsia"/>
        </w:rPr>
      </w:pPr>
      <w:r w:rsidRPr="00A20973">
        <w:t>資料來源</w:t>
      </w:r>
      <w:r w:rsidRPr="00A20973">
        <w:rPr>
          <w:rFonts w:hint="eastAsia"/>
        </w:rPr>
        <w:t>：</w:t>
      </w:r>
      <w:r w:rsidRPr="00A20973">
        <w:t>央行</w:t>
      </w:r>
      <w:r w:rsidRPr="00A20973">
        <w:rPr>
          <w:rFonts w:hint="eastAsia"/>
        </w:rPr>
        <w:t>。</w:t>
      </w:r>
    </w:p>
    <w:p w:rsidR="00F968C5" w:rsidRPr="00507BD2" w:rsidRDefault="00F968C5" w:rsidP="00F968C5">
      <w:pPr>
        <w:ind w:left="566" w:firstLine="566"/>
        <w:rPr>
          <w:rFonts w:hAnsi="標楷體" w:hint="eastAsia"/>
        </w:rPr>
      </w:pPr>
      <w:r w:rsidRPr="00507BD2">
        <w:rPr>
          <w:rFonts w:hAnsi="標楷體"/>
        </w:rPr>
        <w:t>綜上</w:t>
      </w:r>
      <w:r w:rsidRPr="00507BD2">
        <w:rPr>
          <w:rFonts w:hAnsi="標楷體" w:hint="eastAsia"/>
        </w:rPr>
        <w:t>，</w:t>
      </w:r>
      <w:r w:rsidRPr="00507BD2">
        <w:rPr>
          <w:rFonts w:hAnsi="標楷體"/>
        </w:rPr>
        <w:t>央行自</w:t>
      </w:r>
      <w:r w:rsidRPr="00507BD2">
        <w:rPr>
          <w:rFonts w:hAnsi="標楷體" w:hint="eastAsia"/>
        </w:rPr>
        <w:t>1</w:t>
      </w:r>
      <w:r w:rsidRPr="00507BD2">
        <w:rPr>
          <w:rFonts w:hAnsi="標楷體"/>
        </w:rPr>
        <w:t>03年度起啟動</w:t>
      </w:r>
      <w:r w:rsidR="0072196A">
        <w:rPr>
          <w:rFonts w:hAnsi="標楷體" w:hint="eastAsia"/>
        </w:rPr>
        <w:t>「</w:t>
      </w:r>
      <w:r w:rsidRPr="00507BD2">
        <w:rPr>
          <w:rFonts w:hAnsi="標楷體" w:hint="eastAsia"/>
        </w:rPr>
        <w:t>硬幣再流通計畫</w:t>
      </w:r>
      <w:r w:rsidR="0072196A">
        <w:rPr>
          <w:rFonts w:hAnsi="標楷體" w:hint="eastAsia"/>
        </w:rPr>
        <w:t>」</w:t>
      </w:r>
      <w:r w:rsidRPr="00507BD2">
        <w:rPr>
          <w:rFonts w:hAnsi="標楷體" w:hint="eastAsia"/>
        </w:rPr>
        <w:t>，</w:t>
      </w:r>
      <w:r w:rsidR="00F575B1">
        <w:rPr>
          <w:rFonts w:hAnsi="標楷體" w:hint="eastAsia"/>
        </w:rPr>
        <w:t>並</w:t>
      </w:r>
      <w:r w:rsidR="0072196A">
        <w:rPr>
          <w:rFonts w:hAnsi="標楷體" w:hint="eastAsia"/>
        </w:rPr>
        <w:t>於107年度擴大回收據點</w:t>
      </w:r>
      <w:r w:rsidR="00585329">
        <w:rPr>
          <w:rFonts w:hAnsi="標楷體" w:hint="eastAsia"/>
        </w:rPr>
        <w:t>，冀使民眾家藏硬幣回收利用</w:t>
      </w:r>
      <w:r w:rsidR="00F575B1">
        <w:rPr>
          <w:rFonts w:hAnsi="標楷體" w:hint="eastAsia"/>
        </w:rPr>
        <w:t>。計畫推動以來，</w:t>
      </w:r>
      <w:r w:rsidR="0072196A" w:rsidRPr="0072196A">
        <w:rPr>
          <w:rFonts w:hAnsi="標楷體" w:hint="eastAsia"/>
        </w:rPr>
        <w:t>硬幣回收量隨設置機臺數逐年遞增，平均回收量介於每臺18萬枚至22萬枚間，</w:t>
      </w:r>
      <w:r w:rsidR="0072196A">
        <w:rPr>
          <w:rFonts w:hAnsi="標楷體" w:hint="eastAsia"/>
        </w:rPr>
        <w:t>惟</w:t>
      </w:r>
      <w:r w:rsidR="0072196A" w:rsidRPr="0072196A">
        <w:rPr>
          <w:rFonts w:hAnsi="標楷體" w:hint="eastAsia"/>
        </w:rPr>
        <w:t>112年度新增硬幣發行量減幅趨緩，僅較111年度減少131萬枚，</w:t>
      </w:r>
      <w:r w:rsidR="0072196A">
        <w:rPr>
          <w:rFonts w:hAnsi="標楷體" w:hint="eastAsia"/>
        </w:rPr>
        <w:t>為</w:t>
      </w:r>
      <w:r w:rsidR="00F575B1">
        <w:rPr>
          <w:rFonts w:hAnsi="標楷體" w:hint="eastAsia"/>
        </w:rPr>
        <w:t>降低發行費用，允宜加強推動，俾撙節鑄幣成本。</w:t>
      </w:r>
    </w:p>
    <w:p w:rsidR="00A20973" w:rsidRPr="00507BD2" w:rsidRDefault="00A20973" w:rsidP="00F575B1">
      <w:pPr>
        <w:ind w:left="566" w:firstLine="566"/>
        <w:rPr>
          <w:rFonts w:hint="eastAsia"/>
        </w:rPr>
      </w:pPr>
    </w:p>
    <w:p w:rsidR="00191185" w:rsidRPr="00507BD2" w:rsidRDefault="00A539CE" w:rsidP="00191185">
      <w:pPr>
        <w:pStyle w:val="14"/>
        <w:ind w:left="567" w:hanging="567"/>
        <w:rPr>
          <w:rFonts w:hAnsi="標楷體" w:hint="eastAsia"/>
        </w:rPr>
      </w:pPr>
      <w:bookmarkStart w:id="16" w:name="_Toc181965731"/>
      <w:r w:rsidRPr="00507BD2">
        <w:rPr>
          <w:rFonts w:hAnsi="標楷體" w:hint="eastAsia"/>
        </w:rPr>
        <w:t>七</w:t>
      </w:r>
      <w:r w:rsidR="00191185" w:rsidRPr="00507BD2">
        <w:rPr>
          <w:rFonts w:hAnsi="標楷體" w:hint="eastAsia"/>
        </w:rPr>
        <w:t>、</w:t>
      </w:r>
      <w:r w:rsidR="009F1980">
        <w:rPr>
          <w:rFonts w:hAnsi="標楷體" w:hint="eastAsia"/>
        </w:rPr>
        <w:t>近</w:t>
      </w:r>
      <w:r w:rsidR="00C63DAB">
        <w:rPr>
          <w:rFonts w:hAnsi="標楷體" w:hint="eastAsia"/>
        </w:rPr>
        <w:t>年</w:t>
      </w:r>
      <w:r w:rsidR="009F1980">
        <w:rPr>
          <w:rFonts w:hAnsi="標楷體" w:hint="eastAsia"/>
        </w:rPr>
        <w:t>來</w:t>
      </w:r>
      <w:r w:rsidR="00B65ACA">
        <w:rPr>
          <w:rFonts w:hAnsi="標楷體" w:hint="eastAsia"/>
        </w:rPr>
        <w:t>金融帳</w:t>
      </w:r>
      <w:r w:rsidR="00714B26">
        <w:rPr>
          <w:rFonts w:hAnsi="標楷體" w:hint="eastAsia"/>
        </w:rPr>
        <w:t>呈現資金</w:t>
      </w:r>
      <w:r w:rsidR="00C63DAB">
        <w:rPr>
          <w:rFonts w:hAnsi="標楷體" w:hint="eastAsia"/>
        </w:rPr>
        <w:t>大幅</w:t>
      </w:r>
      <w:r w:rsidR="00714B26">
        <w:rPr>
          <w:rFonts w:hAnsi="標楷體" w:hint="eastAsia"/>
        </w:rPr>
        <w:t>流出現象</w:t>
      </w:r>
      <w:r w:rsidR="009F1980">
        <w:rPr>
          <w:rFonts w:hAnsi="標楷體" w:hint="eastAsia"/>
        </w:rPr>
        <w:t>，鑒於</w:t>
      </w:r>
      <w:r w:rsidR="00386398">
        <w:rPr>
          <w:rFonts w:hAnsi="標楷體" w:hint="eastAsia"/>
        </w:rPr>
        <w:t>現有</w:t>
      </w:r>
      <w:r w:rsidR="009F1980">
        <w:rPr>
          <w:rFonts w:hAnsi="標楷體" w:hint="eastAsia"/>
        </w:rPr>
        <w:t>地緣政治風險升高，部分國家貨幣政策調整及美國選</w:t>
      </w:r>
      <w:r w:rsidR="00106C58">
        <w:rPr>
          <w:rFonts w:hAnsi="標楷體" w:hint="eastAsia"/>
        </w:rPr>
        <w:t>後</w:t>
      </w:r>
      <w:r w:rsidR="00386398">
        <w:rPr>
          <w:rFonts w:hAnsi="標楷體" w:hint="eastAsia"/>
        </w:rPr>
        <w:t>政策走向</w:t>
      </w:r>
      <w:r w:rsidR="009F1980">
        <w:rPr>
          <w:rFonts w:hAnsi="標楷體" w:hint="eastAsia"/>
        </w:rPr>
        <w:t>等</w:t>
      </w:r>
      <w:r w:rsidR="00386398">
        <w:rPr>
          <w:rFonts w:hAnsi="標楷體" w:hint="eastAsia"/>
        </w:rPr>
        <w:t>不確定</w:t>
      </w:r>
      <w:r w:rsidR="009F1980">
        <w:rPr>
          <w:rFonts w:hAnsi="標楷體" w:hint="eastAsia"/>
        </w:rPr>
        <w:t>因素，允宜密切</w:t>
      </w:r>
      <w:r w:rsidR="009F541B">
        <w:rPr>
          <w:rFonts w:hAnsi="標楷體" w:hint="eastAsia"/>
        </w:rPr>
        <w:t>觀察</w:t>
      </w:r>
      <w:r w:rsidR="004332AD">
        <w:rPr>
          <w:rFonts w:hAnsi="標楷體" w:hint="eastAsia"/>
        </w:rPr>
        <w:t>資金流</w:t>
      </w:r>
      <w:r w:rsidR="009F1980">
        <w:rPr>
          <w:rFonts w:hAnsi="標楷體" w:hint="eastAsia"/>
        </w:rPr>
        <w:t>向，俾</w:t>
      </w:r>
      <w:r w:rsidR="00087DC4">
        <w:rPr>
          <w:rFonts w:hAnsi="標楷體" w:hint="eastAsia"/>
        </w:rPr>
        <w:t>維護金融及匯率穩定</w:t>
      </w:r>
      <w:bookmarkEnd w:id="16"/>
    </w:p>
    <w:p w:rsidR="00191185" w:rsidRPr="00507BD2" w:rsidRDefault="00843EBA" w:rsidP="00191185">
      <w:pPr>
        <w:ind w:left="566" w:firstLine="566"/>
        <w:rPr>
          <w:rFonts w:hAnsi="標楷體" w:hint="eastAsia"/>
        </w:rPr>
      </w:pPr>
      <w:r w:rsidRPr="00507BD2">
        <w:rPr>
          <w:rFonts w:hAnsi="標楷體" w:hint="eastAsia"/>
        </w:rPr>
        <w:t>央行依中央銀行法第33</w:t>
      </w:r>
      <w:r>
        <w:rPr>
          <w:rFonts w:hAnsi="標楷體" w:hint="eastAsia"/>
        </w:rPr>
        <w:t>及34</w:t>
      </w:r>
      <w:r w:rsidRPr="00507BD2">
        <w:rPr>
          <w:rFonts w:hAnsi="標楷體" w:hint="eastAsia"/>
        </w:rPr>
        <w:t>條規定</w:t>
      </w:r>
      <w:r w:rsidRPr="00507BD2">
        <w:rPr>
          <w:rStyle w:val="af1"/>
          <w:rFonts w:hAnsi="標楷體"/>
        </w:rPr>
        <w:footnoteReference w:id="8"/>
      </w:r>
      <w:r w:rsidRPr="00507BD2">
        <w:rPr>
          <w:rFonts w:hAnsi="標楷體" w:hint="eastAsia"/>
        </w:rPr>
        <w:t>持有外匯，用以調節外匯供需，並維持外匯市場秩序</w:t>
      </w:r>
      <w:r>
        <w:rPr>
          <w:rFonts w:hAnsi="標楷體" w:hint="eastAsia"/>
        </w:rPr>
        <w:t>，</w:t>
      </w:r>
      <w:r w:rsidRPr="00843EBA">
        <w:rPr>
          <w:rFonts w:hAnsi="標楷體" w:hint="eastAsia"/>
        </w:rPr>
        <w:t>114年度預算案於「貳、經營政策」</w:t>
      </w:r>
      <w:r w:rsidR="007F0EA4">
        <w:rPr>
          <w:rFonts w:hAnsi="標楷體" w:hint="eastAsia"/>
        </w:rPr>
        <w:t>-</w:t>
      </w:r>
      <w:r w:rsidR="007F0EA4">
        <w:rPr>
          <w:rFonts w:hAnsi="標楷體"/>
        </w:rPr>
        <w:t>「</w:t>
      </w:r>
      <w:r w:rsidR="007F0EA4">
        <w:rPr>
          <w:rFonts w:hAnsi="標楷體" w:hint="eastAsia"/>
        </w:rPr>
        <w:t>三</w:t>
      </w:r>
      <w:r w:rsidR="007F0EA4">
        <w:rPr>
          <w:rFonts w:hAnsi="標楷體"/>
        </w:rPr>
        <w:t>、外匯管理」</w:t>
      </w:r>
      <w:r w:rsidRPr="00843EBA">
        <w:rPr>
          <w:rFonts w:hAnsi="標楷體" w:hint="eastAsia"/>
        </w:rPr>
        <w:t>列有「密切注意國際金融動態及跨境資金移動，並強化外資資金進出管理機制，維護國內金融市場穩定」</w:t>
      </w:r>
      <w:r w:rsidR="00573750">
        <w:rPr>
          <w:rFonts w:hAnsi="標楷體" w:hint="eastAsia"/>
        </w:rPr>
        <w:t>。經查</w:t>
      </w:r>
      <w:r w:rsidR="00191185" w:rsidRPr="00507BD2">
        <w:rPr>
          <w:rFonts w:hAnsi="標楷體" w:hint="eastAsia"/>
        </w:rPr>
        <w:t>：</w:t>
      </w:r>
    </w:p>
    <w:p w:rsidR="00191185" w:rsidRPr="007F0EA4" w:rsidRDefault="00191185" w:rsidP="00191185">
      <w:pPr>
        <w:pStyle w:val="a4"/>
        <w:rPr>
          <w:rFonts w:hint="eastAsia"/>
          <w:b/>
          <w:spacing w:val="-7"/>
        </w:rPr>
      </w:pPr>
      <w:r w:rsidRPr="00507BD2">
        <w:rPr>
          <w:rFonts w:hint="eastAsia"/>
          <w:b/>
        </w:rPr>
        <w:t>(一)</w:t>
      </w:r>
      <w:r w:rsidR="00C63DAB" w:rsidRPr="007F0EA4">
        <w:rPr>
          <w:rFonts w:hint="eastAsia"/>
          <w:b/>
          <w:spacing w:val="-7"/>
        </w:rPr>
        <w:t>我國金融帳</w:t>
      </w:r>
      <w:r w:rsidR="007F0EA4" w:rsidRPr="007F0EA4">
        <w:rPr>
          <w:rFonts w:hint="eastAsia"/>
          <w:b/>
          <w:spacing w:val="-7"/>
        </w:rPr>
        <w:t>流出數</w:t>
      </w:r>
      <w:r w:rsidR="006D6134" w:rsidRPr="007F0EA4">
        <w:rPr>
          <w:rFonts w:hint="eastAsia"/>
          <w:b/>
          <w:spacing w:val="-7"/>
        </w:rPr>
        <w:t>自109年</w:t>
      </w:r>
      <w:r w:rsidR="00917E57" w:rsidRPr="007F0EA4">
        <w:rPr>
          <w:rFonts w:hint="eastAsia"/>
          <w:b/>
          <w:spacing w:val="-7"/>
        </w:rPr>
        <w:t>度</w:t>
      </w:r>
      <w:r w:rsidR="00917E57" w:rsidRPr="007F0EA4">
        <w:rPr>
          <w:b/>
          <w:spacing w:val="-7"/>
        </w:rPr>
        <w:t>490</w:t>
      </w:r>
      <w:r w:rsidR="00917E57" w:rsidRPr="007F0EA4">
        <w:rPr>
          <w:rFonts w:hint="eastAsia"/>
          <w:b/>
          <w:spacing w:val="-7"/>
        </w:rPr>
        <w:t>萬</w:t>
      </w:r>
      <w:r w:rsidR="00917E57" w:rsidRPr="007F0EA4">
        <w:rPr>
          <w:b/>
          <w:spacing w:val="-7"/>
        </w:rPr>
        <w:t>7,400</w:t>
      </w:r>
      <w:r w:rsidR="00C7605F" w:rsidRPr="007F0EA4">
        <w:rPr>
          <w:rFonts w:hint="eastAsia"/>
          <w:b/>
          <w:spacing w:val="-7"/>
        </w:rPr>
        <w:t>萬</w:t>
      </w:r>
      <w:r w:rsidR="006D6134" w:rsidRPr="007F0EA4">
        <w:rPr>
          <w:rFonts w:hint="eastAsia"/>
          <w:b/>
          <w:spacing w:val="-7"/>
        </w:rPr>
        <w:t>美元</w:t>
      </w:r>
      <w:r w:rsidR="00C63DAB" w:rsidRPr="007F0EA4">
        <w:rPr>
          <w:rFonts w:hint="eastAsia"/>
          <w:b/>
          <w:spacing w:val="-7"/>
        </w:rPr>
        <w:t>遽增</w:t>
      </w:r>
      <w:r w:rsidR="006D6134" w:rsidRPr="007F0EA4">
        <w:rPr>
          <w:rFonts w:hint="eastAsia"/>
          <w:b/>
          <w:spacing w:val="-7"/>
        </w:rPr>
        <w:t>至</w:t>
      </w:r>
      <w:r w:rsidR="00917E57" w:rsidRPr="007F0EA4">
        <w:rPr>
          <w:rFonts w:hint="eastAsia"/>
          <w:b/>
          <w:spacing w:val="-7"/>
        </w:rPr>
        <w:t>110年度1</w:t>
      </w:r>
      <w:r w:rsidR="00F7329C" w:rsidRPr="007F0EA4">
        <w:rPr>
          <w:b/>
          <w:spacing w:val="-7"/>
        </w:rPr>
        <w:t>,</w:t>
      </w:r>
      <w:r w:rsidR="00917E57" w:rsidRPr="007F0EA4">
        <w:rPr>
          <w:rFonts w:hint="eastAsia"/>
          <w:b/>
          <w:spacing w:val="-7"/>
        </w:rPr>
        <w:t>063億4</w:t>
      </w:r>
      <w:r w:rsidR="00917E57" w:rsidRPr="007F0EA4">
        <w:rPr>
          <w:b/>
          <w:spacing w:val="-7"/>
        </w:rPr>
        <w:t>,</w:t>
      </w:r>
      <w:r w:rsidR="00917E57" w:rsidRPr="007F0EA4">
        <w:rPr>
          <w:rFonts w:hint="eastAsia"/>
          <w:b/>
          <w:spacing w:val="-7"/>
        </w:rPr>
        <w:t>9</w:t>
      </w:r>
      <w:r w:rsidR="00917E57" w:rsidRPr="007F0EA4">
        <w:rPr>
          <w:b/>
          <w:spacing w:val="-7"/>
        </w:rPr>
        <w:t>00</w:t>
      </w:r>
      <w:r w:rsidR="00917E57" w:rsidRPr="007F0EA4">
        <w:rPr>
          <w:rFonts w:hint="eastAsia"/>
          <w:b/>
          <w:spacing w:val="-7"/>
        </w:rPr>
        <w:t>萬美元，其後</w:t>
      </w:r>
      <w:r w:rsidR="00525288" w:rsidRPr="007F0EA4">
        <w:rPr>
          <w:rFonts w:hint="eastAsia"/>
          <w:b/>
          <w:spacing w:val="-7"/>
        </w:rPr>
        <w:t>逐年</w:t>
      </w:r>
      <w:r w:rsidR="00862059" w:rsidRPr="007F0EA4">
        <w:rPr>
          <w:rFonts w:hint="eastAsia"/>
          <w:b/>
          <w:spacing w:val="-7"/>
        </w:rPr>
        <w:t>略</w:t>
      </w:r>
      <w:r w:rsidR="00F7329C" w:rsidRPr="007F0EA4">
        <w:rPr>
          <w:rFonts w:hint="eastAsia"/>
          <w:b/>
          <w:spacing w:val="-7"/>
        </w:rPr>
        <w:t>減</w:t>
      </w:r>
      <w:r w:rsidR="00917E57" w:rsidRPr="007F0EA4">
        <w:rPr>
          <w:rFonts w:hint="eastAsia"/>
          <w:b/>
          <w:spacing w:val="-7"/>
        </w:rPr>
        <w:t>，113年</w:t>
      </w:r>
      <w:r w:rsidR="00F7329C" w:rsidRPr="007F0EA4">
        <w:rPr>
          <w:rFonts w:hint="eastAsia"/>
          <w:b/>
          <w:spacing w:val="-7"/>
        </w:rPr>
        <w:t>度</w:t>
      </w:r>
      <w:r w:rsidR="00714B26" w:rsidRPr="007F0EA4">
        <w:rPr>
          <w:rFonts w:hint="eastAsia"/>
          <w:b/>
          <w:spacing w:val="-7"/>
        </w:rPr>
        <w:t>第2季趨緩</w:t>
      </w:r>
    </w:p>
    <w:p w:rsidR="003B526C" w:rsidRDefault="003B526C" w:rsidP="003B526C">
      <w:pPr>
        <w:pStyle w:val="21"/>
        <w:ind w:left="850" w:firstLine="566"/>
      </w:pPr>
      <w:r>
        <w:rPr>
          <w:rFonts w:hint="eastAsia"/>
        </w:rPr>
        <w:t>據央行統計資料顯示</w:t>
      </w:r>
      <w:r w:rsidR="003A35CC">
        <w:rPr>
          <w:rFonts w:hint="eastAsia"/>
        </w:rPr>
        <w:t>(詳表1)</w:t>
      </w:r>
      <w:r>
        <w:rPr>
          <w:rFonts w:hint="eastAsia"/>
        </w:rPr>
        <w:t>，我國</w:t>
      </w:r>
      <w:r w:rsidR="00525288">
        <w:rPr>
          <w:rFonts w:hint="eastAsia"/>
        </w:rPr>
        <w:t>金融帳</w:t>
      </w:r>
      <w:r w:rsidR="00714B26">
        <w:rPr>
          <w:rFonts w:hint="eastAsia"/>
        </w:rPr>
        <w:t>呈現資金流出現象，</w:t>
      </w:r>
      <w:r w:rsidR="00C7605F">
        <w:rPr>
          <w:rFonts w:hint="eastAsia"/>
        </w:rPr>
        <w:t>自109</w:t>
      </w:r>
      <w:r>
        <w:rPr>
          <w:rFonts w:hint="eastAsia"/>
        </w:rPr>
        <w:t>年度</w:t>
      </w:r>
      <w:r w:rsidR="002C641F" w:rsidRPr="002C641F">
        <w:t>490</w:t>
      </w:r>
      <w:r w:rsidR="000C467F">
        <w:rPr>
          <w:rFonts w:hint="eastAsia"/>
        </w:rPr>
        <w:t>億</w:t>
      </w:r>
      <w:r w:rsidR="002C641F" w:rsidRPr="002C641F">
        <w:t>7,400</w:t>
      </w:r>
      <w:r w:rsidR="002C641F" w:rsidRPr="002C641F">
        <w:rPr>
          <w:rFonts w:hint="eastAsia"/>
        </w:rPr>
        <w:t>萬美元</w:t>
      </w:r>
      <w:r w:rsidR="00C63DAB">
        <w:rPr>
          <w:rFonts w:hint="eastAsia"/>
        </w:rPr>
        <w:t>遽</w:t>
      </w:r>
      <w:r w:rsidR="00714B26">
        <w:rPr>
          <w:rFonts w:hint="eastAsia"/>
        </w:rPr>
        <w:t>增</w:t>
      </w:r>
      <w:r w:rsidR="00C7605F">
        <w:rPr>
          <w:rFonts w:hint="eastAsia"/>
        </w:rPr>
        <w:t>至110年度</w:t>
      </w:r>
      <w:r w:rsidR="002C641F" w:rsidRPr="002C641F">
        <w:rPr>
          <w:rFonts w:hint="eastAsia"/>
        </w:rPr>
        <w:t>1</w:t>
      </w:r>
      <w:r w:rsidR="002C641F" w:rsidRPr="002C641F">
        <w:t>,</w:t>
      </w:r>
      <w:r w:rsidR="002C641F" w:rsidRPr="002C641F">
        <w:rPr>
          <w:rFonts w:hint="eastAsia"/>
        </w:rPr>
        <w:t>063億4</w:t>
      </w:r>
      <w:r w:rsidR="002C641F" w:rsidRPr="002C641F">
        <w:t>,</w:t>
      </w:r>
      <w:r w:rsidR="002C641F" w:rsidRPr="002C641F">
        <w:rPr>
          <w:rFonts w:hint="eastAsia"/>
        </w:rPr>
        <w:t>9</w:t>
      </w:r>
      <w:r w:rsidR="002C641F" w:rsidRPr="002C641F">
        <w:t>00</w:t>
      </w:r>
      <w:r w:rsidR="002C641F" w:rsidRPr="002C641F">
        <w:rPr>
          <w:rFonts w:hint="eastAsia"/>
        </w:rPr>
        <w:t>萬美元</w:t>
      </w:r>
      <w:r w:rsidR="00917E57">
        <w:rPr>
          <w:rFonts w:hint="eastAsia"/>
        </w:rPr>
        <w:t>，</w:t>
      </w:r>
      <w:r w:rsidR="002C641F">
        <w:rPr>
          <w:rFonts w:hint="eastAsia"/>
        </w:rPr>
        <w:t>其後</w:t>
      </w:r>
      <w:r w:rsidR="0005541B">
        <w:rPr>
          <w:rFonts w:hint="eastAsia"/>
        </w:rPr>
        <w:t>逐年</w:t>
      </w:r>
      <w:r w:rsidR="00862059">
        <w:rPr>
          <w:rFonts w:hint="eastAsia"/>
        </w:rPr>
        <w:t>略</w:t>
      </w:r>
      <w:r w:rsidR="0005541B">
        <w:rPr>
          <w:rFonts w:hint="eastAsia"/>
        </w:rPr>
        <w:t>減，</w:t>
      </w:r>
      <w:r w:rsidR="00862059">
        <w:t>113</w:t>
      </w:r>
      <w:r w:rsidR="00862059">
        <w:rPr>
          <w:rFonts w:hint="eastAsia"/>
        </w:rPr>
        <w:t>年</w:t>
      </w:r>
      <w:r w:rsidR="000C467F">
        <w:rPr>
          <w:rFonts w:hint="eastAsia"/>
        </w:rPr>
        <w:t>第2季</w:t>
      </w:r>
      <w:r w:rsidR="00714B26">
        <w:rPr>
          <w:rFonts w:hint="eastAsia"/>
        </w:rPr>
        <w:t>趨緩，</w:t>
      </w:r>
      <w:r w:rsidR="00C63DAB">
        <w:rPr>
          <w:rFonts w:hint="eastAsia"/>
        </w:rPr>
        <w:t>流出數</w:t>
      </w:r>
      <w:r w:rsidR="000C467F">
        <w:rPr>
          <w:rFonts w:hint="eastAsia"/>
        </w:rPr>
        <w:t>較上季</w:t>
      </w:r>
      <w:r w:rsidR="00525288">
        <w:rPr>
          <w:rFonts w:hint="eastAsia"/>
        </w:rPr>
        <w:t>減少</w:t>
      </w:r>
      <w:r w:rsidR="000C467F">
        <w:rPr>
          <w:rFonts w:hint="eastAsia"/>
        </w:rPr>
        <w:t>14</w:t>
      </w:r>
      <w:r w:rsidR="007F0EA4">
        <w:t>4</w:t>
      </w:r>
      <w:r w:rsidR="000C467F">
        <w:rPr>
          <w:rFonts w:hint="eastAsia"/>
        </w:rPr>
        <w:t>億4</w:t>
      </w:r>
      <w:r w:rsidR="000C467F">
        <w:t>,</w:t>
      </w:r>
      <w:r w:rsidR="000C467F">
        <w:rPr>
          <w:rFonts w:hint="eastAsia"/>
        </w:rPr>
        <w:t>700萬元(減幅49.79%)</w:t>
      </w:r>
      <w:r w:rsidR="00714B26">
        <w:rPr>
          <w:rFonts w:hint="eastAsia"/>
        </w:rPr>
        <w:t>。</w:t>
      </w:r>
      <w:r w:rsidR="00CB2CC6">
        <w:rPr>
          <w:rFonts w:hint="eastAsia"/>
        </w:rPr>
        <w:t>據央行</w:t>
      </w:r>
      <w:r w:rsidR="000C467F">
        <w:rPr>
          <w:rFonts w:hint="eastAsia"/>
        </w:rPr>
        <w:t>年報及季刊</w:t>
      </w:r>
      <w:r w:rsidR="00CB2CC6">
        <w:rPr>
          <w:rFonts w:hint="eastAsia"/>
        </w:rPr>
        <w:t>分析，乃</w:t>
      </w:r>
      <w:r w:rsidR="006E0CB7" w:rsidRPr="006E0CB7">
        <w:rPr>
          <w:rFonts w:hint="eastAsia"/>
        </w:rPr>
        <w:t>壽險</w:t>
      </w:r>
      <w:r w:rsidR="006E0CB7">
        <w:rPr>
          <w:rFonts w:hint="eastAsia"/>
        </w:rPr>
        <w:t>公司、</w:t>
      </w:r>
      <w:r w:rsidR="006E0CB7" w:rsidRPr="006E0CB7">
        <w:rPr>
          <w:rFonts w:hint="eastAsia"/>
        </w:rPr>
        <w:t>銀行</w:t>
      </w:r>
      <w:r w:rsidR="006E0CB7">
        <w:rPr>
          <w:rFonts w:hint="eastAsia"/>
        </w:rPr>
        <w:t>及</w:t>
      </w:r>
      <w:r w:rsidR="006E0CB7" w:rsidRPr="006E0CB7">
        <w:rPr>
          <w:rFonts w:hint="eastAsia"/>
        </w:rPr>
        <w:t>國內投信基金</w:t>
      </w:r>
      <w:r w:rsidR="007F0EA4">
        <w:rPr>
          <w:rFonts w:hint="eastAsia"/>
        </w:rPr>
        <w:t>等</w:t>
      </w:r>
      <w:r w:rsidR="006E0CB7" w:rsidRPr="006E0CB7">
        <w:rPr>
          <w:rFonts w:hint="eastAsia"/>
        </w:rPr>
        <w:t>投資</w:t>
      </w:r>
      <w:r w:rsidR="00AA23F0">
        <w:rPr>
          <w:rFonts w:hint="eastAsia"/>
        </w:rPr>
        <w:t>(受託買賣)</w:t>
      </w:r>
      <w:r w:rsidR="006E0CB7">
        <w:rPr>
          <w:rFonts w:hint="eastAsia"/>
        </w:rPr>
        <w:t>國外有價證券</w:t>
      </w:r>
      <w:r w:rsidR="00714B26">
        <w:rPr>
          <w:rFonts w:hint="eastAsia"/>
        </w:rPr>
        <w:t>所致</w:t>
      </w:r>
      <w:r w:rsidR="00CF69FC">
        <w:rPr>
          <w:rFonts w:hint="eastAsia"/>
        </w:rPr>
        <w:t>，顯示我國雖</w:t>
      </w:r>
      <w:r w:rsidR="00CF69FC" w:rsidRPr="00243BD0">
        <w:rPr>
          <w:rFonts w:hint="eastAsia"/>
        </w:rPr>
        <w:t>出口強勁</w:t>
      </w:r>
      <w:r w:rsidR="00CF69FC">
        <w:rPr>
          <w:rFonts w:hint="eastAsia"/>
        </w:rPr>
        <w:t>，</w:t>
      </w:r>
      <w:r w:rsidR="00454C27">
        <w:rPr>
          <w:rFonts w:hint="eastAsia"/>
        </w:rPr>
        <w:t>帶動經濟發展</w:t>
      </w:r>
      <w:r w:rsidR="00CF69FC">
        <w:rPr>
          <w:rFonts w:hint="eastAsia"/>
        </w:rPr>
        <w:t>，</w:t>
      </w:r>
      <w:r w:rsidR="00CF69FC" w:rsidRPr="00306A95">
        <w:rPr>
          <w:rFonts w:hint="eastAsia"/>
        </w:rPr>
        <w:t>金融機構</w:t>
      </w:r>
      <w:r w:rsidR="00AA23F0">
        <w:rPr>
          <w:rFonts w:hint="eastAsia"/>
        </w:rPr>
        <w:t>及國人</w:t>
      </w:r>
      <w:r w:rsidR="00CF69FC" w:rsidRPr="00306A95">
        <w:rPr>
          <w:rFonts w:hint="eastAsia"/>
        </w:rPr>
        <w:t>投資策略</w:t>
      </w:r>
      <w:r w:rsidR="00AA23F0">
        <w:rPr>
          <w:rFonts w:hint="eastAsia"/>
        </w:rPr>
        <w:t>囿於國內為維持經濟發展之低利率環境，</w:t>
      </w:r>
      <w:r w:rsidR="00CF69FC">
        <w:rPr>
          <w:rFonts w:hint="eastAsia"/>
        </w:rPr>
        <w:t>尋求更高收益而</w:t>
      </w:r>
      <w:r w:rsidR="00CF69FC" w:rsidRPr="00306A95">
        <w:rPr>
          <w:rFonts w:hint="eastAsia"/>
        </w:rPr>
        <w:t>轉向國際市場</w:t>
      </w:r>
      <w:r w:rsidR="00194425">
        <w:rPr>
          <w:rFonts w:hint="eastAsia"/>
        </w:rPr>
        <w:t>；</w:t>
      </w:r>
      <w:r w:rsidR="006E0CB7">
        <w:rPr>
          <w:rFonts w:hint="eastAsia"/>
        </w:rPr>
        <w:t>另外資於111年度</w:t>
      </w:r>
      <w:r w:rsidR="006E0CB7" w:rsidRPr="006E0CB7">
        <w:rPr>
          <w:rFonts w:hint="eastAsia"/>
        </w:rPr>
        <w:t>減持國內股票</w:t>
      </w:r>
      <w:r w:rsidR="006E0CB7">
        <w:rPr>
          <w:rFonts w:hint="eastAsia"/>
        </w:rPr>
        <w:t>，</w:t>
      </w:r>
      <w:r w:rsidR="00454C27">
        <w:rPr>
          <w:rFonts w:hint="eastAsia"/>
        </w:rPr>
        <w:t>亦</w:t>
      </w:r>
      <w:r w:rsidR="006E0CB7">
        <w:rPr>
          <w:rFonts w:hint="eastAsia"/>
        </w:rPr>
        <w:t>加劇</w:t>
      </w:r>
      <w:r w:rsidR="00306B31">
        <w:rPr>
          <w:rFonts w:hint="eastAsia"/>
        </w:rPr>
        <w:t>金融帳</w:t>
      </w:r>
      <w:r w:rsidR="006E0CB7">
        <w:rPr>
          <w:rFonts w:hint="eastAsia"/>
        </w:rPr>
        <w:t>流出</w:t>
      </w:r>
      <w:r w:rsidR="00306B31">
        <w:rPr>
          <w:rFonts w:hint="eastAsia"/>
        </w:rPr>
        <w:t>現象</w:t>
      </w:r>
      <w:r w:rsidR="006E0CB7">
        <w:rPr>
          <w:rFonts w:hint="eastAsia"/>
        </w:rPr>
        <w:t>。</w:t>
      </w:r>
    </w:p>
    <w:p w:rsidR="003B526C" w:rsidRPr="00B63A8F" w:rsidRDefault="00243BD0" w:rsidP="00462773">
      <w:pPr>
        <w:pStyle w:val="a4"/>
        <w:ind w:leftChars="0" w:left="0" w:firstLineChars="0" w:firstLine="0"/>
        <w:rPr>
          <w:rFonts w:hint="eastAsia"/>
          <w:b/>
        </w:rPr>
      </w:pPr>
      <w:r w:rsidRPr="00462773">
        <w:rPr>
          <w:rFonts w:hint="eastAsia"/>
          <w:b/>
        </w:rPr>
        <w:t xml:space="preserve">表1 近年度各季國際收支簡表 </w:t>
      </w:r>
      <w:r w:rsidRPr="00243BD0">
        <w:rPr>
          <w:rFonts w:hint="eastAsia"/>
        </w:rPr>
        <w:t xml:space="preserve"> </w:t>
      </w:r>
      <w:r w:rsidRPr="00243BD0">
        <w:rPr>
          <w:rStyle w:val="201"/>
          <w:rFonts w:hint="eastAsia"/>
          <w:sz w:val="28"/>
        </w:rPr>
        <w:t xml:space="preserve">   </w:t>
      </w:r>
      <w:r w:rsidR="00462773">
        <w:rPr>
          <w:rStyle w:val="201"/>
          <w:rFonts w:hint="eastAsia"/>
          <w:sz w:val="28"/>
        </w:rPr>
        <w:t xml:space="preserve">   </w:t>
      </w:r>
      <w:r w:rsidRPr="00243BD0">
        <w:rPr>
          <w:rStyle w:val="201"/>
          <w:rFonts w:hint="eastAsia"/>
          <w:sz w:val="28"/>
        </w:rPr>
        <w:t xml:space="preserve">  </w:t>
      </w:r>
      <w:r w:rsidR="003B526C" w:rsidRPr="00243BD0">
        <w:rPr>
          <w:rStyle w:val="201"/>
          <w:rFonts w:hint="eastAsia"/>
          <w:sz w:val="28"/>
        </w:rPr>
        <w:t xml:space="preserve"> </w:t>
      </w:r>
      <w:r w:rsidR="003B526C" w:rsidRPr="00243BD0">
        <w:rPr>
          <w:rFonts w:hint="eastAsia"/>
        </w:rPr>
        <w:t xml:space="preserve">     </w:t>
      </w:r>
      <w:r w:rsidR="00462773">
        <w:rPr>
          <w:rFonts w:hint="eastAsia"/>
        </w:rPr>
        <w:t xml:space="preserve">  </w:t>
      </w:r>
      <w:r w:rsidR="003B526C" w:rsidRPr="00B63A8F">
        <w:rPr>
          <w:rFonts w:hint="eastAsia"/>
          <w:b/>
        </w:rPr>
        <w:t xml:space="preserve">   </w:t>
      </w:r>
      <w:r w:rsidR="003B526C" w:rsidRPr="00462773">
        <w:rPr>
          <w:rStyle w:val="143"/>
          <w:rFonts w:hint="eastAsia"/>
        </w:rPr>
        <w:t>單位：百萬美元</w:t>
      </w:r>
    </w:p>
    <w:tbl>
      <w:tblPr>
        <w:tblW w:w="0" w:type="auto"/>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656"/>
        <w:gridCol w:w="958"/>
        <w:gridCol w:w="958"/>
        <w:gridCol w:w="958"/>
        <w:gridCol w:w="958"/>
        <w:gridCol w:w="958"/>
        <w:gridCol w:w="958"/>
        <w:gridCol w:w="958"/>
      </w:tblGrid>
      <w:tr w:rsidR="003D5262" w:rsidRPr="004F3478" w:rsidTr="003D5262">
        <w:trPr>
          <w:trHeight w:val="340"/>
        </w:trPr>
        <w:tc>
          <w:tcPr>
            <w:tcW w:w="0" w:type="auto"/>
            <w:shd w:val="clear" w:color="auto" w:fill="auto"/>
            <w:noWrap/>
            <w:vAlign w:val="center"/>
            <w:hideMark/>
          </w:tcPr>
          <w:p w:rsidR="003D5262" w:rsidRPr="003D5262" w:rsidRDefault="003D5262" w:rsidP="003D5262">
            <w:pPr>
              <w:pStyle w:val="142"/>
              <w:jc w:val="center"/>
              <w:rPr>
                <w:b/>
              </w:rPr>
            </w:pPr>
            <w:r w:rsidRPr="003D5262">
              <w:rPr>
                <w:rFonts w:hint="eastAsia"/>
                <w:b/>
              </w:rPr>
              <w:t>項目</w:t>
            </w:r>
          </w:p>
        </w:tc>
        <w:tc>
          <w:tcPr>
            <w:tcW w:w="0" w:type="auto"/>
            <w:shd w:val="clear" w:color="auto" w:fill="auto"/>
            <w:noWrap/>
            <w:vAlign w:val="center"/>
            <w:hideMark/>
          </w:tcPr>
          <w:p w:rsidR="003D5262" w:rsidRPr="003D5262" w:rsidRDefault="003D5262" w:rsidP="003D5262">
            <w:pPr>
              <w:pStyle w:val="142"/>
              <w:jc w:val="center"/>
              <w:rPr>
                <w:rFonts w:hint="eastAsia"/>
                <w:b/>
              </w:rPr>
            </w:pPr>
            <w:r w:rsidRPr="003D5262">
              <w:rPr>
                <w:rFonts w:hint="eastAsia"/>
                <w:b/>
              </w:rPr>
              <w:t>108年度</w:t>
            </w:r>
          </w:p>
        </w:tc>
        <w:tc>
          <w:tcPr>
            <w:tcW w:w="0" w:type="auto"/>
            <w:shd w:val="clear" w:color="auto" w:fill="auto"/>
            <w:noWrap/>
            <w:vAlign w:val="center"/>
            <w:hideMark/>
          </w:tcPr>
          <w:p w:rsidR="003D5262" w:rsidRPr="003D5262" w:rsidRDefault="003D5262" w:rsidP="003D5262">
            <w:pPr>
              <w:pStyle w:val="142"/>
              <w:jc w:val="center"/>
              <w:rPr>
                <w:rFonts w:hint="eastAsia"/>
                <w:b/>
              </w:rPr>
            </w:pPr>
            <w:r w:rsidRPr="003D5262">
              <w:rPr>
                <w:rFonts w:hint="eastAsia"/>
                <w:b/>
              </w:rPr>
              <w:t>109年度</w:t>
            </w:r>
          </w:p>
        </w:tc>
        <w:tc>
          <w:tcPr>
            <w:tcW w:w="0" w:type="auto"/>
            <w:shd w:val="clear" w:color="auto" w:fill="auto"/>
            <w:noWrap/>
            <w:vAlign w:val="center"/>
            <w:hideMark/>
          </w:tcPr>
          <w:p w:rsidR="003D5262" w:rsidRPr="003D5262" w:rsidRDefault="003D5262" w:rsidP="003D5262">
            <w:pPr>
              <w:pStyle w:val="142"/>
              <w:jc w:val="center"/>
              <w:rPr>
                <w:rFonts w:hint="eastAsia"/>
                <w:b/>
              </w:rPr>
            </w:pPr>
            <w:r w:rsidRPr="003D5262">
              <w:rPr>
                <w:rFonts w:hint="eastAsia"/>
                <w:b/>
              </w:rPr>
              <w:t>110年度</w:t>
            </w:r>
          </w:p>
        </w:tc>
        <w:tc>
          <w:tcPr>
            <w:tcW w:w="0" w:type="auto"/>
            <w:shd w:val="clear" w:color="auto" w:fill="auto"/>
            <w:noWrap/>
            <w:vAlign w:val="center"/>
            <w:hideMark/>
          </w:tcPr>
          <w:p w:rsidR="003D5262" w:rsidRPr="003D5262" w:rsidRDefault="003D5262" w:rsidP="003D5262">
            <w:pPr>
              <w:pStyle w:val="142"/>
              <w:jc w:val="center"/>
              <w:rPr>
                <w:rFonts w:hint="eastAsia"/>
                <w:b/>
              </w:rPr>
            </w:pPr>
            <w:r w:rsidRPr="003D5262">
              <w:rPr>
                <w:rFonts w:hint="eastAsia"/>
                <w:b/>
              </w:rPr>
              <w:t>111年度</w:t>
            </w:r>
          </w:p>
        </w:tc>
        <w:tc>
          <w:tcPr>
            <w:tcW w:w="0" w:type="auto"/>
            <w:shd w:val="clear" w:color="auto" w:fill="auto"/>
            <w:noWrap/>
            <w:vAlign w:val="center"/>
            <w:hideMark/>
          </w:tcPr>
          <w:p w:rsidR="003D5262" w:rsidRPr="003D5262" w:rsidRDefault="003D5262" w:rsidP="003D5262">
            <w:pPr>
              <w:pStyle w:val="142"/>
              <w:jc w:val="center"/>
              <w:rPr>
                <w:rFonts w:hint="eastAsia"/>
                <w:b/>
              </w:rPr>
            </w:pPr>
            <w:r w:rsidRPr="003D5262">
              <w:rPr>
                <w:rFonts w:hint="eastAsia"/>
                <w:b/>
              </w:rPr>
              <w:t>112年度</w:t>
            </w:r>
          </w:p>
        </w:tc>
        <w:tc>
          <w:tcPr>
            <w:tcW w:w="0" w:type="auto"/>
            <w:shd w:val="clear" w:color="auto" w:fill="auto"/>
            <w:noWrap/>
            <w:vAlign w:val="center"/>
            <w:hideMark/>
          </w:tcPr>
          <w:p w:rsidR="003D5262" w:rsidRPr="003D5262" w:rsidRDefault="003D5262" w:rsidP="003D5262">
            <w:pPr>
              <w:pStyle w:val="142"/>
              <w:jc w:val="center"/>
              <w:rPr>
                <w:b/>
              </w:rPr>
            </w:pPr>
            <w:r w:rsidRPr="003D5262">
              <w:rPr>
                <w:rFonts w:hint="eastAsia"/>
                <w:b/>
              </w:rPr>
              <w:t>113年度</w:t>
            </w:r>
          </w:p>
          <w:p w:rsidR="003D5262" w:rsidRPr="003D5262" w:rsidRDefault="003D5262" w:rsidP="003D5262">
            <w:pPr>
              <w:pStyle w:val="142"/>
              <w:jc w:val="center"/>
              <w:rPr>
                <w:rFonts w:hint="eastAsia"/>
                <w:b/>
              </w:rPr>
            </w:pPr>
            <w:r w:rsidRPr="003D5262">
              <w:rPr>
                <w:rFonts w:hint="eastAsia"/>
                <w:b/>
              </w:rPr>
              <w:t>第1季</w:t>
            </w:r>
          </w:p>
        </w:tc>
        <w:tc>
          <w:tcPr>
            <w:tcW w:w="0" w:type="auto"/>
            <w:shd w:val="clear" w:color="auto" w:fill="auto"/>
            <w:noWrap/>
            <w:vAlign w:val="center"/>
            <w:hideMark/>
          </w:tcPr>
          <w:p w:rsidR="003D5262" w:rsidRPr="003D5262" w:rsidRDefault="003D5262" w:rsidP="003D5262">
            <w:pPr>
              <w:pStyle w:val="142"/>
              <w:jc w:val="center"/>
              <w:rPr>
                <w:b/>
              </w:rPr>
            </w:pPr>
            <w:r w:rsidRPr="003D5262">
              <w:rPr>
                <w:rFonts w:hint="eastAsia"/>
                <w:b/>
              </w:rPr>
              <w:t>113年度</w:t>
            </w:r>
          </w:p>
          <w:p w:rsidR="003D5262" w:rsidRPr="003D5262" w:rsidRDefault="003D5262" w:rsidP="003D5262">
            <w:pPr>
              <w:pStyle w:val="142"/>
              <w:jc w:val="center"/>
              <w:rPr>
                <w:rFonts w:hint="eastAsia"/>
                <w:b/>
              </w:rPr>
            </w:pPr>
            <w:r w:rsidRPr="003D5262">
              <w:rPr>
                <w:rFonts w:hint="eastAsia"/>
                <w:b/>
              </w:rPr>
              <w:t>第2季</w:t>
            </w:r>
          </w:p>
        </w:tc>
      </w:tr>
      <w:tr w:rsidR="003D5262" w:rsidRPr="004F3478" w:rsidTr="003D5262">
        <w:trPr>
          <w:trHeight w:val="390"/>
        </w:trPr>
        <w:tc>
          <w:tcPr>
            <w:tcW w:w="0" w:type="auto"/>
            <w:shd w:val="clear" w:color="auto" w:fill="auto"/>
            <w:vAlign w:val="center"/>
            <w:hideMark/>
          </w:tcPr>
          <w:p w:rsidR="003D5262" w:rsidRPr="003D5262" w:rsidRDefault="003D5262" w:rsidP="003D5262">
            <w:pPr>
              <w:pStyle w:val="142"/>
              <w:jc w:val="both"/>
              <w:rPr>
                <w:rFonts w:hint="eastAsia"/>
                <w:spacing w:val="-20"/>
              </w:rPr>
            </w:pPr>
            <w:r w:rsidRPr="003D5262">
              <w:rPr>
                <w:rFonts w:hint="eastAsia"/>
                <w:spacing w:val="-20"/>
              </w:rPr>
              <w:t>A.經常帳</w:t>
            </w:r>
          </w:p>
        </w:tc>
        <w:tc>
          <w:tcPr>
            <w:tcW w:w="0" w:type="auto"/>
            <w:shd w:val="clear" w:color="auto" w:fill="auto"/>
            <w:vAlign w:val="center"/>
            <w:hideMark/>
          </w:tcPr>
          <w:p w:rsidR="003D5262" w:rsidRPr="003D5262" w:rsidRDefault="003D5262" w:rsidP="003D5262">
            <w:pPr>
              <w:pStyle w:val="142"/>
              <w:jc w:val="right"/>
              <w:rPr>
                <w:rFonts w:hint="eastAsia"/>
              </w:rPr>
            </w:pPr>
            <w:r w:rsidRPr="003D5262">
              <w:rPr>
                <w:rFonts w:hint="eastAsia"/>
              </w:rPr>
              <w:t>67,520</w:t>
            </w:r>
          </w:p>
        </w:tc>
        <w:tc>
          <w:tcPr>
            <w:tcW w:w="0" w:type="auto"/>
            <w:shd w:val="clear" w:color="auto" w:fill="auto"/>
            <w:vAlign w:val="center"/>
            <w:hideMark/>
          </w:tcPr>
          <w:p w:rsidR="003D5262" w:rsidRPr="003D5262" w:rsidRDefault="003D5262" w:rsidP="003D5262">
            <w:pPr>
              <w:pStyle w:val="142"/>
              <w:jc w:val="right"/>
              <w:rPr>
                <w:rFonts w:hint="eastAsia"/>
              </w:rPr>
            </w:pPr>
            <w:r w:rsidRPr="003D5262">
              <w:rPr>
                <w:rFonts w:hint="eastAsia"/>
              </w:rPr>
              <w:t>98,094</w:t>
            </w:r>
          </w:p>
        </w:tc>
        <w:tc>
          <w:tcPr>
            <w:tcW w:w="0" w:type="auto"/>
            <w:shd w:val="clear" w:color="auto" w:fill="auto"/>
            <w:vAlign w:val="center"/>
            <w:hideMark/>
          </w:tcPr>
          <w:p w:rsidR="003D5262" w:rsidRPr="003D5262" w:rsidRDefault="003D5262" w:rsidP="003D5262">
            <w:pPr>
              <w:pStyle w:val="142"/>
              <w:jc w:val="right"/>
              <w:rPr>
                <w:rFonts w:hint="eastAsia"/>
              </w:rPr>
            </w:pPr>
            <w:r w:rsidRPr="003D5262">
              <w:rPr>
                <w:rFonts w:hint="eastAsia"/>
              </w:rPr>
              <w:t>118,298</w:t>
            </w:r>
          </w:p>
        </w:tc>
        <w:tc>
          <w:tcPr>
            <w:tcW w:w="0" w:type="auto"/>
            <w:shd w:val="clear" w:color="auto" w:fill="auto"/>
            <w:vAlign w:val="center"/>
            <w:hideMark/>
          </w:tcPr>
          <w:p w:rsidR="003D5262" w:rsidRPr="003D5262" w:rsidRDefault="003D5262" w:rsidP="003D5262">
            <w:pPr>
              <w:pStyle w:val="142"/>
              <w:jc w:val="right"/>
              <w:rPr>
                <w:rFonts w:hint="eastAsia"/>
              </w:rPr>
            </w:pPr>
            <w:r w:rsidRPr="003D5262">
              <w:rPr>
                <w:rFonts w:hint="eastAsia"/>
              </w:rPr>
              <w:t>101,032</w:t>
            </w:r>
          </w:p>
        </w:tc>
        <w:tc>
          <w:tcPr>
            <w:tcW w:w="0" w:type="auto"/>
            <w:shd w:val="clear" w:color="auto" w:fill="auto"/>
            <w:vAlign w:val="center"/>
            <w:hideMark/>
          </w:tcPr>
          <w:p w:rsidR="003D5262" w:rsidRPr="003D5262" w:rsidRDefault="003D5262" w:rsidP="003D5262">
            <w:pPr>
              <w:pStyle w:val="142"/>
              <w:jc w:val="right"/>
              <w:rPr>
                <w:rFonts w:hint="eastAsia"/>
              </w:rPr>
            </w:pPr>
            <w:r w:rsidRPr="003D5262">
              <w:rPr>
                <w:rFonts w:hint="eastAsia"/>
              </w:rPr>
              <w:t>105,076</w:t>
            </w:r>
          </w:p>
        </w:tc>
        <w:tc>
          <w:tcPr>
            <w:tcW w:w="0" w:type="auto"/>
            <w:shd w:val="clear" w:color="auto" w:fill="auto"/>
            <w:vAlign w:val="center"/>
            <w:hideMark/>
          </w:tcPr>
          <w:p w:rsidR="003D5262" w:rsidRPr="003D5262" w:rsidRDefault="003D5262" w:rsidP="003D5262">
            <w:pPr>
              <w:pStyle w:val="142"/>
              <w:jc w:val="right"/>
              <w:rPr>
                <w:rFonts w:hint="eastAsia"/>
              </w:rPr>
            </w:pPr>
            <w:r w:rsidRPr="003D5262">
              <w:rPr>
                <w:rFonts w:hint="eastAsia"/>
              </w:rPr>
              <w:t>29,670</w:t>
            </w:r>
          </w:p>
        </w:tc>
        <w:tc>
          <w:tcPr>
            <w:tcW w:w="0" w:type="auto"/>
            <w:shd w:val="clear" w:color="auto" w:fill="auto"/>
            <w:vAlign w:val="center"/>
            <w:hideMark/>
          </w:tcPr>
          <w:p w:rsidR="003D5262" w:rsidRPr="003D5262" w:rsidRDefault="003D5262" w:rsidP="003D5262">
            <w:pPr>
              <w:pStyle w:val="142"/>
              <w:jc w:val="right"/>
              <w:rPr>
                <w:rFonts w:hint="eastAsia"/>
              </w:rPr>
            </w:pPr>
            <w:r w:rsidRPr="003D5262">
              <w:rPr>
                <w:rFonts w:hint="eastAsia"/>
              </w:rPr>
              <w:t>21,819</w:t>
            </w:r>
          </w:p>
        </w:tc>
      </w:tr>
      <w:tr w:rsidR="003D5262" w:rsidRPr="004F3478" w:rsidTr="003D5262">
        <w:trPr>
          <w:trHeight w:val="390"/>
        </w:trPr>
        <w:tc>
          <w:tcPr>
            <w:tcW w:w="0" w:type="auto"/>
            <w:shd w:val="clear" w:color="auto" w:fill="auto"/>
            <w:vAlign w:val="center"/>
            <w:hideMark/>
          </w:tcPr>
          <w:p w:rsidR="003D5262" w:rsidRPr="003D5262" w:rsidRDefault="003D5262" w:rsidP="003D5262">
            <w:pPr>
              <w:pStyle w:val="142"/>
              <w:jc w:val="both"/>
              <w:rPr>
                <w:rFonts w:hint="eastAsia"/>
                <w:spacing w:val="-20"/>
              </w:rPr>
            </w:pPr>
            <w:r w:rsidRPr="003D5262">
              <w:rPr>
                <w:rFonts w:hint="eastAsia"/>
                <w:spacing w:val="-20"/>
              </w:rPr>
              <w:t>B.資本帳</w:t>
            </w:r>
          </w:p>
        </w:tc>
        <w:tc>
          <w:tcPr>
            <w:tcW w:w="0" w:type="auto"/>
            <w:shd w:val="clear" w:color="auto" w:fill="auto"/>
            <w:vAlign w:val="center"/>
            <w:hideMark/>
          </w:tcPr>
          <w:p w:rsidR="003D5262" w:rsidRPr="003D5262" w:rsidRDefault="003D5262" w:rsidP="003D5262">
            <w:pPr>
              <w:pStyle w:val="142"/>
              <w:jc w:val="right"/>
              <w:rPr>
                <w:rFonts w:hint="eastAsia"/>
              </w:rPr>
            </w:pPr>
            <w:r w:rsidRPr="003D5262">
              <w:rPr>
                <w:rFonts w:hint="eastAsia"/>
              </w:rPr>
              <w:t>-3</w:t>
            </w:r>
          </w:p>
        </w:tc>
        <w:tc>
          <w:tcPr>
            <w:tcW w:w="0" w:type="auto"/>
            <w:shd w:val="clear" w:color="auto" w:fill="auto"/>
            <w:vAlign w:val="center"/>
            <w:hideMark/>
          </w:tcPr>
          <w:p w:rsidR="003D5262" w:rsidRPr="003D5262" w:rsidRDefault="003D5262" w:rsidP="003D5262">
            <w:pPr>
              <w:pStyle w:val="142"/>
              <w:jc w:val="right"/>
              <w:rPr>
                <w:rFonts w:hint="eastAsia"/>
              </w:rPr>
            </w:pPr>
            <w:r w:rsidRPr="003D5262">
              <w:rPr>
                <w:rFonts w:hint="eastAsia"/>
              </w:rPr>
              <w:t>-9</w:t>
            </w:r>
          </w:p>
        </w:tc>
        <w:tc>
          <w:tcPr>
            <w:tcW w:w="0" w:type="auto"/>
            <w:shd w:val="clear" w:color="auto" w:fill="auto"/>
            <w:vAlign w:val="center"/>
            <w:hideMark/>
          </w:tcPr>
          <w:p w:rsidR="003D5262" w:rsidRPr="003D5262" w:rsidRDefault="003D5262" w:rsidP="003D5262">
            <w:pPr>
              <w:pStyle w:val="142"/>
              <w:jc w:val="right"/>
              <w:rPr>
                <w:rFonts w:hint="eastAsia"/>
              </w:rPr>
            </w:pPr>
            <w:r w:rsidRPr="003D5262">
              <w:rPr>
                <w:rFonts w:hint="eastAsia"/>
              </w:rPr>
              <w:t>3</w:t>
            </w:r>
          </w:p>
        </w:tc>
        <w:tc>
          <w:tcPr>
            <w:tcW w:w="0" w:type="auto"/>
            <w:shd w:val="clear" w:color="auto" w:fill="auto"/>
            <w:vAlign w:val="center"/>
            <w:hideMark/>
          </w:tcPr>
          <w:p w:rsidR="003D5262" w:rsidRPr="003D5262" w:rsidRDefault="003D5262" w:rsidP="003D5262">
            <w:pPr>
              <w:pStyle w:val="142"/>
              <w:jc w:val="right"/>
              <w:rPr>
                <w:rFonts w:hint="eastAsia"/>
              </w:rPr>
            </w:pPr>
            <w:r w:rsidRPr="003D5262">
              <w:rPr>
                <w:rFonts w:hint="eastAsia"/>
              </w:rPr>
              <w:t>-46</w:t>
            </w:r>
          </w:p>
        </w:tc>
        <w:tc>
          <w:tcPr>
            <w:tcW w:w="0" w:type="auto"/>
            <w:shd w:val="clear" w:color="auto" w:fill="auto"/>
            <w:vAlign w:val="center"/>
            <w:hideMark/>
          </w:tcPr>
          <w:p w:rsidR="003D5262" w:rsidRPr="003D5262" w:rsidRDefault="003D5262" w:rsidP="003D5262">
            <w:pPr>
              <w:pStyle w:val="142"/>
              <w:jc w:val="right"/>
              <w:rPr>
                <w:rFonts w:hint="eastAsia"/>
              </w:rPr>
            </w:pPr>
            <w:r w:rsidRPr="003D5262">
              <w:rPr>
                <w:rFonts w:hint="eastAsia"/>
              </w:rPr>
              <w:t>-38</w:t>
            </w:r>
          </w:p>
        </w:tc>
        <w:tc>
          <w:tcPr>
            <w:tcW w:w="0" w:type="auto"/>
            <w:shd w:val="clear" w:color="auto" w:fill="auto"/>
            <w:vAlign w:val="center"/>
            <w:hideMark/>
          </w:tcPr>
          <w:p w:rsidR="003D5262" w:rsidRPr="003D5262" w:rsidRDefault="003D5262" w:rsidP="003D5262">
            <w:pPr>
              <w:pStyle w:val="142"/>
              <w:jc w:val="right"/>
              <w:rPr>
                <w:rFonts w:hint="eastAsia"/>
              </w:rPr>
            </w:pPr>
            <w:r w:rsidRPr="003D5262">
              <w:rPr>
                <w:rFonts w:hint="eastAsia"/>
              </w:rPr>
              <w:t>-4</w:t>
            </w:r>
          </w:p>
        </w:tc>
        <w:tc>
          <w:tcPr>
            <w:tcW w:w="0" w:type="auto"/>
            <w:shd w:val="clear" w:color="auto" w:fill="auto"/>
            <w:vAlign w:val="center"/>
            <w:hideMark/>
          </w:tcPr>
          <w:p w:rsidR="003D5262" w:rsidRPr="003D5262" w:rsidRDefault="003D5262" w:rsidP="003D5262">
            <w:pPr>
              <w:pStyle w:val="142"/>
              <w:jc w:val="right"/>
              <w:rPr>
                <w:rFonts w:hint="eastAsia"/>
              </w:rPr>
            </w:pPr>
            <w:r w:rsidRPr="003D5262">
              <w:rPr>
                <w:rFonts w:hint="eastAsia"/>
              </w:rPr>
              <w:t>11</w:t>
            </w:r>
          </w:p>
        </w:tc>
      </w:tr>
      <w:tr w:rsidR="003D5262" w:rsidRPr="004F3478" w:rsidTr="003D5262">
        <w:trPr>
          <w:trHeight w:val="390"/>
        </w:trPr>
        <w:tc>
          <w:tcPr>
            <w:tcW w:w="0" w:type="auto"/>
            <w:shd w:val="clear" w:color="auto" w:fill="auto"/>
            <w:vAlign w:val="center"/>
            <w:hideMark/>
          </w:tcPr>
          <w:p w:rsidR="003D5262" w:rsidRPr="003D5262" w:rsidRDefault="003D5262" w:rsidP="003D5262">
            <w:pPr>
              <w:pStyle w:val="142"/>
              <w:jc w:val="both"/>
              <w:rPr>
                <w:rFonts w:hint="eastAsia"/>
                <w:b/>
                <w:spacing w:val="-20"/>
              </w:rPr>
            </w:pPr>
            <w:r w:rsidRPr="003D5262">
              <w:rPr>
                <w:rFonts w:hint="eastAsia"/>
                <w:b/>
                <w:spacing w:val="-20"/>
              </w:rPr>
              <w:t>C.金融帳</w:t>
            </w:r>
          </w:p>
        </w:tc>
        <w:tc>
          <w:tcPr>
            <w:tcW w:w="0" w:type="auto"/>
            <w:shd w:val="clear" w:color="auto" w:fill="auto"/>
            <w:vAlign w:val="center"/>
            <w:hideMark/>
          </w:tcPr>
          <w:p w:rsidR="003D5262" w:rsidRPr="003D5262" w:rsidRDefault="003D5262" w:rsidP="003D5262">
            <w:pPr>
              <w:pStyle w:val="142"/>
              <w:jc w:val="right"/>
              <w:rPr>
                <w:rFonts w:hint="eastAsia"/>
                <w:b/>
              </w:rPr>
            </w:pPr>
            <w:r w:rsidRPr="003D5262">
              <w:rPr>
                <w:rFonts w:hint="eastAsia"/>
                <w:b/>
              </w:rPr>
              <w:t>60,223</w:t>
            </w:r>
          </w:p>
        </w:tc>
        <w:tc>
          <w:tcPr>
            <w:tcW w:w="0" w:type="auto"/>
            <w:shd w:val="clear" w:color="auto" w:fill="auto"/>
            <w:vAlign w:val="center"/>
            <w:hideMark/>
          </w:tcPr>
          <w:p w:rsidR="003D5262" w:rsidRPr="003D5262" w:rsidRDefault="003D5262" w:rsidP="003D5262">
            <w:pPr>
              <w:pStyle w:val="142"/>
              <w:jc w:val="right"/>
              <w:rPr>
                <w:rFonts w:hint="eastAsia"/>
                <w:b/>
              </w:rPr>
            </w:pPr>
            <w:r w:rsidRPr="003D5262">
              <w:rPr>
                <w:rFonts w:hint="eastAsia"/>
                <w:b/>
              </w:rPr>
              <w:t>49,074</w:t>
            </w:r>
          </w:p>
        </w:tc>
        <w:tc>
          <w:tcPr>
            <w:tcW w:w="0" w:type="auto"/>
            <w:shd w:val="clear" w:color="auto" w:fill="auto"/>
            <w:vAlign w:val="center"/>
            <w:hideMark/>
          </w:tcPr>
          <w:p w:rsidR="003D5262" w:rsidRPr="003D5262" w:rsidRDefault="003D5262" w:rsidP="003D5262">
            <w:pPr>
              <w:pStyle w:val="142"/>
              <w:jc w:val="right"/>
              <w:rPr>
                <w:rFonts w:hint="eastAsia"/>
                <w:b/>
              </w:rPr>
            </w:pPr>
            <w:r w:rsidRPr="003D5262">
              <w:rPr>
                <w:rFonts w:hint="eastAsia"/>
                <w:b/>
              </w:rPr>
              <w:t>106,349</w:t>
            </w:r>
          </w:p>
        </w:tc>
        <w:tc>
          <w:tcPr>
            <w:tcW w:w="0" w:type="auto"/>
            <w:shd w:val="clear" w:color="auto" w:fill="auto"/>
            <w:vAlign w:val="center"/>
            <w:hideMark/>
          </w:tcPr>
          <w:p w:rsidR="003D5262" w:rsidRPr="003D5262" w:rsidRDefault="003D5262" w:rsidP="003D5262">
            <w:pPr>
              <w:pStyle w:val="142"/>
              <w:jc w:val="right"/>
              <w:rPr>
                <w:rFonts w:hint="eastAsia"/>
                <w:b/>
              </w:rPr>
            </w:pPr>
            <w:r w:rsidRPr="003D5262">
              <w:rPr>
                <w:rFonts w:hint="eastAsia"/>
                <w:b/>
              </w:rPr>
              <w:t>94,561</w:t>
            </w:r>
          </w:p>
        </w:tc>
        <w:tc>
          <w:tcPr>
            <w:tcW w:w="0" w:type="auto"/>
            <w:shd w:val="clear" w:color="auto" w:fill="auto"/>
            <w:vAlign w:val="center"/>
            <w:hideMark/>
          </w:tcPr>
          <w:p w:rsidR="003D5262" w:rsidRPr="003D5262" w:rsidRDefault="003D5262" w:rsidP="003D5262">
            <w:pPr>
              <w:pStyle w:val="142"/>
              <w:jc w:val="right"/>
              <w:rPr>
                <w:rFonts w:hint="eastAsia"/>
                <w:b/>
              </w:rPr>
            </w:pPr>
            <w:r w:rsidRPr="003D5262">
              <w:rPr>
                <w:rFonts w:hint="eastAsia"/>
                <w:b/>
              </w:rPr>
              <w:t>84,086</w:t>
            </w:r>
          </w:p>
        </w:tc>
        <w:tc>
          <w:tcPr>
            <w:tcW w:w="0" w:type="auto"/>
            <w:shd w:val="clear" w:color="auto" w:fill="auto"/>
            <w:vAlign w:val="center"/>
            <w:hideMark/>
          </w:tcPr>
          <w:p w:rsidR="003D5262" w:rsidRPr="003D5262" w:rsidRDefault="003D5262" w:rsidP="003D5262">
            <w:pPr>
              <w:pStyle w:val="142"/>
              <w:jc w:val="right"/>
              <w:rPr>
                <w:rFonts w:hint="eastAsia"/>
                <w:b/>
              </w:rPr>
            </w:pPr>
            <w:r w:rsidRPr="003D5262">
              <w:rPr>
                <w:rFonts w:hint="eastAsia"/>
                <w:b/>
              </w:rPr>
              <w:t>29,018</w:t>
            </w:r>
          </w:p>
        </w:tc>
        <w:tc>
          <w:tcPr>
            <w:tcW w:w="0" w:type="auto"/>
            <w:shd w:val="clear" w:color="auto" w:fill="auto"/>
            <w:vAlign w:val="center"/>
            <w:hideMark/>
          </w:tcPr>
          <w:p w:rsidR="003D5262" w:rsidRPr="003D5262" w:rsidRDefault="003D5262" w:rsidP="003D5262">
            <w:pPr>
              <w:pStyle w:val="142"/>
              <w:jc w:val="right"/>
              <w:rPr>
                <w:rFonts w:hint="eastAsia"/>
                <w:b/>
              </w:rPr>
            </w:pPr>
            <w:r w:rsidRPr="003D5262">
              <w:rPr>
                <w:rFonts w:hint="eastAsia"/>
                <w:b/>
              </w:rPr>
              <w:t>14,571</w:t>
            </w:r>
          </w:p>
        </w:tc>
      </w:tr>
      <w:tr w:rsidR="003D5262" w:rsidRPr="004F3478" w:rsidTr="003D5262">
        <w:trPr>
          <w:trHeight w:val="390"/>
        </w:trPr>
        <w:tc>
          <w:tcPr>
            <w:tcW w:w="0" w:type="auto"/>
            <w:shd w:val="clear" w:color="auto" w:fill="auto"/>
            <w:vAlign w:val="center"/>
            <w:hideMark/>
          </w:tcPr>
          <w:p w:rsidR="003D5262" w:rsidRPr="003D5262" w:rsidRDefault="003D5262" w:rsidP="003D5262">
            <w:pPr>
              <w:pStyle w:val="142"/>
              <w:jc w:val="both"/>
              <w:rPr>
                <w:rFonts w:hint="eastAsia"/>
                <w:spacing w:val="-20"/>
              </w:rPr>
            </w:pPr>
            <w:r w:rsidRPr="003D5262">
              <w:rPr>
                <w:rFonts w:hint="eastAsia"/>
                <w:spacing w:val="-20"/>
              </w:rPr>
              <w:t>D.誤差與遺漏淨額</w:t>
            </w:r>
          </w:p>
        </w:tc>
        <w:tc>
          <w:tcPr>
            <w:tcW w:w="0" w:type="auto"/>
            <w:shd w:val="clear" w:color="auto" w:fill="auto"/>
            <w:vAlign w:val="center"/>
            <w:hideMark/>
          </w:tcPr>
          <w:p w:rsidR="003D5262" w:rsidRPr="003D5262" w:rsidRDefault="003D5262" w:rsidP="003D5262">
            <w:pPr>
              <w:pStyle w:val="142"/>
              <w:jc w:val="right"/>
              <w:rPr>
                <w:rFonts w:hint="eastAsia"/>
              </w:rPr>
            </w:pPr>
            <w:r w:rsidRPr="003D5262">
              <w:rPr>
                <w:rFonts w:hint="eastAsia"/>
              </w:rPr>
              <w:t>9,364</w:t>
            </w:r>
          </w:p>
        </w:tc>
        <w:tc>
          <w:tcPr>
            <w:tcW w:w="0" w:type="auto"/>
            <w:shd w:val="clear" w:color="auto" w:fill="auto"/>
            <w:vAlign w:val="center"/>
            <w:hideMark/>
          </w:tcPr>
          <w:p w:rsidR="003D5262" w:rsidRPr="003D5262" w:rsidRDefault="003D5262" w:rsidP="003D5262">
            <w:pPr>
              <w:pStyle w:val="142"/>
              <w:jc w:val="right"/>
              <w:rPr>
                <w:rFonts w:hint="eastAsia"/>
              </w:rPr>
            </w:pPr>
            <w:r w:rsidRPr="003D5262">
              <w:rPr>
                <w:rFonts w:hint="eastAsia"/>
              </w:rPr>
              <w:t>-669</w:t>
            </w:r>
          </w:p>
        </w:tc>
        <w:tc>
          <w:tcPr>
            <w:tcW w:w="0" w:type="auto"/>
            <w:shd w:val="clear" w:color="auto" w:fill="auto"/>
            <w:vAlign w:val="center"/>
            <w:hideMark/>
          </w:tcPr>
          <w:p w:rsidR="003D5262" w:rsidRPr="003D5262" w:rsidRDefault="003D5262" w:rsidP="003D5262">
            <w:pPr>
              <w:pStyle w:val="142"/>
              <w:jc w:val="right"/>
              <w:rPr>
                <w:rFonts w:hint="eastAsia"/>
              </w:rPr>
            </w:pPr>
            <w:r w:rsidRPr="003D5262">
              <w:rPr>
                <w:rFonts w:hint="eastAsia"/>
              </w:rPr>
              <w:t>9,041</w:t>
            </w:r>
          </w:p>
        </w:tc>
        <w:tc>
          <w:tcPr>
            <w:tcW w:w="0" w:type="auto"/>
            <w:shd w:val="clear" w:color="auto" w:fill="auto"/>
            <w:vAlign w:val="center"/>
            <w:hideMark/>
          </w:tcPr>
          <w:p w:rsidR="003D5262" w:rsidRPr="003D5262" w:rsidRDefault="003D5262" w:rsidP="003D5262">
            <w:pPr>
              <w:pStyle w:val="142"/>
              <w:jc w:val="right"/>
              <w:rPr>
                <w:rFonts w:hint="eastAsia"/>
              </w:rPr>
            </w:pPr>
            <w:r w:rsidRPr="003D5262">
              <w:rPr>
                <w:rFonts w:hint="eastAsia"/>
              </w:rPr>
              <w:t>4,458</w:t>
            </w:r>
          </w:p>
        </w:tc>
        <w:tc>
          <w:tcPr>
            <w:tcW w:w="0" w:type="auto"/>
            <w:shd w:val="clear" w:color="auto" w:fill="auto"/>
            <w:vAlign w:val="center"/>
            <w:hideMark/>
          </w:tcPr>
          <w:p w:rsidR="003D5262" w:rsidRPr="003D5262" w:rsidRDefault="003D5262" w:rsidP="003D5262">
            <w:pPr>
              <w:pStyle w:val="142"/>
              <w:jc w:val="right"/>
              <w:rPr>
                <w:rFonts w:hint="eastAsia"/>
              </w:rPr>
            </w:pPr>
            <w:r w:rsidRPr="003D5262">
              <w:rPr>
                <w:rFonts w:hint="eastAsia"/>
              </w:rPr>
              <w:t>-6,610</w:t>
            </w:r>
          </w:p>
        </w:tc>
        <w:tc>
          <w:tcPr>
            <w:tcW w:w="0" w:type="auto"/>
            <w:shd w:val="clear" w:color="auto" w:fill="auto"/>
            <w:vAlign w:val="center"/>
            <w:hideMark/>
          </w:tcPr>
          <w:p w:rsidR="003D5262" w:rsidRPr="003D5262" w:rsidRDefault="003D5262" w:rsidP="003D5262">
            <w:pPr>
              <w:pStyle w:val="142"/>
              <w:jc w:val="right"/>
              <w:rPr>
                <w:rFonts w:hint="eastAsia"/>
              </w:rPr>
            </w:pPr>
            <w:r w:rsidRPr="003D5262">
              <w:rPr>
                <w:rFonts w:hint="eastAsia"/>
              </w:rPr>
              <w:t>-974</w:t>
            </w:r>
          </w:p>
        </w:tc>
        <w:tc>
          <w:tcPr>
            <w:tcW w:w="0" w:type="auto"/>
            <w:shd w:val="clear" w:color="auto" w:fill="auto"/>
            <w:vAlign w:val="center"/>
            <w:hideMark/>
          </w:tcPr>
          <w:p w:rsidR="003D5262" w:rsidRPr="003D5262" w:rsidRDefault="003D5262" w:rsidP="003D5262">
            <w:pPr>
              <w:pStyle w:val="142"/>
              <w:jc w:val="right"/>
              <w:rPr>
                <w:rFonts w:hint="eastAsia"/>
              </w:rPr>
            </w:pPr>
            <w:r w:rsidRPr="003D5262">
              <w:rPr>
                <w:rFonts w:hint="eastAsia"/>
              </w:rPr>
              <w:t>-1,801</w:t>
            </w:r>
          </w:p>
        </w:tc>
      </w:tr>
      <w:tr w:rsidR="003D5262" w:rsidRPr="004F3478" w:rsidTr="003D5262">
        <w:trPr>
          <w:trHeight w:val="390"/>
        </w:trPr>
        <w:tc>
          <w:tcPr>
            <w:tcW w:w="0" w:type="auto"/>
            <w:shd w:val="clear" w:color="auto" w:fill="auto"/>
            <w:vAlign w:val="center"/>
            <w:hideMark/>
          </w:tcPr>
          <w:p w:rsidR="003D5262" w:rsidRPr="003D5262" w:rsidRDefault="003D5262" w:rsidP="003D5262">
            <w:pPr>
              <w:pStyle w:val="142"/>
              <w:jc w:val="both"/>
              <w:rPr>
                <w:rFonts w:hint="eastAsia"/>
                <w:spacing w:val="-20"/>
              </w:rPr>
            </w:pPr>
            <w:r w:rsidRPr="003D5262">
              <w:rPr>
                <w:rFonts w:hint="eastAsia"/>
                <w:spacing w:val="-20"/>
              </w:rPr>
              <w:t>E.準備與相關項目</w:t>
            </w:r>
          </w:p>
        </w:tc>
        <w:tc>
          <w:tcPr>
            <w:tcW w:w="0" w:type="auto"/>
            <w:shd w:val="clear" w:color="auto" w:fill="auto"/>
            <w:vAlign w:val="center"/>
            <w:hideMark/>
          </w:tcPr>
          <w:p w:rsidR="003D5262" w:rsidRPr="003D5262" w:rsidRDefault="003D5262" w:rsidP="003D5262">
            <w:pPr>
              <w:pStyle w:val="142"/>
              <w:jc w:val="right"/>
              <w:rPr>
                <w:rFonts w:hint="eastAsia"/>
              </w:rPr>
            </w:pPr>
            <w:r w:rsidRPr="003D5262">
              <w:rPr>
                <w:rFonts w:hint="eastAsia"/>
              </w:rPr>
              <w:t>16,658</w:t>
            </w:r>
          </w:p>
        </w:tc>
        <w:tc>
          <w:tcPr>
            <w:tcW w:w="0" w:type="auto"/>
            <w:shd w:val="clear" w:color="auto" w:fill="auto"/>
            <w:vAlign w:val="center"/>
            <w:hideMark/>
          </w:tcPr>
          <w:p w:rsidR="003D5262" w:rsidRPr="003D5262" w:rsidRDefault="003D5262" w:rsidP="003D5262">
            <w:pPr>
              <w:pStyle w:val="142"/>
              <w:jc w:val="right"/>
              <w:rPr>
                <w:rFonts w:hint="eastAsia"/>
              </w:rPr>
            </w:pPr>
            <w:r w:rsidRPr="003D5262">
              <w:rPr>
                <w:rFonts w:hint="eastAsia"/>
              </w:rPr>
              <w:t>48,342</w:t>
            </w:r>
          </w:p>
        </w:tc>
        <w:tc>
          <w:tcPr>
            <w:tcW w:w="0" w:type="auto"/>
            <w:shd w:val="clear" w:color="auto" w:fill="auto"/>
            <w:vAlign w:val="center"/>
            <w:hideMark/>
          </w:tcPr>
          <w:p w:rsidR="003D5262" w:rsidRPr="003D5262" w:rsidRDefault="003D5262" w:rsidP="003D5262">
            <w:pPr>
              <w:pStyle w:val="142"/>
              <w:jc w:val="right"/>
              <w:rPr>
                <w:rFonts w:hint="eastAsia"/>
              </w:rPr>
            </w:pPr>
            <w:r w:rsidRPr="003D5262">
              <w:rPr>
                <w:rFonts w:hint="eastAsia"/>
              </w:rPr>
              <w:t>20,993</w:t>
            </w:r>
          </w:p>
        </w:tc>
        <w:tc>
          <w:tcPr>
            <w:tcW w:w="0" w:type="auto"/>
            <w:shd w:val="clear" w:color="auto" w:fill="auto"/>
            <w:vAlign w:val="center"/>
            <w:hideMark/>
          </w:tcPr>
          <w:p w:rsidR="003D5262" w:rsidRPr="003D5262" w:rsidRDefault="003D5262" w:rsidP="003D5262">
            <w:pPr>
              <w:pStyle w:val="142"/>
              <w:jc w:val="right"/>
              <w:rPr>
                <w:rFonts w:hint="eastAsia"/>
              </w:rPr>
            </w:pPr>
            <w:r w:rsidRPr="003D5262">
              <w:rPr>
                <w:rFonts w:hint="eastAsia"/>
              </w:rPr>
              <w:t>10,883</w:t>
            </w:r>
          </w:p>
        </w:tc>
        <w:tc>
          <w:tcPr>
            <w:tcW w:w="0" w:type="auto"/>
            <w:shd w:val="clear" w:color="auto" w:fill="auto"/>
            <w:vAlign w:val="center"/>
            <w:hideMark/>
          </w:tcPr>
          <w:p w:rsidR="003D5262" w:rsidRPr="003D5262" w:rsidRDefault="003D5262" w:rsidP="003D5262">
            <w:pPr>
              <w:pStyle w:val="142"/>
              <w:jc w:val="right"/>
              <w:rPr>
                <w:rFonts w:hint="eastAsia"/>
              </w:rPr>
            </w:pPr>
            <w:r w:rsidRPr="003D5262">
              <w:rPr>
                <w:rFonts w:hint="eastAsia"/>
              </w:rPr>
              <w:t>14,342</w:t>
            </w:r>
          </w:p>
        </w:tc>
        <w:tc>
          <w:tcPr>
            <w:tcW w:w="0" w:type="auto"/>
            <w:shd w:val="clear" w:color="auto" w:fill="auto"/>
            <w:vAlign w:val="center"/>
            <w:hideMark/>
          </w:tcPr>
          <w:p w:rsidR="003D5262" w:rsidRPr="003D5262" w:rsidRDefault="003D5262" w:rsidP="003D5262">
            <w:pPr>
              <w:pStyle w:val="142"/>
              <w:jc w:val="right"/>
              <w:rPr>
                <w:rFonts w:hint="eastAsia"/>
              </w:rPr>
            </w:pPr>
            <w:r w:rsidRPr="003D5262">
              <w:rPr>
                <w:rFonts w:hint="eastAsia"/>
              </w:rPr>
              <w:t>-326</w:t>
            </w:r>
          </w:p>
        </w:tc>
        <w:tc>
          <w:tcPr>
            <w:tcW w:w="0" w:type="auto"/>
            <w:shd w:val="clear" w:color="auto" w:fill="auto"/>
            <w:vAlign w:val="center"/>
            <w:hideMark/>
          </w:tcPr>
          <w:p w:rsidR="003D5262" w:rsidRPr="003D5262" w:rsidRDefault="003D5262" w:rsidP="003D5262">
            <w:pPr>
              <w:pStyle w:val="142"/>
              <w:jc w:val="right"/>
              <w:rPr>
                <w:rFonts w:hint="eastAsia"/>
              </w:rPr>
            </w:pPr>
            <w:r w:rsidRPr="003D5262">
              <w:rPr>
                <w:rFonts w:hint="eastAsia"/>
              </w:rPr>
              <w:t>5,458</w:t>
            </w:r>
          </w:p>
        </w:tc>
      </w:tr>
    </w:tbl>
    <w:p w:rsidR="00B14B4B" w:rsidRDefault="00B14B4B" w:rsidP="005C4E69">
      <w:pPr>
        <w:pStyle w:val="142"/>
      </w:pPr>
      <w:r>
        <w:rPr>
          <w:rFonts w:hint="eastAsia"/>
        </w:rPr>
        <w:t>說</w:t>
      </w:r>
      <w:r w:rsidR="003D5262">
        <w:rPr>
          <w:rFonts w:hint="eastAsia"/>
        </w:rPr>
        <w:t xml:space="preserve">    </w:t>
      </w:r>
      <w:r>
        <w:rPr>
          <w:rFonts w:hint="eastAsia"/>
        </w:rPr>
        <w:t>明：經常帳、資本帳及金融帳皆剔除已列入準備與相關項目之範圍。</w:t>
      </w:r>
    </w:p>
    <w:p w:rsidR="003B526C" w:rsidRPr="005C4E69" w:rsidRDefault="005C4E69" w:rsidP="005C4E69">
      <w:pPr>
        <w:pStyle w:val="142"/>
        <w:rPr>
          <w:rFonts w:hint="eastAsia"/>
        </w:rPr>
      </w:pPr>
      <w:r w:rsidRPr="005C4E69">
        <w:rPr>
          <w:rFonts w:hint="eastAsia"/>
        </w:rPr>
        <w:t>資料來源：整理自</w:t>
      </w:r>
      <w:r w:rsidR="00794E6E">
        <w:rPr>
          <w:rFonts w:hint="eastAsia"/>
        </w:rPr>
        <w:t>央行</w:t>
      </w:r>
      <w:r w:rsidR="006D2D13">
        <w:rPr>
          <w:rFonts w:hint="eastAsia"/>
        </w:rPr>
        <w:t>國際收支簡表</w:t>
      </w:r>
      <w:r w:rsidR="003B526C" w:rsidRPr="005C4E69">
        <w:rPr>
          <w:rFonts w:hint="eastAsia"/>
        </w:rPr>
        <w:t>。</w:t>
      </w:r>
    </w:p>
    <w:p w:rsidR="003B526C" w:rsidRPr="000E0F57" w:rsidRDefault="007C67C2" w:rsidP="003B526C">
      <w:pPr>
        <w:pStyle w:val="a4"/>
        <w:rPr>
          <w:rFonts w:cs="細明體" w:hint="eastAsia"/>
        </w:rPr>
      </w:pPr>
      <w:r>
        <w:rPr>
          <w:rFonts w:hint="eastAsia"/>
          <w:b/>
        </w:rPr>
        <w:t>(二)</w:t>
      </w:r>
      <w:r w:rsidR="006E4DD2">
        <w:rPr>
          <w:rFonts w:hint="eastAsia"/>
          <w:b/>
        </w:rPr>
        <w:t>現有地緣政治風險</w:t>
      </w:r>
      <w:r w:rsidR="00386398">
        <w:rPr>
          <w:rFonts w:hint="eastAsia"/>
          <w:b/>
        </w:rPr>
        <w:t>升高</w:t>
      </w:r>
      <w:r w:rsidR="006E4DD2">
        <w:rPr>
          <w:rFonts w:hint="eastAsia"/>
          <w:b/>
        </w:rPr>
        <w:t>、部分國家貨幣政策調整及美國選後</w:t>
      </w:r>
      <w:r w:rsidR="00386398">
        <w:rPr>
          <w:rFonts w:hint="eastAsia"/>
          <w:b/>
        </w:rPr>
        <w:t>政策走向等不確定因素，允宜密切觀察</w:t>
      </w:r>
      <w:r w:rsidR="004332AD">
        <w:rPr>
          <w:rFonts w:hint="eastAsia"/>
          <w:b/>
        </w:rPr>
        <w:t>資金流向</w:t>
      </w:r>
      <w:r w:rsidR="00386398">
        <w:rPr>
          <w:rFonts w:hint="eastAsia"/>
          <w:b/>
        </w:rPr>
        <w:t>，俾維護金融及匯率穩定</w:t>
      </w:r>
    </w:p>
    <w:p w:rsidR="003B526C" w:rsidRDefault="00306B31" w:rsidP="00246A50">
      <w:pPr>
        <w:pStyle w:val="21"/>
        <w:kinsoku w:val="0"/>
        <w:overflowPunct w:val="0"/>
        <w:autoSpaceDE w:val="0"/>
        <w:autoSpaceDN w:val="0"/>
        <w:ind w:left="850" w:firstLine="566"/>
      </w:pPr>
      <w:r>
        <w:rPr>
          <w:rFonts w:hAnsi="標楷體" w:cs="細明體" w:hint="eastAsia"/>
        </w:rPr>
        <w:t>按我國近年度經常帳</w:t>
      </w:r>
      <w:r w:rsidR="002F5427">
        <w:rPr>
          <w:rFonts w:hAnsi="標楷體" w:cs="細明體" w:hint="eastAsia"/>
        </w:rPr>
        <w:t>持續順差，</w:t>
      </w:r>
      <w:r w:rsidR="002F5427" w:rsidRPr="002F5427">
        <w:rPr>
          <w:rFonts w:hAnsi="標楷體" w:cs="細明體" w:hint="eastAsia"/>
        </w:rPr>
        <w:t>金融機構及國人</w:t>
      </w:r>
      <w:r w:rsidR="00EB01D4">
        <w:rPr>
          <w:rFonts w:hAnsi="標楷體" w:cs="細明體" w:hint="eastAsia"/>
        </w:rPr>
        <w:t>國際化投資決策使</w:t>
      </w:r>
      <w:r w:rsidR="00C64D0C">
        <w:rPr>
          <w:rFonts w:hAnsi="標楷體" w:cs="細明體" w:hint="eastAsia"/>
        </w:rPr>
        <w:t>金融帳呈現淨流出</w:t>
      </w:r>
      <w:r w:rsidR="00EB01D4">
        <w:rPr>
          <w:rFonts w:hAnsi="標楷體" w:cs="細明體" w:hint="eastAsia"/>
        </w:rPr>
        <w:t>，</w:t>
      </w:r>
      <w:r w:rsidR="007F0EA4">
        <w:rPr>
          <w:rFonts w:hAnsi="標楷體" w:cs="細明體" w:hint="eastAsia"/>
        </w:rPr>
        <w:t>去化國內游資</w:t>
      </w:r>
      <w:r w:rsidR="00EB01D4">
        <w:rPr>
          <w:rFonts w:hAnsi="標楷體" w:cs="細明體" w:hint="eastAsia"/>
        </w:rPr>
        <w:t>並抵銷貿易順差對匯率影響，</w:t>
      </w:r>
      <w:r w:rsidR="00C02274">
        <w:rPr>
          <w:rFonts w:hAnsi="標楷體" w:cs="細明體" w:hint="eastAsia"/>
        </w:rPr>
        <w:t>資金</w:t>
      </w:r>
      <w:r w:rsidR="007F0EA4">
        <w:rPr>
          <w:rFonts w:hAnsi="標楷體" w:cs="細明體" w:hint="eastAsia"/>
        </w:rPr>
        <w:t>如</w:t>
      </w:r>
      <w:r w:rsidR="00C02274">
        <w:rPr>
          <w:rFonts w:hAnsi="標楷體" w:cs="細明體" w:hint="eastAsia"/>
        </w:rPr>
        <w:t>未</w:t>
      </w:r>
      <w:r w:rsidR="00F80AA7">
        <w:rPr>
          <w:rFonts w:hAnsi="標楷體" w:cs="細明體" w:hint="eastAsia"/>
        </w:rPr>
        <w:t>大幅</w:t>
      </w:r>
      <w:r w:rsidR="00C02274">
        <w:rPr>
          <w:rFonts w:hAnsi="標楷體" w:cs="細明體" w:hint="eastAsia"/>
        </w:rPr>
        <w:t>匯回且流動性</w:t>
      </w:r>
      <w:r w:rsidR="00F80AA7">
        <w:rPr>
          <w:rFonts w:hAnsi="標楷體" w:cs="細明體" w:hint="eastAsia"/>
        </w:rPr>
        <w:t>適中</w:t>
      </w:r>
      <w:r w:rsidR="00C02274">
        <w:rPr>
          <w:rFonts w:hAnsi="標楷體" w:cs="細明體" w:hint="eastAsia"/>
        </w:rPr>
        <w:t>，</w:t>
      </w:r>
      <w:r w:rsidR="00F80AA7">
        <w:rPr>
          <w:rFonts w:hAnsi="標楷體" w:cs="細明體" w:hint="eastAsia"/>
        </w:rPr>
        <w:t>可保持穩定</w:t>
      </w:r>
      <w:r w:rsidR="00300F11">
        <w:rPr>
          <w:rFonts w:hAnsi="標楷體" w:cs="細明體" w:hint="eastAsia"/>
        </w:rPr>
        <w:t>，</w:t>
      </w:r>
      <w:r w:rsidR="007F0EA4">
        <w:rPr>
          <w:rFonts w:hAnsi="標楷體" w:cs="細明體" w:hint="eastAsia"/>
        </w:rPr>
        <w:t>央</w:t>
      </w:r>
      <w:r w:rsidR="00300F11">
        <w:rPr>
          <w:rFonts w:hAnsi="標楷體" w:cs="細明體" w:hint="eastAsia"/>
        </w:rPr>
        <w:t>行得依據</w:t>
      </w:r>
      <w:r w:rsidR="00300F11" w:rsidRPr="00300F11">
        <w:rPr>
          <w:rFonts w:hAnsi="標楷體" w:cs="細明體" w:hint="eastAsia"/>
        </w:rPr>
        <w:t>經濟需求調整利率，</w:t>
      </w:r>
      <w:r w:rsidR="003112CE">
        <w:rPr>
          <w:rFonts w:hAnsi="標楷體" w:cs="細明體" w:hint="eastAsia"/>
        </w:rPr>
        <w:t>資本市場亦免於面臨過度資金湧入出現之泡沫化風險</w:t>
      </w:r>
      <w:r w:rsidR="00943DD3">
        <w:rPr>
          <w:rFonts w:hAnsi="標楷體" w:cs="細明體" w:hint="eastAsia"/>
        </w:rPr>
        <w:t>。</w:t>
      </w:r>
      <w:r w:rsidR="002F5427">
        <w:rPr>
          <w:rFonts w:hAnsi="標楷體" w:cs="細明體" w:hint="eastAsia"/>
        </w:rPr>
        <w:t>惟</w:t>
      </w:r>
      <w:r w:rsidR="00FB19B9">
        <w:rPr>
          <w:rFonts w:hAnsi="標楷體" w:cs="細明體" w:hint="eastAsia"/>
        </w:rPr>
        <w:t>111年度</w:t>
      </w:r>
      <w:r w:rsidR="00943DD3">
        <w:rPr>
          <w:rFonts w:hAnsi="標楷體" w:cs="細明體" w:hint="eastAsia"/>
        </w:rPr>
        <w:t>我國曾因</w:t>
      </w:r>
      <w:r w:rsidR="00C501A4">
        <w:rPr>
          <w:rFonts w:hAnsi="標楷體" w:cs="細明體" w:hint="eastAsia"/>
        </w:rPr>
        <w:t>美國聯準會</w:t>
      </w:r>
      <w:r w:rsidR="00C501A4" w:rsidRPr="00C501A4">
        <w:rPr>
          <w:rFonts w:hAnsi="標楷體" w:cs="細明體" w:hint="eastAsia"/>
        </w:rPr>
        <w:t>為抑制通膨而加速緊縮貨幣政策，導致全球金融</w:t>
      </w:r>
      <w:r w:rsidR="00C501A4">
        <w:rPr>
          <w:rFonts w:hAnsi="標楷體" w:cs="細明體" w:hint="eastAsia"/>
        </w:rPr>
        <w:t>緊縮，風險性資產價格多呈下跌、國際美元因資金流回美國而走強</w:t>
      </w:r>
      <w:r w:rsidR="0078053F">
        <w:rPr>
          <w:rFonts w:hAnsi="標楷體" w:cs="細明體" w:hint="eastAsia"/>
        </w:rPr>
        <w:t>，</w:t>
      </w:r>
      <w:r w:rsidR="00C501A4">
        <w:rPr>
          <w:rFonts w:hAnsi="標楷體" w:cs="細明體" w:hint="eastAsia"/>
        </w:rPr>
        <w:t>外資賣超臺</w:t>
      </w:r>
      <w:r w:rsidR="00C501A4" w:rsidRPr="00C501A4">
        <w:rPr>
          <w:rFonts w:hAnsi="標楷體" w:cs="細明體" w:hint="eastAsia"/>
        </w:rPr>
        <w:t>股並匯出致</w:t>
      </w:r>
      <w:r w:rsidR="00C501A4">
        <w:rPr>
          <w:rFonts w:hAnsi="標楷體" w:cs="細明體" w:hint="eastAsia"/>
        </w:rPr>
        <w:t>新臺幣貶值</w:t>
      </w:r>
      <w:r w:rsidR="002A5A1F">
        <w:rPr>
          <w:rStyle w:val="af1"/>
          <w:rFonts w:hAnsi="標楷體" w:cs="細明體"/>
        </w:rPr>
        <w:footnoteReference w:id="9"/>
      </w:r>
      <w:r w:rsidR="003112CE" w:rsidRPr="00246A50">
        <w:rPr>
          <w:rFonts w:hAnsi="標楷體" w:cs="細明體" w:hint="eastAsia"/>
          <w:spacing w:val="-7"/>
        </w:rPr>
        <w:t>(詳圖1)</w:t>
      </w:r>
      <w:r w:rsidR="00943DD3">
        <w:rPr>
          <w:rFonts w:hAnsi="標楷體" w:cs="細明體" w:hint="eastAsia"/>
        </w:rPr>
        <w:t>，</w:t>
      </w:r>
      <w:r w:rsidR="00E054F3">
        <w:rPr>
          <w:rFonts w:hAnsi="標楷體" w:cs="細明體" w:hint="eastAsia"/>
        </w:rPr>
        <w:t>對</w:t>
      </w:r>
      <w:r w:rsidR="009F541B">
        <w:rPr>
          <w:rFonts w:hAnsi="標楷體" w:cs="細明體" w:hint="eastAsia"/>
        </w:rPr>
        <w:t>匯市</w:t>
      </w:r>
      <w:r w:rsidR="00E054F3">
        <w:rPr>
          <w:rFonts w:hAnsi="標楷體" w:cs="細明體" w:hint="eastAsia"/>
        </w:rPr>
        <w:t>造成影響</w:t>
      </w:r>
      <w:r w:rsidR="009F541B">
        <w:rPr>
          <w:rFonts w:hAnsi="標楷體" w:cs="細明體" w:hint="eastAsia"/>
        </w:rPr>
        <w:t>。</w:t>
      </w:r>
      <w:r w:rsidR="00DB7602">
        <w:rPr>
          <w:rFonts w:hAnsi="標楷體" w:cs="細明體" w:hint="eastAsia"/>
        </w:rPr>
        <w:t>現階段</w:t>
      </w:r>
      <w:r w:rsidR="00240C61">
        <w:rPr>
          <w:rFonts w:hAnsi="標楷體" w:cs="細明體" w:hint="eastAsia"/>
        </w:rPr>
        <w:t>金融環境面臨臺海、</w:t>
      </w:r>
      <w:r w:rsidR="00DB7602" w:rsidRPr="00DB7602">
        <w:rPr>
          <w:rFonts w:hAnsi="標楷體" w:cs="細明體" w:hint="eastAsia"/>
        </w:rPr>
        <w:t>中東地區衝突</w:t>
      </w:r>
      <w:r w:rsidR="00240C61">
        <w:rPr>
          <w:rFonts w:hAnsi="標楷體" w:cs="細明體" w:hint="eastAsia"/>
        </w:rPr>
        <w:t>等地緣政治風險，部分國家貨幣政策調整</w:t>
      </w:r>
      <w:r w:rsidR="00367088">
        <w:rPr>
          <w:rFonts w:hAnsi="標楷體" w:cs="細明體" w:hint="eastAsia"/>
        </w:rPr>
        <w:t>影響</w:t>
      </w:r>
      <w:r w:rsidR="00240C61">
        <w:rPr>
          <w:rStyle w:val="af1"/>
          <w:rFonts w:hAnsi="標楷體" w:cs="細明體"/>
        </w:rPr>
        <w:footnoteReference w:id="10"/>
      </w:r>
      <w:r w:rsidR="00240C61">
        <w:rPr>
          <w:rFonts w:hAnsi="標楷體" w:cs="細明體" w:hint="eastAsia"/>
        </w:rPr>
        <w:t>及美國選後發展等因素，不確定性升高，</w:t>
      </w:r>
      <w:r w:rsidR="00696E23">
        <w:rPr>
          <w:rFonts w:hAnsi="標楷體" w:cs="細明體" w:hint="eastAsia"/>
        </w:rPr>
        <w:t>鉅額</w:t>
      </w:r>
      <w:r w:rsidR="00523994">
        <w:rPr>
          <w:rFonts w:hAnsi="標楷體" w:cs="細明體" w:hint="eastAsia"/>
        </w:rPr>
        <w:t>資金</w:t>
      </w:r>
      <w:r w:rsidR="00C64D0C">
        <w:rPr>
          <w:rFonts w:hAnsi="標楷體" w:cs="細明體" w:hint="eastAsia"/>
        </w:rPr>
        <w:t>流向</w:t>
      </w:r>
      <w:r w:rsidR="00523994">
        <w:rPr>
          <w:rFonts w:hAnsi="標楷體" w:cs="細明體" w:hint="eastAsia"/>
        </w:rPr>
        <w:t>容須密切觀察，俾</w:t>
      </w:r>
      <w:r w:rsidR="00386398">
        <w:rPr>
          <w:rFonts w:hAnsi="標楷體" w:cs="細明體" w:hint="eastAsia"/>
        </w:rPr>
        <w:t>及時因應以</w:t>
      </w:r>
      <w:r w:rsidR="00523994">
        <w:rPr>
          <w:rFonts w:hAnsi="標楷體" w:cs="細明體" w:hint="eastAsia"/>
        </w:rPr>
        <w:t>維護金融及匯</w:t>
      </w:r>
      <w:r w:rsidR="00696E23">
        <w:rPr>
          <w:rFonts w:hAnsi="標楷體" w:cs="細明體" w:hint="eastAsia"/>
        </w:rPr>
        <w:t>率</w:t>
      </w:r>
      <w:r w:rsidR="00523994">
        <w:rPr>
          <w:rFonts w:hAnsi="標楷體" w:cs="細明體" w:hint="eastAsia"/>
        </w:rPr>
        <w:t>穩定</w:t>
      </w:r>
      <w:r w:rsidR="003B526C">
        <w:rPr>
          <w:rFonts w:hint="eastAsia"/>
        </w:rPr>
        <w:t>。</w:t>
      </w:r>
    </w:p>
    <w:p w:rsidR="00742D23" w:rsidRDefault="00C2601A" w:rsidP="00C2601A">
      <w:pPr>
        <w:pStyle w:val="a6"/>
        <w:ind w:left="850"/>
        <w:rPr>
          <w:b/>
        </w:rPr>
      </w:pPr>
      <w:r>
        <w:rPr>
          <w:rFonts w:hint="eastAsia"/>
          <w:b/>
        </w:rPr>
        <w:t>圖</w:t>
      </w:r>
      <w:r w:rsidR="00742D23" w:rsidRPr="00C2601A">
        <w:rPr>
          <w:rFonts w:hint="eastAsia"/>
          <w:b/>
        </w:rPr>
        <w:t xml:space="preserve">1 </w:t>
      </w:r>
      <w:r w:rsidR="00E61BBD" w:rsidRPr="00C2601A">
        <w:rPr>
          <w:rFonts w:hint="eastAsia"/>
          <w:b/>
        </w:rPr>
        <w:t>1</w:t>
      </w:r>
      <w:r w:rsidR="00E61BBD" w:rsidRPr="00C2601A">
        <w:rPr>
          <w:b/>
        </w:rPr>
        <w:t>06</w:t>
      </w:r>
      <w:r w:rsidR="00E61BBD" w:rsidRPr="00C2601A">
        <w:rPr>
          <w:rFonts w:hint="eastAsia"/>
          <w:b/>
        </w:rPr>
        <w:t>至113年</w:t>
      </w:r>
      <w:r w:rsidR="00E065E7" w:rsidRPr="00C2601A">
        <w:rPr>
          <w:b/>
        </w:rPr>
        <w:t>10</w:t>
      </w:r>
      <w:r w:rsidR="00E61BBD" w:rsidRPr="00C2601A">
        <w:rPr>
          <w:rFonts w:hint="eastAsia"/>
          <w:b/>
        </w:rPr>
        <w:t>月美元對新臺幣匯率走勢圖</w:t>
      </w:r>
    </w:p>
    <w:p w:rsidR="00C2601A" w:rsidRDefault="00923052" w:rsidP="00C2601A">
      <w:pPr>
        <w:pStyle w:val="a6"/>
        <w:ind w:left="850"/>
        <w:rPr>
          <w:b/>
        </w:rPr>
      </w:pPr>
      <w:r>
        <w:rPr>
          <w:noProof/>
        </w:rPr>
        <w:drawing>
          <wp:anchor distT="0" distB="0" distL="114300" distR="114300" simplePos="0" relativeHeight="251658752" behindDoc="0" locked="0" layoutInCell="1" allowOverlap="1">
            <wp:simplePos x="0" y="0"/>
            <wp:positionH relativeFrom="column">
              <wp:posOffset>570230</wp:posOffset>
            </wp:positionH>
            <wp:positionV relativeFrom="paragraph">
              <wp:posOffset>12065</wp:posOffset>
            </wp:positionV>
            <wp:extent cx="4813300" cy="2178050"/>
            <wp:effectExtent l="0" t="0" r="0" b="0"/>
            <wp:wrapSquare wrapText="bothSides"/>
            <wp:docPr id="15" name="圖表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表 1"/>
                    <pic:cNvPicPr>
                      <a:picLocks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813300" cy="21780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2601A" w:rsidRPr="00C2601A" w:rsidRDefault="00C2601A" w:rsidP="00C2601A">
      <w:pPr>
        <w:pStyle w:val="a6"/>
        <w:ind w:left="850"/>
        <w:rPr>
          <w:rFonts w:hint="eastAsia"/>
          <w:b/>
        </w:rPr>
      </w:pPr>
    </w:p>
    <w:p w:rsidR="00E065E7" w:rsidRDefault="00E065E7" w:rsidP="00742D23">
      <w:pPr>
        <w:pStyle w:val="142"/>
        <w:ind w:left="566" w:firstLine="566"/>
      </w:pPr>
    </w:p>
    <w:p w:rsidR="00E065E7" w:rsidRDefault="00E065E7" w:rsidP="00742D23">
      <w:pPr>
        <w:pStyle w:val="142"/>
        <w:ind w:left="566" w:firstLine="566"/>
      </w:pPr>
    </w:p>
    <w:p w:rsidR="00E065E7" w:rsidRDefault="00E065E7" w:rsidP="00742D23">
      <w:pPr>
        <w:pStyle w:val="142"/>
        <w:ind w:left="566" w:firstLine="566"/>
      </w:pPr>
    </w:p>
    <w:p w:rsidR="004332AD" w:rsidRDefault="004332AD" w:rsidP="00742D23">
      <w:pPr>
        <w:pStyle w:val="142"/>
        <w:ind w:left="566" w:firstLine="566"/>
      </w:pPr>
    </w:p>
    <w:p w:rsidR="00A20973" w:rsidRDefault="00A20973" w:rsidP="00742D23">
      <w:pPr>
        <w:pStyle w:val="142"/>
        <w:ind w:left="566" w:firstLine="566"/>
      </w:pPr>
    </w:p>
    <w:p w:rsidR="00A20973" w:rsidRDefault="00A20973" w:rsidP="00742D23">
      <w:pPr>
        <w:pStyle w:val="142"/>
        <w:ind w:left="566" w:firstLine="566"/>
        <w:rPr>
          <w:rFonts w:hint="eastAsia"/>
        </w:rPr>
      </w:pPr>
    </w:p>
    <w:p w:rsidR="004332AD" w:rsidRDefault="004332AD" w:rsidP="00742D23">
      <w:pPr>
        <w:pStyle w:val="142"/>
        <w:ind w:left="566" w:firstLine="566"/>
        <w:rPr>
          <w:rFonts w:hint="eastAsia"/>
        </w:rPr>
      </w:pPr>
    </w:p>
    <w:p w:rsidR="00E065E7" w:rsidRDefault="00E065E7" w:rsidP="00742D23">
      <w:pPr>
        <w:pStyle w:val="142"/>
        <w:ind w:left="566" w:firstLine="566"/>
      </w:pPr>
    </w:p>
    <w:p w:rsidR="00C2601A" w:rsidRDefault="00C2601A" w:rsidP="00742D23">
      <w:pPr>
        <w:pStyle w:val="142"/>
        <w:ind w:left="566" w:firstLine="566"/>
      </w:pPr>
    </w:p>
    <w:p w:rsidR="00742D23" w:rsidRPr="009F541B" w:rsidRDefault="00742D23" w:rsidP="009F541B">
      <w:pPr>
        <w:pStyle w:val="142"/>
        <w:ind w:leftChars="300" w:left="850"/>
        <w:rPr>
          <w:rFonts w:hint="eastAsia"/>
        </w:rPr>
      </w:pPr>
      <w:r w:rsidRPr="009F541B">
        <w:rPr>
          <w:rFonts w:hint="eastAsia"/>
        </w:rPr>
        <w:t>資料來源：整理自央行網頁資料</w:t>
      </w:r>
      <w:r w:rsidR="007F0EA4">
        <w:rPr>
          <w:rFonts w:hint="eastAsia"/>
        </w:rPr>
        <w:t>，</w:t>
      </w:r>
      <w:r w:rsidR="007F0EA4">
        <w:t>本</w:t>
      </w:r>
      <w:r w:rsidR="007F0EA4">
        <w:rPr>
          <w:rFonts w:hint="eastAsia"/>
        </w:rPr>
        <w:t>報告彙製</w:t>
      </w:r>
      <w:r w:rsidRPr="009F541B">
        <w:rPr>
          <w:rFonts w:hint="eastAsia"/>
        </w:rPr>
        <w:t>。</w:t>
      </w:r>
    </w:p>
    <w:p w:rsidR="003B526C" w:rsidRDefault="003B526C" w:rsidP="003B526C">
      <w:pPr>
        <w:ind w:left="566" w:firstLine="566"/>
        <w:rPr>
          <w:rFonts w:hAnsi="標楷體" w:hint="eastAsia"/>
        </w:rPr>
      </w:pPr>
      <w:r>
        <w:rPr>
          <w:rFonts w:hAnsi="標楷體" w:hint="eastAsia"/>
        </w:rPr>
        <w:t>綜上，</w:t>
      </w:r>
      <w:r w:rsidR="008116E5" w:rsidRPr="008116E5">
        <w:rPr>
          <w:rFonts w:hAnsi="標楷體" w:hint="eastAsia"/>
        </w:rPr>
        <w:t>我國金融帳</w:t>
      </w:r>
      <w:r w:rsidR="00C64D0C">
        <w:rPr>
          <w:rFonts w:hAnsi="標楷體" w:hint="eastAsia"/>
        </w:rPr>
        <w:t>淨流出金額</w:t>
      </w:r>
      <w:r w:rsidR="008116E5" w:rsidRPr="008116E5">
        <w:rPr>
          <w:rFonts w:hAnsi="標楷體" w:hint="eastAsia"/>
        </w:rPr>
        <w:t>自109年度490億7,400萬美元</w:t>
      </w:r>
      <w:r w:rsidR="00714B26">
        <w:rPr>
          <w:rFonts w:hAnsi="標楷體" w:hint="eastAsia"/>
        </w:rPr>
        <w:t>遽增</w:t>
      </w:r>
      <w:r w:rsidR="008116E5" w:rsidRPr="008116E5">
        <w:rPr>
          <w:rFonts w:hAnsi="標楷體" w:hint="eastAsia"/>
        </w:rPr>
        <w:t>至110年度1,063億4,900萬美元，其後逐年略減，113年第2季</w:t>
      </w:r>
      <w:r w:rsidR="00C64D0C">
        <w:rPr>
          <w:rFonts w:hAnsi="標楷體" w:hint="eastAsia"/>
        </w:rPr>
        <w:t>趨緩，</w:t>
      </w:r>
      <w:r w:rsidR="00D3231E">
        <w:rPr>
          <w:rFonts w:hAnsi="標楷體" w:hint="eastAsia"/>
        </w:rPr>
        <w:t>主要流出原因為</w:t>
      </w:r>
      <w:r w:rsidR="008116E5">
        <w:rPr>
          <w:rFonts w:hAnsi="標楷體" w:hint="eastAsia"/>
        </w:rPr>
        <w:t>金融機構及國人國際化投資決策</w:t>
      </w:r>
      <w:r w:rsidR="00D3231E">
        <w:rPr>
          <w:rFonts w:hAnsi="標楷體" w:hint="eastAsia"/>
        </w:rPr>
        <w:t>；鑒於</w:t>
      </w:r>
      <w:r w:rsidR="003E57DD">
        <w:rPr>
          <w:rFonts w:hAnsi="標楷體" w:hint="eastAsia"/>
        </w:rPr>
        <w:t>111年度</w:t>
      </w:r>
      <w:r w:rsidR="00D3231E">
        <w:rPr>
          <w:rFonts w:hAnsi="標楷體" w:hint="eastAsia"/>
        </w:rPr>
        <w:t>我國曾</w:t>
      </w:r>
      <w:r w:rsidR="003E57DD">
        <w:rPr>
          <w:rFonts w:hAnsi="標楷體" w:hint="eastAsia"/>
        </w:rPr>
        <w:t>因</w:t>
      </w:r>
      <w:r w:rsidR="00D3231E">
        <w:rPr>
          <w:rFonts w:hAnsi="標楷體" w:hint="eastAsia"/>
        </w:rPr>
        <w:t>外資賣超臺股匯出資金導致新臺幣貶值</w:t>
      </w:r>
      <w:r w:rsidR="008116E5">
        <w:rPr>
          <w:rFonts w:hAnsi="標楷體" w:hint="eastAsia"/>
        </w:rPr>
        <w:t>，</w:t>
      </w:r>
      <w:r w:rsidR="008116E5" w:rsidRPr="008116E5">
        <w:rPr>
          <w:rFonts w:hAnsi="標楷體" w:hint="eastAsia"/>
        </w:rPr>
        <w:t>現階段金融環境面臨臺海、中東地區衝突等地緣政治風險，部分國家貨幣政策調整影響及美國選後發展等因素，不確定性升高，</w:t>
      </w:r>
      <w:r w:rsidR="008116E5">
        <w:rPr>
          <w:rFonts w:hAnsi="標楷體" w:hint="eastAsia"/>
        </w:rPr>
        <w:t>為避免</w:t>
      </w:r>
      <w:r w:rsidR="00E054F3">
        <w:rPr>
          <w:rFonts w:hAnsi="標楷體" w:hint="eastAsia"/>
        </w:rPr>
        <w:t>鉅額</w:t>
      </w:r>
      <w:r w:rsidR="009F541B">
        <w:rPr>
          <w:rFonts w:hAnsi="標楷體" w:hint="eastAsia"/>
        </w:rPr>
        <w:t>資金</w:t>
      </w:r>
      <w:r w:rsidR="00E054F3">
        <w:rPr>
          <w:rFonts w:hAnsi="標楷體" w:hint="eastAsia"/>
        </w:rPr>
        <w:t>匯出匯入衝擊匯市</w:t>
      </w:r>
      <w:r w:rsidR="00C64D0C">
        <w:rPr>
          <w:rFonts w:hAnsi="標楷體" w:hint="eastAsia"/>
        </w:rPr>
        <w:t>，爰</w:t>
      </w:r>
      <w:r w:rsidR="008116E5">
        <w:rPr>
          <w:rFonts w:hAnsi="標楷體" w:hint="eastAsia"/>
        </w:rPr>
        <w:t>央行允宜密切觀察</w:t>
      </w:r>
      <w:r w:rsidR="00E054F3">
        <w:rPr>
          <w:rFonts w:hAnsi="標楷體" w:hint="eastAsia"/>
        </w:rPr>
        <w:t>流向</w:t>
      </w:r>
      <w:r w:rsidR="008116E5">
        <w:rPr>
          <w:rFonts w:hAnsi="標楷體" w:hint="eastAsia"/>
        </w:rPr>
        <w:t>，俾</w:t>
      </w:r>
      <w:r w:rsidR="00087DC4">
        <w:rPr>
          <w:rFonts w:hAnsi="標楷體" w:hint="eastAsia"/>
        </w:rPr>
        <w:t>維護金融及匯率穩定</w:t>
      </w:r>
      <w:r>
        <w:rPr>
          <w:rFonts w:hint="eastAsia"/>
        </w:rPr>
        <w:t>。</w:t>
      </w:r>
    </w:p>
    <w:p w:rsidR="00191185" w:rsidRPr="00507BD2" w:rsidRDefault="00191185" w:rsidP="00502F6D">
      <w:pPr>
        <w:ind w:left="566" w:firstLine="566"/>
        <w:rPr>
          <w:rFonts w:hint="eastAsia"/>
        </w:rPr>
      </w:pPr>
    </w:p>
    <w:p w:rsidR="00E45B84" w:rsidRPr="00507BD2" w:rsidRDefault="00E45B84" w:rsidP="00E45B84">
      <w:pPr>
        <w:pStyle w:val="144"/>
        <w:ind w:left="567" w:hanging="567"/>
        <w:rPr>
          <w:rFonts w:hAnsi="標楷體" w:hint="eastAsia"/>
        </w:rPr>
      </w:pPr>
      <w:bookmarkStart w:id="17" w:name="_Toc181965732"/>
      <w:r w:rsidRPr="00507BD2">
        <w:rPr>
          <w:rFonts w:hAnsi="標楷體" w:hint="eastAsia"/>
        </w:rPr>
        <w:t>貳、營業收支方面</w:t>
      </w:r>
      <w:bookmarkEnd w:id="17"/>
    </w:p>
    <w:p w:rsidR="004661A8" w:rsidRPr="00507BD2" w:rsidRDefault="00B412B2" w:rsidP="00E32B95">
      <w:pPr>
        <w:pStyle w:val="14"/>
        <w:ind w:left="567" w:hanging="567"/>
        <w:rPr>
          <w:rFonts w:hAnsi="標楷體" w:hint="eastAsia"/>
          <w:snapToGrid/>
        </w:rPr>
      </w:pPr>
      <w:bookmarkStart w:id="18" w:name="_Toc181965733"/>
      <w:r w:rsidRPr="00507BD2">
        <w:rPr>
          <w:rFonts w:hAnsi="標楷體"/>
          <w:snapToGrid/>
        </w:rPr>
        <w:t>八</w:t>
      </w:r>
      <w:r w:rsidR="00E32B95" w:rsidRPr="00507BD2">
        <w:rPr>
          <w:rFonts w:hAnsi="標楷體" w:hint="eastAsia"/>
          <w:snapToGrid/>
        </w:rPr>
        <w:t>、</w:t>
      </w:r>
      <w:r w:rsidR="007431BC" w:rsidRPr="007431BC">
        <w:rPr>
          <w:rFonts w:hAnsi="標楷體" w:hint="eastAsia"/>
          <w:snapToGrid/>
        </w:rPr>
        <w:t>歷年度利息費用</w:t>
      </w:r>
      <w:r w:rsidR="00AA3965">
        <w:rPr>
          <w:rFonts w:hAnsi="標楷體" w:hint="eastAsia"/>
          <w:snapToGrid/>
        </w:rPr>
        <w:t>估列</w:t>
      </w:r>
      <w:r w:rsidR="00D3231E">
        <w:rPr>
          <w:rFonts w:hAnsi="標楷體" w:hint="eastAsia"/>
          <w:snapToGrid/>
        </w:rPr>
        <w:t>數偏高</w:t>
      </w:r>
      <w:r w:rsidR="003221F5">
        <w:rPr>
          <w:rFonts w:hAnsi="標楷體" w:hint="eastAsia"/>
          <w:snapToGrid/>
        </w:rPr>
        <w:t>，</w:t>
      </w:r>
      <w:r w:rsidR="007431BC" w:rsidRPr="007431BC">
        <w:rPr>
          <w:rFonts w:hAnsi="標楷體" w:hint="eastAsia"/>
          <w:snapToGrid/>
        </w:rPr>
        <w:t>預決算</w:t>
      </w:r>
      <w:r w:rsidR="00815EC2" w:rsidRPr="007431BC">
        <w:rPr>
          <w:rFonts w:hAnsi="標楷體" w:hint="eastAsia"/>
          <w:snapToGrid/>
        </w:rPr>
        <w:t>迭有</w:t>
      </w:r>
      <w:r w:rsidR="007431BC" w:rsidRPr="007431BC">
        <w:rPr>
          <w:rFonts w:hAnsi="標楷體" w:hint="eastAsia"/>
          <w:snapToGrid/>
        </w:rPr>
        <w:t>差異，</w:t>
      </w:r>
      <w:r w:rsidR="00DE738D">
        <w:rPr>
          <w:rFonts w:hAnsi="標楷體" w:hint="eastAsia"/>
          <w:snapToGrid/>
        </w:rPr>
        <w:t>112年度差異數較上年度擴大，</w:t>
      </w:r>
      <w:r w:rsidR="007431BC" w:rsidRPr="007431BC">
        <w:rPr>
          <w:rFonts w:hAnsi="標楷體" w:hint="eastAsia"/>
          <w:snapToGrid/>
        </w:rPr>
        <w:t>允宜</w:t>
      </w:r>
      <w:r w:rsidR="00FE27FB">
        <w:rPr>
          <w:rFonts w:hAnsi="標楷體" w:hint="eastAsia"/>
          <w:snapToGrid/>
        </w:rPr>
        <w:t>賡續</w:t>
      </w:r>
      <w:r w:rsidR="00CD0C47">
        <w:rPr>
          <w:rFonts w:hAnsi="標楷體" w:hint="eastAsia"/>
          <w:snapToGrid/>
        </w:rPr>
        <w:t>策</w:t>
      </w:r>
      <w:r w:rsidR="00FE27FB">
        <w:rPr>
          <w:rFonts w:hAnsi="標楷體" w:hint="eastAsia"/>
          <w:snapToGrid/>
        </w:rPr>
        <w:t>進</w:t>
      </w:r>
      <w:r w:rsidR="00A95D1A">
        <w:rPr>
          <w:rFonts w:hAnsi="標楷體" w:hint="eastAsia"/>
          <w:snapToGrid/>
        </w:rPr>
        <w:t>編製作業</w:t>
      </w:r>
      <w:bookmarkEnd w:id="18"/>
    </w:p>
    <w:p w:rsidR="00A403CF" w:rsidRDefault="00A403CF" w:rsidP="00D3231E">
      <w:pPr>
        <w:wordWrap w:val="0"/>
        <w:autoSpaceDE w:val="0"/>
        <w:autoSpaceDN w:val="0"/>
        <w:ind w:left="566" w:firstLine="566"/>
        <w:rPr>
          <w:rFonts w:hAnsi="標楷體"/>
          <w:snapToGrid/>
        </w:rPr>
      </w:pPr>
      <w:r w:rsidRPr="00507BD2">
        <w:rPr>
          <w:rFonts w:hAnsi="標楷體" w:hint="eastAsia"/>
          <w:snapToGrid/>
        </w:rPr>
        <w:t>央行1</w:t>
      </w:r>
      <w:r w:rsidRPr="00507BD2">
        <w:rPr>
          <w:rFonts w:hAnsi="標楷體"/>
          <w:snapToGrid/>
        </w:rPr>
        <w:t>1</w:t>
      </w:r>
      <w:r w:rsidR="00815EC2">
        <w:rPr>
          <w:rFonts w:hAnsi="標楷體"/>
          <w:snapToGrid/>
        </w:rPr>
        <w:t>4</w:t>
      </w:r>
      <w:r w:rsidRPr="00507BD2">
        <w:rPr>
          <w:rFonts w:hAnsi="標楷體"/>
          <w:snapToGrid/>
        </w:rPr>
        <w:t>年度預算案編列</w:t>
      </w:r>
      <w:r w:rsidRPr="00507BD2">
        <w:rPr>
          <w:rFonts w:hAnsi="標楷體" w:hint="eastAsia"/>
          <w:snapToGrid/>
        </w:rPr>
        <w:t>「</w:t>
      </w:r>
      <w:r w:rsidR="0087425D">
        <w:rPr>
          <w:rFonts w:hAnsi="標楷體" w:hint="eastAsia"/>
          <w:snapToGrid/>
        </w:rPr>
        <w:t>金融保險成本-利息費用</w:t>
      </w:r>
      <w:r w:rsidRPr="00507BD2">
        <w:rPr>
          <w:rFonts w:hAnsi="標楷體" w:hint="eastAsia"/>
          <w:snapToGrid/>
        </w:rPr>
        <w:t>」</w:t>
      </w:r>
      <w:r w:rsidR="00F67D60">
        <w:rPr>
          <w:rFonts w:hAnsi="標楷體" w:hint="eastAsia"/>
          <w:snapToGrid/>
        </w:rPr>
        <w:t>1</w:t>
      </w:r>
      <w:r w:rsidR="00F67D60">
        <w:rPr>
          <w:rFonts w:hAnsi="標楷體"/>
          <w:snapToGrid/>
        </w:rPr>
        <w:t>,</w:t>
      </w:r>
      <w:r w:rsidR="00F67D60">
        <w:rPr>
          <w:rFonts w:hAnsi="標楷體" w:hint="eastAsia"/>
          <w:snapToGrid/>
        </w:rPr>
        <w:t>884億</w:t>
      </w:r>
      <w:r w:rsidR="003221F5">
        <w:rPr>
          <w:rFonts w:hAnsi="標楷體" w:hint="eastAsia"/>
          <w:snapToGrid/>
        </w:rPr>
        <w:t>338</w:t>
      </w:r>
      <w:r w:rsidR="00F67D60">
        <w:rPr>
          <w:rFonts w:hAnsi="標楷體" w:hint="eastAsia"/>
          <w:snapToGrid/>
        </w:rPr>
        <w:t>萬</w:t>
      </w:r>
      <w:r w:rsidR="003221F5">
        <w:rPr>
          <w:rFonts w:hAnsi="標楷體" w:hint="eastAsia"/>
          <w:snapToGrid/>
        </w:rPr>
        <w:t>5千元，較113年度</w:t>
      </w:r>
      <w:r w:rsidR="00747428">
        <w:rPr>
          <w:rFonts w:hAnsi="標楷體" w:hint="eastAsia"/>
          <w:snapToGrid/>
        </w:rPr>
        <w:t>預算案數1</w:t>
      </w:r>
      <w:r w:rsidR="00F67D60">
        <w:rPr>
          <w:rFonts w:hAnsi="標楷體"/>
          <w:snapToGrid/>
        </w:rPr>
        <w:t>,</w:t>
      </w:r>
      <w:r w:rsidR="00747428">
        <w:rPr>
          <w:rFonts w:hAnsi="標楷體" w:hint="eastAsia"/>
          <w:snapToGrid/>
        </w:rPr>
        <w:t>917</w:t>
      </w:r>
      <w:r w:rsidR="00F67D60">
        <w:rPr>
          <w:rFonts w:hAnsi="標楷體" w:hint="eastAsia"/>
          <w:snapToGrid/>
        </w:rPr>
        <w:t>億</w:t>
      </w:r>
      <w:r w:rsidR="00747428">
        <w:rPr>
          <w:rFonts w:hAnsi="標楷體" w:hint="eastAsia"/>
          <w:snapToGrid/>
        </w:rPr>
        <w:t>4</w:t>
      </w:r>
      <w:r w:rsidR="00F67D60">
        <w:rPr>
          <w:rFonts w:hAnsi="標楷體"/>
          <w:snapToGrid/>
        </w:rPr>
        <w:t>,</w:t>
      </w:r>
      <w:r w:rsidR="00747428">
        <w:rPr>
          <w:rFonts w:hAnsi="標楷體" w:hint="eastAsia"/>
          <w:snapToGrid/>
        </w:rPr>
        <w:t>122</w:t>
      </w:r>
      <w:r w:rsidR="00F67D60">
        <w:rPr>
          <w:rFonts w:hAnsi="標楷體" w:hint="eastAsia"/>
          <w:snapToGrid/>
        </w:rPr>
        <w:t>萬</w:t>
      </w:r>
      <w:r w:rsidR="00747428">
        <w:rPr>
          <w:rFonts w:hAnsi="標楷體" w:hint="eastAsia"/>
          <w:snapToGrid/>
        </w:rPr>
        <w:t>3千元</w:t>
      </w:r>
      <w:r w:rsidR="00F67D60">
        <w:rPr>
          <w:rFonts w:hAnsi="標楷體" w:hint="eastAsia"/>
          <w:snapToGrid/>
        </w:rPr>
        <w:t>減少33億3</w:t>
      </w:r>
      <w:r w:rsidR="00F67D60">
        <w:rPr>
          <w:rFonts w:hAnsi="標楷體"/>
          <w:snapToGrid/>
        </w:rPr>
        <w:t>,</w:t>
      </w:r>
      <w:r w:rsidR="00F67D60">
        <w:rPr>
          <w:rFonts w:hAnsi="標楷體" w:hint="eastAsia"/>
          <w:snapToGrid/>
        </w:rPr>
        <w:t>783萬8</w:t>
      </w:r>
      <w:r w:rsidR="00747428">
        <w:rPr>
          <w:rFonts w:hAnsi="標楷體" w:hint="eastAsia"/>
          <w:snapToGrid/>
        </w:rPr>
        <w:t>千元(</w:t>
      </w:r>
      <w:r w:rsidR="00F67D60">
        <w:rPr>
          <w:rFonts w:hAnsi="標楷體" w:hint="eastAsia"/>
          <w:snapToGrid/>
        </w:rPr>
        <w:t>減</w:t>
      </w:r>
      <w:r w:rsidR="00747428">
        <w:rPr>
          <w:rFonts w:hAnsi="標楷體" w:hint="eastAsia"/>
          <w:snapToGrid/>
        </w:rPr>
        <w:t>幅</w:t>
      </w:r>
      <w:r w:rsidR="00F67D60">
        <w:rPr>
          <w:rFonts w:hAnsi="標楷體" w:hint="eastAsia"/>
          <w:snapToGrid/>
        </w:rPr>
        <w:t>1.74</w:t>
      </w:r>
      <w:r w:rsidR="00F67D60">
        <w:rPr>
          <w:rFonts w:hAnsi="標楷體"/>
          <w:snapToGrid/>
        </w:rPr>
        <w:t>%</w:t>
      </w:r>
      <w:r w:rsidR="00747428">
        <w:rPr>
          <w:rFonts w:hAnsi="標楷體" w:hint="eastAsia"/>
          <w:snapToGrid/>
        </w:rPr>
        <w:t>)</w:t>
      </w:r>
      <w:r w:rsidR="00F67D60">
        <w:rPr>
          <w:rFonts w:hAnsi="標楷體" w:hint="eastAsia"/>
          <w:snapToGrid/>
        </w:rPr>
        <w:t>，惟較</w:t>
      </w:r>
      <w:r w:rsidR="00B03292">
        <w:rPr>
          <w:rFonts w:hAnsi="標楷體" w:hint="eastAsia"/>
          <w:snapToGrid/>
        </w:rPr>
        <w:t>112年度決算數</w:t>
      </w:r>
      <w:r w:rsidR="00D30A29">
        <w:rPr>
          <w:rFonts w:hAnsi="標楷體" w:hint="eastAsia"/>
          <w:snapToGrid/>
        </w:rPr>
        <w:t>1</w:t>
      </w:r>
      <w:r w:rsidR="00AA3965">
        <w:rPr>
          <w:rFonts w:hAnsi="標楷體"/>
          <w:snapToGrid/>
        </w:rPr>
        <w:t>,</w:t>
      </w:r>
      <w:r w:rsidR="00D30A29">
        <w:rPr>
          <w:rFonts w:hAnsi="標楷體" w:hint="eastAsia"/>
          <w:snapToGrid/>
        </w:rPr>
        <w:t>484</w:t>
      </w:r>
      <w:r w:rsidR="00AA3965">
        <w:rPr>
          <w:rFonts w:hAnsi="標楷體" w:hint="eastAsia"/>
          <w:snapToGrid/>
        </w:rPr>
        <w:t>億</w:t>
      </w:r>
      <w:r w:rsidR="00D30A29">
        <w:rPr>
          <w:rFonts w:hAnsi="標楷體" w:hint="eastAsia"/>
          <w:snapToGrid/>
        </w:rPr>
        <w:t>9</w:t>
      </w:r>
      <w:r w:rsidR="00AA3965">
        <w:rPr>
          <w:rFonts w:hAnsi="標楷體"/>
          <w:snapToGrid/>
        </w:rPr>
        <w:t>,</w:t>
      </w:r>
      <w:r w:rsidR="00D30A29">
        <w:rPr>
          <w:rFonts w:hAnsi="標楷體" w:hint="eastAsia"/>
          <w:snapToGrid/>
        </w:rPr>
        <w:t>097</w:t>
      </w:r>
      <w:r w:rsidR="00AA3965">
        <w:rPr>
          <w:rFonts w:hAnsi="標楷體" w:hint="eastAsia"/>
          <w:snapToGrid/>
        </w:rPr>
        <w:t>萬</w:t>
      </w:r>
      <w:r w:rsidR="00D30A29">
        <w:rPr>
          <w:rFonts w:hAnsi="標楷體" w:hint="eastAsia"/>
          <w:snapToGrid/>
        </w:rPr>
        <w:t>7千元增加</w:t>
      </w:r>
      <w:r w:rsidR="00AA3965">
        <w:rPr>
          <w:rFonts w:hAnsi="標楷體" w:hint="eastAsia"/>
          <w:snapToGrid/>
        </w:rPr>
        <w:t>399億1</w:t>
      </w:r>
      <w:r w:rsidR="00AA3965">
        <w:rPr>
          <w:rFonts w:hAnsi="標楷體"/>
          <w:snapToGrid/>
        </w:rPr>
        <w:t>,</w:t>
      </w:r>
      <w:r w:rsidR="00AA3965">
        <w:rPr>
          <w:rFonts w:hAnsi="標楷體" w:hint="eastAsia"/>
          <w:snapToGrid/>
        </w:rPr>
        <w:t>240萬8千元(增幅26.88%)</w:t>
      </w:r>
      <w:r w:rsidRPr="00507BD2">
        <w:rPr>
          <w:rFonts w:hAnsi="標楷體" w:hint="eastAsia"/>
          <w:snapToGrid/>
        </w:rPr>
        <w:t>。</w:t>
      </w:r>
      <w:r w:rsidRPr="00507BD2">
        <w:rPr>
          <w:rFonts w:hAnsi="標楷體"/>
          <w:snapToGrid/>
        </w:rPr>
        <w:t>該行</w:t>
      </w:r>
      <w:r w:rsidR="003221F5">
        <w:rPr>
          <w:rFonts w:hAnsi="標楷體" w:hint="eastAsia"/>
          <w:snapToGrid/>
        </w:rPr>
        <w:t>歷</w:t>
      </w:r>
      <w:r w:rsidRPr="00507BD2">
        <w:rPr>
          <w:rFonts w:hAnsi="標楷體"/>
          <w:snapToGrid/>
        </w:rPr>
        <w:t>年</w:t>
      </w:r>
      <w:r w:rsidR="003221F5">
        <w:rPr>
          <w:rFonts w:hAnsi="標楷體" w:hint="eastAsia"/>
          <w:snapToGrid/>
        </w:rPr>
        <w:t>度利息費用</w:t>
      </w:r>
      <w:r w:rsidRPr="00507BD2">
        <w:rPr>
          <w:rFonts w:hAnsi="標楷體"/>
          <w:snapToGrid/>
        </w:rPr>
        <w:t>預算之編列均有高估情形</w:t>
      </w:r>
      <w:r w:rsidRPr="00507BD2">
        <w:rPr>
          <w:rFonts w:hAnsi="標楷體" w:hint="eastAsia"/>
          <w:snapToGrid/>
        </w:rPr>
        <w:t>。</w:t>
      </w:r>
      <w:r w:rsidRPr="00507BD2">
        <w:rPr>
          <w:rFonts w:hAnsi="標楷體"/>
          <w:snapToGrid/>
        </w:rPr>
        <w:t>謹說明如下</w:t>
      </w:r>
      <w:r w:rsidRPr="00507BD2">
        <w:rPr>
          <w:rFonts w:hAnsi="標楷體" w:hint="eastAsia"/>
          <w:snapToGrid/>
        </w:rPr>
        <w:t>：</w:t>
      </w:r>
    </w:p>
    <w:p w:rsidR="001D124B" w:rsidRPr="00507BD2" w:rsidRDefault="001D124B" w:rsidP="001D124B">
      <w:pPr>
        <w:pStyle w:val="a4"/>
        <w:rPr>
          <w:b/>
          <w:bCs/>
          <w:snapToGrid/>
        </w:rPr>
      </w:pPr>
      <w:r w:rsidRPr="00507BD2">
        <w:rPr>
          <w:rFonts w:hint="eastAsia"/>
          <w:b/>
          <w:bCs/>
          <w:snapToGrid/>
        </w:rPr>
        <w:t>(</w:t>
      </w:r>
      <w:r w:rsidR="00261692">
        <w:rPr>
          <w:rFonts w:hint="eastAsia"/>
          <w:b/>
          <w:bCs/>
          <w:snapToGrid/>
        </w:rPr>
        <w:t>一</w:t>
      </w:r>
      <w:r w:rsidRPr="00507BD2">
        <w:rPr>
          <w:b/>
          <w:bCs/>
          <w:snapToGrid/>
        </w:rPr>
        <w:t>)</w:t>
      </w:r>
      <w:r>
        <w:rPr>
          <w:rFonts w:hint="eastAsia"/>
          <w:b/>
          <w:bCs/>
          <w:snapToGrid/>
        </w:rPr>
        <w:t>歷年度</w:t>
      </w:r>
      <w:r w:rsidR="006C31CC">
        <w:rPr>
          <w:rFonts w:hint="eastAsia"/>
          <w:b/>
          <w:bCs/>
          <w:snapToGrid/>
        </w:rPr>
        <w:t>利息費用</w:t>
      </w:r>
      <w:r w:rsidRPr="00303A4A">
        <w:rPr>
          <w:rFonts w:hint="eastAsia"/>
          <w:b/>
          <w:bCs/>
          <w:snapToGrid/>
        </w:rPr>
        <w:t>預決算數迭有差異，112年度差異數較上年度擴大，</w:t>
      </w:r>
      <w:r>
        <w:rPr>
          <w:rFonts w:hint="eastAsia"/>
          <w:b/>
          <w:bCs/>
          <w:snapToGrid/>
        </w:rPr>
        <w:t>編製作業容有精進空間</w:t>
      </w:r>
    </w:p>
    <w:p w:rsidR="00B00685" w:rsidRDefault="00F13143" w:rsidP="00852DC1">
      <w:pPr>
        <w:pStyle w:val="21"/>
        <w:wordWrap w:val="0"/>
        <w:ind w:left="850" w:firstLine="566"/>
        <w:rPr>
          <w:snapToGrid/>
        </w:rPr>
      </w:pPr>
      <w:r w:rsidRPr="00507BD2">
        <w:rPr>
          <w:rFonts w:hint="eastAsia"/>
        </w:rPr>
        <w:t>1</w:t>
      </w:r>
      <w:r w:rsidRPr="00507BD2">
        <w:t>1</w:t>
      </w:r>
      <w:r w:rsidR="00100F8D">
        <w:t>4</w:t>
      </w:r>
      <w:r w:rsidRPr="00507BD2">
        <w:t>年度</w:t>
      </w:r>
      <w:r w:rsidR="00B00685" w:rsidRPr="00507BD2">
        <w:rPr>
          <w:rFonts w:hint="eastAsia"/>
        </w:rPr>
        <w:t>附屬單位預算共同項目編列作業規範</w:t>
      </w:r>
      <w:r w:rsidR="008457D6">
        <w:rPr>
          <w:rFonts w:hint="eastAsia"/>
        </w:rPr>
        <w:t>第壹、甲、三：「</w:t>
      </w:r>
      <w:r w:rsidR="009E52F7" w:rsidRPr="009E52F7">
        <w:rPr>
          <w:rFonts w:hint="eastAsia"/>
        </w:rPr>
        <w:t>各事業之成本與費用應依照業務計畫之實際需要及本作業規範編列，並檢討減列不具效益、已過時或績效不彰之成本及費用。</w:t>
      </w:r>
      <w:r w:rsidR="009E52F7">
        <w:t>…</w:t>
      </w:r>
      <w:r w:rsidR="008457D6">
        <w:rPr>
          <w:rFonts w:hint="eastAsia"/>
        </w:rPr>
        <w:t>」</w:t>
      </w:r>
      <w:r w:rsidR="009E52F7">
        <w:rPr>
          <w:rFonts w:hint="eastAsia"/>
        </w:rPr>
        <w:t>參據</w:t>
      </w:r>
      <w:r w:rsidR="00A5305A">
        <w:rPr>
          <w:rFonts w:hint="eastAsia"/>
        </w:rPr>
        <w:t>央</w:t>
      </w:r>
      <w:r w:rsidR="009E52F7">
        <w:rPr>
          <w:rFonts w:hint="eastAsia"/>
        </w:rPr>
        <w:t>行</w:t>
      </w:r>
      <w:r w:rsidR="004C42E3">
        <w:rPr>
          <w:rFonts w:hAnsi="標楷體" w:hint="eastAsia"/>
          <w:snapToGrid/>
        </w:rPr>
        <w:t>利息費用</w:t>
      </w:r>
      <w:r w:rsidR="00CF15A3">
        <w:rPr>
          <w:rFonts w:hint="eastAsia"/>
          <w:snapToGrid/>
        </w:rPr>
        <w:t>預</w:t>
      </w:r>
      <w:r w:rsidR="00A66E4C">
        <w:rPr>
          <w:rFonts w:hint="eastAsia"/>
          <w:snapToGrid/>
        </w:rPr>
        <w:t>決算對照情形</w:t>
      </w:r>
      <w:r w:rsidR="00852DC1">
        <w:rPr>
          <w:rFonts w:hint="eastAsia"/>
          <w:snapToGrid/>
        </w:rPr>
        <w:t>(詳表</w:t>
      </w:r>
      <w:r w:rsidR="00261692">
        <w:rPr>
          <w:rFonts w:hint="eastAsia"/>
          <w:snapToGrid/>
        </w:rPr>
        <w:t>1</w:t>
      </w:r>
      <w:r w:rsidR="00852DC1">
        <w:rPr>
          <w:rFonts w:hint="eastAsia"/>
          <w:snapToGrid/>
        </w:rPr>
        <w:t>)</w:t>
      </w:r>
      <w:r w:rsidR="00CF15A3">
        <w:rPr>
          <w:rFonts w:hint="eastAsia"/>
          <w:snapToGrid/>
        </w:rPr>
        <w:t>，</w:t>
      </w:r>
      <w:r w:rsidR="00710CBC">
        <w:rPr>
          <w:rFonts w:hint="eastAsia"/>
          <w:snapToGrid/>
        </w:rPr>
        <w:t>105至112年度間決算數</w:t>
      </w:r>
      <w:r w:rsidR="00261692">
        <w:rPr>
          <w:rFonts w:hint="eastAsia"/>
          <w:snapToGrid/>
        </w:rPr>
        <w:t>皆低於</w:t>
      </w:r>
      <w:r w:rsidR="00974C16">
        <w:rPr>
          <w:rFonts w:hint="eastAsia"/>
          <w:snapToGrid/>
        </w:rPr>
        <w:t>預算數</w:t>
      </w:r>
      <w:r w:rsidR="00710CBC">
        <w:rPr>
          <w:rFonts w:hint="eastAsia"/>
          <w:snapToGrid/>
        </w:rPr>
        <w:t>，</w:t>
      </w:r>
      <w:r w:rsidR="00974C16">
        <w:rPr>
          <w:rFonts w:hint="eastAsia"/>
          <w:snapToGrid/>
        </w:rPr>
        <w:t>差異數</w:t>
      </w:r>
      <w:r w:rsidR="00A5305A">
        <w:rPr>
          <w:snapToGrid/>
        </w:rPr>
        <w:t>72</w:t>
      </w:r>
      <w:r w:rsidR="00A5305A">
        <w:rPr>
          <w:rFonts w:hint="eastAsia"/>
          <w:snapToGrid/>
        </w:rPr>
        <w:t>億</w:t>
      </w:r>
      <w:r w:rsidR="00D3231E">
        <w:rPr>
          <w:snapToGrid/>
        </w:rPr>
        <w:t>3,</w:t>
      </w:r>
      <w:r w:rsidR="00A5305A">
        <w:rPr>
          <w:snapToGrid/>
        </w:rPr>
        <w:t>699</w:t>
      </w:r>
      <w:r w:rsidR="00A5305A">
        <w:rPr>
          <w:rFonts w:hint="eastAsia"/>
          <w:snapToGrid/>
        </w:rPr>
        <w:t>萬</w:t>
      </w:r>
      <w:r w:rsidR="00710CBC">
        <w:rPr>
          <w:rFonts w:hint="eastAsia"/>
          <w:snapToGrid/>
        </w:rPr>
        <w:t>元至</w:t>
      </w:r>
      <w:r w:rsidR="00A5305A">
        <w:rPr>
          <w:snapToGrid/>
        </w:rPr>
        <w:t>1,227</w:t>
      </w:r>
      <w:r w:rsidR="00A5305A">
        <w:rPr>
          <w:rFonts w:hint="eastAsia"/>
          <w:snapToGrid/>
        </w:rPr>
        <w:t>億</w:t>
      </w:r>
      <w:r w:rsidR="00A5305A">
        <w:rPr>
          <w:snapToGrid/>
        </w:rPr>
        <w:t>8,763</w:t>
      </w:r>
      <w:r w:rsidR="00A5305A">
        <w:rPr>
          <w:rFonts w:hint="eastAsia"/>
          <w:snapToGrid/>
        </w:rPr>
        <w:t>萬</w:t>
      </w:r>
      <w:r w:rsidR="00710CBC">
        <w:rPr>
          <w:rFonts w:hint="eastAsia"/>
          <w:snapToGrid/>
        </w:rPr>
        <w:t>元不等，</w:t>
      </w:r>
      <w:r w:rsidR="0039162E">
        <w:rPr>
          <w:rFonts w:hint="eastAsia"/>
          <w:snapToGrid/>
        </w:rPr>
        <w:t>108年度起</w:t>
      </w:r>
      <w:r w:rsidR="00A5305A">
        <w:rPr>
          <w:rFonts w:hint="eastAsia"/>
          <w:snapToGrid/>
        </w:rPr>
        <w:t>雖</w:t>
      </w:r>
      <w:r w:rsidR="00022979">
        <w:rPr>
          <w:rFonts w:hint="eastAsia"/>
          <w:snapToGrid/>
        </w:rPr>
        <w:t>因預算編列數</w:t>
      </w:r>
      <w:r w:rsidR="00A66E4C">
        <w:rPr>
          <w:rFonts w:hint="eastAsia"/>
          <w:snapToGrid/>
        </w:rPr>
        <w:t>降低</w:t>
      </w:r>
      <w:r w:rsidR="00022979">
        <w:rPr>
          <w:rFonts w:hint="eastAsia"/>
          <w:snapToGrid/>
        </w:rPr>
        <w:t>而減少</w:t>
      </w:r>
      <w:r w:rsidR="00A66E4C">
        <w:rPr>
          <w:rFonts w:hint="eastAsia"/>
          <w:snapToGrid/>
        </w:rPr>
        <w:t>差異</w:t>
      </w:r>
      <w:r w:rsidR="0039162E">
        <w:rPr>
          <w:rFonts w:hint="eastAsia"/>
          <w:snapToGrid/>
        </w:rPr>
        <w:t>，</w:t>
      </w:r>
      <w:r w:rsidR="00A66E4C">
        <w:rPr>
          <w:rFonts w:hint="eastAsia"/>
          <w:snapToGrid/>
        </w:rPr>
        <w:t>惟</w:t>
      </w:r>
      <w:r w:rsidR="0039162E">
        <w:rPr>
          <w:rFonts w:hint="eastAsia"/>
          <w:snapToGrid/>
        </w:rPr>
        <w:t>112年度復較上年度增加，</w:t>
      </w:r>
      <w:r w:rsidR="00D3231E">
        <w:rPr>
          <w:rFonts w:hint="eastAsia"/>
          <w:snapToGrid/>
        </w:rPr>
        <w:t>差異數</w:t>
      </w:r>
      <w:r w:rsidR="0039162E">
        <w:rPr>
          <w:rFonts w:hint="eastAsia"/>
          <w:snapToGrid/>
        </w:rPr>
        <w:t>擴大為336億2</w:t>
      </w:r>
      <w:r w:rsidR="0039162E">
        <w:rPr>
          <w:snapToGrid/>
        </w:rPr>
        <w:t>,</w:t>
      </w:r>
      <w:r w:rsidR="0039162E">
        <w:rPr>
          <w:rFonts w:hint="eastAsia"/>
          <w:snapToGrid/>
        </w:rPr>
        <w:t>140萬9千元</w:t>
      </w:r>
      <w:r w:rsidR="00A5305A">
        <w:rPr>
          <w:rFonts w:hint="eastAsia"/>
          <w:snapToGrid/>
        </w:rPr>
        <w:t>；該</w:t>
      </w:r>
      <w:r w:rsidR="00A5305A" w:rsidRPr="00A5305A">
        <w:rPr>
          <w:rFonts w:hint="eastAsia"/>
          <w:snapToGrid/>
        </w:rPr>
        <w:t>行收存金融機構轉存款及發行定存單，營運量極高，些微利率差</w:t>
      </w:r>
      <w:r w:rsidR="00D3231E">
        <w:rPr>
          <w:rFonts w:hint="eastAsia"/>
          <w:snapToGrid/>
        </w:rPr>
        <w:t>距</w:t>
      </w:r>
      <w:r w:rsidR="00A5305A" w:rsidRPr="00A5305A">
        <w:rPr>
          <w:rFonts w:hint="eastAsia"/>
          <w:snapToGrid/>
        </w:rPr>
        <w:t>即產生鉅額差異，</w:t>
      </w:r>
      <w:r w:rsidR="003161E4">
        <w:rPr>
          <w:rFonts w:hint="eastAsia"/>
          <w:snapToGrid/>
        </w:rPr>
        <w:t>惟</w:t>
      </w:r>
      <w:r w:rsidR="0039162E">
        <w:rPr>
          <w:rFonts w:hint="eastAsia"/>
          <w:snapToGrid/>
        </w:rPr>
        <w:t>113年度至8月底</w:t>
      </w:r>
      <w:r w:rsidR="00CD0C47">
        <w:rPr>
          <w:rFonts w:hint="eastAsia"/>
          <w:snapToGrid/>
        </w:rPr>
        <w:t>執行</w:t>
      </w:r>
      <w:r w:rsidR="0039162E">
        <w:rPr>
          <w:rFonts w:hint="eastAsia"/>
          <w:snapToGrid/>
        </w:rPr>
        <w:t>數1</w:t>
      </w:r>
      <w:r w:rsidR="0039162E">
        <w:rPr>
          <w:snapToGrid/>
        </w:rPr>
        <w:t>,</w:t>
      </w:r>
      <w:r w:rsidR="0039162E">
        <w:rPr>
          <w:rFonts w:hint="eastAsia"/>
          <w:snapToGrid/>
        </w:rPr>
        <w:t>092億4</w:t>
      </w:r>
      <w:r w:rsidR="0039162E">
        <w:rPr>
          <w:snapToGrid/>
        </w:rPr>
        <w:t>,</w:t>
      </w:r>
      <w:r w:rsidR="0039162E">
        <w:rPr>
          <w:rFonts w:hint="eastAsia"/>
          <w:snapToGrid/>
        </w:rPr>
        <w:t>580萬6千元，全年預算數執行率</w:t>
      </w:r>
      <w:r w:rsidR="00852DC1">
        <w:rPr>
          <w:rFonts w:hint="eastAsia"/>
          <w:snapToGrid/>
        </w:rPr>
        <w:t>卻</w:t>
      </w:r>
      <w:r w:rsidR="0039162E">
        <w:rPr>
          <w:rFonts w:hint="eastAsia"/>
          <w:snapToGrid/>
        </w:rPr>
        <w:t>僅</w:t>
      </w:r>
      <w:r w:rsidR="00AF237E">
        <w:rPr>
          <w:rFonts w:hint="eastAsia"/>
          <w:snapToGrid/>
        </w:rPr>
        <w:t>56.98</w:t>
      </w:r>
      <w:r w:rsidR="0039162E">
        <w:rPr>
          <w:rFonts w:hint="eastAsia"/>
          <w:snapToGrid/>
        </w:rPr>
        <w:t>%，</w:t>
      </w:r>
      <w:r w:rsidR="00974C16">
        <w:rPr>
          <w:rFonts w:hint="eastAsia"/>
          <w:snapToGrid/>
        </w:rPr>
        <w:t>低於6</w:t>
      </w:r>
      <w:r w:rsidR="00AF237E">
        <w:rPr>
          <w:rFonts w:hint="eastAsia"/>
          <w:snapToGrid/>
        </w:rPr>
        <w:t>成，</w:t>
      </w:r>
      <w:r w:rsidR="0039162E">
        <w:rPr>
          <w:rFonts w:hint="eastAsia"/>
          <w:snapToGrid/>
        </w:rPr>
        <w:t>利息費用估列</w:t>
      </w:r>
      <w:r w:rsidR="00D3231E">
        <w:rPr>
          <w:rFonts w:hint="eastAsia"/>
          <w:snapToGrid/>
        </w:rPr>
        <w:t>數偏高</w:t>
      </w:r>
      <w:r w:rsidR="0039162E">
        <w:rPr>
          <w:rFonts w:hint="eastAsia"/>
          <w:snapToGrid/>
        </w:rPr>
        <w:t>，</w:t>
      </w:r>
      <w:r w:rsidR="00303A4A">
        <w:rPr>
          <w:rFonts w:hint="eastAsia"/>
          <w:snapToGrid/>
        </w:rPr>
        <w:t>編製作業</w:t>
      </w:r>
      <w:r w:rsidR="0039162E">
        <w:rPr>
          <w:rFonts w:hint="eastAsia"/>
          <w:snapToGrid/>
        </w:rPr>
        <w:t>容</w:t>
      </w:r>
      <w:r w:rsidR="00303A4A">
        <w:rPr>
          <w:rFonts w:hint="eastAsia"/>
          <w:snapToGrid/>
        </w:rPr>
        <w:t>有精進空間</w:t>
      </w:r>
      <w:r w:rsidR="0039162E">
        <w:rPr>
          <w:rFonts w:hint="eastAsia"/>
          <w:snapToGrid/>
        </w:rPr>
        <w:t>。</w:t>
      </w:r>
    </w:p>
    <w:p w:rsidR="00076108" w:rsidRDefault="004C42E3" w:rsidP="00A37F90">
      <w:pPr>
        <w:pStyle w:val="a4"/>
        <w:ind w:leftChars="199" w:left="1244" w:hangingChars="240" w:hanging="680"/>
        <w:rPr>
          <w:b/>
        </w:rPr>
      </w:pPr>
      <w:r w:rsidRPr="00B11691">
        <w:rPr>
          <w:rFonts w:hint="eastAsia"/>
          <w:b/>
        </w:rPr>
        <w:t>表</w:t>
      </w:r>
      <w:r w:rsidR="00261692">
        <w:rPr>
          <w:rFonts w:hint="eastAsia"/>
          <w:b/>
        </w:rPr>
        <w:t>1</w:t>
      </w:r>
      <w:r w:rsidRPr="00B11691">
        <w:rPr>
          <w:rFonts w:hint="eastAsia"/>
          <w:b/>
        </w:rPr>
        <w:t xml:space="preserve"> 央行105至114年度</w:t>
      </w:r>
      <w:r w:rsidR="00076108">
        <w:rPr>
          <w:rFonts w:hint="eastAsia"/>
          <w:b/>
        </w:rPr>
        <w:t>利息費用</w:t>
      </w:r>
      <w:r w:rsidR="00B055BF" w:rsidRPr="00B11691">
        <w:rPr>
          <w:rFonts w:hint="eastAsia"/>
          <w:b/>
        </w:rPr>
        <w:t>預</w:t>
      </w:r>
      <w:r w:rsidR="00A66E4C">
        <w:rPr>
          <w:rFonts w:hint="eastAsia"/>
          <w:b/>
        </w:rPr>
        <w:t>決</w:t>
      </w:r>
      <w:r w:rsidR="00B055BF" w:rsidRPr="00B11691">
        <w:rPr>
          <w:rFonts w:hint="eastAsia"/>
          <w:b/>
        </w:rPr>
        <w:t>算</w:t>
      </w:r>
      <w:r w:rsidR="00AF237E">
        <w:rPr>
          <w:rFonts w:hint="eastAsia"/>
          <w:b/>
        </w:rPr>
        <w:t>對照</w:t>
      </w:r>
      <w:r w:rsidRPr="00B11691">
        <w:rPr>
          <w:rFonts w:hint="eastAsia"/>
          <w:b/>
        </w:rPr>
        <w:t>表</w:t>
      </w:r>
    </w:p>
    <w:p w:rsidR="004C42E3" w:rsidRPr="00B055BF" w:rsidRDefault="00A37F90" w:rsidP="00076108">
      <w:pPr>
        <w:pStyle w:val="142"/>
        <w:jc w:val="right"/>
        <w:rPr>
          <w:rStyle w:val="143"/>
          <w:rFonts w:hint="eastAsia"/>
        </w:rPr>
      </w:pPr>
      <w:r>
        <w:rPr>
          <w:rFonts w:hint="eastAsia"/>
          <w:b/>
        </w:rPr>
        <w:t xml:space="preserve">                         </w:t>
      </w:r>
      <w:r w:rsidR="00B055BF">
        <w:rPr>
          <w:rFonts w:hint="eastAsia"/>
          <w:b/>
        </w:rPr>
        <w:t xml:space="preserve"> </w:t>
      </w:r>
      <w:r w:rsidR="00B055BF" w:rsidRPr="00B055BF">
        <w:rPr>
          <w:rStyle w:val="143"/>
          <w:rFonts w:hint="eastAsia"/>
        </w:rPr>
        <w:t>單位：新臺幣千元</w:t>
      </w:r>
    </w:p>
    <w:tbl>
      <w:tblPr>
        <w:tblW w:w="7917" w:type="dxa"/>
        <w:tblInd w:w="61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540"/>
        <w:gridCol w:w="2267"/>
        <w:gridCol w:w="1984"/>
        <w:gridCol w:w="2126"/>
      </w:tblGrid>
      <w:tr w:rsidR="00B11691" w:rsidRPr="00B11691" w:rsidTr="00185DF9">
        <w:trPr>
          <w:trHeight w:val="20"/>
          <w:tblHeader/>
        </w:trPr>
        <w:tc>
          <w:tcPr>
            <w:tcW w:w="1540" w:type="dxa"/>
            <w:vAlign w:val="center"/>
          </w:tcPr>
          <w:p w:rsidR="00B11691" w:rsidRPr="00B11691" w:rsidRDefault="00B11691" w:rsidP="00B11691">
            <w:pPr>
              <w:spacing w:line="280" w:lineRule="exact"/>
              <w:ind w:leftChars="0" w:left="0" w:firstLineChars="0" w:firstLine="0"/>
              <w:jc w:val="center"/>
              <w:rPr>
                <w:rFonts w:hAnsi="標楷體" w:hint="eastAsia"/>
                <w:b/>
                <w:sz w:val="24"/>
              </w:rPr>
            </w:pPr>
            <w:r w:rsidRPr="00B11691">
              <w:rPr>
                <w:rFonts w:hAnsi="標楷體" w:hint="eastAsia"/>
                <w:b/>
                <w:sz w:val="24"/>
              </w:rPr>
              <w:t>年度</w:t>
            </w:r>
          </w:p>
        </w:tc>
        <w:tc>
          <w:tcPr>
            <w:tcW w:w="2267" w:type="dxa"/>
            <w:shd w:val="clear" w:color="auto" w:fill="auto"/>
            <w:vAlign w:val="center"/>
          </w:tcPr>
          <w:p w:rsidR="00B11691" w:rsidRPr="00B11691" w:rsidRDefault="00B11691" w:rsidP="00B11691">
            <w:pPr>
              <w:spacing w:line="280" w:lineRule="exact"/>
              <w:ind w:leftChars="0" w:left="0" w:firstLineChars="0" w:firstLine="0"/>
              <w:jc w:val="center"/>
              <w:rPr>
                <w:rFonts w:hAnsi="標楷體" w:hint="eastAsia"/>
                <w:b/>
                <w:sz w:val="24"/>
              </w:rPr>
            </w:pPr>
            <w:r w:rsidRPr="00B11691">
              <w:rPr>
                <w:rFonts w:hAnsi="標楷體" w:hint="eastAsia"/>
                <w:b/>
                <w:sz w:val="24"/>
              </w:rPr>
              <w:t>預算數(1)</w:t>
            </w:r>
          </w:p>
        </w:tc>
        <w:tc>
          <w:tcPr>
            <w:tcW w:w="1984" w:type="dxa"/>
            <w:shd w:val="clear" w:color="auto" w:fill="auto"/>
            <w:vAlign w:val="center"/>
          </w:tcPr>
          <w:p w:rsidR="00B11691" w:rsidRPr="00B11691" w:rsidRDefault="00B11691" w:rsidP="00B11691">
            <w:pPr>
              <w:spacing w:line="280" w:lineRule="exact"/>
              <w:ind w:leftChars="0" w:left="0" w:firstLineChars="0" w:firstLine="0"/>
              <w:jc w:val="center"/>
              <w:rPr>
                <w:rFonts w:hAnsi="標楷體" w:hint="eastAsia"/>
                <w:b/>
                <w:sz w:val="24"/>
              </w:rPr>
            </w:pPr>
            <w:r w:rsidRPr="00B11691">
              <w:rPr>
                <w:rFonts w:hAnsi="標楷體" w:hint="eastAsia"/>
                <w:b/>
                <w:sz w:val="24"/>
              </w:rPr>
              <w:t>決算數(2)</w:t>
            </w:r>
          </w:p>
        </w:tc>
        <w:tc>
          <w:tcPr>
            <w:tcW w:w="2126" w:type="dxa"/>
            <w:shd w:val="clear" w:color="auto" w:fill="auto"/>
            <w:vAlign w:val="center"/>
          </w:tcPr>
          <w:p w:rsidR="00B11691" w:rsidRPr="00B11691" w:rsidRDefault="00B11691" w:rsidP="00B11691">
            <w:pPr>
              <w:spacing w:line="280" w:lineRule="exact"/>
              <w:ind w:leftChars="0" w:left="0" w:firstLineChars="0" w:firstLine="0"/>
              <w:jc w:val="center"/>
              <w:rPr>
                <w:rFonts w:hAnsi="標楷體" w:hint="eastAsia"/>
                <w:b/>
                <w:sz w:val="24"/>
              </w:rPr>
            </w:pPr>
            <w:r w:rsidRPr="00B11691">
              <w:rPr>
                <w:rFonts w:hAnsi="標楷體" w:hint="eastAsia"/>
                <w:b/>
                <w:sz w:val="24"/>
              </w:rPr>
              <w:t>差異數(3)=(1)-(2)</w:t>
            </w:r>
          </w:p>
        </w:tc>
      </w:tr>
      <w:tr w:rsidR="00B11691" w:rsidRPr="00B11691" w:rsidTr="001D124B">
        <w:trPr>
          <w:trHeight w:val="20"/>
        </w:trPr>
        <w:tc>
          <w:tcPr>
            <w:tcW w:w="1540" w:type="dxa"/>
            <w:vAlign w:val="center"/>
          </w:tcPr>
          <w:p w:rsidR="00B11691" w:rsidRPr="00B11691" w:rsidRDefault="00B11691" w:rsidP="00B11691">
            <w:pPr>
              <w:spacing w:line="280" w:lineRule="exact"/>
              <w:ind w:leftChars="0" w:left="0" w:firstLineChars="0" w:firstLine="0"/>
              <w:jc w:val="center"/>
              <w:rPr>
                <w:rFonts w:hAnsi="標楷體" w:hint="eastAsia"/>
                <w:sz w:val="24"/>
              </w:rPr>
            </w:pPr>
            <w:r w:rsidRPr="00B11691">
              <w:rPr>
                <w:rFonts w:hAnsi="標楷體" w:hint="eastAsia"/>
                <w:sz w:val="24"/>
              </w:rPr>
              <w:t>105</w:t>
            </w:r>
          </w:p>
        </w:tc>
        <w:tc>
          <w:tcPr>
            <w:tcW w:w="2267" w:type="dxa"/>
            <w:shd w:val="clear" w:color="auto" w:fill="auto"/>
            <w:vAlign w:val="center"/>
          </w:tcPr>
          <w:p w:rsidR="00B11691" w:rsidRPr="00B11691" w:rsidRDefault="00B11691" w:rsidP="00B11691">
            <w:pPr>
              <w:spacing w:line="280" w:lineRule="exact"/>
              <w:ind w:leftChars="0" w:left="0" w:firstLineChars="0" w:firstLine="0"/>
              <w:jc w:val="right"/>
              <w:rPr>
                <w:rFonts w:hAnsi="標楷體"/>
                <w:sz w:val="24"/>
              </w:rPr>
            </w:pPr>
            <w:r w:rsidRPr="00B11691">
              <w:rPr>
                <w:rFonts w:hAnsi="標楷體"/>
                <w:sz w:val="24"/>
              </w:rPr>
              <w:t>194,110,620</w:t>
            </w:r>
          </w:p>
        </w:tc>
        <w:tc>
          <w:tcPr>
            <w:tcW w:w="1984" w:type="dxa"/>
            <w:shd w:val="clear" w:color="auto" w:fill="auto"/>
            <w:tcMar>
              <w:right w:w="85" w:type="dxa"/>
            </w:tcMar>
            <w:vAlign w:val="center"/>
          </w:tcPr>
          <w:p w:rsidR="00B11691" w:rsidRPr="00B11691" w:rsidRDefault="00B11691" w:rsidP="00B11691">
            <w:pPr>
              <w:spacing w:line="280" w:lineRule="exact"/>
              <w:ind w:leftChars="0" w:left="0" w:firstLineChars="0" w:firstLine="0"/>
              <w:jc w:val="right"/>
              <w:rPr>
                <w:rFonts w:hAnsi="標楷體"/>
                <w:sz w:val="24"/>
              </w:rPr>
            </w:pPr>
            <w:r w:rsidRPr="00B11691">
              <w:rPr>
                <w:rFonts w:hAnsi="標楷體"/>
                <w:sz w:val="24"/>
              </w:rPr>
              <w:t>74,906,780</w:t>
            </w:r>
          </w:p>
        </w:tc>
        <w:tc>
          <w:tcPr>
            <w:tcW w:w="2126" w:type="dxa"/>
            <w:shd w:val="clear" w:color="auto" w:fill="auto"/>
            <w:vAlign w:val="center"/>
          </w:tcPr>
          <w:p w:rsidR="00B11691" w:rsidRPr="00B11691" w:rsidRDefault="00B11691" w:rsidP="00B11691">
            <w:pPr>
              <w:spacing w:line="280" w:lineRule="exact"/>
              <w:ind w:leftChars="0" w:left="0" w:firstLineChars="0" w:firstLine="0"/>
              <w:jc w:val="right"/>
              <w:rPr>
                <w:rFonts w:hAnsi="標楷體"/>
                <w:sz w:val="24"/>
              </w:rPr>
            </w:pPr>
            <w:r w:rsidRPr="00B11691">
              <w:rPr>
                <w:rFonts w:hAnsi="標楷體"/>
                <w:sz w:val="24"/>
              </w:rPr>
              <w:t>119,203,840</w:t>
            </w:r>
          </w:p>
        </w:tc>
      </w:tr>
      <w:tr w:rsidR="00B11691" w:rsidRPr="00B11691" w:rsidTr="001D124B">
        <w:trPr>
          <w:trHeight w:val="20"/>
        </w:trPr>
        <w:tc>
          <w:tcPr>
            <w:tcW w:w="1540" w:type="dxa"/>
            <w:vAlign w:val="center"/>
          </w:tcPr>
          <w:p w:rsidR="00B11691" w:rsidRPr="00B11691" w:rsidRDefault="00B11691" w:rsidP="00B11691">
            <w:pPr>
              <w:spacing w:line="280" w:lineRule="exact"/>
              <w:ind w:leftChars="0" w:left="0" w:firstLineChars="0" w:firstLine="0"/>
              <w:jc w:val="center"/>
              <w:rPr>
                <w:rFonts w:hAnsi="標楷體" w:hint="eastAsia"/>
                <w:sz w:val="24"/>
              </w:rPr>
            </w:pPr>
            <w:r w:rsidRPr="00B11691">
              <w:rPr>
                <w:rFonts w:hAnsi="標楷體" w:hint="eastAsia"/>
                <w:sz w:val="24"/>
              </w:rPr>
              <w:t>106</w:t>
            </w:r>
          </w:p>
        </w:tc>
        <w:tc>
          <w:tcPr>
            <w:tcW w:w="2267" w:type="dxa"/>
            <w:shd w:val="clear" w:color="auto" w:fill="auto"/>
            <w:vAlign w:val="center"/>
          </w:tcPr>
          <w:p w:rsidR="00B11691" w:rsidRPr="00B11691" w:rsidRDefault="00B11691" w:rsidP="00B11691">
            <w:pPr>
              <w:spacing w:line="280" w:lineRule="exact"/>
              <w:ind w:leftChars="0" w:left="0" w:firstLineChars="0" w:firstLine="0"/>
              <w:jc w:val="right"/>
              <w:rPr>
                <w:rFonts w:hAnsi="標楷體"/>
                <w:sz w:val="24"/>
              </w:rPr>
            </w:pPr>
            <w:r w:rsidRPr="00B11691">
              <w:rPr>
                <w:rFonts w:hAnsi="標楷體"/>
                <w:sz w:val="24"/>
              </w:rPr>
              <w:t>196,445,979</w:t>
            </w:r>
          </w:p>
        </w:tc>
        <w:tc>
          <w:tcPr>
            <w:tcW w:w="1984" w:type="dxa"/>
            <w:shd w:val="clear" w:color="auto" w:fill="auto"/>
            <w:tcMar>
              <w:right w:w="85" w:type="dxa"/>
            </w:tcMar>
            <w:vAlign w:val="center"/>
          </w:tcPr>
          <w:p w:rsidR="00B11691" w:rsidRPr="00B11691" w:rsidRDefault="00B11691" w:rsidP="00B11691">
            <w:pPr>
              <w:spacing w:line="280" w:lineRule="exact"/>
              <w:ind w:leftChars="0" w:left="0" w:firstLineChars="0" w:firstLine="0"/>
              <w:jc w:val="right"/>
              <w:rPr>
                <w:rFonts w:hAnsi="標楷體" w:hint="eastAsia"/>
                <w:sz w:val="24"/>
              </w:rPr>
            </w:pPr>
            <w:r w:rsidRPr="00B11691">
              <w:rPr>
                <w:rFonts w:hAnsi="標楷體"/>
                <w:sz w:val="24"/>
              </w:rPr>
              <w:t>73,658,349</w:t>
            </w:r>
          </w:p>
        </w:tc>
        <w:tc>
          <w:tcPr>
            <w:tcW w:w="2126" w:type="dxa"/>
            <w:shd w:val="clear" w:color="auto" w:fill="auto"/>
            <w:vAlign w:val="center"/>
          </w:tcPr>
          <w:p w:rsidR="00B11691" w:rsidRPr="00B11691" w:rsidRDefault="00B11691" w:rsidP="00B11691">
            <w:pPr>
              <w:spacing w:line="280" w:lineRule="exact"/>
              <w:ind w:leftChars="0" w:left="0" w:firstLineChars="0" w:firstLine="0"/>
              <w:jc w:val="right"/>
              <w:rPr>
                <w:rFonts w:hAnsi="標楷體" w:hint="eastAsia"/>
                <w:b/>
                <w:sz w:val="24"/>
              </w:rPr>
            </w:pPr>
            <w:r w:rsidRPr="00B11691">
              <w:rPr>
                <w:rFonts w:hAnsi="標楷體"/>
                <w:b/>
                <w:sz w:val="24"/>
              </w:rPr>
              <w:t>122,787,630</w:t>
            </w:r>
          </w:p>
        </w:tc>
      </w:tr>
      <w:tr w:rsidR="00B11691" w:rsidRPr="00B11691" w:rsidTr="001D124B">
        <w:trPr>
          <w:trHeight w:val="20"/>
        </w:trPr>
        <w:tc>
          <w:tcPr>
            <w:tcW w:w="1540" w:type="dxa"/>
            <w:vAlign w:val="center"/>
          </w:tcPr>
          <w:p w:rsidR="00B11691" w:rsidRPr="00B11691" w:rsidRDefault="00B11691" w:rsidP="00B11691">
            <w:pPr>
              <w:spacing w:line="280" w:lineRule="exact"/>
              <w:ind w:leftChars="0" w:left="0" w:firstLineChars="0" w:firstLine="0"/>
              <w:jc w:val="center"/>
              <w:rPr>
                <w:rFonts w:hAnsi="標楷體" w:hint="eastAsia"/>
                <w:sz w:val="24"/>
              </w:rPr>
            </w:pPr>
            <w:r w:rsidRPr="00B11691">
              <w:rPr>
                <w:rFonts w:hAnsi="標楷體" w:hint="eastAsia"/>
                <w:sz w:val="24"/>
              </w:rPr>
              <w:t>107</w:t>
            </w:r>
          </w:p>
        </w:tc>
        <w:tc>
          <w:tcPr>
            <w:tcW w:w="2267" w:type="dxa"/>
            <w:shd w:val="clear" w:color="auto" w:fill="auto"/>
            <w:vAlign w:val="center"/>
          </w:tcPr>
          <w:p w:rsidR="00B11691" w:rsidRPr="00B11691" w:rsidRDefault="00B11691" w:rsidP="00B11691">
            <w:pPr>
              <w:spacing w:line="280" w:lineRule="exact"/>
              <w:ind w:leftChars="0" w:left="0" w:firstLineChars="0" w:firstLine="0"/>
              <w:jc w:val="right"/>
              <w:rPr>
                <w:rFonts w:hAnsi="標楷體"/>
                <w:sz w:val="24"/>
              </w:rPr>
            </w:pPr>
            <w:r w:rsidRPr="00B11691">
              <w:rPr>
                <w:rFonts w:hAnsi="標楷體"/>
                <w:sz w:val="24"/>
              </w:rPr>
              <w:t>197,231,457</w:t>
            </w:r>
          </w:p>
        </w:tc>
        <w:tc>
          <w:tcPr>
            <w:tcW w:w="1984" w:type="dxa"/>
            <w:shd w:val="clear" w:color="auto" w:fill="auto"/>
            <w:tcMar>
              <w:right w:w="85" w:type="dxa"/>
            </w:tcMar>
            <w:vAlign w:val="center"/>
          </w:tcPr>
          <w:p w:rsidR="00B11691" w:rsidRPr="00B11691" w:rsidRDefault="00B11691" w:rsidP="00B11691">
            <w:pPr>
              <w:spacing w:line="280" w:lineRule="exact"/>
              <w:ind w:leftChars="0" w:left="0" w:firstLineChars="0" w:firstLine="0"/>
              <w:jc w:val="right"/>
              <w:rPr>
                <w:rFonts w:hAnsi="標楷體" w:hint="eastAsia"/>
                <w:sz w:val="24"/>
              </w:rPr>
            </w:pPr>
            <w:r w:rsidRPr="00B11691">
              <w:rPr>
                <w:rFonts w:hAnsi="標楷體"/>
                <w:sz w:val="24"/>
              </w:rPr>
              <w:t>84,741,895</w:t>
            </w:r>
          </w:p>
        </w:tc>
        <w:tc>
          <w:tcPr>
            <w:tcW w:w="2126" w:type="dxa"/>
            <w:shd w:val="clear" w:color="auto" w:fill="auto"/>
            <w:vAlign w:val="center"/>
          </w:tcPr>
          <w:p w:rsidR="00B11691" w:rsidRPr="00B11691" w:rsidRDefault="00B11691" w:rsidP="00B11691">
            <w:pPr>
              <w:spacing w:line="280" w:lineRule="exact"/>
              <w:ind w:leftChars="0" w:left="0" w:firstLineChars="0" w:firstLine="0"/>
              <w:jc w:val="right"/>
              <w:rPr>
                <w:rFonts w:hAnsi="標楷體" w:hint="eastAsia"/>
                <w:sz w:val="24"/>
              </w:rPr>
            </w:pPr>
            <w:r w:rsidRPr="00B11691">
              <w:rPr>
                <w:rFonts w:hAnsi="標楷體"/>
                <w:sz w:val="24"/>
              </w:rPr>
              <w:t>112,489,562</w:t>
            </w:r>
          </w:p>
        </w:tc>
      </w:tr>
      <w:tr w:rsidR="00B11691" w:rsidRPr="00B11691" w:rsidTr="001D124B">
        <w:trPr>
          <w:trHeight w:val="20"/>
        </w:trPr>
        <w:tc>
          <w:tcPr>
            <w:tcW w:w="1540" w:type="dxa"/>
            <w:vAlign w:val="center"/>
          </w:tcPr>
          <w:p w:rsidR="00B11691" w:rsidRPr="00B11691" w:rsidRDefault="00B11691" w:rsidP="00B11691">
            <w:pPr>
              <w:spacing w:line="280" w:lineRule="exact"/>
              <w:ind w:leftChars="0" w:left="0" w:firstLineChars="0" w:firstLine="0"/>
              <w:jc w:val="center"/>
              <w:rPr>
                <w:rFonts w:hAnsi="標楷體" w:hint="eastAsia"/>
                <w:sz w:val="24"/>
              </w:rPr>
            </w:pPr>
            <w:r w:rsidRPr="00B11691">
              <w:rPr>
                <w:rFonts w:hAnsi="標楷體" w:hint="eastAsia"/>
                <w:sz w:val="24"/>
              </w:rPr>
              <w:t>108</w:t>
            </w:r>
          </w:p>
        </w:tc>
        <w:tc>
          <w:tcPr>
            <w:tcW w:w="2267" w:type="dxa"/>
            <w:shd w:val="clear" w:color="auto" w:fill="auto"/>
            <w:vAlign w:val="center"/>
          </w:tcPr>
          <w:p w:rsidR="00B11691" w:rsidRPr="00B11691" w:rsidRDefault="00B11691" w:rsidP="00B11691">
            <w:pPr>
              <w:spacing w:line="280" w:lineRule="exact"/>
              <w:ind w:leftChars="0" w:left="0" w:firstLineChars="0" w:firstLine="0"/>
              <w:jc w:val="right"/>
              <w:rPr>
                <w:rFonts w:hAnsi="標楷體" w:hint="eastAsia"/>
                <w:sz w:val="24"/>
              </w:rPr>
            </w:pPr>
            <w:r w:rsidRPr="00B11691">
              <w:rPr>
                <w:rFonts w:hAnsi="標楷體" w:hint="eastAsia"/>
                <w:sz w:val="24"/>
              </w:rPr>
              <w:t>126,986,207</w:t>
            </w:r>
          </w:p>
        </w:tc>
        <w:tc>
          <w:tcPr>
            <w:tcW w:w="1984" w:type="dxa"/>
            <w:shd w:val="clear" w:color="auto" w:fill="auto"/>
            <w:tcMar>
              <w:right w:w="85" w:type="dxa"/>
            </w:tcMar>
            <w:vAlign w:val="center"/>
          </w:tcPr>
          <w:p w:rsidR="00B11691" w:rsidRPr="00B11691" w:rsidRDefault="00B11691" w:rsidP="00B11691">
            <w:pPr>
              <w:spacing w:line="280" w:lineRule="exact"/>
              <w:ind w:leftChars="0" w:left="0" w:firstLineChars="0" w:firstLine="0"/>
              <w:jc w:val="right"/>
              <w:rPr>
                <w:rFonts w:hAnsi="標楷體"/>
                <w:sz w:val="24"/>
              </w:rPr>
            </w:pPr>
            <w:r w:rsidRPr="00B11691">
              <w:rPr>
                <w:rFonts w:hAnsi="標楷體" w:hint="eastAsia"/>
                <w:sz w:val="24"/>
              </w:rPr>
              <w:t>81,952,448</w:t>
            </w:r>
          </w:p>
        </w:tc>
        <w:tc>
          <w:tcPr>
            <w:tcW w:w="2126" w:type="dxa"/>
            <w:shd w:val="clear" w:color="auto" w:fill="auto"/>
            <w:vAlign w:val="center"/>
          </w:tcPr>
          <w:p w:rsidR="00B11691" w:rsidRPr="00B11691" w:rsidRDefault="00B11691" w:rsidP="00B11691">
            <w:pPr>
              <w:spacing w:line="280" w:lineRule="exact"/>
              <w:ind w:leftChars="0" w:left="0" w:firstLineChars="0" w:firstLine="0"/>
              <w:jc w:val="right"/>
              <w:rPr>
                <w:rFonts w:hAnsi="標楷體"/>
                <w:sz w:val="24"/>
              </w:rPr>
            </w:pPr>
            <w:r w:rsidRPr="00B11691">
              <w:rPr>
                <w:rFonts w:hAnsi="標楷體" w:hint="eastAsia"/>
                <w:sz w:val="24"/>
              </w:rPr>
              <w:t>45,033,759</w:t>
            </w:r>
          </w:p>
        </w:tc>
      </w:tr>
      <w:tr w:rsidR="00B11691" w:rsidRPr="00B11691" w:rsidTr="001D124B">
        <w:trPr>
          <w:trHeight w:val="20"/>
        </w:trPr>
        <w:tc>
          <w:tcPr>
            <w:tcW w:w="1540" w:type="dxa"/>
            <w:vAlign w:val="center"/>
          </w:tcPr>
          <w:p w:rsidR="00B11691" w:rsidRPr="00B11691" w:rsidRDefault="00B11691" w:rsidP="00B11691">
            <w:pPr>
              <w:spacing w:line="280" w:lineRule="exact"/>
              <w:ind w:leftChars="0" w:left="0" w:firstLineChars="0" w:firstLine="0"/>
              <w:jc w:val="center"/>
              <w:rPr>
                <w:rFonts w:hAnsi="標楷體" w:hint="eastAsia"/>
                <w:sz w:val="24"/>
              </w:rPr>
            </w:pPr>
            <w:r w:rsidRPr="00B11691">
              <w:rPr>
                <w:rFonts w:hAnsi="標楷體" w:hint="eastAsia"/>
                <w:sz w:val="24"/>
              </w:rPr>
              <w:t>109</w:t>
            </w:r>
          </w:p>
        </w:tc>
        <w:tc>
          <w:tcPr>
            <w:tcW w:w="2267" w:type="dxa"/>
            <w:shd w:val="clear" w:color="auto" w:fill="auto"/>
            <w:vAlign w:val="center"/>
          </w:tcPr>
          <w:p w:rsidR="00B11691" w:rsidRPr="00B11691" w:rsidRDefault="00B11691" w:rsidP="00B11691">
            <w:pPr>
              <w:spacing w:line="280" w:lineRule="exact"/>
              <w:ind w:leftChars="0" w:left="0" w:firstLineChars="0" w:firstLine="0"/>
              <w:jc w:val="right"/>
              <w:rPr>
                <w:rFonts w:hAnsi="標楷體" w:hint="eastAsia"/>
                <w:sz w:val="24"/>
              </w:rPr>
            </w:pPr>
            <w:r w:rsidRPr="00B11691">
              <w:rPr>
                <w:rFonts w:hAnsi="標楷體" w:hint="eastAsia"/>
                <w:sz w:val="24"/>
              </w:rPr>
              <w:t>108,692,501</w:t>
            </w:r>
          </w:p>
        </w:tc>
        <w:tc>
          <w:tcPr>
            <w:tcW w:w="1984" w:type="dxa"/>
            <w:shd w:val="clear" w:color="auto" w:fill="auto"/>
            <w:tcMar>
              <w:right w:w="85" w:type="dxa"/>
            </w:tcMar>
            <w:vAlign w:val="center"/>
          </w:tcPr>
          <w:p w:rsidR="00B11691" w:rsidRPr="00B11691" w:rsidRDefault="00B11691" w:rsidP="00B11691">
            <w:pPr>
              <w:spacing w:line="280" w:lineRule="exact"/>
              <w:ind w:leftChars="0" w:left="0" w:firstLineChars="0" w:firstLine="0"/>
              <w:jc w:val="right"/>
              <w:rPr>
                <w:rFonts w:hAnsi="標楷體"/>
                <w:sz w:val="24"/>
              </w:rPr>
            </w:pPr>
            <w:r w:rsidRPr="00B11691">
              <w:rPr>
                <w:rFonts w:hAnsi="標楷體" w:hint="eastAsia"/>
                <w:sz w:val="24"/>
              </w:rPr>
              <w:t>57,576,882</w:t>
            </w:r>
          </w:p>
        </w:tc>
        <w:tc>
          <w:tcPr>
            <w:tcW w:w="2126" w:type="dxa"/>
            <w:shd w:val="clear" w:color="auto" w:fill="auto"/>
            <w:vAlign w:val="center"/>
          </w:tcPr>
          <w:p w:rsidR="00B11691" w:rsidRPr="00B11691" w:rsidRDefault="00B11691" w:rsidP="00B11691">
            <w:pPr>
              <w:spacing w:line="280" w:lineRule="exact"/>
              <w:ind w:leftChars="0" w:left="0" w:firstLineChars="0" w:firstLine="0"/>
              <w:jc w:val="right"/>
              <w:rPr>
                <w:rFonts w:hAnsi="標楷體" w:hint="eastAsia"/>
                <w:sz w:val="24"/>
              </w:rPr>
            </w:pPr>
            <w:r w:rsidRPr="00B11691">
              <w:rPr>
                <w:rFonts w:hAnsi="標楷體" w:hint="eastAsia"/>
                <w:sz w:val="24"/>
              </w:rPr>
              <w:t>51,115,619</w:t>
            </w:r>
          </w:p>
        </w:tc>
      </w:tr>
      <w:tr w:rsidR="00B11691" w:rsidRPr="00B11691" w:rsidTr="001D124B">
        <w:trPr>
          <w:trHeight w:val="20"/>
        </w:trPr>
        <w:tc>
          <w:tcPr>
            <w:tcW w:w="1540" w:type="dxa"/>
            <w:vAlign w:val="center"/>
          </w:tcPr>
          <w:p w:rsidR="00B11691" w:rsidRPr="00B11691" w:rsidRDefault="00B11691" w:rsidP="00B11691">
            <w:pPr>
              <w:spacing w:line="280" w:lineRule="exact"/>
              <w:ind w:leftChars="0" w:left="0" w:firstLineChars="0" w:firstLine="0"/>
              <w:jc w:val="center"/>
              <w:rPr>
                <w:rFonts w:hAnsi="標楷體" w:hint="eastAsia"/>
                <w:sz w:val="24"/>
              </w:rPr>
            </w:pPr>
            <w:r w:rsidRPr="00B11691">
              <w:rPr>
                <w:rFonts w:hAnsi="標楷體" w:hint="eastAsia"/>
                <w:sz w:val="24"/>
              </w:rPr>
              <w:t>110</w:t>
            </w:r>
          </w:p>
        </w:tc>
        <w:tc>
          <w:tcPr>
            <w:tcW w:w="2267" w:type="dxa"/>
            <w:shd w:val="clear" w:color="auto" w:fill="auto"/>
            <w:vAlign w:val="center"/>
          </w:tcPr>
          <w:p w:rsidR="00B11691" w:rsidRPr="00B11691" w:rsidRDefault="00B11691" w:rsidP="00B11691">
            <w:pPr>
              <w:spacing w:line="280" w:lineRule="exact"/>
              <w:ind w:leftChars="0" w:left="0" w:firstLineChars="0" w:firstLine="0"/>
              <w:jc w:val="right"/>
              <w:rPr>
                <w:rFonts w:hAnsi="標楷體" w:hint="eastAsia"/>
                <w:sz w:val="24"/>
              </w:rPr>
            </w:pPr>
            <w:r w:rsidRPr="00B11691">
              <w:rPr>
                <w:rFonts w:hAnsi="標楷體"/>
                <w:sz w:val="24"/>
              </w:rPr>
              <w:t>93,430,991</w:t>
            </w:r>
          </w:p>
        </w:tc>
        <w:tc>
          <w:tcPr>
            <w:tcW w:w="1984" w:type="dxa"/>
            <w:shd w:val="clear" w:color="auto" w:fill="auto"/>
            <w:tcMar>
              <w:right w:w="85" w:type="dxa"/>
            </w:tcMar>
            <w:vAlign w:val="center"/>
          </w:tcPr>
          <w:p w:rsidR="00B11691" w:rsidRPr="00B11691" w:rsidRDefault="00B11691" w:rsidP="00B11691">
            <w:pPr>
              <w:spacing w:line="280" w:lineRule="exact"/>
              <w:ind w:leftChars="0" w:left="0" w:firstLineChars="0" w:firstLine="0"/>
              <w:jc w:val="right"/>
              <w:rPr>
                <w:rFonts w:hAnsi="標楷體"/>
                <w:sz w:val="24"/>
              </w:rPr>
            </w:pPr>
            <w:r w:rsidRPr="00B11691">
              <w:rPr>
                <w:rFonts w:hAnsi="標楷體"/>
                <w:sz w:val="24"/>
              </w:rPr>
              <w:t>48,354,600</w:t>
            </w:r>
          </w:p>
        </w:tc>
        <w:tc>
          <w:tcPr>
            <w:tcW w:w="2126" w:type="dxa"/>
            <w:shd w:val="clear" w:color="auto" w:fill="auto"/>
            <w:vAlign w:val="center"/>
          </w:tcPr>
          <w:p w:rsidR="00B11691" w:rsidRPr="00B11691" w:rsidRDefault="00B11691" w:rsidP="00B11691">
            <w:pPr>
              <w:spacing w:line="280" w:lineRule="exact"/>
              <w:ind w:leftChars="0" w:left="0" w:firstLineChars="0" w:firstLine="0"/>
              <w:jc w:val="right"/>
              <w:rPr>
                <w:rFonts w:hAnsi="標楷體" w:hint="eastAsia"/>
                <w:sz w:val="24"/>
              </w:rPr>
            </w:pPr>
            <w:r w:rsidRPr="00B11691">
              <w:rPr>
                <w:rFonts w:hAnsi="標楷體"/>
                <w:sz w:val="24"/>
              </w:rPr>
              <w:t>45,076,391</w:t>
            </w:r>
          </w:p>
        </w:tc>
      </w:tr>
      <w:tr w:rsidR="00B11691" w:rsidRPr="00B11691" w:rsidTr="001D124B">
        <w:trPr>
          <w:trHeight w:val="20"/>
        </w:trPr>
        <w:tc>
          <w:tcPr>
            <w:tcW w:w="1540" w:type="dxa"/>
            <w:vAlign w:val="center"/>
          </w:tcPr>
          <w:p w:rsidR="00B11691" w:rsidRPr="00B11691" w:rsidRDefault="00B11691" w:rsidP="00B11691">
            <w:pPr>
              <w:spacing w:line="280" w:lineRule="exact"/>
              <w:ind w:leftChars="0" w:left="0" w:firstLineChars="0" w:firstLine="0"/>
              <w:jc w:val="center"/>
              <w:rPr>
                <w:rFonts w:hAnsi="標楷體" w:hint="eastAsia"/>
                <w:sz w:val="24"/>
              </w:rPr>
            </w:pPr>
            <w:r w:rsidRPr="00B11691">
              <w:rPr>
                <w:rFonts w:hAnsi="標楷體" w:hint="eastAsia"/>
                <w:sz w:val="24"/>
              </w:rPr>
              <w:t>111</w:t>
            </w:r>
          </w:p>
        </w:tc>
        <w:tc>
          <w:tcPr>
            <w:tcW w:w="2267" w:type="dxa"/>
            <w:shd w:val="clear" w:color="auto" w:fill="auto"/>
            <w:vAlign w:val="center"/>
          </w:tcPr>
          <w:p w:rsidR="00B11691" w:rsidRPr="00B11691" w:rsidRDefault="00B11691" w:rsidP="00B11691">
            <w:pPr>
              <w:spacing w:line="280" w:lineRule="exact"/>
              <w:ind w:leftChars="0" w:left="0" w:firstLineChars="0" w:firstLine="0"/>
              <w:jc w:val="right"/>
              <w:rPr>
                <w:rFonts w:hAnsi="標楷體" w:hint="eastAsia"/>
                <w:sz w:val="24"/>
              </w:rPr>
            </w:pPr>
            <w:r w:rsidRPr="00B11691">
              <w:rPr>
                <w:rFonts w:hAnsi="標楷體" w:hint="eastAsia"/>
                <w:sz w:val="24"/>
              </w:rPr>
              <w:t>92,776,513</w:t>
            </w:r>
          </w:p>
        </w:tc>
        <w:tc>
          <w:tcPr>
            <w:tcW w:w="1984" w:type="dxa"/>
            <w:shd w:val="clear" w:color="auto" w:fill="auto"/>
            <w:tcMar>
              <w:right w:w="85" w:type="dxa"/>
            </w:tcMar>
            <w:vAlign w:val="center"/>
          </w:tcPr>
          <w:p w:rsidR="00B11691" w:rsidRPr="00B11691" w:rsidRDefault="00B11691" w:rsidP="00B11691">
            <w:pPr>
              <w:spacing w:line="280" w:lineRule="exact"/>
              <w:ind w:leftChars="0" w:left="0" w:firstLineChars="0" w:firstLine="0"/>
              <w:jc w:val="right"/>
              <w:rPr>
                <w:rFonts w:hAnsi="標楷體" w:hint="eastAsia"/>
                <w:sz w:val="24"/>
              </w:rPr>
            </w:pPr>
            <w:r w:rsidRPr="00B11691">
              <w:rPr>
                <w:rFonts w:hAnsi="標楷體" w:hint="eastAsia"/>
                <w:sz w:val="24"/>
              </w:rPr>
              <w:t>8</w:t>
            </w:r>
            <w:r w:rsidRPr="00B11691">
              <w:rPr>
                <w:rFonts w:hAnsi="標楷體"/>
                <w:sz w:val="24"/>
              </w:rPr>
              <w:t>5,539,523</w:t>
            </w:r>
          </w:p>
        </w:tc>
        <w:tc>
          <w:tcPr>
            <w:tcW w:w="2126" w:type="dxa"/>
            <w:shd w:val="clear" w:color="auto" w:fill="auto"/>
            <w:vAlign w:val="center"/>
          </w:tcPr>
          <w:p w:rsidR="00B11691" w:rsidRPr="00B11691" w:rsidRDefault="00B11691" w:rsidP="00B11691">
            <w:pPr>
              <w:spacing w:line="280" w:lineRule="exact"/>
              <w:ind w:leftChars="0" w:left="0" w:firstLineChars="0" w:firstLine="0"/>
              <w:jc w:val="right"/>
              <w:rPr>
                <w:rFonts w:hAnsi="標楷體" w:hint="eastAsia"/>
                <w:b/>
                <w:sz w:val="24"/>
              </w:rPr>
            </w:pPr>
            <w:r w:rsidRPr="00B11691">
              <w:rPr>
                <w:rFonts w:hAnsi="標楷體" w:hint="eastAsia"/>
                <w:b/>
                <w:sz w:val="24"/>
              </w:rPr>
              <w:t>7</w:t>
            </w:r>
            <w:r w:rsidRPr="00B11691">
              <w:rPr>
                <w:rFonts w:hAnsi="標楷體"/>
                <w:b/>
                <w:sz w:val="24"/>
              </w:rPr>
              <w:t>,236,990</w:t>
            </w:r>
          </w:p>
        </w:tc>
      </w:tr>
      <w:tr w:rsidR="00B11691" w:rsidRPr="00B11691" w:rsidTr="001D124B">
        <w:trPr>
          <w:trHeight w:val="20"/>
        </w:trPr>
        <w:tc>
          <w:tcPr>
            <w:tcW w:w="1540" w:type="dxa"/>
            <w:vAlign w:val="center"/>
          </w:tcPr>
          <w:p w:rsidR="00B11691" w:rsidRPr="00B11691" w:rsidRDefault="00B11691" w:rsidP="00B11691">
            <w:pPr>
              <w:spacing w:line="280" w:lineRule="exact"/>
              <w:ind w:leftChars="0" w:left="0" w:firstLineChars="0" w:firstLine="0"/>
              <w:jc w:val="center"/>
              <w:rPr>
                <w:rFonts w:hAnsi="標楷體" w:hint="eastAsia"/>
                <w:sz w:val="24"/>
              </w:rPr>
            </w:pPr>
            <w:r w:rsidRPr="00B11691">
              <w:rPr>
                <w:rFonts w:hAnsi="標楷體" w:hint="eastAsia"/>
                <w:sz w:val="24"/>
              </w:rPr>
              <w:t>112</w:t>
            </w:r>
          </w:p>
        </w:tc>
        <w:tc>
          <w:tcPr>
            <w:tcW w:w="2267" w:type="dxa"/>
            <w:shd w:val="clear" w:color="auto" w:fill="auto"/>
            <w:vAlign w:val="center"/>
          </w:tcPr>
          <w:p w:rsidR="00B11691" w:rsidRPr="00B11691" w:rsidRDefault="00B11691" w:rsidP="00B11691">
            <w:pPr>
              <w:spacing w:line="280" w:lineRule="exact"/>
              <w:ind w:leftChars="0" w:left="0" w:firstLineChars="0" w:firstLine="0"/>
              <w:jc w:val="right"/>
              <w:rPr>
                <w:rFonts w:hAnsi="標楷體" w:hint="eastAsia"/>
                <w:sz w:val="24"/>
              </w:rPr>
            </w:pPr>
            <w:r w:rsidRPr="00B11691">
              <w:rPr>
                <w:rFonts w:hAnsi="標楷體" w:hint="eastAsia"/>
                <w:sz w:val="24"/>
              </w:rPr>
              <w:t>182,</w:t>
            </w:r>
            <w:r w:rsidRPr="00B11691">
              <w:rPr>
                <w:rFonts w:hAnsi="標楷體"/>
                <w:sz w:val="24"/>
              </w:rPr>
              <w:t>112</w:t>
            </w:r>
            <w:r w:rsidRPr="00B11691">
              <w:rPr>
                <w:rFonts w:hAnsi="標楷體" w:hint="eastAsia"/>
                <w:sz w:val="24"/>
              </w:rPr>
              <w:t>,</w:t>
            </w:r>
            <w:r w:rsidRPr="00B11691">
              <w:rPr>
                <w:rFonts w:hAnsi="標楷體"/>
                <w:sz w:val="24"/>
              </w:rPr>
              <w:t>3</w:t>
            </w:r>
            <w:r w:rsidRPr="00B11691">
              <w:rPr>
                <w:rFonts w:hAnsi="標楷體" w:hint="eastAsia"/>
                <w:sz w:val="24"/>
              </w:rPr>
              <w:t>86</w:t>
            </w:r>
          </w:p>
        </w:tc>
        <w:tc>
          <w:tcPr>
            <w:tcW w:w="1984" w:type="dxa"/>
            <w:shd w:val="clear" w:color="auto" w:fill="auto"/>
            <w:tcMar>
              <w:right w:w="85" w:type="dxa"/>
            </w:tcMar>
            <w:vAlign w:val="center"/>
          </w:tcPr>
          <w:p w:rsidR="00B11691" w:rsidRPr="00B11691" w:rsidRDefault="00B11691" w:rsidP="00B11691">
            <w:pPr>
              <w:spacing w:line="280" w:lineRule="exact"/>
              <w:ind w:leftChars="0" w:left="0" w:firstLineChars="0" w:firstLine="0"/>
              <w:jc w:val="right"/>
              <w:rPr>
                <w:rFonts w:hAnsi="標楷體" w:hint="eastAsia"/>
                <w:sz w:val="24"/>
              </w:rPr>
            </w:pPr>
            <w:r w:rsidRPr="00B11691">
              <w:rPr>
                <w:rFonts w:hAnsi="標楷體" w:hint="eastAsia"/>
                <w:sz w:val="24"/>
              </w:rPr>
              <w:t>148</w:t>
            </w:r>
            <w:r w:rsidRPr="00B11691">
              <w:rPr>
                <w:rFonts w:hAnsi="標楷體"/>
                <w:sz w:val="24"/>
              </w:rPr>
              <w:t>,</w:t>
            </w:r>
            <w:r w:rsidRPr="00B11691">
              <w:rPr>
                <w:rFonts w:hAnsi="標楷體" w:hint="eastAsia"/>
                <w:sz w:val="24"/>
              </w:rPr>
              <w:t>490</w:t>
            </w:r>
            <w:r w:rsidRPr="00B11691">
              <w:rPr>
                <w:rFonts w:hAnsi="標楷體"/>
                <w:sz w:val="24"/>
              </w:rPr>
              <w:t>,</w:t>
            </w:r>
            <w:r w:rsidRPr="00B11691">
              <w:rPr>
                <w:rFonts w:hAnsi="標楷體" w:hint="eastAsia"/>
                <w:sz w:val="24"/>
              </w:rPr>
              <w:t>977</w:t>
            </w:r>
          </w:p>
        </w:tc>
        <w:tc>
          <w:tcPr>
            <w:tcW w:w="2126" w:type="dxa"/>
            <w:tcBorders>
              <w:bottom w:val="single" w:sz="6" w:space="0" w:color="auto"/>
            </w:tcBorders>
            <w:shd w:val="clear" w:color="auto" w:fill="auto"/>
            <w:vAlign w:val="center"/>
          </w:tcPr>
          <w:p w:rsidR="00B11691" w:rsidRPr="00B11691" w:rsidRDefault="00B11691" w:rsidP="00B11691">
            <w:pPr>
              <w:spacing w:line="280" w:lineRule="exact"/>
              <w:ind w:leftChars="0" w:left="0" w:firstLineChars="0" w:firstLine="0"/>
              <w:jc w:val="right"/>
              <w:rPr>
                <w:rFonts w:hAnsi="標楷體" w:hint="eastAsia"/>
                <w:b/>
                <w:sz w:val="24"/>
              </w:rPr>
            </w:pPr>
            <w:r w:rsidRPr="00B11691">
              <w:rPr>
                <w:rFonts w:hAnsi="標楷體"/>
                <w:b/>
                <w:sz w:val="24"/>
              </w:rPr>
              <w:fldChar w:fldCharType="begin"/>
            </w:r>
            <w:r w:rsidRPr="00B11691">
              <w:rPr>
                <w:rFonts w:hAnsi="標楷體"/>
                <w:b/>
                <w:sz w:val="24"/>
              </w:rPr>
              <w:instrText xml:space="preserve"> </w:instrText>
            </w:r>
            <w:r w:rsidRPr="00B11691">
              <w:rPr>
                <w:rFonts w:hAnsi="標楷體" w:hint="eastAsia"/>
                <w:b/>
                <w:sz w:val="24"/>
              </w:rPr>
              <w:instrText>=B9-C9 \# "#,##0"</w:instrText>
            </w:r>
            <w:r w:rsidRPr="00B11691">
              <w:rPr>
                <w:rFonts w:hAnsi="標楷體"/>
                <w:b/>
                <w:sz w:val="24"/>
              </w:rPr>
              <w:instrText xml:space="preserve"> </w:instrText>
            </w:r>
            <w:r w:rsidRPr="00B11691">
              <w:rPr>
                <w:rFonts w:hAnsi="標楷體"/>
                <w:b/>
                <w:sz w:val="24"/>
              </w:rPr>
              <w:fldChar w:fldCharType="separate"/>
            </w:r>
            <w:r w:rsidRPr="00B11691">
              <w:rPr>
                <w:rFonts w:hAnsi="標楷體"/>
                <w:b/>
                <w:noProof/>
                <w:sz w:val="24"/>
              </w:rPr>
              <w:t>33,621,409</w:t>
            </w:r>
            <w:r w:rsidRPr="00B11691">
              <w:rPr>
                <w:rFonts w:hAnsi="標楷體"/>
                <w:b/>
                <w:sz w:val="24"/>
              </w:rPr>
              <w:fldChar w:fldCharType="end"/>
            </w:r>
          </w:p>
        </w:tc>
      </w:tr>
      <w:tr w:rsidR="00B11691" w:rsidRPr="00B11691" w:rsidTr="001D124B">
        <w:trPr>
          <w:trHeight w:val="20"/>
        </w:trPr>
        <w:tc>
          <w:tcPr>
            <w:tcW w:w="1540" w:type="dxa"/>
            <w:vAlign w:val="center"/>
          </w:tcPr>
          <w:p w:rsidR="00B11691" w:rsidRPr="00B11691" w:rsidRDefault="00B11691" w:rsidP="00B11691">
            <w:pPr>
              <w:spacing w:line="280" w:lineRule="exact"/>
              <w:ind w:leftChars="0" w:left="0" w:firstLineChars="0" w:firstLine="0"/>
              <w:jc w:val="center"/>
              <w:rPr>
                <w:rFonts w:hAnsi="標楷體" w:hint="eastAsia"/>
                <w:sz w:val="24"/>
              </w:rPr>
            </w:pPr>
            <w:r w:rsidRPr="00B11691">
              <w:rPr>
                <w:rFonts w:hAnsi="標楷體" w:hint="eastAsia"/>
                <w:sz w:val="24"/>
              </w:rPr>
              <w:t>11</w:t>
            </w:r>
            <w:r w:rsidRPr="00B11691">
              <w:rPr>
                <w:rFonts w:hAnsi="標楷體"/>
                <w:sz w:val="24"/>
              </w:rPr>
              <w:t>3</w:t>
            </w:r>
          </w:p>
        </w:tc>
        <w:tc>
          <w:tcPr>
            <w:tcW w:w="2267" w:type="dxa"/>
            <w:shd w:val="clear" w:color="auto" w:fill="auto"/>
            <w:vAlign w:val="center"/>
          </w:tcPr>
          <w:p w:rsidR="00B11691" w:rsidRPr="00B11691" w:rsidRDefault="00B11691" w:rsidP="00B11691">
            <w:pPr>
              <w:spacing w:line="280" w:lineRule="exact"/>
              <w:ind w:leftChars="0" w:left="0" w:firstLineChars="0" w:firstLine="0"/>
              <w:jc w:val="right"/>
              <w:rPr>
                <w:rFonts w:hAnsi="標楷體" w:hint="eastAsia"/>
                <w:b/>
                <w:sz w:val="24"/>
              </w:rPr>
            </w:pPr>
            <w:r w:rsidRPr="00B11691">
              <w:rPr>
                <w:rFonts w:hAnsi="標楷體" w:hint="eastAsia"/>
                <w:b/>
                <w:sz w:val="24"/>
              </w:rPr>
              <w:t>1</w:t>
            </w:r>
            <w:r w:rsidRPr="00B11691">
              <w:rPr>
                <w:rFonts w:hAnsi="標楷體"/>
                <w:b/>
                <w:sz w:val="24"/>
              </w:rPr>
              <w:t>91,741,223</w:t>
            </w:r>
          </w:p>
        </w:tc>
        <w:tc>
          <w:tcPr>
            <w:tcW w:w="1984" w:type="dxa"/>
            <w:tcBorders>
              <w:bottom w:val="single" w:sz="6" w:space="0" w:color="auto"/>
              <w:right w:val="nil"/>
            </w:tcBorders>
            <w:shd w:val="clear" w:color="auto" w:fill="auto"/>
            <w:tcMar>
              <w:right w:w="85" w:type="dxa"/>
            </w:tcMar>
            <w:vAlign w:val="center"/>
          </w:tcPr>
          <w:p w:rsidR="00B11691" w:rsidRPr="00B11691" w:rsidRDefault="00B11691" w:rsidP="00B11691">
            <w:pPr>
              <w:spacing w:line="280" w:lineRule="exact"/>
              <w:ind w:leftChars="0" w:left="0" w:firstLineChars="0" w:firstLine="0"/>
              <w:jc w:val="right"/>
              <w:rPr>
                <w:rFonts w:hAnsi="標楷體" w:hint="eastAsia"/>
                <w:b/>
                <w:sz w:val="24"/>
              </w:rPr>
            </w:pPr>
            <w:r w:rsidRPr="00B11691">
              <w:rPr>
                <w:rFonts w:hAnsi="標楷體" w:hint="eastAsia"/>
                <w:b/>
                <w:sz w:val="24"/>
              </w:rPr>
              <w:t>109</w:t>
            </w:r>
            <w:r w:rsidRPr="00B11691">
              <w:rPr>
                <w:rFonts w:hAnsi="標楷體"/>
                <w:b/>
                <w:sz w:val="24"/>
              </w:rPr>
              <w:t>,</w:t>
            </w:r>
            <w:r w:rsidRPr="00B11691">
              <w:rPr>
                <w:rFonts w:hAnsi="標楷體" w:hint="eastAsia"/>
                <w:b/>
                <w:sz w:val="24"/>
              </w:rPr>
              <w:t>245</w:t>
            </w:r>
            <w:r w:rsidRPr="00B11691">
              <w:rPr>
                <w:rFonts w:hAnsi="標楷體"/>
                <w:b/>
                <w:sz w:val="24"/>
              </w:rPr>
              <w:t>,</w:t>
            </w:r>
            <w:r w:rsidRPr="00B11691">
              <w:rPr>
                <w:rFonts w:hAnsi="標楷體" w:hint="eastAsia"/>
                <w:b/>
                <w:sz w:val="24"/>
              </w:rPr>
              <w:t>806</w:t>
            </w:r>
          </w:p>
        </w:tc>
        <w:tc>
          <w:tcPr>
            <w:tcW w:w="2126" w:type="dxa"/>
            <w:tcBorders>
              <w:top w:val="single" w:sz="6" w:space="0" w:color="auto"/>
              <w:left w:val="nil"/>
              <w:bottom w:val="single" w:sz="6" w:space="0" w:color="auto"/>
              <w:right w:val="single" w:sz="12" w:space="0" w:color="auto"/>
            </w:tcBorders>
            <w:shd w:val="clear" w:color="auto" w:fill="auto"/>
          </w:tcPr>
          <w:p w:rsidR="00B11691" w:rsidRPr="00B11691" w:rsidRDefault="00B11691" w:rsidP="00B11691">
            <w:pPr>
              <w:spacing w:line="280" w:lineRule="exact"/>
              <w:ind w:leftChars="0" w:left="0" w:firstLineChars="0" w:firstLine="0"/>
              <w:jc w:val="right"/>
              <w:rPr>
                <w:rFonts w:hAnsi="標楷體" w:hint="eastAsia"/>
                <w:sz w:val="24"/>
              </w:rPr>
            </w:pPr>
          </w:p>
        </w:tc>
      </w:tr>
      <w:tr w:rsidR="00B11691" w:rsidRPr="00B11691" w:rsidTr="001D124B">
        <w:trPr>
          <w:trHeight w:val="20"/>
        </w:trPr>
        <w:tc>
          <w:tcPr>
            <w:tcW w:w="1540" w:type="dxa"/>
            <w:vAlign w:val="center"/>
          </w:tcPr>
          <w:p w:rsidR="00B11691" w:rsidRPr="00B11691" w:rsidRDefault="00B11691" w:rsidP="00B11691">
            <w:pPr>
              <w:spacing w:line="280" w:lineRule="exact"/>
              <w:ind w:leftChars="0" w:left="0" w:firstLineChars="0" w:firstLine="0"/>
              <w:jc w:val="center"/>
              <w:rPr>
                <w:rFonts w:hAnsi="標楷體" w:hint="eastAsia"/>
                <w:sz w:val="24"/>
              </w:rPr>
            </w:pPr>
            <w:r w:rsidRPr="00B11691">
              <w:rPr>
                <w:rFonts w:hAnsi="標楷體" w:hint="eastAsia"/>
                <w:sz w:val="24"/>
              </w:rPr>
              <w:t>1</w:t>
            </w:r>
            <w:r w:rsidRPr="00B11691">
              <w:rPr>
                <w:rFonts w:hAnsi="標楷體"/>
                <w:sz w:val="24"/>
              </w:rPr>
              <w:t>14</w:t>
            </w:r>
          </w:p>
        </w:tc>
        <w:tc>
          <w:tcPr>
            <w:tcW w:w="2267" w:type="dxa"/>
            <w:shd w:val="clear" w:color="auto" w:fill="auto"/>
            <w:vAlign w:val="center"/>
          </w:tcPr>
          <w:p w:rsidR="00B11691" w:rsidRPr="00B11691" w:rsidRDefault="00B11691" w:rsidP="00B11691">
            <w:pPr>
              <w:spacing w:line="280" w:lineRule="exact"/>
              <w:ind w:leftChars="0" w:left="0" w:firstLineChars="0" w:firstLine="0"/>
              <w:jc w:val="right"/>
              <w:rPr>
                <w:rFonts w:hAnsi="標楷體" w:hint="eastAsia"/>
                <w:sz w:val="24"/>
              </w:rPr>
            </w:pPr>
            <w:r w:rsidRPr="00B11691">
              <w:rPr>
                <w:rFonts w:hAnsi="標楷體" w:hint="eastAsia"/>
                <w:sz w:val="24"/>
              </w:rPr>
              <w:t>188</w:t>
            </w:r>
            <w:r w:rsidRPr="00B11691">
              <w:rPr>
                <w:rFonts w:hAnsi="標楷體"/>
                <w:sz w:val="24"/>
              </w:rPr>
              <w:t>,</w:t>
            </w:r>
            <w:r w:rsidRPr="00B11691">
              <w:rPr>
                <w:rFonts w:hAnsi="標楷體" w:hint="eastAsia"/>
                <w:sz w:val="24"/>
              </w:rPr>
              <w:t>403</w:t>
            </w:r>
            <w:r w:rsidRPr="00B11691">
              <w:rPr>
                <w:rFonts w:hAnsi="標楷體"/>
                <w:sz w:val="24"/>
              </w:rPr>
              <w:t>,3</w:t>
            </w:r>
            <w:r w:rsidRPr="00B11691">
              <w:rPr>
                <w:rFonts w:hAnsi="標楷體" w:hint="eastAsia"/>
                <w:sz w:val="24"/>
              </w:rPr>
              <w:t>85</w:t>
            </w:r>
          </w:p>
        </w:tc>
        <w:tc>
          <w:tcPr>
            <w:tcW w:w="4110" w:type="dxa"/>
            <w:gridSpan w:val="2"/>
            <w:tcBorders>
              <w:top w:val="single" w:sz="6" w:space="0" w:color="auto"/>
              <w:bottom w:val="single" w:sz="12" w:space="0" w:color="auto"/>
              <w:tr2bl w:val="single" w:sz="6" w:space="0" w:color="auto"/>
            </w:tcBorders>
            <w:shd w:val="clear" w:color="auto" w:fill="auto"/>
            <w:tcMar>
              <w:right w:w="85" w:type="dxa"/>
            </w:tcMar>
            <w:vAlign w:val="center"/>
          </w:tcPr>
          <w:p w:rsidR="00B11691" w:rsidRPr="00B11691" w:rsidRDefault="00B11691" w:rsidP="00B11691">
            <w:pPr>
              <w:spacing w:line="280" w:lineRule="exact"/>
              <w:ind w:leftChars="0" w:left="0" w:firstLineChars="0" w:firstLine="0"/>
              <w:jc w:val="right"/>
              <w:rPr>
                <w:rFonts w:hAnsi="標楷體" w:hint="eastAsia"/>
                <w:sz w:val="24"/>
              </w:rPr>
            </w:pPr>
          </w:p>
        </w:tc>
      </w:tr>
    </w:tbl>
    <w:p w:rsidR="00C87B63" w:rsidRPr="00B11691" w:rsidRDefault="00C87B63" w:rsidP="00B11691">
      <w:pPr>
        <w:pStyle w:val="142"/>
        <w:ind w:leftChars="203" w:left="1694" w:hangingChars="460" w:hanging="1119"/>
      </w:pPr>
      <w:r w:rsidRPr="00B11691">
        <w:rPr>
          <w:rFonts w:hint="eastAsia"/>
        </w:rPr>
        <w:t>說</w:t>
      </w:r>
      <w:r w:rsidR="00595499" w:rsidRPr="00B11691">
        <w:rPr>
          <w:rFonts w:hint="eastAsia"/>
        </w:rPr>
        <w:t xml:space="preserve">   </w:t>
      </w:r>
      <w:r w:rsidR="00A152B1" w:rsidRPr="00B11691">
        <w:rPr>
          <w:rFonts w:hint="eastAsia"/>
        </w:rPr>
        <w:t xml:space="preserve"> </w:t>
      </w:r>
      <w:r w:rsidRPr="00B11691">
        <w:rPr>
          <w:rFonts w:hint="eastAsia"/>
        </w:rPr>
        <w:t>明：113</w:t>
      </w:r>
      <w:r w:rsidR="006D2DBB">
        <w:rPr>
          <w:rFonts w:hint="eastAsia"/>
        </w:rPr>
        <w:t>及</w:t>
      </w:r>
      <w:r w:rsidRPr="00B11691">
        <w:rPr>
          <w:rFonts w:hint="eastAsia"/>
        </w:rPr>
        <w:t>114年度為預算案數；113年度決算數為截至8月底止實際數。</w:t>
      </w:r>
    </w:p>
    <w:p w:rsidR="004C42E3" w:rsidRDefault="004C42E3" w:rsidP="00B11691">
      <w:pPr>
        <w:pStyle w:val="142"/>
        <w:ind w:leftChars="203" w:left="1694" w:hangingChars="460" w:hanging="1119"/>
      </w:pPr>
      <w:r w:rsidRPr="00B11691">
        <w:rPr>
          <w:rFonts w:hint="eastAsia"/>
        </w:rPr>
        <w:t>資料來源：</w:t>
      </w:r>
      <w:r w:rsidR="00B055BF" w:rsidRPr="00B11691">
        <w:rPr>
          <w:rFonts w:hint="eastAsia"/>
        </w:rPr>
        <w:t>央行</w:t>
      </w:r>
      <w:r w:rsidRPr="00B11691">
        <w:rPr>
          <w:rFonts w:hint="eastAsia"/>
        </w:rPr>
        <w:t>。</w:t>
      </w:r>
    </w:p>
    <w:p w:rsidR="00261692" w:rsidRPr="00D72BBC" w:rsidRDefault="00261692" w:rsidP="00261692">
      <w:pPr>
        <w:pStyle w:val="a4"/>
        <w:rPr>
          <w:b/>
        </w:rPr>
      </w:pPr>
      <w:r w:rsidRPr="00D72BBC">
        <w:rPr>
          <w:rFonts w:hint="eastAsia"/>
          <w:b/>
        </w:rPr>
        <w:t>(</w:t>
      </w:r>
      <w:r>
        <w:rPr>
          <w:rFonts w:hint="eastAsia"/>
          <w:b/>
        </w:rPr>
        <w:t>二</w:t>
      </w:r>
      <w:r w:rsidRPr="00D72BBC">
        <w:rPr>
          <w:rFonts w:hint="eastAsia"/>
          <w:b/>
        </w:rPr>
        <w:t>)</w:t>
      </w:r>
      <w:r>
        <w:rPr>
          <w:rFonts w:hint="eastAsia"/>
          <w:b/>
        </w:rPr>
        <w:t>利息費用營運量以112年度數據為基準，參考</w:t>
      </w:r>
      <w:r w:rsidRPr="00974D96">
        <w:rPr>
          <w:rFonts w:hint="eastAsia"/>
          <w:b/>
        </w:rPr>
        <w:t>經濟金融情勢或</w:t>
      </w:r>
      <w:r>
        <w:rPr>
          <w:rFonts w:hint="eastAsia"/>
          <w:b/>
        </w:rPr>
        <w:t>近年度成長率推估，</w:t>
      </w:r>
      <w:r w:rsidR="00D3231E">
        <w:rPr>
          <w:rFonts w:hint="eastAsia"/>
          <w:b/>
        </w:rPr>
        <w:t>恐難</w:t>
      </w:r>
      <w:r>
        <w:rPr>
          <w:rFonts w:hint="eastAsia"/>
          <w:b/>
        </w:rPr>
        <w:t>反映即時情況</w:t>
      </w:r>
    </w:p>
    <w:p w:rsidR="00261692" w:rsidRDefault="00261692" w:rsidP="00261692">
      <w:pPr>
        <w:pStyle w:val="21"/>
        <w:ind w:left="850" w:firstLine="566"/>
        <w:rPr>
          <w:rFonts w:hAnsi="標楷體"/>
          <w:snapToGrid/>
        </w:rPr>
      </w:pPr>
      <w:r>
        <w:rPr>
          <w:rFonts w:hAnsi="標楷體" w:hint="eastAsia"/>
          <w:snapToGrid/>
        </w:rPr>
        <w:t>央行利息費用含銀行定存息、轉存息、銀行存款息、公庫存款息、附買回票券及債券負債息及補貼息等(詳表2)。據該行提供估列及計算基礎(詳表3)，利率方面則因編製預算與執行具時間差，貨幣政策亦可能配合國際局勢、通膨發展情勢及國際原物料價格等因素調整，加以為抑制通膨預期心理，自111年度起已6度調升0.875個百分點，4度調升存款準備率1個百分點，爰以存款成本率1.18%編列；至營運量方面主要</w:t>
      </w:r>
      <w:r w:rsidR="00D3231E">
        <w:rPr>
          <w:rFonts w:hAnsi="標楷體" w:hint="eastAsia"/>
          <w:snapToGrid/>
        </w:rPr>
        <w:t>以</w:t>
      </w:r>
      <w:r>
        <w:rPr>
          <w:rFonts w:hAnsi="標楷體" w:hint="eastAsia"/>
          <w:snapToGrid/>
        </w:rPr>
        <w:t>112年度數據，參考近期經濟金融情勢或近2年平均成長率推估，金融情勢瞬息萬變，</w:t>
      </w:r>
      <w:r w:rsidR="00185DF9">
        <w:rPr>
          <w:rFonts w:hAnsi="標楷體" w:hint="eastAsia"/>
          <w:snapToGrid/>
        </w:rPr>
        <w:t>恐難反映即時情況</w:t>
      </w:r>
      <w:r>
        <w:rPr>
          <w:rFonts w:hAnsi="標楷體" w:hint="eastAsia"/>
          <w:snapToGrid/>
        </w:rPr>
        <w:t>。</w:t>
      </w:r>
    </w:p>
    <w:p w:rsidR="00261692" w:rsidRPr="00625FF0" w:rsidRDefault="00261692" w:rsidP="00261692">
      <w:pPr>
        <w:pStyle w:val="ad"/>
        <w:ind w:left="283" w:hanging="283"/>
        <w:rPr>
          <w:b/>
          <w:snapToGrid/>
        </w:rPr>
      </w:pPr>
      <w:r w:rsidRPr="00625FF0">
        <w:rPr>
          <w:b/>
          <w:snapToGrid/>
        </w:rPr>
        <w:t>表</w:t>
      </w:r>
      <w:r>
        <w:rPr>
          <w:rFonts w:hint="eastAsia"/>
          <w:b/>
          <w:snapToGrid/>
        </w:rPr>
        <w:t>2</w:t>
      </w:r>
      <w:r w:rsidRPr="00625FF0">
        <w:rPr>
          <w:b/>
          <w:snapToGrid/>
        </w:rPr>
        <w:t xml:space="preserve"> 央行</w:t>
      </w:r>
      <w:r>
        <w:rPr>
          <w:b/>
          <w:snapToGrid/>
        </w:rPr>
        <w:t>114</w:t>
      </w:r>
      <w:r w:rsidRPr="00625FF0">
        <w:rPr>
          <w:b/>
          <w:snapToGrid/>
        </w:rPr>
        <w:t>年度</w:t>
      </w:r>
      <w:r w:rsidRPr="00A37F90">
        <w:rPr>
          <w:rFonts w:hAnsi="標楷體" w:hint="eastAsia"/>
          <w:b/>
          <w:snapToGrid/>
        </w:rPr>
        <w:t>「金融保險成本-利息費用」</w:t>
      </w:r>
      <w:r w:rsidRPr="00625FF0">
        <w:rPr>
          <w:b/>
          <w:snapToGrid/>
        </w:rPr>
        <w:t>預算</w:t>
      </w:r>
      <w:r>
        <w:rPr>
          <w:rFonts w:hint="eastAsia"/>
          <w:b/>
          <w:snapToGrid/>
        </w:rPr>
        <w:t>明細</w:t>
      </w:r>
      <w:r w:rsidRPr="00625FF0">
        <w:rPr>
          <w:b/>
          <w:snapToGrid/>
        </w:rPr>
        <w:t>表</w:t>
      </w:r>
    </w:p>
    <w:p w:rsidR="00261692" w:rsidRPr="00507BD2" w:rsidRDefault="00261692" w:rsidP="00261692">
      <w:pPr>
        <w:pStyle w:val="142"/>
        <w:ind w:left="566" w:firstLine="566"/>
        <w:jc w:val="right"/>
        <w:rPr>
          <w:snapToGrid/>
        </w:rPr>
      </w:pPr>
      <w:r w:rsidRPr="00507BD2">
        <w:rPr>
          <w:rFonts w:hint="eastAsia"/>
          <w:snapToGrid/>
        </w:rPr>
        <w:t xml:space="preserve"> </w:t>
      </w:r>
      <w:r w:rsidRPr="00507BD2">
        <w:rPr>
          <w:snapToGrid/>
        </w:rPr>
        <w:t xml:space="preserve">   單</w:t>
      </w:r>
      <w:r w:rsidRPr="00507BD2">
        <w:rPr>
          <w:rFonts w:hint="eastAsia"/>
          <w:snapToGrid/>
        </w:rPr>
        <w:t>位：新臺幣千元；%</w:t>
      </w:r>
    </w:p>
    <w:tbl>
      <w:tblPr>
        <w:tblW w:w="8511" w:type="dxa"/>
        <w:tblInd w:w="28" w:type="dxa"/>
        <w:tblCellMar>
          <w:left w:w="28" w:type="dxa"/>
          <w:right w:w="28" w:type="dxa"/>
        </w:tblCellMar>
        <w:tblLook w:val="04A0" w:firstRow="1" w:lastRow="0" w:firstColumn="1" w:lastColumn="0" w:noHBand="0" w:noVBand="1"/>
      </w:tblPr>
      <w:tblGrid>
        <w:gridCol w:w="3544"/>
        <w:gridCol w:w="1985"/>
        <w:gridCol w:w="1417"/>
        <w:gridCol w:w="1565"/>
      </w:tblGrid>
      <w:tr w:rsidR="00261692" w:rsidRPr="00625FF0" w:rsidTr="00A20973">
        <w:trPr>
          <w:trHeight w:val="20"/>
          <w:tblHeader/>
        </w:trPr>
        <w:tc>
          <w:tcPr>
            <w:tcW w:w="3544" w:type="dxa"/>
            <w:tcBorders>
              <w:top w:val="single" w:sz="12" w:space="0" w:color="auto"/>
              <w:left w:val="single" w:sz="12" w:space="0" w:color="auto"/>
              <w:bottom w:val="single" w:sz="8" w:space="0" w:color="auto"/>
              <w:right w:val="single" w:sz="8" w:space="0" w:color="auto"/>
            </w:tcBorders>
            <w:shd w:val="clear" w:color="auto" w:fill="auto"/>
            <w:vAlign w:val="center"/>
            <w:hideMark/>
          </w:tcPr>
          <w:p w:rsidR="00261692" w:rsidRPr="00625FF0" w:rsidRDefault="00261692" w:rsidP="00A7375D">
            <w:pPr>
              <w:spacing w:line="280" w:lineRule="exact"/>
              <w:ind w:leftChars="0" w:left="0" w:firstLineChars="0" w:firstLine="0"/>
              <w:jc w:val="center"/>
              <w:rPr>
                <w:b/>
                <w:sz w:val="24"/>
              </w:rPr>
            </w:pPr>
            <w:r w:rsidRPr="00625FF0">
              <w:rPr>
                <w:rFonts w:hint="eastAsia"/>
                <w:b/>
                <w:sz w:val="24"/>
              </w:rPr>
              <w:t>項目</w:t>
            </w:r>
          </w:p>
        </w:tc>
        <w:tc>
          <w:tcPr>
            <w:tcW w:w="1985" w:type="dxa"/>
            <w:tcBorders>
              <w:top w:val="single" w:sz="12" w:space="0" w:color="auto"/>
              <w:left w:val="nil"/>
              <w:bottom w:val="single" w:sz="8" w:space="0" w:color="auto"/>
              <w:right w:val="single" w:sz="8" w:space="0" w:color="auto"/>
            </w:tcBorders>
            <w:shd w:val="clear" w:color="auto" w:fill="auto"/>
            <w:vAlign w:val="center"/>
            <w:hideMark/>
          </w:tcPr>
          <w:p w:rsidR="00261692" w:rsidRPr="00625FF0" w:rsidRDefault="00261692" w:rsidP="00A7375D">
            <w:pPr>
              <w:spacing w:line="280" w:lineRule="exact"/>
              <w:ind w:leftChars="0" w:left="0" w:firstLineChars="0" w:firstLine="0"/>
              <w:jc w:val="center"/>
              <w:rPr>
                <w:rFonts w:hint="eastAsia"/>
                <w:b/>
                <w:sz w:val="24"/>
              </w:rPr>
            </w:pPr>
            <w:r w:rsidRPr="00625FF0">
              <w:rPr>
                <w:rFonts w:hint="eastAsia"/>
                <w:b/>
                <w:sz w:val="24"/>
              </w:rPr>
              <w:t>營運量A</w:t>
            </w:r>
          </w:p>
        </w:tc>
        <w:tc>
          <w:tcPr>
            <w:tcW w:w="1417" w:type="dxa"/>
            <w:tcBorders>
              <w:top w:val="single" w:sz="12" w:space="0" w:color="auto"/>
              <w:left w:val="nil"/>
              <w:bottom w:val="single" w:sz="8" w:space="0" w:color="auto"/>
              <w:right w:val="single" w:sz="8" w:space="0" w:color="auto"/>
            </w:tcBorders>
            <w:shd w:val="clear" w:color="auto" w:fill="auto"/>
            <w:vAlign w:val="center"/>
            <w:hideMark/>
          </w:tcPr>
          <w:p w:rsidR="00261692" w:rsidRPr="00625FF0" w:rsidRDefault="00261692" w:rsidP="00A7375D">
            <w:pPr>
              <w:spacing w:line="280" w:lineRule="exact"/>
              <w:ind w:leftChars="0" w:left="0" w:firstLineChars="0" w:firstLine="0"/>
              <w:jc w:val="center"/>
              <w:rPr>
                <w:rFonts w:hint="eastAsia"/>
                <w:b/>
                <w:sz w:val="24"/>
              </w:rPr>
            </w:pPr>
            <w:r w:rsidRPr="00625FF0">
              <w:rPr>
                <w:rFonts w:hint="eastAsia"/>
                <w:b/>
                <w:sz w:val="24"/>
              </w:rPr>
              <w:t>平均利率(</w:t>
            </w:r>
            <w:r w:rsidRPr="00625FF0">
              <w:rPr>
                <w:b/>
                <w:sz w:val="24"/>
              </w:rPr>
              <w:t>B/A)*100</w:t>
            </w:r>
          </w:p>
        </w:tc>
        <w:tc>
          <w:tcPr>
            <w:tcW w:w="1565" w:type="dxa"/>
            <w:tcBorders>
              <w:top w:val="single" w:sz="12" w:space="0" w:color="auto"/>
              <w:left w:val="nil"/>
              <w:bottom w:val="single" w:sz="8" w:space="0" w:color="auto"/>
              <w:right w:val="single" w:sz="12" w:space="0" w:color="auto"/>
            </w:tcBorders>
            <w:shd w:val="clear" w:color="auto" w:fill="auto"/>
            <w:vAlign w:val="center"/>
            <w:hideMark/>
          </w:tcPr>
          <w:p w:rsidR="00261692" w:rsidRPr="00625FF0" w:rsidRDefault="00261692" w:rsidP="00A7375D">
            <w:pPr>
              <w:spacing w:line="280" w:lineRule="exact"/>
              <w:ind w:leftChars="0" w:left="0" w:firstLineChars="0" w:firstLine="0"/>
              <w:jc w:val="center"/>
              <w:rPr>
                <w:rFonts w:hint="eastAsia"/>
                <w:b/>
                <w:sz w:val="24"/>
              </w:rPr>
            </w:pPr>
            <w:r w:rsidRPr="00625FF0">
              <w:rPr>
                <w:rFonts w:hint="eastAsia"/>
                <w:b/>
                <w:sz w:val="24"/>
              </w:rPr>
              <w:t>利息費用B</w:t>
            </w:r>
          </w:p>
        </w:tc>
      </w:tr>
      <w:tr w:rsidR="00261692" w:rsidRPr="00625FF0" w:rsidTr="00A7375D">
        <w:trPr>
          <w:trHeight w:val="20"/>
        </w:trPr>
        <w:tc>
          <w:tcPr>
            <w:tcW w:w="3544" w:type="dxa"/>
            <w:tcBorders>
              <w:top w:val="nil"/>
              <w:left w:val="single" w:sz="12" w:space="0" w:color="auto"/>
              <w:bottom w:val="single" w:sz="8" w:space="0" w:color="auto"/>
              <w:right w:val="single" w:sz="8" w:space="0" w:color="auto"/>
            </w:tcBorders>
            <w:shd w:val="clear" w:color="auto" w:fill="auto"/>
            <w:vAlign w:val="center"/>
            <w:hideMark/>
          </w:tcPr>
          <w:p w:rsidR="00261692" w:rsidRPr="00625FF0" w:rsidRDefault="00261692" w:rsidP="00A7375D">
            <w:pPr>
              <w:spacing w:line="280" w:lineRule="exact"/>
              <w:ind w:leftChars="0" w:left="0" w:firstLineChars="0" w:firstLine="0"/>
              <w:jc w:val="left"/>
              <w:rPr>
                <w:rFonts w:hint="eastAsia"/>
                <w:sz w:val="24"/>
              </w:rPr>
            </w:pPr>
            <w:r w:rsidRPr="00625FF0">
              <w:rPr>
                <w:sz w:val="24"/>
              </w:rPr>
              <w:t>1.</w:t>
            </w:r>
            <w:r w:rsidRPr="00625FF0">
              <w:rPr>
                <w:rFonts w:hint="eastAsia"/>
                <w:sz w:val="24"/>
              </w:rPr>
              <w:t>銀行定存息</w:t>
            </w:r>
          </w:p>
        </w:tc>
        <w:tc>
          <w:tcPr>
            <w:tcW w:w="1985" w:type="dxa"/>
            <w:tcBorders>
              <w:top w:val="nil"/>
              <w:left w:val="nil"/>
              <w:bottom w:val="single" w:sz="8" w:space="0" w:color="auto"/>
              <w:right w:val="single" w:sz="8" w:space="0" w:color="auto"/>
            </w:tcBorders>
            <w:shd w:val="clear" w:color="auto" w:fill="auto"/>
            <w:vAlign w:val="center"/>
            <w:hideMark/>
          </w:tcPr>
          <w:p w:rsidR="00261692" w:rsidRPr="00625FF0" w:rsidRDefault="00261692" w:rsidP="00A7375D">
            <w:pPr>
              <w:spacing w:line="280" w:lineRule="exact"/>
              <w:ind w:leftChars="0" w:left="0" w:firstLineChars="0" w:firstLine="0"/>
              <w:jc w:val="right"/>
              <w:rPr>
                <w:sz w:val="24"/>
              </w:rPr>
            </w:pPr>
            <w:r w:rsidRPr="00625FF0">
              <w:rPr>
                <w:sz w:val="24"/>
              </w:rPr>
              <w:t>9,000,000,000</w:t>
            </w:r>
          </w:p>
        </w:tc>
        <w:tc>
          <w:tcPr>
            <w:tcW w:w="1417" w:type="dxa"/>
            <w:tcBorders>
              <w:top w:val="nil"/>
              <w:left w:val="nil"/>
              <w:bottom w:val="single" w:sz="8" w:space="0" w:color="auto"/>
              <w:right w:val="single" w:sz="8" w:space="0" w:color="auto"/>
            </w:tcBorders>
            <w:shd w:val="clear" w:color="auto" w:fill="auto"/>
            <w:vAlign w:val="center"/>
            <w:hideMark/>
          </w:tcPr>
          <w:p w:rsidR="00261692" w:rsidRPr="00625FF0" w:rsidRDefault="00261692" w:rsidP="00A7375D">
            <w:pPr>
              <w:spacing w:line="280" w:lineRule="exact"/>
              <w:ind w:leftChars="0" w:left="0" w:firstLineChars="0" w:firstLine="0"/>
              <w:jc w:val="right"/>
              <w:rPr>
                <w:sz w:val="24"/>
              </w:rPr>
            </w:pPr>
            <w:r w:rsidRPr="00625FF0">
              <w:rPr>
                <w:sz w:val="24"/>
              </w:rPr>
              <w:t>1.22</w:t>
            </w:r>
          </w:p>
        </w:tc>
        <w:tc>
          <w:tcPr>
            <w:tcW w:w="1565" w:type="dxa"/>
            <w:tcBorders>
              <w:top w:val="nil"/>
              <w:left w:val="nil"/>
              <w:bottom w:val="single" w:sz="8" w:space="0" w:color="auto"/>
              <w:right w:val="single" w:sz="12" w:space="0" w:color="auto"/>
            </w:tcBorders>
            <w:shd w:val="clear" w:color="auto" w:fill="auto"/>
            <w:vAlign w:val="center"/>
            <w:hideMark/>
          </w:tcPr>
          <w:p w:rsidR="00261692" w:rsidRPr="00625FF0" w:rsidRDefault="00261692" w:rsidP="00A7375D">
            <w:pPr>
              <w:spacing w:line="280" w:lineRule="exact"/>
              <w:ind w:leftChars="0" w:left="0" w:firstLineChars="0" w:firstLine="0"/>
              <w:jc w:val="right"/>
              <w:rPr>
                <w:sz w:val="24"/>
              </w:rPr>
            </w:pPr>
            <w:r w:rsidRPr="00625FF0">
              <w:rPr>
                <w:sz w:val="24"/>
              </w:rPr>
              <w:t>109,826,000</w:t>
            </w:r>
          </w:p>
        </w:tc>
      </w:tr>
      <w:tr w:rsidR="00261692" w:rsidRPr="00625FF0" w:rsidTr="00A7375D">
        <w:trPr>
          <w:trHeight w:val="20"/>
        </w:trPr>
        <w:tc>
          <w:tcPr>
            <w:tcW w:w="3544" w:type="dxa"/>
            <w:tcBorders>
              <w:top w:val="nil"/>
              <w:left w:val="single" w:sz="12" w:space="0" w:color="auto"/>
              <w:bottom w:val="single" w:sz="8" w:space="0" w:color="auto"/>
              <w:right w:val="single" w:sz="8" w:space="0" w:color="auto"/>
            </w:tcBorders>
            <w:shd w:val="clear" w:color="auto" w:fill="auto"/>
            <w:vAlign w:val="center"/>
            <w:hideMark/>
          </w:tcPr>
          <w:p w:rsidR="00261692" w:rsidRPr="00625FF0" w:rsidRDefault="00261692" w:rsidP="00A7375D">
            <w:pPr>
              <w:spacing w:line="280" w:lineRule="exact"/>
              <w:ind w:leftChars="0" w:left="0" w:firstLineChars="0" w:firstLine="0"/>
              <w:jc w:val="left"/>
              <w:rPr>
                <w:sz w:val="24"/>
              </w:rPr>
            </w:pPr>
            <w:r w:rsidRPr="00625FF0">
              <w:rPr>
                <w:sz w:val="24"/>
              </w:rPr>
              <w:t>2.</w:t>
            </w:r>
            <w:r w:rsidRPr="00625FF0">
              <w:rPr>
                <w:rFonts w:hint="eastAsia"/>
                <w:sz w:val="24"/>
              </w:rPr>
              <w:t>轉存息</w:t>
            </w:r>
          </w:p>
        </w:tc>
        <w:tc>
          <w:tcPr>
            <w:tcW w:w="1985" w:type="dxa"/>
            <w:tcBorders>
              <w:top w:val="nil"/>
              <w:left w:val="nil"/>
              <w:bottom w:val="single" w:sz="8" w:space="0" w:color="auto"/>
              <w:right w:val="single" w:sz="8" w:space="0" w:color="auto"/>
            </w:tcBorders>
            <w:shd w:val="clear" w:color="auto" w:fill="auto"/>
            <w:vAlign w:val="center"/>
            <w:hideMark/>
          </w:tcPr>
          <w:p w:rsidR="00261692" w:rsidRPr="00625FF0" w:rsidRDefault="00261692" w:rsidP="00A7375D">
            <w:pPr>
              <w:spacing w:line="280" w:lineRule="exact"/>
              <w:ind w:leftChars="0" w:left="0" w:firstLineChars="0" w:firstLine="0"/>
              <w:jc w:val="right"/>
              <w:rPr>
                <w:sz w:val="24"/>
              </w:rPr>
            </w:pPr>
            <w:r w:rsidRPr="00625FF0">
              <w:rPr>
                <w:sz w:val="24"/>
              </w:rPr>
              <w:t>2,074,566,000</w:t>
            </w:r>
          </w:p>
        </w:tc>
        <w:tc>
          <w:tcPr>
            <w:tcW w:w="1417" w:type="dxa"/>
            <w:tcBorders>
              <w:top w:val="nil"/>
              <w:left w:val="nil"/>
              <w:bottom w:val="single" w:sz="8" w:space="0" w:color="auto"/>
              <w:right w:val="single" w:sz="8" w:space="0" w:color="auto"/>
            </w:tcBorders>
            <w:shd w:val="clear" w:color="auto" w:fill="auto"/>
            <w:vAlign w:val="center"/>
            <w:hideMark/>
          </w:tcPr>
          <w:p w:rsidR="00261692" w:rsidRPr="00625FF0" w:rsidRDefault="00261692" w:rsidP="00A7375D">
            <w:pPr>
              <w:spacing w:line="280" w:lineRule="exact"/>
              <w:ind w:leftChars="0" w:left="0" w:firstLineChars="0" w:firstLine="0"/>
              <w:jc w:val="right"/>
              <w:rPr>
                <w:sz w:val="24"/>
              </w:rPr>
            </w:pPr>
            <w:r w:rsidRPr="00625FF0">
              <w:rPr>
                <w:sz w:val="24"/>
              </w:rPr>
              <w:t>1.77</w:t>
            </w:r>
          </w:p>
        </w:tc>
        <w:tc>
          <w:tcPr>
            <w:tcW w:w="1565" w:type="dxa"/>
            <w:tcBorders>
              <w:top w:val="nil"/>
              <w:left w:val="nil"/>
              <w:bottom w:val="single" w:sz="8" w:space="0" w:color="auto"/>
              <w:right w:val="single" w:sz="12" w:space="0" w:color="auto"/>
            </w:tcBorders>
            <w:shd w:val="clear" w:color="auto" w:fill="auto"/>
            <w:vAlign w:val="center"/>
            <w:hideMark/>
          </w:tcPr>
          <w:p w:rsidR="00261692" w:rsidRPr="00625FF0" w:rsidRDefault="00261692" w:rsidP="00A7375D">
            <w:pPr>
              <w:spacing w:line="280" w:lineRule="exact"/>
              <w:ind w:leftChars="0" w:left="0" w:firstLineChars="0" w:firstLine="0"/>
              <w:jc w:val="right"/>
              <w:rPr>
                <w:sz w:val="24"/>
              </w:rPr>
            </w:pPr>
            <w:r w:rsidRPr="00625FF0">
              <w:rPr>
                <w:sz w:val="24"/>
              </w:rPr>
              <w:t>36,806,220</w:t>
            </w:r>
          </w:p>
        </w:tc>
      </w:tr>
      <w:tr w:rsidR="00261692" w:rsidRPr="00625FF0" w:rsidTr="00A7375D">
        <w:trPr>
          <w:trHeight w:val="20"/>
        </w:trPr>
        <w:tc>
          <w:tcPr>
            <w:tcW w:w="3544" w:type="dxa"/>
            <w:tcBorders>
              <w:top w:val="nil"/>
              <w:left w:val="single" w:sz="12" w:space="0" w:color="auto"/>
              <w:bottom w:val="single" w:sz="8" w:space="0" w:color="auto"/>
              <w:right w:val="single" w:sz="8" w:space="0" w:color="auto"/>
            </w:tcBorders>
            <w:shd w:val="clear" w:color="auto" w:fill="auto"/>
            <w:vAlign w:val="center"/>
            <w:hideMark/>
          </w:tcPr>
          <w:p w:rsidR="00261692" w:rsidRPr="00625FF0" w:rsidRDefault="00261692" w:rsidP="00A7375D">
            <w:pPr>
              <w:spacing w:line="280" w:lineRule="exact"/>
              <w:ind w:leftChars="0" w:left="0" w:firstLineChars="0" w:firstLine="0"/>
              <w:jc w:val="left"/>
              <w:rPr>
                <w:sz w:val="24"/>
              </w:rPr>
            </w:pPr>
            <w:r w:rsidRPr="00625FF0">
              <w:rPr>
                <w:sz w:val="24"/>
              </w:rPr>
              <w:t>3.</w:t>
            </w:r>
            <w:r w:rsidRPr="00625FF0">
              <w:rPr>
                <w:rFonts w:hint="eastAsia"/>
                <w:sz w:val="24"/>
              </w:rPr>
              <w:t>銀行存款息</w:t>
            </w:r>
          </w:p>
        </w:tc>
        <w:tc>
          <w:tcPr>
            <w:tcW w:w="1985" w:type="dxa"/>
            <w:tcBorders>
              <w:top w:val="nil"/>
              <w:left w:val="nil"/>
              <w:bottom w:val="single" w:sz="8" w:space="0" w:color="auto"/>
              <w:right w:val="single" w:sz="8" w:space="0" w:color="auto"/>
            </w:tcBorders>
            <w:shd w:val="clear" w:color="auto" w:fill="auto"/>
            <w:vAlign w:val="center"/>
            <w:hideMark/>
          </w:tcPr>
          <w:p w:rsidR="00261692" w:rsidRPr="00625FF0" w:rsidRDefault="00261692" w:rsidP="00A7375D">
            <w:pPr>
              <w:spacing w:line="280" w:lineRule="exact"/>
              <w:ind w:leftChars="0" w:left="0" w:firstLineChars="0" w:firstLine="0"/>
              <w:jc w:val="right"/>
              <w:rPr>
                <w:sz w:val="24"/>
              </w:rPr>
            </w:pPr>
            <w:r w:rsidRPr="00625FF0">
              <w:rPr>
                <w:sz w:val="24"/>
              </w:rPr>
              <w:t>3,086,729,061</w:t>
            </w:r>
          </w:p>
        </w:tc>
        <w:tc>
          <w:tcPr>
            <w:tcW w:w="1417" w:type="dxa"/>
            <w:tcBorders>
              <w:top w:val="nil"/>
              <w:left w:val="nil"/>
              <w:bottom w:val="single" w:sz="8" w:space="0" w:color="auto"/>
              <w:right w:val="single" w:sz="8" w:space="0" w:color="auto"/>
            </w:tcBorders>
            <w:shd w:val="clear" w:color="auto" w:fill="auto"/>
            <w:vAlign w:val="center"/>
            <w:hideMark/>
          </w:tcPr>
          <w:p w:rsidR="00261692" w:rsidRPr="00625FF0" w:rsidRDefault="00261692" w:rsidP="00A7375D">
            <w:pPr>
              <w:spacing w:line="280" w:lineRule="exact"/>
              <w:ind w:leftChars="0" w:left="0" w:firstLineChars="0" w:firstLine="0"/>
              <w:jc w:val="right"/>
              <w:rPr>
                <w:sz w:val="24"/>
              </w:rPr>
            </w:pPr>
            <w:r w:rsidRPr="00625FF0">
              <w:rPr>
                <w:sz w:val="24"/>
              </w:rPr>
              <w:t>0.69</w:t>
            </w:r>
          </w:p>
        </w:tc>
        <w:tc>
          <w:tcPr>
            <w:tcW w:w="1565" w:type="dxa"/>
            <w:tcBorders>
              <w:top w:val="nil"/>
              <w:left w:val="nil"/>
              <w:bottom w:val="single" w:sz="8" w:space="0" w:color="auto"/>
              <w:right w:val="single" w:sz="12" w:space="0" w:color="auto"/>
            </w:tcBorders>
            <w:shd w:val="clear" w:color="auto" w:fill="auto"/>
            <w:vAlign w:val="center"/>
            <w:hideMark/>
          </w:tcPr>
          <w:p w:rsidR="00261692" w:rsidRPr="00625FF0" w:rsidRDefault="00261692" w:rsidP="00A7375D">
            <w:pPr>
              <w:spacing w:line="280" w:lineRule="exact"/>
              <w:ind w:leftChars="0" w:left="0" w:firstLineChars="0" w:firstLine="0"/>
              <w:jc w:val="right"/>
              <w:rPr>
                <w:sz w:val="24"/>
              </w:rPr>
            </w:pPr>
            <w:r w:rsidRPr="00625FF0">
              <w:rPr>
                <w:sz w:val="24"/>
              </w:rPr>
              <w:t>21,236,027</w:t>
            </w:r>
          </w:p>
        </w:tc>
      </w:tr>
      <w:tr w:rsidR="00261692" w:rsidRPr="00625FF0" w:rsidTr="00A7375D">
        <w:trPr>
          <w:trHeight w:val="20"/>
        </w:trPr>
        <w:tc>
          <w:tcPr>
            <w:tcW w:w="3544" w:type="dxa"/>
            <w:tcBorders>
              <w:top w:val="nil"/>
              <w:left w:val="single" w:sz="12" w:space="0" w:color="auto"/>
              <w:bottom w:val="single" w:sz="8" w:space="0" w:color="auto"/>
              <w:right w:val="single" w:sz="8" w:space="0" w:color="auto"/>
            </w:tcBorders>
            <w:shd w:val="clear" w:color="auto" w:fill="auto"/>
            <w:vAlign w:val="center"/>
            <w:hideMark/>
          </w:tcPr>
          <w:p w:rsidR="00261692" w:rsidRPr="00625FF0" w:rsidRDefault="00261692" w:rsidP="00A7375D">
            <w:pPr>
              <w:spacing w:line="280" w:lineRule="exact"/>
              <w:ind w:leftChars="0" w:left="0" w:firstLineChars="0" w:firstLine="0"/>
              <w:jc w:val="left"/>
              <w:rPr>
                <w:sz w:val="24"/>
              </w:rPr>
            </w:pPr>
            <w:r w:rsidRPr="00625FF0">
              <w:rPr>
                <w:sz w:val="24"/>
              </w:rPr>
              <w:t>4.</w:t>
            </w:r>
            <w:r w:rsidRPr="00625FF0">
              <w:rPr>
                <w:rFonts w:hint="eastAsia"/>
                <w:sz w:val="24"/>
              </w:rPr>
              <w:t>公庫存款息</w:t>
            </w:r>
          </w:p>
        </w:tc>
        <w:tc>
          <w:tcPr>
            <w:tcW w:w="1985" w:type="dxa"/>
            <w:tcBorders>
              <w:top w:val="nil"/>
              <w:left w:val="nil"/>
              <w:bottom w:val="single" w:sz="8" w:space="0" w:color="auto"/>
              <w:right w:val="single" w:sz="8" w:space="0" w:color="auto"/>
            </w:tcBorders>
            <w:shd w:val="clear" w:color="auto" w:fill="auto"/>
            <w:vAlign w:val="center"/>
            <w:hideMark/>
          </w:tcPr>
          <w:p w:rsidR="00261692" w:rsidRPr="00625FF0" w:rsidRDefault="00261692" w:rsidP="00A7375D">
            <w:pPr>
              <w:spacing w:line="280" w:lineRule="exact"/>
              <w:ind w:leftChars="0" w:left="0" w:firstLineChars="0" w:firstLine="0"/>
              <w:jc w:val="right"/>
              <w:rPr>
                <w:sz w:val="24"/>
              </w:rPr>
            </w:pPr>
            <w:r w:rsidRPr="00625FF0">
              <w:rPr>
                <w:sz w:val="24"/>
              </w:rPr>
              <w:t>354,221,000</w:t>
            </w:r>
          </w:p>
        </w:tc>
        <w:tc>
          <w:tcPr>
            <w:tcW w:w="1417" w:type="dxa"/>
            <w:tcBorders>
              <w:top w:val="nil"/>
              <w:left w:val="nil"/>
              <w:bottom w:val="single" w:sz="8" w:space="0" w:color="auto"/>
              <w:right w:val="single" w:sz="8" w:space="0" w:color="auto"/>
            </w:tcBorders>
            <w:shd w:val="clear" w:color="auto" w:fill="auto"/>
            <w:vAlign w:val="center"/>
            <w:hideMark/>
          </w:tcPr>
          <w:p w:rsidR="00261692" w:rsidRPr="00625FF0" w:rsidRDefault="00261692" w:rsidP="00A7375D">
            <w:pPr>
              <w:spacing w:line="280" w:lineRule="exact"/>
              <w:ind w:leftChars="0" w:left="0" w:firstLineChars="0" w:firstLine="0"/>
              <w:jc w:val="right"/>
              <w:rPr>
                <w:sz w:val="24"/>
              </w:rPr>
            </w:pPr>
            <w:r w:rsidRPr="00625FF0">
              <w:rPr>
                <w:sz w:val="24"/>
              </w:rPr>
              <w:t>0.71</w:t>
            </w:r>
          </w:p>
        </w:tc>
        <w:tc>
          <w:tcPr>
            <w:tcW w:w="1565" w:type="dxa"/>
            <w:tcBorders>
              <w:top w:val="nil"/>
              <w:left w:val="nil"/>
              <w:bottom w:val="single" w:sz="8" w:space="0" w:color="auto"/>
              <w:right w:val="single" w:sz="12" w:space="0" w:color="auto"/>
            </w:tcBorders>
            <w:shd w:val="clear" w:color="auto" w:fill="auto"/>
            <w:vAlign w:val="center"/>
            <w:hideMark/>
          </w:tcPr>
          <w:p w:rsidR="00261692" w:rsidRPr="00625FF0" w:rsidRDefault="00261692" w:rsidP="00A7375D">
            <w:pPr>
              <w:spacing w:line="280" w:lineRule="exact"/>
              <w:ind w:leftChars="0" w:left="0" w:firstLineChars="0" w:firstLine="0"/>
              <w:jc w:val="right"/>
              <w:rPr>
                <w:sz w:val="24"/>
              </w:rPr>
            </w:pPr>
            <w:r w:rsidRPr="00625FF0">
              <w:rPr>
                <w:sz w:val="24"/>
              </w:rPr>
              <w:t>2,530,000</w:t>
            </w:r>
          </w:p>
        </w:tc>
      </w:tr>
      <w:tr w:rsidR="00261692" w:rsidRPr="00625FF0" w:rsidTr="00A7375D">
        <w:trPr>
          <w:trHeight w:val="20"/>
        </w:trPr>
        <w:tc>
          <w:tcPr>
            <w:tcW w:w="3544" w:type="dxa"/>
            <w:tcBorders>
              <w:top w:val="nil"/>
              <w:left w:val="single" w:sz="12" w:space="0" w:color="auto"/>
              <w:bottom w:val="single" w:sz="8" w:space="0" w:color="auto"/>
              <w:right w:val="single" w:sz="8" w:space="0" w:color="auto"/>
            </w:tcBorders>
            <w:shd w:val="clear" w:color="auto" w:fill="auto"/>
            <w:vAlign w:val="center"/>
            <w:hideMark/>
          </w:tcPr>
          <w:p w:rsidR="00261692" w:rsidRPr="00625FF0" w:rsidRDefault="00261692" w:rsidP="00A7375D">
            <w:pPr>
              <w:spacing w:line="280" w:lineRule="exact"/>
              <w:ind w:leftChars="0" w:left="0" w:firstLineChars="0" w:firstLine="0"/>
              <w:jc w:val="left"/>
              <w:rPr>
                <w:sz w:val="24"/>
              </w:rPr>
            </w:pPr>
            <w:r w:rsidRPr="00625FF0">
              <w:rPr>
                <w:sz w:val="24"/>
              </w:rPr>
              <w:t>5.</w:t>
            </w:r>
            <w:r w:rsidRPr="00625FF0">
              <w:rPr>
                <w:rFonts w:hint="eastAsia"/>
                <w:sz w:val="24"/>
              </w:rPr>
              <w:t>附買回票券及債券負債息</w:t>
            </w:r>
          </w:p>
        </w:tc>
        <w:tc>
          <w:tcPr>
            <w:tcW w:w="1985" w:type="dxa"/>
            <w:tcBorders>
              <w:top w:val="nil"/>
              <w:left w:val="nil"/>
              <w:bottom w:val="single" w:sz="8" w:space="0" w:color="auto"/>
              <w:right w:val="single" w:sz="8" w:space="0" w:color="auto"/>
            </w:tcBorders>
            <w:shd w:val="clear" w:color="auto" w:fill="auto"/>
            <w:vAlign w:val="center"/>
            <w:hideMark/>
          </w:tcPr>
          <w:p w:rsidR="00261692" w:rsidRPr="00625FF0" w:rsidRDefault="00261692" w:rsidP="00A7375D">
            <w:pPr>
              <w:spacing w:line="280" w:lineRule="exact"/>
              <w:ind w:leftChars="0" w:left="0" w:firstLineChars="0" w:firstLine="0"/>
              <w:jc w:val="right"/>
              <w:rPr>
                <w:sz w:val="24"/>
              </w:rPr>
            </w:pPr>
            <w:r w:rsidRPr="00625FF0">
              <w:rPr>
                <w:sz w:val="24"/>
              </w:rPr>
              <w:t>479,685,000</w:t>
            </w:r>
          </w:p>
        </w:tc>
        <w:tc>
          <w:tcPr>
            <w:tcW w:w="1417" w:type="dxa"/>
            <w:tcBorders>
              <w:top w:val="nil"/>
              <w:left w:val="nil"/>
              <w:bottom w:val="single" w:sz="8" w:space="0" w:color="auto"/>
              <w:right w:val="single" w:sz="8" w:space="0" w:color="auto"/>
            </w:tcBorders>
            <w:shd w:val="clear" w:color="auto" w:fill="auto"/>
            <w:vAlign w:val="center"/>
            <w:hideMark/>
          </w:tcPr>
          <w:p w:rsidR="00261692" w:rsidRPr="00625FF0" w:rsidRDefault="00261692" w:rsidP="00A7375D">
            <w:pPr>
              <w:spacing w:line="280" w:lineRule="exact"/>
              <w:ind w:leftChars="0" w:left="0" w:firstLineChars="0" w:firstLine="0"/>
              <w:jc w:val="right"/>
              <w:rPr>
                <w:sz w:val="24"/>
              </w:rPr>
            </w:pPr>
            <w:r w:rsidRPr="00625FF0">
              <w:rPr>
                <w:sz w:val="24"/>
              </w:rPr>
              <w:t>3.5</w:t>
            </w:r>
          </w:p>
        </w:tc>
        <w:tc>
          <w:tcPr>
            <w:tcW w:w="1565" w:type="dxa"/>
            <w:tcBorders>
              <w:top w:val="nil"/>
              <w:left w:val="nil"/>
              <w:bottom w:val="single" w:sz="8" w:space="0" w:color="auto"/>
              <w:right w:val="single" w:sz="12" w:space="0" w:color="auto"/>
            </w:tcBorders>
            <w:shd w:val="clear" w:color="auto" w:fill="auto"/>
            <w:vAlign w:val="center"/>
            <w:hideMark/>
          </w:tcPr>
          <w:p w:rsidR="00261692" w:rsidRPr="00625FF0" w:rsidRDefault="00261692" w:rsidP="00A7375D">
            <w:pPr>
              <w:spacing w:line="280" w:lineRule="exact"/>
              <w:ind w:leftChars="0" w:left="0" w:firstLineChars="0" w:firstLine="0"/>
              <w:jc w:val="right"/>
              <w:rPr>
                <w:sz w:val="24"/>
              </w:rPr>
            </w:pPr>
            <w:r w:rsidRPr="00625FF0">
              <w:rPr>
                <w:sz w:val="24"/>
              </w:rPr>
              <w:t>16,788,975</w:t>
            </w:r>
          </w:p>
        </w:tc>
      </w:tr>
      <w:tr w:rsidR="00261692" w:rsidRPr="00625FF0" w:rsidTr="00A7375D">
        <w:trPr>
          <w:trHeight w:val="20"/>
        </w:trPr>
        <w:tc>
          <w:tcPr>
            <w:tcW w:w="3544" w:type="dxa"/>
            <w:tcBorders>
              <w:top w:val="nil"/>
              <w:left w:val="single" w:sz="12" w:space="0" w:color="auto"/>
              <w:bottom w:val="single" w:sz="8" w:space="0" w:color="auto"/>
              <w:right w:val="single" w:sz="8" w:space="0" w:color="auto"/>
            </w:tcBorders>
            <w:shd w:val="clear" w:color="auto" w:fill="auto"/>
            <w:vAlign w:val="center"/>
            <w:hideMark/>
          </w:tcPr>
          <w:p w:rsidR="00261692" w:rsidRPr="00625FF0" w:rsidRDefault="00261692" w:rsidP="00A7375D">
            <w:pPr>
              <w:spacing w:line="280" w:lineRule="exact"/>
              <w:ind w:leftChars="0" w:left="0" w:firstLineChars="0" w:firstLine="0"/>
              <w:jc w:val="left"/>
              <w:rPr>
                <w:sz w:val="24"/>
              </w:rPr>
            </w:pPr>
            <w:r w:rsidRPr="00625FF0">
              <w:rPr>
                <w:sz w:val="24"/>
              </w:rPr>
              <w:t>6.</w:t>
            </w:r>
            <w:r w:rsidRPr="00625FF0">
              <w:rPr>
                <w:rFonts w:hint="eastAsia"/>
                <w:sz w:val="24"/>
              </w:rPr>
              <w:t>其他</w:t>
            </w:r>
          </w:p>
        </w:tc>
        <w:tc>
          <w:tcPr>
            <w:tcW w:w="1985" w:type="dxa"/>
            <w:tcBorders>
              <w:top w:val="nil"/>
              <w:left w:val="nil"/>
              <w:bottom w:val="single" w:sz="8" w:space="0" w:color="auto"/>
              <w:right w:val="single" w:sz="8" w:space="0" w:color="auto"/>
            </w:tcBorders>
            <w:shd w:val="clear" w:color="auto" w:fill="auto"/>
            <w:vAlign w:val="center"/>
            <w:hideMark/>
          </w:tcPr>
          <w:p w:rsidR="00261692" w:rsidRPr="00625FF0" w:rsidRDefault="00261692" w:rsidP="00A7375D">
            <w:pPr>
              <w:spacing w:line="280" w:lineRule="exact"/>
              <w:ind w:leftChars="0" w:left="0" w:firstLineChars="0" w:firstLine="0"/>
              <w:jc w:val="right"/>
              <w:rPr>
                <w:sz w:val="24"/>
              </w:rPr>
            </w:pPr>
            <w:r w:rsidRPr="00625FF0">
              <w:rPr>
                <w:sz w:val="24"/>
              </w:rPr>
              <w:t>68,663,703</w:t>
            </w:r>
          </w:p>
        </w:tc>
        <w:tc>
          <w:tcPr>
            <w:tcW w:w="1417" w:type="dxa"/>
            <w:tcBorders>
              <w:top w:val="nil"/>
              <w:left w:val="nil"/>
              <w:bottom w:val="single" w:sz="8" w:space="0" w:color="auto"/>
              <w:right w:val="single" w:sz="8" w:space="0" w:color="auto"/>
            </w:tcBorders>
            <w:shd w:val="clear" w:color="auto" w:fill="auto"/>
            <w:vAlign w:val="center"/>
            <w:hideMark/>
          </w:tcPr>
          <w:p w:rsidR="00261692" w:rsidRPr="00625FF0" w:rsidRDefault="00261692" w:rsidP="00A7375D">
            <w:pPr>
              <w:spacing w:line="280" w:lineRule="exact"/>
              <w:ind w:leftChars="0" w:left="0" w:firstLineChars="0" w:firstLine="0"/>
              <w:jc w:val="right"/>
              <w:rPr>
                <w:sz w:val="24"/>
              </w:rPr>
            </w:pPr>
            <w:r w:rsidRPr="00625FF0">
              <w:rPr>
                <w:sz w:val="24"/>
              </w:rPr>
              <w:t>1.76</w:t>
            </w:r>
          </w:p>
        </w:tc>
        <w:tc>
          <w:tcPr>
            <w:tcW w:w="1565" w:type="dxa"/>
            <w:tcBorders>
              <w:top w:val="nil"/>
              <w:left w:val="nil"/>
              <w:bottom w:val="single" w:sz="8" w:space="0" w:color="auto"/>
              <w:right w:val="single" w:sz="12" w:space="0" w:color="auto"/>
            </w:tcBorders>
            <w:shd w:val="clear" w:color="auto" w:fill="auto"/>
            <w:vAlign w:val="center"/>
            <w:hideMark/>
          </w:tcPr>
          <w:p w:rsidR="00261692" w:rsidRPr="00625FF0" w:rsidRDefault="00261692" w:rsidP="00A7375D">
            <w:pPr>
              <w:spacing w:line="280" w:lineRule="exact"/>
              <w:ind w:leftChars="0" w:left="0" w:firstLineChars="0" w:firstLine="0"/>
              <w:jc w:val="right"/>
              <w:rPr>
                <w:sz w:val="24"/>
              </w:rPr>
            </w:pPr>
            <w:r w:rsidRPr="00625FF0">
              <w:rPr>
                <w:sz w:val="24"/>
              </w:rPr>
              <w:t>1,207,925</w:t>
            </w:r>
          </w:p>
        </w:tc>
      </w:tr>
      <w:tr w:rsidR="00261692" w:rsidRPr="00625FF0" w:rsidTr="00A7375D">
        <w:trPr>
          <w:trHeight w:val="20"/>
        </w:trPr>
        <w:tc>
          <w:tcPr>
            <w:tcW w:w="3544" w:type="dxa"/>
            <w:tcBorders>
              <w:top w:val="nil"/>
              <w:left w:val="single" w:sz="12" w:space="0" w:color="auto"/>
              <w:bottom w:val="single" w:sz="8" w:space="0" w:color="auto"/>
              <w:right w:val="single" w:sz="8" w:space="0" w:color="auto"/>
            </w:tcBorders>
            <w:shd w:val="clear" w:color="auto" w:fill="auto"/>
            <w:vAlign w:val="center"/>
            <w:hideMark/>
          </w:tcPr>
          <w:p w:rsidR="00261692" w:rsidRPr="00625FF0" w:rsidRDefault="00261692" w:rsidP="00A7375D">
            <w:pPr>
              <w:spacing w:line="280" w:lineRule="exact"/>
              <w:ind w:leftChars="0" w:left="0" w:firstLineChars="0" w:firstLine="0"/>
              <w:jc w:val="left"/>
              <w:rPr>
                <w:sz w:val="24"/>
              </w:rPr>
            </w:pPr>
            <w:r w:rsidRPr="00625FF0">
              <w:rPr>
                <w:sz w:val="24"/>
              </w:rPr>
              <w:t>7.</w:t>
            </w:r>
            <w:r w:rsidRPr="00625FF0">
              <w:rPr>
                <w:rFonts w:hint="eastAsia"/>
                <w:sz w:val="24"/>
              </w:rPr>
              <w:t>補貼息</w:t>
            </w:r>
            <w:r>
              <w:rPr>
                <w:rFonts w:hint="eastAsia"/>
                <w:sz w:val="24"/>
              </w:rPr>
              <w:t>(詳說明)</w:t>
            </w:r>
          </w:p>
        </w:tc>
        <w:tc>
          <w:tcPr>
            <w:tcW w:w="3402" w:type="dxa"/>
            <w:gridSpan w:val="2"/>
            <w:vMerge w:val="restart"/>
            <w:tcBorders>
              <w:top w:val="single" w:sz="8" w:space="0" w:color="auto"/>
              <w:left w:val="single" w:sz="8" w:space="0" w:color="auto"/>
              <w:bottom w:val="single" w:sz="12" w:space="0" w:color="000000"/>
              <w:right w:val="single" w:sz="8" w:space="0" w:color="000000"/>
              <w:tr2bl w:val="single" w:sz="4" w:space="0" w:color="auto"/>
            </w:tcBorders>
            <w:shd w:val="clear" w:color="auto" w:fill="auto"/>
            <w:vAlign w:val="center"/>
            <w:hideMark/>
          </w:tcPr>
          <w:p w:rsidR="00261692" w:rsidRPr="00625FF0" w:rsidRDefault="00261692" w:rsidP="00A7375D">
            <w:pPr>
              <w:spacing w:line="280" w:lineRule="exact"/>
              <w:ind w:leftChars="0" w:left="0" w:firstLineChars="0" w:firstLine="0"/>
              <w:jc w:val="right"/>
              <w:rPr>
                <w:sz w:val="24"/>
              </w:rPr>
            </w:pPr>
            <w:r w:rsidRPr="00625FF0">
              <w:rPr>
                <w:sz w:val="24"/>
              </w:rPr>
              <w:t xml:space="preserve">　</w:t>
            </w:r>
          </w:p>
        </w:tc>
        <w:tc>
          <w:tcPr>
            <w:tcW w:w="1565" w:type="dxa"/>
            <w:tcBorders>
              <w:top w:val="nil"/>
              <w:left w:val="nil"/>
              <w:bottom w:val="single" w:sz="8" w:space="0" w:color="auto"/>
              <w:right w:val="single" w:sz="12" w:space="0" w:color="auto"/>
            </w:tcBorders>
            <w:shd w:val="clear" w:color="auto" w:fill="auto"/>
            <w:vAlign w:val="center"/>
            <w:hideMark/>
          </w:tcPr>
          <w:p w:rsidR="00261692" w:rsidRPr="00625FF0" w:rsidRDefault="00261692" w:rsidP="00A7375D">
            <w:pPr>
              <w:spacing w:line="280" w:lineRule="exact"/>
              <w:ind w:leftChars="0" w:left="0" w:firstLineChars="0" w:firstLine="0"/>
              <w:jc w:val="right"/>
              <w:rPr>
                <w:sz w:val="24"/>
              </w:rPr>
            </w:pPr>
            <w:r w:rsidRPr="00625FF0">
              <w:rPr>
                <w:sz w:val="24"/>
              </w:rPr>
              <w:t>8,238</w:t>
            </w:r>
          </w:p>
        </w:tc>
      </w:tr>
      <w:tr w:rsidR="00261692" w:rsidRPr="00625FF0" w:rsidTr="00A7375D">
        <w:trPr>
          <w:trHeight w:val="20"/>
        </w:trPr>
        <w:tc>
          <w:tcPr>
            <w:tcW w:w="3544" w:type="dxa"/>
            <w:tcBorders>
              <w:top w:val="nil"/>
              <w:left w:val="single" w:sz="12" w:space="0" w:color="auto"/>
              <w:bottom w:val="single" w:sz="12" w:space="0" w:color="auto"/>
              <w:right w:val="single" w:sz="8" w:space="0" w:color="auto"/>
            </w:tcBorders>
            <w:shd w:val="clear" w:color="auto" w:fill="auto"/>
            <w:vAlign w:val="center"/>
            <w:hideMark/>
          </w:tcPr>
          <w:p w:rsidR="00261692" w:rsidRPr="00625FF0" w:rsidRDefault="00261692" w:rsidP="00A7375D">
            <w:pPr>
              <w:spacing w:line="280" w:lineRule="exact"/>
              <w:ind w:leftChars="0" w:left="0" w:firstLineChars="0" w:firstLine="0"/>
              <w:jc w:val="center"/>
              <w:rPr>
                <w:sz w:val="24"/>
              </w:rPr>
            </w:pPr>
            <w:r w:rsidRPr="00625FF0">
              <w:rPr>
                <w:rFonts w:hint="eastAsia"/>
                <w:sz w:val="24"/>
              </w:rPr>
              <w:t>合計</w:t>
            </w:r>
          </w:p>
        </w:tc>
        <w:tc>
          <w:tcPr>
            <w:tcW w:w="3402" w:type="dxa"/>
            <w:gridSpan w:val="2"/>
            <w:vMerge/>
            <w:tcBorders>
              <w:top w:val="nil"/>
              <w:left w:val="single" w:sz="12" w:space="0" w:color="auto"/>
              <w:bottom w:val="single" w:sz="12" w:space="0" w:color="auto"/>
              <w:right w:val="single" w:sz="8" w:space="0" w:color="auto"/>
            </w:tcBorders>
            <w:vAlign w:val="center"/>
            <w:hideMark/>
          </w:tcPr>
          <w:p w:rsidR="00261692" w:rsidRPr="00625FF0" w:rsidRDefault="00261692" w:rsidP="00A7375D">
            <w:pPr>
              <w:spacing w:line="280" w:lineRule="exact"/>
              <w:ind w:leftChars="0" w:left="0" w:firstLineChars="0" w:firstLine="0"/>
              <w:jc w:val="right"/>
              <w:rPr>
                <w:sz w:val="24"/>
              </w:rPr>
            </w:pPr>
          </w:p>
        </w:tc>
        <w:tc>
          <w:tcPr>
            <w:tcW w:w="1565" w:type="dxa"/>
            <w:tcBorders>
              <w:top w:val="nil"/>
              <w:left w:val="nil"/>
              <w:bottom w:val="single" w:sz="12" w:space="0" w:color="auto"/>
              <w:right w:val="single" w:sz="12" w:space="0" w:color="auto"/>
            </w:tcBorders>
            <w:shd w:val="clear" w:color="auto" w:fill="auto"/>
            <w:vAlign w:val="center"/>
            <w:hideMark/>
          </w:tcPr>
          <w:p w:rsidR="00261692" w:rsidRPr="00625FF0" w:rsidRDefault="00261692" w:rsidP="00A7375D">
            <w:pPr>
              <w:spacing w:line="280" w:lineRule="exact"/>
              <w:ind w:leftChars="0" w:left="0" w:firstLineChars="0" w:firstLine="0"/>
              <w:jc w:val="right"/>
              <w:rPr>
                <w:rFonts w:hint="eastAsia"/>
                <w:sz w:val="24"/>
              </w:rPr>
            </w:pPr>
            <w:r w:rsidRPr="00625FF0">
              <w:rPr>
                <w:sz w:val="24"/>
              </w:rPr>
              <w:t>188,403,385</w:t>
            </w:r>
          </w:p>
        </w:tc>
      </w:tr>
    </w:tbl>
    <w:p w:rsidR="00261692" w:rsidRPr="00185DF9" w:rsidRDefault="00261692" w:rsidP="00185DF9">
      <w:pPr>
        <w:pStyle w:val="142"/>
      </w:pPr>
      <w:r w:rsidRPr="00185DF9">
        <w:rPr>
          <w:rFonts w:hint="eastAsia"/>
        </w:rPr>
        <w:t xml:space="preserve">說 </w:t>
      </w:r>
      <w:r w:rsidRPr="00185DF9">
        <w:t xml:space="preserve">   明</w:t>
      </w:r>
      <w:r w:rsidRPr="00185DF9">
        <w:rPr>
          <w:rFonts w:hint="eastAsia"/>
        </w:rPr>
        <w:t>：係921震災專案貸款補貼息。</w:t>
      </w:r>
    </w:p>
    <w:p w:rsidR="00261692" w:rsidRDefault="00261692" w:rsidP="00185DF9">
      <w:pPr>
        <w:pStyle w:val="142"/>
      </w:pPr>
      <w:r w:rsidRPr="00185DF9">
        <w:t>資料來源：</w:t>
      </w:r>
      <w:r w:rsidRPr="00185DF9">
        <w:rPr>
          <w:rFonts w:hint="eastAsia"/>
        </w:rPr>
        <w:t>央行。</w:t>
      </w:r>
    </w:p>
    <w:p w:rsidR="00261692" w:rsidRPr="00625FF0" w:rsidRDefault="00261692" w:rsidP="00185DF9">
      <w:pPr>
        <w:pStyle w:val="ad"/>
        <w:ind w:leftChars="5" w:left="658" w:hangingChars="227" w:hanging="644"/>
        <w:rPr>
          <w:b/>
          <w:snapToGrid/>
        </w:rPr>
      </w:pPr>
      <w:r w:rsidRPr="00625FF0">
        <w:rPr>
          <w:b/>
          <w:snapToGrid/>
        </w:rPr>
        <w:t>表</w:t>
      </w:r>
      <w:r>
        <w:rPr>
          <w:rFonts w:hint="eastAsia"/>
          <w:b/>
          <w:snapToGrid/>
        </w:rPr>
        <w:t>3</w:t>
      </w:r>
      <w:r w:rsidRPr="00625FF0">
        <w:rPr>
          <w:b/>
          <w:snapToGrid/>
        </w:rPr>
        <w:t xml:space="preserve"> 央行</w:t>
      </w:r>
      <w:r>
        <w:rPr>
          <w:b/>
          <w:snapToGrid/>
        </w:rPr>
        <w:t>114</w:t>
      </w:r>
      <w:r w:rsidRPr="00625FF0">
        <w:rPr>
          <w:b/>
          <w:snapToGrid/>
        </w:rPr>
        <w:t>年度</w:t>
      </w:r>
      <w:r w:rsidRPr="00A37F90">
        <w:rPr>
          <w:rFonts w:hAnsi="標楷體" w:hint="eastAsia"/>
          <w:b/>
          <w:snapToGrid/>
        </w:rPr>
        <w:t>「金融保險成本-利息費用」</w:t>
      </w:r>
      <w:r>
        <w:rPr>
          <w:rFonts w:hAnsi="標楷體" w:hint="eastAsia"/>
          <w:b/>
          <w:snapToGrid/>
        </w:rPr>
        <w:t>主要項目估列依據及計算基礎表</w:t>
      </w:r>
    </w:p>
    <w:tbl>
      <w:tblPr>
        <w:tblW w:w="8505"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993"/>
        <w:gridCol w:w="2268"/>
        <w:gridCol w:w="5244"/>
      </w:tblGrid>
      <w:tr w:rsidR="00261692" w:rsidRPr="00261692" w:rsidTr="00A20973">
        <w:trPr>
          <w:trHeight w:val="315"/>
          <w:tblHeader/>
        </w:trPr>
        <w:tc>
          <w:tcPr>
            <w:tcW w:w="993" w:type="dxa"/>
            <w:vMerge w:val="restart"/>
            <w:shd w:val="clear" w:color="auto" w:fill="auto"/>
            <w:vAlign w:val="center"/>
          </w:tcPr>
          <w:p w:rsidR="00261692" w:rsidRPr="00261692" w:rsidRDefault="00261692" w:rsidP="00261692">
            <w:pPr>
              <w:pStyle w:val="142"/>
              <w:jc w:val="center"/>
              <w:rPr>
                <w:rFonts w:hint="eastAsia"/>
                <w:b/>
              </w:rPr>
            </w:pPr>
            <w:r w:rsidRPr="00261692">
              <w:rPr>
                <w:rFonts w:hint="eastAsia"/>
                <w:b/>
              </w:rPr>
              <w:t>主要營運項目</w:t>
            </w:r>
          </w:p>
        </w:tc>
        <w:tc>
          <w:tcPr>
            <w:tcW w:w="7512" w:type="dxa"/>
            <w:gridSpan w:val="2"/>
            <w:shd w:val="clear" w:color="auto" w:fill="auto"/>
            <w:vAlign w:val="center"/>
          </w:tcPr>
          <w:p w:rsidR="00261692" w:rsidRPr="00261692" w:rsidRDefault="00261692" w:rsidP="00261692">
            <w:pPr>
              <w:pStyle w:val="142"/>
              <w:jc w:val="center"/>
              <w:rPr>
                <w:rFonts w:hint="eastAsia"/>
                <w:b/>
              </w:rPr>
            </w:pPr>
            <w:r w:rsidRPr="00261692">
              <w:rPr>
                <w:rFonts w:hint="eastAsia"/>
                <w:b/>
              </w:rPr>
              <w:t>編列說明</w:t>
            </w:r>
          </w:p>
        </w:tc>
      </w:tr>
      <w:tr w:rsidR="00261692" w:rsidRPr="00261692" w:rsidTr="00A20973">
        <w:trPr>
          <w:trHeight w:val="250"/>
          <w:tblHeader/>
        </w:trPr>
        <w:tc>
          <w:tcPr>
            <w:tcW w:w="993" w:type="dxa"/>
            <w:vMerge/>
            <w:shd w:val="clear" w:color="auto" w:fill="auto"/>
            <w:vAlign w:val="center"/>
          </w:tcPr>
          <w:p w:rsidR="00261692" w:rsidRPr="00261692" w:rsidRDefault="00261692" w:rsidP="00261692">
            <w:pPr>
              <w:pStyle w:val="142"/>
              <w:jc w:val="center"/>
              <w:rPr>
                <w:rFonts w:hint="eastAsia"/>
                <w:b/>
              </w:rPr>
            </w:pPr>
          </w:p>
        </w:tc>
        <w:tc>
          <w:tcPr>
            <w:tcW w:w="2268" w:type="dxa"/>
            <w:shd w:val="clear" w:color="auto" w:fill="auto"/>
            <w:vAlign w:val="center"/>
          </w:tcPr>
          <w:p w:rsidR="00261692" w:rsidRPr="00261692" w:rsidRDefault="00261692" w:rsidP="00261692">
            <w:pPr>
              <w:pStyle w:val="142"/>
              <w:jc w:val="center"/>
              <w:rPr>
                <w:rFonts w:hint="eastAsia"/>
                <w:b/>
              </w:rPr>
            </w:pPr>
            <w:r w:rsidRPr="00261692">
              <w:rPr>
                <w:rFonts w:hint="eastAsia"/>
                <w:b/>
              </w:rPr>
              <w:t>營運量</w:t>
            </w:r>
          </w:p>
        </w:tc>
        <w:tc>
          <w:tcPr>
            <w:tcW w:w="5244" w:type="dxa"/>
          </w:tcPr>
          <w:p w:rsidR="00261692" w:rsidRPr="00261692" w:rsidRDefault="00261692" w:rsidP="00261692">
            <w:pPr>
              <w:pStyle w:val="142"/>
              <w:jc w:val="center"/>
              <w:rPr>
                <w:rFonts w:hint="eastAsia"/>
                <w:b/>
              </w:rPr>
            </w:pPr>
            <w:r w:rsidRPr="00261692">
              <w:rPr>
                <w:rFonts w:hint="eastAsia"/>
                <w:b/>
              </w:rPr>
              <w:t>利率</w:t>
            </w:r>
          </w:p>
        </w:tc>
      </w:tr>
      <w:tr w:rsidR="00261692" w:rsidRPr="00261692" w:rsidTr="00A20973">
        <w:trPr>
          <w:trHeight w:val="545"/>
        </w:trPr>
        <w:tc>
          <w:tcPr>
            <w:tcW w:w="993" w:type="dxa"/>
            <w:tcBorders>
              <w:bottom w:val="single" w:sz="6" w:space="0" w:color="auto"/>
            </w:tcBorders>
            <w:shd w:val="clear" w:color="auto" w:fill="auto"/>
          </w:tcPr>
          <w:p w:rsidR="00261692" w:rsidRPr="00261692" w:rsidRDefault="00261692" w:rsidP="00261692">
            <w:pPr>
              <w:pStyle w:val="142"/>
              <w:rPr>
                <w:rFonts w:hint="eastAsia"/>
              </w:rPr>
            </w:pPr>
            <w:r w:rsidRPr="00261692">
              <w:rPr>
                <w:rFonts w:hint="eastAsia"/>
              </w:rPr>
              <w:t>銀行定存息</w:t>
            </w:r>
          </w:p>
        </w:tc>
        <w:tc>
          <w:tcPr>
            <w:tcW w:w="2268" w:type="dxa"/>
            <w:tcBorders>
              <w:bottom w:val="single" w:sz="6" w:space="0" w:color="auto"/>
            </w:tcBorders>
            <w:shd w:val="clear" w:color="auto" w:fill="auto"/>
            <w:tcMar>
              <w:right w:w="85" w:type="dxa"/>
            </w:tcMar>
          </w:tcPr>
          <w:p w:rsidR="00261692" w:rsidRPr="00261692" w:rsidRDefault="00261692" w:rsidP="00D3231E">
            <w:pPr>
              <w:pStyle w:val="142"/>
              <w:jc w:val="both"/>
              <w:rPr>
                <w:rFonts w:hint="eastAsia"/>
              </w:rPr>
            </w:pPr>
            <w:r w:rsidRPr="00261692">
              <w:rPr>
                <w:rFonts w:hint="eastAsia"/>
              </w:rPr>
              <w:t>以112年度營運量為基礎，參考近期經濟金融情勢推估。</w:t>
            </w:r>
          </w:p>
        </w:tc>
        <w:tc>
          <w:tcPr>
            <w:tcW w:w="5244" w:type="dxa"/>
            <w:vMerge w:val="restart"/>
            <w:tcBorders>
              <w:top w:val="single" w:sz="6" w:space="0" w:color="auto"/>
            </w:tcBorders>
          </w:tcPr>
          <w:p w:rsidR="00261692" w:rsidRPr="00261692" w:rsidRDefault="00261692" w:rsidP="006B3AA1">
            <w:pPr>
              <w:pStyle w:val="142"/>
              <w:ind w:left="243" w:hangingChars="100" w:hanging="243"/>
              <w:jc w:val="both"/>
              <w:rPr>
                <w:rFonts w:hint="eastAsia"/>
              </w:rPr>
            </w:pPr>
            <w:r w:rsidRPr="00261692">
              <w:rPr>
                <w:rFonts w:hint="eastAsia"/>
              </w:rPr>
              <w:t>1.經濟金融情勢瞬息萬變，須關注國內通膨發展、主要經濟體貨幣政策動向、國際原物料價格變化、地緣政策風險、極端氣候等影響，適時調整貨幣政策。</w:t>
            </w:r>
          </w:p>
          <w:p w:rsidR="00261692" w:rsidRPr="00261692" w:rsidRDefault="00261692" w:rsidP="006B3AA1">
            <w:pPr>
              <w:pStyle w:val="142"/>
              <w:ind w:left="243" w:hangingChars="100" w:hanging="243"/>
              <w:jc w:val="both"/>
              <w:rPr>
                <w:rFonts w:hint="eastAsia"/>
              </w:rPr>
            </w:pPr>
            <w:r w:rsidRPr="00261692">
              <w:rPr>
                <w:rFonts w:hint="eastAsia"/>
              </w:rPr>
              <w:t>2.預算編列至實際執行具時間差，且國際經濟金融情勢不確定性高，爰預留貨幣政策執行空間。</w:t>
            </w:r>
          </w:p>
          <w:p w:rsidR="00261692" w:rsidRPr="00261692" w:rsidRDefault="00261692" w:rsidP="006B3AA1">
            <w:pPr>
              <w:pStyle w:val="142"/>
              <w:ind w:left="243" w:hangingChars="100" w:hanging="243"/>
              <w:jc w:val="both"/>
              <w:rPr>
                <w:rFonts w:hint="eastAsia"/>
              </w:rPr>
            </w:pPr>
            <w:r w:rsidRPr="00261692">
              <w:rPr>
                <w:rFonts w:hint="eastAsia"/>
              </w:rPr>
              <w:t>3.採行溫和漸進緊縮貨幣政策，抑制國內通膨預期心理以穩定物價，自111年啟動升息循環，已</w:t>
            </w:r>
            <w:r w:rsidR="006B3AA1">
              <w:rPr>
                <w:rFonts w:hint="eastAsia"/>
              </w:rPr>
              <w:t>6</w:t>
            </w:r>
            <w:r w:rsidRPr="00261692">
              <w:rPr>
                <w:rFonts w:hint="eastAsia"/>
              </w:rPr>
              <w:t>度調升政策利率共計0.875個百分點，並</w:t>
            </w:r>
            <w:r w:rsidRPr="00261692">
              <w:t>4</w:t>
            </w:r>
            <w:r w:rsidRPr="00261692">
              <w:rPr>
                <w:rFonts w:hint="eastAsia"/>
              </w:rPr>
              <w:t>度調升存款準備率共</w:t>
            </w:r>
            <w:r w:rsidRPr="00261692">
              <w:t>1</w:t>
            </w:r>
            <w:r w:rsidRPr="00261692">
              <w:rPr>
                <w:rFonts w:hint="eastAsia"/>
              </w:rPr>
              <w:t>個百分點。</w:t>
            </w:r>
          </w:p>
          <w:p w:rsidR="00261692" w:rsidRPr="00261692" w:rsidRDefault="00261692" w:rsidP="006B3AA1">
            <w:pPr>
              <w:pStyle w:val="142"/>
              <w:ind w:left="243" w:hangingChars="100" w:hanging="243"/>
              <w:jc w:val="both"/>
              <w:rPr>
                <w:rFonts w:hint="eastAsia"/>
              </w:rPr>
            </w:pPr>
            <w:r w:rsidRPr="00261692">
              <w:rPr>
                <w:rFonts w:hint="eastAsia"/>
              </w:rPr>
              <w:t>4.綜上因素，114年度存款成本率以1.18%編列。</w:t>
            </w:r>
          </w:p>
        </w:tc>
      </w:tr>
      <w:tr w:rsidR="00261692" w:rsidRPr="00261692" w:rsidTr="00A20973">
        <w:trPr>
          <w:trHeight w:val="684"/>
        </w:trPr>
        <w:tc>
          <w:tcPr>
            <w:tcW w:w="993" w:type="dxa"/>
            <w:tcBorders>
              <w:top w:val="single" w:sz="6" w:space="0" w:color="auto"/>
              <w:bottom w:val="single" w:sz="6" w:space="0" w:color="auto"/>
            </w:tcBorders>
            <w:shd w:val="clear" w:color="auto" w:fill="auto"/>
          </w:tcPr>
          <w:p w:rsidR="00261692" w:rsidRPr="00261692" w:rsidRDefault="00261692" w:rsidP="00261692">
            <w:pPr>
              <w:pStyle w:val="142"/>
            </w:pPr>
            <w:r w:rsidRPr="00261692">
              <w:rPr>
                <w:rFonts w:hint="eastAsia"/>
              </w:rPr>
              <w:t>存息</w:t>
            </w:r>
          </w:p>
        </w:tc>
        <w:tc>
          <w:tcPr>
            <w:tcW w:w="2268" w:type="dxa"/>
            <w:tcBorders>
              <w:top w:val="single" w:sz="6" w:space="0" w:color="auto"/>
              <w:bottom w:val="single" w:sz="6" w:space="0" w:color="auto"/>
            </w:tcBorders>
            <w:shd w:val="clear" w:color="auto" w:fill="auto"/>
            <w:tcMar>
              <w:right w:w="85" w:type="dxa"/>
            </w:tcMar>
          </w:tcPr>
          <w:p w:rsidR="00261692" w:rsidRPr="00261692" w:rsidRDefault="00261692" w:rsidP="00D3231E">
            <w:pPr>
              <w:pStyle w:val="142"/>
              <w:jc w:val="both"/>
            </w:pPr>
            <w:r w:rsidRPr="00261692">
              <w:rPr>
                <w:rFonts w:hint="eastAsia"/>
              </w:rPr>
              <w:t>參考112年度個別轉存款機構收受存款情形推估。</w:t>
            </w:r>
          </w:p>
        </w:tc>
        <w:tc>
          <w:tcPr>
            <w:tcW w:w="5244" w:type="dxa"/>
            <w:vMerge/>
          </w:tcPr>
          <w:p w:rsidR="00261692" w:rsidRPr="00261692" w:rsidRDefault="00261692" w:rsidP="006B3AA1">
            <w:pPr>
              <w:pStyle w:val="142"/>
              <w:jc w:val="both"/>
              <w:rPr>
                <w:rFonts w:hint="eastAsia"/>
              </w:rPr>
            </w:pPr>
          </w:p>
        </w:tc>
      </w:tr>
      <w:tr w:rsidR="00261692" w:rsidRPr="00261692" w:rsidTr="00A20973">
        <w:trPr>
          <w:trHeight w:val="915"/>
        </w:trPr>
        <w:tc>
          <w:tcPr>
            <w:tcW w:w="993" w:type="dxa"/>
            <w:tcBorders>
              <w:top w:val="single" w:sz="6" w:space="0" w:color="auto"/>
            </w:tcBorders>
            <w:shd w:val="clear" w:color="auto" w:fill="auto"/>
          </w:tcPr>
          <w:p w:rsidR="00261692" w:rsidRPr="00261692" w:rsidRDefault="00261692" w:rsidP="00261692">
            <w:pPr>
              <w:pStyle w:val="142"/>
            </w:pPr>
            <w:r w:rsidRPr="00261692">
              <w:rPr>
                <w:rFonts w:hint="eastAsia"/>
              </w:rPr>
              <w:t>銀行存款息</w:t>
            </w:r>
          </w:p>
        </w:tc>
        <w:tc>
          <w:tcPr>
            <w:tcW w:w="2268" w:type="dxa"/>
            <w:tcBorders>
              <w:top w:val="single" w:sz="6" w:space="0" w:color="auto"/>
            </w:tcBorders>
            <w:shd w:val="clear" w:color="auto" w:fill="auto"/>
            <w:tcMar>
              <w:right w:w="85" w:type="dxa"/>
            </w:tcMar>
          </w:tcPr>
          <w:p w:rsidR="00261692" w:rsidRPr="00261692" w:rsidRDefault="00261692" w:rsidP="00D3231E">
            <w:pPr>
              <w:pStyle w:val="142"/>
              <w:jc w:val="both"/>
            </w:pPr>
            <w:r w:rsidRPr="00261692">
              <w:rPr>
                <w:rFonts w:hint="eastAsia"/>
              </w:rPr>
              <w:t>以112年度營運量為基礎，參考近2年平均成長率推估。</w:t>
            </w:r>
          </w:p>
        </w:tc>
        <w:tc>
          <w:tcPr>
            <w:tcW w:w="5244" w:type="dxa"/>
            <w:vMerge/>
            <w:tcBorders>
              <w:bottom w:val="single" w:sz="6" w:space="0" w:color="auto"/>
            </w:tcBorders>
          </w:tcPr>
          <w:p w:rsidR="00261692" w:rsidRPr="00261692" w:rsidRDefault="00261692" w:rsidP="006B3AA1">
            <w:pPr>
              <w:pStyle w:val="142"/>
              <w:jc w:val="both"/>
              <w:rPr>
                <w:rFonts w:hint="eastAsia"/>
              </w:rPr>
            </w:pPr>
          </w:p>
        </w:tc>
      </w:tr>
      <w:tr w:rsidR="00261692" w:rsidRPr="00261692" w:rsidTr="00A20973">
        <w:trPr>
          <w:trHeight w:val="1120"/>
        </w:trPr>
        <w:tc>
          <w:tcPr>
            <w:tcW w:w="993" w:type="dxa"/>
            <w:shd w:val="clear" w:color="auto" w:fill="auto"/>
          </w:tcPr>
          <w:p w:rsidR="00261692" w:rsidRPr="00261692" w:rsidRDefault="00261692" w:rsidP="00261692">
            <w:pPr>
              <w:pStyle w:val="142"/>
              <w:rPr>
                <w:rFonts w:hint="eastAsia"/>
              </w:rPr>
            </w:pPr>
            <w:r w:rsidRPr="00261692">
              <w:rPr>
                <w:rFonts w:hint="eastAsia"/>
              </w:rPr>
              <w:t>附買回票券及債券負債息</w:t>
            </w:r>
          </w:p>
        </w:tc>
        <w:tc>
          <w:tcPr>
            <w:tcW w:w="2268" w:type="dxa"/>
            <w:shd w:val="clear" w:color="auto" w:fill="auto"/>
            <w:tcMar>
              <w:right w:w="85" w:type="dxa"/>
            </w:tcMar>
          </w:tcPr>
          <w:p w:rsidR="00261692" w:rsidRPr="00261692" w:rsidRDefault="00261692" w:rsidP="00D3231E">
            <w:pPr>
              <w:pStyle w:val="142"/>
              <w:jc w:val="both"/>
            </w:pPr>
            <w:r w:rsidRPr="00261692">
              <w:rPr>
                <w:rFonts w:hint="eastAsia"/>
              </w:rPr>
              <w:t>參考預算編列當時實際餘額並預估未來資金需求編列。</w:t>
            </w:r>
          </w:p>
        </w:tc>
        <w:tc>
          <w:tcPr>
            <w:tcW w:w="5244" w:type="dxa"/>
          </w:tcPr>
          <w:p w:rsidR="00261692" w:rsidRPr="00261692" w:rsidRDefault="00261692" w:rsidP="006B3AA1">
            <w:pPr>
              <w:pStyle w:val="142"/>
              <w:jc w:val="both"/>
              <w:rPr>
                <w:rFonts w:hint="eastAsia"/>
              </w:rPr>
            </w:pPr>
            <w:r w:rsidRPr="00261692">
              <w:rPr>
                <w:rFonts w:hint="eastAsia"/>
              </w:rPr>
              <w:t>參考預算編列當時金融市場狀況及美國聯準會發布之經濟預測報告編列。</w:t>
            </w:r>
          </w:p>
        </w:tc>
      </w:tr>
    </w:tbl>
    <w:p w:rsidR="00261692" w:rsidRPr="00261692" w:rsidRDefault="00261692" w:rsidP="00261692">
      <w:pPr>
        <w:pStyle w:val="142"/>
      </w:pPr>
      <w:r w:rsidRPr="00261692">
        <w:t>資料來源：</w:t>
      </w:r>
      <w:r w:rsidRPr="00261692">
        <w:rPr>
          <w:rFonts w:hint="eastAsia"/>
        </w:rPr>
        <w:t>央行。</w:t>
      </w:r>
    </w:p>
    <w:p w:rsidR="007D3D8E" w:rsidRPr="00507BD2" w:rsidRDefault="007D3D8E" w:rsidP="007D3D8E">
      <w:pPr>
        <w:ind w:left="566" w:firstLine="566"/>
        <w:rPr>
          <w:rFonts w:hAnsi="標楷體" w:hint="eastAsia"/>
          <w:snapToGrid/>
        </w:rPr>
      </w:pPr>
      <w:r w:rsidRPr="00507BD2">
        <w:rPr>
          <w:rFonts w:hAnsi="標楷體" w:hint="eastAsia"/>
          <w:snapToGrid/>
        </w:rPr>
        <w:t>綜上，</w:t>
      </w:r>
      <w:r w:rsidR="00261692">
        <w:rPr>
          <w:rFonts w:hAnsi="標楷體" w:hint="eastAsia"/>
          <w:snapToGrid/>
        </w:rPr>
        <w:t>央行歷年度</w:t>
      </w:r>
      <w:r w:rsidR="00A5305A">
        <w:rPr>
          <w:rFonts w:hAnsi="標楷體" w:hint="eastAsia"/>
          <w:snapToGrid/>
        </w:rPr>
        <w:t>利息費用</w:t>
      </w:r>
      <w:r w:rsidR="00261692" w:rsidRPr="00261692">
        <w:rPr>
          <w:rFonts w:hAnsi="標楷體" w:hint="eastAsia"/>
          <w:snapToGrid/>
        </w:rPr>
        <w:t>決算數皆低於預算數，差異數</w:t>
      </w:r>
      <w:r w:rsidR="003161E4">
        <w:rPr>
          <w:snapToGrid/>
        </w:rPr>
        <w:t>72</w:t>
      </w:r>
      <w:r w:rsidR="003161E4">
        <w:rPr>
          <w:rFonts w:hint="eastAsia"/>
          <w:snapToGrid/>
        </w:rPr>
        <w:t>億</w:t>
      </w:r>
      <w:r w:rsidR="006B3AA1">
        <w:rPr>
          <w:snapToGrid/>
        </w:rPr>
        <w:t>3,</w:t>
      </w:r>
      <w:r w:rsidR="003161E4">
        <w:rPr>
          <w:snapToGrid/>
        </w:rPr>
        <w:t>699</w:t>
      </w:r>
      <w:r w:rsidR="003161E4">
        <w:rPr>
          <w:rFonts w:hint="eastAsia"/>
          <w:snapToGrid/>
        </w:rPr>
        <w:t>萬元至</w:t>
      </w:r>
      <w:r w:rsidR="003161E4">
        <w:rPr>
          <w:snapToGrid/>
        </w:rPr>
        <w:t>1,227</w:t>
      </w:r>
      <w:r w:rsidR="003161E4">
        <w:rPr>
          <w:rFonts w:hint="eastAsia"/>
          <w:snapToGrid/>
        </w:rPr>
        <w:t>億</w:t>
      </w:r>
      <w:r w:rsidR="003161E4">
        <w:rPr>
          <w:snapToGrid/>
        </w:rPr>
        <w:t>8,763</w:t>
      </w:r>
      <w:r w:rsidR="003161E4">
        <w:rPr>
          <w:rFonts w:hint="eastAsia"/>
          <w:snapToGrid/>
        </w:rPr>
        <w:t>萬元</w:t>
      </w:r>
      <w:r w:rsidR="00261692" w:rsidRPr="00261692">
        <w:rPr>
          <w:rFonts w:hAnsi="標楷體" w:hint="eastAsia"/>
          <w:snapToGrid/>
        </w:rPr>
        <w:t>不等，108年度起</w:t>
      </w:r>
      <w:r w:rsidR="00A5305A">
        <w:rPr>
          <w:rFonts w:hAnsi="標楷體" w:hint="eastAsia"/>
          <w:snapToGrid/>
        </w:rPr>
        <w:t>雖</w:t>
      </w:r>
      <w:r w:rsidR="00261692" w:rsidRPr="00261692">
        <w:rPr>
          <w:rFonts w:hAnsi="標楷體" w:hint="eastAsia"/>
          <w:snapToGrid/>
        </w:rPr>
        <w:t>因預算編列數降低而減少</w:t>
      </w:r>
      <w:r w:rsidR="006B3AA1" w:rsidRPr="00261692">
        <w:rPr>
          <w:rFonts w:hAnsi="標楷體" w:hint="eastAsia"/>
          <w:snapToGrid/>
        </w:rPr>
        <w:t>差異</w:t>
      </w:r>
      <w:r w:rsidR="00261692" w:rsidRPr="00261692">
        <w:rPr>
          <w:rFonts w:hAnsi="標楷體" w:hint="eastAsia"/>
          <w:snapToGrid/>
        </w:rPr>
        <w:t>，惟112年度復較上年度增加，</w:t>
      </w:r>
      <w:r w:rsidR="006B3AA1" w:rsidRPr="00261692">
        <w:rPr>
          <w:rFonts w:hAnsi="標楷體" w:hint="eastAsia"/>
          <w:snapToGrid/>
        </w:rPr>
        <w:t>差異數</w:t>
      </w:r>
      <w:r w:rsidR="00261692" w:rsidRPr="00261692">
        <w:rPr>
          <w:rFonts w:hAnsi="標楷體" w:hint="eastAsia"/>
          <w:snapToGrid/>
        </w:rPr>
        <w:t>擴大為336億2,140萬9千元，</w:t>
      </w:r>
      <w:r w:rsidR="00F807CF">
        <w:rPr>
          <w:rFonts w:hAnsi="標楷體" w:hint="eastAsia"/>
          <w:snapToGrid/>
        </w:rPr>
        <w:t>預算估列容屬保守；又利息費用</w:t>
      </w:r>
      <w:r w:rsidR="00261692">
        <w:rPr>
          <w:rFonts w:hAnsi="標楷體" w:hint="eastAsia"/>
          <w:snapToGrid/>
        </w:rPr>
        <w:t>營運量以112年</w:t>
      </w:r>
      <w:r w:rsidR="00185DF9">
        <w:rPr>
          <w:rFonts w:hAnsi="標楷體" w:hint="eastAsia"/>
          <w:snapToGrid/>
        </w:rPr>
        <w:t>數據</w:t>
      </w:r>
      <w:r w:rsidR="00261692">
        <w:rPr>
          <w:rFonts w:hAnsi="標楷體" w:hint="eastAsia"/>
          <w:snapToGrid/>
        </w:rPr>
        <w:t>為基準參</w:t>
      </w:r>
      <w:r w:rsidR="00F807CF">
        <w:rPr>
          <w:rFonts w:hAnsi="標楷體" w:hint="eastAsia"/>
          <w:snapToGrid/>
        </w:rPr>
        <w:t>考</w:t>
      </w:r>
      <w:r w:rsidR="00F807CF" w:rsidRPr="00F807CF">
        <w:rPr>
          <w:rFonts w:hAnsi="標楷體" w:hint="eastAsia"/>
          <w:snapToGrid/>
        </w:rPr>
        <w:t>經濟金融情勢或近年度成長率推估</w:t>
      </w:r>
      <w:r w:rsidR="00261692">
        <w:rPr>
          <w:rFonts w:hAnsi="標楷體" w:hint="eastAsia"/>
          <w:snapToGrid/>
        </w:rPr>
        <w:t>，</w:t>
      </w:r>
      <w:r w:rsidR="00185DF9">
        <w:rPr>
          <w:rFonts w:hAnsi="標楷體" w:hint="eastAsia"/>
          <w:snapToGrid/>
        </w:rPr>
        <w:t>金融情勢瞬息萬變，</w:t>
      </w:r>
      <w:r w:rsidR="00261692">
        <w:rPr>
          <w:rFonts w:hAnsi="標楷體" w:hint="eastAsia"/>
          <w:snapToGrid/>
        </w:rPr>
        <w:t>恐難</w:t>
      </w:r>
      <w:r w:rsidR="00185DF9">
        <w:rPr>
          <w:rFonts w:hAnsi="標楷體" w:hint="eastAsia"/>
          <w:snapToGrid/>
        </w:rPr>
        <w:t>反映即時情況</w:t>
      </w:r>
      <w:r w:rsidR="00261692">
        <w:rPr>
          <w:rFonts w:hAnsi="標楷體" w:hint="eastAsia"/>
          <w:snapToGrid/>
        </w:rPr>
        <w:t>，</w:t>
      </w:r>
      <w:r w:rsidR="004B14B1">
        <w:rPr>
          <w:rFonts w:hAnsi="標楷體" w:hint="eastAsia"/>
          <w:snapToGrid/>
        </w:rPr>
        <w:t>允宜賡續</w:t>
      </w:r>
      <w:r w:rsidR="00CD0C47">
        <w:rPr>
          <w:rFonts w:hAnsi="標楷體" w:hint="eastAsia"/>
          <w:snapToGrid/>
        </w:rPr>
        <w:t>策</w:t>
      </w:r>
      <w:r w:rsidR="00FE27FB">
        <w:rPr>
          <w:rFonts w:hAnsi="標楷體" w:hint="eastAsia"/>
          <w:snapToGrid/>
        </w:rPr>
        <w:t>進</w:t>
      </w:r>
      <w:r w:rsidR="00A95D1A">
        <w:rPr>
          <w:rFonts w:hAnsi="標楷體" w:hint="eastAsia"/>
          <w:snapToGrid/>
        </w:rPr>
        <w:t>編製作業</w:t>
      </w:r>
      <w:r w:rsidR="00C94F5B" w:rsidRPr="00507BD2">
        <w:rPr>
          <w:rFonts w:hAnsi="標楷體" w:hint="eastAsia"/>
          <w:snapToGrid/>
        </w:rPr>
        <w:t>。</w:t>
      </w:r>
    </w:p>
    <w:p w:rsidR="00450ADF" w:rsidRPr="00F807CF" w:rsidRDefault="00450ADF" w:rsidP="00CC7F58">
      <w:pPr>
        <w:ind w:left="566" w:firstLine="566"/>
      </w:pPr>
      <w:bookmarkStart w:id="19" w:name="_Toc133328874"/>
    </w:p>
    <w:p w:rsidR="00F742CB" w:rsidRPr="00507BD2" w:rsidRDefault="00B412B2" w:rsidP="00F742CB">
      <w:pPr>
        <w:pStyle w:val="14"/>
        <w:ind w:left="553" w:hangingChars="195" w:hanging="553"/>
        <w:rPr>
          <w:rFonts w:hAnsi="標楷體" w:hint="eastAsia"/>
        </w:rPr>
      </w:pPr>
      <w:bookmarkStart w:id="20" w:name="_Toc181965734"/>
      <w:r w:rsidRPr="00507BD2">
        <w:rPr>
          <w:rFonts w:hAnsi="標楷體" w:hint="eastAsia"/>
        </w:rPr>
        <w:t>九</w:t>
      </w:r>
      <w:r w:rsidR="00F742CB" w:rsidRPr="00507BD2">
        <w:rPr>
          <w:rFonts w:hAnsi="標楷體" w:hint="eastAsia"/>
        </w:rPr>
        <w:t>、</w:t>
      </w:r>
      <w:bookmarkEnd w:id="19"/>
      <w:r w:rsidR="000477A8" w:rsidRPr="000477A8">
        <w:rPr>
          <w:rFonts w:hAnsi="標楷體" w:hint="eastAsia"/>
        </w:rPr>
        <w:t>委外投資平均收益率僅少數年度達成目標值及高於自行經營，112年度上升後</w:t>
      </w:r>
      <w:r w:rsidR="00DD331A">
        <w:rPr>
          <w:rFonts w:hAnsi="標楷體" w:hint="eastAsia"/>
        </w:rPr>
        <w:t>復於113年</w:t>
      </w:r>
      <w:r w:rsidR="00A27CCC">
        <w:rPr>
          <w:rFonts w:hAnsi="標楷體" w:hint="eastAsia"/>
        </w:rPr>
        <w:t>度(截至8月底止)</w:t>
      </w:r>
      <w:r w:rsidR="000477A8" w:rsidRPr="000477A8">
        <w:rPr>
          <w:rFonts w:hAnsi="標楷體" w:hint="eastAsia"/>
        </w:rPr>
        <w:t>下降，績效及穩定度容待</w:t>
      </w:r>
      <w:r w:rsidR="00350DEE">
        <w:rPr>
          <w:rFonts w:hAnsi="標楷體" w:hint="eastAsia"/>
        </w:rPr>
        <w:t>加強</w:t>
      </w:r>
      <w:bookmarkEnd w:id="20"/>
    </w:p>
    <w:p w:rsidR="00F742CB" w:rsidRPr="00507BD2" w:rsidRDefault="00F742CB" w:rsidP="00F742CB">
      <w:pPr>
        <w:ind w:left="566" w:firstLine="566"/>
        <w:rPr>
          <w:rFonts w:hAnsi="標楷體" w:hint="eastAsia"/>
        </w:rPr>
      </w:pPr>
      <w:r w:rsidRPr="00507BD2">
        <w:rPr>
          <w:rFonts w:hAnsi="標楷體" w:hint="eastAsia"/>
        </w:rPr>
        <w:t>央行11</w:t>
      </w:r>
      <w:r w:rsidR="002A55C3">
        <w:rPr>
          <w:rFonts w:hAnsi="標楷體"/>
        </w:rPr>
        <w:t>4</w:t>
      </w:r>
      <w:r w:rsidRPr="00507BD2">
        <w:rPr>
          <w:rFonts w:hAnsi="標楷體" w:hint="eastAsia"/>
        </w:rPr>
        <w:t>年度</w:t>
      </w:r>
      <w:r w:rsidR="00A403CF" w:rsidRPr="00507BD2">
        <w:rPr>
          <w:rFonts w:hAnsi="標楷體" w:hint="eastAsia"/>
        </w:rPr>
        <w:t>預算案</w:t>
      </w:r>
      <w:r w:rsidR="008424D8">
        <w:rPr>
          <w:rFonts w:hAnsi="標楷體" w:hint="eastAsia"/>
        </w:rPr>
        <w:t>預</w:t>
      </w:r>
      <w:r w:rsidR="00225121">
        <w:rPr>
          <w:rFonts w:hAnsi="標楷體" w:hint="eastAsia"/>
        </w:rPr>
        <w:t>估</w:t>
      </w:r>
      <w:r w:rsidRPr="00507BD2">
        <w:rPr>
          <w:rFonts w:hAnsi="標楷體" w:hint="eastAsia"/>
        </w:rPr>
        <w:t>外</w:t>
      </w:r>
      <w:r w:rsidR="000236A4" w:rsidRPr="00507BD2">
        <w:rPr>
          <w:rFonts w:hAnsi="標楷體" w:hint="eastAsia"/>
        </w:rPr>
        <w:t>匯</w:t>
      </w:r>
      <w:r w:rsidRPr="00507BD2">
        <w:rPr>
          <w:rFonts w:hAnsi="標楷體" w:hint="eastAsia"/>
        </w:rPr>
        <w:t>資產</w:t>
      </w:r>
      <w:r w:rsidR="008424D8">
        <w:rPr>
          <w:rFonts w:hAnsi="標楷體" w:hint="eastAsia"/>
        </w:rPr>
        <w:t>營運量</w:t>
      </w:r>
      <w:r w:rsidR="00532F50">
        <w:rPr>
          <w:rFonts w:hAnsi="標楷體"/>
        </w:rPr>
        <w:t>16</w:t>
      </w:r>
      <w:r w:rsidR="00532F50">
        <w:rPr>
          <w:rFonts w:hAnsi="標楷體" w:hint="eastAsia"/>
        </w:rPr>
        <w:t>兆</w:t>
      </w:r>
      <w:r w:rsidR="00532F50">
        <w:rPr>
          <w:rFonts w:hAnsi="標楷體"/>
        </w:rPr>
        <w:t>752</w:t>
      </w:r>
      <w:r w:rsidR="00532F50">
        <w:rPr>
          <w:rFonts w:hAnsi="標楷體" w:hint="eastAsia"/>
        </w:rPr>
        <w:t>億</w:t>
      </w:r>
      <w:r w:rsidR="00532F50">
        <w:rPr>
          <w:rFonts w:hAnsi="標楷體"/>
        </w:rPr>
        <w:t>4,435</w:t>
      </w:r>
      <w:r w:rsidR="00532F50">
        <w:rPr>
          <w:rFonts w:hAnsi="標楷體" w:hint="eastAsia"/>
        </w:rPr>
        <w:t>萬</w:t>
      </w:r>
      <w:r w:rsidR="00225121" w:rsidRPr="00225121">
        <w:rPr>
          <w:rFonts w:hAnsi="標楷體" w:hint="eastAsia"/>
        </w:rPr>
        <w:t>元</w:t>
      </w:r>
      <w:r w:rsidR="008424D8">
        <w:rPr>
          <w:rFonts w:hAnsi="標楷體" w:hint="eastAsia"/>
        </w:rPr>
        <w:t>，</w:t>
      </w:r>
      <w:r w:rsidRPr="00507BD2">
        <w:rPr>
          <w:rFonts w:hAnsi="標楷體" w:hint="eastAsia"/>
        </w:rPr>
        <w:t>其中信託投資</w:t>
      </w:r>
      <w:r w:rsidR="00532F50">
        <w:rPr>
          <w:rFonts w:hAnsi="標楷體" w:hint="eastAsia"/>
        </w:rPr>
        <w:t>4</w:t>
      </w:r>
      <w:r w:rsidR="00532F50">
        <w:rPr>
          <w:rFonts w:hAnsi="標楷體"/>
        </w:rPr>
        <w:t>,</w:t>
      </w:r>
      <w:r w:rsidR="00532F50">
        <w:rPr>
          <w:rFonts w:hAnsi="標楷體" w:hint="eastAsia"/>
        </w:rPr>
        <w:t>445億810萬</w:t>
      </w:r>
      <w:r w:rsidR="00225121">
        <w:rPr>
          <w:rFonts w:hAnsi="標楷體" w:hint="eastAsia"/>
        </w:rPr>
        <w:t>元</w:t>
      </w:r>
      <w:r w:rsidR="002812DE" w:rsidRPr="00507BD2">
        <w:rPr>
          <w:rFonts w:hAnsi="標楷體" w:hint="eastAsia"/>
        </w:rPr>
        <w:t>，</w:t>
      </w:r>
      <w:r w:rsidR="00CF6E37">
        <w:rPr>
          <w:rFonts w:hAnsi="標楷體" w:hint="eastAsia"/>
        </w:rPr>
        <w:t>比重為2.77%，</w:t>
      </w:r>
      <w:r w:rsidR="002812DE" w:rsidRPr="00507BD2">
        <w:rPr>
          <w:rFonts w:hAnsi="標楷體" w:hint="eastAsia"/>
        </w:rPr>
        <w:t>較1</w:t>
      </w:r>
      <w:r w:rsidR="002812DE" w:rsidRPr="00507BD2">
        <w:rPr>
          <w:rFonts w:hAnsi="標楷體"/>
        </w:rPr>
        <w:t>1</w:t>
      </w:r>
      <w:r w:rsidR="00225121">
        <w:rPr>
          <w:rFonts w:hAnsi="標楷體"/>
        </w:rPr>
        <w:t>3</w:t>
      </w:r>
      <w:r w:rsidR="002812DE" w:rsidRPr="00507BD2">
        <w:rPr>
          <w:rFonts w:hAnsi="標楷體"/>
        </w:rPr>
        <w:t>年度</w:t>
      </w:r>
      <w:r w:rsidR="00225121">
        <w:rPr>
          <w:rFonts w:hAnsi="標楷體" w:hint="eastAsia"/>
        </w:rPr>
        <w:t>預算案數</w:t>
      </w:r>
      <w:r w:rsidR="00532F50">
        <w:rPr>
          <w:rFonts w:hAnsi="標楷體" w:hint="eastAsia"/>
        </w:rPr>
        <w:t>4</w:t>
      </w:r>
      <w:r w:rsidR="00532F50">
        <w:rPr>
          <w:rFonts w:hAnsi="標楷體"/>
        </w:rPr>
        <w:t>,</w:t>
      </w:r>
      <w:r w:rsidR="00532F50">
        <w:rPr>
          <w:rFonts w:hAnsi="標楷體" w:hint="eastAsia"/>
        </w:rPr>
        <w:t>214億5</w:t>
      </w:r>
      <w:r w:rsidR="00532F50">
        <w:rPr>
          <w:rFonts w:hAnsi="標楷體"/>
        </w:rPr>
        <w:t>,</w:t>
      </w:r>
      <w:r w:rsidR="00532F50">
        <w:rPr>
          <w:rFonts w:hAnsi="標楷體" w:hint="eastAsia"/>
        </w:rPr>
        <w:t>125萬</w:t>
      </w:r>
      <w:r w:rsidR="002812DE" w:rsidRPr="00507BD2">
        <w:rPr>
          <w:rFonts w:hAnsi="標楷體" w:hint="eastAsia"/>
        </w:rPr>
        <w:t>元增加</w:t>
      </w:r>
      <w:r w:rsidR="00532F50">
        <w:rPr>
          <w:rFonts w:hAnsi="標楷體" w:hint="eastAsia"/>
        </w:rPr>
        <w:t>230億5</w:t>
      </w:r>
      <w:r w:rsidR="00532F50">
        <w:rPr>
          <w:rFonts w:hAnsi="標楷體"/>
        </w:rPr>
        <w:t>,</w:t>
      </w:r>
      <w:r w:rsidR="00532F50">
        <w:rPr>
          <w:rFonts w:hAnsi="標楷體" w:hint="eastAsia"/>
        </w:rPr>
        <w:t>685萬</w:t>
      </w:r>
      <w:r w:rsidR="002812DE" w:rsidRPr="00507BD2">
        <w:rPr>
          <w:rFonts w:hAnsi="標楷體"/>
        </w:rPr>
        <w:t>元</w:t>
      </w:r>
      <w:r w:rsidR="00097E86">
        <w:rPr>
          <w:rFonts w:hAnsi="標楷體" w:hint="eastAsia"/>
        </w:rPr>
        <w:t>(增幅</w:t>
      </w:r>
      <w:r w:rsidR="00532F50">
        <w:rPr>
          <w:rFonts w:hAnsi="標楷體" w:hint="eastAsia"/>
        </w:rPr>
        <w:t>5.47</w:t>
      </w:r>
      <w:r w:rsidR="00097E86">
        <w:rPr>
          <w:rFonts w:hAnsi="標楷體" w:hint="eastAsia"/>
        </w:rPr>
        <w:t>%)</w:t>
      </w:r>
      <w:r w:rsidR="00DD5591" w:rsidRPr="00507BD2">
        <w:rPr>
          <w:rFonts w:hAnsi="標楷體" w:hint="eastAsia"/>
        </w:rPr>
        <w:t>。</w:t>
      </w:r>
      <w:r w:rsidR="008424D8">
        <w:rPr>
          <w:rFonts w:hAnsi="標楷體" w:hint="eastAsia"/>
        </w:rPr>
        <w:t>該行</w:t>
      </w:r>
      <w:r w:rsidR="008424D8" w:rsidRPr="008424D8">
        <w:rPr>
          <w:rFonts w:hAnsi="標楷體" w:hint="eastAsia"/>
        </w:rPr>
        <w:t>為管理我國龐大外匯資產</w:t>
      </w:r>
      <w:r w:rsidR="00DD5591" w:rsidRPr="00507BD2">
        <w:rPr>
          <w:rFonts w:hAnsi="標楷體" w:hint="eastAsia"/>
        </w:rPr>
        <w:t>，</w:t>
      </w:r>
      <w:r w:rsidR="008424D8" w:rsidRPr="008424D8">
        <w:rPr>
          <w:rFonts w:hAnsi="標楷體" w:hint="eastAsia"/>
        </w:rPr>
        <w:t>部分委託金融機構投資</w:t>
      </w:r>
      <w:r w:rsidR="008424D8">
        <w:rPr>
          <w:rFonts w:hAnsi="標楷體" w:hint="eastAsia"/>
        </w:rPr>
        <w:t>，惟績效未盡良好穩定</w:t>
      </w:r>
      <w:r w:rsidRPr="00507BD2">
        <w:rPr>
          <w:rFonts w:hAnsi="標楷體" w:hint="eastAsia"/>
        </w:rPr>
        <w:t>。</w:t>
      </w:r>
      <w:r w:rsidR="00657BBA">
        <w:rPr>
          <w:rFonts w:hAnsi="標楷體" w:hint="eastAsia"/>
        </w:rPr>
        <w:t>謹說明如下</w:t>
      </w:r>
      <w:r w:rsidRPr="00507BD2">
        <w:rPr>
          <w:rFonts w:hAnsi="標楷體" w:hint="eastAsia"/>
        </w:rPr>
        <w:t>：</w:t>
      </w:r>
    </w:p>
    <w:p w:rsidR="00F742CB" w:rsidRPr="00507BD2" w:rsidRDefault="00F742CB" w:rsidP="00F742CB">
      <w:pPr>
        <w:pStyle w:val="a4"/>
        <w:rPr>
          <w:rFonts w:hint="eastAsia"/>
          <w:b/>
        </w:rPr>
      </w:pPr>
      <w:r w:rsidRPr="00507BD2">
        <w:rPr>
          <w:rFonts w:hint="eastAsia"/>
          <w:b/>
        </w:rPr>
        <w:t>(一)</w:t>
      </w:r>
      <w:r w:rsidR="00D02020">
        <w:rPr>
          <w:rFonts w:hint="eastAsia"/>
          <w:b/>
        </w:rPr>
        <w:t>央行為管理龐大外匯資產</w:t>
      </w:r>
      <w:r w:rsidR="00F36CD0">
        <w:rPr>
          <w:rFonts w:hint="eastAsia"/>
          <w:b/>
        </w:rPr>
        <w:t>，將</w:t>
      </w:r>
      <w:r w:rsidR="00D02020">
        <w:rPr>
          <w:rFonts w:hint="eastAsia"/>
          <w:b/>
        </w:rPr>
        <w:t>部分</w:t>
      </w:r>
      <w:r w:rsidR="00F36CD0">
        <w:rPr>
          <w:rFonts w:hint="eastAsia"/>
          <w:b/>
        </w:rPr>
        <w:t>外匯資產委</w:t>
      </w:r>
      <w:r w:rsidR="00170789">
        <w:rPr>
          <w:rFonts w:hint="eastAsia"/>
          <w:b/>
        </w:rPr>
        <w:t>託</w:t>
      </w:r>
      <w:r w:rsidR="00F36CD0">
        <w:rPr>
          <w:rFonts w:hint="eastAsia"/>
          <w:b/>
        </w:rPr>
        <w:t>投資，</w:t>
      </w:r>
      <w:r w:rsidR="00D02020">
        <w:rPr>
          <w:rFonts w:hint="eastAsia"/>
          <w:b/>
        </w:rPr>
        <w:t>近年度</w:t>
      </w:r>
      <w:r w:rsidR="00F36CD0">
        <w:rPr>
          <w:rFonts w:hint="eastAsia"/>
          <w:b/>
        </w:rPr>
        <w:t>委託機構家數及投資帳戶</w:t>
      </w:r>
      <w:r w:rsidR="00170789">
        <w:rPr>
          <w:rFonts w:hint="eastAsia"/>
          <w:b/>
        </w:rPr>
        <w:t>略為減少</w:t>
      </w:r>
      <w:r w:rsidR="00F36CD0">
        <w:rPr>
          <w:rFonts w:hint="eastAsia"/>
          <w:b/>
        </w:rPr>
        <w:t>，惟投資金額仍龐鉅</w:t>
      </w:r>
    </w:p>
    <w:p w:rsidR="00F36CD0" w:rsidRDefault="008E2833" w:rsidP="00F36CD0">
      <w:pPr>
        <w:adjustRightInd w:val="0"/>
        <w:spacing w:after="72"/>
        <w:ind w:leftChars="300" w:left="850" w:firstLine="566"/>
        <w:rPr>
          <w:rFonts w:hAnsi="標楷體"/>
        </w:rPr>
      </w:pPr>
      <w:r>
        <w:rPr>
          <w:rFonts w:hAnsi="標楷體" w:hint="eastAsia"/>
        </w:rPr>
        <w:t>按央行</w:t>
      </w:r>
      <w:r w:rsidRPr="00507BD2">
        <w:rPr>
          <w:rFonts w:hAnsi="標楷體" w:hint="eastAsia"/>
        </w:rPr>
        <w:t>外匯業務手冊</w:t>
      </w:r>
      <w:r>
        <w:rPr>
          <w:rFonts w:hAnsi="標楷體" w:hint="eastAsia"/>
        </w:rPr>
        <w:t>貳、外匯管理、第五章、資產管理帳戶規定略以，</w:t>
      </w:r>
      <w:r w:rsidRPr="008E2833">
        <w:rPr>
          <w:rFonts w:hAnsi="標楷體" w:hint="eastAsia"/>
        </w:rPr>
        <w:t>為使外匯投資工具多樣化及學習先進</w:t>
      </w:r>
      <w:r w:rsidR="00D3231E">
        <w:rPr>
          <w:rFonts w:hAnsi="標楷體" w:hint="eastAsia"/>
        </w:rPr>
        <w:t>國家</w:t>
      </w:r>
      <w:r w:rsidRPr="008E2833">
        <w:rPr>
          <w:rFonts w:hAnsi="標楷體" w:hint="eastAsia"/>
        </w:rPr>
        <w:t>之外匯資產管理操作技術，得選擇操作資產管理績效良好之金融機構，與之建立資產管理帳戶</w:t>
      </w:r>
      <w:r w:rsidRPr="008E2833">
        <w:rPr>
          <w:rStyle w:val="af1"/>
          <w:rFonts w:hAnsi="標楷體"/>
        </w:rPr>
        <w:footnoteReference w:id="11"/>
      </w:r>
      <w:r w:rsidR="00F36CD0">
        <w:rPr>
          <w:rFonts w:hAnsi="標楷體" w:hint="eastAsia"/>
        </w:rPr>
        <w:t>；</w:t>
      </w:r>
      <w:r w:rsidR="00B93B26">
        <w:rPr>
          <w:rFonts w:hAnsi="標楷體" w:hint="eastAsia"/>
        </w:rPr>
        <w:t>為管理</w:t>
      </w:r>
      <w:r w:rsidR="00B93B26" w:rsidRPr="00507BD2">
        <w:rPr>
          <w:rFonts w:hAnsi="標楷體" w:hint="eastAsia"/>
        </w:rPr>
        <w:t>我國龐大外匯資產，央行</w:t>
      </w:r>
      <w:r w:rsidR="00B93B26">
        <w:rPr>
          <w:rFonts w:hAnsi="標楷體" w:hint="eastAsia"/>
        </w:rPr>
        <w:t>除自行管理</w:t>
      </w:r>
      <w:r w:rsidR="00F36CD0" w:rsidRPr="00F36CD0">
        <w:rPr>
          <w:rFonts w:hAnsi="標楷體" w:hint="eastAsia"/>
        </w:rPr>
        <w:t>供應國內外匯需要</w:t>
      </w:r>
      <w:r w:rsidR="00F36CD0">
        <w:rPr>
          <w:rFonts w:hAnsi="標楷體" w:hint="eastAsia"/>
        </w:rPr>
        <w:t>、調節匯市、穩定金融市場</w:t>
      </w:r>
      <w:r w:rsidR="00B93B26">
        <w:rPr>
          <w:rFonts w:hAnsi="標楷體" w:hint="eastAsia"/>
        </w:rPr>
        <w:t>外，</w:t>
      </w:r>
      <w:r>
        <w:rPr>
          <w:rFonts w:hAnsi="標楷體" w:hint="eastAsia"/>
        </w:rPr>
        <w:t>亦依前揭規定將部分外匯資產委託金融機構投資</w:t>
      </w:r>
      <w:r w:rsidR="00281D3D">
        <w:rPr>
          <w:rFonts w:hAnsi="標楷體" w:hint="eastAsia"/>
        </w:rPr>
        <w:t>，</w:t>
      </w:r>
      <w:r w:rsidR="00F6129B">
        <w:rPr>
          <w:rFonts w:hAnsi="標楷體" w:hint="eastAsia"/>
        </w:rPr>
        <w:t>以靈活運用</w:t>
      </w:r>
      <w:r w:rsidR="00F36CD0">
        <w:rPr>
          <w:rFonts w:hAnsi="標楷體" w:hint="eastAsia"/>
        </w:rPr>
        <w:t>。</w:t>
      </w:r>
    </w:p>
    <w:p w:rsidR="00281D3D" w:rsidRDefault="00F6129B" w:rsidP="00F36CD0">
      <w:pPr>
        <w:adjustRightInd w:val="0"/>
        <w:spacing w:after="72"/>
        <w:ind w:leftChars="300" w:left="850" w:firstLine="566"/>
        <w:rPr>
          <w:rFonts w:hAnsi="標楷體"/>
        </w:rPr>
      </w:pPr>
      <w:r w:rsidRPr="00F6129B">
        <w:rPr>
          <w:rFonts w:hAnsi="標楷體" w:hint="eastAsia"/>
        </w:rPr>
        <w:t>簽訂長期信託投資之金融機構家數</w:t>
      </w:r>
      <w:r w:rsidR="00281D3D">
        <w:rPr>
          <w:rFonts w:hAnsi="標楷體" w:hint="eastAsia"/>
        </w:rPr>
        <w:t>自107年度11家</w:t>
      </w:r>
      <w:r w:rsidR="00170789">
        <w:rPr>
          <w:rFonts w:hAnsi="標楷體" w:hint="eastAsia"/>
        </w:rPr>
        <w:t>略</w:t>
      </w:r>
      <w:r w:rsidR="00281D3D">
        <w:rPr>
          <w:rFonts w:hAnsi="標楷體" w:hint="eastAsia"/>
        </w:rPr>
        <w:t>減至113年度(截至8月底止)</w:t>
      </w:r>
      <w:r w:rsidR="00281D3D">
        <w:rPr>
          <w:rFonts w:hAnsi="標楷體"/>
        </w:rPr>
        <w:t>9</w:t>
      </w:r>
      <w:r w:rsidR="00281D3D">
        <w:rPr>
          <w:rFonts w:hAnsi="標楷體" w:hint="eastAsia"/>
        </w:rPr>
        <w:t>家，同期間開立之投資帳戶自16戶減少至12戶，委外投資金額</w:t>
      </w:r>
      <w:r w:rsidR="00CD0C47">
        <w:rPr>
          <w:rFonts w:hAnsi="標楷體" w:hint="eastAsia"/>
        </w:rPr>
        <w:t>概呈下降趨勢</w:t>
      </w:r>
      <w:r w:rsidR="00281D3D">
        <w:rPr>
          <w:rFonts w:hAnsi="標楷體" w:hint="eastAsia"/>
        </w:rPr>
        <w:t>，</w:t>
      </w:r>
      <w:r w:rsidR="00D26533">
        <w:rPr>
          <w:rFonts w:hAnsi="標楷體" w:hint="eastAsia"/>
        </w:rPr>
        <w:t>惟</w:t>
      </w:r>
      <w:r w:rsidR="00281D3D">
        <w:rPr>
          <w:rFonts w:hAnsi="標楷體" w:hint="eastAsia"/>
        </w:rPr>
        <w:t>113年度(截至8月底止)仍維持</w:t>
      </w:r>
      <w:r w:rsidR="00D26533">
        <w:rPr>
          <w:rFonts w:hAnsi="標楷體" w:hint="eastAsia"/>
        </w:rPr>
        <w:t>145億2</w:t>
      </w:r>
      <w:r w:rsidR="00D26533">
        <w:rPr>
          <w:rFonts w:hAnsi="標楷體"/>
        </w:rPr>
        <w:t>,</w:t>
      </w:r>
      <w:r w:rsidR="00D26533">
        <w:rPr>
          <w:rFonts w:hAnsi="標楷體" w:hint="eastAsia"/>
        </w:rPr>
        <w:t>427</w:t>
      </w:r>
      <w:r w:rsidR="00281D3D">
        <w:rPr>
          <w:rFonts w:hAnsi="標楷體" w:hint="eastAsia"/>
        </w:rPr>
        <w:t>萬美元規模</w:t>
      </w:r>
      <w:r w:rsidR="00DB0002">
        <w:rPr>
          <w:rFonts w:hAnsi="標楷體" w:hint="eastAsia"/>
        </w:rPr>
        <w:t>(詳表1)</w:t>
      </w:r>
      <w:r w:rsidR="00281D3D">
        <w:rPr>
          <w:rFonts w:hAnsi="標楷體" w:hint="eastAsia"/>
        </w:rPr>
        <w:t>，金額龐鉅，</w:t>
      </w:r>
      <w:r w:rsidR="00246237">
        <w:rPr>
          <w:rFonts w:hAnsi="標楷體" w:hint="eastAsia"/>
        </w:rPr>
        <w:t>經營管理</w:t>
      </w:r>
      <w:r w:rsidR="00281D3D">
        <w:rPr>
          <w:rFonts w:hAnsi="標楷體" w:hint="eastAsia"/>
        </w:rPr>
        <w:t>須</w:t>
      </w:r>
      <w:r w:rsidR="00246237">
        <w:rPr>
          <w:rFonts w:hAnsi="標楷體" w:hint="eastAsia"/>
        </w:rPr>
        <w:t>兼顧長期增長、</w:t>
      </w:r>
      <w:r w:rsidR="00246237" w:rsidRPr="00246237">
        <w:rPr>
          <w:rFonts w:hAnsi="標楷體" w:hint="eastAsia"/>
        </w:rPr>
        <w:t>穩定收益</w:t>
      </w:r>
      <w:r w:rsidR="00246237">
        <w:rPr>
          <w:rFonts w:hAnsi="標楷體" w:hint="eastAsia"/>
        </w:rPr>
        <w:t>及安全性，以</w:t>
      </w:r>
      <w:r w:rsidR="00D26533">
        <w:rPr>
          <w:rFonts w:hAnsi="標楷體" w:hint="eastAsia"/>
        </w:rPr>
        <w:t>維護</w:t>
      </w:r>
      <w:r w:rsidR="00246237">
        <w:rPr>
          <w:rFonts w:hAnsi="標楷體" w:hint="eastAsia"/>
        </w:rPr>
        <w:t>國家利益。</w:t>
      </w:r>
    </w:p>
    <w:p w:rsidR="00DB0002" w:rsidRPr="00DB0002" w:rsidRDefault="00DB0002" w:rsidP="00DB0002">
      <w:pPr>
        <w:pStyle w:val="a4"/>
        <w:rPr>
          <w:b/>
        </w:rPr>
      </w:pPr>
      <w:r w:rsidRPr="00DB0002">
        <w:rPr>
          <w:b/>
        </w:rPr>
        <w:t>表1 央行</w:t>
      </w:r>
      <w:r w:rsidRPr="00DB0002">
        <w:rPr>
          <w:rFonts w:hint="eastAsia"/>
          <w:b/>
        </w:rPr>
        <w:t>107至114年度外匯資產委外操作情形</w:t>
      </w:r>
    </w:p>
    <w:p w:rsidR="00532F50" w:rsidRPr="00532F50" w:rsidRDefault="00532F50" w:rsidP="00DB0002">
      <w:pPr>
        <w:pStyle w:val="142"/>
        <w:jc w:val="right"/>
      </w:pPr>
      <w:r w:rsidRPr="00532F50">
        <w:t>單位：</w:t>
      </w:r>
      <w:r w:rsidRPr="00532F50">
        <w:rPr>
          <w:rFonts w:hint="eastAsia"/>
        </w:rPr>
        <w:t>家；戶；美金萬元</w:t>
      </w:r>
    </w:p>
    <w:tbl>
      <w:tblPr>
        <w:tblW w:w="7938"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47"/>
        <w:gridCol w:w="2148"/>
        <w:gridCol w:w="1701"/>
        <w:gridCol w:w="1842"/>
      </w:tblGrid>
      <w:tr w:rsidR="00532F50" w:rsidRPr="00532F50" w:rsidTr="00E8518C">
        <w:tc>
          <w:tcPr>
            <w:tcW w:w="2247" w:type="dxa"/>
            <w:tcBorders>
              <w:top w:val="single" w:sz="12" w:space="0" w:color="auto"/>
              <w:left w:val="single" w:sz="12" w:space="0" w:color="auto"/>
            </w:tcBorders>
            <w:shd w:val="clear" w:color="auto" w:fill="auto"/>
            <w:vAlign w:val="center"/>
          </w:tcPr>
          <w:p w:rsidR="00532F50" w:rsidRPr="00532F50" w:rsidRDefault="00532F50" w:rsidP="00532F50">
            <w:pPr>
              <w:pStyle w:val="142"/>
              <w:jc w:val="center"/>
              <w:rPr>
                <w:rFonts w:hint="eastAsia"/>
                <w:b/>
              </w:rPr>
            </w:pPr>
            <w:r w:rsidRPr="00532F50">
              <w:rPr>
                <w:rFonts w:hint="eastAsia"/>
                <w:b/>
              </w:rPr>
              <w:t>年度</w:t>
            </w:r>
          </w:p>
        </w:tc>
        <w:tc>
          <w:tcPr>
            <w:tcW w:w="2148" w:type="dxa"/>
            <w:tcBorders>
              <w:top w:val="single" w:sz="12" w:space="0" w:color="auto"/>
            </w:tcBorders>
            <w:shd w:val="clear" w:color="auto" w:fill="auto"/>
            <w:vAlign w:val="center"/>
          </w:tcPr>
          <w:p w:rsidR="00532F50" w:rsidRPr="00532F50" w:rsidRDefault="00532F50" w:rsidP="00532F50">
            <w:pPr>
              <w:pStyle w:val="142"/>
              <w:jc w:val="center"/>
              <w:rPr>
                <w:rFonts w:hint="eastAsia"/>
                <w:b/>
              </w:rPr>
            </w:pPr>
            <w:r w:rsidRPr="00532F50">
              <w:rPr>
                <w:rFonts w:hint="eastAsia"/>
                <w:b/>
              </w:rPr>
              <w:t>簽訂長期信託投資之金融機構家數</w:t>
            </w:r>
          </w:p>
        </w:tc>
        <w:tc>
          <w:tcPr>
            <w:tcW w:w="1701" w:type="dxa"/>
            <w:tcBorders>
              <w:top w:val="single" w:sz="12" w:space="0" w:color="auto"/>
            </w:tcBorders>
            <w:shd w:val="clear" w:color="auto" w:fill="auto"/>
            <w:vAlign w:val="center"/>
          </w:tcPr>
          <w:p w:rsidR="00532F50" w:rsidRPr="00532F50" w:rsidRDefault="00532F50" w:rsidP="00532F50">
            <w:pPr>
              <w:pStyle w:val="142"/>
              <w:jc w:val="center"/>
              <w:rPr>
                <w:rFonts w:hint="eastAsia"/>
                <w:b/>
              </w:rPr>
            </w:pPr>
            <w:r w:rsidRPr="00532F50">
              <w:rPr>
                <w:rFonts w:hint="eastAsia"/>
                <w:b/>
              </w:rPr>
              <w:t>投資帳戶</w:t>
            </w:r>
          </w:p>
        </w:tc>
        <w:tc>
          <w:tcPr>
            <w:tcW w:w="1842" w:type="dxa"/>
            <w:tcBorders>
              <w:top w:val="single" w:sz="12" w:space="0" w:color="auto"/>
              <w:right w:val="single" w:sz="12" w:space="0" w:color="auto"/>
            </w:tcBorders>
            <w:shd w:val="clear" w:color="auto" w:fill="auto"/>
            <w:vAlign w:val="center"/>
          </w:tcPr>
          <w:p w:rsidR="00532F50" w:rsidRPr="00532F50" w:rsidRDefault="00532F50" w:rsidP="00532F50">
            <w:pPr>
              <w:pStyle w:val="142"/>
              <w:jc w:val="center"/>
              <w:rPr>
                <w:rFonts w:hint="eastAsia"/>
                <w:b/>
              </w:rPr>
            </w:pPr>
            <w:r w:rsidRPr="00532F50">
              <w:rPr>
                <w:rFonts w:hint="eastAsia"/>
                <w:b/>
              </w:rPr>
              <w:t>委外投資金額</w:t>
            </w:r>
            <w:r w:rsidRPr="00532F50">
              <w:rPr>
                <w:b/>
              </w:rPr>
              <w:br/>
            </w:r>
            <w:r w:rsidRPr="00532F50">
              <w:rPr>
                <w:rFonts w:hint="eastAsia"/>
                <w:b/>
              </w:rPr>
              <w:t>(營運量</w:t>
            </w:r>
            <w:r w:rsidRPr="00532F50">
              <w:rPr>
                <w:b/>
              </w:rPr>
              <w:t>)</w:t>
            </w:r>
          </w:p>
        </w:tc>
      </w:tr>
      <w:tr w:rsidR="00532F50" w:rsidRPr="00532F50" w:rsidTr="00E8518C">
        <w:tc>
          <w:tcPr>
            <w:tcW w:w="2247" w:type="dxa"/>
            <w:tcBorders>
              <w:left w:val="single" w:sz="12" w:space="0" w:color="auto"/>
            </w:tcBorders>
            <w:shd w:val="clear" w:color="auto" w:fill="auto"/>
            <w:vAlign w:val="center"/>
          </w:tcPr>
          <w:p w:rsidR="00532F50" w:rsidRPr="00532F50" w:rsidRDefault="00532F50" w:rsidP="00532F50">
            <w:pPr>
              <w:pStyle w:val="142"/>
              <w:rPr>
                <w:rFonts w:hint="eastAsia"/>
              </w:rPr>
            </w:pPr>
            <w:r w:rsidRPr="00532F50">
              <w:rPr>
                <w:rFonts w:hint="eastAsia"/>
              </w:rPr>
              <w:t>1</w:t>
            </w:r>
            <w:r w:rsidRPr="00532F50">
              <w:t>07</w:t>
            </w:r>
          </w:p>
        </w:tc>
        <w:tc>
          <w:tcPr>
            <w:tcW w:w="2148" w:type="dxa"/>
            <w:shd w:val="clear" w:color="auto" w:fill="auto"/>
          </w:tcPr>
          <w:p w:rsidR="00532F50" w:rsidRPr="00532F50" w:rsidRDefault="00532F50" w:rsidP="00532F50">
            <w:pPr>
              <w:pStyle w:val="142"/>
              <w:jc w:val="right"/>
              <w:rPr>
                <w:rFonts w:hint="eastAsia"/>
              </w:rPr>
            </w:pPr>
            <w:r w:rsidRPr="00532F50">
              <w:rPr>
                <w:rFonts w:hint="eastAsia"/>
              </w:rPr>
              <w:t>11</w:t>
            </w:r>
          </w:p>
        </w:tc>
        <w:tc>
          <w:tcPr>
            <w:tcW w:w="1701" w:type="dxa"/>
            <w:shd w:val="clear" w:color="auto" w:fill="auto"/>
          </w:tcPr>
          <w:p w:rsidR="00532F50" w:rsidRPr="00532F50" w:rsidRDefault="00532F50" w:rsidP="00532F50">
            <w:pPr>
              <w:pStyle w:val="142"/>
              <w:jc w:val="right"/>
              <w:rPr>
                <w:rFonts w:hint="eastAsia"/>
              </w:rPr>
            </w:pPr>
            <w:r w:rsidRPr="00532F50">
              <w:rPr>
                <w:rFonts w:hint="eastAsia"/>
              </w:rPr>
              <w:t>16</w:t>
            </w:r>
          </w:p>
        </w:tc>
        <w:tc>
          <w:tcPr>
            <w:tcW w:w="1842" w:type="dxa"/>
            <w:tcBorders>
              <w:right w:val="single" w:sz="12" w:space="0" w:color="auto"/>
            </w:tcBorders>
            <w:shd w:val="clear" w:color="auto" w:fill="auto"/>
          </w:tcPr>
          <w:p w:rsidR="00532F50" w:rsidRPr="00532F50" w:rsidRDefault="00532F50" w:rsidP="00532F50">
            <w:pPr>
              <w:pStyle w:val="142"/>
              <w:jc w:val="right"/>
              <w:rPr>
                <w:rFonts w:hint="eastAsia"/>
              </w:rPr>
            </w:pPr>
            <w:r w:rsidRPr="00532F50">
              <w:rPr>
                <w:rFonts w:hint="eastAsia"/>
              </w:rPr>
              <w:t>1</w:t>
            </w:r>
            <w:r w:rsidRPr="00532F50">
              <w:t>,</w:t>
            </w:r>
            <w:r w:rsidRPr="00532F50">
              <w:rPr>
                <w:rFonts w:hint="eastAsia"/>
              </w:rPr>
              <w:t>560</w:t>
            </w:r>
            <w:r w:rsidRPr="00532F50">
              <w:t>,</w:t>
            </w:r>
            <w:r w:rsidRPr="00532F50">
              <w:rPr>
                <w:rFonts w:hint="eastAsia"/>
              </w:rPr>
              <w:t>875</w:t>
            </w:r>
          </w:p>
        </w:tc>
      </w:tr>
      <w:tr w:rsidR="00532F50" w:rsidRPr="00532F50" w:rsidTr="00E8518C">
        <w:tc>
          <w:tcPr>
            <w:tcW w:w="2247" w:type="dxa"/>
            <w:tcBorders>
              <w:left w:val="single" w:sz="12" w:space="0" w:color="auto"/>
            </w:tcBorders>
            <w:shd w:val="clear" w:color="auto" w:fill="auto"/>
            <w:vAlign w:val="center"/>
          </w:tcPr>
          <w:p w:rsidR="00532F50" w:rsidRPr="00532F50" w:rsidRDefault="00532F50" w:rsidP="00532F50">
            <w:pPr>
              <w:pStyle w:val="142"/>
              <w:rPr>
                <w:rFonts w:hint="eastAsia"/>
              </w:rPr>
            </w:pPr>
            <w:r w:rsidRPr="00532F50">
              <w:rPr>
                <w:rFonts w:hint="eastAsia"/>
              </w:rPr>
              <w:t>1</w:t>
            </w:r>
            <w:r w:rsidRPr="00532F50">
              <w:t>08</w:t>
            </w:r>
          </w:p>
        </w:tc>
        <w:tc>
          <w:tcPr>
            <w:tcW w:w="2148" w:type="dxa"/>
            <w:shd w:val="clear" w:color="auto" w:fill="auto"/>
          </w:tcPr>
          <w:p w:rsidR="00532F50" w:rsidRPr="00532F50" w:rsidRDefault="00532F50" w:rsidP="00532F50">
            <w:pPr>
              <w:pStyle w:val="142"/>
              <w:jc w:val="right"/>
              <w:rPr>
                <w:rFonts w:hint="eastAsia"/>
              </w:rPr>
            </w:pPr>
            <w:r w:rsidRPr="00532F50">
              <w:rPr>
                <w:rFonts w:hint="eastAsia"/>
              </w:rPr>
              <w:t>11</w:t>
            </w:r>
          </w:p>
        </w:tc>
        <w:tc>
          <w:tcPr>
            <w:tcW w:w="1701" w:type="dxa"/>
            <w:shd w:val="clear" w:color="auto" w:fill="auto"/>
          </w:tcPr>
          <w:p w:rsidR="00532F50" w:rsidRPr="00532F50" w:rsidRDefault="00532F50" w:rsidP="00532F50">
            <w:pPr>
              <w:pStyle w:val="142"/>
              <w:jc w:val="right"/>
              <w:rPr>
                <w:rFonts w:hint="eastAsia"/>
              </w:rPr>
            </w:pPr>
            <w:r w:rsidRPr="00532F50">
              <w:rPr>
                <w:rFonts w:hint="eastAsia"/>
              </w:rPr>
              <w:t>15</w:t>
            </w:r>
          </w:p>
        </w:tc>
        <w:tc>
          <w:tcPr>
            <w:tcW w:w="1842" w:type="dxa"/>
            <w:tcBorders>
              <w:right w:val="single" w:sz="12" w:space="0" w:color="auto"/>
            </w:tcBorders>
            <w:shd w:val="clear" w:color="auto" w:fill="auto"/>
          </w:tcPr>
          <w:p w:rsidR="00532F50" w:rsidRPr="00532F50" w:rsidRDefault="00532F50" w:rsidP="00532F50">
            <w:pPr>
              <w:pStyle w:val="142"/>
              <w:jc w:val="right"/>
              <w:rPr>
                <w:rFonts w:hint="eastAsia"/>
              </w:rPr>
            </w:pPr>
            <w:r w:rsidRPr="00532F50">
              <w:rPr>
                <w:rFonts w:hint="eastAsia"/>
              </w:rPr>
              <w:t>1,548,563</w:t>
            </w:r>
          </w:p>
        </w:tc>
      </w:tr>
      <w:tr w:rsidR="00532F50" w:rsidRPr="00532F50" w:rsidTr="00E8518C">
        <w:tc>
          <w:tcPr>
            <w:tcW w:w="2247" w:type="dxa"/>
            <w:tcBorders>
              <w:left w:val="single" w:sz="12" w:space="0" w:color="auto"/>
            </w:tcBorders>
            <w:shd w:val="clear" w:color="auto" w:fill="auto"/>
            <w:vAlign w:val="center"/>
          </w:tcPr>
          <w:p w:rsidR="00532F50" w:rsidRPr="00532F50" w:rsidRDefault="00532F50" w:rsidP="00532F50">
            <w:pPr>
              <w:pStyle w:val="142"/>
              <w:rPr>
                <w:rFonts w:hint="eastAsia"/>
              </w:rPr>
            </w:pPr>
            <w:r w:rsidRPr="00532F50">
              <w:rPr>
                <w:rFonts w:hint="eastAsia"/>
              </w:rPr>
              <w:t>1</w:t>
            </w:r>
            <w:r w:rsidRPr="00532F50">
              <w:t>09</w:t>
            </w:r>
          </w:p>
        </w:tc>
        <w:tc>
          <w:tcPr>
            <w:tcW w:w="2148" w:type="dxa"/>
            <w:shd w:val="clear" w:color="auto" w:fill="auto"/>
          </w:tcPr>
          <w:p w:rsidR="00532F50" w:rsidRPr="00532F50" w:rsidRDefault="00532F50" w:rsidP="00532F50">
            <w:pPr>
              <w:pStyle w:val="142"/>
              <w:jc w:val="right"/>
              <w:rPr>
                <w:rFonts w:hint="eastAsia"/>
              </w:rPr>
            </w:pPr>
            <w:r w:rsidRPr="00532F50">
              <w:rPr>
                <w:rFonts w:hint="eastAsia"/>
              </w:rPr>
              <w:t>10</w:t>
            </w:r>
          </w:p>
        </w:tc>
        <w:tc>
          <w:tcPr>
            <w:tcW w:w="1701" w:type="dxa"/>
            <w:shd w:val="clear" w:color="auto" w:fill="auto"/>
          </w:tcPr>
          <w:p w:rsidR="00532F50" w:rsidRPr="00532F50" w:rsidRDefault="00532F50" w:rsidP="00532F50">
            <w:pPr>
              <w:pStyle w:val="142"/>
              <w:jc w:val="right"/>
              <w:rPr>
                <w:rFonts w:hint="eastAsia"/>
              </w:rPr>
            </w:pPr>
            <w:r w:rsidRPr="00532F50">
              <w:rPr>
                <w:rFonts w:hint="eastAsia"/>
              </w:rPr>
              <w:t>14</w:t>
            </w:r>
          </w:p>
        </w:tc>
        <w:tc>
          <w:tcPr>
            <w:tcW w:w="1842" w:type="dxa"/>
            <w:tcBorders>
              <w:right w:val="single" w:sz="12" w:space="0" w:color="auto"/>
            </w:tcBorders>
            <w:shd w:val="clear" w:color="auto" w:fill="auto"/>
          </w:tcPr>
          <w:p w:rsidR="00532F50" w:rsidRPr="00532F50" w:rsidRDefault="00532F50" w:rsidP="00532F50">
            <w:pPr>
              <w:pStyle w:val="142"/>
              <w:jc w:val="right"/>
              <w:rPr>
                <w:rFonts w:hint="eastAsia"/>
              </w:rPr>
            </w:pPr>
            <w:r w:rsidRPr="00532F50">
              <w:rPr>
                <w:rFonts w:hint="eastAsia"/>
              </w:rPr>
              <w:t>1,445,387</w:t>
            </w:r>
          </w:p>
        </w:tc>
      </w:tr>
      <w:tr w:rsidR="00532F50" w:rsidRPr="00532F50" w:rsidTr="00E8518C">
        <w:tc>
          <w:tcPr>
            <w:tcW w:w="2247" w:type="dxa"/>
            <w:tcBorders>
              <w:left w:val="single" w:sz="12" w:space="0" w:color="auto"/>
            </w:tcBorders>
            <w:shd w:val="clear" w:color="auto" w:fill="auto"/>
            <w:vAlign w:val="center"/>
          </w:tcPr>
          <w:p w:rsidR="00532F50" w:rsidRPr="00532F50" w:rsidRDefault="00532F50" w:rsidP="00532F50">
            <w:pPr>
              <w:pStyle w:val="142"/>
              <w:rPr>
                <w:rFonts w:hint="eastAsia"/>
              </w:rPr>
            </w:pPr>
            <w:r w:rsidRPr="00532F50">
              <w:rPr>
                <w:rFonts w:hint="eastAsia"/>
              </w:rPr>
              <w:t>1</w:t>
            </w:r>
            <w:r w:rsidRPr="00532F50">
              <w:t>10</w:t>
            </w:r>
          </w:p>
        </w:tc>
        <w:tc>
          <w:tcPr>
            <w:tcW w:w="2148" w:type="dxa"/>
            <w:shd w:val="clear" w:color="auto" w:fill="auto"/>
          </w:tcPr>
          <w:p w:rsidR="00532F50" w:rsidRPr="00532F50" w:rsidRDefault="00532F50" w:rsidP="00532F50">
            <w:pPr>
              <w:pStyle w:val="142"/>
              <w:jc w:val="right"/>
              <w:rPr>
                <w:rFonts w:hint="eastAsia"/>
              </w:rPr>
            </w:pPr>
            <w:r w:rsidRPr="00532F50">
              <w:rPr>
                <w:rFonts w:hint="eastAsia"/>
              </w:rPr>
              <w:t>9</w:t>
            </w:r>
          </w:p>
        </w:tc>
        <w:tc>
          <w:tcPr>
            <w:tcW w:w="1701" w:type="dxa"/>
            <w:shd w:val="clear" w:color="auto" w:fill="auto"/>
          </w:tcPr>
          <w:p w:rsidR="00532F50" w:rsidRPr="00532F50" w:rsidRDefault="00532F50" w:rsidP="00532F50">
            <w:pPr>
              <w:pStyle w:val="142"/>
              <w:jc w:val="right"/>
              <w:rPr>
                <w:rFonts w:hint="eastAsia"/>
              </w:rPr>
            </w:pPr>
            <w:r w:rsidRPr="00532F50">
              <w:rPr>
                <w:rFonts w:hint="eastAsia"/>
              </w:rPr>
              <w:t>13</w:t>
            </w:r>
          </w:p>
        </w:tc>
        <w:tc>
          <w:tcPr>
            <w:tcW w:w="1842" w:type="dxa"/>
            <w:tcBorders>
              <w:right w:val="single" w:sz="12" w:space="0" w:color="auto"/>
            </w:tcBorders>
            <w:shd w:val="clear" w:color="auto" w:fill="auto"/>
          </w:tcPr>
          <w:p w:rsidR="00532F50" w:rsidRPr="00532F50" w:rsidRDefault="00532F50" w:rsidP="00532F50">
            <w:pPr>
              <w:pStyle w:val="142"/>
              <w:jc w:val="right"/>
              <w:rPr>
                <w:rFonts w:hint="eastAsia"/>
              </w:rPr>
            </w:pPr>
            <w:r w:rsidRPr="00532F50">
              <w:rPr>
                <w:rFonts w:hint="eastAsia"/>
              </w:rPr>
              <w:t>1,457,0</w:t>
            </w:r>
            <w:r w:rsidRPr="00532F50">
              <w:t>4</w:t>
            </w:r>
            <w:r w:rsidRPr="00532F50">
              <w:rPr>
                <w:rFonts w:hint="eastAsia"/>
              </w:rPr>
              <w:t>1</w:t>
            </w:r>
          </w:p>
        </w:tc>
      </w:tr>
      <w:tr w:rsidR="00532F50" w:rsidRPr="00532F50" w:rsidTr="00E8518C">
        <w:tc>
          <w:tcPr>
            <w:tcW w:w="2247" w:type="dxa"/>
            <w:tcBorders>
              <w:left w:val="single" w:sz="12" w:space="0" w:color="auto"/>
            </w:tcBorders>
            <w:shd w:val="clear" w:color="auto" w:fill="auto"/>
            <w:vAlign w:val="center"/>
          </w:tcPr>
          <w:p w:rsidR="00532F50" w:rsidRPr="00532F50" w:rsidRDefault="00532F50" w:rsidP="00532F50">
            <w:pPr>
              <w:pStyle w:val="142"/>
              <w:rPr>
                <w:rFonts w:hint="eastAsia"/>
              </w:rPr>
            </w:pPr>
            <w:r w:rsidRPr="00532F50">
              <w:rPr>
                <w:rFonts w:hint="eastAsia"/>
              </w:rPr>
              <w:t>1</w:t>
            </w:r>
            <w:r w:rsidRPr="00532F50">
              <w:t>11</w:t>
            </w:r>
          </w:p>
        </w:tc>
        <w:tc>
          <w:tcPr>
            <w:tcW w:w="2148" w:type="dxa"/>
            <w:shd w:val="clear" w:color="auto" w:fill="auto"/>
          </w:tcPr>
          <w:p w:rsidR="00532F50" w:rsidRPr="00532F50" w:rsidRDefault="00532F50" w:rsidP="00532F50">
            <w:pPr>
              <w:pStyle w:val="142"/>
              <w:jc w:val="right"/>
              <w:rPr>
                <w:rFonts w:hint="eastAsia"/>
              </w:rPr>
            </w:pPr>
            <w:r w:rsidRPr="00532F50">
              <w:rPr>
                <w:rFonts w:hint="eastAsia"/>
              </w:rPr>
              <w:t>9</w:t>
            </w:r>
          </w:p>
        </w:tc>
        <w:tc>
          <w:tcPr>
            <w:tcW w:w="1701" w:type="dxa"/>
            <w:shd w:val="clear" w:color="auto" w:fill="auto"/>
          </w:tcPr>
          <w:p w:rsidR="00532F50" w:rsidRPr="00532F50" w:rsidRDefault="00532F50" w:rsidP="00532F50">
            <w:pPr>
              <w:pStyle w:val="142"/>
              <w:jc w:val="right"/>
              <w:rPr>
                <w:rFonts w:hint="eastAsia"/>
              </w:rPr>
            </w:pPr>
            <w:r w:rsidRPr="00532F50">
              <w:rPr>
                <w:rFonts w:hint="eastAsia"/>
              </w:rPr>
              <w:t>12</w:t>
            </w:r>
          </w:p>
        </w:tc>
        <w:tc>
          <w:tcPr>
            <w:tcW w:w="1842" w:type="dxa"/>
            <w:tcBorders>
              <w:right w:val="single" w:sz="12" w:space="0" w:color="auto"/>
            </w:tcBorders>
            <w:shd w:val="clear" w:color="auto" w:fill="auto"/>
          </w:tcPr>
          <w:p w:rsidR="00532F50" w:rsidRPr="00532F50" w:rsidRDefault="00532F50" w:rsidP="00532F50">
            <w:pPr>
              <w:pStyle w:val="142"/>
              <w:jc w:val="right"/>
            </w:pPr>
            <w:r w:rsidRPr="00532F50">
              <w:rPr>
                <w:rFonts w:hint="eastAsia"/>
              </w:rPr>
              <w:t>1</w:t>
            </w:r>
            <w:r w:rsidRPr="00532F50">
              <w:t>,</w:t>
            </w:r>
            <w:r w:rsidRPr="00532F50">
              <w:rPr>
                <w:rFonts w:hint="eastAsia"/>
              </w:rPr>
              <w:t>415</w:t>
            </w:r>
            <w:r w:rsidRPr="00532F50">
              <w:t>,</w:t>
            </w:r>
            <w:r w:rsidRPr="00532F50">
              <w:rPr>
                <w:rFonts w:hint="eastAsia"/>
              </w:rPr>
              <w:t>93</w:t>
            </w:r>
            <w:r w:rsidRPr="00532F50">
              <w:t>5</w:t>
            </w:r>
          </w:p>
        </w:tc>
      </w:tr>
      <w:tr w:rsidR="00532F50" w:rsidRPr="00532F50" w:rsidTr="00E8518C">
        <w:tc>
          <w:tcPr>
            <w:tcW w:w="2247" w:type="dxa"/>
            <w:tcBorders>
              <w:left w:val="single" w:sz="12" w:space="0" w:color="auto"/>
            </w:tcBorders>
            <w:shd w:val="clear" w:color="auto" w:fill="auto"/>
            <w:vAlign w:val="center"/>
          </w:tcPr>
          <w:p w:rsidR="00532F50" w:rsidRPr="00532F50" w:rsidRDefault="00532F50" w:rsidP="00532F50">
            <w:pPr>
              <w:pStyle w:val="142"/>
              <w:rPr>
                <w:rFonts w:hint="eastAsia"/>
              </w:rPr>
            </w:pPr>
            <w:r w:rsidRPr="00532F50">
              <w:rPr>
                <w:rFonts w:hint="eastAsia"/>
              </w:rPr>
              <w:t>1</w:t>
            </w:r>
            <w:r w:rsidRPr="00532F50">
              <w:t>12</w:t>
            </w:r>
          </w:p>
        </w:tc>
        <w:tc>
          <w:tcPr>
            <w:tcW w:w="2148" w:type="dxa"/>
            <w:tcBorders>
              <w:bottom w:val="single" w:sz="4" w:space="0" w:color="auto"/>
            </w:tcBorders>
            <w:shd w:val="clear" w:color="auto" w:fill="auto"/>
          </w:tcPr>
          <w:p w:rsidR="00532F50" w:rsidRPr="00532F50" w:rsidRDefault="00532F50" w:rsidP="00532F50">
            <w:pPr>
              <w:pStyle w:val="142"/>
              <w:jc w:val="right"/>
              <w:rPr>
                <w:rFonts w:hint="eastAsia"/>
              </w:rPr>
            </w:pPr>
            <w:r w:rsidRPr="00532F50">
              <w:rPr>
                <w:rFonts w:hint="eastAsia"/>
              </w:rPr>
              <w:t>9</w:t>
            </w:r>
          </w:p>
        </w:tc>
        <w:tc>
          <w:tcPr>
            <w:tcW w:w="1701" w:type="dxa"/>
            <w:tcBorders>
              <w:bottom w:val="single" w:sz="4" w:space="0" w:color="auto"/>
            </w:tcBorders>
            <w:shd w:val="clear" w:color="auto" w:fill="auto"/>
          </w:tcPr>
          <w:p w:rsidR="00532F50" w:rsidRPr="00532F50" w:rsidRDefault="00532F50" w:rsidP="00532F50">
            <w:pPr>
              <w:pStyle w:val="142"/>
              <w:jc w:val="right"/>
              <w:rPr>
                <w:rFonts w:hint="eastAsia"/>
              </w:rPr>
            </w:pPr>
            <w:r w:rsidRPr="00532F50">
              <w:rPr>
                <w:rFonts w:hint="eastAsia"/>
              </w:rPr>
              <w:t>1</w:t>
            </w:r>
            <w:r w:rsidRPr="00532F50">
              <w:t>2</w:t>
            </w:r>
          </w:p>
        </w:tc>
        <w:tc>
          <w:tcPr>
            <w:tcW w:w="1842" w:type="dxa"/>
            <w:tcBorders>
              <w:right w:val="single" w:sz="12" w:space="0" w:color="auto"/>
            </w:tcBorders>
            <w:shd w:val="clear" w:color="auto" w:fill="auto"/>
          </w:tcPr>
          <w:p w:rsidR="00532F50" w:rsidRPr="00532F50" w:rsidRDefault="00532F50" w:rsidP="00532F50">
            <w:pPr>
              <w:pStyle w:val="142"/>
              <w:jc w:val="right"/>
              <w:rPr>
                <w:rFonts w:hint="eastAsia"/>
              </w:rPr>
            </w:pPr>
            <w:r w:rsidRPr="00532F50">
              <w:t>1,423,926</w:t>
            </w:r>
          </w:p>
        </w:tc>
      </w:tr>
      <w:tr w:rsidR="00532F50" w:rsidRPr="00532F50" w:rsidTr="00E8518C">
        <w:tc>
          <w:tcPr>
            <w:tcW w:w="2247" w:type="dxa"/>
            <w:tcBorders>
              <w:left w:val="single" w:sz="12" w:space="0" w:color="auto"/>
            </w:tcBorders>
            <w:shd w:val="clear" w:color="auto" w:fill="auto"/>
            <w:vAlign w:val="center"/>
          </w:tcPr>
          <w:p w:rsidR="00532F50" w:rsidRPr="00532F50" w:rsidRDefault="00532F50" w:rsidP="00532F50">
            <w:pPr>
              <w:pStyle w:val="142"/>
              <w:rPr>
                <w:rFonts w:hint="eastAsia"/>
              </w:rPr>
            </w:pPr>
            <w:r w:rsidRPr="00532F50">
              <w:rPr>
                <w:rFonts w:hint="eastAsia"/>
              </w:rPr>
              <w:t>1</w:t>
            </w:r>
            <w:r w:rsidRPr="00532F50">
              <w:t>13(</w:t>
            </w:r>
            <w:r>
              <w:rPr>
                <w:rFonts w:hint="eastAsia"/>
              </w:rPr>
              <w:t>截至</w:t>
            </w:r>
            <w:r w:rsidRPr="00532F50">
              <w:t>8月底止)</w:t>
            </w:r>
          </w:p>
        </w:tc>
        <w:tc>
          <w:tcPr>
            <w:tcW w:w="2148" w:type="dxa"/>
            <w:tcBorders>
              <w:bottom w:val="single" w:sz="4" w:space="0" w:color="auto"/>
            </w:tcBorders>
            <w:shd w:val="clear" w:color="auto" w:fill="auto"/>
          </w:tcPr>
          <w:p w:rsidR="00532F50" w:rsidRPr="00532F50" w:rsidRDefault="00532F50" w:rsidP="00532F50">
            <w:pPr>
              <w:pStyle w:val="142"/>
              <w:jc w:val="right"/>
              <w:rPr>
                <w:rFonts w:hint="eastAsia"/>
              </w:rPr>
            </w:pPr>
            <w:r w:rsidRPr="00532F50">
              <w:rPr>
                <w:rFonts w:hint="eastAsia"/>
              </w:rPr>
              <w:t>9</w:t>
            </w:r>
          </w:p>
        </w:tc>
        <w:tc>
          <w:tcPr>
            <w:tcW w:w="1701" w:type="dxa"/>
            <w:tcBorders>
              <w:bottom w:val="single" w:sz="4" w:space="0" w:color="auto"/>
            </w:tcBorders>
            <w:shd w:val="clear" w:color="auto" w:fill="auto"/>
          </w:tcPr>
          <w:p w:rsidR="00532F50" w:rsidRPr="00532F50" w:rsidRDefault="00532F50" w:rsidP="00532F50">
            <w:pPr>
              <w:pStyle w:val="142"/>
              <w:jc w:val="right"/>
              <w:rPr>
                <w:rFonts w:hint="eastAsia"/>
              </w:rPr>
            </w:pPr>
            <w:r w:rsidRPr="00532F50">
              <w:rPr>
                <w:rFonts w:hint="eastAsia"/>
              </w:rPr>
              <w:t>1</w:t>
            </w:r>
            <w:r w:rsidRPr="00532F50">
              <w:t>2</w:t>
            </w:r>
          </w:p>
        </w:tc>
        <w:tc>
          <w:tcPr>
            <w:tcW w:w="1842" w:type="dxa"/>
            <w:tcBorders>
              <w:right w:val="single" w:sz="12" w:space="0" w:color="auto"/>
            </w:tcBorders>
            <w:shd w:val="clear" w:color="auto" w:fill="auto"/>
          </w:tcPr>
          <w:p w:rsidR="00532F50" w:rsidRPr="00532F50" w:rsidRDefault="00532F50" w:rsidP="00532F50">
            <w:pPr>
              <w:pStyle w:val="142"/>
              <w:jc w:val="right"/>
              <w:rPr>
                <w:rFonts w:hint="eastAsia"/>
              </w:rPr>
            </w:pPr>
            <w:r w:rsidRPr="00532F50">
              <w:t>1,452,427</w:t>
            </w:r>
          </w:p>
        </w:tc>
      </w:tr>
      <w:tr w:rsidR="00532F50" w:rsidRPr="00532F50" w:rsidTr="00E8518C">
        <w:tc>
          <w:tcPr>
            <w:tcW w:w="2247" w:type="dxa"/>
            <w:tcBorders>
              <w:left w:val="single" w:sz="12" w:space="0" w:color="auto"/>
            </w:tcBorders>
            <w:shd w:val="clear" w:color="auto" w:fill="auto"/>
            <w:vAlign w:val="center"/>
          </w:tcPr>
          <w:p w:rsidR="00532F50" w:rsidRPr="00532F50" w:rsidRDefault="00532F50" w:rsidP="00532F50">
            <w:pPr>
              <w:pStyle w:val="142"/>
              <w:rPr>
                <w:rFonts w:hint="eastAsia"/>
              </w:rPr>
            </w:pPr>
            <w:r w:rsidRPr="00532F50">
              <w:rPr>
                <w:rFonts w:hint="eastAsia"/>
              </w:rPr>
              <w:t>1</w:t>
            </w:r>
            <w:r w:rsidRPr="00532F50">
              <w:t>13</w:t>
            </w:r>
          </w:p>
        </w:tc>
        <w:tc>
          <w:tcPr>
            <w:tcW w:w="3849" w:type="dxa"/>
            <w:gridSpan w:val="2"/>
            <w:vMerge w:val="restart"/>
            <w:tcBorders>
              <w:tr2bl w:val="single" w:sz="4" w:space="0" w:color="auto"/>
            </w:tcBorders>
            <w:shd w:val="clear" w:color="auto" w:fill="auto"/>
          </w:tcPr>
          <w:p w:rsidR="00532F50" w:rsidRPr="00532F50" w:rsidRDefault="00532F50" w:rsidP="00532F50">
            <w:pPr>
              <w:pStyle w:val="142"/>
              <w:jc w:val="right"/>
              <w:rPr>
                <w:rFonts w:hint="eastAsia"/>
              </w:rPr>
            </w:pPr>
          </w:p>
        </w:tc>
        <w:tc>
          <w:tcPr>
            <w:tcW w:w="1842" w:type="dxa"/>
            <w:tcBorders>
              <w:right w:val="single" w:sz="12" w:space="0" w:color="auto"/>
            </w:tcBorders>
            <w:shd w:val="clear" w:color="auto" w:fill="auto"/>
          </w:tcPr>
          <w:p w:rsidR="00532F50" w:rsidRPr="00532F50" w:rsidRDefault="00532F50" w:rsidP="00532F50">
            <w:pPr>
              <w:pStyle w:val="142"/>
              <w:jc w:val="right"/>
            </w:pPr>
            <w:r w:rsidRPr="00532F50">
              <w:t>1,375,000</w:t>
            </w:r>
          </w:p>
        </w:tc>
      </w:tr>
      <w:tr w:rsidR="00532F50" w:rsidRPr="00532F50" w:rsidTr="00E8518C">
        <w:tc>
          <w:tcPr>
            <w:tcW w:w="2247" w:type="dxa"/>
            <w:tcBorders>
              <w:left w:val="single" w:sz="12" w:space="0" w:color="auto"/>
              <w:bottom w:val="single" w:sz="12" w:space="0" w:color="auto"/>
            </w:tcBorders>
            <w:shd w:val="clear" w:color="auto" w:fill="auto"/>
            <w:vAlign w:val="center"/>
          </w:tcPr>
          <w:p w:rsidR="00532F50" w:rsidRPr="00532F50" w:rsidRDefault="00532F50" w:rsidP="00532F50">
            <w:pPr>
              <w:pStyle w:val="142"/>
              <w:rPr>
                <w:rFonts w:hint="eastAsia"/>
              </w:rPr>
            </w:pPr>
            <w:r w:rsidRPr="00532F50">
              <w:rPr>
                <w:rFonts w:hint="eastAsia"/>
              </w:rPr>
              <w:t>1</w:t>
            </w:r>
            <w:r w:rsidRPr="00532F50">
              <w:t>14</w:t>
            </w:r>
          </w:p>
        </w:tc>
        <w:tc>
          <w:tcPr>
            <w:tcW w:w="3849" w:type="dxa"/>
            <w:gridSpan w:val="2"/>
            <w:vMerge/>
            <w:tcBorders>
              <w:bottom w:val="single" w:sz="12" w:space="0" w:color="auto"/>
              <w:tr2bl w:val="single" w:sz="4" w:space="0" w:color="auto"/>
            </w:tcBorders>
            <w:shd w:val="clear" w:color="auto" w:fill="auto"/>
          </w:tcPr>
          <w:p w:rsidR="00532F50" w:rsidRPr="00532F50" w:rsidRDefault="00532F50" w:rsidP="00532F50">
            <w:pPr>
              <w:pStyle w:val="142"/>
              <w:jc w:val="right"/>
              <w:rPr>
                <w:rFonts w:hint="eastAsia"/>
              </w:rPr>
            </w:pPr>
          </w:p>
        </w:tc>
        <w:tc>
          <w:tcPr>
            <w:tcW w:w="1842" w:type="dxa"/>
            <w:tcBorders>
              <w:bottom w:val="single" w:sz="12" w:space="0" w:color="auto"/>
              <w:right w:val="single" w:sz="12" w:space="0" w:color="auto"/>
            </w:tcBorders>
            <w:shd w:val="clear" w:color="auto" w:fill="auto"/>
          </w:tcPr>
          <w:p w:rsidR="00532F50" w:rsidRPr="00532F50" w:rsidRDefault="00532F50" w:rsidP="00532F50">
            <w:pPr>
              <w:pStyle w:val="142"/>
              <w:jc w:val="right"/>
            </w:pPr>
            <w:r w:rsidRPr="00532F50">
              <w:t>1,390,000</w:t>
            </w:r>
          </w:p>
        </w:tc>
      </w:tr>
    </w:tbl>
    <w:p w:rsidR="00532F50" w:rsidRPr="002917DF" w:rsidRDefault="00DB0002" w:rsidP="002917DF">
      <w:pPr>
        <w:pStyle w:val="142"/>
        <w:ind w:leftChars="199" w:left="1748" w:hangingChars="487" w:hanging="1184"/>
      </w:pPr>
      <w:r w:rsidRPr="002917DF">
        <w:rPr>
          <w:rFonts w:hint="eastAsia"/>
        </w:rPr>
        <w:t>說</w:t>
      </w:r>
      <w:r w:rsidR="00F2300F">
        <w:rPr>
          <w:rFonts w:hint="eastAsia"/>
        </w:rPr>
        <w:t xml:space="preserve">    </w:t>
      </w:r>
      <w:r w:rsidRPr="002917DF">
        <w:rPr>
          <w:rFonts w:hint="eastAsia"/>
        </w:rPr>
        <w:t>明</w:t>
      </w:r>
      <w:r w:rsidR="00532F50" w:rsidRPr="002917DF">
        <w:rPr>
          <w:rFonts w:hint="eastAsia"/>
        </w:rPr>
        <w:t>：1</w:t>
      </w:r>
      <w:r w:rsidR="00532F50" w:rsidRPr="002917DF">
        <w:t>07至</w:t>
      </w:r>
      <w:r w:rsidR="00532F50" w:rsidRPr="002917DF">
        <w:rPr>
          <w:rFonts w:hint="eastAsia"/>
        </w:rPr>
        <w:t>1</w:t>
      </w:r>
      <w:r w:rsidR="00532F50" w:rsidRPr="002917DF">
        <w:t>12年度為決算數</w:t>
      </w:r>
      <w:r w:rsidR="00532F50" w:rsidRPr="002917DF">
        <w:rPr>
          <w:rFonts w:hint="eastAsia"/>
        </w:rPr>
        <w:t>，11</w:t>
      </w:r>
      <w:r w:rsidR="00532F50" w:rsidRPr="002917DF">
        <w:t>3</w:t>
      </w:r>
      <w:r w:rsidR="00532F50" w:rsidRPr="002917DF">
        <w:rPr>
          <w:rFonts w:hint="eastAsia"/>
        </w:rPr>
        <w:t>年(</w:t>
      </w:r>
      <w:r w:rsidRPr="002917DF">
        <w:rPr>
          <w:rFonts w:hint="eastAsia"/>
        </w:rPr>
        <w:t>截至</w:t>
      </w:r>
      <w:r w:rsidR="00532F50" w:rsidRPr="002917DF">
        <w:t>8月底止</w:t>
      </w:r>
      <w:r w:rsidR="00532F50" w:rsidRPr="002917DF">
        <w:rPr>
          <w:rFonts w:hint="eastAsia"/>
        </w:rPr>
        <w:t>)為實際數，113及1</w:t>
      </w:r>
      <w:r w:rsidR="00532F50" w:rsidRPr="002917DF">
        <w:t>14</w:t>
      </w:r>
      <w:r w:rsidR="00532F50" w:rsidRPr="002917DF">
        <w:rPr>
          <w:rFonts w:hint="eastAsia"/>
        </w:rPr>
        <w:t>年度為預算案數。</w:t>
      </w:r>
    </w:p>
    <w:p w:rsidR="00097E86" w:rsidRPr="002917DF" w:rsidRDefault="00DB0002" w:rsidP="002917DF">
      <w:pPr>
        <w:pStyle w:val="142"/>
        <w:ind w:leftChars="199" w:left="1748" w:hangingChars="487" w:hanging="1184"/>
      </w:pPr>
      <w:r w:rsidRPr="002917DF">
        <w:rPr>
          <w:rFonts w:hint="eastAsia"/>
        </w:rPr>
        <w:t>資料來源：央行。</w:t>
      </w:r>
    </w:p>
    <w:p w:rsidR="00F742CB" w:rsidRPr="00507BD2" w:rsidRDefault="00F742CB" w:rsidP="00F742CB">
      <w:pPr>
        <w:pStyle w:val="a4"/>
        <w:rPr>
          <w:rFonts w:hint="eastAsia"/>
          <w:b/>
        </w:rPr>
      </w:pPr>
      <w:r w:rsidRPr="00507BD2">
        <w:rPr>
          <w:rFonts w:hint="eastAsia"/>
          <w:b/>
        </w:rPr>
        <w:t>(二)</w:t>
      </w:r>
      <w:r w:rsidR="000477A8">
        <w:rPr>
          <w:rFonts w:hint="eastAsia"/>
          <w:b/>
        </w:rPr>
        <w:t>委外投資平均收益率僅少數年度達成目標值及高於自行經營，</w:t>
      </w:r>
      <w:r w:rsidR="00E206FB" w:rsidRPr="00E206FB">
        <w:rPr>
          <w:rFonts w:hint="eastAsia"/>
          <w:b/>
        </w:rPr>
        <w:t>112年度上升後</w:t>
      </w:r>
      <w:r w:rsidR="00DD331A">
        <w:rPr>
          <w:rFonts w:hint="eastAsia"/>
          <w:b/>
        </w:rPr>
        <w:t>復於113年</w:t>
      </w:r>
      <w:r w:rsidR="00A27CCC">
        <w:rPr>
          <w:rFonts w:hint="eastAsia"/>
          <w:b/>
        </w:rPr>
        <w:t>度(截至8月底止)</w:t>
      </w:r>
      <w:r w:rsidR="00E206FB" w:rsidRPr="00E206FB">
        <w:rPr>
          <w:rFonts w:hint="eastAsia"/>
          <w:b/>
        </w:rPr>
        <w:t>下降</w:t>
      </w:r>
      <w:r w:rsidR="000477A8">
        <w:rPr>
          <w:rFonts w:hint="eastAsia"/>
          <w:b/>
        </w:rPr>
        <w:t>，績效及穩定度容待改善</w:t>
      </w:r>
    </w:p>
    <w:p w:rsidR="00DB0002" w:rsidRDefault="00DB0002" w:rsidP="00A8177F">
      <w:pPr>
        <w:wordWrap w:val="0"/>
        <w:adjustRightInd w:val="0"/>
        <w:ind w:leftChars="300" w:left="850" w:firstLine="566"/>
        <w:rPr>
          <w:rFonts w:hAnsi="標楷體"/>
        </w:rPr>
      </w:pPr>
      <w:r w:rsidRPr="00DB0002">
        <w:rPr>
          <w:rFonts w:hAnsi="標楷體" w:hint="eastAsia"/>
        </w:rPr>
        <w:t>觀諸</w:t>
      </w:r>
      <w:r w:rsidR="00350DEE">
        <w:rPr>
          <w:rFonts w:hAnsi="標楷體" w:hint="eastAsia"/>
        </w:rPr>
        <w:t>委外</w:t>
      </w:r>
      <w:r w:rsidR="00D86C7A">
        <w:rPr>
          <w:rFonts w:hAnsi="標楷體" w:hint="eastAsia"/>
        </w:rPr>
        <w:t>投資</w:t>
      </w:r>
      <w:r w:rsidR="002917DF">
        <w:rPr>
          <w:rFonts w:hAnsi="標楷體" w:hint="eastAsia"/>
        </w:rPr>
        <w:t>經營</w:t>
      </w:r>
      <w:r w:rsidR="00D86C7A">
        <w:rPr>
          <w:rFonts w:hAnsi="標楷體" w:hint="eastAsia"/>
        </w:rPr>
        <w:t>績效</w:t>
      </w:r>
      <w:r w:rsidR="00F6129B">
        <w:rPr>
          <w:rFonts w:hAnsi="標楷體" w:hint="eastAsia"/>
        </w:rPr>
        <w:t>，</w:t>
      </w:r>
      <w:r w:rsidR="008E6F30">
        <w:rPr>
          <w:rFonts w:hAnsi="標楷體" w:hint="eastAsia"/>
        </w:rPr>
        <w:t>以</w:t>
      </w:r>
      <w:r w:rsidR="00E8518C">
        <w:rPr>
          <w:rFonts w:hAnsi="標楷體" w:hint="eastAsia"/>
        </w:rPr>
        <w:t>平均</w:t>
      </w:r>
      <w:r w:rsidR="008E6F30">
        <w:rPr>
          <w:rFonts w:hAnsi="標楷體" w:hint="eastAsia"/>
        </w:rPr>
        <w:t>收益率而言，</w:t>
      </w:r>
      <w:r w:rsidR="00843E9E">
        <w:rPr>
          <w:rFonts w:hAnsi="標楷體" w:hint="eastAsia"/>
        </w:rPr>
        <w:t>105至113年度(截至8月底止)僅</w:t>
      </w:r>
      <w:r w:rsidR="00AB477C">
        <w:rPr>
          <w:rFonts w:hAnsi="標楷體" w:hint="eastAsia"/>
        </w:rPr>
        <w:t>108</w:t>
      </w:r>
      <w:r w:rsidR="00843E9E">
        <w:rPr>
          <w:rFonts w:hAnsi="標楷體" w:hint="eastAsia"/>
        </w:rPr>
        <w:t>、</w:t>
      </w:r>
      <w:r w:rsidR="00AB477C">
        <w:rPr>
          <w:rFonts w:hAnsi="標楷體" w:hint="eastAsia"/>
        </w:rPr>
        <w:t>109</w:t>
      </w:r>
      <w:r w:rsidR="008E6F30">
        <w:rPr>
          <w:rFonts w:hAnsi="標楷體" w:hint="eastAsia"/>
        </w:rPr>
        <w:t>及</w:t>
      </w:r>
      <w:r w:rsidR="00AB477C">
        <w:rPr>
          <w:rFonts w:hAnsi="標楷體" w:hint="eastAsia"/>
        </w:rPr>
        <w:t>112</w:t>
      </w:r>
      <w:r w:rsidR="008E6F30">
        <w:rPr>
          <w:rFonts w:hAnsi="標楷體" w:hint="eastAsia"/>
        </w:rPr>
        <w:t>年度達成既定目標，難謂良好，</w:t>
      </w:r>
      <w:r w:rsidR="008E6F30" w:rsidRPr="008E6F30">
        <w:rPr>
          <w:rFonts w:hAnsi="標楷體" w:hint="eastAsia"/>
        </w:rPr>
        <w:t>112年度央行外匯資產</w:t>
      </w:r>
      <w:r w:rsidR="00E8518C">
        <w:rPr>
          <w:rFonts w:hAnsi="標楷體" w:hint="eastAsia"/>
        </w:rPr>
        <w:t>委外</w:t>
      </w:r>
      <w:r w:rsidR="008E6F30" w:rsidRPr="008E6F30">
        <w:rPr>
          <w:rFonts w:hAnsi="標楷體" w:hint="eastAsia"/>
        </w:rPr>
        <w:t>投資收益率</w:t>
      </w:r>
      <w:r w:rsidR="00D3231E">
        <w:rPr>
          <w:rFonts w:hAnsi="標楷體" w:hint="eastAsia"/>
        </w:rPr>
        <w:t>亦僅</w:t>
      </w:r>
      <w:r w:rsidR="008E6F30" w:rsidRPr="008E6F30">
        <w:rPr>
          <w:rFonts w:hAnsi="標楷體" w:hint="eastAsia"/>
        </w:rPr>
        <w:t>略</w:t>
      </w:r>
      <w:r w:rsidR="008E6F30">
        <w:rPr>
          <w:rFonts w:hAnsi="標楷體" w:hint="eastAsia"/>
        </w:rPr>
        <w:t>較前一年度</w:t>
      </w:r>
      <w:r w:rsidR="00AB477C">
        <w:rPr>
          <w:rFonts w:hAnsi="標楷體" w:hint="eastAsia"/>
        </w:rPr>
        <w:t>1.68%</w:t>
      </w:r>
      <w:r w:rsidR="008E6F30">
        <w:rPr>
          <w:rFonts w:hAnsi="標楷體" w:hint="eastAsia"/>
        </w:rPr>
        <w:t>上升</w:t>
      </w:r>
      <w:r w:rsidR="00AB477C">
        <w:rPr>
          <w:rFonts w:hAnsi="標楷體" w:hint="eastAsia"/>
        </w:rPr>
        <w:t>至2.3%</w:t>
      </w:r>
      <w:r w:rsidR="008E6F30">
        <w:rPr>
          <w:rFonts w:hAnsi="標楷體" w:hint="eastAsia"/>
        </w:rPr>
        <w:t>並超逾年度目標</w:t>
      </w:r>
      <w:r w:rsidR="00AB477C">
        <w:rPr>
          <w:rFonts w:hAnsi="標楷體" w:hint="eastAsia"/>
        </w:rPr>
        <w:t>2.25</w:t>
      </w:r>
      <w:r w:rsidR="00AB477C">
        <w:rPr>
          <w:rFonts w:hAnsi="標楷體"/>
        </w:rPr>
        <w:t>%</w:t>
      </w:r>
      <w:r w:rsidR="008E6F30" w:rsidRPr="008E6F30">
        <w:rPr>
          <w:rFonts w:hAnsi="標楷體" w:hint="eastAsia"/>
        </w:rPr>
        <w:t>，113年度(截至8月底止)復再下降</w:t>
      </w:r>
      <w:r w:rsidR="008E6F30">
        <w:rPr>
          <w:rFonts w:hAnsi="標楷體" w:hint="eastAsia"/>
        </w:rPr>
        <w:t>至</w:t>
      </w:r>
      <w:r w:rsidR="00AB477C">
        <w:rPr>
          <w:rFonts w:hAnsi="標楷體" w:hint="eastAsia"/>
        </w:rPr>
        <w:t>1.87%</w:t>
      </w:r>
      <w:r w:rsidR="008E6F30" w:rsidRPr="008E6F30">
        <w:rPr>
          <w:rFonts w:hAnsi="標楷體" w:hint="eastAsia"/>
        </w:rPr>
        <w:t>，</w:t>
      </w:r>
      <w:r w:rsidR="008E6F30">
        <w:rPr>
          <w:rFonts w:hAnsi="標楷體" w:hint="eastAsia"/>
        </w:rPr>
        <w:t>低於年度目標</w:t>
      </w:r>
      <w:r w:rsidR="00AB477C">
        <w:rPr>
          <w:rFonts w:hAnsi="標楷體" w:hint="eastAsia"/>
        </w:rPr>
        <w:t>2.2%</w:t>
      </w:r>
      <w:r w:rsidR="008E6F30" w:rsidRPr="00507BD2">
        <w:rPr>
          <w:rFonts w:hAnsi="標楷體" w:hint="eastAsia"/>
        </w:rPr>
        <w:t>(</w:t>
      </w:r>
      <w:r w:rsidR="008E6F30" w:rsidRPr="00507BD2">
        <w:rPr>
          <w:rFonts w:hAnsi="標楷體"/>
        </w:rPr>
        <w:t>詳表</w:t>
      </w:r>
      <w:r w:rsidR="008E6F30" w:rsidRPr="00507BD2">
        <w:rPr>
          <w:rFonts w:hAnsi="標楷體" w:hint="eastAsia"/>
        </w:rPr>
        <w:t>2）</w:t>
      </w:r>
      <w:r w:rsidR="00AB477C">
        <w:rPr>
          <w:rFonts w:hAnsi="標楷體" w:hint="eastAsia"/>
        </w:rPr>
        <w:t>，</w:t>
      </w:r>
      <w:r w:rsidR="00CF6E37">
        <w:rPr>
          <w:rFonts w:hAnsi="標楷體" w:hint="eastAsia"/>
        </w:rPr>
        <w:t>穩定度尚須</w:t>
      </w:r>
      <w:r w:rsidR="00AB477C">
        <w:rPr>
          <w:rFonts w:hAnsi="標楷體" w:hint="eastAsia"/>
        </w:rPr>
        <w:t>加強</w:t>
      </w:r>
      <w:r w:rsidR="008E6F30">
        <w:rPr>
          <w:rFonts w:hAnsi="標楷體" w:hint="eastAsia"/>
        </w:rPr>
        <w:t>；復與自行經營比較，</w:t>
      </w:r>
      <w:r w:rsidR="00A8177F">
        <w:rPr>
          <w:rFonts w:hAnsi="標楷體" w:hint="eastAsia"/>
        </w:rPr>
        <w:t>同期間</w:t>
      </w:r>
      <w:r w:rsidR="00E8518C">
        <w:rPr>
          <w:rFonts w:hAnsi="標楷體" w:hint="eastAsia"/>
        </w:rPr>
        <w:t>委外投資</w:t>
      </w:r>
      <w:r w:rsidR="00A8177F">
        <w:rPr>
          <w:rFonts w:hAnsi="標楷體" w:hint="eastAsia"/>
        </w:rPr>
        <w:t>平均收益率</w:t>
      </w:r>
      <w:r w:rsidR="000477A8">
        <w:rPr>
          <w:rFonts w:hAnsi="標楷體" w:hint="eastAsia"/>
        </w:rPr>
        <w:t>亦</w:t>
      </w:r>
      <w:r w:rsidR="00A8177F">
        <w:rPr>
          <w:rFonts w:hAnsi="標楷體" w:hint="eastAsia"/>
        </w:rPr>
        <w:t>僅108、109及112年度高於自行經營</w:t>
      </w:r>
      <w:r w:rsidR="00AE237C">
        <w:rPr>
          <w:rFonts w:hAnsi="標楷體" w:hint="eastAsia"/>
        </w:rPr>
        <w:t>(詳表3)</w:t>
      </w:r>
      <w:r w:rsidR="00A8177F">
        <w:rPr>
          <w:rFonts w:hAnsi="標楷體" w:hint="eastAsia"/>
        </w:rPr>
        <w:t>，其餘年度</w:t>
      </w:r>
      <w:r w:rsidR="00E8518C">
        <w:rPr>
          <w:rFonts w:hAnsi="標楷體" w:hint="eastAsia"/>
        </w:rPr>
        <w:t>低於</w:t>
      </w:r>
      <w:r w:rsidR="00A8177F">
        <w:rPr>
          <w:rFonts w:hAnsi="標楷體" w:hint="eastAsia"/>
        </w:rPr>
        <w:t>自行經營</w:t>
      </w:r>
      <w:r w:rsidR="00D96401">
        <w:rPr>
          <w:rFonts w:hAnsi="標楷體" w:hint="eastAsia"/>
        </w:rPr>
        <w:t>，難謂達到靈活</w:t>
      </w:r>
      <w:r w:rsidR="00DD331A">
        <w:rPr>
          <w:rFonts w:hAnsi="標楷體" w:hint="eastAsia"/>
        </w:rPr>
        <w:t>運用增裕收益</w:t>
      </w:r>
      <w:r w:rsidR="00AB477C">
        <w:rPr>
          <w:rFonts w:hAnsi="標楷體" w:hint="eastAsia"/>
        </w:rPr>
        <w:t>目標，有待督促改善。</w:t>
      </w:r>
    </w:p>
    <w:p w:rsidR="00843E9E" w:rsidRPr="00433880" w:rsidRDefault="00843E9E" w:rsidP="00433880">
      <w:pPr>
        <w:pStyle w:val="ad"/>
        <w:ind w:left="283" w:hanging="283"/>
        <w:rPr>
          <w:b/>
        </w:rPr>
      </w:pPr>
      <w:r w:rsidRPr="00433880">
        <w:rPr>
          <w:rFonts w:hint="eastAsia"/>
          <w:b/>
        </w:rPr>
        <w:t>表2</w:t>
      </w:r>
      <w:r w:rsidRPr="00433880">
        <w:rPr>
          <w:b/>
        </w:rPr>
        <w:t xml:space="preserve">  </w:t>
      </w:r>
      <w:r w:rsidR="00CF6E37" w:rsidRPr="00433880">
        <w:rPr>
          <w:rFonts w:hint="eastAsia"/>
          <w:b/>
        </w:rPr>
        <w:t>央行</w:t>
      </w:r>
      <w:r w:rsidRPr="00433880">
        <w:rPr>
          <w:b/>
        </w:rPr>
        <w:t>10</w:t>
      </w:r>
      <w:r w:rsidR="00A8177F" w:rsidRPr="00433880">
        <w:rPr>
          <w:b/>
        </w:rPr>
        <w:t>5</w:t>
      </w:r>
      <w:r w:rsidRPr="00433880">
        <w:rPr>
          <w:b/>
        </w:rPr>
        <w:t>至</w:t>
      </w:r>
      <w:r w:rsidRPr="00433880">
        <w:rPr>
          <w:rFonts w:hint="eastAsia"/>
          <w:b/>
        </w:rPr>
        <w:t>1</w:t>
      </w:r>
      <w:r w:rsidRPr="00433880">
        <w:rPr>
          <w:b/>
        </w:rPr>
        <w:t>1</w:t>
      </w:r>
      <w:r w:rsidR="00EF2176">
        <w:rPr>
          <w:b/>
        </w:rPr>
        <w:t>4</w:t>
      </w:r>
      <w:r w:rsidRPr="00433880">
        <w:rPr>
          <w:b/>
        </w:rPr>
        <w:t>年度外匯資產</w:t>
      </w:r>
      <w:r w:rsidR="00CF6E37" w:rsidRPr="00433880">
        <w:rPr>
          <w:rFonts w:hint="eastAsia"/>
          <w:b/>
        </w:rPr>
        <w:t>委託</w:t>
      </w:r>
      <w:r w:rsidRPr="00433880">
        <w:rPr>
          <w:rFonts w:hint="eastAsia"/>
          <w:b/>
        </w:rPr>
        <w:t>投資</w:t>
      </w:r>
      <w:r w:rsidR="00E8518C" w:rsidRPr="00433880">
        <w:rPr>
          <w:rFonts w:hint="eastAsia"/>
          <w:b/>
        </w:rPr>
        <w:t>平均</w:t>
      </w:r>
      <w:r w:rsidRPr="00433880">
        <w:rPr>
          <w:rFonts w:hint="eastAsia"/>
          <w:b/>
        </w:rPr>
        <w:t xml:space="preserve">收益率情形表 </w:t>
      </w:r>
    </w:p>
    <w:p w:rsidR="00843E9E" w:rsidRPr="00170789" w:rsidRDefault="00843E9E" w:rsidP="00433880">
      <w:pPr>
        <w:pStyle w:val="142"/>
        <w:jc w:val="right"/>
      </w:pPr>
      <w:r w:rsidRPr="00170789">
        <w:t xml:space="preserve">                                     </w:t>
      </w:r>
      <w:r w:rsidRPr="00170789">
        <w:rPr>
          <w:rFonts w:hint="eastAsia"/>
        </w:rPr>
        <w:t>單位：%</w:t>
      </w:r>
    </w:p>
    <w:tbl>
      <w:tblPr>
        <w:tblW w:w="4971"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587"/>
        <w:gridCol w:w="695"/>
        <w:gridCol w:w="656"/>
        <w:gridCol w:w="694"/>
        <w:gridCol w:w="698"/>
        <w:gridCol w:w="693"/>
        <w:gridCol w:w="656"/>
        <w:gridCol w:w="656"/>
        <w:gridCol w:w="797"/>
        <w:gridCol w:w="656"/>
        <w:gridCol w:w="722"/>
      </w:tblGrid>
      <w:tr w:rsidR="00433880" w:rsidRPr="00DD6208" w:rsidTr="009F632B">
        <w:trPr>
          <w:trHeight w:val="20"/>
          <w:tblHeader/>
        </w:trPr>
        <w:tc>
          <w:tcPr>
            <w:tcW w:w="933" w:type="pct"/>
            <w:shd w:val="clear" w:color="auto" w:fill="auto"/>
            <w:vAlign w:val="center"/>
            <w:hideMark/>
          </w:tcPr>
          <w:p w:rsidR="00AB477C" w:rsidRPr="00433880" w:rsidRDefault="00AB477C" w:rsidP="00433880">
            <w:pPr>
              <w:pStyle w:val="142"/>
              <w:jc w:val="center"/>
              <w:rPr>
                <w:b/>
              </w:rPr>
            </w:pPr>
            <w:r w:rsidRPr="00433880">
              <w:rPr>
                <w:rFonts w:hint="eastAsia"/>
                <w:b/>
              </w:rPr>
              <w:t>年度</w:t>
            </w:r>
          </w:p>
        </w:tc>
        <w:tc>
          <w:tcPr>
            <w:tcW w:w="409" w:type="pct"/>
            <w:shd w:val="clear" w:color="auto" w:fill="auto"/>
            <w:vAlign w:val="center"/>
            <w:hideMark/>
          </w:tcPr>
          <w:p w:rsidR="00AB477C" w:rsidRPr="00433880" w:rsidRDefault="00AB477C" w:rsidP="00433880">
            <w:pPr>
              <w:pStyle w:val="142"/>
              <w:jc w:val="center"/>
              <w:rPr>
                <w:rFonts w:hint="eastAsia"/>
                <w:b/>
              </w:rPr>
            </w:pPr>
            <w:r w:rsidRPr="00433880">
              <w:rPr>
                <w:rFonts w:hint="eastAsia"/>
                <w:b/>
              </w:rPr>
              <w:t>105</w:t>
            </w:r>
          </w:p>
        </w:tc>
        <w:tc>
          <w:tcPr>
            <w:tcW w:w="385" w:type="pct"/>
            <w:shd w:val="clear" w:color="auto" w:fill="auto"/>
            <w:vAlign w:val="center"/>
            <w:hideMark/>
          </w:tcPr>
          <w:p w:rsidR="00AB477C" w:rsidRPr="00433880" w:rsidRDefault="00AB477C" w:rsidP="00433880">
            <w:pPr>
              <w:pStyle w:val="142"/>
              <w:jc w:val="center"/>
              <w:rPr>
                <w:rFonts w:hint="eastAsia"/>
                <w:b/>
              </w:rPr>
            </w:pPr>
            <w:r w:rsidRPr="00433880">
              <w:rPr>
                <w:rFonts w:hint="eastAsia"/>
                <w:b/>
              </w:rPr>
              <w:t>106</w:t>
            </w:r>
          </w:p>
        </w:tc>
        <w:tc>
          <w:tcPr>
            <w:tcW w:w="408" w:type="pct"/>
            <w:shd w:val="clear" w:color="auto" w:fill="auto"/>
            <w:vAlign w:val="center"/>
            <w:hideMark/>
          </w:tcPr>
          <w:p w:rsidR="00AB477C" w:rsidRPr="00433880" w:rsidRDefault="00AB477C" w:rsidP="00433880">
            <w:pPr>
              <w:pStyle w:val="142"/>
              <w:jc w:val="center"/>
              <w:rPr>
                <w:rFonts w:hint="eastAsia"/>
                <w:b/>
              </w:rPr>
            </w:pPr>
            <w:r w:rsidRPr="00433880">
              <w:rPr>
                <w:rFonts w:hint="eastAsia"/>
                <w:b/>
              </w:rPr>
              <w:t>107</w:t>
            </w:r>
          </w:p>
        </w:tc>
        <w:tc>
          <w:tcPr>
            <w:tcW w:w="410" w:type="pct"/>
            <w:shd w:val="clear" w:color="auto" w:fill="auto"/>
            <w:vAlign w:val="center"/>
            <w:hideMark/>
          </w:tcPr>
          <w:p w:rsidR="00AB477C" w:rsidRPr="00433880" w:rsidRDefault="00AB477C" w:rsidP="00433880">
            <w:pPr>
              <w:pStyle w:val="142"/>
              <w:jc w:val="center"/>
              <w:rPr>
                <w:rFonts w:hint="eastAsia"/>
                <w:b/>
              </w:rPr>
            </w:pPr>
            <w:r w:rsidRPr="00433880">
              <w:rPr>
                <w:rFonts w:hint="eastAsia"/>
                <w:b/>
              </w:rPr>
              <w:t>108</w:t>
            </w:r>
          </w:p>
        </w:tc>
        <w:tc>
          <w:tcPr>
            <w:tcW w:w="407" w:type="pct"/>
            <w:shd w:val="clear" w:color="auto" w:fill="auto"/>
            <w:vAlign w:val="center"/>
            <w:hideMark/>
          </w:tcPr>
          <w:p w:rsidR="00AB477C" w:rsidRPr="00433880" w:rsidRDefault="00AB477C" w:rsidP="00433880">
            <w:pPr>
              <w:pStyle w:val="142"/>
              <w:jc w:val="center"/>
              <w:rPr>
                <w:rFonts w:hint="eastAsia"/>
                <w:b/>
              </w:rPr>
            </w:pPr>
            <w:r w:rsidRPr="00433880">
              <w:rPr>
                <w:rFonts w:hint="eastAsia"/>
                <w:b/>
              </w:rPr>
              <w:t>109</w:t>
            </w:r>
          </w:p>
        </w:tc>
        <w:tc>
          <w:tcPr>
            <w:tcW w:w="385" w:type="pct"/>
            <w:shd w:val="clear" w:color="auto" w:fill="auto"/>
            <w:vAlign w:val="center"/>
            <w:hideMark/>
          </w:tcPr>
          <w:p w:rsidR="00AB477C" w:rsidRPr="00433880" w:rsidRDefault="00AB477C" w:rsidP="00433880">
            <w:pPr>
              <w:pStyle w:val="142"/>
              <w:jc w:val="center"/>
              <w:rPr>
                <w:rFonts w:hint="eastAsia"/>
                <w:b/>
              </w:rPr>
            </w:pPr>
            <w:r w:rsidRPr="00433880">
              <w:rPr>
                <w:rFonts w:hint="eastAsia"/>
                <w:b/>
              </w:rPr>
              <w:t>110</w:t>
            </w:r>
          </w:p>
        </w:tc>
        <w:tc>
          <w:tcPr>
            <w:tcW w:w="385" w:type="pct"/>
            <w:shd w:val="clear" w:color="auto" w:fill="auto"/>
            <w:vAlign w:val="center"/>
            <w:hideMark/>
          </w:tcPr>
          <w:p w:rsidR="00AB477C" w:rsidRPr="00433880" w:rsidRDefault="00AB477C" w:rsidP="00433880">
            <w:pPr>
              <w:pStyle w:val="142"/>
              <w:jc w:val="center"/>
              <w:rPr>
                <w:rFonts w:hint="eastAsia"/>
                <w:b/>
              </w:rPr>
            </w:pPr>
            <w:r w:rsidRPr="00433880">
              <w:rPr>
                <w:rFonts w:hint="eastAsia"/>
                <w:b/>
              </w:rPr>
              <w:t>111</w:t>
            </w:r>
          </w:p>
        </w:tc>
        <w:tc>
          <w:tcPr>
            <w:tcW w:w="468" w:type="pct"/>
            <w:shd w:val="clear" w:color="auto" w:fill="auto"/>
            <w:vAlign w:val="center"/>
            <w:hideMark/>
          </w:tcPr>
          <w:p w:rsidR="00AB477C" w:rsidRPr="00433880" w:rsidRDefault="00AB477C" w:rsidP="00433880">
            <w:pPr>
              <w:pStyle w:val="142"/>
              <w:jc w:val="center"/>
              <w:rPr>
                <w:rFonts w:hint="eastAsia"/>
                <w:b/>
              </w:rPr>
            </w:pPr>
            <w:r w:rsidRPr="00433880">
              <w:rPr>
                <w:rFonts w:hint="eastAsia"/>
                <w:b/>
              </w:rPr>
              <w:t>112</w:t>
            </w:r>
          </w:p>
        </w:tc>
        <w:tc>
          <w:tcPr>
            <w:tcW w:w="385" w:type="pct"/>
            <w:shd w:val="clear" w:color="auto" w:fill="auto"/>
            <w:vAlign w:val="center"/>
            <w:hideMark/>
          </w:tcPr>
          <w:p w:rsidR="00AB477C" w:rsidRPr="00433880" w:rsidRDefault="00AB477C" w:rsidP="00433880">
            <w:pPr>
              <w:pStyle w:val="142"/>
              <w:jc w:val="center"/>
              <w:rPr>
                <w:rFonts w:hint="eastAsia"/>
                <w:b/>
              </w:rPr>
            </w:pPr>
            <w:r w:rsidRPr="00433880">
              <w:rPr>
                <w:rFonts w:hint="eastAsia"/>
                <w:b/>
              </w:rPr>
              <w:t>113</w:t>
            </w:r>
          </w:p>
        </w:tc>
        <w:tc>
          <w:tcPr>
            <w:tcW w:w="424" w:type="pct"/>
            <w:shd w:val="clear" w:color="auto" w:fill="auto"/>
            <w:vAlign w:val="center"/>
            <w:hideMark/>
          </w:tcPr>
          <w:p w:rsidR="00AB477C" w:rsidRPr="00433880" w:rsidRDefault="00AB477C" w:rsidP="00433880">
            <w:pPr>
              <w:pStyle w:val="142"/>
              <w:jc w:val="center"/>
              <w:rPr>
                <w:rFonts w:hint="eastAsia"/>
                <w:b/>
              </w:rPr>
            </w:pPr>
            <w:r w:rsidRPr="00433880">
              <w:rPr>
                <w:rFonts w:hint="eastAsia"/>
                <w:b/>
              </w:rPr>
              <w:t>114</w:t>
            </w:r>
          </w:p>
        </w:tc>
      </w:tr>
      <w:tr w:rsidR="00433880" w:rsidRPr="00DD6208" w:rsidTr="00433880">
        <w:trPr>
          <w:trHeight w:val="20"/>
        </w:trPr>
        <w:tc>
          <w:tcPr>
            <w:tcW w:w="933" w:type="pct"/>
            <w:shd w:val="clear" w:color="auto" w:fill="auto"/>
            <w:vAlign w:val="center"/>
            <w:hideMark/>
          </w:tcPr>
          <w:p w:rsidR="00AB477C" w:rsidRPr="00AB477C" w:rsidRDefault="00AB477C" w:rsidP="00AB477C">
            <w:pPr>
              <w:pStyle w:val="142"/>
              <w:rPr>
                <w:rFonts w:hint="eastAsia"/>
              </w:rPr>
            </w:pPr>
            <w:r w:rsidRPr="00AB477C">
              <w:rPr>
                <w:rFonts w:hint="eastAsia"/>
              </w:rPr>
              <w:t>預計(A)</w:t>
            </w:r>
          </w:p>
        </w:tc>
        <w:tc>
          <w:tcPr>
            <w:tcW w:w="409" w:type="pct"/>
            <w:shd w:val="clear" w:color="auto" w:fill="auto"/>
            <w:vAlign w:val="center"/>
            <w:hideMark/>
          </w:tcPr>
          <w:p w:rsidR="00AB477C" w:rsidRPr="00AB477C" w:rsidRDefault="00AB477C" w:rsidP="00AE237C">
            <w:pPr>
              <w:pStyle w:val="142"/>
              <w:jc w:val="right"/>
              <w:rPr>
                <w:rFonts w:hint="eastAsia"/>
              </w:rPr>
            </w:pPr>
            <w:r w:rsidRPr="00AB477C">
              <w:rPr>
                <w:rFonts w:hint="eastAsia"/>
              </w:rPr>
              <w:t>2.53</w:t>
            </w:r>
          </w:p>
        </w:tc>
        <w:tc>
          <w:tcPr>
            <w:tcW w:w="385" w:type="pct"/>
            <w:shd w:val="clear" w:color="auto" w:fill="auto"/>
            <w:vAlign w:val="center"/>
            <w:hideMark/>
          </w:tcPr>
          <w:p w:rsidR="00AB477C" w:rsidRPr="00AB477C" w:rsidRDefault="00AB477C" w:rsidP="00AE237C">
            <w:pPr>
              <w:pStyle w:val="142"/>
              <w:jc w:val="right"/>
              <w:rPr>
                <w:rFonts w:hint="eastAsia"/>
              </w:rPr>
            </w:pPr>
            <w:r w:rsidRPr="00AB477C">
              <w:rPr>
                <w:rFonts w:hint="eastAsia"/>
              </w:rPr>
              <w:t>2.51</w:t>
            </w:r>
          </w:p>
        </w:tc>
        <w:tc>
          <w:tcPr>
            <w:tcW w:w="408" w:type="pct"/>
            <w:shd w:val="clear" w:color="auto" w:fill="auto"/>
            <w:vAlign w:val="center"/>
            <w:hideMark/>
          </w:tcPr>
          <w:p w:rsidR="00AB477C" w:rsidRPr="00AB477C" w:rsidRDefault="00AB477C" w:rsidP="00AE237C">
            <w:pPr>
              <w:pStyle w:val="142"/>
              <w:jc w:val="right"/>
              <w:rPr>
                <w:rFonts w:hint="eastAsia"/>
              </w:rPr>
            </w:pPr>
            <w:r w:rsidRPr="00AB477C">
              <w:rPr>
                <w:rFonts w:hint="eastAsia"/>
              </w:rPr>
              <w:t>2.5</w:t>
            </w:r>
          </w:p>
        </w:tc>
        <w:tc>
          <w:tcPr>
            <w:tcW w:w="410" w:type="pct"/>
            <w:shd w:val="clear" w:color="auto" w:fill="auto"/>
            <w:vAlign w:val="center"/>
            <w:hideMark/>
          </w:tcPr>
          <w:p w:rsidR="00AB477C" w:rsidRPr="00AB477C" w:rsidRDefault="00AB477C" w:rsidP="00AE237C">
            <w:pPr>
              <w:pStyle w:val="142"/>
              <w:jc w:val="right"/>
              <w:rPr>
                <w:rFonts w:hint="eastAsia"/>
              </w:rPr>
            </w:pPr>
            <w:r w:rsidRPr="00AB477C">
              <w:rPr>
                <w:rFonts w:hint="eastAsia"/>
              </w:rPr>
              <w:t>2.5</w:t>
            </w:r>
          </w:p>
        </w:tc>
        <w:tc>
          <w:tcPr>
            <w:tcW w:w="407" w:type="pct"/>
            <w:shd w:val="clear" w:color="auto" w:fill="auto"/>
            <w:vAlign w:val="center"/>
            <w:hideMark/>
          </w:tcPr>
          <w:p w:rsidR="00AB477C" w:rsidRPr="00AB477C" w:rsidRDefault="00AB477C" w:rsidP="00AE237C">
            <w:pPr>
              <w:pStyle w:val="142"/>
              <w:jc w:val="right"/>
              <w:rPr>
                <w:rFonts w:hint="eastAsia"/>
              </w:rPr>
            </w:pPr>
            <w:r w:rsidRPr="00AB477C">
              <w:rPr>
                <w:rFonts w:hint="eastAsia"/>
              </w:rPr>
              <w:t>2.52</w:t>
            </w:r>
          </w:p>
        </w:tc>
        <w:tc>
          <w:tcPr>
            <w:tcW w:w="385" w:type="pct"/>
            <w:shd w:val="clear" w:color="auto" w:fill="auto"/>
            <w:vAlign w:val="center"/>
            <w:hideMark/>
          </w:tcPr>
          <w:p w:rsidR="00AB477C" w:rsidRPr="00AB477C" w:rsidRDefault="00AB477C" w:rsidP="00AE237C">
            <w:pPr>
              <w:pStyle w:val="142"/>
              <w:jc w:val="right"/>
              <w:rPr>
                <w:rFonts w:hint="eastAsia"/>
              </w:rPr>
            </w:pPr>
            <w:r w:rsidRPr="00AB477C">
              <w:rPr>
                <w:rFonts w:hint="eastAsia"/>
              </w:rPr>
              <w:t>2.5</w:t>
            </w:r>
          </w:p>
        </w:tc>
        <w:tc>
          <w:tcPr>
            <w:tcW w:w="385" w:type="pct"/>
            <w:shd w:val="clear" w:color="auto" w:fill="auto"/>
            <w:vAlign w:val="center"/>
            <w:hideMark/>
          </w:tcPr>
          <w:p w:rsidR="00AB477C" w:rsidRPr="00AB477C" w:rsidRDefault="00AB477C" w:rsidP="00AE237C">
            <w:pPr>
              <w:pStyle w:val="142"/>
              <w:jc w:val="right"/>
              <w:rPr>
                <w:rFonts w:hint="eastAsia"/>
              </w:rPr>
            </w:pPr>
            <w:r w:rsidRPr="00AB477C">
              <w:rPr>
                <w:rFonts w:hint="eastAsia"/>
              </w:rPr>
              <w:t>2.5</w:t>
            </w:r>
          </w:p>
        </w:tc>
        <w:tc>
          <w:tcPr>
            <w:tcW w:w="468" w:type="pct"/>
            <w:shd w:val="clear" w:color="auto" w:fill="auto"/>
            <w:vAlign w:val="center"/>
            <w:hideMark/>
          </w:tcPr>
          <w:p w:rsidR="00AB477C" w:rsidRPr="00AB477C" w:rsidRDefault="00AB477C" w:rsidP="00AE237C">
            <w:pPr>
              <w:pStyle w:val="142"/>
              <w:jc w:val="right"/>
              <w:rPr>
                <w:rFonts w:hint="eastAsia"/>
              </w:rPr>
            </w:pPr>
            <w:r w:rsidRPr="00AB477C">
              <w:rPr>
                <w:rFonts w:hint="eastAsia"/>
              </w:rPr>
              <w:t>2.25</w:t>
            </w:r>
          </w:p>
        </w:tc>
        <w:tc>
          <w:tcPr>
            <w:tcW w:w="385" w:type="pct"/>
            <w:shd w:val="clear" w:color="auto" w:fill="auto"/>
            <w:vAlign w:val="center"/>
            <w:hideMark/>
          </w:tcPr>
          <w:p w:rsidR="00AB477C" w:rsidRPr="00AB477C" w:rsidRDefault="00AB477C" w:rsidP="00AE237C">
            <w:pPr>
              <w:pStyle w:val="142"/>
              <w:jc w:val="right"/>
              <w:rPr>
                <w:rFonts w:hint="eastAsia"/>
              </w:rPr>
            </w:pPr>
            <w:r w:rsidRPr="00AB477C">
              <w:rPr>
                <w:rFonts w:hint="eastAsia"/>
              </w:rPr>
              <w:t>2.2</w:t>
            </w:r>
          </w:p>
        </w:tc>
        <w:tc>
          <w:tcPr>
            <w:tcW w:w="424" w:type="pct"/>
            <w:shd w:val="clear" w:color="auto" w:fill="auto"/>
            <w:vAlign w:val="center"/>
            <w:hideMark/>
          </w:tcPr>
          <w:p w:rsidR="00AB477C" w:rsidRPr="00AB477C" w:rsidRDefault="00AB477C" w:rsidP="00AE237C">
            <w:pPr>
              <w:pStyle w:val="142"/>
              <w:jc w:val="right"/>
              <w:rPr>
                <w:rFonts w:hint="eastAsia"/>
              </w:rPr>
            </w:pPr>
            <w:r w:rsidRPr="00AB477C">
              <w:rPr>
                <w:rFonts w:hint="eastAsia"/>
              </w:rPr>
              <w:t>2.25</w:t>
            </w:r>
          </w:p>
        </w:tc>
      </w:tr>
      <w:tr w:rsidR="00433880" w:rsidRPr="00DD6208" w:rsidTr="00433880">
        <w:trPr>
          <w:trHeight w:val="20"/>
        </w:trPr>
        <w:tc>
          <w:tcPr>
            <w:tcW w:w="933" w:type="pct"/>
            <w:shd w:val="clear" w:color="auto" w:fill="auto"/>
            <w:vAlign w:val="center"/>
            <w:hideMark/>
          </w:tcPr>
          <w:p w:rsidR="00AB477C" w:rsidRPr="00AB477C" w:rsidRDefault="00AB477C" w:rsidP="00AB477C">
            <w:pPr>
              <w:pStyle w:val="142"/>
              <w:rPr>
                <w:rFonts w:hint="eastAsia"/>
              </w:rPr>
            </w:pPr>
            <w:r w:rsidRPr="00AB477C">
              <w:rPr>
                <w:rFonts w:hint="eastAsia"/>
              </w:rPr>
              <w:t>實際(B)</w:t>
            </w:r>
          </w:p>
        </w:tc>
        <w:tc>
          <w:tcPr>
            <w:tcW w:w="409" w:type="pct"/>
            <w:shd w:val="clear" w:color="auto" w:fill="auto"/>
            <w:vAlign w:val="center"/>
            <w:hideMark/>
          </w:tcPr>
          <w:p w:rsidR="00AB477C" w:rsidRPr="00AB477C" w:rsidRDefault="00AB477C" w:rsidP="00AE237C">
            <w:pPr>
              <w:pStyle w:val="142"/>
              <w:jc w:val="right"/>
              <w:rPr>
                <w:rFonts w:hint="eastAsia"/>
              </w:rPr>
            </w:pPr>
            <w:r w:rsidRPr="00AB477C">
              <w:rPr>
                <w:rFonts w:hint="eastAsia"/>
              </w:rPr>
              <w:t>1.62</w:t>
            </w:r>
          </w:p>
        </w:tc>
        <w:tc>
          <w:tcPr>
            <w:tcW w:w="385" w:type="pct"/>
            <w:shd w:val="clear" w:color="auto" w:fill="auto"/>
            <w:vAlign w:val="center"/>
            <w:hideMark/>
          </w:tcPr>
          <w:p w:rsidR="00AB477C" w:rsidRPr="00AB477C" w:rsidRDefault="00AB477C" w:rsidP="00AE237C">
            <w:pPr>
              <w:pStyle w:val="142"/>
              <w:jc w:val="right"/>
              <w:rPr>
                <w:rFonts w:hint="eastAsia"/>
              </w:rPr>
            </w:pPr>
            <w:r w:rsidRPr="00AB477C">
              <w:rPr>
                <w:rFonts w:hint="eastAsia"/>
              </w:rPr>
              <w:t>1.63</w:t>
            </w:r>
          </w:p>
        </w:tc>
        <w:tc>
          <w:tcPr>
            <w:tcW w:w="408" w:type="pct"/>
            <w:shd w:val="clear" w:color="auto" w:fill="auto"/>
            <w:vAlign w:val="center"/>
            <w:hideMark/>
          </w:tcPr>
          <w:p w:rsidR="00AB477C" w:rsidRPr="00AB477C" w:rsidRDefault="00AB477C" w:rsidP="00AE237C">
            <w:pPr>
              <w:pStyle w:val="142"/>
              <w:jc w:val="right"/>
              <w:rPr>
                <w:rFonts w:hint="eastAsia"/>
              </w:rPr>
            </w:pPr>
            <w:r w:rsidRPr="00AB477C">
              <w:rPr>
                <w:rFonts w:hint="eastAsia"/>
              </w:rPr>
              <w:t>1.55</w:t>
            </w:r>
          </w:p>
        </w:tc>
        <w:tc>
          <w:tcPr>
            <w:tcW w:w="410" w:type="pct"/>
            <w:shd w:val="clear" w:color="auto" w:fill="auto"/>
            <w:vAlign w:val="center"/>
            <w:hideMark/>
          </w:tcPr>
          <w:p w:rsidR="00AB477C" w:rsidRPr="00AB477C" w:rsidRDefault="00AB477C" w:rsidP="00AE237C">
            <w:pPr>
              <w:pStyle w:val="142"/>
              <w:jc w:val="right"/>
              <w:rPr>
                <w:rFonts w:hint="eastAsia"/>
              </w:rPr>
            </w:pPr>
            <w:r w:rsidRPr="00AB477C">
              <w:rPr>
                <w:rFonts w:hint="eastAsia"/>
              </w:rPr>
              <w:t>2.64</w:t>
            </w:r>
          </w:p>
        </w:tc>
        <w:tc>
          <w:tcPr>
            <w:tcW w:w="407" w:type="pct"/>
            <w:shd w:val="clear" w:color="auto" w:fill="auto"/>
            <w:vAlign w:val="center"/>
            <w:hideMark/>
          </w:tcPr>
          <w:p w:rsidR="00AB477C" w:rsidRPr="00AB477C" w:rsidRDefault="00AB477C" w:rsidP="00AE237C">
            <w:pPr>
              <w:pStyle w:val="142"/>
              <w:jc w:val="right"/>
              <w:rPr>
                <w:rFonts w:hint="eastAsia"/>
              </w:rPr>
            </w:pPr>
            <w:r w:rsidRPr="00AB477C">
              <w:rPr>
                <w:rFonts w:hint="eastAsia"/>
              </w:rPr>
              <w:t>3.53</w:t>
            </w:r>
          </w:p>
        </w:tc>
        <w:tc>
          <w:tcPr>
            <w:tcW w:w="385" w:type="pct"/>
            <w:shd w:val="clear" w:color="auto" w:fill="auto"/>
            <w:vAlign w:val="center"/>
            <w:hideMark/>
          </w:tcPr>
          <w:p w:rsidR="00AB477C" w:rsidRPr="00AB477C" w:rsidRDefault="00AB477C" w:rsidP="00AE237C">
            <w:pPr>
              <w:pStyle w:val="142"/>
              <w:jc w:val="right"/>
              <w:rPr>
                <w:rFonts w:hint="eastAsia"/>
              </w:rPr>
            </w:pPr>
            <w:r w:rsidRPr="00AB477C">
              <w:rPr>
                <w:rFonts w:hint="eastAsia"/>
              </w:rPr>
              <w:t>1.72</w:t>
            </w:r>
          </w:p>
        </w:tc>
        <w:tc>
          <w:tcPr>
            <w:tcW w:w="385" w:type="pct"/>
            <w:shd w:val="clear" w:color="auto" w:fill="auto"/>
            <w:vAlign w:val="center"/>
            <w:hideMark/>
          </w:tcPr>
          <w:p w:rsidR="00AB477C" w:rsidRPr="00AB477C" w:rsidRDefault="00AB477C" w:rsidP="00AE237C">
            <w:pPr>
              <w:pStyle w:val="142"/>
              <w:jc w:val="right"/>
              <w:rPr>
                <w:rFonts w:hint="eastAsia"/>
              </w:rPr>
            </w:pPr>
            <w:r w:rsidRPr="00AB477C">
              <w:rPr>
                <w:rFonts w:hint="eastAsia"/>
              </w:rPr>
              <w:t>1.68</w:t>
            </w:r>
          </w:p>
        </w:tc>
        <w:tc>
          <w:tcPr>
            <w:tcW w:w="468" w:type="pct"/>
            <w:shd w:val="clear" w:color="auto" w:fill="auto"/>
            <w:vAlign w:val="center"/>
            <w:hideMark/>
          </w:tcPr>
          <w:p w:rsidR="00AB477C" w:rsidRPr="00AB477C" w:rsidRDefault="00AB477C" w:rsidP="00AE237C">
            <w:pPr>
              <w:pStyle w:val="142"/>
              <w:jc w:val="right"/>
              <w:rPr>
                <w:rFonts w:hint="eastAsia"/>
              </w:rPr>
            </w:pPr>
            <w:r w:rsidRPr="00AB477C">
              <w:rPr>
                <w:rFonts w:hint="eastAsia"/>
              </w:rPr>
              <w:t>2.3</w:t>
            </w:r>
          </w:p>
        </w:tc>
        <w:tc>
          <w:tcPr>
            <w:tcW w:w="385" w:type="pct"/>
            <w:shd w:val="clear" w:color="auto" w:fill="auto"/>
            <w:vAlign w:val="center"/>
            <w:hideMark/>
          </w:tcPr>
          <w:p w:rsidR="00AB477C" w:rsidRPr="00AB477C" w:rsidRDefault="00AB477C" w:rsidP="00AE237C">
            <w:pPr>
              <w:pStyle w:val="142"/>
              <w:jc w:val="right"/>
              <w:rPr>
                <w:rFonts w:hint="eastAsia"/>
              </w:rPr>
            </w:pPr>
            <w:r w:rsidRPr="00AB477C">
              <w:rPr>
                <w:rFonts w:hint="eastAsia"/>
              </w:rPr>
              <w:t>1.87</w:t>
            </w:r>
          </w:p>
        </w:tc>
        <w:tc>
          <w:tcPr>
            <w:tcW w:w="424" w:type="pct"/>
            <w:shd w:val="clear" w:color="auto" w:fill="auto"/>
            <w:noWrap/>
            <w:vAlign w:val="center"/>
            <w:hideMark/>
          </w:tcPr>
          <w:p w:rsidR="00AB477C" w:rsidRPr="00AB477C" w:rsidRDefault="00AE237C" w:rsidP="00AE237C">
            <w:pPr>
              <w:pStyle w:val="142"/>
              <w:jc w:val="right"/>
              <w:rPr>
                <w:rFonts w:hint="eastAsia"/>
              </w:rPr>
            </w:pPr>
            <w:r>
              <w:rPr>
                <w:rFonts w:hint="eastAsia"/>
              </w:rPr>
              <w:t>-</w:t>
            </w:r>
            <w:r w:rsidR="00AB477C" w:rsidRPr="00AB477C">
              <w:rPr>
                <w:rFonts w:hint="eastAsia"/>
              </w:rPr>
              <w:t xml:space="preserve">　</w:t>
            </w:r>
          </w:p>
        </w:tc>
      </w:tr>
      <w:tr w:rsidR="00433880" w:rsidRPr="00DD6208" w:rsidTr="00F715BF">
        <w:trPr>
          <w:trHeight w:val="20"/>
        </w:trPr>
        <w:tc>
          <w:tcPr>
            <w:tcW w:w="933" w:type="pct"/>
            <w:shd w:val="clear" w:color="auto" w:fill="auto"/>
            <w:vAlign w:val="center"/>
            <w:hideMark/>
          </w:tcPr>
          <w:p w:rsidR="00AB477C" w:rsidRPr="00AB477C" w:rsidRDefault="00AB477C" w:rsidP="00AB477C">
            <w:pPr>
              <w:pStyle w:val="142"/>
              <w:rPr>
                <w:rFonts w:hint="eastAsia"/>
              </w:rPr>
            </w:pPr>
            <w:r w:rsidRPr="00AB477C">
              <w:rPr>
                <w:rFonts w:hint="eastAsia"/>
              </w:rPr>
              <w:t>差異(C)=(B)-(A)</w:t>
            </w:r>
          </w:p>
        </w:tc>
        <w:tc>
          <w:tcPr>
            <w:tcW w:w="409" w:type="pct"/>
            <w:shd w:val="clear" w:color="auto" w:fill="auto"/>
            <w:vAlign w:val="center"/>
            <w:hideMark/>
          </w:tcPr>
          <w:p w:rsidR="00AB477C" w:rsidRPr="00AB477C" w:rsidRDefault="00AB477C" w:rsidP="00AE237C">
            <w:pPr>
              <w:pStyle w:val="142"/>
              <w:jc w:val="right"/>
              <w:rPr>
                <w:rFonts w:hint="eastAsia"/>
              </w:rPr>
            </w:pPr>
            <w:r w:rsidRPr="00AB477C">
              <w:rPr>
                <w:rFonts w:hint="eastAsia"/>
              </w:rPr>
              <w:t>-0.91</w:t>
            </w:r>
          </w:p>
        </w:tc>
        <w:tc>
          <w:tcPr>
            <w:tcW w:w="385" w:type="pct"/>
            <w:shd w:val="clear" w:color="auto" w:fill="auto"/>
            <w:vAlign w:val="center"/>
            <w:hideMark/>
          </w:tcPr>
          <w:p w:rsidR="00AB477C" w:rsidRPr="00AB477C" w:rsidRDefault="00AB477C" w:rsidP="00AE237C">
            <w:pPr>
              <w:pStyle w:val="142"/>
              <w:jc w:val="right"/>
              <w:rPr>
                <w:rFonts w:hint="eastAsia"/>
              </w:rPr>
            </w:pPr>
            <w:r w:rsidRPr="00AB477C">
              <w:rPr>
                <w:rFonts w:hint="eastAsia"/>
              </w:rPr>
              <w:t>-0.88</w:t>
            </w:r>
          </w:p>
        </w:tc>
        <w:tc>
          <w:tcPr>
            <w:tcW w:w="408" w:type="pct"/>
            <w:shd w:val="clear" w:color="auto" w:fill="auto"/>
            <w:vAlign w:val="center"/>
            <w:hideMark/>
          </w:tcPr>
          <w:p w:rsidR="00AB477C" w:rsidRPr="00AB477C" w:rsidRDefault="00AB477C" w:rsidP="00AE237C">
            <w:pPr>
              <w:pStyle w:val="142"/>
              <w:jc w:val="right"/>
              <w:rPr>
                <w:rFonts w:hint="eastAsia"/>
              </w:rPr>
            </w:pPr>
            <w:r w:rsidRPr="00AB477C">
              <w:rPr>
                <w:rFonts w:hint="eastAsia"/>
              </w:rPr>
              <w:t>-0.95</w:t>
            </w:r>
          </w:p>
        </w:tc>
        <w:tc>
          <w:tcPr>
            <w:tcW w:w="410" w:type="pct"/>
            <w:shd w:val="clear" w:color="auto" w:fill="F2F2F2"/>
            <w:vAlign w:val="center"/>
            <w:hideMark/>
          </w:tcPr>
          <w:p w:rsidR="00AB477C" w:rsidRPr="00AB477C" w:rsidRDefault="00AB477C" w:rsidP="00AE237C">
            <w:pPr>
              <w:pStyle w:val="142"/>
              <w:jc w:val="right"/>
              <w:rPr>
                <w:rFonts w:hint="eastAsia"/>
                <w:b/>
              </w:rPr>
            </w:pPr>
            <w:r w:rsidRPr="00AB477C">
              <w:rPr>
                <w:rFonts w:hint="eastAsia"/>
                <w:b/>
              </w:rPr>
              <w:t>0.14</w:t>
            </w:r>
          </w:p>
        </w:tc>
        <w:tc>
          <w:tcPr>
            <w:tcW w:w="407" w:type="pct"/>
            <w:shd w:val="clear" w:color="auto" w:fill="F2F2F2"/>
            <w:vAlign w:val="center"/>
            <w:hideMark/>
          </w:tcPr>
          <w:p w:rsidR="00AB477C" w:rsidRPr="00AB477C" w:rsidRDefault="00AB477C" w:rsidP="00AE237C">
            <w:pPr>
              <w:pStyle w:val="142"/>
              <w:jc w:val="right"/>
              <w:rPr>
                <w:rFonts w:hint="eastAsia"/>
                <w:b/>
              </w:rPr>
            </w:pPr>
            <w:r w:rsidRPr="00AB477C">
              <w:rPr>
                <w:rFonts w:hint="eastAsia"/>
                <w:b/>
              </w:rPr>
              <w:t>1.01</w:t>
            </w:r>
          </w:p>
        </w:tc>
        <w:tc>
          <w:tcPr>
            <w:tcW w:w="385" w:type="pct"/>
            <w:shd w:val="clear" w:color="auto" w:fill="auto"/>
            <w:vAlign w:val="center"/>
            <w:hideMark/>
          </w:tcPr>
          <w:p w:rsidR="00AB477C" w:rsidRPr="00AB477C" w:rsidRDefault="00AB477C" w:rsidP="00AE237C">
            <w:pPr>
              <w:pStyle w:val="142"/>
              <w:jc w:val="right"/>
              <w:rPr>
                <w:rFonts w:hint="eastAsia"/>
              </w:rPr>
            </w:pPr>
            <w:r w:rsidRPr="00AB477C">
              <w:rPr>
                <w:rFonts w:hint="eastAsia"/>
              </w:rPr>
              <w:t>-0.78</w:t>
            </w:r>
          </w:p>
        </w:tc>
        <w:tc>
          <w:tcPr>
            <w:tcW w:w="385" w:type="pct"/>
            <w:shd w:val="clear" w:color="auto" w:fill="auto"/>
            <w:vAlign w:val="center"/>
            <w:hideMark/>
          </w:tcPr>
          <w:p w:rsidR="00AB477C" w:rsidRPr="00AB477C" w:rsidRDefault="00AB477C" w:rsidP="00AE237C">
            <w:pPr>
              <w:pStyle w:val="142"/>
              <w:jc w:val="right"/>
              <w:rPr>
                <w:rFonts w:hint="eastAsia"/>
              </w:rPr>
            </w:pPr>
            <w:r w:rsidRPr="00AB477C">
              <w:rPr>
                <w:rFonts w:hint="eastAsia"/>
              </w:rPr>
              <w:t>-0.82</w:t>
            </w:r>
          </w:p>
        </w:tc>
        <w:tc>
          <w:tcPr>
            <w:tcW w:w="468" w:type="pct"/>
            <w:shd w:val="clear" w:color="auto" w:fill="F2F2F2"/>
            <w:vAlign w:val="center"/>
            <w:hideMark/>
          </w:tcPr>
          <w:p w:rsidR="00AB477C" w:rsidRPr="00AB477C" w:rsidRDefault="00AB477C" w:rsidP="00AE237C">
            <w:pPr>
              <w:pStyle w:val="142"/>
              <w:jc w:val="right"/>
              <w:rPr>
                <w:rFonts w:hint="eastAsia"/>
                <w:b/>
              </w:rPr>
            </w:pPr>
            <w:r w:rsidRPr="00AB477C">
              <w:rPr>
                <w:rFonts w:hint="eastAsia"/>
                <w:b/>
              </w:rPr>
              <w:t>0.05</w:t>
            </w:r>
          </w:p>
        </w:tc>
        <w:tc>
          <w:tcPr>
            <w:tcW w:w="385" w:type="pct"/>
            <w:shd w:val="clear" w:color="auto" w:fill="auto"/>
            <w:vAlign w:val="center"/>
            <w:hideMark/>
          </w:tcPr>
          <w:p w:rsidR="00AB477C" w:rsidRPr="00AB477C" w:rsidRDefault="00AB477C" w:rsidP="00AE237C">
            <w:pPr>
              <w:pStyle w:val="142"/>
              <w:jc w:val="right"/>
              <w:rPr>
                <w:rFonts w:hint="eastAsia"/>
              </w:rPr>
            </w:pPr>
            <w:r w:rsidRPr="00AB477C">
              <w:rPr>
                <w:rFonts w:hint="eastAsia"/>
              </w:rPr>
              <w:t>-0.33</w:t>
            </w:r>
          </w:p>
        </w:tc>
        <w:tc>
          <w:tcPr>
            <w:tcW w:w="424" w:type="pct"/>
            <w:shd w:val="clear" w:color="auto" w:fill="auto"/>
            <w:noWrap/>
            <w:vAlign w:val="center"/>
            <w:hideMark/>
          </w:tcPr>
          <w:p w:rsidR="00AB477C" w:rsidRPr="00AB477C" w:rsidRDefault="00AE237C" w:rsidP="00AE237C">
            <w:pPr>
              <w:pStyle w:val="142"/>
              <w:jc w:val="right"/>
              <w:rPr>
                <w:rFonts w:hint="eastAsia"/>
              </w:rPr>
            </w:pPr>
            <w:r>
              <w:rPr>
                <w:rFonts w:hint="eastAsia"/>
              </w:rPr>
              <w:t>-</w:t>
            </w:r>
            <w:r w:rsidR="00AB477C" w:rsidRPr="00AB477C">
              <w:rPr>
                <w:rFonts w:hint="eastAsia"/>
              </w:rPr>
              <w:t xml:space="preserve">　</w:t>
            </w:r>
          </w:p>
        </w:tc>
      </w:tr>
    </w:tbl>
    <w:p w:rsidR="00843E9E" w:rsidRPr="00170789" w:rsidRDefault="00843E9E" w:rsidP="00433880">
      <w:pPr>
        <w:pStyle w:val="142"/>
        <w:rPr>
          <w:rFonts w:hint="eastAsia"/>
        </w:rPr>
      </w:pPr>
      <w:r w:rsidRPr="00170789">
        <w:t>說</w:t>
      </w:r>
      <w:r w:rsidRPr="00170789">
        <w:rPr>
          <w:rFonts w:hint="eastAsia"/>
        </w:rPr>
        <w:t xml:space="preserve"> </w:t>
      </w:r>
      <w:r w:rsidRPr="00170789">
        <w:t xml:space="preserve">   明</w:t>
      </w:r>
      <w:r w:rsidRPr="00170789">
        <w:rPr>
          <w:rFonts w:hint="eastAsia"/>
        </w:rPr>
        <w:t>：1</w:t>
      </w:r>
      <w:r w:rsidRPr="00170789">
        <w:t>1</w:t>
      </w:r>
      <w:r w:rsidR="00CF6E37">
        <w:t>3</w:t>
      </w:r>
      <w:r w:rsidRPr="00170789">
        <w:t>年度實際收益率為截至</w:t>
      </w:r>
      <w:r w:rsidR="00CF6E37">
        <w:t>8</w:t>
      </w:r>
      <w:r w:rsidRPr="00170789">
        <w:t>月底止實際數</w:t>
      </w:r>
      <w:r w:rsidRPr="00170789">
        <w:rPr>
          <w:rFonts w:hint="eastAsia"/>
        </w:rPr>
        <w:t>。</w:t>
      </w:r>
    </w:p>
    <w:p w:rsidR="00843E9E" w:rsidRPr="00170789" w:rsidRDefault="00843E9E" w:rsidP="00433880">
      <w:pPr>
        <w:pStyle w:val="142"/>
      </w:pPr>
      <w:r w:rsidRPr="00170789">
        <w:rPr>
          <w:rFonts w:hint="eastAsia"/>
        </w:rPr>
        <w:t>資料來源：</w:t>
      </w:r>
      <w:r w:rsidR="00CF6E37">
        <w:rPr>
          <w:rFonts w:hint="eastAsia"/>
        </w:rPr>
        <w:t>央</w:t>
      </w:r>
      <w:r w:rsidRPr="00170789">
        <w:rPr>
          <w:rFonts w:hint="eastAsia"/>
        </w:rPr>
        <w:t>行。</w:t>
      </w:r>
    </w:p>
    <w:p w:rsidR="00843E9E" w:rsidRPr="00843E9E" w:rsidRDefault="00843E9E" w:rsidP="00433880">
      <w:pPr>
        <w:pStyle w:val="ad"/>
        <w:ind w:left="785" w:hangingChars="277" w:hanging="785"/>
        <w:rPr>
          <w:snapToGrid/>
          <w:sz w:val="24"/>
          <w:szCs w:val="32"/>
        </w:rPr>
      </w:pPr>
      <w:r w:rsidRPr="00433880">
        <w:rPr>
          <w:rFonts w:hint="eastAsia"/>
          <w:b/>
        </w:rPr>
        <w:t xml:space="preserve">表3  </w:t>
      </w:r>
      <w:r w:rsidR="00CF6E37" w:rsidRPr="00433880">
        <w:rPr>
          <w:rFonts w:hint="eastAsia"/>
          <w:b/>
        </w:rPr>
        <w:t>央行</w:t>
      </w:r>
      <w:r w:rsidRPr="00433880">
        <w:rPr>
          <w:rFonts w:hint="eastAsia"/>
          <w:b/>
        </w:rPr>
        <w:t>10</w:t>
      </w:r>
      <w:r w:rsidR="00A8177F" w:rsidRPr="00433880">
        <w:rPr>
          <w:b/>
        </w:rPr>
        <w:t>5</w:t>
      </w:r>
      <w:r w:rsidRPr="00433880">
        <w:rPr>
          <w:rFonts w:hint="eastAsia"/>
          <w:b/>
        </w:rPr>
        <w:t>至11</w:t>
      </w:r>
      <w:r w:rsidRPr="00433880">
        <w:rPr>
          <w:b/>
        </w:rPr>
        <w:t>3</w:t>
      </w:r>
      <w:r w:rsidRPr="00433880">
        <w:rPr>
          <w:rFonts w:hint="eastAsia"/>
          <w:b/>
        </w:rPr>
        <w:t>年度</w:t>
      </w:r>
      <w:r w:rsidR="00AE237C">
        <w:rPr>
          <w:rFonts w:hint="eastAsia"/>
          <w:b/>
        </w:rPr>
        <w:t>(截至8月底止)</w:t>
      </w:r>
      <w:r w:rsidRPr="00433880">
        <w:rPr>
          <w:rFonts w:hint="eastAsia"/>
          <w:b/>
        </w:rPr>
        <w:t>央行外匯資產</w:t>
      </w:r>
      <w:r w:rsidR="00CF6E37" w:rsidRPr="00433880">
        <w:rPr>
          <w:rFonts w:hint="eastAsia"/>
          <w:b/>
        </w:rPr>
        <w:t>自行經營與委託</w:t>
      </w:r>
      <w:r w:rsidRPr="00433880">
        <w:rPr>
          <w:rFonts w:hint="eastAsia"/>
          <w:b/>
        </w:rPr>
        <w:t>投資</w:t>
      </w:r>
      <w:r w:rsidR="00CF6E37" w:rsidRPr="00433880">
        <w:rPr>
          <w:rFonts w:hint="eastAsia"/>
          <w:b/>
        </w:rPr>
        <w:t>績效對照</w:t>
      </w:r>
      <w:r w:rsidRPr="00433880">
        <w:rPr>
          <w:rFonts w:hint="eastAsia"/>
          <w:b/>
        </w:rPr>
        <w:t>表</w:t>
      </w:r>
      <w:r w:rsidR="00433880">
        <w:rPr>
          <w:rFonts w:hint="eastAsia"/>
          <w:snapToGrid/>
          <w:sz w:val="24"/>
          <w:szCs w:val="32"/>
        </w:rPr>
        <w:t xml:space="preserve">                         </w:t>
      </w:r>
      <w:r w:rsidR="00433880" w:rsidRPr="00433880">
        <w:rPr>
          <w:rFonts w:hint="eastAsia"/>
          <w:snapToGrid/>
          <w:sz w:val="24"/>
          <w:szCs w:val="32"/>
          <w:lang w:eastAsia="zh-HK"/>
        </w:rPr>
        <w:t xml:space="preserve"> 單位：新臺幣千元；%</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836"/>
        <w:gridCol w:w="1459"/>
        <w:gridCol w:w="849"/>
        <w:gridCol w:w="1560"/>
        <w:gridCol w:w="993"/>
        <w:gridCol w:w="1702"/>
        <w:gridCol w:w="1161"/>
      </w:tblGrid>
      <w:tr w:rsidR="00433880" w:rsidRPr="007C4717" w:rsidTr="006E446A">
        <w:trPr>
          <w:trHeight w:val="20"/>
          <w:tblHeader/>
        </w:trPr>
        <w:tc>
          <w:tcPr>
            <w:tcW w:w="489" w:type="pct"/>
            <w:vMerge w:val="restart"/>
            <w:shd w:val="clear" w:color="auto" w:fill="auto"/>
            <w:vAlign w:val="center"/>
            <w:hideMark/>
          </w:tcPr>
          <w:p w:rsidR="00433880" w:rsidRPr="00433880" w:rsidRDefault="00433880" w:rsidP="00433880">
            <w:pPr>
              <w:pStyle w:val="142"/>
              <w:jc w:val="center"/>
              <w:rPr>
                <w:b/>
                <w:snapToGrid/>
              </w:rPr>
            </w:pPr>
            <w:r w:rsidRPr="00433880">
              <w:rPr>
                <w:rFonts w:hint="eastAsia"/>
                <w:b/>
                <w:snapToGrid/>
              </w:rPr>
              <w:t>年度</w:t>
            </w:r>
          </w:p>
        </w:tc>
        <w:tc>
          <w:tcPr>
            <w:tcW w:w="1348" w:type="pct"/>
            <w:gridSpan w:val="2"/>
            <w:shd w:val="clear" w:color="auto" w:fill="auto"/>
            <w:vAlign w:val="center"/>
            <w:hideMark/>
          </w:tcPr>
          <w:p w:rsidR="00433880" w:rsidRPr="00433880" w:rsidRDefault="00433880" w:rsidP="00433880">
            <w:pPr>
              <w:pStyle w:val="142"/>
              <w:jc w:val="center"/>
              <w:rPr>
                <w:b/>
                <w:snapToGrid/>
              </w:rPr>
            </w:pPr>
            <w:r w:rsidRPr="00433880">
              <w:rPr>
                <w:rFonts w:hint="eastAsia"/>
                <w:b/>
                <w:snapToGrid/>
              </w:rPr>
              <w:t>長期信託投資</w:t>
            </w:r>
          </w:p>
          <w:p w:rsidR="00433880" w:rsidRPr="00433880" w:rsidRDefault="00433880" w:rsidP="00433880">
            <w:pPr>
              <w:pStyle w:val="142"/>
              <w:jc w:val="center"/>
              <w:rPr>
                <w:rFonts w:hint="eastAsia"/>
                <w:b/>
                <w:snapToGrid/>
              </w:rPr>
            </w:pPr>
            <w:r w:rsidRPr="00433880">
              <w:rPr>
                <w:rFonts w:hint="eastAsia"/>
                <w:b/>
                <w:snapToGrid/>
              </w:rPr>
              <w:t>(委外投資)</w:t>
            </w:r>
          </w:p>
        </w:tc>
        <w:tc>
          <w:tcPr>
            <w:tcW w:w="1491" w:type="pct"/>
            <w:gridSpan w:val="2"/>
            <w:shd w:val="clear" w:color="auto" w:fill="auto"/>
            <w:vAlign w:val="center"/>
            <w:hideMark/>
          </w:tcPr>
          <w:p w:rsidR="00433880" w:rsidRPr="00433880" w:rsidRDefault="00433880" w:rsidP="00433880">
            <w:pPr>
              <w:pStyle w:val="142"/>
              <w:jc w:val="center"/>
              <w:rPr>
                <w:b/>
                <w:snapToGrid/>
              </w:rPr>
            </w:pPr>
            <w:r w:rsidRPr="00433880">
              <w:rPr>
                <w:rFonts w:hint="eastAsia"/>
                <w:b/>
                <w:snapToGrid/>
              </w:rPr>
              <w:t>投資長期證券</w:t>
            </w:r>
          </w:p>
          <w:p w:rsidR="00433880" w:rsidRPr="00433880" w:rsidRDefault="00433880" w:rsidP="00433880">
            <w:pPr>
              <w:pStyle w:val="142"/>
              <w:jc w:val="center"/>
              <w:rPr>
                <w:rFonts w:hint="eastAsia"/>
                <w:b/>
                <w:snapToGrid/>
              </w:rPr>
            </w:pPr>
            <w:r w:rsidRPr="00433880">
              <w:rPr>
                <w:rFonts w:hint="eastAsia"/>
                <w:b/>
                <w:snapToGrid/>
              </w:rPr>
              <w:t>（自行經營）</w:t>
            </w:r>
          </w:p>
        </w:tc>
        <w:tc>
          <w:tcPr>
            <w:tcW w:w="1672" w:type="pct"/>
            <w:gridSpan w:val="2"/>
            <w:shd w:val="clear" w:color="auto" w:fill="auto"/>
            <w:vAlign w:val="center"/>
            <w:hideMark/>
          </w:tcPr>
          <w:p w:rsidR="00433880" w:rsidRPr="00433880" w:rsidRDefault="00433880" w:rsidP="00433880">
            <w:pPr>
              <w:pStyle w:val="142"/>
              <w:jc w:val="center"/>
              <w:rPr>
                <w:rFonts w:hint="eastAsia"/>
                <w:b/>
                <w:snapToGrid/>
              </w:rPr>
            </w:pPr>
            <w:r w:rsidRPr="00433880">
              <w:rPr>
                <w:rFonts w:hint="eastAsia"/>
                <w:b/>
                <w:snapToGrid/>
              </w:rPr>
              <w:t>合計</w:t>
            </w:r>
          </w:p>
        </w:tc>
      </w:tr>
      <w:tr w:rsidR="00433880" w:rsidRPr="007C4717" w:rsidTr="006E446A">
        <w:trPr>
          <w:trHeight w:val="20"/>
          <w:tblHeader/>
        </w:trPr>
        <w:tc>
          <w:tcPr>
            <w:tcW w:w="489" w:type="pct"/>
            <w:vMerge/>
            <w:vAlign w:val="center"/>
            <w:hideMark/>
          </w:tcPr>
          <w:p w:rsidR="00433880" w:rsidRPr="007C4717" w:rsidRDefault="00433880" w:rsidP="00433880">
            <w:pPr>
              <w:pStyle w:val="142"/>
              <w:jc w:val="center"/>
              <w:rPr>
                <w:snapToGrid/>
              </w:rPr>
            </w:pPr>
          </w:p>
        </w:tc>
        <w:tc>
          <w:tcPr>
            <w:tcW w:w="852" w:type="pct"/>
            <w:shd w:val="clear" w:color="auto" w:fill="auto"/>
            <w:vAlign w:val="center"/>
            <w:hideMark/>
          </w:tcPr>
          <w:p w:rsidR="00433880" w:rsidRPr="00433880" w:rsidRDefault="00433880" w:rsidP="00433880">
            <w:pPr>
              <w:pStyle w:val="142"/>
              <w:jc w:val="center"/>
              <w:rPr>
                <w:rFonts w:hint="eastAsia"/>
                <w:b/>
                <w:snapToGrid/>
              </w:rPr>
            </w:pPr>
            <w:r w:rsidRPr="00433880">
              <w:rPr>
                <w:rFonts w:hint="eastAsia"/>
                <w:b/>
                <w:snapToGrid/>
              </w:rPr>
              <w:t>投資利益</w:t>
            </w:r>
          </w:p>
        </w:tc>
        <w:tc>
          <w:tcPr>
            <w:tcW w:w="496" w:type="pct"/>
            <w:shd w:val="clear" w:color="auto" w:fill="auto"/>
            <w:vAlign w:val="center"/>
            <w:hideMark/>
          </w:tcPr>
          <w:p w:rsidR="00433880" w:rsidRPr="00433880" w:rsidRDefault="00433880" w:rsidP="00433880">
            <w:pPr>
              <w:pStyle w:val="142"/>
              <w:jc w:val="center"/>
              <w:rPr>
                <w:b/>
                <w:snapToGrid/>
              </w:rPr>
            </w:pPr>
            <w:r w:rsidRPr="00433880">
              <w:rPr>
                <w:rFonts w:hint="eastAsia"/>
                <w:b/>
                <w:snapToGrid/>
              </w:rPr>
              <w:t>平均</w:t>
            </w:r>
          </w:p>
          <w:p w:rsidR="00433880" w:rsidRPr="00433880" w:rsidRDefault="00433880" w:rsidP="00433880">
            <w:pPr>
              <w:pStyle w:val="142"/>
              <w:jc w:val="center"/>
              <w:rPr>
                <w:rFonts w:hint="eastAsia"/>
                <w:b/>
                <w:snapToGrid/>
              </w:rPr>
            </w:pPr>
            <w:r w:rsidRPr="00433880">
              <w:rPr>
                <w:rFonts w:hint="eastAsia"/>
                <w:b/>
                <w:snapToGrid/>
              </w:rPr>
              <w:t>收益率</w:t>
            </w:r>
          </w:p>
        </w:tc>
        <w:tc>
          <w:tcPr>
            <w:tcW w:w="911" w:type="pct"/>
            <w:shd w:val="clear" w:color="auto" w:fill="auto"/>
            <w:vAlign w:val="center"/>
            <w:hideMark/>
          </w:tcPr>
          <w:p w:rsidR="00433880" w:rsidRPr="00433880" w:rsidRDefault="00433880" w:rsidP="00433880">
            <w:pPr>
              <w:pStyle w:val="142"/>
              <w:jc w:val="center"/>
              <w:rPr>
                <w:rFonts w:hint="eastAsia"/>
                <w:b/>
                <w:snapToGrid/>
              </w:rPr>
            </w:pPr>
            <w:r w:rsidRPr="00433880">
              <w:rPr>
                <w:rFonts w:hint="eastAsia"/>
                <w:b/>
                <w:snapToGrid/>
              </w:rPr>
              <w:t>投資利益</w:t>
            </w:r>
          </w:p>
        </w:tc>
        <w:tc>
          <w:tcPr>
            <w:tcW w:w="580" w:type="pct"/>
            <w:shd w:val="clear" w:color="auto" w:fill="auto"/>
            <w:vAlign w:val="center"/>
            <w:hideMark/>
          </w:tcPr>
          <w:p w:rsidR="00433880" w:rsidRPr="00433880" w:rsidRDefault="00433880" w:rsidP="00433880">
            <w:pPr>
              <w:pStyle w:val="142"/>
              <w:jc w:val="center"/>
              <w:rPr>
                <w:b/>
                <w:snapToGrid/>
              </w:rPr>
            </w:pPr>
            <w:r w:rsidRPr="00433880">
              <w:rPr>
                <w:rFonts w:hint="eastAsia"/>
                <w:b/>
                <w:snapToGrid/>
              </w:rPr>
              <w:t>平均</w:t>
            </w:r>
          </w:p>
          <w:p w:rsidR="00433880" w:rsidRPr="00433880" w:rsidRDefault="00433880" w:rsidP="00433880">
            <w:pPr>
              <w:pStyle w:val="142"/>
              <w:jc w:val="center"/>
              <w:rPr>
                <w:rFonts w:hint="eastAsia"/>
                <w:b/>
                <w:snapToGrid/>
              </w:rPr>
            </w:pPr>
            <w:r w:rsidRPr="00433880">
              <w:rPr>
                <w:rFonts w:hint="eastAsia"/>
                <w:b/>
                <w:snapToGrid/>
              </w:rPr>
              <w:t>收益率</w:t>
            </w:r>
          </w:p>
        </w:tc>
        <w:tc>
          <w:tcPr>
            <w:tcW w:w="994" w:type="pct"/>
            <w:shd w:val="clear" w:color="auto" w:fill="auto"/>
            <w:vAlign w:val="center"/>
            <w:hideMark/>
          </w:tcPr>
          <w:p w:rsidR="00433880" w:rsidRPr="00433880" w:rsidRDefault="00433880" w:rsidP="00433880">
            <w:pPr>
              <w:pStyle w:val="142"/>
              <w:jc w:val="center"/>
              <w:rPr>
                <w:rFonts w:hint="eastAsia"/>
                <w:b/>
                <w:snapToGrid/>
              </w:rPr>
            </w:pPr>
            <w:r w:rsidRPr="00433880">
              <w:rPr>
                <w:rFonts w:hint="eastAsia"/>
                <w:b/>
                <w:snapToGrid/>
              </w:rPr>
              <w:t>投資利益</w:t>
            </w:r>
          </w:p>
        </w:tc>
        <w:tc>
          <w:tcPr>
            <w:tcW w:w="678" w:type="pct"/>
            <w:shd w:val="clear" w:color="auto" w:fill="auto"/>
            <w:vAlign w:val="center"/>
            <w:hideMark/>
          </w:tcPr>
          <w:p w:rsidR="00433880" w:rsidRPr="00433880" w:rsidRDefault="00433880" w:rsidP="00433880">
            <w:pPr>
              <w:pStyle w:val="142"/>
              <w:jc w:val="center"/>
              <w:rPr>
                <w:rFonts w:cs="新細明體"/>
                <w:b/>
                <w:snapToGrid/>
                <w:color w:val="000000"/>
                <w:kern w:val="0"/>
                <w:szCs w:val="24"/>
              </w:rPr>
            </w:pPr>
            <w:r w:rsidRPr="00433880">
              <w:rPr>
                <w:rFonts w:cs="新細明體" w:hint="eastAsia"/>
                <w:b/>
                <w:snapToGrid/>
                <w:color w:val="000000"/>
                <w:kern w:val="0"/>
                <w:szCs w:val="24"/>
              </w:rPr>
              <w:t>平均</w:t>
            </w:r>
          </w:p>
          <w:p w:rsidR="00433880" w:rsidRPr="00433880" w:rsidRDefault="00433880" w:rsidP="00433880">
            <w:pPr>
              <w:pStyle w:val="142"/>
              <w:jc w:val="center"/>
              <w:rPr>
                <w:rFonts w:cs="新細明體" w:hint="eastAsia"/>
                <w:b/>
                <w:snapToGrid/>
                <w:color w:val="000000"/>
                <w:kern w:val="0"/>
                <w:szCs w:val="24"/>
              </w:rPr>
            </w:pPr>
            <w:r w:rsidRPr="00433880">
              <w:rPr>
                <w:rFonts w:cs="新細明體" w:hint="eastAsia"/>
                <w:b/>
                <w:snapToGrid/>
                <w:color w:val="000000"/>
                <w:kern w:val="0"/>
                <w:szCs w:val="24"/>
              </w:rPr>
              <w:t>收益率</w:t>
            </w:r>
          </w:p>
        </w:tc>
      </w:tr>
      <w:tr w:rsidR="00433880" w:rsidRPr="007C4717" w:rsidTr="006E446A">
        <w:trPr>
          <w:trHeight w:val="20"/>
        </w:trPr>
        <w:tc>
          <w:tcPr>
            <w:tcW w:w="489" w:type="pct"/>
            <w:shd w:val="clear" w:color="auto" w:fill="auto"/>
            <w:vAlign w:val="center"/>
            <w:hideMark/>
          </w:tcPr>
          <w:p w:rsidR="00433880" w:rsidRPr="007C4717" w:rsidRDefault="00433880" w:rsidP="00433880">
            <w:pPr>
              <w:pStyle w:val="142"/>
              <w:jc w:val="center"/>
              <w:rPr>
                <w:rFonts w:hint="eastAsia"/>
                <w:snapToGrid/>
                <w:sz w:val="22"/>
                <w:szCs w:val="22"/>
              </w:rPr>
            </w:pPr>
            <w:r w:rsidRPr="007C4717">
              <w:rPr>
                <w:snapToGrid/>
                <w:sz w:val="22"/>
                <w:szCs w:val="22"/>
              </w:rPr>
              <w:t>105</w:t>
            </w:r>
          </w:p>
        </w:tc>
        <w:tc>
          <w:tcPr>
            <w:tcW w:w="852" w:type="pct"/>
            <w:shd w:val="clear" w:color="auto" w:fill="auto"/>
            <w:vAlign w:val="center"/>
            <w:hideMark/>
          </w:tcPr>
          <w:p w:rsidR="00433880" w:rsidRPr="00433880" w:rsidRDefault="00433880" w:rsidP="00433880">
            <w:pPr>
              <w:pStyle w:val="142"/>
              <w:jc w:val="right"/>
              <w:rPr>
                <w:snapToGrid/>
              </w:rPr>
            </w:pPr>
            <w:r w:rsidRPr="00433880">
              <w:rPr>
                <w:snapToGrid/>
              </w:rPr>
              <w:t>7,625,201</w:t>
            </w:r>
          </w:p>
        </w:tc>
        <w:tc>
          <w:tcPr>
            <w:tcW w:w="496" w:type="pct"/>
            <w:shd w:val="clear" w:color="auto" w:fill="auto"/>
            <w:vAlign w:val="center"/>
            <w:hideMark/>
          </w:tcPr>
          <w:p w:rsidR="00433880" w:rsidRPr="00433880" w:rsidRDefault="00433880" w:rsidP="00433880">
            <w:pPr>
              <w:pStyle w:val="142"/>
              <w:jc w:val="right"/>
              <w:rPr>
                <w:snapToGrid/>
              </w:rPr>
            </w:pPr>
            <w:r w:rsidRPr="00433880">
              <w:rPr>
                <w:snapToGrid/>
              </w:rPr>
              <w:t>1.62</w:t>
            </w:r>
          </w:p>
        </w:tc>
        <w:tc>
          <w:tcPr>
            <w:tcW w:w="911" w:type="pct"/>
            <w:shd w:val="clear" w:color="auto" w:fill="auto"/>
            <w:vAlign w:val="center"/>
            <w:hideMark/>
          </w:tcPr>
          <w:p w:rsidR="00433880" w:rsidRPr="00433880" w:rsidRDefault="00433880" w:rsidP="00433880">
            <w:pPr>
              <w:pStyle w:val="142"/>
              <w:jc w:val="right"/>
              <w:rPr>
                <w:snapToGrid/>
              </w:rPr>
            </w:pPr>
            <w:r w:rsidRPr="00433880">
              <w:rPr>
                <w:snapToGrid/>
              </w:rPr>
              <w:t>352,434,927</w:t>
            </w:r>
          </w:p>
        </w:tc>
        <w:tc>
          <w:tcPr>
            <w:tcW w:w="580" w:type="pct"/>
            <w:shd w:val="clear" w:color="auto" w:fill="auto"/>
            <w:vAlign w:val="center"/>
            <w:hideMark/>
          </w:tcPr>
          <w:p w:rsidR="00433880" w:rsidRPr="00433880" w:rsidRDefault="00433880" w:rsidP="00433880">
            <w:pPr>
              <w:pStyle w:val="142"/>
              <w:jc w:val="right"/>
              <w:rPr>
                <w:snapToGrid/>
              </w:rPr>
            </w:pPr>
            <w:r w:rsidRPr="00433880">
              <w:rPr>
                <w:snapToGrid/>
              </w:rPr>
              <w:t>2.57</w:t>
            </w:r>
          </w:p>
        </w:tc>
        <w:tc>
          <w:tcPr>
            <w:tcW w:w="994" w:type="pct"/>
            <w:shd w:val="clear" w:color="auto" w:fill="auto"/>
            <w:vAlign w:val="center"/>
            <w:hideMark/>
          </w:tcPr>
          <w:p w:rsidR="00433880" w:rsidRPr="00433880" w:rsidRDefault="00433880" w:rsidP="00433880">
            <w:pPr>
              <w:pStyle w:val="142"/>
              <w:jc w:val="right"/>
              <w:rPr>
                <w:snapToGrid/>
              </w:rPr>
            </w:pPr>
            <w:r w:rsidRPr="00433880">
              <w:rPr>
                <w:snapToGrid/>
              </w:rPr>
              <w:t>360,060,128</w:t>
            </w:r>
          </w:p>
        </w:tc>
        <w:tc>
          <w:tcPr>
            <w:tcW w:w="678" w:type="pct"/>
            <w:shd w:val="clear" w:color="auto" w:fill="auto"/>
            <w:vAlign w:val="center"/>
            <w:hideMark/>
          </w:tcPr>
          <w:p w:rsidR="00433880" w:rsidRPr="00433880" w:rsidRDefault="00433880" w:rsidP="00433880">
            <w:pPr>
              <w:pStyle w:val="142"/>
              <w:jc w:val="right"/>
              <w:rPr>
                <w:snapToGrid/>
                <w:kern w:val="0"/>
                <w:szCs w:val="24"/>
              </w:rPr>
            </w:pPr>
            <w:r w:rsidRPr="00433880">
              <w:rPr>
                <w:snapToGrid/>
                <w:kern w:val="0"/>
                <w:szCs w:val="24"/>
              </w:rPr>
              <w:t>2.53</w:t>
            </w:r>
          </w:p>
        </w:tc>
      </w:tr>
      <w:tr w:rsidR="00433880" w:rsidRPr="007C4717" w:rsidTr="006E446A">
        <w:trPr>
          <w:trHeight w:val="20"/>
        </w:trPr>
        <w:tc>
          <w:tcPr>
            <w:tcW w:w="489" w:type="pct"/>
            <w:shd w:val="clear" w:color="auto" w:fill="auto"/>
            <w:vAlign w:val="center"/>
            <w:hideMark/>
          </w:tcPr>
          <w:p w:rsidR="00433880" w:rsidRPr="007C4717" w:rsidRDefault="00433880" w:rsidP="00433880">
            <w:pPr>
              <w:pStyle w:val="142"/>
              <w:jc w:val="center"/>
              <w:rPr>
                <w:snapToGrid/>
                <w:sz w:val="22"/>
                <w:szCs w:val="22"/>
              </w:rPr>
            </w:pPr>
            <w:r w:rsidRPr="007C4717">
              <w:rPr>
                <w:snapToGrid/>
                <w:sz w:val="22"/>
                <w:szCs w:val="22"/>
              </w:rPr>
              <w:t>106</w:t>
            </w:r>
          </w:p>
        </w:tc>
        <w:tc>
          <w:tcPr>
            <w:tcW w:w="852" w:type="pct"/>
            <w:shd w:val="clear" w:color="auto" w:fill="auto"/>
            <w:vAlign w:val="center"/>
            <w:hideMark/>
          </w:tcPr>
          <w:p w:rsidR="00433880" w:rsidRPr="00433880" w:rsidRDefault="00433880" w:rsidP="00433880">
            <w:pPr>
              <w:pStyle w:val="142"/>
              <w:jc w:val="right"/>
              <w:rPr>
                <w:snapToGrid/>
              </w:rPr>
            </w:pPr>
            <w:r w:rsidRPr="00433880">
              <w:rPr>
                <w:snapToGrid/>
              </w:rPr>
              <w:t>7,398,812</w:t>
            </w:r>
          </w:p>
        </w:tc>
        <w:tc>
          <w:tcPr>
            <w:tcW w:w="496" w:type="pct"/>
            <w:shd w:val="clear" w:color="auto" w:fill="auto"/>
            <w:vAlign w:val="center"/>
            <w:hideMark/>
          </w:tcPr>
          <w:p w:rsidR="00433880" w:rsidRPr="00433880" w:rsidRDefault="00433880" w:rsidP="00433880">
            <w:pPr>
              <w:pStyle w:val="142"/>
              <w:jc w:val="right"/>
              <w:rPr>
                <w:snapToGrid/>
              </w:rPr>
            </w:pPr>
            <w:r w:rsidRPr="00433880">
              <w:rPr>
                <w:snapToGrid/>
              </w:rPr>
              <w:t>1.63</w:t>
            </w:r>
          </w:p>
        </w:tc>
        <w:tc>
          <w:tcPr>
            <w:tcW w:w="911" w:type="pct"/>
            <w:shd w:val="clear" w:color="auto" w:fill="auto"/>
            <w:vAlign w:val="center"/>
            <w:hideMark/>
          </w:tcPr>
          <w:p w:rsidR="00433880" w:rsidRPr="00433880" w:rsidRDefault="00433880" w:rsidP="00433880">
            <w:pPr>
              <w:pStyle w:val="142"/>
              <w:jc w:val="right"/>
              <w:rPr>
                <w:snapToGrid/>
              </w:rPr>
            </w:pPr>
            <w:r w:rsidRPr="00433880">
              <w:rPr>
                <w:snapToGrid/>
              </w:rPr>
              <w:t>343,844,204</w:t>
            </w:r>
          </w:p>
        </w:tc>
        <w:tc>
          <w:tcPr>
            <w:tcW w:w="580" w:type="pct"/>
            <w:shd w:val="clear" w:color="auto" w:fill="auto"/>
            <w:vAlign w:val="center"/>
            <w:hideMark/>
          </w:tcPr>
          <w:p w:rsidR="00433880" w:rsidRPr="00433880" w:rsidRDefault="00433880" w:rsidP="00433880">
            <w:pPr>
              <w:pStyle w:val="142"/>
              <w:jc w:val="right"/>
              <w:rPr>
                <w:snapToGrid/>
              </w:rPr>
            </w:pPr>
            <w:r w:rsidRPr="00433880">
              <w:rPr>
                <w:snapToGrid/>
              </w:rPr>
              <w:t>2.6</w:t>
            </w:r>
          </w:p>
        </w:tc>
        <w:tc>
          <w:tcPr>
            <w:tcW w:w="994" w:type="pct"/>
            <w:shd w:val="clear" w:color="auto" w:fill="auto"/>
            <w:vAlign w:val="center"/>
            <w:hideMark/>
          </w:tcPr>
          <w:p w:rsidR="00433880" w:rsidRPr="00433880" w:rsidRDefault="00433880" w:rsidP="00433880">
            <w:pPr>
              <w:pStyle w:val="142"/>
              <w:jc w:val="right"/>
              <w:rPr>
                <w:snapToGrid/>
              </w:rPr>
            </w:pPr>
            <w:r w:rsidRPr="00433880">
              <w:rPr>
                <w:snapToGrid/>
              </w:rPr>
              <w:t>351,243,016</w:t>
            </w:r>
          </w:p>
        </w:tc>
        <w:tc>
          <w:tcPr>
            <w:tcW w:w="678" w:type="pct"/>
            <w:shd w:val="clear" w:color="auto" w:fill="auto"/>
            <w:vAlign w:val="center"/>
            <w:hideMark/>
          </w:tcPr>
          <w:p w:rsidR="00433880" w:rsidRPr="00433880" w:rsidRDefault="00433880" w:rsidP="00433880">
            <w:pPr>
              <w:pStyle w:val="142"/>
              <w:jc w:val="right"/>
              <w:rPr>
                <w:snapToGrid/>
                <w:kern w:val="0"/>
                <w:szCs w:val="24"/>
              </w:rPr>
            </w:pPr>
            <w:r w:rsidRPr="00433880">
              <w:rPr>
                <w:snapToGrid/>
                <w:kern w:val="0"/>
                <w:szCs w:val="24"/>
              </w:rPr>
              <w:t>2.56</w:t>
            </w:r>
          </w:p>
        </w:tc>
      </w:tr>
      <w:tr w:rsidR="00433880" w:rsidRPr="007C4717" w:rsidTr="006E446A">
        <w:trPr>
          <w:trHeight w:val="20"/>
        </w:trPr>
        <w:tc>
          <w:tcPr>
            <w:tcW w:w="489" w:type="pct"/>
            <w:shd w:val="clear" w:color="auto" w:fill="auto"/>
            <w:vAlign w:val="center"/>
            <w:hideMark/>
          </w:tcPr>
          <w:p w:rsidR="00433880" w:rsidRPr="007C4717" w:rsidRDefault="00433880" w:rsidP="00433880">
            <w:pPr>
              <w:pStyle w:val="142"/>
              <w:jc w:val="center"/>
              <w:rPr>
                <w:snapToGrid/>
                <w:sz w:val="22"/>
                <w:szCs w:val="22"/>
              </w:rPr>
            </w:pPr>
            <w:r w:rsidRPr="007C4717">
              <w:rPr>
                <w:snapToGrid/>
                <w:sz w:val="22"/>
                <w:szCs w:val="22"/>
              </w:rPr>
              <w:t>107</w:t>
            </w:r>
          </w:p>
        </w:tc>
        <w:tc>
          <w:tcPr>
            <w:tcW w:w="852" w:type="pct"/>
            <w:shd w:val="clear" w:color="auto" w:fill="auto"/>
            <w:vAlign w:val="center"/>
            <w:hideMark/>
          </w:tcPr>
          <w:p w:rsidR="00433880" w:rsidRPr="00433880" w:rsidRDefault="00433880" w:rsidP="00433880">
            <w:pPr>
              <w:pStyle w:val="142"/>
              <w:jc w:val="right"/>
              <w:rPr>
                <w:snapToGrid/>
              </w:rPr>
            </w:pPr>
            <w:r w:rsidRPr="00433880">
              <w:rPr>
                <w:snapToGrid/>
              </w:rPr>
              <w:t>7,304,600</w:t>
            </w:r>
          </w:p>
        </w:tc>
        <w:tc>
          <w:tcPr>
            <w:tcW w:w="496" w:type="pct"/>
            <w:shd w:val="clear" w:color="auto" w:fill="auto"/>
            <w:vAlign w:val="center"/>
            <w:hideMark/>
          </w:tcPr>
          <w:p w:rsidR="00433880" w:rsidRPr="00433880" w:rsidRDefault="00433880" w:rsidP="00433880">
            <w:pPr>
              <w:pStyle w:val="142"/>
              <w:jc w:val="right"/>
              <w:rPr>
                <w:snapToGrid/>
              </w:rPr>
            </w:pPr>
            <w:r w:rsidRPr="00433880">
              <w:rPr>
                <w:snapToGrid/>
              </w:rPr>
              <w:t>1.55</w:t>
            </w:r>
          </w:p>
        </w:tc>
        <w:tc>
          <w:tcPr>
            <w:tcW w:w="911" w:type="pct"/>
            <w:shd w:val="clear" w:color="auto" w:fill="auto"/>
            <w:vAlign w:val="center"/>
            <w:hideMark/>
          </w:tcPr>
          <w:p w:rsidR="00433880" w:rsidRPr="00433880" w:rsidRDefault="00433880" w:rsidP="00433880">
            <w:pPr>
              <w:pStyle w:val="142"/>
              <w:jc w:val="right"/>
              <w:rPr>
                <w:snapToGrid/>
              </w:rPr>
            </w:pPr>
            <w:r w:rsidRPr="00433880">
              <w:rPr>
                <w:snapToGrid/>
              </w:rPr>
              <w:t>362,671,999</w:t>
            </w:r>
          </w:p>
        </w:tc>
        <w:tc>
          <w:tcPr>
            <w:tcW w:w="580" w:type="pct"/>
            <w:shd w:val="clear" w:color="auto" w:fill="auto"/>
            <w:vAlign w:val="center"/>
            <w:hideMark/>
          </w:tcPr>
          <w:p w:rsidR="00433880" w:rsidRPr="00433880" w:rsidRDefault="00433880" w:rsidP="00433880">
            <w:pPr>
              <w:pStyle w:val="142"/>
              <w:jc w:val="right"/>
              <w:rPr>
                <w:snapToGrid/>
              </w:rPr>
            </w:pPr>
            <w:r w:rsidRPr="00433880">
              <w:rPr>
                <w:snapToGrid/>
              </w:rPr>
              <w:t>2.66</w:t>
            </w:r>
          </w:p>
        </w:tc>
        <w:tc>
          <w:tcPr>
            <w:tcW w:w="994" w:type="pct"/>
            <w:shd w:val="clear" w:color="auto" w:fill="auto"/>
            <w:vAlign w:val="center"/>
            <w:hideMark/>
          </w:tcPr>
          <w:p w:rsidR="00433880" w:rsidRPr="00433880" w:rsidRDefault="00433880" w:rsidP="00433880">
            <w:pPr>
              <w:pStyle w:val="142"/>
              <w:jc w:val="right"/>
              <w:rPr>
                <w:snapToGrid/>
              </w:rPr>
            </w:pPr>
            <w:r w:rsidRPr="00433880">
              <w:rPr>
                <w:snapToGrid/>
              </w:rPr>
              <w:t>369,976,599</w:t>
            </w:r>
          </w:p>
        </w:tc>
        <w:tc>
          <w:tcPr>
            <w:tcW w:w="678" w:type="pct"/>
            <w:shd w:val="clear" w:color="auto" w:fill="auto"/>
            <w:vAlign w:val="center"/>
            <w:hideMark/>
          </w:tcPr>
          <w:p w:rsidR="00433880" w:rsidRPr="00433880" w:rsidRDefault="00433880" w:rsidP="00433880">
            <w:pPr>
              <w:pStyle w:val="142"/>
              <w:jc w:val="right"/>
              <w:rPr>
                <w:snapToGrid/>
                <w:kern w:val="0"/>
                <w:szCs w:val="24"/>
              </w:rPr>
            </w:pPr>
            <w:r w:rsidRPr="00433880">
              <w:rPr>
                <w:snapToGrid/>
                <w:kern w:val="0"/>
                <w:szCs w:val="24"/>
              </w:rPr>
              <w:t>2.62</w:t>
            </w:r>
          </w:p>
        </w:tc>
      </w:tr>
      <w:tr w:rsidR="00433880" w:rsidRPr="007C4717" w:rsidTr="006E446A">
        <w:trPr>
          <w:trHeight w:val="20"/>
        </w:trPr>
        <w:tc>
          <w:tcPr>
            <w:tcW w:w="489" w:type="pct"/>
            <w:shd w:val="clear" w:color="auto" w:fill="auto"/>
            <w:vAlign w:val="center"/>
            <w:hideMark/>
          </w:tcPr>
          <w:p w:rsidR="00433880" w:rsidRPr="007C4717" w:rsidRDefault="00433880" w:rsidP="00433880">
            <w:pPr>
              <w:pStyle w:val="142"/>
              <w:jc w:val="center"/>
              <w:rPr>
                <w:snapToGrid/>
                <w:sz w:val="22"/>
                <w:szCs w:val="22"/>
              </w:rPr>
            </w:pPr>
            <w:r w:rsidRPr="007C4717">
              <w:rPr>
                <w:snapToGrid/>
                <w:sz w:val="22"/>
                <w:szCs w:val="22"/>
              </w:rPr>
              <w:t>108</w:t>
            </w:r>
          </w:p>
        </w:tc>
        <w:tc>
          <w:tcPr>
            <w:tcW w:w="852" w:type="pct"/>
            <w:shd w:val="clear" w:color="auto" w:fill="auto"/>
            <w:vAlign w:val="center"/>
            <w:hideMark/>
          </w:tcPr>
          <w:p w:rsidR="00433880" w:rsidRPr="00433880" w:rsidRDefault="00433880" w:rsidP="00433880">
            <w:pPr>
              <w:pStyle w:val="142"/>
              <w:jc w:val="right"/>
              <w:rPr>
                <w:snapToGrid/>
              </w:rPr>
            </w:pPr>
            <w:r w:rsidRPr="00433880">
              <w:rPr>
                <w:snapToGrid/>
              </w:rPr>
              <w:t>12,655,817</w:t>
            </w:r>
          </w:p>
        </w:tc>
        <w:tc>
          <w:tcPr>
            <w:tcW w:w="496" w:type="pct"/>
            <w:shd w:val="clear" w:color="auto" w:fill="F2F2F2"/>
            <w:vAlign w:val="center"/>
            <w:hideMark/>
          </w:tcPr>
          <w:p w:rsidR="00433880" w:rsidRPr="00433880" w:rsidRDefault="00433880" w:rsidP="00433880">
            <w:pPr>
              <w:pStyle w:val="142"/>
              <w:jc w:val="right"/>
              <w:rPr>
                <w:b/>
                <w:snapToGrid/>
              </w:rPr>
            </w:pPr>
            <w:r w:rsidRPr="00433880">
              <w:rPr>
                <w:b/>
                <w:snapToGrid/>
              </w:rPr>
              <w:t>2.64</w:t>
            </w:r>
          </w:p>
        </w:tc>
        <w:tc>
          <w:tcPr>
            <w:tcW w:w="911" w:type="pct"/>
            <w:shd w:val="clear" w:color="auto" w:fill="auto"/>
            <w:vAlign w:val="center"/>
            <w:hideMark/>
          </w:tcPr>
          <w:p w:rsidR="00433880" w:rsidRPr="00433880" w:rsidRDefault="00433880" w:rsidP="00433880">
            <w:pPr>
              <w:pStyle w:val="142"/>
              <w:jc w:val="right"/>
              <w:rPr>
                <w:snapToGrid/>
              </w:rPr>
            </w:pPr>
            <w:r w:rsidRPr="00433880">
              <w:rPr>
                <w:snapToGrid/>
              </w:rPr>
              <w:t>351,310,754</w:t>
            </w:r>
          </w:p>
        </w:tc>
        <w:tc>
          <w:tcPr>
            <w:tcW w:w="580" w:type="pct"/>
            <w:shd w:val="clear" w:color="auto" w:fill="F2F2F2"/>
            <w:vAlign w:val="center"/>
            <w:hideMark/>
          </w:tcPr>
          <w:p w:rsidR="00433880" w:rsidRPr="00433880" w:rsidRDefault="00433880" w:rsidP="00433880">
            <w:pPr>
              <w:pStyle w:val="142"/>
              <w:jc w:val="right"/>
              <w:rPr>
                <w:b/>
                <w:snapToGrid/>
              </w:rPr>
            </w:pPr>
            <w:r w:rsidRPr="00433880">
              <w:rPr>
                <w:b/>
                <w:snapToGrid/>
              </w:rPr>
              <w:t>2.52</w:t>
            </w:r>
          </w:p>
        </w:tc>
        <w:tc>
          <w:tcPr>
            <w:tcW w:w="994" w:type="pct"/>
            <w:shd w:val="clear" w:color="auto" w:fill="auto"/>
            <w:vAlign w:val="center"/>
            <w:hideMark/>
          </w:tcPr>
          <w:p w:rsidR="00433880" w:rsidRPr="00433880" w:rsidRDefault="00433880" w:rsidP="00433880">
            <w:pPr>
              <w:pStyle w:val="142"/>
              <w:jc w:val="right"/>
              <w:rPr>
                <w:snapToGrid/>
              </w:rPr>
            </w:pPr>
            <w:r w:rsidRPr="00433880">
              <w:rPr>
                <w:snapToGrid/>
              </w:rPr>
              <w:t>363,966,571</w:t>
            </w:r>
          </w:p>
        </w:tc>
        <w:tc>
          <w:tcPr>
            <w:tcW w:w="678" w:type="pct"/>
            <w:shd w:val="clear" w:color="auto" w:fill="auto"/>
            <w:vAlign w:val="center"/>
            <w:hideMark/>
          </w:tcPr>
          <w:p w:rsidR="00433880" w:rsidRPr="00433880" w:rsidRDefault="00433880" w:rsidP="00433880">
            <w:pPr>
              <w:pStyle w:val="142"/>
              <w:jc w:val="right"/>
              <w:rPr>
                <w:snapToGrid/>
                <w:kern w:val="0"/>
                <w:szCs w:val="24"/>
              </w:rPr>
            </w:pPr>
            <w:r w:rsidRPr="00433880">
              <w:rPr>
                <w:snapToGrid/>
                <w:kern w:val="0"/>
                <w:szCs w:val="24"/>
              </w:rPr>
              <w:t>2.52</w:t>
            </w:r>
          </w:p>
        </w:tc>
      </w:tr>
      <w:tr w:rsidR="00433880" w:rsidRPr="007C4717" w:rsidTr="006E446A">
        <w:trPr>
          <w:trHeight w:val="20"/>
        </w:trPr>
        <w:tc>
          <w:tcPr>
            <w:tcW w:w="489" w:type="pct"/>
            <w:shd w:val="clear" w:color="auto" w:fill="auto"/>
            <w:vAlign w:val="center"/>
            <w:hideMark/>
          </w:tcPr>
          <w:p w:rsidR="00433880" w:rsidRPr="007C4717" w:rsidRDefault="00433880" w:rsidP="00433880">
            <w:pPr>
              <w:pStyle w:val="142"/>
              <w:jc w:val="center"/>
              <w:rPr>
                <w:snapToGrid/>
                <w:sz w:val="22"/>
                <w:szCs w:val="22"/>
              </w:rPr>
            </w:pPr>
            <w:r w:rsidRPr="007C4717">
              <w:rPr>
                <w:snapToGrid/>
                <w:sz w:val="22"/>
                <w:szCs w:val="22"/>
              </w:rPr>
              <w:t>109</w:t>
            </w:r>
          </w:p>
        </w:tc>
        <w:tc>
          <w:tcPr>
            <w:tcW w:w="852" w:type="pct"/>
            <w:shd w:val="clear" w:color="auto" w:fill="auto"/>
            <w:vAlign w:val="center"/>
            <w:hideMark/>
          </w:tcPr>
          <w:p w:rsidR="00433880" w:rsidRPr="00433880" w:rsidRDefault="00433880" w:rsidP="00433880">
            <w:pPr>
              <w:pStyle w:val="142"/>
              <w:jc w:val="right"/>
              <w:rPr>
                <w:snapToGrid/>
              </w:rPr>
            </w:pPr>
            <w:r w:rsidRPr="00433880">
              <w:rPr>
                <w:snapToGrid/>
              </w:rPr>
              <w:t>15,100,552</w:t>
            </w:r>
          </w:p>
        </w:tc>
        <w:tc>
          <w:tcPr>
            <w:tcW w:w="496" w:type="pct"/>
            <w:shd w:val="clear" w:color="auto" w:fill="F2F2F2"/>
            <w:vAlign w:val="center"/>
            <w:hideMark/>
          </w:tcPr>
          <w:p w:rsidR="00433880" w:rsidRPr="00433880" w:rsidRDefault="00433880" w:rsidP="00433880">
            <w:pPr>
              <w:pStyle w:val="142"/>
              <w:jc w:val="right"/>
              <w:rPr>
                <w:b/>
                <w:snapToGrid/>
              </w:rPr>
            </w:pPr>
            <w:r w:rsidRPr="00433880">
              <w:rPr>
                <w:b/>
                <w:snapToGrid/>
              </w:rPr>
              <w:t>3.53</w:t>
            </w:r>
          </w:p>
        </w:tc>
        <w:tc>
          <w:tcPr>
            <w:tcW w:w="911" w:type="pct"/>
            <w:shd w:val="clear" w:color="auto" w:fill="auto"/>
            <w:vAlign w:val="center"/>
            <w:hideMark/>
          </w:tcPr>
          <w:p w:rsidR="00433880" w:rsidRPr="00433880" w:rsidRDefault="00433880" w:rsidP="00433880">
            <w:pPr>
              <w:pStyle w:val="142"/>
              <w:jc w:val="right"/>
              <w:rPr>
                <w:snapToGrid/>
              </w:rPr>
            </w:pPr>
            <w:r w:rsidRPr="00433880">
              <w:rPr>
                <w:snapToGrid/>
              </w:rPr>
              <w:t>292,589,319</w:t>
            </w:r>
          </w:p>
        </w:tc>
        <w:tc>
          <w:tcPr>
            <w:tcW w:w="580" w:type="pct"/>
            <w:shd w:val="clear" w:color="auto" w:fill="F2F2F2"/>
            <w:vAlign w:val="center"/>
            <w:hideMark/>
          </w:tcPr>
          <w:p w:rsidR="00433880" w:rsidRPr="00433880" w:rsidRDefault="00433880" w:rsidP="00433880">
            <w:pPr>
              <w:pStyle w:val="142"/>
              <w:jc w:val="right"/>
              <w:rPr>
                <w:b/>
                <w:snapToGrid/>
              </w:rPr>
            </w:pPr>
            <w:r w:rsidRPr="00433880">
              <w:rPr>
                <w:b/>
                <w:snapToGrid/>
              </w:rPr>
              <w:t>2.18</w:t>
            </w:r>
          </w:p>
        </w:tc>
        <w:tc>
          <w:tcPr>
            <w:tcW w:w="994" w:type="pct"/>
            <w:shd w:val="clear" w:color="auto" w:fill="auto"/>
            <w:vAlign w:val="center"/>
            <w:hideMark/>
          </w:tcPr>
          <w:p w:rsidR="00433880" w:rsidRPr="00433880" w:rsidRDefault="00433880" w:rsidP="00433880">
            <w:pPr>
              <w:pStyle w:val="142"/>
              <w:jc w:val="right"/>
              <w:rPr>
                <w:snapToGrid/>
              </w:rPr>
            </w:pPr>
            <w:r w:rsidRPr="00433880">
              <w:rPr>
                <w:snapToGrid/>
              </w:rPr>
              <w:t>307,689,870</w:t>
            </w:r>
          </w:p>
        </w:tc>
        <w:tc>
          <w:tcPr>
            <w:tcW w:w="678" w:type="pct"/>
            <w:shd w:val="clear" w:color="auto" w:fill="auto"/>
            <w:vAlign w:val="center"/>
            <w:hideMark/>
          </w:tcPr>
          <w:p w:rsidR="00433880" w:rsidRPr="00433880" w:rsidRDefault="00433880" w:rsidP="00433880">
            <w:pPr>
              <w:pStyle w:val="142"/>
              <w:jc w:val="right"/>
              <w:rPr>
                <w:snapToGrid/>
                <w:kern w:val="0"/>
                <w:szCs w:val="24"/>
              </w:rPr>
            </w:pPr>
            <w:r w:rsidRPr="00433880">
              <w:rPr>
                <w:snapToGrid/>
                <w:kern w:val="0"/>
                <w:szCs w:val="24"/>
              </w:rPr>
              <w:t>2.22</w:t>
            </w:r>
          </w:p>
        </w:tc>
      </w:tr>
      <w:tr w:rsidR="00433880" w:rsidRPr="007C4717" w:rsidTr="006E446A">
        <w:trPr>
          <w:trHeight w:val="20"/>
        </w:trPr>
        <w:tc>
          <w:tcPr>
            <w:tcW w:w="489" w:type="pct"/>
            <w:shd w:val="clear" w:color="auto" w:fill="auto"/>
            <w:vAlign w:val="center"/>
            <w:hideMark/>
          </w:tcPr>
          <w:p w:rsidR="00433880" w:rsidRPr="007C4717" w:rsidRDefault="00433880" w:rsidP="00433880">
            <w:pPr>
              <w:pStyle w:val="142"/>
              <w:jc w:val="center"/>
              <w:rPr>
                <w:snapToGrid/>
                <w:sz w:val="22"/>
                <w:szCs w:val="22"/>
              </w:rPr>
            </w:pPr>
            <w:r w:rsidRPr="007C4717">
              <w:rPr>
                <w:snapToGrid/>
                <w:sz w:val="22"/>
                <w:szCs w:val="22"/>
              </w:rPr>
              <w:t>110</w:t>
            </w:r>
          </w:p>
        </w:tc>
        <w:tc>
          <w:tcPr>
            <w:tcW w:w="852" w:type="pct"/>
            <w:shd w:val="clear" w:color="auto" w:fill="auto"/>
            <w:vAlign w:val="center"/>
            <w:hideMark/>
          </w:tcPr>
          <w:p w:rsidR="00433880" w:rsidRPr="00433880" w:rsidRDefault="00433880" w:rsidP="00433880">
            <w:pPr>
              <w:pStyle w:val="142"/>
              <w:jc w:val="right"/>
              <w:rPr>
                <w:snapToGrid/>
              </w:rPr>
            </w:pPr>
            <w:r w:rsidRPr="00433880">
              <w:rPr>
                <w:snapToGrid/>
              </w:rPr>
              <w:t>7,004,881</w:t>
            </w:r>
          </w:p>
        </w:tc>
        <w:tc>
          <w:tcPr>
            <w:tcW w:w="496" w:type="pct"/>
            <w:shd w:val="clear" w:color="auto" w:fill="auto"/>
            <w:vAlign w:val="center"/>
            <w:hideMark/>
          </w:tcPr>
          <w:p w:rsidR="00433880" w:rsidRPr="00433880" w:rsidRDefault="00433880" w:rsidP="00433880">
            <w:pPr>
              <w:pStyle w:val="142"/>
              <w:jc w:val="right"/>
              <w:rPr>
                <w:snapToGrid/>
              </w:rPr>
            </w:pPr>
            <w:r w:rsidRPr="00433880">
              <w:rPr>
                <w:snapToGrid/>
              </w:rPr>
              <w:t>1.72</w:t>
            </w:r>
          </w:p>
        </w:tc>
        <w:tc>
          <w:tcPr>
            <w:tcW w:w="911" w:type="pct"/>
            <w:shd w:val="clear" w:color="auto" w:fill="auto"/>
            <w:vAlign w:val="center"/>
            <w:hideMark/>
          </w:tcPr>
          <w:p w:rsidR="00433880" w:rsidRPr="00433880" w:rsidRDefault="00433880" w:rsidP="00433880">
            <w:pPr>
              <w:pStyle w:val="142"/>
              <w:jc w:val="right"/>
              <w:rPr>
                <w:snapToGrid/>
              </w:rPr>
            </w:pPr>
            <w:r w:rsidRPr="00433880">
              <w:rPr>
                <w:snapToGrid/>
              </w:rPr>
              <w:t>257,364,830</w:t>
            </w:r>
          </w:p>
        </w:tc>
        <w:tc>
          <w:tcPr>
            <w:tcW w:w="580" w:type="pct"/>
            <w:shd w:val="clear" w:color="auto" w:fill="auto"/>
            <w:vAlign w:val="center"/>
            <w:hideMark/>
          </w:tcPr>
          <w:p w:rsidR="00433880" w:rsidRPr="00433880" w:rsidRDefault="00433880" w:rsidP="00433880">
            <w:pPr>
              <w:pStyle w:val="142"/>
              <w:jc w:val="right"/>
              <w:rPr>
                <w:snapToGrid/>
              </w:rPr>
            </w:pPr>
            <w:r w:rsidRPr="00433880">
              <w:rPr>
                <w:snapToGrid/>
              </w:rPr>
              <w:t>1.86</w:t>
            </w:r>
          </w:p>
        </w:tc>
        <w:tc>
          <w:tcPr>
            <w:tcW w:w="994" w:type="pct"/>
            <w:shd w:val="clear" w:color="auto" w:fill="auto"/>
            <w:vAlign w:val="center"/>
            <w:hideMark/>
          </w:tcPr>
          <w:p w:rsidR="00433880" w:rsidRPr="00433880" w:rsidRDefault="00433880" w:rsidP="00433880">
            <w:pPr>
              <w:pStyle w:val="142"/>
              <w:jc w:val="right"/>
              <w:rPr>
                <w:snapToGrid/>
              </w:rPr>
            </w:pPr>
            <w:r w:rsidRPr="00433880">
              <w:rPr>
                <w:snapToGrid/>
              </w:rPr>
              <w:t>264,369,711</w:t>
            </w:r>
          </w:p>
        </w:tc>
        <w:tc>
          <w:tcPr>
            <w:tcW w:w="678" w:type="pct"/>
            <w:shd w:val="clear" w:color="auto" w:fill="auto"/>
            <w:vAlign w:val="center"/>
            <w:hideMark/>
          </w:tcPr>
          <w:p w:rsidR="00433880" w:rsidRPr="00433880" w:rsidRDefault="00433880" w:rsidP="00433880">
            <w:pPr>
              <w:pStyle w:val="142"/>
              <w:jc w:val="right"/>
              <w:rPr>
                <w:snapToGrid/>
                <w:kern w:val="0"/>
                <w:szCs w:val="24"/>
              </w:rPr>
            </w:pPr>
            <w:r w:rsidRPr="00433880">
              <w:rPr>
                <w:snapToGrid/>
                <w:kern w:val="0"/>
                <w:szCs w:val="24"/>
              </w:rPr>
              <w:t>1.86</w:t>
            </w:r>
          </w:p>
        </w:tc>
      </w:tr>
      <w:tr w:rsidR="00433880" w:rsidRPr="007C4717" w:rsidTr="006E446A">
        <w:trPr>
          <w:trHeight w:val="20"/>
        </w:trPr>
        <w:tc>
          <w:tcPr>
            <w:tcW w:w="489" w:type="pct"/>
            <w:shd w:val="clear" w:color="auto" w:fill="auto"/>
            <w:vAlign w:val="center"/>
            <w:hideMark/>
          </w:tcPr>
          <w:p w:rsidR="00433880" w:rsidRPr="007C4717" w:rsidRDefault="00433880" w:rsidP="00433880">
            <w:pPr>
              <w:pStyle w:val="142"/>
              <w:jc w:val="center"/>
              <w:rPr>
                <w:snapToGrid/>
                <w:sz w:val="22"/>
                <w:szCs w:val="22"/>
              </w:rPr>
            </w:pPr>
            <w:r w:rsidRPr="007C4717">
              <w:rPr>
                <w:snapToGrid/>
                <w:sz w:val="22"/>
                <w:szCs w:val="22"/>
              </w:rPr>
              <w:t>111</w:t>
            </w:r>
          </w:p>
        </w:tc>
        <w:tc>
          <w:tcPr>
            <w:tcW w:w="852" w:type="pct"/>
            <w:shd w:val="clear" w:color="auto" w:fill="auto"/>
            <w:vAlign w:val="center"/>
            <w:hideMark/>
          </w:tcPr>
          <w:p w:rsidR="00433880" w:rsidRPr="00433880" w:rsidRDefault="00433880" w:rsidP="00433880">
            <w:pPr>
              <w:pStyle w:val="142"/>
              <w:jc w:val="right"/>
              <w:rPr>
                <w:snapToGrid/>
              </w:rPr>
            </w:pPr>
            <w:r w:rsidRPr="00433880">
              <w:rPr>
                <w:snapToGrid/>
              </w:rPr>
              <w:t>7,073,265</w:t>
            </w:r>
          </w:p>
        </w:tc>
        <w:tc>
          <w:tcPr>
            <w:tcW w:w="496" w:type="pct"/>
            <w:shd w:val="clear" w:color="auto" w:fill="auto"/>
            <w:vAlign w:val="center"/>
            <w:hideMark/>
          </w:tcPr>
          <w:p w:rsidR="00433880" w:rsidRPr="00433880" w:rsidRDefault="00433880" w:rsidP="00433880">
            <w:pPr>
              <w:pStyle w:val="142"/>
              <w:jc w:val="right"/>
              <w:rPr>
                <w:snapToGrid/>
              </w:rPr>
            </w:pPr>
            <w:r w:rsidRPr="00433880">
              <w:rPr>
                <w:snapToGrid/>
              </w:rPr>
              <w:t>1.68</w:t>
            </w:r>
          </w:p>
        </w:tc>
        <w:tc>
          <w:tcPr>
            <w:tcW w:w="911" w:type="pct"/>
            <w:shd w:val="clear" w:color="auto" w:fill="auto"/>
            <w:vAlign w:val="center"/>
            <w:hideMark/>
          </w:tcPr>
          <w:p w:rsidR="00433880" w:rsidRPr="00433880" w:rsidRDefault="00433880" w:rsidP="00433880">
            <w:pPr>
              <w:pStyle w:val="142"/>
              <w:jc w:val="right"/>
              <w:rPr>
                <w:snapToGrid/>
              </w:rPr>
            </w:pPr>
            <w:r w:rsidRPr="00433880">
              <w:rPr>
                <w:snapToGrid/>
              </w:rPr>
              <w:t>287,771,472</w:t>
            </w:r>
          </w:p>
        </w:tc>
        <w:tc>
          <w:tcPr>
            <w:tcW w:w="580" w:type="pct"/>
            <w:shd w:val="clear" w:color="auto" w:fill="auto"/>
            <w:vAlign w:val="center"/>
            <w:hideMark/>
          </w:tcPr>
          <w:p w:rsidR="00433880" w:rsidRPr="00433880" w:rsidRDefault="00433880" w:rsidP="00433880">
            <w:pPr>
              <w:pStyle w:val="142"/>
              <w:jc w:val="right"/>
              <w:rPr>
                <w:snapToGrid/>
              </w:rPr>
            </w:pPr>
            <w:r w:rsidRPr="00433880">
              <w:rPr>
                <w:snapToGrid/>
              </w:rPr>
              <w:t>1.89</w:t>
            </w:r>
          </w:p>
        </w:tc>
        <w:tc>
          <w:tcPr>
            <w:tcW w:w="994" w:type="pct"/>
            <w:shd w:val="clear" w:color="auto" w:fill="auto"/>
            <w:vAlign w:val="center"/>
            <w:hideMark/>
          </w:tcPr>
          <w:p w:rsidR="00433880" w:rsidRPr="00433880" w:rsidRDefault="00433880" w:rsidP="00433880">
            <w:pPr>
              <w:pStyle w:val="142"/>
              <w:jc w:val="right"/>
              <w:rPr>
                <w:snapToGrid/>
              </w:rPr>
            </w:pPr>
            <w:r w:rsidRPr="00433880">
              <w:rPr>
                <w:snapToGrid/>
              </w:rPr>
              <w:t>294,844,737</w:t>
            </w:r>
          </w:p>
        </w:tc>
        <w:tc>
          <w:tcPr>
            <w:tcW w:w="678" w:type="pct"/>
            <w:shd w:val="clear" w:color="auto" w:fill="auto"/>
            <w:vAlign w:val="center"/>
            <w:hideMark/>
          </w:tcPr>
          <w:p w:rsidR="00433880" w:rsidRPr="00433880" w:rsidRDefault="00433880" w:rsidP="00433880">
            <w:pPr>
              <w:pStyle w:val="142"/>
              <w:jc w:val="right"/>
              <w:rPr>
                <w:snapToGrid/>
                <w:kern w:val="0"/>
                <w:szCs w:val="24"/>
              </w:rPr>
            </w:pPr>
            <w:r w:rsidRPr="00433880">
              <w:rPr>
                <w:snapToGrid/>
                <w:kern w:val="0"/>
                <w:szCs w:val="24"/>
              </w:rPr>
              <w:t>1.88</w:t>
            </w:r>
          </w:p>
        </w:tc>
      </w:tr>
      <w:tr w:rsidR="00433880" w:rsidRPr="007C4717" w:rsidTr="006E446A">
        <w:trPr>
          <w:trHeight w:val="20"/>
        </w:trPr>
        <w:tc>
          <w:tcPr>
            <w:tcW w:w="489" w:type="pct"/>
            <w:shd w:val="clear" w:color="auto" w:fill="auto"/>
            <w:vAlign w:val="center"/>
            <w:hideMark/>
          </w:tcPr>
          <w:p w:rsidR="00433880" w:rsidRPr="007C4717" w:rsidRDefault="00433880" w:rsidP="00433880">
            <w:pPr>
              <w:pStyle w:val="142"/>
              <w:jc w:val="center"/>
              <w:rPr>
                <w:snapToGrid/>
                <w:sz w:val="22"/>
                <w:szCs w:val="22"/>
              </w:rPr>
            </w:pPr>
            <w:r w:rsidRPr="007C4717">
              <w:rPr>
                <w:snapToGrid/>
                <w:sz w:val="22"/>
                <w:szCs w:val="22"/>
              </w:rPr>
              <w:t>112</w:t>
            </w:r>
          </w:p>
        </w:tc>
        <w:tc>
          <w:tcPr>
            <w:tcW w:w="852" w:type="pct"/>
            <w:shd w:val="clear" w:color="auto" w:fill="auto"/>
            <w:vAlign w:val="center"/>
            <w:hideMark/>
          </w:tcPr>
          <w:p w:rsidR="00433880" w:rsidRPr="00433880" w:rsidRDefault="00433880" w:rsidP="00433880">
            <w:pPr>
              <w:pStyle w:val="142"/>
              <w:jc w:val="right"/>
              <w:rPr>
                <w:snapToGrid/>
              </w:rPr>
            </w:pPr>
            <w:r w:rsidRPr="00433880">
              <w:rPr>
                <w:snapToGrid/>
              </w:rPr>
              <w:t>10,188,501</w:t>
            </w:r>
          </w:p>
        </w:tc>
        <w:tc>
          <w:tcPr>
            <w:tcW w:w="496" w:type="pct"/>
            <w:shd w:val="clear" w:color="auto" w:fill="F2F2F2"/>
            <w:vAlign w:val="center"/>
            <w:hideMark/>
          </w:tcPr>
          <w:p w:rsidR="00433880" w:rsidRPr="00433880" w:rsidRDefault="00433880" w:rsidP="00433880">
            <w:pPr>
              <w:pStyle w:val="142"/>
              <w:jc w:val="right"/>
              <w:rPr>
                <w:b/>
                <w:snapToGrid/>
              </w:rPr>
            </w:pPr>
            <w:r w:rsidRPr="00433880">
              <w:rPr>
                <w:b/>
                <w:snapToGrid/>
              </w:rPr>
              <w:t>2.3</w:t>
            </w:r>
          </w:p>
        </w:tc>
        <w:tc>
          <w:tcPr>
            <w:tcW w:w="911" w:type="pct"/>
            <w:shd w:val="clear" w:color="auto" w:fill="auto"/>
            <w:vAlign w:val="center"/>
            <w:hideMark/>
          </w:tcPr>
          <w:p w:rsidR="00433880" w:rsidRPr="00433880" w:rsidRDefault="00433880" w:rsidP="00433880">
            <w:pPr>
              <w:pStyle w:val="142"/>
              <w:jc w:val="right"/>
              <w:rPr>
                <w:snapToGrid/>
              </w:rPr>
            </w:pPr>
            <w:r w:rsidRPr="00433880">
              <w:rPr>
                <w:snapToGrid/>
              </w:rPr>
              <w:t>340,693,760</w:t>
            </w:r>
          </w:p>
        </w:tc>
        <w:tc>
          <w:tcPr>
            <w:tcW w:w="580" w:type="pct"/>
            <w:shd w:val="clear" w:color="auto" w:fill="F2F2F2"/>
            <w:vAlign w:val="center"/>
            <w:hideMark/>
          </w:tcPr>
          <w:p w:rsidR="00433880" w:rsidRPr="00433880" w:rsidRDefault="00433880" w:rsidP="00433880">
            <w:pPr>
              <w:pStyle w:val="142"/>
              <w:jc w:val="right"/>
              <w:rPr>
                <w:b/>
                <w:snapToGrid/>
              </w:rPr>
            </w:pPr>
            <w:r w:rsidRPr="00433880">
              <w:rPr>
                <w:b/>
                <w:snapToGrid/>
              </w:rPr>
              <w:t>2.07</w:t>
            </w:r>
          </w:p>
        </w:tc>
        <w:tc>
          <w:tcPr>
            <w:tcW w:w="994" w:type="pct"/>
            <w:shd w:val="clear" w:color="auto" w:fill="auto"/>
            <w:vAlign w:val="center"/>
            <w:hideMark/>
          </w:tcPr>
          <w:p w:rsidR="00433880" w:rsidRPr="00433880" w:rsidRDefault="00433880" w:rsidP="00433880">
            <w:pPr>
              <w:pStyle w:val="142"/>
              <w:jc w:val="right"/>
              <w:rPr>
                <w:snapToGrid/>
              </w:rPr>
            </w:pPr>
            <w:r w:rsidRPr="00433880">
              <w:rPr>
                <w:snapToGrid/>
              </w:rPr>
              <w:t>350,882,261</w:t>
            </w:r>
          </w:p>
        </w:tc>
        <w:tc>
          <w:tcPr>
            <w:tcW w:w="678" w:type="pct"/>
            <w:shd w:val="clear" w:color="auto" w:fill="auto"/>
            <w:vAlign w:val="center"/>
            <w:hideMark/>
          </w:tcPr>
          <w:p w:rsidR="00433880" w:rsidRPr="00433880" w:rsidRDefault="00433880" w:rsidP="00433880">
            <w:pPr>
              <w:pStyle w:val="142"/>
              <w:jc w:val="right"/>
              <w:rPr>
                <w:snapToGrid/>
                <w:kern w:val="0"/>
                <w:szCs w:val="24"/>
              </w:rPr>
            </w:pPr>
            <w:r w:rsidRPr="00433880">
              <w:rPr>
                <w:snapToGrid/>
                <w:kern w:val="0"/>
                <w:szCs w:val="24"/>
              </w:rPr>
              <w:t>2.08</w:t>
            </w:r>
          </w:p>
        </w:tc>
      </w:tr>
      <w:tr w:rsidR="00433880" w:rsidRPr="007C4717" w:rsidTr="006E446A">
        <w:trPr>
          <w:trHeight w:val="20"/>
        </w:trPr>
        <w:tc>
          <w:tcPr>
            <w:tcW w:w="489" w:type="pct"/>
            <w:shd w:val="clear" w:color="auto" w:fill="auto"/>
            <w:vAlign w:val="center"/>
            <w:hideMark/>
          </w:tcPr>
          <w:p w:rsidR="00433880" w:rsidRDefault="00433880" w:rsidP="00433880">
            <w:pPr>
              <w:pStyle w:val="142"/>
              <w:jc w:val="center"/>
              <w:rPr>
                <w:snapToGrid/>
                <w:sz w:val="22"/>
                <w:szCs w:val="22"/>
              </w:rPr>
            </w:pPr>
            <w:r w:rsidRPr="007C4717">
              <w:rPr>
                <w:snapToGrid/>
                <w:sz w:val="22"/>
                <w:szCs w:val="22"/>
              </w:rPr>
              <w:t>113</w:t>
            </w:r>
          </w:p>
          <w:p w:rsidR="00433880" w:rsidRPr="00433880" w:rsidRDefault="00433880" w:rsidP="00433880">
            <w:pPr>
              <w:pStyle w:val="142"/>
              <w:jc w:val="center"/>
              <w:rPr>
                <w:snapToGrid/>
                <w:sz w:val="20"/>
                <w:szCs w:val="20"/>
              </w:rPr>
            </w:pPr>
            <w:r w:rsidRPr="00433880">
              <w:rPr>
                <w:snapToGrid/>
                <w:sz w:val="20"/>
                <w:szCs w:val="20"/>
              </w:rPr>
              <w:t>(</w:t>
            </w:r>
            <w:r w:rsidRPr="00433880">
              <w:rPr>
                <w:rFonts w:hint="eastAsia"/>
                <w:snapToGrid/>
                <w:sz w:val="20"/>
                <w:szCs w:val="20"/>
              </w:rPr>
              <w:t>截至8月底止</w:t>
            </w:r>
            <w:r w:rsidRPr="00433880">
              <w:rPr>
                <w:snapToGrid/>
                <w:sz w:val="20"/>
                <w:szCs w:val="20"/>
              </w:rPr>
              <w:t>)</w:t>
            </w:r>
          </w:p>
        </w:tc>
        <w:tc>
          <w:tcPr>
            <w:tcW w:w="852" w:type="pct"/>
            <w:shd w:val="clear" w:color="auto" w:fill="auto"/>
            <w:vAlign w:val="center"/>
            <w:hideMark/>
          </w:tcPr>
          <w:p w:rsidR="00433880" w:rsidRPr="00433880" w:rsidRDefault="00433880" w:rsidP="00433880">
            <w:pPr>
              <w:pStyle w:val="142"/>
              <w:jc w:val="right"/>
              <w:rPr>
                <w:snapToGrid/>
              </w:rPr>
            </w:pPr>
            <w:r w:rsidRPr="00433880">
              <w:rPr>
                <w:snapToGrid/>
              </w:rPr>
              <w:t>5,811,783</w:t>
            </w:r>
          </w:p>
        </w:tc>
        <w:tc>
          <w:tcPr>
            <w:tcW w:w="496" w:type="pct"/>
            <w:shd w:val="clear" w:color="auto" w:fill="auto"/>
            <w:vAlign w:val="center"/>
            <w:hideMark/>
          </w:tcPr>
          <w:p w:rsidR="00433880" w:rsidRPr="00433880" w:rsidRDefault="00433880" w:rsidP="00433880">
            <w:pPr>
              <w:pStyle w:val="142"/>
              <w:jc w:val="right"/>
              <w:rPr>
                <w:snapToGrid/>
              </w:rPr>
            </w:pPr>
            <w:r w:rsidRPr="00433880">
              <w:rPr>
                <w:snapToGrid/>
              </w:rPr>
              <w:t>1.87</w:t>
            </w:r>
          </w:p>
        </w:tc>
        <w:tc>
          <w:tcPr>
            <w:tcW w:w="911" w:type="pct"/>
            <w:shd w:val="clear" w:color="auto" w:fill="auto"/>
            <w:vAlign w:val="center"/>
            <w:hideMark/>
          </w:tcPr>
          <w:p w:rsidR="00433880" w:rsidRPr="00433880" w:rsidRDefault="00433880" w:rsidP="00433880">
            <w:pPr>
              <w:pStyle w:val="142"/>
              <w:jc w:val="right"/>
              <w:rPr>
                <w:snapToGrid/>
              </w:rPr>
            </w:pPr>
            <w:r w:rsidRPr="00433880">
              <w:rPr>
                <w:snapToGrid/>
              </w:rPr>
              <w:t>223,164,865</w:t>
            </w:r>
          </w:p>
        </w:tc>
        <w:tc>
          <w:tcPr>
            <w:tcW w:w="580" w:type="pct"/>
            <w:shd w:val="clear" w:color="auto" w:fill="auto"/>
            <w:vAlign w:val="center"/>
            <w:hideMark/>
          </w:tcPr>
          <w:p w:rsidR="00433880" w:rsidRPr="00433880" w:rsidRDefault="00433880" w:rsidP="00433880">
            <w:pPr>
              <w:pStyle w:val="142"/>
              <w:jc w:val="right"/>
              <w:rPr>
                <w:snapToGrid/>
              </w:rPr>
            </w:pPr>
            <w:r w:rsidRPr="00433880">
              <w:rPr>
                <w:snapToGrid/>
              </w:rPr>
              <w:t>1.93</w:t>
            </w:r>
          </w:p>
        </w:tc>
        <w:tc>
          <w:tcPr>
            <w:tcW w:w="994" w:type="pct"/>
            <w:shd w:val="clear" w:color="auto" w:fill="auto"/>
            <w:vAlign w:val="center"/>
            <w:hideMark/>
          </w:tcPr>
          <w:p w:rsidR="00433880" w:rsidRPr="00433880" w:rsidRDefault="00433880" w:rsidP="00433880">
            <w:pPr>
              <w:pStyle w:val="142"/>
              <w:jc w:val="right"/>
              <w:rPr>
                <w:snapToGrid/>
              </w:rPr>
            </w:pPr>
            <w:r w:rsidRPr="00433880">
              <w:rPr>
                <w:snapToGrid/>
              </w:rPr>
              <w:t>228,976,648</w:t>
            </w:r>
          </w:p>
        </w:tc>
        <w:tc>
          <w:tcPr>
            <w:tcW w:w="678" w:type="pct"/>
            <w:shd w:val="clear" w:color="auto" w:fill="auto"/>
            <w:vAlign w:val="center"/>
            <w:hideMark/>
          </w:tcPr>
          <w:p w:rsidR="00433880" w:rsidRPr="00433880" w:rsidRDefault="00433880" w:rsidP="00433880">
            <w:pPr>
              <w:pStyle w:val="142"/>
              <w:jc w:val="right"/>
              <w:rPr>
                <w:snapToGrid/>
                <w:kern w:val="0"/>
                <w:szCs w:val="24"/>
              </w:rPr>
            </w:pPr>
            <w:r w:rsidRPr="00433880">
              <w:rPr>
                <w:snapToGrid/>
                <w:kern w:val="0"/>
                <w:szCs w:val="24"/>
              </w:rPr>
              <w:t>1.93</w:t>
            </w:r>
          </w:p>
        </w:tc>
      </w:tr>
    </w:tbl>
    <w:p w:rsidR="00433880" w:rsidRDefault="00433880" w:rsidP="00433880">
      <w:pPr>
        <w:pStyle w:val="142"/>
      </w:pPr>
      <w:r>
        <w:rPr>
          <w:rFonts w:hint="eastAsia"/>
        </w:rPr>
        <w:t>說    明：細數之和因四捨五入或有差異。</w:t>
      </w:r>
    </w:p>
    <w:p w:rsidR="00843E9E" w:rsidRPr="00843E9E" w:rsidRDefault="00843E9E" w:rsidP="00433880">
      <w:pPr>
        <w:pStyle w:val="142"/>
        <w:rPr>
          <w:rFonts w:hint="eastAsia"/>
        </w:rPr>
      </w:pPr>
      <w:r w:rsidRPr="00843E9E">
        <w:rPr>
          <w:rFonts w:hint="eastAsia"/>
        </w:rPr>
        <w:t>資料來源：央行。</w:t>
      </w:r>
    </w:p>
    <w:p w:rsidR="00F742CB" w:rsidRPr="00507BD2" w:rsidRDefault="00F742CB" w:rsidP="00F742CB">
      <w:pPr>
        <w:ind w:left="566" w:firstLine="566"/>
        <w:rPr>
          <w:rFonts w:hAnsi="標楷體"/>
        </w:rPr>
      </w:pPr>
      <w:r w:rsidRPr="00507BD2">
        <w:rPr>
          <w:rFonts w:hAnsi="標楷體" w:hint="eastAsia"/>
        </w:rPr>
        <w:t>綜上，</w:t>
      </w:r>
      <w:r w:rsidR="00D02020" w:rsidRPr="00D02020">
        <w:rPr>
          <w:rFonts w:hAnsi="標楷體" w:hint="eastAsia"/>
        </w:rPr>
        <w:t>為管理我國龐大外匯資產，央行將部分委託金融機構投資，113年度(截至8月底止)</w:t>
      </w:r>
      <w:r w:rsidR="00D02020">
        <w:rPr>
          <w:rFonts w:hAnsi="標楷體" w:hint="eastAsia"/>
        </w:rPr>
        <w:t>金額高達</w:t>
      </w:r>
      <w:r w:rsidR="00D02020" w:rsidRPr="00D02020">
        <w:rPr>
          <w:rFonts w:hAnsi="標楷體" w:hint="eastAsia"/>
        </w:rPr>
        <w:t>145億2,427萬美元</w:t>
      </w:r>
      <w:r w:rsidR="00FE27FB">
        <w:rPr>
          <w:rFonts w:hAnsi="標楷體" w:hint="eastAsia"/>
        </w:rPr>
        <w:t>，</w:t>
      </w:r>
      <w:r w:rsidR="00D02020">
        <w:rPr>
          <w:rFonts w:hAnsi="標楷體" w:hint="eastAsia"/>
        </w:rPr>
        <w:t>惟</w:t>
      </w:r>
      <w:r w:rsidR="00A66E4C">
        <w:rPr>
          <w:rFonts w:hAnsi="標楷體" w:hint="eastAsia"/>
        </w:rPr>
        <w:t>近9年度</w:t>
      </w:r>
      <w:r w:rsidR="00350DEE" w:rsidRPr="00350DEE">
        <w:rPr>
          <w:rFonts w:hAnsi="標楷體" w:hint="eastAsia"/>
        </w:rPr>
        <w:t>僅108、109及112年度</w:t>
      </w:r>
      <w:r w:rsidR="00350DEE">
        <w:rPr>
          <w:rFonts w:hAnsi="標楷體" w:hint="eastAsia"/>
        </w:rPr>
        <w:t>平均收益率</w:t>
      </w:r>
      <w:r w:rsidR="00350DEE" w:rsidRPr="00350DEE">
        <w:rPr>
          <w:rFonts w:hAnsi="標楷體" w:hint="eastAsia"/>
        </w:rPr>
        <w:t>達成目標</w:t>
      </w:r>
      <w:r w:rsidR="00350DEE">
        <w:rPr>
          <w:rFonts w:hAnsi="標楷體" w:hint="eastAsia"/>
        </w:rPr>
        <w:t>及高於自行經營，於112年度上升後復</w:t>
      </w:r>
      <w:r w:rsidR="004B258F">
        <w:rPr>
          <w:rFonts w:hAnsi="標楷體" w:hint="eastAsia"/>
        </w:rPr>
        <w:t>於113年度(截至8月底止</w:t>
      </w:r>
      <w:r w:rsidR="004B258F">
        <w:rPr>
          <w:rFonts w:hAnsi="標楷體"/>
        </w:rPr>
        <w:t>)</w:t>
      </w:r>
      <w:r w:rsidR="004B258F">
        <w:rPr>
          <w:rFonts w:hAnsi="標楷體" w:hint="eastAsia"/>
        </w:rPr>
        <w:t>下</w:t>
      </w:r>
      <w:r w:rsidR="00350DEE">
        <w:rPr>
          <w:rFonts w:hAnsi="標楷體" w:hint="eastAsia"/>
        </w:rPr>
        <w:t>降，績效及穩定度有待加強，允宜積極督促改善，俾提升資產運用效率。</w:t>
      </w:r>
    </w:p>
    <w:p w:rsidR="00393240" w:rsidRDefault="00393240" w:rsidP="00F968C5">
      <w:pPr>
        <w:ind w:left="566" w:firstLine="566"/>
        <w:rPr>
          <w:rFonts w:hAnsi="標楷體" w:hint="eastAsia"/>
        </w:rPr>
      </w:pPr>
    </w:p>
    <w:p w:rsidR="00393240" w:rsidRDefault="00393240" w:rsidP="00393240">
      <w:pPr>
        <w:pStyle w:val="144"/>
        <w:ind w:left="567" w:hanging="567"/>
      </w:pPr>
      <w:bookmarkStart w:id="21" w:name="_Toc181965735"/>
      <w:r>
        <w:rPr>
          <w:rFonts w:hint="eastAsia"/>
        </w:rPr>
        <w:t>參、</w:t>
      </w:r>
      <w:r w:rsidRPr="00393240">
        <w:rPr>
          <w:rFonts w:hint="eastAsia"/>
        </w:rPr>
        <w:t>資金轉投資</w:t>
      </w:r>
      <w:r>
        <w:rPr>
          <w:rFonts w:hint="eastAsia"/>
        </w:rPr>
        <w:t>方面</w:t>
      </w:r>
      <w:bookmarkEnd w:id="21"/>
    </w:p>
    <w:p w:rsidR="004B258F" w:rsidRPr="00D95F76" w:rsidRDefault="007431BC" w:rsidP="00D95F76">
      <w:pPr>
        <w:pStyle w:val="14"/>
        <w:ind w:left="567" w:hanging="567"/>
      </w:pPr>
      <w:bookmarkStart w:id="22" w:name="_Toc181965736"/>
      <w:r w:rsidRPr="00D95F76">
        <w:rPr>
          <w:rFonts w:hint="eastAsia"/>
        </w:rPr>
        <w:t>一０、</w:t>
      </w:r>
      <w:r w:rsidR="00AE237C">
        <w:rPr>
          <w:rFonts w:hint="eastAsia"/>
        </w:rPr>
        <w:t>認列</w:t>
      </w:r>
      <w:r w:rsidR="004B258F" w:rsidRPr="00D95F76">
        <w:rPr>
          <w:rFonts w:hint="eastAsia"/>
        </w:rPr>
        <w:t>轉投資</w:t>
      </w:r>
      <w:r w:rsidR="007E565A" w:rsidRPr="00D95F76">
        <w:rPr>
          <w:rFonts w:hint="eastAsia"/>
        </w:rPr>
        <w:t>財金資訊股份有限公司利益</w:t>
      </w:r>
      <w:r w:rsidR="0080469D">
        <w:rPr>
          <w:rFonts w:hint="eastAsia"/>
        </w:rPr>
        <w:t>預決算</w:t>
      </w:r>
      <w:r w:rsidR="007E565A" w:rsidRPr="00D95F76">
        <w:rPr>
          <w:rFonts w:hint="eastAsia"/>
        </w:rPr>
        <w:t>差異甚巨</w:t>
      </w:r>
      <w:r w:rsidR="004B258F" w:rsidRPr="00D95F76">
        <w:rPr>
          <w:rFonts w:hint="eastAsia"/>
        </w:rPr>
        <w:t>，允宜</w:t>
      </w:r>
      <w:r w:rsidR="007E565A" w:rsidRPr="00D95F76">
        <w:rPr>
          <w:rFonts w:hint="eastAsia"/>
        </w:rPr>
        <w:t>責成精進估算作業，俾</w:t>
      </w:r>
      <w:r w:rsidR="004B258F" w:rsidRPr="00D95F76">
        <w:rPr>
          <w:rFonts w:hint="eastAsia"/>
        </w:rPr>
        <w:t>覈實編列預算</w:t>
      </w:r>
      <w:bookmarkEnd w:id="22"/>
    </w:p>
    <w:p w:rsidR="004B258F" w:rsidRPr="007D6B5F" w:rsidRDefault="00220532" w:rsidP="00D95F76">
      <w:pPr>
        <w:ind w:left="566" w:firstLine="566"/>
      </w:pPr>
      <w:r>
        <w:rPr>
          <w:rFonts w:hint="eastAsia"/>
          <w:color w:val="000000"/>
        </w:rPr>
        <w:t>央行114</w:t>
      </w:r>
      <w:r w:rsidR="004B258F" w:rsidRPr="00C10D2D">
        <w:rPr>
          <w:rFonts w:hint="eastAsia"/>
          <w:color w:val="000000"/>
        </w:rPr>
        <w:t>年度</w:t>
      </w:r>
      <w:r w:rsidR="004B258F">
        <w:rPr>
          <w:rFonts w:hint="eastAsia"/>
          <w:color w:val="000000"/>
        </w:rPr>
        <w:t>於</w:t>
      </w:r>
      <w:r w:rsidR="004B258F" w:rsidRPr="00C10D2D">
        <w:rPr>
          <w:rFonts w:hint="eastAsia"/>
          <w:color w:val="000000"/>
        </w:rPr>
        <w:t>「</w:t>
      </w:r>
      <w:r>
        <w:rPr>
          <w:rFonts w:hint="eastAsia"/>
          <w:color w:val="000000"/>
        </w:rPr>
        <w:t>資金轉投資及</w:t>
      </w:r>
      <w:r w:rsidR="00AE237C">
        <w:rPr>
          <w:rFonts w:hint="eastAsia"/>
          <w:color w:val="000000"/>
        </w:rPr>
        <w:t>其</w:t>
      </w:r>
      <w:r>
        <w:rPr>
          <w:rFonts w:hint="eastAsia"/>
          <w:color w:val="000000"/>
        </w:rPr>
        <w:t>盈虧明細表</w:t>
      </w:r>
      <w:r w:rsidR="004B258F" w:rsidRPr="00C10D2D">
        <w:rPr>
          <w:rFonts w:hint="eastAsia"/>
          <w:color w:val="000000"/>
        </w:rPr>
        <w:t>」</w:t>
      </w:r>
      <w:r w:rsidR="004B258F">
        <w:rPr>
          <w:rFonts w:hint="eastAsia"/>
          <w:color w:val="000000"/>
        </w:rPr>
        <w:t>編列</w:t>
      </w:r>
      <w:r>
        <w:rPr>
          <w:rFonts w:hint="eastAsia"/>
          <w:color w:val="000000"/>
        </w:rPr>
        <w:t>持股37%之轉</w:t>
      </w:r>
      <w:r w:rsidR="004B258F">
        <w:rPr>
          <w:rFonts w:hint="eastAsia"/>
          <w:color w:val="000000"/>
        </w:rPr>
        <w:t>投資</w:t>
      </w:r>
      <w:r>
        <w:rPr>
          <w:rFonts w:hint="eastAsia"/>
          <w:color w:val="000000"/>
        </w:rPr>
        <w:t>財金資訊股份有限公司(</w:t>
      </w:r>
      <w:r w:rsidR="004B258F">
        <w:t>下稱</w:t>
      </w:r>
      <w:r>
        <w:rPr>
          <w:rFonts w:hint="eastAsia"/>
        </w:rPr>
        <w:t>財金</w:t>
      </w:r>
      <w:r w:rsidR="004B258F">
        <w:t>公司</w:t>
      </w:r>
      <w:r>
        <w:rPr>
          <w:rFonts w:hint="eastAsia"/>
        </w:rPr>
        <w:t>)之投資利益9億1</w:t>
      </w:r>
      <w:r>
        <w:t>,</w:t>
      </w:r>
      <w:r>
        <w:rPr>
          <w:rFonts w:hint="eastAsia"/>
        </w:rPr>
        <w:t>702萬6</w:t>
      </w:r>
      <w:r w:rsidR="004B258F">
        <w:rPr>
          <w:rFonts w:hint="eastAsia"/>
        </w:rPr>
        <w:t>千元，</w:t>
      </w:r>
      <w:r>
        <w:rPr>
          <w:rFonts w:hint="eastAsia"/>
        </w:rPr>
        <w:t>較113年度預算案數8億8</w:t>
      </w:r>
      <w:r>
        <w:t>,</w:t>
      </w:r>
      <w:r>
        <w:rPr>
          <w:rFonts w:hint="eastAsia"/>
        </w:rPr>
        <w:t>132萬元增加</w:t>
      </w:r>
      <w:r w:rsidR="00D95F76">
        <w:rPr>
          <w:rFonts w:hint="eastAsia"/>
        </w:rPr>
        <w:t>3</w:t>
      </w:r>
      <w:r w:rsidR="00D95F76">
        <w:t>,</w:t>
      </w:r>
      <w:r w:rsidR="00D95F76">
        <w:rPr>
          <w:rFonts w:hint="eastAsia"/>
        </w:rPr>
        <w:t>570萬6千元</w:t>
      </w:r>
      <w:r>
        <w:rPr>
          <w:rFonts w:hint="eastAsia"/>
        </w:rPr>
        <w:t>(增幅</w:t>
      </w:r>
      <w:r w:rsidR="00D95F76">
        <w:rPr>
          <w:rFonts w:hint="eastAsia"/>
        </w:rPr>
        <w:t>4.05</w:t>
      </w:r>
      <w:r w:rsidR="00D95F76">
        <w:t>%</w:t>
      </w:r>
      <w:r>
        <w:rPr>
          <w:rFonts w:hint="eastAsia"/>
        </w:rPr>
        <w:t>)，較112年度決算數10</w:t>
      </w:r>
      <w:r w:rsidR="00D95F76">
        <w:rPr>
          <w:rFonts w:hint="eastAsia"/>
        </w:rPr>
        <w:t>億</w:t>
      </w:r>
      <w:r>
        <w:rPr>
          <w:rFonts w:hint="eastAsia"/>
        </w:rPr>
        <w:t>3</w:t>
      </w:r>
      <w:r w:rsidR="00D95F76">
        <w:t>,</w:t>
      </w:r>
      <w:r>
        <w:rPr>
          <w:rFonts w:hint="eastAsia"/>
        </w:rPr>
        <w:t>423</w:t>
      </w:r>
      <w:r w:rsidR="00D95F76">
        <w:rPr>
          <w:rFonts w:hint="eastAsia"/>
        </w:rPr>
        <w:t>萬</w:t>
      </w:r>
      <w:r>
        <w:rPr>
          <w:rFonts w:hint="eastAsia"/>
        </w:rPr>
        <w:t>8千元減少</w:t>
      </w:r>
      <w:r w:rsidR="00D95F76">
        <w:rPr>
          <w:rFonts w:hint="eastAsia"/>
        </w:rPr>
        <w:t>1億1</w:t>
      </w:r>
      <w:r w:rsidR="00D95F76">
        <w:t>,</w:t>
      </w:r>
      <w:r w:rsidR="00D95F76">
        <w:rPr>
          <w:rFonts w:hint="eastAsia"/>
        </w:rPr>
        <w:t>721萬2千元</w:t>
      </w:r>
      <w:r>
        <w:rPr>
          <w:rFonts w:hint="eastAsia"/>
        </w:rPr>
        <w:t>(減幅</w:t>
      </w:r>
      <w:r w:rsidR="00D95F76">
        <w:rPr>
          <w:rFonts w:hint="eastAsia"/>
        </w:rPr>
        <w:t>11.33%</w:t>
      </w:r>
      <w:r>
        <w:rPr>
          <w:rFonts w:hint="eastAsia"/>
        </w:rPr>
        <w:t>)</w:t>
      </w:r>
      <w:r w:rsidR="004B258F" w:rsidRPr="00C10D2D">
        <w:rPr>
          <w:rFonts w:hint="eastAsia"/>
          <w:color w:val="000000"/>
        </w:rPr>
        <w:t>。</w:t>
      </w:r>
      <w:r w:rsidR="004B258F" w:rsidRPr="007D6B5F">
        <w:rPr>
          <w:rFonts w:hint="eastAsia"/>
          <w:lang w:eastAsia="zh-HK"/>
        </w:rPr>
        <w:t>經查</w:t>
      </w:r>
      <w:r w:rsidR="004B258F" w:rsidRPr="007D6B5F">
        <w:rPr>
          <w:rFonts w:hint="eastAsia"/>
        </w:rPr>
        <w:t>：</w:t>
      </w:r>
    </w:p>
    <w:p w:rsidR="004B258F" w:rsidRPr="00D95F76" w:rsidRDefault="004B258F" w:rsidP="00D95F76">
      <w:pPr>
        <w:pStyle w:val="a4"/>
        <w:rPr>
          <w:b/>
        </w:rPr>
      </w:pPr>
      <w:r w:rsidRPr="00D95F76">
        <w:rPr>
          <w:rFonts w:hint="eastAsia"/>
          <w:b/>
        </w:rPr>
        <w:t>(一)</w:t>
      </w:r>
      <w:r w:rsidR="003704F2" w:rsidRPr="00135425">
        <w:rPr>
          <w:rFonts w:hint="eastAsia"/>
          <w:b/>
          <w:spacing w:val="-7"/>
        </w:rPr>
        <w:t>承接財政部</w:t>
      </w:r>
      <w:r w:rsidR="002318A1" w:rsidRPr="00135425">
        <w:rPr>
          <w:rFonts w:hint="eastAsia"/>
          <w:b/>
          <w:spacing w:val="-7"/>
        </w:rPr>
        <w:t>股份轉投資財金公司，並依據收支估算數編列預算</w:t>
      </w:r>
    </w:p>
    <w:p w:rsidR="00DD331A" w:rsidRDefault="00B23B67" w:rsidP="00D95F76">
      <w:pPr>
        <w:pStyle w:val="21"/>
        <w:ind w:left="850" w:firstLine="566"/>
      </w:pPr>
      <w:r w:rsidRPr="00B23B67">
        <w:rPr>
          <w:rFonts w:hint="eastAsia"/>
        </w:rPr>
        <w:t>為促進金融業之資源共享、資訊互通，並提昇金融體系全面自動化，財政部於73年成立</w:t>
      </w:r>
      <w:r>
        <w:rPr>
          <w:rFonts w:hint="eastAsia"/>
        </w:rPr>
        <w:t>金融資訊規劃設計小組</w:t>
      </w:r>
      <w:r w:rsidRPr="00B23B67">
        <w:rPr>
          <w:rFonts w:hint="eastAsia"/>
        </w:rPr>
        <w:t>，負責金融機構間跨行網路規劃、設計及建置重責。</w:t>
      </w:r>
      <w:r>
        <w:rPr>
          <w:rFonts w:hint="eastAsia"/>
        </w:rPr>
        <w:t>其間</w:t>
      </w:r>
      <w:r w:rsidRPr="00B23B67">
        <w:rPr>
          <w:rFonts w:hint="eastAsia"/>
        </w:rPr>
        <w:t>於77年</w:t>
      </w:r>
      <w:r>
        <w:rPr>
          <w:rFonts w:hint="eastAsia"/>
        </w:rPr>
        <w:t>改制為</w:t>
      </w:r>
      <w:r w:rsidRPr="00B23B67">
        <w:rPr>
          <w:rFonts w:hint="eastAsia"/>
        </w:rPr>
        <w:t>金融資訊服務中心作業基金</w:t>
      </w:r>
      <w:r>
        <w:rPr>
          <w:rFonts w:hint="eastAsia"/>
        </w:rPr>
        <w:t>，</w:t>
      </w:r>
      <w:r w:rsidRPr="00B23B67">
        <w:rPr>
          <w:rFonts w:hint="eastAsia"/>
        </w:rPr>
        <w:t>87年由財政部及公、民營金融機構共同出資籌設財金公司</w:t>
      </w:r>
      <w:r>
        <w:rPr>
          <w:rFonts w:hint="eastAsia"/>
        </w:rPr>
        <w:t>，股權</w:t>
      </w:r>
      <w:r w:rsidRPr="00B23B67">
        <w:rPr>
          <w:rFonts w:hint="eastAsia"/>
        </w:rPr>
        <w:t>復於103年由財政部移轉予央行，賡續提供跨行交易轉接</w:t>
      </w:r>
      <w:r w:rsidR="00CE7F34">
        <w:rPr>
          <w:rFonts w:hint="eastAsia"/>
        </w:rPr>
        <w:t>及</w:t>
      </w:r>
      <w:r w:rsidRPr="00B23B67">
        <w:rPr>
          <w:rFonts w:hint="eastAsia"/>
        </w:rPr>
        <w:t>結(清)算服務，與金融機構及國際組織連接，建構電子金融支付網絡</w:t>
      </w:r>
      <w:r w:rsidR="007F50D0">
        <w:rPr>
          <w:rFonts w:hint="eastAsia"/>
        </w:rPr>
        <w:t>及</w:t>
      </w:r>
      <w:r w:rsidRPr="00B23B67">
        <w:rPr>
          <w:rFonts w:hint="eastAsia"/>
        </w:rPr>
        <w:t>金流服務。</w:t>
      </w:r>
    </w:p>
    <w:p w:rsidR="007F50D0" w:rsidRDefault="007F50D0" w:rsidP="00D95F76">
      <w:pPr>
        <w:pStyle w:val="21"/>
        <w:ind w:left="850" w:firstLine="566"/>
      </w:pPr>
      <w:r>
        <w:rPr>
          <w:rFonts w:hint="eastAsia"/>
        </w:rPr>
        <w:t>央行持有財金公司股份</w:t>
      </w:r>
      <w:r w:rsidR="003704F2">
        <w:rPr>
          <w:rFonts w:hint="eastAsia"/>
        </w:rPr>
        <w:t>比率</w:t>
      </w:r>
      <w:r w:rsidR="005C21F1">
        <w:rPr>
          <w:rFonts w:hint="eastAsia"/>
        </w:rPr>
        <w:t>為</w:t>
      </w:r>
      <w:r>
        <w:rPr>
          <w:rFonts w:hint="eastAsia"/>
        </w:rPr>
        <w:t>37%，15席董事中派任11席董事，</w:t>
      </w:r>
      <w:r w:rsidR="005C21F1">
        <w:rPr>
          <w:rFonts w:hint="eastAsia"/>
        </w:rPr>
        <w:t>採權益法認列事業利益。據該行說明估列依據略以，</w:t>
      </w:r>
      <w:r w:rsidR="003704F2">
        <w:rPr>
          <w:rFonts w:hint="eastAsia"/>
        </w:rPr>
        <w:t>該</w:t>
      </w:r>
      <w:r w:rsidR="003704F2" w:rsidRPr="003704F2">
        <w:rPr>
          <w:rFonts w:hint="eastAsia"/>
        </w:rPr>
        <w:t>公司業務與國內經濟活動</w:t>
      </w:r>
      <w:r w:rsidR="003704F2">
        <w:rPr>
          <w:rFonts w:hint="eastAsia"/>
        </w:rPr>
        <w:t>及金融環境數位化程度密切相關，</w:t>
      </w:r>
      <w:r w:rsidR="003704F2" w:rsidRPr="003704F2">
        <w:rPr>
          <w:rFonts w:hint="eastAsia"/>
        </w:rPr>
        <w:t>主要參考經濟情勢及業務發展趨勢估列收入</w:t>
      </w:r>
      <w:r w:rsidR="003704F2">
        <w:rPr>
          <w:rFonts w:hint="eastAsia"/>
        </w:rPr>
        <w:t>，</w:t>
      </w:r>
      <w:r w:rsidR="003704F2" w:rsidRPr="003704F2">
        <w:rPr>
          <w:rFonts w:hint="eastAsia"/>
        </w:rPr>
        <w:t>配合業務規模所需之營銷費用、資訊安全防護及金流基礎建設等估列費用</w:t>
      </w:r>
      <w:r w:rsidR="003704F2">
        <w:rPr>
          <w:rFonts w:hint="eastAsia"/>
        </w:rPr>
        <w:t>，</w:t>
      </w:r>
      <w:r w:rsidR="00603017">
        <w:rPr>
          <w:rFonts w:hint="eastAsia"/>
        </w:rPr>
        <w:t>該行則據其估算數</w:t>
      </w:r>
      <w:r w:rsidR="003704F2" w:rsidRPr="003704F2">
        <w:rPr>
          <w:rFonts w:hint="eastAsia"/>
        </w:rPr>
        <w:t>編列歷年預算。</w:t>
      </w:r>
    </w:p>
    <w:p w:rsidR="007F50D0" w:rsidRPr="00CE7F34" w:rsidRDefault="00854CA6" w:rsidP="00854CA6">
      <w:pPr>
        <w:pStyle w:val="a4"/>
        <w:rPr>
          <w:rFonts w:hint="eastAsia"/>
          <w:b/>
        </w:rPr>
      </w:pPr>
      <w:r w:rsidRPr="00CE7F34">
        <w:rPr>
          <w:rFonts w:hint="eastAsia"/>
          <w:b/>
        </w:rPr>
        <w:t>(二)</w:t>
      </w:r>
      <w:r w:rsidR="00060F18">
        <w:rPr>
          <w:rFonts w:hint="eastAsia"/>
          <w:b/>
        </w:rPr>
        <w:t>認列財金公司利益</w:t>
      </w:r>
      <w:r w:rsidR="00A95D1A">
        <w:rPr>
          <w:rFonts w:hint="eastAsia"/>
          <w:b/>
        </w:rPr>
        <w:t>預決算</w:t>
      </w:r>
      <w:r w:rsidR="00060F18">
        <w:rPr>
          <w:rFonts w:hint="eastAsia"/>
          <w:b/>
        </w:rPr>
        <w:t>差異甚巨，允宜責成精進估算作業</w:t>
      </w:r>
    </w:p>
    <w:p w:rsidR="00854CA6" w:rsidRDefault="004E4B3E" w:rsidP="00D95F76">
      <w:pPr>
        <w:pStyle w:val="21"/>
        <w:ind w:left="850" w:firstLine="566"/>
      </w:pPr>
      <w:r>
        <w:rPr>
          <w:rFonts w:hint="eastAsia"/>
        </w:rPr>
        <w:t>參據</w:t>
      </w:r>
      <w:r w:rsidR="00603017">
        <w:rPr>
          <w:rFonts w:hint="eastAsia"/>
        </w:rPr>
        <w:t>央行認列財金公司利益情形(詳表1)，108至112年度間各年度差異數近2億元至3億元，差異比率逾3成，110年度更逾5成</w:t>
      </w:r>
      <w:r w:rsidR="00165D9A">
        <w:rPr>
          <w:rFonts w:hint="eastAsia"/>
        </w:rPr>
        <w:t>；據</w:t>
      </w:r>
      <w:r w:rsidR="00B74819">
        <w:rPr>
          <w:rFonts w:hint="eastAsia"/>
        </w:rPr>
        <w:t>該行說明差異原因略以，近</w:t>
      </w:r>
      <w:r w:rsidR="00B74819" w:rsidRPr="00B74819">
        <w:rPr>
          <w:rFonts w:hint="eastAsia"/>
        </w:rPr>
        <w:t>年</w:t>
      </w:r>
      <w:r w:rsidR="00B74819">
        <w:rPr>
          <w:rFonts w:hint="eastAsia"/>
        </w:rPr>
        <w:t>度</w:t>
      </w:r>
      <w:r w:rsidR="00AE237C">
        <w:rPr>
          <w:rFonts w:hint="eastAsia"/>
        </w:rPr>
        <w:t>因</w:t>
      </w:r>
      <w:r w:rsidR="00B74819" w:rsidRPr="00B74819">
        <w:rPr>
          <w:rFonts w:hint="eastAsia"/>
        </w:rPr>
        <w:t>新冠肺炎疫情及俄烏戰爭，受限於國內外人員移動限制及機器設備或服務無法如期到位等不可抗力因素，相關業務推展或建設支出等被迫延遲，無法如期執行，降低費用達成率，且疫情催化無接觸金融服務需求，促使網路及行動金融交易成長，爰收入略優於預算</w:t>
      </w:r>
      <w:r w:rsidR="008E1FF2">
        <w:rPr>
          <w:rFonts w:hint="eastAsia"/>
        </w:rPr>
        <w:t>所致。</w:t>
      </w:r>
      <w:r w:rsidR="006E446A">
        <w:rPr>
          <w:rFonts w:hint="eastAsia"/>
        </w:rPr>
        <w:t>惟</w:t>
      </w:r>
      <w:r w:rsidR="00C22230">
        <w:rPr>
          <w:rFonts w:hint="eastAsia"/>
        </w:rPr>
        <w:t>央行轉投資利益預決算差異</w:t>
      </w:r>
      <w:r w:rsidR="003B0FFF">
        <w:rPr>
          <w:rFonts w:hint="eastAsia"/>
        </w:rPr>
        <w:t>早</w:t>
      </w:r>
      <w:r w:rsidR="00C22230">
        <w:rPr>
          <w:rFonts w:hint="eastAsia"/>
        </w:rPr>
        <w:t>於疫情前(</w:t>
      </w:r>
      <w:r w:rsidR="00C22230">
        <w:t>108</w:t>
      </w:r>
      <w:r w:rsidR="00C22230">
        <w:rPr>
          <w:rFonts w:hint="eastAsia"/>
        </w:rPr>
        <w:t>年度)即逾2億元(</w:t>
      </w:r>
      <w:r w:rsidR="003B0FFF">
        <w:t>40.07%</w:t>
      </w:r>
      <w:r w:rsidR="00C22230">
        <w:rPr>
          <w:rFonts w:hint="eastAsia"/>
        </w:rPr>
        <w:t>)</w:t>
      </w:r>
      <w:r w:rsidR="008E1FF2">
        <w:rPr>
          <w:rFonts w:hint="eastAsia"/>
        </w:rPr>
        <w:t>，</w:t>
      </w:r>
      <w:r w:rsidR="00C22230">
        <w:rPr>
          <w:rFonts w:hint="eastAsia"/>
        </w:rPr>
        <w:t>況</w:t>
      </w:r>
      <w:r w:rsidR="00A96AE0">
        <w:rPr>
          <w:rFonts w:hint="eastAsia"/>
        </w:rPr>
        <w:t>財金公司業務</w:t>
      </w:r>
      <w:r w:rsidR="00FD685C">
        <w:rPr>
          <w:rFonts w:hint="eastAsia"/>
        </w:rPr>
        <w:t>涵括多項金流服務</w:t>
      </w:r>
      <w:r w:rsidR="00FD685C">
        <w:rPr>
          <w:rStyle w:val="af1"/>
        </w:rPr>
        <w:footnoteReference w:id="12"/>
      </w:r>
      <w:r w:rsidR="00A96AE0">
        <w:rPr>
          <w:rFonts w:hint="eastAsia"/>
        </w:rPr>
        <w:t>，疫</w:t>
      </w:r>
      <w:r w:rsidR="00C22230">
        <w:rPr>
          <w:rFonts w:hint="eastAsia"/>
        </w:rPr>
        <w:t>情</w:t>
      </w:r>
      <w:r w:rsidR="00FD685C">
        <w:rPr>
          <w:rFonts w:hint="eastAsia"/>
        </w:rPr>
        <w:t>加速</w:t>
      </w:r>
      <w:r w:rsidR="00C22230">
        <w:rPr>
          <w:rFonts w:hint="eastAsia"/>
        </w:rPr>
        <w:t>服務數位化，數位金融程度加深，</w:t>
      </w:r>
      <w:r w:rsidR="006E446A">
        <w:rPr>
          <w:rFonts w:hint="eastAsia"/>
        </w:rPr>
        <w:t>業務成長可期</w:t>
      </w:r>
      <w:r w:rsidR="00C22230">
        <w:rPr>
          <w:rFonts w:hint="eastAsia"/>
        </w:rPr>
        <w:t>，</w:t>
      </w:r>
      <w:r w:rsidR="00FD685C">
        <w:rPr>
          <w:rFonts w:hint="eastAsia"/>
        </w:rPr>
        <w:t>尚非</w:t>
      </w:r>
      <w:r w:rsidR="00FE27FB">
        <w:rPr>
          <w:rFonts w:hint="eastAsia"/>
        </w:rPr>
        <w:t>全數</w:t>
      </w:r>
      <w:r w:rsidR="006E446A">
        <w:rPr>
          <w:rFonts w:hint="eastAsia"/>
        </w:rPr>
        <w:t>無法預測</w:t>
      </w:r>
      <w:r w:rsidR="00132EC3">
        <w:rPr>
          <w:rFonts w:hint="eastAsia"/>
        </w:rPr>
        <w:t>，容須改進</w:t>
      </w:r>
      <w:r w:rsidR="00A96AE0">
        <w:rPr>
          <w:rFonts w:hint="eastAsia"/>
        </w:rPr>
        <w:t>，允宜責成其精進估算作業</w:t>
      </w:r>
      <w:r w:rsidR="00FD685C">
        <w:rPr>
          <w:rFonts w:hint="eastAsia"/>
        </w:rPr>
        <w:t>。</w:t>
      </w:r>
    </w:p>
    <w:p w:rsidR="00026C44" w:rsidRDefault="004B258F" w:rsidP="004B258F">
      <w:pPr>
        <w:ind w:leftChars="1" w:left="630" w:hangingChars="221" w:hanging="627"/>
        <w:rPr>
          <w:b/>
        </w:rPr>
      </w:pPr>
      <w:r w:rsidRPr="00AB5742">
        <w:rPr>
          <w:rFonts w:hint="eastAsia"/>
          <w:b/>
          <w:lang w:eastAsia="zh-HK"/>
        </w:rPr>
        <w:t>表</w:t>
      </w:r>
      <w:r>
        <w:rPr>
          <w:rFonts w:hint="eastAsia"/>
          <w:b/>
        </w:rPr>
        <w:t xml:space="preserve">1 </w:t>
      </w:r>
      <w:r w:rsidR="00026C44">
        <w:rPr>
          <w:rFonts w:hint="eastAsia"/>
          <w:b/>
        </w:rPr>
        <w:t>央行</w:t>
      </w:r>
      <w:r>
        <w:rPr>
          <w:rFonts w:hint="eastAsia"/>
          <w:b/>
        </w:rPr>
        <w:t>近</w:t>
      </w:r>
      <w:r w:rsidR="00026C44">
        <w:rPr>
          <w:b/>
        </w:rPr>
        <w:t>7</w:t>
      </w:r>
      <w:r>
        <w:rPr>
          <w:rFonts w:hint="eastAsia"/>
          <w:b/>
        </w:rPr>
        <w:t>年</w:t>
      </w:r>
      <w:r w:rsidR="00026C44">
        <w:rPr>
          <w:rFonts w:hint="eastAsia"/>
          <w:b/>
        </w:rPr>
        <w:t>度轉投資財金公司利益預決算情形表</w:t>
      </w:r>
    </w:p>
    <w:p w:rsidR="004B258F" w:rsidRDefault="00123CBD" w:rsidP="00026C44">
      <w:pPr>
        <w:pStyle w:val="142"/>
        <w:jc w:val="right"/>
      </w:pPr>
      <w:r>
        <w:rPr>
          <w:rFonts w:hint="eastAsia"/>
          <w:b/>
        </w:rPr>
        <w:t xml:space="preserve">     </w:t>
      </w:r>
      <w:r w:rsidR="004B258F" w:rsidRPr="00E21237">
        <w:rPr>
          <w:rFonts w:hint="eastAsia"/>
        </w:rPr>
        <w:t>單位：新臺幣千元</w:t>
      </w:r>
      <w:r>
        <w:rPr>
          <w:rFonts w:hint="eastAsia"/>
        </w:rPr>
        <w:t>；%</w:t>
      </w:r>
    </w:p>
    <w:tbl>
      <w:tblPr>
        <w:tblW w:w="8538" w:type="dxa"/>
        <w:tblInd w:w="-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876"/>
        <w:gridCol w:w="992"/>
        <w:gridCol w:w="851"/>
        <w:gridCol w:w="992"/>
        <w:gridCol w:w="851"/>
        <w:gridCol w:w="1134"/>
        <w:gridCol w:w="850"/>
        <w:gridCol w:w="992"/>
      </w:tblGrid>
      <w:tr w:rsidR="00B74819" w:rsidRPr="00B74819" w:rsidTr="00B74819">
        <w:trPr>
          <w:trHeight w:val="20"/>
          <w:tblHeader/>
        </w:trPr>
        <w:tc>
          <w:tcPr>
            <w:tcW w:w="1876" w:type="dxa"/>
            <w:shd w:val="clear" w:color="auto" w:fill="auto"/>
            <w:vAlign w:val="center"/>
          </w:tcPr>
          <w:p w:rsidR="00B74819" w:rsidRPr="007C485A" w:rsidRDefault="00B74819" w:rsidP="00B74819">
            <w:pPr>
              <w:pStyle w:val="142"/>
              <w:jc w:val="center"/>
              <w:rPr>
                <w:b/>
                <w:sz w:val="22"/>
                <w:szCs w:val="22"/>
              </w:rPr>
            </w:pPr>
            <w:r w:rsidRPr="007C485A">
              <w:rPr>
                <w:b/>
                <w:sz w:val="22"/>
                <w:szCs w:val="22"/>
              </w:rPr>
              <w:t>年度</w:t>
            </w:r>
          </w:p>
        </w:tc>
        <w:tc>
          <w:tcPr>
            <w:tcW w:w="992" w:type="dxa"/>
            <w:vAlign w:val="center"/>
          </w:tcPr>
          <w:p w:rsidR="00B74819" w:rsidRPr="007C485A" w:rsidRDefault="00B74819" w:rsidP="00B74819">
            <w:pPr>
              <w:pStyle w:val="142"/>
              <w:jc w:val="center"/>
              <w:rPr>
                <w:b/>
                <w:sz w:val="22"/>
                <w:szCs w:val="22"/>
              </w:rPr>
            </w:pPr>
            <w:r w:rsidRPr="007C485A">
              <w:rPr>
                <w:b/>
                <w:sz w:val="22"/>
                <w:szCs w:val="22"/>
              </w:rPr>
              <w:t>108</w:t>
            </w:r>
          </w:p>
        </w:tc>
        <w:tc>
          <w:tcPr>
            <w:tcW w:w="851" w:type="dxa"/>
            <w:vAlign w:val="center"/>
          </w:tcPr>
          <w:p w:rsidR="00B74819" w:rsidRPr="007C485A" w:rsidRDefault="00B74819" w:rsidP="00B74819">
            <w:pPr>
              <w:pStyle w:val="142"/>
              <w:jc w:val="center"/>
              <w:rPr>
                <w:b/>
                <w:sz w:val="22"/>
                <w:szCs w:val="22"/>
              </w:rPr>
            </w:pPr>
            <w:r w:rsidRPr="007C485A">
              <w:rPr>
                <w:b/>
                <w:sz w:val="22"/>
                <w:szCs w:val="22"/>
              </w:rPr>
              <w:t>109</w:t>
            </w:r>
          </w:p>
        </w:tc>
        <w:tc>
          <w:tcPr>
            <w:tcW w:w="992" w:type="dxa"/>
            <w:vAlign w:val="center"/>
          </w:tcPr>
          <w:p w:rsidR="00B74819" w:rsidRPr="007C485A" w:rsidRDefault="00B74819" w:rsidP="00B74819">
            <w:pPr>
              <w:pStyle w:val="142"/>
              <w:jc w:val="center"/>
              <w:rPr>
                <w:b/>
                <w:sz w:val="22"/>
                <w:szCs w:val="22"/>
              </w:rPr>
            </w:pPr>
            <w:r w:rsidRPr="007C485A">
              <w:rPr>
                <w:b/>
                <w:sz w:val="22"/>
                <w:szCs w:val="22"/>
              </w:rPr>
              <w:t>110</w:t>
            </w:r>
          </w:p>
        </w:tc>
        <w:tc>
          <w:tcPr>
            <w:tcW w:w="851" w:type="dxa"/>
            <w:vAlign w:val="center"/>
          </w:tcPr>
          <w:p w:rsidR="00B74819" w:rsidRPr="007C485A" w:rsidRDefault="00B74819" w:rsidP="00B74819">
            <w:pPr>
              <w:pStyle w:val="142"/>
              <w:jc w:val="center"/>
              <w:rPr>
                <w:b/>
                <w:sz w:val="22"/>
                <w:szCs w:val="22"/>
              </w:rPr>
            </w:pPr>
            <w:r w:rsidRPr="007C485A">
              <w:rPr>
                <w:b/>
                <w:sz w:val="22"/>
                <w:szCs w:val="22"/>
              </w:rPr>
              <w:t>111</w:t>
            </w:r>
          </w:p>
        </w:tc>
        <w:tc>
          <w:tcPr>
            <w:tcW w:w="1134" w:type="dxa"/>
            <w:vAlign w:val="center"/>
          </w:tcPr>
          <w:p w:rsidR="00B74819" w:rsidRPr="007C485A" w:rsidRDefault="00B74819" w:rsidP="00B74819">
            <w:pPr>
              <w:pStyle w:val="142"/>
              <w:jc w:val="center"/>
              <w:rPr>
                <w:b/>
                <w:sz w:val="22"/>
                <w:szCs w:val="22"/>
              </w:rPr>
            </w:pPr>
            <w:r w:rsidRPr="007C485A">
              <w:rPr>
                <w:b/>
                <w:sz w:val="22"/>
                <w:szCs w:val="22"/>
              </w:rPr>
              <w:t>112</w:t>
            </w:r>
          </w:p>
        </w:tc>
        <w:tc>
          <w:tcPr>
            <w:tcW w:w="850" w:type="dxa"/>
            <w:vAlign w:val="center"/>
          </w:tcPr>
          <w:p w:rsidR="00B74819" w:rsidRPr="007C485A" w:rsidRDefault="00B74819" w:rsidP="00B74819">
            <w:pPr>
              <w:pStyle w:val="142"/>
              <w:jc w:val="center"/>
              <w:rPr>
                <w:b/>
                <w:sz w:val="22"/>
                <w:szCs w:val="22"/>
              </w:rPr>
            </w:pPr>
            <w:r w:rsidRPr="007C485A">
              <w:rPr>
                <w:b/>
                <w:sz w:val="22"/>
                <w:szCs w:val="22"/>
              </w:rPr>
              <w:t>113</w:t>
            </w:r>
          </w:p>
        </w:tc>
        <w:tc>
          <w:tcPr>
            <w:tcW w:w="992" w:type="dxa"/>
            <w:vAlign w:val="center"/>
          </w:tcPr>
          <w:p w:rsidR="00B74819" w:rsidRPr="007C485A" w:rsidRDefault="00B74819" w:rsidP="00B74819">
            <w:pPr>
              <w:pStyle w:val="142"/>
              <w:jc w:val="center"/>
              <w:rPr>
                <w:b/>
                <w:sz w:val="22"/>
                <w:szCs w:val="22"/>
              </w:rPr>
            </w:pPr>
            <w:r w:rsidRPr="007C485A">
              <w:rPr>
                <w:b/>
                <w:sz w:val="22"/>
                <w:szCs w:val="22"/>
              </w:rPr>
              <w:t>114</w:t>
            </w:r>
          </w:p>
        </w:tc>
      </w:tr>
      <w:tr w:rsidR="00B74819" w:rsidRPr="00B74819" w:rsidTr="00B74819">
        <w:trPr>
          <w:trHeight w:val="20"/>
        </w:trPr>
        <w:tc>
          <w:tcPr>
            <w:tcW w:w="1876" w:type="dxa"/>
            <w:shd w:val="clear" w:color="auto" w:fill="auto"/>
            <w:vAlign w:val="center"/>
          </w:tcPr>
          <w:p w:rsidR="00B74819" w:rsidRPr="00B74819" w:rsidRDefault="00B74819" w:rsidP="00B74819">
            <w:pPr>
              <w:pStyle w:val="142"/>
              <w:rPr>
                <w:sz w:val="22"/>
                <w:szCs w:val="22"/>
              </w:rPr>
            </w:pPr>
            <w:r w:rsidRPr="00B74819">
              <w:rPr>
                <w:sz w:val="22"/>
                <w:szCs w:val="22"/>
              </w:rPr>
              <w:t>預算</w:t>
            </w:r>
            <w:r w:rsidR="00AE237C">
              <w:rPr>
                <w:rFonts w:hint="eastAsia"/>
                <w:sz w:val="22"/>
                <w:szCs w:val="22"/>
              </w:rPr>
              <w:t>數</w:t>
            </w:r>
            <w:r w:rsidRPr="00B74819">
              <w:rPr>
                <w:rFonts w:hint="eastAsia"/>
                <w:sz w:val="22"/>
                <w:szCs w:val="22"/>
              </w:rPr>
              <w:t>(</w:t>
            </w:r>
            <w:r w:rsidRPr="00B74819">
              <w:rPr>
                <w:sz w:val="22"/>
                <w:szCs w:val="22"/>
              </w:rPr>
              <w:t>A</w:t>
            </w:r>
            <w:r w:rsidRPr="00B74819">
              <w:rPr>
                <w:rFonts w:hint="eastAsia"/>
                <w:sz w:val="22"/>
                <w:szCs w:val="22"/>
              </w:rPr>
              <w:t>)</w:t>
            </w:r>
          </w:p>
        </w:tc>
        <w:tc>
          <w:tcPr>
            <w:tcW w:w="992" w:type="dxa"/>
            <w:vAlign w:val="center"/>
          </w:tcPr>
          <w:p w:rsidR="00B74819" w:rsidRPr="00B74819" w:rsidRDefault="00B74819" w:rsidP="00B74819">
            <w:pPr>
              <w:pStyle w:val="142"/>
              <w:jc w:val="right"/>
              <w:rPr>
                <w:sz w:val="22"/>
                <w:szCs w:val="22"/>
              </w:rPr>
            </w:pPr>
            <w:r w:rsidRPr="00B74819">
              <w:rPr>
                <w:sz w:val="22"/>
                <w:szCs w:val="22"/>
              </w:rPr>
              <w:t>580,318</w:t>
            </w:r>
          </w:p>
        </w:tc>
        <w:tc>
          <w:tcPr>
            <w:tcW w:w="851" w:type="dxa"/>
            <w:vAlign w:val="center"/>
          </w:tcPr>
          <w:p w:rsidR="00B74819" w:rsidRPr="00B74819" w:rsidRDefault="00B74819" w:rsidP="00B74819">
            <w:pPr>
              <w:pStyle w:val="142"/>
              <w:jc w:val="right"/>
              <w:rPr>
                <w:sz w:val="22"/>
                <w:szCs w:val="22"/>
              </w:rPr>
            </w:pPr>
            <w:r w:rsidRPr="00B74819">
              <w:rPr>
                <w:sz w:val="22"/>
                <w:szCs w:val="22"/>
              </w:rPr>
              <w:t>634,858</w:t>
            </w:r>
          </w:p>
        </w:tc>
        <w:tc>
          <w:tcPr>
            <w:tcW w:w="992" w:type="dxa"/>
            <w:vAlign w:val="center"/>
          </w:tcPr>
          <w:p w:rsidR="00B74819" w:rsidRPr="00B74819" w:rsidRDefault="00B74819" w:rsidP="00B74819">
            <w:pPr>
              <w:pStyle w:val="142"/>
              <w:jc w:val="right"/>
              <w:rPr>
                <w:sz w:val="22"/>
                <w:szCs w:val="22"/>
              </w:rPr>
            </w:pPr>
            <w:r w:rsidRPr="00B74819">
              <w:rPr>
                <w:sz w:val="22"/>
                <w:szCs w:val="22"/>
              </w:rPr>
              <w:t>567,601</w:t>
            </w:r>
          </w:p>
        </w:tc>
        <w:tc>
          <w:tcPr>
            <w:tcW w:w="851" w:type="dxa"/>
            <w:vAlign w:val="center"/>
          </w:tcPr>
          <w:p w:rsidR="00B74819" w:rsidRPr="00B74819" w:rsidRDefault="00B74819" w:rsidP="00B74819">
            <w:pPr>
              <w:pStyle w:val="142"/>
              <w:jc w:val="right"/>
              <w:rPr>
                <w:sz w:val="22"/>
                <w:szCs w:val="22"/>
              </w:rPr>
            </w:pPr>
            <w:r w:rsidRPr="00B74819">
              <w:rPr>
                <w:sz w:val="22"/>
                <w:szCs w:val="22"/>
              </w:rPr>
              <w:t>690,399</w:t>
            </w:r>
          </w:p>
        </w:tc>
        <w:tc>
          <w:tcPr>
            <w:tcW w:w="1134" w:type="dxa"/>
            <w:vAlign w:val="center"/>
          </w:tcPr>
          <w:p w:rsidR="00B74819" w:rsidRPr="00B74819" w:rsidRDefault="00B74819" w:rsidP="00B74819">
            <w:pPr>
              <w:pStyle w:val="142"/>
              <w:jc w:val="right"/>
              <w:rPr>
                <w:sz w:val="22"/>
                <w:szCs w:val="22"/>
              </w:rPr>
            </w:pPr>
            <w:r w:rsidRPr="00B74819">
              <w:rPr>
                <w:sz w:val="22"/>
                <w:szCs w:val="22"/>
              </w:rPr>
              <w:t>763,047</w:t>
            </w:r>
          </w:p>
        </w:tc>
        <w:tc>
          <w:tcPr>
            <w:tcW w:w="850" w:type="dxa"/>
            <w:tcBorders>
              <w:bottom w:val="single" w:sz="6" w:space="0" w:color="auto"/>
            </w:tcBorders>
            <w:vAlign w:val="center"/>
          </w:tcPr>
          <w:p w:rsidR="00B74819" w:rsidRPr="00B74819" w:rsidRDefault="00B74819" w:rsidP="00B74819">
            <w:pPr>
              <w:pStyle w:val="142"/>
              <w:jc w:val="right"/>
              <w:rPr>
                <w:sz w:val="22"/>
                <w:szCs w:val="22"/>
              </w:rPr>
            </w:pPr>
            <w:r w:rsidRPr="00B74819">
              <w:rPr>
                <w:sz w:val="22"/>
                <w:szCs w:val="22"/>
              </w:rPr>
              <w:t>881,320</w:t>
            </w:r>
          </w:p>
        </w:tc>
        <w:tc>
          <w:tcPr>
            <w:tcW w:w="992" w:type="dxa"/>
            <w:tcBorders>
              <w:bottom w:val="single" w:sz="6" w:space="0" w:color="auto"/>
            </w:tcBorders>
            <w:vAlign w:val="center"/>
          </w:tcPr>
          <w:p w:rsidR="00B74819" w:rsidRPr="00B74819" w:rsidRDefault="00B74819" w:rsidP="00B74819">
            <w:pPr>
              <w:pStyle w:val="142"/>
              <w:jc w:val="right"/>
              <w:rPr>
                <w:sz w:val="22"/>
                <w:szCs w:val="22"/>
              </w:rPr>
            </w:pPr>
            <w:r w:rsidRPr="00B74819">
              <w:rPr>
                <w:sz w:val="22"/>
                <w:szCs w:val="22"/>
              </w:rPr>
              <w:t>917,026</w:t>
            </w:r>
          </w:p>
        </w:tc>
      </w:tr>
      <w:tr w:rsidR="00B74819" w:rsidRPr="00B74819" w:rsidTr="00B74819">
        <w:trPr>
          <w:trHeight w:val="20"/>
        </w:trPr>
        <w:tc>
          <w:tcPr>
            <w:tcW w:w="1876" w:type="dxa"/>
            <w:shd w:val="clear" w:color="auto" w:fill="auto"/>
            <w:vAlign w:val="center"/>
          </w:tcPr>
          <w:p w:rsidR="00B74819" w:rsidRPr="00B74819" w:rsidRDefault="00B74819" w:rsidP="00B74819">
            <w:pPr>
              <w:pStyle w:val="142"/>
              <w:rPr>
                <w:sz w:val="22"/>
                <w:szCs w:val="22"/>
              </w:rPr>
            </w:pPr>
            <w:r w:rsidRPr="00B74819">
              <w:rPr>
                <w:sz w:val="22"/>
                <w:szCs w:val="22"/>
              </w:rPr>
              <w:t>決算</w:t>
            </w:r>
            <w:r w:rsidR="00AE237C">
              <w:rPr>
                <w:rFonts w:hint="eastAsia"/>
                <w:sz w:val="22"/>
                <w:szCs w:val="22"/>
              </w:rPr>
              <w:t>數</w:t>
            </w:r>
            <w:r w:rsidRPr="00B74819">
              <w:rPr>
                <w:rFonts w:hint="eastAsia"/>
                <w:sz w:val="22"/>
                <w:szCs w:val="22"/>
              </w:rPr>
              <w:t>(</w:t>
            </w:r>
            <w:r w:rsidRPr="00B74819">
              <w:rPr>
                <w:sz w:val="22"/>
                <w:szCs w:val="22"/>
              </w:rPr>
              <w:t>B)</w:t>
            </w:r>
          </w:p>
        </w:tc>
        <w:tc>
          <w:tcPr>
            <w:tcW w:w="992" w:type="dxa"/>
            <w:vAlign w:val="center"/>
          </w:tcPr>
          <w:p w:rsidR="00B74819" w:rsidRPr="00B74819" w:rsidRDefault="00B74819" w:rsidP="00B74819">
            <w:pPr>
              <w:pStyle w:val="142"/>
              <w:jc w:val="right"/>
              <w:rPr>
                <w:sz w:val="22"/>
                <w:szCs w:val="22"/>
              </w:rPr>
            </w:pPr>
            <w:r w:rsidRPr="00B74819">
              <w:rPr>
                <w:sz w:val="22"/>
                <w:szCs w:val="22"/>
              </w:rPr>
              <w:t>812,875</w:t>
            </w:r>
          </w:p>
        </w:tc>
        <w:tc>
          <w:tcPr>
            <w:tcW w:w="851" w:type="dxa"/>
            <w:vAlign w:val="center"/>
          </w:tcPr>
          <w:p w:rsidR="00B74819" w:rsidRPr="00B74819" w:rsidRDefault="00B74819" w:rsidP="00B74819">
            <w:pPr>
              <w:pStyle w:val="142"/>
              <w:jc w:val="right"/>
              <w:rPr>
                <w:sz w:val="22"/>
                <w:szCs w:val="22"/>
              </w:rPr>
            </w:pPr>
            <w:r w:rsidRPr="00B74819">
              <w:rPr>
                <w:sz w:val="22"/>
                <w:szCs w:val="22"/>
              </w:rPr>
              <w:t>834,343</w:t>
            </w:r>
          </w:p>
        </w:tc>
        <w:tc>
          <w:tcPr>
            <w:tcW w:w="992" w:type="dxa"/>
            <w:vAlign w:val="center"/>
          </w:tcPr>
          <w:p w:rsidR="00B74819" w:rsidRPr="00B74819" w:rsidRDefault="00B74819" w:rsidP="00B74819">
            <w:pPr>
              <w:pStyle w:val="142"/>
              <w:jc w:val="right"/>
              <w:rPr>
                <w:sz w:val="22"/>
                <w:szCs w:val="22"/>
              </w:rPr>
            </w:pPr>
            <w:r w:rsidRPr="00B74819">
              <w:rPr>
                <w:sz w:val="22"/>
                <w:szCs w:val="22"/>
              </w:rPr>
              <w:t>853,519</w:t>
            </w:r>
          </w:p>
        </w:tc>
        <w:tc>
          <w:tcPr>
            <w:tcW w:w="851" w:type="dxa"/>
            <w:vAlign w:val="center"/>
          </w:tcPr>
          <w:p w:rsidR="00B74819" w:rsidRPr="00B74819" w:rsidRDefault="00B74819" w:rsidP="00B74819">
            <w:pPr>
              <w:pStyle w:val="142"/>
              <w:jc w:val="right"/>
              <w:rPr>
                <w:sz w:val="22"/>
                <w:szCs w:val="22"/>
              </w:rPr>
            </w:pPr>
            <w:r w:rsidRPr="00B74819">
              <w:rPr>
                <w:sz w:val="22"/>
                <w:szCs w:val="22"/>
              </w:rPr>
              <w:t>985,945</w:t>
            </w:r>
          </w:p>
        </w:tc>
        <w:tc>
          <w:tcPr>
            <w:tcW w:w="1134" w:type="dxa"/>
            <w:vAlign w:val="center"/>
          </w:tcPr>
          <w:p w:rsidR="00B74819" w:rsidRPr="00B74819" w:rsidRDefault="00B74819" w:rsidP="00B74819">
            <w:pPr>
              <w:pStyle w:val="142"/>
              <w:jc w:val="right"/>
              <w:rPr>
                <w:sz w:val="22"/>
                <w:szCs w:val="22"/>
              </w:rPr>
            </w:pPr>
            <w:r w:rsidRPr="00B74819">
              <w:rPr>
                <w:sz w:val="22"/>
                <w:szCs w:val="22"/>
              </w:rPr>
              <w:t>1,034,238</w:t>
            </w:r>
          </w:p>
        </w:tc>
        <w:tc>
          <w:tcPr>
            <w:tcW w:w="1842" w:type="dxa"/>
            <w:gridSpan w:val="2"/>
            <w:vMerge w:val="restart"/>
            <w:tcBorders>
              <w:top w:val="single" w:sz="6" w:space="0" w:color="auto"/>
              <w:bottom w:val="single" w:sz="12" w:space="0" w:color="auto"/>
              <w:tr2bl w:val="single" w:sz="6" w:space="0" w:color="auto"/>
            </w:tcBorders>
            <w:vAlign w:val="center"/>
          </w:tcPr>
          <w:p w:rsidR="00B74819" w:rsidRPr="00B74819" w:rsidRDefault="00B74819" w:rsidP="00B74819">
            <w:pPr>
              <w:pStyle w:val="142"/>
              <w:rPr>
                <w:sz w:val="22"/>
                <w:szCs w:val="22"/>
              </w:rPr>
            </w:pPr>
          </w:p>
        </w:tc>
      </w:tr>
      <w:tr w:rsidR="00B74819" w:rsidRPr="00B74819" w:rsidTr="00B74819">
        <w:trPr>
          <w:trHeight w:val="20"/>
        </w:trPr>
        <w:tc>
          <w:tcPr>
            <w:tcW w:w="1876" w:type="dxa"/>
            <w:shd w:val="clear" w:color="auto" w:fill="auto"/>
            <w:vAlign w:val="center"/>
          </w:tcPr>
          <w:p w:rsidR="00B74819" w:rsidRPr="00B74819" w:rsidRDefault="00B74819" w:rsidP="00B74819">
            <w:pPr>
              <w:pStyle w:val="142"/>
              <w:rPr>
                <w:sz w:val="22"/>
                <w:szCs w:val="22"/>
              </w:rPr>
            </w:pPr>
            <w:r w:rsidRPr="00B74819">
              <w:rPr>
                <w:sz w:val="22"/>
                <w:szCs w:val="22"/>
              </w:rPr>
              <w:t>差異金額</w:t>
            </w:r>
            <w:r w:rsidRPr="00B74819">
              <w:rPr>
                <w:rFonts w:hint="eastAsia"/>
                <w:sz w:val="22"/>
                <w:szCs w:val="22"/>
              </w:rPr>
              <w:t>(C</w:t>
            </w:r>
            <w:r w:rsidRPr="00B74819">
              <w:rPr>
                <w:sz w:val="22"/>
                <w:szCs w:val="22"/>
              </w:rPr>
              <w:t>=B-A)</w:t>
            </w:r>
          </w:p>
        </w:tc>
        <w:tc>
          <w:tcPr>
            <w:tcW w:w="992" w:type="dxa"/>
            <w:vAlign w:val="center"/>
          </w:tcPr>
          <w:p w:rsidR="00B74819" w:rsidRPr="00B74819" w:rsidRDefault="00B74819" w:rsidP="00B74819">
            <w:pPr>
              <w:pStyle w:val="142"/>
              <w:jc w:val="right"/>
              <w:rPr>
                <w:b/>
                <w:sz w:val="22"/>
                <w:szCs w:val="22"/>
              </w:rPr>
            </w:pPr>
            <w:r w:rsidRPr="00B74819">
              <w:rPr>
                <w:b/>
                <w:sz w:val="22"/>
                <w:szCs w:val="22"/>
              </w:rPr>
              <w:t>232,557</w:t>
            </w:r>
          </w:p>
        </w:tc>
        <w:tc>
          <w:tcPr>
            <w:tcW w:w="851" w:type="dxa"/>
            <w:vAlign w:val="center"/>
          </w:tcPr>
          <w:p w:rsidR="00B74819" w:rsidRPr="00B74819" w:rsidRDefault="00B74819" w:rsidP="00B74819">
            <w:pPr>
              <w:pStyle w:val="142"/>
              <w:jc w:val="right"/>
              <w:rPr>
                <w:b/>
                <w:sz w:val="22"/>
                <w:szCs w:val="22"/>
              </w:rPr>
            </w:pPr>
            <w:r w:rsidRPr="00B74819">
              <w:rPr>
                <w:b/>
                <w:sz w:val="22"/>
                <w:szCs w:val="22"/>
              </w:rPr>
              <w:t>199,485</w:t>
            </w:r>
          </w:p>
        </w:tc>
        <w:tc>
          <w:tcPr>
            <w:tcW w:w="992" w:type="dxa"/>
            <w:vAlign w:val="center"/>
          </w:tcPr>
          <w:p w:rsidR="00B74819" w:rsidRPr="00B74819" w:rsidRDefault="00B74819" w:rsidP="00B74819">
            <w:pPr>
              <w:pStyle w:val="142"/>
              <w:jc w:val="right"/>
              <w:rPr>
                <w:b/>
                <w:sz w:val="22"/>
                <w:szCs w:val="22"/>
              </w:rPr>
            </w:pPr>
            <w:r w:rsidRPr="00B74819">
              <w:rPr>
                <w:b/>
                <w:sz w:val="22"/>
                <w:szCs w:val="22"/>
              </w:rPr>
              <w:t>285,918</w:t>
            </w:r>
          </w:p>
        </w:tc>
        <w:tc>
          <w:tcPr>
            <w:tcW w:w="851" w:type="dxa"/>
            <w:vAlign w:val="center"/>
          </w:tcPr>
          <w:p w:rsidR="00B74819" w:rsidRPr="00B74819" w:rsidRDefault="00B74819" w:rsidP="00B74819">
            <w:pPr>
              <w:pStyle w:val="142"/>
              <w:jc w:val="right"/>
              <w:rPr>
                <w:b/>
                <w:sz w:val="22"/>
                <w:szCs w:val="22"/>
              </w:rPr>
            </w:pPr>
            <w:r w:rsidRPr="00B74819">
              <w:rPr>
                <w:b/>
                <w:sz w:val="22"/>
                <w:szCs w:val="22"/>
              </w:rPr>
              <w:t>295,546</w:t>
            </w:r>
          </w:p>
        </w:tc>
        <w:tc>
          <w:tcPr>
            <w:tcW w:w="1134" w:type="dxa"/>
            <w:vAlign w:val="center"/>
          </w:tcPr>
          <w:p w:rsidR="00B74819" w:rsidRPr="00B74819" w:rsidRDefault="00B74819" w:rsidP="00B74819">
            <w:pPr>
              <w:pStyle w:val="142"/>
              <w:jc w:val="right"/>
              <w:rPr>
                <w:b/>
                <w:sz w:val="22"/>
                <w:szCs w:val="22"/>
              </w:rPr>
            </w:pPr>
            <w:r w:rsidRPr="00B74819">
              <w:rPr>
                <w:b/>
                <w:sz w:val="22"/>
                <w:szCs w:val="22"/>
              </w:rPr>
              <w:t>271,191</w:t>
            </w:r>
          </w:p>
        </w:tc>
        <w:tc>
          <w:tcPr>
            <w:tcW w:w="1842" w:type="dxa"/>
            <w:gridSpan w:val="2"/>
            <w:vMerge/>
            <w:tcBorders>
              <w:top w:val="nil"/>
              <w:bottom w:val="single" w:sz="12" w:space="0" w:color="auto"/>
              <w:tr2bl w:val="single" w:sz="6" w:space="0" w:color="auto"/>
            </w:tcBorders>
            <w:vAlign w:val="center"/>
          </w:tcPr>
          <w:p w:rsidR="00B74819" w:rsidRPr="00B74819" w:rsidRDefault="00B74819" w:rsidP="00B74819">
            <w:pPr>
              <w:pStyle w:val="142"/>
              <w:rPr>
                <w:sz w:val="22"/>
                <w:szCs w:val="22"/>
              </w:rPr>
            </w:pPr>
          </w:p>
        </w:tc>
      </w:tr>
      <w:tr w:rsidR="00B74819" w:rsidRPr="00B74819" w:rsidTr="00B9138E">
        <w:trPr>
          <w:trHeight w:val="20"/>
        </w:trPr>
        <w:tc>
          <w:tcPr>
            <w:tcW w:w="1876" w:type="dxa"/>
            <w:shd w:val="clear" w:color="auto" w:fill="auto"/>
            <w:vAlign w:val="center"/>
          </w:tcPr>
          <w:p w:rsidR="00B74819" w:rsidRPr="00B74819" w:rsidRDefault="00B74819" w:rsidP="00B74819">
            <w:pPr>
              <w:pStyle w:val="142"/>
              <w:rPr>
                <w:sz w:val="22"/>
                <w:szCs w:val="22"/>
              </w:rPr>
            </w:pPr>
            <w:r w:rsidRPr="00B74819">
              <w:rPr>
                <w:sz w:val="22"/>
                <w:szCs w:val="22"/>
              </w:rPr>
              <w:t>差異比率</w:t>
            </w:r>
            <w:r w:rsidRPr="00B74819">
              <w:rPr>
                <w:rFonts w:hint="eastAsia"/>
                <w:sz w:val="22"/>
                <w:szCs w:val="22"/>
              </w:rPr>
              <w:t>(</w:t>
            </w:r>
            <w:r w:rsidRPr="00B74819">
              <w:rPr>
                <w:sz w:val="22"/>
                <w:szCs w:val="22"/>
              </w:rPr>
              <w:t>C/A)</w:t>
            </w:r>
          </w:p>
        </w:tc>
        <w:tc>
          <w:tcPr>
            <w:tcW w:w="992" w:type="dxa"/>
            <w:vAlign w:val="center"/>
          </w:tcPr>
          <w:p w:rsidR="00B74819" w:rsidRPr="00B74819" w:rsidRDefault="00B74819" w:rsidP="00B74819">
            <w:pPr>
              <w:pStyle w:val="142"/>
              <w:jc w:val="right"/>
              <w:rPr>
                <w:b/>
                <w:sz w:val="22"/>
                <w:szCs w:val="22"/>
              </w:rPr>
            </w:pPr>
            <w:r w:rsidRPr="00B74819">
              <w:rPr>
                <w:b/>
                <w:sz w:val="22"/>
                <w:szCs w:val="22"/>
              </w:rPr>
              <w:t>40.07</w:t>
            </w:r>
          </w:p>
        </w:tc>
        <w:tc>
          <w:tcPr>
            <w:tcW w:w="851" w:type="dxa"/>
            <w:vAlign w:val="center"/>
          </w:tcPr>
          <w:p w:rsidR="00B74819" w:rsidRPr="00B74819" w:rsidRDefault="00B74819" w:rsidP="00B74819">
            <w:pPr>
              <w:pStyle w:val="142"/>
              <w:jc w:val="right"/>
              <w:rPr>
                <w:b/>
                <w:sz w:val="22"/>
                <w:szCs w:val="22"/>
              </w:rPr>
            </w:pPr>
            <w:r w:rsidRPr="00B74819">
              <w:rPr>
                <w:b/>
                <w:sz w:val="22"/>
                <w:szCs w:val="22"/>
              </w:rPr>
              <w:t>31.42</w:t>
            </w:r>
          </w:p>
        </w:tc>
        <w:tc>
          <w:tcPr>
            <w:tcW w:w="992" w:type="dxa"/>
            <w:shd w:val="clear" w:color="auto" w:fill="F2F2F2"/>
            <w:vAlign w:val="center"/>
          </w:tcPr>
          <w:p w:rsidR="00B74819" w:rsidRPr="00B74819" w:rsidRDefault="00B74819" w:rsidP="00B74819">
            <w:pPr>
              <w:pStyle w:val="142"/>
              <w:jc w:val="right"/>
              <w:rPr>
                <w:b/>
                <w:sz w:val="22"/>
                <w:szCs w:val="22"/>
              </w:rPr>
            </w:pPr>
            <w:r w:rsidRPr="00B74819">
              <w:rPr>
                <w:b/>
                <w:sz w:val="22"/>
                <w:szCs w:val="22"/>
              </w:rPr>
              <w:t>50.37</w:t>
            </w:r>
          </w:p>
        </w:tc>
        <w:tc>
          <w:tcPr>
            <w:tcW w:w="851" w:type="dxa"/>
            <w:vAlign w:val="center"/>
          </w:tcPr>
          <w:p w:rsidR="00B74819" w:rsidRPr="00B74819" w:rsidRDefault="00B74819" w:rsidP="00B74819">
            <w:pPr>
              <w:pStyle w:val="142"/>
              <w:jc w:val="right"/>
              <w:rPr>
                <w:b/>
                <w:sz w:val="22"/>
                <w:szCs w:val="22"/>
              </w:rPr>
            </w:pPr>
            <w:r w:rsidRPr="00B74819">
              <w:rPr>
                <w:b/>
                <w:sz w:val="22"/>
                <w:szCs w:val="22"/>
              </w:rPr>
              <w:t>42.</w:t>
            </w:r>
            <w:r w:rsidRPr="00B74819">
              <w:rPr>
                <w:rFonts w:hint="eastAsia"/>
                <w:b/>
                <w:sz w:val="22"/>
                <w:szCs w:val="22"/>
              </w:rPr>
              <w:t>8</w:t>
            </w:r>
            <w:r w:rsidRPr="00B74819">
              <w:rPr>
                <w:b/>
                <w:sz w:val="22"/>
                <w:szCs w:val="22"/>
              </w:rPr>
              <w:t>1</w:t>
            </w:r>
          </w:p>
        </w:tc>
        <w:tc>
          <w:tcPr>
            <w:tcW w:w="1134" w:type="dxa"/>
            <w:vAlign w:val="center"/>
          </w:tcPr>
          <w:p w:rsidR="00B74819" w:rsidRPr="00B74819" w:rsidRDefault="00B74819" w:rsidP="00B74819">
            <w:pPr>
              <w:pStyle w:val="142"/>
              <w:jc w:val="right"/>
              <w:rPr>
                <w:b/>
                <w:sz w:val="22"/>
                <w:szCs w:val="22"/>
              </w:rPr>
            </w:pPr>
            <w:r w:rsidRPr="00B74819">
              <w:rPr>
                <w:b/>
                <w:sz w:val="22"/>
                <w:szCs w:val="22"/>
              </w:rPr>
              <w:t>35.54</w:t>
            </w:r>
          </w:p>
        </w:tc>
        <w:tc>
          <w:tcPr>
            <w:tcW w:w="1842" w:type="dxa"/>
            <w:gridSpan w:val="2"/>
            <w:vMerge/>
            <w:tcBorders>
              <w:top w:val="nil"/>
              <w:bottom w:val="single" w:sz="12" w:space="0" w:color="auto"/>
              <w:tr2bl w:val="single" w:sz="6" w:space="0" w:color="auto"/>
            </w:tcBorders>
            <w:vAlign w:val="center"/>
          </w:tcPr>
          <w:p w:rsidR="00B74819" w:rsidRPr="00B74819" w:rsidRDefault="00B74819" w:rsidP="00B74819">
            <w:pPr>
              <w:pStyle w:val="142"/>
              <w:rPr>
                <w:sz w:val="22"/>
                <w:szCs w:val="22"/>
              </w:rPr>
            </w:pPr>
          </w:p>
        </w:tc>
      </w:tr>
    </w:tbl>
    <w:p w:rsidR="004B258F" w:rsidRPr="00B74819" w:rsidRDefault="004B258F" w:rsidP="00B74819">
      <w:pPr>
        <w:pStyle w:val="142"/>
        <w:rPr>
          <w:szCs w:val="24"/>
        </w:rPr>
      </w:pPr>
      <w:r w:rsidRPr="00B74819">
        <w:rPr>
          <w:rFonts w:hint="eastAsia"/>
          <w:szCs w:val="24"/>
        </w:rPr>
        <w:t>資料來源：</w:t>
      </w:r>
      <w:r w:rsidR="00123CBD" w:rsidRPr="00B74819">
        <w:rPr>
          <w:rFonts w:hint="eastAsia"/>
          <w:szCs w:val="24"/>
        </w:rPr>
        <w:t>央行</w:t>
      </w:r>
      <w:r w:rsidRPr="00B74819">
        <w:rPr>
          <w:rFonts w:hint="eastAsia"/>
          <w:szCs w:val="24"/>
        </w:rPr>
        <w:t>。</w:t>
      </w:r>
    </w:p>
    <w:p w:rsidR="00393240" w:rsidRPr="00DB21C2" w:rsidRDefault="004B258F" w:rsidP="00CC2903">
      <w:pPr>
        <w:ind w:left="566" w:firstLine="566"/>
        <w:rPr>
          <w:rFonts w:hAnsi="標楷體" w:hint="eastAsia"/>
        </w:rPr>
      </w:pPr>
      <w:r>
        <w:rPr>
          <w:rFonts w:hint="eastAsia"/>
        </w:rPr>
        <w:t>綜上，</w:t>
      </w:r>
      <w:r w:rsidR="007C485A">
        <w:rPr>
          <w:rFonts w:hint="eastAsia"/>
        </w:rPr>
        <w:t>央行採權益法認列轉投資財金公司利益，</w:t>
      </w:r>
      <w:r w:rsidR="005118C8">
        <w:rPr>
          <w:rFonts w:hint="eastAsia"/>
        </w:rPr>
        <w:t>預決算</w:t>
      </w:r>
      <w:r w:rsidR="007C485A">
        <w:rPr>
          <w:rFonts w:hint="eastAsia"/>
        </w:rPr>
        <w:t>受</w:t>
      </w:r>
      <w:r w:rsidR="007C485A" w:rsidRPr="007C485A">
        <w:rPr>
          <w:rFonts w:hint="eastAsia"/>
        </w:rPr>
        <w:t>新冠肺炎疫情及俄烏戰爭影響，</w:t>
      </w:r>
      <w:r w:rsidR="004A3D50" w:rsidRPr="007C485A">
        <w:rPr>
          <w:rFonts w:hint="eastAsia"/>
        </w:rPr>
        <w:t>催化無接觸金融服務需求，</w:t>
      </w:r>
      <w:r w:rsidR="007C485A" w:rsidRPr="007C485A">
        <w:rPr>
          <w:rFonts w:hint="eastAsia"/>
        </w:rPr>
        <w:t>業務推展或建設支出</w:t>
      </w:r>
      <w:r w:rsidR="004A3D50">
        <w:rPr>
          <w:rFonts w:hint="eastAsia"/>
        </w:rPr>
        <w:t>卻</w:t>
      </w:r>
      <w:r w:rsidR="007C485A" w:rsidRPr="007C485A">
        <w:rPr>
          <w:rFonts w:hint="eastAsia"/>
        </w:rPr>
        <w:t>被迫延遲，</w:t>
      </w:r>
      <w:r w:rsidR="007C485A">
        <w:rPr>
          <w:rFonts w:hint="eastAsia"/>
        </w:rPr>
        <w:t>致</w:t>
      </w:r>
      <w:r w:rsidR="004A3D50" w:rsidRPr="004A3D50">
        <w:rPr>
          <w:rFonts w:hint="eastAsia"/>
        </w:rPr>
        <w:t>108至112年度間差異數近2億元至3億元，差異比率逾3成，110年度更逾5成</w:t>
      </w:r>
      <w:r w:rsidR="004A3D50">
        <w:rPr>
          <w:rFonts w:hint="eastAsia"/>
        </w:rPr>
        <w:t>；</w:t>
      </w:r>
      <w:r w:rsidR="00A20973">
        <w:rPr>
          <w:rFonts w:hint="eastAsia"/>
        </w:rPr>
        <w:t>按</w:t>
      </w:r>
      <w:r w:rsidR="005118C8">
        <w:rPr>
          <w:rFonts w:hint="eastAsia"/>
        </w:rPr>
        <w:t>轉投資利益</w:t>
      </w:r>
      <w:r w:rsidR="004A3D50" w:rsidRPr="004A3D50">
        <w:rPr>
          <w:rFonts w:hint="eastAsia"/>
        </w:rPr>
        <w:t>早於疫情前差異</w:t>
      </w:r>
      <w:r w:rsidR="004A3D50">
        <w:rPr>
          <w:rFonts w:hint="eastAsia"/>
        </w:rPr>
        <w:t>數</w:t>
      </w:r>
      <w:r w:rsidR="004A3D50" w:rsidRPr="004A3D50">
        <w:rPr>
          <w:rFonts w:hint="eastAsia"/>
        </w:rPr>
        <w:t>即逾2億元(40.07%)，</w:t>
      </w:r>
      <w:r w:rsidR="00A66E4C">
        <w:rPr>
          <w:rFonts w:hint="eastAsia"/>
        </w:rPr>
        <w:t>該</w:t>
      </w:r>
      <w:r w:rsidR="004A3D50" w:rsidRPr="004A3D50">
        <w:rPr>
          <w:rFonts w:hint="eastAsia"/>
        </w:rPr>
        <w:t>公司</w:t>
      </w:r>
      <w:r w:rsidR="004A3D50">
        <w:rPr>
          <w:rFonts w:hint="eastAsia"/>
        </w:rPr>
        <w:t>受惠於數位化趨勢</w:t>
      </w:r>
      <w:r w:rsidR="005118C8">
        <w:rPr>
          <w:rFonts w:hint="eastAsia"/>
        </w:rPr>
        <w:t>具</w:t>
      </w:r>
      <w:r w:rsidR="00A66E4C">
        <w:rPr>
          <w:rFonts w:hint="eastAsia"/>
        </w:rPr>
        <w:t>業務</w:t>
      </w:r>
      <w:r w:rsidR="005118C8">
        <w:rPr>
          <w:rFonts w:hint="eastAsia"/>
        </w:rPr>
        <w:t>成長</w:t>
      </w:r>
      <w:r w:rsidR="006E446A">
        <w:rPr>
          <w:rFonts w:hint="eastAsia"/>
        </w:rPr>
        <w:t>動能</w:t>
      </w:r>
      <w:r w:rsidR="00FE27FB">
        <w:rPr>
          <w:rFonts w:hint="eastAsia"/>
        </w:rPr>
        <w:t>，尚非全數不可預期，</w:t>
      </w:r>
      <w:r w:rsidR="005118C8">
        <w:rPr>
          <w:rFonts w:hint="eastAsia"/>
        </w:rPr>
        <w:t>為</w:t>
      </w:r>
      <w:r w:rsidR="00695930">
        <w:rPr>
          <w:rFonts w:hint="eastAsia"/>
        </w:rPr>
        <w:t>提高預算編列</w:t>
      </w:r>
      <w:r w:rsidR="005118C8">
        <w:rPr>
          <w:rFonts w:hint="eastAsia"/>
        </w:rPr>
        <w:t>覈實</w:t>
      </w:r>
      <w:r w:rsidR="00695930">
        <w:rPr>
          <w:rFonts w:hint="eastAsia"/>
        </w:rPr>
        <w:t>性</w:t>
      </w:r>
      <w:r w:rsidR="005118C8">
        <w:rPr>
          <w:rFonts w:hint="eastAsia"/>
        </w:rPr>
        <w:t>，允宜責成精進估算作業。</w:t>
      </w:r>
    </w:p>
    <w:bookmarkEnd w:id="2"/>
    <w:bookmarkEnd w:id="3"/>
    <w:bookmarkEnd w:id="4"/>
    <w:bookmarkEnd w:id="5"/>
    <w:p w:rsidR="00D577C8" w:rsidRPr="00DB21C2" w:rsidRDefault="00EB438C" w:rsidP="00DB21C2">
      <w:pPr>
        <w:pStyle w:val="ab"/>
      </w:pPr>
      <w:r w:rsidRPr="00DB21C2">
        <w:rPr>
          <w:rFonts w:hint="eastAsia"/>
        </w:rPr>
        <w:t>(</w:t>
      </w:r>
      <w:r w:rsidR="006515E4" w:rsidRPr="00DB21C2">
        <w:rPr>
          <w:rFonts w:hint="eastAsia"/>
        </w:rPr>
        <w:t>分機：</w:t>
      </w:r>
      <w:r w:rsidR="002004D8" w:rsidRPr="00DB21C2">
        <w:rPr>
          <w:rFonts w:hint="eastAsia"/>
        </w:rPr>
        <w:t>193</w:t>
      </w:r>
      <w:r w:rsidR="007C0498" w:rsidRPr="00DB21C2">
        <w:t>3</w:t>
      </w:r>
      <w:r w:rsidR="007C0498" w:rsidRPr="00DB21C2">
        <w:rPr>
          <w:rFonts w:hint="eastAsia"/>
        </w:rPr>
        <w:t xml:space="preserve"> 張峻萍</w:t>
      </w:r>
      <w:r w:rsidRPr="00DB21C2">
        <w:rPr>
          <w:rFonts w:hint="eastAsia"/>
        </w:rPr>
        <w:t>）</w:t>
      </w:r>
    </w:p>
    <w:sectPr w:rsidR="00D577C8" w:rsidRPr="00DB21C2" w:rsidSect="006515E4">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27AAC" w:rsidRDefault="00627AAC" w:rsidP="00185690">
      <w:pPr>
        <w:ind w:left="560" w:firstLine="560"/>
      </w:pPr>
      <w:r>
        <w:separator/>
      </w:r>
    </w:p>
  </w:endnote>
  <w:endnote w:type="continuationSeparator" w:id="0">
    <w:p w:rsidR="00627AAC" w:rsidRDefault="00627AAC" w:rsidP="00185690">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華康細明體外字集">
    <w:panose1 w:val="02010609010101010101"/>
    <w:charset w:val="88"/>
    <w:family w:val="modern"/>
    <w:pitch w:val="fixed"/>
    <w:sig w:usb0="80000001" w:usb1="28091800" w:usb2="00000016" w:usb3="00000000" w:csb0="001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1"/>
    <w:family w:val="roman"/>
    <w:pitch w:val="variable"/>
    <w:sig w:usb0="00002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477C" w:rsidRDefault="00AB477C" w:rsidP="00185690">
    <w:pPr>
      <w:ind w:left="560" w:firstLine="560"/>
    </w:pPr>
    <w:r>
      <w:continuationSeparator/>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477C" w:rsidRDefault="00AB477C" w:rsidP="0072196A">
    <w:pPr>
      <w:pStyle w:val="af5"/>
      <w:ind w:leftChars="0" w:left="0" w:firstLineChars="0" w:firstLine="0"/>
      <w:jc w:val="center"/>
    </w:pPr>
    <w:r>
      <w:fldChar w:fldCharType="begin"/>
    </w:r>
    <w:r>
      <w:instrText>PAGE   \* MERGEFORMAT</w:instrText>
    </w:r>
    <w:r>
      <w:fldChar w:fldCharType="separate"/>
    </w:r>
    <w:r w:rsidR="00923052" w:rsidRPr="00923052">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477C" w:rsidRDefault="00AB477C" w:rsidP="00185690">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27AAC" w:rsidRDefault="00627AAC" w:rsidP="00287DC5">
      <w:pPr>
        <w:ind w:leftChars="210" w:left="588" w:firstLine="560"/>
      </w:pPr>
      <w:r>
        <w:separator/>
      </w:r>
    </w:p>
  </w:footnote>
  <w:footnote w:type="continuationSeparator" w:id="0">
    <w:p w:rsidR="00627AAC" w:rsidRDefault="00627AAC" w:rsidP="00185690">
      <w:pPr>
        <w:ind w:left="560" w:firstLine="560"/>
      </w:pPr>
      <w:r>
        <w:continuationSeparator/>
      </w:r>
    </w:p>
  </w:footnote>
  <w:footnote w:id="1">
    <w:p w:rsidR="00A45DA7" w:rsidRPr="00A45DA7" w:rsidRDefault="00A45DA7" w:rsidP="00A45DA7">
      <w:pPr>
        <w:pStyle w:val="142"/>
        <w:ind w:leftChars="-5" w:left="69" w:hangingChars="34" w:hanging="83"/>
        <w:jc w:val="both"/>
        <w:rPr>
          <w:rFonts w:hint="eastAsia"/>
        </w:rPr>
      </w:pPr>
      <w:r>
        <w:rPr>
          <w:rStyle w:val="af1"/>
        </w:rPr>
        <w:footnoteRef/>
      </w:r>
      <w:r>
        <w:rPr>
          <w:rFonts w:hint="eastAsia"/>
        </w:rPr>
        <w:t>銀行法第72條之2規定：「</w:t>
      </w:r>
      <w:r w:rsidRPr="00A45DA7">
        <w:rPr>
          <w:rFonts w:hint="eastAsia"/>
        </w:rPr>
        <w:t>商業銀行辦理住宅建築及企業建築放款之總額，不得超過放款時所收存款總餘額及金融債券發售額之和之</w:t>
      </w:r>
      <w:r>
        <w:rPr>
          <w:rFonts w:hint="eastAsia"/>
        </w:rPr>
        <w:t>3</w:t>
      </w:r>
      <w:r>
        <w:t>0%</w:t>
      </w:r>
      <w:r w:rsidRPr="00A45DA7">
        <w:rPr>
          <w:rFonts w:hint="eastAsia"/>
        </w:rPr>
        <w:t>。</w:t>
      </w:r>
      <w:r>
        <w:t>…</w:t>
      </w:r>
      <w:r>
        <w:rPr>
          <w:rFonts w:hint="eastAsia"/>
        </w:rPr>
        <w:t>」</w:t>
      </w:r>
    </w:p>
  </w:footnote>
  <w:footnote w:id="2">
    <w:p w:rsidR="00AB477C" w:rsidRPr="00CF0197" w:rsidRDefault="00AB477C" w:rsidP="00BE29CB">
      <w:pPr>
        <w:pStyle w:val="142"/>
        <w:ind w:left="61" w:hangingChars="25" w:hanging="61"/>
        <w:jc w:val="both"/>
        <w:rPr>
          <w:rFonts w:hint="eastAsia"/>
        </w:rPr>
      </w:pPr>
      <w:r>
        <w:rPr>
          <w:rStyle w:val="af1"/>
        </w:rPr>
        <w:footnoteRef/>
      </w:r>
      <w:r>
        <w:rPr>
          <w:rFonts w:hint="eastAsia"/>
        </w:rPr>
        <w:t>蔡美芬、黃惠君「</w:t>
      </w:r>
      <w:r w:rsidRPr="00BE29CB">
        <w:rPr>
          <w:rFonts w:hint="eastAsia"/>
        </w:rPr>
        <w:t>第六版國際收支統計之變革－兼述我國改版前後之差異</w:t>
      </w:r>
      <w:r>
        <w:rPr>
          <w:rFonts w:hint="eastAsia"/>
        </w:rPr>
        <w:t>」，中央銀行季刊，105年9月。</w:t>
      </w:r>
    </w:p>
  </w:footnote>
  <w:footnote w:id="3">
    <w:p w:rsidR="00F4064E" w:rsidRPr="00F4064E" w:rsidRDefault="00F4064E" w:rsidP="00F4064E">
      <w:pPr>
        <w:pStyle w:val="af"/>
        <w:ind w:leftChars="0" w:left="0" w:firstLineChars="0" w:firstLine="0"/>
        <w:rPr>
          <w:rFonts w:hint="eastAsia"/>
        </w:rPr>
      </w:pPr>
      <w:r>
        <w:rPr>
          <w:rStyle w:val="af1"/>
        </w:rPr>
        <w:footnoteRef/>
      </w:r>
      <w:r w:rsidRPr="00F4064E">
        <w:rPr>
          <w:rStyle w:val="143"/>
        </w:rPr>
        <w:t>據</w:t>
      </w:r>
      <w:r w:rsidRPr="00F4064E">
        <w:rPr>
          <w:rStyle w:val="143"/>
          <w:rFonts w:hint="eastAsia"/>
        </w:rPr>
        <w:t>IMF定義分為</w:t>
      </w:r>
      <w:r w:rsidR="001641CD" w:rsidRPr="001641CD">
        <w:rPr>
          <w:rStyle w:val="143"/>
          <w:rFonts w:hint="eastAsia"/>
        </w:rPr>
        <w:t>準備、概念驗證、原型建構、試點及實際營運</w:t>
      </w:r>
      <w:r w:rsidR="00DB137B">
        <w:rPr>
          <w:rStyle w:val="143"/>
          <w:rFonts w:hint="eastAsia"/>
        </w:rPr>
        <w:t>等5階段工作。</w:t>
      </w:r>
    </w:p>
  </w:footnote>
  <w:footnote w:id="4">
    <w:p w:rsidR="002212B3" w:rsidRPr="004D6478" w:rsidRDefault="002212B3" w:rsidP="002212B3">
      <w:pPr>
        <w:pStyle w:val="142"/>
        <w:ind w:left="61" w:hangingChars="25" w:hanging="61"/>
        <w:rPr>
          <w:rFonts w:hint="eastAsia"/>
        </w:rPr>
      </w:pPr>
      <w:r>
        <w:rPr>
          <w:rStyle w:val="af1"/>
        </w:rPr>
        <w:footnoteRef/>
      </w:r>
      <w:r>
        <w:rPr>
          <w:rFonts w:hint="eastAsia"/>
        </w:rPr>
        <w:t>發行初期不計息但保留附息功能，並設有錢包分級、隱私、個資保護、資安管理等機制，並支援多種零售支付功能。</w:t>
      </w:r>
    </w:p>
  </w:footnote>
  <w:footnote w:id="5">
    <w:p w:rsidR="002212B3" w:rsidRDefault="002212B3" w:rsidP="004332AD">
      <w:pPr>
        <w:pStyle w:val="142"/>
        <w:ind w:left="109" w:hangingChars="45" w:hanging="109"/>
        <w:jc w:val="both"/>
        <w:rPr>
          <w:rFonts w:hint="eastAsia"/>
          <w:color w:val="156082"/>
        </w:rPr>
      </w:pPr>
      <w:r>
        <w:rPr>
          <w:rStyle w:val="af1"/>
        </w:rPr>
        <w:footnoteRef/>
      </w:r>
      <w:r w:rsidRPr="004332AD">
        <w:rPr>
          <w:rFonts w:hint="eastAsia"/>
        </w:rPr>
        <w:t>「新加坡金融管理局及星國兩家銀行參與全球銀行金融電信協會(SWIFT)的</w:t>
      </w:r>
      <w:r w:rsidR="004332AD">
        <w:rPr>
          <w:rFonts w:hAnsi="標楷體" w:hint="eastAsia"/>
        </w:rPr>
        <w:t>『</w:t>
      </w:r>
      <w:r w:rsidRPr="004332AD">
        <w:rPr>
          <w:rFonts w:hint="eastAsia"/>
        </w:rPr>
        <w:t>央行數位貨幣平臺</w:t>
      </w:r>
      <w:r w:rsidR="002B7C32">
        <w:rPr>
          <w:rFonts w:hAnsi="標楷體" w:hint="eastAsia"/>
        </w:rPr>
        <w:t>』</w:t>
      </w:r>
      <w:r w:rsidRPr="004332AD">
        <w:rPr>
          <w:rFonts w:hint="eastAsia"/>
        </w:rPr>
        <w:t>沙盒測試</w:t>
      </w:r>
      <w:r w:rsidR="002B7C32" w:rsidRPr="004332AD">
        <w:rPr>
          <w:rFonts w:hint="eastAsia"/>
        </w:rPr>
        <w:t>」</w:t>
      </w:r>
      <w:r w:rsidRPr="004332AD">
        <w:rPr>
          <w:rFonts w:hint="eastAsia"/>
        </w:rPr>
        <w:t>，投資臺灣入口網，</w:t>
      </w:r>
      <w:r w:rsidRPr="004332AD">
        <w:t>113</w:t>
      </w:r>
      <w:r w:rsidRPr="004332AD">
        <w:rPr>
          <w:rFonts w:hint="eastAsia"/>
        </w:rPr>
        <w:t>年</w:t>
      </w:r>
      <w:r w:rsidRPr="004332AD">
        <w:t>3</w:t>
      </w:r>
      <w:r w:rsidRPr="004332AD">
        <w:rPr>
          <w:rFonts w:hint="eastAsia"/>
        </w:rPr>
        <w:t>月</w:t>
      </w:r>
      <w:r w:rsidRPr="004332AD">
        <w:t>27</w:t>
      </w:r>
      <w:r w:rsidRPr="004332AD">
        <w:rPr>
          <w:rFonts w:hint="eastAsia"/>
        </w:rPr>
        <w:t>日。</w:t>
      </w:r>
    </w:p>
  </w:footnote>
  <w:footnote w:id="6">
    <w:p w:rsidR="00AB477C" w:rsidRDefault="00AB477C" w:rsidP="004332AD">
      <w:pPr>
        <w:pStyle w:val="142"/>
        <w:ind w:left="158" w:hangingChars="65" w:hanging="158"/>
        <w:jc w:val="both"/>
        <w:rPr>
          <w:rFonts w:hint="eastAsia"/>
        </w:rPr>
      </w:pPr>
      <w:r>
        <w:rPr>
          <w:rStyle w:val="af1"/>
        </w:rPr>
        <w:footnoteRef/>
      </w:r>
      <w:r w:rsidRPr="0000590E">
        <w:rPr>
          <w:rFonts w:hint="eastAsia"/>
        </w:rPr>
        <w:t>美國財政部依據</w:t>
      </w:r>
      <w:r>
        <w:rPr>
          <w:rFonts w:hint="eastAsia"/>
        </w:rPr>
        <w:t>「</w:t>
      </w:r>
      <w:r w:rsidRPr="0000590E">
        <w:rPr>
          <w:rFonts w:hint="eastAsia"/>
        </w:rPr>
        <w:t>1988年綜合貿易暨競爭力法</w:t>
      </w:r>
      <w:r>
        <w:rPr>
          <w:rFonts w:hint="eastAsia"/>
        </w:rPr>
        <w:t>」(</w:t>
      </w:r>
      <w:r w:rsidRPr="0000590E">
        <w:rPr>
          <w:rFonts w:hint="eastAsia"/>
        </w:rPr>
        <w:t>OmnibusTrade and Competitiveness Act of 1988</w:t>
      </w:r>
      <w:r>
        <w:rPr>
          <w:rFonts w:hint="eastAsia"/>
        </w:rPr>
        <w:t>)</w:t>
      </w:r>
      <w:r w:rsidRPr="0000590E">
        <w:rPr>
          <w:rFonts w:hint="eastAsia"/>
        </w:rPr>
        <w:t>及「貿易便捷化暨執行法」</w:t>
      </w:r>
      <w:r>
        <w:rPr>
          <w:rFonts w:hint="eastAsia"/>
        </w:rPr>
        <w:t>(</w:t>
      </w:r>
      <w:r w:rsidRPr="0000590E">
        <w:rPr>
          <w:rFonts w:hint="eastAsia"/>
        </w:rPr>
        <w:t>Trade Facilitation and Trade Enforcement Act of 2015，下稱2015</w:t>
      </w:r>
      <w:r>
        <w:rPr>
          <w:rFonts w:hint="eastAsia"/>
        </w:rPr>
        <w:t>年法案)</w:t>
      </w:r>
      <w:r w:rsidRPr="0000590E">
        <w:rPr>
          <w:rFonts w:hint="eastAsia"/>
        </w:rPr>
        <w:t>規範，每年4月及10月定期向國會提出</w:t>
      </w:r>
      <w:r w:rsidR="00A62399">
        <w:rPr>
          <w:rFonts w:hint="eastAsia"/>
        </w:rPr>
        <w:t>「</w:t>
      </w:r>
      <w:r w:rsidRPr="0000590E">
        <w:rPr>
          <w:rFonts w:hint="eastAsia"/>
        </w:rPr>
        <w:t>外匯政策報告</w:t>
      </w:r>
      <w:r w:rsidR="00A62399">
        <w:rPr>
          <w:rFonts w:hint="eastAsia"/>
        </w:rPr>
        <w:t>」</w:t>
      </w:r>
      <w:r w:rsidRPr="0000590E">
        <w:rPr>
          <w:rFonts w:hint="eastAsia"/>
        </w:rPr>
        <w:t>，評估主要貿易對手國是否操縱匯率。其中，「2015年法案」訂定3項匯率操縱國評斷標準，據以判斷主要貿易國是否藉由匯率政策從事不公平貿易競爭，進而採取拒絕該國取得融資管道或提高商品關稅等制裁措施。</w:t>
      </w:r>
    </w:p>
  </w:footnote>
  <w:footnote w:id="7">
    <w:p w:rsidR="00AB477C" w:rsidRPr="00095600" w:rsidRDefault="00AB477C" w:rsidP="00E63897">
      <w:pPr>
        <w:pStyle w:val="142"/>
        <w:rPr>
          <w:rFonts w:hint="eastAsia"/>
        </w:rPr>
      </w:pPr>
      <w:r>
        <w:rPr>
          <w:rStyle w:val="af1"/>
        </w:rPr>
        <w:footnoteRef/>
      </w:r>
      <w:r>
        <w:rPr>
          <w:rFonts w:hint="eastAsia"/>
        </w:rPr>
        <w:t>財政部統計處「</w:t>
      </w:r>
      <w:r w:rsidRPr="00095600">
        <w:rPr>
          <w:rFonts w:hint="eastAsia"/>
        </w:rPr>
        <w:t>112年我國出進口貿易概況</w:t>
      </w:r>
      <w:r>
        <w:rPr>
          <w:rFonts w:hint="eastAsia"/>
        </w:rPr>
        <w:t>」，113年2月23日。</w:t>
      </w:r>
    </w:p>
  </w:footnote>
  <w:footnote w:id="8">
    <w:p w:rsidR="00843EBA" w:rsidRPr="00843EBA" w:rsidRDefault="00843EBA" w:rsidP="005E5DD8">
      <w:pPr>
        <w:pStyle w:val="af"/>
        <w:spacing w:line="280" w:lineRule="exact"/>
        <w:ind w:leftChars="0" w:left="109" w:hangingChars="45" w:hanging="109"/>
        <w:jc w:val="both"/>
        <w:rPr>
          <w:rStyle w:val="143"/>
          <w:rFonts w:hint="eastAsia"/>
        </w:rPr>
      </w:pPr>
      <w:r w:rsidRPr="00790D3D">
        <w:rPr>
          <w:rStyle w:val="af1"/>
          <w:sz w:val="24"/>
          <w:szCs w:val="24"/>
        </w:rPr>
        <w:footnoteRef/>
      </w:r>
      <w:r w:rsidRPr="00790D3D">
        <w:rPr>
          <w:rFonts w:hint="eastAsia"/>
          <w:sz w:val="24"/>
          <w:szCs w:val="24"/>
        </w:rPr>
        <w:t>中</w:t>
      </w:r>
      <w:r w:rsidRPr="00843EBA">
        <w:rPr>
          <w:rStyle w:val="143"/>
          <w:rFonts w:hint="eastAsia"/>
        </w:rPr>
        <w:t>央銀行法</w:t>
      </w:r>
      <w:r w:rsidRPr="005E5DD8">
        <w:rPr>
          <w:rStyle w:val="143"/>
          <w:rFonts w:hint="eastAsia"/>
          <w:spacing w:val="-3"/>
        </w:rPr>
        <w:t>第33條</w:t>
      </w:r>
      <w:r w:rsidRPr="00843EBA">
        <w:rPr>
          <w:rStyle w:val="143"/>
          <w:rFonts w:hint="eastAsia"/>
        </w:rPr>
        <w:t>規定：「本行持有國際貨幣準備，並統籌調度外匯」同法第34條規定：「本行得視對外收支情況，調節外匯供需，以維持有秩序之外匯市場。」</w:t>
      </w:r>
    </w:p>
  </w:footnote>
  <w:footnote w:id="9">
    <w:p w:rsidR="002A5A1F" w:rsidRPr="002A5A1F" w:rsidRDefault="002A5A1F" w:rsidP="007B1090">
      <w:pPr>
        <w:pStyle w:val="142"/>
        <w:ind w:left="109" w:hangingChars="45" w:hanging="109"/>
        <w:jc w:val="both"/>
        <w:rPr>
          <w:rFonts w:hint="eastAsia"/>
        </w:rPr>
      </w:pPr>
      <w:r>
        <w:rPr>
          <w:rStyle w:val="af1"/>
        </w:rPr>
        <w:footnoteRef/>
      </w:r>
      <w:r w:rsidR="00943DD3">
        <w:rPr>
          <w:rFonts w:hint="eastAsia"/>
        </w:rPr>
        <w:t>「</w:t>
      </w:r>
      <w:r w:rsidR="003112CE" w:rsidRPr="003112CE">
        <w:rPr>
          <w:rFonts w:hint="eastAsia"/>
        </w:rPr>
        <w:t>本年Fed</w:t>
      </w:r>
      <w:r w:rsidR="003112CE">
        <w:rPr>
          <w:rFonts w:hint="eastAsia"/>
        </w:rPr>
        <w:t>緊縮貨幣政策對臺</w:t>
      </w:r>
      <w:r w:rsidR="003112CE" w:rsidRPr="003112CE">
        <w:rPr>
          <w:rFonts w:hint="eastAsia"/>
        </w:rPr>
        <w:t>灣股匯市及資本移動之影響─外資賣股匯出資金為新</w:t>
      </w:r>
      <w:r w:rsidR="003112CE">
        <w:rPr>
          <w:rFonts w:hint="eastAsia"/>
        </w:rPr>
        <w:t>臺</w:t>
      </w:r>
      <w:r w:rsidR="003112CE" w:rsidRPr="003112CE">
        <w:rPr>
          <w:rFonts w:hint="eastAsia"/>
        </w:rPr>
        <w:t>幣貶值主因</w:t>
      </w:r>
      <w:r w:rsidR="00943DD3">
        <w:rPr>
          <w:rFonts w:hint="eastAsia"/>
        </w:rPr>
        <w:t>」</w:t>
      </w:r>
      <w:r w:rsidR="003112CE">
        <w:rPr>
          <w:rFonts w:hint="eastAsia"/>
        </w:rPr>
        <w:t>，</w:t>
      </w:r>
      <w:r w:rsidR="003112CE" w:rsidRPr="003112CE">
        <w:rPr>
          <w:rFonts w:hint="eastAsia"/>
        </w:rPr>
        <w:t>央行理監事會後記者會參考資料</w:t>
      </w:r>
      <w:r w:rsidR="003112CE">
        <w:rPr>
          <w:rFonts w:hint="eastAsia"/>
        </w:rPr>
        <w:t>，</w:t>
      </w:r>
      <w:r w:rsidR="003112CE" w:rsidRPr="003112CE">
        <w:rPr>
          <w:rFonts w:hint="eastAsia"/>
        </w:rPr>
        <w:t>111年9月22日</w:t>
      </w:r>
      <w:r w:rsidR="003112CE">
        <w:rPr>
          <w:rFonts w:hint="eastAsia"/>
        </w:rPr>
        <w:t>。</w:t>
      </w:r>
    </w:p>
  </w:footnote>
  <w:footnote w:id="10">
    <w:p w:rsidR="00240C61" w:rsidRPr="00240C61" w:rsidRDefault="00240C61" w:rsidP="007B1090">
      <w:pPr>
        <w:pStyle w:val="142"/>
        <w:ind w:left="109" w:hangingChars="45" w:hanging="109"/>
        <w:jc w:val="both"/>
        <w:rPr>
          <w:rFonts w:hint="eastAsia"/>
        </w:rPr>
      </w:pPr>
      <w:r>
        <w:rPr>
          <w:rStyle w:val="af1"/>
        </w:rPr>
        <w:footnoteRef/>
      </w:r>
      <w:r>
        <w:rPr>
          <w:rFonts w:hint="eastAsia"/>
        </w:rPr>
        <w:t>據該行說明略以，</w:t>
      </w:r>
      <w:r w:rsidR="005B6B55">
        <w:rPr>
          <w:rFonts w:hint="eastAsia"/>
        </w:rPr>
        <w:t>以美日兩國為例，</w:t>
      </w:r>
      <w:r w:rsidR="00386398">
        <w:rPr>
          <w:rFonts w:hint="eastAsia"/>
        </w:rPr>
        <w:t>1</w:t>
      </w:r>
      <w:r w:rsidR="00386398">
        <w:t>13</w:t>
      </w:r>
      <w:r w:rsidR="005B6B55">
        <w:rPr>
          <w:rFonts w:hint="eastAsia"/>
        </w:rPr>
        <w:t>年8月</w:t>
      </w:r>
      <w:r w:rsidR="00386398">
        <w:rPr>
          <w:rFonts w:hint="eastAsia"/>
        </w:rPr>
        <w:t>聯準會</w:t>
      </w:r>
      <w:r w:rsidR="005B6B55">
        <w:rPr>
          <w:rFonts w:hint="eastAsia"/>
        </w:rPr>
        <w:t>主席表示通膨趨緩，並關注勞動市場降溫風險，降息路徑逐漸明確，使美元指數走弱</w:t>
      </w:r>
      <w:r w:rsidR="00386398">
        <w:rPr>
          <w:rFonts w:hint="eastAsia"/>
        </w:rPr>
        <w:t>及</w:t>
      </w:r>
      <w:r w:rsidR="005B6B55">
        <w:rPr>
          <w:rFonts w:hint="eastAsia"/>
        </w:rPr>
        <w:t>美債殖利率下跌</w:t>
      </w:r>
      <w:r w:rsidR="00386398">
        <w:rPr>
          <w:rFonts w:hint="eastAsia"/>
        </w:rPr>
        <w:t>；日本央行因</w:t>
      </w:r>
      <w:r w:rsidR="00CD0C47">
        <w:rPr>
          <w:rFonts w:hint="eastAsia"/>
        </w:rPr>
        <w:t>逐漸擺脫通縮</w:t>
      </w:r>
      <w:r w:rsidR="005B6B55">
        <w:rPr>
          <w:rFonts w:hint="eastAsia"/>
        </w:rPr>
        <w:t>，於3月結束負利率政策，7月調升政策利率至0.25%，</w:t>
      </w:r>
      <w:r w:rsidR="00386398">
        <w:rPr>
          <w:rFonts w:hint="eastAsia"/>
        </w:rPr>
        <w:t>央行總裁</w:t>
      </w:r>
      <w:r w:rsidR="005B6B55">
        <w:rPr>
          <w:rFonts w:hint="eastAsia"/>
        </w:rPr>
        <w:t>表示未來不排除繼續升息，日圓波動劇烈。</w:t>
      </w:r>
    </w:p>
  </w:footnote>
  <w:footnote w:id="11">
    <w:p w:rsidR="00AB477C" w:rsidRPr="00B93B26" w:rsidRDefault="00AB477C" w:rsidP="008E2833">
      <w:pPr>
        <w:pStyle w:val="142"/>
        <w:rPr>
          <w:rFonts w:hint="eastAsia"/>
        </w:rPr>
      </w:pPr>
      <w:r>
        <w:rPr>
          <w:rStyle w:val="af1"/>
        </w:rPr>
        <w:footnoteRef/>
      </w:r>
      <w:r>
        <w:rPr>
          <w:rFonts w:hint="eastAsia"/>
        </w:rPr>
        <w:t>審計部112年度財務收支及決算審核通知。</w:t>
      </w:r>
    </w:p>
  </w:footnote>
  <w:footnote w:id="12">
    <w:p w:rsidR="00FD685C" w:rsidRPr="00FD685C" w:rsidRDefault="00FD685C" w:rsidP="00900B2C">
      <w:pPr>
        <w:pStyle w:val="142"/>
        <w:ind w:left="109" w:hangingChars="45" w:hanging="109"/>
        <w:jc w:val="both"/>
        <w:rPr>
          <w:rFonts w:hint="eastAsia"/>
        </w:rPr>
      </w:pPr>
      <w:r>
        <w:rPr>
          <w:rStyle w:val="af1"/>
        </w:rPr>
        <w:footnoteRef/>
      </w:r>
      <w:r>
        <w:rPr>
          <w:rFonts w:hint="eastAsia"/>
        </w:rPr>
        <w:t>財金公司</w:t>
      </w:r>
      <w:r w:rsidR="00900B2C">
        <w:rPr>
          <w:rFonts w:hint="eastAsia"/>
        </w:rPr>
        <w:t>主要</w:t>
      </w:r>
      <w:r>
        <w:rPr>
          <w:rFonts w:hint="eastAsia"/>
        </w:rPr>
        <w:t>業務包括</w:t>
      </w:r>
      <w:r w:rsidR="00900B2C">
        <w:rPr>
          <w:rFonts w:hint="eastAsia"/>
        </w:rPr>
        <w:t>自動化服務機器共用業務、通匯業務、全國性繳費(稅)業務、網際網路業務(網路交易、行動銀行交易)、金融電子資料交換業務(</w:t>
      </w:r>
      <w:r w:rsidR="00900B2C">
        <w:t>EDI</w:t>
      </w:r>
      <w:r w:rsidR="00900B2C">
        <w:rPr>
          <w:rFonts w:hint="eastAsia"/>
        </w:rPr>
        <w:t>、XML)、卡片業務(信用卡、轉帳卡、消費扣款及銀聯卡)</w:t>
      </w:r>
      <w:r>
        <w:rPr>
          <w:rFonts w:hint="eastAsia"/>
        </w:rPr>
        <w:t>等。</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477C" w:rsidRDefault="00AB477C" w:rsidP="00185690">
    <w:pPr>
      <w:ind w:left="560" w:firstLine="560"/>
    </w:pPr>
    <w:r>
      <w:separator/>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477C" w:rsidRDefault="00AB477C" w:rsidP="00044834">
    <w:pPr>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477C" w:rsidRDefault="00AB477C" w:rsidP="00185690">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52BEAA72"/>
    <w:lvl w:ilvl="0">
      <w:start w:val="1"/>
      <w:numFmt w:val="bullet"/>
      <w:lvlText w:val=""/>
      <w:lvlJc w:val="left"/>
      <w:pPr>
        <w:tabs>
          <w:tab w:val="num" w:pos="1070"/>
        </w:tabs>
        <w:ind w:leftChars="200" w:left="1070" w:hangingChars="200" w:hanging="360"/>
      </w:pPr>
      <w:rPr>
        <w:rFonts w:ascii="Wingdings" w:hAnsi="Wingdings" w:hint="default"/>
      </w:rPr>
    </w:lvl>
  </w:abstractNum>
  <w:abstractNum w:abstractNumId="1" w15:restartNumberingAfterBreak="0">
    <w:nsid w:val="02081B1D"/>
    <w:multiLevelType w:val="hybridMultilevel"/>
    <w:tmpl w:val="D958963A"/>
    <w:lvl w:ilvl="0" w:tplc="13BA08C0">
      <w:start w:val="4"/>
      <w:numFmt w:val="taiwaneseCountingThousand"/>
      <w:lvlText w:val="（%1）"/>
      <w:lvlJc w:val="left"/>
      <w:pPr>
        <w:ind w:left="1169" w:hanging="88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539178A"/>
    <w:multiLevelType w:val="multilevel"/>
    <w:tmpl w:val="B4F80E62"/>
    <w:lvl w:ilvl="0">
      <w:start w:val="1"/>
      <w:numFmt w:val="taiwaneseCountingThousand"/>
      <w:suff w:val="nothing"/>
      <w:lvlText w:val="%1、"/>
      <w:lvlJc w:val="left"/>
      <w:pPr>
        <w:ind w:left="952" w:hanging="635"/>
      </w:pPr>
      <w:rPr>
        <w:rFonts w:ascii="標楷體" w:eastAsia="標楷體" w:hAnsi="標楷體" w:hint="eastAsia"/>
      </w:rPr>
    </w:lvl>
    <w:lvl w:ilvl="1">
      <w:start w:val="1"/>
      <w:numFmt w:val="taiwaneseCountingThousand"/>
      <w:suff w:val="nothing"/>
      <w:lvlText w:val="(%2)"/>
      <w:lvlJc w:val="left"/>
      <w:pPr>
        <w:ind w:left="1344" w:hanging="635"/>
      </w:pPr>
      <w:rPr>
        <w:rFonts w:ascii="標楷體" w:eastAsia="標楷體" w:hAnsi="標楷體" w:hint="eastAsia"/>
      </w:rPr>
    </w:lvl>
    <w:lvl w:ilvl="2">
      <w:start w:val="1"/>
      <w:numFmt w:val="decimalFullWidth"/>
      <w:suff w:val="nothing"/>
      <w:lvlText w:val="%3、"/>
      <w:lvlJc w:val="left"/>
      <w:pPr>
        <w:ind w:left="1905" w:hanging="635"/>
      </w:pPr>
      <w:rPr>
        <w:rFonts w:ascii="標楷體" w:eastAsia="標楷體" w:hAnsi="標楷體" w:hint="eastAsia"/>
      </w:rPr>
    </w:lvl>
    <w:lvl w:ilvl="3">
      <w:start w:val="1"/>
      <w:numFmt w:val="decimalFullWidth"/>
      <w:suff w:val="nothing"/>
      <w:lvlText w:val="(%4)"/>
      <w:lvlJc w:val="left"/>
      <w:pPr>
        <w:ind w:left="2222" w:hanging="635"/>
      </w:pPr>
      <w:rPr>
        <w:rFonts w:ascii="標楷體" w:eastAsia="標楷體" w:hAnsi="標楷體" w:hint="eastAsia"/>
      </w:rPr>
    </w:lvl>
    <w:lvl w:ilvl="4">
      <w:start w:val="1"/>
      <w:numFmt w:val="ideographTraditional"/>
      <w:suff w:val="nothing"/>
      <w:lvlText w:val="%5、"/>
      <w:lvlJc w:val="left"/>
      <w:pPr>
        <w:ind w:left="2857" w:hanging="635"/>
      </w:pPr>
      <w:rPr>
        <w:rFonts w:ascii="標楷體" w:eastAsia="標楷體" w:hAnsi="標楷體" w:hint="eastAsia"/>
      </w:rPr>
    </w:lvl>
    <w:lvl w:ilvl="5">
      <w:start w:val="1"/>
      <w:numFmt w:val="ideographTraditional"/>
      <w:suff w:val="nothing"/>
      <w:lvlText w:val="(%6)"/>
      <w:lvlJc w:val="left"/>
      <w:pPr>
        <w:ind w:left="3175" w:hanging="635"/>
      </w:pPr>
      <w:rPr>
        <w:rFonts w:ascii="標楷體" w:eastAsia="標楷體" w:hAnsi="標楷體" w:hint="eastAsia"/>
      </w:rPr>
    </w:lvl>
    <w:lvl w:ilvl="6">
      <w:start w:val="1"/>
      <w:numFmt w:val="ideographZodiac"/>
      <w:suff w:val="nothing"/>
      <w:lvlText w:val="%7、"/>
      <w:lvlJc w:val="left"/>
      <w:pPr>
        <w:ind w:left="3810" w:hanging="635"/>
      </w:pPr>
      <w:rPr>
        <w:rFonts w:ascii="標楷體" w:eastAsia="標楷體" w:hAnsi="標楷體" w:hint="eastAsia"/>
      </w:rPr>
    </w:lvl>
    <w:lvl w:ilvl="7">
      <w:start w:val="1"/>
      <w:numFmt w:val="ideographZodiac"/>
      <w:suff w:val="nothing"/>
      <w:lvlText w:val="(%8)"/>
      <w:lvlJc w:val="left"/>
      <w:pPr>
        <w:ind w:left="4127" w:hanging="635"/>
      </w:pPr>
      <w:rPr>
        <w:rFonts w:ascii="標楷體" w:eastAsia="標楷體" w:hAnsi="標楷體" w:hint="eastAsia"/>
      </w:rPr>
    </w:lvl>
    <w:lvl w:ilvl="8">
      <w:start w:val="1"/>
      <w:numFmt w:val="decimalFullWidth"/>
      <w:suff w:val="nothing"/>
      <w:lvlText w:val="%9）"/>
      <w:lvlJc w:val="left"/>
      <w:pPr>
        <w:ind w:left="4762" w:hanging="635"/>
      </w:pPr>
      <w:rPr>
        <w:rFonts w:ascii="標楷體" w:eastAsia="標楷體" w:hAnsi="標楷體" w:hint="eastAsia"/>
      </w:rPr>
    </w:lvl>
  </w:abstractNum>
  <w:abstractNum w:abstractNumId="3" w15:restartNumberingAfterBreak="0">
    <w:nsid w:val="061F0A5F"/>
    <w:multiLevelType w:val="hybridMultilevel"/>
    <w:tmpl w:val="9D82059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15:restartNumberingAfterBreak="0">
    <w:nsid w:val="07143EC1"/>
    <w:multiLevelType w:val="hybridMultilevel"/>
    <w:tmpl w:val="2DFC68F4"/>
    <w:lvl w:ilvl="0" w:tplc="C89EFC34">
      <w:start w:val="1"/>
      <w:numFmt w:val="decimal"/>
      <w:lvlText w:val="（%1）"/>
      <w:lvlJc w:val="left"/>
      <w:pPr>
        <w:ind w:left="720" w:hanging="72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8AF4285"/>
    <w:multiLevelType w:val="hybridMultilevel"/>
    <w:tmpl w:val="FE4C5620"/>
    <w:lvl w:ilvl="0" w:tplc="03A8BC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C6124BC"/>
    <w:multiLevelType w:val="hybridMultilevel"/>
    <w:tmpl w:val="EDD46772"/>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15:restartNumberingAfterBreak="0">
    <w:nsid w:val="0F06164D"/>
    <w:multiLevelType w:val="hybridMultilevel"/>
    <w:tmpl w:val="9C8C2BCC"/>
    <w:lvl w:ilvl="0" w:tplc="5BFE83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54942D7"/>
    <w:multiLevelType w:val="hybridMultilevel"/>
    <w:tmpl w:val="E1CE5088"/>
    <w:lvl w:ilvl="0" w:tplc="9A622B7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191336B6"/>
    <w:multiLevelType w:val="hybridMultilevel"/>
    <w:tmpl w:val="5B88DCC2"/>
    <w:lvl w:ilvl="0" w:tplc="9A622B7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191C71DD"/>
    <w:multiLevelType w:val="hybridMultilevel"/>
    <w:tmpl w:val="E08884BE"/>
    <w:lvl w:ilvl="0" w:tplc="9A622B7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1D4359C0"/>
    <w:multiLevelType w:val="hybridMultilevel"/>
    <w:tmpl w:val="D0C2284E"/>
    <w:lvl w:ilvl="0" w:tplc="04090009">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2" w15:restartNumberingAfterBreak="0">
    <w:nsid w:val="1EDB62A1"/>
    <w:multiLevelType w:val="hybridMultilevel"/>
    <w:tmpl w:val="9B488614"/>
    <w:lvl w:ilvl="0" w:tplc="9A622B7A">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3" w15:restartNumberingAfterBreak="0">
    <w:nsid w:val="25DC2B78"/>
    <w:multiLevelType w:val="hybridMultilevel"/>
    <w:tmpl w:val="7C589DCA"/>
    <w:lvl w:ilvl="0" w:tplc="97DEBEDC">
      <w:start w:val="1"/>
      <w:numFmt w:val="taiwaneseCountingThousand"/>
      <w:lvlText w:val="%1、"/>
      <w:lvlJc w:val="left"/>
      <w:pPr>
        <w:ind w:left="4406" w:hanging="720"/>
      </w:pPr>
      <w:rPr>
        <w:rFonts w:hint="default"/>
      </w:rPr>
    </w:lvl>
    <w:lvl w:ilvl="1" w:tplc="04090019" w:tentative="1">
      <w:start w:val="1"/>
      <w:numFmt w:val="ideographTraditional"/>
      <w:lvlText w:val="%2、"/>
      <w:lvlJc w:val="left"/>
      <w:pPr>
        <w:ind w:left="4646" w:hanging="480"/>
      </w:pPr>
    </w:lvl>
    <w:lvl w:ilvl="2" w:tplc="0409001B" w:tentative="1">
      <w:start w:val="1"/>
      <w:numFmt w:val="lowerRoman"/>
      <w:lvlText w:val="%3."/>
      <w:lvlJc w:val="right"/>
      <w:pPr>
        <w:ind w:left="5126" w:hanging="480"/>
      </w:pPr>
    </w:lvl>
    <w:lvl w:ilvl="3" w:tplc="0409000F" w:tentative="1">
      <w:start w:val="1"/>
      <w:numFmt w:val="decimal"/>
      <w:lvlText w:val="%4."/>
      <w:lvlJc w:val="left"/>
      <w:pPr>
        <w:ind w:left="5606" w:hanging="480"/>
      </w:pPr>
    </w:lvl>
    <w:lvl w:ilvl="4" w:tplc="04090019" w:tentative="1">
      <w:start w:val="1"/>
      <w:numFmt w:val="ideographTraditional"/>
      <w:lvlText w:val="%5、"/>
      <w:lvlJc w:val="left"/>
      <w:pPr>
        <w:ind w:left="6086" w:hanging="480"/>
      </w:pPr>
    </w:lvl>
    <w:lvl w:ilvl="5" w:tplc="0409001B" w:tentative="1">
      <w:start w:val="1"/>
      <w:numFmt w:val="lowerRoman"/>
      <w:lvlText w:val="%6."/>
      <w:lvlJc w:val="right"/>
      <w:pPr>
        <w:ind w:left="6566" w:hanging="480"/>
      </w:pPr>
    </w:lvl>
    <w:lvl w:ilvl="6" w:tplc="0409000F" w:tentative="1">
      <w:start w:val="1"/>
      <w:numFmt w:val="decimal"/>
      <w:lvlText w:val="%7."/>
      <w:lvlJc w:val="left"/>
      <w:pPr>
        <w:ind w:left="7046" w:hanging="480"/>
      </w:pPr>
    </w:lvl>
    <w:lvl w:ilvl="7" w:tplc="04090019" w:tentative="1">
      <w:start w:val="1"/>
      <w:numFmt w:val="ideographTraditional"/>
      <w:lvlText w:val="%8、"/>
      <w:lvlJc w:val="left"/>
      <w:pPr>
        <w:ind w:left="7526" w:hanging="480"/>
      </w:pPr>
    </w:lvl>
    <w:lvl w:ilvl="8" w:tplc="0409001B" w:tentative="1">
      <w:start w:val="1"/>
      <w:numFmt w:val="lowerRoman"/>
      <w:lvlText w:val="%9."/>
      <w:lvlJc w:val="right"/>
      <w:pPr>
        <w:ind w:left="8006" w:hanging="480"/>
      </w:pPr>
    </w:lvl>
  </w:abstractNum>
  <w:abstractNum w:abstractNumId="14" w15:restartNumberingAfterBreak="0">
    <w:nsid w:val="28B267AB"/>
    <w:multiLevelType w:val="multilevel"/>
    <w:tmpl w:val="3C305556"/>
    <w:lvl w:ilvl="0">
      <w:start w:val="1"/>
      <w:numFmt w:val="taiwaneseCountingThousand"/>
      <w:suff w:val="nothing"/>
      <w:lvlText w:val="%1、"/>
      <w:lvlJc w:val="left"/>
      <w:pPr>
        <w:ind w:left="1021" w:hanging="704"/>
      </w:pPr>
      <w:rPr>
        <w:rFonts w:ascii="標楷體" w:eastAsia="標楷體" w:hAnsi="標楷體" w:hint="eastAsia"/>
      </w:rPr>
    </w:lvl>
    <w:lvl w:ilvl="1">
      <w:start w:val="1"/>
      <w:numFmt w:val="taiwaneseCountingThousand"/>
      <w:suff w:val="nothing"/>
      <w:lvlText w:val="（%2）"/>
      <w:lvlJc w:val="left"/>
      <w:pPr>
        <w:ind w:left="1587" w:hanging="952"/>
      </w:pPr>
    </w:lvl>
    <w:lvl w:ilvl="2">
      <w:start w:val="1"/>
      <w:numFmt w:val="decimalFullWidth"/>
      <w:suff w:val="nothing"/>
      <w:lvlText w:val="%3、"/>
      <w:lvlJc w:val="left"/>
      <w:pPr>
        <w:ind w:left="1905" w:hanging="635"/>
      </w:pPr>
    </w:lvl>
    <w:lvl w:ilvl="3">
      <w:start w:val="1"/>
      <w:numFmt w:val="decimalFullWidth"/>
      <w:suff w:val="nothing"/>
      <w:lvlText w:val="（%4）"/>
      <w:lvlJc w:val="left"/>
      <w:pPr>
        <w:ind w:left="2540" w:hanging="953"/>
      </w:pPr>
    </w:lvl>
    <w:lvl w:ilvl="4">
      <w:start w:val="1"/>
      <w:numFmt w:val="decimal"/>
      <w:lvlText w:val="%5."/>
      <w:lvlJc w:val="left"/>
      <w:pPr>
        <w:tabs>
          <w:tab w:val="num" w:pos="2551"/>
        </w:tabs>
        <w:ind w:left="2551" w:hanging="850"/>
      </w:pPr>
    </w:lvl>
    <w:lvl w:ilvl="5">
      <w:start w:val="1"/>
      <w:numFmt w:val="decimal"/>
      <w:lvlText w:val="%6)"/>
      <w:lvlJc w:val="left"/>
      <w:pPr>
        <w:tabs>
          <w:tab w:val="num" w:pos="3260"/>
        </w:tabs>
        <w:ind w:left="3260" w:hanging="1134"/>
      </w:pPr>
    </w:lvl>
    <w:lvl w:ilvl="6">
      <w:start w:val="1"/>
      <w:numFmt w:val="decimal"/>
      <w:lvlText w:val="(%7)"/>
      <w:lvlJc w:val="left"/>
      <w:pPr>
        <w:tabs>
          <w:tab w:val="num" w:pos="3827"/>
        </w:tabs>
        <w:ind w:left="3827" w:hanging="1276"/>
      </w:pPr>
    </w:lvl>
    <w:lvl w:ilvl="7">
      <w:start w:val="1"/>
      <w:numFmt w:val="lowerLetter"/>
      <w:lvlText w:val="%8."/>
      <w:lvlJc w:val="left"/>
      <w:pPr>
        <w:tabs>
          <w:tab w:val="num" w:pos="4394"/>
        </w:tabs>
        <w:ind w:left="4394" w:hanging="1418"/>
      </w:pPr>
    </w:lvl>
    <w:lvl w:ilvl="8">
      <w:start w:val="1"/>
      <w:numFmt w:val="lowerLetter"/>
      <w:lvlText w:val="%9)"/>
      <w:lvlJc w:val="left"/>
      <w:pPr>
        <w:tabs>
          <w:tab w:val="num" w:pos="5102"/>
        </w:tabs>
        <w:ind w:left="5102" w:hanging="1700"/>
      </w:pPr>
    </w:lvl>
  </w:abstractNum>
  <w:abstractNum w:abstractNumId="15" w15:restartNumberingAfterBreak="0">
    <w:nsid w:val="28F44752"/>
    <w:multiLevelType w:val="hybridMultilevel"/>
    <w:tmpl w:val="637CE668"/>
    <w:lvl w:ilvl="0" w:tplc="124E7AA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BEA698C"/>
    <w:multiLevelType w:val="hybridMultilevel"/>
    <w:tmpl w:val="DC704D7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7" w15:restartNumberingAfterBreak="0">
    <w:nsid w:val="30D175E9"/>
    <w:multiLevelType w:val="hybridMultilevel"/>
    <w:tmpl w:val="8F6EF620"/>
    <w:lvl w:ilvl="0" w:tplc="D09CA0B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8" w15:restartNumberingAfterBreak="0">
    <w:nsid w:val="34A72AB9"/>
    <w:multiLevelType w:val="hybridMultilevel"/>
    <w:tmpl w:val="77D22B6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9" w15:restartNumberingAfterBreak="0">
    <w:nsid w:val="429879AC"/>
    <w:multiLevelType w:val="hybridMultilevel"/>
    <w:tmpl w:val="291EAD9A"/>
    <w:lvl w:ilvl="0" w:tplc="9FA29572">
      <w:start w:val="1"/>
      <w:numFmt w:val="taiwaneseCountingThousand"/>
      <w:lvlText w:val="%1、"/>
      <w:lvlJc w:val="left"/>
      <w:pPr>
        <w:ind w:left="2040" w:hanging="480"/>
      </w:pPr>
      <w:rPr>
        <w:rFonts w:hint="default"/>
      </w:rPr>
    </w:lvl>
    <w:lvl w:ilvl="1" w:tplc="04090019" w:tentative="1">
      <w:start w:val="1"/>
      <w:numFmt w:val="ideographTraditional"/>
      <w:lvlText w:val="%2、"/>
      <w:lvlJc w:val="left"/>
      <w:pPr>
        <w:ind w:left="974" w:hanging="480"/>
      </w:pPr>
    </w:lvl>
    <w:lvl w:ilvl="2" w:tplc="0409001B" w:tentative="1">
      <w:start w:val="1"/>
      <w:numFmt w:val="lowerRoman"/>
      <w:lvlText w:val="%3."/>
      <w:lvlJc w:val="right"/>
      <w:pPr>
        <w:ind w:left="1454" w:hanging="480"/>
      </w:pPr>
    </w:lvl>
    <w:lvl w:ilvl="3" w:tplc="0409000F" w:tentative="1">
      <w:start w:val="1"/>
      <w:numFmt w:val="decimal"/>
      <w:lvlText w:val="%4."/>
      <w:lvlJc w:val="left"/>
      <w:pPr>
        <w:ind w:left="1934" w:hanging="480"/>
      </w:pPr>
    </w:lvl>
    <w:lvl w:ilvl="4" w:tplc="04090019" w:tentative="1">
      <w:start w:val="1"/>
      <w:numFmt w:val="ideographTraditional"/>
      <w:lvlText w:val="%5、"/>
      <w:lvlJc w:val="left"/>
      <w:pPr>
        <w:ind w:left="2414" w:hanging="480"/>
      </w:pPr>
    </w:lvl>
    <w:lvl w:ilvl="5" w:tplc="0409001B" w:tentative="1">
      <w:start w:val="1"/>
      <w:numFmt w:val="lowerRoman"/>
      <w:lvlText w:val="%6."/>
      <w:lvlJc w:val="right"/>
      <w:pPr>
        <w:ind w:left="2894" w:hanging="480"/>
      </w:pPr>
    </w:lvl>
    <w:lvl w:ilvl="6" w:tplc="0409000F" w:tentative="1">
      <w:start w:val="1"/>
      <w:numFmt w:val="decimal"/>
      <w:lvlText w:val="%7."/>
      <w:lvlJc w:val="left"/>
      <w:pPr>
        <w:ind w:left="3374" w:hanging="480"/>
      </w:pPr>
    </w:lvl>
    <w:lvl w:ilvl="7" w:tplc="04090019" w:tentative="1">
      <w:start w:val="1"/>
      <w:numFmt w:val="ideographTraditional"/>
      <w:lvlText w:val="%8、"/>
      <w:lvlJc w:val="left"/>
      <w:pPr>
        <w:ind w:left="3854" w:hanging="480"/>
      </w:pPr>
    </w:lvl>
    <w:lvl w:ilvl="8" w:tplc="0409001B" w:tentative="1">
      <w:start w:val="1"/>
      <w:numFmt w:val="lowerRoman"/>
      <w:lvlText w:val="%9."/>
      <w:lvlJc w:val="right"/>
      <w:pPr>
        <w:ind w:left="4334" w:hanging="480"/>
      </w:pPr>
    </w:lvl>
  </w:abstractNum>
  <w:abstractNum w:abstractNumId="20" w15:restartNumberingAfterBreak="0">
    <w:nsid w:val="42CE234A"/>
    <w:multiLevelType w:val="hybridMultilevel"/>
    <w:tmpl w:val="EBB2981C"/>
    <w:lvl w:ilvl="0" w:tplc="15E449C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1" w15:restartNumberingAfterBreak="0">
    <w:nsid w:val="446B7CBC"/>
    <w:multiLevelType w:val="hybridMultilevel"/>
    <w:tmpl w:val="EB8048D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2" w15:restartNumberingAfterBreak="0">
    <w:nsid w:val="45D25AC5"/>
    <w:multiLevelType w:val="hybridMultilevel"/>
    <w:tmpl w:val="1F625672"/>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3" w15:restartNumberingAfterBreak="0">
    <w:nsid w:val="48D30AE4"/>
    <w:multiLevelType w:val="hybridMultilevel"/>
    <w:tmpl w:val="75F49DAA"/>
    <w:lvl w:ilvl="0" w:tplc="74C4F79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8FC3139"/>
    <w:multiLevelType w:val="multilevel"/>
    <w:tmpl w:val="45B6AA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A850978"/>
    <w:multiLevelType w:val="multilevel"/>
    <w:tmpl w:val="3C305556"/>
    <w:lvl w:ilvl="0">
      <w:start w:val="1"/>
      <w:numFmt w:val="taiwaneseCountingThousand"/>
      <w:suff w:val="nothing"/>
      <w:lvlText w:val="%1、"/>
      <w:lvlJc w:val="left"/>
      <w:pPr>
        <w:ind w:left="1021" w:hanging="704"/>
      </w:pPr>
      <w:rPr>
        <w:rFonts w:ascii="標楷體" w:eastAsia="標楷體" w:hAnsi="標楷體" w:hint="eastAsia"/>
        <w:b w:val="0"/>
      </w:rPr>
    </w:lvl>
    <w:lvl w:ilvl="1">
      <w:start w:val="1"/>
      <w:numFmt w:val="taiwaneseCountingThousand"/>
      <w:suff w:val="nothing"/>
      <w:lvlText w:val="（%2）"/>
      <w:lvlJc w:val="left"/>
      <w:pPr>
        <w:ind w:left="1587" w:hanging="952"/>
      </w:pPr>
      <w:rPr>
        <w:rFonts w:hint="eastAsia"/>
        <w:b w:val="0"/>
      </w:rPr>
    </w:lvl>
    <w:lvl w:ilvl="2">
      <w:start w:val="1"/>
      <w:numFmt w:val="decimalFullWidth"/>
      <w:suff w:val="nothing"/>
      <w:lvlText w:val="%3、"/>
      <w:lvlJc w:val="left"/>
      <w:pPr>
        <w:ind w:left="1905" w:hanging="635"/>
      </w:pPr>
      <w:rPr>
        <w:rFonts w:hint="eastAsia"/>
      </w:rPr>
    </w:lvl>
    <w:lvl w:ilvl="3">
      <w:start w:val="1"/>
      <w:numFmt w:val="decimalFullWidth"/>
      <w:suff w:val="nothing"/>
      <w:lvlText w:val="（%4）"/>
      <w:lvlJc w:val="left"/>
      <w:pPr>
        <w:ind w:left="2540" w:hanging="953"/>
      </w:pPr>
      <w:rPr>
        <w:rFonts w:hint="eastAsia"/>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26" w15:restartNumberingAfterBreak="0">
    <w:nsid w:val="4B87332F"/>
    <w:multiLevelType w:val="hybridMultilevel"/>
    <w:tmpl w:val="AC7C8DC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4F926035"/>
    <w:multiLevelType w:val="hybridMultilevel"/>
    <w:tmpl w:val="3A66E74A"/>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8" w15:restartNumberingAfterBreak="0">
    <w:nsid w:val="50713AD1"/>
    <w:multiLevelType w:val="hybridMultilevel"/>
    <w:tmpl w:val="E92840D6"/>
    <w:lvl w:ilvl="0" w:tplc="80387EF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B910179"/>
    <w:multiLevelType w:val="hybridMultilevel"/>
    <w:tmpl w:val="D23618A4"/>
    <w:lvl w:ilvl="0" w:tplc="58B46332">
      <w:start w:val="1"/>
      <w:numFmt w:val="taiwaneseCountingThousand"/>
      <w:lvlText w:val="%1、"/>
      <w:lvlJc w:val="left"/>
      <w:pPr>
        <w:ind w:left="768" w:hanging="720"/>
      </w:pPr>
      <w:rPr>
        <w:rFonts w:hint="default"/>
      </w:rPr>
    </w:lvl>
    <w:lvl w:ilvl="1" w:tplc="04090019" w:tentative="1">
      <w:start w:val="1"/>
      <w:numFmt w:val="ideographTraditional"/>
      <w:lvlText w:val="%2、"/>
      <w:lvlJc w:val="left"/>
      <w:pPr>
        <w:ind w:left="1008" w:hanging="480"/>
      </w:pPr>
    </w:lvl>
    <w:lvl w:ilvl="2" w:tplc="0409001B" w:tentative="1">
      <w:start w:val="1"/>
      <w:numFmt w:val="lowerRoman"/>
      <w:lvlText w:val="%3."/>
      <w:lvlJc w:val="right"/>
      <w:pPr>
        <w:ind w:left="1488" w:hanging="480"/>
      </w:pPr>
    </w:lvl>
    <w:lvl w:ilvl="3" w:tplc="0409000F" w:tentative="1">
      <w:start w:val="1"/>
      <w:numFmt w:val="decimal"/>
      <w:lvlText w:val="%4."/>
      <w:lvlJc w:val="left"/>
      <w:pPr>
        <w:ind w:left="1968" w:hanging="480"/>
      </w:pPr>
    </w:lvl>
    <w:lvl w:ilvl="4" w:tplc="04090019" w:tentative="1">
      <w:start w:val="1"/>
      <w:numFmt w:val="ideographTraditional"/>
      <w:lvlText w:val="%5、"/>
      <w:lvlJc w:val="left"/>
      <w:pPr>
        <w:ind w:left="2448" w:hanging="480"/>
      </w:pPr>
    </w:lvl>
    <w:lvl w:ilvl="5" w:tplc="0409001B" w:tentative="1">
      <w:start w:val="1"/>
      <w:numFmt w:val="lowerRoman"/>
      <w:lvlText w:val="%6."/>
      <w:lvlJc w:val="right"/>
      <w:pPr>
        <w:ind w:left="2928" w:hanging="480"/>
      </w:pPr>
    </w:lvl>
    <w:lvl w:ilvl="6" w:tplc="0409000F" w:tentative="1">
      <w:start w:val="1"/>
      <w:numFmt w:val="decimal"/>
      <w:lvlText w:val="%7."/>
      <w:lvlJc w:val="left"/>
      <w:pPr>
        <w:ind w:left="3408" w:hanging="480"/>
      </w:pPr>
    </w:lvl>
    <w:lvl w:ilvl="7" w:tplc="04090019" w:tentative="1">
      <w:start w:val="1"/>
      <w:numFmt w:val="ideographTraditional"/>
      <w:lvlText w:val="%8、"/>
      <w:lvlJc w:val="left"/>
      <w:pPr>
        <w:ind w:left="3888" w:hanging="480"/>
      </w:pPr>
    </w:lvl>
    <w:lvl w:ilvl="8" w:tplc="0409001B" w:tentative="1">
      <w:start w:val="1"/>
      <w:numFmt w:val="lowerRoman"/>
      <w:lvlText w:val="%9."/>
      <w:lvlJc w:val="right"/>
      <w:pPr>
        <w:ind w:left="4368" w:hanging="480"/>
      </w:pPr>
    </w:lvl>
  </w:abstractNum>
  <w:abstractNum w:abstractNumId="30" w15:restartNumberingAfterBreak="0">
    <w:nsid w:val="5D3629E9"/>
    <w:multiLevelType w:val="multilevel"/>
    <w:tmpl w:val="3C305556"/>
    <w:lvl w:ilvl="0">
      <w:start w:val="1"/>
      <w:numFmt w:val="taiwaneseCountingThousand"/>
      <w:suff w:val="nothing"/>
      <w:lvlText w:val="%1、"/>
      <w:lvlJc w:val="left"/>
      <w:pPr>
        <w:ind w:left="1021" w:hanging="704"/>
      </w:pPr>
      <w:rPr>
        <w:rFonts w:ascii="標楷體" w:eastAsia="標楷體" w:hAnsi="標楷體" w:hint="eastAsia"/>
      </w:rPr>
    </w:lvl>
    <w:lvl w:ilvl="1">
      <w:start w:val="1"/>
      <w:numFmt w:val="taiwaneseCountingThousand"/>
      <w:suff w:val="nothing"/>
      <w:lvlText w:val="（%2）"/>
      <w:lvlJc w:val="left"/>
      <w:pPr>
        <w:ind w:left="1587" w:hanging="952"/>
      </w:pPr>
      <w:rPr>
        <w:rFonts w:hint="eastAsia"/>
      </w:rPr>
    </w:lvl>
    <w:lvl w:ilvl="2">
      <w:start w:val="1"/>
      <w:numFmt w:val="decimalFullWidth"/>
      <w:suff w:val="nothing"/>
      <w:lvlText w:val="%3、"/>
      <w:lvlJc w:val="left"/>
      <w:pPr>
        <w:ind w:left="1905" w:hanging="635"/>
      </w:pPr>
      <w:rPr>
        <w:rFonts w:hint="eastAsia"/>
      </w:rPr>
    </w:lvl>
    <w:lvl w:ilvl="3">
      <w:start w:val="1"/>
      <w:numFmt w:val="decimalFullWidth"/>
      <w:suff w:val="nothing"/>
      <w:lvlText w:val="（%4）"/>
      <w:lvlJc w:val="left"/>
      <w:pPr>
        <w:ind w:left="2540" w:hanging="953"/>
      </w:pPr>
      <w:rPr>
        <w:rFonts w:hint="eastAsia"/>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31" w15:restartNumberingAfterBreak="0">
    <w:nsid w:val="5E3146AE"/>
    <w:multiLevelType w:val="hybridMultilevel"/>
    <w:tmpl w:val="92CAC254"/>
    <w:lvl w:ilvl="0" w:tplc="ECCAC3B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5EAC2486"/>
    <w:multiLevelType w:val="hybridMultilevel"/>
    <w:tmpl w:val="25661A7E"/>
    <w:lvl w:ilvl="0" w:tplc="70B0714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39E7D4E"/>
    <w:multiLevelType w:val="hybridMultilevel"/>
    <w:tmpl w:val="DAE4F8FE"/>
    <w:lvl w:ilvl="0" w:tplc="AAA2AD9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66FA5DBE"/>
    <w:multiLevelType w:val="hybridMultilevel"/>
    <w:tmpl w:val="22D0D604"/>
    <w:lvl w:ilvl="0" w:tplc="0CFC7CF2">
      <w:start w:val="1"/>
      <w:numFmt w:val="taiwaneseCountingThousand"/>
      <w:lvlText w:val="（%1）"/>
      <w:lvlJc w:val="left"/>
      <w:pPr>
        <w:ind w:left="1169" w:hanging="88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6C595CF8"/>
    <w:multiLevelType w:val="hybridMultilevel"/>
    <w:tmpl w:val="A866BB2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6" w15:restartNumberingAfterBreak="0">
    <w:nsid w:val="6D837CBF"/>
    <w:multiLevelType w:val="hybridMultilevel"/>
    <w:tmpl w:val="E08884BE"/>
    <w:lvl w:ilvl="0" w:tplc="9A622B7A">
      <w:start w:val="1"/>
      <w:numFmt w:val="decimal"/>
      <w:lvlText w:val="%1."/>
      <w:lvlJc w:val="left"/>
      <w:pPr>
        <w:tabs>
          <w:tab w:val="num" w:pos="360"/>
        </w:tabs>
        <w:ind w:left="360" w:hanging="360"/>
      </w:p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37" w15:restartNumberingAfterBreak="0">
    <w:nsid w:val="6F736BBB"/>
    <w:multiLevelType w:val="hybridMultilevel"/>
    <w:tmpl w:val="877E7CCC"/>
    <w:lvl w:ilvl="0" w:tplc="59BC1A00">
      <w:start w:val="1"/>
      <w:numFmt w:val="taiwaneseCountingThousand"/>
      <w:lvlText w:val="（%1）"/>
      <w:lvlJc w:val="left"/>
      <w:pPr>
        <w:ind w:left="1169" w:hanging="88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71F10823"/>
    <w:multiLevelType w:val="hybridMultilevel"/>
    <w:tmpl w:val="1D8A8CD6"/>
    <w:lvl w:ilvl="0" w:tplc="830E308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2613A2A"/>
    <w:multiLevelType w:val="multilevel"/>
    <w:tmpl w:val="3C305556"/>
    <w:lvl w:ilvl="0">
      <w:start w:val="1"/>
      <w:numFmt w:val="taiwaneseCountingThousand"/>
      <w:suff w:val="nothing"/>
      <w:lvlText w:val="%1、"/>
      <w:lvlJc w:val="left"/>
      <w:pPr>
        <w:ind w:left="1021" w:hanging="704"/>
      </w:pPr>
      <w:rPr>
        <w:rFonts w:ascii="標楷體" w:eastAsia="標楷體" w:hAnsi="標楷體" w:hint="eastAsia"/>
      </w:rPr>
    </w:lvl>
    <w:lvl w:ilvl="1">
      <w:start w:val="1"/>
      <w:numFmt w:val="taiwaneseCountingThousand"/>
      <w:suff w:val="nothing"/>
      <w:lvlText w:val="（%2）"/>
      <w:lvlJc w:val="left"/>
      <w:pPr>
        <w:ind w:left="1587" w:hanging="952"/>
      </w:pPr>
      <w:rPr>
        <w:rFonts w:hint="eastAsia"/>
      </w:rPr>
    </w:lvl>
    <w:lvl w:ilvl="2">
      <w:start w:val="1"/>
      <w:numFmt w:val="decimalFullWidth"/>
      <w:suff w:val="nothing"/>
      <w:lvlText w:val="%3、"/>
      <w:lvlJc w:val="left"/>
      <w:pPr>
        <w:ind w:left="1905" w:hanging="635"/>
      </w:pPr>
      <w:rPr>
        <w:rFonts w:hint="eastAsia"/>
      </w:rPr>
    </w:lvl>
    <w:lvl w:ilvl="3">
      <w:start w:val="1"/>
      <w:numFmt w:val="decimalFullWidth"/>
      <w:suff w:val="nothing"/>
      <w:lvlText w:val="（%4）"/>
      <w:lvlJc w:val="left"/>
      <w:pPr>
        <w:ind w:left="2540" w:hanging="953"/>
      </w:pPr>
      <w:rPr>
        <w:rFonts w:hint="eastAsia"/>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40" w15:restartNumberingAfterBreak="0">
    <w:nsid w:val="758D7BD3"/>
    <w:multiLevelType w:val="hybridMultilevel"/>
    <w:tmpl w:val="79B481E6"/>
    <w:lvl w:ilvl="0" w:tplc="315AABEE">
      <w:start w:val="1"/>
      <w:numFmt w:val="taiwaneseCountingThousand"/>
      <w:lvlText w:val="(%1)"/>
      <w:lvlJc w:val="left"/>
      <w:pPr>
        <w:ind w:left="1286" w:hanging="720"/>
      </w:pPr>
      <w:rPr>
        <w:rFonts w:ascii="標楷體" w:eastAsia="標楷體" w:hAnsi="標楷體"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1" w15:restartNumberingAfterBreak="0">
    <w:nsid w:val="76BB3015"/>
    <w:multiLevelType w:val="hybridMultilevel"/>
    <w:tmpl w:val="AC607FA4"/>
    <w:lvl w:ilvl="0" w:tplc="04090001">
      <w:start w:val="1"/>
      <w:numFmt w:val="bullet"/>
      <w:lvlText w:val=""/>
      <w:lvlJc w:val="left"/>
      <w:pPr>
        <w:ind w:left="504" w:hanging="480"/>
      </w:pPr>
      <w:rPr>
        <w:rFonts w:ascii="Wingdings" w:hAnsi="Wingdings" w:hint="default"/>
      </w:rPr>
    </w:lvl>
    <w:lvl w:ilvl="1" w:tplc="04090003" w:tentative="1">
      <w:start w:val="1"/>
      <w:numFmt w:val="bullet"/>
      <w:lvlText w:val=""/>
      <w:lvlJc w:val="left"/>
      <w:pPr>
        <w:ind w:left="984" w:hanging="480"/>
      </w:pPr>
      <w:rPr>
        <w:rFonts w:ascii="Wingdings" w:hAnsi="Wingdings" w:hint="default"/>
      </w:rPr>
    </w:lvl>
    <w:lvl w:ilvl="2" w:tplc="04090005" w:tentative="1">
      <w:start w:val="1"/>
      <w:numFmt w:val="bullet"/>
      <w:lvlText w:val=""/>
      <w:lvlJc w:val="left"/>
      <w:pPr>
        <w:ind w:left="1464" w:hanging="480"/>
      </w:pPr>
      <w:rPr>
        <w:rFonts w:ascii="Wingdings" w:hAnsi="Wingdings" w:hint="default"/>
      </w:rPr>
    </w:lvl>
    <w:lvl w:ilvl="3" w:tplc="04090001" w:tentative="1">
      <w:start w:val="1"/>
      <w:numFmt w:val="bullet"/>
      <w:lvlText w:val=""/>
      <w:lvlJc w:val="left"/>
      <w:pPr>
        <w:ind w:left="1944" w:hanging="480"/>
      </w:pPr>
      <w:rPr>
        <w:rFonts w:ascii="Wingdings" w:hAnsi="Wingdings" w:hint="default"/>
      </w:rPr>
    </w:lvl>
    <w:lvl w:ilvl="4" w:tplc="04090003" w:tentative="1">
      <w:start w:val="1"/>
      <w:numFmt w:val="bullet"/>
      <w:lvlText w:val=""/>
      <w:lvlJc w:val="left"/>
      <w:pPr>
        <w:ind w:left="2424" w:hanging="480"/>
      </w:pPr>
      <w:rPr>
        <w:rFonts w:ascii="Wingdings" w:hAnsi="Wingdings" w:hint="default"/>
      </w:rPr>
    </w:lvl>
    <w:lvl w:ilvl="5" w:tplc="04090005" w:tentative="1">
      <w:start w:val="1"/>
      <w:numFmt w:val="bullet"/>
      <w:lvlText w:val=""/>
      <w:lvlJc w:val="left"/>
      <w:pPr>
        <w:ind w:left="2904" w:hanging="480"/>
      </w:pPr>
      <w:rPr>
        <w:rFonts w:ascii="Wingdings" w:hAnsi="Wingdings" w:hint="default"/>
      </w:rPr>
    </w:lvl>
    <w:lvl w:ilvl="6" w:tplc="04090001" w:tentative="1">
      <w:start w:val="1"/>
      <w:numFmt w:val="bullet"/>
      <w:lvlText w:val=""/>
      <w:lvlJc w:val="left"/>
      <w:pPr>
        <w:ind w:left="3384" w:hanging="480"/>
      </w:pPr>
      <w:rPr>
        <w:rFonts w:ascii="Wingdings" w:hAnsi="Wingdings" w:hint="default"/>
      </w:rPr>
    </w:lvl>
    <w:lvl w:ilvl="7" w:tplc="04090003" w:tentative="1">
      <w:start w:val="1"/>
      <w:numFmt w:val="bullet"/>
      <w:lvlText w:val=""/>
      <w:lvlJc w:val="left"/>
      <w:pPr>
        <w:ind w:left="3864" w:hanging="480"/>
      </w:pPr>
      <w:rPr>
        <w:rFonts w:ascii="Wingdings" w:hAnsi="Wingdings" w:hint="default"/>
      </w:rPr>
    </w:lvl>
    <w:lvl w:ilvl="8" w:tplc="04090005" w:tentative="1">
      <w:start w:val="1"/>
      <w:numFmt w:val="bullet"/>
      <w:lvlText w:val=""/>
      <w:lvlJc w:val="left"/>
      <w:pPr>
        <w:ind w:left="4344" w:hanging="480"/>
      </w:pPr>
      <w:rPr>
        <w:rFonts w:ascii="Wingdings" w:hAnsi="Wingdings" w:hint="default"/>
      </w:rPr>
    </w:lvl>
  </w:abstractNum>
  <w:abstractNum w:abstractNumId="42" w15:restartNumberingAfterBreak="0">
    <w:nsid w:val="76BC4AE7"/>
    <w:multiLevelType w:val="hybridMultilevel"/>
    <w:tmpl w:val="266C64BA"/>
    <w:lvl w:ilvl="0" w:tplc="1696BAC0">
      <w:start w:val="1"/>
      <w:numFmt w:val="taiwaneseCountingThousand"/>
      <w:lvlText w:val="%1、"/>
      <w:lvlJc w:val="left"/>
      <w:pPr>
        <w:tabs>
          <w:tab w:val="num" w:pos="1060"/>
        </w:tabs>
        <w:ind w:left="1060" w:hanging="720"/>
      </w:pPr>
      <w:rPr>
        <w:rFonts w:hint="default"/>
      </w:rPr>
    </w:lvl>
    <w:lvl w:ilvl="1" w:tplc="E58A93DC">
      <w:start w:val="1"/>
      <w:numFmt w:val="taiwaneseCountingThousand"/>
      <w:lvlText w:val="（%2）"/>
      <w:lvlJc w:val="left"/>
      <w:pPr>
        <w:tabs>
          <w:tab w:val="num" w:pos="1721"/>
        </w:tabs>
        <w:ind w:left="1721" w:hanging="1361"/>
      </w:pPr>
      <w:rPr>
        <w:rFonts w:hint="eastAsia"/>
      </w:rPr>
    </w:lvl>
    <w:lvl w:ilvl="2" w:tplc="B7E20246">
      <w:start w:val="1"/>
      <w:numFmt w:val="decimal"/>
      <w:lvlText w:val="%3."/>
      <w:lvlJc w:val="left"/>
      <w:pPr>
        <w:tabs>
          <w:tab w:val="num" w:pos="3130"/>
        </w:tabs>
        <w:ind w:left="3130" w:hanging="1830"/>
      </w:pPr>
      <w:rPr>
        <w:rFonts w:hint="default"/>
      </w:rPr>
    </w:lvl>
    <w:lvl w:ilvl="3" w:tplc="AEE86EC0">
      <w:start w:val="1"/>
      <w:numFmt w:val="taiwaneseCountingThousand"/>
      <w:lvlText w:val="(%4)"/>
      <w:lvlJc w:val="left"/>
      <w:pPr>
        <w:tabs>
          <w:tab w:val="num" w:pos="2500"/>
        </w:tabs>
        <w:ind w:left="2500" w:hanging="720"/>
      </w:pPr>
      <w:rPr>
        <w:rFonts w:hint="default"/>
      </w:rPr>
    </w:lvl>
    <w:lvl w:ilvl="4" w:tplc="04090019" w:tentative="1">
      <w:start w:val="1"/>
      <w:numFmt w:val="ideographTraditional"/>
      <w:lvlText w:val="%5、"/>
      <w:lvlJc w:val="left"/>
      <w:pPr>
        <w:tabs>
          <w:tab w:val="num" w:pos="2740"/>
        </w:tabs>
        <w:ind w:left="2740" w:hanging="480"/>
      </w:pPr>
    </w:lvl>
    <w:lvl w:ilvl="5" w:tplc="0409001B" w:tentative="1">
      <w:start w:val="1"/>
      <w:numFmt w:val="lowerRoman"/>
      <w:lvlText w:val="%6."/>
      <w:lvlJc w:val="right"/>
      <w:pPr>
        <w:tabs>
          <w:tab w:val="num" w:pos="3220"/>
        </w:tabs>
        <w:ind w:left="3220" w:hanging="480"/>
      </w:pPr>
    </w:lvl>
    <w:lvl w:ilvl="6" w:tplc="0409000F" w:tentative="1">
      <w:start w:val="1"/>
      <w:numFmt w:val="decimal"/>
      <w:lvlText w:val="%7."/>
      <w:lvlJc w:val="left"/>
      <w:pPr>
        <w:tabs>
          <w:tab w:val="num" w:pos="3700"/>
        </w:tabs>
        <w:ind w:left="3700" w:hanging="480"/>
      </w:pPr>
    </w:lvl>
    <w:lvl w:ilvl="7" w:tplc="04090019" w:tentative="1">
      <w:start w:val="1"/>
      <w:numFmt w:val="ideographTraditional"/>
      <w:lvlText w:val="%8、"/>
      <w:lvlJc w:val="left"/>
      <w:pPr>
        <w:tabs>
          <w:tab w:val="num" w:pos="4180"/>
        </w:tabs>
        <w:ind w:left="4180" w:hanging="480"/>
      </w:pPr>
    </w:lvl>
    <w:lvl w:ilvl="8" w:tplc="0409001B" w:tentative="1">
      <w:start w:val="1"/>
      <w:numFmt w:val="lowerRoman"/>
      <w:lvlText w:val="%9."/>
      <w:lvlJc w:val="right"/>
      <w:pPr>
        <w:tabs>
          <w:tab w:val="num" w:pos="4660"/>
        </w:tabs>
        <w:ind w:left="4660" w:hanging="480"/>
      </w:pPr>
    </w:lvl>
  </w:abstractNum>
  <w:abstractNum w:abstractNumId="43" w15:restartNumberingAfterBreak="0">
    <w:nsid w:val="792B3F09"/>
    <w:multiLevelType w:val="hybridMultilevel"/>
    <w:tmpl w:val="6AF82F3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42"/>
  </w:num>
  <w:num w:numId="2">
    <w:abstractNumId w:val="25"/>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0"/>
  </w:num>
  <w:num w:numId="5">
    <w:abstractNumId w:val="39"/>
  </w:num>
  <w:num w:numId="6">
    <w:abstractNumId w:val="2"/>
  </w:num>
  <w:num w:numId="7">
    <w:abstractNumId w:val="24"/>
  </w:num>
  <w:num w:numId="8">
    <w:abstractNumId w:val="0"/>
  </w:num>
  <w:num w:numId="9">
    <w:abstractNumId w:val="10"/>
  </w:num>
  <w:num w:numId="10">
    <w:abstractNumId w:val="9"/>
  </w:num>
  <w:num w:numId="11">
    <w:abstractNumId w:val="8"/>
  </w:num>
  <w:num w:numId="12">
    <w:abstractNumId w:val="40"/>
  </w:num>
  <w:num w:numId="13">
    <w:abstractNumId w:val="20"/>
  </w:num>
  <w:num w:numId="14">
    <w:abstractNumId w:val="15"/>
  </w:num>
  <w:num w:numId="15">
    <w:abstractNumId w:val="33"/>
  </w:num>
  <w:num w:numId="16">
    <w:abstractNumId w:val="38"/>
  </w:num>
  <w:num w:numId="1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6"/>
  </w:num>
  <w:num w:numId="20">
    <w:abstractNumId w:val="4"/>
  </w:num>
  <w:num w:numId="21">
    <w:abstractNumId w:val="17"/>
  </w:num>
  <w:num w:numId="22">
    <w:abstractNumId w:val="34"/>
  </w:num>
  <w:num w:numId="23">
    <w:abstractNumId w:val="1"/>
  </w:num>
  <w:num w:numId="24">
    <w:abstractNumId w:val="37"/>
  </w:num>
  <w:num w:numId="25">
    <w:abstractNumId w:val="22"/>
  </w:num>
  <w:num w:numId="26">
    <w:abstractNumId w:val="21"/>
  </w:num>
  <w:num w:numId="27">
    <w:abstractNumId w:val="19"/>
  </w:num>
  <w:num w:numId="28">
    <w:abstractNumId w:val="43"/>
  </w:num>
  <w:num w:numId="29">
    <w:abstractNumId w:val="6"/>
  </w:num>
  <w:num w:numId="30">
    <w:abstractNumId w:val="3"/>
  </w:num>
  <w:num w:numId="31">
    <w:abstractNumId w:val="18"/>
  </w:num>
  <w:num w:numId="32">
    <w:abstractNumId w:val="23"/>
  </w:num>
  <w:num w:numId="33">
    <w:abstractNumId w:val="31"/>
  </w:num>
  <w:num w:numId="34">
    <w:abstractNumId w:val="7"/>
  </w:num>
  <w:num w:numId="35">
    <w:abstractNumId w:val="28"/>
  </w:num>
  <w:num w:numId="36">
    <w:abstractNumId w:val="29"/>
  </w:num>
  <w:num w:numId="37">
    <w:abstractNumId w:val="13"/>
  </w:num>
  <w:num w:numId="38">
    <w:abstractNumId w:val="32"/>
  </w:num>
  <w:num w:numId="39">
    <w:abstractNumId w:val="5"/>
  </w:num>
  <w:num w:numId="40">
    <w:abstractNumId w:val="11"/>
  </w:num>
  <w:num w:numId="41">
    <w:abstractNumId w:val="35"/>
  </w:num>
  <w:num w:numId="42">
    <w:abstractNumId w:val="27"/>
  </w:num>
  <w:num w:numId="43">
    <w:abstractNumId w:val="16"/>
  </w:num>
  <w:num w:numId="44">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style="mso-width-relative:margin;mso-height-relative:margin" fillcolor="white">
      <v:fill color="white"/>
      <v:textbox style="layout-flow:vertical-ideographic"/>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6515E4"/>
    <w:rsid w:val="00000945"/>
    <w:rsid w:val="00000994"/>
    <w:rsid w:val="00000CD6"/>
    <w:rsid w:val="000015F9"/>
    <w:rsid w:val="00001A25"/>
    <w:rsid w:val="00001DC2"/>
    <w:rsid w:val="000022DB"/>
    <w:rsid w:val="00002379"/>
    <w:rsid w:val="000024C0"/>
    <w:rsid w:val="00002930"/>
    <w:rsid w:val="00002D17"/>
    <w:rsid w:val="00003726"/>
    <w:rsid w:val="00003EE2"/>
    <w:rsid w:val="00004191"/>
    <w:rsid w:val="00004287"/>
    <w:rsid w:val="00004C94"/>
    <w:rsid w:val="0000590E"/>
    <w:rsid w:val="00005A84"/>
    <w:rsid w:val="000060AC"/>
    <w:rsid w:val="0000667A"/>
    <w:rsid w:val="000073EB"/>
    <w:rsid w:val="00007489"/>
    <w:rsid w:val="00007F4D"/>
    <w:rsid w:val="00010274"/>
    <w:rsid w:val="00010CD2"/>
    <w:rsid w:val="00012008"/>
    <w:rsid w:val="00012214"/>
    <w:rsid w:val="000124B5"/>
    <w:rsid w:val="00012837"/>
    <w:rsid w:val="00012A5D"/>
    <w:rsid w:val="00014570"/>
    <w:rsid w:val="00014889"/>
    <w:rsid w:val="00014A00"/>
    <w:rsid w:val="00014B6C"/>
    <w:rsid w:val="00014B8A"/>
    <w:rsid w:val="00014C14"/>
    <w:rsid w:val="000150DF"/>
    <w:rsid w:val="00015547"/>
    <w:rsid w:val="00016032"/>
    <w:rsid w:val="000165ED"/>
    <w:rsid w:val="0001757D"/>
    <w:rsid w:val="00017E79"/>
    <w:rsid w:val="00017FD2"/>
    <w:rsid w:val="00020880"/>
    <w:rsid w:val="000208DA"/>
    <w:rsid w:val="0002136E"/>
    <w:rsid w:val="000215A2"/>
    <w:rsid w:val="0002198E"/>
    <w:rsid w:val="00021A22"/>
    <w:rsid w:val="00021F39"/>
    <w:rsid w:val="0002240F"/>
    <w:rsid w:val="00022500"/>
    <w:rsid w:val="0002272F"/>
    <w:rsid w:val="00022979"/>
    <w:rsid w:val="00022CAB"/>
    <w:rsid w:val="0002358C"/>
    <w:rsid w:val="000236A4"/>
    <w:rsid w:val="000237A0"/>
    <w:rsid w:val="0002387B"/>
    <w:rsid w:val="00023ACF"/>
    <w:rsid w:val="00023E26"/>
    <w:rsid w:val="000241A4"/>
    <w:rsid w:val="000247A6"/>
    <w:rsid w:val="000249A6"/>
    <w:rsid w:val="00024B6C"/>
    <w:rsid w:val="00025403"/>
    <w:rsid w:val="00025990"/>
    <w:rsid w:val="00025E74"/>
    <w:rsid w:val="0002609A"/>
    <w:rsid w:val="000260CC"/>
    <w:rsid w:val="00026C44"/>
    <w:rsid w:val="00026E5B"/>
    <w:rsid w:val="00026FBD"/>
    <w:rsid w:val="00027931"/>
    <w:rsid w:val="00027B3A"/>
    <w:rsid w:val="00027B76"/>
    <w:rsid w:val="000302D3"/>
    <w:rsid w:val="000303B8"/>
    <w:rsid w:val="000308FD"/>
    <w:rsid w:val="00031649"/>
    <w:rsid w:val="00032285"/>
    <w:rsid w:val="000335CD"/>
    <w:rsid w:val="00033AA4"/>
    <w:rsid w:val="00034976"/>
    <w:rsid w:val="00034E3A"/>
    <w:rsid w:val="000351E0"/>
    <w:rsid w:val="00035BAE"/>
    <w:rsid w:val="000360E6"/>
    <w:rsid w:val="000366DC"/>
    <w:rsid w:val="0003726C"/>
    <w:rsid w:val="000373DB"/>
    <w:rsid w:val="0003741B"/>
    <w:rsid w:val="00037ADD"/>
    <w:rsid w:val="00037DB5"/>
    <w:rsid w:val="00040411"/>
    <w:rsid w:val="00041357"/>
    <w:rsid w:val="0004142C"/>
    <w:rsid w:val="00041690"/>
    <w:rsid w:val="00041B57"/>
    <w:rsid w:val="0004205B"/>
    <w:rsid w:val="000421BB"/>
    <w:rsid w:val="00042709"/>
    <w:rsid w:val="000429A7"/>
    <w:rsid w:val="00042E14"/>
    <w:rsid w:val="00042E5E"/>
    <w:rsid w:val="00042E91"/>
    <w:rsid w:val="000433CE"/>
    <w:rsid w:val="00043CC1"/>
    <w:rsid w:val="00044834"/>
    <w:rsid w:val="00044B36"/>
    <w:rsid w:val="00045810"/>
    <w:rsid w:val="000458B2"/>
    <w:rsid w:val="00045AE3"/>
    <w:rsid w:val="00045D64"/>
    <w:rsid w:val="00046EA9"/>
    <w:rsid w:val="000475BA"/>
    <w:rsid w:val="000476FA"/>
    <w:rsid w:val="000477A8"/>
    <w:rsid w:val="00047B19"/>
    <w:rsid w:val="00047D5D"/>
    <w:rsid w:val="00050364"/>
    <w:rsid w:val="000507D8"/>
    <w:rsid w:val="00050B55"/>
    <w:rsid w:val="00050CE6"/>
    <w:rsid w:val="00051E6C"/>
    <w:rsid w:val="0005267C"/>
    <w:rsid w:val="00052A77"/>
    <w:rsid w:val="000535BB"/>
    <w:rsid w:val="00054020"/>
    <w:rsid w:val="00054119"/>
    <w:rsid w:val="000550B9"/>
    <w:rsid w:val="000550EF"/>
    <w:rsid w:val="0005541B"/>
    <w:rsid w:val="000556FF"/>
    <w:rsid w:val="00055F0E"/>
    <w:rsid w:val="000565B8"/>
    <w:rsid w:val="000569F6"/>
    <w:rsid w:val="00057413"/>
    <w:rsid w:val="000574D9"/>
    <w:rsid w:val="000579A0"/>
    <w:rsid w:val="000579C8"/>
    <w:rsid w:val="00057AA8"/>
    <w:rsid w:val="000602B6"/>
    <w:rsid w:val="00060759"/>
    <w:rsid w:val="00060F18"/>
    <w:rsid w:val="000613D8"/>
    <w:rsid w:val="00061E39"/>
    <w:rsid w:val="000623C7"/>
    <w:rsid w:val="00062C1D"/>
    <w:rsid w:val="00062D2E"/>
    <w:rsid w:val="00062E55"/>
    <w:rsid w:val="00062F15"/>
    <w:rsid w:val="00063A6E"/>
    <w:rsid w:val="000653D6"/>
    <w:rsid w:val="0006545B"/>
    <w:rsid w:val="000663FD"/>
    <w:rsid w:val="00066813"/>
    <w:rsid w:val="00066E19"/>
    <w:rsid w:val="0006715F"/>
    <w:rsid w:val="000671CC"/>
    <w:rsid w:val="0006737E"/>
    <w:rsid w:val="00070BBF"/>
    <w:rsid w:val="00071387"/>
    <w:rsid w:val="000717ED"/>
    <w:rsid w:val="000727F7"/>
    <w:rsid w:val="00072D12"/>
    <w:rsid w:val="0007368D"/>
    <w:rsid w:val="00073A04"/>
    <w:rsid w:val="00073C0A"/>
    <w:rsid w:val="000747D9"/>
    <w:rsid w:val="00075579"/>
    <w:rsid w:val="00075BEE"/>
    <w:rsid w:val="00076108"/>
    <w:rsid w:val="00076F8C"/>
    <w:rsid w:val="00080825"/>
    <w:rsid w:val="00080E68"/>
    <w:rsid w:val="00081682"/>
    <w:rsid w:val="0008201C"/>
    <w:rsid w:val="00082DF9"/>
    <w:rsid w:val="000844A0"/>
    <w:rsid w:val="0008521B"/>
    <w:rsid w:val="00085250"/>
    <w:rsid w:val="000854C5"/>
    <w:rsid w:val="0008587D"/>
    <w:rsid w:val="00087035"/>
    <w:rsid w:val="00087DC4"/>
    <w:rsid w:val="00090406"/>
    <w:rsid w:val="00090645"/>
    <w:rsid w:val="00090CC4"/>
    <w:rsid w:val="00091168"/>
    <w:rsid w:val="000913C9"/>
    <w:rsid w:val="00091D0B"/>
    <w:rsid w:val="00092873"/>
    <w:rsid w:val="00092FE9"/>
    <w:rsid w:val="00093F2D"/>
    <w:rsid w:val="00094E23"/>
    <w:rsid w:val="00094F4E"/>
    <w:rsid w:val="000954F1"/>
    <w:rsid w:val="000955F2"/>
    <w:rsid w:val="00095600"/>
    <w:rsid w:val="0009600E"/>
    <w:rsid w:val="00096106"/>
    <w:rsid w:val="000966C2"/>
    <w:rsid w:val="00096F11"/>
    <w:rsid w:val="000979B4"/>
    <w:rsid w:val="00097A7B"/>
    <w:rsid w:val="00097E86"/>
    <w:rsid w:val="00097FBB"/>
    <w:rsid w:val="00097FC0"/>
    <w:rsid w:val="000A083E"/>
    <w:rsid w:val="000A095E"/>
    <w:rsid w:val="000A0C7B"/>
    <w:rsid w:val="000A0FAE"/>
    <w:rsid w:val="000A169C"/>
    <w:rsid w:val="000A1DB5"/>
    <w:rsid w:val="000A267A"/>
    <w:rsid w:val="000A2AFE"/>
    <w:rsid w:val="000A2B00"/>
    <w:rsid w:val="000A33C2"/>
    <w:rsid w:val="000A3C83"/>
    <w:rsid w:val="000A405F"/>
    <w:rsid w:val="000A4105"/>
    <w:rsid w:val="000A42E3"/>
    <w:rsid w:val="000A55BB"/>
    <w:rsid w:val="000A5859"/>
    <w:rsid w:val="000A5907"/>
    <w:rsid w:val="000A596F"/>
    <w:rsid w:val="000A5C33"/>
    <w:rsid w:val="000A5D2C"/>
    <w:rsid w:val="000A6277"/>
    <w:rsid w:val="000A6B9A"/>
    <w:rsid w:val="000A6D4E"/>
    <w:rsid w:val="000A722A"/>
    <w:rsid w:val="000A773C"/>
    <w:rsid w:val="000A77A8"/>
    <w:rsid w:val="000A7CBA"/>
    <w:rsid w:val="000A7F26"/>
    <w:rsid w:val="000B00FC"/>
    <w:rsid w:val="000B0548"/>
    <w:rsid w:val="000B10F9"/>
    <w:rsid w:val="000B1739"/>
    <w:rsid w:val="000B1871"/>
    <w:rsid w:val="000B2A69"/>
    <w:rsid w:val="000B355F"/>
    <w:rsid w:val="000B35A1"/>
    <w:rsid w:val="000B38FC"/>
    <w:rsid w:val="000B3ABF"/>
    <w:rsid w:val="000B42DB"/>
    <w:rsid w:val="000B58C6"/>
    <w:rsid w:val="000B660C"/>
    <w:rsid w:val="000B688C"/>
    <w:rsid w:val="000B6FF7"/>
    <w:rsid w:val="000B733C"/>
    <w:rsid w:val="000B7E71"/>
    <w:rsid w:val="000C1065"/>
    <w:rsid w:val="000C260F"/>
    <w:rsid w:val="000C350F"/>
    <w:rsid w:val="000C351A"/>
    <w:rsid w:val="000C37E9"/>
    <w:rsid w:val="000C45E0"/>
    <w:rsid w:val="000C467F"/>
    <w:rsid w:val="000C471E"/>
    <w:rsid w:val="000C5238"/>
    <w:rsid w:val="000C5797"/>
    <w:rsid w:val="000C5DC8"/>
    <w:rsid w:val="000C5E70"/>
    <w:rsid w:val="000C60AF"/>
    <w:rsid w:val="000C6CB7"/>
    <w:rsid w:val="000C7276"/>
    <w:rsid w:val="000D0524"/>
    <w:rsid w:val="000D0E93"/>
    <w:rsid w:val="000D1147"/>
    <w:rsid w:val="000D3686"/>
    <w:rsid w:val="000D39D7"/>
    <w:rsid w:val="000D3F3E"/>
    <w:rsid w:val="000D4504"/>
    <w:rsid w:val="000D578E"/>
    <w:rsid w:val="000D5AF5"/>
    <w:rsid w:val="000D5D41"/>
    <w:rsid w:val="000D66D2"/>
    <w:rsid w:val="000D6925"/>
    <w:rsid w:val="000D6A6F"/>
    <w:rsid w:val="000D6DA2"/>
    <w:rsid w:val="000D6DBD"/>
    <w:rsid w:val="000D7EDE"/>
    <w:rsid w:val="000D7FD6"/>
    <w:rsid w:val="000E006E"/>
    <w:rsid w:val="000E02F2"/>
    <w:rsid w:val="000E1309"/>
    <w:rsid w:val="000E1895"/>
    <w:rsid w:val="000E1DCB"/>
    <w:rsid w:val="000E1E27"/>
    <w:rsid w:val="000E2257"/>
    <w:rsid w:val="000E25EE"/>
    <w:rsid w:val="000E29C6"/>
    <w:rsid w:val="000E29D3"/>
    <w:rsid w:val="000E3754"/>
    <w:rsid w:val="000E38D9"/>
    <w:rsid w:val="000E3B72"/>
    <w:rsid w:val="000E3CF5"/>
    <w:rsid w:val="000E5225"/>
    <w:rsid w:val="000E529D"/>
    <w:rsid w:val="000E54C5"/>
    <w:rsid w:val="000E55E9"/>
    <w:rsid w:val="000E56BC"/>
    <w:rsid w:val="000E5C30"/>
    <w:rsid w:val="000E5F79"/>
    <w:rsid w:val="000E6093"/>
    <w:rsid w:val="000E6459"/>
    <w:rsid w:val="000E67FF"/>
    <w:rsid w:val="000E6EC6"/>
    <w:rsid w:val="000E7B89"/>
    <w:rsid w:val="000F016F"/>
    <w:rsid w:val="000F10D1"/>
    <w:rsid w:val="000F1541"/>
    <w:rsid w:val="000F18DB"/>
    <w:rsid w:val="000F2538"/>
    <w:rsid w:val="000F26B8"/>
    <w:rsid w:val="000F291F"/>
    <w:rsid w:val="000F2CEA"/>
    <w:rsid w:val="000F2D38"/>
    <w:rsid w:val="000F2FA3"/>
    <w:rsid w:val="000F3CFE"/>
    <w:rsid w:val="000F451A"/>
    <w:rsid w:val="000F45F8"/>
    <w:rsid w:val="000F4770"/>
    <w:rsid w:val="000F484D"/>
    <w:rsid w:val="000F4EFB"/>
    <w:rsid w:val="000F5B9E"/>
    <w:rsid w:val="000F5C15"/>
    <w:rsid w:val="000F5CA6"/>
    <w:rsid w:val="000F6783"/>
    <w:rsid w:val="000F6C2B"/>
    <w:rsid w:val="000F7F5B"/>
    <w:rsid w:val="0010091F"/>
    <w:rsid w:val="00100E17"/>
    <w:rsid w:val="00100F75"/>
    <w:rsid w:val="00100F8D"/>
    <w:rsid w:val="0010176D"/>
    <w:rsid w:val="00101A13"/>
    <w:rsid w:val="00101DB2"/>
    <w:rsid w:val="001027E7"/>
    <w:rsid w:val="00102CF2"/>
    <w:rsid w:val="00103E23"/>
    <w:rsid w:val="00103F04"/>
    <w:rsid w:val="001040EA"/>
    <w:rsid w:val="001045FE"/>
    <w:rsid w:val="00104825"/>
    <w:rsid w:val="00104989"/>
    <w:rsid w:val="00104B35"/>
    <w:rsid w:val="001054F2"/>
    <w:rsid w:val="001056EB"/>
    <w:rsid w:val="001063CA"/>
    <w:rsid w:val="001066D5"/>
    <w:rsid w:val="001068A5"/>
    <w:rsid w:val="001069BD"/>
    <w:rsid w:val="00106B6B"/>
    <w:rsid w:val="00106C58"/>
    <w:rsid w:val="00107863"/>
    <w:rsid w:val="00107C0C"/>
    <w:rsid w:val="00110233"/>
    <w:rsid w:val="00110587"/>
    <w:rsid w:val="001106AA"/>
    <w:rsid w:val="00110CCF"/>
    <w:rsid w:val="0011159D"/>
    <w:rsid w:val="001130B4"/>
    <w:rsid w:val="00113AE8"/>
    <w:rsid w:val="00114994"/>
    <w:rsid w:val="001151ED"/>
    <w:rsid w:val="00115514"/>
    <w:rsid w:val="0011590F"/>
    <w:rsid w:val="00116922"/>
    <w:rsid w:val="00116ABA"/>
    <w:rsid w:val="00116B06"/>
    <w:rsid w:val="00116B56"/>
    <w:rsid w:val="001175E9"/>
    <w:rsid w:val="00120257"/>
    <w:rsid w:val="00120504"/>
    <w:rsid w:val="00120A7B"/>
    <w:rsid w:val="00120CE6"/>
    <w:rsid w:val="00120F2E"/>
    <w:rsid w:val="00121046"/>
    <w:rsid w:val="00121392"/>
    <w:rsid w:val="00121687"/>
    <w:rsid w:val="0012189E"/>
    <w:rsid w:val="001218FA"/>
    <w:rsid w:val="00121F97"/>
    <w:rsid w:val="001224AF"/>
    <w:rsid w:val="001225FB"/>
    <w:rsid w:val="00122760"/>
    <w:rsid w:val="00123683"/>
    <w:rsid w:val="00123CBD"/>
    <w:rsid w:val="0012406D"/>
    <w:rsid w:val="001247E1"/>
    <w:rsid w:val="001247EE"/>
    <w:rsid w:val="00124841"/>
    <w:rsid w:val="00125255"/>
    <w:rsid w:val="0012556D"/>
    <w:rsid w:val="001258ED"/>
    <w:rsid w:val="001269CC"/>
    <w:rsid w:val="00127E8F"/>
    <w:rsid w:val="00130076"/>
    <w:rsid w:val="00130147"/>
    <w:rsid w:val="001301EA"/>
    <w:rsid w:val="00130531"/>
    <w:rsid w:val="0013238C"/>
    <w:rsid w:val="00132CC5"/>
    <w:rsid w:val="00132EC3"/>
    <w:rsid w:val="00133191"/>
    <w:rsid w:val="001333C0"/>
    <w:rsid w:val="001333D3"/>
    <w:rsid w:val="00133B6B"/>
    <w:rsid w:val="00133E4C"/>
    <w:rsid w:val="00134073"/>
    <w:rsid w:val="001350BC"/>
    <w:rsid w:val="00135425"/>
    <w:rsid w:val="00135431"/>
    <w:rsid w:val="00135620"/>
    <w:rsid w:val="001362BE"/>
    <w:rsid w:val="001362C3"/>
    <w:rsid w:val="00136D73"/>
    <w:rsid w:val="00136F76"/>
    <w:rsid w:val="001372BD"/>
    <w:rsid w:val="0014012D"/>
    <w:rsid w:val="001402E6"/>
    <w:rsid w:val="00140437"/>
    <w:rsid w:val="00140CA6"/>
    <w:rsid w:val="001415CB"/>
    <w:rsid w:val="0014190C"/>
    <w:rsid w:val="00141B5E"/>
    <w:rsid w:val="001424EC"/>
    <w:rsid w:val="00142CEE"/>
    <w:rsid w:val="0014353D"/>
    <w:rsid w:val="001436C3"/>
    <w:rsid w:val="00143BE6"/>
    <w:rsid w:val="001442C2"/>
    <w:rsid w:val="0014451F"/>
    <w:rsid w:val="0014499B"/>
    <w:rsid w:val="00145117"/>
    <w:rsid w:val="0014567B"/>
    <w:rsid w:val="001456E7"/>
    <w:rsid w:val="00145AFF"/>
    <w:rsid w:val="00146084"/>
    <w:rsid w:val="001467A2"/>
    <w:rsid w:val="00146D1B"/>
    <w:rsid w:val="001476B8"/>
    <w:rsid w:val="00147E00"/>
    <w:rsid w:val="0015034A"/>
    <w:rsid w:val="00151858"/>
    <w:rsid w:val="00151CEB"/>
    <w:rsid w:val="00151EFD"/>
    <w:rsid w:val="0015204A"/>
    <w:rsid w:val="0015222E"/>
    <w:rsid w:val="0015237A"/>
    <w:rsid w:val="001524F1"/>
    <w:rsid w:val="00152529"/>
    <w:rsid w:val="001526CF"/>
    <w:rsid w:val="0015287C"/>
    <w:rsid w:val="0015394A"/>
    <w:rsid w:val="00154228"/>
    <w:rsid w:val="001551FD"/>
    <w:rsid w:val="00155596"/>
    <w:rsid w:val="00155A60"/>
    <w:rsid w:val="00155E19"/>
    <w:rsid w:val="00155FD1"/>
    <w:rsid w:val="001577A8"/>
    <w:rsid w:val="00157AD6"/>
    <w:rsid w:val="00160342"/>
    <w:rsid w:val="0016056B"/>
    <w:rsid w:val="00160794"/>
    <w:rsid w:val="00160D58"/>
    <w:rsid w:val="001612DC"/>
    <w:rsid w:val="001617EA"/>
    <w:rsid w:val="00161C78"/>
    <w:rsid w:val="00161F0A"/>
    <w:rsid w:val="001623A7"/>
    <w:rsid w:val="0016255C"/>
    <w:rsid w:val="001629BB"/>
    <w:rsid w:val="00163700"/>
    <w:rsid w:val="001639F1"/>
    <w:rsid w:val="001641CD"/>
    <w:rsid w:val="0016478F"/>
    <w:rsid w:val="001648E5"/>
    <w:rsid w:val="00164C74"/>
    <w:rsid w:val="00164D2D"/>
    <w:rsid w:val="00165D9A"/>
    <w:rsid w:val="001677A0"/>
    <w:rsid w:val="00167ED3"/>
    <w:rsid w:val="00170413"/>
    <w:rsid w:val="00170584"/>
    <w:rsid w:val="00170689"/>
    <w:rsid w:val="00170789"/>
    <w:rsid w:val="00171254"/>
    <w:rsid w:val="00171433"/>
    <w:rsid w:val="0017146D"/>
    <w:rsid w:val="00171556"/>
    <w:rsid w:val="00171660"/>
    <w:rsid w:val="001724E3"/>
    <w:rsid w:val="00172956"/>
    <w:rsid w:val="00173412"/>
    <w:rsid w:val="00173A9E"/>
    <w:rsid w:val="00174D47"/>
    <w:rsid w:val="0017582D"/>
    <w:rsid w:val="00175F55"/>
    <w:rsid w:val="0017684E"/>
    <w:rsid w:val="00177455"/>
    <w:rsid w:val="00177B18"/>
    <w:rsid w:val="00177E81"/>
    <w:rsid w:val="00180568"/>
    <w:rsid w:val="0018126C"/>
    <w:rsid w:val="001812BB"/>
    <w:rsid w:val="00181898"/>
    <w:rsid w:val="0018230D"/>
    <w:rsid w:val="00182993"/>
    <w:rsid w:val="00182F95"/>
    <w:rsid w:val="0018370F"/>
    <w:rsid w:val="00184186"/>
    <w:rsid w:val="0018441B"/>
    <w:rsid w:val="0018512D"/>
    <w:rsid w:val="0018523A"/>
    <w:rsid w:val="00185690"/>
    <w:rsid w:val="00185DF9"/>
    <w:rsid w:val="00187177"/>
    <w:rsid w:val="00187185"/>
    <w:rsid w:val="001877DB"/>
    <w:rsid w:val="00190197"/>
    <w:rsid w:val="00190786"/>
    <w:rsid w:val="00191185"/>
    <w:rsid w:val="0019172A"/>
    <w:rsid w:val="00191B50"/>
    <w:rsid w:val="00191B9C"/>
    <w:rsid w:val="00191BA2"/>
    <w:rsid w:val="00191FE6"/>
    <w:rsid w:val="0019205F"/>
    <w:rsid w:val="0019242B"/>
    <w:rsid w:val="00192703"/>
    <w:rsid w:val="0019280B"/>
    <w:rsid w:val="00192A22"/>
    <w:rsid w:val="00192AEA"/>
    <w:rsid w:val="00192F90"/>
    <w:rsid w:val="001934A3"/>
    <w:rsid w:val="00193C4C"/>
    <w:rsid w:val="00193D54"/>
    <w:rsid w:val="00194425"/>
    <w:rsid w:val="0019461F"/>
    <w:rsid w:val="001949B5"/>
    <w:rsid w:val="00194F5D"/>
    <w:rsid w:val="00194FA2"/>
    <w:rsid w:val="001954A1"/>
    <w:rsid w:val="00195573"/>
    <w:rsid w:val="001956C3"/>
    <w:rsid w:val="001958FD"/>
    <w:rsid w:val="00196A7E"/>
    <w:rsid w:val="001970C9"/>
    <w:rsid w:val="00197320"/>
    <w:rsid w:val="00197689"/>
    <w:rsid w:val="00197A12"/>
    <w:rsid w:val="00197C7D"/>
    <w:rsid w:val="001A029B"/>
    <w:rsid w:val="001A03B7"/>
    <w:rsid w:val="001A04BC"/>
    <w:rsid w:val="001A10B7"/>
    <w:rsid w:val="001A1161"/>
    <w:rsid w:val="001A1A10"/>
    <w:rsid w:val="001A22D6"/>
    <w:rsid w:val="001A2A18"/>
    <w:rsid w:val="001A302C"/>
    <w:rsid w:val="001A3316"/>
    <w:rsid w:val="001A35CC"/>
    <w:rsid w:val="001A35DD"/>
    <w:rsid w:val="001A41B0"/>
    <w:rsid w:val="001A433D"/>
    <w:rsid w:val="001A4890"/>
    <w:rsid w:val="001A4F3B"/>
    <w:rsid w:val="001A54F0"/>
    <w:rsid w:val="001A5550"/>
    <w:rsid w:val="001A5B48"/>
    <w:rsid w:val="001A5B98"/>
    <w:rsid w:val="001A63A3"/>
    <w:rsid w:val="001A6B0E"/>
    <w:rsid w:val="001A7D6B"/>
    <w:rsid w:val="001B07EE"/>
    <w:rsid w:val="001B0891"/>
    <w:rsid w:val="001B09FB"/>
    <w:rsid w:val="001B0E3C"/>
    <w:rsid w:val="001B0F45"/>
    <w:rsid w:val="001B0FD3"/>
    <w:rsid w:val="001B123C"/>
    <w:rsid w:val="001B1853"/>
    <w:rsid w:val="001B1938"/>
    <w:rsid w:val="001B2265"/>
    <w:rsid w:val="001B2313"/>
    <w:rsid w:val="001B25F4"/>
    <w:rsid w:val="001B3023"/>
    <w:rsid w:val="001B3559"/>
    <w:rsid w:val="001B3EAC"/>
    <w:rsid w:val="001B471F"/>
    <w:rsid w:val="001B4BF4"/>
    <w:rsid w:val="001B534E"/>
    <w:rsid w:val="001B55C0"/>
    <w:rsid w:val="001B65E6"/>
    <w:rsid w:val="001B717F"/>
    <w:rsid w:val="001B7333"/>
    <w:rsid w:val="001B7A67"/>
    <w:rsid w:val="001C05E9"/>
    <w:rsid w:val="001C07A7"/>
    <w:rsid w:val="001C0938"/>
    <w:rsid w:val="001C0ABD"/>
    <w:rsid w:val="001C0CEA"/>
    <w:rsid w:val="001C23E5"/>
    <w:rsid w:val="001C290F"/>
    <w:rsid w:val="001C2D90"/>
    <w:rsid w:val="001C2FC2"/>
    <w:rsid w:val="001C3C43"/>
    <w:rsid w:val="001C44BA"/>
    <w:rsid w:val="001C4FE2"/>
    <w:rsid w:val="001C514C"/>
    <w:rsid w:val="001C5E76"/>
    <w:rsid w:val="001D0B27"/>
    <w:rsid w:val="001D1194"/>
    <w:rsid w:val="001D124B"/>
    <w:rsid w:val="001D1774"/>
    <w:rsid w:val="001D2145"/>
    <w:rsid w:val="001D2882"/>
    <w:rsid w:val="001D3986"/>
    <w:rsid w:val="001D3E2E"/>
    <w:rsid w:val="001D3FC5"/>
    <w:rsid w:val="001D4957"/>
    <w:rsid w:val="001D5323"/>
    <w:rsid w:val="001D64BF"/>
    <w:rsid w:val="001D6A06"/>
    <w:rsid w:val="001D7224"/>
    <w:rsid w:val="001D76C0"/>
    <w:rsid w:val="001D799C"/>
    <w:rsid w:val="001D7B39"/>
    <w:rsid w:val="001D7CF4"/>
    <w:rsid w:val="001D7FCA"/>
    <w:rsid w:val="001E01B0"/>
    <w:rsid w:val="001E0389"/>
    <w:rsid w:val="001E1D15"/>
    <w:rsid w:val="001E220E"/>
    <w:rsid w:val="001E24EE"/>
    <w:rsid w:val="001E28C2"/>
    <w:rsid w:val="001E2FCA"/>
    <w:rsid w:val="001E3014"/>
    <w:rsid w:val="001E341C"/>
    <w:rsid w:val="001E363C"/>
    <w:rsid w:val="001E3EAF"/>
    <w:rsid w:val="001E40F7"/>
    <w:rsid w:val="001E4E60"/>
    <w:rsid w:val="001E60A2"/>
    <w:rsid w:val="001E65D5"/>
    <w:rsid w:val="001E739D"/>
    <w:rsid w:val="001E7E90"/>
    <w:rsid w:val="001F02A5"/>
    <w:rsid w:val="001F0939"/>
    <w:rsid w:val="001F110D"/>
    <w:rsid w:val="001F13AD"/>
    <w:rsid w:val="001F159C"/>
    <w:rsid w:val="001F1630"/>
    <w:rsid w:val="001F1D2F"/>
    <w:rsid w:val="001F1DA8"/>
    <w:rsid w:val="001F238F"/>
    <w:rsid w:val="001F2DFF"/>
    <w:rsid w:val="001F3788"/>
    <w:rsid w:val="001F5622"/>
    <w:rsid w:val="001F5F9E"/>
    <w:rsid w:val="001F6218"/>
    <w:rsid w:val="001F77AE"/>
    <w:rsid w:val="001F7D00"/>
    <w:rsid w:val="001F7E5B"/>
    <w:rsid w:val="00200002"/>
    <w:rsid w:val="002004D8"/>
    <w:rsid w:val="0020064C"/>
    <w:rsid w:val="00200DA0"/>
    <w:rsid w:val="0020100E"/>
    <w:rsid w:val="002014A0"/>
    <w:rsid w:val="00201A0B"/>
    <w:rsid w:val="0020331C"/>
    <w:rsid w:val="0020360B"/>
    <w:rsid w:val="00203B4A"/>
    <w:rsid w:val="00203B4F"/>
    <w:rsid w:val="00203DEB"/>
    <w:rsid w:val="0020408A"/>
    <w:rsid w:val="002040D3"/>
    <w:rsid w:val="00205382"/>
    <w:rsid w:val="00205FA6"/>
    <w:rsid w:val="00206625"/>
    <w:rsid w:val="002069E6"/>
    <w:rsid w:val="002071F8"/>
    <w:rsid w:val="0020778C"/>
    <w:rsid w:val="0020787C"/>
    <w:rsid w:val="00210221"/>
    <w:rsid w:val="002108DE"/>
    <w:rsid w:val="00210DB7"/>
    <w:rsid w:val="002114FD"/>
    <w:rsid w:val="00211B25"/>
    <w:rsid w:val="002124C1"/>
    <w:rsid w:val="00213341"/>
    <w:rsid w:val="002135FE"/>
    <w:rsid w:val="00213CE0"/>
    <w:rsid w:val="00213F99"/>
    <w:rsid w:val="00214912"/>
    <w:rsid w:val="00214E66"/>
    <w:rsid w:val="002156DA"/>
    <w:rsid w:val="0021637B"/>
    <w:rsid w:val="002164F6"/>
    <w:rsid w:val="00217023"/>
    <w:rsid w:val="00217650"/>
    <w:rsid w:val="002178F0"/>
    <w:rsid w:val="00217B87"/>
    <w:rsid w:val="0022019B"/>
    <w:rsid w:val="00220532"/>
    <w:rsid w:val="002206F3"/>
    <w:rsid w:val="00220DC7"/>
    <w:rsid w:val="00220DEB"/>
    <w:rsid w:val="002210C7"/>
    <w:rsid w:val="002212B3"/>
    <w:rsid w:val="00221C2F"/>
    <w:rsid w:val="002230C2"/>
    <w:rsid w:val="00223971"/>
    <w:rsid w:val="00223D90"/>
    <w:rsid w:val="00223E12"/>
    <w:rsid w:val="002244F3"/>
    <w:rsid w:val="00224520"/>
    <w:rsid w:val="00224ADD"/>
    <w:rsid w:val="00224E0E"/>
    <w:rsid w:val="00225121"/>
    <w:rsid w:val="00225614"/>
    <w:rsid w:val="00225673"/>
    <w:rsid w:val="00225A7F"/>
    <w:rsid w:val="00225AEF"/>
    <w:rsid w:val="00225B01"/>
    <w:rsid w:val="00225F61"/>
    <w:rsid w:val="002267A3"/>
    <w:rsid w:val="0022688C"/>
    <w:rsid w:val="002272F1"/>
    <w:rsid w:val="00227407"/>
    <w:rsid w:val="002275D8"/>
    <w:rsid w:val="00227BB1"/>
    <w:rsid w:val="00227C09"/>
    <w:rsid w:val="00230049"/>
    <w:rsid w:val="00230263"/>
    <w:rsid w:val="002303D8"/>
    <w:rsid w:val="00230F93"/>
    <w:rsid w:val="002318A1"/>
    <w:rsid w:val="00232108"/>
    <w:rsid w:val="0023239F"/>
    <w:rsid w:val="00232D7D"/>
    <w:rsid w:val="0023320C"/>
    <w:rsid w:val="0023329D"/>
    <w:rsid w:val="002334C6"/>
    <w:rsid w:val="002338D7"/>
    <w:rsid w:val="00233CF3"/>
    <w:rsid w:val="00233FC9"/>
    <w:rsid w:val="00234E84"/>
    <w:rsid w:val="00234F27"/>
    <w:rsid w:val="00234F34"/>
    <w:rsid w:val="00234F38"/>
    <w:rsid w:val="00235062"/>
    <w:rsid w:val="0023558E"/>
    <w:rsid w:val="00235A11"/>
    <w:rsid w:val="00235BCF"/>
    <w:rsid w:val="00236A1B"/>
    <w:rsid w:val="00236F6D"/>
    <w:rsid w:val="002372EE"/>
    <w:rsid w:val="00237439"/>
    <w:rsid w:val="00237616"/>
    <w:rsid w:val="00237770"/>
    <w:rsid w:val="00237FAA"/>
    <w:rsid w:val="002406D9"/>
    <w:rsid w:val="00240C61"/>
    <w:rsid w:val="00242557"/>
    <w:rsid w:val="002432E2"/>
    <w:rsid w:val="00243542"/>
    <w:rsid w:val="00243635"/>
    <w:rsid w:val="00243972"/>
    <w:rsid w:val="00243BD0"/>
    <w:rsid w:val="00243EAC"/>
    <w:rsid w:val="002450CA"/>
    <w:rsid w:val="0024584F"/>
    <w:rsid w:val="00245937"/>
    <w:rsid w:val="00245CF7"/>
    <w:rsid w:val="002460C2"/>
    <w:rsid w:val="00246237"/>
    <w:rsid w:val="00246A50"/>
    <w:rsid w:val="00246B12"/>
    <w:rsid w:val="00246EF4"/>
    <w:rsid w:val="00247104"/>
    <w:rsid w:val="0024793D"/>
    <w:rsid w:val="00247AA6"/>
    <w:rsid w:val="0025011B"/>
    <w:rsid w:val="002509A5"/>
    <w:rsid w:val="00250C3F"/>
    <w:rsid w:val="00250DA0"/>
    <w:rsid w:val="00251D9B"/>
    <w:rsid w:val="00252424"/>
    <w:rsid w:val="002530C6"/>
    <w:rsid w:val="00253537"/>
    <w:rsid w:val="0025373C"/>
    <w:rsid w:val="0025379B"/>
    <w:rsid w:val="00254F4E"/>
    <w:rsid w:val="002550EF"/>
    <w:rsid w:val="002555FA"/>
    <w:rsid w:val="00255A10"/>
    <w:rsid w:val="00255C1A"/>
    <w:rsid w:val="002561BA"/>
    <w:rsid w:val="0025636A"/>
    <w:rsid w:val="002563E4"/>
    <w:rsid w:val="00256571"/>
    <w:rsid w:val="00256F1D"/>
    <w:rsid w:val="00256F28"/>
    <w:rsid w:val="00260181"/>
    <w:rsid w:val="002608D4"/>
    <w:rsid w:val="00260ED0"/>
    <w:rsid w:val="00260EF5"/>
    <w:rsid w:val="002612DC"/>
    <w:rsid w:val="00261692"/>
    <w:rsid w:val="00261FA6"/>
    <w:rsid w:val="00262678"/>
    <w:rsid w:val="00262CB0"/>
    <w:rsid w:val="00262D92"/>
    <w:rsid w:val="0026308E"/>
    <w:rsid w:val="0026376A"/>
    <w:rsid w:val="00263FC4"/>
    <w:rsid w:val="00264B74"/>
    <w:rsid w:val="002655DD"/>
    <w:rsid w:val="002664F0"/>
    <w:rsid w:val="00266D1B"/>
    <w:rsid w:val="00266F6D"/>
    <w:rsid w:val="00267566"/>
    <w:rsid w:val="0026787D"/>
    <w:rsid w:val="002701C5"/>
    <w:rsid w:val="0027078C"/>
    <w:rsid w:val="00270B34"/>
    <w:rsid w:val="00271392"/>
    <w:rsid w:val="00271728"/>
    <w:rsid w:val="0027184A"/>
    <w:rsid w:val="00272371"/>
    <w:rsid w:val="0027237F"/>
    <w:rsid w:val="00272BED"/>
    <w:rsid w:val="00272F49"/>
    <w:rsid w:val="00273CA2"/>
    <w:rsid w:val="0027434A"/>
    <w:rsid w:val="002745C6"/>
    <w:rsid w:val="00274859"/>
    <w:rsid w:val="0027487E"/>
    <w:rsid w:val="00275B6E"/>
    <w:rsid w:val="00275DA5"/>
    <w:rsid w:val="00276033"/>
    <w:rsid w:val="00276621"/>
    <w:rsid w:val="00277271"/>
    <w:rsid w:val="002775D4"/>
    <w:rsid w:val="00277CD0"/>
    <w:rsid w:val="002802C1"/>
    <w:rsid w:val="00280345"/>
    <w:rsid w:val="002803C6"/>
    <w:rsid w:val="00280530"/>
    <w:rsid w:val="00280579"/>
    <w:rsid w:val="002812DE"/>
    <w:rsid w:val="00281575"/>
    <w:rsid w:val="00281D3D"/>
    <w:rsid w:val="00283B63"/>
    <w:rsid w:val="00283C77"/>
    <w:rsid w:val="00283DDC"/>
    <w:rsid w:val="00284818"/>
    <w:rsid w:val="00284D36"/>
    <w:rsid w:val="00284ECE"/>
    <w:rsid w:val="0028512F"/>
    <w:rsid w:val="00285173"/>
    <w:rsid w:val="00285237"/>
    <w:rsid w:val="00285AD6"/>
    <w:rsid w:val="00285DBC"/>
    <w:rsid w:val="002862FE"/>
    <w:rsid w:val="00286506"/>
    <w:rsid w:val="002878AD"/>
    <w:rsid w:val="00287DC5"/>
    <w:rsid w:val="00287E8D"/>
    <w:rsid w:val="0029052A"/>
    <w:rsid w:val="002911F5"/>
    <w:rsid w:val="002917DF"/>
    <w:rsid w:val="00291DD3"/>
    <w:rsid w:val="002921C4"/>
    <w:rsid w:val="002928A5"/>
    <w:rsid w:val="0029334C"/>
    <w:rsid w:val="0029342C"/>
    <w:rsid w:val="00293523"/>
    <w:rsid w:val="002939DF"/>
    <w:rsid w:val="0029478D"/>
    <w:rsid w:val="00294FDC"/>
    <w:rsid w:val="00295024"/>
    <w:rsid w:val="0029504E"/>
    <w:rsid w:val="0029565A"/>
    <w:rsid w:val="00295A62"/>
    <w:rsid w:val="002965D7"/>
    <w:rsid w:val="00296F61"/>
    <w:rsid w:val="0029788D"/>
    <w:rsid w:val="002978F5"/>
    <w:rsid w:val="00297979"/>
    <w:rsid w:val="002979A1"/>
    <w:rsid w:val="00297E42"/>
    <w:rsid w:val="002A0063"/>
    <w:rsid w:val="002A03AB"/>
    <w:rsid w:val="002A06FB"/>
    <w:rsid w:val="002A1AC4"/>
    <w:rsid w:val="002A1F1E"/>
    <w:rsid w:val="002A2D9E"/>
    <w:rsid w:val="002A327D"/>
    <w:rsid w:val="002A341A"/>
    <w:rsid w:val="002A3629"/>
    <w:rsid w:val="002A3828"/>
    <w:rsid w:val="002A41D8"/>
    <w:rsid w:val="002A493C"/>
    <w:rsid w:val="002A4E5C"/>
    <w:rsid w:val="002A55C3"/>
    <w:rsid w:val="002A5A1F"/>
    <w:rsid w:val="002A62EF"/>
    <w:rsid w:val="002A6681"/>
    <w:rsid w:val="002A67AF"/>
    <w:rsid w:val="002A6963"/>
    <w:rsid w:val="002A6ACF"/>
    <w:rsid w:val="002A760A"/>
    <w:rsid w:val="002A7D98"/>
    <w:rsid w:val="002B0216"/>
    <w:rsid w:val="002B0BEB"/>
    <w:rsid w:val="002B0FD6"/>
    <w:rsid w:val="002B18F9"/>
    <w:rsid w:val="002B1E3E"/>
    <w:rsid w:val="002B368A"/>
    <w:rsid w:val="002B3EF3"/>
    <w:rsid w:val="002B4543"/>
    <w:rsid w:val="002B4974"/>
    <w:rsid w:val="002B4CFF"/>
    <w:rsid w:val="002B4E28"/>
    <w:rsid w:val="002B574C"/>
    <w:rsid w:val="002B5D0A"/>
    <w:rsid w:val="002B6B00"/>
    <w:rsid w:val="002B7C32"/>
    <w:rsid w:val="002C0659"/>
    <w:rsid w:val="002C0C68"/>
    <w:rsid w:val="002C0CC6"/>
    <w:rsid w:val="002C0E69"/>
    <w:rsid w:val="002C15F9"/>
    <w:rsid w:val="002C1B78"/>
    <w:rsid w:val="002C2676"/>
    <w:rsid w:val="002C39E4"/>
    <w:rsid w:val="002C3CD1"/>
    <w:rsid w:val="002C4351"/>
    <w:rsid w:val="002C55FC"/>
    <w:rsid w:val="002C5883"/>
    <w:rsid w:val="002C600B"/>
    <w:rsid w:val="002C641F"/>
    <w:rsid w:val="002C6F2E"/>
    <w:rsid w:val="002D1388"/>
    <w:rsid w:val="002D1951"/>
    <w:rsid w:val="002D1B83"/>
    <w:rsid w:val="002D1D94"/>
    <w:rsid w:val="002D203D"/>
    <w:rsid w:val="002D2384"/>
    <w:rsid w:val="002D26C0"/>
    <w:rsid w:val="002D38E8"/>
    <w:rsid w:val="002D4396"/>
    <w:rsid w:val="002D464E"/>
    <w:rsid w:val="002D6534"/>
    <w:rsid w:val="002D72F4"/>
    <w:rsid w:val="002D780C"/>
    <w:rsid w:val="002D79A6"/>
    <w:rsid w:val="002E00E9"/>
    <w:rsid w:val="002E0EC6"/>
    <w:rsid w:val="002E15A7"/>
    <w:rsid w:val="002E1B01"/>
    <w:rsid w:val="002E1ECC"/>
    <w:rsid w:val="002E24EC"/>
    <w:rsid w:val="002E2850"/>
    <w:rsid w:val="002E2A57"/>
    <w:rsid w:val="002E341F"/>
    <w:rsid w:val="002E3E29"/>
    <w:rsid w:val="002E45C6"/>
    <w:rsid w:val="002E58D5"/>
    <w:rsid w:val="002E5FE9"/>
    <w:rsid w:val="002E7850"/>
    <w:rsid w:val="002E7CDE"/>
    <w:rsid w:val="002F029D"/>
    <w:rsid w:val="002F02BF"/>
    <w:rsid w:val="002F101C"/>
    <w:rsid w:val="002F1476"/>
    <w:rsid w:val="002F1AF0"/>
    <w:rsid w:val="002F1B00"/>
    <w:rsid w:val="002F2C41"/>
    <w:rsid w:val="002F2F01"/>
    <w:rsid w:val="002F3460"/>
    <w:rsid w:val="002F42BE"/>
    <w:rsid w:val="002F4619"/>
    <w:rsid w:val="002F5427"/>
    <w:rsid w:val="002F636E"/>
    <w:rsid w:val="002F6D1E"/>
    <w:rsid w:val="002F729F"/>
    <w:rsid w:val="002F7A81"/>
    <w:rsid w:val="002F7BD2"/>
    <w:rsid w:val="002F7F79"/>
    <w:rsid w:val="003001BF"/>
    <w:rsid w:val="00300331"/>
    <w:rsid w:val="00300D82"/>
    <w:rsid w:val="00300F11"/>
    <w:rsid w:val="00300F13"/>
    <w:rsid w:val="0030136C"/>
    <w:rsid w:val="003013B2"/>
    <w:rsid w:val="003015D9"/>
    <w:rsid w:val="003018A5"/>
    <w:rsid w:val="00301B18"/>
    <w:rsid w:val="00301C69"/>
    <w:rsid w:val="00301FED"/>
    <w:rsid w:val="003024BA"/>
    <w:rsid w:val="00302ACC"/>
    <w:rsid w:val="00303069"/>
    <w:rsid w:val="00303746"/>
    <w:rsid w:val="00303A4A"/>
    <w:rsid w:val="00304798"/>
    <w:rsid w:val="00304F30"/>
    <w:rsid w:val="003051FD"/>
    <w:rsid w:val="0030569E"/>
    <w:rsid w:val="003058C4"/>
    <w:rsid w:val="00305B21"/>
    <w:rsid w:val="00305D62"/>
    <w:rsid w:val="003060A8"/>
    <w:rsid w:val="00306A95"/>
    <w:rsid w:val="00306B31"/>
    <w:rsid w:val="00306C9A"/>
    <w:rsid w:val="00306E2C"/>
    <w:rsid w:val="00307290"/>
    <w:rsid w:val="003072A4"/>
    <w:rsid w:val="00307CF7"/>
    <w:rsid w:val="00307D04"/>
    <w:rsid w:val="00307ED8"/>
    <w:rsid w:val="00310BF7"/>
    <w:rsid w:val="00311004"/>
    <w:rsid w:val="00311054"/>
    <w:rsid w:val="003112CE"/>
    <w:rsid w:val="003113CF"/>
    <w:rsid w:val="0031279F"/>
    <w:rsid w:val="0031311A"/>
    <w:rsid w:val="003133C8"/>
    <w:rsid w:val="003135FF"/>
    <w:rsid w:val="00314057"/>
    <w:rsid w:val="003143FA"/>
    <w:rsid w:val="00314752"/>
    <w:rsid w:val="00314A3F"/>
    <w:rsid w:val="00314C28"/>
    <w:rsid w:val="003161C1"/>
    <w:rsid w:val="003161E4"/>
    <w:rsid w:val="0031663C"/>
    <w:rsid w:val="00316675"/>
    <w:rsid w:val="00316BFC"/>
    <w:rsid w:val="003174EA"/>
    <w:rsid w:val="003178FD"/>
    <w:rsid w:val="00320C37"/>
    <w:rsid w:val="00320C84"/>
    <w:rsid w:val="003215CA"/>
    <w:rsid w:val="003221F5"/>
    <w:rsid w:val="00322505"/>
    <w:rsid w:val="00322686"/>
    <w:rsid w:val="003227C8"/>
    <w:rsid w:val="00322DF2"/>
    <w:rsid w:val="00323B44"/>
    <w:rsid w:val="0032415D"/>
    <w:rsid w:val="00324BFB"/>
    <w:rsid w:val="00324E6D"/>
    <w:rsid w:val="003255FF"/>
    <w:rsid w:val="00326141"/>
    <w:rsid w:val="0032695A"/>
    <w:rsid w:val="00326BDB"/>
    <w:rsid w:val="0032721B"/>
    <w:rsid w:val="003275A0"/>
    <w:rsid w:val="0033099F"/>
    <w:rsid w:val="0033126E"/>
    <w:rsid w:val="003312C3"/>
    <w:rsid w:val="00331D25"/>
    <w:rsid w:val="00332AEC"/>
    <w:rsid w:val="00332C29"/>
    <w:rsid w:val="00332F17"/>
    <w:rsid w:val="00333455"/>
    <w:rsid w:val="003337BF"/>
    <w:rsid w:val="00334002"/>
    <w:rsid w:val="0033447C"/>
    <w:rsid w:val="003351C3"/>
    <w:rsid w:val="00335B17"/>
    <w:rsid w:val="00335F5B"/>
    <w:rsid w:val="0033609C"/>
    <w:rsid w:val="00336233"/>
    <w:rsid w:val="0033640A"/>
    <w:rsid w:val="00336AFE"/>
    <w:rsid w:val="00336B52"/>
    <w:rsid w:val="00337055"/>
    <w:rsid w:val="00337476"/>
    <w:rsid w:val="00340995"/>
    <w:rsid w:val="00340BF5"/>
    <w:rsid w:val="00340FC4"/>
    <w:rsid w:val="0034104D"/>
    <w:rsid w:val="00343214"/>
    <w:rsid w:val="00343E06"/>
    <w:rsid w:val="003440DD"/>
    <w:rsid w:val="00344126"/>
    <w:rsid w:val="0034573F"/>
    <w:rsid w:val="00345D68"/>
    <w:rsid w:val="003460BD"/>
    <w:rsid w:val="00346AA4"/>
    <w:rsid w:val="00346E79"/>
    <w:rsid w:val="00347361"/>
    <w:rsid w:val="00347E6F"/>
    <w:rsid w:val="003506C7"/>
    <w:rsid w:val="00350CB5"/>
    <w:rsid w:val="00350DEE"/>
    <w:rsid w:val="00351362"/>
    <w:rsid w:val="00351F2E"/>
    <w:rsid w:val="00352492"/>
    <w:rsid w:val="00353972"/>
    <w:rsid w:val="00354A07"/>
    <w:rsid w:val="00354FFD"/>
    <w:rsid w:val="0035544D"/>
    <w:rsid w:val="00355AD6"/>
    <w:rsid w:val="00355FB3"/>
    <w:rsid w:val="00356A35"/>
    <w:rsid w:val="00356BE8"/>
    <w:rsid w:val="00356D33"/>
    <w:rsid w:val="003577C3"/>
    <w:rsid w:val="003604FA"/>
    <w:rsid w:val="0036166F"/>
    <w:rsid w:val="003616F1"/>
    <w:rsid w:val="003617E8"/>
    <w:rsid w:val="00361E20"/>
    <w:rsid w:val="00362456"/>
    <w:rsid w:val="00362E90"/>
    <w:rsid w:val="003638F6"/>
    <w:rsid w:val="00363BE8"/>
    <w:rsid w:val="00364674"/>
    <w:rsid w:val="00364740"/>
    <w:rsid w:val="00365ACC"/>
    <w:rsid w:val="00366352"/>
    <w:rsid w:val="00367088"/>
    <w:rsid w:val="00367090"/>
    <w:rsid w:val="00367216"/>
    <w:rsid w:val="00370127"/>
    <w:rsid w:val="003704F2"/>
    <w:rsid w:val="00370CA1"/>
    <w:rsid w:val="00370FF7"/>
    <w:rsid w:val="003711B9"/>
    <w:rsid w:val="003714C8"/>
    <w:rsid w:val="0037162C"/>
    <w:rsid w:val="00371CE5"/>
    <w:rsid w:val="00372286"/>
    <w:rsid w:val="00372B2F"/>
    <w:rsid w:val="003730E8"/>
    <w:rsid w:val="00373223"/>
    <w:rsid w:val="0037353E"/>
    <w:rsid w:val="00373E7C"/>
    <w:rsid w:val="00373FC7"/>
    <w:rsid w:val="00374054"/>
    <w:rsid w:val="0037473A"/>
    <w:rsid w:val="00375EF2"/>
    <w:rsid w:val="00375EF7"/>
    <w:rsid w:val="00375FAF"/>
    <w:rsid w:val="0037613E"/>
    <w:rsid w:val="00380D12"/>
    <w:rsid w:val="00381143"/>
    <w:rsid w:val="00381A80"/>
    <w:rsid w:val="00381AE7"/>
    <w:rsid w:val="00381C68"/>
    <w:rsid w:val="0038259C"/>
    <w:rsid w:val="00382629"/>
    <w:rsid w:val="00382783"/>
    <w:rsid w:val="003829D2"/>
    <w:rsid w:val="00382A41"/>
    <w:rsid w:val="00382B98"/>
    <w:rsid w:val="00383444"/>
    <w:rsid w:val="003834ED"/>
    <w:rsid w:val="00383558"/>
    <w:rsid w:val="003839A1"/>
    <w:rsid w:val="00383D21"/>
    <w:rsid w:val="00384258"/>
    <w:rsid w:val="00384768"/>
    <w:rsid w:val="003848AA"/>
    <w:rsid w:val="0038492F"/>
    <w:rsid w:val="003850E3"/>
    <w:rsid w:val="003853C4"/>
    <w:rsid w:val="00385538"/>
    <w:rsid w:val="00385D49"/>
    <w:rsid w:val="00385E6D"/>
    <w:rsid w:val="00386398"/>
    <w:rsid w:val="00386609"/>
    <w:rsid w:val="00387001"/>
    <w:rsid w:val="0038766F"/>
    <w:rsid w:val="00387671"/>
    <w:rsid w:val="00387A7C"/>
    <w:rsid w:val="0039098F"/>
    <w:rsid w:val="00390D71"/>
    <w:rsid w:val="0039162E"/>
    <w:rsid w:val="00392143"/>
    <w:rsid w:val="00393240"/>
    <w:rsid w:val="003934EE"/>
    <w:rsid w:val="00393AC9"/>
    <w:rsid w:val="00393B4B"/>
    <w:rsid w:val="00393E4A"/>
    <w:rsid w:val="00395189"/>
    <w:rsid w:val="0039539D"/>
    <w:rsid w:val="003954F4"/>
    <w:rsid w:val="0039581E"/>
    <w:rsid w:val="00395B4E"/>
    <w:rsid w:val="003962D0"/>
    <w:rsid w:val="00396527"/>
    <w:rsid w:val="00396C60"/>
    <w:rsid w:val="00396D6A"/>
    <w:rsid w:val="00397607"/>
    <w:rsid w:val="00397B42"/>
    <w:rsid w:val="003A08F2"/>
    <w:rsid w:val="003A0F2F"/>
    <w:rsid w:val="003A1419"/>
    <w:rsid w:val="003A1589"/>
    <w:rsid w:val="003A1701"/>
    <w:rsid w:val="003A1BBD"/>
    <w:rsid w:val="003A22A5"/>
    <w:rsid w:val="003A2FCA"/>
    <w:rsid w:val="003A35CC"/>
    <w:rsid w:val="003A3FF5"/>
    <w:rsid w:val="003A3FFC"/>
    <w:rsid w:val="003A4AEA"/>
    <w:rsid w:val="003A50F6"/>
    <w:rsid w:val="003A5B87"/>
    <w:rsid w:val="003A5BD6"/>
    <w:rsid w:val="003A6440"/>
    <w:rsid w:val="003A68EE"/>
    <w:rsid w:val="003A79C5"/>
    <w:rsid w:val="003A7F81"/>
    <w:rsid w:val="003B05D7"/>
    <w:rsid w:val="003B0F5E"/>
    <w:rsid w:val="003B0FFF"/>
    <w:rsid w:val="003B150E"/>
    <w:rsid w:val="003B151F"/>
    <w:rsid w:val="003B1A9A"/>
    <w:rsid w:val="003B2A3D"/>
    <w:rsid w:val="003B2E81"/>
    <w:rsid w:val="003B3037"/>
    <w:rsid w:val="003B3640"/>
    <w:rsid w:val="003B371C"/>
    <w:rsid w:val="003B3AD9"/>
    <w:rsid w:val="003B4045"/>
    <w:rsid w:val="003B4054"/>
    <w:rsid w:val="003B4690"/>
    <w:rsid w:val="003B4EB4"/>
    <w:rsid w:val="003B526C"/>
    <w:rsid w:val="003B5D65"/>
    <w:rsid w:val="003B5EA0"/>
    <w:rsid w:val="003B6E1B"/>
    <w:rsid w:val="003B7062"/>
    <w:rsid w:val="003B73EA"/>
    <w:rsid w:val="003B7446"/>
    <w:rsid w:val="003C0424"/>
    <w:rsid w:val="003C0A92"/>
    <w:rsid w:val="003C130C"/>
    <w:rsid w:val="003C155D"/>
    <w:rsid w:val="003C1C6D"/>
    <w:rsid w:val="003C1D3D"/>
    <w:rsid w:val="003C23B9"/>
    <w:rsid w:val="003C3076"/>
    <w:rsid w:val="003C333C"/>
    <w:rsid w:val="003C3358"/>
    <w:rsid w:val="003C38D8"/>
    <w:rsid w:val="003C461C"/>
    <w:rsid w:val="003C59A7"/>
    <w:rsid w:val="003C5DCF"/>
    <w:rsid w:val="003C61F4"/>
    <w:rsid w:val="003C63D5"/>
    <w:rsid w:val="003C65D1"/>
    <w:rsid w:val="003C69E8"/>
    <w:rsid w:val="003C6CBB"/>
    <w:rsid w:val="003C6CFF"/>
    <w:rsid w:val="003C708C"/>
    <w:rsid w:val="003C7857"/>
    <w:rsid w:val="003C7990"/>
    <w:rsid w:val="003C7CCF"/>
    <w:rsid w:val="003C7DCB"/>
    <w:rsid w:val="003C7E57"/>
    <w:rsid w:val="003D05A1"/>
    <w:rsid w:val="003D0677"/>
    <w:rsid w:val="003D13F3"/>
    <w:rsid w:val="003D16FE"/>
    <w:rsid w:val="003D1787"/>
    <w:rsid w:val="003D196B"/>
    <w:rsid w:val="003D1BA3"/>
    <w:rsid w:val="003D235B"/>
    <w:rsid w:val="003D2E55"/>
    <w:rsid w:val="003D312E"/>
    <w:rsid w:val="003D36DA"/>
    <w:rsid w:val="003D382D"/>
    <w:rsid w:val="003D3B49"/>
    <w:rsid w:val="003D3D42"/>
    <w:rsid w:val="003D3F84"/>
    <w:rsid w:val="003D4050"/>
    <w:rsid w:val="003D4483"/>
    <w:rsid w:val="003D44D3"/>
    <w:rsid w:val="003D4A98"/>
    <w:rsid w:val="003D4E83"/>
    <w:rsid w:val="003D4E8F"/>
    <w:rsid w:val="003D5262"/>
    <w:rsid w:val="003D5A14"/>
    <w:rsid w:val="003D5A29"/>
    <w:rsid w:val="003D5F44"/>
    <w:rsid w:val="003D7263"/>
    <w:rsid w:val="003D772F"/>
    <w:rsid w:val="003E0602"/>
    <w:rsid w:val="003E07E0"/>
    <w:rsid w:val="003E0AB1"/>
    <w:rsid w:val="003E0B35"/>
    <w:rsid w:val="003E1449"/>
    <w:rsid w:val="003E1669"/>
    <w:rsid w:val="003E176F"/>
    <w:rsid w:val="003E2BE7"/>
    <w:rsid w:val="003E2CA5"/>
    <w:rsid w:val="003E3C49"/>
    <w:rsid w:val="003E3D99"/>
    <w:rsid w:val="003E4831"/>
    <w:rsid w:val="003E566C"/>
    <w:rsid w:val="003E57DD"/>
    <w:rsid w:val="003E608F"/>
    <w:rsid w:val="003E6410"/>
    <w:rsid w:val="003E6699"/>
    <w:rsid w:val="003E6745"/>
    <w:rsid w:val="003E6794"/>
    <w:rsid w:val="003E6E21"/>
    <w:rsid w:val="003E788D"/>
    <w:rsid w:val="003E7AE5"/>
    <w:rsid w:val="003E7D84"/>
    <w:rsid w:val="003F028E"/>
    <w:rsid w:val="003F0A4B"/>
    <w:rsid w:val="003F1FCD"/>
    <w:rsid w:val="003F22C1"/>
    <w:rsid w:val="003F23C6"/>
    <w:rsid w:val="003F2978"/>
    <w:rsid w:val="003F2B5D"/>
    <w:rsid w:val="003F2CCC"/>
    <w:rsid w:val="003F30D3"/>
    <w:rsid w:val="003F314C"/>
    <w:rsid w:val="003F3660"/>
    <w:rsid w:val="003F3D3D"/>
    <w:rsid w:val="003F3D54"/>
    <w:rsid w:val="003F3E54"/>
    <w:rsid w:val="003F3F0E"/>
    <w:rsid w:val="003F40A5"/>
    <w:rsid w:val="003F4C1E"/>
    <w:rsid w:val="003F4DA2"/>
    <w:rsid w:val="003F6F25"/>
    <w:rsid w:val="003F776E"/>
    <w:rsid w:val="003F7BB4"/>
    <w:rsid w:val="004000C3"/>
    <w:rsid w:val="00400188"/>
    <w:rsid w:val="0040024B"/>
    <w:rsid w:val="00401844"/>
    <w:rsid w:val="00401E33"/>
    <w:rsid w:val="00401EB1"/>
    <w:rsid w:val="00401F7D"/>
    <w:rsid w:val="004033D5"/>
    <w:rsid w:val="0040418F"/>
    <w:rsid w:val="004041DB"/>
    <w:rsid w:val="00404291"/>
    <w:rsid w:val="004048F7"/>
    <w:rsid w:val="00404CAA"/>
    <w:rsid w:val="00405721"/>
    <w:rsid w:val="00406109"/>
    <w:rsid w:val="004062C4"/>
    <w:rsid w:val="00406723"/>
    <w:rsid w:val="004069F5"/>
    <w:rsid w:val="00406B77"/>
    <w:rsid w:val="00406C59"/>
    <w:rsid w:val="00406E8F"/>
    <w:rsid w:val="00407210"/>
    <w:rsid w:val="00407215"/>
    <w:rsid w:val="00407564"/>
    <w:rsid w:val="00407982"/>
    <w:rsid w:val="00407A92"/>
    <w:rsid w:val="00407E82"/>
    <w:rsid w:val="00410200"/>
    <w:rsid w:val="00410874"/>
    <w:rsid w:val="0041089E"/>
    <w:rsid w:val="00411204"/>
    <w:rsid w:val="004114BF"/>
    <w:rsid w:val="00411890"/>
    <w:rsid w:val="00411CDE"/>
    <w:rsid w:val="00411EB9"/>
    <w:rsid w:val="00412560"/>
    <w:rsid w:val="00412F88"/>
    <w:rsid w:val="004130AB"/>
    <w:rsid w:val="0041329E"/>
    <w:rsid w:val="00413F5D"/>
    <w:rsid w:val="004143AA"/>
    <w:rsid w:val="00414644"/>
    <w:rsid w:val="00414E41"/>
    <w:rsid w:val="0041543D"/>
    <w:rsid w:val="004155F0"/>
    <w:rsid w:val="00415A88"/>
    <w:rsid w:val="00415C5A"/>
    <w:rsid w:val="00416267"/>
    <w:rsid w:val="00417C0B"/>
    <w:rsid w:val="00420274"/>
    <w:rsid w:val="00420CF3"/>
    <w:rsid w:val="00421DCC"/>
    <w:rsid w:val="004220EB"/>
    <w:rsid w:val="00422ECC"/>
    <w:rsid w:val="00423343"/>
    <w:rsid w:val="00423E67"/>
    <w:rsid w:val="004257FB"/>
    <w:rsid w:val="00425932"/>
    <w:rsid w:val="00425C85"/>
    <w:rsid w:val="00425E0A"/>
    <w:rsid w:val="00425EB1"/>
    <w:rsid w:val="004274B0"/>
    <w:rsid w:val="004274D2"/>
    <w:rsid w:val="004278A5"/>
    <w:rsid w:val="00427D63"/>
    <w:rsid w:val="00427EF5"/>
    <w:rsid w:val="004300FF"/>
    <w:rsid w:val="00430653"/>
    <w:rsid w:val="004309F5"/>
    <w:rsid w:val="00431982"/>
    <w:rsid w:val="00431A74"/>
    <w:rsid w:val="00431BE0"/>
    <w:rsid w:val="004332AD"/>
    <w:rsid w:val="00433880"/>
    <w:rsid w:val="00433B4A"/>
    <w:rsid w:val="004341EE"/>
    <w:rsid w:val="004343AA"/>
    <w:rsid w:val="00434824"/>
    <w:rsid w:val="004348FC"/>
    <w:rsid w:val="004351F1"/>
    <w:rsid w:val="00435B8A"/>
    <w:rsid w:val="00435C7B"/>
    <w:rsid w:val="00435DC0"/>
    <w:rsid w:val="00436BC0"/>
    <w:rsid w:val="00437406"/>
    <w:rsid w:val="004374EC"/>
    <w:rsid w:val="00437D3D"/>
    <w:rsid w:val="0044106B"/>
    <w:rsid w:val="004411BC"/>
    <w:rsid w:val="00441984"/>
    <w:rsid w:val="004419C5"/>
    <w:rsid w:val="00441C9B"/>
    <w:rsid w:val="00441D0B"/>
    <w:rsid w:val="00442336"/>
    <w:rsid w:val="00442A44"/>
    <w:rsid w:val="004438A1"/>
    <w:rsid w:val="0044391F"/>
    <w:rsid w:val="00443D32"/>
    <w:rsid w:val="004441B4"/>
    <w:rsid w:val="00444464"/>
    <w:rsid w:val="00444997"/>
    <w:rsid w:val="00444C73"/>
    <w:rsid w:val="004450A0"/>
    <w:rsid w:val="00445218"/>
    <w:rsid w:val="004453EE"/>
    <w:rsid w:val="004453F2"/>
    <w:rsid w:val="0044540B"/>
    <w:rsid w:val="004455BC"/>
    <w:rsid w:val="00445614"/>
    <w:rsid w:val="00446571"/>
    <w:rsid w:val="004465AF"/>
    <w:rsid w:val="00446D37"/>
    <w:rsid w:val="00446F26"/>
    <w:rsid w:val="004470ED"/>
    <w:rsid w:val="004475D3"/>
    <w:rsid w:val="00447A43"/>
    <w:rsid w:val="004503E6"/>
    <w:rsid w:val="00450571"/>
    <w:rsid w:val="00450677"/>
    <w:rsid w:val="00450ADF"/>
    <w:rsid w:val="00450E90"/>
    <w:rsid w:val="004513D7"/>
    <w:rsid w:val="00451B84"/>
    <w:rsid w:val="00451F0A"/>
    <w:rsid w:val="00452911"/>
    <w:rsid w:val="00452C20"/>
    <w:rsid w:val="00453863"/>
    <w:rsid w:val="00453BB9"/>
    <w:rsid w:val="004540C4"/>
    <w:rsid w:val="00454129"/>
    <w:rsid w:val="00454C27"/>
    <w:rsid w:val="00454CA8"/>
    <w:rsid w:val="004554DE"/>
    <w:rsid w:val="00455E8D"/>
    <w:rsid w:val="004564C8"/>
    <w:rsid w:val="004567FB"/>
    <w:rsid w:val="00456C31"/>
    <w:rsid w:val="00456DE8"/>
    <w:rsid w:val="00457AC2"/>
    <w:rsid w:val="00457C29"/>
    <w:rsid w:val="00460B15"/>
    <w:rsid w:val="00460F51"/>
    <w:rsid w:val="0046100C"/>
    <w:rsid w:val="00461500"/>
    <w:rsid w:val="00462697"/>
    <w:rsid w:val="00462773"/>
    <w:rsid w:val="00464535"/>
    <w:rsid w:val="00464A26"/>
    <w:rsid w:val="00464A3D"/>
    <w:rsid w:val="00465971"/>
    <w:rsid w:val="00465A01"/>
    <w:rsid w:val="004661A8"/>
    <w:rsid w:val="00467959"/>
    <w:rsid w:val="00467EFA"/>
    <w:rsid w:val="00470566"/>
    <w:rsid w:val="00470C6A"/>
    <w:rsid w:val="00470F97"/>
    <w:rsid w:val="004711E1"/>
    <w:rsid w:val="00471221"/>
    <w:rsid w:val="00471997"/>
    <w:rsid w:val="004722B2"/>
    <w:rsid w:val="0047231F"/>
    <w:rsid w:val="0047259C"/>
    <w:rsid w:val="00472717"/>
    <w:rsid w:val="00473585"/>
    <w:rsid w:val="00473B09"/>
    <w:rsid w:val="00473C0C"/>
    <w:rsid w:val="00474310"/>
    <w:rsid w:val="0047431C"/>
    <w:rsid w:val="00474769"/>
    <w:rsid w:val="00474BEE"/>
    <w:rsid w:val="00475596"/>
    <w:rsid w:val="00475C7B"/>
    <w:rsid w:val="00475C90"/>
    <w:rsid w:val="00476183"/>
    <w:rsid w:val="0047631D"/>
    <w:rsid w:val="004771D4"/>
    <w:rsid w:val="00477C9A"/>
    <w:rsid w:val="00477FDE"/>
    <w:rsid w:val="0048045F"/>
    <w:rsid w:val="00480AEC"/>
    <w:rsid w:val="00480F1B"/>
    <w:rsid w:val="004810D2"/>
    <w:rsid w:val="00482696"/>
    <w:rsid w:val="0048387B"/>
    <w:rsid w:val="0048491F"/>
    <w:rsid w:val="00484B51"/>
    <w:rsid w:val="00484E99"/>
    <w:rsid w:val="004911CE"/>
    <w:rsid w:val="0049214F"/>
    <w:rsid w:val="00492D63"/>
    <w:rsid w:val="00492F10"/>
    <w:rsid w:val="004932F5"/>
    <w:rsid w:val="00494324"/>
    <w:rsid w:val="004945C5"/>
    <w:rsid w:val="00494765"/>
    <w:rsid w:val="00494831"/>
    <w:rsid w:val="00494E9B"/>
    <w:rsid w:val="00494FAF"/>
    <w:rsid w:val="004952FD"/>
    <w:rsid w:val="00496F9A"/>
    <w:rsid w:val="00497CD7"/>
    <w:rsid w:val="004A0191"/>
    <w:rsid w:val="004A03F9"/>
    <w:rsid w:val="004A1418"/>
    <w:rsid w:val="004A1B5A"/>
    <w:rsid w:val="004A231D"/>
    <w:rsid w:val="004A238B"/>
    <w:rsid w:val="004A2557"/>
    <w:rsid w:val="004A25E4"/>
    <w:rsid w:val="004A26BA"/>
    <w:rsid w:val="004A2ACF"/>
    <w:rsid w:val="004A3D50"/>
    <w:rsid w:val="004A4881"/>
    <w:rsid w:val="004A495F"/>
    <w:rsid w:val="004A6724"/>
    <w:rsid w:val="004A690D"/>
    <w:rsid w:val="004A6EC3"/>
    <w:rsid w:val="004A7284"/>
    <w:rsid w:val="004A7432"/>
    <w:rsid w:val="004B07D4"/>
    <w:rsid w:val="004B14B1"/>
    <w:rsid w:val="004B164B"/>
    <w:rsid w:val="004B1930"/>
    <w:rsid w:val="004B1A0B"/>
    <w:rsid w:val="004B1E43"/>
    <w:rsid w:val="004B1EDE"/>
    <w:rsid w:val="004B1F31"/>
    <w:rsid w:val="004B212B"/>
    <w:rsid w:val="004B258F"/>
    <w:rsid w:val="004B333F"/>
    <w:rsid w:val="004B400D"/>
    <w:rsid w:val="004B4876"/>
    <w:rsid w:val="004B4980"/>
    <w:rsid w:val="004B4E19"/>
    <w:rsid w:val="004B559A"/>
    <w:rsid w:val="004B5BF7"/>
    <w:rsid w:val="004B6A39"/>
    <w:rsid w:val="004B7513"/>
    <w:rsid w:val="004B78AF"/>
    <w:rsid w:val="004C02B9"/>
    <w:rsid w:val="004C08CA"/>
    <w:rsid w:val="004C10CB"/>
    <w:rsid w:val="004C149C"/>
    <w:rsid w:val="004C15DA"/>
    <w:rsid w:val="004C2107"/>
    <w:rsid w:val="004C22E0"/>
    <w:rsid w:val="004C28DE"/>
    <w:rsid w:val="004C34B6"/>
    <w:rsid w:val="004C39B4"/>
    <w:rsid w:val="004C3C95"/>
    <w:rsid w:val="004C3F52"/>
    <w:rsid w:val="004C42E3"/>
    <w:rsid w:val="004C47E5"/>
    <w:rsid w:val="004C4811"/>
    <w:rsid w:val="004C4923"/>
    <w:rsid w:val="004C50A6"/>
    <w:rsid w:val="004C5388"/>
    <w:rsid w:val="004C5785"/>
    <w:rsid w:val="004C5C8D"/>
    <w:rsid w:val="004C5CDA"/>
    <w:rsid w:val="004C74F2"/>
    <w:rsid w:val="004C793E"/>
    <w:rsid w:val="004C7C27"/>
    <w:rsid w:val="004C7D15"/>
    <w:rsid w:val="004C7F87"/>
    <w:rsid w:val="004D0386"/>
    <w:rsid w:val="004D0931"/>
    <w:rsid w:val="004D0BE1"/>
    <w:rsid w:val="004D1858"/>
    <w:rsid w:val="004D3C89"/>
    <w:rsid w:val="004D48DB"/>
    <w:rsid w:val="004D4BD7"/>
    <w:rsid w:val="004D501E"/>
    <w:rsid w:val="004D5300"/>
    <w:rsid w:val="004D53B0"/>
    <w:rsid w:val="004D5776"/>
    <w:rsid w:val="004D5801"/>
    <w:rsid w:val="004D5930"/>
    <w:rsid w:val="004D5C7B"/>
    <w:rsid w:val="004D61DA"/>
    <w:rsid w:val="004D6478"/>
    <w:rsid w:val="004D6D54"/>
    <w:rsid w:val="004E11F1"/>
    <w:rsid w:val="004E1387"/>
    <w:rsid w:val="004E1A02"/>
    <w:rsid w:val="004E1F32"/>
    <w:rsid w:val="004E2440"/>
    <w:rsid w:val="004E2633"/>
    <w:rsid w:val="004E2C29"/>
    <w:rsid w:val="004E30CB"/>
    <w:rsid w:val="004E3AD6"/>
    <w:rsid w:val="004E3FD4"/>
    <w:rsid w:val="004E4324"/>
    <w:rsid w:val="004E4657"/>
    <w:rsid w:val="004E4B3E"/>
    <w:rsid w:val="004E58BF"/>
    <w:rsid w:val="004E5971"/>
    <w:rsid w:val="004E6F4C"/>
    <w:rsid w:val="004E7CF5"/>
    <w:rsid w:val="004F0EE5"/>
    <w:rsid w:val="004F1116"/>
    <w:rsid w:val="004F14DA"/>
    <w:rsid w:val="004F1A8A"/>
    <w:rsid w:val="004F213E"/>
    <w:rsid w:val="004F3616"/>
    <w:rsid w:val="004F471C"/>
    <w:rsid w:val="004F67E4"/>
    <w:rsid w:val="004F6B79"/>
    <w:rsid w:val="004F7608"/>
    <w:rsid w:val="004F7725"/>
    <w:rsid w:val="004F7B54"/>
    <w:rsid w:val="0050026B"/>
    <w:rsid w:val="005007C5"/>
    <w:rsid w:val="005011DB"/>
    <w:rsid w:val="0050127E"/>
    <w:rsid w:val="0050182F"/>
    <w:rsid w:val="00501874"/>
    <w:rsid w:val="00501F3E"/>
    <w:rsid w:val="00502049"/>
    <w:rsid w:val="00502105"/>
    <w:rsid w:val="00502F6D"/>
    <w:rsid w:val="00503569"/>
    <w:rsid w:val="00503849"/>
    <w:rsid w:val="00503B70"/>
    <w:rsid w:val="00504068"/>
    <w:rsid w:val="005049A8"/>
    <w:rsid w:val="00504CAA"/>
    <w:rsid w:val="00504DAD"/>
    <w:rsid w:val="00505E6F"/>
    <w:rsid w:val="0050673B"/>
    <w:rsid w:val="005069A4"/>
    <w:rsid w:val="00506B14"/>
    <w:rsid w:val="00506D65"/>
    <w:rsid w:val="00507B38"/>
    <w:rsid w:val="00507BD2"/>
    <w:rsid w:val="00510073"/>
    <w:rsid w:val="00510244"/>
    <w:rsid w:val="0051028C"/>
    <w:rsid w:val="00510527"/>
    <w:rsid w:val="00510A66"/>
    <w:rsid w:val="00510AE4"/>
    <w:rsid w:val="005112DB"/>
    <w:rsid w:val="00511348"/>
    <w:rsid w:val="005114CD"/>
    <w:rsid w:val="0051155F"/>
    <w:rsid w:val="005118C8"/>
    <w:rsid w:val="00512008"/>
    <w:rsid w:val="00513237"/>
    <w:rsid w:val="00513CA0"/>
    <w:rsid w:val="00514BE0"/>
    <w:rsid w:val="005156B2"/>
    <w:rsid w:val="00516161"/>
    <w:rsid w:val="0051643D"/>
    <w:rsid w:val="00516717"/>
    <w:rsid w:val="00516A5A"/>
    <w:rsid w:val="00516BE3"/>
    <w:rsid w:val="005177F0"/>
    <w:rsid w:val="00517F71"/>
    <w:rsid w:val="00520171"/>
    <w:rsid w:val="00520419"/>
    <w:rsid w:val="005211CD"/>
    <w:rsid w:val="005222C2"/>
    <w:rsid w:val="0052269D"/>
    <w:rsid w:val="0052317F"/>
    <w:rsid w:val="00523994"/>
    <w:rsid w:val="005239BF"/>
    <w:rsid w:val="00523A9A"/>
    <w:rsid w:val="00523B47"/>
    <w:rsid w:val="0052485B"/>
    <w:rsid w:val="00524EEB"/>
    <w:rsid w:val="00525043"/>
    <w:rsid w:val="00525288"/>
    <w:rsid w:val="005258B1"/>
    <w:rsid w:val="00525F0B"/>
    <w:rsid w:val="00525FEE"/>
    <w:rsid w:val="0052626E"/>
    <w:rsid w:val="005263DC"/>
    <w:rsid w:val="005269D2"/>
    <w:rsid w:val="00526D7D"/>
    <w:rsid w:val="0052746C"/>
    <w:rsid w:val="005308DC"/>
    <w:rsid w:val="00530C05"/>
    <w:rsid w:val="00531A7A"/>
    <w:rsid w:val="00531C29"/>
    <w:rsid w:val="00532B2D"/>
    <w:rsid w:val="00532EDB"/>
    <w:rsid w:val="00532F50"/>
    <w:rsid w:val="00535132"/>
    <w:rsid w:val="00535804"/>
    <w:rsid w:val="00535CF6"/>
    <w:rsid w:val="00536895"/>
    <w:rsid w:val="00536CB1"/>
    <w:rsid w:val="0053722E"/>
    <w:rsid w:val="0054058D"/>
    <w:rsid w:val="005405F9"/>
    <w:rsid w:val="00540F3C"/>
    <w:rsid w:val="00541991"/>
    <w:rsid w:val="00541A35"/>
    <w:rsid w:val="0054260F"/>
    <w:rsid w:val="00542A96"/>
    <w:rsid w:val="005431DB"/>
    <w:rsid w:val="005432D6"/>
    <w:rsid w:val="00543411"/>
    <w:rsid w:val="00543AB2"/>
    <w:rsid w:val="0054421E"/>
    <w:rsid w:val="0054457B"/>
    <w:rsid w:val="00544605"/>
    <w:rsid w:val="005452DA"/>
    <w:rsid w:val="00546864"/>
    <w:rsid w:val="00546BBB"/>
    <w:rsid w:val="00547F88"/>
    <w:rsid w:val="00550275"/>
    <w:rsid w:val="00550712"/>
    <w:rsid w:val="00551642"/>
    <w:rsid w:val="00552E28"/>
    <w:rsid w:val="005530FC"/>
    <w:rsid w:val="00553130"/>
    <w:rsid w:val="0055327C"/>
    <w:rsid w:val="005532E1"/>
    <w:rsid w:val="005538DD"/>
    <w:rsid w:val="00553B00"/>
    <w:rsid w:val="005545E5"/>
    <w:rsid w:val="00554C2C"/>
    <w:rsid w:val="00554F32"/>
    <w:rsid w:val="00555079"/>
    <w:rsid w:val="00555B90"/>
    <w:rsid w:val="0055600F"/>
    <w:rsid w:val="00556CF2"/>
    <w:rsid w:val="00556E2F"/>
    <w:rsid w:val="00556E7C"/>
    <w:rsid w:val="005572F3"/>
    <w:rsid w:val="00560196"/>
    <w:rsid w:val="00560453"/>
    <w:rsid w:val="005604E2"/>
    <w:rsid w:val="00560CBD"/>
    <w:rsid w:val="00560F1B"/>
    <w:rsid w:val="00560FE7"/>
    <w:rsid w:val="005624F7"/>
    <w:rsid w:val="00562919"/>
    <w:rsid w:val="005629FE"/>
    <w:rsid w:val="005633B9"/>
    <w:rsid w:val="00563E88"/>
    <w:rsid w:val="00564015"/>
    <w:rsid w:val="00564190"/>
    <w:rsid w:val="00564569"/>
    <w:rsid w:val="00564D47"/>
    <w:rsid w:val="00565776"/>
    <w:rsid w:val="0056593C"/>
    <w:rsid w:val="0056622F"/>
    <w:rsid w:val="00566C5A"/>
    <w:rsid w:val="005670E5"/>
    <w:rsid w:val="0056748B"/>
    <w:rsid w:val="0056748F"/>
    <w:rsid w:val="00567B83"/>
    <w:rsid w:val="00567C21"/>
    <w:rsid w:val="00567D22"/>
    <w:rsid w:val="00567E09"/>
    <w:rsid w:val="00570060"/>
    <w:rsid w:val="0057009F"/>
    <w:rsid w:val="005702F5"/>
    <w:rsid w:val="0057039E"/>
    <w:rsid w:val="00570789"/>
    <w:rsid w:val="005709C7"/>
    <w:rsid w:val="0057103B"/>
    <w:rsid w:val="005711B1"/>
    <w:rsid w:val="0057163B"/>
    <w:rsid w:val="00572139"/>
    <w:rsid w:val="005722C9"/>
    <w:rsid w:val="00572397"/>
    <w:rsid w:val="005727F0"/>
    <w:rsid w:val="0057324A"/>
    <w:rsid w:val="00573750"/>
    <w:rsid w:val="00573B55"/>
    <w:rsid w:val="00574254"/>
    <w:rsid w:val="00574A7D"/>
    <w:rsid w:val="005751BF"/>
    <w:rsid w:val="0057564E"/>
    <w:rsid w:val="00575E79"/>
    <w:rsid w:val="005772BA"/>
    <w:rsid w:val="0057751F"/>
    <w:rsid w:val="0057784C"/>
    <w:rsid w:val="005805FA"/>
    <w:rsid w:val="00580E2E"/>
    <w:rsid w:val="00581090"/>
    <w:rsid w:val="00582514"/>
    <w:rsid w:val="00582680"/>
    <w:rsid w:val="00582EFA"/>
    <w:rsid w:val="00583B0C"/>
    <w:rsid w:val="0058414F"/>
    <w:rsid w:val="00585329"/>
    <w:rsid w:val="00585474"/>
    <w:rsid w:val="00585606"/>
    <w:rsid w:val="005867C8"/>
    <w:rsid w:val="00587261"/>
    <w:rsid w:val="00587349"/>
    <w:rsid w:val="00587913"/>
    <w:rsid w:val="0059124E"/>
    <w:rsid w:val="00591873"/>
    <w:rsid w:val="00592122"/>
    <w:rsid w:val="005921A9"/>
    <w:rsid w:val="0059237E"/>
    <w:rsid w:val="00592A19"/>
    <w:rsid w:val="005932DF"/>
    <w:rsid w:val="00593664"/>
    <w:rsid w:val="0059415D"/>
    <w:rsid w:val="00594230"/>
    <w:rsid w:val="00594439"/>
    <w:rsid w:val="00594811"/>
    <w:rsid w:val="005952C6"/>
    <w:rsid w:val="00595499"/>
    <w:rsid w:val="00595729"/>
    <w:rsid w:val="00596707"/>
    <w:rsid w:val="00596F38"/>
    <w:rsid w:val="005970E7"/>
    <w:rsid w:val="005972B8"/>
    <w:rsid w:val="00597C78"/>
    <w:rsid w:val="00597C7F"/>
    <w:rsid w:val="005A0B58"/>
    <w:rsid w:val="005A10B3"/>
    <w:rsid w:val="005A1916"/>
    <w:rsid w:val="005A26D0"/>
    <w:rsid w:val="005A2E3B"/>
    <w:rsid w:val="005A301C"/>
    <w:rsid w:val="005A3DBB"/>
    <w:rsid w:val="005A45EA"/>
    <w:rsid w:val="005A4E00"/>
    <w:rsid w:val="005A50EE"/>
    <w:rsid w:val="005A6850"/>
    <w:rsid w:val="005A6AD8"/>
    <w:rsid w:val="005A6C5B"/>
    <w:rsid w:val="005A741C"/>
    <w:rsid w:val="005B04B6"/>
    <w:rsid w:val="005B0D0B"/>
    <w:rsid w:val="005B0D1E"/>
    <w:rsid w:val="005B0EC4"/>
    <w:rsid w:val="005B1FF3"/>
    <w:rsid w:val="005B2510"/>
    <w:rsid w:val="005B25F9"/>
    <w:rsid w:val="005B31FB"/>
    <w:rsid w:val="005B324B"/>
    <w:rsid w:val="005B32A1"/>
    <w:rsid w:val="005B3D32"/>
    <w:rsid w:val="005B3FF7"/>
    <w:rsid w:val="005B4844"/>
    <w:rsid w:val="005B50F8"/>
    <w:rsid w:val="005B51DC"/>
    <w:rsid w:val="005B5339"/>
    <w:rsid w:val="005B584B"/>
    <w:rsid w:val="005B5863"/>
    <w:rsid w:val="005B6B55"/>
    <w:rsid w:val="005B767E"/>
    <w:rsid w:val="005B796B"/>
    <w:rsid w:val="005B7BDC"/>
    <w:rsid w:val="005B7CEB"/>
    <w:rsid w:val="005C0185"/>
    <w:rsid w:val="005C082E"/>
    <w:rsid w:val="005C1380"/>
    <w:rsid w:val="005C200F"/>
    <w:rsid w:val="005C21F1"/>
    <w:rsid w:val="005C2331"/>
    <w:rsid w:val="005C26B5"/>
    <w:rsid w:val="005C49D2"/>
    <w:rsid w:val="005C49E1"/>
    <w:rsid w:val="005C4D05"/>
    <w:rsid w:val="005C4E69"/>
    <w:rsid w:val="005C4E99"/>
    <w:rsid w:val="005C52D7"/>
    <w:rsid w:val="005C5385"/>
    <w:rsid w:val="005C6228"/>
    <w:rsid w:val="005C6F84"/>
    <w:rsid w:val="005C732B"/>
    <w:rsid w:val="005C7425"/>
    <w:rsid w:val="005C77CD"/>
    <w:rsid w:val="005C7AD8"/>
    <w:rsid w:val="005C7B68"/>
    <w:rsid w:val="005C7C69"/>
    <w:rsid w:val="005D0E69"/>
    <w:rsid w:val="005D17CC"/>
    <w:rsid w:val="005D1A4B"/>
    <w:rsid w:val="005D33B3"/>
    <w:rsid w:val="005D3988"/>
    <w:rsid w:val="005D3AA4"/>
    <w:rsid w:val="005D3D81"/>
    <w:rsid w:val="005D438F"/>
    <w:rsid w:val="005D4B6B"/>
    <w:rsid w:val="005D58B3"/>
    <w:rsid w:val="005D63CF"/>
    <w:rsid w:val="005D67D9"/>
    <w:rsid w:val="005D6899"/>
    <w:rsid w:val="005D68C0"/>
    <w:rsid w:val="005D6E4F"/>
    <w:rsid w:val="005D7049"/>
    <w:rsid w:val="005D71B4"/>
    <w:rsid w:val="005E03AE"/>
    <w:rsid w:val="005E0DA0"/>
    <w:rsid w:val="005E0F68"/>
    <w:rsid w:val="005E1728"/>
    <w:rsid w:val="005E1AC6"/>
    <w:rsid w:val="005E1DE5"/>
    <w:rsid w:val="005E24DB"/>
    <w:rsid w:val="005E2669"/>
    <w:rsid w:val="005E2C6B"/>
    <w:rsid w:val="005E3BD6"/>
    <w:rsid w:val="005E3C4B"/>
    <w:rsid w:val="005E3F14"/>
    <w:rsid w:val="005E3FAF"/>
    <w:rsid w:val="005E44B8"/>
    <w:rsid w:val="005E5282"/>
    <w:rsid w:val="005E5DD8"/>
    <w:rsid w:val="005E6189"/>
    <w:rsid w:val="005E6326"/>
    <w:rsid w:val="005E6499"/>
    <w:rsid w:val="005E67D7"/>
    <w:rsid w:val="005E6DBF"/>
    <w:rsid w:val="005E6FE6"/>
    <w:rsid w:val="005E79EC"/>
    <w:rsid w:val="005F0452"/>
    <w:rsid w:val="005F062F"/>
    <w:rsid w:val="005F118B"/>
    <w:rsid w:val="005F1557"/>
    <w:rsid w:val="005F1F5D"/>
    <w:rsid w:val="005F2A81"/>
    <w:rsid w:val="005F2D95"/>
    <w:rsid w:val="005F3298"/>
    <w:rsid w:val="005F375D"/>
    <w:rsid w:val="005F4C07"/>
    <w:rsid w:val="005F54DB"/>
    <w:rsid w:val="005F5820"/>
    <w:rsid w:val="005F5AD3"/>
    <w:rsid w:val="005F6163"/>
    <w:rsid w:val="005F6427"/>
    <w:rsid w:val="005F762A"/>
    <w:rsid w:val="005F7C0D"/>
    <w:rsid w:val="005F7C10"/>
    <w:rsid w:val="006004B0"/>
    <w:rsid w:val="00600680"/>
    <w:rsid w:val="00600C50"/>
    <w:rsid w:val="006010CD"/>
    <w:rsid w:val="00601184"/>
    <w:rsid w:val="00601D9B"/>
    <w:rsid w:val="00602355"/>
    <w:rsid w:val="00602B03"/>
    <w:rsid w:val="00603017"/>
    <w:rsid w:val="00604AF4"/>
    <w:rsid w:val="00604EE1"/>
    <w:rsid w:val="006054CF"/>
    <w:rsid w:val="00605558"/>
    <w:rsid w:val="00606088"/>
    <w:rsid w:val="006060C5"/>
    <w:rsid w:val="006061F5"/>
    <w:rsid w:val="00606FB5"/>
    <w:rsid w:val="00607611"/>
    <w:rsid w:val="006118CA"/>
    <w:rsid w:val="00612062"/>
    <w:rsid w:val="00612125"/>
    <w:rsid w:val="00612C9F"/>
    <w:rsid w:val="0061490D"/>
    <w:rsid w:val="00616074"/>
    <w:rsid w:val="00616A56"/>
    <w:rsid w:val="00616B0C"/>
    <w:rsid w:val="00616B9D"/>
    <w:rsid w:val="00616CA7"/>
    <w:rsid w:val="00617002"/>
    <w:rsid w:val="006173E9"/>
    <w:rsid w:val="00617DFB"/>
    <w:rsid w:val="00620142"/>
    <w:rsid w:val="0062082B"/>
    <w:rsid w:val="0062092E"/>
    <w:rsid w:val="00621252"/>
    <w:rsid w:val="0062218B"/>
    <w:rsid w:val="00623311"/>
    <w:rsid w:val="00624AE8"/>
    <w:rsid w:val="00624D5D"/>
    <w:rsid w:val="00625C18"/>
    <w:rsid w:val="00625E33"/>
    <w:rsid w:val="00625FF0"/>
    <w:rsid w:val="006260A3"/>
    <w:rsid w:val="00626554"/>
    <w:rsid w:val="00626D9E"/>
    <w:rsid w:val="00627AAC"/>
    <w:rsid w:val="00627EA6"/>
    <w:rsid w:val="00630215"/>
    <w:rsid w:val="00630256"/>
    <w:rsid w:val="006311FA"/>
    <w:rsid w:val="00631C57"/>
    <w:rsid w:val="00632495"/>
    <w:rsid w:val="00632C4E"/>
    <w:rsid w:val="00633034"/>
    <w:rsid w:val="006333FF"/>
    <w:rsid w:val="006339D7"/>
    <w:rsid w:val="00634E3C"/>
    <w:rsid w:val="00635C92"/>
    <w:rsid w:val="00635CA9"/>
    <w:rsid w:val="0063674C"/>
    <w:rsid w:val="006371E7"/>
    <w:rsid w:val="006372E4"/>
    <w:rsid w:val="0063754B"/>
    <w:rsid w:val="006376EE"/>
    <w:rsid w:val="00637D57"/>
    <w:rsid w:val="0064098D"/>
    <w:rsid w:val="00642C1F"/>
    <w:rsid w:val="00642C76"/>
    <w:rsid w:val="00643682"/>
    <w:rsid w:val="00644070"/>
    <w:rsid w:val="006451EB"/>
    <w:rsid w:val="00647183"/>
    <w:rsid w:val="006478CF"/>
    <w:rsid w:val="00647D00"/>
    <w:rsid w:val="00647DD6"/>
    <w:rsid w:val="00650757"/>
    <w:rsid w:val="00650887"/>
    <w:rsid w:val="00651202"/>
    <w:rsid w:val="006515A0"/>
    <w:rsid w:val="006515E4"/>
    <w:rsid w:val="00651B7D"/>
    <w:rsid w:val="006537F6"/>
    <w:rsid w:val="006547CF"/>
    <w:rsid w:val="00654F94"/>
    <w:rsid w:val="006552BF"/>
    <w:rsid w:val="00655510"/>
    <w:rsid w:val="006556F3"/>
    <w:rsid w:val="0065575B"/>
    <w:rsid w:val="0065583F"/>
    <w:rsid w:val="006565AA"/>
    <w:rsid w:val="006567FF"/>
    <w:rsid w:val="00657115"/>
    <w:rsid w:val="0065715F"/>
    <w:rsid w:val="006573C7"/>
    <w:rsid w:val="00657AD7"/>
    <w:rsid w:val="00657BBA"/>
    <w:rsid w:val="00657F9D"/>
    <w:rsid w:val="00660031"/>
    <w:rsid w:val="00660605"/>
    <w:rsid w:val="0066074B"/>
    <w:rsid w:val="0066086E"/>
    <w:rsid w:val="00660E77"/>
    <w:rsid w:val="00661F09"/>
    <w:rsid w:val="00662057"/>
    <w:rsid w:val="00662248"/>
    <w:rsid w:val="0066227D"/>
    <w:rsid w:val="006622A7"/>
    <w:rsid w:val="00662991"/>
    <w:rsid w:val="00662E42"/>
    <w:rsid w:val="0066320A"/>
    <w:rsid w:val="006635C6"/>
    <w:rsid w:val="006642B8"/>
    <w:rsid w:val="00664617"/>
    <w:rsid w:val="00664B01"/>
    <w:rsid w:val="0066508C"/>
    <w:rsid w:val="006651C5"/>
    <w:rsid w:val="00665A75"/>
    <w:rsid w:val="00665CD5"/>
    <w:rsid w:val="00665D64"/>
    <w:rsid w:val="00665EB4"/>
    <w:rsid w:val="00666826"/>
    <w:rsid w:val="00667001"/>
    <w:rsid w:val="00667DBD"/>
    <w:rsid w:val="00670A43"/>
    <w:rsid w:val="00670A62"/>
    <w:rsid w:val="00670D77"/>
    <w:rsid w:val="0067263F"/>
    <w:rsid w:val="00672AF2"/>
    <w:rsid w:val="00672F19"/>
    <w:rsid w:val="00673296"/>
    <w:rsid w:val="00673F63"/>
    <w:rsid w:val="0067445A"/>
    <w:rsid w:val="006747F1"/>
    <w:rsid w:val="00674F00"/>
    <w:rsid w:val="006756C2"/>
    <w:rsid w:val="00675764"/>
    <w:rsid w:val="00675CFD"/>
    <w:rsid w:val="00676007"/>
    <w:rsid w:val="006765F3"/>
    <w:rsid w:val="00676E76"/>
    <w:rsid w:val="00677537"/>
    <w:rsid w:val="00677A02"/>
    <w:rsid w:val="00677DEA"/>
    <w:rsid w:val="006800C1"/>
    <w:rsid w:val="0068028B"/>
    <w:rsid w:val="00680D5B"/>
    <w:rsid w:val="006819F5"/>
    <w:rsid w:val="00682A9F"/>
    <w:rsid w:val="00682F88"/>
    <w:rsid w:val="00683125"/>
    <w:rsid w:val="0068472F"/>
    <w:rsid w:val="00684ED5"/>
    <w:rsid w:val="006855B0"/>
    <w:rsid w:val="00686257"/>
    <w:rsid w:val="00686E31"/>
    <w:rsid w:val="00687842"/>
    <w:rsid w:val="00687E05"/>
    <w:rsid w:val="006902B9"/>
    <w:rsid w:val="00690AFF"/>
    <w:rsid w:val="00691176"/>
    <w:rsid w:val="00691A42"/>
    <w:rsid w:val="00691FA7"/>
    <w:rsid w:val="006923DB"/>
    <w:rsid w:val="006930CA"/>
    <w:rsid w:val="0069326B"/>
    <w:rsid w:val="0069359C"/>
    <w:rsid w:val="006942EF"/>
    <w:rsid w:val="00694F9A"/>
    <w:rsid w:val="006950A7"/>
    <w:rsid w:val="006952D0"/>
    <w:rsid w:val="006953DB"/>
    <w:rsid w:val="006955D3"/>
    <w:rsid w:val="00695930"/>
    <w:rsid w:val="00695A98"/>
    <w:rsid w:val="00696714"/>
    <w:rsid w:val="00696748"/>
    <w:rsid w:val="0069679B"/>
    <w:rsid w:val="00696E23"/>
    <w:rsid w:val="006A07E7"/>
    <w:rsid w:val="006A0DBD"/>
    <w:rsid w:val="006A0EED"/>
    <w:rsid w:val="006A2246"/>
    <w:rsid w:val="006A23B8"/>
    <w:rsid w:val="006A2975"/>
    <w:rsid w:val="006A2F2F"/>
    <w:rsid w:val="006A3123"/>
    <w:rsid w:val="006A3243"/>
    <w:rsid w:val="006A325B"/>
    <w:rsid w:val="006A34D8"/>
    <w:rsid w:val="006A43CC"/>
    <w:rsid w:val="006A4E42"/>
    <w:rsid w:val="006A53C1"/>
    <w:rsid w:val="006A61B2"/>
    <w:rsid w:val="006A70BF"/>
    <w:rsid w:val="006A7137"/>
    <w:rsid w:val="006B08D8"/>
    <w:rsid w:val="006B126F"/>
    <w:rsid w:val="006B1728"/>
    <w:rsid w:val="006B17ED"/>
    <w:rsid w:val="006B1DF0"/>
    <w:rsid w:val="006B2A11"/>
    <w:rsid w:val="006B2A1C"/>
    <w:rsid w:val="006B3010"/>
    <w:rsid w:val="006B383F"/>
    <w:rsid w:val="006B3AA1"/>
    <w:rsid w:val="006B3DAD"/>
    <w:rsid w:val="006B41EF"/>
    <w:rsid w:val="006B4569"/>
    <w:rsid w:val="006B4BA6"/>
    <w:rsid w:val="006B5297"/>
    <w:rsid w:val="006B55D6"/>
    <w:rsid w:val="006B5602"/>
    <w:rsid w:val="006B5782"/>
    <w:rsid w:val="006B57C1"/>
    <w:rsid w:val="006B610A"/>
    <w:rsid w:val="006B6B54"/>
    <w:rsid w:val="006B74C1"/>
    <w:rsid w:val="006B75AF"/>
    <w:rsid w:val="006B77B8"/>
    <w:rsid w:val="006B78E3"/>
    <w:rsid w:val="006B7C3D"/>
    <w:rsid w:val="006C06A9"/>
    <w:rsid w:val="006C07F9"/>
    <w:rsid w:val="006C0EF8"/>
    <w:rsid w:val="006C1135"/>
    <w:rsid w:val="006C1176"/>
    <w:rsid w:val="006C2551"/>
    <w:rsid w:val="006C2A0F"/>
    <w:rsid w:val="006C2A81"/>
    <w:rsid w:val="006C31CC"/>
    <w:rsid w:val="006C47BD"/>
    <w:rsid w:val="006C5532"/>
    <w:rsid w:val="006C5B7B"/>
    <w:rsid w:val="006C65EF"/>
    <w:rsid w:val="006C6EEC"/>
    <w:rsid w:val="006D028C"/>
    <w:rsid w:val="006D187D"/>
    <w:rsid w:val="006D2977"/>
    <w:rsid w:val="006D2D13"/>
    <w:rsid w:val="006D2DBB"/>
    <w:rsid w:val="006D3BC5"/>
    <w:rsid w:val="006D3C27"/>
    <w:rsid w:val="006D3E08"/>
    <w:rsid w:val="006D43DA"/>
    <w:rsid w:val="006D458F"/>
    <w:rsid w:val="006D4652"/>
    <w:rsid w:val="006D46AD"/>
    <w:rsid w:val="006D4C06"/>
    <w:rsid w:val="006D53B6"/>
    <w:rsid w:val="006D6134"/>
    <w:rsid w:val="006D6362"/>
    <w:rsid w:val="006D683C"/>
    <w:rsid w:val="006D6932"/>
    <w:rsid w:val="006D6FFB"/>
    <w:rsid w:val="006E0056"/>
    <w:rsid w:val="006E07FA"/>
    <w:rsid w:val="006E09E4"/>
    <w:rsid w:val="006E0CB7"/>
    <w:rsid w:val="006E1946"/>
    <w:rsid w:val="006E2014"/>
    <w:rsid w:val="006E262E"/>
    <w:rsid w:val="006E29F4"/>
    <w:rsid w:val="006E2BAB"/>
    <w:rsid w:val="006E2E30"/>
    <w:rsid w:val="006E2E43"/>
    <w:rsid w:val="006E36D9"/>
    <w:rsid w:val="006E3873"/>
    <w:rsid w:val="006E3A1C"/>
    <w:rsid w:val="006E3CFD"/>
    <w:rsid w:val="006E43F6"/>
    <w:rsid w:val="006E446A"/>
    <w:rsid w:val="006E4DD2"/>
    <w:rsid w:val="006E5763"/>
    <w:rsid w:val="006E5FF6"/>
    <w:rsid w:val="006E62EB"/>
    <w:rsid w:val="006E6350"/>
    <w:rsid w:val="006E747A"/>
    <w:rsid w:val="006E7CE2"/>
    <w:rsid w:val="006F0047"/>
    <w:rsid w:val="006F16DC"/>
    <w:rsid w:val="006F17D0"/>
    <w:rsid w:val="006F331B"/>
    <w:rsid w:val="006F3FC6"/>
    <w:rsid w:val="006F40A1"/>
    <w:rsid w:val="006F41C2"/>
    <w:rsid w:val="006F4AE9"/>
    <w:rsid w:val="006F4E0F"/>
    <w:rsid w:val="006F5501"/>
    <w:rsid w:val="006F64F6"/>
    <w:rsid w:val="006F67D0"/>
    <w:rsid w:val="006F7381"/>
    <w:rsid w:val="006F766B"/>
    <w:rsid w:val="007009C2"/>
    <w:rsid w:val="00700BB7"/>
    <w:rsid w:val="00701425"/>
    <w:rsid w:val="00701512"/>
    <w:rsid w:val="007015A1"/>
    <w:rsid w:val="0070187D"/>
    <w:rsid w:val="007038EF"/>
    <w:rsid w:val="00703EA1"/>
    <w:rsid w:val="007049AC"/>
    <w:rsid w:val="00704B3D"/>
    <w:rsid w:val="00705241"/>
    <w:rsid w:val="00705601"/>
    <w:rsid w:val="00705B4E"/>
    <w:rsid w:val="0070625A"/>
    <w:rsid w:val="00707106"/>
    <w:rsid w:val="0070722A"/>
    <w:rsid w:val="007072C9"/>
    <w:rsid w:val="0070733D"/>
    <w:rsid w:val="00707823"/>
    <w:rsid w:val="00707E22"/>
    <w:rsid w:val="00710061"/>
    <w:rsid w:val="0071071B"/>
    <w:rsid w:val="00710CBC"/>
    <w:rsid w:val="00710D74"/>
    <w:rsid w:val="00711629"/>
    <w:rsid w:val="00712662"/>
    <w:rsid w:val="0071395D"/>
    <w:rsid w:val="00713E85"/>
    <w:rsid w:val="007145E5"/>
    <w:rsid w:val="00714B26"/>
    <w:rsid w:val="00715301"/>
    <w:rsid w:val="00715626"/>
    <w:rsid w:val="007157C3"/>
    <w:rsid w:val="00715A83"/>
    <w:rsid w:val="00715DFA"/>
    <w:rsid w:val="00716B1A"/>
    <w:rsid w:val="00717B5F"/>
    <w:rsid w:val="00717C56"/>
    <w:rsid w:val="00720DD2"/>
    <w:rsid w:val="007211AE"/>
    <w:rsid w:val="00721504"/>
    <w:rsid w:val="0072196A"/>
    <w:rsid w:val="007219BA"/>
    <w:rsid w:val="00721CB6"/>
    <w:rsid w:val="00721D64"/>
    <w:rsid w:val="00721F8B"/>
    <w:rsid w:val="00722527"/>
    <w:rsid w:val="00722B0A"/>
    <w:rsid w:val="007232B8"/>
    <w:rsid w:val="007235A5"/>
    <w:rsid w:val="007235B7"/>
    <w:rsid w:val="00723684"/>
    <w:rsid w:val="00723BAA"/>
    <w:rsid w:val="00723EEA"/>
    <w:rsid w:val="0072403F"/>
    <w:rsid w:val="00724367"/>
    <w:rsid w:val="0072471A"/>
    <w:rsid w:val="00724831"/>
    <w:rsid w:val="00724D61"/>
    <w:rsid w:val="00725C81"/>
    <w:rsid w:val="00725E03"/>
    <w:rsid w:val="007267D0"/>
    <w:rsid w:val="00726CE3"/>
    <w:rsid w:val="00727A75"/>
    <w:rsid w:val="00727D1E"/>
    <w:rsid w:val="00730828"/>
    <w:rsid w:val="00730E6A"/>
    <w:rsid w:val="0073186E"/>
    <w:rsid w:val="007322B8"/>
    <w:rsid w:val="007332ED"/>
    <w:rsid w:val="007334A8"/>
    <w:rsid w:val="00733A02"/>
    <w:rsid w:val="00733E0F"/>
    <w:rsid w:val="00734986"/>
    <w:rsid w:val="00734BB7"/>
    <w:rsid w:val="00735495"/>
    <w:rsid w:val="00735C68"/>
    <w:rsid w:val="00735F8F"/>
    <w:rsid w:val="00736087"/>
    <w:rsid w:val="00736150"/>
    <w:rsid w:val="0073637A"/>
    <w:rsid w:val="00736CE9"/>
    <w:rsid w:val="00736D7E"/>
    <w:rsid w:val="007372F9"/>
    <w:rsid w:val="007376F2"/>
    <w:rsid w:val="00740048"/>
    <w:rsid w:val="0074142A"/>
    <w:rsid w:val="00741615"/>
    <w:rsid w:val="00741861"/>
    <w:rsid w:val="00741AC8"/>
    <w:rsid w:val="00742701"/>
    <w:rsid w:val="00742A16"/>
    <w:rsid w:val="00742BFF"/>
    <w:rsid w:val="00742D23"/>
    <w:rsid w:val="007431BC"/>
    <w:rsid w:val="007434FF"/>
    <w:rsid w:val="007435D0"/>
    <w:rsid w:val="00743690"/>
    <w:rsid w:val="00743D94"/>
    <w:rsid w:val="00743FA4"/>
    <w:rsid w:val="00744408"/>
    <w:rsid w:val="00744558"/>
    <w:rsid w:val="00745275"/>
    <w:rsid w:val="00745819"/>
    <w:rsid w:val="00745E20"/>
    <w:rsid w:val="007464C3"/>
    <w:rsid w:val="0074732B"/>
    <w:rsid w:val="007473D6"/>
    <w:rsid w:val="00747428"/>
    <w:rsid w:val="0074791C"/>
    <w:rsid w:val="007479BD"/>
    <w:rsid w:val="007503D8"/>
    <w:rsid w:val="00750B50"/>
    <w:rsid w:val="007513BF"/>
    <w:rsid w:val="00751BBA"/>
    <w:rsid w:val="00752447"/>
    <w:rsid w:val="00752515"/>
    <w:rsid w:val="00752D12"/>
    <w:rsid w:val="00752E36"/>
    <w:rsid w:val="00753049"/>
    <w:rsid w:val="007531BD"/>
    <w:rsid w:val="00753923"/>
    <w:rsid w:val="00753BC8"/>
    <w:rsid w:val="0075457C"/>
    <w:rsid w:val="00754675"/>
    <w:rsid w:val="00754A4B"/>
    <w:rsid w:val="00754EB6"/>
    <w:rsid w:val="0076161E"/>
    <w:rsid w:val="00761751"/>
    <w:rsid w:val="00761809"/>
    <w:rsid w:val="007619DF"/>
    <w:rsid w:val="00761CB7"/>
    <w:rsid w:val="00761D10"/>
    <w:rsid w:val="00762083"/>
    <w:rsid w:val="00762EA9"/>
    <w:rsid w:val="00763487"/>
    <w:rsid w:val="00764B1E"/>
    <w:rsid w:val="007650D2"/>
    <w:rsid w:val="0076557E"/>
    <w:rsid w:val="00765CF8"/>
    <w:rsid w:val="00766546"/>
    <w:rsid w:val="00766BEC"/>
    <w:rsid w:val="00766D81"/>
    <w:rsid w:val="00766D99"/>
    <w:rsid w:val="00766F09"/>
    <w:rsid w:val="00767092"/>
    <w:rsid w:val="00767336"/>
    <w:rsid w:val="0076753C"/>
    <w:rsid w:val="007675A1"/>
    <w:rsid w:val="00767726"/>
    <w:rsid w:val="007678B4"/>
    <w:rsid w:val="00767BBC"/>
    <w:rsid w:val="0077058E"/>
    <w:rsid w:val="0077078D"/>
    <w:rsid w:val="007707FF"/>
    <w:rsid w:val="00770C8A"/>
    <w:rsid w:val="0077108D"/>
    <w:rsid w:val="007713D6"/>
    <w:rsid w:val="0077163C"/>
    <w:rsid w:val="00772EC7"/>
    <w:rsid w:val="007732B1"/>
    <w:rsid w:val="007732BB"/>
    <w:rsid w:val="00773546"/>
    <w:rsid w:val="00773608"/>
    <w:rsid w:val="007736B2"/>
    <w:rsid w:val="00773731"/>
    <w:rsid w:val="0077402F"/>
    <w:rsid w:val="0077403F"/>
    <w:rsid w:val="0077498E"/>
    <w:rsid w:val="00774E9D"/>
    <w:rsid w:val="007751F3"/>
    <w:rsid w:val="00775D33"/>
    <w:rsid w:val="00776417"/>
    <w:rsid w:val="00776E42"/>
    <w:rsid w:val="00777154"/>
    <w:rsid w:val="0077764F"/>
    <w:rsid w:val="00777DC3"/>
    <w:rsid w:val="0078016D"/>
    <w:rsid w:val="00780260"/>
    <w:rsid w:val="0078053F"/>
    <w:rsid w:val="007808EE"/>
    <w:rsid w:val="00780944"/>
    <w:rsid w:val="00780CCE"/>
    <w:rsid w:val="00781586"/>
    <w:rsid w:val="00781FC9"/>
    <w:rsid w:val="0078203D"/>
    <w:rsid w:val="00782192"/>
    <w:rsid w:val="007822F3"/>
    <w:rsid w:val="00783447"/>
    <w:rsid w:val="007836CC"/>
    <w:rsid w:val="0078402E"/>
    <w:rsid w:val="007848FB"/>
    <w:rsid w:val="00785B30"/>
    <w:rsid w:val="00786AA8"/>
    <w:rsid w:val="00787B92"/>
    <w:rsid w:val="00790806"/>
    <w:rsid w:val="00790956"/>
    <w:rsid w:val="00790D3D"/>
    <w:rsid w:val="00790F77"/>
    <w:rsid w:val="00791CD5"/>
    <w:rsid w:val="00792083"/>
    <w:rsid w:val="007924D5"/>
    <w:rsid w:val="00792C01"/>
    <w:rsid w:val="007937BF"/>
    <w:rsid w:val="00793D33"/>
    <w:rsid w:val="007943DF"/>
    <w:rsid w:val="007944C4"/>
    <w:rsid w:val="007947C1"/>
    <w:rsid w:val="00794E6E"/>
    <w:rsid w:val="00796F88"/>
    <w:rsid w:val="007974F0"/>
    <w:rsid w:val="00797AA4"/>
    <w:rsid w:val="00797BFE"/>
    <w:rsid w:val="007A1E97"/>
    <w:rsid w:val="007A21F7"/>
    <w:rsid w:val="007A265B"/>
    <w:rsid w:val="007A2A00"/>
    <w:rsid w:val="007A2CD9"/>
    <w:rsid w:val="007A2F7C"/>
    <w:rsid w:val="007A3C62"/>
    <w:rsid w:val="007A3EF7"/>
    <w:rsid w:val="007A44F9"/>
    <w:rsid w:val="007A47B1"/>
    <w:rsid w:val="007A47DB"/>
    <w:rsid w:val="007A4C82"/>
    <w:rsid w:val="007A55EB"/>
    <w:rsid w:val="007A5887"/>
    <w:rsid w:val="007A6157"/>
    <w:rsid w:val="007A63AF"/>
    <w:rsid w:val="007A64CD"/>
    <w:rsid w:val="007A695E"/>
    <w:rsid w:val="007A6B26"/>
    <w:rsid w:val="007A6E65"/>
    <w:rsid w:val="007A7254"/>
    <w:rsid w:val="007A7661"/>
    <w:rsid w:val="007A7D25"/>
    <w:rsid w:val="007A7ECC"/>
    <w:rsid w:val="007B0A76"/>
    <w:rsid w:val="007B1090"/>
    <w:rsid w:val="007B159C"/>
    <w:rsid w:val="007B1863"/>
    <w:rsid w:val="007B18CA"/>
    <w:rsid w:val="007B230A"/>
    <w:rsid w:val="007B2F80"/>
    <w:rsid w:val="007B33A8"/>
    <w:rsid w:val="007B33ED"/>
    <w:rsid w:val="007B3D57"/>
    <w:rsid w:val="007B47E7"/>
    <w:rsid w:val="007B4F47"/>
    <w:rsid w:val="007B60A6"/>
    <w:rsid w:val="007B7539"/>
    <w:rsid w:val="007B7780"/>
    <w:rsid w:val="007C0498"/>
    <w:rsid w:val="007C0B1A"/>
    <w:rsid w:val="007C1FB2"/>
    <w:rsid w:val="007C2327"/>
    <w:rsid w:val="007C2902"/>
    <w:rsid w:val="007C3C98"/>
    <w:rsid w:val="007C3F82"/>
    <w:rsid w:val="007C4558"/>
    <w:rsid w:val="007C485A"/>
    <w:rsid w:val="007C4B34"/>
    <w:rsid w:val="007C5798"/>
    <w:rsid w:val="007C5CAF"/>
    <w:rsid w:val="007C66C5"/>
    <w:rsid w:val="007C67C2"/>
    <w:rsid w:val="007C693F"/>
    <w:rsid w:val="007C69BF"/>
    <w:rsid w:val="007C7254"/>
    <w:rsid w:val="007C7849"/>
    <w:rsid w:val="007C7FF0"/>
    <w:rsid w:val="007D055E"/>
    <w:rsid w:val="007D0811"/>
    <w:rsid w:val="007D0A58"/>
    <w:rsid w:val="007D12A4"/>
    <w:rsid w:val="007D18A9"/>
    <w:rsid w:val="007D1B41"/>
    <w:rsid w:val="007D1C46"/>
    <w:rsid w:val="007D2268"/>
    <w:rsid w:val="007D233B"/>
    <w:rsid w:val="007D33E9"/>
    <w:rsid w:val="007D34FA"/>
    <w:rsid w:val="007D37B8"/>
    <w:rsid w:val="007D3D02"/>
    <w:rsid w:val="007D3D8E"/>
    <w:rsid w:val="007D4122"/>
    <w:rsid w:val="007D41EC"/>
    <w:rsid w:val="007D4CBD"/>
    <w:rsid w:val="007D4EC8"/>
    <w:rsid w:val="007D5417"/>
    <w:rsid w:val="007D56EF"/>
    <w:rsid w:val="007D5EED"/>
    <w:rsid w:val="007D66D0"/>
    <w:rsid w:val="007D6781"/>
    <w:rsid w:val="007D6CA6"/>
    <w:rsid w:val="007D6CFC"/>
    <w:rsid w:val="007D7722"/>
    <w:rsid w:val="007D78B7"/>
    <w:rsid w:val="007D7E0B"/>
    <w:rsid w:val="007D7E8A"/>
    <w:rsid w:val="007E02A7"/>
    <w:rsid w:val="007E0405"/>
    <w:rsid w:val="007E19F2"/>
    <w:rsid w:val="007E1AC2"/>
    <w:rsid w:val="007E1E1D"/>
    <w:rsid w:val="007E234F"/>
    <w:rsid w:val="007E2AB4"/>
    <w:rsid w:val="007E33AB"/>
    <w:rsid w:val="007E40C7"/>
    <w:rsid w:val="007E4120"/>
    <w:rsid w:val="007E4449"/>
    <w:rsid w:val="007E4483"/>
    <w:rsid w:val="007E46C6"/>
    <w:rsid w:val="007E47D6"/>
    <w:rsid w:val="007E491E"/>
    <w:rsid w:val="007E4D8B"/>
    <w:rsid w:val="007E4EF7"/>
    <w:rsid w:val="007E50C2"/>
    <w:rsid w:val="007E565A"/>
    <w:rsid w:val="007E5886"/>
    <w:rsid w:val="007E61AF"/>
    <w:rsid w:val="007E66AE"/>
    <w:rsid w:val="007E6945"/>
    <w:rsid w:val="007E69FD"/>
    <w:rsid w:val="007E6CF1"/>
    <w:rsid w:val="007E77BE"/>
    <w:rsid w:val="007E7FCC"/>
    <w:rsid w:val="007F024C"/>
    <w:rsid w:val="007F0EA4"/>
    <w:rsid w:val="007F1E14"/>
    <w:rsid w:val="007F2288"/>
    <w:rsid w:val="007F3702"/>
    <w:rsid w:val="007F3EC1"/>
    <w:rsid w:val="007F41AC"/>
    <w:rsid w:val="007F4FDC"/>
    <w:rsid w:val="007F50D0"/>
    <w:rsid w:val="007F54A9"/>
    <w:rsid w:val="007F5DCC"/>
    <w:rsid w:val="007F6339"/>
    <w:rsid w:val="007F6813"/>
    <w:rsid w:val="007F6D9F"/>
    <w:rsid w:val="007F7251"/>
    <w:rsid w:val="007F7437"/>
    <w:rsid w:val="007F7A17"/>
    <w:rsid w:val="00800409"/>
    <w:rsid w:val="00800427"/>
    <w:rsid w:val="00800547"/>
    <w:rsid w:val="00800A86"/>
    <w:rsid w:val="00800C24"/>
    <w:rsid w:val="00801170"/>
    <w:rsid w:val="008017A4"/>
    <w:rsid w:val="008025E9"/>
    <w:rsid w:val="00803216"/>
    <w:rsid w:val="00803267"/>
    <w:rsid w:val="00803770"/>
    <w:rsid w:val="0080469D"/>
    <w:rsid w:val="0080488A"/>
    <w:rsid w:val="00804B0E"/>
    <w:rsid w:val="0080540B"/>
    <w:rsid w:val="00807CA4"/>
    <w:rsid w:val="00807DB3"/>
    <w:rsid w:val="0081078B"/>
    <w:rsid w:val="008109E9"/>
    <w:rsid w:val="00810BC4"/>
    <w:rsid w:val="00810D41"/>
    <w:rsid w:val="0081152C"/>
    <w:rsid w:val="008116E5"/>
    <w:rsid w:val="00811925"/>
    <w:rsid w:val="00811E0A"/>
    <w:rsid w:val="008121F0"/>
    <w:rsid w:val="00812640"/>
    <w:rsid w:val="0081331B"/>
    <w:rsid w:val="00813E7F"/>
    <w:rsid w:val="00814120"/>
    <w:rsid w:val="008148FA"/>
    <w:rsid w:val="00815C7F"/>
    <w:rsid w:val="00815EC2"/>
    <w:rsid w:val="00816233"/>
    <w:rsid w:val="00816248"/>
    <w:rsid w:val="008169B3"/>
    <w:rsid w:val="00816EF2"/>
    <w:rsid w:val="00817609"/>
    <w:rsid w:val="00817647"/>
    <w:rsid w:val="008203F3"/>
    <w:rsid w:val="00821029"/>
    <w:rsid w:val="00821097"/>
    <w:rsid w:val="00821C49"/>
    <w:rsid w:val="0082225A"/>
    <w:rsid w:val="00822344"/>
    <w:rsid w:val="0082310D"/>
    <w:rsid w:val="00823AE7"/>
    <w:rsid w:val="00823E8A"/>
    <w:rsid w:val="00824924"/>
    <w:rsid w:val="008250D7"/>
    <w:rsid w:val="008259ED"/>
    <w:rsid w:val="00825A42"/>
    <w:rsid w:val="00826037"/>
    <w:rsid w:val="00827063"/>
    <w:rsid w:val="0082788D"/>
    <w:rsid w:val="00827B2B"/>
    <w:rsid w:val="00827C2D"/>
    <w:rsid w:val="00827E36"/>
    <w:rsid w:val="00830299"/>
    <w:rsid w:val="00830501"/>
    <w:rsid w:val="00830639"/>
    <w:rsid w:val="00830BD2"/>
    <w:rsid w:val="00830C67"/>
    <w:rsid w:val="00830CF3"/>
    <w:rsid w:val="00831050"/>
    <w:rsid w:val="008317D4"/>
    <w:rsid w:val="00831D3B"/>
    <w:rsid w:val="00832015"/>
    <w:rsid w:val="00832172"/>
    <w:rsid w:val="00832892"/>
    <w:rsid w:val="00832CE1"/>
    <w:rsid w:val="008334DF"/>
    <w:rsid w:val="00833760"/>
    <w:rsid w:val="00833BCC"/>
    <w:rsid w:val="00833F8E"/>
    <w:rsid w:val="00833FB9"/>
    <w:rsid w:val="00834181"/>
    <w:rsid w:val="00835C05"/>
    <w:rsid w:val="00835C7D"/>
    <w:rsid w:val="00836E8C"/>
    <w:rsid w:val="00837F14"/>
    <w:rsid w:val="00840183"/>
    <w:rsid w:val="00840306"/>
    <w:rsid w:val="008405FD"/>
    <w:rsid w:val="00840B62"/>
    <w:rsid w:val="00840B91"/>
    <w:rsid w:val="00840C73"/>
    <w:rsid w:val="00840C9D"/>
    <w:rsid w:val="00840E0E"/>
    <w:rsid w:val="0084152D"/>
    <w:rsid w:val="00841E75"/>
    <w:rsid w:val="008424D8"/>
    <w:rsid w:val="00842B97"/>
    <w:rsid w:val="00842E8F"/>
    <w:rsid w:val="00843E9E"/>
    <w:rsid w:val="00843EBA"/>
    <w:rsid w:val="00843F51"/>
    <w:rsid w:val="008451B1"/>
    <w:rsid w:val="008457D6"/>
    <w:rsid w:val="008458A6"/>
    <w:rsid w:val="0084604F"/>
    <w:rsid w:val="008467E7"/>
    <w:rsid w:val="008472E2"/>
    <w:rsid w:val="00847C34"/>
    <w:rsid w:val="00847E66"/>
    <w:rsid w:val="00850070"/>
    <w:rsid w:val="00850E5C"/>
    <w:rsid w:val="00851609"/>
    <w:rsid w:val="00851741"/>
    <w:rsid w:val="00851944"/>
    <w:rsid w:val="00851DF3"/>
    <w:rsid w:val="00851F3C"/>
    <w:rsid w:val="0085298E"/>
    <w:rsid w:val="00852A1E"/>
    <w:rsid w:val="00852A88"/>
    <w:rsid w:val="00852DC1"/>
    <w:rsid w:val="00852F32"/>
    <w:rsid w:val="00853095"/>
    <w:rsid w:val="008534C4"/>
    <w:rsid w:val="00853AE9"/>
    <w:rsid w:val="00854AC8"/>
    <w:rsid w:val="00854B50"/>
    <w:rsid w:val="00854BFD"/>
    <w:rsid w:val="00854CA6"/>
    <w:rsid w:val="008554E9"/>
    <w:rsid w:val="00855AEE"/>
    <w:rsid w:val="00855C38"/>
    <w:rsid w:val="0085646A"/>
    <w:rsid w:val="008573F1"/>
    <w:rsid w:val="008574E0"/>
    <w:rsid w:val="00857E5F"/>
    <w:rsid w:val="00860438"/>
    <w:rsid w:val="0086052B"/>
    <w:rsid w:val="00860F33"/>
    <w:rsid w:val="00860F74"/>
    <w:rsid w:val="0086118A"/>
    <w:rsid w:val="00861373"/>
    <w:rsid w:val="00861819"/>
    <w:rsid w:val="00861E05"/>
    <w:rsid w:val="00862059"/>
    <w:rsid w:val="00863011"/>
    <w:rsid w:val="00863268"/>
    <w:rsid w:val="00863660"/>
    <w:rsid w:val="008636F8"/>
    <w:rsid w:val="00863B2E"/>
    <w:rsid w:val="00863C5A"/>
    <w:rsid w:val="00864358"/>
    <w:rsid w:val="00865194"/>
    <w:rsid w:val="0086632E"/>
    <w:rsid w:val="00866BB1"/>
    <w:rsid w:val="00867624"/>
    <w:rsid w:val="008715E0"/>
    <w:rsid w:val="00872A6C"/>
    <w:rsid w:val="008733CD"/>
    <w:rsid w:val="00873DC4"/>
    <w:rsid w:val="0087425D"/>
    <w:rsid w:val="00874316"/>
    <w:rsid w:val="00874B1A"/>
    <w:rsid w:val="0087505E"/>
    <w:rsid w:val="00875E01"/>
    <w:rsid w:val="00875E97"/>
    <w:rsid w:val="0087632A"/>
    <w:rsid w:val="008766B2"/>
    <w:rsid w:val="00876A37"/>
    <w:rsid w:val="00876B6F"/>
    <w:rsid w:val="00877045"/>
    <w:rsid w:val="008776A9"/>
    <w:rsid w:val="008778FD"/>
    <w:rsid w:val="00877EE1"/>
    <w:rsid w:val="00880350"/>
    <w:rsid w:val="00880829"/>
    <w:rsid w:val="0088179E"/>
    <w:rsid w:val="00881AEC"/>
    <w:rsid w:val="008821AC"/>
    <w:rsid w:val="00882FE6"/>
    <w:rsid w:val="008837E0"/>
    <w:rsid w:val="00883E2C"/>
    <w:rsid w:val="00883FC0"/>
    <w:rsid w:val="00884075"/>
    <w:rsid w:val="00884878"/>
    <w:rsid w:val="00884886"/>
    <w:rsid w:val="00884EC1"/>
    <w:rsid w:val="00884F23"/>
    <w:rsid w:val="00886502"/>
    <w:rsid w:val="00886A3E"/>
    <w:rsid w:val="00887B63"/>
    <w:rsid w:val="00890134"/>
    <w:rsid w:val="0089069D"/>
    <w:rsid w:val="008906E0"/>
    <w:rsid w:val="00890CB0"/>
    <w:rsid w:val="00890D36"/>
    <w:rsid w:val="00890E00"/>
    <w:rsid w:val="00891C2B"/>
    <w:rsid w:val="00891D3B"/>
    <w:rsid w:val="0089209C"/>
    <w:rsid w:val="00892DA5"/>
    <w:rsid w:val="00892FEA"/>
    <w:rsid w:val="00893435"/>
    <w:rsid w:val="0089379A"/>
    <w:rsid w:val="00893E13"/>
    <w:rsid w:val="00893E6B"/>
    <w:rsid w:val="0089407E"/>
    <w:rsid w:val="00895BB1"/>
    <w:rsid w:val="00895D03"/>
    <w:rsid w:val="00895F41"/>
    <w:rsid w:val="00895FF3"/>
    <w:rsid w:val="008962FA"/>
    <w:rsid w:val="00897201"/>
    <w:rsid w:val="00897923"/>
    <w:rsid w:val="00897DBD"/>
    <w:rsid w:val="00897ECF"/>
    <w:rsid w:val="008A0A3B"/>
    <w:rsid w:val="008A1197"/>
    <w:rsid w:val="008A2622"/>
    <w:rsid w:val="008A38E3"/>
    <w:rsid w:val="008A3A3B"/>
    <w:rsid w:val="008A4474"/>
    <w:rsid w:val="008A4605"/>
    <w:rsid w:val="008A46A1"/>
    <w:rsid w:val="008A4834"/>
    <w:rsid w:val="008A5141"/>
    <w:rsid w:val="008A6328"/>
    <w:rsid w:val="008A688A"/>
    <w:rsid w:val="008B00CE"/>
    <w:rsid w:val="008B0D17"/>
    <w:rsid w:val="008B0F19"/>
    <w:rsid w:val="008B1255"/>
    <w:rsid w:val="008B1F4E"/>
    <w:rsid w:val="008B28CB"/>
    <w:rsid w:val="008B43E1"/>
    <w:rsid w:val="008B450A"/>
    <w:rsid w:val="008B4603"/>
    <w:rsid w:val="008B4D61"/>
    <w:rsid w:val="008B5014"/>
    <w:rsid w:val="008B58EA"/>
    <w:rsid w:val="008B7E68"/>
    <w:rsid w:val="008C0018"/>
    <w:rsid w:val="008C06F5"/>
    <w:rsid w:val="008C0B6F"/>
    <w:rsid w:val="008C115A"/>
    <w:rsid w:val="008C1DF1"/>
    <w:rsid w:val="008C1E4E"/>
    <w:rsid w:val="008C1EDE"/>
    <w:rsid w:val="008C299D"/>
    <w:rsid w:val="008C2BA5"/>
    <w:rsid w:val="008C5102"/>
    <w:rsid w:val="008C5689"/>
    <w:rsid w:val="008C6ACD"/>
    <w:rsid w:val="008C7214"/>
    <w:rsid w:val="008D04DB"/>
    <w:rsid w:val="008D07F9"/>
    <w:rsid w:val="008D0960"/>
    <w:rsid w:val="008D0D20"/>
    <w:rsid w:val="008D122A"/>
    <w:rsid w:val="008D16DB"/>
    <w:rsid w:val="008D1CAA"/>
    <w:rsid w:val="008D1EED"/>
    <w:rsid w:val="008D200F"/>
    <w:rsid w:val="008D23F5"/>
    <w:rsid w:val="008D34C2"/>
    <w:rsid w:val="008D5506"/>
    <w:rsid w:val="008D56F9"/>
    <w:rsid w:val="008D570F"/>
    <w:rsid w:val="008D5B85"/>
    <w:rsid w:val="008D6422"/>
    <w:rsid w:val="008D68BB"/>
    <w:rsid w:val="008D6937"/>
    <w:rsid w:val="008D6C0E"/>
    <w:rsid w:val="008D6E4C"/>
    <w:rsid w:val="008D6FCC"/>
    <w:rsid w:val="008D708B"/>
    <w:rsid w:val="008D7221"/>
    <w:rsid w:val="008D7641"/>
    <w:rsid w:val="008E02C3"/>
    <w:rsid w:val="008E0A62"/>
    <w:rsid w:val="008E11C1"/>
    <w:rsid w:val="008E16FE"/>
    <w:rsid w:val="008E1825"/>
    <w:rsid w:val="008E1A33"/>
    <w:rsid w:val="008E1E48"/>
    <w:rsid w:val="008E1FF2"/>
    <w:rsid w:val="008E21D6"/>
    <w:rsid w:val="008E2833"/>
    <w:rsid w:val="008E2BC7"/>
    <w:rsid w:val="008E2F1E"/>
    <w:rsid w:val="008E2F44"/>
    <w:rsid w:val="008E3341"/>
    <w:rsid w:val="008E3AA6"/>
    <w:rsid w:val="008E3D97"/>
    <w:rsid w:val="008E3F5B"/>
    <w:rsid w:val="008E42CF"/>
    <w:rsid w:val="008E498C"/>
    <w:rsid w:val="008E4E0D"/>
    <w:rsid w:val="008E4F07"/>
    <w:rsid w:val="008E59D9"/>
    <w:rsid w:val="008E681B"/>
    <w:rsid w:val="008E69B5"/>
    <w:rsid w:val="008E6EF1"/>
    <w:rsid w:val="008E6F30"/>
    <w:rsid w:val="008E7945"/>
    <w:rsid w:val="008E7A82"/>
    <w:rsid w:val="008F0A43"/>
    <w:rsid w:val="008F0B76"/>
    <w:rsid w:val="008F0BB1"/>
    <w:rsid w:val="008F22A6"/>
    <w:rsid w:val="008F235C"/>
    <w:rsid w:val="008F2496"/>
    <w:rsid w:val="008F3057"/>
    <w:rsid w:val="008F3241"/>
    <w:rsid w:val="008F39A9"/>
    <w:rsid w:val="008F4627"/>
    <w:rsid w:val="008F4CB3"/>
    <w:rsid w:val="008F4E27"/>
    <w:rsid w:val="008F4F7C"/>
    <w:rsid w:val="008F52C5"/>
    <w:rsid w:val="008F56DE"/>
    <w:rsid w:val="008F5A7C"/>
    <w:rsid w:val="008F6263"/>
    <w:rsid w:val="008F630E"/>
    <w:rsid w:val="008F64DD"/>
    <w:rsid w:val="008F68BB"/>
    <w:rsid w:val="008F6B74"/>
    <w:rsid w:val="008F759E"/>
    <w:rsid w:val="00900713"/>
    <w:rsid w:val="00900B2C"/>
    <w:rsid w:val="00900B68"/>
    <w:rsid w:val="00901482"/>
    <w:rsid w:val="00903246"/>
    <w:rsid w:val="00903825"/>
    <w:rsid w:val="00903EC6"/>
    <w:rsid w:val="00904943"/>
    <w:rsid w:val="00904E57"/>
    <w:rsid w:val="00905228"/>
    <w:rsid w:val="00905A4B"/>
    <w:rsid w:val="0090659F"/>
    <w:rsid w:val="009065B9"/>
    <w:rsid w:val="009065D0"/>
    <w:rsid w:val="009069B4"/>
    <w:rsid w:val="00906CCB"/>
    <w:rsid w:val="00906DD5"/>
    <w:rsid w:val="0090716B"/>
    <w:rsid w:val="009073CD"/>
    <w:rsid w:val="009075ED"/>
    <w:rsid w:val="00907C55"/>
    <w:rsid w:val="00910549"/>
    <w:rsid w:val="00910DB4"/>
    <w:rsid w:val="00910FCB"/>
    <w:rsid w:val="00911F38"/>
    <w:rsid w:val="009122E3"/>
    <w:rsid w:val="00912768"/>
    <w:rsid w:val="009129DD"/>
    <w:rsid w:val="009134F9"/>
    <w:rsid w:val="00913722"/>
    <w:rsid w:val="00913E31"/>
    <w:rsid w:val="009140CF"/>
    <w:rsid w:val="009146C9"/>
    <w:rsid w:val="00914716"/>
    <w:rsid w:val="009149B7"/>
    <w:rsid w:val="00914AA3"/>
    <w:rsid w:val="00914BC1"/>
    <w:rsid w:val="00914EB7"/>
    <w:rsid w:val="00915089"/>
    <w:rsid w:val="009150D0"/>
    <w:rsid w:val="00916474"/>
    <w:rsid w:val="00916F97"/>
    <w:rsid w:val="0091741D"/>
    <w:rsid w:val="009177F0"/>
    <w:rsid w:val="00917B13"/>
    <w:rsid w:val="00917E0B"/>
    <w:rsid w:val="00917E57"/>
    <w:rsid w:val="00920024"/>
    <w:rsid w:val="0092099D"/>
    <w:rsid w:val="009209D3"/>
    <w:rsid w:val="00922E85"/>
    <w:rsid w:val="00923052"/>
    <w:rsid w:val="0092312F"/>
    <w:rsid w:val="00923199"/>
    <w:rsid w:val="00923C8F"/>
    <w:rsid w:val="009241F1"/>
    <w:rsid w:val="009247A5"/>
    <w:rsid w:val="00924F04"/>
    <w:rsid w:val="0092570B"/>
    <w:rsid w:val="00925C00"/>
    <w:rsid w:val="009264F2"/>
    <w:rsid w:val="00926A3A"/>
    <w:rsid w:val="009279D3"/>
    <w:rsid w:val="00927F02"/>
    <w:rsid w:val="00927FB2"/>
    <w:rsid w:val="009300BB"/>
    <w:rsid w:val="009304CB"/>
    <w:rsid w:val="0093139A"/>
    <w:rsid w:val="00932569"/>
    <w:rsid w:val="0093297A"/>
    <w:rsid w:val="009329B5"/>
    <w:rsid w:val="00932E6F"/>
    <w:rsid w:val="00933145"/>
    <w:rsid w:val="009336FA"/>
    <w:rsid w:val="00933B8F"/>
    <w:rsid w:val="0093448E"/>
    <w:rsid w:val="009345DF"/>
    <w:rsid w:val="00934A77"/>
    <w:rsid w:val="00937398"/>
    <w:rsid w:val="00937CC7"/>
    <w:rsid w:val="00937E0D"/>
    <w:rsid w:val="009403ED"/>
    <w:rsid w:val="009409C2"/>
    <w:rsid w:val="00941256"/>
    <w:rsid w:val="00942515"/>
    <w:rsid w:val="0094253F"/>
    <w:rsid w:val="00942AA9"/>
    <w:rsid w:val="00943025"/>
    <w:rsid w:val="00943073"/>
    <w:rsid w:val="00943DD3"/>
    <w:rsid w:val="00943ED9"/>
    <w:rsid w:val="00943F99"/>
    <w:rsid w:val="0094409C"/>
    <w:rsid w:val="00944B0B"/>
    <w:rsid w:val="00944B13"/>
    <w:rsid w:val="00944D33"/>
    <w:rsid w:val="009454EF"/>
    <w:rsid w:val="009456FE"/>
    <w:rsid w:val="00945B13"/>
    <w:rsid w:val="00945D9D"/>
    <w:rsid w:val="0094619C"/>
    <w:rsid w:val="0094689C"/>
    <w:rsid w:val="00946C22"/>
    <w:rsid w:val="0094742D"/>
    <w:rsid w:val="00947518"/>
    <w:rsid w:val="0094789C"/>
    <w:rsid w:val="00950217"/>
    <w:rsid w:val="009503E0"/>
    <w:rsid w:val="0095137B"/>
    <w:rsid w:val="00951563"/>
    <w:rsid w:val="009518D3"/>
    <w:rsid w:val="00951907"/>
    <w:rsid w:val="0095200E"/>
    <w:rsid w:val="00952186"/>
    <w:rsid w:val="00952367"/>
    <w:rsid w:val="00952481"/>
    <w:rsid w:val="009525CB"/>
    <w:rsid w:val="00952660"/>
    <w:rsid w:val="009528B5"/>
    <w:rsid w:val="00952EDD"/>
    <w:rsid w:val="0095411E"/>
    <w:rsid w:val="00954824"/>
    <w:rsid w:val="009548C6"/>
    <w:rsid w:val="00954AF6"/>
    <w:rsid w:val="00954D6E"/>
    <w:rsid w:val="00955546"/>
    <w:rsid w:val="0095653E"/>
    <w:rsid w:val="00956832"/>
    <w:rsid w:val="009568B9"/>
    <w:rsid w:val="00956CBA"/>
    <w:rsid w:val="00956DB0"/>
    <w:rsid w:val="00956F56"/>
    <w:rsid w:val="0095799B"/>
    <w:rsid w:val="009603C3"/>
    <w:rsid w:val="009605DC"/>
    <w:rsid w:val="00960AA8"/>
    <w:rsid w:val="00960E73"/>
    <w:rsid w:val="0096133D"/>
    <w:rsid w:val="00961920"/>
    <w:rsid w:val="00961BD3"/>
    <w:rsid w:val="00961D38"/>
    <w:rsid w:val="00961DD6"/>
    <w:rsid w:val="00962D28"/>
    <w:rsid w:val="00962DFA"/>
    <w:rsid w:val="00962EF9"/>
    <w:rsid w:val="009632D3"/>
    <w:rsid w:val="00963F06"/>
    <w:rsid w:val="00964A63"/>
    <w:rsid w:val="00964C8C"/>
    <w:rsid w:val="00964D03"/>
    <w:rsid w:val="009656E1"/>
    <w:rsid w:val="00965A5D"/>
    <w:rsid w:val="00965B08"/>
    <w:rsid w:val="00966D73"/>
    <w:rsid w:val="00966FE7"/>
    <w:rsid w:val="00967389"/>
    <w:rsid w:val="00967EA3"/>
    <w:rsid w:val="00970248"/>
    <w:rsid w:val="00970559"/>
    <w:rsid w:val="00970897"/>
    <w:rsid w:val="00970DB6"/>
    <w:rsid w:val="00970E36"/>
    <w:rsid w:val="00970EBE"/>
    <w:rsid w:val="009722BE"/>
    <w:rsid w:val="009727E8"/>
    <w:rsid w:val="00972CA7"/>
    <w:rsid w:val="009732D7"/>
    <w:rsid w:val="00973481"/>
    <w:rsid w:val="009741A7"/>
    <w:rsid w:val="00974B8F"/>
    <w:rsid w:val="00974C16"/>
    <w:rsid w:val="00974CD1"/>
    <w:rsid w:val="00974D96"/>
    <w:rsid w:val="00975115"/>
    <w:rsid w:val="009752D3"/>
    <w:rsid w:val="009757EF"/>
    <w:rsid w:val="00975B9A"/>
    <w:rsid w:val="009765C4"/>
    <w:rsid w:val="00976804"/>
    <w:rsid w:val="00976A50"/>
    <w:rsid w:val="0097700F"/>
    <w:rsid w:val="0097733B"/>
    <w:rsid w:val="0097756A"/>
    <w:rsid w:val="00977C36"/>
    <w:rsid w:val="00977DF6"/>
    <w:rsid w:val="009800FD"/>
    <w:rsid w:val="00980307"/>
    <w:rsid w:val="00980722"/>
    <w:rsid w:val="00980DC1"/>
    <w:rsid w:val="009810D9"/>
    <w:rsid w:val="009816F5"/>
    <w:rsid w:val="0098207D"/>
    <w:rsid w:val="00982092"/>
    <w:rsid w:val="00982E22"/>
    <w:rsid w:val="00982EE2"/>
    <w:rsid w:val="00984602"/>
    <w:rsid w:val="009857B6"/>
    <w:rsid w:val="009859B3"/>
    <w:rsid w:val="00985D68"/>
    <w:rsid w:val="00986228"/>
    <w:rsid w:val="009863E4"/>
    <w:rsid w:val="00986F8C"/>
    <w:rsid w:val="00987205"/>
    <w:rsid w:val="009876F5"/>
    <w:rsid w:val="009877C5"/>
    <w:rsid w:val="00987AE7"/>
    <w:rsid w:val="00987B76"/>
    <w:rsid w:val="009907C3"/>
    <w:rsid w:val="00991094"/>
    <w:rsid w:val="009911F7"/>
    <w:rsid w:val="009916CD"/>
    <w:rsid w:val="00991A34"/>
    <w:rsid w:val="00991AF1"/>
    <w:rsid w:val="00991DA8"/>
    <w:rsid w:val="0099208B"/>
    <w:rsid w:val="00992114"/>
    <w:rsid w:val="009940B4"/>
    <w:rsid w:val="00994FEA"/>
    <w:rsid w:val="00995F8C"/>
    <w:rsid w:val="009963C4"/>
    <w:rsid w:val="0099670D"/>
    <w:rsid w:val="00996750"/>
    <w:rsid w:val="0099690B"/>
    <w:rsid w:val="0099758C"/>
    <w:rsid w:val="00997CAA"/>
    <w:rsid w:val="009A0757"/>
    <w:rsid w:val="009A0905"/>
    <w:rsid w:val="009A18A9"/>
    <w:rsid w:val="009A1B6D"/>
    <w:rsid w:val="009A219D"/>
    <w:rsid w:val="009A2500"/>
    <w:rsid w:val="009A2554"/>
    <w:rsid w:val="009A26AE"/>
    <w:rsid w:val="009A2728"/>
    <w:rsid w:val="009A29AE"/>
    <w:rsid w:val="009A2F1F"/>
    <w:rsid w:val="009A3EE3"/>
    <w:rsid w:val="009A42F3"/>
    <w:rsid w:val="009A4A0C"/>
    <w:rsid w:val="009A4C5C"/>
    <w:rsid w:val="009A511E"/>
    <w:rsid w:val="009A6158"/>
    <w:rsid w:val="009A6EEE"/>
    <w:rsid w:val="009A72CD"/>
    <w:rsid w:val="009A76A0"/>
    <w:rsid w:val="009B0E5C"/>
    <w:rsid w:val="009B168D"/>
    <w:rsid w:val="009B2892"/>
    <w:rsid w:val="009B2C96"/>
    <w:rsid w:val="009B2CD9"/>
    <w:rsid w:val="009B2CE1"/>
    <w:rsid w:val="009B2CE6"/>
    <w:rsid w:val="009B3528"/>
    <w:rsid w:val="009B4A28"/>
    <w:rsid w:val="009B4CFC"/>
    <w:rsid w:val="009B59E5"/>
    <w:rsid w:val="009B5FD5"/>
    <w:rsid w:val="009B6022"/>
    <w:rsid w:val="009B69BB"/>
    <w:rsid w:val="009B700D"/>
    <w:rsid w:val="009B7C73"/>
    <w:rsid w:val="009C00CF"/>
    <w:rsid w:val="009C06FD"/>
    <w:rsid w:val="009C0DC0"/>
    <w:rsid w:val="009C0DEC"/>
    <w:rsid w:val="009C200B"/>
    <w:rsid w:val="009C5B47"/>
    <w:rsid w:val="009C6AAC"/>
    <w:rsid w:val="009C7059"/>
    <w:rsid w:val="009C7424"/>
    <w:rsid w:val="009C771C"/>
    <w:rsid w:val="009D04FA"/>
    <w:rsid w:val="009D0693"/>
    <w:rsid w:val="009D1044"/>
    <w:rsid w:val="009D13BE"/>
    <w:rsid w:val="009D1EC9"/>
    <w:rsid w:val="009D2191"/>
    <w:rsid w:val="009D252B"/>
    <w:rsid w:val="009D3A8D"/>
    <w:rsid w:val="009D3D79"/>
    <w:rsid w:val="009D3F79"/>
    <w:rsid w:val="009D48E2"/>
    <w:rsid w:val="009D4E8A"/>
    <w:rsid w:val="009D502D"/>
    <w:rsid w:val="009D5335"/>
    <w:rsid w:val="009D57C1"/>
    <w:rsid w:val="009D6D01"/>
    <w:rsid w:val="009D7187"/>
    <w:rsid w:val="009D74DC"/>
    <w:rsid w:val="009D75D5"/>
    <w:rsid w:val="009D7950"/>
    <w:rsid w:val="009D7995"/>
    <w:rsid w:val="009E05AA"/>
    <w:rsid w:val="009E089A"/>
    <w:rsid w:val="009E1333"/>
    <w:rsid w:val="009E1BE6"/>
    <w:rsid w:val="009E2714"/>
    <w:rsid w:val="009E27E0"/>
    <w:rsid w:val="009E2836"/>
    <w:rsid w:val="009E2DAE"/>
    <w:rsid w:val="009E3558"/>
    <w:rsid w:val="009E4CBC"/>
    <w:rsid w:val="009E52F7"/>
    <w:rsid w:val="009E5A7A"/>
    <w:rsid w:val="009E5BC5"/>
    <w:rsid w:val="009E5C85"/>
    <w:rsid w:val="009E661C"/>
    <w:rsid w:val="009E7EFB"/>
    <w:rsid w:val="009F16AC"/>
    <w:rsid w:val="009F1980"/>
    <w:rsid w:val="009F1A95"/>
    <w:rsid w:val="009F1CD8"/>
    <w:rsid w:val="009F1E84"/>
    <w:rsid w:val="009F21D9"/>
    <w:rsid w:val="009F21F2"/>
    <w:rsid w:val="009F221D"/>
    <w:rsid w:val="009F2870"/>
    <w:rsid w:val="009F2962"/>
    <w:rsid w:val="009F2CB1"/>
    <w:rsid w:val="009F2F14"/>
    <w:rsid w:val="009F3031"/>
    <w:rsid w:val="009F3310"/>
    <w:rsid w:val="009F353A"/>
    <w:rsid w:val="009F3CA5"/>
    <w:rsid w:val="009F41A7"/>
    <w:rsid w:val="009F4590"/>
    <w:rsid w:val="009F465F"/>
    <w:rsid w:val="009F470E"/>
    <w:rsid w:val="009F49AA"/>
    <w:rsid w:val="009F541B"/>
    <w:rsid w:val="009F5F2B"/>
    <w:rsid w:val="009F632B"/>
    <w:rsid w:val="009F63B1"/>
    <w:rsid w:val="009F76C3"/>
    <w:rsid w:val="00A001B3"/>
    <w:rsid w:val="00A00E14"/>
    <w:rsid w:val="00A02304"/>
    <w:rsid w:val="00A02349"/>
    <w:rsid w:val="00A02637"/>
    <w:rsid w:val="00A03823"/>
    <w:rsid w:val="00A04424"/>
    <w:rsid w:val="00A059E0"/>
    <w:rsid w:val="00A05B82"/>
    <w:rsid w:val="00A060FE"/>
    <w:rsid w:val="00A07225"/>
    <w:rsid w:val="00A07610"/>
    <w:rsid w:val="00A1092A"/>
    <w:rsid w:val="00A111AA"/>
    <w:rsid w:val="00A11A08"/>
    <w:rsid w:val="00A11D5B"/>
    <w:rsid w:val="00A11E6F"/>
    <w:rsid w:val="00A12B52"/>
    <w:rsid w:val="00A13436"/>
    <w:rsid w:val="00A14B93"/>
    <w:rsid w:val="00A152B1"/>
    <w:rsid w:val="00A16849"/>
    <w:rsid w:val="00A17D07"/>
    <w:rsid w:val="00A20973"/>
    <w:rsid w:val="00A209ED"/>
    <w:rsid w:val="00A20F7B"/>
    <w:rsid w:val="00A213E9"/>
    <w:rsid w:val="00A217BD"/>
    <w:rsid w:val="00A21B82"/>
    <w:rsid w:val="00A21F7D"/>
    <w:rsid w:val="00A22012"/>
    <w:rsid w:val="00A223D4"/>
    <w:rsid w:val="00A223FB"/>
    <w:rsid w:val="00A22632"/>
    <w:rsid w:val="00A2266C"/>
    <w:rsid w:val="00A22A47"/>
    <w:rsid w:val="00A22E61"/>
    <w:rsid w:val="00A239DE"/>
    <w:rsid w:val="00A24089"/>
    <w:rsid w:val="00A2415E"/>
    <w:rsid w:val="00A243BC"/>
    <w:rsid w:val="00A24562"/>
    <w:rsid w:val="00A24EB5"/>
    <w:rsid w:val="00A24F07"/>
    <w:rsid w:val="00A259A8"/>
    <w:rsid w:val="00A25ABE"/>
    <w:rsid w:val="00A25D21"/>
    <w:rsid w:val="00A2645A"/>
    <w:rsid w:val="00A26B2C"/>
    <w:rsid w:val="00A26EE2"/>
    <w:rsid w:val="00A27CCC"/>
    <w:rsid w:val="00A30268"/>
    <w:rsid w:val="00A30727"/>
    <w:rsid w:val="00A30BEF"/>
    <w:rsid w:val="00A315B0"/>
    <w:rsid w:val="00A31682"/>
    <w:rsid w:val="00A31E40"/>
    <w:rsid w:val="00A3292C"/>
    <w:rsid w:val="00A32B26"/>
    <w:rsid w:val="00A32EC5"/>
    <w:rsid w:val="00A33417"/>
    <w:rsid w:val="00A3374D"/>
    <w:rsid w:val="00A33AE0"/>
    <w:rsid w:val="00A34589"/>
    <w:rsid w:val="00A34AC0"/>
    <w:rsid w:val="00A35120"/>
    <w:rsid w:val="00A35217"/>
    <w:rsid w:val="00A35A25"/>
    <w:rsid w:val="00A35E38"/>
    <w:rsid w:val="00A3635F"/>
    <w:rsid w:val="00A365BE"/>
    <w:rsid w:val="00A36890"/>
    <w:rsid w:val="00A36BDB"/>
    <w:rsid w:val="00A3718E"/>
    <w:rsid w:val="00A37245"/>
    <w:rsid w:val="00A37326"/>
    <w:rsid w:val="00A37F90"/>
    <w:rsid w:val="00A40282"/>
    <w:rsid w:val="00A403CF"/>
    <w:rsid w:val="00A404C8"/>
    <w:rsid w:val="00A411A5"/>
    <w:rsid w:val="00A41627"/>
    <w:rsid w:val="00A42A48"/>
    <w:rsid w:val="00A42ADA"/>
    <w:rsid w:val="00A42EB0"/>
    <w:rsid w:val="00A43142"/>
    <w:rsid w:val="00A43348"/>
    <w:rsid w:val="00A43716"/>
    <w:rsid w:val="00A4395E"/>
    <w:rsid w:val="00A43D1A"/>
    <w:rsid w:val="00A43F56"/>
    <w:rsid w:val="00A43FDC"/>
    <w:rsid w:val="00A4421F"/>
    <w:rsid w:val="00A445F9"/>
    <w:rsid w:val="00A456F8"/>
    <w:rsid w:val="00A45DA7"/>
    <w:rsid w:val="00A46070"/>
    <w:rsid w:val="00A4631C"/>
    <w:rsid w:val="00A46679"/>
    <w:rsid w:val="00A46971"/>
    <w:rsid w:val="00A46FD8"/>
    <w:rsid w:val="00A47DD8"/>
    <w:rsid w:val="00A50A96"/>
    <w:rsid w:val="00A51607"/>
    <w:rsid w:val="00A51EB8"/>
    <w:rsid w:val="00A51F46"/>
    <w:rsid w:val="00A52049"/>
    <w:rsid w:val="00A5305A"/>
    <w:rsid w:val="00A53844"/>
    <w:rsid w:val="00A539CE"/>
    <w:rsid w:val="00A53C56"/>
    <w:rsid w:val="00A54620"/>
    <w:rsid w:val="00A54FF0"/>
    <w:rsid w:val="00A55D87"/>
    <w:rsid w:val="00A577C4"/>
    <w:rsid w:val="00A57C78"/>
    <w:rsid w:val="00A60373"/>
    <w:rsid w:val="00A611B3"/>
    <w:rsid w:val="00A61983"/>
    <w:rsid w:val="00A62399"/>
    <w:rsid w:val="00A62444"/>
    <w:rsid w:val="00A62E16"/>
    <w:rsid w:val="00A63037"/>
    <w:rsid w:val="00A63B83"/>
    <w:rsid w:val="00A63D3F"/>
    <w:rsid w:val="00A63FD0"/>
    <w:rsid w:val="00A640F4"/>
    <w:rsid w:val="00A64BDF"/>
    <w:rsid w:val="00A64FA0"/>
    <w:rsid w:val="00A655E5"/>
    <w:rsid w:val="00A655FC"/>
    <w:rsid w:val="00A66039"/>
    <w:rsid w:val="00A66E4C"/>
    <w:rsid w:val="00A671F2"/>
    <w:rsid w:val="00A67827"/>
    <w:rsid w:val="00A67C8D"/>
    <w:rsid w:val="00A700FC"/>
    <w:rsid w:val="00A7034B"/>
    <w:rsid w:val="00A704A8"/>
    <w:rsid w:val="00A7108A"/>
    <w:rsid w:val="00A71557"/>
    <w:rsid w:val="00A72720"/>
    <w:rsid w:val="00A7375D"/>
    <w:rsid w:val="00A7442F"/>
    <w:rsid w:val="00A7628F"/>
    <w:rsid w:val="00A76473"/>
    <w:rsid w:val="00A771B0"/>
    <w:rsid w:val="00A7748D"/>
    <w:rsid w:val="00A776A8"/>
    <w:rsid w:val="00A778E6"/>
    <w:rsid w:val="00A77C55"/>
    <w:rsid w:val="00A77F76"/>
    <w:rsid w:val="00A80583"/>
    <w:rsid w:val="00A80B95"/>
    <w:rsid w:val="00A8177F"/>
    <w:rsid w:val="00A83097"/>
    <w:rsid w:val="00A83ED1"/>
    <w:rsid w:val="00A849D0"/>
    <w:rsid w:val="00A85149"/>
    <w:rsid w:val="00A8559E"/>
    <w:rsid w:val="00A8586F"/>
    <w:rsid w:val="00A85DC8"/>
    <w:rsid w:val="00A85F03"/>
    <w:rsid w:val="00A86436"/>
    <w:rsid w:val="00A864F1"/>
    <w:rsid w:val="00A86620"/>
    <w:rsid w:val="00A87836"/>
    <w:rsid w:val="00A87E0B"/>
    <w:rsid w:val="00A87F1E"/>
    <w:rsid w:val="00A90610"/>
    <w:rsid w:val="00A907DF"/>
    <w:rsid w:val="00A90AEF"/>
    <w:rsid w:val="00A91665"/>
    <w:rsid w:val="00A918A0"/>
    <w:rsid w:val="00A91AE5"/>
    <w:rsid w:val="00A91C4A"/>
    <w:rsid w:val="00A91F92"/>
    <w:rsid w:val="00A9252C"/>
    <w:rsid w:val="00A92C66"/>
    <w:rsid w:val="00A92E38"/>
    <w:rsid w:val="00A9329F"/>
    <w:rsid w:val="00A936F8"/>
    <w:rsid w:val="00A93F77"/>
    <w:rsid w:val="00A9445D"/>
    <w:rsid w:val="00A94627"/>
    <w:rsid w:val="00A949F5"/>
    <w:rsid w:val="00A951DE"/>
    <w:rsid w:val="00A95751"/>
    <w:rsid w:val="00A958E5"/>
    <w:rsid w:val="00A95D1A"/>
    <w:rsid w:val="00A967B8"/>
    <w:rsid w:val="00A96AE0"/>
    <w:rsid w:val="00A97E79"/>
    <w:rsid w:val="00AA01AD"/>
    <w:rsid w:val="00AA02E1"/>
    <w:rsid w:val="00AA0429"/>
    <w:rsid w:val="00AA12C0"/>
    <w:rsid w:val="00AA1572"/>
    <w:rsid w:val="00AA2104"/>
    <w:rsid w:val="00AA23F0"/>
    <w:rsid w:val="00AA2AF0"/>
    <w:rsid w:val="00AA2D90"/>
    <w:rsid w:val="00AA35A5"/>
    <w:rsid w:val="00AA392A"/>
    <w:rsid w:val="00AA3965"/>
    <w:rsid w:val="00AA44D4"/>
    <w:rsid w:val="00AA4615"/>
    <w:rsid w:val="00AA4B6F"/>
    <w:rsid w:val="00AA4C0D"/>
    <w:rsid w:val="00AA4C9A"/>
    <w:rsid w:val="00AA504B"/>
    <w:rsid w:val="00AA578C"/>
    <w:rsid w:val="00AA5F9E"/>
    <w:rsid w:val="00AA6445"/>
    <w:rsid w:val="00AA6CE4"/>
    <w:rsid w:val="00AA6DB3"/>
    <w:rsid w:val="00AB0A54"/>
    <w:rsid w:val="00AB1057"/>
    <w:rsid w:val="00AB12A8"/>
    <w:rsid w:val="00AB13B7"/>
    <w:rsid w:val="00AB1555"/>
    <w:rsid w:val="00AB1F65"/>
    <w:rsid w:val="00AB2A02"/>
    <w:rsid w:val="00AB3E8C"/>
    <w:rsid w:val="00AB4327"/>
    <w:rsid w:val="00AB477C"/>
    <w:rsid w:val="00AB5492"/>
    <w:rsid w:val="00AB56DE"/>
    <w:rsid w:val="00AB616E"/>
    <w:rsid w:val="00AB6AE1"/>
    <w:rsid w:val="00AB6C3A"/>
    <w:rsid w:val="00AB7E99"/>
    <w:rsid w:val="00AC0951"/>
    <w:rsid w:val="00AC0B51"/>
    <w:rsid w:val="00AC129B"/>
    <w:rsid w:val="00AC1CB9"/>
    <w:rsid w:val="00AC1D8E"/>
    <w:rsid w:val="00AC258D"/>
    <w:rsid w:val="00AC26B3"/>
    <w:rsid w:val="00AC3952"/>
    <w:rsid w:val="00AC3E8B"/>
    <w:rsid w:val="00AC45A6"/>
    <w:rsid w:val="00AC4A55"/>
    <w:rsid w:val="00AC4D5F"/>
    <w:rsid w:val="00AC51F1"/>
    <w:rsid w:val="00AC5430"/>
    <w:rsid w:val="00AC5EB5"/>
    <w:rsid w:val="00AC6072"/>
    <w:rsid w:val="00AC62C4"/>
    <w:rsid w:val="00AC6A01"/>
    <w:rsid w:val="00AC6A54"/>
    <w:rsid w:val="00AC6B49"/>
    <w:rsid w:val="00AC6B54"/>
    <w:rsid w:val="00AC6C4F"/>
    <w:rsid w:val="00AC7056"/>
    <w:rsid w:val="00AC73AF"/>
    <w:rsid w:val="00AC7AB5"/>
    <w:rsid w:val="00AD081F"/>
    <w:rsid w:val="00AD0BB8"/>
    <w:rsid w:val="00AD11F5"/>
    <w:rsid w:val="00AD14B5"/>
    <w:rsid w:val="00AD1577"/>
    <w:rsid w:val="00AD1CEE"/>
    <w:rsid w:val="00AD21D6"/>
    <w:rsid w:val="00AD280C"/>
    <w:rsid w:val="00AD2C93"/>
    <w:rsid w:val="00AD2F10"/>
    <w:rsid w:val="00AD394B"/>
    <w:rsid w:val="00AD3CA6"/>
    <w:rsid w:val="00AD4360"/>
    <w:rsid w:val="00AD4F37"/>
    <w:rsid w:val="00AD5171"/>
    <w:rsid w:val="00AD51DD"/>
    <w:rsid w:val="00AD5592"/>
    <w:rsid w:val="00AD5ED3"/>
    <w:rsid w:val="00AD5F7C"/>
    <w:rsid w:val="00AD63E9"/>
    <w:rsid w:val="00AD73D3"/>
    <w:rsid w:val="00AD745D"/>
    <w:rsid w:val="00AD748B"/>
    <w:rsid w:val="00AD7BB6"/>
    <w:rsid w:val="00AE2156"/>
    <w:rsid w:val="00AE237C"/>
    <w:rsid w:val="00AE2BC6"/>
    <w:rsid w:val="00AE3195"/>
    <w:rsid w:val="00AE325E"/>
    <w:rsid w:val="00AE4087"/>
    <w:rsid w:val="00AE43C5"/>
    <w:rsid w:val="00AE59F4"/>
    <w:rsid w:val="00AE5CF2"/>
    <w:rsid w:val="00AE6ED5"/>
    <w:rsid w:val="00AF0AE3"/>
    <w:rsid w:val="00AF17EA"/>
    <w:rsid w:val="00AF1D9E"/>
    <w:rsid w:val="00AF1DBE"/>
    <w:rsid w:val="00AF2096"/>
    <w:rsid w:val="00AF237E"/>
    <w:rsid w:val="00AF2B9C"/>
    <w:rsid w:val="00AF3387"/>
    <w:rsid w:val="00AF381D"/>
    <w:rsid w:val="00AF44CB"/>
    <w:rsid w:val="00AF5007"/>
    <w:rsid w:val="00AF50AB"/>
    <w:rsid w:val="00AF5248"/>
    <w:rsid w:val="00AF5533"/>
    <w:rsid w:val="00AF5ED2"/>
    <w:rsid w:val="00AF6017"/>
    <w:rsid w:val="00AF6575"/>
    <w:rsid w:val="00B00685"/>
    <w:rsid w:val="00B01061"/>
    <w:rsid w:val="00B01448"/>
    <w:rsid w:val="00B0153B"/>
    <w:rsid w:val="00B01C7B"/>
    <w:rsid w:val="00B027F2"/>
    <w:rsid w:val="00B03292"/>
    <w:rsid w:val="00B03340"/>
    <w:rsid w:val="00B03563"/>
    <w:rsid w:val="00B0390A"/>
    <w:rsid w:val="00B03ECC"/>
    <w:rsid w:val="00B04957"/>
    <w:rsid w:val="00B0497F"/>
    <w:rsid w:val="00B04B13"/>
    <w:rsid w:val="00B04E8A"/>
    <w:rsid w:val="00B04FA9"/>
    <w:rsid w:val="00B055BF"/>
    <w:rsid w:val="00B05713"/>
    <w:rsid w:val="00B05CA1"/>
    <w:rsid w:val="00B05D11"/>
    <w:rsid w:val="00B05F77"/>
    <w:rsid w:val="00B07B17"/>
    <w:rsid w:val="00B10028"/>
    <w:rsid w:val="00B105B0"/>
    <w:rsid w:val="00B10B0A"/>
    <w:rsid w:val="00B11691"/>
    <w:rsid w:val="00B11E2D"/>
    <w:rsid w:val="00B12DB8"/>
    <w:rsid w:val="00B12FD4"/>
    <w:rsid w:val="00B13419"/>
    <w:rsid w:val="00B135DB"/>
    <w:rsid w:val="00B13929"/>
    <w:rsid w:val="00B13D3B"/>
    <w:rsid w:val="00B13FC0"/>
    <w:rsid w:val="00B1427C"/>
    <w:rsid w:val="00B145BD"/>
    <w:rsid w:val="00B14623"/>
    <w:rsid w:val="00B146E4"/>
    <w:rsid w:val="00B147EE"/>
    <w:rsid w:val="00B14A0E"/>
    <w:rsid w:val="00B14B4B"/>
    <w:rsid w:val="00B14BD2"/>
    <w:rsid w:val="00B14C7C"/>
    <w:rsid w:val="00B15172"/>
    <w:rsid w:val="00B1559F"/>
    <w:rsid w:val="00B1594D"/>
    <w:rsid w:val="00B15A3F"/>
    <w:rsid w:val="00B16731"/>
    <w:rsid w:val="00B16B4C"/>
    <w:rsid w:val="00B16F41"/>
    <w:rsid w:val="00B220F1"/>
    <w:rsid w:val="00B22D03"/>
    <w:rsid w:val="00B22FED"/>
    <w:rsid w:val="00B2363C"/>
    <w:rsid w:val="00B23B67"/>
    <w:rsid w:val="00B244E3"/>
    <w:rsid w:val="00B25E66"/>
    <w:rsid w:val="00B25EF9"/>
    <w:rsid w:val="00B25FB8"/>
    <w:rsid w:val="00B262E8"/>
    <w:rsid w:val="00B27102"/>
    <w:rsid w:val="00B27492"/>
    <w:rsid w:val="00B278E2"/>
    <w:rsid w:val="00B27C12"/>
    <w:rsid w:val="00B27CC8"/>
    <w:rsid w:val="00B30023"/>
    <w:rsid w:val="00B30028"/>
    <w:rsid w:val="00B300B0"/>
    <w:rsid w:val="00B303AE"/>
    <w:rsid w:val="00B30E01"/>
    <w:rsid w:val="00B3156E"/>
    <w:rsid w:val="00B31A3A"/>
    <w:rsid w:val="00B31B2E"/>
    <w:rsid w:val="00B31C9B"/>
    <w:rsid w:val="00B329A0"/>
    <w:rsid w:val="00B33C7A"/>
    <w:rsid w:val="00B33E77"/>
    <w:rsid w:val="00B3440E"/>
    <w:rsid w:val="00B34690"/>
    <w:rsid w:val="00B34B5D"/>
    <w:rsid w:val="00B34BF6"/>
    <w:rsid w:val="00B35972"/>
    <w:rsid w:val="00B35FAA"/>
    <w:rsid w:val="00B361B7"/>
    <w:rsid w:val="00B36495"/>
    <w:rsid w:val="00B366F1"/>
    <w:rsid w:val="00B37DFA"/>
    <w:rsid w:val="00B40877"/>
    <w:rsid w:val="00B40929"/>
    <w:rsid w:val="00B40F74"/>
    <w:rsid w:val="00B4115F"/>
    <w:rsid w:val="00B412B2"/>
    <w:rsid w:val="00B423D2"/>
    <w:rsid w:val="00B4381A"/>
    <w:rsid w:val="00B43C32"/>
    <w:rsid w:val="00B43EE6"/>
    <w:rsid w:val="00B44195"/>
    <w:rsid w:val="00B44810"/>
    <w:rsid w:val="00B4505C"/>
    <w:rsid w:val="00B457A3"/>
    <w:rsid w:val="00B45F55"/>
    <w:rsid w:val="00B46966"/>
    <w:rsid w:val="00B47C5A"/>
    <w:rsid w:val="00B50AFE"/>
    <w:rsid w:val="00B50DD7"/>
    <w:rsid w:val="00B50DED"/>
    <w:rsid w:val="00B51C42"/>
    <w:rsid w:val="00B51CB7"/>
    <w:rsid w:val="00B52AF5"/>
    <w:rsid w:val="00B52BDD"/>
    <w:rsid w:val="00B52C22"/>
    <w:rsid w:val="00B53432"/>
    <w:rsid w:val="00B54220"/>
    <w:rsid w:val="00B5432A"/>
    <w:rsid w:val="00B54B23"/>
    <w:rsid w:val="00B5521F"/>
    <w:rsid w:val="00B5530B"/>
    <w:rsid w:val="00B55562"/>
    <w:rsid w:val="00B55AB3"/>
    <w:rsid w:val="00B5654D"/>
    <w:rsid w:val="00B5675C"/>
    <w:rsid w:val="00B56E2B"/>
    <w:rsid w:val="00B56FB9"/>
    <w:rsid w:val="00B57AA3"/>
    <w:rsid w:val="00B57AC1"/>
    <w:rsid w:val="00B57D08"/>
    <w:rsid w:val="00B6134A"/>
    <w:rsid w:val="00B6180E"/>
    <w:rsid w:val="00B61DF8"/>
    <w:rsid w:val="00B6259B"/>
    <w:rsid w:val="00B62B6C"/>
    <w:rsid w:val="00B634A3"/>
    <w:rsid w:val="00B63A8F"/>
    <w:rsid w:val="00B63C0C"/>
    <w:rsid w:val="00B643D2"/>
    <w:rsid w:val="00B649C8"/>
    <w:rsid w:val="00B64B3A"/>
    <w:rsid w:val="00B650C8"/>
    <w:rsid w:val="00B65ACA"/>
    <w:rsid w:val="00B65C94"/>
    <w:rsid w:val="00B6691C"/>
    <w:rsid w:val="00B673F4"/>
    <w:rsid w:val="00B675D6"/>
    <w:rsid w:val="00B67A6B"/>
    <w:rsid w:val="00B67C0C"/>
    <w:rsid w:val="00B67EC8"/>
    <w:rsid w:val="00B70B25"/>
    <w:rsid w:val="00B71847"/>
    <w:rsid w:val="00B71C71"/>
    <w:rsid w:val="00B71EB2"/>
    <w:rsid w:val="00B72719"/>
    <w:rsid w:val="00B73279"/>
    <w:rsid w:val="00B73923"/>
    <w:rsid w:val="00B73A6D"/>
    <w:rsid w:val="00B73BEF"/>
    <w:rsid w:val="00B73DD3"/>
    <w:rsid w:val="00B73E1B"/>
    <w:rsid w:val="00B7414E"/>
    <w:rsid w:val="00B74187"/>
    <w:rsid w:val="00B743C0"/>
    <w:rsid w:val="00B743DA"/>
    <w:rsid w:val="00B744F9"/>
    <w:rsid w:val="00B747AE"/>
    <w:rsid w:val="00B74819"/>
    <w:rsid w:val="00B74B1D"/>
    <w:rsid w:val="00B7593E"/>
    <w:rsid w:val="00B76044"/>
    <w:rsid w:val="00B76117"/>
    <w:rsid w:val="00B765A7"/>
    <w:rsid w:val="00B76F83"/>
    <w:rsid w:val="00B7737D"/>
    <w:rsid w:val="00B77EFA"/>
    <w:rsid w:val="00B77F94"/>
    <w:rsid w:val="00B80136"/>
    <w:rsid w:val="00B80E02"/>
    <w:rsid w:val="00B815F8"/>
    <w:rsid w:val="00B817B6"/>
    <w:rsid w:val="00B81F93"/>
    <w:rsid w:val="00B8211A"/>
    <w:rsid w:val="00B8232E"/>
    <w:rsid w:val="00B83077"/>
    <w:rsid w:val="00B83FF7"/>
    <w:rsid w:val="00B8660D"/>
    <w:rsid w:val="00B867C6"/>
    <w:rsid w:val="00B867F4"/>
    <w:rsid w:val="00B86D57"/>
    <w:rsid w:val="00B8736E"/>
    <w:rsid w:val="00B87782"/>
    <w:rsid w:val="00B87C07"/>
    <w:rsid w:val="00B908FD"/>
    <w:rsid w:val="00B90A32"/>
    <w:rsid w:val="00B9138E"/>
    <w:rsid w:val="00B914BE"/>
    <w:rsid w:val="00B91645"/>
    <w:rsid w:val="00B91D93"/>
    <w:rsid w:val="00B91DE4"/>
    <w:rsid w:val="00B925AF"/>
    <w:rsid w:val="00B92745"/>
    <w:rsid w:val="00B92985"/>
    <w:rsid w:val="00B9366D"/>
    <w:rsid w:val="00B93680"/>
    <w:rsid w:val="00B93B26"/>
    <w:rsid w:val="00B93D63"/>
    <w:rsid w:val="00B94303"/>
    <w:rsid w:val="00B94469"/>
    <w:rsid w:val="00B94941"/>
    <w:rsid w:val="00B955D2"/>
    <w:rsid w:val="00B95A9E"/>
    <w:rsid w:val="00B95AEC"/>
    <w:rsid w:val="00B968D1"/>
    <w:rsid w:val="00B971FE"/>
    <w:rsid w:val="00B9786C"/>
    <w:rsid w:val="00BA0E41"/>
    <w:rsid w:val="00BA1CC1"/>
    <w:rsid w:val="00BA1EE6"/>
    <w:rsid w:val="00BA2013"/>
    <w:rsid w:val="00BA26D6"/>
    <w:rsid w:val="00BA3E5E"/>
    <w:rsid w:val="00BA4433"/>
    <w:rsid w:val="00BA4A35"/>
    <w:rsid w:val="00BA4DC4"/>
    <w:rsid w:val="00BA5770"/>
    <w:rsid w:val="00BA7019"/>
    <w:rsid w:val="00BA763C"/>
    <w:rsid w:val="00BA7A2B"/>
    <w:rsid w:val="00BB04E6"/>
    <w:rsid w:val="00BB0D0C"/>
    <w:rsid w:val="00BB15F8"/>
    <w:rsid w:val="00BB2DF1"/>
    <w:rsid w:val="00BB3B38"/>
    <w:rsid w:val="00BB3BCB"/>
    <w:rsid w:val="00BB4E6A"/>
    <w:rsid w:val="00BB5306"/>
    <w:rsid w:val="00BB58E2"/>
    <w:rsid w:val="00BB6A20"/>
    <w:rsid w:val="00BB6BBF"/>
    <w:rsid w:val="00BB6FB3"/>
    <w:rsid w:val="00BB7181"/>
    <w:rsid w:val="00BB79D3"/>
    <w:rsid w:val="00BB7C4D"/>
    <w:rsid w:val="00BB7FDB"/>
    <w:rsid w:val="00BC054B"/>
    <w:rsid w:val="00BC0748"/>
    <w:rsid w:val="00BC0E30"/>
    <w:rsid w:val="00BC1512"/>
    <w:rsid w:val="00BC163E"/>
    <w:rsid w:val="00BC2D8F"/>
    <w:rsid w:val="00BC31DA"/>
    <w:rsid w:val="00BC3B96"/>
    <w:rsid w:val="00BC3DB8"/>
    <w:rsid w:val="00BC3E35"/>
    <w:rsid w:val="00BC3EED"/>
    <w:rsid w:val="00BC408F"/>
    <w:rsid w:val="00BC44C6"/>
    <w:rsid w:val="00BC4709"/>
    <w:rsid w:val="00BC56D7"/>
    <w:rsid w:val="00BC6651"/>
    <w:rsid w:val="00BC66E0"/>
    <w:rsid w:val="00BC6A21"/>
    <w:rsid w:val="00BC6B79"/>
    <w:rsid w:val="00BC72DA"/>
    <w:rsid w:val="00BD02B0"/>
    <w:rsid w:val="00BD0749"/>
    <w:rsid w:val="00BD0915"/>
    <w:rsid w:val="00BD12D7"/>
    <w:rsid w:val="00BD1BFB"/>
    <w:rsid w:val="00BD1D9E"/>
    <w:rsid w:val="00BD2453"/>
    <w:rsid w:val="00BD27F3"/>
    <w:rsid w:val="00BD2A49"/>
    <w:rsid w:val="00BD3028"/>
    <w:rsid w:val="00BD363A"/>
    <w:rsid w:val="00BD38C9"/>
    <w:rsid w:val="00BD4577"/>
    <w:rsid w:val="00BD467A"/>
    <w:rsid w:val="00BD501D"/>
    <w:rsid w:val="00BD5261"/>
    <w:rsid w:val="00BD6D0D"/>
    <w:rsid w:val="00BD6D33"/>
    <w:rsid w:val="00BD7DDA"/>
    <w:rsid w:val="00BE0B88"/>
    <w:rsid w:val="00BE115E"/>
    <w:rsid w:val="00BE1DC2"/>
    <w:rsid w:val="00BE29CB"/>
    <w:rsid w:val="00BE2A4B"/>
    <w:rsid w:val="00BE319B"/>
    <w:rsid w:val="00BE32A9"/>
    <w:rsid w:val="00BE3B38"/>
    <w:rsid w:val="00BE3B60"/>
    <w:rsid w:val="00BE3E76"/>
    <w:rsid w:val="00BE4197"/>
    <w:rsid w:val="00BE4475"/>
    <w:rsid w:val="00BE474D"/>
    <w:rsid w:val="00BE53F7"/>
    <w:rsid w:val="00BE567C"/>
    <w:rsid w:val="00BE7FD4"/>
    <w:rsid w:val="00BF08F5"/>
    <w:rsid w:val="00BF09D0"/>
    <w:rsid w:val="00BF0C33"/>
    <w:rsid w:val="00BF0D5B"/>
    <w:rsid w:val="00BF0DA6"/>
    <w:rsid w:val="00BF0E4C"/>
    <w:rsid w:val="00BF0F46"/>
    <w:rsid w:val="00BF1831"/>
    <w:rsid w:val="00BF18B3"/>
    <w:rsid w:val="00BF1B8E"/>
    <w:rsid w:val="00BF218A"/>
    <w:rsid w:val="00BF25A9"/>
    <w:rsid w:val="00BF2F17"/>
    <w:rsid w:val="00BF3B39"/>
    <w:rsid w:val="00BF3EB6"/>
    <w:rsid w:val="00BF3FC8"/>
    <w:rsid w:val="00BF43AB"/>
    <w:rsid w:val="00BF45E9"/>
    <w:rsid w:val="00BF460F"/>
    <w:rsid w:val="00BF4E54"/>
    <w:rsid w:val="00BF4ED9"/>
    <w:rsid w:val="00BF5380"/>
    <w:rsid w:val="00BF5766"/>
    <w:rsid w:val="00BF6259"/>
    <w:rsid w:val="00BF7D03"/>
    <w:rsid w:val="00BF7EC9"/>
    <w:rsid w:val="00C0195D"/>
    <w:rsid w:val="00C01B7D"/>
    <w:rsid w:val="00C02205"/>
    <w:rsid w:val="00C02274"/>
    <w:rsid w:val="00C02470"/>
    <w:rsid w:val="00C0274E"/>
    <w:rsid w:val="00C02E15"/>
    <w:rsid w:val="00C02EA1"/>
    <w:rsid w:val="00C03353"/>
    <w:rsid w:val="00C04719"/>
    <w:rsid w:val="00C04CC5"/>
    <w:rsid w:val="00C05354"/>
    <w:rsid w:val="00C0558D"/>
    <w:rsid w:val="00C05636"/>
    <w:rsid w:val="00C05F47"/>
    <w:rsid w:val="00C06599"/>
    <w:rsid w:val="00C065ED"/>
    <w:rsid w:val="00C0676D"/>
    <w:rsid w:val="00C06BFE"/>
    <w:rsid w:val="00C06C43"/>
    <w:rsid w:val="00C06C47"/>
    <w:rsid w:val="00C07425"/>
    <w:rsid w:val="00C074FE"/>
    <w:rsid w:val="00C07DB5"/>
    <w:rsid w:val="00C114AC"/>
    <w:rsid w:val="00C11884"/>
    <w:rsid w:val="00C1213D"/>
    <w:rsid w:val="00C1213F"/>
    <w:rsid w:val="00C1242B"/>
    <w:rsid w:val="00C129AD"/>
    <w:rsid w:val="00C12E63"/>
    <w:rsid w:val="00C13394"/>
    <w:rsid w:val="00C13B0E"/>
    <w:rsid w:val="00C13F57"/>
    <w:rsid w:val="00C143C5"/>
    <w:rsid w:val="00C14606"/>
    <w:rsid w:val="00C14905"/>
    <w:rsid w:val="00C155D1"/>
    <w:rsid w:val="00C15735"/>
    <w:rsid w:val="00C15957"/>
    <w:rsid w:val="00C15EEB"/>
    <w:rsid w:val="00C176E8"/>
    <w:rsid w:val="00C17739"/>
    <w:rsid w:val="00C17B1F"/>
    <w:rsid w:val="00C17CAC"/>
    <w:rsid w:val="00C17E07"/>
    <w:rsid w:val="00C17E0A"/>
    <w:rsid w:val="00C20A4B"/>
    <w:rsid w:val="00C20B61"/>
    <w:rsid w:val="00C21152"/>
    <w:rsid w:val="00C21C3C"/>
    <w:rsid w:val="00C22230"/>
    <w:rsid w:val="00C22405"/>
    <w:rsid w:val="00C22846"/>
    <w:rsid w:val="00C22976"/>
    <w:rsid w:val="00C2328A"/>
    <w:rsid w:val="00C2358B"/>
    <w:rsid w:val="00C236B8"/>
    <w:rsid w:val="00C24D5C"/>
    <w:rsid w:val="00C24EBF"/>
    <w:rsid w:val="00C24ED0"/>
    <w:rsid w:val="00C25148"/>
    <w:rsid w:val="00C2552D"/>
    <w:rsid w:val="00C25543"/>
    <w:rsid w:val="00C25B9A"/>
    <w:rsid w:val="00C25FF3"/>
    <w:rsid w:val="00C2601A"/>
    <w:rsid w:val="00C2677A"/>
    <w:rsid w:val="00C26D5F"/>
    <w:rsid w:val="00C26E09"/>
    <w:rsid w:val="00C27307"/>
    <w:rsid w:val="00C30C47"/>
    <w:rsid w:val="00C30DB2"/>
    <w:rsid w:val="00C31DC7"/>
    <w:rsid w:val="00C32177"/>
    <w:rsid w:val="00C326E0"/>
    <w:rsid w:val="00C32A1F"/>
    <w:rsid w:val="00C334EB"/>
    <w:rsid w:val="00C340DB"/>
    <w:rsid w:val="00C34870"/>
    <w:rsid w:val="00C34FCE"/>
    <w:rsid w:val="00C35204"/>
    <w:rsid w:val="00C35AF4"/>
    <w:rsid w:val="00C36458"/>
    <w:rsid w:val="00C368A7"/>
    <w:rsid w:val="00C36916"/>
    <w:rsid w:val="00C37394"/>
    <w:rsid w:val="00C37C6E"/>
    <w:rsid w:val="00C37D29"/>
    <w:rsid w:val="00C40171"/>
    <w:rsid w:val="00C40DA3"/>
    <w:rsid w:val="00C41204"/>
    <w:rsid w:val="00C415EA"/>
    <w:rsid w:val="00C41DC6"/>
    <w:rsid w:val="00C421AC"/>
    <w:rsid w:val="00C4268E"/>
    <w:rsid w:val="00C429F2"/>
    <w:rsid w:val="00C42A8E"/>
    <w:rsid w:val="00C42AB3"/>
    <w:rsid w:val="00C43291"/>
    <w:rsid w:val="00C447E6"/>
    <w:rsid w:val="00C45280"/>
    <w:rsid w:val="00C45317"/>
    <w:rsid w:val="00C453ED"/>
    <w:rsid w:val="00C4555A"/>
    <w:rsid w:val="00C45D7E"/>
    <w:rsid w:val="00C46113"/>
    <w:rsid w:val="00C4651B"/>
    <w:rsid w:val="00C470C2"/>
    <w:rsid w:val="00C4760B"/>
    <w:rsid w:val="00C47A5A"/>
    <w:rsid w:val="00C47E8F"/>
    <w:rsid w:val="00C501A4"/>
    <w:rsid w:val="00C50F88"/>
    <w:rsid w:val="00C51468"/>
    <w:rsid w:val="00C51C7C"/>
    <w:rsid w:val="00C521BB"/>
    <w:rsid w:val="00C52478"/>
    <w:rsid w:val="00C5249D"/>
    <w:rsid w:val="00C5266A"/>
    <w:rsid w:val="00C52BE1"/>
    <w:rsid w:val="00C53030"/>
    <w:rsid w:val="00C530B7"/>
    <w:rsid w:val="00C5473C"/>
    <w:rsid w:val="00C54CBD"/>
    <w:rsid w:val="00C54D5D"/>
    <w:rsid w:val="00C555AC"/>
    <w:rsid w:val="00C564C0"/>
    <w:rsid w:val="00C564C6"/>
    <w:rsid w:val="00C567EB"/>
    <w:rsid w:val="00C56E01"/>
    <w:rsid w:val="00C57526"/>
    <w:rsid w:val="00C60166"/>
    <w:rsid w:val="00C602C7"/>
    <w:rsid w:val="00C60A13"/>
    <w:rsid w:val="00C60A59"/>
    <w:rsid w:val="00C60C8C"/>
    <w:rsid w:val="00C614AB"/>
    <w:rsid w:val="00C62145"/>
    <w:rsid w:val="00C62211"/>
    <w:rsid w:val="00C62A83"/>
    <w:rsid w:val="00C632A1"/>
    <w:rsid w:val="00C63DAB"/>
    <w:rsid w:val="00C640A8"/>
    <w:rsid w:val="00C645B9"/>
    <w:rsid w:val="00C64D0C"/>
    <w:rsid w:val="00C65384"/>
    <w:rsid w:val="00C65763"/>
    <w:rsid w:val="00C65DF2"/>
    <w:rsid w:val="00C66D78"/>
    <w:rsid w:val="00C66D7D"/>
    <w:rsid w:val="00C6714D"/>
    <w:rsid w:val="00C67928"/>
    <w:rsid w:val="00C67AA1"/>
    <w:rsid w:val="00C70E46"/>
    <w:rsid w:val="00C713AB"/>
    <w:rsid w:val="00C713E7"/>
    <w:rsid w:val="00C72498"/>
    <w:rsid w:val="00C72632"/>
    <w:rsid w:val="00C72E59"/>
    <w:rsid w:val="00C7331E"/>
    <w:rsid w:val="00C73830"/>
    <w:rsid w:val="00C73BC3"/>
    <w:rsid w:val="00C74D74"/>
    <w:rsid w:val="00C75457"/>
    <w:rsid w:val="00C758B3"/>
    <w:rsid w:val="00C75C78"/>
    <w:rsid w:val="00C75E8C"/>
    <w:rsid w:val="00C7605F"/>
    <w:rsid w:val="00C7608C"/>
    <w:rsid w:val="00C76D92"/>
    <w:rsid w:val="00C77B7B"/>
    <w:rsid w:val="00C800E5"/>
    <w:rsid w:val="00C80434"/>
    <w:rsid w:val="00C8081F"/>
    <w:rsid w:val="00C80A58"/>
    <w:rsid w:val="00C80DF2"/>
    <w:rsid w:val="00C815A4"/>
    <w:rsid w:val="00C82B77"/>
    <w:rsid w:val="00C8385E"/>
    <w:rsid w:val="00C846B5"/>
    <w:rsid w:val="00C846BB"/>
    <w:rsid w:val="00C847DB"/>
    <w:rsid w:val="00C84D76"/>
    <w:rsid w:val="00C84F3E"/>
    <w:rsid w:val="00C85B18"/>
    <w:rsid w:val="00C85E67"/>
    <w:rsid w:val="00C866AE"/>
    <w:rsid w:val="00C86730"/>
    <w:rsid w:val="00C86ADC"/>
    <w:rsid w:val="00C86BBE"/>
    <w:rsid w:val="00C86FAF"/>
    <w:rsid w:val="00C8743A"/>
    <w:rsid w:val="00C8762A"/>
    <w:rsid w:val="00C87B63"/>
    <w:rsid w:val="00C87BFD"/>
    <w:rsid w:val="00C905B0"/>
    <w:rsid w:val="00C907A6"/>
    <w:rsid w:val="00C91182"/>
    <w:rsid w:val="00C9123F"/>
    <w:rsid w:val="00C93176"/>
    <w:rsid w:val="00C936EA"/>
    <w:rsid w:val="00C93DF5"/>
    <w:rsid w:val="00C9496B"/>
    <w:rsid w:val="00C94CF5"/>
    <w:rsid w:val="00C94F5B"/>
    <w:rsid w:val="00C95730"/>
    <w:rsid w:val="00C95779"/>
    <w:rsid w:val="00C9595E"/>
    <w:rsid w:val="00C95A0D"/>
    <w:rsid w:val="00C96181"/>
    <w:rsid w:val="00C963E3"/>
    <w:rsid w:val="00C967CD"/>
    <w:rsid w:val="00C96FD7"/>
    <w:rsid w:val="00C97621"/>
    <w:rsid w:val="00C97A62"/>
    <w:rsid w:val="00C97DF8"/>
    <w:rsid w:val="00CA0AC1"/>
    <w:rsid w:val="00CA1628"/>
    <w:rsid w:val="00CA1D73"/>
    <w:rsid w:val="00CA1FE4"/>
    <w:rsid w:val="00CA2D2B"/>
    <w:rsid w:val="00CA2FBF"/>
    <w:rsid w:val="00CA2FE1"/>
    <w:rsid w:val="00CA30EE"/>
    <w:rsid w:val="00CA335B"/>
    <w:rsid w:val="00CA3436"/>
    <w:rsid w:val="00CA3C18"/>
    <w:rsid w:val="00CA3C5D"/>
    <w:rsid w:val="00CA43FF"/>
    <w:rsid w:val="00CA544C"/>
    <w:rsid w:val="00CA5BEA"/>
    <w:rsid w:val="00CA6AEE"/>
    <w:rsid w:val="00CA771C"/>
    <w:rsid w:val="00CB0331"/>
    <w:rsid w:val="00CB042A"/>
    <w:rsid w:val="00CB0E61"/>
    <w:rsid w:val="00CB105B"/>
    <w:rsid w:val="00CB132C"/>
    <w:rsid w:val="00CB179B"/>
    <w:rsid w:val="00CB187D"/>
    <w:rsid w:val="00CB1C2B"/>
    <w:rsid w:val="00CB1CF0"/>
    <w:rsid w:val="00CB22B4"/>
    <w:rsid w:val="00CB2CC6"/>
    <w:rsid w:val="00CB4EC5"/>
    <w:rsid w:val="00CB4F02"/>
    <w:rsid w:val="00CB4F2D"/>
    <w:rsid w:val="00CB5135"/>
    <w:rsid w:val="00CB5A5C"/>
    <w:rsid w:val="00CB5EC3"/>
    <w:rsid w:val="00CB601E"/>
    <w:rsid w:val="00CB690C"/>
    <w:rsid w:val="00CB6966"/>
    <w:rsid w:val="00CB6AE6"/>
    <w:rsid w:val="00CB77EF"/>
    <w:rsid w:val="00CB7807"/>
    <w:rsid w:val="00CC0251"/>
    <w:rsid w:val="00CC0369"/>
    <w:rsid w:val="00CC12A6"/>
    <w:rsid w:val="00CC2008"/>
    <w:rsid w:val="00CC2333"/>
    <w:rsid w:val="00CC2903"/>
    <w:rsid w:val="00CC2CDC"/>
    <w:rsid w:val="00CC31FB"/>
    <w:rsid w:val="00CC3C72"/>
    <w:rsid w:val="00CC4A35"/>
    <w:rsid w:val="00CC4DC2"/>
    <w:rsid w:val="00CC5A92"/>
    <w:rsid w:val="00CC60D0"/>
    <w:rsid w:val="00CC6AC2"/>
    <w:rsid w:val="00CC6D18"/>
    <w:rsid w:val="00CC76FB"/>
    <w:rsid w:val="00CC7968"/>
    <w:rsid w:val="00CC7A40"/>
    <w:rsid w:val="00CC7ADF"/>
    <w:rsid w:val="00CC7D9A"/>
    <w:rsid w:val="00CC7F58"/>
    <w:rsid w:val="00CD0C47"/>
    <w:rsid w:val="00CD126D"/>
    <w:rsid w:val="00CD15A8"/>
    <w:rsid w:val="00CD1C75"/>
    <w:rsid w:val="00CD2598"/>
    <w:rsid w:val="00CD2723"/>
    <w:rsid w:val="00CD28E5"/>
    <w:rsid w:val="00CD29DA"/>
    <w:rsid w:val="00CD2AE1"/>
    <w:rsid w:val="00CD33EF"/>
    <w:rsid w:val="00CD3CBB"/>
    <w:rsid w:val="00CD496D"/>
    <w:rsid w:val="00CD548E"/>
    <w:rsid w:val="00CD5989"/>
    <w:rsid w:val="00CD5D25"/>
    <w:rsid w:val="00CD6456"/>
    <w:rsid w:val="00CD651B"/>
    <w:rsid w:val="00CD6673"/>
    <w:rsid w:val="00CD7108"/>
    <w:rsid w:val="00CD74A2"/>
    <w:rsid w:val="00CD775D"/>
    <w:rsid w:val="00CE0029"/>
    <w:rsid w:val="00CE0CE7"/>
    <w:rsid w:val="00CE15BB"/>
    <w:rsid w:val="00CE181E"/>
    <w:rsid w:val="00CE20B1"/>
    <w:rsid w:val="00CE2178"/>
    <w:rsid w:val="00CE3587"/>
    <w:rsid w:val="00CE38E2"/>
    <w:rsid w:val="00CE3F63"/>
    <w:rsid w:val="00CE444F"/>
    <w:rsid w:val="00CE5120"/>
    <w:rsid w:val="00CE54A3"/>
    <w:rsid w:val="00CE5711"/>
    <w:rsid w:val="00CE63CC"/>
    <w:rsid w:val="00CE6958"/>
    <w:rsid w:val="00CE6BCD"/>
    <w:rsid w:val="00CE7A17"/>
    <w:rsid w:val="00CE7F34"/>
    <w:rsid w:val="00CF00BC"/>
    <w:rsid w:val="00CF0197"/>
    <w:rsid w:val="00CF0A2C"/>
    <w:rsid w:val="00CF0AFB"/>
    <w:rsid w:val="00CF15A3"/>
    <w:rsid w:val="00CF165A"/>
    <w:rsid w:val="00CF1743"/>
    <w:rsid w:val="00CF3A77"/>
    <w:rsid w:val="00CF3B11"/>
    <w:rsid w:val="00CF4230"/>
    <w:rsid w:val="00CF48B7"/>
    <w:rsid w:val="00CF4CB0"/>
    <w:rsid w:val="00CF4CED"/>
    <w:rsid w:val="00CF4EF0"/>
    <w:rsid w:val="00CF5610"/>
    <w:rsid w:val="00CF570B"/>
    <w:rsid w:val="00CF5E53"/>
    <w:rsid w:val="00CF64C6"/>
    <w:rsid w:val="00CF64D9"/>
    <w:rsid w:val="00CF686D"/>
    <w:rsid w:val="00CF69FC"/>
    <w:rsid w:val="00CF6E37"/>
    <w:rsid w:val="00CF6F97"/>
    <w:rsid w:val="00CF70CF"/>
    <w:rsid w:val="00CF73F2"/>
    <w:rsid w:val="00CF770C"/>
    <w:rsid w:val="00D01DF8"/>
    <w:rsid w:val="00D02020"/>
    <w:rsid w:val="00D021FC"/>
    <w:rsid w:val="00D02873"/>
    <w:rsid w:val="00D02BCF"/>
    <w:rsid w:val="00D02DEB"/>
    <w:rsid w:val="00D02E6F"/>
    <w:rsid w:val="00D02FC1"/>
    <w:rsid w:val="00D03CBB"/>
    <w:rsid w:val="00D03D20"/>
    <w:rsid w:val="00D05171"/>
    <w:rsid w:val="00D0534A"/>
    <w:rsid w:val="00D05AE9"/>
    <w:rsid w:val="00D05E84"/>
    <w:rsid w:val="00D063F9"/>
    <w:rsid w:val="00D07174"/>
    <w:rsid w:val="00D0784D"/>
    <w:rsid w:val="00D07B18"/>
    <w:rsid w:val="00D07B84"/>
    <w:rsid w:val="00D10B56"/>
    <w:rsid w:val="00D10D39"/>
    <w:rsid w:val="00D10D74"/>
    <w:rsid w:val="00D10F7F"/>
    <w:rsid w:val="00D11072"/>
    <w:rsid w:val="00D111BA"/>
    <w:rsid w:val="00D12E88"/>
    <w:rsid w:val="00D1314F"/>
    <w:rsid w:val="00D1318B"/>
    <w:rsid w:val="00D134B0"/>
    <w:rsid w:val="00D136FD"/>
    <w:rsid w:val="00D137F8"/>
    <w:rsid w:val="00D13E17"/>
    <w:rsid w:val="00D14C7B"/>
    <w:rsid w:val="00D1596F"/>
    <w:rsid w:val="00D1641C"/>
    <w:rsid w:val="00D164F7"/>
    <w:rsid w:val="00D16C2A"/>
    <w:rsid w:val="00D16DAA"/>
    <w:rsid w:val="00D16DBF"/>
    <w:rsid w:val="00D16F39"/>
    <w:rsid w:val="00D1786D"/>
    <w:rsid w:val="00D17A9C"/>
    <w:rsid w:val="00D17AC7"/>
    <w:rsid w:val="00D2146E"/>
    <w:rsid w:val="00D219E0"/>
    <w:rsid w:val="00D22002"/>
    <w:rsid w:val="00D22395"/>
    <w:rsid w:val="00D22712"/>
    <w:rsid w:val="00D2300B"/>
    <w:rsid w:val="00D233E3"/>
    <w:rsid w:val="00D23620"/>
    <w:rsid w:val="00D2402C"/>
    <w:rsid w:val="00D2463F"/>
    <w:rsid w:val="00D246AB"/>
    <w:rsid w:val="00D24CFE"/>
    <w:rsid w:val="00D24D1C"/>
    <w:rsid w:val="00D25017"/>
    <w:rsid w:val="00D25253"/>
    <w:rsid w:val="00D25D9E"/>
    <w:rsid w:val="00D26533"/>
    <w:rsid w:val="00D30A29"/>
    <w:rsid w:val="00D31363"/>
    <w:rsid w:val="00D31A74"/>
    <w:rsid w:val="00D32156"/>
    <w:rsid w:val="00D3231E"/>
    <w:rsid w:val="00D3257A"/>
    <w:rsid w:val="00D326F1"/>
    <w:rsid w:val="00D32E44"/>
    <w:rsid w:val="00D33173"/>
    <w:rsid w:val="00D33328"/>
    <w:rsid w:val="00D33506"/>
    <w:rsid w:val="00D346E3"/>
    <w:rsid w:val="00D3479E"/>
    <w:rsid w:val="00D353BC"/>
    <w:rsid w:val="00D35577"/>
    <w:rsid w:val="00D357C8"/>
    <w:rsid w:val="00D36F80"/>
    <w:rsid w:val="00D37062"/>
    <w:rsid w:val="00D373DC"/>
    <w:rsid w:val="00D375D6"/>
    <w:rsid w:val="00D3765E"/>
    <w:rsid w:val="00D37E20"/>
    <w:rsid w:val="00D37F84"/>
    <w:rsid w:val="00D401D2"/>
    <w:rsid w:val="00D403C2"/>
    <w:rsid w:val="00D4045C"/>
    <w:rsid w:val="00D405FB"/>
    <w:rsid w:val="00D40AF2"/>
    <w:rsid w:val="00D40C51"/>
    <w:rsid w:val="00D415D3"/>
    <w:rsid w:val="00D41770"/>
    <w:rsid w:val="00D41F88"/>
    <w:rsid w:val="00D420E7"/>
    <w:rsid w:val="00D4234E"/>
    <w:rsid w:val="00D42759"/>
    <w:rsid w:val="00D4374D"/>
    <w:rsid w:val="00D43894"/>
    <w:rsid w:val="00D43CF4"/>
    <w:rsid w:val="00D45237"/>
    <w:rsid w:val="00D45755"/>
    <w:rsid w:val="00D47053"/>
    <w:rsid w:val="00D477B0"/>
    <w:rsid w:val="00D47A06"/>
    <w:rsid w:val="00D50EC9"/>
    <w:rsid w:val="00D511CE"/>
    <w:rsid w:val="00D51428"/>
    <w:rsid w:val="00D52266"/>
    <w:rsid w:val="00D529CC"/>
    <w:rsid w:val="00D52F90"/>
    <w:rsid w:val="00D535A1"/>
    <w:rsid w:val="00D53A30"/>
    <w:rsid w:val="00D54048"/>
    <w:rsid w:val="00D54729"/>
    <w:rsid w:val="00D54F51"/>
    <w:rsid w:val="00D55067"/>
    <w:rsid w:val="00D556BF"/>
    <w:rsid w:val="00D55888"/>
    <w:rsid w:val="00D55EFA"/>
    <w:rsid w:val="00D55FE3"/>
    <w:rsid w:val="00D56236"/>
    <w:rsid w:val="00D57402"/>
    <w:rsid w:val="00D577C8"/>
    <w:rsid w:val="00D57AF2"/>
    <w:rsid w:val="00D57C3A"/>
    <w:rsid w:val="00D57CC2"/>
    <w:rsid w:val="00D6154E"/>
    <w:rsid w:val="00D61CBB"/>
    <w:rsid w:val="00D621C2"/>
    <w:rsid w:val="00D6265A"/>
    <w:rsid w:val="00D6280B"/>
    <w:rsid w:val="00D63889"/>
    <w:rsid w:val="00D63A3C"/>
    <w:rsid w:val="00D63CC9"/>
    <w:rsid w:val="00D63D81"/>
    <w:rsid w:val="00D64D1A"/>
    <w:rsid w:val="00D65C99"/>
    <w:rsid w:val="00D66005"/>
    <w:rsid w:val="00D662D8"/>
    <w:rsid w:val="00D663ED"/>
    <w:rsid w:val="00D6669D"/>
    <w:rsid w:val="00D67337"/>
    <w:rsid w:val="00D70552"/>
    <w:rsid w:val="00D70DBC"/>
    <w:rsid w:val="00D712B0"/>
    <w:rsid w:val="00D71AC6"/>
    <w:rsid w:val="00D7281D"/>
    <w:rsid w:val="00D72836"/>
    <w:rsid w:val="00D72BBC"/>
    <w:rsid w:val="00D72C77"/>
    <w:rsid w:val="00D74E04"/>
    <w:rsid w:val="00D753E4"/>
    <w:rsid w:val="00D75CA2"/>
    <w:rsid w:val="00D75FA4"/>
    <w:rsid w:val="00D7649F"/>
    <w:rsid w:val="00D767ED"/>
    <w:rsid w:val="00D76935"/>
    <w:rsid w:val="00D76A47"/>
    <w:rsid w:val="00D77092"/>
    <w:rsid w:val="00D772A7"/>
    <w:rsid w:val="00D77F3C"/>
    <w:rsid w:val="00D8074E"/>
    <w:rsid w:val="00D81B25"/>
    <w:rsid w:val="00D820B2"/>
    <w:rsid w:val="00D820D0"/>
    <w:rsid w:val="00D8212A"/>
    <w:rsid w:val="00D830B7"/>
    <w:rsid w:val="00D83EC6"/>
    <w:rsid w:val="00D843EB"/>
    <w:rsid w:val="00D8444B"/>
    <w:rsid w:val="00D84E46"/>
    <w:rsid w:val="00D84E79"/>
    <w:rsid w:val="00D85546"/>
    <w:rsid w:val="00D86235"/>
    <w:rsid w:val="00D8632A"/>
    <w:rsid w:val="00D863AC"/>
    <w:rsid w:val="00D86979"/>
    <w:rsid w:val="00D86C7A"/>
    <w:rsid w:val="00D86D46"/>
    <w:rsid w:val="00D87D63"/>
    <w:rsid w:val="00D903E4"/>
    <w:rsid w:val="00D90A55"/>
    <w:rsid w:val="00D90B8C"/>
    <w:rsid w:val="00D917F7"/>
    <w:rsid w:val="00D9274A"/>
    <w:rsid w:val="00D92BF8"/>
    <w:rsid w:val="00D92DC7"/>
    <w:rsid w:val="00D9313C"/>
    <w:rsid w:val="00D93258"/>
    <w:rsid w:val="00D9387E"/>
    <w:rsid w:val="00D94B80"/>
    <w:rsid w:val="00D952CF"/>
    <w:rsid w:val="00D95F76"/>
    <w:rsid w:val="00D96401"/>
    <w:rsid w:val="00D973E6"/>
    <w:rsid w:val="00D9743E"/>
    <w:rsid w:val="00D975D4"/>
    <w:rsid w:val="00D97C84"/>
    <w:rsid w:val="00DA0380"/>
    <w:rsid w:val="00DA0649"/>
    <w:rsid w:val="00DA0AF8"/>
    <w:rsid w:val="00DA11D6"/>
    <w:rsid w:val="00DA15B1"/>
    <w:rsid w:val="00DA1EB3"/>
    <w:rsid w:val="00DA27A4"/>
    <w:rsid w:val="00DA2EAD"/>
    <w:rsid w:val="00DA3227"/>
    <w:rsid w:val="00DA3873"/>
    <w:rsid w:val="00DA3DC5"/>
    <w:rsid w:val="00DA4570"/>
    <w:rsid w:val="00DA4B65"/>
    <w:rsid w:val="00DA4D6E"/>
    <w:rsid w:val="00DA4E61"/>
    <w:rsid w:val="00DA53F3"/>
    <w:rsid w:val="00DA5D1F"/>
    <w:rsid w:val="00DA5DD0"/>
    <w:rsid w:val="00DA66AC"/>
    <w:rsid w:val="00DA772C"/>
    <w:rsid w:val="00DA7877"/>
    <w:rsid w:val="00DA7B31"/>
    <w:rsid w:val="00DB0002"/>
    <w:rsid w:val="00DB03D1"/>
    <w:rsid w:val="00DB0996"/>
    <w:rsid w:val="00DB137B"/>
    <w:rsid w:val="00DB21C2"/>
    <w:rsid w:val="00DB2340"/>
    <w:rsid w:val="00DB2C55"/>
    <w:rsid w:val="00DB4413"/>
    <w:rsid w:val="00DB452B"/>
    <w:rsid w:val="00DB4BBD"/>
    <w:rsid w:val="00DB61F4"/>
    <w:rsid w:val="00DB625E"/>
    <w:rsid w:val="00DB6B8F"/>
    <w:rsid w:val="00DB6F01"/>
    <w:rsid w:val="00DB6F8C"/>
    <w:rsid w:val="00DB7602"/>
    <w:rsid w:val="00DC128C"/>
    <w:rsid w:val="00DC16EF"/>
    <w:rsid w:val="00DC19BC"/>
    <w:rsid w:val="00DC1DFD"/>
    <w:rsid w:val="00DC2029"/>
    <w:rsid w:val="00DC2ADC"/>
    <w:rsid w:val="00DC2FAE"/>
    <w:rsid w:val="00DC3051"/>
    <w:rsid w:val="00DC4047"/>
    <w:rsid w:val="00DC4BE7"/>
    <w:rsid w:val="00DC522A"/>
    <w:rsid w:val="00DC5629"/>
    <w:rsid w:val="00DC5CCD"/>
    <w:rsid w:val="00DC5E0F"/>
    <w:rsid w:val="00DC5E7F"/>
    <w:rsid w:val="00DC628A"/>
    <w:rsid w:val="00DC6419"/>
    <w:rsid w:val="00DC71FD"/>
    <w:rsid w:val="00DC75DD"/>
    <w:rsid w:val="00DC7609"/>
    <w:rsid w:val="00DD0134"/>
    <w:rsid w:val="00DD04F6"/>
    <w:rsid w:val="00DD0BB0"/>
    <w:rsid w:val="00DD1A04"/>
    <w:rsid w:val="00DD269F"/>
    <w:rsid w:val="00DD2B27"/>
    <w:rsid w:val="00DD3019"/>
    <w:rsid w:val="00DD331A"/>
    <w:rsid w:val="00DD3E33"/>
    <w:rsid w:val="00DD43E6"/>
    <w:rsid w:val="00DD4D75"/>
    <w:rsid w:val="00DD5591"/>
    <w:rsid w:val="00DD5D76"/>
    <w:rsid w:val="00DD7035"/>
    <w:rsid w:val="00DD7065"/>
    <w:rsid w:val="00DD7318"/>
    <w:rsid w:val="00DE0307"/>
    <w:rsid w:val="00DE15D7"/>
    <w:rsid w:val="00DE1A78"/>
    <w:rsid w:val="00DE220B"/>
    <w:rsid w:val="00DE2905"/>
    <w:rsid w:val="00DE32EB"/>
    <w:rsid w:val="00DE39D7"/>
    <w:rsid w:val="00DE3AD7"/>
    <w:rsid w:val="00DE50B1"/>
    <w:rsid w:val="00DE5D59"/>
    <w:rsid w:val="00DE5E25"/>
    <w:rsid w:val="00DE6936"/>
    <w:rsid w:val="00DE6EB5"/>
    <w:rsid w:val="00DE72EE"/>
    <w:rsid w:val="00DE738D"/>
    <w:rsid w:val="00DE7564"/>
    <w:rsid w:val="00DE79B2"/>
    <w:rsid w:val="00DF0B5B"/>
    <w:rsid w:val="00DF2E41"/>
    <w:rsid w:val="00DF386D"/>
    <w:rsid w:val="00DF4000"/>
    <w:rsid w:val="00DF402F"/>
    <w:rsid w:val="00DF494D"/>
    <w:rsid w:val="00DF4CD0"/>
    <w:rsid w:val="00DF546D"/>
    <w:rsid w:val="00DF63CE"/>
    <w:rsid w:val="00DF63FE"/>
    <w:rsid w:val="00DF6745"/>
    <w:rsid w:val="00DF6DE7"/>
    <w:rsid w:val="00DF7A1C"/>
    <w:rsid w:val="00DF7A48"/>
    <w:rsid w:val="00DF7A7B"/>
    <w:rsid w:val="00DF7E73"/>
    <w:rsid w:val="00DF7EA7"/>
    <w:rsid w:val="00E0004A"/>
    <w:rsid w:val="00E00228"/>
    <w:rsid w:val="00E003E1"/>
    <w:rsid w:val="00E0072F"/>
    <w:rsid w:val="00E0103C"/>
    <w:rsid w:val="00E01E18"/>
    <w:rsid w:val="00E0252E"/>
    <w:rsid w:val="00E025FA"/>
    <w:rsid w:val="00E02972"/>
    <w:rsid w:val="00E02BB3"/>
    <w:rsid w:val="00E02DB9"/>
    <w:rsid w:val="00E03010"/>
    <w:rsid w:val="00E03B8E"/>
    <w:rsid w:val="00E0417C"/>
    <w:rsid w:val="00E044AC"/>
    <w:rsid w:val="00E045A9"/>
    <w:rsid w:val="00E04A79"/>
    <w:rsid w:val="00E04EF4"/>
    <w:rsid w:val="00E054F3"/>
    <w:rsid w:val="00E05B8C"/>
    <w:rsid w:val="00E065E7"/>
    <w:rsid w:val="00E072FE"/>
    <w:rsid w:val="00E074CF"/>
    <w:rsid w:val="00E07C00"/>
    <w:rsid w:val="00E10822"/>
    <w:rsid w:val="00E10E9E"/>
    <w:rsid w:val="00E1126B"/>
    <w:rsid w:val="00E117A8"/>
    <w:rsid w:val="00E11D33"/>
    <w:rsid w:val="00E122B9"/>
    <w:rsid w:val="00E12AC6"/>
    <w:rsid w:val="00E1317C"/>
    <w:rsid w:val="00E133E4"/>
    <w:rsid w:val="00E138D3"/>
    <w:rsid w:val="00E13AAA"/>
    <w:rsid w:val="00E13B90"/>
    <w:rsid w:val="00E13FD6"/>
    <w:rsid w:val="00E14BDC"/>
    <w:rsid w:val="00E1549F"/>
    <w:rsid w:val="00E15594"/>
    <w:rsid w:val="00E156CE"/>
    <w:rsid w:val="00E15910"/>
    <w:rsid w:val="00E15C59"/>
    <w:rsid w:val="00E16149"/>
    <w:rsid w:val="00E165C6"/>
    <w:rsid w:val="00E16710"/>
    <w:rsid w:val="00E16A1F"/>
    <w:rsid w:val="00E16BB0"/>
    <w:rsid w:val="00E174BA"/>
    <w:rsid w:val="00E17E2B"/>
    <w:rsid w:val="00E17F2C"/>
    <w:rsid w:val="00E2032A"/>
    <w:rsid w:val="00E206FB"/>
    <w:rsid w:val="00E20D38"/>
    <w:rsid w:val="00E2152B"/>
    <w:rsid w:val="00E21564"/>
    <w:rsid w:val="00E22295"/>
    <w:rsid w:val="00E227E5"/>
    <w:rsid w:val="00E234B6"/>
    <w:rsid w:val="00E2366E"/>
    <w:rsid w:val="00E238B6"/>
    <w:rsid w:val="00E23DC9"/>
    <w:rsid w:val="00E2420B"/>
    <w:rsid w:val="00E25A4A"/>
    <w:rsid w:val="00E26182"/>
    <w:rsid w:val="00E26BBC"/>
    <w:rsid w:val="00E26E1A"/>
    <w:rsid w:val="00E26FEA"/>
    <w:rsid w:val="00E27867"/>
    <w:rsid w:val="00E27D1C"/>
    <w:rsid w:val="00E27F8B"/>
    <w:rsid w:val="00E30573"/>
    <w:rsid w:val="00E3103F"/>
    <w:rsid w:val="00E32550"/>
    <w:rsid w:val="00E32B95"/>
    <w:rsid w:val="00E32EC4"/>
    <w:rsid w:val="00E33A4A"/>
    <w:rsid w:val="00E35BA2"/>
    <w:rsid w:val="00E3661C"/>
    <w:rsid w:val="00E367CE"/>
    <w:rsid w:val="00E36B99"/>
    <w:rsid w:val="00E37294"/>
    <w:rsid w:val="00E377B3"/>
    <w:rsid w:val="00E37B6C"/>
    <w:rsid w:val="00E37E3E"/>
    <w:rsid w:val="00E4034A"/>
    <w:rsid w:val="00E4083C"/>
    <w:rsid w:val="00E40D90"/>
    <w:rsid w:val="00E40E6A"/>
    <w:rsid w:val="00E41260"/>
    <w:rsid w:val="00E415B1"/>
    <w:rsid w:val="00E41935"/>
    <w:rsid w:val="00E41FEC"/>
    <w:rsid w:val="00E43F0E"/>
    <w:rsid w:val="00E44432"/>
    <w:rsid w:val="00E44E5A"/>
    <w:rsid w:val="00E45852"/>
    <w:rsid w:val="00E45B84"/>
    <w:rsid w:val="00E46183"/>
    <w:rsid w:val="00E46F7F"/>
    <w:rsid w:val="00E475BA"/>
    <w:rsid w:val="00E504A5"/>
    <w:rsid w:val="00E504D1"/>
    <w:rsid w:val="00E51D5F"/>
    <w:rsid w:val="00E51F34"/>
    <w:rsid w:val="00E5207B"/>
    <w:rsid w:val="00E527B5"/>
    <w:rsid w:val="00E52C10"/>
    <w:rsid w:val="00E52EBD"/>
    <w:rsid w:val="00E52F5F"/>
    <w:rsid w:val="00E53CAA"/>
    <w:rsid w:val="00E53D72"/>
    <w:rsid w:val="00E53F78"/>
    <w:rsid w:val="00E5435F"/>
    <w:rsid w:val="00E54367"/>
    <w:rsid w:val="00E543AB"/>
    <w:rsid w:val="00E54629"/>
    <w:rsid w:val="00E54782"/>
    <w:rsid w:val="00E548C7"/>
    <w:rsid w:val="00E54B9C"/>
    <w:rsid w:val="00E5586D"/>
    <w:rsid w:val="00E55B77"/>
    <w:rsid w:val="00E56EA5"/>
    <w:rsid w:val="00E57236"/>
    <w:rsid w:val="00E57D87"/>
    <w:rsid w:val="00E57FBB"/>
    <w:rsid w:val="00E6018E"/>
    <w:rsid w:val="00E6021D"/>
    <w:rsid w:val="00E60796"/>
    <w:rsid w:val="00E60818"/>
    <w:rsid w:val="00E615C9"/>
    <w:rsid w:val="00E618D7"/>
    <w:rsid w:val="00E61BBD"/>
    <w:rsid w:val="00E61C68"/>
    <w:rsid w:val="00E61DBE"/>
    <w:rsid w:val="00E61F04"/>
    <w:rsid w:val="00E62334"/>
    <w:rsid w:val="00E62B62"/>
    <w:rsid w:val="00E634AF"/>
    <w:rsid w:val="00E63514"/>
    <w:rsid w:val="00E636F7"/>
    <w:rsid w:val="00E63897"/>
    <w:rsid w:val="00E64292"/>
    <w:rsid w:val="00E64D43"/>
    <w:rsid w:val="00E6503D"/>
    <w:rsid w:val="00E6508E"/>
    <w:rsid w:val="00E65680"/>
    <w:rsid w:val="00E66F67"/>
    <w:rsid w:val="00E6705E"/>
    <w:rsid w:val="00E67559"/>
    <w:rsid w:val="00E67862"/>
    <w:rsid w:val="00E67867"/>
    <w:rsid w:val="00E67AF5"/>
    <w:rsid w:val="00E67E36"/>
    <w:rsid w:val="00E67E89"/>
    <w:rsid w:val="00E70226"/>
    <w:rsid w:val="00E704F9"/>
    <w:rsid w:val="00E70B25"/>
    <w:rsid w:val="00E712B5"/>
    <w:rsid w:val="00E7216B"/>
    <w:rsid w:val="00E72286"/>
    <w:rsid w:val="00E722B7"/>
    <w:rsid w:val="00E724C1"/>
    <w:rsid w:val="00E72DE1"/>
    <w:rsid w:val="00E73087"/>
    <w:rsid w:val="00E73346"/>
    <w:rsid w:val="00E734E8"/>
    <w:rsid w:val="00E73E1A"/>
    <w:rsid w:val="00E7463D"/>
    <w:rsid w:val="00E7537C"/>
    <w:rsid w:val="00E7543F"/>
    <w:rsid w:val="00E757F8"/>
    <w:rsid w:val="00E76852"/>
    <w:rsid w:val="00E76C39"/>
    <w:rsid w:val="00E76FFA"/>
    <w:rsid w:val="00E800CE"/>
    <w:rsid w:val="00E800F0"/>
    <w:rsid w:val="00E80416"/>
    <w:rsid w:val="00E8235F"/>
    <w:rsid w:val="00E823AB"/>
    <w:rsid w:val="00E82518"/>
    <w:rsid w:val="00E832EE"/>
    <w:rsid w:val="00E833BC"/>
    <w:rsid w:val="00E83870"/>
    <w:rsid w:val="00E849DF"/>
    <w:rsid w:val="00E84B8F"/>
    <w:rsid w:val="00E8518C"/>
    <w:rsid w:val="00E85A03"/>
    <w:rsid w:val="00E86210"/>
    <w:rsid w:val="00E86498"/>
    <w:rsid w:val="00E86957"/>
    <w:rsid w:val="00E86C0B"/>
    <w:rsid w:val="00E87238"/>
    <w:rsid w:val="00E8728B"/>
    <w:rsid w:val="00E87512"/>
    <w:rsid w:val="00E87FAD"/>
    <w:rsid w:val="00E902C9"/>
    <w:rsid w:val="00E907F2"/>
    <w:rsid w:val="00E90D7F"/>
    <w:rsid w:val="00E91090"/>
    <w:rsid w:val="00E91756"/>
    <w:rsid w:val="00E91880"/>
    <w:rsid w:val="00E92086"/>
    <w:rsid w:val="00E92402"/>
    <w:rsid w:val="00E928F5"/>
    <w:rsid w:val="00E92B76"/>
    <w:rsid w:val="00E93586"/>
    <w:rsid w:val="00E93ACC"/>
    <w:rsid w:val="00E93C69"/>
    <w:rsid w:val="00E93DDB"/>
    <w:rsid w:val="00E95091"/>
    <w:rsid w:val="00E95A81"/>
    <w:rsid w:val="00E96693"/>
    <w:rsid w:val="00E96A6C"/>
    <w:rsid w:val="00E96D40"/>
    <w:rsid w:val="00E97538"/>
    <w:rsid w:val="00E97D1A"/>
    <w:rsid w:val="00EA0E9E"/>
    <w:rsid w:val="00EA16B3"/>
    <w:rsid w:val="00EA1955"/>
    <w:rsid w:val="00EA2520"/>
    <w:rsid w:val="00EA2703"/>
    <w:rsid w:val="00EA2985"/>
    <w:rsid w:val="00EA344B"/>
    <w:rsid w:val="00EA416B"/>
    <w:rsid w:val="00EA4263"/>
    <w:rsid w:val="00EA4F2B"/>
    <w:rsid w:val="00EA4F38"/>
    <w:rsid w:val="00EA5098"/>
    <w:rsid w:val="00EA557C"/>
    <w:rsid w:val="00EA5898"/>
    <w:rsid w:val="00EA5B6A"/>
    <w:rsid w:val="00EA5B7B"/>
    <w:rsid w:val="00EA6553"/>
    <w:rsid w:val="00EA6695"/>
    <w:rsid w:val="00EA78CE"/>
    <w:rsid w:val="00EA7A3F"/>
    <w:rsid w:val="00EB01D4"/>
    <w:rsid w:val="00EB068D"/>
    <w:rsid w:val="00EB0AB2"/>
    <w:rsid w:val="00EB1525"/>
    <w:rsid w:val="00EB15AB"/>
    <w:rsid w:val="00EB1777"/>
    <w:rsid w:val="00EB1B1D"/>
    <w:rsid w:val="00EB1D79"/>
    <w:rsid w:val="00EB34E9"/>
    <w:rsid w:val="00EB389F"/>
    <w:rsid w:val="00EB3987"/>
    <w:rsid w:val="00EB398E"/>
    <w:rsid w:val="00EB438C"/>
    <w:rsid w:val="00EB47EE"/>
    <w:rsid w:val="00EB4819"/>
    <w:rsid w:val="00EB53A8"/>
    <w:rsid w:val="00EB548F"/>
    <w:rsid w:val="00EB5837"/>
    <w:rsid w:val="00EB58D4"/>
    <w:rsid w:val="00EB5B3E"/>
    <w:rsid w:val="00EB5DFC"/>
    <w:rsid w:val="00EB5E54"/>
    <w:rsid w:val="00EB61E1"/>
    <w:rsid w:val="00EB6621"/>
    <w:rsid w:val="00EB6CA5"/>
    <w:rsid w:val="00EB7585"/>
    <w:rsid w:val="00EB77DB"/>
    <w:rsid w:val="00EC04C6"/>
    <w:rsid w:val="00EC0C2C"/>
    <w:rsid w:val="00EC20DA"/>
    <w:rsid w:val="00EC29A0"/>
    <w:rsid w:val="00EC2DF0"/>
    <w:rsid w:val="00EC335A"/>
    <w:rsid w:val="00EC38F3"/>
    <w:rsid w:val="00EC4419"/>
    <w:rsid w:val="00EC44E9"/>
    <w:rsid w:val="00EC486F"/>
    <w:rsid w:val="00EC5EB4"/>
    <w:rsid w:val="00EC616E"/>
    <w:rsid w:val="00EC6461"/>
    <w:rsid w:val="00EC6674"/>
    <w:rsid w:val="00EC6BDE"/>
    <w:rsid w:val="00EC7B07"/>
    <w:rsid w:val="00ED0A03"/>
    <w:rsid w:val="00ED17CC"/>
    <w:rsid w:val="00ED1BF7"/>
    <w:rsid w:val="00ED2111"/>
    <w:rsid w:val="00ED2F09"/>
    <w:rsid w:val="00ED30F3"/>
    <w:rsid w:val="00ED3566"/>
    <w:rsid w:val="00ED3720"/>
    <w:rsid w:val="00ED3868"/>
    <w:rsid w:val="00ED3A38"/>
    <w:rsid w:val="00ED4B97"/>
    <w:rsid w:val="00ED55DD"/>
    <w:rsid w:val="00ED7684"/>
    <w:rsid w:val="00ED7B8C"/>
    <w:rsid w:val="00ED7DE6"/>
    <w:rsid w:val="00EE000F"/>
    <w:rsid w:val="00EE0145"/>
    <w:rsid w:val="00EE0413"/>
    <w:rsid w:val="00EE1123"/>
    <w:rsid w:val="00EE113F"/>
    <w:rsid w:val="00EE1ACB"/>
    <w:rsid w:val="00EE29E9"/>
    <w:rsid w:val="00EE2CB6"/>
    <w:rsid w:val="00EE385C"/>
    <w:rsid w:val="00EE38A3"/>
    <w:rsid w:val="00EE43CD"/>
    <w:rsid w:val="00EE4454"/>
    <w:rsid w:val="00EE4C60"/>
    <w:rsid w:val="00EE5788"/>
    <w:rsid w:val="00EE5895"/>
    <w:rsid w:val="00EE62F3"/>
    <w:rsid w:val="00EE6BF7"/>
    <w:rsid w:val="00EE70DF"/>
    <w:rsid w:val="00EE7EA1"/>
    <w:rsid w:val="00EF093F"/>
    <w:rsid w:val="00EF0EFD"/>
    <w:rsid w:val="00EF1591"/>
    <w:rsid w:val="00EF18DA"/>
    <w:rsid w:val="00EF18ED"/>
    <w:rsid w:val="00EF1C16"/>
    <w:rsid w:val="00EF20B9"/>
    <w:rsid w:val="00EF2176"/>
    <w:rsid w:val="00EF219D"/>
    <w:rsid w:val="00EF2DAD"/>
    <w:rsid w:val="00EF3AA0"/>
    <w:rsid w:val="00EF3C57"/>
    <w:rsid w:val="00EF3E06"/>
    <w:rsid w:val="00EF44AD"/>
    <w:rsid w:val="00EF4C3E"/>
    <w:rsid w:val="00EF4CB5"/>
    <w:rsid w:val="00EF4F75"/>
    <w:rsid w:val="00EF5281"/>
    <w:rsid w:val="00EF5719"/>
    <w:rsid w:val="00EF5C27"/>
    <w:rsid w:val="00EF650C"/>
    <w:rsid w:val="00EF679E"/>
    <w:rsid w:val="00EF6D0B"/>
    <w:rsid w:val="00F0024F"/>
    <w:rsid w:val="00F003DF"/>
    <w:rsid w:val="00F0063B"/>
    <w:rsid w:val="00F008F6"/>
    <w:rsid w:val="00F00EB1"/>
    <w:rsid w:val="00F02139"/>
    <w:rsid w:val="00F0232F"/>
    <w:rsid w:val="00F02B91"/>
    <w:rsid w:val="00F02EFA"/>
    <w:rsid w:val="00F03D88"/>
    <w:rsid w:val="00F03FB4"/>
    <w:rsid w:val="00F04348"/>
    <w:rsid w:val="00F044E4"/>
    <w:rsid w:val="00F048AA"/>
    <w:rsid w:val="00F04D3D"/>
    <w:rsid w:val="00F05C86"/>
    <w:rsid w:val="00F062CD"/>
    <w:rsid w:val="00F063E6"/>
    <w:rsid w:val="00F06C86"/>
    <w:rsid w:val="00F06CAC"/>
    <w:rsid w:val="00F06ECE"/>
    <w:rsid w:val="00F070E8"/>
    <w:rsid w:val="00F07147"/>
    <w:rsid w:val="00F0717E"/>
    <w:rsid w:val="00F07369"/>
    <w:rsid w:val="00F07417"/>
    <w:rsid w:val="00F076D0"/>
    <w:rsid w:val="00F07A44"/>
    <w:rsid w:val="00F1011F"/>
    <w:rsid w:val="00F124AC"/>
    <w:rsid w:val="00F12B0B"/>
    <w:rsid w:val="00F13143"/>
    <w:rsid w:val="00F13656"/>
    <w:rsid w:val="00F13A62"/>
    <w:rsid w:val="00F13B21"/>
    <w:rsid w:val="00F13E51"/>
    <w:rsid w:val="00F1404D"/>
    <w:rsid w:val="00F14931"/>
    <w:rsid w:val="00F14CAF"/>
    <w:rsid w:val="00F14E43"/>
    <w:rsid w:val="00F15648"/>
    <w:rsid w:val="00F15964"/>
    <w:rsid w:val="00F16475"/>
    <w:rsid w:val="00F16E25"/>
    <w:rsid w:val="00F171C3"/>
    <w:rsid w:val="00F17387"/>
    <w:rsid w:val="00F17C7E"/>
    <w:rsid w:val="00F17DC8"/>
    <w:rsid w:val="00F200F3"/>
    <w:rsid w:val="00F20504"/>
    <w:rsid w:val="00F22168"/>
    <w:rsid w:val="00F2272F"/>
    <w:rsid w:val="00F2275A"/>
    <w:rsid w:val="00F2300F"/>
    <w:rsid w:val="00F235CA"/>
    <w:rsid w:val="00F23D53"/>
    <w:rsid w:val="00F24128"/>
    <w:rsid w:val="00F24F0A"/>
    <w:rsid w:val="00F251B0"/>
    <w:rsid w:val="00F25652"/>
    <w:rsid w:val="00F25903"/>
    <w:rsid w:val="00F25E9F"/>
    <w:rsid w:val="00F26377"/>
    <w:rsid w:val="00F264CC"/>
    <w:rsid w:val="00F26A8A"/>
    <w:rsid w:val="00F27320"/>
    <w:rsid w:val="00F27AAA"/>
    <w:rsid w:val="00F30250"/>
    <w:rsid w:val="00F30FFD"/>
    <w:rsid w:val="00F31658"/>
    <w:rsid w:val="00F3178C"/>
    <w:rsid w:val="00F31F43"/>
    <w:rsid w:val="00F32D2C"/>
    <w:rsid w:val="00F337F1"/>
    <w:rsid w:val="00F33BF4"/>
    <w:rsid w:val="00F33D6C"/>
    <w:rsid w:val="00F340C3"/>
    <w:rsid w:val="00F3416C"/>
    <w:rsid w:val="00F341E9"/>
    <w:rsid w:val="00F3425E"/>
    <w:rsid w:val="00F348BD"/>
    <w:rsid w:val="00F34BA4"/>
    <w:rsid w:val="00F34F55"/>
    <w:rsid w:val="00F3519F"/>
    <w:rsid w:val="00F356CD"/>
    <w:rsid w:val="00F356D7"/>
    <w:rsid w:val="00F35B49"/>
    <w:rsid w:val="00F3620A"/>
    <w:rsid w:val="00F36CD0"/>
    <w:rsid w:val="00F36F73"/>
    <w:rsid w:val="00F37706"/>
    <w:rsid w:val="00F4064E"/>
    <w:rsid w:val="00F40BB3"/>
    <w:rsid w:val="00F4105B"/>
    <w:rsid w:val="00F412DD"/>
    <w:rsid w:val="00F413FE"/>
    <w:rsid w:val="00F419F3"/>
    <w:rsid w:val="00F41C89"/>
    <w:rsid w:val="00F41E82"/>
    <w:rsid w:val="00F42115"/>
    <w:rsid w:val="00F42B8C"/>
    <w:rsid w:val="00F42C51"/>
    <w:rsid w:val="00F42E92"/>
    <w:rsid w:val="00F43988"/>
    <w:rsid w:val="00F447E9"/>
    <w:rsid w:val="00F44DBF"/>
    <w:rsid w:val="00F45033"/>
    <w:rsid w:val="00F450D1"/>
    <w:rsid w:val="00F451E7"/>
    <w:rsid w:val="00F459A4"/>
    <w:rsid w:val="00F46FF6"/>
    <w:rsid w:val="00F471FA"/>
    <w:rsid w:val="00F47DB2"/>
    <w:rsid w:val="00F501A6"/>
    <w:rsid w:val="00F512AC"/>
    <w:rsid w:val="00F51EE8"/>
    <w:rsid w:val="00F51F38"/>
    <w:rsid w:val="00F520F8"/>
    <w:rsid w:val="00F525FE"/>
    <w:rsid w:val="00F535D1"/>
    <w:rsid w:val="00F5404D"/>
    <w:rsid w:val="00F54DC3"/>
    <w:rsid w:val="00F54F57"/>
    <w:rsid w:val="00F55531"/>
    <w:rsid w:val="00F559E1"/>
    <w:rsid w:val="00F56A6D"/>
    <w:rsid w:val="00F56F0B"/>
    <w:rsid w:val="00F56F41"/>
    <w:rsid w:val="00F56F8C"/>
    <w:rsid w:val="00F57031"/>
    <w:rsid w:val="00F575B1"/>
    <w:rsid w:val="00F60504"/>
    <w:rsid w:val="00F60A4A"/>
    <w:rsid w:val="00F60BDA"/>
    <w:rsid w:val="00F60D37"/>
    <w:rsid w:val="00F6129B"/>
    <w:rsid w:val="00F6130E"/>
    <w:rsid w:val="00F61852"/>
    <w:rsid w:val="00F61B6A"/>
    <w:rsid w:val="00F61C7D"/>
    <w:rsid w:val="00F621F2"/>
    <w:rsid w:val="00F62A10"/>
    <w:rsid w:val="00F62DBE"/>
    <w:rsid w:val="00F62E76"/>
    <w:rsid w:val="00F6369B"/>
    <w:rsid w:val="00F63C0B"/>
    <w:rsid w:val="00F6498B"/>
    <w:rsid w:val="00F64E3C"/>
    <w:rsid w:val="00F65004"/>
    <w:rsid w:val="00F65800"/>
    <w:rsid w:val="00F661DB"/>
    <w:rsid w:val="00F670CE"/>
    <w:rsid w:val="00F6716F"/>
    <w:rsid w:val="00F674C0"/>
    <w:rsid w:val="00F67D60"/>
    <w:rsid w:val="00F67E7F"/>
    <w:rsid w:val="00F67F3F"/>
    <w:rsid w:val="00F70503"/>
    <w:rsid w:val="00F70544"/>
    <w:rsid w:val="00F70C94"/>
    <w:rsid w:val="00F70F24"/>
    <w:rsid w:val="00F710D1"/>
    <w:rsid w:val="00F715BF"/>
    <w:rsid w:val="00F71D08"/>
    <w:rsid w:val="00F725B3"/>
    <w:rsid w:val="00F726EF"/>
    <w:rsid w:val="00F72793"/>
    <w:rsid w:val="00F72811"/>
    <w:rsid w:val="00F7286A"/>
    <w:rsid w:val="00F7329C"/>
    <w:rsid w:val="00F73AB1"/>
    <w:rsid w:val="00F73BFE"/>
    <w:rsid w:val="00F7410E"/>
    <w:rsid w:val="00F742CB"/>
    <w:rsid w:val="00F74611"/>
    <w:rsid w:val="00F746B3"/>
    <w:rsid w:val="00F749E6"/>
    <w:rsid w:val="00F74E71"/>
    <w:rsid w:val="00F7515F"/>
    <w:rsid w:val="00F75A0E"/>
    <w:rsid w:val="00F762BA"/>
    <w:rsid w:val="00F764C0"/>
    <w:rsid w:val="00F76B4B"/>
    <w:rsid w:val="00F76CF0"/>
    <w:rsid w:val="00F76F5B"/>
    <w:rsid w:val="00F776CA"/>
    <w:rsid w:val="00F807CF"/>
    <w:rsid w:val="00F80AA7"/>
    <w:rsid w:val="00F80C98"/>
    <w:rsid w:val="00F80D68"/>
    <w:rsid w:val="00F8244A"/>
    <w:rsid w:val="00F82EB8"/>
    <w:rsid w:val="00F83802"/>
    <w:rsid w:val="00F83C1A"/>
    <w:rsid w:val="00F845E7"/>
    <w:rsid w:val="00F84665"/>
    <w:rsid w:val="00F847E7"/>
    <w:rsid w:val="00F85019"/>
    <w:rsid w:val="00F85492"/>
    <w:rsid w:val="00F8558A"/>
    <w:rsid w:val="00F855D5"/>
    <w:rsid w:val="00F863CE"/>
    <w:rsid w:val="00F865C8"/>
    <w:rsid w:val="00F86DE8"/>
    <w:rsid w:val="00F87A8D"/>
    <w:rsid w:val="00F90D4C"/>
    <w:rsid w:val="00F912B9"/>
    <w:rsid w:val="00F91F43"/>
    <w:rsid w:val="00F91FAF"/>
    <w:rsid w:val="00F927A6"/>
    <w:rsid w:val="00F92808"/>
    <w:rsid w:val="00F9283F"/>
    <w:rsid w:val="00F9395D"/>
    <w:rsid w:val="00F93DE5"/>
    <w:rsid w:val="00F93E1C"/>
    <w:rsid w:val="00F943E2"/>
    <w:rsid w:val="00F94CB1"/>
    <w:rsid w:val="00F94F63"/>
    <w:rsid w:val="00F95BE6"/>
    <w:rsid w:val="00F95D71"/>
    <w:rsid w:val="00F962AF"/>
    <w:rsid w:val="00F963AC"/>
    <w:rsid w:val="00F968C5"/>
    <w:rsid w:val="00F97E5E"/>
    <w:rsid w:val="00FA0012"/>
    <w:rsid w:val="00FA01D0"/>
    <w:rsid w:val="00FA1011"/>
    <w:rsid w:val="00FA125B"/>
    <w:rsid w:val="00FA13F0"/>
    <w:rsid w:val="00FA14F1"/>
    <w:rsid w:val="00FA152B"/>
    <w:rsid w:val="00FA1624"/>
    <w:rsid w:val="00FA17CB"/>
    <w:rsid w:val="00FA24A0"/>
    <w:rsid w:val="00FA2963"/>
    <w:rsid w:val="00FA2D0A"/>
    <w:rsid w:val="00FA36CB"/>
    <w:rsid w:val="00FA38C1"/>
    <w:rsid w:val="00FA3EFA"/>
    <w:rsid w:val="00FA46EB"/>
    <w:rsid w:val="00FA4BF6"/>
    <w:rsid w:val="00FA4BF9"/>
    <w:rsid w:val="00FA5050"/>
    <w:rsid w:val="00FA653A"/>
    <w:rsid w:val="00FA66A8"/>
    <w:rsid w:val="00FA70B0"/>
    <w:rsid w:val="00FA7417"/>
    <w:rsid w:val="00FA75CA"/>
    <w:rsid w:val="00FA7890"/>
    <w:rsid w:val="00FA7ECA"/>
    <w:rsid w:val="00FB0561"/>
    <w:rsid w:val="00FB0AF1"/>
    <w:rsid w:val="00FB19B9"/>
    <w:rsid w:val="00FB1B03"/>
    <w:rsid w:val="00FB1C38"/>
    <w:rsid w:val="00FB2884"/>
    <w:rsid w:val="00FB3067"/>
    <w:rsid w:val="00FB31B2"/>
    <w:rsid w:val="00FB34B2"/>
    <w:rsid w:val="00FB4451"/>
    <w:rsid w:val="00FB4495"/>
    <w:rsid w:val="00FB489D"/>
    <w:rsid w:val="00FB545B"/>
    <w:rsid w:val="00FB5710"/>
    <w:rsid w:val="00FB5864"/>
    <w:rsid w:val="00FB60B2"/>
    <w:rsid w:val="00FB6897"/>
    <w:rsid w:val="00FB7414"/>
    <w:rsid w:val="00FB7BF1"/>
    <w:rsid w:val="00FB7D8C"/>
    <w:rsid w:val="00FC0317"/>
    <w:rsid w:val="00FC087E"/>
    <w:rsid w:val="00FC0C4C"/>
    <w:rsid w:val="00FC1414"/>
    <w:rsid w:val="00FC1D66"/>
    <w:rsid w:val="00FC257F"/>
    <w:rsid w:val="00FC2745"/>
    <w:rsid w:val="00FC3565"/>
    <w:rsid w:val="00FC3AD1"/>
    <w:rsid w:val="00FC3F3D"/>
    <w:rsid w:val="00FC50A1"/>
    <w:rsid w:val="00FC5B68"/>
    <w:rsid w:val="00FC6D13"/>
    <w:rsid w:val="00FD04D4"/>
    <w:rsid w:val="00FD063E"/>
    <w:rsid w:val="00FD07AE"/>
    <w:rsid w:val="00FD1375"/>
    <w:rsid w:val="00FD171C"/>
    <w:rsid w:val="00FD177C"/>
    <w:rsid w:val="00FD183A"/>
    <w:rsid w:val="00FD2F07"/>
    <w:rsid w:val="00FD33D2"/>
    <w:rsid w:val="00FD3B21"/>
    <w:rsid w:val="00FD433C"/>
    <w:rsid w:val="00FD4DB9"/>
    <w:rsid w:val="00FD569D"/>
    <w:rsid w:val="00FD5BE6"/>
    <w:rsid w:val="00FD60ED"/>
    <w:rsid w:val="00FD685C"/>
    <w:rsid w:val="00FD7C86"/>
    <w:rsid w:val="00FD7FCD"/>
    <w:rsid w:val="00FE00CE"/>
    <w:rsid w:val="00FE0106"/>
    <w:rsid w:val="00FE0B74"/>
    <w:rsid w:val="00FE2571"/>
    <w:rsid w:val="00FE27FB"/>
    <w:rsid w:val="00FE29AD"/>
    <w:rsid w:val="00FE3A6C"/>
    <w:rsid w:val="00FE40CC"/>
    <w:rsid w:val="00FE44E0"/>
    <w:rsid w:val="00FE4728"/>
    <w:rsid w:val="00FE5182"/>
    <w:rsid w:val="00FE5426"/>
    <w:rsid w:val="00FE5787"/>
    <w:rsid w:val="00FE5C92"/>
    <w:rsid w:val="00FE5E74"/>
    <w:rsid w:val="00FE6070"/>
    <w:rsid w:val="00FE65D1"/>
    <w:rsid w:val="00FE6AE9"/>
    <w:rsid w:val="00FE6CE9"/>
    <w:rsid w:val="00FE6EB3"/>
    <w:rsid w:val="00FE713E"/>
    <w:rsid w:val="00FF0249"/>
    <w:rsid w:val="00FF0261"/>
    <w:rsid w:val="00FF07F1"/>
    <w:rsid w:val="00FF0ACF"/>
    <w:rsid w:val="00FF0D45"/>
    <w:rsid w:val="00FF0F8E"/>
    <w:rsid w:val="00FF1185"/>
    <w:rsid w:val="00FF1561"/>
    <w:rsid w:val="00FF1F01"/>
    <w:rsid w:val="00FF2031"/>
    <w:rsid w:val="00FF242F"/>
    <w:rsid w:val="00FF2A59"/>
    <w:rsid w:val="00FF37FB"/>
    <w:rsid w:val="00FF3E2B"/>
    <w:rsid w:val="00FF3F2A"/>
    <w:rsid w:val="00FF439F"/>
    <w:rsid w:val="00FF4FFD"/>
    <w:rsid w:val="00FF5CA0"/>
    <w:rsid w:val="00FF6117"/>
    <w:rsid w:val="00FF66AE"/>
    <w:rsid w:val="00FF670E"/>
    <w:rsid w:val="00FF6C18"/>
    <w:rsid w:val="00FF6D6A"/>
    <w:rsid w:val="00FF72B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style="mso-width-relative:margin;mso-height-relative:margin" fillcolor="white">
      <v:fill color="white"/>
      <v:textbox style="layout-flow:vertical-ideographic"/>
    </o:shapedefaults>
    <o:shapelayout v:ext="edit">
      <o:idmap v:ext="edit" data="1"/>
    </o:shapelayout>
  </w:shapeDefaults>
  <w:decimalSymbol w:val="."/>
  <w:listSeparator w:val=","/>
  <w15:chartTrackingRefBased/>
  <w15:docId w15:val="{06E6A9E0-E6E3-47DF-B4D8-52EEB711B9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header" w:uiPriority="99"/>
    <w:lsdException w:name="footer" w:uiPriority="99"/>
    <w:lsdException w:name="caption" w:semiHidden="1" w:unhideWhenUsed="1" w:qFormat="1"/>
    <w:lsdException w:name="footnote reference" w:qFormat="1"/>
    <w:lsdException w:name="List Bullet" w:uiPriority="99"/>
    <w:lsdException w:name="Title" w:qFormat="1"/>
    <w:lsdException w:name="Closing" w:uiPriority="99"/>
    <w:lsdException w:name="Body Text Indent" w:uiPriority="99"/>
    <w:lsdException w:name="Subtitle" w:qFormat="1"/>
    <w:lsdException w:name="Salutation" w:uiPriority="99"/>
    <w:lsdException w:name="Hyperlink" w:uiPriority="99"/>
    <w:lsdException w:name="Strong" w:uiPriority="22" w:qFormat="1"/>
    <w:lsdException w:name="Emphasis" w:uiPriority="20" w:qFormat="1"/>
    <w:lsdException w:name="Plain Text" w:uiPriority="99"/>
    <w:lsdException w:name="Normal (Web)"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742D23"/>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6515E4"/>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iPriority w:val="9"/>
    <w:semiHidden/>
    <w:unhideWhenUsed/>
    <w:qFormat/>
    <w:rsid w:val="006515E4"/>
    <w:pPr>
      <w:keepNext/>
      <w:spacing w:line="720" w:lineRule="atLeast"/>
      <w:outlineLvl w:val="1"/>
    </w:pPr>
    <w:rPr>
      <w:rFonts w:ascii="Cambria" w:eastAsia="新細明體" w:hAnsi="Cambria"/>
      <w:b/>
      <w:bCs/>
      <w:sz w:val="48"/>
      <w:szCs w:val="48"/>
    </w:rPr>
  </w:style>
  <w:style w:type="paragraph" w:styleId="3">
    <w:name w:val="heading 3"/>
    <w:basedOn w:val="a"/>
    <w:next w:val="a"/>
    <w:link w:val="30"/>
    <w:uiPriority w:val="9"/>
    <w:semiHidden/>
    <w:unhideWhenUsed/>
    <w:qFormat/>
    <w:rsid w:val="006515E4"/>
    <w:pPr>
      <w:keepNext/>
      <w:spacing w:line="720" w:lineRule="atLeast"/>
      <w:outlineLvl w:val="2"/>
    </w:pPr>
    <w:rPr>
      <w:rFonts w:ascii="Cambria" w:eastAsia="新細明體" w:hAnsi="Cambria"/>
      <w:b/>
      <w:bCs/>
      <w:sz w:val="36"/>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uiPriority w:val="99"/>
    <w:semiHidden/>
  </w:style>
  <w:style w:type="character" w:customStyle="1" w:styleId="10">
    <w:name w:val="標題 1 字元"/>
    <w:link w:val="1"/>
    <w:uiPriority w:val="9"/>
    <w:rsid w:val="006515E4"/>
    <w:rPr>
      <w:rFonts w:ascii="Cambria" w:hAnsi="Cambria"/>
      <w:b/>
      <w:bCs/>
      <w:snapToGrid w:val="0"/>
      <w:kern w:val="52"/>
      <w:sz w:val="52"/>
      <w:szCs w:val="52"/>
    </w:rPr>
  </w:style>
  <w:style w:type="character" w:customStyle="1" w:styleId="20">
    <w:name w:val="標題 2 字元"/>
    <w:link w:val="2"/>
    <w:uiPriority w:val="9"/>
    <w:semiHidden/>
    <w:rsid w:val="006515E4"/>
    <w:rPr>
      <w:rFonts w:ascii="Cambria" w:hAnsi="Cambria"/>
      <w:b/>
      <w:bCs/>
      <w:snapToGrid w:val="0"/>
      <w:kern w:val="2"/>
      <w:sz w:val="48"/>
      <w:szCs w:val="48"/>
    </w:rPr>
  </w:style>
  <w:style w:type="character" w:customStyle="1" w:styleId="30">
    <w:name w:val="標題 3 字元"/>
    <w:link w:val="3"/>
    <w:uiPriority w:val="9"/>
    <w:semiHidden/>
    <w:rsid w:val="006515E4"/>
    <w:rPr>
      <w:rFonts w:ascii="Cambria" w:hAnsi="Cambria"/>
      <w:b/>
      <w:bCs/>
      <w:snapToGrid w:val="0"/>
      <w:kern w:val="2"/>
      <w:sz w:val="36"/>
      <w:szCs w:val="36"/>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character" w:customStyle="1" w:styleId="140">
    <w:name w:val="第二層(14號字) 字元"/>
    <w:link w:val="14"/>
    <w:rsid w:val="006515E4"/>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rsid w:val="00D535A1"/>
    <w:pPr>
      <w:ind w:left="849" w:hangingChars="100" w:hanging="283"/>
    </w:pPr>
    <w:rPr>
      <w:rFonts w:hAnsi="標楷體"/>
    </w:rPr>
  </w:style>
  <w:style w:type="character" w:customStyle="1" w:styleId="a5">
    <w:name w:val="(一)(二)(三) 字元"/>
    <w:link w:val="a4"/>
    <w:rsid w:val="00D535A1"/>
    <w:rPr>
      <w:rFonts w:ascii="標楷體" w:eastAsia="標楷體" w:hAnsi="標楷體"/>
      <w:snapToGrid w:val="0"/>
      <w:kern w:val="2"/>
      <w:sz w:val="28"/>
      <w:szCs w:val="28"/>
    </w:rPr>
  </w:style>
  <w:style w:type="paragraph" w:customStyle="1" w:styleId="a6">
    <w:name w:val="(一)下內文"/>
    <w:basedOn w:val="a4"/>
    <w:rsid w:val="004220EB"/>
    <w:pPr>
      <w:adjustRightInd w:val="0"/>
      <w:ind w:leftChars="300" w:firstLineChars="0" w:firstLine="0"/>
    </w:pPr>
  </w:style>
  <w:style w:type="paragraph" w:customStyle="1" w:styleId="123">
    <w:name w:val="1.2.3."/>
    <w:basedOn w:val="a6"/>
    <w:rsid w:val="00C97A62"/>
    <w:pPr>
      <w:adjustRightInd/>
      <w:ind w:left="1133" w:hangingChars="100" w:hanging="283"/>
    </w:pPr>
    <w:rPr>
      <w:rFonts w:ascii="華康細明體外字集" w:cs="標楷體"/>
      <w:color w:val="000000"/>
    </w:rPr>
  </w:style>
  <w:style w:type="paragraph" w:customStyle="1" w:styleId="a7">
    <w:name w:val="結論"/>
    <w:basedOn w:val="a6"/>
    <w:autoRedefine/>
    <w:rsid w:val="004220EB"/>
    <w:pPr>
      <w:adjustRightInd/>
      <w:ind w:leftChars="200" w:left="200" w:firstLineChars="200" w:firstLine="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rsid w:val="0095411E"/>
    <w:pPr>
      <w:spacing w:line="280" w:lineRule="exact"/>
      <w:ind w:leftChars="0" w:left="0" w:firstLineChars="0" w:firstLine="0"/>
      <w:jc w:val="left"/>
    </w:pPr>
    <w:rPr>
      <w:sz w:val="24"/>
    </w:rPr>
  </w:style>
  <w:style w:type="paragraph" w:styleId="a9">
    <w:name w:val="table of figures"/>
    <w:basedOn w:val="a"/>
    <w:next w:val="a"/>
    <w:semiHidden/>
    <w:pPr>
      <w:ind w:leftChars="400" w:left="960" w:hangingChars="200" w:hanging="480"/>
    </w:pPr>
  </w:style>
  <w:style w:type="character" w:customStyle="1" w:styleId="143">
    <w:name w:val="表格內文(14行高) 字元"/>
    <w:link w:val="142"/>
    <w:rsid w:val="0095411E"/>
    <w:rPr>
      <w:rFonts w:ascii="標楷體" w:eastAsia="標楷體"/>
      <w:snapToGrid w:val="0"/>
      <w:kern w:val="2"/>
      <w:sz w:val="24"/>
      <w:szCs w:val="28"/>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link w:val="ac"/>
    <w:pPr>
      <w:ind w:leftChars="0" w:left="0" w:firstLineChars="0" w:firstLine="0"/>
      <w:jc w:val="right"/>
    </w:pPr>
    <w:rPr>
      <w:sz w:val="24"/>
    </w:rPr>
  </w:style>
  <w:style w:type="character" w:customStyle="1" w:styleId="ac">
    <w:name w:val="姓名及分機 字元"/>
    <w:link w:val="ab"/>
    <w:rsid w:val="006515E4"/>
    <w:rPr>
      <w:rFonts w:ascii="標楷體" w:eastAsia="標楷體"/>
      <w:snapToGrid w:val="0"/>
      <w:kern w:val="2"/>
      <w:sz w:val="24"/>
      <w:szCs w:val="28"/>
    </w:rPr>
  </w:style>
  <w:style w:type="paragraph" w:customStyle="1" w:styleId="ad">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customStyle="1" w:styleId="201">
    <w:name w:val="表格內文(20行高) 字元"/>
    <w:link w:val="200"/>
    <w:rsid w:val="006515E4"/>
    <w:rPr>
      <w:rFonts w:ascii="標楷體" w:eastAsia="標楷體"/>
      <w:snapToGrid w:val="0"/>
      <w:kern w:val="2"/>
      <w:sz w:val="24"/>
      <w:szCs w:val="28"/>
    </w:rPr>
  </w:style>
  <w:style w:type="paragraph" w:customStyle="1" w:styleId="21">
    <w:name w:val="(一)下內文縮2"/>
    <w:basedOn w:val="a"/>
    <w:link w:val="22"/>
    <w:qFormat/>
    <w:rsid w:val="00C97A62"/>
    <w:pPr>
      <w:adjustRightInd w:val="0"/>
      <w:ind w:leftChars="300" w:left="300"/>
    </w:pPr>
  </w:style>
  <w:style w:type="character" w:customStyle="1" w:styleId="22">
    <w:name w:val="(一)下內文縮2 字元"/>
    <w:link w:val="21"/>
    <w:rsid w:val="00C97A62"/>
    <w:rPr>
      <w:rFonts w:ascii="標楷體" w:eastAsia="標楷體"/>
      <w:snapToGrid w:val="0"/>
      <w:kern w:val="2"/>
      <w:sz w:val="28"/>
      <w:szCs w:val="28"/>
    </w:rPr>
  </w:style>
  <w:style w:type="paragraph" w:styleId="11">
    <w:name w:val="toc 1"/>
    <w:basedOn w:val="a"/>
    <w:next w:val="a"/>
    <w:autoRedefine/>
    <w:uiPriority w:val="39"/>
    <w:qFormat/>
    <w:rsid w:val="008E4E0D"/>
    <w:pPr>
      <w:tabs>
        <w:tab w:val="right" w:leader="hyphen" w:pos="8505"/>
      </w:tabs>
      <w:ind w:leftChars="0" w:left="487" w:rightChars="99" w:right="280" w:hangingChars="200" w:hanging="487"/>
    </w:pPr>
    <w:rPr>
      <w:b/>
      <w:sz w:val="24"/>
    </w:rPr>
  </w:style>
  <w:style w:type="paragraph" w:styleId="23">
    <w:name w:val="toc 2"/>
    <w:basedOn w:val="a"/>
    <w:next w:val="a"/>
    <w:autoRedefine/>
    <w:uiPriority w:val="39"/>
    <w:qFormat/>
    <w:rsid w:val="00B01448"/>
    <w:pPr>
      <w:tabs>
        <w:tab w:val="right" w:leader="hyphen" w:pos="8505"/>
      </w:tabs>
      <w:ind w:leftChars="0" w:left="487" w:rightChars="149" w:right="422" w:hangingChars="200" w:hanging="487"/>
    </w:pPr>
    <w:rPr>
      <w:noProof/>
      <w:sz w:val="24"/>
    </w:rPr>
  </w:style>
  <w:style w:type="character" w:styleId="ae">
    <w:name w:val="Hyperlink"/>
    <w:uiPriority w:val="99"/>
    <w:rsid w:val="008E4E0D"/>
    <w:rPr>
      <w:b/>
      <w:color w:val="0000FF"/>
      <w:u w:val="single"/>
    </w:rPr>
  </w:style>
  <w:style w:type="paragraph" w:styleId="af">
    <w:name w:val="footnote text"/>
    <w:basedOn w:val="a"/>
    <w:link w:val="af0"/>
    <w:unhideWhenUsed/>
    <w:rsid w:val="006515E4"/>
    <w:pPr>
      <w:snapToGrid w:val="0"/>
      <w:jc w:val="left"/>
    </w:pPr>
    <w:rPr>
      <w:sz w:val="20"/>
      <w:szCs w:val="20"/>
    </w:rPr>
  </w:style>
  <w:style w:type="character" w:customStyle="1" w:styleId="af0">
    <w:name w:val="註腳文字 字元"/>
    <w:link w:val="af"/>
    <w:rsid w:val="006515E4"/>
    <w:rPr>
      <w:rFonts w:ascii="標楷體" w:eastAsia="標楷體"/>
      <w:snapToGrid w:val="0"/>
      <w:kern w:val="2"/>
    </w:rPr>
  </w:style>
  <w:style w:type="character" w:styleId="af1">
    <w:name w:val="footnote reference"/>
    <w:aliases w:val="FR,Ref,de nota al pie,註腳內容,Error-Fußnotenzeichen5,Error-Fußnotenzeichen6,Error-Fußnotenzeichen3,Error-Fusnotßnotenzeichen5,Error-Fußnotenzeic"/>
    <w:unhideWhenUsed/>
    <w:qFormat/>
    <w:rsid w:val="006515E4"/>
    <w:rPr>
      <w:vertAlign w:val="superscript"/>
    </w:rPr>
  </w:style>
  <w:style w:type="table" w:styleId="af2">
    <w:name w:val="Table Grid"/>
    <w:basedOn w:val="a1"/>
    <w:uiPriority w:val="59"/>
    <w:rsid w:val="006515E4"/>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header"/>
    <w:basedOn w:val="a"/>
    <w:link w:val="af4"/>
    <w:uiPriority w:val="99"/>
    <w:unhideWhenUsed/>
    <w:rsid w:val="006515E4"/>
    <w:pPr>
      <w:tabs>
        <w:tab w:val="center" w:pos="4153"/>
        <w:tab w:val="right" w:pos="8306"/>
      </w:tabs>
      <w:snapToGrid w:val="0"/>
    </w:pPr>
    <w:rPr>
      <w:sz w:val="20"/>
      <w:szCs w:val="20"/>
    </w:rPr>
  </w:style>
  <w:style w:type="character" w:customStyle="1" w:styleId="af4">
    <w:name w:val="頁首 字元"/>
    <w:link w:val="af3"/>
    <w:uiPriority w:val="99"/>
    <w:rsid w:val="006515E4"/>
    <w:rPr>
      <w:rFonts w:ascii="標楷體" w:eastAsia="標楷體"/>
      <w:snapToGrid w:val="0"/>
      <w:kern w:val="2"/>
    </w:rPr>
  </w:style>
  <w:style w:type="paragraph" w:styleId="af5">
    <w:name w:val="footer"/>
    <w:basedOn w:val="a"/>
    <w:link w:val="af6"/>
    <w:uiPriority w:val="99"/>
    <w:unhideWhenUsed/>
    <w:rsid w:val="006515E4"/>
    <w:pPr>
      <w:tabs>
        <w:tab w:val="center" w:pos="4153"/>
        <w:tab w:val="right" w:pos="8306"/>
      </w:tabs>
      <w:snapToGrid w:val="0"/>
    </w:pPr>
    <w:rPr>
      <w:sz w:val="20"/>
      <w:szCs w:val="20"/>
    </w:rPr>
  </w:style>
  <w:style w:type="character" w:customStyle="1" w:styleId="af6">
    <w:name w:val="頁尾 字元"/>
    <w:link w:val="af5"/>
    <w:uiPriority w:val="99"/>
    <w:rsid w:val="006515E4"/>
    <w:rPr>
      <w:rFonts w:ascii="標楷體" w:eastAsia="標楷體"/>
      <w:snapToGrid w:val="0"/>
      <w:kern w:val="2"/>
    </w:rPr>
  </w:style>
  <w:style w:type="paragraph" w:customStyle="1" w:styleId="4">
    <w:name w:val="字元 字元4"/>
    <w:basedOn w:val="a"/>
    <w:semiHidden/>
    <w:rsid w:val="006515E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7">
    <w:name w:val="TOC Heading"/>
    <w:basedOn w:val="1"/>
    <w:next w:val="a"/>
    <w:uiPriority w:val="39"/>
    <w:semiHidden/>
    <w:unhideWhenUsed/>
    <w:qFormat/>
    <w:rsid w:val="006515E4"/>
    <w:pPr>
      <w:keepLines/>
      <w:widowControl/>
      <w:spacing w:before="480" w:after="0" w:line="276" w:lineRule="auto"/>
      <w:ind w:leftChars="0" w:left="0" w:firstLineChars="0" w:firstLine="0"/>
      <w:jc w:val="left"/>
      <w:outlineLvl w:val="9"/>
    </w:pPr>
    <w:rPr>
      <w:snapToGrid/>
      <w:color w:val="365F91"/>
      <w:kern w:val="0"/>
      <w:sz w:val="28"/>
      <w:szCs w:val="28"/>
    </w:rPr>
  </w:style>
  <w:style w:type="paragraph" w:styleId="31">
    <w:name w:val="toc 3"/>
    <w:basedOn w:val="a"/>
    <w:next w:val="a"/>
    <w:autoRedefine/>
    <w:uiPriority w:val="39"/>
    <w:unhideWhenUsed/>
    <w:qFormat/>
    <w:rsid w:val="006515E4"/>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styleId="af8">
    <w:name w:val="Balloon Text"/>
    <w:basedOn w:val="a"/>
    <w:link w:val="af9"/>
    <w:uiPriority w:val="99"/>
    <w:unhideWhenUsed/>
    <w:rsid w:val="006515E4"/>
    <w:pPr>
      <w:spacing w:line="240" w:lineRule="auto"/>
    </w:pPr>
    <w:rPr>
      <w:rFonts w:ascii="Cambria" w:eastAsia="新細明體" w:hAnsi="Cambria"/>
      <w:sz w:val="18"/>
      <w:szCs w:val="18"/>
    </w:rPr>
  </w:style>
  <w:style w:type="character" w:customStyle="1" w:styleId="af9">
    <w:name w:val="註解方塊文字 字元"/>
    <w:link w:val="af8"/>
    <w:uiPriority w:val="99"/>
    <w:rsid w:val="006515E4"/>
    <w:rPr>
      <w:rFonts w:ascii="Cambria" w:hAnsi="Cambria"/>
      <w:snapToGrid w:val="0"/>
      <w:kern w:val="2"/>
      <w:sz w:val="18"/>
      <w:szCs w:val="18"/>
    </w:rPr>
  </w:style>
  <w:style w:type="paragraph" w:customStyle="1" w:styleId="12">
    <w:name w:val=" 字元 字元1 字元 字元 字元 字元"/>
    <w:basedOn w:val="a"/>
    <w:semiHidden/>
    <w:rsid w:val="006515E4"/>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a">
    <w:name w:val="說明"/>
    <w:basedOn w:val="a"/>
    <w:rsid w:val="009857B6"/>
    <w:pPr>
      <w:spacing w:line="640" w:lineRule="exact"/>
      <w:ind w:leftChars="0" w:left="952" w:firstLineChars="0" w:hanging="952"/>
      <w:jc w:val="left"/>
    </w:pPr>
    <w:rPr>
      <w:rFonts w:ascii="Arial" w:hAnsi="Arial"/>
      <w:snapToGrid/>
      <w:sz w:val="32"/>
      <w:szCs w:val="24"/>
    </w:rPr>
  </w:style>
  <w:style w:type="paragraph" w:styleId="afb">
    <w:name w:val="List Bullet"/>
    <w:basedOn w:val="a"/>
    <w:uiPriority w:val="99"/>
    <w:unhideWhenUsed/>
    <w:rsid w:val="006515E4"/>
    <w:pPr>
      <w:tabs>
        <w:tab w:val="num" w:pos="361"/>
      </w:tabs>
      <w:ind w:left="361" w:hangingChars="200" w:hanging="360"/>
      <w:contextualSpacing/>
    </w:pPr>
  </w:style>
  <w:style w:type="paragraph" w:customStyle="1" w:styleId="24">
    <w:name w:val=" 字元 字元2"/>
    <w:basedOn w:val="a"/>
    <w:semiHidden/>
    <w:rsid w:val="002723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45">
    <w:name w:val="表格內文(14行高) 字元 字元"/>
    <w:basedOn w:val="a9"/>
    <w:link w:val="146"/>
    <w:rsid w:val="00DD3019"/>
    <w:pPr>
      <w:spacing w:line="280" w:lineRule="exact"/>
      <w:ind w:leftChars="0" w:left="0" w:firstLineChars="0" w:firstLine="0"/>
      <w:jc w:val="left"/>
    </w:pPr>
    <w:rPr>
      <w:sz w:val="24"/>
    </w:rPr>
  </w:style>
  <w:style w:type="character" w:customStyle="1" w:styleId="146">
    <w:name w:val="表格內文(14行高) 字元 字元 字元"/>
    <w:link w:val="145"/>
    <w:rsid w:val="00DD3019"/>
    <w:rPr>
      <w:rFonts w:ascii="標楷體" w:eastAsia="標楷體"/>
      <w:snapToGrid w:val="0"/>
      <w:kern w:val="2"/>
      <w:sz w:val="24"/>
      <w:szCs w:val="28"/>
    </w:rPr>
  </w:style>
  <w:style w:type="paragraph" w:customStyle="1" w:styleId="5">
    <w:name w:val=" 字元 字元5 字元"/>
    <w:basedOn w:val="a"/>
    <w:semiHidden/>
    <w:rsid w:val="00EE000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13">
    <w:name w:val="表格格線1"/>
    <w:basedOn w:val="a1"/>
    <w:next w:val="af2"/>
    <w:uiPriority w:val="59"/>
    <w:rsid w:val="004943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c">
    <w:name w:val="一"/>
    <w:basedOn w:val="a"/>
    <w:rsid w:val="00DC2029"/>
    <w:pPr>
      <w:spacing w:line="240" w:lineRule="auto"/>
      <w:ind w:leftChars="0" w:left="0" w:firstLineChars="0" w:firstLine="0"/>
      <w:jc w:val="left"/>
    </w:pPr>
    <w:rPr>
      <w:rFonts w:hAnsi="標楷體"/>
      <w:snapToGrid/>
      <w:sz w:val="32"/>
      <w:szCs w:val="32"/>
    </w:rPr>
  </w:style>
  <w:style w:type="table" w:customStyle="1" w:styleId="25">
    <w:name w:val="表格格線2"/>
    <w:basedOn w:val="a1"/>
    <w:next w:val="af2"/>
    <w:uiPriority w:val="59"/>
    <w:rsid w:val="006D46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表格格線3"/>
    <w:basedOn w:val="a1"/>
    <w:next w:val="af2"/>
    <w:uiPriority w:val="59"/>
    <w:rsid w:val="00332A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d">
    <w:name w:val="FollowedHyperlink"/>
    <w:rsid w:val="0040024B"/>
    <w:rPr>
      <w:color w:val="954F72"/>
      <w:u w:val="single"/>
    </w:rPr>
  </w:style>
  <w:style w:type="table" w:customStyle="1" w:styleId="40">
    <w:name w:val="表格格線4"/>
    <w:basedOn w:val="a1"/>
    <w:next w:val="af2"/>
    <w:uiPriority w:val="59"/>
    <w:rsid w:val="00B049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e">
    <w:name w:val="annotation reference"/>
    <w:rsid w:val="00C21152"/>
    <w:rPr>
      <w:sz w:val="18"/>
      <w:szCs w:val="18"/>
    </w:rPr>
  </w:style>
  <w:style w:type="paragraph" w:styleId="aff">
    <w:name w:val="annotation text"/>
    <w:basedOn w:val="a"/>
    <w:link w:val="aff0"/>
    <w:rsid w:val="00C21152"/>
    <w:pPr>
      <w:jc w:val="left"/>
    </w:pPr>
  </w:style>
  <w:style w:type="character" w:customStyle="1" w:styleId="aff0">
    <w:name w:val="註解文字 字元"/>
    <w:link w:val="aff"/>
    <w:rsid w:val="00C21152"/>
    <w:rPr>
      <w:rFonts w:ascii="標楷體" w:eastAsia="標楷體"/>
      <w:snapToGrid w:val="0"/>
      <w:kern w:val="2"/>
      <w:sz w:val="28"/>
      <w:szCs w:val="28"/>
    </w:rPr>
  </w:style>
  <w:style w:type="paragraph" w:styleId="aff1">
    <w:name w:val="annotation subject"/>
    <w:basedOn w:val="aff"/>
    <w:next w:val="aff"/>
    <w:link w:val="aff2"/>
    <w:rsid w:val="00C21152"/>
    <w:rPr>
      <w:b/>
      <w:bCs/>
    </w:rPr>
  </w:style>
  <w:style w:type="character" w:customStyle="1" w:styleId="aff2">
    <w:name w:val="註解主旨 字元"/>
    <w:link w:val="aff1"/>
    <w:rsid w:val="00C21152"/>
    <w:rPr>
      <w:rFonts w:ascii="標楷體" w:eastAsia="標楷體"/>
      <w:b/>
      <w:bCs/>
      <w:snapToGrid w:val="0"/>
      <w:kern w:val="2"/>
      <w:sz w:val="28"/>
      <w:szCs w:val="28"/>
    </w:rPr>
  </w:style>
  <w:style w:type="character" w:customStyle="1" w:styleId="1410">
    <w:name w:val="第二層(14號字) 字元1"/>
    <w:rsid w:val="003834ED"/>
    <w:rPr>
      <w:rFonts w:ascii="標楷體" w:eastAsia="標楷體"/>
      <w:b/>
      <w:snapToGrid w:val="0"/>
      <w:kern w:val="2"/>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300461">
      <w:bodyDiv w:val="1"/>
      <w:marLeft w:val="0"/>
      <w:marRight w:val="0"/>
      <w:marTop w:val="0"/>
      <w:marBottom w:val="0"/>
      <w:divBdr>
        <w:top w:val="none" w:sz="0" w:space="0" w:color="auto"/>
        <w:left w:val="none" w:sz="0" w:space="0" w:color="auto"/>
        <w:bottom w:val="none" w:sz="0" w:space="0" w:color="auto"/>
        <w:right w:val="none" w:sz="0" w:space="0" w:color="auto"/>
      </w:divBdr>
    </w:div>
    <w:div w:id="101075802">
      <w:bodyDiv w:val="1"/>
      <w:marLeft w:val="0"/>
      <w:marRight w:val="0"/>
      <w:marTop w:val="0"/>
      <w:marBottom w:val="0"/>
      <w:divBdr>
        <w:top w:val="none" w:sz="0" w:space="0" w:color="auto"/>
        <w:left w:val="none" w:sz="0" w:space="0" w:color="auto"/>
        <w:bottom w:val="none" w:sz="0" w:space="0" w:color="auto"/>
        <w:right w:val="none" w:sz="0" w:space="0" w:color="auto"/>
      </w:divBdr>
    </w:div>
    <w:div w:id="193423752">
      <w:bodyDiv w:val="1"/>
      <w:marLeft w:val="0"/>
      <w:marRight w:val="0"/>
      <w:marTop w:val="0"/>
      <w:marBottom w:val="0"/>
      <w:divBdr>
        <w:top w:val="none" w:sz="0" w:space="0" w:color="auto"/>
        <w:left w:val="none" w:sz="0" w:space="0" w:color="auto"/>
        <w:bottom w:val="none" w:sz="0" w:space="0" w:color="auto"/>
        <w:right w:val="none" w:sz="0" w:space="0" w:color="auto"/>
      </w:divBdr>
    </w:div>
    <w:div w:id="335957061">
      <w:bodyDiv w:val="1"/>
      <w:marLeft w:val="0"/>
      <w:marRight w:val="0"/>
      <w:marTop w:val="0"/>
      <w:marBottom w:val="0"/>
      <w:divBdr>
        <w:top w:val="none" w:sz="0" w:space="0" w:color="auto"/>
        <w:left w:val="none" w:sz="0" w:space="0" w:color="auto"/>
        <w:bottom w:val="none" w:sz="0" w:space="0" w:color="auto"/>
        <w:right w:val="none" w:sz="0" w:space="0" w:color="auto"/>
      </w:divBdr>
    </w:div>
    <w:div w:id="663898053">
      <w:bodyDiv w:val="1"/>
      <w:marLeft w:val="0"/>
      <w:marRight w:val="0"/>
      <w:marTop w:val="0"/>
      <w:marBottom w:val="0"/>
      <w:divBdr>
        <w:top w:val="none" w:sz="0" w:space="0" w:color="auto"/>
        <w:left w:val="none" w:sz="0" w:space="0" w:color="auto"/>
        <w:bottom w:val="none" w:sz="0" w:space="0" w:color="auto"/>
        <w:right w:val="none" w:sz="0" w:space="0" w:color="auto"/>
      </w:divBdr>
    </w:div>
    <w:div w:id="664671952">
      <w:bodyDiv w:val="1"/>
      <w:marLeft w:val="0"/>
      <w:marRight w:val="0"/>
      <w:marTop w:val="0"/>
      <w:marBottom w:val="0"/>
      <w:divBdr>
        <w:top w:val="none" w:sz="0" w:space="0" w:color="auto"/>
        <w:left w:val="none" w:sz="0" w:space="0" w:color="auto"/>
        <w:bottom w:val="none" w:sz="0" w:space="0" w:color="auto"/>
        <w:right w:val="none" w:sz="0" w:space="0" w:color="auto"/>
      </w:divBdr>
      <w:divsChild>
        <w:div w:id="1483885664">
          <w:marLeft w:val="0"/>
          <w:marRight w:val="0"/>
          <w:marTop w:val="0"/>
          <w:marBottom w:val="0"/>
          <w:divBdr>
            <w:top w:val="none" w:sz="0" w:space="0" w:color="auto"/>
            <w:left w:val="none" w:sz="0" w:space="0" w:color="auto"/>
            <w:bottom w:val="none" w:sz="0" w:space="0" w:color="auto"/>
            <w:right w:val="none" w:sz="0" w:space="0" w:color="auto"/>
          </w:divBdr>
          <w:divsChild>
            <w:div w:id="873885576">
              <w:marLeft w:val="0"/>
              <w:marRight w:val="0"/>
              <w:marTop w:val="0"/>
              <w:marBottom w:val="0"/>
              <w:divBdr>
                <w:top w:val="none" w:sz="0" w:space="0" w:color="auto"/>
                <w:left w:val="none" w:sz="0" w:space="0" w:color="auto"/>
                <w:bottom w:val="none" w:sz="0" w:space="0" w:color="auto"/>
                <w:right w:val="none" w:sz="0" w:space="0" w:color="auto"/>
              </w:divBdr>
              <w:divsChild>
                <w:div w:id="1076826098">
                  <w:marLeft w:val="0"/>
                  <w:marRight w:val="0"/>
                  <w:marTop w:val="0"/>
                  <w:marBottom w:val="0"/>
                  <w:divBdr>
                    <w:top w:val="none" w:sz="0" w:space="0" w:color="auto"/>
                    <w:left w:val="none" w:sz="0" w:space="0" w:color="auto"/>
                    <w:bottom w:val="none" w:sz="0" w:space="0" w:color="auto"/>
                    <w:right w:val="none" w:sz="0" w:space="0" w:color="auto"/>
                  </w:divBdr>
                  <w:divsChild>
                    <w:div w:id="281308179">
                      <w:marLeft w:val="10"/>
                      <w:marRight w:val="0"/>
                      <w:marTop w:val="0"/>
                      <w:marBottom w:val="0"/>
                      <w:divBdr>
                        <w:top w:val="none" w:sz="0" w:space="0" w:color="auto"/>
                        <w:left w:val="none" w:sz="0" w:space="0" w:color="auto"/>
                        <w:bottom w:val="none" w:sz="0" w:space="0" w:color="auto"/>
                        <w:right w:val="none" w:sz="0" w:space="0" w:color="auto"/>
                      </w:divBdr>
                      <w:divsChild>
                        <w:div w:id="1968391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9918063">
      <w:bodyDiv w:val="1"/>
      <w:marLeft w:val="0"/>
      <w:marRight w:val="0"/>
      <w:marTop w:val="0"/>
      <w:marBottom w:val="0"/>
      <w:divBdr>
        <w:top w:val="none" w:sz="0" w:space="0" w:color="auto"/>
        <w:left w:val="none" w:sz="0" w:space="0" w:color="auto"/>
        <w:bottom w:val="none" w:sz="0" w:space="0" w:color="auto"/>
        <w:right w:val="none" w:sz="0" w:space="0" w:color="auto"/>
      </w:divBdr>
    </w:div>
    <w:div w:id="747310065">
      <w:bodyDiv w:val="1"/>
      <w:marLeft w:val="0"/>
      <w:marRight w:val="0"/>
      <w:marTop w:val="0"/>
      <w:marBottom w:val="0"/>
      <w:divBdr>
        <w:top w:val="none" w:sz="0" w:space="0" w:color="auto"/>
        <w:left w:val="none" w:sz="0" w:space="0" w:color="auto"/>
        <w:bottom w:val="none" w:sz="0" w:space="0" w:color="auto"/>
        <w:right w:val="none" w:sz="0" w:space="0" w:color="auto"/>
      </w:divBdr>
    </w:div>
    <w:div w:id="782840945">
      <w:bodyDiv w:val="1"/>
      <w:marLeft w:val="0"/>
      <w:marRight w:val="0"/>
      <w:marTop w:val="0"/>
      <w:marBottom w:val="0"/>
      <w:divBdr>
        <w:top w:val="none" w:sz="0" w:space="0" w:color="auto"/>
        <w:left w:val="none" w:sz="0" w:space="0" w:color="auto"/>
        <w:bottom w:val="none" w:sz="0" w:space="0" w:color="auto"/>
        <w:right w:val="none" w:sz="0" w:space="0" w:color="auto"/>
      </w:divBdr>
    </w:div>
    <w:div w:id="807238792">
      <w:bodyDiv w:val="1"/>
      <w:marLeft w:val="0"/>
      <w:marRight w:val="0"/>
      <w:marTop w:val="0"/>
      <w:marBottom w:val="0"/>
      <w:divBdr>
        <w:top w:val="none" w:sz="0" w:space="0" w:color="auto"/>
        <w:left w:val="none" w:sz="0" w:space="0" w:color="auto"/>
        <w:bottom w:val="none" w:sz="0" w:space="0" w:color="auto"/>
        <w:right w:val="none" w:sz="0" w:space="0" w:color="auto"/>
      </w:divBdr>
    </w:div>
    <w:div w:id="827671109">
      <w:bodyDiv w:val="1"/>
      <w:marLeft w:val="0"/>
      <w:marRight w:val="0"/>
      <w:marTop w:val="0"/>
      <w:marBottom w:val="0"/>
      <w:divBdr>
        <w:top w:val="none" w:sz="0" w:space="0" w:color="auto"/>
        <w:left w:val="none" w:sz="0" w:space="0" w:color="auto"/>
        <w:bottom w:val="none" w:sz="0" w:space="0" w:color="auto"/>
        <w:right w:val="none" w:sz="0" w:space="0" w:color="auto"/>
      </w:divBdr>
    </w:div>
    <w:div w:id="927033667">
      <w:bodyDiv w:val="1"/>
      <w:marLeft w:val="0"/>
      <w:marRight w:val="0"/>
      <w:marTop w:val="0"/>
      <w:marBottom w:val="0"/>
      <w:divBdr>
        <w:top w:val="none" w:sz="0" w:space="0" w:color="auto"/>
        <w:left w:val="none" w:sz="0" w:space="0" w:color="auto"/>
        <w:bottom w:val="none" w:sz="0" w:space="0" w:color="auto"/>
        <w:right w:val="none" w:sz="0" w:space="0" w:color="auto"/>
      </w:divBdr>
    </w:div>
    <w:div w:id="956639246">
      <w:bodyDiv w:val="1"/>
      <w:marLeft w:val="0"/>
      <w:marRight w:val="0"/>
      <w:marTop w:val="0"/>
      <w:marBottom w:val="0"/>
      <w:divBdr>
        <w:top w:val="none" w:sz="0" w:space="0" w:color="auto"/>
        <w:left w:val="none" w:sz="0" w:space="0" w:color="auto"/>
        <w:bottom w:val="none" w:sz="0" w:space="0" w:color="auto"/>
        <w:right w:val="none" w:sz="0" w:space="0" w:color="auto"/>
      </w:divBdr>
    </w:div>
    <w:div w:id="994799808">
      <w:bodyDiv w:val="1"/>
      <w:marLeft w:val="0"/>
      <w:marRight w:val="0"/>
      <w:marTop w:val="0"/>
      <w:marBottom w:val="0"/>
      <w:divBdr>
        <w:top w:val="none" w:sz="0" w:space="0" w:color="auto"/>
        <w:left w:val="none" w:sz="0" w:space="0" w:color="auto"/>
        <w:bottom w:val="none" w:sz="0" w:space="0" w:color="auto"/>
        <w:right w:val="none" w:sz="0" w:space="0" w:color="auto"/>
      </w:divBdr>
    </w:div>
    <w:div w:id="1032877906">
      <w:bodyDiv w:val="1"/>
      <w:marLeft w:val="0"/>
      <w:marRight w:val="0"/>
      <w:marTop w:val="0"/>
      <w:marBottom w:val="0"/>
      <w:divBdr>
        <w:top w:val="none" w:sz="0" w:space="0" w:color="auto"/>
        <w:left w:val="none" w:sz="0" w:space="0" w:color="auto"/>
        <w:bottom w:val="none" w:sz="0" w:space="0" w:color="auto"/>
        <w:right w:val="none" w:sz="0" w:space="0" w:color="auto"/>
      </w:divBdr>
    </w:div>
    <w:div w:id="1043864956">
      <w:bodyDiv w:val="1"/>
      <w:marLeft w:val="0"/>
      <w:marRight w:val="0"/>
      <w:marTop w:val="0"/>
      <w:marBottom w:val="0"/>
      <w:divBdr>
        <w:top w:val="none" w:sz="0" w:space="0" w:color="auto"/>
        <w:left w:val="none" w:sz="0" w:space="0" w:color="auto"/>
        <w:bottom w:val="none" w:sz="0" w:space="0" w:color="auto"/>
        <w:right w:val="none" w:sz="0" w:space="0" w:color="auto"/>
      </w:divBdr>
      <w:divsChild>
        <w:div w:id="533930598">
          <w:marLeft w:val="0"/>
          <w:marRight w:val="0"/>
          <w:marTop w:val="0"/>
          <w:marBottom w:val="0"/>
          <w:divBdr>
            <w:top w:val="none" w:sz="0" w:space="0" w:color="auto"/>
            <w:left w:val="none" w:sz="0" w:space="0" w:color="auto"/>
            <w:bottom w:val="none" w:sz="0" w:space="0" w:color="auto"/>
            <w:right w:val="none" w:sz="0" w:space="0" w:color="auto"/>
          </w:divBdr>
          <w:divsChild>
            <w:div w:id="1918199609">
              <w:marLeft w:val="0"/>
              <w:marRight w:val="0"/>
              <w:marTop w:val="0"/>
              <w:marBottom w:val="0"/>
              <w:divBdr>
                <w:top w:val="none" w:sz="0" w:space="0" w:color="auto"/>
                <w:left w:val="none" w:sz="0" w:space="0" w:color="auto"/>
                <w:bottom w:val="none" w:sz="0" w:space="0" w:color="auto"/>
                <w:right w:val="none" w:sz="0" w:space="0" w:color="auto"/>
              </w:divBdr>
              <w:divsChild>
                <w:div w:id="234169736">
                  <w:marLeft w:val="0"/>
                  <w:marRight w:val="0"/>
                  <w:marTop w:val="0"/>
                  <w:marBottom w:val="0"/>
                  <w:divBdr>
                    <w:top w:val="none" w:sz="0" w:space="0" w:color="auto"/>
                    <w:left w:val="none" w:sz="0" w:space="0" w:color="auto"/>
                    <w:bottom w:val="none" w:sz="0" w:space="0" w:color="auto"/>
                    <w:right w:val="none" w:sz="0" w:space="0" w:color="auto"/>
                  </w:divBdr>
                  <w:divsChild>
                    <w:div w:id="1950236093">
                      <w:marLeft w:val="0"/>
                      <w:marRight w:val="0"/>
                      <w:marTop w:val="0"/>
                      <w:marBottom w:val="225"/>
                      <w:divBdr>
                        <w:top w:val="single" w:sz="6" w:space="6" w:color="E1E1E1"/>
                        <w:left w:val="single" w:sz="6" w:space="6" w:color="E1E1E1"/>
                        <w:bottom w:val="single" w:sz="6" w:space="6" w:color="E1E1E1"/>
                        <w:right w:val="single" w:sz="6" w:space="6" w:color="E1E1E1"/>
                      </w:divBdr>
                      <w:divsChild>
                        <w:div w:id="1979334967">
                          <w:marLeft w:val="0"/>
                          <w:marRight w:val="0"/>
                          <w:marTop w:val="0"/>
                          <w:marBottom w:val="0"/>
                          <w:divBdr>
                            <w:top w:val="none" w:sz="0" w:space="0" w:color="auto"/>
                            <w:left w:val="none" w:sz="0" w:space="0" w:color="auto"/>
                            <w:bottom w:val="none" w:sz="0" w:space="0" w:color="auto"/>
                            <w:right w:val="none" w:sz="0" w:space="0" w:color="auto"/>
                          </w:divBdr>
                          <w:divsChild>
                            <w:div w:id="1109272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5326843">
      <w:bodyDiv w:val="1"/>
      <w:marLeft w:val="0"/>
      <w:marRight w:val="0"/>
      <w:marTop w:val="0"/>
      <w:marBottom w:val="0"/>
      <w:divBdr>
        <w:top w:val="none" w:sz="0" w:space="0" w:color="auto"/>
        <w:left w:val="none" w:sz="0" w:space="0" w:color="auto"/>
        <w:bottom w:val="none" w:sz="0" w:space="0" w:color="auto"/>
        <w:right w:val="none" w:sz="0" w:space="0" w:color="auto"/>
      </w:divBdr>
    </w:div>
    <w:div w:id="1047145180">
      <w:bodyDiv w:val="1"/>
      <w:marLeft w:val="0"/>
      <w:marRight w:val="0"/>
      <w:marTop w:val="0"/>
      <w:marBottom w:val="0"/>
      <w:divBdr>
        <w:top w:val="none" w:sz="0" w:space="0" w:color="auto"/>
        <w:left w:val="none" w:sz="0" w:space="0" w:color="auto"/>
        <w:bottom w:val="none" w:sz="0" w:space="0" w:color="auto"/>
        <w:right w:val="none" w:sz="0" w:space="0" w:color="auto"/>
      </w:divBdr>
    </w:div>
    <w:div w:id="1119838631">
      <w:bodyDiv w:val="1"/>
      <w:marLeft w:val="0"/>
      <w:marRight w:val="0"/>
      <w:marTop w:val="0"/>
      <w:marBottom w:val="0"/>
      <w:divBdr>
        <w:top w:val="none" w:sz="0" w:space="0" w:color="auto"/>
        <w:left w:val="none" w:sz="0" w:space="0" w:color="auto"/>
        <w:bottom w:val="none" w:sz="0" w:space="0" w:color="auto"/>
        <w:right w:val="none" w:sz="0" w:space="0" w:color="auto"/>
      </w:divBdr>
    </w:div>
    <w:div w:id="1134636010">
      <w:bodyDiv w:val="1"/>
      <w:marLeft w:val="0"/>
      <w:marRight w:val="0"/>
      <w:marTop w:val="0"/>
      <w:marBottom w:val="0"/>
      <w:divBdr>
        <w:top w:val="none" w:sz="0" w:space="0" w:color="auto"/>
        <w:left w:val="none" w:sz="0" w:space="0" w:color="auto"/>
        <w:bottom w:val="none" w:sz="0" w:space="0" w:color="auto"/>
        <w:right w:val="none" w:sz="0" w:space="0" w:color="auto"/>
      </w:divBdr>
    </w:div>
    <w:div w:id="1154447374">
      <w:bodyDiv w:val="1"/>
      <w:marLeft w:val="0"/>
      <w:marRight w:val="0"/>
      <w:marTop w:val="0"/>
      <w:marBottom w:val="0"/>
      <w:divBdr>
        <w:top w:val="none" w:sz="0" w:space="0" w:color="auto"/>
        <w:left w:val="none" w:sz="0" w:space="0" w:color="auto"/>
        <w:bottom w:val="none" w:sz="0" w:space="0" w:color="auto"/>
        <w:right w:val="none" w:sz="0" w:space="0" w:color="auto"/>
      </w:divBdr>
    </w:div>
    <w:div w:id="1194921236">
      <w:bodyDiv w:val="1"/>
      <w:marLeft w:val="0"/>
      <w:marRight w:val="0"/>
      <w:marTop w:val="0"/>
      <w:marBottom w:val="0"/>
      <w:divBdr>
        <w:top w:val="none" w:sz="0" w:space="0" w:color="auto"/>
        <w:left w:val="none" w:sz="0" w:space="0" w:color="auto"/>
        <w:bottom w:val="none" w:sz="0" w:space="0" w:color="auto"/>
        <w:right w:val="none" w:sz="0" w:space="0" w:color="auto"/>
      </w:divBdr>
    </w:div>
    <w:div w:id="1217859235">
      <w:bodyDiv w:val="1"/>
      <w:marLeft w:val="0"/>
      <w:marRight w:val="0"/>
      <w:marTop w:val="0"/>
      <w:marBottom w:val="0"/>
      <w:divBdr>
        <w:top w:val="none" w:sz="0" w:space="0" w:color="auto"/>
        <w:left w:val="none" w:sz="0" w:space="0" w:color="auto"/>
        <w:bottom w:val="none" w:sz="0" w:space="0" w:color="auto"/>
        <w:right w:val="none" w:sz="0" w:space="0" w:color="auto"/>
      </w:divBdr>
    </w:div>
    <w:div w:id="1380277068">
      <w:bodyDiv w:val="1"/>
      <w:marLeft w:val="0"/>
      <w:marRight w:val="0"/>
      <w:marTop w:val="0"/>
      <w:marBottom w:val="0"/>
      <w:divBdr>
        <w:top w:val="none" w:sz="0" w:space="0" w:color="auto"/>
        <w:left w:val="none" w:sz="0" w:space="0" w:color="auto"/>
        <w:bottom w:val="none" w:sz="0" w:space="0" w:color="auto"/>
        <w:right w:val="none" w:sz="0" w:space="0" w:color="auto"/>
      </w:divBdr>
    </w:div>
    <w:div w:id="1407068014">
      <w:bodyDiv w:val="1"/>
      <w:marLeft w:val="0"/>
      <w:marRight w:val="0"/>
      <w:marTop w:val="0"/>
      <w:marBottom w:val="0"/>
      <w:divBdr>
        <w:top w:val="none" w:sz="0" w:space="0" w:color="auto"/>
        <w:left w:val="none" w:sz="0" w:space="0" w:color="auto"/>
        <w:bottom w:val="none" w:sz="0" w:space="0" w:color="auto"/>
        <w:right w:val="none" w:sz="0" w:space="0" w:color="auto"/>
      </w:divBdr>
    </w:div>
    <w:div w:id="1427001438">
      <w:bodyDiv w:val="1"/>
      <w:marLeft w:val="0"/>
      <w:marRight w:val="0"/>
      <w:marTop w:val="0"/>
      <w:marBottom w:val="0"/>
      <w:divBdr>
        <w:top w:val="none" w:sz="0" w:space="0" w:color="auto"/>
        <w:left w:val="none" w:sz="0" w:space="0" w:color="auto"/>
        <w:bottom w:val="none" w:sz="0" w:space="0" w:color="auto"/>
        <w:right w:val="none" w:sz="0" w:space="0" w:color="auto"/>
      </w:divBdr>
    </w:div>
    <w:div w:id="1463111327">
      <w:bodyDiv w:val="1"/>
      <w:marLeft w:val="0"/>
      <w:marRight w:val="0"/>
      <w:marTop w:val="0"/>
      <w:marBottom w:val="0"/>
      <w:divBdr>
        <w:top w:val="none" w:sz="0" w:space="0" w:color="auto"/>
        <w:left w:val="none" w:sz="0" w:space="0" w:color="auto"/>
        <w:bottom w:val="none" w:sz="0" w:space="0" w:color="auto"/>
        <w:right w:val="none" w:sz="0" w:space="0" w:color="auto"/>
      </w:divBdr>
    </w:div>
    <w:div w:id="1492481231">
      <w:bodyDiv w:val="1"/>
      <w:marLeft w:val="0"/>
      <w:marRight w:val="0"/>
      <w:marTop w:val="0"/>
      <w:marBottom w:val="0"/>
      <w:divBdr>
        <w:top w:val="none" w:sz="0" w:space="0" w:color="auto"/>
        <w:left w:val="none" w:sz="0" w:space="0" w:color="auto"/>
        <w:bottom w:val="none" w:sz="0" w:space="0" w:color="auto"/>
        <w:right w:val="none" w:sz="0" w:space="0" w:color="auto"/>
      </w:divBdr>
    </w:div>
    <w:div w:id="1512143923">
      <w:bodyDiv w:val="1"/>
      <w:marLeft w:val="0"/>
      <w:marRight w:val="0"/>
      <w:marTop w:val="0"/>
      <w:marBottom w:val="0"/>
      <w:divBdr>
        <w:top w:val="none" w:sz="0" w:space="0" w:color="auto"/>
        <w:left w:val="none" w:sz="0" w:space="0" w:color="auto"/>
        <w:bottom w:val="none" w:sz="0" w:space="0" w:color="auto"/>
        <w:right w:val="none" w:sz="0" w:space="0" w:color="auto"/>
      </w:divBdr>
    </w:div>
    <w:div w:id="1527332139">
      <w:bodyDiv w:val="1"/>
      <w:marLeft w:val="0"/>
      <w:marRight w:val="0"/>
      <w:marTop w:val="0"/>
      <w:marBottom w:val="0"/>
      <w:divBdr>
        <w:top w:val="none" w:sz="0" w:space="0" w:color="auto"/>
        <w:left w:val="none" w:sz="0" w:space="0" w:color="auto"/>
        <w:bottom w:val="none" w:sz="0" w:space="0" w:color="auto"/>
        <w:right w:val="none" w:sz="0" w:space="0" w:color="auto"/>
      </w:divBdr>
    </w:div>
    <w:div w:id="1611429127">
      <w:bodyDiv w:val="1"/>
      <w:marLeft w:val="0"/>
      <w:marRight w:val="0"/>
      <w:marTop w:val="0"/>
      <w:marBottom w:val="0"/>
      <w:divBdr>
        <w:top w:val="none" w:sz="0" w:space="0" w:color="auto"/>
        <w:left w:val="none" w:sz="0" w:space="0" w:color="auto"/>
        <w:bottom w:val="none" w:sz="0" w:space="0" w:color="auto"/>
        <w:right w:val="none" w:sz="0" w:space="0" w:color="auto"/>
      </w:divBdr>
    </w:div>
    <w:div w:id="1662999190">
      <w:bodyDiv w:val="1"/>
      <w:marLeft w:val="0"/>
      <w:marRight w:val="0"/>
      <w:marTop w:val="0"/>
      <w:marBottom w:val="0"/>
      <w:divBdr>
        <w:top w:val="none" w:sz="0" w:space="0" w:color="auto"/>
        <w:left w:val="none" w:sz="0" w:space="0" w:color="auto"/>
        <w:bottom w:val="none" w:sz="0" w:space="0" w:color="auto"/>
        <w:right w:val="none" w:sz="0" w:space="0" w:color="auto"/>
      </w:divBdr>
      <w:divsChild>
        <w:div w:id="1776440335">
          <w:marLeft w:val="0"/>
          <w:marRight w:val="0"/>
          <w:marTop w:val="0"/>
          <w:marBottom w:val="0"/>
          <w:divBdr>
            <w:top w:val="none" w:sz="0" w:space="0" w:color="auto"/>
            <w:left w:val="none" w:sz="0" w:space="0" w:color="auto"/>
            <w:bottom w:val="none" w:sz="0" w:space="0" w:color="auto"/>
            <w:right w:val="none" w:sz="0" w:space="0" w:color="auto"/>
          </w:divBdr>
          <w:divsChild>
            <w:div w:id="342509586">
              <w:marLeft w:val="0"/>
              <w:marRight w:val="0"/>
              <w:marTop w:val="0"/>
              <w:marBottom w:val="0"/>
              <w:divBdr>
                <w:top w:val="none" w:sz="0" w:space="0" w:color="auto"/>
                <w:left w:val="none" w:sz="0" w:space="0" w:color="auto"/>
                <w:bottom w:val="none" w:sz="0" w:space="0" w:color="auto"/>
                <w:right w:val="none" w:sz="0" w:space="0" w:color="auto"/>
              </w:divBdr>
              <w:divsChild>
                <w:div w:id="958073557">
                  <w:marLeft w:val="0"/>
                  <w:marRight w:val="240"/>
                  <w:marTop w:val="0"/>
                  <w:marBottom w:val="0"/>
                  <w:divBdr>
                    <w:top w:val="none" w:sz="0" w:space="0" w:color="auto"/>
                    <w:left w:val="none" w:sz="0" w:space="0" w:color="auto"/>
                    <w:bottom w:val="none" w:sz="0" w:space="0" w:color="auto"/>
                    <w:right w:val="none" w:sz="0" w:space="0" w:color="auto"/>
                  </w:divBdr>
                  <w:divsChild>
                    <w:div w:id="538125803">
                      <w:marLeft w:val="0"/>
                      <w:marRight w:val="0"/>
                      <w:marTop w:val="0"/>
                      <w:marBottom w:val="0"/>
                      <w:divBdr>
                        <w:top w:val="none" w:sz="0" w:space="0" w:color="auto"/>
                        <w:left w:val="none" w:sz="0" w:space="0" w:color="auto"/>
                        <w:bottom w:val="none" w:sz="0" w:space="0" w:color="auto"/>
                        <w:right w:val="none" w:sz="0" w:space="0" w:color="auto"/>
                      </w:divBdr>
                      <w:divsChild>
                        <w:div w:id="1737049447">
                          <w:marLeft w:val="0"/>
                          <w:marRight w:val="0"/>
                          <w:marTop w:val="0"/>
                          <w:marBottom w:val="0"/>
                          <w:divBdr>
                            <w:top w:val="none" w:sz="0" w:space="0" w:color="auto"/>
                            <w:left w:val="none" w:sz="0" w:space="0" w:color="auto"/>
                            <w:bottom w:val="none" w:sz="0" w:space="0" w:color="auto"/>
                            <w:right w:val="none" w:sz="0" w:space="0" w:color="auto"/>
                          </w:divBdr>
                          <w:divsChild>
                            <w:div w:id="764420254">
                              <w:marLeft w:val="0"/>
                              <w:marRight w:val="0"/>
                              <w:marTop w:val="0"/>
                              <w:marBottom w:val="0"/>
                              <w:divBdr>
                                <w:top w:val="none" w:sz="0" w:space="0" w:color="auto"/>
                                <w:left w:val="none" w:sz="0" w:space="0" w:color="auto"/>
                                <w:bottom w:val="none" w:sz="0" w:space="0" w:color="auto"/>
                                <w:right w:val="none" w:sz="0" w:space="0" w:color="auto"/>
                              </w:divBdr>
                              <w:divsChild>
                                <w:div w:id="1290166934">
                                  <w:marLeft w:val="2"/>
                                  <w:marRight w:val="0"/>
                                  <w:marTop w:val="0"/>
                                  <w:marBottom w:val="0"/>
                                  <w:divBdr>
                                    <w:top w:val="none" w:sz="0" w:space="0" w:color="auto"/>
                                    <w:left w:val="none" w:sz="0" w:space="0" w:color="auto"/>
                                    <w:bottom w:val="none" w:sz="0" w:space="0" w:color="auto"/>
                                    <w:right w:val="none" w:sz="0" w:space="0" w:color="auto"/>
                                  </w:divBdr>
                                  <w:divsChild>
                                    <w:div w:id="1643537804">
                                      <w:marLeft w:val="0"/>
                                      <w:marRight w:val="0"/>
                                      <w:marTop w:val="0"/>
                                      <w:marBottom w:val="0"/>
                                      <w:divBdr>
                                        <w:top w:val="none" w:sz="0" w:space="0" w:color="auto"/>
                                        <w:left w:val="none" w:sz="0" w:space="0" w:color="auto"/>
                                        <w:bottom w:val="none" w:sz="0" w:space="0" w:color="auto"/>
                                        <w:right w:val="none" w:sz="0" w:space="0" w:color="auto"/>
                                      </w:divBdr>
                                      <w:divsChild>
                                        <w:div w:id="1698970150">
                                          <w:marLeft w:val="0"/>
                                          <w:marRight w:val="0"/>
                                          <w:marTop w:val="0"/>
                                          <w:marBottom w:val="0"/>
                                          <w:divBdr>
                                            <w:top w:val="none" w:sz="0" w:space="0" w:color="auto"/>
                                            <w:left w:val="none" w:sz="0" w:space="0" w:color="auto"/>
                                            <w:bottom w:val="none" w:sz="0" w:space="0" w:color="auto"/>
                                            <w:right w:val="none" w:sz="0" w:space="0" w:color="auto"/>
                                          </w:divBdr>
                                          <w:divsChild>
                                            <w:div w:id="1088111240">
                                              <w:marLeft w:val="0"/>
                                              <w:marRight w:val="0"/>
                                              <w:marTop w:val="0"/>
                                              <w:marBottom w:val="0"/>
                                              <w:divBdr>
                                                <w:top w:val="none" w:sz="0" w:space="0" w:color="auto"/>
                                                <w:left w:val="none" w:sz="0" w:space="0" w:color="auto"/>
                                                <w:bottom w:val="none" w:sz="0" w:space="0" w:color="auto"/>
                                                <w:right w:val="none" w:sz="0" w:space="0" w:color="auto"/>
                                              </w:divBdr>
                                              <w:divsChild>
                                                <w:div w:id="781613006">
                                                  <w:marLeft w:val="0"/>
                                                  <w:marRight w:val="0"/>
                                                  <w:marTop w:val="0"/>
                                                  <w:marBottom w:val="450"/>
                                                  <w:divBdr>
                                                    <w:top w:val="none" w:sz="0" w:space="0" w:color="auto"/>
                                                    <w:left w:val="none" w:sz="0" w:space="0" w:color="auto"/>
                                                    <w:bottom w:val="none" w:sz="0" w:space="0" w:color="auto"/>
                                                    <w:right w:val="none" w:sz="0" w:space="0" w:color="auto"/>
                                                  </w:divBdr>
                                                  <w:divsChild>
                                                    <w:div w:id="67466102">
                                                      <w:marLeft w:val="7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82193960">
      <w:bodyDiv w:val="1"/>
      <w:marLeft w:val="0"/>
      <w:marRight w:val="0"/>
      <w:marTop w:val="0"/>
      <w:marBottom w:val="0"/>
      <w:divBdr>
        <w:top w:val="none" w:sz="0" w:space="0" w:color="auto"/>
        <w:left w:val="none" w:sz="0" w:space="0" w:color="auto"/>
        <w:bottom w:val="none" w:sz="0" w:space="0" w:color="auto"/>
        <w:right w:val="none" w:sz="0" w:space="0" w:color="auto"/>
      </w:divBdr>
    </w:div>
    <w:div w:id="1694332939">
      <w:bodyDiv w:val="1"/>
      <w:marLeft w:val="0"/>
      <w:marRight w:val="0"/>
      <w:marTop w:val="0"/>
      <w:marBottom w:val="0"/>
      <w:divBdr>
        <w:top w:val="none" w:sz="0" w:space="0" w:color="auto"/>
        <w:left w:val="none" w:sz="0" w:space="0" w:color="auto"/>
        <w:bottom w:val="none" w:sz="0" w:space="0" w:color="auto"/>
        <w:right w:val="none" w:sz="0" w:space="0" w:color="auto"/>
      </w:divBdr>
    </w:div>
    <w:div w:id="1733456223">
      <w:bodyDiv w:val="1"/>
      <w:marLeft w:val="0"/>
      <w:marRight w:val="0"/>
      <w:marTop w:val="0"/>
      <w:marBottom w:val="0"/>
      <w:divBdr>
        <w:top w:val="none" w:sz="0" w:space="0" w:color="auto"/>
        <w:left w:val="none" w:sz="0" w:space="0" w:color="auto"/>
        <w:bottom w:val="none" w:sz="0" w:space="0" w:color="auto"/>
        <w:right w:val="none" w:sz="0" w:space="0" w:color="auto"/>
      </w:divBdr>
    </w:div>
    <w:div w:id="1772503156">
      <w:bodyDiv w:val="1"/>
      <w:marLeft w:val="0"/>
      <w:marRight w:val="0"/>
      <w:marTop w:val="0"/>
      <w:marBottom w:val="0"/>
      <w:divBdr>
        <w:top w:val="none" w:sz="0" w:space="0" w:color="auto"/>
        <w:left w:val="none" w:sz="0" w:space="0" w:color="auto"/>
        <w:bottom w:val="none" w:sz="0" w:space="0" w:color="auto"/>
        <w:right w:val="none" w:sz="0" w:space="0" w:color="auto"/>
      </w:divBdr>
    </w:div>
    <w:div w:id="1984040918">
      <w:bodyDiv w:val="1"/>
      <w:marLeft w:val="0"/>
      <w:marRight w:val="0"/>
      <w:marTop w:val="0"/>
      <w:marBottom w:val="0"/>
      <w:divBdr>
        <w:top w:val="none" w:sz="0" w:space="0" w:color="auto"/>
        <w:left w:val="none" w:sz="0" w:space="0" w:color="auto"/>
        <w:bottom w:val="none" w:sz="0" w:space="0" w:color="auto"/>
        <w:right w:val="none" w:sz="0" w:space="0" w:color="auto"/>
      </w:divBdr>
      <w:divsChild>
        <w:div w:id="479225319">
          <w:marLeft w:val="0"/>
          <w:marRight w:val="0"/>
          <w:marTop w:val="0"/>
          <w:marBottom w:val="0"/>
          <w:divBdr>
            <w:top w:val="none" w:sz="0" w:space="0" w:color="auto"/>
            <w:left w:val="none" w:sz="0" w:space="0" w:color="auto"/>
            <w:bottom w:val="none" w:sz="0" w:space="0" w:color="auto"/>
            <w:right w:val="none" w:sz="0" w:space="0" w:color="auto"/>
          </w:divBdr>
          <w:divsChild>
            <w:div w:id="820074012">
              <w:marLeft w:val="0"/>
              <w:marRight w:val="0"/>
              <w:marTop w:val="0"/>
              <w:marBottom w:val="0"/>
              <w:divBdr>
                <w:top w:val="none" w:sz="0" w:space="0" w:color="auto"/>
                <w:left w:val="none" w:sz="0" w:space="0" w:color="auto"/>
                <w:bottom w:val="none" w:sz="0" w:space="0" w:color="auto"/>
                <w:right w:val="none" w:sz="0" w:space="0" w:color="auto"/>
              </w:divBdr>
              <w:divsChild>
                <w:div w:id="336659060">
                  <w:marLeft w:val="0"/>
                  <w:marRight w:val="0"/>
                  <w:marTop w:val="0"/>
                  <w:marBottom w:val="0"/>
                  <w:divBdr>
                    <w:top w:val="none" w:sz="0" w:space="0" w:color="auto"/>
                    <w:left w:val="none" w:sz="0" w:space="0" w:color="auto"/>
                    <w:bottom w:val="none" w:sz="0" w:space="0" w:color="auto"/>
                    <w:right w:val="none" w:sz="0" w:space="0" w:color="auto"/>
                  </w:divBdr>
                  <w:divsChild>
                    <w:div w:id="1357539029">
                      <w:marLeft w:val="10"/>
                      <w:marRight w:val="0"/>
                      <w:marTop w:val="0"/>
                      <w:marBottom w:val="0"/>
                      <w:divBdr>
                        <w:top w:val="none" w:sz="0" w:space="0" w:color="auto"/>
                        <w:left w:val="none" w:sz="0" w:space="0" w:color="auto"/>
                        <w:bottom w:val="none" w:sz="0" w:space="0" w:color="auto"/>
                        <w:right w:val="none" w:sz="0" w:space="0" w:color="auto"/>
                      </w:divBdr>
                      <w:divsChild>
                        <w:div w:id="2004039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9770379">
      <w:bodyDiv w:val="1"/>
      <w:marLeft w:val="0"/>
      <w:marRight w:val="0"/>
      <w:marTop w:val="0"/>
      <w:marBottom w:val="0"/>
      <w:divBdr>
        <w:top w:val="none" w:sz="0" w:space="0" w:color="auto"/>
        <w:left w:val="none" w:sz="0" w:space="0" w:color="auto"/>
        <w:bottom w:val="none" w:sz="0" w:space="0" w:color="auto"/>
        <w:right w:val="none" w:sz="0" w:space="0" w:color="auto"/>
      </w:divBdr>
    </w:div>
    <w:div w:id="2040348387">
      <w:bodyDiv w:val="1"/>
      <w:marLeft w:val="0"/>
      <w:marRight w:val="0"/>
      <w:marTop w:val="0"/>
      <w:marBottom w:val="0"/>
      <w:divBdr>
        <w:top w:val="none" w:sz="0" w:space="0" w:color="auto"/>
        <w:left w:val="none" w:sz="0" w:space="0" w:color="auto"/>
        <w:bottom w:val="none" w:sz="0" w:space="0" w:color="auto"/>
        <w:right w:val="none" w:sz="0" w:space="0" w:color="auto"/>
      </w:divBdr>
    </w:div>
    <w:div w:id="2115978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p7400\Desktop\&#38928;&#31639;&#20013;&#24515;&#27243;&#24335;&#31684;&#26412;&#21450;&#31243;&#24335;&#26032;\doctemp0914.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F6ECB1-D92E-4453-82EE-607B94B02D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doctemp0914.dot</Template>
  <TotalTime>0</TotalTime>
  <Pages>4</Pages>
  <Words>3671</Words>
  <Characters>20929</Characters>
  <Application>Microsoft Office Word</Application>
  <DocSecurity>0</DocSecurity>
  <Lines>174</Lines>
  <Paragraphs>49</Paragraphs>
  <ScaleCrop>false</ScaleCrop>
  <Company/>
  <LinksUpToDate>false</LinksUpToDate>
  <CharactersWithSpaces>24551</CharactersWithSpaces>
  <SharedDoc>false</SharedDoc>
  <HLinks>
    <vt:vector size="78" baseType="variant">
      <vt:variant>
        <vt:i4>1048625</vt:i4>
      </vt:variant>
      <vt:variant>
        <vt:i4>74</vt:i4>
      </vt:variant>
      <vt:variant>
        <vt:i4>0</vt:i4>
      </vt:variant>
      <vt:variant>
        <vt:i4>5</vt:i4>
      </vt:variant>
      <vt:variant>
        <vt:lpwstr/>
      </vt:variant>
      <vt:variant>
        <vt:lpwstr>_Toc181965736</vt:lpwstr>
      </vt:variant>
      <vt:variant>
        <vt:i4>1048625</vt:i4>
      </vt:variant>
      <vt:variant>
        <vt:i4>68</vt:i4>
      </vt:variant>
      <vt:variant>
        <vt:i4>0</vt:i4>
      </vt:variant>
      <vt:variant>
        <vt:i4>5</vt:i4>
      </vt:variant>
      <vt:variant>
        <vt:lpwstr/>
      </vt:variant>
      <vt:variant>
        <vt:lpwstr>_Toc181965735</vt:lpwstr>
      </vt:variant>
      <vt:variant>
        <vt:i4>1048625</vt:i4>
      </vt:variant>
      <vt:variant>
        <vt:i4>62</vt:i4>
      </vt:variant>
      <vt:variant>
        <vt:i4>0</vt:i4>
      </vt:variant>
      <vt:variant>
        <vt:i4>5</vt:i4>
      </vt:variant>
      <vt:variant>
        <vt:lpwstr/>
      </vt:variant>
      <vt:variant>
        <vt:lpwstr>_Toc181965734</vt:lpwstr>
      </vt:variant>
      <vt:variant>
        <vt:i4>1048625</vt:i4>
      </vt:variant>
      <vt:variant>
        <vt:i4>56</vt:i4>
      </vt:variant>
      <vt:variant>
        <vt:i4>0</vt:i4>
      </vt:variant>
      <vt:variant>
        <vt:i4>5</vt:i4>
      </vt:variant>
      <vt:variant>
        <vt:lpwstr/>
      </vt:variant>
      <vt:variant>
        <vt:lpwstr>_Toc181965733</vt:lpwstr>
      </vt:variant>
      <vt:variant>
        <vt:i4>1048625</vt:i4>
      </vt:variant>
      <vt:variant>
        <vt:i4>50</vt:i4>
      </vt:variant>
      <vt:variant>
        <vt:i4>0</vt:i4>
      </vt:variant>
      <vt:variant>
        <vt:i4>5</vt:i4>
      </vt:variant>
      <vt:variant>
        <vt:lpwstr/>
      </vt:variant>
      <vt:variant>
        <vt:lpwstr>_Toc181965732</vt:lpwstr>
      </vt:variant>
      <vt:variant>
        <vt:i4>1048625</vt:i4>
      </vt:variant>
      <vt:variant>
        <vt:i4>44</vt:i4>
      </vt:variant>
      <vt:variant>
        <vt:i4>0</vt:i4>
      </vt:variant>
      <vt:variant>
        <vt:i4>5</vt:i4>
      </vt:variant>
      <vt:variant>
        <vt:lpwstr/>
      </vt:variant>
      <vt:variant>
        <vt:lpwstr>_Toc181965731</vt:lpwstr>
      </vt:variant>
      <vt:variant>
        <vt:i4>1048625</vt:i4>
      </vt:variant>
      <vt:variant>
        <vt:i4>38</vt:i4>
      </vt:variant>
      <vt:variant>
        <vt:i4>0</vt:i4>
      </vt:variant>
      <vt:variant>
        <vt:i4>5</vt:i4>
      </vt:variant>
      <vt:variant>
        <vt:lpwstr/>
      </vt:variant>
      <vt:variant>
        <vt:lpwstr>_Toc181965730</vt:lpwstr>
      </vt:variant>
      <vt:variant>
        <vt:i4>1114161</vt:i4>
      </vt:variant>
      <vt:variant>
        <vt:i4>32</vt:i4>
      </vt:variant>
      <vt:variant>
        <vt:i4>0</vt:i4>
      </vt:variant>
      <vt:variant>
        <vt:i4>5</vt:i4>
      </vt:variant>
      <vt:variant>
        <vt:lpwstr/>
      </vt:variant>
      <vt:variant>
        <vt:lpwstr>_Toc181965729</vt:lpwstr>
      </vt:variant>
      <vt:variant>
        <vt:i4>1114161</vt:i4>
      </vt:variant>
      <vt:variant>
        <vt:i4>26</vt:i4>
      </vt:variant>
      <vt:variant>
        <vt:i4>0</vt:i4>
      </vt:variant>
      <vt:variant>
        <vt:i4>5</vt:i4>
      </vt:variant>
      <vt:variant>
        <vt:lpwstr/>
      </vt:variant>
      <vt:variant>
        <vt:lpwstr>_Toc181965728</vt:lpwstr>
      </vt:variant>
      <vt:variant>
        <vt:i4>1114161</vt:i4>
      </vt:variant>
      <vt:variant>
        <vt:i4>20</vt:i4>
      </vt:variant>
      <vt:variant>
        <vt:i4>0</vt:i4>
      </vt:variant>
      <vt:variant>
        <vt:i4>5</vt:i4>
      </vt:variant>
      <vt:variant>
        <vt:lpwstr/>
      </vt:variant>
      <vt:variant>
        <vt:lpwstr>_Toc181965727</vt:lpwstr>
      </vt:variant>
      <vt:variant>
        <vt:i4>1114161</vt:i4>
      </vt:variant>
      <vt:variant>
        <vt:i4>14</vt:i4>
      </vt:variant>
      <vt:variant>
        <vt:i4>0</vt:i4>
      </vt:variant>
      <vt:variant>
        <vt:i4>5</vt:i4>
      </vt:variant>
      <vt:variant>
        <vt:lpwstr/>
      </vt:variant>
      <vt:variant>
        <vt:lpwstr>_Toc181965726</vt:lpwstr>
      </vt:variant>
      <vt:variant>
        <vt:i4>1114161</vt:i4>
      </vt:variant>
      <vt:variant>
        <vt:i4>8</vt:i4>
      </vt:variant>
      <vt:variant>
        <vt:i4>0</vt:i4>
      </vt:variant>
      <vt:variant>
        <vt:i4>5</vt:i4>
      </vt:variant>
      <vt:variant>
        <vt:lpwstr/>
      </vt:variant>
      <vt:variant>
        <vt:lpwstr>_Toc181965725</vt:lpwstr>
      </vt:variant>
      <vt:variant>
        <vt:i4>1114161</vt:i4>
      </vt:variant>
      <vt:variant>
        <vt:i4>2</vt:i4>
      </vt:variant>
      <vt:variant>
        <vt:i4>0</vt:i4>
      </vt:variant>
      <vt:variant>
        <vt:i4>5</vt:i4>
      </vt:variant>
      <vt:variant>
        <vt:lpwstr/>
      </vt:variant>
      <vt:variant>
        <vt:lpwstr>_Toc181965724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立法院</dc:creator>
  <cp:keywords/>
  <cp:lastModifiedBy>Administrator</cp:lastModifiedBy>
  <cp:revision>2</cp:revision>
  <cp:lastPrinted>2024-11-08T03:06:00Z</cp:lastPrinted>
  <dcterms:created xsi:type="dcterms:W3CDTF">2024-11-08T07:42:00Z</dcterms:created>
  <dcterms:modified xsi:type="dcterms:W3CDTF">2024-11-08T07:42:00Z</dcterms:modified>
</cp:coreProperties>
</file>