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1F61AC" w:rsidRPr="00EA3CB6" w:rsidRDefault="001F61AC" w:rsidP="001F61AC">
      <w:pPr>
        <w:pStyle w:val="14"/>
        <w:ind w:left="567" w:hanging="567"/>
        <w:rPr>
          <w:rFonts w:hint="eastAsia"/>
        </w:rPr>
      </w:pPr>
      <w:bookmarkStart w:id="2" w:name="_Toc181863026"/>
      <w:r>
        <w:rPr>
          <w:rFonts w:hint="eastAsia"/>
        </w:rPr>
        <w:t>五</w:t>
      </w:r>
      <w:r w:rsidRPr="00EA3CB6">
        <w:rPr>
          <w:rFonts w:hint="eastAsia"/>
        </w:rPr>
        <w:t>、</w:t>
      </w:r>
      <w:r>
        <w:rPr>
          <w:rFonts w:hint="eastAsia"/>
        </w:rPr>
        <w:t>近年郵政車輛交通違規案件呈增加趨勢</w:t>
      </w:r>
      <w:r w:rsidRPr="00EA3CB6">
        <w:rPr>
          <w:rFonts w:hint="eastAsia"/>
        </w:rPr>
        <w:t>，允宜</w:t>
      </w:r>
      <w:r w:rsidR="005A1BD1" w:rsidRPr="005A1BD1">
        <w:rPr>
          <w:rFonts w:hint="eastAsia"/>
        </w:rPr>
        <w:t>強化員工交通安全相關教育訓練</w:t>
      </w:r>
      <w:bookmarkEnd w:id="2"/>
    </w:p>
    <w:p w:rsidR="00F67448" w:rsidRPr="004F0B7D" w:rsidRDefault="00F67448" w:rsidP="00F67448">
      <w:pPr>
        <w:ind w:left="566" w:firstLine="566"/>
      </w:pPr>
      <w:r w:rsidRPr="00560908">
        <w:rPr>
          <w:rFonts w:hint="eastAsia"/>
        </w:rPr>
        <w:t>中華郵政公司11</w:t>
      </w:r>
      <w:r>
        <w:t xml:space="preserve">4 </w:t>
      </w:r>
      <w:r w:rsidRPr="00560908">
        <w:rPr>
          <w:rFonts w:hint="eastAsia"/>
        </w:rPr>
        <w:t>年度</w:t>
      </w:r>
      <w:r>
        <w:rPr>
          <w:rFonts w:hint="eastAsia"/>
        </w:rPr>
        <w:t>預算案之業務計畫有關員工訓練載示，工作目標係為使企業思維能持續創新及提高人力素質，並配合核心事業發展及因應外界競爭等</w:t>
      </w:r>
      <w:r w:rsidRPr="004F0B7D">
        <w:rPr>
          <w:rFonts w:hint="eastAsia"/>
        </w:rPr>
        <w:t>。</w:t>
      </w:r>
      <w:r>
        <w:rPr>
          <w:rFonts w:hint="eastAsia"/>
        </w:rPr>
        <w:t>又</w:t>
      </w:r>
      <w:r w:rsidRPr="004F0B7D">
        <w:rPr>
          <w:rFonts w:hint="eastAsia"/>
        </w:rPr>
        <w:t>中華郵政公司11</w:t>
      </w:r>
      <w:r>
        <w:t>4</w:t>
      </w:r>
      <w:r w:rsidRPr="004F0B7D">
        <w:rPr>
          <w:rFonts w:hint="eastAsia"/>
        </w:rPr>
        <w:t>年度預算案「營業</w:t>
      </w:r>
      <w:r>
        <w:rPr>
          <w:rFonts w:hint="eastAsia"/>
        </w:rPr>
        <w:t>費用</w:t>
      </w:r>
      <w:r w:rsidRPr="004F0B7D">
        <w:rPr>
          <w:rFonts w:hint="eastAsia"/>
        </w:rPr>
        <w:t>-</w:t>
      </w:r>
      <w:r>
        <w:rPr>
          <w:rFonts w:hint="eastAsia"/>
        </w:rPr>
        <w:t>其他營業費用-員工訓練費用</w:t>
      </w:r>
      <w:r w:rsidRPr="004F0B7D">
        <w:rPr>
          <w:rFonts w:hint="eastAsia"/>
        </w:rPr>
        <w:t>」編列</w:t>
      </w:r>
      <w:r>
        <w:rPr>
          <w:rFonts w:hint="eastAsia"/>
        </w:rPr>
        <w:t>1億8</w:t>
      </w:r>
      <w:r>
        <w:t>,086</w:t>
      </w:r>
      <w:r w:rsidRPr="004F0B7D">
        <w:rPr>
          <w:rFonts w:hint="eastAsia"/>
        </w:rPr>
        <w:t>萬元，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年度之1億</w:t>
      </w:r>
      <w:r>
        <w:t>7,804</w:t>
      </w:r>
      <w:r>
        <w:rPr>
          <w:rFonts w:hint="eastAsia"/>
        </w:rPr>
        <w:t>萬8千元增加2</w:t>
      </w:r>
      <w:r>
        <w:t>81</w:t>
      </w:r>
      <w:r>
        <w:rPr>
          <w:rFonts w:hint="eastAsia"/>
        </w:rPr>
        <w:t>萬2千元(增幅</w:t>
      </w:r>
      <w:r w:rsidR="004A57EA">
        <w:rPr>
          <w:rFonts w:hint="eastAsia"/>
        </w:rPr>
        <w:t>1</w:t>
      </w:r>
      <w:r>
        <w:t>.</w:t>
      </w:r>
      <w:r w:rsidR="004A57EA">
        <w:t>58</w:t>
      </w:r>
      <w:r>
        <w:t>%)</w:t>
      </w:r>
      <w:r w:rsidRPr="004F0B7D">
        <w:rPr>
          <w:rFonts w:hint="eastAsia"/>
        </w:rPr>
        <w:t>。</w:t>
      </w:r>
    </w:p>
    <w:p w:rsidR="001F61AC" w:rsidRDefault="000224B2" w:rsidP="00D33401">
      <w:pPr>
        <w:ind w:left="566" w:firstLine="566"/>
      </w:pPr>
      <w:r>
        <w:rPr>
          <w:rFonts w:hint="eastAsia"/>
        </w:rPr>
        <w:t>綜觀中華郵政公司</w:t>
      </w:r>
      <w:r w:rsidRPr="000224B2">
        <w:rPr>
          <w:rFonts w:hint="eastAsia"/>
        </w:rPr>
        <w:t>近年郵政車輛交通違規案件</w:t>
      </w:r>
      <w:r w:rsidR="005B6B01" w:rsidRPr="005B6B01">
        <w:rPr>
          <w:rFonts w:hAnsi="標楷體" w:cs="新細明體" w:hint="eastAsia"/>
        </w:rPr>
        <w:t>統計</w:t>
      </w:r>
      <w:r w:rsidRPr="005B6B01">
        <w:rPr>
          <w:rFonts w:hAnsi="標楷體" w:hint="eastAsia"/>
        </w:rPr>
        <w:t>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，自1</w:t>
      </w:r>
      <w:r>
        <w:t>09</w:t>
      </w:r>
      <w:r>
        <w:rPr>
          <w:rFonts w:hint="eastAsia"/>
        </w:rPr>
        <w:t>年度之8</w:t>
      </w:r>
      <w:r>
        <w:t>29</w:t>
      </w:r>
      <w:r>
        <w:rPr>
          <w:rFonts w:hint="eastAsia"/>
        </w:rPr>
        <w:t>件增為</w:t>
      </w:r>
      <w:r w:rsidR="00D37269">
        <w:rPr>
          <w:rFonts w:hint="eastAsia"/>
        </w:rPr>
        <w:t>1</w:t>
      </w:r>
      <w:r w:rsidR="00D37269">
        <w:t>12</w:t>
      </w:r>
      <w:r w:rsidR="00D37269">
        <w:rPr>
          <w:rFonts w:hint="eastAsia"/>
        </w:rPr>
        <w:t>年度之1</w:t>
      </w:r>
      <w:r w:rsidR="00D37269">
        <w:t>,201</w:t>
      </w:r>
      <w:r w:rsidR="00D37269">
        <w:rPr>
          <w:rFonts w:hint="eastAsia"/>
        </w:rPr>
        <w:t>件，增加3</w:t>
      </w:r>
      <w:r w:rsidR="00D37269">
        <w:t>72</w:t>
      </w:r>
      <w:r w:rsidR="00D37269">
        <w:rPr>
          <w:rFonts w:hint="eastAsia"/>
        </w:rPr>
        <w:t>件(增幅4</w:t>
      </w:r>
      <w:r w:rsidR="00D37269">
        <w:t>4.87%)</w:t>
      </w:r>
      <w:r w:rsidR="00D37269">
        <w:rPr>
          <w:rFonts w:hint="eastAsia"/>
        </w:rPr>
        <w:t>，且1</w:t>
      </w:r>
      <w:r w:rsidR="00D37269">
        <w:t>10</w:t>
      </w:r>
      <w:r w:rsidR="00D37269">
        <w:rPr>
          <w:rFonts w:hint="eastAsia"/>
        </w:rPr>
        <w:t>至1</w:t>
      </w:r>
      <w:r w:rsidR="00D37269">
        <w:t>12</w:t>
      </w:r>
      <w:r w:rsidR="00D37269">
        <w:rPr>
          <w:rFonts w:hint="eastAsia"/>
        </w:rPr>
        <w:t>年度各年</w:t>
      </w:r>
      <w:r w:rsidR="004A4786">
        <w:rPr>
          <w:rFonts w:hint="eastAsia"/>
        </w:rPr>
        <w:t>度</w:t>
      </w:r>
      <w:r w:rsidR="00D37269">
        <w:rPr>
          <w:rFonts w:hint="eastAsia"/>
        </w:rPr>
        <w:t>較上年度</w:t>
      </w:r>
      <w:r w:rsidR="004A4786">
        <w:rPr>
          <w:rFonts w:hint="eastAsia"/>
        </w:rPr>
        <w:t>各增加7</w:t>
      </w:r>
      <w:r w:rsidR="004A4786">
        <w:t>2</w:t>
      </w:r>
      <w:r w:rsidR="004A4786">
        <w:rPr>
          <w:rFonts w:hint="eastAsia"/>
        </w:rPr>
        <w:t>件、1</w:t>
      </w:r>
      <w:r w:rsidR="004A4786">
        <w:t>23</w:t>
      </w:r>
      <w:r w:rsidR="004A4786">
        <w:rPr>
          <w:rFonts w:hint="eastAsia"/>
        </w:rPr>
        <w:t>件及1</w:t>
      </w:r>
      <w:r w:rsidR="004A4786">
        <w:t>77</w:t>
      </w:r>
      <w:r w:rsidR="004A4786">
        <w:rPr>
          <w:rFonts w:hint="eastAsia"/>
        </w:rPr>
        <w:t>件，增幅分別為</w:t>
      </w:r>
      <w:r w:rsidR="00D37269">
        <w:rPr>
          <w:rFonts w:hint="eastAsia"/>
        </w:rPr>
        <w:t>8</w:t>
      </w:r>
      <w:r w:rsidR="00D37269">
        <w:t>.69%</w:t>
      </w:r>
      <w:r w:rsidR="00D37269">
        <w:rPr>
          <w:rFonts w:hint="eastAsia"/>
        </w:rPr>
        <w:t>、1</w:t>
      </w:r>
      <w:r w:rsidR="00D37269">
        <w:t>3.65%</w:t>
      </w:r>
      <w:r w:rsidR="00D37269">
        <w:rPr>
          <w:rFonts w:hint="eastAsia"/>
        </w:rPr>
        <w:t>及1</w:t>
      </w:r>
      <w:r w:rsidR="00D37269">
        <w:t>7.29%</w:t>
      </w:r>
      <w:r w:rsidR="00D37269">
        <w:rPr>
          <w:rFonts w:hint="eastAsia"/>
        </w:rPr>
        <w:t>，呈</w:t>
      </w:r>
      <w:r w:rsidR="005B6B01">
        <w:rPr>
          <w:rFonts w:hint="eastAsia"/>
        </w:rPr>
        <w:t>逐年</w:t>
      </w:r>
      <w:r w:rsidR="00D37269">
        <w:rPr>
          <w:rFonts w:hint="eastAsia"/>
        </w:rPr>
        <w:t>增加趨勢</w:t>
      </w:r>
      <w:r w:rsidR="00055789">
        <w:rPr>
          <w:rFonts w:hint="eastAsia"/>
        </w:rPr>
        <w:t>，又</w:t>
      </w:r>
      <w:r w:rsidR="00930076">
        <w:rPr>
          <w:rFonts w:hint="eastAsia"/>
        </w:rPr>
        <w:t>1</w:t>
      </w:r>
      <w:r w:rsidR="00930076">
        <w:t>09</w:t>
      </w:r>
      <w:r w:rsidR="00930076">
        <w:rPr>
          <w:rFonts w:hint="eastAsia"/>
        </w:rPr>
        <w:t>至1</w:t>
      </w:r>
      <w:r w:rsidR="00930076">
        <w:t>12</w:t>
      </w:r>
      <w:r w:rsidR="00930076">
        <w:rPr>
          <w:rFonts w:hint="eastAsia"/>
        </w:rPr>
        <w:t>年度</w:t>
      </w:r>
      <w:r w:rsidR="005B5DF6">
        <w:rPr>
          <w:rFonts w:hint="eastAsia"/>
        </w:rPr>
        <w:t>違規樣態</w:t>
      </w:r>
      <w:r w:rsidR="005B6B01">
        <w:rPr>
          <w:rFonts w:hint="eastAsia"/>
        </w:rPr>
        <w:t>以</w:t>
      </w:r>
      <w:r w:rsidR="003702AC" w:rsidRPr="003702AC">
        <w:rPr>
          <w:rFonts w:hint="eastAsia"/>
        </w:rPr>
        <w:t>闖紅燈</w:t>
      </w:r>
      <w:r w:rsidR="003702AC">
        <w:rPr>
          <w:rFonts w:hint="eastAsia"/>
        </w:rPr>
        <w:t>4</w:t>
      </w:r>
      <w:r w:rsidR="003702AC">
        <w:t>51</w:t>
      </w:r>
      <w:r w:rsidR="003702AC">
        <w:rPr>
          <w:rFonts w:hint="eastAsia"/>
        </w:rPr>
        <w:t>件</w:t>
      </w:r>
      <w:r w:rsidR="003702AC">
        <w:t>(</w:t>
      </w:r>
      <w:r w:rsidR="003702AC">
        <w:rPr>
          <w:rFonts w:hint="eastAsia"/>
        </w:rPr>
        <w:t>占比1</w:t>
      </w:r>
      <w:r w:rsidR="003702AC">
        <w:t>1.40%)</w:t>
      </w:r>
      <w:r w:rsidR="003702AC">
        <w:rPr>
          <w:rFonts w:hint="eastAsia"/>
        </w:rPr>
        <w:t>及超</w:t>
      </w:r>
      <w:r w:rsidR="008475BE">
        <w:rPr>
          <w:rFonts w:hint="eastAsia"/>
        </w:rPr>
        <w:t>速4</w:t>
      </w:r>
      <w:r w:rsidR="008475BE">
        <w:t>07</w:t>
      </w:r>
      <w:r w:rsidR="008475BE">
        <w:rPr>
          <w:rFonts w:hint="eastAsia"/>
        </w:rPr>
        <w:t>件(占比1</w:t>
      </w:r>
      <w:r w:rsidR="008475BE">
        <w:t>0.29%)</w:t>
      </w:r>
      <w:r w:rsidR="005B6B01">
        <w:rPr>
          <w:rFonts w:hint="eastAsia"/>
        </w:rPr>
        <w:t>等為主</w:t>
      </w:r>
      <w:r w:rsidR="008475BE">
        <w:rPr>
          <w:rFonts w:hint="eastAsia"/>
        </w:rPr>
        <w:t>(詳表2</w:t>
      </w:r>
      <w:r w:rsidR="008475BE">
        <w:t>)</w:t>
      </w:r>
      <w:r w:rsidR="00D37269">
        <w:rPr>
          <w:rFonts w:hint="eastAsia"/>
        </w:rPr>
        <w:t>。</w:t>
      </w:r>
      <w:r w:rsidR="005B5DF6">
        <w:rPr>
          <w:rFonts w:hint="eastAsia"/>
        </w:rPr>
        <w:t>洽據該公司表</w:t>
      </w:r>
      <w:r w:rsidR="005B5DF6" w:rsidRPr="005B5DF6">
        <w:rPr>
          <w:rFonts w:hint="eastAsia"/>
        </w:rPr>
        <w:t>示，</w:t>
      </w:r>
      <w:r w:rsidR="005B5DF6">
        <w:rPr>
          <w:rFonts w:hint="eastAsia"/>
        </w:rPr>
        <w:t>近年交通違規</w:t>
      </w:r>
      <w:r w:rsidR="005B5DF6" w:rsidRPr="005B5DF6">
        <w:rPr>
          <w:rFonts w:hint="eastAsia"/>
        </w:rPr>
        <w:t>件數增加原因包含民眾檢舉、警方加強取締及科技執法擴大執行</w:t>
      </w:r>
      <w:r w:rsidR="005B5DF6">
        <w:rPr>
          <w:rFonts w:hint="eastAsia"/>
        </w:rPr>
        <w:t>等</w:t>
      </w:r>
      <w:r w:rsidR="008475BE">
        <w:rPr>
          <w:rFonts w:hint="eastAsia"/>
        </w:rPr>
        <w:t>，</w:t>
      </w:r>
      <w:r w:rsidR="001F22A9">
        <w:rPr>
          <w:rFonts w:hint="eastAsia"/>
        </w:rPr>
        <w:t>研擬改善措施包括</w:t>
      </w:r>
      <w:r w:rsidR="001F22A9" w:rsidRPr="001F22A9">
        <w:rPr>
          <w:rFonts w:hint="eastAsia"/>
        </w:rPr>
        <w:t>配合交通安全月活動加強宣</w:t>
      </w:r>
      <w:r w:rsidR="001F22A9" w:rsidRPr="001F22A9">
        <w:rPr>
          <w:rFonts w:hint="eastAsia"/>
        </w:rPr>
        <w:lastRenderedPageBreak/>
        <w:t>導道路安全相關規定</w:t>
      </w:r>
      <w:r w:rsidR="001F22A9">
        <w:rPr>
          <w:rFonts w:hint="eastAsia"/>
        </w:rPr>
        <w:t>、</w:t>
      </w:r>
      <w:r w:rsidR="001F22A9" w:rsidRPr="001F22A9">
        <w:rPr>
          <w:rFonts w:hint="eastAsia"/>
        </w:rPr>
        <w:t>各局每半年應至少舉辦道路交通安全訓練1次</w:t>
      </w:r>
      <w:r w:rsidR="001F22A9">
        <w:rPr>
          <w:rFonts w:hint="eastAsia"/>
        </w:rPr>
        <w:t>、</w:t>
      </w:r>
      <w:r w:rsidR="001F22A9" w:rsidRPr="001F22A9">
        <w:rPr>
          <w:rFonts w:hint="eastAsia"/>
        </w:rPr>
        <w:t>適時查核各局異常駕駛行為及交通罰單紀錄</w:t>
      </w:r>
      <w:r w:rsidR="001F22A9">
        <w:rPr>
          <w:rFonts w:hint="eastAsia"/>
        </w:rPr>
        <w:t>、</w:t>
      </w:r>
      <w:r w:rsidR="001F22A9" w:rsidRPr="001F22A9">
        <w:rPr>
          <w:rFonts w:hint="eastAsia"/>
        </w:rPr>
        <w:t>每季交通意外事故防制及推行小組會議公布與檢討上一季交通違規</w:t>
      </w:r>
      <w:r w:rsidR="001F22A9">
        <w:rPr>
          <w:rFonts w:hint="eastAsia"/>
        </w:rPr>
        <w:t>情形等</w:t>
      </w:r>
      <w:r w:rsidR="005B5DF6" w:rsidRPr="005B5DF6">
        <w:rPr>
          <w:rFonts w:hint="eastAsia"/>
        </w:rPr>
        <w:t>。</w:t>
      </w:r>
    </w:p>
    <w:p w:rsidR="005B6B01" w:rsidRDefault="005B6B01" w:rsidP="005B6B01">
      <w:pPr>
        <w:ind w:left="566" w:firstLine="566"/>
        <w:rPr>
          <w:rFonts w:hint="eastAsia"/>
        </w:rPr>
      </w:pPr>
      <w:r>
        <w:rPr>
          <w:rFonts w:hint="eastAsia"/>
        </w:rPr>
        <w:t>綜上，觀察近年中華郵政公司之</w:t>
      </w:r>
      <w:r w:rsidRPr="004A4786">
        <w:rPr>
          <w:rFonts w:hint="eastAsia"/>
        </w:rPr>
        <w:t>郵政車輛交通違規案件</w:t>
      </w:r>
      <w:r w:rsidR="001C43D3">
        <w:rPr>
          <w:rFonts w:hint="eastAsia"/>
        </w:rPr>
        <w:t>統計</w:t>
      </w:r>
      <w:r>
        <w:rPr>
          <w:rFonts w:hint="eastAsia"/>
        </w:rPr>
        <w:t>，明顯呈逐年增加趨勢，</w:t>
      </w:r>
      <w:r w:rsidR="001C43D3">
        <w:rPr>
          <w:rFonts w:hint="eastAsia"/>
        </w:rPr>
        <w:t>違</w:t>
      </w:r>
      <w:r w:rsidRPr="005949C0">
        <w:rPr>
          <w:rFonts w:hint="eastAsia"/>
        </w:rPr>
        <w:t>規樣態</w:t>
      </w:r>
      <w:r>
        <w:rPr>
          <w:rFonts w:hint="eastAsia"/>
        </w:rPr>
        <w:t>以</w:t>
      </w:r>
      <w:r w:rsidRPr="005949C0">
        <w:rPr>
          <w:rFonts w:hint="eastAsia"/>
        </w:rPr>
        <w:t>闖紅燈</w:t>
      </w:r>
      <w:r>
        <w:rPr>
          <w:rFonts w:hint="eastAsia"/>
        </w:rPr>
        <w:t>及超速等為主，允宜檢討改善，強化員工交通安全相關</w:t>
      </w:r>
      <w:r w:rsidRPr="00023943">
        <w:rPr>
          <w:rFonts w:hint="eastAsia"/>
        </w:rPr>
        <w:t>教育訓練，</w:t>
      </w:r>
      <w:r>
        <w:rPr>
          <w:rFonts w:hint="eastAsia"/>
        </w:rPr>
        <w:t>俾落實行車安全與提高企業形象</w:t>
      </w:r>
      <w:r w:rsidRPr="005B5DF6">
        <w:rPr>
          <w:rFonts w:hint="eastAsia"/>
        </w:rPr>
        <w:t>。</w:t>
      </w:r>
    </w:p>
    <w:p w:rsidR="005315E1" w:rsidRPr="005315E1" w:rsidRDefault="005315E1" w:rsidP="00423914">
      <w:pPr>
        <w:widowControl/>
        <w:spacing w:line="460" w:lineRule="exact"/>
        <w:ind w:leftChars="0" w:left="0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>
        <w:rPr>
          <w:rFonts w:hAnsi="標楷體" w:hint="eastAsia"/>
          <w:b/>
          <w:bCs/>
          <w:snapToGrid/>
          <w:color w:val="000000"/>
          <w:kern w:val="0"/>
        </w:rPr>
        <w:t>表1</w:t>
      </w:r>
      <w:r>
        <w:rPr>
          <w:rFonts w:hAnsi="標楷體"/>
          <w:b/>
          <w:bCs/>
          <w:snapToGrid/>
          <w:color w:val="000000"/>
          <w:kern w:val="0"/>
        </w:rPr>
        <w:t xml:space="preserve">  </w:t>
      </w:r>
      <w:r w:rsidR="000224B2">
        <w:rPr>
          <w:rFonts w:hAnsi="標楷體" w:hint="eastAsia"/>
          <w:b/>
          <w:bCs/>
          <w:snapToGrid/>
          <w:color w:val="000000"/>
          <w:kern w:val="0"/>
        </w:rPr>
        <w:t>近年</w:t>
      </w:r>
      <w:r w:rsidRPr="005315E1">
        <w:rPr>
          <w:rFonts w:hAnsi="標楷體" w:hint="eastAsia"/>
          <w:b/>
          <w:bCs/>
          <w:snapToGrid/>
          <w:color w:val="000000"/>
          <w:kern w:val="0"/>
        </w:rPr>
        <w:t>郵政車輛交通違規案件統計</w:t>
      </w:r>
      <w:r w:rsidRPr="005315E1">
        <w:rPr>
          <w:rFonts w:hAnsi="標楷體" w:cs="新細明體" w:hint="eastAsia"/>
          <w:b/>
          <w:bCs/>
          <w:snapToGrid/>
          <w:color w:val="000000"/>
          <w:kern w:val="0"/>
        </w:rPr>
        <w:t xml:space="preserve">表 </w:t>
      </w:r>
      <w:r w:rsidRPr="005315E1">
        <w:rPr>
          <w:rFonts w:hAnsi="標楷體" w:cs="新細明體"/>
          <w:b/>
          <w:bCs/>
          <w:snapToGrid/>
          <w:color w:val="000000"/>
          <w:kern w:val="0"/>
        </w:rPr>
        <w:t xml:space="preserve">        </w:t>
      </w:r>
      <w:r w:rsidR="00055789">
        <w:rPr>
          <w:rFonts w:hAnsi="標楷體" w:cs="新細明體"/>
          <w:b/>
          <w:bCs/>
          <w:snapToGrid/>
          <w:color w:val="000000"/>
          <w:kern w:val="0"/>
        </w:rPr>
        <w:t xml:space="preserve">   </w:t>
      </w:r>
      <w:r w:rsidRPr="005315E1">
        <w:rPr>
          <w:rFonts w:hAnsi="標楷體" w:cs="新細明體"/>
          <w:b/>
          <w:bCs/>
          <w:snapToGrid/>
          <w:color w:val="000000"/>
          <w:kern w:val="0"/>
        </w:rPr>
        <w:t xml:space="preserve"> </w:t>
      </w:r>
      <w:r w:rsidRPr="005315E1">
        <w:rPr>
          <w:rFonts w:hAnsi="標楷體" w:cs="新細明體" w:hint="eastAsia"/>
          <w:b/>
          <w:bCs/>
          <w:snapToGrid/>
          <w:color w:val="000000"/>
          <w:kern w:val="0"/>
        </w:rPr>
        <w:t xml:space="preserve">  </w:t>
      </w:r>
      <w:r w:rsidRPr="005315E1">
        <w:rPr>
          <w:rFonts w:hAnsi="標楷體"/>
          <w:snapToGrid/>
          <w:spacing w:val="-5"/>
          <w:kern w:val="0"/>
          <w:sz w:val="24"/>
          <w:szCs w:val="24"/>
        </w:rPr>
        <w:t>單位：</w:t>
      </w:r>
      <w:r w:rsidRPr="005315E1">
        <w:rPr>
          <w:rFonts w:hAnsi="標楷體" w:hint="eastAsia"/>
          <w:snapToGrid/>
          <w:spacing w:val="-5"/>
          <w:kern w:val="0"/>
          <w:sz w:val="24"/>
          <w:szCs w:val="24"/>
        </w:rPr>
        <w:t>件；%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1984"/>
        <w:gridCol w:w="2410"/>
        <w:gridCol w:w="2551"/>
      </w:tblGrid>
      <w:tr w:rsidR="004A4786" w:rsidRPr="005315E1" w:rsidTr="005B6B01">
        <w:trPr>
          <w:tblHeader/>
        </w:trPr>
        <w:tc>
          <w:tcPr>
            <w:tcW w:w="1560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年度</w:t>
            </w:r>
          </w:p>
        </w:tc>
        <w:tc>
          <w:tcPr>
            <w:tcW w:w="1984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違規總件數</w:t>
            </w:r>
          </w:p>
        </w:tc>
        <w:tc>
          <w:tcPr>
            <w:tcW w:w="2410" w:type="dxa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較</w:t>
            </w:r>
            <w:r>
              <w:rPr>
                <w:rFonts w:hint="eastAsia"/>
                <w:spacing w:val="0"/>
              </w:rPr>
              <w:t>上</w:t>
            </w:r>
            <w:r w:rsidRPr="005315E1">
              <w:rPr>
                <w:rFonts w:hint="eastAsia"/>
                <w:spacing w:val="0"/>
              </w:rPr>
              <w:t>年</w:t>
            </w:r>
            <w:r>
              <w:rPr>
                <w:rFonts w:hint="eastAsia"/>
                <w:spacing w:val="0"/>
              </w:rPr>
              <w:t>度</w:t>
            </w:r>
            <w:r w:rsidRPr="005315E1">
              <w:rPr>
                <w:rFonts w:hint="eastAsia"/>
                <w:spacing w:val="0"/>
              </w:rPr>
              <w:t>增</w:t>
            </w:r>
            <w:r>
              <w:rPr>
                <w:rFonts w:hint="eastAsia"/>
                <w:spacing w:val="0"/>
              </w:rPr>
              <w:t>加件數</w:t>
            </w:r>
          </w:p>
        </w:tc>
        <w:tc>
          <w:tcPr>
            <w:tcW w:w="2551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較</w:t>
            </w:r>
            <w:r>
              <w:rPr>
                <w:rFonts w:hint="eastAsia"/>
                <w:spacing w:val="0"/>
              </w:rPr>
              <w:t>上</w:t>
            </w:r>
            <w:r w:rsidRPr="005315E1">
              <w:rPr>
                <w:rFonts w:hint="eastAsia"/>
                <w:spacing w:val="0"/>
              </w:rPr>
              <w:t>年</w:t>
            </w:r>
            <w:r>
              <w:rPr>
                <w:rFonts w:hint="eastAsia"/>
                <w:spacing w:val="0"/>
              </w:rPr>
              <w:t>度</w:t>
            </w:r>
            <w:r w:rsidRPr="005315E1">
              <w:rPr>
                <w:rFonts w:hint="eastAsia"/>
                <w:spacing w:val="0"/>
              </w:rPr>
              <w:t>增</w:t>
            </w:r>
            <w:r>
              <w:rPr>
                <w:rFonts w:hint="eastAsia"/>
                <w:spacing w:val="0"/>
              </w:rPr>
              <w:t>加百分比</w:t>
            </w:r>
          </w:p>
        </w:tc>
      </w:tr>
      <w:tr w:rsidR="004A4786" w:rsidRPr="005315E1" w:rsidTr="005B6B01">
        <w:tc>
          <w:tcPr>
            <w:tcW w:w="1560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1</w:t>
            </w:r>
            <w:r w:rsidRPr="005315E1">
              <w:rPr>
                <w:spacing w:val="0"/>
              </w:rPr>
              <w:t>09</w:t>
            </w:r>
          </w:p>
        </w:tc>
        <w:tc>
          <w:tcPr>
            <w:tcW w:w="1984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829</w:t>
            </w:r>
          </w:p>
        </w:tc>
        <w:tc>
          <w:tcPr>
            <w:tcW w:w="2410" w:type="dxa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-</w:t>
            </w:r>
          </w:p>
        </w:tc>
        <w:tc>
          <w:tcPr>
            <w:tcW w:w="2551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-</w:t>
            </w:r>
          </w:p>
        </w:tc>
      </w:tr>
      <w:tr w:rsidR="004A4786" w:rsidRPr="005315E1" w:rsidTr="005B6B01">
        <w:tc>
          <w:tcPr>
            <w:tcW w:w="1560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1</w:t>
            </w:r>
            <w:r w:rsidRPr="005315E1">
              <w:rPr>
                <w:spacing w:val="0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901</w:t>
            </w:r>
          </w:p>
        </w:tc>
        <w:tc>
          <w:tcPr>
            <w:tcW w:w="2410" w:type="dxa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7</w:t>
            </w:r>
            <w:r>
              <w:rPr>
                <w:spacing w:val="0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8</w:t>
            </w:r>
            <w:r w:rsidRPr="005315E1">
              <w:rPr>
                <w:spacing w:val="0"/>
              </w:rPr>
              <w:t>.6</w:t>
            </w:r>
            <w:r>
              <w:rPr>
                <w:spacing w:val="0"/>
              </w:rPr>
              <w:t>9</w:t>
            </w:r>
          </w:p>
        </w:tc>
      </w:tr>
      <w:tr w:rsidR="004A4786" w:rsidRPr="005315E1" w:rsidTr="005B6B01">
        <w:tc>
          <w:tcPr>
            <w:tcW w:w="1560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1</w:t>
            </w:r>
            <w:r w:rsidRPr="005315E1">
              <w:rPr>
                <w:spacing w:val="0"/>
              </w:rPr>
              <w:t>11</w:t>
            </w:r>
          </w:p>
        </w:tc>
        <w:tc>
          <w:tcPr>
            <w:tcW w:w="1984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1,024</w:t>
            </w:r>
          </w:p>
        </w:tc>
        <w:tc>
          <w:tcPr>
            <w:tcW w:w="2410" w:type="dxa"/>
          </w:tcPr>
          <w:p w:rsidR="004A4786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1</w:t>
            </w:r>
            <w:r>
              <w:rPr>
                <w:spacing w:val="0"/>
              </w:rPr>
              <w:t>23</w:t>
            </w:r>
          </w:p>
        </w:tc>
        <w:tc>
          <w:tcPr>
            <w:tcW w:w="2551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1</w:t>
            </w:r>
            <w:r>
              <w:rPr>
                <w:spacing w:val="0"/>
              </w:rPr>
              <w:t>3.65</w:t>
            </w:r>
          </w:p>
        </w:tc>
      </w:tr>
      <w:tr w:rsidR="004A4786" w:rsidRPr="005315E1" w:rsidTr="005B6B01">
        <w:tc>
          <w:tcPr>
            <w:tcW w:w="1560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1</w:t>
            </w:r>
            <w:r w:rsidRPr="005315E1">
              <w:rPr>
                <w:spacing w:val="0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1</w:t>
            </w:r>
            <w:r w:rsidRPr="005315E1">
              <w:rPr>
                <w:spacing w:val="0"/>
              </w:rPr>
              <w:t>,</w:t>
            </w:r>
            <w:r w:rsidRPr="005315E1">
              <w:rPr>
                <w:rFonts w:hint="eastAsia"/>
                <w:spacing w:val="0"/>
              </w:rPr>
              <w:t>201</w:t>
            </w:r>
          </w:p>
        </w:tc>
        <w:tc>
          <w:tcPr>
            <w:tcW w:w="2410" w:type="dxa"/>
          </w:tcPr>
          <w:p w:rsidR="004A4786" w:rsidRDefault="004A4786" w:rsidP="00023943">
            <w:pPr>
              <w:pStyle w:val="14-12"/>
              <w:spacing w:line="320" w:lineRule="exact"/>
              <w:jc w:val="right"/>
              <w:rPr>
                <w:spacing w:val="0"/>
              </w:rPr>
            </w:pPr>
            <w:r>
              <w:rPr>
                <w:rFonts w:hint="eastAsia"/>
                <w:spacing w:val="0"/>
              </w:rPr>
              <w:t>1</w:t>
            </w:r>
            <w:r>
              <w:rPr>
                <w:spacing w:val="0"/>
              </w:rPr>
              <w:t>77</w:t>
            </w:r>
          </w:p>
        </w:tc>
        <w:tc>
          <w:tcPr>
            <w:tcW w:w="2551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>
              <w:rPr>
                <w:spacing w:val="0"/>
              </w:rPr>
              <w:t>17</w:t>
            </w:r>
            <w:r w:rsidRPr="005315E1">
              <w:rPr>
                <w:spacing w:val="0"/>
              </w:rPr>
              <w:t>.</w:t>
            </w:r>
            <w:r>
              <w:rPr>
                <w:spacing w:val="0"/>
              </w:rPr>
              <w:t>29</w:t>
            </w:r>
          </w:p>
        </w:tc>
      </w:tr>
      <w:tr w:rsidR="004A4786" w:rsidRPr="005315E1" w:rsidTr="005B6B01">
        <w:tc>
          <w:tcPr>
            <w:tcW w:w="1560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center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小計</w:t>
            </w:r>
          </w:p>
        </w:tc>
        <w:tc>
          <w:tcPr>
            <w:tcW w:w="1984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3</w:t>
            </w:r>
            <w:r>
              <w:rPr>
                <w:spacing w:val="0"/>
              </w:rPr>
              <w:t>,955</w:t>
            </w:r>
          </w:p>
        </w:tc>
        <w:tc>
          <w:tcPr>
            <w:tcW w:w="2410" w:type="dxa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-</w:t>
            </w:r>
          </w:p>
        </w:tc>
        <w:tc>
          <w:tcPr>
            <w:tcW w:w="2551" w:type="dxa"/>
            <w:shd w:val="clear" w:color="auto" w:fill="auto"/>
          </w:tcPr>
          <w:p w:rsidR="004A4786" w:rsidRPr="005315E1" w:rsidRDefault="004A4786" w:rsidP="00023943">
            <w:pPr>
              <w:pStyle w:val="14-12"/>
              <w:spacing w:line="320" w:lineRule="exact"/>
              <w:jc w:val="right"/>
              <w:rPr>
                <w:rFonts w:hint="eastAsia"/>
                <w:spacing w:val="0"/>
              </w:rPr>
            </w:pPr>
            <w:r w:rsidRPr="005315E1">
              <w:rPr>
                <w:rFonts w:hint="eastAsia"/>
                <w:spacing w:val="0"/>
              </w:rPr>
              <w:t>-</w:t>
            </w:r>
          </w:p>
        </w:tc>
      </w:tr>
    </w:tbl>
    <w:p w:rsidR="005315E1" w:rsidRDefault="005315E1" w:rsidP="00023943">
      <w:pPr>
        <w:pStyle w:val="142"/>
        <w:spacing w:line="320" w:lineRule="exact"/>
        <w:ind w:left="1148" w:hangingChars="472" w:hanging="1148"/>
      </w:pPr>
      <w:r w:rsidRPr="00256F61">
        <w:rPr>
          <w:rFonts w:hint="eastAsia"/>
        </w:rPr>
        <w:t>資料來源：中華郵政公司提供。</w:t>
      </w:r>
    </w:p>
    <w:p w:rsidR="00DA7E98" w:rsidRPr="00DA7E98" w:rsidRDefault="00226A56" w:rsidP="00D91E3D">
      <w:pPr>
        <w:widowControl/>
        <w:spacing w:line="460" w:lineRule="exact"/>
        <w:ind w:leftChars="0" w:left="0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>
        <w:rPr>
          <w:rFonts w:hAnsi="標楷體" w:hint="eastAsia"/>
          <w:b/>
          <w:bCs/>
          <w:snapToGrid/>
          <w:color w:val="000000"/>
          <w:kern w:val="0"/>
        </w:rPr>
        <w:t>表2</w:t>
      </w:r>
      <w:r>
        <w:rPr>
          <w:rFonts w:hAnsi="標楷體"/>
          <w:b/>
          <w:bCs/>
          <w:snapToGrid/>
          <w:color w:val="000000"/>
          <w:kern w:val="0"/>
        </w:rPr>
        <w:t xml:space="preserve">  </w:t>
      </w:r>
      <w:r w:rsidR="000224B2">
        <w:rPr>
          <w:rFonts w:hAnsi="標楷體" w:hint="eastAsia"/>
          <w:b/>
          <w:bCs/>
          <w:snapToGrid/>
          <w:color w:val="000000"/>
          <w:kern w:val="0"/>
        </w:rPr>
        <w:t>近年</w:t>
      </w:r>
      <w:r w:rsidR="00DA7E98" w:rsidRPr="00DA7E98">
        <w:rPr>
          <w:rFonts w:hAnsi="標楷體" w:hint="eastAsia"/>
          <w:b/>
          <w:bCs/>
          <w:snapToGrid/>
          <w:color w:val="000000"/>
          <w:kern w:val="0"/>
        </w:rPr>
        <w:t>郵政車輛交通違規</w:t>
      </w:r>
      <w:r w:rsidR="00D91E3D">
        <w:rPr>
          <w:rFonts w:hAnsi="標楷體" w:hint="eastAsia"/>
          <w:b/>
          <w:bCs/>
          <w:snapToGrid/>
          <w:color w:val="000000"/>
          <w:kern w:val="0"/>
        </w:rPr>
        <w:t>前2大</w:t>
      </w:r>
      <w:r w:rsidR="00DA7E98" w:rsidRPr="00DA7E98">
        <w:rPr>
          <w:rFonts w:hAnsi="標楷體" w:hint="eastAsia"/>
          <w:b/>
          <w:bCs/>
          <w:snapToGrid/>
          <w:color w:val="000000"/>
          <w:kern w:val="0"/>
        </w:rPr>
        <w:t>項目</w:t>
      </w:r>
      <w:r w:rsidR="00023943">
        <w:rPr>
          <w:rFonts w:hAnsi="標楷體" w:hint="eastAsia"/>
          <w:b/>
          <w:bCs/>
          <w:snapToGrid/>
          <w:color w:val="000000"/>
          <w:kern w:val="0"/>
        </w:rPr>
        <w:t>概況</w:t>
      </w:r>
      <w:r w:rsidR="00DA7E98" w:rsidRPr="00DA7E98">
        <w:rPr>
          <w:rFonts w:hAnsi="標楷體" w:cs="新細明體" w:hint="eastAsia"/>
          <w:b/>
          <w:bCs/>
          <w:snapToGrid/>
          <w:color w:val="000000"/>
          <w:kern w:val="0"/>
        </w:rPr>
        <w:t>表</w:t>
      </w:r>
      <w:r w:rsidR="00D91E3D">
        <w:rPr>
          <w:rFonts w:hAnsi="標楷體" w:cs="新細明體" w:hint="eastAsia"/>
          <w:b/>
          <w:bCs/>
          <w:snapToGrid/>
          <w:color w:val="000000"/>
          <w:kern w:val="0"/>
        </w:rPr>
        <w:t xml:space="preserve"> </w:t>
      </w:r>
      <w:r w:rsidR="00DA7E98" w:rsidRPr="00DA7E98">
        <w:rPr>
          <w:rFonts w:hAnsi="標楷體" w:cs="新細明體"/>
          <w:b/>
          <w:bCs/>
          <w:snapToGrid/>
          <w:color w:val="000000"/>
          <w:kern w:val="0"/>
        </w:rPr>
        <w:t xml:space="preserve">      </w:t>
      </w:r>
      <w:r>
        <w:rPr>
          <w:rFonts w:hAnsi="標楷體" w:cs="新細明體"/>
          <w:b/>
          <w:bCs/>
          <w:snapToGrid/>
          <w:color w:val="000000"/>
          <w:kern w:val="0"/>
        </w:rPr>
        <w:t xml:space="preserve">  </w:t>
      </w:r>
      <w:r w:rsidR="00DA7E98" w:rsidRPr="00DA7E98">
        <w:rPr>
          <w:rFonts w:hAnsi="標楷體" w:cs="新細明體"/>
          <w:b/>
          <w:bCs/>
          <w:snapToGrid/>
          <w:color w:val="000000"/>
          <w:kern w:val="0"/>
        </w:rPr>
        <w:t xml:space="preserve">  </w:t>
      </w:r>
      <w:r w:rsidR="00DA7E98" w:rsidRPr="00DA7E98">
        <w:rPr>
          <w:rFonts w:hAnsi="標楷體"/>
          <w:snapToGrid/>
          <w:spacing w:val="-5"/>
          <w:kern w:val="0"/>
          <w:sz w:val="24"/>
          <w:szCs w:val="24"/>
        </w:rPr>
        <w:t>單位：</w:t>
      </w:r>
      <w:r w:rsidR="00DA7E98" w:rsidRPr="00DA7E98">
        <w:rPr>
          <w:rFonts w:hAnsi="標楷體" w:hint="eastAsia"/>
          <w:snapToGrid/>
          <w:spacing w:val="-5"/>
          <w:kern w:val="0"/>
          <w:sz w:val="24"/>
          <w:szCs w:val="24"/>
        </w:rPr>
        <w:t>輛次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2268"/>
        <w:gridCol w:w="992"/>
        <w:gridCol w:w="992"/>
        <w:gridCol w:w="992"/>
        <w:gridCol w:w="992"/>
        <w:gridCol w:w="993"/>
      </w:tblGrid>
      <w:tr w:rsidR="00DA7E98" w:rsidRPr="00DA7E98" w:rsidTr="00055789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DA7E98" w:rsidRPr="00DA7E98" w:rsidRDefault="00DA7E98" w:rsidP="00DA7E98">
            <w:pPr>
              <w:pStyle w:val="14-12"/>
              <w:jc w:val="center"/>
              <w:rPr>
                <w:rFonts w:hint="eastAsia"/>
              </w:rPr>
            </w:pPr>
            <w:r w:rsidRPr="00DA7E98">
              <w:rPr>
                <w:rFonts w:hint="eastAsia"/>
              </w:rPr>
              <w:t>道路交通管理處罰條例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7E98" w:rsidRPr="00DA7E98" w:rsidRDefault="00DA7E98" w:rsidP="00DA7E98">
            <w:pPr>
              <w:pStyle w:val="14-12"/>
              <w:jc w:val="center"/>
              <w:rPr>
                <w:rFonts w:hint="eastAsia"/>
              </w:rPr>
            </w:pPr>
            <w:r w:rsidRPr="00DA7E98">
              <w:rPr>
                <w:rFonts w:hint="eastAsia"/>
              </w:rPr>
              <w:t>違規事實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center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合計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055789" w:rsidRDefault="00DA7E98" w:rsidP="00DA7E98">
            <w:pPr>
              <w:pStyle w:val="14-12"/>
              <w:jc w:val="center"/>
              <w:rPr>
                <w:rFonts w:hint="eastAsia"/>
                <w:spacing w:val="-10"/>
                <w:sz w:val="22"/>
                <w:szCs w:val="22"/>
              </w:rPr>
            </w:pPr>
            <w:r w:rsidRPr="00055789">
              <w:rPr>
                <w:rFonts w:hint="eastAsia"/>
                <w:spacing w:val="-10"/>
                <w:sz w:val="22"/>
                <w:szCs w:val="22"/>
              </w:rPr>
              <w:t>1</w:t>
            </w:r>
            <w:r w:rsidRPr="00055789">
              <w:rPr>
                <w:spacing w:val="-10"/>
                <w:sz w:val="22"/>
                <w:szCs w:val="22"/>
              </w:rPr>
              <w:t>09</w:t>
            </w:r>
            <w:r w:rsidRPr="00055789">
              <w:rPr>
                <w:rFonts w:hint="eastAsia"/>
                <w:spacing w:val="-10"/>
                <w:sz w:val="22"/>
                <w:szCs w:val="22"/>
              </w:rPr>
              <w:t>年</w:t>
            </w:r>
            <w:r w:rsidR="000224B2" w:rsidRPr="00055789">
              <w:rPr>
                <w:rFonts w:hint="eastAsia"/>
                <w:spacing w:val="-10"/>
                <w:sz w:val="22"/>
                <w:szCs w:val="22"/>
              </w:rPr>
              <w:t>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055789" w:rsidRDefault="00DA7E98" w:rsidP="00DA7E98">
            <w:pPr>
              <w:pStyle w:val="14-12"/>
              <w:jc w:val="center"/>
              <w:rPr>
                <w:rFonts w:hint="eastAsia"/>
                <w:spacing w:val="-10"/>
                <w:sz w:val="22"/>
                <w:szCs w:val="22"/>
              </w:rPr>
            </w:pPr>
            <w:r w:rsidRPr="00055789">
              <w:rPr>
                <w:rFonts w:hint="eastAsia"/>
                <w:spacing w:val="-10"/>
                <w:sz w:val="22"/>
                <w:szCs w:val="22"/>
              </w:rPr>
              <w:t>1</w:t>
            </w:r>
            <w:r w:rsidRPr="00055789">
              <w:rPr>
                <w:spacing w:val="-10"/>
                <w:sz w:val="22"/>
                <w:szCs w:val="22"/>
              </w:rPr>
              <w:t>10</w:t>
            </w:r>
            <w:r w:rsidRPr="00055789">
              <w:rPr>
                <w:rFonts w:hint="eastAsia"/>
                <w:spacing w:val="-10"/>
                <w:sz w:val="22"/>
                <w:szCs w:val="22"/>
              </w:rPr>
              <w:t>年</w:t>
            </w:r>
            <w:r w:rsidR="000224B2" w:rsidRPr="00055789">
              <w:rPr>
                <w:rFonts w:hint="eastAsia"/>
                <w:spacing w:val="-10"/>
                <w:sz w:val="22"/>
                <w:szCs w:val="22"/>
              </w:rPr>
              <w:t>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055789" w:rsidRDefault="00DA7E98" w:rsidP="00DA7E98">
            <w:pPr>
              <w:pStyle w:val="14-12"/>
              <w:jc w:val="center"/>
              <w:rPr>
                <w:rFonts w:hint="eastAsia"/>
                <w:spacing w:val="-10"/>
                <w:sz w:val="22"/>
                <w:szCs w:val="22"/>
              </w:rPr>
            </w:pPr>
            <w:r w:rsidRPr="00055789">
              <w:rPr>
                <w:rFonts w:hint="eastAsia"/>
                <w:spacing w:val="-10"/>
                <w:sz w:val="22"/>
                <w:szCs w:val="22"/>
              </w:rPr>
              <w:t>1</w:t>
            </w:r>
            <w:r w:rsidRPr="00055789">
              <w:rPr>
                <w:spacing w:val="-10"/>
                <w:sz w:val="22"/>
                <w:szCs w:val="22"/>
              </w:rPr>
              <w:t>11</w:t>
            </w:r>
            <w:r w:rsidRPr="00055789">
              <w:rPr>
                <w:rFonts w:hint="eastAsia"/>
                <w:spacing w:val="-10"/>
                <w:sz w:val="22"/>
                <w:szCs w:val="22"/>
              </w:rPr>
              <w:t>年</w:t>
            </w:r>
            <w:r w:rsidR="000224B2" w:rsidRPr="00055789">
              <w:rPr>
                <w:rFonts w:hint="eastAsia"/>
                <w:spacing w:val="-10"/>
                <w:sz w:val="22"/>
                <w:szCs w:val="22"/>
              </w:rPr>
              <w:t>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7E98" w:rsidRPr="00055789" w:rsidRDefault="00DA7E98" w:rsidP="00DA7E98">
            <w:pPr>
              <w:pStyle w:val="14-12"/>
              <w:jc w:val="center"/>
              <w:rPr>
                <w:rFonts w:hint="eastAsia"/>
                <w:spacing w:val="-10"/>
                <w:sz w:val="22"/>
                <w:szCs w:val="22"/>
              </w:rPr>
            </w:pPr>
            <w:r w:rsidRPr="00055789">
              <w:rPr>
                <w:rFonts w:hint="eastAsia"/>
                <w:spacing w:val="-10"/>
                <w:sz w:val="22"/>
                <w:szCs w:val="22"/>
              </w:rPr>
              <w:t>1</w:t>
            </w:r>
            <w:r w:rsidRPr="00055789">
              <w:rPr>
                <w:spacing w:val="-10"/>
                <w:sz w:val="22"/>
                <w:szCs w:val="22"/>
              </w:rPr>
              <w:t>12</w:t>
            </w:r>
            <w:r w:rsidRPr="00055789">
              <w:rPr>
                <w:rFonts w:hint="eastAsia"/>
                <w:spacing w:val="-10"/>
                <w:sz w:val="22"/>
                <w:szCs w:val="22"/>
              </w:rPr>
              <w:t>年</w:t>
            </w:r>
            <w:r w:rsidR="000224B2" w:rsidRPr="00055789">
              <w:rPr>
                <w:rFonts w:hint="eastAsia"/>
                <w:spacing w:val="-10"/>
                <w:sz w:val="22"/>
                <w:szCs w:val="22"/>
              </w:rPr>
              <w:t>度</w:t>
            </w:r>
          </w:p>
        </w:tc>
      </w:tr>
      <w:tr w:rsidR="00DA7E98" w:rsidRPr="00DA7E98" w:rsidTr="00055789">
        <w:tc>
          <w:tcPr>
            <w:tcW w:w="1276" w:type="dxa"/>
            <w:shd w:val="clear" w:color="auto" w:fill="auto"/>
            <w:vAlign w:val="center"/>
          </w:tcPr>
          <w:p w:rsidR="00DA7E98" w:rsidRPr="00DA7E98" w:rsidRDefault="00DA7E98" w:rsidP="00DA7E98">
            <w:pPr>
              <w:pStyle w:val="14-12"/>
              <w:jc w:val="both"/>
              <w:rPr>
                <w:rFonts w:hint="eastAsia"/>
              </w:rPr>
            </w:pPr>
            <w:r w:rsidRPr="00DA7E98">
              <w:rPr>
                <w:rFonts w:hint="eastAsia"/>
              </w:rPr>
              <w:t>第5</w:t>
            </w:r>
            <w:r w:rsidRPr="00DA7E98">
              <w:t>3</w:t>
            </w:r>
            <w:r w:rsidRPr="00DA7E98">
              <w:rPr>
                <w:rFonts w:hint="eastAsia"/>
              </w:rPr>
              <w:t>條第1項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7E98" w:rsidRPr="00DA7E98" w:rsidRDefault="00DA7E98" w:rsidP="00DA7E98">
            <w:pPr>
              <w:pStyle w:val="14-12"/>
              <w:jc w:val="both"/>
              <w:rPr>
                <w:rFonts w:hint="eastAsia"/>
              </w:rPr>
            </w:pPr>
            <w:r w:rsidRPr="00DA7E98">
              <w:rPr>
                <w:rFonts w:hint="eastAsia"/>
              </w:rPr>
              <w:t>駕車行經有燈光號誌管制之交岔路口闖紅燈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4</w:t>
            </w:r>
            <w:r w:rsidRPr="00D91E3D">
              <w:rPr>
                <w:spacing w:val="0"/>
              </w:rPr>
              <w:t>51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8</w:t>
            </w:r>
            <w:r w:rsidRPr="00D91E3D">
              <w:rPr>
                <w:spacing w:val="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1</w:t>
            </w:r>
            <w:r w:rsidRPr="00D91E3D">
              <w:rPr>
                <w:spacing w:val="0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1</w:t>
            </w:r>
            <w:r w:rsidRPr="00D91E3D">
              <w:rPr>
                <w:spacing w:val="0"/>
              </w:rPr>
              <w:t>29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1</w:t>
            </w:r>
            <w:r w:rsidRPr="00D91E3D">
              <w:rPr>
                <w:spacing w:val="0"/>
              </w:rPr>
              <w:t>36</w:t>
            </w:r>
          </w:p>
        </w:tc>
      </w:tr>
      <w:tr w:rsidR="00DA7E98" w:rsidRPr="00DA7E98" w:rsidTr="00055789">
        <w:tc>
          <w:tcPr>
            <w:tcW w:w="1276" w:type="dxa"/>
            <w:shd w:val="clear" w:color="auto" w:fill="auto"/>
            <w:vAlign w:val="center"/>
          </w:tcPr>
          <w:p w:rsidR="00DA7E98" w:rsidRPr="00DA7E98" w:rsidRDefault="00DA7E98" w:rsidP="00DA7E98">
            <w:pPr>
              <w:pStyle w:val="14-12"/>
              <w:jc w:val="both"/>
              <w:rPr>
                <w:rFonts w:hint="eastAsia"/>
              </w:rPr>
            </w:pPr>
            <w:r w:rsidRPr="00DA7E98">
              <w:rPr>
                <w:rFonts w:hint="eastAsia"/>
              </w:rPr>
              <w:t>第4</w:t>
            </w:r>
            <w:r w:rsidRPr="00DA7E98">
              <w:t>0</w:t>
            </w:r>
            <w:r w:rsidRPr="00DA7E98">
              <w:rPr>
                <w:rFonts w:hint="eastAsia"/>
              </w:rPr>
              <w:t>條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7E98" w:rsidRPr="00DA7E98" w:rsidRDefault="00DA7E98" w:rsidP="00DA7E98">
            <w:pPr>
              <w:pStyle w:val="14-12"/>
              <w:jc w:val="both"/>
              <w:rPr>
                <w:rFonts w:hint="eastAsia"/>
              </w:rPr>
            </w:pPr>
            <w:r w:rsidRPr="00DA7E98">
              <w:rPr>
                <w:rFonts w:hint="eastAsia"/>
              </w:rPr>
              <w:t>汽車駕駛人行車速度，超過規定之最高時速20公里以內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spacing w:val="0"/>
              </w:rPr>
              <w:t>407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8</w:t>
            </w:r>
            <w:r w:rsidRPr="00D91E3D">
              <w:rPr>
                <w:spacing w:val="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1</w:t>
            </w:r>
            <w:r w:rsidRPr="00D91E3D">
              <w:rPr>
                <w:spacing w:val="0"/>
              </w:rPr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1</w:t>
            </w:r>
            <w:r w:rsidRPr="00D91E3D">
              <w:rPr>
                <w:spacing w:val="0"/>
              </w:rPr>
              <w:t>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7E98" w:rsidRPr="00D91E3D" w:rsidRDefault="00DA7E98" w:rsidP="00DA7E98">
            <w:pPr>
              <w:pStyle w:val="14-12"/>
              <w:jc w:val="right"/>
              <w:rPr>
                <w:rFonts w:hint="eastAsia"/>
                <w:spacing w:val="0"/>
              </w:rPr>
            </w:pPr>
            <w:r w:rsidRPr="00D91E3D">
              <w:rPr>
                <w:rFonts w:hint="eastAsia"/>
                <w:spacing w:val="0"/>
              </w:rPr>
              <w:t>9</w:t>
            </w:r>
            <w:r w:rsidRPr="00D91E3D">
              <w:rPr>
                <w:spacing w:val="0"/>
              </w:rPr>
              <w:t>1</w:t>
            </w:r>
          </w:p>
        </w:tc>
      </w:tr>
    </w:tbl>
    <w:p w:rsidR="00DA7E98" w:rsidRDefault="00DA7E98" w:rsidP="00DA7E98">
      <w:pPr>
        <w:pStyle w:val="142"/>
        <w:ind w:left="1148" w:hangingChars="472" w:hanging="1148"/>
      </w:pPr>
      <w:r w:rsidRPr="00256F61">
        <w:rPr>
          <w:rFonts w:hint="eastAsia"/>
        </w:rPr>
        <w:t>資料來源：中華郵政公司提供。</w:t>
      </w:r>
    </w:p>
    <w:sectPr w:rsidR="00DA7E98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581CC9" w:rsidRPr="00581CC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CC9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30F995-9BFB-433D-B86F-A1B44E26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6131E-43E4-436A-921B-F874C4A96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193</Words>
  <Characters>1102</Characters>
  <Application>Microsoft Office Word</Application>
  <DocSecurity>0</DocSecurity>
  <Lines>9</Lines>
  <Paragraphs>2</Paragraphs>
  <ScaleCrop>false</ScaleCrop>
  <Company>HOME</Company>
  <LinksUpToDate>false</LinksUpToDate>
  <CharactersWithSpaces>1293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