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575FED" w:rsidRDefault="001F61AC" w:rsidP="00575FED">
      <w:pPr>
        <w:pStyle w:val="14"/>
        <w:ind w:left="567" w:hanging="567"/>
      </w:pPr>
      <w:bookmarkStart w:id="2" w:name="_Toc181863030"/>
      <w:r>
        <w:rPr>
          <w:rFonts w:hint="eastAsia"/>
        </w:rPr>
        <w:t>八</w:t>
      </w:r>
      <w:r w:rsidR="00575FED" w:rsidRPr="00684E99">
        <w:rPr>
          <w:rFonts w:hint="eastAsia"/>
        </w:rPr>
        <w:t>、</w:t>
      </w:r>
      <w:bookmarkStart w:id="3" w:name="_Hlk179445356"/>
      <w:r w:rsidR="00575FED">
        <w:rPr>
          <w:rFonts w:hint="eastAsia"/>
        </w:rPr>
        <w:t>近年</w:t>
      </w:r>
      <w:bookmarkStart w:id="4" w:name="_Hlk179451192"/>
      <w:bookmarkEnd w:id="3"/>
      <w:r w:rsidR="00575FED">
        <w:rPr>
          <w:rFonts w:hint="eastAsia"/>
        </w:rPr>
        <w:t>郵政專用信箱</w:t>
      </w:r>
      <w:bookmarkEnd w:id="4"/>
      <w:r w:rsidR="00575FED">
        <w:rPr>
          <w:rFonts w:hint="eastAsia"/>
        </w:rPr>
        <w:t>之使用率及租金收入概呈減少，尚待研提改善措施精進辦理，以提升經營效率</w:t>
      </w:r>
      <w:bookmarkEnd w:id="2"/>
    </w:p>
    <w:p w:rsidR="00575FED" w:rsidRDefault="00575FED" w:rsidP="00575FED">
      <w:pPr>
        <w:ind w:left="566" w:firstLine="566"/>
      </w:pPr>
      <w:r w:rsidRPr="005B1389">
        <w:rPr>
          <w:rFonts w:hint="eastAsia"/>
        </w:rPr>
        <w:t>中華郵政公司11</w:t>
      </w:r>
      <w:r>
        <w:t>4</w:t>
      </w:r>
      <w:r w:rsidRPr="005B1389">
        <w:rPr>
          <w:rFonts w:hint="eastAsia"/>
        </w:rPr>
        <w:t>年度</w:t>
      </w:r>
      <w:r>
        <w:rPr>
          <w:rFonts w:hint="eastAsia"/>
        </w:rPr>
        <w:t>預算案</w:t>
      </w:r>
      <w:r w:rsidR="00CC6001" w:rsidRPr="004F0B7D">
        <w:rPr>
          <w:rFonts w:hint="eastAsia"/>
        </w:rPr>
        <w:t>「</w:t>
      </w:r>
      <w:r w:rsidR="00CC6001">
        <w:rPr>
          <w:rFonts w:hint="eastAsia"/>
        </w:rPr>
        <w:t>勞務</w:t>
      </w:r>
      <w:r w:rsidR="00CC6001" w:rsidRPr="004F0B7D">
        <w:rPr>
          <w:rFonts w:hint="eastAsia"/>
        </w:rPr>
        <w:t>收入</w:t>
      </w:r>
      <w:r w:rsidR="00CC6001">
        <w:rPr>
          <w:rFonts w:hint="eastAsia"/>
        </w:rPr>
        <w:t>-郵費</w:t>
      </w:r>
      <w:r w:rsidR="00CC6001" w:rsidRPr="004F0B7D">
        <w:rPr>
          <w:rFonts w:hint="eastAsia"/>
        </w:rPr>
        <w:t>收入」編列</w:t>
      </w:r>
      <w:r w:rsidR="00CC6001" w:rsidRPr="00142D4A">
        <w:rPr>
          <w:rFonts w:hint="eastAsia"/>
        </w:rPr>
        <w:t>285億3,951萬8千元</w:t>
      </w:r>
      <w:r w:rsidR="00CC6001">
        <w:rPr>
          <w:rFonts w:hint="eastAsia"/>
        </w:rPr>
        <w:t>，</w:t>
      </w:r>
      <w:r>
        <w:rPr>
          <w:rFonts w:hint="eastAsia"/>
        </w:rPr>
        <w:t>其中包括</w:t>
      </w:r>
      <w:r w:rsidRPr="00F63795">
        <w:rPr>
          <w:rFonts w:hint="eastAsia"/>
        </w:rPr>
        <w:t>郵政專用信箱</w:t>
      </w:r>
      <w:r>
        <w:rPr>
          <w:rFonts w:hint="eastAsia"/>
        </w:rPr>
        <w:t>出租收入3</w:t>
      </w:r>
      <w:r>
        <w:t>,000</w:t>
      </w:r>
      <w:r>
        <w:rPr>
          <w:rFonts w:hint="eastAsia"/>
        </w:rPr>
        <w:t>萬元。</w:t>
      </w:r>
    </w:p>
    <w:p w:rsidR="00575FED" w:rsidRDefault="00575FED" w:rsidP="00575FED">
      <w:pPr>
        <w:ind w:left="566" w:firstLine="566"/>
        <w:rPr>
          <w:rFonts w:hint="eastAsia"/>
        </w:rPr>
      </w:pPr>
      <w:r w:rsidRPr="00011E64">
        <w:rPr>
          <w:rFonts w:hint="eastAsia"/>
        </w:rPr>
        <w:t>郵政專用信箱之設置係為便利民眾或公司行號得順利收取郵件，並降低投遞成本</w:t>
      </w:r>
      <w:r>
        <w:rPr>
          <w:rFonts w:hint="eastAsia"/>
        </w:rPr>
        <w:t>，</w:t>
      </w:r>
      <w:r w:rsidRPr="00011E64">
        <w:rPr>
          <w:rFonts w:hint="eastAsia"/>
        </w:rPr>
        <w:t>38年政府遷</w:t>
      </w:r>
      <w:r>
        <w:rPr>
          <w:rFonts w:hint="eastAsia"/>
        </w:rPr>
        <w:t>臺</w:t>
      </w:r>
      <w:r w:rsidRPr="00011E64">
        <w:rPr>
          <w:rFonts w:hint="eastAsia"/>
        </w:rPr>
        <w:t>已</w:t>
      </w:r>
      <w:r>
        <w:rPr>
          <w:rFonts w:hint="eastAsia"/>
        </w:rPr>
        <w:t>有該</w:t>
      </w:r>
      <w:r w:rsidRPr="00011E64">
        <w:rPr>
          <w:rFonts w:hint="eastAsia"/>
        </w:rPr>
        <w:t>項業務</w:t>
      </w:r>
      <w:r>
        <w:rPr>
          <w:rFonts w:hint="eastAsia"/>
        </w:rPr>
        <w:t>。觀察</w:t>
      </w:r>
      <w:r w:rsidRPr="000F35D2">
        <w:rPr>
          <w:rFonts w:hint="eastAsia"/>
        </w:rPr>
        <w:t>中華郵政公司</w:t>
      </w:r>
      <w:r w:rsidRPr="00882147">
        <w:rPr>
          <w:rFonts w:hint="eastAsia"/>
        </w:rPr>
        <w:t>110年度至113年7月底</w:t>
      </w:r>
      <w:r w:rsidRPr="000F35D2">
        <w:rPr>
          <w:rFonts w:hint="eastAsia"/>
        </w:rPr>
        <w:t>郵政專用信箱出租情形及租金收入概況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，</w:t>
      </w:r>
      <w:r w:rsidRPr="00882147">
        <w:rPr>
          <w:rFonts w:hint="eastAsia"/>
        </w:rPr>
        <w:t>郵政專用信箱數</w:t>
      </w:r>
      <w:r>
        <w:rPr>
          <w:rFonts w:hint="eastAsia"/>
        </w:rPr>
        <w:t>自1</w:t>
      </w:r>
      <w:r>
        <w:t>3</w:t>
      </w:r>
      <w:r>
        <w:rPr>
          <w:rFonts w:hint="eastAsia"/>
        </w:rPr>
        <w:t>萬6,</w:t>
      </w:r>
      <w:r>
        <w:t>359</w:t>
      </w:r>
      <w:r>
        <w:rPr>
          <w:rFonts w:hint="eastAsia"/>
        </w:rPr>
        <w:t>個減為1</w:t>
      </w:r>
      <w:r>
        <w:t>3</w:t>
      </w:r>
      <w:r w:rsidRPr="00882147">
        <w:rPr>
          <w:rFonts w:hint="eastAsia"/>
        </w:rPr>
        <w:t>萬3,</w:t>
      </w:r>
      <w:r w:rsidRPr="00882147">
        <w:t>805</w:t>
      </w:r>
      <w:r w:rsidRPr="00882147">
        <w:rPr>
          <w:rFonts w:hint="eastAsia"/>
        </w:rPr>
        <w:t>個，</w:t>
      </w:r>
      <w:r>
        <w:rPr>
          <w:rFonts w:hint="eastAsia"/>
        </w:rPr>
        <w:t>減少2</w:t>
      </w:r>
      <w:r>
        <w:t>,554</w:t>
      </w:r>
      <w:r>
        <w:rPr>
          <w:rFonts w:hint="eastAsia"/>
        </w:rPr>
        <w:t>個(減幅1</w:t>
      </w:r>
      <w:r>
        <w:t>.87%)</w:t>
      </w:r>
      <w:r>
        <w:rPr>
          <w:rFonts w:hint="eastAsia"/>
        </w:rPr>
        <w:t>，出租數自8萬9</w:t>
      </w:r>
      <w:r>
        <w:t>,750</w:t>
      </w:r>
      <w:r>
        <w:rPr>
          <w:rFonts w:hint="eastAsia"/>
        </w:rPr>
        <w:t>個減為8萬4,</w:t>
      </w:r>
      <w:r>
        <w:t>190</w:t>
      </w:r>
      <w:r>
        <w:rPr>
          <w:rFonts w:hint="eastAsia"/>
        </w:rPr>
        <w:t>個，減少</w:t>
      </w:r>
      <w:r>
        <w:t>5,560</w:t>
      </w:r>
      <w:r>
        <w:rPr>
          <w:rFonts w:hint="eastAsia"/>
        </w:rPr>
        <w:t>個(減幅6</w:t>
      </w:r>
      <w:r>
        <w:t>.19%)</w:t>
      </w:r>
      <w:r>
        <w:rPr>
          <w:rFonts w:hint="eastAsia"/>
        </w:rPr>
        <w:t>，出租數減幅大於總量，致使用率自6</w:t>
      </w:r>
      <w:r>
        <w:t>5.82%</w:t>
      </w:r>
      <w:r>
        <w:rPr>
          <w:rFonts w:hint="eastAsia"/>
        </w:rPr>
        <w:t>降為6</w:t>
      </w:r>
      <w:r>
        <w:t>2.92%</w:t>
      </w:r>
      <w:r>
        <w:rPr>
          <w:rFonts w:hint="eastAsia"/>
        </w:rPr>
        <w:t>，減少2</w:t>
      </w:r>
      <w:r>
        <w:t>.9</w:t>
      </w:r>
      <w:r>
        <w:rPr>
          <w:rFonts w:hint="eastAsia"/>
        </w:rPr>
        <w:t>個百分點，及租金收入自</w:t>
      </w:r>
      <w:r>
        <w:t>110</w:t>
      </w:r>
      <w:r>
        <w:rPr>
          <w:rFonts w:hint="eastAsia"/>
        </w:rPr>
        <w:t>年度之2</w:t>
      </w:r>
      <w:r>
        <w:t>,738</w:t>
      </w:r>
      <w:r w:rsidRPr="00AF28B0">
        <w:rPr>
          <w:rFonts w:hint="eastAsia"/>
        </w:rPr>
        <w:t>萬元降為1</w:t>
      </w:r>
      <w:r w:rsidRPr="00AF28B0">
        <w:t>12</w:t>
      </w:r>
      <w:r w:rsidRPr="00AF28B0">
        <w:rPr>
          <w:rFonts w:hint="eastAsia"/>
        </w:rPr>
        <w:t>年度之2</w:t>
      </w:r>
      <w:r w:rsidRPr="00AF28B0">
        <w:t>,554</w:t>
      </w:r>
      <w:r w:rsidRPr="00AF28B0">
        <w:rPr>
          <w:rFonts w:hint="eastAsia"/>
        </w:rPr>
        <w:t>萬4千元，減少</w:t>
      </w:r>
      <w:r>
        <w:rPr>
          <w:rFonts w:hint="eastAsia"/>
        </w:rPr>
        <w:t>1</w:t>
      </w:r>
      <w:r>
        <w:t>83</w:t>
      </w:r>
      <w:r>
        <w:rPr>
          <w:rFonts w:hint="eastAsia"/>
        </w:rPr>
        <w:t>萬6千元(減幅6</w:t>
      </w:r>
      <w:r>
        <w:t>.71%)</w:t>
      </w:r>
      <w:r>
        <w:rPr>
          <w:rFonts w:hint="eastAsia"/>
        </w:rPr>
        <w:t>，概呈減少趨勢。</w:t>
      </w:r>
    </w:p>
    <w:p w:rsidR="00575FED" w:rsidRPr="00F63795" w:rsidRDefault="00575FED" w:rsidP="00BA2AE4">
      <w:pPr>
        <w:widowControl/>
        <w:spacing w:line="460" w:lineRule="exact"/>
        <w:ind w:leftChars="0" w:left="709" w:firstLineChars="0" w:hanging="709"/>
        <w:rPr>
          <w:rFonts w:hAnsi="標楷體" w:hint="eastAsia"/>
          <w:snapToGrid/>
          <w:spacing w:val="-5"/>
          <w:kern w:val="0"/>
          <w:sz w:val="24"/>
          <w:szCs w:val="24"/>
        </w:rPr>
      </w:pPr>
      <w:r w:rsidRPr="000E2474">
        <w:rPr>
          <w:rFonts w:hAnsi="標楷體" w:hint="eastAsia"/>
          <w:b/>
          <w:bCs/>
          <w:snapToGrid/>
          <w:spacing w:val="-5"/>
          <w:kern w:val="0"/>
        </w:rPr>
        <w:t>表1</w:t>
      </w:r>
      <w:r w:rsidRPr="000E2474">
        <w:rPr>
          <w:rFonts w:hAnsi="標楷體"/>
          <w:b/>
          <w:bCs/>
          <w:snapToGrid/>
          <w:spacing w:val="-5"/>
          <w:kern w:val="0"/>
        </w:rPr>
        <w:t xml:space="preserve"> </w:t>
      </w:r>
      <w:r w:rsidRPr="000E2474">
        <w:rPr>
          <w:rFonts w:hint="eastAsia"/>
          <w:b/>
          <w:bCs/>
        </w:rPr>
        <w:t>中華郵政公司</w:t>
      </w:r>
      <w:r>
        <w:rPr>
          <w:rFonts w:hint="eastAsia"/>
          <w:b/>
          <w:bCs/>
        </w:rPr>
        <w:t>1</w:t>
      </w:r>
      <w:r>
        <w:rPr>
          <w:b/>
          <w:bCs/>
        </w:rPr>
        <w:t>10</w:t>
      </w:r>
      <w:r>
        <w:rPr>
          <w:rFonts w:hint="eastAsia"/>
          <w:b/>
          <w:bCs/>
        </w:rPr>
        <w:t>年度至1</w:t>
      </w:r>
      <w:r>
        <w:rPr>
          <w:b/>
          <w:bCs/>
        </w:rPr>
        <w:t>13</w:t>
      </w:r>
      <w:r>
        <w:rPr>
          <w:rFonts w:hint="eastAsia"/>
          <w:b/>
          <w:bCs/>
        </w:rPr>
        <w:t>年7月底</w:t>
      </w:r>
      <w:r w:rsidRPr="00F63795">
        <w:rPr>
          <w:rFonts w:hAnsi="標楷體" w:hint="eastAsia"/>
          <w:b/>
          <w:bCs/>
          <w:snapToGrid/>
          <w:spacing w:val="-5"/>
          <w:kern w:val="0"/>
        </w:rPr>
        <w:t>郵政專用信箱</w:t>
      </w:r>
      <w:r>
        <w:rPr>
          <w:rFonts w:hAnsi="標楷體" w:hint="eastAsia"/>
          <w:b/>
          <w:bCs/>
          <w:snapToGrid/>
          <w:spacing w:val="-5"/>
          <w:kern w:val="0"/>
        </w:rPr>
        <w:t>使用</w:t>
      </w:r>
      <w:r w:rsidRPr="00F63795">
        <w:rPr>
          <w:rFonts w:hAnsi="標楷體" w:hint="eastAsia"/>
          <w:b/>
          <w:bCs/>
          <w:snapToGrid/>
          <w:spacing w:val="-5"/>
          <w:kern w:val="0"/>
        </w:rPr>
        <w:t>情形及租金收入</w:t>
      </w:r>
      <w:r>
        <w:rPr>
          <w:rFonts w:hAnsi="標楷體" w:hint="eastAsia"/>
          <w:b/>
          <w:bCs/>
          <w:snapToGrid/>
          <w:spacing w:val="-5"/>
          <w:kern w:val="0"/>
        </w:rPr>
        <w:t>概況表</w:t>
      </w:r>
      <w:r w:rsidRPr="00F63795">
        <w:rPr>
          <w:rFonts w:hAnsi="標楷體"/>
          <w:snapToGrid/>
          <w:spacing w:val="-5"/>
          <w:kern w:val="0"/>
          <w:sz w:val="24"/>
          <w:szCs w:val="24"/>
        </w:rPr>
        <w:t xml:space="preserve"> </w:t>
      </w:r>
      <w:r>
        <w:rPr>
          <w:rFonts w:hAnsi="標楷體"/>
          <w:snapToGrid/>
          <w:spacing w:val="-5"/>
          <w:kern w:val="0"/>
          <w:sz w:val="24"/>
          <w:szCs w:val="24"/>
        </w:rPr>
        <w:t xml:space="preserve">                            </w:t>
      </w:r>
      <w:r w:rsidRPr="00F63795">
        <w:rPr>
          <w:rFonts w:hAnsi="標楷體" w:hint="eastAsia"/>
          <w:snapToGrid/>
          <w:spacing w:val="-5"/>
          <w:kern w:val="0"/>
          <w:sz w:val="24"/>
          <w:szCs w:val="24"/>
        </w:rPr>
        <w:t>單位：個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；%；</w:t>
      </w:r>
      <w:r w:rsidRPr="00F63795">
        <w:rPr>
          <w:rFonts w:hAnsi="標楷體" w:hint="eastAsia"/>
          <w:snapToGrid/>
          <w:spacing w:val="-5"/>
          <w:kern w:val="0"/>
          <w:sz w:val="24"/>
          <w:szCs w:val="24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7"/>
        <w:gridCol w:w="1594"/>
        <w:gridCol w:w="1595"/>
        <w:gridCol w:w="1594"/>
        <w:gridCol w:w="1595"/>
      </w:tblGrid>
      <w:tr w:rsidR="00575FED" w:rsidRPr="00F63795" w:rsidTr="00D65091">
        <w:trPr>
          <w:trHeight w:hRule="exact" w:val="397"/>
          <w:tblHeader/>
        </w:trPr>
        <w:tc>
          <w:tcPr>
            <w:tcW w:w="2127" w:type="dxa"/>
            <w:shd w:val="clear" w:color="auto" w:fill="auto"/>
            <w:vAlign w:val="center"/>
            <w:hideMark/>
          </w:tcPr>
          <w:p w:rsidR="00575FED" w:rsidRPr="00F63795" w:rsidRDefault="00575FED" w:rsidP="00D65091">
            <w:pPr>
              <w:pStyle w:val="142"/>
              <w:ind w:left="567" w:hanging="567"/>
              <w:jc w:val="center"/>
            </w:pPr>
            <w:r w:rsidRPr="00F63795">
              <w:rPr>
                <w:rFonts w:hint="eastAsia"/>
              </w:rPr>
              <w:t>項目</w:t>
            </w:r>
          </w:p>
        </w:tc>
        <w:tc>
          <w:tcPr>
            <w:tcW w:w="1594" w:type="dxa"/>
            <w:vAlign w:val="center"/>
          </w:tcPr>
          <w:p w:rsidR="00575FED" w:rsidRPr="00F63795" w:rsidRDefault="00575FED" w:rsidP="00D65091">
            <w:pPr>
              <w:pStyle w:val="142"/>
              <w:ind w:left="527" w:hanging="527"/>
              <w:jc w:val="center"/>
              <w:rPr>
                <w:spacing w:val="-10"/>
              </w:rPr>
            </w:pPr>
            <w:r w:rsidRPr="00F63795">
              <w:rPr>
                <w:rFonts w:hint="eastAsia"/>
                <w:spacing w:val="-10"/>
              </w:rPr>
              <w:t>11</w:t>
            </w:r>
            <w:r w:rsidRPr="00F63795">
              <w:rPr>
                <w:spacing w:val="-10"/>
              </w:rPr>
              <w:t>0</w:t>
            </w:r>
            <w:r w:rsidRPr="00F63795">
              <w:rPr>
                <w:rFonts w:hint="eastAsia"/>
                <w:spacing w:val="-10"/>
              </w:rPr>
              <w:t>年度</w:t>
            </w:r>
          </w:p>
        </w:tc>
        <w:tc>
          <w:tcPr>
            <w:tcW w:w="1595" w:type="dxa"/>
            <w:vAlign w:val="center"/>
          </w:tcPr>
          <w:p w:rsidR="00575FED" w:rsidRPr="00F63795" w:rsidRDefault="00575FED" w:rsidP="00D65091">
            <w:pPr>
              <w:pStyle w:val="142"/>
              <w:ind w:left="527" w:hanging="527"/>
              <w:jc w:val="center"/>
              <w:rPr>
                <w:rFonts w:hint="eastAsia"/>
                <w:spacing w:val="-10"/>
              </w:rPr>
            </w:pPr>
            <w:r w:rsidRPr="00F63795">
              <w:rPr>
                <w:rFonts w:hint="eastAsia"/>
                <w:spacing w:val="-10"/>
              </w:rPr>
              <w:t>1</w:t>
            </w:r>
            <w:r w:rsidRPr="00F63795">
              <w:rPr>
                <w:spacing w:val="-10"/>
              </w:rPr>
              <w:t>11</w:t>
            </w:r>
            <w:r w:rsidRPr="00F63795">
              <w:rPr>
                <w:rFonts w:hint="eastAsia"/>
                <w:spacing w:val="-10"/>
              </w:rPr>
              <w:t>年度</w:t>
            </w:r>
          </w:p>
        </w:tc>
        <w:tc>
          <w:tcPr>
            <w:tcW w:w="1594" w:type="dxa"/>
            <w:vAlign w:val="center"/>
          </w:tcPr>
          <w:p w:rsidR="00575FED" w:rsidRPr="00F63795" w:rsidRDefault="00575FED" w:rsidP="00D65091">
            <w:pPr>
              <w:pStyle w:val="142"/>
              <w:ind w:left="447" w:hanging="447"/>
              <w:jc w:val="center"/>
              <w:rPr>
                <w:spacing w:val="-10"/>
                <w:sz w:val="22"/>
                <w:szCs w:val="22"/>
              </w:rPr>
            </w:pPr>
            <w:r w:rsidRPr="000E2474">
              <w:rPr>
                <w:rFonts w:hint="eastAsia"/>
                <w:spacing w:val="-10"/>
              </w:rPr>
              <w:t>11</w:t>
            </w:r>
            <w:r w:rsidRPr="000E2474">
              <w:rPr>
                <w:spacing w:val="-10"/>
              </w:rPr>
              <w:t>2</w:t>
            </w:r>
            <w:r w:rsidRPr="000E2474">
              <w:rPr>
                <w:rFonts w:hint="eastAsia"/>
                <w:spacing w:val="-10"/>
              </w:rPr>
              <w:t>年度</w:t>
            </w:r>
          </w:p>
        </w:tc>
        <w:tc>
          <w:tcPr>
            <w:tcW w:w="1595" w:type="dxa"/>
            <w:vAlign w:val="center"/>
          </w:tcPr>
          <w:p w:rsidR="00575FED" w:rsidRPr="00F63795" w:rsidRDefault="00575FED" w:rsidP="00D65091">
            <w:pPr>
              <w:pStyle w:val="142"/>
              <w:ind w:left="527" w:hanging="527"/>
              <w:jc w:val="center"/>
              <w:rPr>
                <w:rFonts w:hint="eastAsia"/>
                <w:spacing w:val="-10"/>
                <w:sz w:val="22"/>
                <w:szCs w:val="22"/>
              </w:rPr>
            </w:pPr>
            <w:r w:rsidRPr="00F63795">
              <w:rPr>
                <w:rFonts w:hint="eastAsia"/>
                <w:spacing w:val="-10"/>
              </w:rPr>
              <w:t>1</w:t>
            </w:r>
            <w:r w:rsidRPr="00F63795">
              <w:rPr>
                <w:spacing w:val="-10"/>
              </w:rPr>
              <w:t>13</w:t>
            </w:r>
            <w:r w:rsidRPr="00F63795">
              <w:rPr>
                <w:rFonts w:hint="eastAsia"/>
                <w:spacing w:val="-10"/>
              </w:rPr>
              <w:t>年1</w:t>
            </w:r>
            <w:r w:rsidRPr="00F63795">
              <w:rPr>
                <w:spacing w:val="-10"/>
              </w:rPr>
              <w:t>-7</w:t>
            </w:r>
            <w:r w:rsidRPr="00F63795">
              <w:rPr>
                <w:rFonts w:hint="eastAsia"/>
                <w:spacing w:val="-10"/>
              </w:rPr>
              <w:t>月</w:t>
            </w:r>
          </w:p>
        </w:tc>
      </w:tr>
      <w:tr w:rsidR="00575FED" w:rsidRPr="00F63795" w:rsidTr="00D65091">
        <w:trPr>
          <w:trHeight w:hRule="exact" w:val="397"/>
        </w:trPr>
        <w:tc>
          <w:tcPr>
            <w:tcW w:w="2127" w:type="dxa"/>
            <w:shd w:val="clear" w:color="auto" w:fill="auto"/>
            <w:vAlign w:val="center"/>
          </w:tcPr>
          <w:p w:rsidR="00575FED" w:rsidRPr="00F63795" w:rsidRDefault="00575FED" w:rsidP="00D65091">
            <w:pPr>
              <w:pStyle w:val="142"/>
              <w:ind w:left="567" w:hanging="567"/>
              <w:jc w:val="both"/>
              <w:rPr>
                <w:rFonts w:hint="eastAsia"/>
                <w:szCs w:val="24"/>
              </w:rPr>
            </w:pPr>
            <w:r w:rsidRPr="00F63795">
              <w:rPr>
                <w:rFonts w:hint="eastAsia"/>
                <w:szCs w:val="24"/>
              </w:rPr>
              <w:lastRenderedPageBreak/>
              <w:t>郵政專用信箱數A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E2474">
              <w:rPr>
                <w:snapToGrid/>
                <w:kern w:val="0"/>
                <w:szCs w:val="24"/>
              </w:rPr>
              <w:t>136,359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  <w:szCs w:val="24"/>
              </w:rPr>
            </w:pPr>
            <w:r w:rsidRPr="000E2474">
              <w:rPr>
                <w:szCs w:val="24"/>
              </w:rPr>
              <w:t>136,361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135,737</w:t>
            </w:r>
          </w:p>
        </w:tc>
        <w:tc>
          <w:tcPr>
            <w:tcW w:w="1595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13</w:t>
            </w:r>
            <w:r w:rsidRPr="000E2474">
              <w:rPr>
                <w:rFonts w:hint="eastAsia"/>
              </w:rPr>
              <w:t>3</w:t>
            </w:r>
            <w:r w:rsidRPr="000E2474">
              <w:t>,</w:t>
            </w:r>
            <w:r w:rsidRPr="000E2474">
              <w:rPr>
                <w:rFonts w:hint="eastAsia"/>
              </w:rPr>
              <w:t>805</w:t>
            </w:r>
          </w:p>
        </w:tc>
      </w:tr>
      <w:tr w:rsidR="00575FED" w:rsidRPr="00F63795" w:rsidTr="00D65091">
        <w:trPr>
          <w:trHeight w:hRule="exact" w:val="397"/>
        </w:trPr>
        <w:tc>
          <w:tcPr>
            <w:tcW w:w="2127" w:type="dxa"/>
            <w:shd w:val="clear" w:color="auto" w:fill="auto"/>
            <w:vAlign w:val="center"/>
          </w:tcPr>
          <w:p w:rsidR="00575FED" w:rsidRPr="00F63795" w:rsidRDefault="00575FED" w:rsidP="00D65091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F63795">
              <w:rPr>
                <w:rFonts w:hint="eastAsia"/>
              </w:rPr>
              <w:t>出租數B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47" w:hanging="547"/>
              <w:jc w:val="right"/>
              <w:rPr>
                <w:rFonts w:hint="eastAsia"/>
              </w:rPr>
            </w:pPr>
            <w:bookmarkStart w:id="5" w:name="_Hlk175757130"/>
            <w:r w:rsidRPr="000E2474">
              <w:rPr>
                <w:snapToGrid/>
                <w:spacing w:val="-5"/>
                <w:kern w:val="0"/>
                <w:szCs w:val="24"/>
              </w:rPr>
              <w:t>89,750</w:t>
            </w:r>
            <w:bookmarkEnd w:id="5"/>
          </w:p>
        </w:tc>
        <w:tc>
          <w:tcPr>
            <w:tcW w:w="1595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  <w:szCs w:val="24"/>
              </w:rPr>
            </w:pPr>
            <w:r w:rsidRPr="000E2474">
              <w:rPr>
                <w:szCs w:val="24"/>
              </w:rPr>
              <w:t>89,325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86,898</w:t>
            </w:r>
          </w:p>
        </w:tc>
        <w:tc>
          <w:tcPr>
            <w:tcW w:w="1595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84,1</w:t>
            </w:r>
            <w:r w:rsidRPr="000E2474">
              <w:rPr>
                <w:rFonts w:hint="eastAsia"/>
              </w:rPr>
              <w:t>90</w:t>
            </w:r>
          </w:p>
        </w:tc>
      </w:tr>
      <w:tr w:rsidR="00575FED" w:rsidRPr="00F63795" w:rsidTr="00D65091">
        <w:trPr>
          <w:trHeight w:hRule="exact" w:val="397"/>
        </w:trPr>
        <w:tc>
          <w:tcPr>
            <w:tcW w:w="2127" w:type="dxa"/>
            <w:shd w:val="clear" w:color="auto" w:fill="auto"/>
            <w:vAlign w:val="center"/>
          </w:tcPr>
          <w:p w:rsidR="00575FED" w:rsidRPr="00F63795" w:rsidRDefault="00575FED" w:rsidP="00D65091">
            <w:pPr>
              <w:pStyle w:val="142"/>
              <w:ind w:left="567" w:hanging="567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使用</w:t>
            </w:r>
            <w:r w:rsidRPr="00F63795">
              <w:rPr>
                <w:rFonts w:hint="eastAsia"/>
              </w:rPr>
              <w:t>率B</w:t>
            </w:r>
            <w:r w:rsidRPr="00F63795">
              <w:t>/A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47" w:hanging="547"/>
              <w:jc w:val="right"/>
              <w:rPr>
                <w:rFonts w:hint="eastAsia"/>
              </w:rPr>
            </w:pPr>
            <w:r w:rsidRPr="000E2474">
              <w:rPr>
                <w:snapToGrid/>
                <w:spacing w:val="-5"/>
                <w:kern w:val="0"/>
                <w:szCs w:val="24"/>
              </w:rPr>
              <w:t>65.82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  <w:szCs w:val="24"/>
              </w:rPr>
            </w:pPr>
            <w:r w:rsidRPr="000E2474">
              <w:rPr>
                <w:szCs w:val="24"/>
              </w:rPr>
              <w:t>65.5</w:t>
            </w:r>
            <w:r w:rsidR="00E268E8">
              <w:rPr>
                <w:szCs w:val="24"/>
              </w:rPr>
              <w:t>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64.02</w:t>
            </w:r>
          </w:p>
        </w:tc>
        <w:tc>
          <w:tcPr>
            <w:tcW w:w="1595" w:type="dxa"/>
            <w:vAlign w:val="center"/>
          </w:tcPr>
          <w:p w:rsidR="00575FED" w:rsidRPr="000E2474" w:rsidRDefault="00575FED" w:rsidP="00D65091">
            <w:pPr>
              <w:pStyle w:val="142"/>
              <w:ind w:left="547" w:hanging="547"/>
              <w:jc w:val="right"/>
            </w:pPr>
            <w:r w:rsidRPr="000E2474">
              <w:rPr>
                <w:snapToGrid/>
                <w:spacing w:val="-5"/>
                <w:kern w:val="0"/>
                <w:szCs w:val="24"/>
              </w:rPr>
              <w:t>62.92</w:t>
            </w:r>
          </w:p>
        </w:tc>
      </w:tr>
      <w:tr w:rsidR="00575FED" w:rsidRPr="00F63795" w:rsidTr="00D65091">
        <w:trPr>
          <w:trHeight w:hRule="exact" w:val="397"/>
        </w:trPr>
        <w:tc>
          <w:tcPr>
            <w:tcW w:w="2127" w:type="dxa"/>
            <w:shd w:val="clear" w:color="auto" w:fill="auto"/>
            <w:vAlign w:val="center"/>
          </w:tcPr>
          <w:p w:rsidR="00575FED" w:rsidRPr="00F63795" w:rsidRDefault="00575FED" w:rsidP="00D65091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F63795">
              <w:rPr>
                <w:rFonts w:hint="eastAsia"/>
              </w:rPr>
              <w:t>租</w:t>
            </w:r>
            <w:r>
              <w:rPr>
                <w:rFonts w:hint="eastAsia"/>
              </w:rPr>
              <w:t>金</w:t>
            </w:r>
            <w:r w:rsidRPr="00F63795">
              <w:rPr>
                <w:rFonts w:hint="eastAsia"/>
              </w:rPr>
              <w:t>收入</w:t>
            </w:r>
          </w:p>
        </w:tc>
        <w:tc>
          <w:tcPr>
            <w:tcW w:w="1594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E2474">
              <w:rPr>
                <w:szCs w:val="24"/>
              </w:rPr>
              <w:t>27,380</w:t>
            </w:r>
          </w:p>
        </w:tc>
        <w:tc>
          <w:tcPr>
            <w:tcW w:w="1595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  <w:rPr>
                <w:rFonts w:hint="eastAsia"/>
                <w:szCs w:val="24"/>
              </w:rPr>
            </w:pPr>
            <w:r w:rsidRPr="000E2474">
              <w:rPr>
                <w:szCs w:val="24"/>
              </w:rPr>
              <w:t>26,629</w:t>
            </w:r>
          </w:p>
        </w:tc>
        <w:tc>
          <w:tcPr>
            <w:tcW w:w="1594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25,544</w:t>
            </w:r>
          </w:p>
        </w:tc>
        <w:tc>
          <w:tcPr>
            <w:tcW w:w="1595" w:type="dxa"/>
            <w:vAlign w:val="center"/>
          </w:tcPr>
          <w:p w:rsidR="00575FED" w:rsidRPr="000E2474" w:rsidRDefault="00575FED" w:rsidP="00D65091">
            <w:pPr>
              <w:pStyle w:val="142"/>
              <w:ind w:left="567" w:hanging="567"/>
              <w:jc w:val="right"/>
            </w:pPr>
            <w:r w:rsidRPr="000E2474">
              <w:t>12,369</w:t>
            </w:r>
          </w:p>
        </w:tc>
      </w:tr>
    </w:tbl>
    <w:p w:rsidR="00575FED" w:rsidRPr="000E2474" w:rsidRDefault="00575FED" w:rsidP="00575FED">
      <w:pPr>
        <w:spacing w:line="280" w:lineRule="exact"/>
        <w:ind w:leftChars="0" w:left="564" w:hangingChars="232" w:hanging="564"/>
        <w:rPr>
          <w:sz w:val="24"/>
          <w:szCs w:val="24"/>
        </w:rPr>
      </w:pPr>
      <w:r w:rsidRPr="000E2474">
        <w:rPr>
          <w:rFonts w:hint="eastAsia"/>
          <w:sz w:val="24"/>
          <w:szCs w:val="24"/>
        </w:rPr>
        <w:t>資料來源：中華郵政公司</w:t>
      </w:r>
      <w:r>
        <w:rPr>
          <w:rFonts w:hint="eastAsia"/>
          <w:sz w:val="24"/>
          <w:szCs w:val="24"/>
        </w:rPr>
        <w:t>提供。</w:t>
      </w:r>
    </w:p>
    <w:p w:rsidR="00575FED" w:rsidRDefault="00575FED" w:rsidP="00575FED">
      <w:pPr>
        <w:ind w:left="566" w:firstLine="566"/>
        <w:rPr>
          <w:rFonts w:hint="eastAsia"/>
        </w:rPr>
      </w:pPr>
      <w:r>
        <w:rPr>
          <w:rFonts w:hint="eastAsia"/>
        </w:rPr>
        <w:t>洽據</w:t>
      </w:r>
      <w:r w:rsidRPr="00011E64">
        <w:rPr>
          <w:rFonts w:hint="eastAsia"/>
        </w:rPr>
        <w:t>中華郵政公司</w:t>
      </w:r>
      <w:r>
        <w:rPr>
          <w:rFonts w:hint="eastAsia"/>
        </w:rPr>
        <w:t>表示，為提供不方便收取郵件客戶有一便利領信方式，各郵局只要場地條件許可皆會開辦郵政信箱業務，然</w:t>
      </w:r>
      <w:bookmarkStart w:id="6" w:name="_Hlk179453425"/>
      <w:r>
        <w:rPr>
          <w:rFonts w:hint="eastAsia"/>
        </w:rPr>
        <w:t>受資訊科技衝擊</w:t>
      </w:r>
      <w:bookmarkEnd w:id="6"/>
      <w:r>
        <w:rPr>
          <w:rFonts w:hint="eastAsia"/>
        </w:rPr>
        <w:t>，民眾收信件數呈衰退趨勢；為免信箱空置，有關高出租率之郵局，將檢討是否有增設空間，</w:t>
      </w:r>
      <w:r w:rsidR="00E268E8">
        <w:rPr>
          <w:rFonts w:hint="eastAsia"/>
        </w:rPr>
        <w:t>及</w:t>
      </w:r>
      <w:r>
        <w:rPr>
          <w:rFonts w:hint="eastAsia"/>
        </w:rPr>
        <w:t>出租率過低之偏遠地區，將評估逐步減少；另未來新建局屋或現有郵局新辦信箱業務時，將依「人口密集、生活機能強地區」、「工商發達地區」、「偏遠地區」等因素，考量建置信箱數量，以符實際需求。</w:t>
      </w:r>
    </w:p>
    <w:p w:rsidR="00575FED" w:rsidRDefault="00575FED" w:rsidP="00575FED">
      <w:pPr>
        <w:ind w:left="566" w:firstLine="566"/>
      </w:pPr>
      <w:r>
        <w:rPr>
          <w:rFonts w:hint="eastAsia"/>
        </w:rPr>
        <w:t>綜上，</w:t>
      </w:r>
      <w:r w:rsidRPr="0049132A">
        <w:rPr>
          <w:rFonts w:hint="eastAsia"/>
        </w:rPr>
        <w:t>受資訊科技衝擊</w:t>
      </w:r>
      <w:r>
        <w:rPr>
          <w:rFonts w:hint="eastAsia"/>
        </w:rPr>
        <w:t>，</w:t>
      </w:r>
      <w:r w:rsidRPr="00957370">
        <w:rPr>
          <w:rFonts w:hint="eastAsia"/>
        </w:rPr>
        <w:t>近年</w:t>
      </w:r>
      <w:r>
        <w:rPr>
          <w:rFonts w:hint="eastAsia"/>
        </w:rPr>
        <w:t>中華郵政公司</w:t>
      </w:r>
      <w:r w:rsidRPr="00957370">
        <w:rPr>
          <w:rFonts w:hint="eastAsia"/>
        </w:rPr>
        <w:t>郵政專用信箱之</w:t>
      </w:r>
      <w:r>
        <w:rPr>
          <w:rFonts w:hint="eastAsia"/>
        </w:rPr>
        <w:t>使用</w:t>
      </w:r>
      <w:r w:rsidRPr="00957370">
        <w:rPr>
          <w:rFonts w:hint="eastAsia"/>
        </w:rPr>
        <w:t>率及租</w:t>
      </w:r>
      <w:r>
        <w:rPr>
          <w:rFonts w:hint="eastAsia"/>
        </w:rPr>
        <w:t>金</w:t>
      </w:r>
      <w:r w:rsidRPr="00957370">
        <w:rPr>
          <w:rFonts w:hint="eastAsia"/>
        </w:rPr>
        <w:t>收入概呈減少，</w:t>
      </w:r>
      <w:r>
        <w:rPr>
          <w:rFonts w:hint="eastAsia"/>
        </w:rPr>
        <w:t>該公司已研提改善</w:t>
      </w:r>
      <w:r w:rsidRPr="00957370">
        <w:rPr>
          <w:rFonts w:hint="eastAsia"/>
        </w:rPr>
        <w:t>措施，</w:t>
      </w:r>
      <w:r w:rsidRPr="0049132A">
        <w:rPr>
          <w:rFonts w:hint="eastAsia"/>
        </w:rPr>
        <w:t>尚待精進辦理，以提升經營效率</w:t>
      </w:r>
      <w:r>
        <w:rPr>
          <w:rFonts w:hint="eastAsia"/>
        </w:rPr>
        <w:t>。</w:t>
      </w:r>
    </w:p>
    <w:sectPr w:rsidR="00575FED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B8670C" w:rsidRPr="00B8670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70C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027F1E-DD0D-475F-9428-84B5BD5E1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82B5B-F127-4C61-8B61-0965D2DB3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183</Words>
  <Characters>1044</Characters>
  <Application>Microsoft Office Word</Application>
  <DocSecurity>0</DocSecurity>
  <Lines>8</Lines>
  <Paragraphs>2</Paragraphs>
  <ScaleCrop>false</ScaleCrop>
  <Company>HOME</Company>
  <LinksUpToDate>false</LinksUpToDate>
  <CharactersWithSpaces>1225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