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981733" w:rsidRDefault="00981733" w:rsidP="00BF254D">
      <w:pPr>
        <w:pStyle w:val="14"/>
        <w:ind w:left="567" w:hanging="567"/>
      </w:pPr>
      <w:bookmarkStart w:id="2" w:name="_Toc58645593"/>
      <w:bookmarkStart w:id="3" w:name="_Toc58646211"/>
      <w:bookmarkStart w:id="4" w:name="_Toc61147923"/>
      <w:bookmarkStart w:id="5" w:name="_Toc93770451"/>
      <w:bookmarkStart w:id="6" w:name="_Toc464659949"/>
      <w:bookmarkStart w:id="7" w:name="_Toc464660056"/>
      <w:bookmarkStart w:id="8" w:name="_Toc343154953"/>
      <w:bookmarkStart w:id="9" w:name="_Toc109763724"/>
      <w:bookmarkStart w:id="10" w:name="_Toc53731294"/>
      <w:bookmarkStart w:id="11" w:name="_Toc109658028"/>
      <w:bookmarkStart w:id="12" w:name="_Toc117349514"/>
      <w:bookmarkStart w:id="13" w:name="_Toc175043871"/>
      <w:bookmarkStart w:id="14" w:name="_Toc174959205"/>
      <w:bookmarkStart w:id="15" w:name="_Toc181971925"/>
      <w:r>
        <w:t>一、公司化</w:t>
      </w:r>
      <w:r>
        <w:rPr>
          <w:rFonts w:hint="eastAsia"/>
        </w:rPr>
        <w:t>後</w:t>
      </w:r>
      <w:r w:rsidRPr="00530F53">
        <w:rPr>
          <w:rFonts w:hint="eastAsia"/>
        </w:rPr>
        <w:t>已減輕臺鐵局既存債務利息費用及舊制退撫金負擔</w:t>
      </w:r>
      <w:r>
        <w:rPr>
          <w:rFonts w:hint="eastAsia"/>
        </w:rPr>
        <w:t>，惟仍持續虧損，允宜研謀提升營運績效</w:t>
      </w:r>
      <w:bookmarkEnd w:id="15"/>
    </w:p>
    <w:p w:rsidR="00981733" w:rsidRDefault="00981733" w:rsidP="00360B68">
      <w:pPr>
        <w:ind w:left="566" w:firstLine="566"/>
        <w:rPr>
          <w:rFonts w:hAnsi="標楷體"/>
        </w:rPr>
      </w:pPr>
      <w:r w:rsidRPr="00D6364F">
        <w:rPr>
          <w:rFonts w:hAnsi="標楷體" w:hint="eastAsia"/>
        </w:rPr>
        <w:t>臺鐵</w:t>
      </w:r>
      <w:r>
        <w:rPr>
          <w:rFonts w:hAnsi="標楷體" w:hint="eastAsia"/>
        </w:rPr>
        <w:t>公司化後</w:t>
      </w:r>
      <w:r w:rsidRPr="00935187">
        <w:rPr>
          <w:rFonts w:hAnsi="標楷體" w:hint="eastAsia"/>
        </w:rPr>
        <w:t>預期連續兩年</w:t>
      </w:r>
      <w:r>
        <w:rPr>
          <w:rFonts w:hAnsi="標楷體" w:hint="eastAsia"/>
        </w:rPr>
        <w:t>均為虧損，1</w:t>
      </w:r>
      <w:r>
        <w:rPr>
          <w:rFonts w:hAnsi="標楷體"/>
        </w:rPr>
        <w:t>13</w:t>
      </w:r>
      <w:r>
        <w:rPr>
          <w:rFonts w:hAnsi="標楷體" w:hint="eastAsia"/>
        </w:rPr>
        <w:t>及</w:t>
      </w:r>
      <w:r>
        <w:rPr>
          <w:rFonts w:hAnsi="標楷體"/>
        </w:rPr>
        <w:t>114</w:t>
      </w:r>
      <w:r w:rsidRPr="00D6364F">
        <w:rPr>
          <w:rFonts w:hAnsi="標楷體" w:hint="eastAsia"/>
        </w:rPr>
        <w:t>年度預算案</w:t>
      </w:r>
      <w:r>
        <w:rPr>
          <w:rFonts w:hAnsi="標楷體" w:hint="eastAsia"/>
        </w:rPr>
        <w:t>本期</w:t>
      </w:r>
      <w:r w:rsidRPr="00D6364F">
        <w:rPr>
          <w:rFonts w:hAnsi="標楷體" w:hint="eastAsia"/>
        </w:rPr>
        <w:t>淨損</w:t>
      </w:r>
      <w:r>
        <w:rPr>
          <w:rFonts w:hAnsi="標楷體" w:hint="eastAsia"/>
        </w:rPr>
        <w:t>7</w:t>
      </w:r>
      <w:r>
        <w:rPr>
          <w:rFonts w:hAnsi="標楷體"/>
        </w:rPr>
        <w:t>4</w:t>
      </w:r>
      <w:r>
        <w:rPr>
          <w:rFonts w:hAnsi="標楷體" w:hint="eastAsia"/>
        </w:rPr>
        <w:t>億9</w:t>
      </w:r>
      <w:r>
        <w:rPr>
          <w:rFonts w:hAnsi="標楷體"/>
        </w:rPr>
        <w:t>,226</w:t>
      </w:r>
      <w:r>
        <w:rPr>
          <w:rFonts w:hAnsi="標楷體" w:hint="eastAsia"/>
        </w:rPr>
        <w:t>萬8千元及</w:t>
      </w:r>
      <w:r>
        <w:rPr>
          <w:rFonts w:hAnsi="標楷體"/>
        </w:rPr>
        <w:t>86</w:t>
      </w:r>
      <w:r w:rsidRPr="00D6364F">
        <w:rPr>
          <w:rFonts w:hAnsi="標楷體" w:hint="eastAsia"/>
        </w:rPr>
        <w:t>億</w:t>
      </w:r>
      <w:r>
        <w:rPr>
          <w:rFonts w:hAnsi="標楷體"/>
        </w:rPr>
        <w:t>8,970</w:t>
      </w:r>
      <w:r w:rsidRPr="00D6364F">
        <w:rPr>
          <w:rFonts w:hAnsi="標楷體" w:hint="eastAsia"/>
        </w:rPr>
        <w:t>萬元</w:t>
      </w:r>
      <w:r>
        <w:rPr>
          <w:rFonts w:hAnsi="標楷體" w:hint="eastAsia"/>
        </w:rPr>
        <w:t>，容待研謀提升營運績效。經查：</w:t>
      </w:r>
    </w:p>
    <w:p w:rsidR="00981733" w:rsidRPr="000065F9" w:rsidRDefault="00981733" w:rsidP="00F02DA0">
      <w:pPr>
        <w:pStyle w:val="a5"/>
        <w:ind w:left="849" w:hanging="283"/>
        <w:rPr>
          <w:b/>
        </w:rPr>
      </w:pPr>
      <w:r w:rsidRPr="00FD2F18">
        <w:rPr>
          <w:rFonts w:hint="eastAsia"/>
          <w:b/>
        </w:rPr>
        <w:t>(一</w:t>
      </w:r>
      <w:r w:rsidRPr="00FD2F18">
        <w:rPr>
          <w:b/>
        </w:rPr>
        <w:t>)</w:t>
      </w:r>
      <w:r>
        <w:rPr>
          <w:rFonts w:hint="eastAsia"/>
          <w:b/>
        </w:rPr>
        <w:t>臺鐵公司化後已減輕臺鐵局既存債務利息費用及</w:t>
      </w:r>
      <w:r w:rsidRPr="007A13F8">
        <w:rPr>
          <w:rFonts w:hint="eastAsia"/>
          <w:b/>
        </w:rPr>
        <w:t>舊制退撫金</w:t>
      </w:r>
      <w:r>
        <w:rPr>
          <w:rFonts w:hint="eastAsia"/>
          <w:b/>
        </w:rPr>
        <w:t>負擔</w:t>
      </w:r>
    </w:p>
    <w:p w:rsidR="00981733" w:rsidRDefault="00981733" w:rsidP="00C237A6">
      <w:pPr>
        <w:pStyle w:val="22"/>
        <w:ind w:left="850" w:firstLine="566"/>
      </w:pPr>
      <w:r w:rsidRPr="00EF0E99">
        <w:rPr>
          <w:rFonts w:hint="eastAsia"/>
        </w:rPr>
        <w:t>為提高原臺鐵局之經營效能及競爭力，並促進鐵路事業健全發展並永續經營</w:t>
      </w:r>
      <w:r>
        <w:rPr>
          <w:rFonts w:hint="eastAsia"/>
        </w:rPr>
        <w:t>，於臺鐵公司1</w:t>
      </w:r>
      <w:r>
        <w:t>13</w:t>
      </w:r>
      <w:r>
        <w:rPr>
          <w:rFonts w:hint="eastAsia"/>
        </w:rPr>
        <w:t>年1月1日公司化時，</w:t>
      </w:r>
      <w:r w:rsidR="00434EE7">
        <w:rPr>
          <w:rFonts w:hint="eastAsia"/>
        </w:rPr>
        <w:t>交通部</w:t>
      </w:r>
      <w:r w:rsidRPr="0087068E">
        <w:rPr>
          <w:rFonts w:hint="eastAsia"/>
        </w:rPr>
        <w:t>為</w:t>
      </w:r>
      <w:r>
        <w:rPr>
          <w:rFonts w:hint="eastAsia"/>
        </w:rPr>
        <w:t>履行</w:t>
      </w:r>
      <w:r w:rsidRPr="002D1EC8">
        <w:rPr>
          <w:rFonts w:hint="eastAsia"/>
        </w:rPr>
        <w:t>臺鐵局歷史包袱所造成債務由政府負擔</w:t>
      </w:r>
      <w:r>
        <w:rPr>
          <w:rFonts w:hint="eastAsia"/>
        </w:rPr>
        <w:t>之</w:t>
      </w:r>
      <w:r w:rsidRPr="002D1EC8">
        <w:rPr>
          <w:rFonts w:hint="eastAsia"/>
        </w:rPr>
        <w:t>承諾</w:t>
      </w:r>
      <w:r>
        <w:rPr>
          <w:rFonts w:hint="eastAsia"/>
        </w:rPr>
        <w:t>，已依</w:t>
      </w:r>
      <w:r w:rsidRPr="0087068E">
        <w:rPr>
          <w:rFonts w:hint="eastAsia"/>
        </w:rPr>
        <w:t>臺鐵公司條例第10條第1項規定</w:t>
      </w:r>
      <w:r>
        <w:rPr>
          <w:rStyle w:val="af6"/>
        </w:rPr>
        <w:footnoteReference w:id="1"/>
      </w:r>
      <w:r w:rsidRPr="0087068E">
        <w:rPr>
          <w:rFonts w:hint="eastAsia"/>
        </w:rPr>
        <w:t>，於</w:t>
      </w:r>
      <w:r>
        <w:rPr>
          <w:rFonts w:hint="eastAsia"/>
        </w:rPr>
        <w:t>1</w:t>
      </w:r>
      <w:r>
        <w:t>13</w:t>
      </w:r>
      <w:r>
        <w:rPr>
          <w:rFonts w:hint="eastAsia"/>
        </w:rPr>
        <w:t>年度起於</w:t>
      </w:r>
      <w:r w:rsidRPr="0087068E">
        <w:rPr>
          <w:rFonts w:hint="eastAsia"/>
        </w:rPr>
        <w:t>交通作業基金項下增設「臺鐵局撥入資產及債務管理基金」</w:t>
      </w:r>
      <w:r>
        <w:rPr>
          <w:rFonts w:hint="eastAsia"/>
        </w:rPr>
        <w:t>，該基金</w:t>
      </w:r>
      <w:r w:rsidRPr="00700482">
        <w:rPr>
          <w:rFonts w:hint="eastAsia"/>
        </w:rPr>
        <w:t>113年1月1日承接臺鐵局轉入既有短期債務1,699億1,000萬元</w:t>
      </w:r>
      <w:r>
        <w:rPr>
          <w:rFonts w:hint="eastAsia"/>
        </w:rPr>
        <w:t>，</w:t>
      </w:r>
      <w:r>
        <w:rPr>
          <w:rFonts w:hint="eastAsia"/>
        </w:rPr>
        <w:lastRenderedPageBreak/>
        <w:t>臺鐵公司化後亦可減輕因該等債務而產生之利息費用</w:t>
      </w:r>
      <w:r>
        <w:rPr>
          <w:rStyle w:val="af6"/>
        </w:rPr>
        <w:footnoteReference w:id="2"/>
      </w:r>
      <w:r>
        <w:rPr>
          <w:rFonts w:hint="eastAsia"/>
        </w:rPr>
        <w:t>；另依同條例</w:t>
      </w:r>
      <w:r w:rsidRPr="000065F9">
        <w:rPr>
          <w:rFonts w:hint="eastAsia"/>
        </w:rPr>
        <w:t>第17條明定由交通部編列預算支應舊制退撫金</w:t>
      </w:r>
      <w:r w:rsidRPr="000065F9">
        <w:rPr>
          <w:rStyle w:val="af6"/>
        </w:rPr>
        <w:footnoteReference w:id="3"/>
      </w:r>
      <w:r>
        <w:rPr>
          <w:rFonts w:hint="eastAsia"/>
        </w:rPr>
        <w:t>，基此，臺鐵公司化後已減輕前開負擔。</w:t>
      </w:r>
    </w:p>
    <w:p w:rsidR="00981733" w:rsidRPr="000065F9" w:rsidRDefault="00981733" w:rsidP="00EF0E99">
      <w:pPr>
        <w:pStyle w:val="a5"/>
        <w:ind w:left="849" w:hanging="283"/>
        <w:rPr>
          <w:b/>
        </w:rPr>
      </w:pPr>
      <w:r w:rsidRPr="000065F9">
        <w:rPr>
          <w:rFonts w:hint="eastAsia"/>
          <w:b/>
        </w:rPr>
        <w:t>(</w:t>
      </w:r>
      <w:r>
        <w:rPr>
          <w:rFonts w:hint="eastAsia"/>
          <w:b/>
        </w:rPr>
        <w:t>二</w:t>
      </w:r>
      <w:r w:rsidRPr="000065F9">
        <w:rPr>
          <w:rFonts w:hint="eastAsia"/>
          <w:b/>
        </w:rPr>
        <w:t>)</w:t>
      </w:r>
      <w:r>
        <w:rPr>
          <w:b/>
        </w:rPr>
        <w:t>113</w:t>
      </w:r>
      <w:r>
        <w:rPr>
          <w:rFonts w:hint="eastAsia"/>
          <w:b/>
        </w:rPr>
        <w:t>年1至7月</w:t>
      </w:r>
      <w:r w:rsidRPr="00EF0E99">
        <w:rPr>
          <w:rFonts w:hint="eastAsia"/>
          <w:b/>
        </w:rPr>
        <w:t>臺鐵公司化後仍持續虧損，允宜研謀提升營運量能及開源節流等可行作法，以</w:t>
      </w:r>
      <w:r>
        <w:rPr>
          <w:rFonts w:hint="eastAsia"/>
          <w:b/>
        </w:rPr>
        <w:t>強化競爭力並</w:t>
      </w:r>
      <w:r w:rsidRPr="00EF0E99">
        <w:rPr>
          <w:rFonts w:hint="eastAsia"/>
          <w:b/>
        </w:rPr>
        <w:t>改善營運績效</w:t>
      </w:r>
    </w:p>
    <w:p w:rsidR="00981733" w:rsidRDefault="00981733" w:rsidP="00935654">
      <w:pPr>
        <w:pStyle w:val="22"/>
        <w:ind w:left="850" w:firstLine="566"/>
      </w:pPr>
      <w:r w:rsidRPr="00F02DA0">
        <w:rPr>
          <w:rFonts w:hint="eastAsia"/>
        </w:rPr>
        <w:t>臺鐵</w:t>
      </w:r>
      <w:r>
        <w:rPr>
          <w:rFonts w:hint="eastAsia"/>
        </w:rPr>
        <w:t>局於公司化前</w:t>
      </w:r>
      <w:r w:rsidRPr="00F02DA0">
        <w:rPr>
          <w:rFonts w:hint="eastAsia"/>
        </w:rPr>
        <w:t>連</w:t>
      </w:r>
      <w:r>
        <w:rPr>
          <w:rFonts w:hint="eastAsia"/>
        </w:rPr>
        <w:t>年虧損，</w:t>
      </w:r>
      <w:r w:rsidRPr="00F02DA0">
        <w:rPr>
          <w:rFonts w:hint="eastAsia"/>
        </w:rPr>
        <w:t>10</w:t>
      </w:r>
      <w:r>
        <w:t>8</w:t>
      </w:r>
      <w:r w:rsidRPr="00F02DA0">
        <w:rPr>
          <w:rFonts w:hint="eastAsia"/>
        </w:rPr>
        <w:t>至112年度虧損介於</w:t>
      </w:r>
      <w:r w:rsidRPr="00010193">
        <w:t>32</w:t>
      </w:r>
      <w:r>
        <w:rPr>
          <w:rFonts w:hint="eastAsia"/>
        </w:rPr>
        <w:t>億</w:t>
      </w:r>
      <w:r w:rsidRPr="00010193">
        <w:t>8</w:t>
      </w:r>
      <w:r>
        <w:t>,</w:t>
      </w:r>
      <w:r w:rsidRPr="00010193">
        <w:t>186</w:t>
      </w:r>
      <w:r>
        <w:rPr>
          <w:rFonts w:hint="eastAsia"/>
        </w:rPr>
        <w:t>萬</w:t>
      </w:r>
      <w:r w:rsidRPr="00010193">
        <w:t>5</w:t>
      </w:r>
      <w:r>
        <w:rPr>
          <w:rFonts w:hint="eastAsia"/>
        </w:rPr>
        <w:t>千</w:t>
      </w:r>
      <w:r w:rsidRPr="00F02DA0">
        <w:rPr>
          <w:rFonts w:hint="eastAsia"/>
        </w:rPr>
        <w:t>元至</w:t>
      </w:r>
      <w:r w:rsidRPr="00010193">
        <w:t>119</w:t>
      </w:r>
      <w:r>
        <w:rPr>
          <w:rFonts w:hint="eastAsia"/>
        </w:rPr>
        <w:t>億</w:t>
      </w:r>
      <w:r w:rsidRPr="00010193">
        <w:t>4</w:t>
      </w:r>
      <w:r>
        <w:t>,</w:t>
      </w:r>
      <w:r w:rsidRPr="00010193">
        <w:t>284</w:t>
      </w:r>
      <w:r>
        <w:rPr>
          <w:rFonts w:hint="eastAsia"/>
        </w:rPr>
        <w:t>萬</w:t>
      </w:r>
      <w:r w:rsidRPr="00010193">
        <w:t>4</w:t>
      </w:r>
      <w:r>
        <w:rPr>
          <w:rFonts w:hint="eastAsia"/>
        </w:rPr>
        <w:t>千元間，惟公司化後雖轉型為企業化模式，然其</w:t>
      </w:r>
      <w:r w:rsidRPr="00C237A6">
        <w:rPr>
          <w:rFonts w:hint="eastAsia"/>
        </w:rPr>
        <w:t>113年1至7月</w:t>
      </w:r>
      <w:r>
        <w:rPr>
          <w:rFonts w:hint="eastAsia"/>
        </w:rPr>
        <w:t>仍虧損6</w:t>
      </w:r>
      <w:r>
        <w:t>1</w:t>
      </w:r>
      <w:r>
        <w:rPr>
          <w:rFonts w:hint="eastAsia"/>
        </w:rPr>
        <w:t>億6</w:t>
      </w:r>
      <w:r>
        <w:t>,290</w:t>
      </w:r>
      <w:r>
        <w:rPr>
          <w:rFonts w:hint="eastAsia"/>
        </w:rPr>
        <w:t>萬6千元，且預期</w:t>
      </w:r>
      <w:r w:rsidRPr="00C237A6">
        <w:rPr>
          <w:rFonts w:hint="eastAsia"/>
        </w:rPr>
        <w:t>113及114年度預算案</w:t>
      </w:r>
      <w:r>
        <w:rPr>
          <w:rFonts w:hint="eastAsia"/>
        </w:rPr>
        <w:t>亦持續虧損，各為</w:t>
      </w:r>
      <w:r w:rsidRPr="00C237A6">
        <w:rPr>
          <w:rFonts w:hint="eastAsia"/>
        </w:rPr>
        <w:t>淨損74億9,226萬8千元及86億8,970萬元</w:t>
      </w:r>
      <w:r>
        <w:rPr>
          <w:rFonts w:hint="eastAsia"/>
        </w:rPr>
        <w:t>(詳表1</w:t>
      </w:r>
      <w:r>
        <w:t>)</w:t>
      </w:r>
      <w:r>
        <w:rPr>
          <w:rFonts w:hint="eastAsia"/>
        </w:rPr>
        <w:t>，此外，面對</w:t>
      </w:r>
      <w:r w:rsidRPr="00A55559">
        <w:rPr>
          <w:rFonts w:hint="eastAsia"/>
        </w:rPr>
        <w:t>近年即將規劃、設計或增建之高鐵</w:t>
      </w:r>
      <w:r>
        <w:rPr>
          <w:rStyle w:val="af6"/>
        </w:rPr>
        <w:footnoteReference w:id="4"/>
      </w:r>
      <w:r w:rsidRPr="00A55559">
        <w:rPr>
          <w:rFonts w:hint="eastAsia"/>
        </w:rPr>
        <w:t>及</w:t>
      </w:r>
      <w:r>
        <w:rPr>
          <w:rFonts w:hint="eastAsia"/>
        </w:rPr>
        <w:t>捷運</w:t>
      </w:r>
      <w:r>
        <w:rPr>
          <w:rStyle w:val="af6"/>
        </w:rPr>
        <w:footnoteReference w:id="5"/>
      </w:r>
      <w:r>
        <w:rPr>
          <w:rFonts w:hint="eastAsia"/>
        </w:rPr>
        <w:t>等</w:t>
      </w:r>
      <w:r w:rsidRPr="00A55559">
        <w:rPr>
          <w:rFonts w:hint="eastAsia"/>
        </w:rPr>
        <w:t>相關軌道建設</w:t>
      </w:r>
      <w:r>
        <w:rPr>
          <w:rFonts w:hint="eastAsia"/>
        </w:rPr>
        <w:t>投入公共運輸，未來亦將對臺鐵公司之營運產生影響</w:t>
      </w:r>
      <w:r w:rsidRPr="00A55559">
        <w:rPr>
          <w:rFonts w:hint="eastAsia"/>
        </w:rPr>
        <w:t>，</w:t>
      </w:r>
      <w:r>
        <w:rPr>
          <w:rFonts w:hint="eastAsia"/>
        </w:rPr>
        <w:t>亟待運用公司化後組織較具彈性等特性，研謀</w:t>
      </w:r>
      <w:r w:rsidRPr="000B538C">
        <w:rPr>
          <w:rFonts w:hint="eastAsia"/>
        </w:rPr>
        <w:t>提升營運量能及開源節流等可行作法</w:t>
      </w:r>
      <w:r w:rsidR="007D403C" w:rsidRPr="007D403C">
        <w:rPr>
          <w:rFonts w:hint="eastAsia"/>
        </w:rPr>
        <w:t>以強化競爭力並改善營運績效</w:t>
      </w:r>
      <w:r>
        <w:rPr>
          <w:rFonts w:hint="eastAsia"/>
        </w:rPr>
        <w:t>。</w:t>
      </w:r>
    </w:p>
    <w:p w:rsidR="00981733" w:rsidRPr="00F516EB" w:rsidRDefault="00981733" w:rsidP="00010193">
      <w:pPr>
        <w:ind w:leftChars="0" w:left="567" w:hangingChars="200" w:hanging="567"/>
        <w:rPr>
          <w:b/>
        </w:rPr>
      </w:pPr>
      <w:r w:rsidRPr="00F516EB">
        <w:rPr>
          <w:rFonts w:hint="eastAsia"/>
          <w:b/>
        </w:rPr>
        <w:t>表1  臺鐵10</w:t>
      </w:r>
      <w:r>
        <w:rPr>
          <w:b/>
        </w:rPr>
        <w:t>8</w:t>
      </w:r>
      <w:r>
        <w:rPr>
          <w:rFonts w:hint="eastAsia"/>
          <w:b/>
        </w:rPr>
        <w:t>至</w:t>
      </w:r>
      <w:r w:rsidRPr="00F516EB">
        <w:rPr>
          <w:rFonts w:hint="eastAsia"/>
          <w:b/>
        </w:rPr>
        <w:t>11</w:t>
      </w:r>
      <w:r>
        <w:rPr>
          <w:b/>
        </w:rPr>
        <w:t>4</w:t>
      </w:r>
      <w:r w:rsidRPr="00F516EB">
        <w:rPr>
          <w:rFonts w:hint="eastAsia"/>
          <w:b/>
        </w:rPr>
        <w:t>年度簡明損益表</w:t>
      </w:r>
      <w:r>
        <w:rPr>
          <w:rFonts w:hint="eastAsia"/>
          <w:b/>
        </w:rPr>
        <w:t xml:space="preserve"> </w:t>
      </w:r>
      <w:r>
        <w:rPr>
          <w:b/>
        </w:rPr>
        <w:t xml:space="preserve">             </w:t>
      </w:r>
      <w:r w:rsidRPr="00F516EB">
        <w:rPr>
          <w:rFonts w:hint="eastAsia"/>
          <w:sz w:val="24"/>
          <w:szCs w:val="24"/>
        </w:rPr>
        <w:t>單位：新臺幣</w:t>
      </w:r>
      <w:r w:rsidR="00434EE7">
        <w:rPr>
          <w:rFonts w:hint="eastAsia"/>
          <w:sz w:val="24"/>
          <w:szCs w:val="24"/>
        </w:rPr>
        <w:t>千</w:t>
      </w:r>
      <w:r w:rsidRPr="00F516EB">
        <w:rPr>
          <w:rFonts w:hint="eastAsia"/>
          <w:sz w:val="24"/>
          <w:szCs w:val="24"/>
        </w:rPr>
        <w:t>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88"/>
        <w:gridCol w:w="939"/>
        <w:gridCol w:w="939"/>
        <w:gridCol w:w="939"/>
        <w:gridCol w:w="939"/>
        <w:gridCol w:w="939"/>
        <w:gridCol w:w="939"/>
        <w:gridCol w:w="939"/>
        <w:gridCol w:w="939"/>
      </w:tblGrid>
      <w:tr w:rsidR="00981733" w:rsidRPr="007E332B" w:rsidTr="007E332B">
        <w:trPr>
          <w:trHeight w:val="340"/>
          <w:tblHeader/>
        </w:trPr>
        <w:tc>
          <w:tcPr>
            <w:tcW w:w="988" w:type="dxa"/>
            <w:shd w:val="clear" w:color="000000" w:fill="FFFFFF"/>
            <w:vAlign w:val="center"/>
            <w:hideMark/>
          </w:tcPr>
          <w:p w:rsidR="00981733" w:rsidRPr="007E332B" w:rsidRDefault="00981733" w:rsidP="00A05DE1">
            <w:pPr>
              <w:pStyle w:val="142"/>
              <w:jc w:val="center"/>
              <w:rPr>
                <w:b/>
                <w:snapToGrid/>
                <w:spacing w:val="-20"/>
                <w:sz w:val="20"/>
                <w:szCs w:val="20"/>
              </w:rPr>
            </w:pPr>
            <w:r w:rsidRPr="007E332B">
              <w:rPr>
                <w:rFonts w:hint="eastAsia"/>
                <w:b/>
                <w:snapToGrid/>
                <w:spacing w:val="-20"/>
                <w:sz w:val="20"/>
                <w:szCs w:val="20"/>
              </w:rPr>
              <w:t>年度</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108</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109</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110</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111</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112</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113</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113年1-7月</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114</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t>營業收入</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26,084,500</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23,787,376</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19,575,957</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26,468,052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31,927,052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33,707,078</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18,624,024</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35,178,671</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t>營業成本</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27,033,941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28,403,084</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28,539,522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34,526,104</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37,495,111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37,019,540</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21,758,609</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40,768,932</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t>營業毛利</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-949,441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-4,615,708</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-8,963,565</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-8,058,052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-5,568,059</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-3,312,462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-3,134,586</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-5,590,261</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lastRenderedPageBreak/>
              <w:t>營業費用</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1,278,004</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1,260,515</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1,405,638</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1,525,471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1,727,257</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2,902,607</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1,638,169</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2,151,534</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t>營業利益</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-2,227,445</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-5,876,223</w:t>
            </w:r>
          </w:p>
        </w:tc>
        <w:tc>
          <w:tcPr>
            <w:tcW w:w="939" w:type="dxa"/>
            <w:shd w:val="clear" w:color="000000" w:fill="FFFFFF"/>
            <w:noWrap/>
            <w:vAlign w:val="center"/>
            <w:hideMark/>
          </w:tcPr>
          <w:p w:rsidR="00981733" w:rsidRPr="00253DE3" w:rsidRDefault="00981733" w:rsidP="00CD21B3">
            <w:pPr>
              <w:pStyle w:val="142"/>
              <w:ind w:leftChars="-21" w:left="3" w:hangingChars="38" w:hanging="62"/>
              <w:jc w:val="right"/>
              <w:rPr>
                <w:rFonts w:hint="eastAsia"/>
                <w:snapToGrid/>
                <w:spacing w:val="-20"/>
                <w:sz w:val="20"/>
                <w:szCs w:val="20"/>
              </w:rPr>
            </w:pPr>
            <w:r w:rsidRPr="00253DE3">
              <w:rPr>
                <w:rFonts w:hint="eastAsia"/>
                <w:snapToGrid/>
                <w:spacing w:val="-20"/>
                <w:sz w:val="20"/>
                <w:szCs w:val="20"/>
              </w:rPr>
              <w:t>-10,639,202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-9,583,523</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-7,295,317</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-6,215,069</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-4,772,755</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-7,741,795</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t>營業外收入</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2,564,391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2,181,761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1,774,350</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2,601,655</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1,518,156</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744,701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457,662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1,006,975</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t>營業外費用</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3,618,811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3,045,208</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3,347,992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4,132,692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5,652,668</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2,021,900</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1,847,813</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1,954,880</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t>本期淨利</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-3,281,865</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-6,739,670</w:t>
            </w:r>
          </w:p>
        </w:tc>
        <w:tc>
          <w:tcPr>
            <w:tcW w:w="939" w:type="dxa"/>
            <w:shd w:val="clear" w:color="000000" w:fill="FFFFFF"/>
            <w:noWrap/>
            <w:vAlign w:val="center"/>
            <w:hideMark/>
          </w:tcPr>
          <w:p w:rsidR="00981733" w:rsidRPr="00253DE3" w:rsidRDefault="00981733" w:rsidP="00CD21B3">
            <w:pPr>
              <w:pStyle w:val="142"/>
              <w:ind w:leftChars="-21" w:left="3" w:hangingChars="38" w:hanging="62"/>
              <w:jc w:val="right"/>
              <w:rPr>
                <w:rFonts w:hint="eastAsia"/>
                <w:snapToGrid/>
                <w:spacing w:val="-20"/>
                <w:sz w:val="20"/>
                <w:szCs w:val="20"/>
              </w:rPr>
            </w:pPr>
            <w:r w:rsidRPr="00253DE3">
              <w:rPr>
                <w:rFonts w:hint="eastAsia"/>
                <w:snapToGrid/>
                <w:spacing w:val="-20"/>
                <w:sz w:val="20"/>
                <w:szCs w:val="20"/>
              </w:rPr>
              <w:t>-11,942,844</w:t>
            </w:r>
          </w:p>
        </w:tc>
        <w:tc>
          <w:tcPr>
            <w:tcW w:w="939" w:type="dxa"/>
            <w:shd w:val="clear" w:color="000000" w:fill="FFFFFF"/>
            <w:noWrap/>
            <w:vAlign w:val="center"/>
            <w:hideMark/>
          </w:tcPr>
          <w:p w:rsidR="00981733" w:rsidRPr="00253DE3" w:rsidRDefault="00981733" w:rsidP="00CD21B3">
            <w:pPr>
              <w:pStyle w:val="142"/>
              <w:ind w:leftChars="-21" w:left="3" w:hangingChars="38" w:hanging="62"/>
              <w:jc w:val="right"/>
              <w:rPr>
                <w:rFonts w:hint="eastAsia"/>
                <w:snapToGrid/>
                <w:spacing w:val="-20"/>
                <w:sz w:val="20"/>
                <w:szCs w:val="20"/>
              </w:rPr>
            </w:pPr>
            <w:r w:rsidRPr="00253DE3">
              <w:rPr>
                <w:rFonts w:hint="eastAsia"/>
                <w:snapToGrid/>
                <w:spacing w:val="-20"/>
                <w:sz w:val="20"/>
                <w:szCs w:val="20"/>
              </w:rPr>
              <w:t>-11,114,560</w:t>
            </w:r>
          </w:p>
        </w:tc>
        <w:tc>
          <w:tcPr>
            <w:tcW w:w="939" w:type="dxa"/>
            <w:shd w:val="clear" w:color="000000" w:fill="FFFFFF"/>
            <w:noWrap/>
            <w:vAlign w:val="center"/>
            <w:hideMark/>
          </w:tcPr>
          <w:p w:rsidR="00981733" w:rsidRPr="00253DE3" w:rsidRDefault="00981733" w:rsidP="00CD21B3">
            <w:pPr>
              <w:pStyle w:val="142"/>
              <w:ind w:leftChars="-21" w:left="3" w:hangingChars="38" w:hanging="62"/>
              <w:jc w:val="right"/>
              <w:rPr>
                <w:rFonts w:hint="eastAsia"/>
                <w:snapToGrid/>
                <w:spacing w:val="-20"/>
                <w:sz w:val="20"/>
                <w:szCs w:val="20"/>
              </w:rPr>
            </w:pPr>
            <w:r w:rsidRPr="00253DE3">
              <w:rPr>
                <w:rFonts w:hint="eastAsia"/>
                <w:snapToGrid/>
                <w:spacing w:val="-20"/>
                <w:sz w:val="20"/>
                <w:szCs w:val="20"/>
              </w:rPr>
              <w:t>-11,429,829</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-7,492,268</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-6,162,906</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-8,689,700</w:t>
            </w:r>
          </w:p>
        </w:tc>
      </w:tr>
    </w:tbl>
    <w:p w:rsidR="00981733" w:rsidRDefault="00981733" w:rsidP="0014650E">
      <w:pPr>
        <w:pStyle w:val="142"/>
        <w:ind w:left="1133" w:hangingChars="466" w:hanging="1133"/>
      </w:pPr>
      <w:r>
        <w:rPr>
          <w:rFonts w:hint="eastAsia"/>
        </w:rPr>
        <w:t>說</w:t>
      </w:r>
      <w:r>
        <w:t xml:space="preserve">    </w:t>
      </w:r>
      <w:r>
        <w:rPr>
          <w:rFonts w:hint="eastAsia"/>
        </w:rPr>
        <w:t>明：108至</w:t>
      </w:r>
      <w:r w:rsidRPr="0014650E">
        <w:rPr>
          <w:rFonts w:hint="eastAsia"/>
        </w:rPr>
        <w:t>112年度為審定決算數，113及114年度為預算案數，113年1-7月為實際數。</w:t>
      </w:r>
    </w:p>
    <w:p w:rsidR="00981733" w:rsidRDefault="00981733" w:rsidP="00C237A6">
      <w:pPr>
        <w:pStyle w:val="142"/>
      </w:pPr>
      <w:r>
        <w:rPr>
          <w:rFonts w:hint="eastAsia"/>
        </w:rPr>
        <w:t>資料來源：臺鐵公司。</w:t>
      </w:r>
    </w:p>
    <w:p w:rsidR="00981733" w:rsidRDefault="00981733" w:rsidP="000B538C">
      <w:pPr>
        <w:ind w:left="566" w:firstLine="566"/>
      </w:pPr>
      <w:r>
        <w:rPr>
          <w:rFonts w:hint="eastAsia"/>
        </w:rPr>
        <w:t>綜上，為</w:t>
      </w:r>
      <w:r w:rsidRPr="00C237A6">
        <w:rPr>
          <w:rFonts w:hint="eastAsia"/>
        </w:rPr>
        <w:t>提高</w:t>
      </w:r>
      <w:r>
        <w:rPr>
          <w:rFonts w:hint="eastAsia"/>
        </w:rPr>
        <w:t>原臺鐵局之</w:t>
      </w:r>
      <w:r w:rsidRPr="00C237A6">
        <w:rPr>
          <w:rFonts w:hint="eastAsia"/>
        </w:rPr>
        <w:t>經營效能及競爭力，</w:t>
      </w:r>
      <w:r>
        <w:rPr>
          <w:rFonts w:hint="eastAsia"/>
        </w:rPr>
        <w:t>並</w:t>
      </w:r>
      <w:r w:rsidRPr="00C237A6">
        <w:rPr>
          <w:rFonts w:hint="eastAsia"/>
        </w:rPr>
        <w:t>促進鐵路事業健全發展</w:t>
      </w:r>
      <w:r>
        <w:rPr>
          <w:rFonts w:hint="eastAsia"/>
        </w:rPr>
        <w:t>，爰於1</w:t>
      </w:r>
      <w:r>
        <w:t>13</w:t>
      </w:r>
      <w:r>
        <w:rPr>
          <w:rFonts w:hint="eastAsia"/>
        </w:rPr>
        <w:t>年1月1日公司化，</w:t>
      </w:r>
      <w:r w:rsidR="007D403C">
        <w:rPr>
          <w:rFonts w:hint="eastAsia"/>
        </w:rPr>
        <w:t>並</w:t>
      </w:r>
      <w:r>
        <w:rPr>
          <w:rFonts w:hint="eastAsia"/>
        </w:rPr>
        <w:t>減輕</w:t>
      </w:r>
      <w:r w:rsidR="007D403C">
        <w:rPr>
          <w:rFonts w:hint="eastAsia"/>
        </w:rPr>
        <w:t>其</w:t>
      </w:r>
      <w:r>
        <w:rPr>
          <w:rFonts w:hint="eastAsia"/>
        </w:rPr>
        <w:t>員工舊制退撫金及既存</w:t>
      </w:r>
      <w:r w:rsidRPr="002748B1">
        <w:rPr>
          <w:rFonts w:hint="eastAsia"/>
        </w:rPr>
        <w:t>債務</w:t>
      </w:r>
      <w:r>
        <w:rPr>
          <w:rFonts w:hint="eastAsia"/>
        </w:rPr>
        <w:t>之</w:t>
      </w:r>
      <w:r w:rsidRPr="002748B1">
        <w:rPr>
          <w:rFonts w:hint="eastAsia"/>
        </w:rPr>
        <w:t>利息</w:t>
      </w:r>
      <w:r>
        <w:rPr>
          <w:rFonts w:hint="eastAsia"/>
        </w:rPr>
        <w:t>費用</w:t>
      </w:r>
      <w:r w:rsidR="007D403C">
        <w:rPr>
          <w:rFonts w:hint="eastAsia"/>
        </w:rPr>
        <w:t>等負擔</w:t>
      </w:r>
      <w:r w:rsidRPr="002748B1">
        <w:rPr>
          <w:rFonts w:hint="eastAsia"/>
        </w:rPr>
        <w:t>，期</w:t>
      </w:r>
      <w:r>
        <w:rPr>
          <w:rFonts w:hint="eastAsia"/>
        </w:rPr>
        <w:t>營運獲得改善，惟</w:t>
      </w:r>
      <w:r w:rsidR="00DB1B00" w:rsidRPr="00DB1B00">
        <w:rPr>
          <w:rFonts w:hint="eastAsia"/>
        </w:rPr>
        <w:t>臺鐵公司化</w:t>
      </w:r>
      <w:r w:rsidR="00DB1B00">
        <w:rPr>
          <w:rFonts w:hint="eastAsia"/>
        </w:rPr>
        <w:t>後</w:t>
      </w:r>
      <w:r>
        <w:rPr>
          <w:rFonts w:hint="eastAsia"/>
        </w:rPr>
        <w:t>113年1至7月仍持續虧損</w:t>
      </w:r>
      <w:r w:rsidR="007D403C" w:rsidRPr="007D403C">
        <w:rPr>
          <w:rFonts w:hint="eastAsia"/>
        </w:rPr>
        <w:t>61億6,290萬6千元</w:t>
      </w:r>
      <w:r>
        <w:rPr>
          <w:rFonts w:hint="eastAsia"/>
        </w:rPr>
        <w:t>，且預期113及114年度亦為淨損74億9,226萬8千元及86億8,970萬元，允宜</w:t>
      </w:r>
      <w:r w:rsidRPr="00A55559">
        <w:rPr>
          <w:rFonts w:hint="eastAsia"/>
        </w:rPr>
        <w:t>研謀提升營運量能及開源節流等可行作法，</w:t>
      </w:r>
      <w:r w:rsidR="007D403C">
        <w:rPr>
          <w:rFonts w:hint="eastAsia"/>
        </w:rPr>
        <w:t>另</w:t>
      </w:r>
      <w:r w:rsidR="00F0386F" w:rsidRPr="00F0386F">
        <w:rPr>
          <w:rFonts w:hint="eastAsia"/>
        </w:rPr>
        <w:t>面對未來高鐵及捷運相關軌道建設</w:t>
      </w:r>
      <w:r w:rsidR="007D403C">
        <w:rPr>
          <w:rFonts w:hint="eastAsia"/>
        </w:rPr>
        <w:t>陸續</w:t>
      </w:r>
      <w:r w:rsidR="00F0386F" w:rsidRPr="00F0386F">
        <w:rPr>
          <w:rFonts w:hint="eastAsia"/>
        </w:rPr>
        <w:t>投入公共運輸，亦</w:t>
      </w:r>
      <w:r w:rsidR="00F0386F">
        <w:rPr>
          <w:rFonts w:hint="eastAsia"/>
        </w:rPr>
        <w:t>待</w:t>
      </w:r>
      <w:r w:rsidRPr="00A55559">
        <w:rPr>
          <w:rFonts w:hint="eastAsia"/>
        </w:rPr>
        <w:t>強化競爭力並改善營運績效</w:t>
      </w:r>
      <w:r>
        <w:rPr>
          <w:rFonts w:hint="eastAsia"/>
        </w:rPr>
        <w:t>，俾</w:t>
      </w:r>
      <w:r w:rsidRPr="00153A24">
        <w:rPr>
          <w:rFonts w:hint="eastAsia"/>
        </w:rPr>
        <w:t>臺鐵公司化後之財務</w:t>
      </w:r>
      <w:r w:rsidR="007353E7">
        <w:rPr>
          <w:rFonts w:hint="eastAsia"/>
        </w:rPr>
        <w:t>健全發展</w:t>
      </w:r>
      <w:r w:rsidRPr="00153A24">
        <w:rPr>
          <w:rFonts w:hint="eastAsia"/>
        </w:rPr>
        <w:t>及永續經營。</w:t>
      </w:r>
    </w:p>
    <w:bookmarkEnd w:id="13"/>
    <w:bookmarkEnd w:id="14"/>
    <w:bookmarkEnd w:id="10"/>
    <w:bookmarkEnd w:id="11"/>
    <w:bookmarkEnd w:id="12"/>
    <w:bookmarkEnd w:id="8"/>
    <w:bookmarkEnd w:id="9"/>
    <w:bookmarkEnd w:id="6"/>
    <w:bookmarkEnd w:id="7"/>
    <w:bookmarkEnd w:id="0"/>
    <w:bookmarkEnd w:id="2"/>
    <w:bookmarkEnd w:id="3"/>
    <w:bookmarkEnd w:id="4"/>
    <w:bookmarkEnd w:id="5"/>
    <w:sectPr w:rsidR="00981733"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696AC1" w:rsidRPr="00696AC1">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Pr="0053748C" w:rsidRDefault="008E2CC5" w:rsidP="00907776">
      <w:pPr>
        <w:pStyle w:val="142"/>
        <w:ind w:leftChars="-20" w:left="65" w:hangingChars="50" w:hanging="122"/>
        <w:jc w:val="both"/>
        <w:rPr>
          <w:rFonts w:hint="eastAsia"/>
        </w:rPr>
      </w:pPr>
      <w:r>
        <w:rPr>
          <w:rStyle w:val="af6"/>
        </w:rPr>
        <w:footnoteRef/>
      </w:r>
      <w:r>
        <w:t xml:space="preserve"> </w:t>
      </w:r>
      <w:r w:rsidRPr="0053748C">
        <w:rPr>
          <w:rFonts w:hint="eastAsia"/>
        </w:rPr>
        <w:t>國營臺灣鐵路股份有限公司設置條例第10條第1項規定</w:t>
      </w:r>
      <w:r>
        <w:rPr>
          <w:rFonts w:hint="eastAsia"/>
        </w:rPr>
        <w:t>：「</w:t>
      </w:r>
      <w:r w:rsidRPr="0053748C">
        <w:rPr>
          <w:rFonts w:hint="eastAsia"/>
        </w:rPr>
        <w:t>政府應移撥臺灣鐵路管理局及所屬機構（以下簡稱原機構）經管之適足資產，由交通部設立基金，處理原機構既存之短期債務。</w:t>
      </w:r>
      <w:r>
        <w:rPr>
          <w:rFonts w:hint="eastAsia"/>
        </w:rPr>
        <w:t>」</w:t>
      </w:r>
    </w:p>
  </w:footnote>
  <w:footnote w:id="2">
    <w:p w:rsidR="008E2CC5" w:rsidRPr="00153A24" w:rsidRDefault="008E2CC5" w:rsidP="00700482">
      <w:pPr>
        <w:pStyle w:val="142"/>
        <w:ind w:left="73" w:hangingChars="30" w:hanging="73"/>
        <w:jc w:val="both"/>
        <w:rPr>
          <w:rFonts w:hint="eastAsia"/>
        </w:rPr>
      </w:pPr>
      <w:r>
        <w:rPr>
          <w:rStyle w:val="af6"/>
        </w:rPr>
        <w:footnoteRef/>
      </w:r>
      <w:r>
        <w:t xml:space="preserve"> </w:t>
      </w:r>
      <w:r w:rsidRPr="00700482">
        <w:rPr>
          <w:rFonts w:hint="eastAsia"/>
        </w:rPr>
        <w:t>由鐵道局及所屬單位預算編列預算撥補</w:t>
      </w:r>
      <w:r w:rsidRPr="00010193">
        <w:rPr>
          <w:rFonts w:hint="eastAsia"/>
        </w:rPr>
        <w:t>臺鐵局撥入資產及債務管理基金</w:t>
      </w:r>
      <w:r>
        <w:rPr>
          <w:rFonts w:hint="eastAsia"/>
        </w:rPr>
        <w:t>。</w:t>
      </w:r>
    </w:p>
  </w:footnote>
  <w:footnote w:id="3">
    <w:p w:rsidR="008E2CC5" w:rsidRPr="00F53835" w:rsidRDefault="008E2CC5" w:rsidP="00F02DA0">
      <w:pPr>
        <w:pStyle w:val="142"/>
        <w:ind w:left="73" w:hangingChars="30" w:hanging="73"/>
        <w:jc w:val="both"/>
        <w:rPr>
          <w:rFonts w:hint="eastAsia"/>
        </w:rPr>
      </w:pPr>
      <w:r w:rsidRPr="00F53835">
        <w:rPr>
          <w:rStyle w:val="af6"/>
        </w:rPr>
        <w:footnoteRef/>
      </w:r>
      <w:r w:rsidRPr="00F53835">
        <w:rPr>
          <w:rFonts w:hint="eastAsia"/>
        </w:rPr>
        <w:t xml:space="preserve"> </w:t>
      </w:r>
      <w:r w:rsidRPr="00F91765">
        <w:rPr>
          <w:rFonts w:hint="eastAsia"/>
        </w:rPr>
        <w:t>臺鐵公司條例第17條規定：「原機構已辦理退休、撫卹人員，仍適用臺灣鐵路事業人員退休規則、公務人員退休資遣撫卹法之規定。前項人員退休金、撫卹金、撫慰金（遺屬金）之發放及退休照護等事項，應由臺鐵公司承接；原機構已辦理退休、撫卹人員及繼續任用人員具有參加退撫新制施行前任職年資者，其尚未支付之員工舊制退撫金，由交通部逐年編列預算支應。」，交通部113年度及114年度各編列38億3,036萬2千元(法定預算數)、38億814萬4千元(預算案)支應。</w:t>
      </w:r>
    </w:p>
  </w:footnote>
  <w:footnote w:id="4">
    <w:p w:rsidR="008E2CC5" w:rsidRPr="008833B7" w:rsidRDefault="008E2CC5" w:rsidP="008833B7">
      <w:pPr>
        <w:pStyle w:val="142"/>
        <w:ind w:left="73" w:hangingChars="30" w:hanging="73"/>
        <w:jc w:val="both"/>
        <w:rPr>
          <w:rFonts w:hint="eastAsia"/>
        </w:rPr>
      </w:pPr>
      <w:r>
        <w:rPr>
          <w:rStyle w:val="af6"/>
        </w:rPr>
        <w:footnoteRef/>
      </w:r>
      <w:r>
        <w:t xml:space="preserve"> </w:t>
      </w:r>
      <w:r>
        <w:rPr>
          <w:rFonts w:hint="eastAsia"/>
        </w:rPr>
        <w:t>例如</w:t>
      </w:r>
      <w:r w:rsidRPr="008833B7">
        <w:rPr>
          <w:rFonts w:hint="eastAsia"/>
        </w:rPr>
        <w:t>高鐵延伸屏東及宜蘭之規劃作業</w:t>
      </w:r>
      <w:r>
        <w:rPr>
          <w:rFonts w:hint="eastAsia"/>
        </w:rPr>
        <w:t>。</w:t>
      </w:r>
    </w:p>
  </w:footnote>
  <w:footnote w:id="5">
    <w:p w:rsidR="008E2CC5" w:rsidRPr="00A55559" w:rsidRDefault="008E2CC5" w:rsidP="00A55559">
      <w:pPr>
        <w:pStyle w:val="142"/>
        <w:ind w:left="73" w:hangingChars="30" w:hanging="73"/>
        <w:jc w:val="both"/>
        <w:rPr>
          <w:rFonts w:hint="eastAsia"/>
        </w:rPr>
      </w:pPr>
      <w:r>
        <w:rPr>
          <w:rStyle w:val="af6"/>
        </w:rPr>
        <w:footnoteRef/>
      </w:r>
      <w:r>
        <w:t xml:space="preserve"> </w:t>
      </w:r>
      <w:r>
        <w:rPr>
          <w:rFonts w:hint="eastAsia"/>
        </w:rPr>
        <w:t>例如臺北都會區大眾捷運系統環狀線北環段及南環段暨周邊土地開發計畫、臺北都會區大眾捷運系統三鶯線建設計畫、桃園都會區大眾捷運系統航空城捷運線暨土地整合發展計畫、臺中捷運藍線建設計畫、高雄都會區大眾捷運系統都會線（黃線）建設及周邊土地開發計畫、</w:t>
      </w:r>
      <w:r w:rsidRPr="00A55559">
        <w:rPr>
          <w:rFonts w:hint="eastAsia"/>
        </w:rPr>
        <w:t>臺南市先進運輸(大眾捷運)系統第1期藍線建設及周邊土地開發計畫</w:t>
      </w:r>
      <w:r>
        <w:rPr>
          <w:rFonts w:hint="eastAsia"/>
        </w:rPr>
        <w:t>、</w:t>
      </w:r>
      <w:r w:rsidRPr="00A55559">
        <w:rPr>
          <w:rFonts w:hint="eastAsia"/>
        </w:rPr>
        <w:t>基隆南港間通勤軌道建設計畫</w:t>
      </w:r>
      <w:r>
        <w:rPr>
          <w:rFonts w:hint="eastAsia"/>
        </w:rPr>
        <w:t>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C1"/>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2646453-E4B6-4240-A590-DB43974A1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A2549-6F14-45CE-B776-30389BBFD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317</Words>
  <Characters>1809</Characters>
  <Application>Microsoft Office Word</Application>
  <DocSecurity>0</DocSecurity>
  <Lines>15</Lines>
  <Paragraphs>4</Paragraphs>
  <ScaleCrop>false</ScaleCrop>
  <Company/>
  <LinksUpToDate>false</LinksUpToDate>
  <CharactersWithSpaces>2122</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2024-11-11T07:01:00Z</dcterms:created>
  <dcterms:modified xsi:type="dcterms:W3CDTF">2024-11-11T07:01:00Z</dcterms:modified>
</cp:coreProperties>
</file>