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DD7682" w:rsidRDefault="00DD7682" w:rsidP="000752FE">
      <w:pPr>
        <w:pStyle w:val="aa"/>
        <w:rPr>
          <w:rFonts w:hint="eastAsia"/>
          <w:spacing w:val="-2"/>
        </w:rPr>
      </w:pPr>
      <w:bookmarkStart w:id="0" w:name="_Toc338354636"/>
      <w:bookmarkStart w:id="1" w:name="_GoBack"/>
      <w:bookmarkEnd w:id="1"/>
      <w:r w:rsidRPr="00DD7682">
        <w:rPr>
          <w:rFonts w:hint="eastAsia"/>
          <w:spacing w:val="-2"/>
        </w:rPr>
        <w:t>國營臺灣鐵路股份有限公司</w:t>
      </w:r>
      <w:r w:rsidR="008972E9">
        <w:rPr>
          <w:rFonts w:hint="eastAsia"/>
          <w:spacing w:val="-2"/>
        </w:rPr>
        <w:t>1</w:t>
      </w:r>
      <w:r w:rsidR="008972E9">
        <w:rPr>
          <w:spacing w:val="-2"/>
        </w:rPr>
        <w:t>14</w:t>
      </w:r>
      <w:r w:rsidRPr="00DD7682">
        <w:rPr>
          <w:rFonts w:hint="eastAsia"/>
          <w:spacing w:val="-2"/>
        </w:rPr>
        <w:t>年度營業預算評估報告</w:t>
      </w:r>
    </w:p>
    <w:p w:rsidR="00E21B11" w:rsidRPr="00D6364F" w:rsidRDefault="00D03F85" w:rsidP="00D6364F">
      <w:pPr>
        <w:adjustRightInd w:val="0"/>
        <w:ind w:leftChars="0" w:left="0" w:firstLine="566"/>
        <w:rPr>
          <w:rFonts w:hint="eastAsia"/>
        </w:rPr>
      </w:pPr>
      <w:r w:rsidRPr="00D6364F">
        <w:rPr>
          <w:rFonts w:hint="eastAsia"/>
        </w:rPr>
        <w:t>國營</w:t>
      </w:r>
      <w:r w:rsidR="00CE3AA2">
        <w:rPr>
          <w:rFonts w:hint="eastAsia"/>
        </w:rPr>
        <w:t>臺</w:t>
      </w:r>
      <w:r w:rsidRPr="00D6364F">
        <w:rPr>
          <w:rFonts w:hint="eastAsia"/>
        </w:rPr>
        <w:t>灣鐵路股份有限公司設置條例</w:t>
      </w:r>
      <w:r w:rsidR="00E204B4">
        <w:rPr>
          <w:rFonts w:hint="eastAsia"/>
        </w:rPr>
        <w:t>(以下簡稱</w:t>
      </w:r>
      <w:r w:rsidR="00E204B4" w:rsidRPr="000065F9">
        <w:rPr>
          <w:rFonts w:hint="eastAsia"/>
        </w:rPr>
        <w:t>臺鐵公司條例</w:t>
      </w:r>
      <w:r w:rsidR="00E204B4">
        <w:rPr>
          <w:rFonts w:hint="eastAsia"/>
        </w:rPr>
        <w:t>)</w:t>
      </w:r>
      <w:r w:rsidRPr="00D6364F">
        <w:rPr>
          <w:rFonts w:hint="eastAsia"/>
        </w:rPr>
        <w:t>於111年6月22日公布</w:t>
      </w:r>
      <w:r w:rsidR="006B255B">
        <w:rPr>
          <w:rFonts w:hint="eastAsia"/>
        </w:rPr>
        <w:t>，</w:t>
      </w:r>
      <w:r w:rsidR="006B255B" w:rsidRPr="006B255B">
        <w:rPr>
          <w:rFonts w:hint="eastAsia"/>
        </w:rPr>
        <w:t>定自</w:t>
      </w:r>
      <w:r w:rsidR="006B255B">
        <w:rPr>
          <w:rFonts w:hint="eastAsia"/>
        </w:rPr>
        <w:t>113</w:t>
      </w:r>
      <w:r w:rsidR="006B255B" w:rsidRPr="006B255B">
        <w:rPr>
          <w:rFonts w:hint="eastAsia"/>
        </w:rPr>
        <w:t>年</w:t>
      </w:r>
      <w:r w:rsidR="006B255B">
        <w:rPr>
          <w:rFonts w:hint="eastAsia"/>
        </w:rPr>
        <w:t>1</w:t>
      </w:r>
      <w:r w:rsidR="006B255B" w:rsidRPr="006B255B">
        <w:rPr>
          <w:rFonts w:hint="eastAsia"/>
        </w:rPr>
        <w:t>月</w:t>
      </w:r>
      <w:r w:rsidR="006B255B">
        <w:rPr>
          <w:rFonts w:hint="eastAsia"/>
        </w:rPr>
        <w:t>1</w:t>
      </w:r>
      <w:r w:rsidR="006B255B" w:rsidRPr="006B255B">
        <w:rPr>
          <w:rFonts w:hint="eastAsia"/>
        </w:rPr>
        <w:t>日施行</w:t>
      </w:r>
      <w:r w:rsidRPr="00D6364F">
        <w:rPr>
          <w:rFonts w:hint="eastAsia"/>
        </w:rPr>
        <w:t>，</w:t>
      </w:r>
      <w:r w:rsidR="00780F3E">
        <w:rPr>
          <w:rFonts w:hint="eastAsia"/>
        </w:rPr>
        <w:t>爰</w:t>
      </w:r>
      <w:r w:rsidR="0067537B">
        <w:rPr>
          <w:rFonts w:hint="eastAsia"/>
        </w:rPr>
        <w:t>臺灣鐵路管理局</w:t>
      </w:r>
      <w:r w:rsidR="00907776">
        <w:rPr>
          <w:rFonts w:hint="eastAsia"/>
        </w:rPr>
        <w:t>（以下簡稱臺鐵局）</w:t>
      </w:r>
      <w:r w:rsidR="0067537B">
        <w:rPr>
          <w:rFonts w:hint="eastAsia"/>
        </w:rPr>
        <w:t>自113年度起改制為</w:t>
      </w:r>
      <w:r w:rsidR="0067537B" w:rsidRPr="00D6364F">
        <w:rPr>
          <w:rFonts w:hint="eastAsia"/>
        </w:rPr>
        <w:t>國營</w:t>
      </w:r>
      <w:r w:rsidR="0067537B">
        <w:rPr>
          <w:rFonts w:hint="eastAsia"/>
        </w:rPr>
        <w:t>臺</w:t>
      </w:r>
      <w:r w:rsidR="0067537B" w:rsidRPr="00D6364F">
        <w:rPr>
          <w:rFonts w:hint="eastAsia"/>
        </w:rPr>
        <w:t>灣鐵路股份有限公司</w:t>
      </w:r>
      <w:r w:rsidRPr="00D6364F">
        <w:rPr>
          <w:rFonts w:hint="eastAsia"/>
        </w:rPr>
        <w:t>(以下</w:t>
      </w:r>
      <w:r w:rsidR="0067537B">
        <w:rPr>
          <w:rFonts w:hint="eastAsia"/>
        </w:rPr>
        <w:t>簡稱</w:t>
      </w:r>
      <w:r w:rsidR="00CE3AA2">
        <w:rPr>
          <w:rFonts w:hint="eastAsia"/>
        </w:rPr>
        <w:t>臺</w:t>
      </w:r>
      <w:r w:rsidRPr="00D6364F">
        <w:rPr>
          <w:rFonts w:hint="eastAsia"/>
        </w:rPr>
        <w:t>鐵</w:t>
      </w:r>
      <w:r w:rsidR="00907776">
        <w:rPr>
          <w:rFonts w:hint="eastAsia"/>
        </w:rPr>
        <w:t>公司</w:t>
      </w:r>
      <w:r w:rsidRPr="00D6364F">
        <w:rPr>
          <w:rFonts w:hint="eastAsia"/>
        </w:rPr>
        <w:t>)，並本企業化經營原則，以發展健全之國營鐵路事業</w:t>
      </w:r>
      <w:r w:rsidR="00E21B11" w:rsidRPr="00D6364F">
        <w:rPr>
          <w:rFonts w:hAnsi="標楷體" w:hint="eastAsia"/>
        </w:rPr>
        <w:t>。</w:t>
      </w:r>
      <w:r w:rsidR="006953EE" w:rsidRPr="00D6364F">
        <w:rPr>
          <w:rFonts w:hAnsi="標楷體" w:hint="eastAsia"/>
        </w:rPr>
        <w:t>臺鐵</w:t>
      </w:r>
      <w:r w:rsidR="00434EE7">
        <w:rPr>
          <w:rFonts w:hAnsi="標楷體" w:hint="eastAsia"/>
        </w:rPr>
        <w:t>公司</w:t>
      </w:r>
      <w:r w:rsidR="00EE231D">
        <w:rPr>
          <w:rFonts w:hAnsi="標楷體"/>
        </w:rPr>
        <w:t>114</w:t>
      </w:r>
      <w:r w:rsidR="00E21B11" w:rsidRPr="00D6364F">
        <w:rPr>
          <w:rFonts w:hAnsi="標楷體" w:hint="eastAsia"/>
        </w:rPr>
        <w:t>年度預算案編列</w:t>
      </w:r>
      <w:r w:rsidR="006953EE" w:rsidRPr="00D6364F">
        <w:rPr>
          <w:rFonts w:hAnsi="標楷體" w:hint="eastAsia"/>
        </w:rPr>
        <w:t>營業收入</w:t>
      </w:r>
      <w:r w:rsidR="002D3EB2">
        <w:rPr>
          <w:rFonts w:hAnsi="標楷體"/>
        </w:rPr>
        <w:t>351</w:t>
      </w:r>
      <w:r w:rsidR="006953EE" w:rsidRPr="00D6364F">
        <w:rPr>
          <w:rFonts w:hAnsi="標楷體" w:hint="eastAsia"/>
        </w:rPr>
        <w:t>億</w:t>
      </w:r>
      <w:r w:rsidR="006242CA" w:rsidRPr="00D6364F">
        <w:rPr>
          <w:rFonts w:hAnsi="標楷體" w:hint="eastAsia"/>
        </w:rPr>
        <w:t>7</w:t>
      </w:r>
      <w:r w:rsidR="002D3EB2">
        <w:rPr>
          <w:rFonts w:hAnsi="標楷體"/>
        </w:rPr>
        <w:t>,867</w:t>
      </w:r>
      <w:r w:rsidR="006953EE" w:rsidRPr="00D6364F">
        <w:rPr>
          <w:rFonts w:hAnsi="標楷體" w:hint="eastAsia"/>
        </w:rPr>
        <w:t>萬</w:t>
      </w:r>
      <w:r w:rsidR="002D3EB2">
        <w:rPr>
          <w:rFonts w:hAnsi="標楷體" w:hint="eastAsia"/>
        </w:rPr>
        <w:t>1</w:t>
      </w:r>
      <w:r w:rsidR="00BD0B27" w:rsidRPr="00D6364F">
        <w:rPr>
          <w:rFonts w:hAnsi="標楷體" w:hint="eastAsia"/>
        </w:rPr>
        <w:t>千</w:t>
      </w:r>
      <w:r w:rsidR="006953EE" w:rsidRPr="00D6364F">
        <w:rPr>
          <w:rFonts w:hAnsi="標楷體" w:hint="eastAsia"/>
        </w:rPr>
        <w:t>元，營業成本</w:t>
      </w:r>
      <w:r w:rsidR="002D3EB2">
        <w:rPr>
          <w:rFonts w:hAnsi="標楷體"/>
        </w:rPr>
        <w:t>407</w:t>
      </w:r>
      <w:r w:rsidR="006953EE" w:rsidRPr="00D6364F">
        <w:rPr>
          <w:rFonts w:hAnsi="標楷體" w:hint="eastAsia"/>
        </w:rPr>
        <w:t>億</w:t>
      </w:r>
      <w:r w:rsidR="002D3EB2">
        <w:rPr>
          <w:rFonts w:hAnsi="標楷體"/>
        </w:rPr>
        <w:t>6,893</w:t>
      </w:r>
      <w:r w:rsidR="006953EE" w:rsidRPr="00D6364F">
        <w:rPr>
          <w:rFonts w:hAnsi="標楷體" w:hint="eastAsia"/>
        </w:rPr>
        <w:t>萬</w:t>
      </w:r>
      <w:r w:rsidR="002D3EB2">
        <w:rPr>
          <w:rFonts w:hAnsi="標楷體" w:hint="eastAsia"/>
        </w:rPr>
        <w:t>2千</w:t>
      </w:r>
      <w:r w:rsidR="006953EE" w:rsidRPr="00D6364F">
        <w:rPr>
          <w:rFonts w:hAnsi="標楷體" w:hint="eastAsia"/>
        </w:rPr>
        <w:t>元，營業費用</w:t>
      </w:r>
      <w:r w:rsidR="002D3EB2">
        <w:rPr>
          <w:rFonts w:hAnsi="標楷體"/>
        </w:rPr>
        <w:t>21</w:t>
      </w:r>
      <w:r w:rsidR="006953EE" w:rsidRPr="00D6364F">
        <w:rPr>
          <w:rFonts w:hAnsi="標楷體" w:hint="eastAsia"/>
        </w:rPr>
        <w:t>億</w:t>
      </w:r>
      <w:r w:rsidR="002D3EB2">
        <w:rPr>
          <w:rFonts w:hAnsi="標楷體" w:hint="eastAsia"/>
        </w:rPr>
        <w:t>5</w:t>
      </w:r>
      <w:r w:rsidR="002D3EB2">
        <w:rPr>
          <w:rFonts w:hAnsi="標楷體"/>
        </w:rPr>
        <w:t>,153</w:t>
      </w:r>
      <w:r w:rsidR="006953EE" w:rsidRPr="00D6364F">
        <w:rPr>
          <w:rFonts w:hAnsi="標楷體" w:hint="eastAsia"/>
        </w:rPr>
        <w:t>萬</w:t>
      </w:r>
      <w:r w:rsidR="002D3EB2">
        <w:rPr>
          <w:rFonts w:hAnsi="標楷體" w:hint="eastAsia"/>
        </w:rPr>
        <w:t>4</w:t>
      </w:r>
      <w:r w:rsidR="006953EE" w:rsidRPr="00D6364F">
        <w:rPr>
          <w:rFonts w:hAnsi="標楷體" w:hint="eastAsia"/>
        </w:rPr>
        <w:t>千元</w:t>
      </w:r>
      <w:r w:rsidR="00E21B11" w:rsidRPr="00D6364F">
        <w:rPr>
          <w:rFonts w:hAnsi="標楷體" w:hint="eastAsia"/>
        </w:rPr>
        <w:t>，營業</w:t>
      </w:r>
      <w:r w:rsidR="008E796D" w:rsidRPr="00D6364F">
        <w:rPr>
          <w:rFonts w:hAnsi="標楷體" w:hint="eastAsia"/>
        </w:rPr>
        <w:t>損失</w:t>
      </w:r>
      <w:r w:rsidR="002D3EB2">
        <w:rPr>
          <w:rFonts w:hAnsi="標楷體"/>
        </w:rPr>
        <w:t>77</w:t>
      </w:r>
      <w:r w:rsidR="00E21B11" w:rsidRPr="00D6364F">
        <w:rPr>
          <w:rFonts w:hAnsi="標楷體" w:hint="eastAsia"/>
        </w:rPr>
        <w:t>億</w:t>
      </w:r>
      <w:r w:rsidR="002D3EB2">
        <w:rPr>
          <w:rFonts w:hAnsi="標楷體"/>
        </w:rPr>
        <w:t>4,179</w:t>
      </w:r>
      <w:r w:rsidR="00E21B11" w:rsidRPr="00D6364F">
        <w:rPr>
          <w:rFonts w:hAnsi="標楷體" w:hint="eastAsia"/>
        </w:rPr>
        <w:t>萬</w:t>
      </w:r>
      <w:r w:rsidR="002D3EB2">
        <w:rPr>
          <w:rFonts w:hAnsi="標楷體" w:hint="eastAsia"/>
        </w:rPr>
        <w:t>5</w:t>
      </w:r>
      <w:r w:rsidR="00E21B11" w:rsidRPr="00D6364F">
        <w:rPr>
          <w:rFonts w:hAnsi="標楷體" w:hint="eastAsia"/>
        </w:rPr>
        <w:t>千元，本期</w:t>
      </w:r>
      <w:r w:rsidR="006953EE" w:rsidRPr="00D6364F">
        <w:rPr>
          <w:rFonts w:hAnsi="標楷體" w:hint="eastAsia"/>
        </w:rPr>
        <w:t>淨損</w:t>
      </w:r>
      <w:r w:rsidR="002D3EB2">
        <w:rPr>
          <w:rFonts w:hAnsi="標楷體"/>
        </w:rPr>
        <w:t>86</w:t>
      </w:r>
      <w:r w:rsidR="006953EE" w:rsidRPr="00D6364F">
        <w:rPr>
          <w:rFonts w:hAnsi="標楷體" w:hint="eastAsia"/>
        </w:rPr>
        <w:t>億</w:t>
      </w:r>
      <w:r w:rsidR="002D3EB2">
        <w:rPr>
          <w:rFonts w:hAnsi="標楷體"/>
        </w:rPr>
        <w:t>8,970</w:t>
      </w:r>
      <w:r w:rsidR="006953EE" w:rsidRPr="00D6364F">
        <w:rPr>
          <w:rFonts w:hAnsi="標楷體" w:hint="eastAsia"/>
        </w:rPr>
        <w:t>萬元</w:t>
      </w:r>
      <w:r w:rsidR="00E21B11" w:rsidRPr="00D6364F">
        <w:rPr>
          <w:rFonts w:hAnsi="標楷體" w:hint="eastAsia"/>
        </w:rPr>
        <w:t>，較</w:t>
      </w:r>
      <w:r w:rsidR="002D3EB2">
        <w:rPr>
          <w:rFonts w:hAnsi="標楷體"/>
        </w:rPr>
        <w:t>113</w:t>
      </w:r>
      <w:r w:rsidR="00E21B11" w:rsidRPr="00D6364F">
        <w:rPr>
          <w:rFonts w:hAnsi="標楷體" w:hint="eastAsia"/>
        </w:rPr>
        <w:t>年度預算</w:t>
      </w:r>
      <w:r w:rsidR="002D3EB2">
        <w:rPr>
          <w:rFonts w:hAnsi="標楷體" w:hint="eastAsia"/>
        </w:rPr>
        <w:t>案</w:t>
      </w:r>
      <w:r w:rsidR="00E21B11" w:rsidRPr="00D6364F">
        <w:rPr>
          <w:rFonts w:hAnsi="標楷體" w:hint="eastAsia"/>
        </w:rPr>
        <w:t>淨</w:t>
      </w:r>
      <w:r w:rsidR="006953EE" w:rsidRPr="00D6364F">
        <w:rPr>
          <w:rFonts w:hAnsi="標楷體" w:hint="eastAsia"/>
        </w:rPr>
        <w:t>損</w:t>
      </w:r>
      <w:r w:rsidR="004D7BEB" w:rsidRPr="00D6364F">
        <w:rPr>
          <w:rFonts w:hAnsi="標楷體" w:hint="eastAsia"/>
        </w:rPr>
        <w:t>增加</w:t>
      </w:r>
      <w:r w:rsidR="002D3EB2">
        <w:rPr>
          <w:rFonts w:hAnsi="標楷體"/>
        </w:rPr>
        <w:t>11</w:t>
      </w:r>
      <w:r w:rsidR="008E796D" w:rsidRPr="00D6364F">
        <w:rPr>
          <w:rFonts w:hAnsi="標楷體" w:hint="eastAsia"/>
        </w:rPr>
        <w:t>億</w:t>
      </w:r>
      <w:r w:rsidR="002D3EB2">
        <w:rPr>
          <w:rFonts w:hAnsi="標楷體"/>
        </w:rPr>
        <w:t>9,743</w:t>
      </w:r>
      <w:r w:rsidR="00E21B11" w:rsidRPr="00D6364F">
        <w:rPr>
          <w:rFonts w:hAnsi="標楷體" w:hint="eastAsia"/>
        </w:rPr>
        <w:t>萬</w:t>
      </w:r>
      <w:r w:rsidR="006242CA" w:rsidRPr="00D6364F">
        <w:rPr>
          <w:rFonts w:hAnsi="標楷體" w:hint="eastAsia"/>
        </w:rPr>
        <w:t>2</w:t>
      </w:r>
      <w:r w:rsidR="00E21B11" w:rsidRPr="00D6364F">
        <w:rPr>
          <w:rFonts w:hAnsi="標楷體" w:hint="eastAsia"/>
        </w:rPr>
        <w:t>千元（</w:t>
      </w:r>
      <w:r w:rsidR="004D7BEB" w:rsidRPr="00D6364F">
        <w:rPr>
          <w:rFonts w:hAnsi="標楷體" w:hint="eastAsia"/>
        </w:rPr>
        <w:t>增</w:t>
      </w:r>
      <w:r w:rsidR="00E21B11" w:rsidRPr="00D6364F">
        <w:rPr>
          <w:rFonts w:hAnsi="標楷體" w:hint="eastAsia"/>
        </w:rPr>
        <w:t>幅</w:t>
      </w:r>
      <w:r w:rsidR="002D3EB2">
        <w:rPr>
          <w:rFonts w:hAnsi="標楷體"/>
        </w:rPr>
        <w:t>15.98</w:t>
      </w:r>
      <w:r w:rsidR="00E21B11" w:rsidRPr="00D6364F">
        <w:rPr>
          <w:rFonts w:hAnsi="標楷體" w:hint="eastAsia"/>
        </w:rPr>
        <w:t>%）</w:t>
      </w:r>
      <w:r w:rsidR="00036084" w:rsidRPr="00D6364F">
        <w:rPr>
          <w:rFonts w:hAnsi="標楷體" w:hint="eastAsia"/>
        </w:rPr>
        <w:t>。</w:t>
      </w:r>
      <w:r w:rsidR="00E21B11" w:rsidRPr="00D6364F">
        <w:rPr>
          <w:rFonts w:hAnsi="標楷體" w:hint="eastAsia"/>
          <w:w w:val="98"/>
        </w:rPr>
        <w:t>謹就</w:t>
      </w:r>
      <w:r w:rsidR="000C5BD5">
        <w:rPr>
          <w:rFonts w:hAnsi="標楷體" w:hint="eastAsia"/>
          <w:w w:val="98"/>
        </w:rPr>
        <w:t>臺鐵</w:t>
      </w:r>
      <w:r w:rsidR="00434EE7">
        <w:rPr>
          <w:rFonts w:hAnsi="標楷體" w:hint="eastAsia"/>
          <w:w w:val="98"/>
        </w:rPr>
        <w:t>公司</w:t>
      </w:r>
      <w:r w:rsidR="002D3EB2">
        <w:rPr>
          <w:rFonts w:hAnsi="標楷體"/>
          <w:w w:val="98"/>
        </w:rPr>
        <w:t>114</w:t>
      </w:r>
      <w:r w:rsidR="00E21B11" w:rsidRPr="00D6364F">
        <w:rPr>
          <w:rFonts w:hAnsi="標楷體" w:hint="eastAsia"/>
          <w:w w:val="98"/>
        </w:rPr>
        <w:t>年度營業預算案評估如下</w:t>
      </w:r>
      <w:r w:rsidR="006953EE" w:rsidRPr="00D6364F">
        <w:rPr>
          <w:rFonts w:hAnsi="標楷體" w:hint="eastAsia"/>
          <w:w w:val="98"/>
        </w:rPr>
        <w:t>：</w:t>
      </w:r>
    </w:p>
    <w:p w:rsidR="00981733" w:rsidRDefault="00981733" w:rsidP="0014424A">
      <w:pPr>
        <w:pStyle w:val="14"/>
        <w:ind w:left="567" w:hanging="567"/>
      </w:pPr>
      <w:bookmarkStart w:id="2" w:name="_Toc58645593"/>
      <w:bookmarkStart w:id="3" w:name="_Toc58646211"/>
      <w:bookmarkStart w:id="4" w:name="_Toc61147923"/>
      <w:bookmarkStart w:id="5" w:name="_Toc93770451"/>
      <w:bookmarkStart w:id="6" w:name="_Toc464659949"/>
      <w:bookmarkStart w:id="7" w:name="_Toc464660056"/>
      <w:bookmarkStart w:id="8" w:name="_Toc343154953"/>
      <w:bookmarkStart w:id="9" w:name="_Toc109763724"/>
      <w:bookmarkStart w:id="10" w:name="_Toc53731294"/>
      <w:bookmarkStart w:id="11" w:name="_Toc109658028"/>
      <w:bookmarkStart w:id="12" w:name="_Toc117349514"/>
      <w:bookmarkStart w:id="13" w:name="_Toc181971927"/>
      <w:r>
        <w:rPr>
          <w:rFonts w:hint="eastAsia"/>
        </w:rPr>
        <w:t>三、1</w:t>
      </w:r>
      <w:r>
        <w:t>13</w:t>
      </w:r>
      <w:r>
        <w:rPr>
          <w:rFonts w:hint="eastAsia"/>
        </w:rPr>
        <w:t>年1至8月之列車準點率</w:t>
      </w:r>
      <w:r w:rsidRPr="0098571F">
        <w:t>93.01%</w:t>
      </w:r>
      <w:r>
        <w:rPr>
          <w:rFonts w:hint="eastAsia"/>
        </w:rPr>
        <w:t>，與</w:t>
      </w:r>
      <w:r w:rsidRPr="0098571F">
        <w:rPr>
          <w:rFonts w:hint="eastAsia"/>
        </w:rPr>
        <w:t>113年度列車準點率設定97%</w:t>
      </w:r>
      <w:r>
        <w:rPr>
          <w:rFonts w:hint="eastAsia"/>
        </w:rPr>
        <w:t>目標仍有差距</w:t>
      </w:r>
      <w:r w:rsidRPr="0098571F">
        <w:rPr>
          <w:rFonts w:hint="eastAsia"/>
        </w:rPr>
        <w:t>，</w:t>
      </w:r>
      <w:r w:rsidR="000E1F45">
        <w:rPr>
          <w:rFonts w:hint="eastAsia"/>
        </w:rPr>
        <w:t>且</w:t>
      </w:r>
      <w:r w:rsidR="000E1F45" w:rsidRPr="000E1F45">
        <w:rPr>
          <w:rFonts w:hint="eastAsia"/>
        </w:rPr>
        <w:t>近年行車事故及異常事件未能有效降低</w:t>
      </w:r>
      <w:r w:rsidR="000E1F45">
        <w:rPr>
          <w:rFonts w:hint="eastAsia"/>
        </w:rPr>
        <w:t>，</w:t>
      </w:r>
      <w:r>
        <w:rPr>
          <w:rFonts w:hint="eastAsia"/>
        </w:rPr>
        <w:t>允宜持續</w:t>
      </w:r>
      <w:r w:rsidR="008F287E">
        <w:rPr>
          <w:rFonts w:hint="eastAsia"/>
        </w:rPr>
        <w:t>精進</w:t>
      </w:r>
      <w:r>
        <w:rPr>
          <w:rFonts w:hint="eastAsia"/>
        </w:rPr>
        <w:t>改善，俾提供旅客</w:t>
      </w:r>
      <w:r w:rsidR="000E1F45">
        <w:rPr>
          <w:rFonts w:hint="eastAsia"/>
        </w:rPr>
        <w:t>安全</w:t>
      </w:r>
      <w:r>
        <w:rPr>
          <w:rFonts w:hint="eastAsia"/>
        </w:rPr>
        <w:t>便捷鐵路運輸服務</w:t>
      </w:r>
      <w:bookmarkEnd w:id="13"/>
    </w:p>
    <w:p w:rsidR="00981733" w:rsidRDefault="00981733" w:rsidP="008C7CEB">
      <w:pPr>
        <w:ind w:left="566" w:firstLine="566"/>
      </w:pPr>
      <w:r>
        <w:rPr>
          <w:rFonts w:hint="eastAsia"/>
        </w:rPr>
        <w:t>臺鐵公司</w:t>
      </w:r>
      <w:r w:rsidR="005326D9">
        <w:rPr>
          <w:rFonts w:hint="eastAsia"/>
        </w:rPr>
        <w:t>將確保安全列為重要策略目標，</w:t>
      </w:r>
      <w:r w:rsidR="00A0310A">
        <w:rPr>
          <w:rFonts w:hint="eastAsia"/>
        </w:rPr>
        <w:t>務求</w:t>
      </w:r>
      <w:r w:rsidR="004C4EEA">
        <w:rPr>
          <w:rFonts w:hint="eastAsia"/>
        </w:rPr>
        <w:t>鐵道</w:t>
      </w:r>
      <w:r w:rsidR="005326D9">
        <w:rPr>
          <w:rFonts w:hint="eastAsia"/>
        </w:rPr>
        <w:t>安全運轉，</w:t>
      </w:r>
      <w:r w:rsidR="00A0310A">
        <w:rPr>
          <w:rFonts w:hint="eastAsia"/>
        </w:rPr>
        <w:t>並將</w:t>
      </w:r>
      <w:r>
        <w:rPr>
          <w:rFonts w:hint="eastAsia"/>
        </w:rPr>
        <w:t>1</w:t>
      </w:r>
      <w:r>
        <w:t>13</w:t>
      </w:r>
      <w:r>
        <w:rPr>
          <w:rFonts w:hint="eastAsia"/>
        </w:rPr>
        <w:t>年度及1</w:t>
      </w:r>
      <w:r>
        <w:t>14</w:t>
      </w:r>
      <w:r>
        <w:rPr>
          <w:rFonts w:hint="eastAsia"/>
        </w:rPr>
        <w:t>年度預計列車準點率提升至9</w:t>
      </w:r>
      <w:r>
        <w:t>7%</w:t>
      </w:r>
      <w:r>
        <w:rPr>
          <w:rFonts w:hint="eastAsia"/>
        </w:rPr>
        <w:t>及</w:t>
      </w:r>
      <w:r>
        <w:t>97.5%</w:t>
      </w:r>
      <w:r>
        <w:rPr>
          <w:rFonts w:hint="eastAsia"/>
        </w:rPr>
        <w:t>以上，</w:t>
      </w:r>
      <w:r w:rsidR="00A0310A">
        <w:rPr>
          <w:rFonts w:hint="eastAsia"/>
        </w:rPr>
        <w:t>至</w:t>
      </w:r>
      <w:r w:rsidR="008C7CEB">
        <w:rPr>
          <w:rFonts w:hint="eastAsia"/>
        </w:rPr>
        <w:t>2033年達成0件重大行車事故，</w:t>
      </w:r>
      <w:r w:rsidR="00A0310A">
        <w:rPr>
          <w:rFonts w:hint="eastAsia"/>
        </w:rPr>
        <w:t>列車</w:t>
      </w:r>
      <w:r w:rsidR="008C7CEB">
        <w:rPr>
          <w:rFonts w:hint="eastAsia"/>
        </w:rPr>
        <w:t>準點率提高至99%以上</w:t>
      </w:r>
      <w:r w:rsidR="008C7CEB">
        <w:rPr>
          <w:rStyle w:val="af6"/>
        </w:rPr>
        <w:footnoteReference w:id="1"/>
      </w:r>
      <w:r>
        <w:rPr>
          <w:rFonts w:hint="eastAsia"/>
        </w:rPr>
        <w:t>。惟：</w:t>
      </w:r>
    </w:p>
    <w:p w:rsidR="00981733" w:rsidRPr="006C2E51" w:rsidRDefault="00981733" w:rsidP="006C2E51">
      <w:pPr>
        <w:pStyle w:val="a5"/>
        <w:ind w:left="849" w:hanging="283"/>
        <w:rPr>
          <w:b/>
        </w:rPr>
      </w:pPr>
      <w:r w:rsidRPr="006C2E51">
        <w:rPr>
          <w:rFonts w:hint="eastAsia"/>
          <w:b/>
        </w:rPr>
        <w:t>(一</w:t>
      </w:r>
      <w:r w:rsidRPr="006C2E51">
        <w:rPr>
          <w:b/>
        </w:rPr>
        <w:t>)</w:t>
      </w:r>
      <w:r w:rsidR="000E1F45">
        <w:rPr>
          <w:rFonts w:hint="eastAsia"/>
          <w:b/>
        </w:rPr>
        <w:t>1</w:t>
      </w:r>
      <w:r w:rsidR="005326D9" w:rsidRPr="005326D9">
        <w:rPr>
          <w:rFonts w:hint="eastAsia"/>
          <w:b/>
        </w:rPr>
        <w:t>13年度列車準點率設定97%，惟截至113年1至8月底之列車準點率93.01%，允宜持續</w:t>
      </w:r>
      <w:r w:rsidR="008F287E">
        <w:rPr>
          <w:rFonts w:hint="eastAsia"/>
          <w:b/>
        </w:rPr>
        <w:t>精進提升</w:t>
      </w:r>
    </w:p>
    <w:p w:rsidR="00981733" w:rsidRDefault="00981733" w:rsidP="00A428DC">
      <w:pPr>
        <w:pStyle w:val="22"/>
        <w:ind w:left="850" w:firstLine="566"/>
      </w:pPr>
      <w:r w:rsidRPr="000251FE">
        <w:rPr>
          <w:rFonts w:hint="eastAsia"/>
        </w:rPr>
        <w:t>臺鐵公司</w:t>
      </w:r>
      <w:r>
        <w:rPr>
          <w:rFonts w:hint="eastAsia"/>
        </w:rPr>
        <w:t>於1</w:t>
      </w:r>
      <w:r>
        <w:t>13</w:t>
      </w:r>
      <w:r>
        <w:rPr>
          <w:rFonts w:hint="eastAsia"/>
        </w:rPr>
        <w:t>年1月1日公司化後，</w:t>
      </w:r>
      <w:r w:rsidRPr="000251FE">
        <w:rPr>
          <w:rFonts w:hint="eastAsia"/>
        </w:rPr>
        <w:t>原綜合調度所配合組織調整為行控處，</w:t>
      </w:r>
      <w:r w:rsidR="00AA6852">
        <w:rPr>
          <w:rFonts w:hint="eastAsia"/>
        </w:rPr>
        <w:t>以</w:t>
      </w:r>
      <w:r w:rsidRPr="000251FE">
        <w:rPr>
          <w:rFonts w:hint="eastAsia"/>
        </w:rPr>
        <w:t>統一行車調度、縮短指揮鏈、強化溝通聯繫、</w:t>
      </w:r>
      <w:r w:rsidR="00AA6852">
        <w:rPr>
          <w:rFonts w:hint="eastAsia"/>
        </w:rPr>
        <w:t>提升緊急應變處理效率，以確保辦理行車調度及溝通協調作業順暢。另近年</w:t>
      </w:r>
      <w:r w:rsidRPr="000251FE">
        <w:rPr>
          <w:rFonts w:hint="eastAsia"/>
        </w:rPr>
        <w:t>透過</w:t>
      </w:r>
      <w:r>
        <w:rPr>
          <w:rFonts w:hint="eastAsia"/>
        </w:rPr>
        <w:t>辦理各項行車設備改善、汰換計畫及引進新型車輛，持續提升服務品質，</w:t>
      </w:r>
      <w:r w:rsidR="00AA6852">
        <w:rPr>
          <w:rFonts w:hint="eastAsia"/>
        </w:rPr>
        <w:t>並</w:t>
      </w:r>
      <w:r>
        <w:rPr>
          <w:rFonts w:hint="eastAsia"/>
        </w:rPr>
        <w:t>將列車準點率納入公司</w:t>
      </w:r>
      <w:r>
        <w:rPr>
          <w:rFonts w:hint="eastAsia"/>
        </w:rPr>
        <w:lastRenderedPageBreak/>
        <w:t>重點評估指標，設定1</w:t>
      </w:r>
      <w:r>
        <w:t>13</w:t>
      </w:r>
      <w:r>
        <w:rPr>
          <w:rFonts w:hint="eastAsia"/>
        </w:rPr>
        <w:t>年度之準點率提升至9</w:t>
      </w:r>
      <w:r>
        <w:t>7%</w:t>
      </w:r>
      <w:r>
        <w:rPr>
          <w:rStyle w:val="af6"/>
        </w:rPr>
        <w:footnoteReference w:id="2"/>
      </w:r>
      <w:r w:rsidR="008C7CEB">
        <w:rPr>
          <w:rFonts w:hint="eastAsia"/>
        </w:rPr>
        <w:t>，</w:t>
      </w:r>
      <w:r w:rsidR="008C7CEB" w:rsidRPr="008C7CEB">
        <w:rPr>
          <w:rFonts w:hint="eastAsia"/>
        </w:rPr>
        <w:t>114年度持續提升至97.5%，且於2033年將準點率提高至99%以上</w:t>
      </w:r>
      <w:r>
        <w:rPr>
          <w:rFonts w:hint="eastAsia"/>
        </w:rPr>
        <w:t>。</w:t>
      </w:r>
    </w:p>
    <w:p w:rsidR="00981733" w:rsidRDefault="00981733" w:rsidP="00CD21B3">
      <w:pPr>
        <w:pStyle w:val="22"/>
        <w:ind w:left="850" w:firstLine="566"/>
        <w:rPr>
          <w:rFonts w:hint="eastAsia"/>
          <w:snapToGrid/>
        </w:rPr>
      </w:pPr>
      <w:r>
        <w:rPr>
          <w:rFonts w:hint="eastAsia"/>
          <w:snapToGrid/>
        </w:rPr>
        <w:t>臺鐵公司1</w:t>
      </w:r>
      <w:r>
        <w:rPr>
          <w:snapToGrid/>
        </w:rPr>
        <w:t>03</w:t>
      </w:r>
      <w:r>
        <w:rPr>
          <w:rFonts w:hint="eastAsia"/>
          <w:snapToGrid/>
        </w:rPr>
        <w:t>至1</w:t>
      </w:r>
      <w:r>
        <w:rPr>
          <w:snapToGrid/>
        </w:rPr>
        <w:t>06</w:t>
      </w:r>
      <w:r>
        <w:rPr>
          <w:rFonts w:hint="eastAsia"/>
          <w:snapToGrid/>
        </w:rPr>
        <w:t>年度準點率均超過9</w:t>
      </w:r>
      <w:r w:rsidR="00125C8B">
        <w:rPr>
          <w:snapToGrid/>
        </w:rPr>
        <w:t>3</w:t>
      </w:r>
      <w:r>
        <w:rPr>
          <w:snapToGrid/>
        </w:rPr>
        <w:t>%</w:t>
      </w:r>
      <w:r>
        <w:rPr>
          <w:rFonts w:hint="eastAsia"/>
          <w:snapToGrid/>
        </w:rPr>
        <w:t>，於</w:t>
      </w:r>
      <w:r>
        <w:rPr>
          <w:snapToGrid/>
        </w:rPr>
        <w:t>107</w:t>
      </w:r>
      <w:r>
        <w:rPr>
          <w:rFonts w:hint="eastAsia"/>
          <w:snapToGrid/>
        </w:rPr>
        <w:t>及1</w:t>
      </w:r>
      <w:r>
        <w:rPr>
          <w:snapToGrid/>
        </w:rPr>
        <w:t>08</w:t>
      </w:r>
      <w:r>
        <w:rPr>
          <w:rFonts w:hint="eastAsia"/>
          <w:snapToGrid/>
        </w:rPr>
        <w:t>年度降</w:t>
      </w:r>
      <w:r w:rsidR="00125C8B">
        <w:rPr>
          <w:rFonts w:hint="eastAsia"/>
          <w:snapToGrid/>
        </w:rPr>
        <w:t>至</w:t>
      </w:r>
      <w:r w:rsidRPr="00436F72">
        <w:rPr>
          <w:snapToGrid/>
        </w:rPr>
        <w:t>91.78</w:t>
      </w:r>
      <w:r>
        <w:rPr>
          <w:snapToGrid/>
        </w:rPr>
        <w:t>%</w:t>
      </w:r>
      <w:r>
        <w:rPr>
          <w:rFonts w:hint="eastAsia"/>
          <w:snapToGrid/>
        </w:rPr>
        <w:t>及</w:t>
      </w:r>
      <w:r w:rsidRPr="00436F72">
        <w:rPr>
          <w:snapToGrid/>
        </w:rPr>
        <w:t>90.97</w:t>
      </w:r>
      <w:r>
        <w:rPr>
          <w:snapToGrid/>
        </w:rPr>
        <w:t>%</w:t>
      </w:r>
      <w:r>
        <w:rPr>
          <w:rFonts w:hint="eastAsia"/>
          <w:snapToGrid/>
        </w:rPr>
        <w:t>，</w:t>
      </w:r>
      <w:r w:rsidR="00125C8B">
        <w:rPr>
          <w:snapToGrid/>
        </w:rPr>
        <w:t>109</w:t>
      </w:r>
      <w:r>
        <w:rPr>
          <w:rFonts w:hint="eastAsia"/>
          <w:snapToGrid/>
        </w:rPr>
        <w:t>年度起逐年回升至1</w:t>
      </w:r>
      <w:r>
        <w:rPr>
          <w:snapToGrid/>
        </w:rPr>
        <w:t>12</w:t>
      </w:r>
      <w:r>
        <w:rPr>
          <w:rFonts w:hint="eastAsia"/>
          <w:snapToGrid/>
        </w:rPr>
        <w:t>年度</w:t>
      </w:r>
      <w:r w:rsidR="00125C8B">
        <w:rPr>
          <w:rFonts w:hint="eastAsia"/>
          <w:snapToGrid/>
        </w:rPr>
        <w:t>為</w:t>
      </w:r>
      <w:r w:rsidRPr="00436F72">
        <w:rPr>
          <w:snapToGrid/>
        </w:rPr>
        <w:t>9</w:t>
      </w:r>
      <w:r>
        <w:rPr>
          <w:rFonts w:hint="eastAsia"/>
          <w:snapToGrid/>
        </w:rPr>
        <w:t>5</w:t>
      </w:r>
      <w:r w:rsidRPr="00436F72">
        <w:rPr>
          <w:snapToGrid/>
        </w:rPr>
        <w:t>.98</w:t>
      </w:r>
      <w:r>
        <w:rPr>
          <w:snapToGrid/>
        </w:rPr>
        <w:t>%</w:t>
      </w:r>
      <w:r>
        <w:rPr>
          <w:rFonts w:hint="eastAsia"/>
          <w:snapToGrid/>
        </w:rPr>
        <w:t>，</w:t>
      </w:r>
      <w:r w:rsidR="00125C8B">
        <w:rPr>
          <w:rFonts w:hint="eastAsia"/>
          <w:snapToGrid/>
        </w:rPr>
        <w:t>然而</w:t>
      </w:r>
      <w:r>
        <w:rPr>
          <w:rFonts w:hint="eastAsia"/>
          <w:snapToGrid/>
        </w:rPr>
        <w:t>1</w:t>
      </w:r>
      <w:r>
        <w:rPr>
          <w:snapToGrid/>
        </w:rPr>
        <w:t>13</w:t>
      </w:r>
      <w:r>
        <w:rPr>
          <w:rFonts w:hint="eastAsia"/>
          <w:snapToGrid/>
        </w:rPr>
        <w:t>年1至8月準點率復降為</w:t>
      </w:r>
      <w:r>
        <w:rPr>
          <w:snapToGrid/>
        </w:rPr>
        <w:t>93.01%</w:t>
      </w:r>
      <w:r w:rsidR="008C7CEB" w:rsidRPr="008C7CEB">
        <w:rPr>
          <w:rFonts w:hint="eastAsia"/>
          <w:snapToGrid/>
        </w:rPr>
        <w:t>(詳表1)</w:t>
      </w:r>
      <w:r>
        <w:rPr>
          <w:rFonts w:hint="eastAsia"/>
          <w:snapToGrid/>
        </w:rPr>
        <w:t>。據臺鐵</w:t>
      </w:r>
      <w:r w:rsidR="003A7E7C">
        <w:rPr>
          <w:rFonts w:hint="eastAsia"/>
          <w:snapToGrid/>
        </w:rPr>
        <w:t>公司</w:t>
      </w:r>
      <w:r>
        <w:rPr>
          <w:rFonts w:hint="eastAsia"/>
          <w:snapToGrid/>
        </w:rPr>
        <w:t>說明，主要係因</w:t>
      </w:r>
      <w:r w:rsidRPr="00911660">
        <w:rPr>
          <w:rFonts w:hint="eastAsia"/>
          <w:snapToGrid/>
        </w:rPr>
        <w:t>震災、風</w:t>
      </w:r>
      <w:r>
        <w:rPr>
          <w:rFonts w:hint="eastAsia"/>
          <w:snapToGrid/>
        </w:rPr>
        <w:t>災</w:t>
      </w:r>
      <w:r w:rsidRPr="00911660">
        <w:rPr>
          <w:rFonts w:hint="eastAsia"/>
          <w:snapToGrid/>
        </w:rPr>
        <w:t>致路線中斷等影響</w:t>
      </w:r>
      <w:r w:rsidR="00125C8B">
        <w:rPr>
          <w:rFonts w:hint="eastAsia"/>
          <w:snapToGrid/>
        </w:rPr>
        <w:t>所致</w:t>
      </w:r>
      <w:r>
        <w:rPr>
          <w:rStyle w:val="af6"/>
          <w:snapToGrid/>
        </w:rPr>
        <w:footnoteReference w:id="3"/>
      </w:r>
      <w:r w:rsidRPr="00911660">
        <w:rPr>
          <w:rFonts w:hint="eastAsia"/>
          <w:snapToGrid/>
        </w:rPr>
        <w:t>，</w:t>
      </w:r>
      <w:r w:rsidRPr="009254E9">
        <w:rPr>
          <w:rFonts w:hint="eastAsia"/>
          <w:snapToGrid/>
        </w:rPr>
        <w:t>另自強號及莒光號之列車準點率較整體列車準點率為低</w:t>
      </w:r>
      <w:r>
        <w:rPr>
          <w:rFonts w:hint="eastAsia"/>
          <w:snapToGrid/>
        </w:rPr>
        <w:t>，各為</w:t>
      </w:r>
      <w:r w:rsidR="003A7E7C">
        <w:rPr>
          <w:snapToGrid/>
        </w:rPr>
        <w:t>85</w:t>
      </w:r>
      <w:r>
        <w:rPr>
          <w:snapToGrid/>
        </w:rPr>
        <w:t>%</w:t>
      </w:r>
      <w:r>
        <w:rPr>
          <w:rFonts w:hint="eastAsia"/>
          <w:snapToGrid/>
        </w:rPr>
        <w:t>及</w:t>
      </w:r>
      <w:r w:rsidR="003A7E7C">
        <w:rPr>
          <w:rFonts w:hint="eastAsia"/>
          <w:snapToGrid/>
        </w:rPr>
        <w:t>8</w:t>
      </w:r>
      <w:r w:rsidR="003A7E7C">
        <w:rPr>
          <w:snapToGrid/>
        </w:rPr>
        <w:t>8</w:t>
      </w:r>
      <w:r>
        <w:rPr>
          <w:snapToGrid/>
        </w:rPr>
        <w:t>.0</w:t>
      </w:r>
      <w:r w:rsidR="003A7E7C">
        <w:rPr>
          <w:snapToGrid/>
        </w:rPr>
        <w:t>6</w:t>
      </w:r>
      <w:r>
        <w:rPr>
          <w:snapToGrid/>
        </w:rPr>
        <w:t>%</w:t>
      </w:r>
      <w:r w:rsidR="00125C8B">
        <w:rPr>
          <w:rFonts w:hint="eastAsia"/>
          <w:snapToGrid/>
        </w:rPr>
        <w:t>。</w:t>
      </w:r>
      <w:r>
        <w:rPr>
          <w:rFonts w:hint="eastAsia"/>
          <w:snapToGrid/>
        </w:rPr>
        <w:t>雖臺鐵公司</w:t>
      </w:r>
      <w:r w:rsidR="00125C8B">
        <w:rPr>
          <w:rFonts w:hint="eastAsia"/>
          <w:snapToGrid/>
        </w:rPr>
        <w:t>表示，其</w:t>
      </w:r>
      <w:r>
        <w:rPr>
          <w:rFonts w:hint="eastAsia"/>
          <w:snapToGrid/>
        </w:rPr>
        <w:t>已</w:t>
      </w:r>
      <w:r w:rsidRPr="00CD21B3">
        <w:rPr>
          <w:rFonts w:hint="eastAsia"/>
          <w:snapToGrid/>
        </w:rPr>
        <w:t>積極辦理各項行車設備改善、汰換計畫，以及新型車輛引進</w:t>
      </w:r>
      <w:r>
        <w:rPr>
          <w:rFonts w:hint="eastAsia"/>
          <w:snapToGrid/>
        </w:rPr>
        <w:t>等措施，</w:t>
      </w:r>
      <w:r w:rsidR="00125C8B">
        <w:rPr>
          <w:rFonts w:hint="eastAsia"/>
          <w:snapToGrid/>
        </w:rPr>
        <w:t>以</w:t>
      </w:r>
      <w:r>
        <w:rPr>
          <w:rFonts w:hint="eastAsia"/>
          <w:snapToGrid/>
        </w:rPr>
        <w:t>提升行車設備及列車妥善率，</w:t>
      </w:r>
      <w:r w:rsidR="00125C8B">
        <w:rPr>
          <w:rFonts w:hint="eastAsia"/>
          <w:snapToGrid/>
        </w:rPr>
        <w:t>另</w:t>
      </w:r>
      <w:r w:rsidRPr="00CD21B3">
        <w:rPr>
          <w:rFonts w:hint="eastAsia"/>
          <w:snapToGrid/>
        </w:rPr>
        <w:t>加強宣導提升用路人安全意識，並強化車站月台監視，避免旅客發生月台跌落及侵入路線情形</w:t>
      </w:r>
      <w:r>
        <w:rPr>
          <w:rStyle w:val="af6"/>
          <w:snapToGrid/>
        </w:rPr>
        <w:footnoteReference w:id="4"/>
      </w:r>
      <w:r>
        <w:rPr>
          <w:rFonts w:hint="eastAsia"/>
          <w:snapToGrid/>
        </w:rPr>
        <w:t>，惟離臺鐵公司設定1</w:t>
      </w:r>
      <w:r>
        <w:rPr>
          <w:snapToGrid/>
        </w:rPr>
        <w:t>13</w:t>
      </w:r>
      <w:r>
        <w:rPr>
          <w:rFonts w:hint="eastAsia"/>
          <w:snapToGrid/>
        </w:rPr>
        <w:t>及1</w:t>
      </w:r>
      <w:r>
        <w:rPr>
          <w:snapToGrid/>
        </w:rPr>
        <w:t>14</w:t>
      </w:r>
      <w:r>
        <w:rPr>
          <w:rFonts w:hint="eastAsia"/>
          <w:snapToGrid/>
        </w:rPr>
        <w:t>年度準點率為9</w:t>
      </w:r>
      <w:r>
        <w:rPr>
          <w:snapToGrid/>
        </w:rPr>
        <w:t>7%</w:t>
      </w:r>
      <w:r>
        <w:rPr>
          <w:rFonts w:hint="eastAsia"/>
          <w:snapToGrid/>
        </w:rPr>
        <w:t>、9</w:t>
      </w:r>
      <w:r>
        <w:rPr>
          <w:snapToGrid/>
        </w:rPr>
        <w:t>7.5%</w:t>
      </w:r>
      <w:r>
        <w:rPr>
          <w:rFonts w:hint="eastAsia"/>
          <w:snapToGrid/>
        </w:rPr>
        <w:t>仍有差距，容待持續改善提升。</w:t>
      </w:r>
    </w:p>
    <w:p w:rsidR="00981733" w:rsidRPr="00E32D7C" w:rsidRDefault="00981733" w:rsidP="00E56431">
      <w:pPr>
        <w:pStyle w:val="a5"/>
        <w:ind w:leftChars="0" w:left="850" w:hangingChars="300" w:hanging="850"/>
        <w:rPr>
          <w:rFonts w:hint="eastAsia"/>
          <w:b/>
          <w:snapToGrid/>
        </w:rPr>
      </w:pPr>
      <w:r w:rsidRPr="00E32D7C">
        <w:rPr>
          <w:rFonts w:hint="eastAsia"/>
          <w:b/>
          <w:snapToGrid/>
        </w:rPr>
        <w:t>表</w:t>
      </w:r>
      <w:r w:rsidRPr="00E32D7C">
        <w:rPr>
          <w:b/>
          <w:snapToGrid/>
        </w:rPr>
        <w:t>1</w:t>
      </w:r>
      <w:r w:rsidRPr="00E32D7C">
        <w:rPr>
          <w:rFonts w:hint="eastAsia"/>
          <w:b/>
          <w:snapToGrid/>
        </w:rPr>
        <w:t xml:space="preserve"> 臺鐵</w:t>
      </w:r>
      <w:r w:rsidR="00A0310A">
        <w:rPr>
          <w:rFonts w:hint="eastAsia"/>
          <w:b/>
          <w:snapToGrid/>
        </w:rPr>
        <w:t>公司</w:t>
      </w:r>
      <w:r w:rsidRPr="00E32D7C">
        <w:rPr>
          <w:rFonts w:hint="eastAsia"/>
          <w:b/>
          <w:snapToGrid/>
        </w:rPr>
        <w:t>旅客列車準點率統計</w:t>
      </w:r>
      <w:r>
        <w:rPr>
          <w:b/>
          <w:snapToGrid/>
        </w:rPr>
        <w:t xml:space="preserve">                        </w:t>
      </w:r>
      <w:r w:rsidRPr="00E32D7C">
        <w:rPr>
          <w:rFonts w:hint="eastAsia"/>
          <w:snapToGrid/>
          <w:sz w:val="24"/>
          <w:szCs w:val="24"/>
        </w:rPr>
        <w:t>單位</w:t>
      </w:r>
      <w:r w:rsidRPr="00E32D7C">
        <w:rPr>
          <w:snapToGrid/>
          <w:sz w:val="24"/>
          <w:szCs w:val="24"/>
        </w:rPr>
        <w:t>:%</w:t>
      </w:r>
    </w:p>
    <w:tbl>
      <w:tblPr>
        <w:tblW w:w="8505" w:type="dxa"/>
        <w:tblInd w:w="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18"/>
        <w:gridCol w:w="1417"/>
        <w:gridCol w:w="1417"/>
        <w:gridCol w:w="1418"/>
        <w:gridCol w:w="1417"/>
        <w:gridCol w:w="1418"/>
      </w:tblGrid>
      <w:tr w:rsidR="00981733" w:rsidRPr="00A0310A" w:rsidTr="00E32D7C">
        <w:trPr>
          <w:trHeight w:val="223"/>
          <w:tblHeader/>
        </w:trPr>
        <w:tc>
          <w:tcPr>
            <w:tcW w:w="1418" w:type="dxa"/>
            <w:shd w:val="clear" w:color="auto" w:fill="auto"/>
            <w:noWrap/>
            <w:vAlign w:val="center"/>
          </w:tcPr>
          <w:p w:rsidR="00981733" w:rsidRPr="00A0310A" w:rsidRDefault="00981733" w:rsidP="00A5169F">
            <w:pPr>
              <w:pStyle w:val="142"/>
              <w:jc w:val="center"/>
              <w:rPr>
                <w:rFonts w:hAnsi="標楷體" w:hint="eastAsia"/>
                <w:b/>
                <w:snapToGrid/>
                <w:szCs w:val="24"/>
              </w:rPr>
            </w:pPr>
            <w:r w:rsidRPr="00A0310A">
              <w:rPr>
                <w:rFonts w:hAnsi="標楷體" w:hint="eastAsia"/>
                <w:b/>
                <w:snapToGrid/>
                <w:szCs w:val="24"/>
              </w:rPr>
              <w:t>年度</w:t>
            </w:r>
          </w:p>
        </w:tc>
        <w:tc>
          <w:tcPr>
            <w:tcW w:w="1417" w:type="dxa"/>
            <w:shd w:val="clear" w:color="auto" w:fill="auto"/>
            <w:noWrap/>
            <w:vAlign w:val="center"/>
          </w:tcPr>
          <w:p w:rsidR="00981733" w:rsidRPr="00A0310A" w:rsidRDefault="00981733" w:rsidP="00D01B58">
            <w:pPr>
              <w:pStyle w:val="142"/>
              <w:jc w:val="center"/>
              <w:rPr>
                <w:rFonts w:hAnsi="標楷體" w:hint="eastAsia"/>
                <w:b/>
                <w:snapToGrid/>
                <w:szCs w:val="24"/>
              </w:rPr>
            </w:pPr>
            <w:r w:rsidRPr="00A0310A">
              <w:rPr>
                <w:rFonts w:hAnsi="標楷體" w:hint="eastAsia"/>
                <w:b/>
                <w:snapToGrid/>
                <w:szCs w:val="24"/>
              </w:rPr>
              <w:t>總計</w:t>
            </w:r>
          </w:p>
        </w:tc>
        <w:tc>
          <w:tcPr>
            <w:tcW w:w="1417" w:type="dxa"/>
            <w:shd w:val="clear" w:color="auto" w:fill="auto"/>
            <w:noWrap/>
            <w:vAlign w:val="center"/>
          </w:tcPr>
          <w:p w:rsidR="00981733" w:rsidRPr="00A0310A" w:rsidRDefault="00981733" w:rsidP="00D01B58">
            <w:pPr>
              <w:pStyle w:val="142"/>
              <w:jc w:val="center"/>
              <w:rPr>
                <w:rFonts w:hAnsi="標楷體" w:hint="eastAsia"/>
                <w:b/>
                <w:snapToGrid/>
                <w:szCs w:val="24"/>
              </w:rPr>
            </w:pPr>
            <w:r w:rsidRPr="00A0310A">
              <w:rPr>
                <w:rFonts w:hAnsi="標楷體" w:hint="eastAsia"/>
                <w:b/>
                <w:snapToGrid/>
                <w:szCs w:val="24"/>
              </w:rPr>
              <w:t>自強號</w:t>
            </w:r>
          </w:p>
        </w:tc>
        <w:tc>
          <w:tcPr>
            <w:tcW w:w="1418" w:type="dxa"/>
            <w:shd w:val="clear" w:color="auto" w:fill="auto"/>
            <w:noWrap/>
            <w:vAlign w:val="center"/>
          </w:tcPr>
          <w:p w:rsidR="00981733" w:rsidRPr="00A0310A" w:rsidRDefault="00981733" w:rsidP="00D01B58">
            <w:pPr>
              <w:pStyle w:val="142"/>
              <w:jc w:val="center"/>
              <w:rPr>
                <w:rFonts w:hAnsi="標楷體" w:hint="eastAsia"/>
                <w:b/>
                <w:snapToGrid/>
                <w:szCs w:val="24"/>
              </w:rPr>
            </w:pPr>
            <w:r w:rsidRPr="00A0310A">
              <w:rPr>
                <w:rFonts w:hAnsi="標楷體" w:hint="eastAsia"/>
                <w:b/>
                <w:snapToGrid/>
                <w:szCs w:val="24"/>
              </w:rPr>
              <w:t>莒光號</w:t>
            </w:r>
          </w:p>
        </w:tc>
        <w:tc>
          <w:tcPr>
            <w:tcW w:w="1417" w:type="dxa"/>
            <w:shd w:val="clear" w:color="auto" w:fill="auto"/>
            <w:noWrap/>
            <w:vAlign w:val="center"/>
          </w:tcPr>
          <w:p w:rsidR="00981733" w:rsidRPr="00A0310A" w:rsidRDefault="00981733" w:rsidP="00D01B58">
            <w:pPr>
              <w:pStyle w:val="142"/>
              <w:jc w:val="center"/>
              <w:rPr>
                <w:rFonts w:hAnsi="標楷體" w:hint="eastAsia"/>
                <w:b/>
                <w:snapToGrid/>
                <w:szCs w:val="24"/>
              </w:rPr>
            </w:pPr>
            <w:r w:rsidRPr="00A0310A">
              <w:rPr>
                <w:rFonts w:hAnsi="標楷體" w:hint="eastAsia"/>
                <w:b/>
                <w:snapToGrid/>
                <w:szCs w:val="24"/>
              </w:rPr>
              <w:t>區間列車</w:t>
            </w:r>
          </w:p>
        </w:tc>
        <w:tc>
          <w:tcPr>
            <w:tcW w:w="1418" w:type="dxa"/>
            <w:shd w:val="clear" w:color="auto" w:fill="auto"/>
            <w:noWrap/>
            <w:vAlign w:val="center"/>
          </w:tcPr>
          <w:p w:rsidR="00981733" w:rsidRPr="00A0310A" w:rsidRDefault="00981733" w:rsidP="00D01B58">
            <w:pPr>
              <w:pStyle w:val="142"/>
              <w:jc w:val="center"/>
              <w:rPr>
                <w:rFonts w:hAnsi="標楷體" w:hint="eastAsia"/>
                <w:b/>
                <w:snapToGrid/>
                <w:szCs w:val="24"/>
              </w:rPr>
            </w:pPr>
            <w:r w:rsidRPr="00A0310A">
              <w:rPr>
                <w:rFonts w:hAnsi="標楷體" w:hint="eastAsia"/>
                <w:b/>
                <w:snapToGrid/>
                <w:szCs w:val="24"/>
              </w:rPr>
              <w:t>普通車</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103</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94.19</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86.58</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85.27</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96.01</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99.86</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104</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93.61</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85.54</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86.12</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95.46</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98.90</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105</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94.50</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87.65</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87.23</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96.04</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98.35</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106</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94.85</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91.80</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89.63</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95.63</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98.07</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107</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91.78</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86.62</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85.06</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93.05</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78.86</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108</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90.97</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85.86</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84.53</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92.26</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78.26</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109</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92.34</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88.56</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87.08</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93.30</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89.00</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110</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92.81</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87.57</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85.57</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94.03</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96.25</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111</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94.98</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91.67</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91.40</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95.71</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97.68</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112</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95.98</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94.14</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93.63</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96.36</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96.99</w:t>
            </w:r>
          </w:p>
        </w:tc>
      </w:tr>
      <w:tr w:rsidR="00981733" w:rsidRPr="00A0310A" w:rsidTr="00E56431">
        <w:trPr>
          <w:trHeight w:val="223"/>
        </w:trPr>
        <w:tc>
          <w:tcPr>
            <w:tcW w:w="1418" w:type="dxa"/>
            <w:shd w:val="clear" w:color="auto" w:fill="auto"/>
            <w:noWrap/>
            <w:vAlign w:val="center"/>
            <w:hideMark/>
          </w:tcPr>
          <w:p w:rsidR="00981733" w:rsidRPr="00A0310A" w:rsidRDefault="00981733" w:rsidP="00856D29">
            <w:pPr>
              <w:pStyle w:val="142"/>
              <w:jc w:val="center"/>
              <w:rPr>
                <w:rFonts w:hAnsi="標楷體" w:hint="eastAsia"/>
                <w:snapToGrid/>
                <w:szCs w:val="24"/>
              </w:rPr>
            </w:pPr>
            <w:r w:rsidRPr="00A0310A">
              <w:rPr>
                <w:rFonts w:hAnsi="標楷體" w:hint="eastAsia"/>
                <w:snapToGrid/>
                <w:szCs w:val="24"/>
              </w:rPr>
              <w:t>113年1-</w:t>
            </w:r>
            <w:r w:rsidRPr="00A0310A">
              <w:rPr>
                <w:rFonts w:hAnsi="標楷體"/>
                <w:snapToGrid/>
                <w:szCs w:val="24"/>
              </w:rPr>
              <w:t>8</w:t>
            </w:r>
            <w:r w:rsidRPr="00A0310A">
              <w:rPr>
                <w:rFonts w:hAnsi="標楷體" w:hint="eastAsia"/>
                <w:snapToGrid/>
                <w:szCs w:val="24"/>
              </w:rPr>
              <w:t>月</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snapToGrid/>
                <w:szCs w:val="24"/>
              </w:rPr>
              <w:t>93.01</w:t>
            </w:r>
          </w:p>
        </w:tc>
        <w:tc>
          <w:tcPr>
            <w:tcW w:w="1417" w:type="dxa"/>
            <w:shd w:val="clear" w:color="auto" w:fill="auto"/>
            <w:noWrap/>
            <w:vAlign w:val="center"/>
            <w:hideMark/>
          </w:tcPr>
          <w:p w:rsidR="00981733" w:rsidRPr="00A0310A" w:rsidRDefault="00981733" w:rsidP="00856D29">
            <w:pPr>
              <w:pStyle w:val="142"/>
              <w:jc w:val="right"/>
              <w:rPr>
                <w:rFonts w:hint="eastAsia"/>
                <w:snapToGrid/>
                <w:szCs w:val="24"/>
              </w:rPr>
            </w:pPr>
            <w:r w:rsidRPr="00A0310A">
              <w:rPr>
                <w:rFonts w:hint="eastAsia"/>
                <w:snapToGrid/>
                <w:szCs w:val="24"/>
              </w:rPr>
              <w:t>8</w:t>
            </w:r>
            <w:r w:rsidRPr="00A0310A">
              <w:rPr>
                <w:snapToGrid/>
                <w:szCs w:val="24"/>
              </w:rPr>
              <w:t>5</w:t>
            </w:r>
            <w:r w:rsidRPr="00A0310A">
              <w:rPr>
                <w:rFonts w:hint="eastAsia"/>
                <w:snapToGrid/>
                <w:szCs w:val="24"/>
              </w:rPr>
              <w:t>.00</w:t>
            </w:r>
          </w:p>
        </w:tc>
        <w:tc>
          <w:tcPr>
            <w:tcW w:w="1418" w:type="dxa"/>
            <w:shd w:val="clear" w:color="auto" w:fill="auto"/>
            <w:noWrap/>
            <w:vAlign w:val="center"/>
            <w:hideMark/>
          </w:tcPr>
          <w:p w:rsidR="00981733" w:rsidRPr="00A0310A" w:rsidRDefault="00981733" w:rsidP="00856D29">
            <w:pPr>
              <w:pStyle w:val="142"/>
              <w:jc w:val="right"/>
              <w:rPr>
                <w:rFonts w:hint="eastAsia"/>
                <w:snapToGrid/>
                <w:szCs w:val="24"/>
              </w:rPr>
            </w:pPr>
            <w:r w:rsidRPr="00A0310A">
              <w:rPr>
                <w:rFonts w:hint="eastAsia"/>
                <w:snapToGrid/>
                <w:szCs w:val="24"/>
              </w:rPr>
              <w:t>8</w:t>
            </w:r>
            <w:r w:rsidRPr="00A0310A">
              <w:rPr>
                <w:snapToGrid/>
                <w:szCs w:val="24"/>
              </w:rPr>
              <w:t>8.06</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snapToGrid/>
                <w:szCs w:val="24"/>
              </w:rPr>
              <w:t>94.56</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snapToGrid/>
                <w:szCs w:val="24"/>
              </w:rPr>
              <w:t>93.31</w:t>
            </w:r>
          </w:p>
        </w:tc>
      </w:tr>
    </w:tbl>
    <w:p w:rsidR="00981733" w:rsidRDefault="00981733" w:rsidP="00436F72">
      <w:pPr>
        <w:pStyle w:val="142"/>
        <w:rPr>
          <w:snapToGrid/>
        </w:rPr>
      </w:pPr>
      <w:r>
        <w:rPr>
          <w:rFonts w:hint="eastAsia"/>
          <w:snapToGrid/>
        </w:rPr>
        <w:t>資料來源：1</w:t>
      </w:r>
      <w:r>
        <w:rPr>
          <w:snapToGrid/>
        </w:rPr>
        <w:t>13</w:t>
      </w:r>
      <w:r>
        <w:rPr>
          <w:rFonts w:hint="eastAsia"/>
          <w:snapToGrid/>
        </w:rPr>
        <w:t>年8月交通統計月報。</w:t>
      </w:r>
    </w:p>
    <w:p w:rsidR="000E339A" w:rsidRDefault="000E339A" w:rsidP="000E339A">
      <w:pPr>
        <w:pStyle w:val="a5"/>
        <w:ind w:left="849" w:hanging="283"/>
        <w:rPr>
          <w:b/>
        </w:rPr>
      </w:pPr>
      <w:r w:rsidRPr="0026746B">
        <w:rPr>
          <w:rFonts w:hint="eastAsia"/>
          <w:b/>
        </w:rPr>
        <w:t>(</w:t>
      </w:r>
      <w:r w:rsidR="00C7210E">
        <w:rPr>
          <w:rFonts w:hint="eastAsia"/>
          <w:b/>
        </w:rPr>
        <w:t>二</w:t>
      </w:r>
      <w:r w:rsidRPr="0026746B">
        <w:rPr>
          <w:rFonts w:hint="eastAsia"/>
          <w:b/>
        </w:rPr>
        <w:t>)</w:t>
      </w:r>
      <w:r w:rsidR="00804976">
        <w:rPr>
          <w:rFonts w:hint="eastAsia"/>
          <w:b/>
        </w:rPr>
        <w:t>近年</w:t>
      </w:r>
      <w:r w:rsidR="00804976" w:rsidRPr="00804976">
        <w:rPr>
          <w:rFonts w:hint="eastAsia"/>
          <w:b/>
        </w:rPr>
        <w:t>行車事故及異常事件</w:t>
      </w:r>
      <w:r w:rsidR="00804976">
        <w:rPr>
          <w:rFonts w:hint="eastAsia"/>
          <w:b/>
        </w:rPr>
        <w:t>未能有效降低，容待檢討改善</w:t>
      </w:r>
    </w:p>
    <w:p w:rsidR="000E339A" w:rsidRPr="00E02EA7" w:rsidRDefault="005326D9" w:rsidP="000E339A">
      <w:pPr>
        <w:ind w:leftChars="300" w:left="850" w:firstLine="566"/>
        <w:rPr>
          <w:rFonts w:hAnsi="標楷體" w:hint="eastAsia"/>
          <w:color w:val="000000"/>
        </w:rPr>
      </w:pPr>
      <w:r w:rsidRPr="005326D9">
        <w:rPr>
          <w:rFonts w:hint="eastAsia"/>
          <w:color w:val="000000"/>
        </w:rPr>
        <w:lastRenderedPageBreak/>
        <w:t>臺鐵公司為進一步降低鐵路行車事故</w:t>
      </w:r>
      <w:r w:rsidR="00C7210E">
        <w:rPr>
          <w:rFonts w:hint="eastAsia"/>
          <w:color w:val="000000"/>
        </w:rPr>
        <w:t>及異常</w:t>
      </w:r>
      <w:r w:rsidRPr="005326D9">
        <w:rPr>
          <w:rFonts w:hint="eastAsia"/>
          <w:color w:val="000000"/>
        </w:rPr>
        <w:t>事件，提升行車安全，持續辦理健全工地管理、改善風險路段、強化軌道結構及號誌、電力設備、提升車輛妥善率、確保行車運轉安全、推動安全管理系統(SMS)</w:t>
      </w:r>
      <w:r w:rsidR="00AC608E">
        <w:rPr>
          <w:rFonts w:hint="eastAsia"/>
          <w:color w:val="000000"/>
        </w:rPr>
        <w:t>等</w:t>
      </w:r>
      <w:r w:rsidR="00AC608E" w:rsidRPr="00AC608E">
        <w:rPr>
          <w:rFonts w:hint="eastAsia"/>
          <w:color w:val="000000"/>
        </w:rPr>
        <w:t>精進作為</w:t>
      </w:r>
      <w:r w:rsidR="00AC608E">
        <w:rPr>
          <w:rFonts w:hint="eastAsia"/>
          <w:color w:val="000000"/>
        </w:rPr>
        <w:t>，此外，</w:t>
      </w:r>
      <w:r w:rsidRPr="005326D9">
        <w:rPr>
          <w:rFonts w:hint="eastAsia"/>
          <w:color w:val="000000"/>
        </w:rPr>
        <w:t>交通部委託外部單位辦理臺鐵公司SMS第三方評鑑，</w:t>
      </w:r>
      <w:r w:rsidR="00AC608E">
        <w:rPr>
          <w:rFonts w:hint="eastAsia"/>
          <w:color w:val="000000"/>
        </w:rPr>
        <w:t>期可</w:t>
      </w:r>
      <w:r w:rsidRPr="005326D9">
        <w:rPr>
          <w:rFonts w:hint="eastAsia"/>
          <w:color w:val="000000"/>
        </w:rPr>
        <w:t>確保安全管理落實執行</w:t>
      </w:r>
      <w:r>
        <w:rPr>
          <w:rStyle w:val="af6"/>
          <w:color w:val="000000"/>
        </w:rPr>
        <w:footnoteReference w:id="5"/>
      </w:r>
      <w:r>
        <w:rPr>
          <w:rFonts w:hint="eastAsia"/>
          <w:color w:val="000000"/>
        </w:rPr>
        <w:t>，惟</w:t>
      </w:r>
      <w:r w:rsidR="000E339A" w:rsidRPr="00E02EA7">
        <w:rPr>
          <w:rFonts w:hint="eastAsia"/>
          <w:color w:val="000000"/>
        </w:rPr>
        <w:t>1</w:t>
      </w:r>
      <w:r>
        <w:rPr>
          <w:color w:val="000000"/>
        </w:rPr>
        <w:t>10</w:t>
      </w:r>
      <w:r>
        <w:rPr>
          <w:rFonts w:hint="eastAsia"/>
          <w:color w:val="000000"/>
        </w:rPr>
        <w:t>年</w:t>
      </w:r>
      <w:r w:rsidRPr="005326D9">
        <w:rPr>
          <w:rFonts w:hint="eastAsia"/>
          <w:color w:val="000000"/>
        </w:rPr>
        <w:t>行車事故及異常事件</w:t>
      </w:r>
      <w:r>
        <w:rPr>
          <w:rFonts w:hint="eastAsia"/>
          <w:color w:val="000000"/>
        </w:rPr>
        <w:t>6</w:t>
      </w:r>
      <w:r>
        <w:rPr>
          <w:color w:val="000000"/>
        </w:rPr>
        <w:t>99</w:t>
      </w:r>
      <w:r>
        <w:rPr>
          <w:rFonts w:hint="eastAsia"/>
          <w:color w:val="000000"/>
        </w:rPr>
        <w:t>件，1</w:t>
      </w:r>
      <w:r>
        <w:rPr>
          <w:color w:val="000000"/>
        </w:rPr>
        <w:t>11</w:t>
      </w:r>
      <w:r>
        <w:rPr>
          <w:rFonts w:hint="eastAsia"/>
          <w:color w:val="000000"/>
        </w:rPr>
        <w:t>年雖降至6</w:t>
      </w:r>
      <w:r>
        <w:rPr>
          <w:color w:val="000000"/>
        </w:rPr>
        <w:t>59</w:t>
      </w:r>
      <w:r>
        <w:rPr>
          <w:rFonts w:hint="eastAsia"/>
          <w:color w:val="000000"/>
        </w:rPr>
        <w:t>件，然1</w:t>
      </w:r>
      <w:r>
        <w:rPr>
          <w:color w:val="000000"/>
        </w:rPr>
        <w:t>12</w:t>
      </w:r>
      <w:r>
        <w:rPr>
          <w:rFonts w:hint="eastAsia"/>
          <w:color w:val="000000"/>
        </w:rPr>
        <w:t>年</w:t>
      </w:r>
      <w:r w:rsidR="00AC608E">
        <w:rPr>
          <w:rFonts w:hint="eastAsia"/>
          <w:color w:val="000000"/>
        </w:rPr>
        <w:t>度</w:t>
      </w:r>
      <w:r>
        <w:rPr>
          <w:rFonts w:hint="eastAsia"/>
          <w:color w:val="000000"/>
        </w:rPr>
        <w:t>又提高至7</w:t>
      </w:r>
      <w:r>
        <w:rPr>
          <w:color w:val="000000"/>
        </w:rPr>
        <w:t>74</w:t>
      </w:r>
      <w:r>
        <w:rPr>
          <w:rFonts w:hint="eastAsia"/>
          <w:color w:val="000000"/>
        </w:rPr>
        <w:t>件，</w:t>
      </w:r>
      <w:r w:rsidR="00AC608E">
        <w:rPr>
          <w:rFonts w:hint="eastAsia"/>
          <w:color w:val="000000"/>
        </w:rPr>
        <w:t>再者，</w:t>
      </w:r>
      <w:r>
        <w:rPr>
          <w:rFonts w:hint="eastAsia"/>
          <w:color w:val="000000"/>
        </w:rPr>
        <w:t>1</w:t>
      </w:r>
      <w:r>
        <w:rPr>
          <w:color w:val="000000"/>
        </w:rPr>
        <w:t>13</w:t>
      </w:r>
      <w:r>
        <w:rPr>
          <w:rFonts w:hint="eastAsia"/>
          <w:color w:val="000000"/>
        </w:rPr>
        <w:t>年1至7月</w:t>
      </w:r>
      <w:r w:rsidR="00AC608E">
        <w:rPr>
          <w:rFonts w:hint="eastAsia"/>
          <w:color w:val="000000"/>
        </w:rPr>
        <w:t>為</w:t>
      </w:r>
      <w:r>
        <w:rPr>
          <w:rFonts w:hint="eastAsia"/>
          <w:color w:val="000000"/>
        </w:rPr>
        <w:t>5</w:t>
      </w:r>
      <w:r>
        <w:rPr>
          <w:color w:val="000000"/>
        </w:rPr>
        <w:t>80</w:t>
      </w:r>
      <w:r w:rsidR="000E339A" w:rsidRPr="00E02EA7">
        <w:rPr>
          <w:rFonts w:hint="eastAsia"/>
          <w:color w:val="000000"/>
        </w:rPr>
        <w:t>件</w:t>
      </w:r>
      <w:r>
        <w:rPr>
          <w:rFonts w:hint="eastAsia"/>
          <w:color w:val="000000"/>
        </w:rPr>
        <w:t>，</w:t>
      </w:r>
      <w:r w:rsidR="00AC608E">
        <w:rPr>
          <w:rFonts w:hint="eastAsia"/>
          <w:color w:val="000000"/>
        </w:rPr>
        <w:t>亦</w:t>
      </w:r>
      <w:r w:rsidR="00C7210E" w:rsidRPr="00C7210E">
        <w:rPr>
          <w:rFonts w:hint="eastAsia"/>
          <w:color w:val="000000"/>
        </w:rPr>
        <w:t>高於</w:t>
      </w:r>
      <w:r w:rsidR="00A07406">
        <w:rPr>
          <w:rFonts w:hint="eastAsia"/>
          <w:color w:val="000000"/>
        </w:rPr>
        <w:t>去年</w:t>
      </w:r>
      <w:r w:rsidR="00C7210E" w:rsidRPr="00C7210E">
        <w:rPr>
          <w:rFonts w:hint="eastAsia"/>
          <w:color w:val="000000"/>
        </w:rPr>
        <w:t>同期間415件</w:t>
      </w:r>
      <w:r w:rsidR="00C7210E">
        <w:rPr>
          <w:rFonts w:hint="eastAsia"/>
          <w:color w:val="000000"/>
        </w:rPr>
        <w:t>，增加1</w:t>
      </w:r>
      <w:r w:rsidR="00C7210E">
        <w:rPr>
          <w:color w:val="000000"/>
        </w:rPr>
        <w:t>65</w:t>
      </w:r>
      <w:r w:rsidR="00C7210E">
        <w:rPr>
          <w:rFonts w:hint="eastAsia"/>
          <w:color w:val="000000"/>
        </w:rPr>
        <w:t>件</w:t>
      </w:r>
      <w:r w:rsidR="00AC608E">
        <w:rPr>
          <w:rFonts w:hint="eastAsia"/>
          <w:color w:val="000000"/>
        </w:rPr>
        <w:t>(增幅3</w:t>
      </w:r>
      <w:r w:rsidR="00AC608E">
        <w:rPr>
          <w:color w:val="000000"/>
        </w:rPr>
        <w:t>9.8%)</w:t>
      </w:r>
      <w:r w:rsidR="00C7210E" w:rsidRPr="00C7210E">
        <w:rPr>
          <w:rFonts w:hint="eastAsia"/>
          <w:color w:val="000000"/>
        </w:rPr>
        <w:t>，</w:t>
      </w:r>
      <w:r w:rsidR="00C7210E">
        <w:rPr>
          <w:rFonts w:hint="eastAsia"/>
          <w:color w:val="000000"/>
        </w:rPr>
        <w:t>其中行車事故增加</w:t>
      </w:r>
      <w:r w:rsidR="00AC608E">
        <w:rPr>
          <w:rFonts w:hint="eastAsia"/>
          <w:color w:val="000000"/>
        </w:rPr>
        <w:t>7</w:t>
      </w:r>
      <w:r w:rsidR="00C7210E">
        <w:rPr>
          <w:rFonts w:hint="eastAsia"/>
          <w:color w:val="000000"/>
        </w:rPr>
        <w:t>件、行車異常事故增加1</w:t>
      </w:r>
      <w:r w:rsidR="00C7210E">
        <w:rPr>
          <w:color w:val="000000"/>
        </w:rPr>
        <w:t>58</w:t>
      </w:r>
      <w:r w:rsidR="00C7210E">
        <w:rPr>
          <w:rFonts w:hint="eastAsia"/>
          <w:color w:val="000000"/>
        </w:rPr>
        <w:t>件，</w:t>
      </w:r>
      <w:r w:rsidR="00AC608E">
        <w:rPr>
          <w:rFonts w:hint="eastAsia"/>
          <w:color w:val="000000"/>
        </w:rPr>
        <w:t>顯示相關措施之實施成效</w:t>
      </w:r>
      <w:r w:rsidR="000E339A">
        <w:rPr>
          <w:rFonts w:hAnsi="標楷體" w:hint="eastAsia"/>
          <w:color w:val="000000"/>
        </w:rPr>
        <w:t>容有改善空間</w:t>
      </w:r>
      <w:r w:rsidR="000E339A" w:rsidRPr="00E02EA7">
        <w:rPr>
          <w:rFonts w:hAnsi="標楷體" w:hint="eastAsia"/>
          <w:color w:val="000000"/>
        </w:rPr>
        <w:t>。</w:t>
      </w:r>
    </w:p>
    <w:p w:rsidR="00AC608E" w:rsidRDefault="000E339A" w:rsidP="00AC608E">
      <w:pPr>
        <w:spacing w:beforeLines="25" w:before="125" w:line="400" w:lineRule="exact"/>
        <w:ind w:leftChars="0" w:left="142" w:hangingChars="50" w:hanging="142"/>
        <w:jc w:val="left"/>
        <w:rPr>
          <w:b/>
        </w:rPr>
      </w:pPr>
      <w:r w:rsidRPr="005166A9">
        <w:rPr>
          <w:rFonts w:hint="eastAsia"/>
          <w:b/>
        </w:rPr>
        <w:t>表</w:t>
      </w:r>
      <w:r w:rsidR="00A07406">
        <w:rPr>
          <w:b/>
        </w:rPr>
        <w:t>2</w:t>
      </w:r>
      <w:r w:rsidRPr="005166A9">
        <w:rPr>
          <w:rFonts w:hint="eastAsia"/>
          <w:b/>
        </w:rPr>
        <w:t xml:space="preserve">  臺鐵</w:t>
      </w:r>
      <w:r>
        <w:rPr>
          <w:b/>
        </w:rPr>
        <w:t>110</w:t>
      </w:r>
      <w:r w:rsidRPr="005166A9">
        <w:rPr>
          <w:rFonts w:hint="eastAsia"/>
          <w:b/>
        </w:rPr>
        <w:t>年</w:t>
      </w:r>
      <w:r w:rsidR="00AC608E">
        <w:rPr>
          <w:rFonts w:hint="eastAsia"/>
          <w:b/>
        </w:rPr>
        <w:t>度</w:t>
      </w:r>
      <w:r w:rsidRPr="005166A9">
        <w:rPr>
          <w:rFonts w:hint="eastAsia"/>
          <w:b/>
        </w:rPr>
        <w:t>至11</w:t>
      </w:r>
      <w:r>
        <w:rPr>
          <w:rFonts w:hint="eastAsia"/>
          <w:b/>
        </w:rPr>
        <w:t>2</w:t>
      </w:r>
      <w:r w:rsidRPr="005166A9">
        <w:rPr>
          <w:rFonts w:hint="eastAsia"/>
          <w:b/>
        </w:rPr>
        <w:t>年</w:t>
      </w:r>
      <w:r>
        <w:rPr>
          <w:rFonts w:hint="eastAsia"/>
          <w:b/>
        </w:rPr>
        <w:t>7月</w:t>
      </w:r>
      <w:r w:rsidRPr="005166A9">
        <w:rPr>
          <w:rFonts w:hint="eastAsia"/>
          <w:b/>
        </w:rPr>
        <w:t>之行車事故</w:t>
      </w:r>
      <w:r w:rsidR="005326D9">
        <w:rPr>
          <w:rFonts w:hint="eastAsia"/>
          <w:b/>
        </w:rPr>
        <w:t>及異常</w:t>
      </w:r>
      <w:r>
        <w:rPr>
          <w:rFonts w:hint="eastAsia"/>
          <w:b/>
        </w:rPr>
        <w:t>事件</w:t>
      </w:r>
      <w:r w:rsidRPr="005166A9">
        <w:rPr>
          <w:rFonts w:hint="eastAsia"/>
          <w:b/>
        </w:rPr>
        <w:t>情形表</w:t>
      </w:r>
    </w:p>
    <w:p w:rsidR="000E339A" w:rsidRDefault="000E339A" w:rsidP="00F0147E">
      <w:pPr>
        <w:pStyle w:val="142"/>
        <w:jc w:val="right"/>
      </w:pPr>
      <w:r w:rsidRPr="005166A9">
        <w:rPr>
          <w:rFonts w:hint="eastAsia"/>
        </w:rPr>
        <w:t>單位：件</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977"/>
        <w:gridCol w:w="938"/>
        <w:gridCol w:w="1080"/>
        <w:gridCol w:w="1080"/>
        <w:gridCol w:w="1155"/>
        <w:gridCol w:w="1275"/>
      </w:tblGrid>
      <w:tr w:rsidR="000E339A" w:rsidRPr="000E339A" w:rsidTr="00735D62">
        <w:trPr>
          <w:trHeight w:val="590"/>
          <w:tblHeader/>
        </w:trPr>
        <w:tc>
          <w:tcPr>
            <w:tcW w:w="2977" w:type="dxa"/>
            <w:shd w:val="clear" w:color="auto" w:fill="auto"/>
            <w:vAlign w:val="center"/>
            <w:hideMark/>
          </w:tcPr>
          <w:p w:rsidR="000E339A" w:rsidRPr="000E339A" w:rsidRDefault="000E339A" w:rsidP="00804976">
            <w:pPr>
              <w:spacing w:line="280" w:lineRule="exact"/>
              <w:ind w:leftChars="0" w:left="0" w:firstLineChars="0" w:firstLine="0"/>
              <w:jc w:val="center"/>
              <w:rPr>
                <w:b/>
                <w:sz w:val="24"/>
              </w:rPr>
            </w:pPr>
            <w:r w:rsidRPr="000E339A">
              <w:rPr>
                <w:rFonts w:hint="eastAsia"/>
                <w:b/>
                <w:sz w:val="24"/>
              </w:rPr>
              <w:t>項目</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center"/>
              <w:rPr>
                <w:rFonts w:hint="eastAsia"/>
                <w:b/>
                <w:sz w:val="24"/>
              </w:rPr>
            </w:pPr>
            <w:r w:rsidRPr="000E339A">
              <w:rPr>
                <w:rFonts w:hint="eastAsia"/>
                <w:b/>
                <w:sz w:val="24"/>
              </w:rPr>
              <w:t>110年</w:t>
            </w:r>
            <w:r w:rsidR="00804976">
              <w:rPr>
                <w:rFonts w:hint="eastAsia"/>
                <w:b/>
                <w:sz w:val="24"/>
              </w:rPr>
              <w:t>度</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center"/>
              <w:rPr>
                <w:rFonts w:hint="eastAsia"/>
                <w:b/>
                <w:sz w:val="24"/>
              </w:rPr>
            </w:pPr>
            <w:r w:rsidRPr="000E339A">
              <w:rPr>
                <w:rFonts w:hint="eastAsia"/>
                <w:b/>
                <w:sz w:val="24"/>
              </w:rPr>
              <w:t>111年</w:t>
            </w:r>
            <w:r w:rsidR="00804976">
              <w:rPr>
                <w:rFonts w:hint="eastAsia"/>
                <w:b/>
                <w:sz w:val="24"/>
              </w:rPr>
              <w:t>度</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center"/>
              <w:rPr>
                <w:rFonts w:hint="eastAsia"/>
                <w:b/>
                <w:sz w:val="24"/>
              </w:rPr>
            </w:pPr>
            <w:r w:rsidRPr="000E339A">
              <w:rPr>
                <w:rFonts w:hint="eastAsia"/>
                <w:b/>
                <w:sz w:val="24"/>
              </w:rPr>
              <w:t>112年</w:t>
            </w:r>
            <w:r w:rsidR="00804976">
              <w:rPr>
                <w:rFonts w:hint="eastAsia"/>
                <w:b/>
                <w:sz w:val="24"/>
              </w:rPr>
              <w:t>度</w:t>
            </w:r>
          </w:p>
        </w:tc>
        <w:tc>
          <w:tcPr>
            <w:tcW w:w="1155" w:type="dxa"/>
          </w:tcPr>
          <w:p w:rsidR="000E339A" w:rsidRPr="000E339A" w:rsidRDefault="000E339A" w:rsidP="000E339A">
            <w:pPr>
              <w:spacing w:line="280" w:lineRule="exact"/>
              <w:ind w:leftChars="0" w:left="0" w:firstLineChars="0" w:firstLine="0"/>
              <w:jc w:val="center"/>
              <w:rPr>
                <w:b/>
                <w:sz w:val="24"/>
              </w:rPr>
            </w:pPr>
            <w:r w:rsidRPr="000E339A">
              <w:rPr>
                <w:rFonts w:hint="eastAsia"/>
                <w:b/>
                <w:sz w:val="24"/>
              </w:rPr>
              <w:t>1</w:t>
            </w:r>
            <w:r w:rsidRPr="000E339A">
              <w:rPr>
                <w:b/>
                <w:sz w:val="24"/>
              </w:rPr>
              <w:t>13</w:t>
            </w:r>
            <w:r>
              <w:rPr>
                <w:rFonts w:hint="eastAsia"/>
                <w:b/>
                <w:sz w:val="24"/>
              </w:rPr>
              <w:t>年</w:t>
            </w:r>
          </w:p>
          <w:p w:rsidR="000E339A" w:rsidRPr="000E339A" w:rsidRDefault="000E339A" w:rsidP="000E339A">
            <w:pPr>
              <w:spacing w:line="280" w:lineRule="exact"/>
              <w:ind w:leftChars="0" w:left="0" w:firstLineChars="0" w:firstLine="0"/>
              <w:jc w:val="center"/>
              <w:rPr>
                <w:rFonts w:hint="eastAsia"/>
                <w:b/>
                <w:sz w:val="24"/>
              </w:rPr>
            </w:pPr>
            <w:r w:rsidRPr="000E339A">
              <w:rPr>
                <w:b/>
                <w:sz w:val="24"/>
              </w:rPr>
              <w:t>1-7</w:t>
            </w:r>
            <w:r>
              <w:rPr>
                <w:rFonts w:hint="eastAsia"/>
                <w:b/>
                <w:sz w:val="24"/>
              </w:rPr>
              <w:t>月</w:t>
            </w:r>
          </w:p>
        </w:tc>
        <w:tc>
          <w:tcPr>
            <w:tcW w:w="1275" w:type="dxa"/>
          </w:tcPr>
          <w:p w:rsidR="000E339A" w:rsidRPr="000E339A" w:rsidRDefault="000E339A" w:rsidP="000E339A">
            <w:pPr>
              <w:spacing w:line="280" w:lineRule="exact"/>
              <w:ind w:leftChars="0" w:left="0" w:firstLineChars="0" w:firstLine="0"/>
              <w:jc w:val="center"/>
              <w:rPr>
                <w:b/>
                <w:sz w:val="24"/>
              </w:rPr>
            </w:pPr>
            <w:r w:rsidRPr="000E339A">
              <w:rPr>
                <w:rFonts w:hint="eastAsia"/>
                <w:b/>
                <w:sz w:val="24"/>
              </w:rPr>
              <w:t>1</w:t>
            </w:r>
            <w:r w:rsidRPr="000E339A">
              <w:rPr>
                <w:b/>
                <w:sz w:val="24"/>
              </w:rPr>
              <w:t>12</w:t>
            </w:r>
            <w:r>
              <w:rPr>
                <w:rFonts w:hint="eastAsia"/>
                <w:b/>
                <w:sz w:val="24"/>
              </w:rPr>
              <w:t>年</w:t>
            </w:r>
          </w:p>
          <w:p w:rsidR="000E339A" w:rsidRPr="000E339A" w:rsidRDefault="000E339A" w:rsidP="000E339A">
            <w:pPr>
              <w:spacing w:line="280" w:lineRule="exact"/>
              <w:ind w:leftChars="0" w:left="0" w:firstLineChars="0" w:firstLine="0"/>
              <w:jc w:val="center"/>
              <w:rPr>
                <w:rFonts w:hint="eastAsia"/>
                <w:b/>
                <w:sz w:val="24"/>
              </w:rPr>
            </w:pPr>
            <w:r w:rsidRPr="000E339A">
              <w:rPr>
                <w:b/>
                <w:sz w:val="24"/>
              </w:rPr>
              <w:t>1-7</w:t>
            </w:r>
            <w:r>
              <w:rPr>
                <w:rFonts w:hint="eastAsia"/>
                <w:b/>
                <w:sz w:val="24"/>
              </w:rPr>
              <w:t>月</w:t>
            </w:r>
          </w:p>
        </w:tc>
      </w:tr>
      <w:tr w:rsidR="000E339A" w:rsidRPr="00804976"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b/>
                <w:bCs/>
                <w:sz w:val="24"/>
              </w:rPr>
            </w:pPr>
            <w:r w:rsidRPr="000E339A">
              <w:rPr>
                <w:rFonts w:hint="eastAsia"/>
                <w:b/>
                <w:bCs/>
                <w:sz w:val="24"/>
              </w:rPr>
              <w:t>(一)行車事故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48</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43</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4</w:t>
            </w:r>
            <w:r w:rsidRPr="000E339A">
              <w:rPr>
                <w:b/>
                <w:bCs/>
                <w:sz w:val="24"/>
              </w:rPr>
              <w:t>2</w:t>
            </w:r>
          </w:p>
        </w:tc>
        <w:tc>
          <w:tcPr>
            <w:tcW w:w="1155" w:type="dxa"/>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2</w:t>
            </w:r>
            <w:r w:rsidRPr="000E339A">
              <w:rPr>
                <w:b/>
                <w:bCs/>
                <w:sz w:val="24"/>
              </w:rPr>
              <w:t>9</w:t>
            </w:r>
          </w:p>
        </w:tc>
        <w:tc>
          <w:tcPr>
            <w:tcW w:w="1275" w:type="dxa"/>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2</w:t>
            </w:r>
            <w:r w:rsidRPr="000E339A">
              <w:rPr>
                <w:b/>
                <w:bCs/>
                <w:sz w:val="24"/>
              </w:rPr>
              <w:t>2</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bCs/>
                <w:sz w:val="24"/>
              </w:rPr>
            </w:pPr>
            <w:r w:rsidRPr="000E339A">
              <w:rPr>
                <w:rFonts w:hint="eastAsia"/>
                <w:bCs/>
                <w:sz w:val="24"/>
              </w:rPr>
              <w:t>1.重大行車事故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5</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2</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0</w:t>
            </w:r>
          </w:p>
        </w:tc>
        <w:tc>
          <w:tcPr>
            <w:tcW w:w="1155" w:type="dxa"/>
            <w:vAlign w:val="center"/>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2</w:t>
            </w:r>
          </w:p>
        </w:tc>
        <w:tc>
          <w:tcPr>
            <w:tcW w:w="1275" w:type="dxa"/>
            <w:vAlign w:val="center"/>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正線衝撞事故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正線出軌事故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3</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正線火災事故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bCs/>
                <w:sz w:val="24"/>
              </w:rPr>
            </w:pPr>
            <w:r w:rsidRPr="000E339A">
              <w:rPr>
                <w:rFonts w:hint="eastAsia"/>
                <w:bCs/>
                <w:sz w:val="24"/>
              </w:rPr>
              <w:t>2.一般行車事故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43</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41</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4</w:t>
            </w:r>
            <w:r w:rsidRPr="000E339A">
              <w:rPr>
                <w:bCs/>
                <w:sz w:val="24"/>
              </w:rPr>
              <w:t>2</w:t>
            </w:r>
          </w:p>
        </w:tc>
        <w:tc>
          <w:tcPr>
            <w:tcW w:w="1155" w:type="dxa"/>
            <w:vAlign w:val="center"/>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2</w:t>
            </w:r>
            <w:r w:rsidRPr="000E339A">
              <w:rPr>
                <w:bCs/>
                <w:sz w:val="24"/>
              </w:rPr>
              <w:t>7</w:t>
            </w:r>
          </w:p>
        </w:tc>
        <w:tc>
          <w:tcPr>
            <w:tcW w:w="1275" w:type="dxa"/>
            <w:vAlign w:val="center"/>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2</w:t>
            </w:r>
            <w:r w:rsidRPr="000E339A">
              <w:rPr>
                <w:bCs/>
                <w:sz w:val="24"/>
              </w:rPr>
              <w:t>2</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側線衝撞事故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側線出軌事故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9</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4</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5</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平交道事故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8</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6</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r w:rsidRPr="000E339A">
              <w:rPr>
                <w:sz w:val="24"/>
              </w:rPr>
              <w:t>1</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5</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6</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死傷事故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24</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30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r w:rsidRPr="000E339A">
              <w:rPr>
                <w:sz w:val="24"/>
              </w:rPr>
              <w:t>5</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r w:rsidRPr="000E339A">
              <w:rPr>
                <w:sz w:val="24"/>
              </w:rPr>
              <w:t>9</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r w:rsidRPr="000E339A">
              <w:rPr>
                <w:sz w:val="24"/>
              </w:rPr>
              <w:t>5</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設備損害</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運轉中斷</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804976"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b/>
                <w:bCs/>
                <w:sz w:val="24"/>
              </w:rPr>
            </w:pPr>
            <w:r w:rsidRPr="000E339A">
              <w:rPr>
                <w:rFonts w:hint="eastAsia"/>
                <w:b/>
                <w:bCs/>
                <w:sz w:val="24"/>
              </w:rPr>
              <w:t>(二)行車異常事件</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651</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616</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7</w:t>
            </w:r>
            <w:r w:rsidRPr="000E339A">
              <w:rPr>
                <w:b/>
                <w:bCs/>
                <w:sz w:val="24"/>
              </w:rPr>
              <w:t>32</w:t>
            </w:r>
          </w:p>
        </w:tc>
        <w:tc>
          <w:tcPr>
            <w:tcW w:w="1155" w:type="dxa"/>
            <w:vAlign w:val="center"/>
          </w:tcPr>
          <w:p w:rsidR="000E339A" w:rsidRPr="000E339A" w:rsidRDefault="000E339A" w:rsidP="000E339A">
            <w:pPr>
              <w:spacing w:line="280" w:lineRule="exact"/>
              <w:ind w:leftChars="0" w:left="0" w:firstLineChars="0" w:firstLine="0"/>
              <w:jc w:val="right"/>
              <w:rPr>
                <w:rFonts w:hint="eastAsia"/>
                <w:b/>
                <w:sz w:val="24"/>
              </w:rPr>
            </w:pPr>
            <w:r w:rsidRPr="000E339A">
              <w:rPr>
                <w:rFonts w:hint="eastAsia"/>
                <w:b/>
                <w:sz w:val="24"/>
              </w:rPr>
              <w:t>5</w:t>
            </w:r>
            <w:r w:rsidRPr="000E339A">
              <w:rPr>
                <w:b/>
                <w:sz w:val="24"/>
              </w:rPr>
              <w:t>51</w:t>
            </w:r>
          </w:p>
        </w:tc>
        <w:tc>
          <w:tcPr>
            <w:tcW w:w="1275" w:type="dxa"/>
            <w:vAlign w:val="center"/>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3</w:t>
            </w:r>
            <w:r w:rsidRPr="000E339A">
              <w:rPr>
                <w:b/>
                <w:bCs/>
                <w:sz w:val="24"/>
              </w:rPr>
              <w:t>93</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1.列車/車輛分離</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3</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2.進入錯線</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4</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3</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3.冒進號誌</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8</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5</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3</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4.列車貨車車輛溜逸</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5.違反閉塞運轉</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lastRenderedPageBreak/>
              <w:t>6.違反號誌運轉</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7.號誌處理錯誤</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8.車輛故障</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269</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224</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r w:rsidRPr="000E339A">
              <w:rPr>
                <w:sz w:val="24"/>
              </w:rPr>
              <w:t>64</w:t>
            </w:r>
          </w:p>
        </w:tc>
        <w:tc>
          <w:tcPr>
            <w:tcW w:w="1155" w:type="dxa"/>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1</w:t>
            </w:r>
            <w:r w:rsidRPr="000E339A">
              <w:rPr>
                <w:bCs/>
                <w:sz w:val="24"/>
              </w:rPr>
              <w:t>67</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r w:rsidRPr="000E339A">
              <w:rPr>
                <w:sz w:val="24"/>
              </w:rPr>
              <w:t>61</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9.路線障礙</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21</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8</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9</w:t>
            </w:r>
          </w:p>
        </w:tc>
        <w:tc>
          <w:tcPr>
            <w:tcW w:w="1155" w:type="dxa"/>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2</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4</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10.電力設備故障</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16</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11</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r w:rsidRPr="000E339A">
              <w:rPr>
                <w:sz w:val="24"/>
              </w:rPr>
              <w:t>1</w:t>
            </w:r>
          </w:p>
        </w:tc>
        <w:tc>
          <w:tcPr>
            <w:tcW w:w="1155" w:type="dxa"/>
            <w:vAlign w:val="center"/>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6</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7</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11.運轉保安裝置故障</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124</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109</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r w:rsidRPr="000E339A">
              <w:rPr>
                <w:sz w:val="24"/>
              </w:rPr>
              <w:t>65</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9</w:t>
            </w:r>
            <w:r w:rsidRPr="000E339A">
              <w:rPr>
                <w:sz w:val="24"/>
              </w:rPr>
              <w:t>3</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7</w:t>
            </w:r>
            <w:r w:rsidRPr="000E339A">
              <w:rPr>
                <w:sz w:val="24"/>
              </w:rPr>
              <w:t>9</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12.外物入侵</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45</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57</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74</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4</w:t>
            </w:r>
            <w:r w:rsidRPr="000E339A">
              <w:rPr>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4</w:t>
            </w:r>
            <w:r w:rsidRPr="000E339A">
              <w:rPr>
                <w:sz w:val="24"/>
              </w:rPr>
              <w:t>1</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13.危險品洩漏</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14.駕駛失能</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15.天然災變</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89</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101</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9</w:t>
            </w:r>
            <w:r w:rsidRPr="000E339A">
              <w:rPr>
                <w:sz w:val="24"/>
              </w:rPr>
              <w:t>1</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r w:rsidRPr="000E339A">
              <w:rPr>
                <w:sz w:val="24"/>
              </w:rPr>
              <w:t>53</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5</w:t>
            </w:r>
            <w:r w:rsidRPr="000E339A">
              <w:rPr>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16.列車取消</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17.其他事件</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82</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95</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r w:rsidRPr="000E339A">
              <w:rPr>
                <w:sz w:val="24"/>
              </w:rPr>
              <w:t>03</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8</w:t>
            </w:r>
            <w:r w:rsidRPr="000E339A">
              <w:rPr>
                <w:sz w:val="24"/>
              </w:rPr>
              <w:t>7</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4</w:t>
            </w:r>
            <w:r w:rsidRPr="000E339A">
              <w:rPr>
                <w:sz w:val="24"/>
              </w:rPr>
              <w:t>2</w:t>
            </w:r>
          </w:p>
        </w:tc>
      </w:tr>
      <w:tr w:rsidR="000E339A" w:rsidRPr="00804976"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b/>
                <w:bCs/>
                <w:sz w:val="24"/>
              </w:rPr>
            </w:pPr>
            <w:r w:rsidRPr="000E339A">
              <w:rPr>
                <w:rFonts w:hint="eastAsia"/>
                <w:b/>
                <w:bCs/>
                <w:sz w:val="24"/>
              </w:rPr>
              <w:t>總計</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699</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659</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7</w:t>
            </w:r>
            <w:r w:rsidRPr="000E339A">
              <w:rPr>
                <w:b/>
                <w:bCs/>
                <w:sz w:val="24"/>
              </w:rPr>
              <w:t>74</w:t>
            </w:r>
          </w:p>
        </w:tc>
        <w:tc>
          <w:tcPr>
            <w:tcW w:w="1155" w:type="dxa"/>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5</w:t>
            </w:r>
            <w:r w:rsidRPr="000E339A">
              <w:rPr>
                <w:b/>
                <w:bCs/>
                <w:sz w:val="24"/>
              </w:rPr>
              <w:t>80</w:t>
            </w:r>
          </w:p>
        </w:tc>
        <w:tc>
          <w:tcPr>
            <w:tcW w:w="1275" w:type="dxa"/>
            <w:vAlign w:val="center"/>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4</w:t>
            </w:r>
            <w:r w:rsidRPr="000E339A">
              <w:rPr>
                <w:b/>
                <w:bCs/>
                <w:sz w:val="24"/>
              </w:rPr>
              <w:t>15</w:t>
            </w:r>
          </w:p>
        </w:tc>
      </w:tr>
    </w:tbl>
    <w:p w:rsidR="000E339A" w:rsidRDefault="000E339A" w:rsidP="000E339A">
      <w:pPr>
        <w:pStyle w:val="142"/>
        <w:ind w:left="1763" w:hangingChars="725" w:hanging="1763"/>
        <w:rPr>
          <w:rFonts w:hint="eastAsia"/>
          <w:snapToGrid/>
        </w:rPr>
      </w:pPr>
      <w:r>
        <w:rPr>
          <w:rFonts w:hint="eastAsia"/>
          <w:snapToGrid/>
        </w:rPr>
        <w:t>資料</w:t>
      </w:r>
      <w:r w:rsidRPr="00094A22">
        <w:rPr>
          <w:rFonts w:hint="eastAsia"/>
        </w:rPr>
        <w:t>來源</w:t>
      </w:r>
      <w:r>
        <w:rPr>
          <w:rFonts w:hint="eastAsia"/>
          <w:snapToGrid/>
        </w:rPr>
        <w:t>：臺鐵</w:t>
      </w:r>
      <w:r w:rsidR="00A0310A">
        <w:rPr>
          <w:rFonts w:hint="eastAsia"/>
          <w:snapToGrid/>
        </w:rPr>
        <w:t>公司</w:t>
      </w:r>
      <w:r>
        <w:rPr>
          <w:rFonts w:hint="eastAsia"/>
          <w:snapToGrid/>
        </w:rPr>
        <w:t>。</w:t>
      </w:r>
    </w:p>
    <w:p w:rsidR="00981733" w:rsidRDefault="00981733" w:rsidP="00D01B58">
      <w:pPr>
        <w:ind w:left="566" w:firstLine="566"/>
        <w:rPr>
          <w:rFonts w:hint="eastAsia"/>
        </w:rPr>
      </w:pPr>
      <w:r>
        <w:rPr>
          <w:rFonts w:hint="eastAsia"/>
        </w:rPr>
        <w:t>綜上，臺鐵公司為提供便捷優質之</w:t>
      </w:r>
      <w:r w:rsidR="00AC608E">
        <w:rPr>
          <w:rFonts w:hint="eastAsia"/>
        </w:rPr>
        <w:t>鐵路</w:t>
      </w:r>
      <w:r>
        <w:rPr>
          <w:rFonts w:hint="eastAsia"/>
        </w:rPr>
        <w:t>運輸服務，業將</w:t>
      </w:r>
      <w:r w:rsidR="00804976" w:rsidRPr="00804976">
        <w:rPr>
          <w:rFonts w:hint="eastAsia"/>
        </w:rPr>
        <w:t>確保安全</w:t>
      </w:r>
      <w:r>
        <w:rPr>
          <w:rFonts w:hint="eastAsia"/>
        </w:rPr>
        <w:t>列</w:t>
      </w:r>
      <w:r w:rsidR="00804976">
        <w:rPr>
          <w:rFonts w:hint="eastAsia"/>
        </w:rPr>
        <w:t>為</w:t>
      </w:r>
      <w:r>
        <w:rPr>
          <w:rFonts w:hint="eastAsia"/>
        </w:rPr>
        <w:t>重要策略目標，並設定113年度、1</w:t>
      </w:r>
      <w:r>
        <w:t>14</w:t>
      </w:r>
      <w:r>
        <w:rPr>
          <w:rFonts w:hint="eastAsia"/>
        </w:rPr>
        <w:t>年列車準點率目標為97%、9</w:t>
      </w:r>
      <w:r>
        <w:t>7.5%</w:t>
      </w:r>
      <w:r>
        <w:rPr>
          <w:rFonts w:hint="eastAsia"/>
        </w:rPr>
        <w:t>，惟截至113年1至8月之列車準點率9</w:t>
      </w:r>
      <w:r>
        <w:t>3.01</w:t>
      </w:r>
      <w:r>
        <w:rPr>
          <w:rFonts w:hint="eastAsia"/>
        </w:rPr>
        <w:t>%，與1</w:t>
      </w:r>
      <w:r>
        <w:t>13</w:t>
      </w:r>
      <w:r>
        <w:rPr>
          <w:rFonts w:hint="eastAsia"/>
        </w:rPr>
        <w:t>年度</w:t>
      </w:r>
      <w:r w:rsidR="00AC608E">
        <w:rPr>
          <w:rFonts w:hint="eastAsia"/>
        </w:rPr>
        <w:t>目</w:t>
      </w:r>
      <w:r>
        <w:rPr>
          <w:rFonts w:hint="eastAsia"/>
        </w:rPr>
        <w:t>標仍有差距，</w:t>
      </w:r>
      <w:r w:rsidR="005326D9">
        <w:rPr>
          <w:rFonts w:hint="eastAsia"/>
        </w:rPr>
        <w:t>另</w:t>
      </w:r>
      <w:r w:rsidR="00804976" w:rsidRPr="00804976">
        <w:rPr>
          <w:rFonts w:hint="eastAsia"/>
        </w:rPr>
        <w:t>行車事故及異常事件</w:t>
      </w:r>
      <w:r w:rsidR="00804976">
        <w:rPr>
          <w:rFonts w:hint="eastAsia"/>
        </w:rPr>
        <w:t>亦未能持續有效降低，允宜持</w:t>
      </w:r>
      <w:r>
        <w:rPr>
          <w:rFonts w:hint="eastAsia"/>
        </w:rPr>
        <w:t>研謀提升改善，</w:t>
      </w:r>
      <w:r w:rsidRPr="0098571F">
        <w:rPr>
          <w:rFonts w:hint="eastAsia"/>
        </w:rPr>
        <w:t>俾</w:t>
      </w:r>
      <w:r w:rsidR="00AC608E">
        <w:rPr>
          <w:rFonts w:hint="eastAsia"/>
        </w:rPr>
        <w:t>提升鐵路</w:t>
      </w:r>
      <w:r w:rsidRPr="0098571F">
        <w:rPr>
          <w:rFonts w:hint="eastAsia"/>
        </w:rPr>
        <w:t>運輸服務</w:t>
      </w:r>
      <w:r w:rsidR="00AC608E">
        <w:rPr>
          <w:rFonts w:hint="eastAsia"/>
        </w:rPr>
        <w:t>之效率性及安全性</w:t>
      </w:r>
      <w:r w:rsidRPr="00E32D7C">
        <w:rPr>
          <w:rFonts w:hint="eastAsia"/>
        </w:rPr>
        <w:t>。</w:t>
      </w:r>
    </w:p>
    <w:bookmarkEnd w:id="10"/>
    <w:bookmarkEnd w:id="11"/>
    <w:bookmarkEnd w:id="12"/>
    <w:bookmarkEnd w:id="8"/>
    <w:bookmarkEnd w:id="9"/>
    <w:bookmarkEnd w:id="6"/>
    <w:bookmarkEnd w:id="7"/>
    <w:bookmarkEnd w:id="0"/>
    <w:bookmarkEnd w:id="2"/>
    <w:bookmarkEnd w:id="3"/>
    <w:bookmarkEnd w:id="4"/>
    <w:bookmarkEnd w:id="5"/>
    <w:sectPr w:rsidR="00981733"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A07" w:rsidRDefault="009A1A07" w:rsidP="00712B70">
      <w:pPr>
        <w:spacing w:line="240" w:lineRule="auto"/>
        <w:ind w:left="560" w:firstLine="560"/>
      </w:pPr>
      <w:r>
        <w:separator/>
      </w:r>
    </w:p>
  </w:endnote>
  <w:endnote w:type="continuationSeparator" w:id="0">
    <w:p w:rsidR="009A1A07" w:rsidRDefault="009A1A07"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rsidP="00295DD9">
    <w:pPr>
      <w:pStyle w:val="af1"/>
      <w:ind w:leftChars="0" w:left="566" w:firstLineChars="0" w:firstLine="566"/>
      <w:jc w:val="center"/>
    </w:pPr>
    <w:r>
      <w:fldChar w:fldCharType="begin"/>
    </w:r>
    <w:r>
      <w:instrText>PAGE   \* MERGEFORMAT</w:instrText>
    </w:r>
    <w:r>
      <w:fldChar w:fldCharType="separate"/>
    </w:r>
    <w:r w:rsidR="00DA4860" w:rsidRPr="00DA4860">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A07" w:rsidRDefault="009A1A07" w:rsidP="00E854DA">
      <w:pPr>
        <w:spacing w:line="240" w:lineRule="auto"/>
        <w:ind w:leftChars="210" w:left="588" w:firstLine="560"/>
      </w:pPr>
      <w:r>
        <w:separator/>
      </w:r>
    </w:p>
  </w:footnote>
  <w:footnote w:type="continuationSeparator" w:id="0">
    <w:p w:rsidR="009A1A07" w:rsidRDefault="009A1A07" w:rsidP="00712B70">
      <w:pPr>
        <w:spacing w:line="240" w:lineRule="auto"/>
        <w:ind w:left="560" w:firstLine="560"/>
      </w:pPr>
      <w:r>
        <w:continuationSeparator/>
      </w:r>
    </w:p>
  </w:footnote>
  <w:footnote w:id="1">
    <w:p w:rsidR="008E2CC5" w:rsidRPr="008C7CEB" w:rsidRDefault="008E2CC5" w:rsidP="008C7CEB">
      <w:pPr>
        <w:pStyle w:val="142"/>
        <w:ind w:left="73" w:hangingChars="30" w:hanging="73"/>
        <w:jc w:val="both"/>
        <w:rPr>
          <w:rFonts w:hint="eastAsia"/>
        </w:rPr>
      </w:pPr>
      <w:r>
        <w:rPr>
          <w:rStyle w:val="af6"/>
        </w:rPr>
        <w:footnoteRef/>
      </w:r>
      <w:r>
        <w:t xml:space="preserve"> </w:t>
      </w:r>
      <w:r w:rsidRPr="008C7CEB">
        <w:rPr>
          <w:rFonts w:hint="eastAsia"/>
        </w:rPr>
        <w:t>臺鐵公司，臺鐵公司化執行情況、獎敘規範暨軌道月台旅客安全規劃專題報告，113年9月26日立法院第11屆第2會期交通委員會第2次全體委員會議資料。</w:t>
      </w:r>
    </w:p>
  </w:footnote>
  <w:footnote w:id="2">
    <w:p w:rsidR="008E2CC5" w:rsidRPr="00671939" w:rsidRDefault="008E2CC5" w:rsidP="00671939">
      <w:pPr>
        <w:pStyle w:val="142"/>
        <w:ind w:left="73" w:hangingChars="30" w:hanging="73"/>
        <w:jc w:val="both"/>
        <w:rPr>
          <w:rFonts w:hint="eastAsia"/>
        </w:rPr>
      </w:pPr>
      <w:r>
        <w:rPr>
          <w:rStyle w:val="af6"/>
        </w:rPr>
        <w:footnoteRef/>
      </w:r>
      <w:r>
        <w:t xml:space="preserve"> </w:t>
      </w:r>
      <w:r w:rsidRPr="00671939">
        <w:rPr>
          <w:rFonts w:hint="eastAsia"/>
        </w:rPr>
        <w:t>摘述自臺鐵公司FB貼文，交長李孟諺視察臺鐵行控中心並要求提升設備效能與達今年準點率97%目標，113年6月20日。</w:t>
      </w:r>
    </w:p>
  </w:footnote>
  <w:footnote w:id="3">
    <w:p w:rsidR="008E2CC5" w:rsidRPr="008728EE" w:rsidRDefault="008E2CC5" w:rsidP="008728EE">
      <w:pPr>
        <w:pStyle w:val="142"/>
        <w:ind w:left="73" w:hangingChars="30" w:hanging="73"/>
        <w:jc w:val="both"/>
        <w:rPr>
          <w:rFonts w:hint="eastAsia"/>
        </w:rPr>
      </w:pPr>
      <w:r>
        <w:rPr>
          <w:rStyle w:val="af6"/>
        </w:rPr>
        <w:footnoteRef/>
      </w:r>
      <w:r>
        <w:t xml:space="preserve"> </w:t>
      </w:r>
      <w:r>
        <w:rPr>
          <w:rFonts w:hint="eastAsia"/>
        </w:rPr>
        <w:t>同註1</w:t>
      </w:r>
      <w:r>
        <w:t>0</w:t>
      </w:r>
      <w:r>
        <w:rPr>
          <w:rFonts w:hint="eastAsia"/>
        </w:rPr>
        <w:t>。</w:t>
      </w:r>
    </w:p>
  </w:footnote>
  <w:footnote w:id="4">
    <w:p w:rsidR="008E2CC5" w:rsidRPr="00CD21B3" w:rsidRDefault="008E2CC5" w:rsidP="00CD21B3">
      <w:pPr>
        <w:pStyle w:val="142"/>
        <w:ind w:left="73" w:hangingChars="30" w:hanging="73"/>
        <w:jc w:val="both"/>
        <w:rPr>
          <w:rFonts w:hint="eastAsia"/>
        </w:rPr>
      </w:pPr>
      <w:r>
        <w:rPr>
          <w:rStyle w:val="af6"/>
        </w:rPr>
        <w:footnoteRef/>
      </w:r>
      <w:r>
        <w:t xml:space="preserve"> </w:t>
      </w:r>
      <w:r>
        <w:rPr>
          <w:rFonts w:hint="eastAsia"/>
        </w:rPr>
        <w:t>臺鐵公司，</w:t>
      </w:r>
      <w:r w:rsidRPr="00CD21B3">
        <w:rPr>
          <w:rFonts w:hint="eastAsia"/>
        </w:rPr>
        <w:t>針對台鐵票價上漲暨列車準點率提升作為專題</w:t>
      </w:r>
      <w:r>
        <w:rPr>
          <w:rFonts w:hint="eastAsia"/>
        </w:rPr>
        <w:t>報告，</w:t>
      </w:r>
      <w:r w:rsidRPr="00CD21B3">
        <w:rPr>
          <w:rFonts w:hint="eastAsia"/>
        </w:rPr>
        <w:t>113年5月6日立法院第11屆第1會期交通委員會第11次全體委員會議</w:t>
      </w:r>
      <w:r>
        <w:rPr>
          <w:rFonts w:hint="eastAsia"/>
        </w:rPr>
        <w:t>資料。</w:t>
      </w:r>
    </w:p>
  </w:footnote>
  <w:footnote w:id="5">
    <w:p w:rsidR="008E2CC5" w:rsidRPr="005326D9" w:rsidRDefault="008E2CC5" w:rsidP="005326D9">
      <w:pPr>
        <w:pStyle w:val="142"/>
        <w:ind w:left="73" w:hangingChars="30" w:hanging="73"/>
        <w:jc w:val="both"/>
        <w:rPr>
          <w:rFonts w:hint="eastAsia"/>
        </w:rPr>
      </w:pPr>
      <w:r>
        <w:rPr>
          <w:rStyle w:val="af6"/>
        </w:rPr>
        <w:footnoteRef/>
      </w:r>
      <w:r>
        <w:t xml:space="preserve"> </w:t>
      </w:r>
      <w:r>
        <w:rPr>
          <w:rFonts w:hint="eastAsia"/>
        </w:rPr>
        <w:t>參據臺鐵公司回復資料。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141A5B91"/>
    <w:multiLevelType w:val="hybridMultilevel"/>
    <w:tmpl w:val="7A7EC250"/>
    <w:lvl w:ilvl="0" w:tplc="10247A26">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BDF3145"/>
    <w:multiLevelType w:val="hybridMultilevel"/>
    <w:tmpl w:val="2886E408"/>
    <w:lvl w:ilvl="0" w:tplc="50EAAE6E">
      <w:start w:val="1"/>
      <w:numFmt w:val="taiwaneseCountingThousand"/>
      <w:lvlText w:val="%1、"/>
      <w:lvlJc w:val="left"/>
      <w:pPr>
        <w:ind w:left="6958" w:hanging="720"/>
      </w:pPr>
    </w:lvl>
    <w:lvl w:ilvl="1" w:tplc="AC18B3A0">
      <w:start w:val="1"/>
      <w:numFmt w:val="taiwaneseCountingThousand"/>
      <w:lvlText w:val="(%2)"/>
      <w:lvlJc w:val="left"/>
      <w:pPr>
        <w:ind w:left="7198" w:hanging="480"/>
      </w:pPr>
      <w:rPr>
        <w:rFonts w:ascii="標楷體" w:eastAsia="標楷體" w:hAnsi="標楷體"/>
      </w:rPr>
    </w:lvl>
    <w:lvl w:ilvl="2" w:tplc="0409000F">
      <w:start w:val="1"/>
      <w:numFmt w:val="decimal"/>
      <w:lvlText w:val="%3."/>
      <w:lvlJc w:val="left"/>
      <w:pPr>
        <w:ind w:left="7678" w:hanging="480"/>
      </w:pPr>
    </w:lvl>
    <w:lvl w:ilvl="3" w:tplc="0409000F">
      <w:start w:val="1"/>
      <w:numFmt w:val="decimal"/>
      <w:lvlText w:val="%4."/>
      <w:lvlJc w:val="left"/>
      <w:pPr>
        <w:ind w:left="8158" w:hanging="480"/>
      </w:pPr>
    </w:lvl>
    <w:lvl w:ilvl="4" w:tplc="04090019">
      <w:start w:val="1"/>
      <w:numFmt w:val="ideographTraditional"/>
      <w:lvlText w:val="%5、"/>
      <w:lvlJc w:val="left"/>
      <w:pPr>
        <w:ind w:left="8638" w:hanging="480"/>
      </w:pPr>
    </w:lvl>
    <w:lvl w:ilvl="5" w:tplc="0409001B">
      <w:start w:val="1"/>
      <w:numFmt w:val="lowerRoman"/>
      <w:lvlText w:val="%6."/>
      <w:lvlJc w:val="right"/>
      <w:pPr>
        <w:ind w:left="9118" w:hanging="480"/>
      </w:pPr>
    </w:lvl>
    <w:lvl w:ilvl="6" w:tplc="0409000F">
      <w:start w:val="1"/>
      <w:numFmt w:val="decimal"/>
      <w:lvlText w:val="%7."/>
      <w:lvlJc w:val="left"/>
      <w:pPr>
        <w:ind w:left="9598" w:hanging="480"/>
      </w:pPr>
    </w:lvl>
    <w:lvl w:ilvl="7" w:tplc="04090019">
      <w:start w:val="1"/>
      <w:numFmt w:val="ideographTraditional"/>
      <w:lvlText w:val="%8、"/>
      <w:lvlJc w:val="left"/>
      <w:pPr>
        <w:ind w:left="10078" w:hanging="480"/>
      </w:pPr>
    </w:lvl>
    <w:lvl w:ilvl="8" w:tplc="0409001B">
      <w:start w:val="1"/>
      <w:numFmt w:val="lowerRoman"/>
      <w:lvlText w:val="%9."/>
      <w:lvlJc w:val="right"/>
      <w:pPr>
        <w:ind w:left="10558" w:hanging="480"/>
      </w:pPr>
    </w:lvl>
  </w:abstractNum>
  <w:abstractNum w:abstractNumId="9"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9"/>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1BC"/>
    <w:rsid w:val="000013B3"/>
    <w:rsid w:val="00001995"/>
    <w:rsid w:val="00002573"/>
    <w:rsid w:val="000029E0"/>
    <w:rsid w:val="0000317E"/>
    <w:rsid w:val="00003B05"/>
    <w:rsid w:val="00004BE1"/>
    <w:rsid w:val="00005807"/>
    <w:rsid w:val="00005886"/>
    <w:rsid w:val="0000637D"/>
    <w:rsid w:val="000066C9"/>
    <w:rsid w:val="000068DF"/>
    <w:rsid w:val="000074B5"/>
    <w:rsid w:val="000074C1"/>
    <w:rsid w:val="000078C4"/>
    <w:rsid w:val="00007BB1"/>
    <w:rsid w:val="00007D81"/>
    <w:rsid w:val="00010193"/>
    <w:rsid w:val="00010824"/>
    <w:rsid w:val="00010A31"/>
    <w:rsid w:val="00010FE4"/>
    <w:rsid w:val="000110F3"/>
    <w:rsid w:val="0001170D"/>
    <w:rsid w:val="00011BCF"/>
    <w:rsid w:val="00011C38"/>
    <w:rsid w:val="00012534"/>
    <w:rsid w:val="00012CB4"/>
    <w:rsid w:val="00012F03"/>
    <w:rsid w:val="00013550"/>
    <w:rsid w:val="00013BDE"/>
    <w:rsid w:val="00015CA9"/>
    <w:rsid w:val="0001609C"/>
    <w:rsid w:val="00016AD5"/>
    <w:rsid w:val="00016C54"/>
    <w:rsid w:val="00016CEB"/>
    <w:rsid w:val="00016FA4"/>
    <w:rsid w:val="00017A2D"/>
    <w:rsid w:val="00017D36"/>
    <w:rsid w:val="00017E2C"/>
    <w:rsid w:val="00017F90"/>
    <w:rsid w:val="000202D8"/>
    <w:rsid w:val="00020A97"/>
    <w:rsid w:val="00020A9F"/>
    <w:rsid w:val="00020C1D"/>
    <w:rsid w:val="0002125B"/>
    <w:rsid w:val="00021456"/>
    <w:rsid w:val="00021797"/>
    <w:rsid w:val="00021B97"/>
    <w:rsid w:val="0002223D"/>
    <w:rsid w:val="00022701"/>
    <w:rsid w:val="000228E7"/>
    <w:rsid w:val="00022A32"/>
    <w:rsid w:val="00022FBC"/>
    <w:rsid w:val="00023BDA"/>
    <w:rsid w:val="00024D3C"/>
    <w:rsid w:val="000251FE"/>
    <w:rsid w:val="000265DC"/>
    <w:rsid w:val="000277DE"/>
    <w:rsid w:val="00027803"/>
    <w:rsid w:val="000279C8"/>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16A"/>
    <w:rsid w:val="000364B6"/>
    <w:rsid w:val="0003693C"/>
    <w:rsid w:val="00037028"/>
    <w:rsid w:val="000372AC"/>
    <w:rsid w:val="000378F1"/>
    <w:rsid w:val="00037D39"/>
    <w:rsid w:val="0004017A"/>
    <w:rsid w:val="00040FAB"/>
    <w:rsid w:val="000416F5"/>
    <w:rsid w:val="00042035"/>
    <w:rsid w:val="00042A80"/>
    <w:rsid w:val="0004310B"/>
    <w:rsid w:val="000434BB"/>
    <w:rsid w:val="0004387F"/>
    <w:rsid w:val="0004400F"/>
    <w:rsid w:val="00045462"/>
    <w:rsid w:val="00045A42"/>
    <w:rsid w:val="00045C65"/>
    <w:rsid w:val="00046803"/>
    <w:rsid w:val="00047284"/>
    <w:rsid w:val="00047DDE"/>
    <w:rsid w:val="00047DF0"/>
    <w:rsid w:val="00047F3F"/>
    <w:rsid w:val="00050390"/>
    <w:rsid w:val="000506C3"/>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7F1"/>
    <w:rsid w:val="00061AF5"/>
    <w:rsid w:val="00061C27"/>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3D0"/>
    <w:rsid w:val="00070DF7"/>
    <w:rsid w:val="000711EA"/>
    <w:rsid w:val="00071CFA"/>
    <w:rsid w:val="00071D0E"/>
    <w:rsid w:val="0007201A"/>
    <w:rsid w:val="00072445"/>
    <w:rsid w:val="00072D3D"/>
    <w:rsid w:val="00073756"/>
    <w:rsid w:val="00073864"/>
    <w:rsid w:val="00073A48"/>
    <w:rsid w:val="00074315"/>
    <w:rsid w:val="00074D08"/>
    <w:rsid w:val="00074EE6"/>
    <w:rsid w:val="000752FE"/>
    <w:rsid w:val="000753EE"/>
    <w:rsid w:val="000766BA"/>
    <w:rsid w:val="00077001"/>
    <w:rsid w:val="00077E78"/>
    <w:rsid w:val="00080996"/>
    <w:rsid w:val="00080A27"/>
    <w:rsid w:val="00080AF0"/>
    <w:rsid w:val="00080F7B"/>
    <w:rsid w:val="00081339"/>
    <w:rsid w:val="000814D7"/>
    <w:rsid w:val="00081654"/>
    <w:rsid w:val="0008218C"/>
    <w:rsid w:val="00082820"/>
    <w:rsid w:val="00082A56"/>
    <w:rsid w:val="00082DD8"/>
    <w:rsid w:val="00083130"/>
    <w:rsid w:val="000834CD"/>
    <w:rsid w:val="00083A5C"/>
    <w:rsid w:val="00083B02"/>
    <w:rsid w:val="00083CA0"/>
    <w:rsid w:val="00083E27"/>
    <w:rsid w:val="00084114"/>
    <w:rsid w:val="0008417E"/>
    <w:rsid w:val="000846BE"/>
    <w:rsid w:val="00085408"/>
    <w:rsid w:val="00085952"/>
    <w:rsid w:val="00085F50"/>
    <w:rsid w:val="00086346"/>
    <w:rsid w:val="00086624"/>
    <w:rsid w:val="00086B01"/>
    <w:rsid w:val="00086BEE"/>
    <w:rsid w:val="00086D7A"/>
    <w:rsid w:val="00086F0F"/>
    <w:rsid w:val="00087588"/>
    <w:rsid w:val="00087A0F"/>
    <w:rsid w:val="000902E2"/>
    <w:rsid w:val="00090E1B"/>
    <w:rsid w:val="00091007"/>
    <w:rsid w:val="000915C1"/>
    <w:rsid w:val="00091B9F"/>
    <w:rsid w:val="000928DF"/>
    <w:rsid w:val="00093062"/>
    <w:rsid w:val="00093812"/>
    <w:rsid w:val="0009479E"/>
    <w:rsid w:val="00094E25"/>
    <w:rsid w:val="00094ED5"/>
    <w:rsid w:val="00095127"/>
    <w:rsid w:val="00095B49"/>
    <w:rsid w:val="000963E4"/>
    <w:rsid w:val="00096796"/>
    <w:rsid w:val="00096C38"/>
    <w:rsid w:val="0009738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5E5"/>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196"/>
    <w:rsid w:val="000B43CD"/>
    <w:rsid w:val="000B44EB"/>
    <w:rsid w:val="000B467F"/>
    <w:rsid w:val="000B4AE6"/>
    <w:rsid w:val="000B4D9D"/>
    <w:rsid w:val="000B4EDC"/>
    <w:rsid w:val="000B538C"/>
    <w:rsid w:val="000B5857"/>
    <w:rsid w:val="000B5A6E"/>
    <w:rsid w:val="000B5BA2"/>
    <w:rsid w:val="000B60B9"/>
    <w:rsid w:val="000B6238"/>
    <w:rsid w:val="000B6703"/>
    <w:rsid w:val="000B6875"/>
    <w:rsid w:val="000B6CE5"/>
    <w:rsid w:val="000B7EF4"/>
    <w:rsid w:val="000C0878"/>
    <w:rsid w:val="000C19B3"/>
    <w:rsid w:val="000C1FD5"/>
    <w:rsid w:val="000C2161"/>
    <w:rsid w:val="000C29AE"/>
    <w:rsid w:val="000C3961"/>
    <w:rsid w:val="000C3BB5"/>
    <w:rsid w:val="000C3DD5"/>
    <w:rsid w:val="000C55A9"/>
    <w:rsid w:val="000C5BD5"/>
    <w:rsid w:val="000C5C01"/>
    <w:rsid w:val="000C7C59"/>
    <w:rsid w:val="000C7D8F"/>
    <w:rsid w:val="000C7DA4"/>
    <w:rsid w:val="000D02F4"/>
    <w:rsid w:val="000D0935"/>
    <w:rsid w:val="000D0BD4"/>
    <w:rsid w:val="000D0E8C"/>
    <w:rsid w:val="000D1055"/>
    <w:rsid w:val="000D12EB"/>
    <w:rsid w:val="000D235E"/>
    <w:rsid w:val="000D236B"/>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1F45"/>
    <w:rsid w:val="000E2A94"/>
    <w:rsid w:val="000E2EED"/>
    <w:rsid w:val="000E3025"/>
    <w:rsid w:val="000E339A"/>
    <w:rsid w:val="000E3712"/>
    <w:rsid w:val="000E4287"/>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60E"/>
    <w:rsid w:val="000F3956"/>
    <w:rsid w:val="000F3E32"/>
    <w:rsid w:val="000F42AF"/>
    <w:rsid w:val="000F4821"/>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4B0"/>
    <w:rsid w:val="00105E41"/>
    <w:rsid w:val="001070A6"/>
    <w:rsid w:val="001074EA"/>
    <w:rsid w:val="001100AD"/>
    <w:rsid w:val="00110888"/>
    <w:rsid w:val="00110BFD"/>
    <w:rsid w:val="0011197C"/>
    <w:rsid w:val="0011199B"/>
    <w:rsid w:val="00112AA6"/>
    <w:rsid w:val="0011343F"/>
    <w:rsid w:val="00113B82"/>
    <w:rsid w:val="0011482E"/>
    <w:rsid w:val="00115023"/>
    <w:rsid w:val="001154AB"/>
    <w:rsid w:val="00115899"/>
    <w:rsid w:val="00115FD9"/>
    <w:rsid w:val="00116F76"/>
    <w:rsid w:val="00117149"/>
    <w:rsid w:val="00117175"/>
    <w:rsid w:val="00117926"/>
    <w:rsid w:val="00117DB2"/>
    <w:rsid w:val="00117DC8"/>
    <w:rsid w:val="00120004"/>
    <w:rsid w:val="001202B8"/>
    <w:rsid w:val="0012040A"/>
    <w:rsid w:val="00121C28"/>
    <w:rsid w:val="001220ED"/>
    <w:rsid w:val="001223CF"/>
    <w:rsid w:val="00122BED"/>
    <w:rsid w:val="00122C1C"/>
    <w:rsid w:val="00122C4D"/>
    <w:rsid w:val="0012369B"/>
    <w:rsid w:val="00123FD7"/>
    <w:rsid w:val="001252A3"/>
    <w:rsid w:val="0012536A"/>
    <w:rsid w:val="00125C8B"/>
    <w:rsid w:val="00125CC1"/>
    <w:rsid w:val="001260D0"/>
    <w:rsid w:val="001264DB"/>
    <w:rsid w:val="0012773B"/>
    <w:rsid w:val="00130132"/>
    <w:rsid w:val="00130BA4"/>
    <w:rsid w:val="00131378"/>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74E"/>
    <w:rsid w:val="00141FCE"/>
    <w:rsid w:val="001425B9"/>
    <w:rsid w:val="00142CBA"/>
    <w:rsid w:val="00143347"/>
    <w:rsid w:val="001441FE"/>
    <w:rsid w:val="0014424A"/>
    <w:rsid w:val="001461EA"/>
    <w:rsid w:val="00146305"/>
    <w:rsid w:val="0014650E"/>
    <w:rsid w:val="0014686E"/>
    <w:rsid w:val="0014689D"/>
    <w:rsid w:val="001471BC"/>
    <w:rsid w:val="00150176"/>
    <w:rsid w:val="00150DCA"/>
    <w:rsid w:val="001513CA"/>
    <w:rsid w:val="00151A70"/>
    <w:rsid w:val="00151CBC"/>
    <w:rsid w:val="00151E20"/>
    <w:rsid w:val="0015225E"/>
    <w:rsid w:val="001524AF"/>
    <w:rsid w:val="001527C0"/>
    <w:rsid w:val="0015321C"/>
    <w:rsid w:val="001534B7"/>
    <w:rsid w:val="00153A24"/>
    <w:rsid w:val="00153A84"/>
    <w:rsid w:val="00153B3D"/>
    <w:rsid w:val="001549BB"/>
    <w:rsid w:val="00154CF5"/>
    <w:rsid w:val="00155A7F"/>
    <w:rsid w:val="00155D6B"/>
    <w:rsid w:val="00157004"/>
    <w:rsid w:val="001574CC"/>
    <w:rsid w:val="001576F3"/>
    <w:rsid w:val="001578D4"/>
    <w:rsid w:val="0016047C"/>
    <w:rsid w:val="0016105C"/>
    <w:rsid w:val="001613E3"/>
    <w:rsid w:val="00161DEB"/>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2D"/>
    <w:rsid w:val="001709FB"/>
    <w:rsid w:val="0017229B"/>
    <w:rsid w:val="00172D0E"/>
    <w:rsid w:val="00172DF0"/>
    <w:rsid w:val="00173961"/>
    <w:rsid w:val="00173A1A"/>
    <w:rsid w:val="00174D38"/>
    <w:rsid w:val="001759BE"/>
    <w:rsid w:val="00175A8A"/>
    <w:rsid w:val="00175BE4"/>
    <w:rsid w:val="001764CC"/>
    <w:rsid w:val="0017664B"/>
    <w:rsid w:val="00177198"/>
    <w:rsid w:val="00177592"/>
    <w:rsid w:val="00177790"/>
    <w:rsid w:val="001803C0"/>
    <w:rsid w:val="00180A61"/>
    <w:rsid w:val="00180CA6"/>
    <w:rsid w:val="00180FD2"/>
    <w:rsid w:val="00181103"/>
    <w:rsid w:val="00183435"/>
    <w:rsid w:val="0018367D"/>
    <w:rsid w:val="001838FD"/>
    <w:rsid w:val="00184373"/>
    <w:rsid w:val="001848FC"/>
    <w:rsid w:val="0018587F"/>
    <w:rsid w:val="001863DC"/>
    <w:rsid w:val="0018672D"/>
    <w:rsid w:val="001914D6"/>
    <w:rsid w:val="0019178E"/>
    <w:rsid w:val="00191DC6"/>
    <w:rsid w:val="001926D2"/>
    <w:rsid w:val="00192A62"/>
    <w:rsid w:val="00192FBB"/>
    <w:rsid w:val="001933FE"/>
    <w:rsid w:val="0019497C"/>
    <w:rsid w:val="001949A5"/>
    <w:rsid w:val="00195044"/>
    <w:rsid w:val="00195062"/>
    <w:rsid w:val="0019546B"/>
    <w:rsid w:val="00195BA0"/>
    <w:rsid w:val="00196026"/>
    <w:rsid w:val="001960AD"/>
    <w:rsid w:val="001967C4"/>
    <w:rsid w:val="00196992"/>
    <w:rsid w:val="00196D57"/>
    <w:rsid w:val="0019711B"/>
    <w:rsid w:val="001974AE"/>
    <w:rsid w:val="001978E5"/>
    <w:rsid w:val="001A014D"/>
    <w:rsid w:val="001A02D1"/>
    <w:rsid w:val="001A1168"/>
    <w:rsid w:val="001A118D"/>
    <w:rsid w:val="001A120F"/>
    <w:rsid w:val="001A16B8"/>
    <w:rsid w:val="001A3291"/>
    <w:rsid w:val="001A329D"/>
    <w:rsid w:val="001A34FD"/>
    <w:rsid w:val="001A3C73"/>
    <w:rsid w:val="001A417E"/>
    <w:rsid w:val="001A4551"/>
    <w:rsid w:val="001A4DAC"/>
    <w:rsid w:val="001A54E3"/>
    <w:rsid w:val="001A5548"/>
    <w:rsid w:val="001A5792"/>
    <w:rsid w:val="001A5B11"/>
    <w:rsid w:val="001A5B69"/>
    <w:rsid w:val="001A5BF0"/>
    <w:rsid w:val="001A62B5"/>
    <w:rsid w:val="001A64E0"/>
    <w:rsid w:val="001A6841"/>
    <w:rsid w:val="001A75E5"/>
    <w:rsid w:val="001A7B2E"/>
    <w:rsid w:val="001B00B3"/>
    <w:rsid w:val="001B0630"/>
    <w:rsid w:val="001B0AD7"/>
    <w:rsid w:val="001B0D1D"/>
    <w:rsid w:val="001B10E3"/>
    <w:rsid w:val="001B117A"/>
    <w:rsid w:val="001B21CB"/>
    <w:rsid w:val="001B25AE"/>
    <w:rsid w:val="001B292D"/>
    <w:rsid w:val="001B2EA9"/>
    <w:rsid w:val="001B2ED7"/>
    <w:rsid w:val="001B2F4B"/>
    <w:rsid w:val="001B41A4"/>
    <w:rsid w:val="001B466F"/>
    <w:rsid w:val="001B5140"/>
    <w:rsid w:val="001B5AC2"/>
    <w:rsid w:val="001B618E"/>
    <w:rsid w:val="001B664B"/>
    <w:rsid w:val="001B6D3A"/>
    <w:rsid w:val="001B6F9C"/>
    <w:rsid w:val="001B7010"/>
    <w:rsid w:val="001C26AB"/>
    <w:rsid w:val="001C36BB"/>
    <w:rsid w:val="001C4015"/>
    <w:rsid w:val="001C43A2"/>
    <w:rsid w:val="001C4551"/>
    <w:rsid w:val="001C4604"/>
    <w:rsid w:val="001C549A"/>
    <w:rsid w:val="001C55B9"/>
    <w:rsid w:val="001C592A"/>
    <w:rsid w:val="001C6578"/>
    <w:rsid w:val="001C6757"/>
    <w:rsid w:val="001C6A89"/>
    <w:rsid w:val="001C72F4"/>
    <w:rsid w:val="001C7408"/>
    <w:rsid w:val="001C7B51"/>
    <w:rsid w:val="001C7F57"/>
    <w:rsid w:val="001D0113"/>
    <w:rsid w:val="001D09B6"/>
    <w:rsid w:val="001D13AC"/>
    <w:rsid w:val="001D1771"/>
    <w:rsid w:val="001D1D62"/>
    <w:rsid w:val="001D2162"/>
    <w:rsid w:val="001D2F79"/>
    <w:rsid w:val="001D38C1"/>
    <w:rsid w:val="001D3B19"/>
    <w:rsid w:val="001D3C83"/>
    <w:rsid w:val="001D3E09"/>
    <w:rsid w:val="001D43C9"/>
    <w:rsid w:val="001D45F3"/>
    <w:rsid w:val="001D48B2"/>
    <w:rsid w:val="001D4F75"/>
    <w:rsid w:val="001D558E"/>
    <w:rsid w:val="001D5AB0"/>
    <w:rsid w:val="001D6565"/>
    <w:rsid w:val="001D6732"/>
    <w:rsid w:val="001D6C11"/>
    <w:rsid w:val="001D723E"/>
    <w:rsid w:val="001D7E78"/>
    <w:rsid w:val="001E0784"/>
    <w:rsid w:val="001E0AD0"/>
    <w:rsid w:val="001E0AF8"/>
    <w:rsid w:val="001E116F"/>
    <w:rsid w:val="001E1EAB"/>
    <w:rsid w:val="001E25E1"/>
    <w:rsid w:val="001E2769"/>
    <w:rsid w:val="001E3E03"/>
    <w:rsid w:val="001E4D42"/>
    <w:rsid w:val="001E4F9E"/>
    <w:rsid w:val="001E5107"/>
    <w:rsid w:val="001E5533"/>
    <w:rsid w:val="001E58FF"/>
    <w:rsid w:val="001E59E9"/>
    <w:rsid w:val="001E5CC1"/>
    <w:rsid w:val="001E6D91"/>
    <w:rsid w:val="001E729F"/>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42B9"/>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3C1"/>
    <w:rsid w:val="0020198F"/>
    <w:rsid w:val="0020222E"/>
    <w:rsid w:val="002022F0"/>
    <w:rsid w:val="002042C1"/>
    <w:rsid w:val="0020445F"/>
    <w:rsid w:val="00204F41"/>
    <w:rsid w:val="00205DB4"/>
    <w:rsid w:val="00206AF3"/>
    <w:rsid w:val="00206DAD"/>
    <w:rsid w:val="00207017"/>
    <w:rsid w:val="002074E7"/>
    <w:rsid w:val="0020755F"/>
    <w:rsid w:val="00207562"/>
    <w:rsid w:val="002104BF"/>
    <w:rsid w:val="0021055B"/>
    <w:rsid w:val="0021058F"/>
    <w:rsid w:val="00210793"/>
    <w:rsid w:val="00210A6E"/>
    <w:rsid w:val="00211818"/>
    <w:rsid w:val="00211AE3"/>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201"/>
    <w:rsid w:val="00222468"/>
    <w:rsid w:val="002226AC"/>
    <w:rsid w:val="002226CF"/>
    <w:rsid w:val="00222B75"/>
    <w:rsid w:val="002238F2"/>
    <w:rsid w:val="00224097"/>
    <w:rsid w:val="002245B7"/>
    <w:rsid w:val="0022513D"/>
    <w:rsid w:val="00225411"/>
    <w:rsid w:val="002258B8"/>
    <w:rsid w:val="00226C6C"/>
    <w:rsid w:val="00227190"/>
    <w:rsid w:val="00227326"/>
    <w:rsid w:val="00227EF6"/>
    <w:rsid w:val="0023000E"/>
    <w:rsid w:val="0023017B"/>
    <w:rsid w:val="00230976"/>
    <w:rsid w:val="00231685"/>
    <w:rsid w:val="00231DE5"/>
    <w:rsid w:val="0023224E"/>
    <w:rsid w:val="00232F43"/>
    <w:rsid w:val="00233181"/>
    <w:rsid w:val="002335BE"/>
    <w:rsid w:val="0023362B"/>
    <w:rsid w:val="002336A5"/>
    <w:rsid w:val="002337EB"/>
    <w:rsid w:val="002344C2"/>
    <w:rsid w:val="0023499B"/>
    <w:rsid w:val="00234A43"/>
    <w:rsid w:val="002356F3"/>
    <w:rsid w:val="00235936"/>
    <w:rsid w:val="002359A5"/>
    <w:rsid w:val="00235AB9"/>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43F"/>
    <w:rsid w:val="0024659C"/>
    <w:rsid w:val="00246ADD"/>
    <w:rsid w:val="00247919"/>
    <w:rsid w:val="00247B72"/>
    <w:rsid w:val="00247C44"/>
    <w:rsid w:val="002505F6"/>
    <w:rsid w:val="002510CC"/>
    <w:rsid w:val="00251401"/>
    <w:rsid w:val="00252951"/>
    <w:rsid w:val="00252D19"/>
    <w:rsid w:val="002537E1"/>
    <w:rsid w:val="002538F8"/>
    <w:rsid w:val="00253DE3"/>
    <w:rsid w:val="00254138"/>
    <w:rsid w:val="00254277"/>
    <w:rsid w:val="002547F4"/>
    <w:rsid w:val="00254980"/>
    <w:rsid w:val="00254AAB"/>
    <w:rsid w:val="00254B47"/>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8B7"/>
    <w:rsid w:val="00262F12"/>
    <w:rsid w:val="0026319D"/>
    <w:rsid w:val="0026357A"/>
    <w:rsid w:val="00263923"/>
    <w:rsid w:val="00263C09"/>
    <w:rsid w:val="00263D18"/>
    <w:rsid w:val="00263F6B"/>
    <w:rsid w:val="002641AA"/>
    <w:rsid w:val="0026431A"/>
    <w:rsid w:val="0026469D"/>
    <w:rsid w:val="002647C6"/>
    <w:rsid w:val="00264D77"/>
    <w:rsid w:val="002650AA"/>
    <w:rsid w:val="002654C9"/>
    <w:rsid w:val="00265CA2"/>
    <w:rsid w:val="002665CD"/>
    <w:rsid w:val="0026702F"/>
    <w:rsid w:val="00267288"/>
    <w:rsid w:val="00267486"/>
    <w:rsid w:val="00267AD7"/>
    <w:rsid w:val="00270A96"/>
    <w:rsid w:val="00270EFC"/>
    <w:rsid w:val="002716D2"/>
    <w:rsid w:val="00271968"/>
    <w:rsid w:val="00271CF1"/>
    <w:rsid w:val="00271E8B"/>
    <w:rsid w:val="002721F0"/>
    <w:rsid w:val="00272B71"/>
    <w:rsid w:val="00273CB5"/>
    <w:rsid w:val="002748A9"/>
    <w:rsid w:val="002748B1"/>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50D8"/>
    <w:rsid w:val="002859A7"/>
    <w:rsid w:val="00285DC6"/>
    <w:rsid w:val="00286786"/>
    <w:rsid w:val="00286A67"/>
    <w:rsid w:val="00286A7E"/>
    <w:rsid w:val="00286B87"/>
    <w:rsid w:val="00286D24"/>
    <w:rsid w:val="00286F31"/>
    <w:rsid w:val="0029104F"/>
    <w:rsid w:val="002915F2"/>
    <w:rsid w:val="002918E4"/>
    <w:rsid w:val="00291F70"/>
    <w:rsid w:val="002922C3"/>
    <w:rsid w:val="0029286B"/>
    <w:rsid w:val="00292ED7"/>
    <w:rsid w:val="002939DB"/>
    <w:rsid w:val="00293BDB"/>
    <w:rsid w:val="00293F29"/>
    <w:rsid w:val="00294304"/>
    <w:rsid w:val="00294F1C"/>
    <w:rsid w:val="0029522B"/>
    <w:rsid w:val="00295DD9"/>
    <w:rsid w:val="00295F37"/>
    <w:rsid w:val="00296082"/>
    <w:rsid w:val="002960DD"/>
    <w:rsid w:val="002964F1"/>
    <w:rsid w:val="00296A04"/>
    <w:rsid w:val="002A00E6"/>
    <w:rsid w:val="002A13E5"/>
    <w:rsid w:val="002A2123"/>
    <w:rsid w:val="002A247E"/>
    <w:rsid w:val="002A2560"/>
    <w:rsid w:val="002A413F"/>
    <w:rsid w:val="002A4428"/>
    <w:rsid w:val="002A4C94"/>
    <w:rsid w:val="002A4E1B"/>
    <w:rsid w:val="002A59BC"/>
    <w:rsid w:val="002A5FD2"/>
    <w:rsid w:val="002A63F6"/>
    <w:rsid w:val="002A6889"/>
    <w:rsid w:val="002A6919"/>
    <w:rsid w:val="002A69FA"/>
    <w:rsid w:val="002A7AA3"/>
    <w:rsid w:val="002A7DE4"/>
    <w:rsid w:val="002B0889"/>
    <w:rsid w:val="002B1171"/>
    <w:rsid w:val="002B282C"/>
    <w:rsid w:val="002B2901"/>
    <w:rsid w:val="002B2E72"/>
    <w:rsid w:val="002B332B"/>
    <w:rsid w:val="002B41EC"/>
    <w:rsid w:val="002B51CC"/>
    <w:rsid w:val="002B5517"/>
    <w:rsid w:val="002B58AD"/>
    <w:rsid w:val="002B6C07"/>
    <w:rsid w:val="002B6E30"/>
    <w:rsid w:val="002B704B"/>
    <w:rsid w:val="002B7155"/>
    <w:rsid w:val="002B7B3D"/>
    <w:rsid w:val="002C0389"/>
    <w:rsid w:val="002C1121"/>
    <w:rsid w:val="002C1469"/>
    <w:rsid w:val="002C189C"/>
    <w:rsid w:val="002C1EA4"/>
    <w:rsid w:val="002C254C"/>
    <w:rsid w:val="002C3264"/>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4B5"/>
    <w:rsid w:val="002D3C97"/>
    <w:rsid w:val="002D3D6E"/>
    <w:rsid w:val="002D3EB2"/>
    <w:rsid w:val="002D3F09"/>
    <w:rsid w:val="002D408A"/>
    <w:rsid w:val="002D4721"/>
    <w:rsid w:val="002D564A"/>
    <w:rsid w:val="002D5ACE"/>
    <w:rsid w:val="002D5E1C"/>
    <w:rsid w:val="002D5E4F"/>
    <w:rsid w:val="002D61E1"/>
    <w:rsid w:val="002D67C6"/>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8A5"/>
    <w:rsid w:val="002E2F15"/>
    <w:rsid w:val="002E3A77"/>
    <w:rsid w:val="002E3AFD"/>
    <w:rsid w:val="002E4B97"/>
    <w:rsid w:val="002E58EC"/>
    <w:rsid w:val="002E5BD8"/>
    <w:rsid w:val="002E68A6"/>
    <w:rsid w:val="002E6926"/>
    <w:rsid w:val="002E6B1B"/>
    <w:rsid w:val="002F047A"/>
    <w:rsid w:val="002F0800"/>
    <w:rsid w:val="002F0DFB"/>
    <w:rsid w:val="002F0F8B"/>
    <w:rsid w:val="002F157E"/>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2D"/>
    <w:rsid w:val="002F64A4"/>
    <w:rsid w:val="002F6AB0"/>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0BD3"/>
    <w:rsid w:val="00311022"/>
    <w:rsid w:val="00311AFE"/>
    <w:rsid w:val="003120E3"/>
    <w:rsid w:val="003126FD"/>
    <w:rsid w:val="00312794"/>
    <w:rsid w:val="003129DA"/>
    <w:rsid w:val="00312EB4"/>
    <w:rsid w:val="003130DE"/>
    <w:rsid w:val="0031311F"/>
    <w:rsid w:val="00313468"/>
    <w:rsid w:val="003134D4"/>
    <w:rsid w:val="00313F27"/>
    <w:rsid w:val="003143C1"/>
    <w:rsid w:val="00314437"/>
    <w:rsid w:val="0031473D"/>
    <w:rsid w:val="00314C85"/>
    <w:rsid w:val="00314DA3"/>
    <w:rsid w:val="00314F5E"/>
    <w:rsid w:val="003157BD"/>
    <w:rsid w:val="00315C86"/>
    <w:rsid w:val="00315F03"/>
    <w:rsid w:val="003163D8"/>
    <w:rsid w:val="0031723A"/>
    <w:rsid w:val="00317285"/>
    <w:rsid w:val="00317292"/>
    <w:rsid w:val="0031751E"/>
    <w:rsid w:val="00317FBF"/>
    <w:rsid w:val="00320066"/>
    <w:rsid w:val="00320891"/>
    <w:rsid w:val="003208C6"/>
    <w:rsid w:val="0032096B"/>
    <w:rsid w:val="00320EEF"/>
    <w:rsid w:val="003211DB"/>
    <w:rsid w:val="0032183B"/>
    <w:rsid w:val="00321866"/>
    <w:rsid w:val="00322153"/>
    <w:rsid w:val="003224BE"/>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58E9"/>
    <w:rsid w:val="00326209"/>
    <w:rsid w:val="00326483"/>
    <w:rsid w:val="003264C5"/>
    <w:rsid w:val="0032705E"/>
    <w:rsid w:val="003274D1"/>
    <w:rsid w:val="0033065C"/>
    <w:rsid w:val="00330B6B"/>
    <w:rsid w:val="00330C2D"/>
    <w:rsid w:val="00330D08"/>
    <w:rsid w:val="00331208"/>
    <w:rsid w:val="0033123E"/>
    <w:rsid w:val="003318BB"/>
    <w:rsid w:val="00332182"/>
    <w:rsid w:val="0033263D"/>
    <w:rsid w:val="003328A3"/>
    <w:rsid w:val="003329FF"/>
    <w:rsid w:val="003332EB"/>
    <w:rsid w:val="00333347"/>
    <w:rsid w:val="0033364C"/>
    <w:rsid w:val="003338C7"/>
    <w:rsid w:val="0033439A"/>
    <w:rsid w:val="00334485"/>
    <w:rsid w:val="00334EE7"/>
    <w:rsid w:val="00334FDB"/>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7C8"/>
    <w:rsid w:val="003438A7"/>
    <w:rsid w:val="003438CF"/>
    <w:rsid w:val="00343C25"/>
    <w:rsid w:val="00345074"/>
    <w:rsid w:val="00345860"/>
    <w:rsid w:val="00345DEE"/>
    <w:rsid w:val="00345F6E"/>
    <w:rsid w:val="003475FB"/>
    <w:rsid w:val="00347E67"/>
    <w:rsid w:val="00347F56"/>
    <w:rsid w:val="00347FE1"/>
    <w:rsid w:val="003509AF"/>
    <w:rsid w:val="00350B1C"/>
    <w:rsid w:val="00351181"/>
    <w:rsid w:val="003517AC"/>
    <w:rsid w:val="00351AE3"/>
    <w:rsid w:val="00351F43"/>
    <w:rsid w:val="0035234D"/>
    <w:rsid w:val="003523FE"/>
    <w:rsid w:val="00352CDD"/>
    <w:rsid w:val="003533A2"/>
    <w:rsid w:val="00353E93"/>
    <w:rsid w:val="00354436"/>
    <w:rsid w:val="00354892"/>
    <w:rsid w:val="00354C0D"/>
    <w:rsid w:val="00354F81"/>
    <w:rsid w:val="00356A6F"/>
    <w:rsid w:val="003571A1"/>
    <w:rsid w:val="0035737A"/>
    <w:rsid w:val="003573AD"/>
    <w:rsid w:val="00357896"/>
    <w:rsid w:val="00357A5E"/>
    <w:rsid w:val="00357C4A"/>
    <w:rsid w:val="00360B68"/>
    <w:rsid w:val="00361723"/>
    <w:rsid w:val="00361B3E"/>
    <w:rsid w:val="00361B5E"/>
    <w:rsid w:val="00361F02"/>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A6E"/>
    <w:rsid w:val="00372BA0"/>
    <w:rsid w:val="00373FDE"/>
    <w:rsid w:val="00374A53"/>
    <w:rsid w:val="00374D4F"/>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2A46"/>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6E1"/>
    <w:rsid w:val="00391746"/>
    <w:rsid w:val="003917D8"/>
    <w:rsid w:val="00391C39"/>
    <w:rsid w:val="003927A7"/>
    <w:rsid w:val="00392ABB"/>
    <w:rsid w:val="00392C43"/>
    <w:rsid w:val="00392CD4"/>
    <w:rsid w:val="00392D13"/>
    <w:rsid w:val="0039379D"/>
    <w:rsid w:val="003942D5"/>
    <w:rsid w:val="0039458C"/>
    <w:rsid w:val="00394EAF"/>
    <w:rsid w:val="00396361"/>
    <w:rsid w:val="00396E88"/>
    <w:rsid w:val="00396EFB"/>
    <w:rsid w:val="003973F4"/>
    <w:rsid w:val="003979B6"/>
    <w:rsid w:val="00397AEA"/>
    <w:rsid w:val="00397B51"/>
    <w:rsid w:val="00397CB5"/>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69FF"/>
    <w:rsid w:val="003A7E7C"/>
    <w:rsid w:val="003A7EEB"/>
    <w:rsid w:val="003A7F4C"/>
    <w:rsid w:val="003B041F"/>
    <w:rsid w:val="003B0714"/>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1C2D"/>
    <w:rsid w:val="003C310C"/>
    <w:rsid w:val="003C3369"/>
    <w:rsid w:val="003C3835"/>
    <w:rsid w:val="003C38A5"/>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D7804"/>
    <w:rsid w:val="003E039D"/>
    <w:rsid w:val="003E14FD"/>
    <w:rsid w:val="003E2566"/>
    <w:rsid w:val="003E262C"/>
    <w:rsid w:val="003E2A74"/>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213C"/>
    <w:rsid w:val="003F22A4"/>
    <w:rsid w:val="003F24A4"/>
    <w:rsid w:val="003F30FA"/>
    <w:rsid w:val="003F338F"/>
    <w:rsid w:val="003F39C5"/>
    <w:rsid w:val="003F4002"/>
    <w:rsid w:val="003F470C"/>
    <w:rsid w:val="003F518C"/>
    <w:rsid w:val="003F6326"/>
    <w:rsid w:val="003F64EA"/>
    <w:rsid w:val="003F650F"/>
    <w:rsid w:val="003F6553"/>
    <w:rsid w:val="003F6EBE"/>
    <w:rsid w:val="003F715F"/>
    <w:rsid w:val="003F7A63"/>
    <w:rsid w:val="004002CB"/>
    <w:rsid w:val="004004E9"/>
    <w:rsid w:val="004009E9"/>
    <w:rsid w:val="00400A2D"/>
    <w:rsid w:val="00400F34"/>
    <w:rsid w:val="00400FEA"/>
    <w:rsid w:val="00401AFF"/>
    <w:rsid w:val="004025EE"/>
    <w:rsid w:val="004027A5"/>
    <w:rsid w:val="00402977"/>
    <w:rsid w:val="00403AFE"/>
    <w:rsid w:val="00403D07"/>
    <w:rsid w:val="00403E60"/>
    <w:rsid w:val="004046C6"/>
    <w:rsid w:val="004046F6"/>
    <w:rsid w:val="00404CB5"/>
    <w:rsid w:val="0040509B"/>
    <w:rsid w:val="00405182"/>
    <w:rsid w:val="004059FE"/>
    <w:rsid w:val="00405E3A"/>
    <w:rsid w:val="00406FF7"/>
    <w:rsid w:val="004070A0"/>
    <w:rsid w:val="00407313"/>
    <w:rsid w:val="004077F4"/>
    <w:rsid w:val="00407D4C"/>
    <w:rsid w:val="0041060C"/>
    <w:rsid w:val="00410A08"/>
    <w:rsid w:val="00410B67"/>
    <w:rsid w:val="00411248"/>
    <w:rsid w:val="00411317"/>
    <w:rsid w:val="00412135"/>
    <w:rsid w:val="004122E7"/>
    <w:rsid w:val="0041293F"/>
    <w:rsid w:val="00412B72"/>
    <w:rsid w:val="00412F7D"/>
    <w:rsid w:val="0041366F"/>
    <w:rsid w:val="0041399F"/>
    <w:rsid w:val="00413F27"/>
    <w:rsid w:val="004148DB"/>
    <w:rsid w:val="00414A1C"/>
    <w:rsid w:val="004151F7"/>
    <w:rsid w:val="004152DA"/>
    <w:rsid w:val="0041555B"/>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26F5C"/>
    <w:rsid w:val="00430221"/>
    <w:rsid w:val="00430296"/>
    <w:rsid w:val="00430CFB"/>
    <w:rsid w:val="00432051"/>
    <w:rsid w:val="00432CBB"/>
    <w:rsid w:val="00432CE7"/>
    <w:rsid w:val="00433D98"/>
    <w:rsid w:val="0043480E"/>
    <w:rsid w:val="00434E0F"/>
    <w:rsid w:val="00434EE7"/>
    <w:rsid w:val="004365F6"/>
    <w:rsid w:val="00436611"/>
    <w:rsid w:val="00436D88"/>
    <w:rsid w:val="00436F72"/>
    <w:rsid w:val="0043732E"/>
    <w:rsid w:val="0043735B"/>
    <w:rsid w:val="0043737D"/>
    <w:rsid w:val="0044090B"/>
    <w:rsid w:val="00441234"/>
    <w:rsid w:val="0044268E"/>
    <w:rsid w:val="00442779"/>
    <w:rsid w:val="00442F9A"/>
    <w:rsid w:val="00443501"/>
    <w:rsid w:val="00443720"/>
    <w:rsid w:val="00443B12"/>
    <w:rsid w:val="00443D70"/>
    <w:rsid w:val="00443F22"/>
    <w:rsid w:val="0044419D"/>
    <w:rsid w:val="004441DC"/>
    <w:rsid w:val="0044432C"/>
    <w:rsid w:val="00444862"/>
    <w:rsid w:val="00444B16"/>
    <w:rsid w:val="00444C22"/>
    <w:rsid w:val="00445A45"/>
    <w:rsid w:val="00445F5D"/>
    <w:rsid w:val="004467ED"/>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581"/>
    <w:rsid w:val="004559D0"/>
    <w:rsid w:val="00455BBA"/>
    <w:rsid w:val="00455CF1"/>
    <w:rsid w:val="00455DEC"/>
    <w:rsid w:val="0045601D"/>
    <w:rsid w:val="004561DB"/>
    <w:rsid w:val="004566CA"/>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155"/>
    <w:rsid w:val="004624AD"/>
    <w:rsid w:val="00462FAD"/>
    <w:rsid w:val="0046382B"/>
    <w:rsid w:val="004648DA"/>
    <w:rsid w:val="004657B6"/>
    <w:rsid w:val="00465924"/>
    <w:rsid w:val="00465ACB"/>
    <w:rsid w:val="00465F82"/>
    <w:rsid w:val="00466780"/>
    <w:rsid w:val="00466EE3"/>
    <w:rsid w:val="00467997"/>
    <w:rsid w:val="00467F8E"/>
    <w:rsid w:val="004708BF"/>
    <w:rsid w:val="00470EAF"/>
    <w:rsid w:val="00470FCA"/>
    <w:rsid w:val="00471305"/>
    <w:rsid w:val="004713AC"/>
    <w:rsid w:val="004714B4"/>
    <w:rsid w:val="0047163C"/>
    <w:rsid w:val="00471D47"/>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1C68"/>
    <w:rsid w:val="004921B0"/>
    <w:rsid w:val="0049251D"/>
    <w:rsid w:val="00492A00"/>
    <w:rsid w:val="00492D67"/>
    <w:rsid w:val="00493491"/>
    <w:rsid w:val="00493F25"/>
    <w:rsid w:val="00494114"/>
    <w:rsid w:val="00494F12"/>
    <w:rsid w:val="00495079"/>
    <w:rsid w:val="004950BC"/>
    <w:rsid w:val="00495718"/>
    <w:rsid w:val="004957C3"/>
    <w:rsid w:val="0049590E"/>
    <w:rsid w:val="0049603F"/>
    <w:rsid w:val="00496072"/>
    <w:rsid w:val="0049678D"/>
    <w:rsid w:val="004974DA"/>
    <w:rsid w:val="0049793D"/>
    <w:rsid w:val="00497D38"/>
    <w:rsid w:val="00497D7B"/>
    <w:rsid w:val="00497DEC"/>
    <w:rsid w:val="00497E30"/>
    <w:rsid w:val="00497E9C"/>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705"/>
    <w:rsid w:val="004B4E80"/>
    <w:rsid w:val="004B52AD"/>
    <w:rsid w:val="004B59B8"/>
    <w:rsid w:val="004B5FE0"/>
    <w:rsid w:val="004B6606"/>
    <w:rsid w:val="004B6C90"/>
    <w:rsid w:val="004B6D45"/>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1F1"/>
    <w:rsid w:val="004C34B5"/>
    <w:rsid w:val="004C34CC"/>
    <w:rsid w:val="004C34CF"/>
    <w:rsid w:val="004C3597"/>
    <w:rsid w:val="004C35D6"/>
    <w:rsid w:val="004C3600"/>
    <w:rsid w:val="004C36E0"/>
    <w:rsid w:val="004C3C5C"/>
    <w:rsid w:val="004C3D99"/>
    <w:rsid w:val="004C4EEA"/>
    <w:rsid w:val="004C5291"/>
    <w:rsid w:val="004C581E"/>
    <w:rsid w:val="004C5B8D"/>
    <w:rsid w:val="004C60CE"/>
    <w:rsid w:val="004C60ED"/>
    <w:rsid w:val="004D125D"/>
    <w:rsid w:val="004D142D"/>
    <w:rsid w:val="004D14A2"/>
    <w:rsid w:val="004D1B99"/>
    <w:rsid w:val="004D1E50"/>
    <w:rsid w:val="004D2C35"/>
    <w:rsid w:val="004D2F3D"/>
    <w:rsid w:val="004D366E"/>
    <w:rsid w:val="004D3F1B"/>
    <w:rsid w:val="004D47C5"/>
    <w:rsid w:val="004D4A63"/>
    <w:rsid w:val="004D4F64"/>
    <w:rsid w:val="004D513B"/>
    <w:rsid w:val="004D7BEB"/>
    <w:rsid w:val="004D7D3E"/>
    <w:rsid w:val="004E0013"/>
    <w:rsid w:val="004E05D7"/>
    <w:rsid w:val="004E06B8"/>
    <w:rsid w:val="004E0EEE"/>
    <w:rsid w:val="004E1738"/>
    <w:rsid w:val="004E1E0E"/>
    <w:rsid w:val="004E1E66"/>
    <w:rsid w:val="004E20B1"/>
    <w:rsid w:val="004E263E"/>
    <w:rsid w:val="004E2B5A"/>
    <w:rsid w:val="004E3516"/>
    <w:rsid w:val="004E431D"/>
    <w:rsid w:val="004E44C2"/>
    <w:rsid w:val="004E55D8"/>
    <w:rsid w:val="004E5802"/>
    <w:rsid w:val="004E5B27"/>
    <w:rsid w:val="004E5F6F"/>
    <w:rsid w:val="004E613B"/>
    <w:rsid w:val="004E6254"/>
    <w:rsid w:val="004E65D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3E7"/>
    <w:rsid w:val="004F688A"/>
    <w:rsid w:val="004F6A01"/>
    <w:rsid w:val="004F70D8"/>
    <w:rsid w:val="004F7323"/>
    <w:rsid w:val="004F7482"/>
    <w:rsid w:val="004F7AF3"/>
    <w:rsid w:val="004F7B7F"/>
    <w:rsid w:val="00500B4D"/>
    <w:rsid w:val="0050125F"/>
    <w:rsid w:val="0050137F"/>
    <w:rsid w:val="00501AB6"/>
    <w:rsid w:val="00501DF3"/>
    <w:rsid w:val="00502382"/>
    <w:rsid w:val="00502703"/>
    <w:rsid w:val="00502C95"/>
    <w:rsid w:val="00503A9A"/>
    <w:rsid w:val="00503B98"/>
    <w:rsid w:val="00504373"/>
    <w:rsid w:val="00504AE3"/>
    <w:rsid w:val="0050603A"/>
    <w:rsid w:val="00506169"/>
    <w:rsid w:val="00506907"/>
    <w:rsid w:val="00507A79"/>
    <w:rsid w:val="00510288"/>
    <w:rsid w:val="0051029B"/>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1784"/>
    <w:rsid w:val="00521D4F"/>
    <w:rsid w:val="0052233C"/>
    <w:rsid w:val="00523C15"/>
    <w:rsid w:val="00523D5B"/>
    <w:rsid w:val="00523F84"/>
    <w:rsid w:val="005250B4"/>
    <w:rsid w:val="005250CE"/>
    <w:rsid w:val="005253BD"/>
    <w:rsid w:val="005258E8"/>
    <w:rsid w:val="00525AE1"/>
    <w:rsid w:val="00525E98"/>
    <w:rsid w:val="00525FD5"/>
    <w:rsid w:val="00526ADD"/>
    <w:rsid w:val="00526BD0"/>
    <w:rsid w:val="00527127"/>
    <w:rsid w:val="005278CC"/>
    <w:rsid w:val="005278F4"/>
    <w:rsid w:val="005305D1"/>
    <w:rsid w:val="00530F53"/>
    <w:rsid w:val="00531471"/>
    <w:rsid w:val="00531ABE"/>
    <w:rsid w:val="00531DA4"/>
    <w:rsid w:val="00531EF1"/>
    <w:rsid w:val="00532474"/>
    <w:rsid w:val="00532612"/>
    <w:rsid w:val="005326D9"/>
    <w:rsid w:val="005332AA"/>
    <w:rsid w:val="005332F4"/>
    <w:rsid w:val="005335EF"/>
    <w:rsid w:val="005337C6"/>
    <w:rsid w:val="00533B7A"/>
    <w:rsid w:val="005343FB"/>
    <w:rsid w:val="0053542D"/>
    <w:rsid w:val="00535B26"/>
    <w:rsid w:val="0053642A"/>
    <w:rsid w:val="0053645C"/>
    <w:rsid w:val="00536B25"/>
    <w:rsid w:val="00536C6A"/>
    <w:rsid w:val="005377B9"/>
    <w:rsid w:val="00537E3C"/>
    <w:rsid w:val="00540471"/>
    <w:rsid w:val="00541973"/>
    <w:rsid w:val="00542C0A"/>
    <w:rsid w:val="00542FFE"/>
    <w:rsid w:val="005433CC"/>
    <w:rsid w:val="005435EA"/>
    <w:rsid w:val="00543A9C"/>
    <w:rsid w:val="00543EB1"/>
    <w:rsid w:val="00543FBA"/>
    <w:rsid w:val="00544029"/>
    <w:rsid w:val="0054407E"/>
    <w:rsid w:val="005440BF"/>
    <w:rsid w:val="00544286"/>
    <w:rsid w:val="00544AF0"/>
    <w:rsid w:val="00545186"/>
    <w:rsid w:val="005454B2"/>
    <w:rsid w:val="0054614A"/>
    <w:rsid w:val="00546769"/>
    <w:rsid w:val="00546977"/>
    <w:rsid w:val="00546CDA"/>
    <w:rsid w:val="005501C4"/>
    <w:rsid w:val="00550490"/>
    <w:rsid w:val="00550A0E"/>
    <w:rsid w:val="00550FF7"/>
    <w:rsid w:val="00551B19"/>
    <w:rsid w:val="0055204A"/>
    <w:rsid w:val="005521DC"/>
    <w:rsid w:val="00552303"/>
    <w:rsid w:val="005529B9"/>
    <w:rsid w:val="00552A25"/>
    <w:rsid w:val="00553070"/>
    <w:rsid w:val="00553A0E"/>
    <w:rsid w:val="0055444A"/>
    <w:rsid w:val="00554991"/>
    <w:rsid w:val="00555000"/>
    <w:rsid w:val="00555272"/>
    <w:rsid w:val="00555335"/>
    <w:rsid w:val="005553B2"/>
    <w:rsid w:val="0055584F"/>
    <w:rsid w:val="00555B83"/>
    <w:rsid w:val="00555F79"/>
    <w:rsid w:val="005563F9"/>
    <w:rsid w:val="005567BE"/>
    <w:rsid w:val="00556AF8"/>
    <w:rsid w:val="005572EA"/>
    <w:rsid w:val="00557347"/>
    <w:rsid w:val="00557662"/>
    <w:rsid w:val="0056004F"/>
    <w:rsid w:val="00560777"/>
    <w:rsid w:val="00561BD7"/>
    <w:rsid w:val="00561E14"/>
    <w:rsid w:val="00562047"/>
    <w:rsid w:val="00563112"/>
    <w:rsid w:val="005631D3"/>
    <w:rsid w:val="0056321C"/>
    <w:rsid w:val="0056330E"/>
    <w:rsid w:val="005641EF"/>
    <w:rsid w:val="00564235"/>
    <w:rsid w:val="00564B5F"/>
    <w:rsid w:val="00565D56"/>
    <w:rsid w:val="005664B7"/>
    <w:rsid w:val="00566AA3"/>
    <w:rsid w:val="00567015"/>
    <w:rsid w:val="00567794"/>
    <w:rsid w:val="00567F85"/>
    <w:rsid w:val="00570622"/>
    <w:rsid w:val="005707F6"/>
    <w:rsid w:val="00570AB0"/>
    <w:rsid w:val="00570F8D"/>
    <w:rsid w:val="00571373"/>
    <w:rsid w:val="0057181D"/>
    <w:rsid w:val="00572019"/>
    <w:rsid w:val="00572147"/>
    <w:rsid w:val="005721D9"/>
    <w:rsid w:val="005723AC"/>
    <w:rsid w:val="005725E4"/>
    <w:rsid w:val="00572618"/>
    <w:rsid w:val="00572F61"/>
    <w:rsid w:val="00573959"/>
    <w:rsid w:val="00573C2C"/>
    <w:rsid w:val="005740A9"/>
    <w:rsid w:val="005740E0"/>
    <w:rsid w:val="005747F1"/>
    <w:rsid w:val="00574C1F"/>
    <w:rsid w:val="00574CD8"/>
    <w:rsid w:val="00575CB6"/>
    <w:rsid w:val="00575E48"/>
    <w:rsid w:val="00576578"/>
    <w:rsid w:val="005770BE"/>
    <w:rsid w:val="0057748B"/>
    <w:rsid w:val="00577958"/>
    <w:rsid w:val="00580131"/>
    <w:rsid w:val="00580491"/>
    <w:rsid w:val="00580D9C"/>
    <w:rsid w:val="00581AE1"/>
    <w:rsid w:val="00582248"/>
    <w:rsid w:val="0058240B"/>
    <w:rsid w:val="00582C48"/>
    <w:rsid w:val="00582C73"/>
    <w:rsid w:val="00583047"/>
    <w:rsid w:val="005833B0"/>
    <w:rsid w:val="00583E5D"/>
    <w:rsid w:val="005840D2"/>
    <w:rsid w:val="005842CD"/>
    <w:rsid w:val="005855B4"/>
    <w:rsid w:val="0058577B"/>
    <w:rsid w:val="005860FB"/>
    <w:rsid w:val="005861FB"/>
    <w:rsid w:val="00586A17"/>
    <w:rsid w:val="00586C88"/>
    <w:rsid w:val="0058734F"/>
    <w:rsid w:val="00587357"/>
    <w:rsid w:val="005876E6"/>
    <w:rsid w:val="00587C4F"/>
    <w:rsid w:val="00591E5A"/>
    <w:rsid w:val="00592899"/>
    <w:rsid w:val="00592A58"/>
    <w:rsid w:val="005931BD"/>
    <w:rsid w:val="0059346F"/>
    <w:rsid w:val="00593499"/>
    <w:rsid w:val="00593D5B"/>
    <w:rsid w:val="00594D44"/>
    <w:rsid w:val="00594DCD"/>
    <w:rsid w:val="00595644"/>
    <w:rsid w:val="005957DB"/>
    <w:rsid w:val="005958C3"/>
    <w:rsid w:val="00595C41"/>
    <w:rsid w:val="0059604C"/>
    <w:rsid w:val="005969EE"/>
    <w:rsid w:val="00596A28"/>
    <w:rsid w:val="00596FB1"/>
    <w:rsid w:val="00597A70"/>
    <w:rsid w:val="00597D28"/>
    <w:rsid w:val="00597DF7"/>
    <w:rsid w:val="005A036C"/>
    <w:rsid w:val="005A0A46"/>
    <w:rsid w:val="005A0EF8"/>
    <w:rsid w:val="005A113D"/>
    <w:rsid w:val="005A130E"/>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569"/>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3ED5"/>
    <w:rsid w:val="005C41D1"/>
    <w:rsid w:val="005C438C"/>
    <w:rsid w:val="005C4485"/>
    <w:rsid w:val="005C44B7"/>
    <w:rsid w:val="005C4B94"/>
    <w:rsid w:val="005C4CBB"/>
    <w:rsid w:val="005C5797"/>
    <w:rsid w:val="005C5E03"/>
    <w:rsid w:val="005C7030"/>
    <w:rsid w:val="005C72F1"/>
    <w:rsid w:val="005C7788"/>
    <w:rsid w:val="005D05A7"/>
    <w:rsid w:val="005D0F6B"/>
    <w:rsid w:val="005D133F"/>
    <w:rsid w:val="005D1745"/>
    <w:rsid w:val="005D1965"/>
    <w:rsid w:val="005D1A6A"/>
    <w:rsid w:val="005D1C56"/>
    <w:rsid w:val="005D1CE4"/>
    <w:rsid w:val="005D28F3"/>
    <w:rsid w:val="005D4632"/>
    <w:rsid w:val="005D4D81"/>
    <w:rsid w:val="005D5863"/>
    <w:rsid w:val="005D5C90"/>
    <w:rsid w:val="005D5CD3"/>
    <w:rsid w:val="005D6A60"/>
    <w:rsid w:val="005D7F3A"/>
    <w:rsid w:val="005D7FD0"/>
    <w:rsid w:val="005E037F"/>
    <w:rsid w:val="005E0AD4"/>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0124"/>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0BE3"/>
    <w:rsid w:val="006017A9"/>
    <w:rsid w:val="00601D81"/>
    <w:rsid w:val="006029A8"/>
    <w:rsid w:val="0060307B"/>
    <w:rsid w:val="0060310A"/>
    <w:rsid w:val="00603B52"/>
    <w:rsid w:val="00604383"/>
    <w:rsid w:val="006045A4"/>
    <w:rsid w:val="006052EB"/>
    <w:rsid w:val="0060567E"/>
    <w:rsid w:val="00605834"/>
    <w:rsid w:val="00605BA2"/>
    <w:rsid w:val="00605C8B"/>
    <w:rsid w:val="00606041"/>
    <w:rsid w:val="00606167"/>
    <w:rsid w:val="006067E0"/>
    <w:rsid w:val="006074E0"/>
    <w:rsid w:val="0060760A"/>
    <w:rsid w:val="00610356"/>
    <w:rsid w:val="0061054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0CFA"/>
    <w:rsid w:val="00620E0F"/>
    <w:rsid w:val="00621C64"/>
    <w:rsid w:val="00621C94"/>
    <w:rsid w:val="00621E6F"/>
    <w:rsid w:val="00621F36"/>
    <w:rsid w:val="0062211B"/>
    <w:rsid w:val="0062219C"/>
    <w:rsid w:val="00622A41"/>
    <w:rsid w:val="00623B37"/>
    <w:rsid w:val="006242CA"/>
    <w:rsid w:val="006243AF"/>
    <w:rsid w:val="006248B7"/>
    <w:rsid w:val="00624B2A"/>
    <w:rsid w:val="00624BDC"/>
    <w:rsid w:val="00625657"/>
    <w:rsid w:val="0062586E"/>
    <w:rsid w:val="006260E2"/>
    <w:rsid w:val="00626251"/>
    <w:rsid w:val="00626C63"/>
    <w:rsid w:val="00627019"/>
    <w:rsid w:val="0062741D"/>
    <w:rsid w:val="006274DC"/>
    <w:rsid w:val="006276E0"/>
    <w:rsid w:val="00627990"/>
    <w:rsid w:val="00627D7B"/>
    <w:rsid w:val="006301EF"/>
    <w:rsid w:val="00630B72"/>
    <w:rsid w:val="00630DAE"/>
    <w:rsid w:val="00631135"/>
    <w:rsid w:val="0063163A"/>
    <w:rsid w:val="00631F8B"/>
    <w:rsid w:val="006320BB"/>
    <w:rsid w:val="006321F1"/>
    <w:rsid w:val="00632E8C"/>
    <w:rsid w:val="0063374C"/>
    <w:rsid w:val="00633809"/>
    <w:rsid w:val="00633B98"/>
    <w:rsid w:val="00633F86"/>
    <w:rsid w:val="0063513C"/>
    <w:rsid w:val="006352DF"/>
    <w:rsid w:val="006360D4"/>
    <w:rsid w:val="0063627F"/>
    <w:rsid w:val="00637C85"/>
    <w:rsid w:val="00637F1D"/>
    <w:rsid w:val="006402B3"/>
    <w:rsid w:val="00640A05"/>
    <w:rsid w:val="00641A6E"/>
    <w:rsid w:val="00641E26"/>
    <w:rsid w:val="00642186"/>
    <w:rsid w:val="00642CB7"/>
    <w:rsid w:val="00643C78"/>
    <w:rsid w:val="006442A5"/>
    <w:rsid w:val="0064434C"/>
    <w:rsid w:val="0064451D"/>
    <w:rsid w:val="006446BF"/>
    <w:rsid w:val="00644BFE"/>
    <w:rsid w:val="006451F8"/>
    <w:rsid w:val="0064533B"/>
    <w:rsid w:val="0064570B"/>
    <w:rsid w:val="00645B42"/>
    <w:rsid w:val="006465BD"/>
    <w:rsid w:val="00647439"/>
    <w:rsid w:val="006474B6"/>
    <w:rsid w:val="006508F5"/>
    <w:rsid w:val="00650DA4"/>
    <w:rsid w:val="006511BD"/>
    <w:rsid w:val="00651662"/>
    <w:rsid w:val="00651F8E"/>
    <w:rsid w:val="00652972"/>
    <w:rsid w:val="0065299A"/>
    <w:rsid w:val="00652C8E"/>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1939"/>
    <w:rsid w:val="00672375"/>
    <w:rsid w:val="0067252B"/>
    <w:rsid w:val="00672A77"/>
    <w:rsid w:val="0067302B"/>
    <w:rsid w:val="006732D2"/>
    <w:rsid w:val="006734C6"/>
    <w:rsid w:val="00673750"/>
    <w:rsid w:val="00673A0C"/>
    <w:rsid w:val="00673BDA"/>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1B99"/>
    <w:rsid w:val="0068237C"/>
    <w:rsid w:val="0068238E"/>
    <w:rsid w:val="00682644"/>
    <w:rsid w:val="00682889"/>
    <w:rsid w:val="00683914"/>
    <w:rsid w:val="006839EE"/>
    <w:rsid w:val="00683AA4"/>
    <w:rsid w:val="006844B1"/>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61B"/>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ADB"/>
    <w:rsid w:val="00696B01"/>
    <w:rsid w:val="00696FE1"/>
    <w:rsid w:val="006977A9"/>
    <w:rsid w:val="00697B22"/>
    <w:rsid w:val="00697D25"/>
    <w:rsid w:val="006A0BBB"/>
    <w:rsid w:val="006A2114"/>
    <w:rsid w:val="006A24EB"/>
    <w:rsid w:val="006A2A2E"/>
    <w:rsid w:val="006A2DD7"/>
    <w:rsid w:val="006A3031"/>
    <w:rsid w:val="006A36BF"/>
    <w:rsid w:val="006A3FEB"/>
    <w:rsid w:val="006A4128"/>
    <w:rsid w:val="006A4AB4"/>
    <w:rsid w:val="006A500B"/>
    <w:rsid w:val="006A536A"/>
    <w:rsid w:val="006A5485"/>
    <w:rsid w:val="006A5E4F"/>
    <w:rsid w:val="006A6147"/>
    <w:rsid w:val="006A62AA"/>
    <w:rsid w:val="006A6345"/>
    <w:rsid w:val="006A690C"/>
    <w:rsid w:val="006A78FD"/>
    <w:rsid w:val="006A7FDF"/>
    <w:rsid w:val="006B01D4"/>
    <w:rsid w:val="006B0635"/>
    <w:rsid w:val="006B0754"/>
    <w:rsid w:val="006B09EE"/>
    <w:rsid w:val="006B0B4B"/>
    <w:rsid w:val="006B0E5C"/>
    <w:rsid w:val="006B0FFA"/>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7C"/>
    <w:rsid w:val="006C16D5"/>
    <w:rsid w:val="006C1C2D"/>
    <w:rsid w:val="006C2E51"/>
    <w:rsid w:val="006C30FB"/>
    <w:rsid w:val="006C32B8"/>
    <w:rsid w:val="006C33BD"/>
    <w:rsid w:val="006C4B4E"/>
    <w:rsid w:val="006C4B9E"/>
    <w:rsid w:val="006C4C35"/>
    <w:rsid w:val="006C5110"/>
    <w:rsid w:val="006C52B6"/>
    <w:rsid w:val="006C5717"/>
    <w:rsid w:val="006C5B55"/>
    <w:rsid w:val="006C6D51"/>
    <w:rsid w:val="006C6DF1"/>
    <w:rsid w:val="006C756D"/>
    <w:rsid w:val="006C76F7"/>
    <w:rsid w:val="006C7811"/>
    <w:rsid w:val="006C7B21"/>
    <w:rsid w:val="006D02C4"/>
    <w:rsid w:val="006D06E6"/>
    <w:rsid w:val="006D0700"/>
    <w:rsid w:val="006D08D6"/>
    <w:rsid w:val="006D0D49"/>
    <w:rsid w:val="006D0DD1"/>
    <w:rsid w:val="006D0E3C"/>
    <w:rsid w:val="006D10CB"/>
    <w:rsid w:val="006D136D"/>
    <w:rsid w:val="006D1429"/>
    <w:rsid w:val="006D22A3"/>
    <w:rsid w:val="006D2350"/>
    <w:rsid w:val="006D238F"/>
    <w:rsid w:val="006D27A2"/>
    <w:rsid w:val="006D2AEA"/>
    <w:rsid w:val="006D3DF9"/>
    <w:rsid w:val="006D435D"/>
    <w:rsid w:val="006D50CC"/>
    <w:rsid w:val="006D5103"/>
    <w:rsid w:val="006D525F"/>
    <w:rsid w:val="006D54EC"/>
    <w:rsid w:val="006D6326"/>
    <w:rsid w:val="006D64C5"/>
    <w:rsid w:val="006D7208"/>
    <w:rsid w:val="006D76B4"/>
    <w:rsid w:val="006D77EB"/>
    <w:rsid w:val="006D7864"/>
    <w:rsid w:val="006D7ACF"/>
    <w:rsid w:val="006E00EC"/>
    <w:rsid w:val="006E017F"/>
    <w:rsid w:val="006E0473"/>
    <w:rsid w:val="006E198B"/>
    <w:rsid w:val="006E2604"/>
    <w:rsid w:val="006E26E8"/>
    <w:rsid w:val="006E36E0"/>
    <w:rsid w:val="006E3D6E"/>
    <w:rsid w:val="006E427F"/>
    <w:rsid w:val="006E46F3"/>
    <w:rsid w:val="006E47CF"/>
    <w:rsid w:val="006E4C3F"/>
    <w:rsid w:val="006E4ECB"/>
    <w:rsid w:val="006E5722"/>
    <w:rsid w:val="006E5754"/>
    <w:rsid w:val="006E5859"/>
    <w:rsid w:val="006E5C32"/>
    <w:rsid w:val="006E6607"/>
    <w:rsid w:val="006E6687"/>
    <w:rsid w:val="006E6913"/>
    <w:rsid w:val="006E69EB"/>
    <w:rsid w:val="006E6F86"/>
    <w:rsid w:val="006E7920"/>
    <w:rsid w:val="006F0B89"/>
    <w:rsid w:val="006F12DE"/>
    <w:rsid w:val="006F13F3"/>
    <w:rsid w:val="006F1C49"/>
    <w:rsid w:val="006F1E10"/>
    <w:rsid w:val="006F1EF4"/>
    <w:rsid w:val="006F2024"/>
    <w:rsid w:val="006F243D"/>
    <w:rsid w:val="006F2543"/>
    <w:rsid w:val="006F2D81"/>
    <w:rsid w:val="006F3346"/>
    <w:rsid w:val="006F3735"/>
    <w:rsid w:val="006F37A6"/>
    <w:rsid w:val="006F3ECA"/>
    <w:rsid w:val="006F46AE"/>
    <w:rsid w:val="006F4FE1"/>
    <w:rsid w:val="006F5562"/>
    <w:rsid w:val="006F59B2"/>
    <w:rsid w:val="006F66DA"/>
    <w:rsid w:val="006F6EB5"/>
    <w:rsid w:val="006F6FBA"/>
    <w:rsid w:val="006F6FD5"/>
    <w:rsid w:val="006F7AB0"/>
    <w:rsid w:val="00700215"/>
    <w:rsid w:val="00700482"/>
    <w:rsid w:val="007006E9"/>
    <w:rsid w:val="00700C57"/>
    <w:rsid w:val="00700C6E"/>
    <w:rsid w:val="00701010"/>
    <w:rsid w:val="007015A1"/>
    <w:rsid w:val="007016A3"/>
    <w:rsid w:val="00702195"/>
    <w:rsid w:val="007021D2"/>
    <w:rsid w:val="00702B1B"/>
    <w:rsid w:val="0070360E"/>
    <w:rsid w:val="00704B00"/>
    <w:rsid w:val="00704B77"/>
    <w:rsid w:val="00705AE5"/>
    <w:rsid w:val="007060D0"/>
    <w:rsid w:val="00706706"/>
    <w:rsid w:val="0070730C"/>
    <w:rsid w:val="007103CE"/>
    <w:rsid w:val="00710D7C"/>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50D"/>
    <w:rsid w:val="00717A27"/>
    <w:rsid w:val="00717C53"/>
    <w:rsid w:val="00717CDB"/>
    <w:rsid w:val="00720DEB"/>
    <w:rsid w:val="00721B07"/>
    <w:rsid w:val="0072251F"/>
    <w:rsid w:val="00722782"/>
    <w:rsid w:val="00722EC4"/>
    <w:rsid w:val="0072380F"/>
    <w:rsid w:val="007255F2"/>
    <w:rsid w:val="00725CEB"/>
    <w:rsid w:val="0072649E"/>
    <w:rsid w:val="0072660B"/>
    <w:rsid w:val="00726622"/>
    <w:rsid w:val="00726B4E"/>
    <w:rsid w:val="00726E37"/>
    <w:rsid w:val="00726F80"/>
    <w:rsid w:val="00727F2C"/>
    <w:rsid w:val="0073010D"/>
    <w:rsid w:val="00730603"/>
    <w:rsid w:val="0073086B"/>
    <w:rsid w:val="00730A30"/>
    <w:rsid w:val="00730AD1"/>
    <w:rsid w:val="00730CC0"/>
    <w:rsid w:val="007314F4"/>
    <w:rsid w:val="00731E92"/>
    <w:rsid w:val="00732338"/>
    <w:rsid w:val="00732629"/>
    <w:rsid w:val="00732926"/>
    <w:rsid w:val="00733377"/>
    <w:rsid w:val="007339C7"/>
    <w:rsid w:val="00733DE6"/>
    <w:rsid w:val="00733EC3"/>
    <w:rsid w:val="00733EE3"/>
    <w:rsid w:val="00735060"/>
    <w:rsid w:val="007350D9"/>
    <w:rsid w:val="007352C9"/>
    <w:rsid w:val="007353E7"/>
    <w:rsid w:val="0073567B"/>
    <w:rsid w:val="007357AD"/>
    <w:rsid w:val="00735C28"/>
    <w:rsid w:val="00735D62"/>
    <w:rsid w:val="0073639D"/>
    <w:rsid w:val="00736ECB"/>
    <w:rsid w:val="00736F51"/>
    <w:rsid w:val="0073736E"/>
    <w:rsid w:val="00737A19"/>
    <w:rsid w:val="00740249"/>
    <w:rsid w:val="00740452"/>
    <w:rsid w:val="00740A2C"/>
    <w:rsid w:val="0074100E"/>
    <w:rsid w:val="0074176D"/>
    <w:rsid w:val="0074288B"/>
    <w:rsid w:val="00743DE5"/>
    <w:rsid w:val="00744408"/>
    <w:rsid w:val="00744C75"/>
    <w:rsid w:val="007464AE"/>
    <w:rsid w:val="007468C1"/>
    <w:rsid w:val="00746E01"/>
    <w:rsid w:val="00746F35"/>
    <w:rsid w:val="007471AA"/>
    <w:rsid w:val="00747268"/>
    <w:rsid w:val="007477FA"/>
    <w:rsid w:val="00747E96"/>
    <w:rsid w:val="00747FAC"/>
    <w:rsid w:val="0075089C"/>
    <w:rsid w:val="00750B0F"/>
    <w:rsid w:val="00750E0A"/>
    <w:rsid w:val="0075135A"/>
    <w:rsid w:val="00751531"/>
    <w:rsid w:val="00751AA6"/>
    <w:rsid w:val="00751F5C"/>
    <w:rsid w:val="00752B65"/>
    <w:rsid w:val="007531D3"/>
    <w:rsid w:val="007532A8"/>
    <w:rsid w:val="007534C5"/>
    <w:rsid w:val="00753BDA"/>
    <w:rsid w:val="00753CF2"/>
    <w:rsid w:val="00754587"/>
    <w:rsid w:val="00755673"/>
    <w:rsid w:val="00755964"/>
    <w:rsid w:val="00755CF2"/>
    <w:rsid w:val="00756857"/>
    <w:rsid w:val="00756C72"/>
    <w:rsid w:val="00756E73"/>
    <w:rsid w:val="00757142"/>
    <w:rsid w:val="007571FB"/>
    <w:rsid w:val="00757889"/>
    <w:rsid w:val="00760706"/>
    <w:rsid w:val="0076134B"/>
    <w:rsid w:val="00761B30"/>
    <w:rsid w:val="00762798"/>
    <w:rsid w:val="007628BF"/>
    <w:rsid w:val="00762E2C"/>
    <w:rsid w:val="00762F85"/>
    <w:rsid w:val="0076337C"/>
    <w:rsid w:val="00765803"/>
    <w:rsid w:val="00765AED"/>
    <w:rsid w:val="00765B83"/>
    <w:rsid w:val="00765D75"/>
    <w:rsid w:val="00766590"/>
    <w:rsid w:val="007667B3"/>
    <w:rsid w:val="007668A3"/>
    <w:rsid w:val="00766E5E"/>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77F78"/>
    <w:rsid w:val="00777FE0"/>
    <w:rsid w:val="007803F3"/>
    <w:rsid w:val="007806E0"/>
    <w:rsid w:val="00780D65"/>
    <w:rsid w:val="00780F3E"/>
    <w:rsid w:val="00780F9E"/>
    <w:rsid w:val="00781822"/>
    <w:rsid w:val="007819CC"/>
    <w:rsid w:val="007820BE"/>
    <w:rsid w:val="00782139"/>
    <w:rsid w:val="007823AC"/>
    <w:rsid w:val="0078282B"/>
    <w:rsid w:val="00782A9A"/>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D1D"/>
    <w:rsid w:val="00796F49"/>
    <w:rsid w:val="007978D5"/>
    <w:rsid w:val="007A1007"/>
    <w:rsid w:val="007A13F8"/>
    <w:rsid w:val="007A16FE"/>
    <w:rsid w:val="007A1F5C"/>
    <w:rsid w:val="007A2763"/>
    <w:rsid w:val="007A2FCE"/>
    <w:rsid w:val="007A3260"/>
    <w:rsid w:val="007A3422"/>
    <w:rsid w:val="007A3CA4"/>
    <w:rsid w:val="007A3E31"/>
    <w:rsid w:val="007A422B"/>
    <w:rsid w:val="007A4859"/>
    <w:rsid w:val="007A522A"/>
    <w:rsid w:val="007A5C5B"/>
    <w:rsid w:val="007A5E63"/>
    <w:rsid w:val="007A6906"/>
    <w:rsid w:val="007A71C3"/>
    <w:rsid w:val="007A7759"/>
    <w:rsid w:val="007A7A71"/>
    <w:rsid w:val="007B0244"/>
    <w:rsid w:val="007B061E"/>
    <w:rsid w:val="007B0C5C"/>
    <w:rsid w:val="007B0D2D"/>
    <w:rsid w:val="007B1064"/>
    <w:rsid w:val="007B1A49"/>
    <w:rsid w:val="007B2208"/>
    <w:rsid w:val="007B2540"/>
    <w:rsid w:val="007B2ABA"/>
    <w:rsid w:val="007B3010"/>
    <w:rsid w:val="007B386F"/>
    <w:rsid w:val="007B3A2A"/>
    <w:rsid w:val="007B4271"/>
    <w:rsid w:val="007B432A"/>
    <w:rsid w:val="007B4905"/>
    <w:rsid w:val="007B498C"/>
    <w:rsid w:val="007B514D"/>
    <w:rsid w:val="007B52F1"/>
    <w:rsid w:val="007B584A"/>
    <w:rsid w:val="007B5CAC"/>
    <w:rsid w:val="007B5EDA"/>
    <w:rsid w:val="007B6F53"/>
    <w:rsid w:val="007C05D9"/>
    <w:rsid w:val="007C1609"/>
    <w:rsid w:val="007C1A99"/>
    <w:rsid w:val="007C1F24"/>
    <w:rsid w:val="007C206A"/>
    <w:rsid w:val="007C2AAA"/>
    <w:rsid w:val="007C2CAB"/>
    <w:rsid w:val="007C2F07"/>
    <w:rsid w:val="007C2F46"/>
    <w:rsid w:val="007C319F"/>
    <w:rsid w:val="007C44EB"/>
    <w:rsid w:val="007C5545"/>
    <w:rsid w:val="007C5725"/>
    <w:rsid w:val="007C5775"/>
    <w:rsid w:val="007C59F7"/>
    <w:rsid w:val="007C64EF"/>
    <w:rsid w:val="007C68ED"/>
    <w:rsid w:val="007C712C"/>
    <w:rsid w:val="007D0594"/>
    <w:rsid w:val="007D11BB"/>
    <w:rsid w:val="007D1346"/>
    <w:rsid w:val="007D1393"/>
    <w:rsid w:val="007D206F"/>
    <w:rsid w:val="007D22F7"/>
    <w:rsid w:val="007D403C"/>
    <w:rsid w:val="007D4E6C"/>
    <w:rsid w:val="007D52CF"/>
    <w:rsid w:val="007D537B"/>
    <w:rsid w:val="007D5420"/>
    <w:rsid w:val="007D588C"/>
    <w:rsid w:val="007D74F3"/>
    <w:rsid w:val="007E008C"/>
    <w:rsid w:val="007E0759"/>
    <w:rsid w:val="007E1C18"/>
    <w:rsid w:val="007E1C6F"/>
    <w:rsid w:val="007E1F5C"/>
    <w:rsid w:val="007E2FA0"/>
    <w:rsid w:val="007E332B"/>
    <w:rsid w:val="007E3585"/>
    <w:rsid w:val="007E3CC2"/>
    <w:rsid w:val="007E4385"/>
    <w:rsid w:val="007E47DD"/>
    <w:rsid w:val="007E4C4E"/>
    <w:rsid w:val="007E609A"/>
    <w:rsid w:val="007E6831"/>
    <w:rsid w:val="007E6B10"/>
    <w:rsid w:val="007E6DBE"/>
    <w:rsid w:val="007F0185"/>
    <w:rsid w:val="007F0433"/>
    <w:rsid w:val="007F0600"/>
    <w:rsid w:val="007F06DB"/>
    <w:rsid w:val="007F06EA"/>
    <w:rsid w:val="007F11C5"/>
    <w:rsid w:val="007F13D4"/>
    <w:rsid w:val="007F14ED"/>
    <w:rsid w:val="007F1E60"/>
    <w:rsid w:val="007F28D4"/>
    <w:rsid w:val="007F29C9"/>
    <w:rsid w:val="007F2B44"/>
    <w:rsid w:val="007F32D3"/>
    <w:rsid w:val="007F355E"/>
    <w:rsid w:val="007F3691"/>
    <w:rsid w:val="007F4DF3"/>
    <w:rsid w:val="007F4E38"/>
    <w:rsid w:val="007F6353"/>
    <w:rsid w:val="007F6485"/>
    <w:rsid w:val="007F6EAE"/>
    <w:rsid w:val="007F750E"/>
    <w:rsid w:val="007F7658"/>
    <w:rsid w:val="007F78C7"/>
    <w:rsid w:val="007F7DA3"/>
    <w:rsid w:val="00800184"/>
    <w:rsid w:val="008018A8"/>
    <w:rsid w:val="00801DD2"/>
    <w:rsid w:val="008024A9"/>
    <w:rsid w:val="008025A2"/>
    <w:rsid w:val="00802BA7"/>
    <w:rsid w:val="00802E63"/>
    <w:rsid w:val="008031FE"/>
    <w:rsid w:val="00803987"/>
    <w:rsid w:val="0080471A"/>
    <w:rsid w:val="00804976"/>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2E5"/>
    <w:rsid w:val="00812DB9"/>
    <w:rsid w:val="008132B5"/>
    <w:rsid w:val="008133F5"/>
    <w:rsid w:val="0081414C"/>
    <w:rsid w:val="00814499"/>
    <w:rsid w:val="0081460E"/>
    <w:rsid w:val="008148C3"/>
    <w:rsid w:val="00814DAF"/>
    <w:rsid w:val="00815959"/>
    <w:rsid w:val="00815C8B"/>
    <w:rsid w:val="00816321"/>
    <w:rsid w:val="00816D8C"/>
    <w:rsid w:val="00817274"/>
    <w:rsid w:val="0082005F"/>
    <w:rsid w:val="00820167"/>
    <w:rsid w:val="00820CE1"/>
    <w:rsid w:val="00820F26"/>
    <w:rsid w:val="00821D92"/>
    <w:rsid w:val="0082217C"/>
    <w:rsid w:val="00822898"/>
    <w:rsid w:val="0082389C"/>
    <w:rsid w:val="00823F01"/>
    <w:rsid w:val="00824032"/>
    <w:rsid w:val="0082432F"/>
    <w:rsid w:val="008243F8"/>
    <w:rsid w:val="008246F7"/>
    <w:rsid w:val="008248FB"/>
    <w:rsid w:val="0082490F"/>
    <w:rsid w:val="0082495A"/>
    <w:rsid w:val="008260D9"/>
    <w:rsid w:val="008266BE"/>
    <w:rsid w:val="00826783"/>
    <w:rsid w:val="0082720F"/>
    <w:rsid w:val="00827452"/>
    <w:rsid w:val="00827975"/>
    <w:rsid w:val="00827FA5"/>
    <w:rsid w:val="008301BF"/>
    <w:rsid w:val="008304BF"/>
    <w:rsid w:val="00830D40"/>
    <w:rsid w:val="00830EF4"/>
    <w:rsid w:val="008313DB"/>
    <w:rsid w:val="0083278E"/>
    <w:rsid w:val="0083364D"/>
    <w:rsid w:val="0083375C"/>
    <w:rsid w:val="00833E31"/>
    <w:rsid w:val="00833EFE"/>
    <w:rsid w:val="00834BC8"/>
    <w:rsid w:val="00834CAB"/>
    <w:rsid w:val="00835497"/>
    <w:rsid w:val="00835949"/>
    <w:rsid w:val="00835B1E"/>
    <w:rsid w:val="00835E77"/>
    <w:rsid w:val="00835EA1"/>
    <w:rsid w:val="00836AE3"/>
    <w:rsid w:val="008373D9"/>
    <w:rsid w:val="0083752F"/>
    <w:rsid w:val="00840287"/>
    <w:rsid w:val="0084099A"/>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412"/>
    <w:rsid w:val="00853921"/>
    <w:rsid w:val="00853A53"/>
    <w:rsid w:val="00855818"/>
    <w:rsid w:val="00855C2F"/>
    <w:rsid w:val="00855EE3"/>
    <w:rsid w:val="00856029"/>
    <w:rsid w:val="008560A8"/>
    <w:rsid w:val="00856119"/>
    <w:rsid w:val="00856D29"/>
    <w:rsid w:val="00860FB9"/>
    <w:rsid w:val="0086103A"/>
    <w:rsid w:val="008617B3"/>
    <w:rsid w:val="0086225D"/>
    <w:rsid w:val="008628EE"/>
    <w:rsid w:val="00862D22"/>
    <w:rsid w:val="00862DF3"/>
    <w:rsid w:val="00862F28"/>
    <w:rsid w:val="00863929"/>
    <w:rsid w:val="008641DA"/>
    <w:rsid w:val="00864F82"/>
    <w:rsid w:val="00865388"/>
    <w:rsid w:val="00865541"/>
    <w:rsid w:val="008655E1"/>
    <w:rsid w:val="00865D04"/>
    <w:rsid w:val="008673D3"/>
    <w:rsid w:val="0086792D"/>
    <w:rsid w:val="008700EA"/>
    <w:rsid w:val="0087124E"/>
    <w:rsid w:val="008717D9"/>
    <w:rsid w:val="008721B4"/>
    <w:rsid w:val="00872431"/>
    <w:rsid w:val="008725A9"/>
    <w:rsid w:val="008728EE"/>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3B7"/>
    <w:rsid w:val="00883467"/>
    <w:rsid w:val="008835B8"/>
    <w:rsid w:val="00884388"/>
    <w:rsid w:val="00884671"/>
    <w:rsid w:val="00884B97"/>
    <w:rsid w:val="00884BE7"/>
    <w:rsid w:val="00884F3D"/>
    <w:rsid w:val="008850C2"/>
    <w:rsid w:val="00885867"/>
    <w:rsid w:val="00886408"/>
    <w:rsid w:val="00886559"/>
    <w:rsid w:val="00886B0B"/>
    <w:rsid w:val="00886DD7"/>
    <w:rsid w:val="00887072"/>
    <w:rsid w:val="0088722E"/>
    <w:rsid w:val="008877BE"/>
    <w:rsid w:val="008878A8"/>
    <w:rsid w:val="00887CEA"/>
    <w:rsid w:val="00887E60"/>
    <w:rsid w:val="00890809"/>
    <w:rsid w:val="0089108B"/>
    <w:rsid w:val="00891142"/>
    <w:rsid w:val="0089293B"/>
    <w:rsid w:val="00893C52"/>
    <w:rsid w:val="00894C83"/>
    <w:rsid w:val="0089515C"/>
    <w:rsid w:val="00895339"/>
    <w:rsid w:val="008957E6"/>
    <w:rsid w:val="008961E8"/>
    <w:rsid w:val="00896816"/>
    <w:rsid w:val="008972E9"/>
    <w:rsid w:val="008972FB"/>
    <w:rsid w:val="00897E32"/>
    <w:rsid w:val="008A037B"/>
    <w:rsid w:val="008A09BF"/>
    <w:rsid w:val="008A114D"/>
    <w:rsid w:val="008A20B2"/>
    <w:rsid w:val="008A2511"/>
    <w:rsid w:val="008A25A0"/>
    <w:rsid w:val="008A25C9"/>
    <w:rsid w:val="008A26D4"/>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A760E"/>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0DFC"/>
    <w:rsid w:val="008C140B"/>
    <w:rsid w:val="008C1493"/>
    <w:rsid w:val="008C1496"/>
    <w:rsid w:val="008C19ED"/>
    <w:rsid w:val="008C1D6D"/>
    <w:rsid w:val="008C22FD"/>
    <w:rsid w:val="008C2409"/>
    <w:rsid w:val="008C29CA"/>
    <w:rsid w:val="008C2A38"/>
    <w:rsid w:val="008C382A"/>
    <w:rsid w:val="008C4075"/>
    <w:rsid w:val="008C4116"/>
    <w:rsid w:val="008C47C6"/>
    <w:rsid w:val="008C4863"/>
    <w:rsid w:val="008C4AEB"/>
    <w:rsid w:val="008C52A5"/>
    <w:rsid w:val="008C54A1"/>
    <w:rsid w:val="008C5681"/>
    <w:rsid w:val="008C615E"/>
    <w:rsid w:val="008C6514"/>
    <w:rsid w:val="008C68AF"/>
    <w:rsid w:val="008C730D"/>
    <w:rsid w:val="008C7CEB"/>
    <w:rsid w:val="008C7F59"/>
    <w:rsid w:val="008D07A4"/>
    <w:rsid w:val="008D094D"/>
    <w:rsid w:val="008D0B11"/>
    <w:rsid w:val="008D120D"/>
    <w:rsid w:val="008D1744"/>
    <w:rsid w:val="008D22B7"/>
    <w:rsid w:val="008D2AB5"/>
    <w:rsid w:val="008D2FFB"/>
    <w:rsid w:val="008D381C"/>
    <w:rsid w:val="008D4EFD"/>
    <w:rsid w:val="008D52CD"/>
    <w:rsid w:val="008D71A3"/>
    <w:rsid w:val="008D7EE4"/>
    <w:rsid w:val="008E050E"/>
    <w:rsid w:val="008E07C1"/>
    <w:rsid w:val="008E0C4B"/>
    <w:rsid w:val="008E0EF6"/>
    <w:rsid w:val="008E150C"/>
    <w:rsid w:val="008E2CC5"/>
    <w:rsid w:val="008E349A"/>
    <w:rsid w:val="008E372A"/>
    <w:rsid w:val="008E39C1"/>
    <w:rsid w:val="008E4C0F"/>
    <w:rsid w:val="008E4C88"/>
    <w:rsid w:val="008E5562"/>
    <w:rsid w:val="008E5DDE"/>
    <w:rsid w:val="008E60CF"/>
    <w:rsid w:val="008E788D"/>
    <w:rsid w:val="008E796D"/>
    <w:rsid w:val="008E7A43"/>
    <w:rsid w:val="008F04B5"/>
    <w:rsid w:val="008F0CDE"/>
    <w:rsid w:val="008F0D84"/>
    <w:rsid w:val="008F13FC"/>
    <w:rsid w:val="008F1662"/>
    <w:rsid w:val="008F21ED"/>
    <w:rsid w:val="008F287E"/>
    <w:rsid w:val="008F2B21"/>
    <w:rsid w:val="008F3518"/>
    <w:rsid w:val="008F35E0"/>
    <w:rsid w:val="008F3E13"/>
    <w:rsid w:val="008F43C8"/>
    <w:rsid w:val="008F467E"/>
    <w:rsid w:val="008F4CC8"/>
    <w:rsid w:val="008F4D4A"/>
    <w:rsid w:val="008F537E"/>
    <w:rsid w:val="008F53F4"/>
    <w:rsid w:val="008F5787"/>
    <w:rsid w:val="008F61A2"/>
    <w:rsid w:val="008F61E2"/>
    <w:rsid w:val="008F78AC"/>
    <w:rsid w:val="00901024"/>
    <w:rsid w:val="009010C0"/>
    <w:rsid w:val="00901638"/>
    <w:rsid w:val="009016B9"/>
    <w:rsid w:val="00901CA1"/>
    <w:rsid w:val="00902EED"/>
    <w:rsid w:val="00902FCF"/>
    <w:rsid w:val="00902FD2"/>
    <w:rsid w:val="00903DF4"/>
    <w:rsid w:val="0090429F"/>
    <w:rsid w:val="0090447C"/>
    <w:rsid w:val="0090469C"/>
    <w:rsid w:val="009046E3"/>
    <w:rsid w:val="009047BE"/>
    <w:rsid w:val="00904FE7"/>
    <w:rsid w:val="00905C17"/>
    <w:rsid w:val="00906A27"/>
    <w:rsid w:val="00906A38"/>
    <w:rsid w:val="00907776"/>
    <w:rsid w:val="009078A8"/>
    <w:rsid w:val="009079C5"/>
    <w:rsid w:val="00907C78"/>
    <w:rsid w:val="00907E4B"/>
    <w:rsid w:val="00910068"/>
    <w:rsid w:val="0091029B"/>
    <w:rsid w:val="009104EB"/>
    <w:rsid w:val="009111EA"/>
    <w:rsid w:val="00911444"/>
    <w:rsid w:val="00911660"/>
    <w:rsid w:val="00911E7E"/>
    <w:rsid w:val="00912828"/>
    <w:rsid w:val="009132A6"/>
    <w:rsid w:val="009139B6"/>
    <w:rsid w:val="00913E53"/>
    <w:rsid w:val="00913F5A"/>
    <w:rsid w:val="00914670"/>
    <w:rsid w:val="00915059"/>
    <w:rsid w:val="00915544"/>
    <w:rsid w:val="009161D3"/>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1DD"/>
    <w:rsid w:val="0092520D"/>
    <w:rsid w:val="009254E9"/>
    <w:rsid w:val="009257B4"/>
    <w:rsid w:val="00925D59"/>
    <w:rsid w:val="00925E8E"/>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5187"/>
    <w:rsid w:val="00935654"/>
    <w:rsid w:val="009361DF"/>
    <w:rsid w:val="009374BD"/>
    <w:rsid w:val="00940398"/>
    <w:rsid w:val="00940635"/>
    <w:rsid w:val="00941676"/>
    <w:rsid w:val="00942069"/>
    <w:rsid w:val="009426B9"/>
    <w:rsid w:val="009429F2"/>
    <w:rsid w:val="00942A62"/>
    <w:rsid w:val="009434A1"/>
    <w:rsid w:val="00943714"/>
    <w:rsid w:val="009437AC"/>
    <w:rsid w:val="009448AA"/>
    <w:rsid w:val="00944A7D"/>
    <w:rsid w:val="00944C85"/>
    <w:rsid w:val="00944E27"/>
    <w:rsid w:val="00945CE8"/>
    <w:rsid w:val="009460CB"/>
    <w:rsid w:val="00946AD8"/>
    <w:rsid w:val="00946C9F"/>
    <w:rsid w:val="00946FFE"/>
    <w:rsid w:val="00947032"/>
    <w:rsid w:val="009472E1"/>
    <w:rsid w:val="00947428"/>
    <w:rsid w:val="0094744E"/>
    <w:rsid w:val="00947F1D"/>
    <w:rsid w:val="0095013F"/>
    <w:rsid w:val="0095027D"/>
    <w:rsid w:val="00950D3A"/>
    <w:rsid w:val="00950EEB"/>
    <w:rsid w:val="0095190D"/>
    <w:rsid w:val="00951A02"/>
    <w:rsid w:val="00952377"/>
    <w:rsid w:val="00952AD9"/>
    <w:rsid w:val="00953184"/>
    <w:rsid w:val="0095374E"/>
    <w:rsid w:val="009545B7"/>
    <w:rsid w:val="00954C49"/>
    <w:rsid w:val="00955A6F"/>
    <w:rsid w:val="00955B54"/>
    <w:rsid w:val="00955E32"/>
    <w:rsid w:val="00956B64"/>
    <w:rsid w:val="00956E5D"/>
    <w:rsid w:val="0095772E"/>
    <w:rsid w:val="009577F0"/>
    <w:rsid w:val="009604A9"/>
    <w:rsid w:val="0096051C"/>
    <w:rsid w:val="00960A55"/>
    <w:rsid w:val="00960E9D"/>
    <w:rsid w:val="009618C1"/>
    <w:rsid w:val="00963935"/>
    <w:rsid w:val="009641D6"/>
    <w:rsid w:val="00964476"/>
    <w:rsid w:val="0096465B"/>
    <w:rsid w:val="00964C6C"/>
    <w:rsid w:val="009652A0"/>
    <w:rsid w:val="0096550E"/>
    <w:rsid w:val="00965513"/>
    <w:rsid w:val="009664DF"/>
    <w:rsid w:val="00966CA1"/>
    <w:rsid w:val="00966F2A"/>
    <w:rsid w:val="009674BA"/>
    <w:rsid w:val="009678B7"/>
    <w:rsid w:val="009678DD"/>
    <w:rsid w:val="00970171"/>
    <w:rsid w:val="009702FB"/>
    <w:rsid w:val="0097111B"/>
    <w:rsid w:val="00971678"/>
    <w:rsid w:val="00971A24"/>
    <w:rsid w:val="00971C12"/>
    <w:rsid w:val="00971D2E"/>
    <w:rsid w:val="00972211"/>
    <w:rsid w:val="0097272C"/>
    <w:rsid w:val="00972DB0"/>
    <w:rsid w:val="00973E98"/>
    <w:rsid w:val="0097569B"/>
    <w:rsid w:val="009764D0"/>
    <w:rsid w:val="009766AC"/>
    <w:rsid w:val="00977054"/>
    <w:rsid w:val="009815F2"/>
    <w:rsid w:val="00981733"/>
    <w:rsid w:val="00982687"/>
    <w:rsid w:val="0098284D"/>
    <w:rsid w:val="00982B49"/>
    <w:rsid w:val="00982CF1"/>
    <w:rsid w:val="00982D83"/>
    <w:rsid w:val="00984109"/>
    <w:rsid w:val="00984214"/>
    <w:rsid w:val="00984BEC"/>
    <w:rsid w:val="0098571F"/>
    <w:rsid w:val="0098597A"/>
    <w:rsid w:val="009859EF"/>
    <w:rsid w:val="0098672B"/>
    <w:rsid w:val="00986E1B"/>
    <w:rsid w:val="00987056"/>
    <w:rsid w:val="00987545"/>
    <w:rsid w:val="00987F43"/>
    <w:rsid w:val="00990071"/>
    <w:rsid w:val="00990647"/>
    <w:rsid w:val="00990B63"/>
    <w:rsid w:val="00991822"/>
    <w:rsid w:val="009919D4"/>
    <w:rsid w:val="00991F2F"/>
    <w:rsid w:val="0099248A"/>
    <w:rsid w:val="009925AF"/>
    <w:rsid w:val="00992AA3"/>
    <w:rsid w:val="0099388F"/>
    <w:rsid w:val="00993A5B"/>
    <w:rsid w:val="00993EE5"/>
    <w:rsid w:val="009946A4"/>
    <w:rsid w:val="0099471B"/>
    <w:rsid w:val="00994F11"/>
    <w:rsid w:val="00994F53"/>
    <w:rsid w:val="00995468"/>
    <w:rsid w:val="0099558E"/>
    <w:rsid w:val="00995864"/>
    <w:rsid w:val="009961E4"/>
    <w:rsid w:val="009965A1"/>
    <w:rsid w:val="00996CDD"/>
    <w:rsid w:val="009973BF"/>
    <w:rsid w:val="0099761C"/>
    <w:rsid w:val="00997D84"/>
    <w:rsid w:val="009A0613"/>
    <w:rsid w:val="009A06A9"/>
    <w:rsid w:val="009A06DC"/>
    <w:rsid w:val="009A1A07"/>
    <w:rsid w:val="009A2114"/>
    <w:rsid w:val="009A29AC"/>
    <w:rsid w:val="009A2D1F"/>
    <w:rsid w:val="009A2DB2"/>
    <w:rsid w:val="009A379F"/>
    <w:rsid w:val="009A3AAD"/>
    <w:rsid w:val="009A3F4D"/>
    <w:rsid w:val="009A432E"/>
    <w:rsid w:val="009A4909"/>
    <w:rsid w:val="009A5570"/>
    <w:rsid w:val="009A576F"/>
    <w:rsid w:val="009A613F"/>
    <w:rsid w:val="009A7096"/>
    <w:rsid w:val="009A7D81"/>
    <w:rsid w:val="009B13F2"/>
    <w:rsid w:val="009B3442"/>
    <w:rsid w:val="009B34E5"/>
    <w:rsid w:val="009B36ED"/>
    <w:rsid w:val="009B3868"/>
    <w:rsid w:val="009B42B4"/>
    <w:rsid w:val="009B4E5D"/>
    <w:rsid w:val="009B5419"/>
    <w:rsid w:val="009B6500"/>
    <w:rsid w:val="009B708D"/>
    <w:rsid w:val="009B7B59"/>
    <w:rsid w:val="009C0658"/>
    <w:rsid w:val="009C0AF2"/>
    <w:rsid w:val="009C0B75"/>
    <w:rsid w:val="009C0CC4"/>
    <w:rsid w:val="009C108B"/>
    <w:rsid w:val="009C1335"/>
    <w:rsid w:val="009C19DA"/>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D06ED"/>
    <w:rsid w:val="009D0C62"/>
    <w:rsid w:val="009D14C3"/>
    <w:rsid w:val="009D1A67"/>
    <w:rsid w:val="009D1DA6"/>
    <w:rsid w:val="009D2A6D"/>
    <w:rsid w:val="009D2C24"/>
    <w:rsid w:val="009D31F2"/>
    <w:rsid w:val="009D40E8"/>
    <w:rsid w:val="009D42EF"/>
    <w:rsid w:val="009D509A"/>
    <w:rsid w:val="009D527E"/>
    <w:rsid w:val="009D5457"/>
    <w:rsid w:val="009D550A"/>
    <w:rsid w:val="009D55F5"/>
    <w:rsid w:val="009D6007"/>
    <w:rsid w:val="009D73A0"/>
    <w:rsid w:val="009D74AD"/>
    <w:rsid w:val="009D79D5"/>
    <w:rsid w:val="009D7C65"/>
    <w:rsid w:val="009D7C82"/>
    <w:rsid w:val="009E0128"/>
    <w:rsid w:val="009E04E0"/>
    <w:rsid w:val="009E0C89"/>
    <w:rsid w:val="009E15D1"/>
    <w:rsid w:val="009E17EC"/>
    <w:rsid w:val="009E1EDD"/>
    <w:rsid w:val="009E2A67"/>
    <w:rsid w:val="009E2AE5"/>
    <w:rsid w:val="009E2BC4"/>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A33"/>
    <w:rsid w:val="009F7B0D"/>
    <w:rsid w:val="009F7CE7"/>
    <w:rsid w:val="009F7EEF"/>
    <w:rsid w:val="00A007F0"/>
    <w:rsid w:val="00A009CC"/>
    <w:rsid w:val="00A00C52"/>
    <w:rsid w:val="00A015CC"/>
    <w:rsid w:val="00A015EF"/>
    <w:rsid w:val="00A019EC"/>
    <w:rsid w:val="00A01CF7"/>
    <w:rsid w:val="00A023E6"/>
    <w:rsid w:val="00A0294E"/>
    <w:rsid w:val="00A0310A"/>
    <w:rsid w:val="00A039BB"/>
    <w:rsid w:val="00A03A43"/>
    <w:rsid w:val="00A046FC"/>
    <w:rsid w:val="00A04A8D"/>
    <w:rsid w:val="00A04F4B"/>
    <w:rsid w:val="00A05333"/>
    <w:rsid w:val="00A0581C"/>
    <w:rsid w:val="00A0588D"/>
    <w:rsid w:val="00A05DE1"/>
    <w:rsid w:val="00A05E0B"/>
    <w:rsid w:val="00A05FAE"/>
    <w:rsid w:val="00A06145"/>
    <w:rsid w:val="00A0619A"/>
    <w:rsid w:val="00A06735"/>
    <w:rsid w:val="00A06E60"/>
    <w:rsid w:val="00A07406"/>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17CE7"/>
    <w:rsid w:val="00A20035"/>
    <w:rsid w:val="00A2008F"/>
    <w:rsid w:val="00A20C77"/>
    <w:rsid w:val="00A21936"/>
    <w:rsid w:val="00A2293F"/>
    <w:rsid w:val="00A22DC6"/>
    <w:rsid w:val="00A23152"/>
    <w:rsid w:val="00A2337B"/>
    <w:rsid w:val="00A23458"/>
    <w:rsid w:val="00A23B5A"/>
    <w:rsid w:val="00A23EE6"/>
    <w:rsid w:val="00A23FA6"/>
    <w:rsid w:val="00A25671"/>
    <w:rsid w:val="00A263D6"/>
    <w:rsid w:val="00A26B73"/>
    <w:rsid w:val="00A27237"/>
    <w:rsid w:val="00A2725E"/>
    <w:rsid w:val="00A276CB"/>
    <w:rsid w:val="00A27750"/>
    <w:rsid w:val="00A27FCC"/>
    <w:rsid w:val="00A307E8"/>
    <w:rsid w:val="00A30B1A"/>
    <w:rsid w:val="00A30F34"/>
    <w:rsid w:val="00A30FB9"/>
    <w:rsid w:val="00A313E1"/>
    <w:rsid w:val="00A318E7"/>
    <w:rsid w:val="00A32231"/>
    <w:rsid w:val="00A326CB"/>
    <w:rsid w:val="00A32AE5"/>
    <w:rsid w:val="00A32C09"/>
    <w:rsid w:val="00A334B1"/>
    <w:rsid w:val="00A337A3"/>
    <w:rsid w:val="00A34026"/>
    <w:rsid w:val="00A34114"/>
    <w:rsid w:val="00A34284"/>
    <w:rsid w:val="00A34408"/>
    <w:rsid w:val="00A34AAA"/>
    <w:rsid w:val="00A35668"/>
    <w:rsid w:val="00A36590"/>
    <w:rsid w:val="00A370D0"/>
    <w:rsid w:val="00A37288"/>
    <w:rsid w:val="00A3781F"/>
    <w:rsid w:val="00A37904"/>
    <w:rsid w:val="00A40613"/>
    <w:rsid w:val="00A40AA0"/>
    <w:rsid w:val="00A41019"/>
    <w:rsid w:val="00A421C7"/>
    <w:rsid w:val="00A4243A"/>
    <w:rsid w:val="00A428DC"/>
    <w:rsid w:val="00A4347C"/>
    <w:rsid w:val="00A43879"/>
    <w:rsid w:val="00A43D51"/>
    <w:rsid w:val="00A443D6"/>
    <w:rsid w:val="00A44529"/>
    <w:rsid w:val="00A44E00"/>
    <w:rsid w:val="00A45DE2"/>
    <w:rsid w:val="00A45E16"/>
    <w:rsid w:val="00A4617F"/>
    <w:rsid w:val="00A46CE1"/>
    <w:rsid w:val="00A47354"/>
    <w:rsid w:val="00A476EA"/>
    <w:rsid w:val="00A47877"/>
    <w:rsid w:val="00A479AE"/>
    <w:rsid w:val="00A50915"/>
    <w:rsid w:val="00A5141F"/>
    <w:rsid w:val="00A51513"/>
    <w:rsid w:val="00A5169F"/>
    <w:rsid w:val="00A518B6"/>
    <w:rsid w:val="00A5220F"/>
    <w:rsid w:val="00A527C1"/>
    <w:rsid w:val="00A531FE"/>
    <w:rsid w:val="00A53A69"/>
    <w:rsid w:val="00A53C9D"/>
    <w:rsid w:val="00A54F1A"/>
    <w:rsid w:val="00A55559"/>
    <w:rsid w:val="00A556E1"/>
    <w:rsid w:val="00A557A1"/>
    <w:rsid w:val="00A56B0A"/>
    <w:rsid w:val="00A5754A"/>
    <w:rsid w:val="00A60327"/>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483"/>
    <w:rsid w:val="00A66DFF"/>
    <w:rsid w:val="00A67AB2"/>
    <w:rsid w:val="00A67F0E"/>
    <w:rsid w:val="00A7000A"/>
    <w:rsid w:val="00A702A8"/>
    <w:rsid w:val="00A7091C"/>
    <w:rsid w:val="00A71232"/>
    <w:rsid w:val="00A72350"/>
    <w:rsid w:val="00A72574"/>
    <w:rsid w:val="00A728B3"/>
    <w:rsid w:val="00A7294A"/>
    <w:rsid w:val="00A732C8"/>
    <w:rsid w:val="00A73336"/>
    <w:rsid w:val="00A733EF"/>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0AA7"/>
    <w:rsid w:val="00A8104F"/>
    <w:rsid w:val="00A8149F"/>
    <w:rsid w:val="00A814D4"/>
    <w:rsid w:val="00A825A9"/>
    <w:rsid w:val="00A8267F"/>
    <w:rsid w:val="00A82688"/>
    <w:rsid w:val="00A82A2E"/>
    <w:rsid w:val="00A82F03"/>
    <w:rsid w:val="00A8327E"/>
    <w:rsid w:val="00A83B07"/>
    <w:rsid w:val="00A844E7"/>
    <w:rsid w:val="00A84BB1"/>
    <w:rsid w:val="00A8517B"/>
    <w:rsid w:val="00A862A5"/>
    <w:rsid w:val="00A863F3"/>
    <w:rsid w:val="00A8654F"/>
    <w:rsid w:val="00A86D37"/>
    <w:rsid w:val="00A86E89"/>
    <w:rsid w:val="00A877DC"/>
    <w:rsid w:val="00A87AF9"/>
    <w:rsid w:val="00A87D12"/>
    <w:rsid w:val="00A9095A"/>
    <w:rsid w:val="00A90B30"/>
    <w:rsid w:val="00A9239E"/>
    <w:rsid w:val="00A92D97"/>
    <w:rsid w:val="00A931E1"/>
    <w:rsid w:val="00A9341E"/>
    <w:rsid w:val="00A93433"/>
    <w:rsid w:val="00A935E4"/>
    <w:rsid w:val="00A94315"/>
    <w:rsid w:val="00A954C9"/>
    <w:rsid w:val="00A968B2"/>
    <w:rsid w:val="00A96BA6"/>
    <w:rsid w:val="00A971C1"/>
    <w:rsid w:val="00A97890"/>
    <w:rsid w:val="00AA010C"/>
    <w:rsid w:val="00AA0401"/>
    <w:rsid w:val="00AA0689"/>
    <w:rsid w:val="00AA161A"/>
    <w:rsid w:val="00AA1F98"/>
    <w:rsid w:val="00AA2294"/>
    <w:rsid w:val="00AA2D49"/>
    <w:rsid w:val="00AA3291"/>
    <w:rsid w:val="00AA34E7"/>
    <w:rsid w:val="00AA3AE7"/>
    <w:rsid w:val="00AA508F"/>
    <w:rsid w:val="00AA56D5"/>
    <w:rsid w:val="00AA59A9"/>
    <w:rsid w:val="00AA6722"/>
    <w:rsid w:val="00AA67BA"/>
    <w:rsid w:val="00AA6852"/>
    <w:rsid w:val="00AA6A29"/>
    <w:rsid w:val="00AA6AAE"/>
    <w:rsid w:val="00AA6C7C"/>
    <w:rsid w:val="00AA6CC9"/>
    <w:rsid w:val="00AA71EA"/>
    <w:rsid w:val="00AA7966"/>
    <w:rsid w:val="00AA7DF5"/>
    <w:rsid w:val="00AB073F"/>
    <w:rsid w:val="00AB0B30"/>
    <w:rsid w:val="00AB1203"/>
    <w:rsid w:val="00AB153B"/>
    <w:rsid w:val="00AB18FF"/>
    <w:rsid w:val="00AB1AE9"/>
    <w:rsid w:val="00AB1B0D"/>
    <w:rsid w:val="00AB2494"/>
    <w:rsid w:val="00AB278B"/>
    <w:rsid w:val="00AB28AB"/>
    <w:rsid w:val="00AB3371"/>
    <w:rsid w:val="00AB3C7E"/>
    <w:rsid w:val="00AB42B6"/>
    <w:rsid w:val="00AB4BF8"/>
    <w:rsid w:val="00AB4DD3"/>
    <w:rsid w:val="00AB51B6"/>
    <w:rsid w:val="00AB53B8"/>
    <w:rsid w:val="00AB597C"/>
    <w:rsid w:val="00AB5E40"/>
    <w:rsid w:val="00AB60B1"/>
    <w:rsid w:val="00AB614B"/>
    <w:rsid w:val="00AB6C5B"/>
    <w:rsid w:val="00AB6CF3"/>
    <w:rsid w:val="00AB6D67"/>
    <w:rsid w:val="00AB6DC2"/>
    <w:rsid w:val="00AB7C17"/>
    <w:rsid w:val="00AB7E27"/>
    <w:rsid w:val="00AC02E7"/>
    <w:rsid w:val="00AC0798"/>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08E"/>
    <w:rsid w:val="00AC628E"/>
    <w:rsid w:val="00AC67F7"/>
    <w:rsid w:val="00AC7192"/>
    <w:rsid w:val="00AC7403"/>
    <w:rsid w:val="00AC7678"/>
    <w:rsid w:val="00AC7CD5"/>
    <w:rsid w:val="00AD013A"/>
    <w:rsid w:val="00AD0BC2"/>
    <w:rsid w:val="00AD153E"/>
    <w:rsid w:val="00AD184C"/>
    <w:rsid w:val="00AD1F2F"/>
    <w:rsid w:val="00AD214A"/>
    <w:rsid w:val="00AD2CBB"/>
    <w:rsid w:val="00AD2E21"/>
    <w:rsid w:val="00AD4470"/>
    <w:rsid w:val="00AD448B"/>
    <w:rsid w:val="00AD489C"/>
    <w:rsid w:val="00AD4AE6"/>
    <w:rsid w:val="00AD540A"/>
    <w:rsid w:val="00AD5786"/>
    <w:rsid w:val="00AD5852"/>
    <w:rsid w:val="00AD5AC9"/>
    <w:rsid w:val="00AD5D06"/>
    <w:rsid w:val="00AD60BB"/>
    <w:rsid w:val="00AD6A61"/>
    <w:rsid w:val="00AD6AF6"/>
    <w:rsid w:val="00AD7DB8"/>
    <w:rsid w:val="00AE1643"/>
    <w:rsid w:val="00AE1C33"/>
    <w:rsid w:val="00AE1E13"/>
    <w:rsid w:val="00AE2539"/>
    <w:rsid w:val="00AE2E92"/>
    <w:rsid w:val="00AE3A5B"/>
    <w:rsid w:val="00AE3C60"/>
    <w:rsid w:val="00AE3D39"/>
    <w:rsid w:val="00AE4B35"/>
    <w:rsid w:val="00AE5118"/>
    <w:rsid w:val="00AE55FB"/>
    <w:rsid w:val="00AE589C"/>
    <w:rsid w:val="00AE5B99"/>
    <w:rsid w:val="00AE7C52"/>
    <w:rsid w:val="00AF0144"/>
    <w:rsid w:val="00AF05D2"/>
    <w:rsid w:val="00AF068A"/>
    <w:rsid w:val="00AF122C"/>
    <w:rsid w:val="00AF123E"/>
    <w:rsid w:val="00AF1561"/>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0FD9"/>
    <w:rsid w:val="00B012E2"/>
    <w:rsid w:val="00B01F4A"/>
    <w:rsid w:val="00B0209F"/>
    <w:rsid w:val="00B02402"/>
    <w:rsid w:val="00B0246C"/>
    <w:rsid w:val="00B02C27"/>
    <w:rsid w:val="00B03011"/>
    <w:rsid w:val="00B039D2"/>
    <w:rsid w:val="00B041DF"/>
    <w:rsid w:val="00B04239"/>
    <w:rsid w:val="00B044F7"/>
    <w:rsid w:val="00B046A6"/>
    <w:rsid w:val="00B0518B"/>
    <w:rsid w:val="00B05579"/>
    <w:rsid w:val="00B059EF"/>
    <w:rsid w:val="00B05B97"/>
    <w:rsid w:val="00B05C84"/>
    <w:rsid w:val="00B05D85"/>
    <w:rsid w:val="00B0667A"/>
    <w:rsid w:val="00B06BB6"/>
    <w:rsid w:val="00B06D3A"/>
    <w:rsid w:val="00B06EF9"/>
    <w:rsid w:val="00B06F4D"/>
    <w:rsid w:val="00B076D2"/>
    <w:rsid w:val="00B07A73"/>
    <w:rsid w:val="00B104A4"/>
    <w:rsid w:val="00B1100D"/>
    <w:rsid w:val="00B116B8"/>
    <w:rsid w:val="00B116FC"/>
    <w:rsid w:val="00B11921"/>
    <w:rsid w:val="00B11C44"/>
    <w:rsid w:val="00B11CE2"/>
    <w:rsid w:val="00B12282"/>
    <w:rsid w:val="00B12779"/>
    <w:rsid w:val="00B141B1"/>
    <w:rsid w:val="00B14D25"/>
    <w:rsid w:val="00B150D6"/>
    <w:rsid w:val="00B15753"/>
    <w:rsid w:val="00B15A66"/>
    <w:rsid w:val="00B160F5"/>
    <w:rsid w:val="00B16440"/>
    <w:rsid w:val="00B165F0"/>
    <w:rsid w:val="00B1691C"/>
    <w:rsid w:val="00B16F35"/>
    <w:rsid w:val="00B17DF5"/>
    <w:rsid w:val="00B17F14"/>
    <w:rsid w:val="00B204B4"/>
    <w:rsid w:val="00B20B70"/>
    <w:rsid w:val="00B2171B"/>
    <w:rsid w:val="00B22496"/>
    <w:rsid w:val="00B22A56"/>
    <w:rsid w:val="00B231A0"/>
    <w:rsid w:val="00B236F6"/>
    <w:rsid w:val="00B23DAD"/>
    <w:rsid w:val="00B23ECB"/>
    <w:rsid w:val="00B24171"/>
    <w:rsid w:val="00B24523"/>
    <w:rsid w:val="00B24B08"/>
    <w:rsid w:val="00B24C7A"/>
    <w:rsid w:val="00B25E3A"/>
    <w:rsid w:val="00B26E5A"/>
    <w:rsid w:val="00B27D0C"/>
    <w:rsid w:val="00B302E7"/>
    <w:rsid w:val="00B31921"/>
    <w:rsid w:val="00B32E27"/>
    <w:rsid w:val="00B35666"/>
    <w:rsid w:val="00B35F14"/>
    <w:rsid w:val="00B36050"/>
    <w:rsid w:val="00B3618A"/>
    <w:rsid w:val="00B36F46"/>
    <w:rsid w:val="00B36F72"/>
    <w:rsid w:val="00B3798A"/>
    <w:rsid w:val="00B37CE2"/>
    <w:rsid w:val="00B40A21"/>
    <w:rsid w:val="00B41072"/>
    <w:rsid w:val="00B4245C"/>
    <w:rsid w:val="00B42A8D"/>
    <w:rsid w:val="00B42D46"/>
    <w:rsid w:val="00B42F9C"/>
    <w:rsid w:val="00B43486"/>
    <w:rsid w:val="00B43554"/>
    <w:rsid w:val="00B437A0"/>
    <w:rsid w:val="00B4386D"/>
    <w:rsid w:val="00B4403A"/>
    <w:rsid w:val="00B44384"/>
    <w:rsid w:val="00B44585"/>
    <w:rsid w:val="00B4478C"/>
    <w:rsid w:val="00B4572D"/>
    <w:rsid w:val="00B4574C"/>
    <w:rsid w:val="00B45809"/>
    <w:rsid w:val="00B45A71"/>
    <w:rsid w:val="00B45F58"/>
    <w:rsid w:val="00B46853"/>
    <w:rsid w:val="00B46957"/>
    <w:rsid w:val="00B46A69"/>
    <w:rsid w:val="00B46B00"/>
    <w:rsid w:val="00B474BD"/>
    <w:rsid w:val="00B47B9F"/>
    <w:rsid w:val="00B47E97"/>
    <w:rsid w:val="00B5033E"/>
    <w:rsid w:val="00B508E2"/>
    <w:rsid w:val="00B509E1"/>
    <w:rsid w:val="00B50E5E"/>
    <w:rsid w:val="00B50E76"/>
    <w:rsid w:val="00B51539"/>
    <w:rsid w:val="00B51DB3"/>
    <w:rsid w:val="00B522CA"/>
    <w:rsid w:val="00B522FF"/>
    <w:rsid w:val="00B5260B"/>
    <w:rsid w:val="00B5268A"/>
    <w:rsid w:val="00B52763"/>
    <w:rsid w:val="00B534EB"/>
    <w:rsid w:val="00B53FB1"/>
    <w:rsid w:val="00B54060"/>
    <w:rsid w:val="00B54465"/>
    <w:rsid w:val="00B54FBC"/>
    <w:rsid w:val="00B5514B"/>
    <w:rsid w:val="00B556AB"/>
    <w:rsid w:val="00B5668A"/>
    <w:rsid w:val="00B56B2E"/>
    <w:rsid w:val="00B56C11"/>
    <w:rsid w:val="00B57700"/>
    <w:rsid w:val="00B60557"/>
    <w:rsid w:val="00B6121B"/>
    <w:rsid w:val="00B620D3"/>
    <w:rsid w:val="00B62531"/>
    <w:rsid w:val="00B62B74"/>
    <w:rsid w:val="00B62F25"/>
    <w:rsid w:val="00B63402"/>
    <w:rsid w:val="00B635ED"/>
    <w:rsid w:val="00B6361A"/>
    <w:rsid w:val="00B63700"/>
    <w:rsid w:val="00B64119"/>
    <w:rsid w:val="00B64859"/>
    <w:rsid w:val="00B65FA8"/>
    <w:rsid w:val="00B661D4"/>
    <w:rsid w:val="00B6787E"/>
    <w:rsid w:val="00B679B0"/>
    <w:rsid w:val="00B67A1F"/>
    <w:rsid w:val="00B67BA5"/>
    <w:rsid w:val="00B7062F"/>
    <w:rsid w:val="00B70E8D"/>
    <w:rsid w:val="00B710B7"/>
    <w:rsid w:val="00B71485"/>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009"/>
    <w:rsid w:val="00B83197"/>
    <w:rsid w:val="00B8324C"/>
    <w:rsid w:val="00B83334"/>
    <w:rsid w:val="00B83ADC"/>
    <w:rsid w:val="00B83CB5"/>
    <w:rsid w:val="00B84579"/>
    <w:rsid w:val="00B84ADE"/>
    <w:rsid w:val="00B84C75"/>
    <w:rsid w:val="00B84F1B"/>
    <w:rsid w:val="00B857A0"/>
    <w:rsid w:val="00B859F0"/>
    <w:rsid w:val="00B86148"/>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01"/>
    <w:rsid w:val="00B95A50"/>
    <w:rsid w:val="00B95EDB"/>
    <w:rsid w:val="00B95F97"/>
    <w:rsid w:val="00B963D9"/>
    <w:rsid w:val="00B96AE8"/>
    <w:rsid w:val="00B977AA"/>
    <w:rsid w:val="00BA0411"/>
    <w:rsid w:val="00BA06E1"/>
    <w:rsid w:val="00BA13C9"/>
    <w:rsid w:val="00BA20F2"/>
    <w:rsid w:val="00BA256F"/>
    <w:rsid w:val="00BA28CD"/>
    <w:rsid w:val="00BA3218"/>
    <w:rsid w:val="00BA32DE"/>
    <w:rsid w:val="00BA3DD5"/>
    <w:rsid w:val="00BA46D0"/>
    <w:rsid w:val="00BA4B21"/>
    <w:rsid w:val="00BA4F4F"/>
    <w:rsid w:val="00BA5ED7"/>
    <w:rsid w:val="00BA61BA"/>
    <w:rsid w:val="00BA62AA"/>
    <w:rsid w:val="00BA64D0"/>
    <w:rsid w:val="00BA7054"/>
    <w:rsid w:val="00BA7055"/>
    <w:rsid w:val="00BA70D3"/>
    <w:rsid w:val="00BA77B5"/>
    <w:rsid w:val="00BA79C4"/>
    <w:rsid w:val="00BA7B24"/>
    <w:rsid w:val="00BB0065"/>
    <w:rsid w:val="00BB0714"/>
    <w:rsid w:val="00BB0B93"/>
    <w:rsid w:val="00BB0C1C"/>
    <w:rsid w:val="00BB1248"/>
    <w:rsid w:val="00BB12F2"/>
    <w:rsid w:val="00BB17EF"/>
    <w:rsid w:val="00BB1867"/>
    <w:rsid w:val="00BB19BA"/>
    <w:rsid w:val="00BB269C"/>
    <w:rsid w:val="00BB26E1"/>
    <w:rsid w:val="00BB2A59"/>
    <w:rsid w:val="00BB2E2A"/>
    <w:rsid w:val="00BB2FC5"/>
    <w:rsid w:val="00BB3863"/>
    <w:rsid w:val="00BB4E1E"/>
    <w:rsid w:val="00BB532D"/>
    <w:rsid w:val="00BB53CE"/>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791"/>
    <w:rsid w:val="00BD6E02"/>
    <w:rsid w:val="00BD7E4C"/>
    <w:rsid w:val="00BD7E66"/>
    <w:rsid w:val="00BD7EE1"/>
    <w:rsid w:val="00BE04CB"/>
    <w:rsid w:val="00BE06A3"/>
    <w:rsid w:val="00BE06D7"/>
    <w:rsid w:val="00BE0887"/>
    <w:rsid w:val="00BE128D"/>
    <w:rsid w:val="00BE146B"/>
    <w:rsid w:val="00BE1C19"/>
    <w:rsid w:val="00BE29D2"/>
    <w:rsid w:val="00BE2CAB"/>
    <w:rsid w:val="00BE34B3"/>
    <w:rsid w:val="00BE36BF"/>
    <w:rsid w:val="00BE374B"/>
    <w:rsid w:val="00BE3D98"/>
    <w:rsid w:val="00BE4EFF"/>
    <w:rsid w:val="00BE5965"/>
    <w:rsid w:val="00BE6416"/>
    <w:rsid w:val="00BE786C"/>
    <w:rsid w:val="00BE7DFD"/>
    <w:rsid w:val="00BF00C6"/>
    <w:rsid w:val="00BF03A4"/>
    <w:rsid w:val="00BF0A2A"/>
    <w:rsid w:val="00BF120E"/>
    <w:rsid w:val="00BF123B"/>
    <w:rsid w:val="00BF1A26"/>
    <w:rsid w:val="00BF254D"/>
    <w:rsid w:val="00BF2FDD"/>
    <w:rsid w:val="00BF34B3"/>
    <w:rsid w:val="00BF3BE8"/>
    <w:rsid w:val="00BF5255"/>
    <w:rsid w:val="00BF56A7"/>
    <w:rsid w:val="00BF5A8A"/>
    <w:rsid w:val="00BF5F1A"/>
    <w:rsid w:val="00BF5FFA"/>
    <w:rsid w:val="00BF617A"/>
    <w:rsid w:val="00BF61FD"/>
    <w:rsid w:val="00BF65A6"/>
    <w:rsid w:val="00BF6AD9"/>
    <w:rsid w:val="00C0226D"/>
    <w:rsid w:val="00C023BE"/>
    <w:rsid w:val="00C0291C"/>
    <w:rsid w:val="00C029FD"/>
    <w:rsid w:val="00C02AF9"/>
    <w:rsid w:val="00C02DF5"/>
    <w:rsid w:val="00C03418"/>
    <w:rsid w:val="00C0368A"/>
    <w:rsid w:val="00C03CDD"/>
    <w:rsid w:val="00C04872"/>
    <w:rsid w:val="00C04912"/>
    <w:rsid w:val="00C04F46"/>
    <w:rsid w:val="00C051F1"/>
    <w:rsid w:val="00C05582"/>
    <w:rsid w:val="00C05E5C"/>
    <w:rsid w:val="00C05F15"/>
    <w:rsid w:val="00C06321"/>
    <w:rsid w:val="00C06389"/>
    <w:rsid w:val="00C06433"/>
    <w:rsid w:val="00C066E8"/>
    <w:rsid w:val="00C06B0F"/>
    <w:rsid w:val="00C06BCA"/>
    <w:rsid w:val="00C06DEC"/>
    <w:rsid w:val="00C0779B"/>
    <w:rsid w:val="00C107BC"/>
    <w:rsid w:val="00C109C6"/>
    <w:rsid w:val="00C113AE"/>
    <w:rsid w:val="00C11ACC"/>
    <w:rsid w:val="00C11E6A"/>
    <w:rsid w:val="00C126D3"/>
    <w:rsid w:val="00C12D9D"/>
    <w:rsid w:val="00C12F8A"/>
    <w:rsid w:val="00C142A4"/>
    <w:rsid w:val="00C143DE"/>
    <w:rsid w:val="00C14412"/>
    <w:rsid w:val="00C145BE"/>
    <w:rsid w:val="00C14BB1"/>
    <w:rsid w:val="00C14DD6"/>
    <w:rsid w:val="00C15379"/>
    <w:rsid w:val="00C15656"/>
    <w:rsid w:val="00C15779"/>
    <w:rsid w:val="00C161F0"/>
    <w:rsid w:val="00C162AE"/>
    <w:rsid w:val="00C1642B"/>
    <w:rsid w:val="00C16839"/>
    <w:rsid w:val="00C168D5"/>
    <w:rsid w:val="00C16AFF"/>
    <w:rsid w:val="00C1741B"/>
    <w:rsid w:val="00C17565"/>
    <w:rsid w:val="00C1770B"/>
    <w:rsid w:val="00C1777C"/>
    <w:rsid w:val="00C178DC"/>
    <w:rsid w:val="00C2004C"/>
    <w:rsid w:val="00C201E6"/>
    <w:rsid w:val="00C209A7"/>
    <w:rsid w:val="00C20BFF"/>
    <w:rsid w:val="00C20F6A"/>
    <w:rsid w:val="00C21965"/>
    <w:rsid w:val="00C221FC"/>
    <w:rsid w:val="00C22827"/>
    <w:rsid w:val="00C2322F"/>
    <w:rsid w:val="00C233D9"/>
    <w:rsid w:val="00C237A6"/>
    <w:rsid w:val="00C23CF2"/>
    <w:rsid w:val="00C24211"/>
    <w:rsid w:val="00C24E2D"/>
    <w:rsid w:val="00C24E2E"/>
    <w:rsid w:val="00C250DF"/>
    <w:rsid w:val="00C251EF"/>
    <w:rsid w:val="00C2551F"/>
    <w:rsid w:val="00C257BD"/>
    <w:rsid w:val="00C25E3F"/>
    <w:rsid w:val="00C2625A"/>
    <w:rsid w:val="00C26A6D"/>
    <w:rsid w:val="00C272BD"/>
    <w:rsid w:val="00C2739A"/>
    <w:rsid w:val="00C273E2"/>
    <w:rsid w:val="00C2776D"/>
    <w:rsid w:val="00C27E0E"/>
    <w:rsid w:val="00C30746"/>
    <w:rsid w:val="00C307C9"/>
    <w:rsid w:val="00C31DE0"/>
    <w:rsid w:val="00C31F0C"/>
    <w:rsid w:val="00C322E0"/>
    <w:rsid w:val="00C325E3"/>
    <w:rsid w:val="00C32E3E"/>
    <w:rsid w:val="00C33641"/>
    <w:rsid w:val="00C341A2"/>
    <w:rsid w:val="00C3435E"/>
    <w:rsid w:val="00C34BBE"/>
    <w:rsid w:val="00C34FFD"/>
    <w:rsid w:val="00C3596C"/>
    <w:rsid w:val="00C35AC8"/>
    <w:rsid w:val="00C35BEC"/>
    <w:rsid w:val="00C365C9"/>
    <w:rsid w:val="00C37844"/>
    <w:rsid w:val="00C3793C"/>
    <w:rsid w:val="00C379CF"/>
    <w:rsid w:val="00C40044"/>
    <w:rsid w:val="00C40281"/>
    <w:rsid w:val="00C406D8"/>
    <w:rsid w:val="00C40D06"/>
    <w:rsid w:val="00C40F55"/>
    <w:rsid w:val="00C4186E"/>
    <w:rsid w:val="00C41BD3"/>
    <w:rsid w:val="00C432B1"/>
    <w:rsid w:val="00C4334F"/>
    <w:rsid w:val="00C437A1"/>
    <w:rsid w:val="00C4396B"/>
    <w:rsid w:val="00C43B25"/>
    <w:rsid w:val="00C43B9E"/>
    <w:rsid w:val="00C44806"/>
    <w:rsid w:val="00C453C6"/>
    <w:rsid w:val="00C461AE"/>
    <w:rsid w:val="00C465B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A6A"/>
    <w:rsid w:val="00C63C7F"/>
    <w:rsid w:val="00C63C89"/>
    <w:rsid w:val="00C63ED8"/>
    <w:rsid w:val="00C64150"/>
    <w:rsid w:val="00C641A0"/>
    <w:rsid w:val="00C641B2"/>
    <w:rsid w:val="00C641E6"/>
    <w:rsid w:val="00C64A11"/>
    <w:rsid w:val="00C64B73"/>
    <w:rsid w:val="00C65B38"/>
    <w:rsid w:val="00C66ACF"/>
    <w:rsid w:val="00C66F63"/>
    <w:rsid w:val="00C7033D"/>
    <w:rsid w:val="00C70803"/>
    <w:rsid w:val="00C71148"/>
    <w:rsid w:val="00C7165F"/>
    <w:rsid w:val="00C71EB3"/>
    <w:rsid w:val="00C72093"/>
    <w:rsid w:val="00C7210E"/>
    <w:rsid w:val="00C725B0"/>
    <w:rsid w:val="00C727B5"/>
    <w:rsid w:val="00C72B25"/>
    <w:rsid w:val="00C72B7B"/>
    <w:rsid w:val="00C72C66"/>
    <w:rsid w:val="00C72D0A"/>
    <w:rsid w:val="00C73807"/>
    <w:rsid w:val="00C73D69"/>
    <w:rsid w:val="00C7422B"/>
    <w:rsid w:val="00C74720"/>
    <w:rsid w:val="00C74D08"/>
    <w:rsid w:val="00C754F0"/>
    <w:rsid w:val="00C75CFB"/>
    <w:rsid w:val="00C764C5"/>
    <w:rsid w:val="00C7762C"/>
    <w:rsid w:val="00C77ED8"/>
    <w:rsid w:val="00C80726"/>
    <w:rsid w:val="00C808BE"/>
    <w:rsid w:val="00C81758"/>
    <w:rsid w:val="00C818A4"/>
    <w:rsid w:val="00C818FB"/>
    <w:rsid w:val="00C821A5"/>
    <w:rsid w:val="00C82553"/>
    <w:rsid w:val="00C82A8F"/>
    <w:rsid w:val="00C8341C"/>
    <w:rsid w:val="00C85700"/>
    <w:rsid w:val="00C85709"/>
    <w:rsid w:val="00C85A8C"/>
    <w:rsid w:val="00C861AF"/>
    <w:rsid w:val="00C86934"/>
    <w:rsid w:val="00C86CF9"/>
    <w:rsid w:val="00C86F35"/>
    <w:rsid w:val="00C8703D"/>
    <w:rsid w:val="00C87D62"/>
    <w:rsid w:val="00C87E70"/>
    <w:rsid w:val="00C87FE2"/>
    <w:rsid w:val="00C90128"/>
    <w:rsid w:val="00C90147"/>
    <w:rsid w:val="00C90924"/>
    <w:rsid w:val="00C90FEA"/>
    <w:rsid w:val="00C91754"/>
    <w:rsid w:val="00C91925"/>
    <w:rsid w:val="00C91CBC"/>
    <w:rsid w:val="00C91D23"/>
    <w:rsid w:val="00C93457"/>
    <w:rsid w:val="00C93936"/>
    <w:rsid w:val="00C93BCD"/>
    <w:rsid w:val="00C93D7E"/>
    <w:rsid w:val="00C93FB8"/>
    <w:rsid w:val="00C95AB7"/>
    <w:rsid w:val="00C95C7E"/>
    <w:rsid w:val="00C95DD9"/>
    <w:rsid w:val="00C96EF0"/>
    <w:rsid w:val="00C97F7E"/>
    <w:rsid w:val="00CA04B3"/>
    <w:rsid w:val="00CA0710"/>
    <w:rsid w:val="00CA0F36"/>
    <w:rsid w:val="00CA1B90"/>
    <w:rsid w:val="00CA1C7D"/>
    <w:rsid w:val="00CA2665"/>
    <w:rsid w:val="00CA2DE1"/>
    <w:rsid w:val="00CA31AA"/>
    <w:rsid w:val="00CA3398"/>
    <w:rsid w:val="00CA4294"/>
    <w:rsid w:val="00CA4AFD"/>
    <w:rsid w:val="00CA535A"/>
    <w:rsid w:val="00CA5AF0"/>
    <w:rsid w:val="00CA5E20"/>
    <w:rsid w:val="00CA6B13"/>
    <w:rsid w:val="00CA7620"/>
    <w:rsid w:val="00CA784F"/>
    <w:rsid w:val="00CB052F"/>
    <w:rsid w:val="00CB0537"/>
    <w:rsid w:val="00CB0BE4"/>
    <w:rsid w:val="00CB13B3"/>
    <w:rsid w:val="00CB13C4"/>
    <w:rsid w:val="00CB19C0"/>
    <w:rsid w:val="00CB1F97"/>
    <w:rsid w:val="00CB2D32"/>
    <w:rsid w:val="00CB317A"/>
    <w:rsid w:val="00CB38A7"/>
    <w:rsid w:val="00CB4A49"/>
    <w:rsid w:val="00CB4F5C"/>
    <w:rsid w:val="00CB5323"/>
    <w:rsid w:val="00CB5ABE"/>
    <w:rsid w:val="00CB5C61"/>
    <w:rsid w:val="00CB6AAB"/>
    <w:rsid w:val="00CB72D1"/>
    <w:rsid w:val="00CB754B"/>
    <w:rsid w:val="00CB7616"/>
    <w:rsid w:val="00CB7D8D"/>
    <w:rsid w:val="00CC00C2"/>
    <w:rsid w:val="00CC0997"/>
    <w:rsid w:val="00CC0A63"/>
    <w:rsid w:val="00CC0B50"/>
    <w:rsid w:val="00CC21EA"/>
    <w:rsid w:val="00CC25FD"/>
    <w:rsid w:val="00CC3120"/>
    <w:rsid w:val="00CC313F"/>
    <w:rsid w:val="00CC358D"/>
    <w:rsid w:val="00CC394F"/>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8B2"/>
    <w:rsid w:val="00CD0C51"/>
    <w:rsid w:val="00CD1097"/>
    <w:rsid w:val="00CD10CD"/>
    <w:rsid w:val="00CD11BE"/>
    <w:rsid w:val="00CD11D1"/>
    <w:rsid w:val="00CD14C0"/>
    <w:rsid w:val="00CD1663"/>
    <w:rsid w:val="00CD21B3"/>
    <w:rsid w:val="00CD2396"/>
    <w:rsid w:val="00CD2E0E"/>
    <w:rsid w:val="00CD3027"/>
    <w:rsid w:val="00CD3BEE"/>
    <w:rsid w:val="00CD3D67"/>
    <w:rsid w:val="00CD439A"/>
    <w:rsid w:val="00CD4433"/>
    <w:rsid w:val="00CD5305"/>
    <w:rsid w:val="00CD532D"/>
    <w:rsid w:val="00CD5604"/>
    <w:rsid w:val="00CD569C"/>
    <w:rsid w:val="00CD5986"/>
    <w:rsid w:val="00CD5C9A"/>
    <w:rsid w:val="00CD5CF0"/>
    <w:rsid w:val="00CD5F20"/>
    <w:rsid w:val="00CD69E0"/>
    <w:rsid w:val="00CD6D54"/>
    <w:rsid w:val="00CD73BE"/>
    <w:rsid w:val="00CD79C1"/>
    <w:rsid w:val="00CE0102"/>
    <w:rsid w:val="00CE017E"/>
    <w:rsid w:val="00CE0255"/>
    <w:rsid w:val="00CE03F2"/>
    <w:rsid w:val="00CE098D"/>
    <w:rsid w:val="00CE09AF"/>
    <w:rsid w:val="00CE111C"/>
    <w:rsid w:val="00CE12D6"/>
    <w:rsid w:val="00CE1754"/>
    <w:rsid w:val="00CE1C0A"/>
    <w:rsid w:val="00CE1D83"/>
    <w:rsid w:val="00CE1EBC"/>
    <w:rsid w:val="00CE248A"/>
    <w:rsid w:val="00CE2567"/>
    <w:rsid w:val="00CE2E57"/>
    <w:rsid w:val="00CE3048"/>
    <w:rsid w:val="00CE3285"/>
    <w:rsid w:val="00CE3845"/>
    <w:rsid w:val="00CE3AA2"/>
    <w:rsid w:val="00CE4197"/>
    <w:rsid w:val="00CE4955"/>
    <w:rsid w:val="00CE56A7"/>
    <w:rsid w:val="00CE576F"/>
    <w:rsid w:val="00CE5C93"/>
    <w:rsid w:val="00CE5D28"/>
    <w:rsid w:val="00CE6ED8"/>
    <w:rsid w:val="00CE7CDE"/>
    <w:rsid w:val="00CF08DC"/>
    <w:rsid w:val="00CF183A"/>
    <w:rsid w:val="00CF23B3"/>
    <w:rsid w:val="00CF2568"/>
    <w:rsid w:val="00CF271E"/>
    <w:rsid w:val="00CF2911"/>
    <w:rsid w:val="00CF2B88"/>
    <w:rsid w:val="00CF2E3F"/>
    <w:rsid w:val="00CF362C"/>
    <w:rsid w:val="00CF42C5"/>
    <w:rsid w:val="00CF42D3"/>
    <w:rsid w:val="00CF44A4"/>
    <w:rsid w:val="00CF4894"/>
    <w:rsid w:val="00CF4DAD"/>
    <w:rsid w:val="00CF4E8D"/>
    <w:rsid w:val="00CF5B30"/>
    <w:rsid w:val="00CF6522"/>
    <w:rsid w:val="00CF73AF"/>
    <w:rsid w:val="00CF7AD1"/>
    <w:rsid w:val="00CF7ECE"/>
    <w:rsid w:val="00D01B58"/>
    <w:rsid w:val="00D01E23"/>
    <w:rsid w:val="00D02270"/>
    <w:rsid w:val="00D024B1"/>
    <w:rsid w:val="00D036CF"/>
    <w:rsid w:val="00D03B1D"/>
    <w:rsid w:val="00D03B88"/>
    <w:rsid w:val="00D03F85"/>
    <w:rsid w:val="00D047D4"/>
    <w:rsid w:val="00D049FA"/>
    <w:rsid w:val="00D04D97"/>
    <w:rsid w:val="00D05150"/>
    <w:rsid w:val="00D059D4"/>
    <w:rsid w:val="00D05D22"/>
    <w:rsid w:val="00D05E91"/>
    <w:rsid w:val="00D05FC9"/>
    <w:rsid w:val="00D065A9"/>
    <w:rsid w:val="00D06B78"/>
    <w:rsid w:val="00D06CE1"/>
    <w:rsid w:val="00D07228"/>
    <w:rsid w:val="00D07574"/>
    <w:rsid w:val="00D1001F"/>
    <w:rsid w:val="00D11062"/>
    <w:rsid w:val="00D11085"/>
    <w:rsid w:val="00D1143C"/>
    <w:rsid w:val="00D1145C"/>
    <w:rsid w:val="00D118F2"/>
    <w:rsid w:val="00D127C1"/>
    <w:rsid w:val="00D131DD"/>
    <w:rsid w:val="00D1330D"/>
    <w:rsid w:val="00D13A99"/>
    <w:rsid w:val="00D146C8"/>
    <w:rsid w:val="00D14AD4"/>
    <w:rsid w:val="00D14F3E"/>
    <w:rsid w:val="00D155CA"/>
    <w:rsid w:val="00D15787"/>
    <w:rsid w:val="00D15A90"/>
    <w:rsid w:val="00D15ACC"/>
    <w:rsid w:val="00D15CF1"/>
    <w:rsid w:val="00D16785"/>
    <w:rsid w:val="00D17774"/>
    <w:rsid w:val="00D17A4D"/>
    <w:rsid w:val="00D17C57"/>
    <w:rsid w:val="00D17D51"/>
    <w:rsid w:val="00D17FA7"/>
    <w:rsid w:val="00D200C7"/>
    <w:rsid w:val="00D2088C"/>
    <w:rsid w:val="00D20C36"/>
    <w:rsid w:val="00D20F1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570"/>
    <w:rsid w:val="00D319BA"/>
    <w:rsid w:val="00D31D2D"/>
    <w:rsid w:val="00D31FE9"/>
    <w:rsid w:val="00D327C8"/>
    <w:rsid w:val="00D335E1"/>
    <w:rsid w:val="00D33FE9"/>
    <w:rsid w:val="00D345D3"/>
    <w:rsid w:val="00D34845"/>
    <w:rsid w:val="00D34A25"/>
    <w:rsid w:val="00D34A67"/>
    <w:rsid w:val="00D34AC8"/>
    <w:rsid w:val="00D34E00"/>
    <w:rsid w:val="00D3677B"/>
    <w:rsid w:val="00D36C59"/>
    <w:rsid w:val="00D377DC"/>
    <w:rsid w:val="00D37F71"/>
    <w:rsid w:val="00D40534"/>
    <w:rsid w:val="00D40EA6"/>
    <w:rsid w:val="00D41478"/>
    <w:rsid w:val="00D41DEA"/>
    <w:rsid w:val="00D42686"/>
    <w:rsid w:val="00D42B6C"/>
    <w:rsid w:val="00D431DA"/>
    <w:rsid w:val="00D4320F"/>
    <w:rsid w:val="00D437BA"/>
    <w:rsid w:val="00D43E76"/>
    <w:rsid w:val="00D44060"/>
    <w:rsid w:val="00D44CCD"/>
    <w:rsid w:val="00D45A7B"/>
    <w:rsid w:val="00D45B6B"/>
    <w:rsid w:val="00D45CD3"/>
    <w:rsid w:val="00D45F37"/>
    <w:rsid w:val="00D460E6"/>
    <w:rsid w:val="00D466A2"/>
    <w:rsid w:val="00D50365"/>
    <w:rsid w:val="00D50C6B"/>
    <w:rsid w:val="00D51371"/>
    <w:rsid w:val="00D51B44"/>
    <w:rsid w:val="00D51DB0"/>
    <w:rsid w:val="00D52F40"/>
    <w:rsid w:val="00D52F95"/>
    <w:rsid w:val="00D53E66"/>
    <w:rsid w:val="00D53EB2"/>
    <w:rsid w:val="00D54B56"/>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D6C"/>
    <w:rsid w:val="00D63F13"/>
    <w:rsid w:val="00D63F4B"/>
    <w:rsid w:val="00D6412F"/>
    <w:rsid w:val="00D65208"/>
    <w:rsid w:val="00D657B2"/>
    <w:rsid w:val="00D65DCA"/>
    <w:rsid w:val="00D6601C"/>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4A6E"/>
    <w:rsid w:val="00D75384"/>
    <w:rsid w:val="00D75F33"/>
    <w:rsid w:val="00D76EAA"/>
    <w:rsid w:val="00D76F5B"/>
    <w:rsid w:val="00D77F60"/>
    <w:rsid w:val="00D8072E"/>
    <w:rsid w:val="00D80997"/>
    <w:rsid w:val="00D80D30"/>
    <w:rsid w:val="00D810EF"/>
    <w:rsid w:val="00D8136C"/>
    <w:rsid w:val="00D813BF"/>
    <w:rsid w:val="00D817A7"/>
    <w:rsid w:val="00D817AA"/>
    <w:rsid w:val="00D819D3"/>
    <w:rsid w:val="00D821AD"/>
    <w:rsid w:val="00D8287A"/>
    <w:rsid w:val="00D82973"/>
    <w:rsid w:val="00D8356D"/>
    <w:rsid w:val="00D84356"/>
    <w:rsid w:val="00D84371"/>
    <w:rsid w:val="00D84F42"/>
    <w:rsid w:val="00D8508C"/>
    <w:rsid w:val="00D85213"/>
    <w:rsid w:val="00D856C0"/>
    <w:rsid w:val="00D858A4"/>
    <w:rsid w:val="00D858E9"/>
    <w:rsid w:val="00D85989"/>
    <w:rsid w:val="00D85F87"/>
    <w:rsid w:val="00D86352"/>
    <w:rsid w:val="00D869F2"/>
    <w:rsid w:val="00D86EB1"/>
    <w:rsid w:val="00D86F0C"/>
    <w:rsid w:val="00D87115"/>
    <w:rsid w:val="00D908C0"/>
    <w:rsid w:val="00D911A5"/>
    <w:rsid w:val="00D912B3"/>
    <w:rsid w:val="00D91A41"/>
    <w:rsid w:val="00D92167"/>
    <w:rsid w:val="00D923D9"/>
    <w:rsid w:val="00D92613"/>
    <w:rsid w:val="00D93E5B"/>
    <w:rsid w:val="00D94395"/>
    <w:rsid w:val="00D955A3"/>
    <w:rsid w:val="00D95679"/>
    <w:rsid w:val="00D95958"/>
    <w:rsid w:val="00D9625A"/>
    <w:rsid w:val="00D96D14"/>
    <w:rsid w:val="00D97D8A"/>
    <w:rsid w:val="00DA0505"/>
    <w:rsid w:val="00DA0CCB"/>
    <w:rsid w:val="00DA0FAE"/>
    <w:rsid w:val="00DA100D"/>
    <w:rsid w:val="00DA167F"/>
    <w:rsid w:val="00DA1BAF"/>
    <w:rsid w:val="00DA1CE6"/>
    <w:rsid w:val="00DA1D37"/>
    <w:rsid w:val="00DA2B9D"/>
    <w:rsid w:val="00DA4022"/>
    <w:rsid w:val="00DA4106"/>
    <w:rsid w:val="00DA43A4"/>
    <w:rsid w:val="00DA4806"/>
    <w:rsid w:val="00DA4860"/>
    <w:rsid w:val="00DA5A8D"/>
    <w:rsid w:val="00DA6BDF"/>
    <w:rsid w:val="00DA7015"/>
    <w:rsid w:val="00DA70BD"/>
    <w:rsid w:val="00DA73B0"/>
    <w:rsid w:val="00DA7511"/>
    <w:rsid w:val="00DA7575"/>
    <w:rsid w:val="00DB0201"/>
    <w:rsid w:val="00DB0238"/>
    <w:rsid w:val="00DB0DB7"/>
    <w:rsid w:val="00DB13E8"/>
    <w:rsid w:val="00DB17D1"/>
    <w:rsid w:val="00DB1A74"/>
    <w:rsid w:val="00DB1B00"/>
    <w:rsid w:val="00DB1FB6"/>
    <w:rsid w:val="00DB2896"/>
    <w:rsid w:val="00DB2DE9"/>
    <w:rsid w:val="00DB2EA7"/>
    <w:rsid w:val="00DB2F08"/>
    <w:rsid w:val="00DB2F72"/>
    <w:rsid w:val="00DB300D"/>
    <w:rsid w:val="00DB4965"/>
    <w:rsid w:val="00DB4C09"/>
    <w:rsid w:val="00DB5BE8"/>
    <w:rsid w:val="00DB5E2B"/>
    <w:rsid w:val="00DB64D3"/>
    <w:rsid w:val="00DB6B72"/>
    <w:rsid w:val="00DB70B7"/>
    <w:rsid w:val="00DB74CB"/>
    <w:rsid w:val="00DB7562"/>
    <w:rsid w:val="00DB77ED"/>
    <w:rsid w:val="00DB7F62"/>
    <w:rsid w:val="00DC058B"/>
    <w:rsid w:val="00DC06E1"/>
    <w:rsid w:val="00DC12AA"/>
    <w:rsid w:val="00DC1604"/>
    <w:rsid w:val="00DC1BF2"/>
    <w:rsid w:val="00DC2384"/>
    <w:rsid w:val="00DC3B0A"/>
    <w:rsid w:val="00DC43C5"/>
    <w:rsid w:val="00DC4A18"/>
    <w:rsid w:val="00DC4CAB"/>
    <w:rsid w:val="00DC4E8A"/>
    <w:rsid w:val="00DC4ED9"/>
    <w:rsid w:val="00DC5348"/>
    <w:rsid w:val="00DC565A"/>
    <w:rsid w:val="00DC5A22"/>
    <w:rsid w:val="00DC5B3B"/>
    <w:rsid w:val="00DC5B6E"/>
    <w:rsid w:val="00DC649A"/>
    <w:rsid w:val="00DC6EDD"/>
    <w:rsid w:val="00DC7474"/>
    <w:rsid w:val="00DC762B"/>
    <w:rsid w:val="00DC79C7"/>
    <w:rsid w:val="00DD014C"/>
    <w:rsid w:val="00DD0305"/>
    <w:rsid w:val="00DD06F4"/>
    <w:rsid w:val="00DD0DD7"/>
    <w:rsid w:val="00DD0FFC"/>
    <w:rsid w:val="00DD1631"/>
    <w:rsid w:val="00DD1BA4"/>
    <w:rsid w:val="00DD1C44"/>
    <w:rsid w:val="00DD1D58"/>
    <w:rsid w:val="00DD22EE"/>
    <w:rsid w:val="00DD2875"/>
    <w:rsid w:val="00DD2D58"/>
    <w:rsid w:val="00DD2F3F"/>
    <w:rsid w:val="00DD2F4F"/>
    <w:rsid w:val="00DD3308"/>
    <w:rsid w:val="00DD3A92"/>
    <w:rsid w:val="00DD40D7"/>
    <w:rsid w:val="00DD4642"/>
    <w:rsid w:val="00DD5028"/>
    <w:rsid w:val="00DD579B"/>
    <w:rsid w:val="00DD57EA"/>
    <w:rsid w:val="00DD613E"/>
    <w:rsid w:val="00DD64CD"/>
    <w:rsid w:val="00DD6B38"/>
    <w:rsid w:val="00DD6B48"/>
    <w:rsid w:val="00DD6EEB"/>
    <w:rsid w:val="00DD704F"/>
    <w:rsid w:val="00DD749E"/>
    <w:rsid w:val="00DD7682"/>
    <w:rsid w:val="00DD7740"/>
    <w:rsid w:val="00DD7ABB"/>
    <w:rsid w:val="00DE039C"/>
    <w:rsid w:val="00DE107A"/>
    <w:rsid w:val="00DE1B18"/>
    <w:rsid w:val="00DE3121"/>
    <w:rsid w:val="00DE336E"/>
    <w:rsid w:val="00DE3F1E"/>
    <w:rsid w:val="00DE3F5B"/>
    <w:rsid w:val="00DE48A5"/>
    <w:rsid w:val="00DE48FC"/>
    <w:rsid w:val="00DE49FF"/>
    <w:rsid w:val="00DE52F5"/>
    <w:rsid w:val="00DE569A"/>
    <w:rsid w:val="00DE5777"/>
    <w:rsid w:val="00DE633A"/>
    <w:rsid w:val="00DE6A7A"/>
    <w:rsid w:val="00DE6B62"/>
    <w:rsid w:val="00DE6C33"/>
    <w:rsid w:val="00DE7846"/>
    <w:rsid w:val="00DF0705"/>
    <w:rsid w:val="00DF0A68"/>
    <w:rsid w:val="00DF0D87"/>
    <w:rsid w:val="00DF0E37"/>
    <w:rsid w:val="00DF0F9C"/>
    <w:rsid w:val="00DF185B"/>
    <w:rsid w:val="00DF1970"/>
    <w:rsid w:val="00DF200B"/>
    <w:rsid w:val="00DF2502"/>
    <w:rsid w:val="00DF2801"/>
    <w:rsid w:val="00DF2989"/>
    <w:rsid w:val="00DF2EED"/>
    <w:rsid w:val="00DF3D4E"/>
    <w:rsid w:val="00DF40E3"/>
    <w:rsid w:val="00DF428F"/>
    <w:rsid w:val="00DF4334"/>
    <w:rsid w:val="00DF4605"/>
    <w:rsid w:val="00DF53D4"/>
    <w:rsid w:val="00DF5FCF"/>
    <w:rsid w:val="00DF6A19"/>
    <w:rsid w:val="00DF6BFD"/>
    <w:rsid w:val="00DF6D0B"/>
    <w:rsid w:val="00DF6E92"/>
    <w:rsid w:val="00DF73E8"/>
    <w:rsid w:val="00DF74CD"/>
    <w:rsid w:val="00DF79C8"/>
    <w:rsid w:val="00DF7D16"/>
    <w:rsid w:val="00DF7D69"/>
    <w:rsid w:val="00E0046E"/>
    <w:rsid w:val="00E00EE8"/>
    <w:rsid w:val="00E02428"/>
    <w:rsid w:val="00E026BC"/>
    <w:rsid w:val="00E027F5"/>
    <w:rsid w:val="00E02825"/>
    <w:rsid w:val="00E028D4"/>
    <w:rsid w:val="00E02E6A"/>
    <w:rsid w:val="00E02EA7"/>
    <w:rsid w:val="00E03127"/>
    <w:rsid w:val="00E034C3"/>
    <w:rsid w:val="00E03A4A"/>
    <w:rsid w:val="00E03C05"/>
    <w:rsid w:val="00E03EF9"/>
    <w:rsid w:val="00E0492B"/>
    <w:rsid w:val="00E04CC2"/>
    <w:rsid w:val="00E04E8B"/>
    <w:rsid w:val="00E066EC"/>
    <w:rsid w:val="00E06ADA"/>
    <w:rsid w:val="00E1001B"/>
    <w:rsid w:val="00E10FFB"/>
    <w:rsid w:val="00E118F0"/>
    <w:rsid w:val="00E11F7B"/>
    <w:rsid w:val="00E123F5"/>
    <w:rsid w:val="00E13060"/>
    <w:rsid w:val="00E130F0"/>
    <w:rsid w:val="00E14190"/>
    <w:rsid w:val="00E14207"/>
    <w:rsid w:val="00E14905"/>
    <w:rsid w:val="00E14CAD"/>
    <w:rsid w:val="00E15007"/>
    <w:rsid w:val="00E159CD"/>
    <w:rsid w:val="00E15BFC"/>
    <w:rsid w:val="00E15C9F"/>
    <w:rsid w:val="00E163E3"/>
    <w:rsid w:val="00E16E6B"/>
    <w:rsid w:val="00E1712A"/>
    <w:rsid w:val="00E172DE"/>
    <w:rsid w:val="00E17473"/>
    <w:rsid w:val="00E174F3"/>
    <w:rsid w:val="00E17B8F"/>
    <w:rsid w:val="00E17D7B"/>
    <w:rsid w:val="00E17DFC"/>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B66"/>
    <w:rsid w:val="00E3071E"/>
    <w:rsid w:val="00E319C0"/>
    <w:rsid w:val="00E31AC7"/>
    <w:rsid w:val="00E31B5A"/>
    <w:rsid w:val="00E31C6D"/>
    <w:rsid w:val="00E32D7C"/>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426"/>
    <w:rsid w:val="00E40E0E"/>
    <w:rsid w:val="00E41113"/>
    <w:rsid w:val="00E41301"/>
    <w:rsid w:val="00E41370"/>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47F1C"/>
    <w:rsid w:val="00E508DB"/>
    <w:rsid w:val="00E5093C"/>
    <w:rsid w:val="00E5182A"/>
    <w:rsid w:val="00E53225"/>
    <w:rsid w:val="00E545B8"/>
    <w:rsid w:val="00E5477C"/>
    <w:rsid w:val="00E54B46"/>
    <w:rsid w:val="00E54C60"/>
    <w:rsid w:val="00E54F01"/>
    <w:rsid w:val="00E550A2"/>
    <w:rsid w:val="00E55733"/>
    <w:rsid w:val="00E55F6F"/>
    <w:rsid w:val="00E56431"/>
    <w:rsid w:val="00E5661C"/>
    <w:rsid w:val="00E56894"/>
    <w:rsid w:val="00E57178"/>
    <w:rsid w:val="00E575C1"/>
    <w:rsid w:val="00E57727"/>
    <w:rsid w:val="00E57BEB"/>
    <w:rsid w:val="00E57DA7"/>
    <w:rsid w:val="00E60C85"/>
    <w:rsid w:val="00E615FB"/>
    <w:rsid w:val="00E61D6F"/>
    <w:rsid w:val="00E62565"/>
    <w:rsid w:val="00E62EE0"/>
    <w:rsid w:val="00E63B92"/>
    <w:rsid w:val="00E63D3D"/>
    <w:rsid w:val="00E64042"/>
    <w:rsid w:val="00E6497C"/>
    <w:rsid w:val="00E65C8A"/>
    <w:rsid w:val="00E65CD6"/>
    <w:rsid w:val="00E6676D"/>
    <w:rsid w:val="00E66E47"/>
    <w:rsid w:val="00E67C5A"/>
    <w:rsid w:val="00E70330"/>
    <w:rsid w:val="00E70870"/>
    <w:rsid w:val="00E7151E"/>
    <w:rsid w:val="00E7276F"/>
    <w:rsid w:val="00E73A40"/>
    <w:rsid w:val="00E73BEA"/>
    <w:rsid w:val="00E73D90"/>
    <w:rsid w:val="00E74143"/>
    <w:rsid w:val="00E744F3"/>
    <w:rsid w:val="00E7557F"/>
    <w:rsid w:val="00E75596"/>
    <w:rsid w:val="00E75708"/>
    <w:rsid w:val="00E75862"/>
    <w:rsid w:val="00E76035"/>
    <w:rsid w:val="00E7640C"/>
    <w:rsid w:val="00E77695"/>
    <w:rsid w:val="00E810D5"/>
    <w:rsid w:val="00E825D8"/>
    <w:rsid w:val="00E8389F"/>
    <w:rsid w:val="00E83E76"/>
    <w:rsid w:val="00E8403B"/>
    <w:rsid w:val="00E8487C"/>
    <w:rsid w:val="00E84D50"/>
    <w:rsid w:val="00E85479"/>
    <w:rsid w:val="00E854DA"/>
    <w:rsid w:val="00E854FA"/>
    <w:rsid w:val="00E85723"/>
    <w:rsid w:val="00E85D8B"/>
    <w:rsid w:val="00E85DF7"/>
    <w:rsid w:val="00E85EF5"/>
    <w:rsid w:val="00E85F01"/>
    <w:rsid w:val="00E861BB"/>
    <w:rsid w:val="00E865E5"/>
    <w:rsid w:val="00E86813"/>
    <w:rsid w:val="00E86CA0"/>
    <w:rsid w:val="00E87507"/>
    <w:rsid w:val="00E875CE"/>
    <w:rsid w:val="00E87A14"/>
    <w:rsid w:val="00E87B6C"/>
    <w:rsid w:val="00E87E27"/>
    <w:rsid w:val="00E87E2D"/>
    <w:rsid w:val="00E90AC8"/>
    <w:rsid w:val="00E91368"/>
    <w:rsid w:val="00E91732"/>
    <w:rsid w:val="00E92018"/>
    <w:rsid w:val="00E92525"/>
    <w:rsid w:val="00E928D2"/>
    <w:rsid w:val="00E92CB0"/>
    <w:rsid w:val="00E92CB8"/>
    <w:rsid w:val="00E92E2E"/>
    <w:rsid w:val="00E930A6"/>
    <w:rsid w:val="00E9325D"/>
    <w:rsid w:val="00E93D18"/>
    <w:rsid w:val="00E93FCF"/>
    <w:rsid w:val="00E94242"/>
    <w:rsid w:val="00E948A6"/>
    <w:rsid w:val="00E94ABE"/>
    <w:rsid w:val="00E94CFF"/>
    <w:rsid w:val="00E94DB3"/>
    <w:rsid w:val="00E95259"/>
    <w:rsid w:val="00E954D8"/>
    <w:rsid w:val="00E95693"/>
    <w:rsid w:val="00E95880"/>
    <w:rsid w:val="00E95EC6"/>
    <w:rsid w:val="00E960A7"/>
    <w:rsid w:val="00E96493"/>
    <w:rsid w:val="00E9702E"/>
    <w:rsid w:val="00E9768D"/>
    <w:rsid w:val="00EA068C"/>
    <w:rsid w:val="00EA0B7E"/>
    <w:rsid w:val="00EA1E89"/>
    <w:rsid w:val="00EA2055"/>
    <w:rsid w:val="00EA2F9B"/>
    <w:rsid w:val="00EA3A79"/>
    <w:rsid w:val="00EA3BC3"/>
    <w:rsid w:val="00EA3E81"/>
    <w:rsid w:val="00EA3F77"/>
    <w:rsid w:val="00EA482B"/>
    <w:rsid w:val="00EA4B08"/>
    <w:rsid w:val="00EA4BDA"/>
    <w:rsid w:val="00EA4FFF"/>
    <w:rsid w:val="00EA5658"/>
    <w:rsid w:val="00EA5B2C"/>
    <w:rsid w:val="00EA5BCB"/>
    <w:rsid w:val="00EA5CF5"/>
    <w:rsid w:val="00EA6502"/>
    <w:rsid w:val="00EA650C"/>
    <w:rsid w:val="00EA6562"/>
    <w:rsid w:val="00EA687B"/>
    <w:rsid w:val="00EA6AF7"/>
    <w:rsid w:val="00EA7976"/>
    <w:rsid w:val="00EB0A79"/>
    <w:rsid w:val="00EB12D9"/>
    <w:rsid w:val="00EB148C"/>
    <w:rsid w:val="00EB14F8"/>
    <w:rsid w:val="00EB19A5"/>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3A1"/>
    <w:rsid w:val="00EB6766"/>
    <w:rsid w:val="00EB676B"/>
    <w:rsid w:val="00EB70E4"/>
    <w:rsid w:val="00EB72BB"/>
    <w:rsid w:val="00EB79F6"/>
    <w:rsid w:val="00EB7E32"/>
    <w:rsid w:val="00EC0AB0"/>
    <w:rsid w:val="00EC0DD3"/>
    <w:rsid w:val="00EC1379"/>
    <w:rsid w:val="00EC15D2"/>
    <w:rsid w:val="00EC1893"/>
    <w:rsid w:val="00EC2C6D"/>
    <w:rsid w:val="00EC495B"/>
    <w:rsid w:val="00EC4A5B"/>
    <w:rsid w:val="00EC4A80"/>
    <w:rsid w:val="00EC4F36"/>
    <w:rsid w:val="00EC509C"/>
    <w:rsid w:val="00EC5223"/>
    <w:rsid w:val="00EC659D"/>
    <w:rsid w:val="00EC670E"/>
    <w:rsid w:val="00EC6BC6"/>
    <w:rsid w:val="00EC6DF3"/>
    <w:rsid w:val="00EC7026"/>
    <w:rsid w:val="00EC70AF"/>
    <w:rsid w:val="00EC72D0"/>
    <w:rsid w:val="00EC79C1"/>
    <w:rsid w:val="00ED0E07"/>
    <w:rsid w:val="00ED120E"/>
    <w:rsid w:val="00ED124D"/>
    <w:rsid w:val="00ED15E9"/>
    <w:rsid w:val="00ED2862"/>
    <w:rsid w:val="00ED2AAA"/>
    <w:rsid w:val="00ED32CB"/>
    <w:rsid w:val="00ED388F"/>
    <w:rsid w:val="00ED3F36"/>
    <w:rsid w:val="00ED429B"/>
    <w:rsid w:val="00ED42A3"/>
    <w:rsid w:val="00ED42D3"/>
    <w:rsid w:val="00ED44B1"/>
    <w:rsid w:val="00ED46F1"/>
    <w:rsid w:val="00ED4CDE"/>
    <w:rsid w:val="00ED4FB5"/>
    <w:rsid w:val="00ED511B"/>
    <w:rsid w:val="00ED5BEF"/>
    <w:rsid w:val="00ED606F"/>
    <w:rsid w:val="00ED6231"/>
    <w:rsid w:val="00ED651F"/>
    <w:rsid w:val="00ED6C03"/>
    <w:rsid w:val="00ED6DE7"/>
    <w:rsid w:val="00EE056E"/>
    <w:rsid w:val="00EE2095"/>
    <w:rsid w:val="00EE231D"/>
    <w:rsid w:val="00EE2BA1"/>
    <w:rsid w:val="00EE30EE"/>
    <w:rsid w:val="00EE3424"/>
    <w:rsid w:val="00EE3455"/>
    <w:rsid w:val="00EE37F1"/>
    <w:rsid w:val="00EE39CE"/>
    <w:rsid w:val="00EE4354"/>
    <w:rsid w:val="00EE4612"/>
    <w:rsid w:val="00EE4811"/>
    <w:rsid w:val="00EE506A"/>
    <w:rsid w:val="00EE5F71"/>
    <w:rsid w:val="00EE683E"/>
    <w:rsid w:val="00EE6875"/>
    <w:rsid w:val="00EE6998"/>
    <w:rsid w:val="00EE78C6"/>
    <w:rsid w:val="00EE7E38"/>
    <w:rsid w:val="00EF0565"/>
    <w:rsid w:val="00EF0E99"/>
    <w:rsid w:val="00EF0FA6"/>
    <w:rsid w:val="00EF16D6"/>
    <w:rsid w:val="00EF2111"/>
    <w:rsid w:val="00EF2819"/>
    <w:rsid w:val="00EF2C13"/>
    <w:rsid w:val="00EF307B"/>
    <w:rsid w:val="00EF340F"/>
    <w:rsid w:val="00EF3542"/>
    <w:rsid w:val="00EF35EA"/>
    <w:rsid w:val="00EF3A82"/>
    <w:rsid w:val="00EF3EC9"/>
    <w:rsid w:val="00EF411F"/>
    <w:rsid w:val="00EF4974"/>
    <w:rsid w:val="00EF502D"/>
    <w:rsid w:val="00EF58A7"/>
    <w:rsid w:val="00EF61C4"/>
    <w:rsid w:val="00EF68FC"/>
    <w:rsid w:val="00EF723D"/>
    <w:rsid w:val="00EF72C6"/>
    <w:rsid w:val="00EF7BD6"/>
    <w:rsid w:val="00EF7F65"/>
    <w:rsid w:val="00F0147E"/>
    <w:rsid w:val="00F01D9B"/>
    <w:rsid w:val="00F01DB8"/>
    <w:rsid w:val="00F01FB4"/>
    <w:rsid w:val="00F02A42"/>
    <w:rsid w:val="00F02CA8"/>
    <w:rsid w:val="00F02DA0"/>
    <w:rsid w:val="00F02F18"/>
    <w:rsid w:val="00F03075"/>
    <w:rsid w:val="00F032B2"/>
    <w:rsid w:val="00F0386F"/>
    <w:rsid w:val="00F0455B"/>
    <w:rsid w:val="00F04684"/>
    <w:rsid w:val="00F047DB"/>
    <w:rsid w:val="00F04B5F"/>
    <w:rsid w:val="00F04FC7"/>
    <w:rsid w:val="00F05279"/>
    <w:rsid w:val="00F053B0"/>
    <w:rsid w:val="00F05AEB"/>
    <w:rsid w:val="00F06180"/>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16C8"/>
    <w:rsid w:val="00F21901"/>
    <w:rsid w:val="00F2225F"/>
    <w:rsid w:val="00F22761"/>
    <w:rsid w:val="00F22776"/>
    <w:rsid w:val="00F2289E"/>
    <w:rsid w:val="00F22AD0"/>
    <w:rsid w:val="00F22F34"/>
    <w:rsid w:val="00F23F9B"/>
    <w:rsid w:val="00F240C3"/>
    <w:rsid w:val="00F245D4"/>
    <w:rsid w:val="00F247E8"/>
    <w:rsid w:val="00F25420"/>
    <w:rsid w:val="00F2588E"/>
    <w:rsid w:val="00F25F25"/>
    <w:rsid w:val="00F25F9D"/>
    <w:rsid w:val="00F2703E"/>
    <w:rsid w:val="00F27433"/>
    <w:rsid w:val="00F27477"/>
    <w:rsid w:val="00F279C2"/>
    <w:rsid w:val="00F306EF"/>
    <w:rsid w:val="00F309E1"/>
    <w:rsid w:val="00F31036"/>
    <w:rsid w:val="00F318FF"/>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1396"/>
    <w:rsid w:val="00F41DC5"/>
    <w:rsid w:val="00F42406"/>
    <w:rsid w:val="00F42894"/>
    <w:rsid w:val="00F4390F"/>
    <w:rsid w:val="00F4396A"/>
    <w:rsid w:val="00F44886"/>
    <w:rsid w:val="00F44D99"/>
    <w:rsid w:val="00F455E2"/>
    <w:rsid w:val="00F45693"/>
    <w:rsid w:val="00F45AC3"/>
    <w:rsid w:val="00F462FD"/>
    <w:rsid w:val="00F46490"/>
    <w:rsid w:val="00F4667A"/>
    <w:rsid w:val="00F47553"/>
    <w:rsid w:val="00F50444"/>
    <w:rsid w:val="00F50642"/>
    <w:rsid w:val="00F50765"/>
    <w:rsid w:val="00F50D24"/>
    <w:rsid w:val="00F51046"/>
    <w:rsid w:val="00F5143E"/>
    <w:rsid w:val="00F516EB"/>
    <w:rsid w:val="00F51B58"/>
    <w:rsid w:val="00F51D52"/>
    <w:rsid w:val="00F52202"/>
    <w:rsid w:val="00F52553"/>
    <w:rsid w:val="00F52813"/>
    <w:rsid w:val="00F52B5D"/>
    <w:rsid w:val="00F52FA3"/>
    <w:rsid w:val="00F531FB"/>
    <w:rsid w:val="00F533A0"/>
    <w:rsid w:val="00F544F0"/>
    <w:rsid w:val="00F545AD"/>
    <w:rsid w:val="00F54C6B"/>
    <w:rsid w:val="00F54CB3"/>
    <w:rsid w:val="00F56187"/>
    <w:rsid w:val="00F56234"/>
    <w:rsid w:val="00F567F7"/>
    <w:rsid w:val="00F56EC8"/>
    <w:rsid w:val="00F57C26"/>
    <w:rsid w:val="00F609CA"/>
    <w:rsid w:val="00F61257"/>
    <w:rsid w:val="00F615B4"/>
    <w:rsid w:val="00F6179B"/>
    <w:rsid w:val="00F61B7E"/>
    <w:rsid w:val="00F61DA2"/>
    <w:rsid w:val="00F61F6B"/>
    <w:rsid w:val="00F62A33"/>
    <w:rsid w:val="00F62BD1"/>
    <w:rsid w:val="00F6301B"/>
    <w:rsid w:val="00F63178"/>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6C5"/>
    <w:rsid w:val="00F707D6"/>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71DB"/>
    <w:rsid w:val="00F77591"/>
    <w:rsid w:val="00F7785B"/>
    <w:rsid w:val="00F77A95"/>
    <w:rsid w:val="00F8295F"/>
    <w:rsid w:val="00F82A13"/>
    <w:rsid w:val="00F83541"/>
    <w:rsid w:val="00F83AA2"/>
    <w:rsid w:val="00F85496"/>
    <w:rsid w:val="00F85B0F"/>
    <w:rsid w:val="00F85B17"/>
    <w:rsid w:val="00F85B45"/>
    <w:rsid w:val="00F86379"/>
    <w:rsid w:val="00F86752"/>
    <w:rsid w:val="00F867D3"/>
    <w:rsid w:val="00F87069"/>
    <w:rsid w:val="00F87816"/>
    <w:rsid w:val="00F87E24"/>
    <w:rsid w:val="00F9056F"/>
    <w:rsid w:val="00F90EF8"/>
    <w:rsid w:val="00F910FF"/>
    <w:rsid w:val="00F91596"/>
    <w:rsid w:val="00F91765"/>
    <w:rsid w:val="00F91AAC"/>
    <w:rsid w:val="00F91C52"/>
    <w:rsid w:val="00F923BC"/>
    <w:rsid w:val="00F923D8"/>
    <w:rsid w:val="00F92B2C"/>
    <w:rsid w:val="00F938AB"/>
    <w:rsid w:val="00F94737"/>
    <w:rsid w:val="00F948C1"/>
    <w:rsid w:val="00F9535C"/>
    <w:rsid w:val="00F958D9"/>
    <w:rsid w:val="00F95D0E"/>
    <w:rsid w:val="00F960AB"/>
    <w:rsid w:val="00F96287"/>
    <w:rsid w:val="00F96430"/>
    <w:rsid w:val="00F9651B"/>
    <w:rsid w:val="00F979D2"/>
    <w:rsid w:val="00FA10CB"/>
    <w:rsid w:val="00FA2525"/>
    <w:rsid w:val="00FA2730"/>
    <w:rsid w:val="00FA28EA"/>
    <w:rsid w:val="00FA3862"/>
    <w:rsid w:val="00FA3D12"/>
    <w:rsid w:val="00FA3FE9"/>
    <w:rsid w:val="00FA4A03"/>
    <w:rsid w:val="00FA4ACA"/>
    <w:rsid w:val="00FA4F0E"/>
    <w:rsid w:val="00FA5590"/>
    <w:rsid w:val="00FA62CC"/>
    <w:rsid w:val="00FA6370"/>
    <w:rsid w:val="00FA65AF"/>
    <w:rsid w:val="00FA685F"/>
    <w:rsid w:val="00FA6BEF"/>
    <w:rsid w:val="00FA6DFC"/>
    <w:rsid w:val="00FA70E3"/>
    <w:rsid w:val="00FA731D"/>
    <w:rsid w:val="00FA76D7"/>
    <w:rsid w:val="00FB003F"/>
    <w:rsid w:val="00FB2081"/>
    <w:rsid w:val="00FB217E"/>
    <w:rsid w:val="00FB2789"/>
    <w:rsid w:val="00FB2826"/>
    <w:rsid w:val="00FB2E08"/>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643"/>
    <w:rsid w:val="00FC1DC1"/>
    <w:rsid w:val="00FC30B2"/>
    <w:rsid w:val="00FC57BF"/>
    <w:rsid w:val="00FC5806"/>
    <w:rsid w:val="00FC71AC"/>
    <w:rsid w:val="00FC77D3"/>
    <w:rsid w:val="00FC7B98"/>
    <w:rsid w:val="00FC7CF1"/>
    <w:rsid w:val="00FD03E5"/>
    <w:rsid w:val="00FD0C83"/>
    <w:rsid w:val="00FD15E0"/>
    <w:rsid w:val="00FD1D2C"/>
    <w:rsid w:val="00FD29D7"/>
    <w:rsid w:val="00FD2F18"/>
    <w:rsid w:val="00FD371B"/>
    <w:rsid w:val="00FD37DD"/>
    <w:rsid w:val="00FD384B"/>
    <w:rsid w:val="00FD3CB2"/>
    <w:rsid w:val="00FD4C7A"/>
    <w:rsid w:val="00FD4E11"/>
    <w:rsid w:val="00FD4F27"/>
    <w:rsid w:val="00FD54D1"/>
    <w:rsid w:val="00FD55C2"/>
    <w:rsid w:val="00FD5791"/>
    <w:rsid w:val="00FD5DC4"/>
    <w:rsid w:val="00FD5DD7"/>
    <w:rsid w:val="00FD5E45"/>
    <w:rsid w:val="00FD67AB"/>
    <w:rsid w:val="00FD6824"/>
    <w:rsid w:val="00FD695E"/>
    <w:rsid w:val="00FE055F"/>
    <w:rsid w:val="00FE16F9"/>
    <w:rsid w:val="00FE2D2A"/>
    <w:rsid w:val="00FE2E03"/>
    <w:rsid w:val="00FE2EF8"/>
    <w:rsid w:val="00FE2FEE"/>
    <w:rsid w:val="00FE2FF2"/>
    <w:rsid w:val="00FE2FF9"/>
    <w:rsid w:val="00FE4292"/>
    <w:rsid w:val="00FE4AF8"/>
    <w:rsid w:val="00FE595C"/>
    <w:rsid w:val="00FE59B8"/>
    <w:rsid w:val="00FE5FCC"/>
    <w:rsid w:val="00FE6140"/>
    <w:rsid w:val="00FF0015"/>
    <w:rsid w:val="00FF016B"/>
    <w:rsid w:val="00FF099D"/>
    <w:rsid w:val="00FF0BFA"/>
    <w:rsid w:val="00FF208F"/>
    <w:rsid w:val="00FF2636"/>
    <w:rsid w:val="00FF33B3"/>
    <w:rsid w:val="00FF406B"/>
    <w:rsid w:val="00FF45E7"/>
    <w:rsid w:val="00FF4663"/>
    <w:rsid w:val="00FF4753"/>
    <w:rsid w:val="00FF4EF4"/>
    <w:rsid w:val="00FF5A17"/>
    <w:rsid w:val="00FF5BF1"/>
    <w:rsid w:val="00FF5D85"/>
    <w:rsid w:val="00FF610B"/>
    <w:rsid w:val="00FF63B5"/>
    <w:rsid w:val="00FF6437"/>
    <w:rsid w:val="00FF671D"/>
    <w:rsid w:val="00FF6A78"/>
    <w:rsid w:val="00FF6CFA"/>
    <w:rsid w:val="00FF73B8"/>
    <w:rsid w:val="00FF79C0"/>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254EC74-EBAE-4679-AF9E-0C18577F2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534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character" w:customStyle="1" w:styleId="afb">
    <w:name w:val="(一)(二)(三) 字元"/>
    <w:rsid w:val="00C90FEA"/>
    <w:rPr>
      <w:rFonts w:ascii="標楷體" w:eastAsia="標楷體"/>
      <w:snapToGrid w:val="0"/>
      <w:kern w:val="2"/>
      <w:sz w:val="28"/>
      <w:szCs w:val="28"/>
    </w:rPr>
  </w:style>
  <w:style w:type="paragraph" w:styleId="afc">
    <w:name w:val="Salutation"/>
    <w:basedOn w:val="a0"/>
    <w:next w:val="a0"/>
    <w:link w:val="afd"/>
    <w:unhideWhenUsed/>
    <w:rsid w:val="00823F01"/>
  </w:style>
  <w:style w:type="paragraph" w:customStyle="1" w:styleId="afe">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d">
    <w:name w:val="問候 字元"/>
    <w:link w:val="afc"/>
    <w:rsid w:val="00823F01"/>
    <w:rPr>
      <w:rFonts w:ascii="標楷體" w:eastAsia="標楷體"/>
      <w:snapToGrid w:val="0"/>
      <w:kern w:val="2"/>
      <w:sz w:val="28"/>
      <w:szCs w:val="28"/>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f">
    <w:name w:val="題目"/>
    <w:basedOn w:val="a0"/>
    <w:rsid w:val="000752FE"/>
    <w:pPr>
      <w:spacing w:line="240" w:lineRule="auto"/>
      <w:ind w:leftChars="0" w:left="600" w:firstLineChars="0" w:hanging="600"/>
    </w:pPr>
    <w:rPr>
      <w:rFonts w:ascii="Times New Roman"/>
      <w:kern w:val="0"/>
      <w:szCs w:val="20"/>
    </w:rPr>
  </w:style>
  <w:style w:type="character" w:styleId="aff0">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Closing"/>
    <w:basedOn w:val="a0"/>
    <w:link w:val="aff2"/>
    <w:rsid w:val="000752FE"/>
    <w:pPr>
      <w:ind w:leftChars="1800" w:left="100"/>
    </w:pPr>
    <w:rPr>
      <w:rFonts w:hAnsi="標楷體"/>
    </w:rPr>
  </w:style>
  <w:style w:type="character" w:customStyle="1" w:styleId="aff2">
    <w:name w:val="結語 字元"/>
    <w:link w:val="aff1"/>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Title"/>
    <w:basedOn w:val="a0"/>
    <w:link w:val="aff5"/>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0752FE"/>
    <w:rPr>
      <w:rFonts w:ascii="Arial" w:hAnsi="Arial"/>
      <w:b/>
      <w:spacing w:val="-5"/>
      <w:sz w:val="32"/>
    </w:rPr>
  </w:style>
  <w:style w:type="character" w:styleId="aff6">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267665213">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70995806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87432-7732-43C5-9816-591FCFF36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409</Words>
  <Characters>2332</Characters>
  <Application>Microsoft Office Word</Application>
  <DocSecurity>0</DocSecurity>
  <Lines>19</Lines>
  <Paragraphs>5</Paragraphs>
  <ScaleCrop>false</ScaleCrop>
  <Company/>
  <LinksUpToDate>false</LinksUpToDate>
  <CharactersWithSpaces>2736</CharactersWithSpaces>
  <SharedDoc>false</SharedDoc>
  <HLinks>
    <vt:vector size="114" baseType="variant">
      <vt:variant>
        <vt:i4>1245246</vt:i4>
      </vt:variant>
      <vt:variant>
        <vt:i4>110</vt:i4>
      </vt:variant>
      <vt:variant>
        <vt:i4>0</vt:i4>
      </vt:variant>
      <vt:variant>
        <vt:i4>5</vt:i4>
      </vt:variant>
      <vt:variant>
        <vt:lpwstr/>
      </vt:variant>
      <vt:variant>
        <vt:lpwstr>_Toc181971942</vt:lpwstr>
      </vt:variant>
      <vt:variant>
        <vt:i4>1245246</vt:i4>
      </vt:variant>
      <vt:variant>
        <vt:i4>104</vt:i4>
      </vt:variant>
      <vt:variant>
        <vt:i4>0</vt:i4>
      </vt:variant>
      <vt:variant>
        <vt:i4>5</vt:i4>
      </vt:variant>
      <vt:variant>
        <vt:lpwstr/>
      </vt:variant>
      <vt:variant>
        <vt:lpwstr>_Toc181971941</vt:lpwstr>
      </vt:variant>
      <vt:variant>
        <vt:i4>1245246</vt:i4>
      </vt:variant>
      <vt:variant>
        <vt:i4>98</vt:i4>
      </vt:variant>
      <vt:variant>
        <vt:i4>0</vt:i4>
      </vt:variant>
      <vt:variant>
        <vt:i4>5</vt:i4>
      </vt:variant>
      <vt:variant>
        <vt:lpwstr/>
      </vt:variant>
      <vt:variant>
        <vt:lpwstr>_Toc181971940</vt:lpwstr>
      </vt:variant>
      <vt:variant>
        <vt:i4>1310782</vt:i4>
      </vt:variant>
      <vt:variant>
        <vt:i4>92</vt:i4>
      </vt:variant>
      <vt:variant>
        <vt:i4>0</vt:i4>
      </vt:variant>
      <vt:variant>
        <vt:i4>5</vt:i4>
      </vt:variant>
      <vt:variant>
        <vt:lpwstr/>
      </vt:variant>
      <vt:variant>
        <vt:lpwstr>_Toc181971939</vt:lpwstr>
      </vt:variant>
      <vt:variant>
        <vt:i4>1310782</vt:i4>
      </vt:variant>
      <vt:variant>
        <vt:i4>86</vt:i4>
      </vt:variant>
      <vt:variant>
        <vt:i4>0</vt:i4>
      </vt:variant>
      <vt:variant>
        <vt:i4>5</vt:i4>
      </vt:variant>
      <vt:variant>
        <vt:lpwstr/>
      </vt:variant>
      <vt:variant>
        <vt:lpwstr>_Toc181971938</vt:lpwstr>
      </vt:variant>
      <vt:variant>
        <vt:i4>1310782</vt:i4>
      </vt:variant>
      <vt:variant>
        <vt:i4>80</vt:i4>
      </vt:variant>
      <vt:variant>
        <vt:i4>0</vt:i4>
      </vt:variant>
      <vt:variant>
        <vt:i4>5</vt:i4>
      </vt:variant>
      <vt:variant>
        <vt:lpwstr/>
      </vt:variant>
      <vt:variant>
        <vt:lpwstr>_Toc181971937</vt:lpwstr>
      </vt:variant>
      <vt:variant>
        <vt:i4>1310782</vt:i4>
      </vt:variant>
      <vt:variant>
        <vt:i4>74</vt:i4>
      </vt:variant>
      <vt:variant>
        <vt:i4>0</vt:i4>
      </vt:variant>
      <vt:variant>
        <vt:i4>5</vt:i4>
      </vt:variant>
      <vt:variant>
        <vt:lpwstr/>
      </vt:variant>
      <vt:variant>
        <vt:lpwstr>_Toc181971936</vt:lpwstr>
      </vt:variant>
      <vt:variant>
        <vt:i4>1310782</vt:i4>
      </vt:variant>
      <vt:variant>
        <vt:i4>68</vt:i4>
      </vt:variant>
      <vt:variant>
        <vt:i4>0</vt:i4>
      </vt:variant>
      <vt:variant>
        <vt:i4>5</vt:i4>
      </vt:variant>
      <vt:variant>
        <vt:lpwstr/>
      </vt:variant>
      <vt:variant>
        <vt:lpwstr>_Toc181971935</vt:lpwstr>
      </vt:variant>
      <vt:variant>
        <vt:i4>1310782</vt:i4>
      </vt:variant>
      <vt:variant>
        <vt:i4>62</vt:i4>
      </vt:variant>
      <vt:variant>
        <vt:i4>0</vt:i4>
      </vt:variant>
      <vt:variant>
        <vt:i4>5</vt:i4>
      </vt:variant>
      <vt:variant>
        <vt:lpwstr/>
      </vt:variant>
      <vt:variant>
        <vt:lpwstr>_Toc181971934</vt:lpwstr>
      </vt:variant>
      <vt:variant>
        <vt:i4>1310782</vt:i4>
      </vt:variant>
      <vt:variant>
        <vt:i4>56</vt:i4>
      </vt:variant>
      <vt:variant>
        <vt:i4>0</vt:i4>
      </vt:variant>
      <vt:variant>
        <vt:i4>5</vt:i4>
      </vt:variant>
      <vt:variant>
        <vt:lpwstr/>
      </vt:variant>
      <vt:variant>
        <vt:lpwstr>_Toc181971933</vt:lpwstr>
      </vt:variant>
      <vt:variant>
        <vt:i4>1310782</vt:i4>
      </vt:variant>
      <vt:variant>
        <vt:i4>50</vt:i4>
      </vt:variant>
      <vt:variant>
        <vt:i4>0</vt:i4>
      </vt:variant>
      <vt:variant>
        <vt:i4>5</vt:i4>
      </vt:variant>
      <vt:variant>
        <vt:lpwstr/>
      </vt:variant>
      <vt:variant>
        <vt:lpwstr>_Toc181971932</vt:lpwstr>
      </vt:variant>
      <vt:variant>
        <vt:i4>1310782</vt:i4>
      </vt:variant>
      <vt:variant>
        <vt:i4>44</vt:i4>
      </vt:variant>
      <vt:variant>
        <vt:i4>0</vt:i4>
      </vt:variant>
      <vt:variant>
        <vt:i4>5</vt:i4>
      </vt:variant>
      <vt:variant>
        <vt:lpwstr/>
      </vt:variant>
      <vt:variant>
        <vt:lpwstr>_Toc181971931</vt:lpwstr>
      </vt:variant>
      <vt:variant>
        <vt:i4>1310782</vt:i4>
      </vt:variant>
      <vt:variant>
        <vt:i4>38</vt:i4>
      </vt:variant>
      <vt:variant>
        <vt:i4>0</vt:i4>
      </vt:variant>
      <vt:variant>
        <vt:i4>5</vt:i4>
      </vt:variant>
      <vt:variant>
        <vt:lpwstr/>
      </vt:variant>
      <vt:variant>
        <vt:lpwstr>_Toc181971930</vt:lpwstr>
      </vt:variant>
      <vt:variant>
        <vt:i4>1376318</vt:i4>
      </vt:variant>
      <vt:variant>
        <vt:i4>32</vt:i4>
      </vt:variant>
      <vt:variant>
        <vt:i4>0</vt:i4>
      </vt:variant>
      <vt:variant>
        <vt:i4>5</vt:i4>
      </vt:variant>
      <vt:variant>
        <vt:lpwstr/>
      </vt:variant>
      <vt:variant>
        <vt:lpwstr>_Toc181971929</vt:lpwstr>
      </vt:variant>
      <vt:variant>
        <vt:i4>1376318</vt:i4>
      </vt:variant>
      <vt:variant>
        <vt:i4>26</vt:i4>
      </vt:variant>
      <vt:variant>
        <vt:i4>0</vt:i4>
      </vt:variant>
      <vt:variant>
        <vt:i4>5</vt:i4>
      </vt:variant>
      <vt:variant>
        <vt:lpwstr/>
      </vt:variant>
      <vt:variant>
        <vt:lpwstr>_Toc181971928</vt:lpwstr>
      </vt:variant>
      <vt:variant>
        <vt:i4>1376318</vt:i4>
      </vt:variant>
      <vt:variant>
        <vt:i4>20</vt:i4>
      </vt:variant>
      <vt:variant>
        <vt:i4>0</vt:i4>
      </vt:variant>
      <vt:variant>
        <vt:i4>5</vt:i4>
      </vt:variant>
      <vt:variant>
        <vt:lpwstr/>
      </vt:variant>
      <vt:variant>
        <vt:lpwstr>_Toc181971927</vt:lpwstr>
      </vt:variant>
      <vt:variant>
        <vt:i4>1376318</vt:i4>
      </vt:variant>
      <vt:variant>
        <vt:i4>14</vt:i4>
      </vt:variant>
      <vt:variant>
        <vt:i4>0</vt:i4>
      </vt:variant>
      <vt:variant>
        <vt:i4>5</vt:i4>
      </vt:variant>
      <vt:variant>
        <vt:lpwstr/>
      </vt:variant>
      <vt:variant>
        <vt:lpwstr>_Toc181971926</vt:lpwstr>
      </vt:variant>
      <vt:variant>
        <vt:i4>1376318</vt:i4>
      </vt:variant>
      <vt:variant>
        <vt:i4>8</vt:i4>
      </vt:variant>
      <vt:variant>
        <vt:i4>0</vt:i4>
      </vt:variant>
      <vt:variant>
        <vt:i4>5</vt:i4>
      </vt:variant>
      <vt:variant>
        <vt:lpwstr/>
      </vt:variant>
      <vt:variant>
        <vt:lpwstr>_Toc181971925</vt:lpwstr>
      </vt:variant>
      <vt:variant>
        <vt:i4>1376318</vt:i4>
      </vt:variant>
      <vt:variant>
        <vt:i4>2</vt:i4>
      </vt:variant>
      <vt:variant>
        <vt:i4>0</vt:i4>
      </vt:variant>
      <vt:variant>
        <vt:i4>5</vt:i4>
      </vt:variant>
      <vt:variant>
        <vt:lpwstr/>
      </vt:variant>
      <vt:variant>
        <vt:lpwstr>_Toc181971924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2024-11-11T01:23:00Z</cp:lastPrinted>
  <dcterms:created xsi:type="dcterms:W3CDTF">2024-11-11T07:01:00Z</dcterms:created>
  <dcterms:modified xsi:type="dcterms:W3CDTF">2024-11-11T07:01:00Z</dcterms:modified>
</cp:coreProperties>
</file>