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FA6370" w:rsidRPr="004C31F1" w:rsidRDefault="00981733" w:rsidP="00FA6370">
      <w:pPr>
        <w:pStyle w:val="14"/>
        <w:ind w:left="567" w:hanging="567"/>
      </w:pPr>
      <w:bookmarkStart w:id="2" w:name="_Toc58645593"/>
      <w:bookmarkStart w:id="3" w:name="_Toc58646211"/>
      <w:bookmarkStart w:id="4" w:name="_Toc61147923"/>
      <w:bookmarkStart w:id="5" w:name="_Toc93770451"/>
      <w:bookmarkStart w:id="6" w:name="_Toc464659949"/>
      <w:bookmarkStart w:id="7" w:name="_Toc464660056"/>
      <w:bookmarkStart w:id="8" w:name="_Toc173769665"/>
      <w:bookmarkStart w:id="9" w:name="_Toc180510750"/>
      <w:bookmarkStart w:id="10" w:name="_Toc181971931"/>
      <w:r>
        <w:rPr>
          <w:rFonts w:hint="eastAsia"/>
        </w:rPr>
        <w:t>七</w:t>
      </w:r>
      <w:r w:rsidR="00FA6370" w:rsidRPr="004C31F1">
        <w:rPr>
          <w:rFonts w:hint="eastAsia"/>
        </w:rPr>
        <w:t>、</w:t>
      </w:r>
      <w:r w:rsidR="00E14CAD">
        <w:rPr>
          <w:rFonts w:hint="eastAsia"/>
        </w:rPr>
        <w:t>為</w:t>
      </w:r>
      <w:r w:rsidR="00E14CAD" w:rsidRPr="00E14CAD">
        <w:rPr>
          <w:rFonts w:hint="eastAsia"/>
        </w:rPr>
        <w:t>達成第2期運輸部門溫室氣體管制方案</w:t>
      </w:r>
      <w:r w:rsidR="000279C8">
        <w:rPr>
          <w:rFonts w:hint="eastAsia"/>
        </w:rPr>
        <w:t>，</w:t>
      </w:r>
      <w:r w:rsidR="00E14CAD">
        <w:rPr>
          <w:rFonts w:hint="eastAsia"/>
        </w:rPr>
        <w:t>臺鐵公司</w:t>
      </w:r>
      <w:r w:rsidR="000279C8">
        <w:rPr>
          <w:rFonts w:hint="eastAsia"/>
        </w:rPr>
        <w:t>設定</w:t>
      </w:r>
      <w:r w:rsidR="00E14CAD" w:rsidRPr="00E14CAD">
        <w:rPr>
          <w:rFonts w:hint="eastAsia"/>
        </w:rPr>
        <w:t>114年客運量成長至2.4億人次之目標</w:t>
      </w:r>
      <w:r w:rsidR="00E14CAD">
        <w:rPr>
          <w:rFonts w:hint="eastAsia"/>
        </w:rPr>
        <w:t>，</w:t>
      </w:r>
      <w:r w:rsidR="00FA6370" w:rsidRPr="004C31F1">
        <w:rPr>
          <w:rFonts w:hint="eastAsia"/>
        </w:rPr>
        <w:t>允宜</w:t>
      </w:r>
      <w:r w:rsidR="00FA6370">
        <w:rPr>
          <w:rFonts w:hint="eastAsia"/>
        </w:rPr>
        <w:t>強化提升客運量能措施之實施成效</w:t>
      </w:r>
      <w:bookmarkEnd w:id="8"/>
      <w:bookmarkEnd w:id="9"/>
      <w:bookmarkEnd w:id="10"/>
    </w:p>
    <w:p w:rsidR="00FA6370" w:rsidRPr="004C31F1" w:rsidRDefault="00FA6370" w:rsidP="00FA6370">
      <w:pPr>
        <w:ind w:left="566" w:firstLine="566"/>
      </w:pPr>
      <w:r>
        <w:rPr>
          <w:rFonts w:hint="eastAsia"/>
        </w:rPr>
        <w:t>臺鐵公司</w:t>
      </w:r>
      <w:r w:rsidRPr="00546CDA">
        <w:rPr>
          <w:rFonts w:hint="eastAsia"/>
        </w:rPr>
        <w:t>114年度</w:t>
      </w:r>
      <w:r w:rsidR="00E17B8F">
        <w:rPr>
          <w:rFonts w:hint="eastAsia"/>
        </w:rPr>
        <w:t>「</w:t>
      </w:r>
      <w:r w:rsidRPr="00546CDA">
        <w:rPr>
          <w:rFonts w:hint="eastAsia"/>
        </w:rPr>
        <w:t>營業收入</w:t>
      </w:r>
      <w:r w:rsidR="00E17B8F">
        <w:rPr>
          <w:rFonts w:hint="eastAsia"/>
        </w:rPr>
        <w:t>」</w:t>
      </w:r>
      <w:r w:rsidRPr="00546CDA">
        <w:rPr>
          <w:rFonts w:hint="eastAsia"/>
        </w:rPr>
        <w:t>351億7,867萬1千元，</w:t>
      </w:r>
      <w:r>
        <w:rPr>
          <w:rFonts w:hint="eastAsia"/>
        </w:rPr>
        <w:t>其中</w:t>
      </w:r>
      <w:r w:rsidR="00E17B8F">
        <w:rPr>
          <w:rFonts w:hint="eastAsia"/>
        </w:rPr>
        <w:t>「</w:t>
      </w:r>
      <w:r w:rsidR="00D42686" w:rsidRPr="00D42686">
        <w:rPr>
          <w:rFonts w:hint="eastAsia"/>
        </w:rPr>
        <w:t>營業收入</w:t>
      </w:r>
      <w:r w:rsidR="00D42686">
        <w:rPr>
          <w:rFonts w:hint="eastAsia"/>
        </w:rPr>
        <w:t>-勞務收入-</w:t>
      </w:r>
      <w:r>
        <w:rPr>
          <w:rFonts w:hint="eastAsia"/>
        </w:rPr>
        <w:t>客運收入</w:t>
      </w:r>
      <w:r w:rsidR="00D42686">
        <w:rPr>
          <w:rFonts w:hint="eastAsia"/>
        </w:rPr>
        <w:t>」</w:t>
      </w:r>
      <w:r>
        <w:rPr>
          <w:rFonts w:hint="eastAsia"/>
        </w:rPr>
        <w:t>2</w:t>
      </w:r>
      <w:r>
        <w:t>01</w:t>
      </w:r>
      <w:r>
        <w:rPr>
          <w:rFonts w:hint="eastAsia"/>
        </w:rPr>
        <w:t>億9</w:t>
      </w:r>
      <w:r>
        <w:t>,801</w:t>
      </w:r>
      <w:r>
        <w:rPr>
          <w:rFonts w:hint="eastAsia"/>
        </w:rPr>
        <w:t>萬5千元、</w:t>
      </w:r>
      <w:r w:rsidR="00D42686">
        <w:rPr>
          <w:rFonts w:hint="eastAsia"/>
        </w:rPr>
        <w:t>「</w:t>
      </w:r>
      <w:r w:rsidR="00D42686" w:rsidRPr="00D42686">
        <w:rPr>
          <w:rFonts w:hint="eastAsia"/>
        </w:rPr>
        <w:t>營業收入-勞務收入-</w:t>
      </w:r>
      <w:r>
        <w:rPr>
          <w:rFonts w:hint="eastAsia"/>
        </w:rPr>
        <w:t>客運收入退回與折讓</w:t>
      </w:r>
      <w:r w:rsidR="00D42686">
        <w:rPr>
          <w:rFonts w:hint="eastAsia"/>
        </w:rPr>
        <w:t>」</w:t>
      </w:r>
      <w:r>
        <w:rPr>
          <w:rFonts w:hint="eastAsia"/>
        </w:rPr>
        <w:t>12億2</w:t>
      </w:r>
      <w:r>
        <w:t>,553</w:t>
      </w:r>
      <w:r>
        <w:rPr>
          <w:rFonts w:hint="eastAsia"/>
        </w:rPr>
        <w:t>萬3千元，客運淨收入1</w:t>
      </w:r>
      <w:r>
        <w:t>89</w:t>
      </w:r>
      <w:r>
        <w:rPr>
          <w:rFonts w:hint="eastAsia"/>
        </w:rPr>
        <w:t>億7</w:t>
      </w:r>
      <w:r>
        <w:t>,</w:t>
      </w:r>
      <w:r w:rsidR="00372A6E">
        <w:rPr>
          <w:rFonts w:hint="eastAsia"/>
        </w:rPr>
        <w:t>2</w:t>
      </w:r>
      <w:r>
        <w:t>48</w:t>
      </w:r>
      <w:r>
        <w:rPr>
          <w:rFonts w:hint="eastAsia"/>
        </w:rPr>
        <w:t>萬2千元，另據臺鐵公司預估</w:t>
      </w:r>
      <w:r w:rsidR="000279C8">
        <w:rPr>
          <w:rFonts w:hint="eastAsia"/>
        </w:rPr>
        <w:t>1</w:t>
      </w:r>
      <w:r w:rsidR="000279C8">
        <w:t>13</w:t>
      </w:r>
      <w:r w:rsidR="000279C8">
        <w:rPr>
          <w:rFonts w:hint="eastAsia"/>
        </w:rPr>
        <w:t>及</w:t>
      </w:r>
      <w:r>
        <w:rPr>
          <w:rFonts w:hint="eastAsia"/>
        </w:rPr>
        <w:t>1</w:t>
      </w:r>
      <w:r>
        <w:t>14</w:t>
      </w:r>
      <w:r>
        <w:rPr>
          <w:rFonts w:hint="eastAsia"/>
        </w:rPr>
        <w:t>年度客運人次</w:t>
      </w:r>
      <w:r w:rsidR="000279C8">
        <w:rPr>
          <w:rFonts w:hint="eastAsia"/>
        </w:rPr>
        <w:t>分別為</w:t>
      </w:r>
      <w:r w:rsidR="000279C8" w:rsidRPr="000279C8">
        <w:rPr>
          <w:rFonts w:hint="eastAsia"/>
        </w:rPr>
        <w:t>2億3,790萬人次</w:t>
      </w:r>
      <w:r w:rsidR="00EF35EA">
        <w:rPr>
          <w:rFonts w:hint="eastAsia"/>
        </w:rPr>
        <w:t>及</w:t>
      </w:r>
      <w:r>
        <w:rPr>
          <w:rFonts w:hint="eastAsia"/>
        </w:rPr>
        <w:t>2億</w:t>
      </w:r>
      <w:r w:rsidR="009D14C3">
        <w:rPr>
          <w:rFonts w:hint="eastAsia"/>
        </w:rPr>
        <w:t>4</w:t>
      </w:r>
      <w:r>
        <w:t>,</w:t>
      </w:r>
      <w:r w:rsidR="009D14C3">
        <w:t>455</w:t>
      </w:r>
      <w:r>
        <w:rPr>
          <w:rFonts w:hint="eastAsia"/>
        </w:rPr>
        <w:t>萬人次。經查：</w:t>
      </w:r>
    </w:p>
    <w:p w:rsidR="00FA6370" w:rsidRPr="00495079" w:rsidRDefault="00FA6370" w:rsidP="00FA6370">
      <w:pPr>
        <w:pStyle w:val="a5"/>
        <w:ind w:left="849" w:hanging="283"/>
        <w:rPr>
          <w:rFonts w:hint="eastAsia"/>
          <w:b/>
        </w:rPr>
      </w:pPr>
      <w:r w:rsidRPr="00495079">
        <w:rPr>
          <w:rFonts w:hint="eastAsia"/>
          <w:b/>
        </w:rPr>
        <w:t>(一</w:t>
      </w:r>
      <w:r w:rsidRPr="00495079">
        <w:rPr>
          <w:b/>
        </w:rPr>
        <w:t>)</w:t>
      </w:r>
      <w:r w:rsidRPr="00495079">
        <w:rPr>
          <w:rFonts w:hint="eastAsia"/>
          <w:b/>
        </w:rPr>
        <w:t>第2期運輸部門溫室氣體管制方案</w:t>
      </w:r>
      <w:r w:rsidR="000279C8">
        <w:rPr>
          <w:rFonts w:hint="eastAsia"/>
          <w:b/>
        </w:rPr>
        <w:t>，</w:t>
      </w:r>
      <w:r w:rsidRPr="00495079">
        <w:rPr>
          <w:rFonts w:hint="eastAsia"/>
          <w:b/>
        </w:rPr>
        <w:t>臺鐵公司</w:t>
      </w:r>
      <w:r w:rsidR="000279C8">
        <w:rPr>
          <w:rFonts w:hint="eastAsia"/>
          <w:b/>
        </w:rPr>
        <w:t>設定</w:t>
      </w:r>
      <w:r w:rsidRPr="00495079">
        <w:rPr>
          <w:rFonts w:hint="eastAsia"/>
          <w:b/>
        </w:rPr>
        <w:t>114年客運量較104年成長3.5%</w:t>
      </w:r>
    </w:p>
    <w:p w:rsidR="00FA6370" w:rsidRPr="004C31F1" w:rsidRDefault="00FA6370" w:rsidP="00FA6370">
      <w:pPr>
        <w:pStyle w:val="22"/>
        <w:ind w:left="850" w:firstLine="566"/>
        <w:rPr>
          <w:rFonts w:hint="eastAsia"/>
        </w:rPr>
      </w:pPr>
      <w:r w:rsidRPr="004C31F1">
        <w:rPr>
          <w:rFonts w:hint="eastAsia"/>
        </w:rPr>
        <w:t>為達成氣候</w:t>
      </w:r>
      <w:r w:rsidR="000279C8">
        <w:rPr>
          <w:rFonts w:hint="eastAsia"/>
        </w:rPr>
        <w:t>變遷因應</w:t>
      </w:r>
      <w:r w:rsidRPr="004C31F1">
        <w:rPr>
          <w:rFonts w:hint="eastAsia"/>
        </w:rPr>
        <w:t>法第4條規定之國家溫室氣體長期減量目標，將減量責任分為能源、製造、運輸、住商、農業及環境等六大部門共同承擔，環境部已會商中央目的事業主管機關訂定我國第1期及第2期溫室氣體階段管制目標，其中交通部依據氣候變遷因應法第1</w:t>
      </w:r>
      <w:r w:rsidRPr="004C31F1">
        <w:t>1</w:t>
      </w:r>
      <w:r w:rsidRPr="004C31F1">
        <w:rPr>
          <w:rFonts w:hint="eastAsia"/>
        </w:rPr>
        <w:t>條暨氣候變遷因應法施行細則第7條</w:t>
      </w:r>
      <w:r w:rsidRPr="004C31F1">
        <w:rPr>
          <w:rFonts w:hint="eastAsia"/>
        </w:rPr>
        <w:lastRenderedPageBreak/>
        <w:t>規定</w:t>
      </w:r>
      <w:r w:rsidRPr="004C31F1">
        <w:rPr>
          <w:vertAlign w:val="superscript"/>
        </w:rPr>
        <w:footnoteReference w:id="1"/>
      </w:r>
      <w:r w:rsidRPr="004C31F1">
        <w:rPr>
          <w:rFonts w:hint="eastAsia"/>
        </w:rPr>
        <w:t>訂定運輸部門行動方案，目前</w:t>
      </w:r>
      <w:r w:rsidRPr="002C1469">
        <w:rPr>
          <w:rFonts w:hint="eastAsia"/>
        </w:rPr>
        <w:t>「第2期運輸部門溫室氣體排放管制行動方案」（以下簡稱第2期運輸部門溫室氣體管制方案）</w:t>
      </w:r>
      <w:r w:rsidRPr="004C31F1">
        <w:rPr>
          <w:rFonts w:hint="eastAsia"/>
        </w:rPr>
        <w:t>(110年至114年)</w:t>
      </w:r>
      <w:r w:rsidRPr="004C31F1">
        <w:rPr>
          <w:vertAlign w:val="superscript"/>
        </w:rPr>
        <w:footnoteReference w:id="2"/>
      </w:r>
      <w:r w:rsidRPr="004C31F1">
        <w:rPr>
          <w:rFonts w:hint="eastAsia"/>
        </w:rPr>
        <w:t>，採取3大推動策略包括(一</w:t>
      </w:r>
      <w:r w:rsidRPr="004C31F1">
        <w:t>)</w:t>
      </w:r>
      <w:r w:rsidRPr="004C31F1">
        <w:rPr>
          <w:rFonts w:hint="eastAsia"/>
        </w:rPr>
        <w:t>發展公共運輸系統，加強運輸需求管理、(二)建構綠色運輸網絡，推廣低碳運具使用，建置綠色運具導向之交通環境、(三</w:t>
      </w:r>
      <w:r w:rsidRPr="004C31F1">
        <w:t>)</w:t>
      </w:r>
      <w:r w:rsidRPr="004C31F1">
        <w:rPr>
          <w:rFonts w:hint="eastAsia"/>
        </w:rPr>
        <w:t>提升運輸系統及運具能源使用效率，並各列1</w:t>
      </w:r>
      <w:r w:rsidRPr="004C31F1">
        <w:t>4</w:t>
      </w:r>
      <w:r w:rsidR="000279C8">
        <w:rPr>
          <w:rFonts w:hint="eastAsia"/>
        </w:rPr>
        <w:t>項</w:t>
      </w:r>
      <w:r w:rsidRPr="004C31F1">
        <w:rPr>
          <w:rFonts w:hint="eastAsia"/>
        </w:rPr>
        <w:t>減碳措施，提升臺鐵運量即為其中措施</w:t>
      </w:r>
      <w:r w:rsidRPr="004C31F1">
        <w:rPr>
          <w:vertAlign w:val="superscript"/>
        </w:rPr>
        <w:footnoteReference w:id="3"/>
      </w:r>
      <w:r w:rsidRPr="004C31F1">
        <w:rPr>
          <w:rFonts w:hint="eastAsia"/>
        </w:rPr>
        <w:t>，並設定1</w:t>
      </w:r>
      <w:r w:rsidRPr="004C31F1">
        <w:t>14</w:t>
      </w:r>
      <w:r w:rsidRPr="004C31F1">
        <w:rPr>
          <w:rFonts w:hint="eastAsia"/>
        </w:rPr>
        <w:t>年度臺鐵運量</w:t>
      </w:r>
      <w:r w:rsidRPr="004C31F1">
        <w:t>(</w:t>
      </w:r>
      <w:r w:rsidRPr="004C31F1">
        <w:rPr>
          <w:rFonts w:hint="eastAsia"/>
        </w:rPr>
        <w:t>指客運量</w:t>
      </w:r>
      <w:r w:rsidRPr="004C31F1">
        <w:t>)</w:t>
      </w:r>
      <w:r w:rsidRPr="004C31F1">
        <w:rPr>
          <w:rFonts w:hint="eastAsia"/>
        </w:rPr>
        <w:t>較104年成長3.5%，達2.40億人次</w:t>
      </w:r>
      <w:r w:rsidRPr="004C31F1">
        <w:rPr>
          <w:vertAlign w:val="superscript"/>
        </w:rPr>
        <w:footnoteReference w:id="4"/>
      </w:r>
      <w:r w:rsidRPr="004C31F1">
        <w:rPr>
          <w:rFonts w:hint="eastAsia"/>
        </w:rPr>
        <w:t>為目標。</w:t>
      </w:r>
    </w:p>
    <w:p w:rsidR="00FA6370" w:rsidRPr="004C31F1" w:rsidRDefault="00FA6370" w:rsidP="00FA6370">
      <w:pPr>
        <w:pStyle w:val="a5"/>
        <w:ind w:left="849" w:hanging="283"/>
        <w:rPr>
          <w:rFonts w:hint="eastAsia"/>
          <w:b/>
        </w:rPr>
      </w:pPr>
      <w:r w:rsidRPr="004C31F1">
        <w:rPr>
          <w:b/>
        </w:rPr>
        <w:t>(</w:t>
      </w:r>
      <w:r w:rsidRPr="004C31F1">
        <w:rPr>
          <w:rFonts w:hint="eastAsia"/>
          <w:b/>
        </w:rPr>
        <w:t>二</w:t>
      </w:r>
      <w:r w:rsidRPr="004C31F1">
        <w:rPr>
          <w:b/>
        </w:rPr>
        <w:t>)</w:t>
      </w:r>
      <w:r w:rsidRPr="004C31F1">
        <w:rPr>
          <w:rFonts w:hint="eastAsia"/>
          <w:b/>
        </w:rPr>
        <w:t>臺鐵公司已採行相關措施提昇</w:t>
      </w:r>
      <w:r>
        <w:rPr>
          <w:rFonts w:hint="eastAsia"/>
          <w:b/>
        </w:rPr>
        <w:t>客運</w:t>
      </w:r>
      <w:r w:rsidRPr="004C31F1">
        <w:rPr>
          <w:rFonts w:hint="eastAsia"/>
          <w:b/>
        </w:rPr>
        <w:t>營運量能</w:t>
      </w:r>
      <w:r>
        <w:rPr>
          <w:rFonts w:hint="eastAsia"/>
          <w:b/>
        </w:rPr>
        <w:t>，容待持續強化實施成效</w:t>
      </w:r>
    </w:p>
    <w:p w:rsidR="00FA6370" w:rsidRPr="00814499" w:rsidRDefault="00FA6370" w:rsidP="00FA6370">
      <w:pPr>
        <w:adjustRightInd w:val="0"/>
        <w:ind w:leftChars="300" w:left="850" w:firstLine="546"/>
        <w:rPr>
          <w:rFonts w:hAnsi="標楷體"/>
          <w:snapToGrid/>
          <w:spacing w:val="-5"/>
          <w:kern w:val="0"/>
        </w:rPr>
      </w:pPr>
      <w:r w:rsidRPr="00C201E6">
        <w:rPr>
          <w:rFonts w:hAnsi="標楷體" w:hint="eastAsia"/>
          <w:snapToGrid/>
          <w:spacing w:val="-5"/>
          <w:kern w:val="0"/>
        </w:rPr>
        <w:t>臺鐵公司客運人次受疫情影響</w:t>
      </w:r>
      <w:r>
        <w:rPr>
          <w:rFonts w:hAnsi="標楷體" w:hint="eastAsia"/>
          <w:snapToGrid/>
          <w:spacing w:val="-5"/>
          <w:kern w:val="0"/>
        </w:rPr>
        <w:t>由1</w:t>
      </w:r>
      <w:r>
        <w:rPr>
          <w:rFonts w:hAnsi="標楷體"/>
          <w:snapToGrid/>
          <w:spacing w:val="-5"/>
          <w:kern w:val="0"/>
        </w:rPr>
        <w:t>08</w:t>
      </w:r>
      <w:r>
        <w:rPr>
          <w:rFonts w:hAnsi="標楷體" w:hint="eastAsia"/>
          <w:snapToGrid/>
          <w:spacing w:val="-5"/>
          <w:kern w:val="0"/>
        </w:rPr>
        <w:t>年度2</w:t>
      </w:r>
      <w:r>
        <w:rPr>
          <w:rFonts w:hAnsi="標楷體"/>
          <w:snapToGrid/>
          <w:spacing w:val="-5"/>
          <w:kern w:val="0"/>
        </w:rPr>
        <w:t>.36</w:t>
      </w:r>
      <w:r>
        <w:rPr>
          <w:rFonts w:hAnsi="標楷體" w:hint="eastAsia"/>
          <w:snapToGrid/>
          <w:spacing w:val="-5"/>
          <w:kern w:val="0"/>
        </w:rPr>
        <w:t>億餘人次，降至1</w:t>
      </w:r>
      <w:r>
        <w:rPr>
          <w:rFonts w:hAnsi="標楷體"/>
          <w:snapToGrid/>
          <w:spacing w:val="-5"/>
          <w:kern w:val="0"/>
        </w:rPr>
        <w:t>11</w:t>
      </w:r>
      <w:r>
        <w:rPr>
          <w:rFonts w:hAnsi="標楷體" w:hint="eastAsia"/>
          <w:snapToGrid/>
          <w:spacing w:val="-5"/>
          <w:kern w:val="0"/>
        </w:rPr>
        <w:t>年度1</w:t>
      </w:r>
      <w:r>
        <w:rPr>
          <w:rFonts w:hAnsi="標楷體"/>
          <w:snapToGrid/>
          <w:spacing w:val="-5"/>
          <w:kern w:val="0"/>
        </w:rPr>
        <w:t>.7</w:t>
      </w:r>
      <w:r>
        <w:rPr>
          <w:rFonts w:hAnsi="標楷體" w:hint="eastAsia"/>
          <w:snapToGrid/>
          <w:spacing w:val="-5"/>
          <w:kern w:val="0"/>
        </w:rPr>
        <w:t>億餘人次(詳表1</w:t>
      </w:r>
      <w:r>
        <w:rPr>
          <w:rFonts w:hAnsi="標楷體"/>
          <w:snapToGrid/>
          <w:spacing w:val="-5"/>
          <w:kern w:val="0"/>
        </w:rPr>
        <w:t>)</w:t>
      </w:r>
      <w:r>
        <w:rPr>
          <w:rFonts w:hAnsi="標楷體" w:hint="eastAsia"/>
          <w:snapToGrid/>
          <w:spacing w:val="-5"/>
          <w:kern w:val="0"/>
        </w:rPr>
        <w:t>，</w:t>
      </w:r>
      <w:r w:rsidRPr="004C31F1">
        <w:rPr>
          <w:rFonts w:hAnsi="標楷體" w:hint="eastAsia"/>
          <w:snapToGrid/>
          <w:spacing w:val="-5"/>
          <w:kern w:val="0"/>
        </w:rPr>
        <w:t>臺鐵公司為因應新冠疫情對</w:t>
      </w:r>
      <w:r>
        <w:rPr>
          <w:rFonts w:hAnsi="標楷體" w:hint="eastAsia"/>
          <w:snapToGrid/>
          <w:spacing w:val="-5"/>
          <w:kern w:val="0"/>
        </w:rPr>
        <w:t>客</w:t>
      </w:r>
      <w:r w:rsidRPr="004C31F1">
        <w:rPr>
          <w:rFonts w:hAnsi="標楷體" w:hint="eastAsia"/>
          <w:snapToGrid/>
          <w:spacing w:val="-5"/>
          <w:kern w:val="0"/>
        </w:rPr>
        <w:t>運</w:t>
      </w:r>
      <w:r>
        <w:rPr>
          <w:rFonts w:hAnsi="標楷體" w:hint="eastAsia"/>
          <w:snapToGrid/>
          <w:spacing w:val="-5"/>
          <w:kern w:val="0"/>
        </w:rPr>
        <w:t>量</w:t>
      </w:r>
      <w:r w:rsidRPr="004C31F1">
        <w:rPr>
          <w:rFonts w:hAnsi="標楷體" w:hint="eastAsia"/>
          <w:snapToGrid/>
          <w:spacing w:val="-5"/>
          <w:kern w:val="0"/>
        </w:rPr>
        <w:t>之衝擊採取包括：1</w:t>
      </w:r>
      <w:r w:rsidRPr="004C31F1">
        <w:rPr>
          <w:rFonts w:hAnsi="標楷體"/>
          <w:snapToGrid/>
          <w:spacing w:val="-5"/>
          <w:kern w:val="0"/>
        </w:rPr>
        <w:t>.</w:t>
      </w:r>
      <w:r w:rsidRPr="004C31F1">
        <w:rPr>
          <w:rFonts w:hAnsi="標楷體" w:hint="eastAsia"/>
          <w:snapToGrid/>
          <w:spacing w:val="-5"/>
          <w:kern w:val="0"/>
        </w:rPr>
        <w:t>配合於連續假期及各縣市政府辦理地方特色及主題活動時加開列車；</w:t>
      </w:r>
      <w:r w:rsidRPr="004C31F1">
        <w:rPr>
          <w:rFonts w:hAnsi="標楷體"/>
          <w:snapToGrid/>
          <w:spacing w:val="-5"/>
          <w:kern w:val="0"/>
        </w:rPr>
        <w:t>2.</w:t>
      </w:r>
      <w:r w:rsidRPr="004C31F1">
        <w:rPr>
          <w:rFonts w:hAnsi="標楷體" w:hint="eastAsia"/>
          <w:snapToGrid/>
          <w:spacing w:val="-5"/>
          <w:kern w:val="0"/>
        </w:rPr>
        <w:t>配合新車投入調整編組運用；3</w:t>
      </w:r>
      <w:r w:rsidRPr="004C31F1">
        <w:rPr>
          <w:rFonts w:hAnsi="標楷體"/>
          <w:snapToGrid/>
          <w:spacing w:val="-5"/>
          <w:kern w:val="0"/>
        </w:rPr>
        <w:t>.</w:t>
      </w:r>
      <w:r w:rsidRPr="004C31F1">
        <w:rPr>
          <w:rFonts w:hAnsi="標楷體" w:hint="eastAsia"/>
          <w:snapToGrid/>
          <w:spacing w:val="-5"/>
          <w:kern w:val="0"/>
        </w:rPr>
        <w:t>配合各縣市政府推行TPASS通勤月票及社福卡點數搭乘臺鐵等相關措</w:t>
      </w:r>
      <w:r>
        <w:rPr>
          <w:rFonts w:hAnsi="標楷體" w:hint="eastAsia"/>
          <w:snapToGrid/>
          <w:spacing w:val="-5"/>
          <w:kern w:val="0"/>
        </w:rPr>
        <w:t>施，以減緩新冠疫情衝擊，提升客運量能，雖1</w:t>
      </w:r>
      <w:r>
        <w:rPr>
          <w:rFonts w:hAnsi="標楷體"/>
          <w:snapToGrid/>
          <w:spacing w:val="-5"/>
          <w:kern w:val="0"/>
        </w:rPr>
        <w:t>12</w:t>
      </w:r>
      <w:r>
        <w:rPr>
          <w:rFonts w:hAnsi="標楷體" w:hint="eastAsia"/>
          <w:snapToGrid/>
          <w:spacing w:val="-5"/>
          <w:kern w:val="0"/>
        </w:rPr>
        <w:t>年度客運人次已回升至2</w:t>
      </w:r>
      <w:r w:rsidR="00EA4BDA">
        <w:rPr>
          <w:rFonts w:hAnsi="標楷體" w:hint="eastAsia"/>
          <w:snapToGrid/>
          <w:spacing w:val="-5"/>
          <w:kern w:val="0"/>
        </w:rPr>
        <w:t>億</w:t>
      </w:r>
      <w:r>
        <w:rPr>
          <w:rFonts w:hAnsi="標楷體"/>
          <w:snapToGrid/>
          <w:spacing w:val="-5"/>
          <w:kern w:val="0"/>
        </w:rPr>
        <w:t>1</w:t>
      </w:r>
      <w:r w:rsidR="00EA4BDA">
        <w:rPr>
          <w:rFonts w:hAnsi="標楷體" w:hint="eastAsia"/>
          <w:snapToGrid/>
          <w:spacing w:val="-5"/>
          <w:kern w:val="0"/>
        </w:rPr>
        <w:t>,</w:t>
      </w:r>
      <w:r w:rsidR="00EA4BDA">
        <w:rPr>
          <w:rFonts w:hAnsi="標楷體"/>
          <w:snapToGrid/>
          <w:spacing w:val="-5"/>
          <w:kern w:val="0"/>
        </w:rPr>
        <w:t>930</w:t>
      </w:r>
      <w:r w:rsidR="00EA4BDA">
        <w:rPr>
          <w:rFonts w:hAnsi="標楷體" w:hint="eastAsia"/>
          <w:snapToGrid/>
          <w:spacing w:val="-5"/>
          <w:kern w:val="0"/>
        </w:rPr>
        <w:t>萬餘</w:t>
      </w:r>
      <w:r>
        <w:rPr>
          <w:rFonts w:hAnsi="標楷體" w:hint="eastAsia"/>
          <w:snapToGrid/>
          <w:spacing w:val="-5"/>
          <w:kern w:val="0"/>
        </w:rPr>
        <w:t>人次，惟</w:t>
      </w:r>
      <w:r w:rsidRPr="00814499">
        <w:rPr>
          <w:rFonts w:hAnsi="標楷體" w:hint="eastAsia"/>
          <w:snapToGrid/>
          <w:spacing w:val="-5"/>
          <w:kern w:val="0"/>
        </w:rPr>
        <w:t>113年1</w:t>
      </w:r>
      <w:r w:rsidR="003916E1">
        <w:rPr>
          <w:rFonts w:hAnsi="標楷體" w:hint="eastAsia"/>
          <w:snapToGrid/>
          <w:spacing w:val="-5"/>
          <w:kern w:val="0"/>
        </w:rPr>
        <w:t>至</w:t>
      </w:r>
      <w:r w:rsidR="003916E1">
        <w:rPr>
          <w:rFonts w:hAnsi="標楷體"/>
          <w:snapToGrid/>
          <w:spacing w:val="-5"/>
          <w:kern w:val="0"/>
        </w:rPr>
        <w:t>9</w:t>
      </w:r>
      <w:r w:rsidRPr="00814499">
        <w:rPr>
          <w:rFonts w:hAnsi="標楷體" w:hint="eastAsia"/>
          <w:snapToGrid/>
          <w:spacing w:val="-5"/>
          <w:kern w:val="0"/>
        </w:rPr>
        <w:t>月客運</w:t>
      </w:r>
      <w:r>
        <w:rPr>
          <w:rFonts w:hAnsi="標楷體" w:hint="eastAsia"/>
          <w:snapToGrid/>
          <w:spacing w:val="-5"/>
          <w:kern w:val="0"/>
        </w:rPr>
        <w:t>人次1</w:t>
      </w:r>
      <w:r w:rsidR="00EA4BDA">
        <w:rPr>
          <w:rFonts w:hAnsi="標楷體" w:hint="eastAsia"/>
          <w:snapToGrid/>
          <w:spacing w:val="-5"/>
          <w:kern w:val="0"/>
        </w:rPr>
        <w:t>億</w:t>
      </w:r>
      <w:r w:rsidR="003916E1">
        <w:rPr>
          <w:rFonts w:hAnsi="標楷體"/>
          <w:snapToGrid/>
          <w:spacing w:val="-5"/>
          <w:kern w:val="0"/>
        </w:rPr>
        <w:t>7</w:t>
      </w:r>
      <w:r w:rsidR="00EA4BDA">
        <w:rPr>
          <w:rFonts w:hAnsi="標楷體"/>
          <w:snapToGrid/>
          <w:spacing w:val="-5"/>
          <w:kern w:val="0"/>
        </w:rPr>
        <w:t>,</w:t>
      </w:r>
      <w:r w:rsidR="003916E1">
        <w:rPr>
          <w:rFonts w:hAnsi="標楷體"/>
          <w:snapToGrid/>
          <w:spacing w:val="-5"/>
          <w:kern w:val="0"/>
        </w:rPr>
        <w:t>5</w:t>
      </w:r>
      <w:r w:rsidR="00EA4BDA">
        <w:rPr>
          <w:rFonts w:hAnsi="標楷體"/>
          <w:snapToGrid/>
          <w:spacing w:val="-5"/>
          <w:kern w:val="0"/>
        </w:rPr>
        <w:t>78</w:t>
      </w:r>
      <w:r w:rsidR="00EA4BDA">
        <w:rPr>
          <w:rFonts w:hAnsi="標楷體" w:hint="eastAsia"/>
          <w:snapToGrid/>
          <w:spacing w:val="-5"/>
          <w:kern w:val="0"/>
        </w:rPr>
        <w:t>萬</w:t>
      </w:r>
      <w:r>
        <w:rPr>
          <w:rFonts w:hAnsi="標楷體" w:hint="eastAsia"/>
          <w:snapToGrid/>
          <w:spacing w:val="-5"/>
          <w:kern w:val="0"/>
        </w:rPr>
        <w:t>餘人次較</w:t>
      </w:r>
      <w:r w:rsidRPr="00814499">
        <w:rPr>
          <w:rFonts w:hAnsi="標楷體" w:hint="eastAsia"/>
          <w:snapToGrid/>
          <w:spacing w:val="-5"/>
          <w:kern w:val="0"/>
        </w:rPr>
        <w:t>去年同時期</w:t>
      </w:r>
      <w:r>
        <w:rPr>
          <w:rFonts w:hAnsi="標楷體" w:hint="eastAsia"/>
          <w:snapToGrid/>
          <w:spacing w:val="-5"/>
          <w:kern w:val="0"/>
        </w:rPr>
        <w:t>1</w:t>
      </w:r>
      <w:r w:rsidR="00EA4BDA">
        <w:rPr>
          <w:rFonts w:hAnsi="標楷體" w:hint="eastAsia"/>
          <w:snapToGrid/>
          <w:spacing w:val="-5"/>
          <w:kern w:val="0"/>
        </w:rPr>
        <w:t>億</w:t>
      </w:r>
      <w:r w:rsidR="003916E1">
        <w:rPr>
          <w:rFonts w:hAnsi="標楷體"/>
          <w:snapToGrid/>
          <w:spacing w:val="-5"/>
          <w:kern w:val="0"/>
        </w:rPr>
        <w:t>5</w:t>
      </w:r>
      <w:r w:rsidR="00EA4BDA">
        <w:rPr>
          <w:rFonts w:hAnsi="標楷體"/>
          <w:snapToGrid/>
          <w:spacing w:val="-5"/>
          <w:kern w:val="0"/>
        </w:rPr>
        <w:t>,</w:t>
      </w:r>
      <w:r w:rsidR="003916E1">
        <w:rPr>
          <w:rFonts w:hAnsi="標楷體"/>
          <w:snapToGrid/>
          <w:spacing w:val="-5"/>
          <w:kern w:val="0"/>
        </w:rPr>
        <w:t>9</w:t>
      </w:r>
      <w:r w:rsidR="00EA4BDA">
        <w:rPr>
          <w:rFonts w:hAnsi="標楷體"/>
          <w:snapToGrid/>
          <w:spacing w:val="-5"/>
          <w:kern w:val="0"/>
        </w:rPr>
        <w:t>00</w:t>
      </w:r>
      <w:r w:rsidR="00EA4BDA">
        <w:rPr>
          <w:rFonts w:hAnsi="標楷體" w:hint="eastAsia"/>
          <w:snapToGrid/>
          <w:spacing w:val="-5"/>
          <w:kern w:val="0"/>
        </w:rPr>
        <w:t>萬</w:t>
      </w:r>
      <w:r>
        <w:rPr>
          <w:rFonts w:hAnsi="標楷體" w:hint="eastAsia"/>
          <w:snapToGrid/>
          <w:spacing w:val="-5"/>
          <w:kern w:val="0"/>
        </w:rPr>
        <w:t>餘人次</w:t>
      </w:r>
      <w:r w:rsidR="003916E1">
        <w:rPr>
          <w:rFonts w:hAnsi="標楷體" w:hint="eastAsia"/>
          <w:snapToGrid/>
          <w:spacing w:val="-5"/>
          <w:kern w:val="0"/>
        </w:rPr>
        <w:t>增加</w:t>
      </w:r>
      <w:r>
        <w:rPr>
          <w:rFonts w:hAnsi="標楷體" w:hint="eastAsia"/>
          <w:snapToGrid/>
          <w:spacing w:val="-5"/>
          <w:kern w:val="0"/>
        </w:rPr>
        <w:t>，</w:t>
      </w:r>
      <w:r w:rsidR="00EA4BDA">
        <w:rPr>
          <w:rFonts w:hAnsi="標楷體" w:hint="eastAsia"/>
          <w:snapToGrid/>
          <w:spacing w:val="-5"/>
          <w:kern w:val="0"/>
        </w:rPr>
        <w:lastRenderedPageBreak/>
        <w:t>惟換算全年人次約</w:t>
      </w:r>
      <w:r w:rsidR="00C023BE">
        <w:rPr>
          <w:rFonts w:hAnsi="標楷體" w:hint="eastAsia"/>
          <w:snapToGrid/>
          <w:spacing w:val="-5"/>
          <w:kern w:val="0"/>
        </w:rPr>
        <w:t>2億3</w:t>
      </w:r>
      <w:r w:rsidR="00C023BE">
        <w:rPr>
          <w:rFonts w:hAnsi="標楷體"/>
          <w:snapToGrid/>
          <w:spacing w:val="-5"/>
          <w:kern w:val="0"/>
        </w:rPr>
        <w:t>,438</w:t>
      </w:r>
      <w:r w:rsidR="00C023BE">
        <w:rPr>
          <w:rFonts w:hAnsi="標楷體" w:hint="eastAsia"/>
          <w:snapToGrid/>
          <w:spacing w:val="-5"/>
          <w:kern w:val="0"/>
        </w:rPr>
        <w:t>萬餘人次</w:t>
      </w:r>
      <w:r w:rsidR="00C023BE">
        <w:rPr>
          <w:rStyle w:val="af6"/>
          <w:rFonts w:hAnsi="標楷體"/>
          <w:snapToGrid/>
          <w:spacing w:val="-5"/>
          <w:kern w:val="0"/>
        </w:rPr>
        <w:footnoteReference w:id="5"/>
      </w:r>
      <w:r w:rsidR="00C023BE">
        <w:rPr>
          <w:rFonts w:hAnsi="標楷體" w:hint="eastAsia"/>
          <w:snapToGrid/>
          <w:spacing w:val="-5"/>
          <w:kern w:val="0"/>
        </w:rPr>
        <w:t>，</w:t>
      </w:r>
      <w:r>
        <w:rPr>
          <w:rFonts w:hAnsi="標楷體" w:hint="eastAsia"/>
          <w:snapToGrid/>
          <w:spacing w:val="-5"/>
          <w:kern w:val="0"/>
        </w:rPr>
        <w:t>容待強化實施成效始可推升1</w:t>
      </w:r>
      <w:r>
        <w:rPr>
          <w:rFonts w:hAnsi="標楷體"/>
          <w:snapToGrid/>
          <w:spacing w:val="-5"/>
          <w:kern w:val="0"/>
        </w:rPr>
        <w:t>13</w:t>
      </w:r>
      <w:r>
        <w:rPr>
          <w:rFonts w:hAnsi="標楷體" w:hint="eastAsia"/>
          <w:snapToGrid/>
          <w:spacing w:val="-5"/>
          <w:kern w:val="0"/>
        </w:rPr>
        <w:t>及1</w:t>
      </w:r>
      <w:r>
        <w:rPr>
          <w:rFonts w:hAnsi="標楷體"/>
          <w:snapToGrid/>
          <w:spacing w:val="-5"/>
          <w:kern w:val="0"/>
        </w:rPr>
        <w:t>14</w:t>
      </w:r>
      <w:r>
        <w:rPr>
          <w:rFonts w:hAnsi="標楷體" w:hint="eastAsia"/>
          <w:snapToGrid/>
          <w:spacing w:val="-5"/>
          <w:kern w:val="0"/>
        </w:rPr>
        <w:t>年度客運人次至2</w:t>
      </w:r>
      <w:r w:rsidR="00C023BE">
        <w:rPr>
          <w:rFonts w:hAnsi="標楷體" w:hint="eastAsia"/>
          <w:snapToGrid/>
          <w:spacing w:val="-5"/>
          <w:kern w:val="0"/>
        </w:rPr>
        <w:t>億3</w:t>
      </w:r>
      <w:r w:rsidR="00C023BE">
        <w:rPr>
          <w:rFonts w:hAnsi="標楷體"/>
          <w:snapToGrid/>
          <w:spacing w:val="-5"/>
          <w:kern w:val="0"/>
        </w:rPr>
        <w:t>,790</w:t>
      </w:r>
      <w:r>
        <w:rPr>
          <w:rFonts w:hAnsi="標楷體" w:hint="eastAsia"/>
          <w:snapToGrid/>
          <w:spacing w:val="-5"/>
          <w:kern w:val="0"/>
        </w:rPr>
        <w:t>萬人次、2</w:t>
      </w:r>
      <w:r w:rsidR="00C023BE">
        <w:rPr>
          <w:rFonts w:hAnsi="標楷體" w:hint="eastAsia"/>
          <w:snapToGrid/>
          <w:spacing w:val="-5"/>
          <w:kern w:val="0"/>
        </w:rPr>
        <w:t>億</w:t>
      </w:r>
      <w:r>
        <w:rPr>
          <w:rFonts w:hAnsi="標楷體"/>
          <w:snapToGrid/>
          <w:spacing w:val="-5"/>
          <w:kern w:val="0"/>
        </w:rPr>
        <w:t>4</w:t>
      </w:r>
      <w:r w:rsidR="00C023BE">
        <w:rPr>
          <w:rFonts w:hAnsi="標楷體"/>
          <w:snapToGrid/>
          <w:spacing w:val="-5"/>
          <w:kern w:val="0"/>
        </w:rPr>
        <w:t>,455</w:t>
      </w:r>
      <w:r>
        <w:rPr>
          <w:rFonts w:hAnsi="標楷體" w:hint="eastAsia"/>
          <w:snapToGrid/>
          <w:spacing w:val="-5"/>
          <w:kern w:val="0"/>
        </w:rPr>
        <w:t>萬人次，並符合</w:t>
      </w:r>
      <w:r w:rsidRPr="00814499">
        <w:rPr>
          <w:rFonts w:hAnsi="標楷體" w:hint="eastAsia"/>
          <w:snapToGrid/>
          <w:spacing w:val="-5"/>
          <w:kern w:val="0"/>
        </w:rPr>
        <w:t>114年度客運量較104年成長3.5%</w:t>
      </w:r>
      <w:r>
        <w:rPr>
          <w:rFonts w:hAnsi="標楷體" w:hint="eastAsia"/>
          <w:snapToGrid/>
          <w:spacing w:val="-5"/>
          <w:kern w:val="0"/>
        </w:rPr>
        <w:t>、</w:t>
      </w:r>
      <w:r w:rsidRPr="00814499">
        <w:rPr>
          <w:rFonts w:hAnsi="標楷體" w:hint="eastAsia"/>
          <w:snapToGrid/>
          <w:spacing w:val="-5"/>
          <w:kern w:val="0"/>
        </w:rPr>
        <w:t>2.40億人次目標</w:t>
      </w:r>
      <w:r>
        <w:rPr>
          <w:rFonts w:hAnsi="標楷體" w:hint="eastAsia"/>
          <w:snapToGrid/>
          <w:spacing w:val="-5"/>
          <w:kern w:val="0"/>
        </w:rPr>
        <w:t>。</w:t>
      </w:r>
    </w:p>
    <w:p w:rsidR="00FA6370" w:rsidRDefault="00FA6370" w:rsidP="00FA6370">
      <w:pPr>
        <w:pStyle w:val="a5"/>
        <w:ind w:left="849" w:hanging="283"/>
        <w:rPr>
          <w:b/>
        </w:rPr>
      </w:pPr>
      <w:r>
        <w:rPr>
          <w:rFonts w:hint="eastAsia"/>
          <w:b/>
        </w:rPr>
        <w:t>表1 臺鐵公司1</w:t>
      </w:r>
      <w:r w:rsidR="00D42686">
        <w:rPr>
          <w:b/>
        </w:rPr>
        <w:t>04</w:t>
      </w:r>
      <w:r w:rsidR="00D42686">
        <w:rPr>
          <w:rFonts w:hint="eastAsia"/>
          <w:b/>
        </w:rPr>
        <w:t>至</w:t>
      </w:r>
      <w:r>
        <w:rPr>
          <w:b/>
        </w:rPr>
        <w:t>114</w:t>
      </w:r>
      <w:r w:rsidR="00D42686">
        <w:rPr>
          <w:rFonts w:hint="eastAsia"/>
          <w:b/>
        </w:rPr>
        <w:t>年度客運人次</w:t>
      </w:r>
    </w:p>
    <w:tbl>
      <w:tblPr>
        <w:tblW w:w="7796" w:type="dxa"/>
        <w:tblInd w:w="7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827"/>
        <w:gridCol w:w="3969"/>
      </w:tblGrid>
      <w:tr w:rsidR="00FA6370" w:rsidRPr="000F360E" w:rsidTr="00600BE3">
        <w:trPr>
          <w:trHeight w:val="345"/>
          <w:tblHeader/>
        </w:trPr>
        <w:tc>
          <w:tcPr>
            <w:tcW w:w="3827" w:type="dxa"/>
            <w:shd w:val="clear" w:color="auto" w:fill="auto"/>
            <w:noWrap/>
            <w:vAlign w:val="center"/>
          </w:tcPr>
          <w:p w:rsidR="00FA6370" w:rsidRPr="000F360E" w:rsidRDefault="00FA6370" w:rsidP="00600BE3">
            <w:pPr>
              <w:spacing w:line="280" w:lineRule="exact"/>
              <w:ind w:leftChars="0" w:left="0" w:firstLineChars="0" w:firstLine="0"/>
              <w:jc w:val="center"/>
              <w:rPr>
                <w:b/>
                <w:sz w:val="24"/>
              </w:rPr>
            </w:pPr>
            <w:r w:rsidRPr="000F360E">
              <w:rPr>
                <w:rFonts w:hint="eastAsia"/>
                <w:b/>
                <w:sz w:val="24"/>
              </w:rPr>
              <w:t>年度</w:t>
            </w:r>
          </w:p>
        </w:tc>
        <w:tc>
          <w:tcPr>
            <w:tcW w:w="3969" w:type="dxa"/>
            <w:shd w:val="clear" w:color="auto" w:fill="auto"/>
            <w:noWrap/>
          </w:tcPr>
          <w:p w:rsidR="00FA6370" w:rsidRPr="000F360E" w:rsidRDefault="00FA6370" w:rsidP="00600BE3">
            <w:pPr>
              <w:spacing w:line="280" w:lineRule="exact"/>
              <w:ind w:leftChars="0" w:left="0" w:firstLineChars="0" w:firstLine="0"/>
              <w:jc w:val="center"/>
              <w:rPr>
                <w:b/>
                <w:sz w:val="24"/>
              </w:rPr>
            </w:pPr>
            <w:r w:rsidRPr="000F360E">
              <w:rPr>
                <w:rFonts w:hint="eastAsia"/>
                <w:b/>
                <w:sz w:val="24"/>
              </w:rPr>
              <w:t>人數(人次</w:t>
            </w:r>
            <w:r w:rsidRPr="000F360E">
              <w:rPr>
                <w:b/>
                <w:sz w:val="24"/>
              </w:rPr>
              <w:t>)</w:t>
            </w:r>
          </w:p>
        </w:tc>
      </w:tr>
      <w:tr w:rsidR="00FA6370" w:rsidRPr="002C1469" w:rsidTr="00600BE3">
        <w:trPr>
          <w:trHeight w:val="345"/>
        </w:trPr>
        <w:tc>
          <w:tcPr>
            <w:tcW w:w="3827" w:type="dxa"/>
            <w:shd w:val="clear" w:color="auto" w:fill="auto"/>
            <w:noWrap/>
            <w:vAlign w:val="center"/>
          </w:tcPr>
          <w:p w:rsidR="00FA6370" w:rsidRPr="002C1469" w:rsidRDefault="00FA6370" w:rsidP="00D42686">
            <w:pPr>
              <w:spacing w:line="280" w:lineRule="exact"/>
              <w:ind w:leftChars="0" w:left="0" w:firstLineChars="0" w:firstLine="0"/>
              <w:jc w:val="center"/>
              <w:rPr>
                <w:sz w:val="24"/>
              </w:rPr>
            </w:pPr>
            <w:r w:rsidRPr="002C1469">
              <w:rPr>
                <w:rFonts w:hint="eastAsia"/>
                <w:sz w:val="24"/>
              </w:rPr>
              <w:t>1</w:t>
            </w:r>
            <w:r w:rsidRPr="002C1469">
              <w:rPr>
                <w:sz w:val="24"/>
              </w:rPr>
              <w:t>04</w:t>
            </w:r>
          </w:p>
        </w:tc>
        <w:tc>
          <w:tcPr>
            <w:tcW w:w="3969" w:type="dxa"/>
            <w:shd w:val="clear" w:color="auto" w:fill="auto"/>
            <w:noWrap/>
            <w:vAlign w:val="center"/>
          </w:tcPr>
          <w:p w:rsidR="00FA6370" w:rsidRPr="002C1469" w:rsidRDefault="00FA6370" w:rsidP="00600BE3">
            <w:pPr>
              <w:spacing w:line="280" w:lineRule="exact"/>
              <w:ind w:leftChars="0" w:left="0" w:firstLineChars="0" w:firstLine="0"/>
              <w:jc w:val="right"/>
              <w:rPr>
                <w:sz w:val="24"/>
              </w:rPr>
            </w:pPr>
            <w:r w:rsidRPr="002C1469">
              <w:rPr>
                <w:sz w:val="24"/>
              </w:rPr>
              <w:t>232,216,800</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105</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230,364,970</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106</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232,805,994</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107</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231,267,955</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108</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236,151,449</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109</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203,520,929</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110</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154,927,066</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111</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170,254,450</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112</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219,308,388</w:t>
            </w:r>
          </w:p>
        </w:tc>
      </w:tr>
      <w:tr w:rsidR="00FA6370" w:rsidRPr="002C1469" w:rsidTr="00600BE3">
        <w:trPr>
          <w:trHeight w:val="345"/>
        </w:trPr>
        <w:tc>
          <w:tcPr>
            <w:tcW w:w="3827" w:type="dxa"/>
            <w:shd w:val="clear" w:color="auto" w:fill="auto"/>
            <w:noWrap/>
            <w:vAlign w:val="center"/>
          </w:tcPr>
          <w:p w:rsidR="00FA6370" w:rsidRPr="002C1469" w:rsidRDefault="00FA6370" w:rsidP="00600BE3">
            <w:pPr>
              <w:spacing w:line="280" w:lineRule="exact"/>
              <w:ind w:leftChars="0" w:left="0" w:firstLineChars="0" w:firstLine="0"/>
              <w:jc w:val="center"/>
              <w:rPr>
                <w:rFonts w:hint="eastAsia"/>
                <w:sz w:val="24"/>
              </w:rPr>
            </w:pPr>
            <w:r w:rsidRPr="002C1469">
              <w:rPr>
                <w:rFonts w:hint="eastAsia"/>
                <w:sz w:val="24"/>
              </w:rPr>
              <w:t>1</w:t>
            </w:r>
            <w:r w:rsidRPr="002C1469">
              <w:rPr>
                <w:sz w:val="24"/>
              </w:rPr>
              <w:t>13</w:t>
            </w:r>
            <w:r w:rsidRPr="002C1469">
              <w:rPr>
                <w:rFonts w:hint="eastAsia"/>
                <w:sz w:val="24"/>
              </w:rPr>
              <w:t>(預計</w:t>
            </w:r>
            <w:r w:rsidRPr="002C1469">
              <w:rPr>
                <w:sz w:val="24"/>
              </w:rPr>
              <w:t>)</w:t>
            </w:r>
          </w:p>
        </w:tc>
        <w:tc>
          <w:tcPr>
            <w:tcW w:w="3969" w:type="dxa"/>
            <w:shd w:val="clear" w:color="auto" w:fill="auto"/>
            <w:noWrap/>
            <w:vAlign w:val="center"/>
          </w:tcPr>
          <w:p w:rsidR="00FA6370" w:rsidRPr="002C1469" w:rsidRDefault="00FA6370" w:rsidP="00600BE3">
            <w:pPr>
              <w:spacing w:line="280" w:lineRule="exact"/>
              <w:ind w:leftChars="0" w:left="0" w:firstLineChars="0" w:firstLine="0"/>
              <w:jc w:val="right"/>
              <w:rPr>
                <w:rFonts w:hint="eastAsia"/>
                <w:sz w:val="24"/>
              </w:rPr>
            </w:pPr>
            <w:r w:rsidRPr="002C1469">
              <w:rPr>
                <w:sz w:val="24"/>
              </w:rPr>
              <w:t>237,900,000</w:t>
            </w:r>
          </w:p>
        </w:tc>
      </w:tr>
      <w:tr w:rsidR="00FA6370" w:rsidRPr="00C3435E" w:rsidTr="00600BE3">
        <w:trPr>
          <w:trHeight w:val="345"/>
        </w:trPr>
        <w:tc>
          <w:tcPr>
            <w:tcW w:w="3827" w:type="dxa"/>
            <w:shd w:val="clear" w:color="auto" w:fill="auto"/>
            <w:noWrap/>
            <w:vAlign w:val="center"/>
          </w:tcPr>
          <w:p w:rsidR="00FA6370" w:rsidRPr="00C3435E" w:rsidRDefault="00FA6370" w:rsidP="003916E1">
            <w:pPr>
              <w:spacing w:line="280" w:lineRule="exact"/>
              <w:ind w:leftChars="0" w:left="0" w:firstLineChars="0" w:firstLine="0"/>
              <w:jc w:val="center"/>
              <w:rPr>
                <w:rFonts w:hint="eastAsia"/>
                <w:sz w:val="24"/>
                <w:szCs w:val="24"/>
              </w:rPr>
            </w:pPr>
            <w:r w:rsidRPr="00C3435E">
              <w:rPr>
                <w:rFonts w:hint="eastAsia"/>
                <w:sz w:val="24"/>
                <w:szCs w:val="24"/>
              </w:rPr>
              <w:t>1</w:t>
            </w:r>
            <w:r w:rsidRPr="00C3435E">
              <w:rPr>
                <w:sz w:val="24"/>
                <w:szCs w:val="24"/>
              </w:rPr>
              <w:t>13</w:t>
            </w:r>
            <w:r w:rsidRPr="00C3435E">
              <w:rPr>
                <w:rFonts w:hint="eastAsia"/>
                <w:sz w:val="24"/>
                <w:szCs w:val="24"/>
              </w:rPr>
              <w:t>年</w:t>
            </w:r>
            <w:r w:rsidR="003916E1" w:rsidRPr="00C3435E">
              <w:rPr>
                <w:sz w:val="24"/>
                <w:szCs w:val="24"/>
              </w:rPr>
              <w:t>1-9</w:t>
            </w:r>
            <w:r w:rsidRPr="00C3435E">
              <w:rPr>
                <w:rFonts w:hint="eastAsia"/>
                <w:sz w:val="24"/>
                <w:szCs w:val="24"/>
              </w:rPr>
              <w:t>月</w:t>
            </w:r>
          </w:p>
        </w:tc>
        <w:tc>
          <w:tcPr>
            <w:tcW w:w="3969" w:type="dxa"/>
            <w:shd w:val="clear" w:color="auto" w:fill="auto"/>
            <w:noWrap/>
            <w:vAlign w:val="center"/>
          </w:tcPr>
          <w:p w:rsidR="00FA6370" w:rsidRPr="00C3435E" w:rsidRDefault="00FA6370" w:rsidP="003916E1">
            <w:pPr>
              <w:spacing w:line="280" w:lineRule="exact"/>
              <w:ind w:leftChars="0" w:left="0" w:firstLineChars="0" w:firstLine="0"/>
              <w:jc w:val="right"/>
              <w:rPr>
                <w:sz w:val="24"/>
              </w:rPr>
            </w:pPr>
            <w:r w:rsidRPr="00C3435E">
              <w:rPr>
                <w:sz w:val="24"/>
              </w:rPr>
              <w:t>1</w:t>
            </w:r>
            <w:r w:rsidR="003916E1" w:rsidRPr="00C3435E">
              <w:rPr>
                <w:sz w:val="24"/>
              </w:rPr>
              <w:t>75</w:t>
            </w:r>
            <w:r w:rsidRPr="00C3435E">
              <w:rPr>
                <w:sz w:val="24"/>
              </w:rPr>
              <w:t>,</w:t>
            </w:r>
            <w:r w:rsidR="003916E1" w:rsidRPr="00C3435E">
              <w:rPr>
                <w:sz w:val="24"/>
              </w:rPr>
              <w:t>785,583</w:t>
            </w:r>
          </w:p>
        </w:tc>
      </w:tr>
      <w:tr w:rsidR="00FA6370" w:rsidRPr="00C3435E" w:rsidTr="00600BE3">
        <w:trPr>
          <w:trHeight w:val="345"/>
        </w:trPr>
        <w:tc>
          <w:tcPr>
            <w:tcW w:w="3827" w:type="dxa"/>
            <w:shd w:val="clear" w:color="auto" w:fill="auto"/>
            <w:noWrap/>
            <w:vAlign w:val="center"/>
          </w:tcPr>
          <w:p w:rsidR="00FA6370" w:rsidRPr="00C3435E" w:rsidRDefault="00FA6370" w:rsidP="003916E1">
            <w:pPr>
              <w:spacing w:line="280" w:lineRule="exact"/>
              <w:ind w:leftChars="0" w:left="0" w:firstLineChars="0" w:firstLine="0"/>
              <w:jc w:val="center"/>
              <w:rPr>
                <w:rFonts w:hint="eastAsia"/>
                <w:sz w:val="24"/>
                <w:szCs w:val="24"/>
              </w:rPr>
            </w:pPr>
            <w:r w:rsidRPr="00C3435E">
              <w:rPr>
                <w:rFonts w:hint="eastAsia"/>
                <w:sz w:val="24"/>
                <w:szCs w:val="24"/>
              </w:rPr>
              <w:t>1</w:t>
            </w:r>
            <w:r w:rsidRPr="00C3435E">
              <w:rPr>
                <w:sz w:val="24"/>
                <w:szCs w:val="24"/>
              </w:rPr>
              <w:t>12</w:t>
            </w:r>
            <w:r w:rsidRPr="00C3435E">
              <w:rPr>
                <w:rFonts w:hint="eastAsia"/>
                <w:sz w:val="24"/>
                <w:szCs w:val="24"/>
              </w:rPr>
              <w:t>年</w:t>
            </w:r>
            <w:r w:rsidR="003916E1" w:rsidRPr="00C3435E">
              <w:rPr>
                <w:rFonts w:hint="eastAsia"/>
                <w:sz w:val="24"/>
                <w:szCs w:val="24"/>
              </w:rPr>
              <w:t>1</w:t>
            </w:r>
            <w:r w:rsidR="003916E1" w:rsidRPr="00C3435E">
              <w:rPr>
                <w:sz w:val="24"/>
                <w:szCs w:val="24"/>
              </w:rPr>
              <w:t>-9</w:t>
            </w:r>
            <w:r w:rsidRPr="00C3435E">
              <w:rPr>
                <w:rFonts w:hint="eastAsia"/>
                <w:sz w:val="24"/>
                <w:szCs w:val="24"/>
              </w:rPr>
              <w:t>月</w:t>
            </w:r>
          </w:p>
        </w:tc>
        <w:tc>
          <w:tcPr>
            <w:tcW w:w="3969" w:type="dxa"/>
            <w:shd w:val="clear" w:color="auto" w:fill="auto"/>
            <w:noWrap/>
            <w:vAlign w:val="center"/>
          </w:tcPr>
          <w:p w:rsidR="00FA6370" w:rsidRPr="00C3435E" w:rsidRDefault="00FA6370" w:rsidP="003916E1">
            <w:pPr>
              <w:spacing w:line="280" w:lineRule="exact"/>
              <w:ind w:leftChars="0" w:left="0" w:firstLineChars="0" w:firstLine="0"/>
              <w:jc w:val="right"/>
              <w:rPr>
                <w:rFonts w:hint="eastAsia"/>
                <w:sz w:val="24"/>
              </w:rPr>
            </w:pPr>
            <w:r w:rsidRPr="00C3435E">
              <w:rPr>
                <w:rFonts w:hint="eastAsia"/>
                <w:sz w:val="24"/>
              </w:rPr>
              <w:t>1</w:t>
            </w:r>
            <w:r w:rsidR="003916E1" w:rsidRPr="00C3435E">
              <w:rPr>
                <w:sz w:val="24"/>
              </w:rPr>
              <w:t>59</w:t>
            </w:r>
            <w:r w:rsidRPr="00C3435E">
              <w:rPr>
                <w:rFonts w:hint="eastAsia"/>
                <w:sz w:val="24"/>
              </w:rPr>
              <w:t>,</w:t>
            </w:r>
            <w:r w:rsidR="003916E1" w:rsidRPr="00C3435E">
              <w:rPr>
                <w:sz w:val="24"/>
              </w:rPr>
              <w:t>002</w:t>
            </w:r>
            <w:r w:rsidRPr="00C3435E">
              <w:rPr>
                <w:rFonts w:hint="eastAsia"/>
                <w:sz w:val="24"/>
              </w:rPr>
              <w:t>,</w:t>
            </w:r>
            <w:r w:rsidR="003916E1" w:rsidRPr="00C3435E">
              <w:rPr>
                <w:sz w:val="24"/>
              </w:rPr>
              <w:t>747</w:t>
            </w:r>
          </w:p>
        </w:tc>
      </w:tr>
      <w:tr w:rsidR="00FA6370" w:rsidRPr="002C1469" w:rsidTr="00600BE3">
        <w:trPr>
          <w:trHeight w:val="345"/>
        </w:trPr>
        <w:tc>
          <w:tcPr>
            <w:tcW w:w="3827" w:type="dxa"/>
            <w:shd w:val="clear" w:color="auto" w:fill="auto"/>
            <w:noWrap/>
            <w:vAlign w:val="center"/>
          </w:tcPr>
          <w:p w:rsidR="00FA6370" w:rsidRPr="002C1469" w:rsidRDefault="00FA6370" w:rsidP="00600BE3">
            <w:pPr>
              <w:spacing w:line="280" w:lineRule="exact"/>
              <w:ind w:leftChars="0" w:left="0" w:firstLineChars="0" w:firstLine="0"/>
              <w:jc w:val="center"/>
              <w:rPr>
                <w:rFonts w:hint="eastAsia"/>
                <w:sz w:val="24"/>
              </w:rPr>
            </w:pPr>
            <w:r w:rsidRPr="002C1469">
              <w:rPr>
                <w:rFonts w:hint="eastAsia"/>
                <w:sz w:val="24"/>
              </w:rPr>
              <w:t>1</w:t>
            </w:r>
            <w:r w:rsidRPr="002C1469">
              <w:rPr>
                <w:sz w:val="24"/>
              </w:rPr>
              <w:t>14</w:t>
            </w:r>
            <w:r w:rsidRPr="002C1469">
              <w:rPr>
                <w:rFonts w:hint="eastAsia"/>
                <w:sz w:val="24"/>
              </w:rPr>
              <w:t>(預計)</w:t>
            </w:r>
          </w:p>
        </w:tc>
        <w:tc>
          <w:tcPr>
            <w:tcW w:w="3969" w:type="dxa"/>
            <w:shd w:val="clear" w:color="auto" w:fill="auto"/>
            <w:noWrap/>
            <w:vAlign w:val="center"/>
          </w:tcPr>
          <w:p w:rsidR="00FA6370" w:rsidRPr="002C1469" w:rsidRDefault="00FA6370" w:rsidP="00600BE3">
            <w:pPr>
              <w:spacing w:line="280" w:lineRule="exact"/>
              <w:ind w:leftChars="0" w:left="0" w:firstLineChars="0" w:firstLine="0"/>
              <w:jc w:val="right"/>
              <w:rPr>
                <w:rFonts w:hint="eastAsia"/>
                <w:sz w:val="24"/>
              </w:rPr>
            </w:pPr>
            <w:r w:rsidRPr="002C1469">
              <w:rPr>
                <w:sz w:val="24"/>
              </w:rPr>
              <w:t>244,550,000</w:t>
            </w:r>
          </w:p>
        </w:tc>
      </w:tr>
    </w:tbl>
    <w:p w:rsidR="00FA6370" w:rsidRPr="002C1469" w:rsidRDefault="00FA6370" w:rsidP="00FA6370">
      <w:pPr>
        <w:spacing w:line="280" w:lineRule="exact"/>
        <w:ind w:leftChars="0" w:left="0" w:firstLineChars="291" w:firstLine="708"/>
        <w:jc w:val="left"/>
        <w:rPr>
          <w:sz w:val="24"/>
        </w:rPr>
      </w:pPr>
      <w:r w:rsidRPr="002C1469">
        <w:rPr>
          <w:rFonts w:hint="eastAsia"/>
          <w:sz w:val="24"/>
        </w:rPr>
        <w:t>資料來源：臺鐵公司。</w:t>
      </w:r>
    </w:p>
    <w:p w:rsidR="00FA6370" w:rsidRPr="004C31F1" w:rsidRDefault="00FA6370" w:rsidP="00FA6370">
      <w:pPr>
        <w:ind w:left="566" w:firstLine="566"/>
      </w:pPr>
      <w:r>
        <w:rPr>
          <w:rFonts w:hint="eastAsia"/>
        </w:rPr>
        <w:t>綜上，</w:t>
      </w:r>
      <w:r w:rsidRPr="004C31F1">
        <w:rPr>
          <w:rFonts w:hint="eastAsia"/>
        </w:rPr>
        <w:t>為達成我國2050年溫室氣體淨零排放目標，交通部刻正執行「第2期運輸部門溫室氣體管制方案</w:t>
      </w:r>
      <w:r>
        <w:rPr>
          <w:rFonts w:hint="eastAsia"/>
        </w:rPr>
        <w:t>」</w:t>
      </w:r>
      <w:r w:rsidRPr="004C31F1">
        <w:rPr>
          <w:rFonts w:hint="eastAsia"/>
        </w:rPr>
        <w:t>，</w:t>
      </w:r>
      <w:r>
        <w:rPr>
          <w:rFonts w:hint="eastAsia"/>
        </w:rPr>
        <w:t>並設定</w:t>
      </w:r>
      <w:r w:rsidRPr="004C31F1">
        <w:rPr>
          <w:rFonts w:hint="eastAsia"/>
        </w:rPr>
        <w:t>臺鐵114年</w:t>
      </w:r>
      <w:r w:rsidRPr="00C754F0">
        <w:rPr>
          <w:rFonts w:hint="eastAsia"/>
        </w:rPr>
        <w:t>客運量較104年成長3.5%、2.40億人次目標</w:t>
      </w:r>
      <w:r>
        <w:rPr>
          <w:rFonts w:hint="eastAsia"/>
        </w:rPr>
        <w:t>，雖</w:t>
      </w:r>
      <w:r w:rsidRPr="00C754F0">
        <w:rPr>
          <w:rFonts w:hint="eastAsia"/>
        </w:rPr>
        <w:t>臺鐵公司已採行相關措施提昇營運量能</w:t>
      </w:r>
      <w:r w:rsidR="00C023BE">
        <w:rPr>
          <w:rFonts w:hint="eastAsia"/>
        </w:rPr>
        <w:t>，</w:t>
      </w:r>
      <w:r w:rsidR="00C023BE" w:rsidRPr="00C023BE">
        <w:rPr>
          <w:rFonts w:hint="eastAsia"/>
        </w:rPr>
        <w:t>惟113年1至9月客運人次1億7,578萬餘人次</w:t>
      </w:r>
      <w:r w:rsidR="00C023BE">
        <w:rPr>
          <w:rFonts w:hint="eastAsia"/>
        </w:rPr>
        <w:t>，</w:t>
      </w:r>
      <w:r w:rsidR="00C023BE" w:rsidRPr="00C023BE">
        <w:rPr>
          <w:rFonts w:hint="eastAsia"/>
        </w:rPr>
        <w:t>換算全年人次約2億3,438萬餘人次</w:t>
      </w:r>
      <w:r w:rsidR="003916E1">
        <w:rPr>
          <w:rFonts w:hint="eastAsia"/>
        </w:rPr>
        <w:t>，</w:t>
      </w:r>
      <w:r w:rsidRPr="00C754F0">
        <w:rPr>
          <w:rFonts w:hint="eastAsia"/>
        </w:rPr>
        <w:t>容待</w:t>
      </w:r>
      <w:r w:rsidR="00C023BE">
        <w:rPr>
          <w:rFonts w:hint="eastAsia"/>
        </w:rPr>
        <w:t>持續</w:t>
      </w:r>
      <w:r w:rsidRPr="00C754F0">
        <w:rPr>
          <w:rFonts w:hint="eastAsia"/>
        </w:rPr>
        <w:t>強化</w:t>
      </w:r>
      <w:r w:rsidR="009815F2" w:rsidRPr="009815F2">
        <w:rPr>
          <w:rFonts w:hint="eastAsia"/>
        </w:rPr>
        <w:t>客運量能措施</w:t>
      </w:r>
      <w:r w:rsidRPr="00C754F0">
        <w:rPr>
          <w:rFonts w:hint="eastAsia"/>
        </w:rPr>
        <w:t>實施成效</w:t>
      </w:r>
      <w:r>
        <w:rPr>
          <w:rFonts w:hint="eastAsia"/>
        </w:rPr>
        <w:t>，俾</w:t>
      </w:r>
      <w:r w:rsidRPr="00C754F0">
        <w:rPr>
          <w:rFonts w:hint="eastAsia"/>
        </w:rPr>
        <w:t>114年度客運量</w:t>
      </w:r>
      <w:r>
        <w:rPr>
          <w:rFonts w:hint="eastAsia"/>
        </w:rPr>
        <w:t>可達成前開目標。</w:t>
      </w:r>
    </w:p>
    <w:bookmarkEnd w:id="6"/>
    <w:bookmarkEnd w:id="7"/>
    <w:bookmarkEnd w:id="0"/>
    <w:bookmarkEnd w:id="2"/>
    <w:bookmarkEnd w:id="3"/>
    <w:bookmarkEnd w:id="4"/>
    <w:bookmarkEnd w:id="5"/>
    <w:sectPr w:rsidR="00FA6370" w:rsidRPr="004C31F1"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F438AA" w:rsidRPr="00F438A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Default="008E2CC5" w:rsidP="00FA6370">
      <w:pPr>
        <w:pStyle w:val="142"/>
        <w:ind w:left="122" w:hangingChars="50" w:hanging="122"/>
        <w:jc w:val="both"/>
      </w:pPr>
      <w:r>
        <w:rPr>
          <w:rStyle w:val="af6"/>
        </w:rPr>
        <w:footnoteRef/>
      </w:r>
      <w:r w:rsidRPr="00FC0C8B">
        <w:rPr>
          <w:rFonts w:hint="eastAsia"/>
        </w:rPr>
        <w:t>氣候變遷因應法第</w:t>
      </w:r>
      <w:r>
        <w:t>11</w:t>
      </w:r>
      <w:r w:rsidRPr="00FC0C8B">
        <w:rPr>
          <w:rFonts w:hint="eastAsia"/>
        </w:rPr>
        <w:t>條</w:t>
      </w:r>
      <w:r>
        <w:rPr>
          <w:rFonts w:hint="eastAsia"/>
        </w:rPr>
        <w:t>規定：「</w:t>
      </w:r>
      <w:r w:rsidRPr="009C5222">
        <w:rPr>
          <w:rFonts w:hint="eastAsia"/>
        </w:rPr>
        <w:t>中央目的事業主管機關應依行動綱領及階段管制目標，邀集中央及地方有關機關、學者、專家、民間團體經召開公聽會程序後，訂修所屬部門溫室氣體減量行動方案（以下簡稱部門行動方案）送中央主管機關報請行政院核定後實施，並對外公開</w:t>
      </w:r>
      <w:r>
        <w:rPr>
          <w:rFonts w:hint="eastAsia"/>
        </w:rPr>
        <w:t>。」</w:t>
      </w:r>
    </w:p>
    <w:p w:rsidR="008E2CC5" w:rsidRPr="00253ED5" w:rsidRDefault="008E2CC5" w:rsidP="00EF35EA">
      <w:pPr>
        <w:pStyle w:val="142"/>
        <w:ind w:leftChars="50" w:left="142"/>
        <w:jc w:val="both"/>
        <w:rPr>
          <w:rFonts w:hint="eastAsia"/>
        </w:rPr>
      </w:pPr>
      <w:r w:rsidRPr="00FC0C8B">
        <w:rPr>
          <w:rFonts w:hint="eastAsia"/>
        </w:rPr>
        <w:t>氣候變遷因應法施行細則第</w:t>
      </w:r>
      <w:r>
        <w:t>7</w:t>
      </w:r>
      <w:r w:rsidRPr="00FC0C8B">
        <w:rPr>
          <w:rFonts w:hint="eastAsia"/>
        </w:rPr>
        <w:t>條</w:t>
      </w:r>
      <w:r>
        <w:rPr>
          <w:rFonts w:hint="eastAsia"/>
        </w:rPr>
        <w:t>規定：「</w:t>
      </w:r>
      <w:r w:rsidRPr="003D74C1">
        <w:rPr>
          <w:rFonts w:hint="eastAsia"/>
        </w:rPr>
        <w:t>中央目的事業主管機關依本法第</w:t>
      </w:r>
      <w:r>
        <w:rPr>
          <w:rFonts w:hint="eastAsia"/>
        </w:rPr>
        <w:t>1</w:t>
      </w:r>
      <w:r>
        <w:t>1</w:t>
      </w:r>
      <w:r w:rsidRPr="003D74C1">
        <w:rPr>
          <w:rFonts w:hint="eastAsia"/>
        </w:rPr>
        <w:t>條規定訂修所屬部門溫室氣體減量行動方案（以下簡稱部門行動方案），應於各期階段管制目標核定後</w:t>
      </w:r>
      <w:r>
        <w:rPr>
          <w:rFonts w:hint="eastAsia"/>
        </w:rPr>
        <w:t>6</w:t>
      </w:r>
      <w:r w:rsidRPr="003D74C1">
        <w:rPr>
          <w:rFonts w:hint="eastAsia"/>
        </w:rPr>
        <w:t>個月內，送中央主管機關報請行政院核定後公開之。</w:t>
      </w:r>
      <w:r>
        <w:rPr>
          <w:rFonts w:hint="eastAsia"/>
        </w:rPr>
        <w:t>…</w:t>
      </w:r>
      <w:r w:rsidRPr="009C5222">
        <w:rPr>
          <w:rFonts w:hint="eastAsia"/>
        </w:rPr>
        <w:t>。</w:t>
      </w:r>
      <w:r>
        <w:rPr>
          <w:rFonts w:hint="eastAsia"/>
        </w:rPr>
        <w:t>」</w:t>
      </w:r>
    </w:p>
  </w:footnote>
  <w:footnote w:id="2">
    <w:p w:rsidR="008E2CC5" w:rsidRDefault="008E2CC5" w:rsidP="00FA6370">
      <w:pPr>
        <w:pStyle w:val="142"/>
        <w:ind w:left="122" w:hangingChars="50" w:hanging="122"/>
        <w:jc w:val="both"/>
        <w:rPr>
          <w:rFonts w:hint="eastAsia"/>
        </w:rPr>
      </w:pPr>
      <w:r>
        <w:rPr>
          <w:rStyle w:val="af6"/>
        </w:rPr>
        <w:footnoteRef/>
      </w:r>
      <w:r w:rsidRPr="007208DF">
        <w:rPr>
          <w:rFonts w:hint="eastAsia"/>
        </w:rPr>
        <w:t>第</w:t>
      </w:r>
      <w:r>
        <w:rPr>
          <w:rFonts w:hint="eastAsia"/>
        </w:rPr>
        <w:t>1</w:t>
      </w:r>
      <w:r w:rsidRPr="007208DF">
        <w:rPr>
          <w:rFonts w:hint="eastAsia"/>
        </w:rPr>
        <w:t>期運輸部門溫室氣體排放管制行動方案</w:t>
      </w:r>
      <w:r>
        <w:rPr>
          <w:rFonts w:hint="eastAsia"/>
        </w:rPr>
        <w:t>之執行期間1</w:t>
      </w:r>
      <w:r>
        <w:t>07</w:t>
      </w:r>
      <w:r>
        <w:rPr>
          <w:rFonts w:hint="eastAsia"/>
        </w:rPr>
        <w:t>至1</w:t>
      </w:r>
      <w:r>
        <w:t>09</w:t>
      </w:r>
      <w:r>
        <w:rPr>
          <w:rFonts w:hint="eastAsia"/>
        </w:rPr>
        <w:t>年度，</w:t>
      </w:r>
      <w:r w:rsidRPr="007208DF">
        <w:rPr>
          <w:rFonts w:hint="eastAsia"/>
        </w:rPr>
        <w:t>第</w:t>
      </w:r>
      <w:r>
        <w:rPr>
          <w:rFonts w:hint="eastAsia"/>
        </w:rPr>
        <w:t>2</w:t>
      </w:r>
      <w:r w:rsidRPr="007208DF">
        <w:rPr>
          <w:rFonts w:hint="eastAsia"/>
        </w:rPr>
        <w:t>期運輸部門溫室氣體排放管制行動方案</w:t>
      </w:r>
      <w:r>
        <w:rPr>
          <w:rFonts w:hint="eastAsia"/>
        </w:rPr>
        <w:t>1</w:t>
      </w:r>
      <w:r>
        <w:t>11</w:t>
      </w:r>
      <w:r>
        <w:rPr>
          <w:rFonts w:hint="eastAsia"/>
        </w:rPr>
        <w:t>年9月獲行政院核定。</w:t>
      </w:r>
    </w:p>
  </w:footnote>
  <w:footnote w:id="3">
    <w:p w:rsidR="008E2CC5" w:rsidRDefault="008E2CC5" w:rsidP="00FA6370">
      <w:pPr>
        <w:pStyle w:val="142"/>
        <w:ind w:left="122" w:hangingChars="50" w:hanging="122"/>
        <w:jc w:val="both"/>
        <w:rPr>
          <w:rFonts w:hint="eastAsia"/>
        </w:rPr>
      </w:pPr>
      <w:r>
        <w:rPr>
          <w:rStyle w:val="af6"/>
        </w:rPr>
        <w:footnoteRef/>
      </w:r>
      <w:r w:rsidRPr="00FC0C8B">
        <w:rPr>
          <w:rFonts w:hint="eastAsia"/>
        </w:rPr>
        <w:t>依據第2期運輸部門溫室氣體排放管制行動方案(110年至114年)第14-15頁，111年9月核定本</w:t>
      </w:r>
      <w:r>
        <w:rPr>
          <w:rFonts w:hint="eastAsia"/>
        </w:rPr>
        <w:t>。</w:t>
      </w:r>
    </w:p>
  </w:footnote>
  <w:footnote w:id="4">
    <w:p w:rsidR="008E2CC5" w:rsidRDefault="008E2CC5" w:rsidP="00FA6370">
      <w:pPr>
        <w:pStyle w:val="142"/>
        <w:ind w:left="73" w:hangingChars="30" w:hanging="73"/>
        <w:jc w:val="both"/>
        <w:rPr>
          <w:rFonts w:hint="eastAsia"/>
        </w:rPr>
      </w:pPr>
      <w:r>
        <w:rPr>
          <w:rStyle w:val="af6"/>
        </w:rPr>
        <w:footnoteRef/>
      </w:r>
      <w:r w:rsidRPr="00A73D3F">
        <w:t>232,216,800</w:t>
      </w:r>
      <w:r>
        <w:rPr>
          <w:rFonts w:hint="eastAsia"/>
        </w:rPr>
        <w:t>人次＊1</w:t>
      </w:r>
      <w:r>
        <w:t>03.5%=240,344,388</w:t>
      </w:r>
      <w:r>
        <w:rPr>
          <w:rFonts w:hint="eastAsia"/>
        </w:rPr>
        <w:t>人次。</w:t>
      </w:r>
    </w:p>
  </w:footnote>
  <w:footnote w:id="5">
    <w:p w:rsidR="008E2CC5" w:rsidRPr="00C023BE" w:rsidRDefault="008E2CC5" w:rsidP="00C023BE">
      <w:pPr>
        <w:pStyle w:val="142"/>
        <w:ind w:left="73" w:hangingChars="30" w:hanging="73"/>
        <w:jc w:val="both"/>
        <w:rPr>
          <w:rFonts w:hint="eastAsia"/>
        </w:rPr>
      </w:pPr>
      <w:r>
        <w:rPr>
          <w:rStyle w:val="af6"/>
        </w:rPr>
        <w:footnoteRef/>
      </w:r>
      <w:r>
        <w:t>175,785,583</w:t>
      </w:r>
      <w:r>
        <w:rPr>
          <w:rFonts w:hint="eastAsia"/>
        </w:rPr>
        <w:t>人次</w:t>
      </w:r>
      <w:r>
        <w:t>/9</w:t>
      </w:r>
      <w:r>
        <w:rPr>
          <w:rFonts w:hint="eastAsia"/>
        </w:rPr>
        <w:t>個月*</w:t>
      </w:r>
      <w:r>
        <w:t>12</w:t>
      </w:r>
      <w:r>
        <w:rPr>
          <w:rFonts w:hint="eastAsia"/>
        </w:rPr>
        <w:t>個月</w:t>
      </w:r>
      <w:r>
        <w:t>=234,380,777</w:t>
      </w:r>
      <w:r>
        <w:rPr>
          <w:rFonts w:hint="eastAsia"/>
        </w:rPr>
        <w:t>人次</w:t>
      </w:r>
      <w:r w:rsidR="0099586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8AA"/>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9AAEAFD-043D-4B90-B374-A056F21D4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88719-1F8B-4B93-9674-E6D2B7F85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266</Words>
  <Characters>1517</Characters>
  <Application>Microsoft Office Word</Application>
  <DocSecurity>0</DocSecurity>
  <Lines>12</Lines>
  <Paragraphs>3</Paragraphs>
  <ScaleCrop>false</ScaleCrop>
  <Company/>
  <LinksUpToDate>false</LinksUpToDate>
  <CharactersWithSpaces>1780</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