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352" w:rsidRPr="00663DE1" w:rsidRDefault="00072352" w:rsidP="001D3692">
      <w:pPr>
        <w:pStyle w:val="a9"/>
        <w:rPr>
          <w:color w:val="000000"/>
          <w:spacing w:val="-12"/>
        </w:rPr>
      </w:pPr>
      <w:bookmarkStart w:id="0" w:name="_GoBack"/>
      <w:bookmarkEnd w:id="0"/>
      <w:r w:rsidRPr="00663DE1">
        <w:rPr>
          <w:rFonts w:hint="eastAsia"/>
          <w:color w:val="000000"/>
          <w:spacing w:val="-12"/>
        </w:rPr>
        <w:t>財團法人公共電視文化事業基金會</w:t>
      </w:r>
      <w:r w:rsidR="00654E17" w:rsidRPr="00663DE1">
        <w:rPr>
          <w:rFonts w:hint="eastAsia"/>
          <w:color w:val="000000"/>
          <w:spacing w:val="-12"/>
        </w:rPr>
        <w:t>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p>
    <w:p w:rsidR="009135F3" w:rsidRPr="00663DE1" w:rsidRDefault="00266E9C" w:rsidP="00072352">
      <w:pPr>
        <w:adjustRightInd w:val="0"/>
        <w:ind w:leftChars="0" w:left="0" w:firstLine="566"/>
        <w:rPr>
          <w:color w:val="000000"/>
        </w:rPr>
      </w:pPr>
      <w:r w:rsidRPr="00663DE1">
        <w:rPr>
          <w:rFonts w:hint="eastAsia"/>
          <w:color w:val="000000"/>
        </w:rPr>
        <w:t>財團法人公共電視文化事業基金會(簡稱公視基金會)11</w:t>
      </w:r>
      <w:r w:rsidR="00F46137" w:rsidRPr="00663DE1">
        <w:rPr>
          <w:rFonts w:hint="eastAsia"/>
          <w:color w:val="000000"/>
        </w:rPr>
        <w:t>4</w:t>
      </w:r>
      <w:r w:rsidRPr="00663DE1">
        <w:rPr>
          <w:rFonts w:hint="eastAsia"/>
          <w:color w:val="000000"/>
        </w:rPr>
        <w:t>年度預算案收入合計</w:t>
      </w:r>
      <w:r w:rsidR="00F46137" w:rsidRPr="00663DE1">
        <w:rPr>
          <w:rFonts w:hint="eastAsia"/>
          <w:color w:val="000000"/>
        </w:rPr>
        <w:t>42</w:t>
      </w:r>
      <w:r w:rsidRPr="00663DE1">
        <w:rPr>
          <w:rFonts w:hint="eastAsia"/>
          <w:color w:val="000000"/>
        </w:rPr>
        <w:t>億</w:t>
      </w:r>
      <w:r w:rsidR="00F46137" w:rsidRPr="00663DE1">
        <w:rPr>
          <w:rFonts w:hint="eastAsia"/>
          <w:color w:val="000000"/>
        </w:rPr>
        <w:t>5</w:t>
      </w:r>
      <w:r w:rsidRPr="00663DE1">
        <w:rPr>
          <w:rFonts w:hint="eastAsia"/>
          <w:color w:val="000000"/>
        </w:rPr>
        <w:t>,4</w:t>
      </w:r>
      <w:r w:rsidR="00F46137" w:rsidRPr="00663DE1">
        <w:rPr>
          <w:rFonts w:hint="eastAsia"/>
          <w:color w:val="000000"/>
        </w:rPr>
        <w:t>11</w:t>
      </w:r>
      <w:r w:rsidRPr="00663DE1">
        <w:rPr>
          <w:rFonts w:hint="eastAsia"/>
          <w:color w:val="000000"/>
        </w:rPr>
        <w:t>萬</w:t>
      </w:r>
      <w:r w:rsidR="00F46137" w:rsidRPr="00663DE1">
        <w:rPr>
          <w:rFonts w:hint="eastAsia"/>
          <w:color w:val="000000"/>
        </w:rPr>
        <w:t>1</w:t>
      </w:r>
      <w:r w:rsidRPr="00663DE1">
        <w:rPr>
          <w:rFonts w:hint="eastAsia"/>
          <w:color w:val="000000"/>
        </w:rPr>
        <w:t>千元</w:t>
      </w:r>
      <w:r w:rsidRPr="00663DE1">
        <w:rPr>
          <w:rFonts w:hAnsi="標楷體" w:hint="eastAsia"/>
          <w:color w:val="000000"/>
        </w:rPr>
        <w:t>、</w:t>
      </w:r>
      <w:r w:rsidRPr="00663DE1">
        <w:rPr>
          <w:rFonts w:hint="eastAsia"/>
          <w:color w:val="000000"/>
        </w:rPr>
        <w:t>支出合計</w:t>
      </w:r>
      <w:r w:rsidR="00F46137" w:rsidRPr="00663DE1">
        <w:rPr>
          <w:rFonts w:hint="eastAsia"/>
          <w:color w:val="000000"/>
        </w:rPr>
        <w:t>44</w:t>
      </w:r>
      <w:r w:rsidRPr="00663DE1">
        <w:rPr>
          <w:rFonts w:hint="eastAsia"/>
          <w:color w:val="000000"/>
        </w:rPr>
        <w:t>億</w:t>
      </w:r>
      <w:r w:rsidR="00F46137" w:rsidRPr="00663DE1">
        <w:rPr>
          <w:rFonts w:hint="eastAsia"/>
          <w:color w:val="000000"/>
        </w:rPr>
        <w:t>6</w:t>
      </w:r>
      <w:r w:rsidRPr="00663DE1">
        <w:rPr>
          <w:rFonts w:hint="eastAsia"/>
          <w:color w:val="000000"/>
        </w:rPr>
        <w:t>,</w:t>
      </w:r>
      <w:r w:rsidR="00F46137" w:rsidRPr="00663DE1">
        <w:rPr>
          <w:rFonts w:hint="eastAsia"/>
          <w:color w:val="000000"/>
        </w:rPr>
        <w:t>933</w:t>
      </w:r>
      <w:r w:rsidRPr="00663DE1">
        <w:rPr>
          <w:rFonts w:hint="eastAsia"/>
          <w:color w:val="000000"/>
        </w:rPr>
        <w:t>萬</w:t>
      </w:r>
      <w:r w:rsidR="003D608F" w:rsidRPr="00663DE1">
        <w:rPr>
          <w:rFonts w:hint="eastAsia"/>
          <w:color w:val="000000"/>
        </w:rPr>
        <w:t>4千</w:t>
      </w:r>
      <w:r w:rsidRPr="00663DE1">
        <w:rPr>
          <w:rFonts w:hint="eastAsia"/>
          <w:color w:val="000000"/>
        </w:rPr>
        <w:t>元</w:t>
      </w:r>
      <w:r w:rsidR="00121328" w:rsidRPr="00663DE1">
        <w:rPr>
          <w:rFonts w:hint="eastAsia"/>
          <w:color w:val="000000"/>
        </w:rPr>
        <w:t>，</w:t>
      </w:r>
      <w:r w:rsidRPr="00663DE1">
        <w:rPr>
          <w:rFonts w:hAnsi="標楷體" w:hint="eastAsia"/>
          <w:color w:val="000000"/>
        </w:rPr>
        <w:t>收支相抵後</w:t>
      </w:r>
      <w:r w:rsidRPr="00663DE1">
        <w:rPr>
          <w:rFonts w:hint="eastAsia"/>
          <w:color w:val="000000"/>
        </w:rPr>
        <w:t>短絀2億</w:t>
      </w:r>
      <w:r w:rsidR="00F46137" w:rsidRPr="00663DE1">
        <w:rPr>
          <w:rFonts w:hint="eastAsia"/>
          <w:color w:val="000000"/>
        </w:rPr>
        <w:t>1</w:t>
      </w:r>
      <w:r w:rsidRPr="00663DE1">
        <w:rPr>
          <w:rFonts w:hint="eastAsia"/>
          <w:color w:val="000000"/>
        </w:rPr>
        <w:t>,</w:t>
      </w:r>
      <w:r w:rsidR="003D608F" w:rsidRPr="00663DE1">
        <w:rPr>
          <w:rFonts w:hint="eastAsia"/>
          <w:color w:val="000000"/>
        </w:rPr>
        <w:t>5</w:t>
      </w:r>
      <w:r w:rsidR="00F46137" w:rsidRPr="00663DE1">
        <w:rPr>
          <w:rFonts w:hint="eastAsia"/>
          <w:color w:val="000000"/>
        </w:rPr>
        <w:t>22</w:t>
      </w:r>
      <w:r w:rsidRPr="00663DE1">
        <w:rPr>
          <w:rFonts w:hint="eastAsia"/>
          <w:color w:val="000000"/>
        </w:rPr>
        <w:t>萬</w:t>
      </w:r>
      <w:r w:rsidR="00F46137" w:rsidRPr="00663DE1">
        <w:rPr>
          <w:rFonts w:hint="eastAsia"/>
          <w:color w:val="000000"/>
        </w:rPr>
        <w:t>3千</w:t>
      </w:r>
      <w:r w:rsidRPr="00663DE1">
        <w:rPr>
          <w:rFonts w:hint="eastAsia"/>
          <w:color w:val="000000"/>
        </w:rPr>
        <w:t>元，較11</w:t>
      </w:r>
      <w:r w:rsidR="00F46137" w:rsidRPr="00663DE1">
        <w:rPr>
          <w:rFonts w:hint="eastAsia"/>
          <w:color w:val="000000"/>
        </w:rPr>
        <w:t>3</w:t>
      </w:r>
      <w:r w:rsidRPr="00663DE1">
        <w:rPr>
          <w:rFonts w:hint="eastAsia"/>
          <w:color w:val="000000"/>
        </w:rPr>
        <w:t>年度預算減少短絀</w:t>
      </w:r>
      <w:r w:rsidR="00F46137" w:rsidRPr="00663DE1">
        <w:rPr>
          <w:rFonts w:hint="eastAsia"/>
          <w:color w:val="000000"/>
        </w:rPr>
        <w:t>1</w:t>
      </w:r>
      <w:r w:rsidRPr="00663DE1">
        <w:rPr>
          <w:rFonts w:hint="eastAsia"/>
          <w:color w:val="000000"/>
        </w:rPr>
        <w:t>,</w:t>
      </w:r>
      <w:r w:rsidR="00F46137" w:rsidRPr="00663DE1">
        <w:rPr>
          <w:rFonts w:hint="eastAsia"/>
          <w:color w:val="000000"/>
        </w:rPr>
        <w:t>032</w:t>
      </w:r>
      <w:r w:rsidRPr="00663DE1">
        <w:rPr>
          <w:rFonts w:hint="eastAsia"/>
          <w:color w:val="000000"/>
        </w:rPr>
        <w:t>萬</w:t>
      </w:r>
      <w:r w:rsidR="00F46137" w:rsidRPr="00663DE1">
        <w:rPr>
          <w:rFonts w:hint="eastAsia"/>
          <w:color w:val="000000"/>
        </w:rPr>
        <w:t>7</w:t>
      </w:r>
      <w:r w:rsidRPr="00663DE1">
        <w:rPr>
          <w:rFonts w:hint="eastAsia"/>
          <w:color w:val="000000"/>
        </w:rPr>
        <w:t>千元</w:t>
      </w:r>
      <w:r w:rsidR="00F46137" w:rsidRPr="00663DE1">
        <w:rPr>
          <w:rFonts w:hint="eastAsia"/>
          <w:color w:val="000000"/>
        </w:rPr>
        <w:t>，減幅4.58%</w:t>
      </w:r>
      <w:r w:rsidRPr="00663DE1">
        <w:rPr>
          <w:rFonts w:hint="eastAsia"/>
          <w:color w:val="000000"/>
        </w:rPr>
        <w:t>。謹就公視基金會11</w:t>
      </w:r>
      <w:r w:rsidR="00F46137" w:rsidRPr="00663DE1">
        <w:rPr>
          <w:rFonts w:hint="eastAsia"/>
          <w:color w:val="000000"/>
        </w:rPr>
        <w:t>4</w:t>
      </w:r>
      <w:r w:rsidRPr="00663DE1">
        <w:rPr>
          <w:rFonts w:hint="eastAsia"/>
          <w:color w:val="000000"/>
        </w:rPr>
        <w:t>年度預算案評估如下：</w:t>
      </w:r>
    </w:p>
    <w:p w:rsidR="001B3614" w:rsidRPr="00E515EA" w:rsidRDefault="00711803" w:rsidP="000D4C99">
      <w:pPr>
        <w:pStyle w:val="14"/>
        <w:spacing w:beforeLines="100" w:before="500"/>
        <w:ind w:left="567" w:hanging="567"/>
      </w:pPr>
      <w:bookmarkStart w:id="1" w:name="_Toc181784896"/>
      <w:r>
        <w:rPr>
          <w:rFonts w:hint="eastAsia"/>
        </w:rPr>
        <w:t>二</w:t>
      </w:r>
      <w:r w:rsidR="001B3614" w:rsidRPr="00E515EA">
        <w:rPr>
          <w:rFonts w:hint="eastAsia"/>
        </w:rPr>
        <w:t>、台語台收視率相較公視主頻道仍有精進空間，允宜</w:t>
      </w:r>
      <w:r w:rsidR="002B6D2A">
        <w:rPr>
          <w:rFonts w:hint="eastAsia"/>
        </w:rPr>
        <w:t>積極提升並</w:t>
      </w:r>
      <w:r w:rsidR="001B3614" w:rsidRPr="00E515EA">
        <w:rPr>
          <w:rFonts w:hint="eastAsia"/>
        </w:rPr>
        <w:t>納為績效指標，</w:t>
      </w:r>
      <w:r w:rsidR="002B6D2A">
        <w:rPr>
          <w:rFonts w:hint="eastAsia"/>
        </w:rPr>
        <w:t>以</w:t>
      </w:r>
      <w:r w:rsidR="001B3614">
        <w:rPr>
          <w:rFonts w:hint="eastAsia"/>
        </w:rPr>
        <w:t>利</w:t>
      </w:r>
      <w:r w:rsidR="001B3614" w:rsidRPr="008A16DB">
        <w:rPr>
          <w:rFonts w:hAnsi="標楷體" w:hint="eastAsia"/>
          <w:color w:val="000000"/>
        </w:rPr>
        <w:t>促進國家語言發展</w:t>
      </w:r>
      <w:bookmarkEnd w:id="1"/>
    </w:p>
    <w:p w:rsidR="001B3614" w:rsidRPr="00CB0C5F" w:rsidRDefault="001B3614" w:rsidP="001B3614">
      <w:pPr>
        <w:ind w:left="566" w:firstLine="566"/>
        <w:rPr>
          <w:color w:val="000000"/>
        </w:rPr>
      </w:pPr>
      <w:r w:rsidRPr="00CB0C5F">
        <w:rPr>
          <w:rFonts w:hint="eastAsia"/>
          <w:color w:val="000000"/>
        </w:rPr>
        <w:t>公視基金會114年度預算案編列</w:t>
      </w:r>
      <w:r>
        <w:rPr>
          <w:rFonts w:hint="eastAsia"/>
          <w:color w:val="000000"/>
        </w:rPr>
        <w:t>「</w:t>
      </w:r>
      <w:r w:rsidRPr="00CB0C5F">
        <w:rPr>
          <w:rFonts w:hint="eastAsia"/>
          <w:color w:val="000000"/>
        </w:rPr>
        <w:t>政府補助基本營運收入</w:t>
      </w:r>
      <w:r>
        <w:rPr>
          <w:rFonts w:hint="eastAsia"/>
          <w:color w:val="000000"/>
        </w:rPr>
        <w:t>-政府捐贈」</w:t>
      </w:r>
      <w:r w:rsidRPr="00CB0C5F">
        <w:rPr>
          <w:rFonts w:hint="eastAsia"/>
          <w:color w:val="000000"/>
        </w:rPr>
        <w:t>2</w:t>
      </w:r>
      <w:r>
        <w:rPr>
          <w:rFonts w:hint="eastAsia"/>
          <w:color w:val="000000"/>
        </w:rPr>
        <w:t>8</w:t>
      </w:r>
      <w:r w:rsidRPr="00CB0C5F">
        <w:rPr>
          <w:rFonts w:hint="eastAsia"/>
          <w:color w:val="000000"/>
        </w:rPr>
        <w:t>億</w:t>
      </w:r>
      <w:r>
        <w:rPr>
          <w:rFonts w:hint="eastAsia"/>
          <w:color w:val="000000"/>
        </w:rPr>
        <w:t>8</w:t>
      </w:r>
      <w:r w:rsidRPr="00CB0C5F">
        <w:rPr>
          <w:rFonts w:hint="eastAsia"/>
          <w:color w:val="000000"/>
        </w:rPr>
        <w:t>,</w:t>
      </w:r>
      <w:r>
        <w:rPr>
          <w:rFonts w:hint="eastAsia"/>
          <w:color w:val="000000"/>
        </w:rPr>
        <w:t>305</w:t>
      </w:r>
      <w:r w:rsidRPr="00CB0C5F">
        <w:rPr>
          <w:rFonts w:hint="eastAsia"/>
          <w:color w:val="000000"/>
        </w:rPr>
        <w:t>萬</w:t>
      </w:r>
      <w:r>
        <w:rPr>
          <w:rFonts w:hint="eastAsia"/>
          <w:color w:val="000000"/>
        </w:rPr>
        <w:t>1</w:t>
      </w:r>
      <w:r w:rsidRPr="00CB0C5F">
        <w:rPr>
          <w:rFonts w:hint="eastAsia"/>
          <w:color w:val="000000"/>
        </w:rPr>
        <w:t>千元，其中文化部捐贈台語台營運收入7億9,605萬1千元</w:t>
      </w:r>
      <w:r>
        <w:rPr>
          <w:rStyle w:val="af5"/>
          <w:color w:val="000000"/>
        </w:rPr>
        <w:footnoteReference w:id="1"/>
      </w:r>
      <w:r w:rsidRPr="00CB0C5F">
        <w:rPr>
          <w:rFonts w:hint="eastAsia"/>
          <w:color w:val="000000"/>
        </w:rPr>
        <w:t>。茲說明如下：</w:t>
      </w:r>
    </w:p>
    <w:p w:rsidR="001B3614" w:rsidRPr="00DA208E" w:rsidRDefault="001B3614" w:rsidP="001B3614">
      <w:pPr>
        <w:pStyle w:val="a4"/>
        <w:ind w:left="849" w:hanging="283"/>
        <w:rPr>
          <w:b/>
          <w:color w:val="000000"/>
        </w:rPr>
      </w:pPr>
      <w:r w:rsidRPr="00DA208E">
        <w:rPr>
          <w:rFonts w:hint="eastAsia"/>
          <w:b/>
          <w:color w:val="000000"/>
        </w:rPr>
        <w:t>(一)國家語言發展法及公共電視法</w:t>
      </w:r>
      <w:r w:rsidRPr="00DA208E">
        <w:rPr>
          <w:rFonts w:hint="eastAsia"/>
          <w:b/>
        </w:rPr>
        <w:t>確立公視台語台之法源與位階，</w:t>
      </w:r>
      <w:r w:rsidRPr="00DA208E">
        <w:rPr>
          <w:rFonts w:hAnsi="標楷體" w:hint="eastAsia"/>
          <w:b/>
        </w:rPr>
        <w:t>並保障其經費之穩定</w:t>
      </w:r>
    </w:p>
    <w:p w:rsidR="001B3614" w:rsidRDefault="001B3614" w:rsidP="001B3614">
      <w:pPr>
        <w:pStyle w:val="21"/>
        <w:ind w:left="850" w:firstLine="566"/>
        <w:rPr>
          <w:rFonts w:hAnsi="標楷體"/>
        </w:rPr>
      </w:pPr>
      <w:r>
        <w:rPr>
          <w:rFonts w:hint="eastAsia"/>
        </w:rPr>
        <w:t>按108年1月公布施行之國家語言發展法第1條第1項</w:t>
      </w:r>
      <w:r>
        <w:rPr>
          <w:rStyle w:val="af5"/>
        </w:rPr>
        <w:footnoteReference w:id="2"/>
      </w:r>
      <w:r>
        <w:rPr>
          <w:rFonts w:hint="eastAsia"/>
        </w:rPr>
        <w:t>明定</w:t>
      </w:r>
      <w:r w:rsidR="002B6D2A">
        <w:rPr>
          <w:rFonts w:hint="eastAsia"/>
        </w:rPr>
        <w:t>，</w:t>
      </w:r>
      <w:r>
        <w:rPr>
          <w:rFonts w:hint="eastAsia"/>
        </w:rPr>
        <w:t>該法宗旨為</w:t>
      </w:r>
      <w:r w:rsidRPr="00CA7D5E">
        <w:rPr>
          <w:rFonts w:hint="eastAsia"/>
        </w:rPr>
        <w:t>尊重國家多元文化之精神，促進國家語言之傳承、復振及發展</w:t>
      </w:r>
      <w:r>
        <w:rPr>
          <w:rFonts w:hint="eastAsia"/>
        </w:rPr>
        <w:t>，同法第13條第2項規定：「</w:t>
      </w:r>
      <w:r w:rsidRPr="00B806B3">
        <w:rPr>
          <w:rFonts w:hint="eastAsia"/>
        </w:rPr>
        <w:t>政府捐助從事傳播之財團法人應提供國家語言多元服務，並得設立國家語言廣播、電視專屬頻道及各種形式通訊傳播服務。</w:t>
      </w:r>
      <w:r>
        <w:rPr>
          <w:rFonts w:hint="eastAsia"/>
        </w:rPr>
        <w:t>」另112年6月修正公布之公共電視法第10條第1項規定：</w:t>
      </w:r>
      <w:r w:rsidRPr="0096361B">
        <w:rPr>
          <w:rFonts w:hint="eastAsia"/>
        </w:rPr>
        <w:t>「</w:t>
      </w:r>
      <w:r w:rsidR="002B6D2A">
        <w:rPr>
          <w:rFonts w:hint="eastAsia"/>
        </w:rPr>
        <w:t>公視基金會之業務如下：…三、多元族群及區域需求之傳播服務。…」同條第2項規定：</w:t>
      </w:r>
      <w:r w:rsidRPr="0096361B">
        <w:rPr>
          <w:rFonts w:hint="eastAsia"/>
        </w:rPr>
        <w:t>「公視基金會設立專屬頻道辦理前項第三款及第四款業務，應保障經費及專款專用。」</w:t>
      </w:r>
      <w:r>
        <w:rPr>
          <w:rFonts w:hint="eastAsia"/>
        </w:rPr>
        <w:t>揆諸前述，</w:t>
      </w:r>
      <w:r>
        <w:rPr>
          <w:rFonts w:hAnsi="標楷體" w:hint="eastAsia"/>
        </w:rPr>
        <w:t>國家語言發展法明定公視應提供國家語言多元服務，而公共電視法</w:t>
      </w:r>
      <w:r>
        <w:rPr>
          <w:rFonts w:hint="eastAsia"/>
        </w:rPr>
        <w:t>確立公視台語台之法源與位階，</w:t>
      </w:r>
      <w:r>
        <w:rPr>
          <w:rFonts w:hAnsi="標楷體" w:hint="eastAsia"/>
        </w:rPr>
        <w:t>並保障其經費之穩定。</w:t>
      </w:r>
    </w:p>
    <w:p w:rsidR="001B3614" w:rsidRDefault="001B3614" w:rsidP="001B3614">
      <w:pPr>
        <w:pStyle w:val="a4"/>
        <w:ind w:left="849" w:hanging="283"/>
        <w:rPr>
          <w:rFonts w:hAnsi="標楷體"/>
          <w:b/>
        </w:rPr>
      </w:pPr>
      <w:r w:rsidRPr="00DA208E">
        <w:rPr>
          <w:rFonts w:hint="eastAsia"/>
          <w:b/>
          <w:color w:val="000000"/>
        </w:rPr>
        <w:lastRenderedPageBreak/>
        <w:t>(</w:t>
      </w:r>
      <w:r>
        <w:rPr>
          <w:rFonts w:hint="eastAsia"/>
          <w:b/>
          <w:color w:val="000000"/>
        </w:rPr>
        <w:t>二</w:t>
      </w:r>
      <w:r w:rsidRPr="00DA208E">
        <w:rPr>
          <w:rFonts w:hint="eastAsia"/>
          <w:b/>
          <w:color w:val="000000"/>
        </w:rPr>
        <w:t>)</w:t>
      </w:r>
      <w:r>
        <w:rPr>
          <w:rFonts w:hint="eastAsia"/>
          <w:b/>
          <w:color w:val="000000"/>
        </w:rPr>
        <w:t>109年度至113年7月底台語台收視率由0.12%概增至0.17%，相較公視主頻道，仍有精進空間</w:t>
      </w:r>
      <w:r>
        <w:rPr>
          <w:rFonts w:hAnsi="標楷體"/>
          <w:b/>
        </w:rPr>
        <w:t xml:space="preserve"> </w:t>
      </w:r>
    </w:p>
    <w:p w:rsidR="001B3614" w:rsidRDefault="001B3614" w:rsidP="001B3614">
      <w:pPr>
        <w:pStyle w:val="123"/>
        <w:ind w:left="1133" w:hanging="283"/>
      </w:pPr>
      <w:r>
        <w:rPr>
          <w:rFonts w:hint="eastAsia"/>
        </w:rPr>
        <w:t>1.據公視基金會提供資料顯示，台語台於108年7月正式開播，其收視率</w:t>
      </w:r>
      <w:r w:rsidR="003C4217">
        <w:rPr>
          <w:rFonts w:hint="eastAsia"/>
        </w:rPr>
        <w:t>雖</w:t>
      </w:r>
      <w:r>
        <w:rPr>
          <w:rFonts w:hint="eastAsia"/>
        </w:rPr>
        <w:t>由109年度之0.12%概呈增加至113年7月底之0.17%，惟相較公視主頻道</w:t>
      </w:r>
      <w:r w:rsidR="002B6D2A">
        <w:rPr>
          <w:rFonts w:hint="eastAsia"/>
        </w:rPr>
        <w:t>最低</w:t>
      </w:r>
      <w:r>
        <w:rPr>
          <w:rFonts w:hint="eastAsia"/>
        </w:rPr>
        <w:t>收視率0.21%(詳表1)，顯示台語台收視率尚有提升空間。</w:t>
      </w:r>
    </w:p>
    <w:p w:rsidR="001B3614" w:rsidRDefault="001B3614" w:rsidP="001B3614">
      <w:pPr>
        <w:pStyle w:val="123"/>
        <w:ind w:left="1133" w:hanging="283"/>
      </w:pPr>
      <w:r>
        <w:rPr>
          <w:rFonts w:hint="eastAsia"/>
        </w:rPr>
        <w:t>2.詢據文化部及公視提供資料略以，文化部補捐助公視台語台之中長程計畫</w:t>
      </w:r>
      <w:r>
        <w:rPr>
          <w:rStyle w:val="af5"/>
        </w:rPr>
        <w:footnoteReference w:id="3"/>
      </w:r>
      <w:r>
        <w:rPr>
          <w:rFonts w:hint="eastAsia"/>
        </w:rPr>
        <w:t>所訂績效指標包括製播台語節目時數、規劃發展臺灣IP輸出國際件數、戲劇合資合製件數、戲劇原創內容開發件數、影音社群平台觸達數、Y</w:t>
      </w:r>
      <w:r>
        <w:t>ou</w:t>
      </w:r>
      <w:r>
        <w:rPr>
          <w:rFonts w:hint="eastAsia"/>
        </w:rPr>
        <w:t>T</w:t>
      </w:r>
      <w:r>
        <w:t>ube</w:t>
      </w:r>
      <w:r>
        <w:rPr>
          <w:rFonts w:hint="eastAsia"/>
        </w:rPr>
        <w:t>訂閱數、台語專業人才培訓時數及參訓人次，惟未將台語台收視率納為績效指標評估標準。</w:t>
      </w:r>
      <w:r>
        <w:rPr>
          <w:rFonts w:hAnsi="標楷體" w:hint="eastAsia"/>
        </w:rPr>
        <w:t>為激勵提升台語台節目之收視率，以利達成促進國家語言發展之目標，允宜將台語台收視率納為績效指標，並</w:t>
      </w:r>
      <w:r w:rsidRPr="001E414C">
        <w:rPr>
          <w:rFonts w:hint="eastAsia"/>
        </w:rPr>
        <w:t>作為研訂節目宣導或內容強化方案之參據。</w:t>
      </w:r>
    </w:p>
    <w:p w:rsidR="001B3614" w:rsidRPr="007D5935" w:rsidRDefault="001B3614" w:rsidP="004603EC">
      <w:pPr>
        <w:adjustRightInd w:val="0"/>
        <w:spacing w:beforeLines="30" w:before="150" w:line="360" w:lineRule="exact"/>
        <w:ind w:leftChars="0" w:left="1134" w:hangingChars="400" w:hanging="1134"/>
        <w:jc w:val="left"/>
        <w:rPr>
          <w:b/>
          <w:color w:val="000000"/>
        </w:rPr>
      </w:pPr>
      <w:r w:rsidRPr="007D5935">
        <w:rPr>
          <w:rFonts w:hint="eastAsia"/>
          <w:b/>
          <w:color w:val="000000"/>
        </w:rPr>
        <w:t xml:space="preserve">表1  </w:t>
      </w:r>
      <w:r w:rsidRPr="007D5935">
        <w:rPr>
          <w:rFonts w:hAnsi="標楷體" w:hint="eastAsia"/>
          <w:b/>
        </w:rPr>
        <w:t>10</w:t>
      </w:r>
      <w:r>
        <w:rPr>
          <w:rFonts w:hAnsi="標楷體" w:hint="eastAsia"/>
          <w:b/>
        </w:rPr>
        <w:t>9</w:t>
      </w:r>
      <w:r w:rsidRPr="007D5935">
        <w:rPr>
          <w:rFonts w:hAnsi="標楷體" w:hint="eastAsia"/>
          <w:b/>
        </w:rPr>
        <w:t>至113年7月底公視及台語頻道首播時段收視統計</w:t>
      </w:r>
      <w:r w:rsidRPr="007D5935">
        <w:rPr>
          <w:rFonts w:hint="eastAsia"/>
          <w:b/>
          <w:color w:val="000000"/>
        </w:rPr>
        <w:t xml:space="preserve">表  </w:t>
      </w:r>
    </w:p>
    <w:p w:rsidR="001B3614" w:rsidRDefault="001B3614" w:rsidP="004603EC">
      <w:pPr>
        <w:adjustRightInd w:val="0"/>
        <w:spacing w:line="360" w:lineRule="exact"/>
        <w:ind w:leftChars="0" w:left="1134" w:hangingChars="400" w:hanging="1134"/>
        <w:jc w:val="left"/>
        <w:rPr>
          <w:color w:val="000000"/>
          <w:sz w:val="24"/>
          <w:szCs w:val="24"/>
        </w:rPr>
      </w:pPr>
      <w:r>
        <w:rPr>
          <w:rFonts w:hint="eastAsia"/>
          <w:b/>
          <w:color w:val="000000"/>
        </w:rPr>
        <w:t xml:space="preserve">                                                      </w:t>
      </w:r>
      <w:r w:rsidRPr="00797937">
        <w:rPr>
          <w:rFonts w:hint="eastAsia"/>
          <w:color w:val="000000"/>
          <w:sz w:val="24"/>
          <w:szCs w:val="24"/>
        </w:rPr>
        <w:t>單位：%</w:t>
      </w:r>
      <w:r>
        <w:rPr>
          <w:rFonts w:hint="eastAsia"/>
          <w:b/>
          <w:color w:val="000000"/>
        </w:rPr>
        <w:t xml:space="preserve"> </w:t>
      </w:r>
      <w:r>
        <w:rPr>
          <w:b/>
          <w:color w:val="000000"/>
        </w:rPr>
        <w:t xml:space="preserve">                                           </w:t>
      </w:r>
      <w:r>
        <w:rPr>
          <w:rFonts w:hint="eastAsia"/>
          <w:b/>
          <w:color w:val="000000"/>
        </w:rPr>
        <w:t xml:space="preserve">           </w:t>
      </w:r>
    </w:p>
    <w:tbl>
      <w:tblPr>
        <w:tblW w:w="0" w:type="auto"/>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03"/>
        <w:gridCol w:w="1330"/>
        <w:gridCol w:w="1331"/>
        <w:gridCol w:w="1331"/>
        <w:gridCol w:w="1331"/>
        <w:gridCol w:w="1549"/>
      </w:tblGrid>
      <w:tr w:rsidR="001B3614" w:rsidRPr="006E4E48" w:rsidTr="001B3614">
        <w:trPr>
          <w:tblHeader/>
        </w:trPr>
        <w:tc>
          <w:tcPr>
            <w:tcW w:w="1603" w:type="dxa"/>
            <w:tcMar>
              <w:top w:w="0" w:type="dxa"/>
              <w:left w:w="108" w:type="dxa"/>
              <w:bottom w:w="0" w:type="dxa"/>
              <w:right w:w="108" w:type="dxa"/>
            </w:tcMar>
            <w:vAlign w:val="center"/>
            <w:hideMark/>
          </w:tcPr>
          <w:p w:rsidR="001B3614" w:rsidRPr="006E4E48" w:rsidRDefault="001B3614" w:rsidP="00B5061B">
            <w:pPr>
              <w:pStyle w:val="142"/>
            </w:pPr>
            <w:r>
              <w:rPr>
                <w:rFonts w:hint="eastAsia"/>
              </w:rPr>
              <w:t>頻道別</w:t>
            </w:r>
          </w:p>
        </w:tc>
        <w:tc>
          <w:tcPr>
            <w:tcW w:w="1330" w:type="dxa"/>
            <w:tcMar>
              <w:top w:w="0" w:type="dxa"/>
              <w:left w:w="108" w:type="dxa"/>
              <w:bottom w:w="0" w:type="dxa"/>
              <w:right w:w="108" w:type="dxa"/>
            </w:tcMar>
            <w:vAlign w:val="center"/>
            <w:hideMark/>
          </w:tcPr>
          <w:p w:rsidR="001B3614" w:rsidRPr="006E4E48" w:rsidRDefault="001B3614" w:rsidP="00B5061B">
            <w:pPr>
              <w:pStyle w:val="142"/>
              <w:jc w:val="center"/>
            </w:pPr>
            <w:r w:rsidRPr="006E4E48">
              <w:t>109</w:t>
            </w:r>
            <w:r w:rsidRPr="006E4E48">
              <w:rPr>
                <w:rFonts w:hint="eastAsia"/>
              </w:rPr>
              <w:t>年度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110</w:t>
            </w:r>
            <w:r w:rsidRPr="006E4E48">
              <w:rPr>
                <w:rFonts w:hint="eastAsia"/>
              </w:rPr>
              <w:t>年度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111</w:t>
            </w:r>
            <w:r w:rsidRPr="006E4E48">
              <w:rPr>
                <w:rFonts w:hint="eastAsia"/>
              </w:rPr>
              <w:t>年</w:t>
            </w:r>
            <w:r>
              <w:rPr>
                <w:rFonts w:hint="eastAsia"/>
              </w:rPr>
              <w:t>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112</w:t>
            </w:r>
            <w:r w:rsidRPr="006E4E48">
              <w:rPr>
                <w:rFonts w:hint="eastAsia"/>
              </w:rPr>
              <w:t>年</w:t>
            </w:r>
            <w:r>
              <w:rPr>
                <w:rFonts w:hint="eastAsia"/>
              </w:rPr>
              <w:t>度</w:t>
            </w:r>
          </w:p>
        </w:tc>
        <w:tc>
          <w:tcPr>
            <w:tcW w:w="1549" w:type="dxa"/>
            <w:tcMar>
              <w:top w:w="0" w:type="dxa"/>
              <w:left w:w="108" w:type="dxa"/>
              <w:bottom w:w="0" w:type="dxa"/>
              <w:right w:w="108" w:type="dxa"/>
            </w:tcMar>
            <w:hideMark/>
          </w:tcPr>
          <w:p w:rsidR="001B3614" w:rsidRPr="006E4E48" w:rsidRDefault="001B3614" w:rsidP="001B3614">
            <w:pPr>
              <w:pStyle w:val="142"/>
              <w:ind w:rightChars="-38" w:right="-108"/>
            </w:pPr>
            <w:r w:rsidRPr="006E4E48">
              <w:t>113</w:t>
            </w:r>
            <w:r w:rsidRPr="006E4E48">
              <w:rPr>
                <w:rFonts w:hint="eastAsia"/>
              </w:rPr>
              <w:t>年</w:t>
            </w:r>
            <w:r>
              <w:rPr>
                <w:rFonts w:hint="eastAsia"/>
              </w:rPr>
              <w:t>1-7月</w:t>
            </w:r>
          </w:p>
        </w:tc>
      </w:tr>
      <w:tr w:rsidR="001B3614" w:rsidRPr="006E4E48" w:rsidTr="001B3614">
        <w:tc>
          <w:tcPr>
            <w:tcW w:w="1603" w:type="dxa"/>
            <w:tcMar>
              <w:top w:w="0" w:type="dxa"/>
              <w:left w:w="108" w:type="dxa"/>
              <w:bottom w:w="0" w:type="dxa"/>
              <w:right w:w="108" w:type="dxa"/>
            </w:tcMar>
            <w:vAlign w:val="center"/>
            <w:hideMark/>
          </w:tcPr>
          <w:p w:rsidR="001B3614" w:rsidRPr="006E4E48" w:rsidRDefault="001B3614" w:rsidP="00B5061B">
            <w:pPr>
              <w:pStyle w:val="142"/>
            </w:pPr>
            <w:r w:rsidRPr="006E4E48">
              <w:rPr>
                <w:rFonts w:hint="eastAsia"/>
              </w:rPr>
              <w:t>公視</w:t>
            </w:r>
            <w:r>
              <w:rPr>
                <w:rFonts w:hint="eastAsia"/>
              </w:rPr>
              <w:t>主頻道</w:t>
            </w:r>
          </w:p>
        </w:tc>
        <w:tc>
          <w:tcPr>
            <w:tcW w:w="1330" w:type="dxa"/>
            <w:tcMar>
              <w:top w:w="0" w:type="dxa"/>
              <w:left w:w="108" w:type="dxa"/>
              <w:bottom w:w="0" w:type="dxa"/>
              <w:right w:w="108" w:type="dxa"/>
            </w:tcMar>
            <w:vAlign w:val="center"/>
            <w:hideMark/>
          </w:tcPr>
          <w:p w:rsidR="001B3614" w:rsidRPr="006E4E48" w:rsidRDefault="001B3614" w:rsidP="00B5061B">
            <w:pPr>
              <w:pStyle w:val="142"/>
              <w:jc w:val="right"/>
            </w:pPr>
            <w:r w:rsidRPr="006E4E48">
              <w:t>0.33</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0.31</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0.23</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0.23</w:t>
            </w:r>
          </w:p>
        </w:tc>
        <w:tc>
          <w:tcPr>
            <w:tcW w:w="1549" w:type="dxa"/>
            <w:tcMar>
              <w:top w:w="0" w:type="dxa"/>
              <w:left w:w="108" w:type="dxa"/>
              <w:bottom w:w="0" w:type="dxa"/>
              <w:right w:w="108" w:type="dxa"/>
            </w:tcMar>
            <w:vAlign w:val="center"/>
            <w:hideMark/>
          </w:tcPr>
          <w:p w:rsidR="001B3614" w:rsidRPr="006E4E48" w:rsidRDefault="001B3614" w:rsidP="00B5061B">
            <w:pPr>
              <w:pStyle w:val="142"/>
              <w:jc w:val="right"/>
            </w:pPr>
            <w:r w:rsidRPr="006E4E48">
              <w:t>0.21</w:t>
            </w:r>
          </w:p>
        </w:tc>
      </w:tr>
      <w:tr w:rsidR="001B3614" w:rsidRPr="006E4E48" w:rsidTr="001B3614">
        <w:tc>
          <w:tcPr>
            <w:tcW w:w="1603" w:type="dxa"/>
            <w:tcMar>
              <w:top w:w="0" w:type="dxa"/>
              <w:left w:w="108" w:type="dxa"/>
              <w:bottom w:w="0" w:type="dxa"/>
              <w:right w:w="108" w:type="dxa"/>
            </w:tcMar>
            <w:hideMark/>
          </w:tcPr>
          <w:p w:rsidR="001B3614" w:rsidRPr="006E4E48" w:rsidRDefault="001B3614" w:rsidP="00B5061B">
            <w:pPr>
              <w:pStyle w:val="142"/>
            </w:pPr>
            <w:r>
              <w:rPr>
                <w:rFonts w:hint="eastAsia"/>
              </w:rPr>
              <w:t>公視</w:t>
            </w:r>
            <w:r w:rsidRPr="006E4E48">
              <w:rPr>
                <w:rFonts w:hint="eastAsia"/>
              </w:rPr>
              <w:t>台語台</w:t>
            </w:r>
          </w:p>
        </w:tc>
        <w:tc>
          <w:tcPr>
            <w:tcW w:w="1330" w:type="dxa"/>
            <w:tcMar>
              <w:top w:w="0" w:type="dxa"/>
              <w:left w:w="108" w:type="dxa"/>
              <w:bottom w:w="0" w:type="dxa"/>
              <w:right w:w="108" w:type="dxa"/>
            </w:tcMar>
            <w:hideMark/>
          </w:tcPr>
          <w:p w:rsidR="001B3614" w:rsidRPr="006E4E48" w:rsidRDefault="001B3614" w:rsidP="00B5061B">
            <w:pPr>
              <w:pStyle w:val="142"/>
              <w:jc w:val="right"/>
            </w:pPr>
            <w:r w:rsidRPr="006E4E48">
              <w:t>0.12</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0.15</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0.17</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0.15</w:t>
            </w:r>
          </w:p>
        </w:tc>
        <w:tc>
          <w:tcPr>
            <w:tcW w:w="1549" w:type="dxa"/>
            <w:tcMar>
              <w:top w:w="0" w:type="dxa"/>
              <w:left w:w="108" w:type="dxa"/>
              <w:bottom w:w="0" w:type="dxa"/>
              <w:right w:w="108" w:type="dxa"/>
            </w:tcMar>
            <w:hideMark/>
          </w:tcPr>
          <w:p w:rsidR="001B3614" w:rsidRPr="006E4E48" w:rsidRDefault="001B3614" w:rsidP="00B5061B">
            <w:pPr>
              <w:pStyle w:val="142"/>
              <w:jc w:val="right"/>
            </w:pPr>
            <w:r w:rsidRPr="006E4E48">
              <w:t>0.17</w:t>
            </w:r>
          </w:p>
        </w:tc>
      </w:tr>
    </w:tbl>
    <w:p w:rsidR="001B3614" w:rsidRDefault="001B3614" w:rsidP="001C3D45">
      <w:pPr>
        <w:pStyle w:val="142"/>
        <w:ind w:leftChars="-30" w:left="1600" w:hangingChars="693" w:hanging="1685"/>
        <w:jc w:val="both"/>
        <w:rPr>
          <w:rFonts w:hAnsi="標楷體"/>
        </w:rPr>
      </w:pPr>
      <w:r>
        <w:rPr>
          <w:rFonts w:hAnsi="標楷體" w:hint="eastAsia"/>
        </w:rPr>
        <w:t xml:space="preserve"> </w:t>
      </w:r>
      <w:r w:rsidRPr="002A7919">
        <w:rPr>
          <w:rFonts w:hAnsi="標楷體" w:hint="eastAsia"/>
        </w:rPr>
        <w:t xml:space="preserve">說   </w:t>
      </w:r>
      <w:r w:rsidR="004603EC">
        <w:rPr>
          <w:rFonts w:hAnsi="標楷體" w:hint="eastAsia"/>
        </w:rPr>
        <w:t xml:space="preserve"> </w:t>
      </w:r>
      <w:r w:rsidRPr="002A7919">
        <w:rPr>
          <w:rFonts w:hAnsi="標楷體" w:hint="eastAsia"/>
        </w:rPr>
        <w:t>明：</w:t>
      </w:r>
      <w:r>
        <w:rPr>
          <w:rFonts w:hAnsi="標楷體" w:hint="eastAsia"/>
        </w:rPr>
        <w:t>1.</w:t>
      </w:r>
      <w:r w:rsidRPr="00180DDB">
        <w:rPr>
          <w:rFonts w:hAnsi="標楷體" w:hint="eastAsia"/>
        </w:rPr>
        <w:t>收視率</w:t>
      </w:r>
      <w:r w:rsidR="004603EC">
        <w:rPr>
          <w:rFonts w:hAnsi="標楷體" w:hint="eastAsia"/>
        </w:rPr>
        <w:t>係</w:t>
      </w:r>
      <w:r w:rsidRPr="00180DDB">
        <w:rPr>
          <w:rFonts w:hAnsi="標楷體" w:hint="eastAsia"/>
        </w:rPr>
        <w:t>在某個時段收看某個電視節目或頻道</w:t>
      </w:r>
      <w:r w:rsidR="004603EC">
        <w:rPr>
          <w:rFonts w:hAnsi="標楷體" w:hint="eastAsia"/>
        </w:rPr>
        <w:t>之</w:t>
      </w:r>
      <w:r w:rsidRPr="00180DDB">
        <w:rPr>
          <w:rFonts w:hAnsi="標楷體" w:hint="eastAsia"/>
        </w:rPr>
        <w:t>觀眾人數，</w:t>
      </w:r>
      <w:r>
        <w:rPr>
          <w:rFonts w:hAnsi="標楷體" w:hint="eastAsia"/>
        </w:rPr>
        <w:t>其計算公式為</w:t>
      </w:r>
      <w:r w:rsidRPr="00180DDB">
        <w:rPr>
          <w:rFonts w:hAnsi="標楷體" w:hint="eastAsia"/>
        </w:rPr>
        <w:t>收看某一個節目或頻道人口數</w:t>
      </w:r>
      <w:r>
        <w:rPr>
          <w:rFonts w:hAnsi="標楷體" w:hint="eastAsia"/>
        </w:rPr>
        <w:t>/總人口數x10</w:t>
      </w:r>
      <w:r w:rsidRPr="00180DDB">
        <w:rPr>
          <w:rFonts w:hAnsi="標楷體"/>
        </w:rPr>
        <w:t>0%</w:t>
      </w:r>
      <w:r>
        <w:rPr>
          <w:rFonts w:hAnsi="標楷體" w:hint="eastAsia"/>
        </w:rPr>
        <w:t>。</w:t>
      </w:r>
    </w:p>
    <w:p w:rsidR="001B3614" w:rsidRDefault="001B3614" w:rsidP="001C3D45">
      <w:pPr>
        <w:pStyle w:val="142"/>
        <w:ind w:leftChars="-29" w:left="1562" w:hangingChars="676" w:hanging="1644"/>
        <w:jc w:val="both"/>
        <w:rPr>
          <w:rFonts w:hAnsi="標楷體"/>
        </w:rPr>
      </w:pPr>
      <w:r>
        <w:rPr>
          <w:rFonts w:hAnsi="標楷體" w:hint="eastAsia"/>
        </w:rPr>
        <w:t xml:space="preserve">        </w:t>
      </w:r>
      <w:r w:rsidR="004603EC">
        <w:rPr>
          <w:rFonts w:hAnsi="標楷體" w:hint="eastAsia"/>
        </w:rPr>
        <w:t xml:space="preserve"> </w:t>
      </w:r>
      <w:r>
        <w:rPr>
          <w:rFonts w:hAnsi="標楷體" w:hint="eastAsia"/>
        </w:rPr>
        <w:t xml:space="preserve">  </w:t>
      </w:r>
      <w:r w:rsidR="001C3D45">
        <w:rPr>
          <w:rFonts w:hAnsi="標楷體" w:hint="eastAsia"/>
        </w:rPr>
        <w:t xml:space="preserve"> </w:t>
      </w:r>
      <w:r>
        <w:rPr>
          <w:rFonts w:hAnsi="標楷體" w:hint="eastAsia"/>
        </w:rPr>
        <w:t>2.上表</w:t>
      </w:r>
      <w:r w:rsidRPr="007D5935">
        <w:rPr>
          <w:rFonts w:hAnsi="標楷體" w:hint="eastAsia"/>
        </w:rPr>
        <w:t>數據為18:00:00 - 23:59:59收視資料</w:t>
      </w:r>
      <w:r>
        <w:rPr>
          <w:rFonts w:hAnsi="標楷體" w:hint="eastAsia"/>
        </w:rPr>
        <w:t xml:space="preserve"> </w:t>
      </w:r>
    </w:p>
    <w:p w:rsidR="001B3614" w:rsidRDefault="001B3614" w:rsidP="001B3614">
      <w:pPr>
        <w:pStyle w:val="142"/>
        <w:ind w:firstLineChars="11" w:firstLine="27"/>
        <w:rPr>
          <w:rFonts w:hAnsi="標楷體"/>
        </w:rPr>
      </w:pPr>
      <w:r w:rsidRPr="002A7919">
        <w:rPr>
          <w:rFonts w:hAnsi="標楷體" w:hint="eastAsia"/>
        </w:rPr>
        <w:t>資料來源：</w:t>
      </w:r>
      <w:r w:rsidR="00DC14B0">
        <w:rPr>
          <w:rFonts w:hAnsi="標楷體" w:hint="eastAsia"/>
        </w:rPr>
        <w:t>公視基金會</w:t>
      </w:r>
      <w:r>
        <w:rPr>
          <w:rFonts w:hAnsi="標楷體" w:hint="eastAsia"/>
        </w:rPr>
        <w:t>提</w:t>
      </w:r>
      <w:r w:rsidRPr="002A7919">
        <w:rPr>
          <w:rFonts w:hAnsi="標楷體" w:hint="eastAsia"/>
        </w:rPr>
        <w:t>供。</w:t>
      </w:r>
    </w:p>
    <w:p w:rsidR="00BC33F6" w:rsidRPr="00663DE1" w:rsidRDefault="001B3614" w:rsidP="00021582">
      <w:pPr>
        <w:ind w:left="566" w:firstLine="566"/>
        <w:rPr>
          <w:color w:val="000000"/>
        </w:rPr>
      </w:pPr>
      <w:r w:rsidRPr="008A16DB">
        <w:rPr>
          <w:rFonts w:hint="eastAsia"/>
          <w:color w:val="000000"/>
        </w:rPr>
        <w:t>綜上，</w:t>
      </w:r>
      <w:r>
        <w:rPr>
          <w:rFonts w:hint="eastAsia"/>
          <w:color w:val="000000"/>
        </w:rPr>
        <w:t>國家語言發展法明定</w:t>
      </w:r>
      <w:r>
        <w:rPr>
          <w:rFonts w:hAnsi="標楷體" w:hint="eastAsia"/>
        </w:rPr>
        <w:t>公視應提供國家語言多元服務，112年修正後公共電視法</w:t>
      </w:r>
      <w:r>
        <w:rPr>
          <w:rFonts w:hint="eastAsia"/>
        </w:rPr>
        <w:t>確立公視台語台之法源與</w:t>
      </w:r>
      <w:r>
        <w:rPr>
          <w:rFonts w:hAnsi="標楷體" w:hint="eastAsia"/>
        </w:rPr>
        <w:t>經費穩定性。而公視台語台於108年7月正式開播迄已5年餘，其收視率雖逐年概呈遞增至113年7月底之0.17%，惟相較公視主頻道收視率仍有精進空間，</w:t>
      </w:r>
      <w:r>
        <w:rPr>
          <w:rFonts w:hint="eastAsia"/>
          <w:color w:val="000000"/>
        </w:rPr>
        <w:t>允宜</w:t>
      </w:r>
      <w:r>
        <w:rPr>
          <w:rFonts w:hAnsi="標楷體" w:hint="eastAsia"/>
          <w:color w:val="000000"/>
        </w:rPr>
        <w:t>納</w:t>
      </w:r>
      <w:r w:rsidRPr="008A16DB">
        <w:rPr>
          <w:rFonts w:hAnsi="標楷體" w:hint="eastAsia"/>
          <w:color w:val="000000"/>
        </w:rPr>
        <w:t>台語台收視率</w:t>
      </w:r>
      <w:r>
        <w:rPr>
          <w:rFonts w:hAnsi="標楷體" w:hint="eastAsia"/>
          <w:color w:val="000000"/>
        </w:rPr>
        <w:t>為</w:t>
      </w:r>
      <w:r w:rsidRPr="008A16DB">
        <w:rPr>
          <w:rFonts w:hAnsi="標楷體" w:hint="eastAsia"/>
          <w:color w:val="000000"/>
        </w:rPr>
        <w:t>績效指標</w:t>
      </w:r>
      <w:r>
        <w:rPr>
          <w:rFonts w:hAnsi="標楷體" w:hint="eastAsia"/>
          <w:color w:val="000000"/>
        </w:rPr>
        <w:t>，俾</w:t>
      </w:r>
      <w:r w:rsidRPr="001E414C">
        <w:rPr>
          <w:rFonts w:hint="eastAsia"/>
        </w:rPr>
        <w:t>作為研訂節目宣</w:t>
      </w:r>
      <w:r w:rsidRPr="001E414C">
        <w:rPr>
          <w:rFonts w:hint="eastAsia"/>
        </w:rPr>
        <w:lastRenderedPageBreak/>
        <w:t>導或內容強化方案之參據</w:t>
      </w:r>
      <w:r>
        <w:rPr>
          <w:rFonts w:hint="eastAsia"/>
        </w:rPr>
        <w:t>，並利於</w:t>
      </w:r>
      <w:r w:rsidRPr="008A16DB">
        <w:rPr>
          <w:rFonts w:hAnsi="標楷體" w:hint="eastAsia"/>
          <w:color w:val="000000"/>
        </w:rPr>
        <w:t>達成促進國家語言發展之目標</w:t>
      </w:r>
      <w:r w:rsidRPr="008A16DB">
        <w:rPr>
          <w:rFonts w:hint="eastAsia"/>
          <w:color w:val="000000"/>
        </w:rPr>
        <w:t>。</w:t>
      </w:r>
    </w:p>
    <w:sectPr w:rsidR="00BC33F6" w:rsidRPr="00663DE1" w:rsidSect="009B106E">
      <w:footerReference w:type="default" r:id="rId8"/>
      <w:pgSz w:w="11906" w:h="16838" w:code="9"/>
      <w:pgMar w:top="1701" w:right="1645"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61B" w:rsidRDefault="00B5061B" w:rsidP="009B732E">
      <w:pPr>
        <w:spacing w:line="240" w:lineRule="auto"/>
        <w:ind w:left="560" w:firstLine="560"/>
      </w:pPr>
      <w:r>
        <w:separator/>
      </w:r>
    </w:p>
  </w:endnote>
  <w:endnote w:type="continuationSeparator" w:id="0">
    <w:p w:rsidR="00B5061B" w:rsidRDefault="00B5061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40B75" w:rsidP="00440B75">
    <w:pPr>
      <w:pStyle w:val="af"/>
      <w:ind w:leftChars="0" w:left="566" w:firstLineChars="0" w:firstLine="406"/>
    </w:pPr>
    <w:r>
      <w:rPr>
        <w:rFonts w:hint="eastAsia"/>
      </w:rPr>
      <w:t xml:space="preserve">                                227</w:t>
    </w:r>
    <w:r w:rsidR="004E113E">
      <w:t>-</w:t>
    </w:r>
    <w:r w:rsidR="004E113E">
      <w:fldChar w:fldCharType="begin"/>
    </w:r>
    <w:r w:rsidR="004E113E">
      <w:instrText>PAGE   \* MERGEFORMAT</w:instrText>
    </w:r>
    <w:r w:rsidR="004E113E">
      <w:fldChar w:fldCharType="separate"/>
    </w:r>
    <w:r w:rsidR="00021582" w:rsidRPr="00021582">
      <w:rPr>
        <w:noProof/>
        <w:lang w:val="zh-TW"/>
      </w:rPr>
      <w:t>2</w:t>
    </w:r>
    <w:r w:rsidR="004E113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61B" w:rsidRDefault="00B5061B" w:rsidP="009B732E">
      <w:pPr>
        <w:spacing w:line="240" w:lineRule="auto"/>
        <w:ind w:left="560" w:firstLine="560"/>
      </w:pPr>
      <w:r>
        <w:separator/>
      </w:r>
    </w:p>
  </w:footnote>
  <w:footnote w:type="continuationSeparator" w:id="0">
    <w:p w:rsidR="00B5061B" w:rsidRDefault="00B5061B" w:rsidP="009B732E">
      <w:pPr>
        <w:spacing w:line="240" w:lineRule="auto"/>
        <w:ind w:left="560" w:firstLine="560"/>
      </w:pPr>
      <w:r>
        <w:continuationSeparator/>
      </w:r>
    </w:p>
  </w:footnote>
  <w:footnote w:id="1">
    <w:p w:rsidR="001B3614" w:rsidRPr="00630E56" w:rsidRDefault="001B3614" w:rsidP="001B3614">
      <w:pPr>
        <w:pStyle w:val="142"/>
      </w:pPr>
      <w:r>
        <w:rPr>
          <w:rStyle w:val="af5"/>
        </w:rPr>
        <w:footnoteRef/>
      </w:r>
      <w:r>
        <w:t xml:space="preserve"> </w:t>
      </w:r>
      <w:r>
        <w:rPr>
          <w:rFonts w:hint="eastAsia"/>
        </w:rPr>
        <w:t>未包含資本門預算1</w:t>
      </w:r>
      <w:r>
        <w:t>,300</w:t>
      </w:r>
      <w:r>
        <w:rPr>
          <w:rFonts w:hint="eastAsia"/>
        </w:rPr>
        <w:t>萬元。</w:t>
      </w:r>
    </w:p>
  </w:footnote>
  <w:footnote w:id="2">
    <w:p w:rsidR="001B3614" w:rsidRPr="00B9162D" w:rsidRDefault="001B3614" w:rsidP="0082668E">
      <w:pPr>
        <w:pStyle w:val="142"/>
        <w:ind w:leftChars="1" w:left="181" w:hangingChars="73" w:hanging="178"/>
        <w:jc w:val="both"/>
      </w:pPr>
      <w:r>
        <w:rPr>
          <w:rStyle w:val="af5"/>
        </w:rPr>
        <w:footnoteRef/>
      </w:r>
      <w:r>
        <w:t xml:space="preserve"> </w:t>
      </w:r>
      <w:r>
        <w:rPr>
          <w:rFonts w:hint="eastAsia"/>
        </w:rPr>
        <w:t>國家語言發展法第1條第1項規定：「</w:t>
      </w:r>
      <w:r w:rsidRPr="00B9162D">
        <w:rPr>
          <w:rFonts w:hint="eastAsia"/>
        </w:rPr>
        <w:t>為尊重國家多元文化之精神，促進國家語言之傳承、復振及發展，特制定本法。</w:t>
      </w:r>
      <w:r>
        <w:rPr>
          <w:rFonts w:hint="eastAsia"/>
        </w:rPr>
        <w:t>」</w:t>
      </w:r>
    </w:p>
  </w:footnote>
  <w:footnote w:id="3">
    <w:p w:rsidR="001B3614" w:rsidRPr="007C3F43" w:rsidRDefault="001B3614" w:rsidP="001B3614">
      <w:pPr>
        <w:pStyle w:val="142"/>
      </w:pPr>
      <w:r>
        <w:rPr>
          <w:rStyle w:val="af5"/>
        </w:rPr>
        <w:footnoteRef/>
      </w:r>
      <w:r>
        <w:t xml:space="preserve"> </w:t>
      </w:r>
      <w:r>
        <w:rPr>
          <w:rFonts w:hint="eastAsia"/>
        </w:rPr>
        <w:t>係中長程計畫「公共電視內容產製與應用計畫(114-117年)」。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18E"/>
    <w:multiLevelType w:val="hybridMultilevel"/>
    <w:tmpl w:val="83E69636"/>
    <w:lvl w:ilvl="0" w:tplc="F53EF4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01B66"/>
    <w:multiLevelType w:val="hybridMultilevel"/>
    <w:tmpl w:val="61707FCE"/>
    <w:lvl w:ilvl="0" w:tplc="AD227AAA">
      <w:start w:val="1"/>
      <w:numFmt w:val="decimal"/>
      <w:lvlText w:val="%1."/>
      <w:lvlJc w:val="left"/>
      <w:pPr>
        <w:ind w:left="3054"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45E077DA"/>
    <w:multiLevelType w:val="hybridMultilevel"/>
    <w:tmpl w:val="71180E54"/>
    <w:lvl w:ilvl="0" w:tplc="4AC28D34">
      <w:start w:val="1"/>
      <w:numFmt w:val="decimal"/>
      <w:lvlText w:val="%1."/>
      <w:lvlJc w:val="left"/>
      <w:pPr>
        <w:ind w:left="986" w:hanging="4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6532447"/>
    <w:multiLevelType w:val="hybridMultilevel"/>
    <w:tmpl w:val="03A8C118"/>
    <w:lvl w:ilvl="0" w:tplc="CD188DD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6AF1230"/>
    <w:multiLevelType w:val="hybridMultilevel"/>
    <w:tmpl w:val="760E83BA"/>
    <w:lvl w:ilvl="0" w:tplc="24CE7A40">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0151406"/>
    <w:multiLevelType w:val="hybridMultilevel"/>
    <w:tmpl w:val="C3809C80"/>
    <w:lvl w:ilvl="0" w:tplc="0AC6A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428F"/>
    <w:rsid w:val="000166EF"/>
    <w:rsid w:val="00021582"/>
    <w:rsid w:val="00024914"/>
    <w:rsid w:val="000261E5"/>
    <w:rsid w:val="00031F34"/>
    <w:rsid w:val="00034CA5"/>
    <w:rsid w:val="00042093"/>
    <w:rsid w:val="0005313C"/>
    <w:rsid w:val="00057D00"/>
    <w:rsid w:val="0006310F"/>
    <w:rsid w:val="00072352"/>
    <w:rsid w:val="00077B95"/>
    <w:rsid w:val="000815F2"/>
    <w:rsid w:val="00083B50"/>
    <w:rsid w:val="00086499"/>
    <w:rsid w:val="00086B48"/>
    <w:rsid w:val="00087CC6"/>
    <w:rsid w:val="0009440B"/>
    <w:rsid w:val="000A092D"/>
    <w:rsid w:val="000A2D81"/>
    <w:rsid w:val="000A3FF7"/>
    <w:rsid w:val="000B4AD1"/>
    <w:rsid w:val="000B4F99"/>
    <w:rsid w:val="000B6FD1"/>
    <w:rsid w:val="000C5AFE"/>
    <w:rsid w:val="000C7A94"/>
    <w:rsid w:val="000D3D77"/>
    <w:rsid w:val="000D4376"/>
    <w:rsid w:val="000D4433"/>
    <w:rsid w:val="000D4B51"/>
    <w:rsid w:val="000D4C99"/>
    <w:rsid w:val="000D75EB"/>
    <w:rsid w:val="000E30CD"/>
    <w:rsid w:val="000E3458"/>
    <w:rsid w:val="000E4D98"/>
    <w:rsid w:val="000F1747"/>
    <w:rsid w:val="000F2277"/>
    <w:rsid w:val="001046E0"/>
    <w:rsid w:val="00113AD5"/>
    <w:rsid w:val="00121328"/>
    <w:rsid w:val="001359EB"/>
    <w:rsid w:val="00141D98"/>
    <w:rsid w:val="00143D59"/>
    <w:rsid w:val="001470C6"/>
    <w:rsid w:val="001514E0"/>
    <w:rsid w:val="00153082"/>
    <w:rsid w:val="00156A4D"/>
    <w:rsid w:val="00165EE9"/>
    <w:rsid w:val="00180D46"/>
    <w:rsid w:val="00185801"/>
    <w:rsid w:val="00187489"/>
    <w:rsid w:val="00190B36"/>
    <w:rsid w:val="00191119"/>
    <w:rsid w:val="00192F09"/>
    <w:rsid w:val="001A406F"/>
    <w:rsid w:val="001A568A"/>
    <w:rsid w:val="001B05EB"/>
    <w:rsid w:val="001B1FB1"/>
    <w:rsid w:val="001B3614"/>
    <w:rsid w:val="001B556F"/>
    <w:rsid w:val="001C018F"/>
    <w:rsid w:val="001C3D45"/>
    <w:rsid w:val="001C75C1"/>
    <w:rsid w:val="001C7F52"/>
    <w:rsid w:val="001D3692"/>
    <w:rsid w:val="001D3FAF"/>
    <w:rsid w:val="001D46AA"/>
    <w:rsid w:val="001E08E6"/>
    <w:rsid w:val="001E4839"/>
    <w:rsid w:val="001F7404"/>
    <w:rsid w:val="00210AFE"/>
    <w:rsid w:val="00230325"/>
    <w:rsid w:val="00230936"/>
    <w:rsid w:val="00245BE5"/>
    <w:rsid w:val="00250F88"/>
    <w:rsid w:val="00255B38"/>
    <w:rsid w:val="00266E9C"/>
    <w:rsid w:val="00270182"/>
    <w:rsid w:val="002709A0"/>
    <w:rsid w:val="00274404"/>
    <w:rsid w:val="00275AF1"/>
    <w:rsid w:val="002804A9"/>
    <w:rsid w:val="00285A2A"/>
    <w:rsid w:val="00286E55"/>
    <w:rsid w:val="00291DC0"/>
    <w:rsid w:val="00297315"/>
    <w:rsid w:val="002A762F"/>
    <w:rsid w:val="002B3C3F"/>
    <w:rsid w:val="002B6D2A"/>
    <w:rsid w:val="002E69BE"/>
    <w:rsid w:val="002F1CC7"/>
    <w:rsid w:val="002F4510"/>
    <w:rsid w:val="002F4C5D"/>
    <w:rsid w:val="002F5926"/>
    <w:rsid w:val="00304073"/>
    <w:rsid w:val="003247FB"/>
    <w:rsid w:val="00324E8C"/>
    <w:rsid w:val="00327461"/>
    <w:rsid w:val="00332CE1"/>
    <w:rsid w:val="003331DA"/>
    <w:rsid w:val="00333537"/>
    <w:rsid w:val="00336478"/>
    <w:rsid w:val="003476F0"/>
    <w:rsid w:val="003738A4"/>
    <w:rsid w:val="00374F3C"/>
    <w:rsid w:val="0037589F"/>
    <w:rsid w:val="00382168"/>
    <w:rsid w:val="00393903"/>
    <w:rsid w:val="00396F04"/>
    <w:rsid w:val="003A098D"/>
    <w:rsid w:val="003A3ED4"/>
    <w:rsid w:val="003A410D"/>
    <w:rsid w:val="003A473A"/>
    <w:rsid w:val="003A5602"/>
    <w:rsid w:val="003A61E4"/>
    <w:rsid w:val="003A6BDA"/>
    <w:rsid w:val="003B0671"/>
    <w:rsid w:val="003B1354"/>
    <w:rsid w:val="003B1A33"/>
    <w:rsid w:val="003B30B4"/>
    <w:rsid w:val="003B4376"/>
    <w:rsid w:val="003B57E7"/>
    <w:rsid w:val="003B67D4"/>
    <w:rsid w:val="003C03B9"/>
    <w:rsid w:val="003C11D6"/>
    <w:rsid w:val="003C4217"/>
    <w:rsid w:val="003D08A2"/>
    <w:rsid w:val="003D3EF9"/>
    <w:rsid w:val="003D4187"/>
    <w:rsid w:val="003D608F"/>
    <w:rsid w:val="003D711E"/>
    <w:rsid w:val="003E7DA1"/>
    <w:rsid w:val="00417D63"/>
    <w:rsid w:val="004228BB"/>
    <w:rsid w:val="0043128B"/>
    <w:rsid w:val="00432194"/>
    <w:rsid w:val="00434F33"/>
    <w:rsid w:val="00435174"/>
    <w:rsid w:val="004353AE"/>
    <w:rsid w:val="00440B75"/>
    <w:rsid w:val="004436A7"/>
    <w:rsid w:val="00444A2F"/>
    <w:rsid w:val="00447ACE"/>
    <w:rsid w:val="00452633"/>
    <w:rsid w:val="0045434C"/>
    <w:rsid w:val="004557D3"/>
    <w:rsid w:val="00456448"/>
    <w:rsid w:val="004603EC"/>
    <w:rsid w:val="00462522"/>
    <w:rsid w:val="00464F48"/>
    <w:rsid w:val="00465EF7"/>
    <w:rsid w:val="00467D96"/>
    <w:rsid w:val="00471E7F"/>
    <w:rsid w:val="00474027"/>
    <w:rsid w:val="0047642C"/>
    <w:rsid w:val="004765B8"/>
    <w:rsid w:val="00484DAB"/>
    <w:rsid w:val="004868E1"/>
    <w:rsid w:val="00496510"/>
    <w:rsid w:val="004976E9"/>
    <w:rsid w:val="004A3810"/>
    <w:rsid w:val="004B07BB"/>
    <w:rsid w:val="004B2A2F"/>
    <w:rsid w:val="004C0BE2"/>
    <w:rsid w:val="004C53CB"/>
    <w:rsid w:val="004D04FC"/>
    <w:rsid w:val="004D4D1C"/>
    <w:rsid w:val="004E113E"/>
    <w:rsid w:val="004F2961"/>
    <w:rsid w:val="004F3595"/>
    <w:rsid w:val="0050090B"/>
    <w:rsid w:val="005016D4"/>
    <w:rsid w:val="00505629"/>
    <w:rsid w:val="005075ED"/>
    <w:rsid w:val="00507717"/>
    <w:rsid w:val="005133CD"/>
    <w:rsid w:val="00516330"/>
    <w:rsid w:val="00520F09"/>
    <w:rsid w:val="00526ED7"/>
    <w:rsid w:val="005328BA"/>
    <w:rsid w:val="00545427"/>
    <w:rsid w:val="0055226D"/>
    <w:rsid w:val="00572A89"/>
    <w:rsid w:val="00585795"/>
    <w:rsid w:val="00587531"/>
    <w:rsid w:val="005963D7"/>
    <w:rsid w:val="005A13D6"/>
    <w:rsid w:val="005A6B65"/>
    <w:rsid w:val="005B1C3F"/>
    <w:rsid w:val="005B33F3"/>
    <w:rsid w:val="005B7041"/>
    <w:rsid w:val="005C27D8"/>
    <w:rsid w:val="005C5142"/>
    <w:rsid w:val="005D120B"/>
    <w:rsid w:val="005D3D75"/>
    <w:rsid w:val="005D5602"/>
    <w:rsid w:val="005D5DCB"/>
    <w:rsid w:val="005E039E"/>
    <w:rsid w:val="005E5DE3"/>
    <w:rsid w:val="005E79A6"/>
    <w:rsid w:val="005F6E32"/>
    <w:rsid w:val="006066D4"/>
    <w:rsid w:val="00612F3A"/>
    <w:rsid w:val="006235AC"/>
    <w:rsid w:val="00631CD0"/>
    <w:rsid w:val="00632125"/>
    <w:rsid w:val="00654E17"/>
    <w:rsid w:val="00663DE1"/>
    <w:rsid w:val="006679DA"/>
    <w:rsid w:val="00680B7C"/>
    <w:rsid w:val="0068679A"/>
    <w:rsid w:val="006A3E65"/>
    <w:rsid w:val="006B59FC"/>
    <w:rsid w:val="006D3744"/>
    <w:rsid w:val="006F4C7F"/>
    <w:rsid w:val="007015A1"/>
    <w:rsid w:val="00704C1C"/>
    <w:rsid w:val="00711803"/>
    <w:rsid w:val="00711EC7"/>
    <w:rsid w:val="00713173"/>
    <w:rsid w:val="00713C68"/>
    <w:rsid w:val="00714058"/>
    <w:rsid w:val="00714781"/>
    <w:rsid w:val="00716329"/>
    <w:rsid w:val="00740F5E"/>
    <w:rsid w:val="00744408"/>
    <w:rsid w:val="007467A0"/>
    <w:rsid w:val="00746F9C"/>
    <w:rsid w:val="00752D04"/>
    <w:rsid w:val="0076210F"/>
    <w:rsid w:val="00764D50"/>
    <w:rsid w:val="007775F7"/>
    <w:rsid w:val="007804F4"/>
    <w:rsid w:val="00783316"/>
    <w:rsid w:val="00784DC3"/>
    <w:rsid w:val="00795C2A"/>
    <w:rsid w:val="007A037B"/>
    <w:rsid w:val="007B0866"/>
    <w:rsid w:val="007B3745"/>
    <w:rsid w:val="007B62CF"/>
    <w:rsid w:val="007B676A"/>
    <w:rsid w:val="007C1277"/>
    <w:rsid w:val="007D735A"/>
    <w:rsid w:val="007D7908"/>
    <w:rsid w:val="007E2AF4"/>
    <w:rsid w:val="007E3455"/>
    <w:rsid w:val="007F0E41"/>
    <w:rsid w:val="007F1789"/>
    <w:rsid w:val="007F751B"/>
    <w:rsid w:val="008003BC"/>
    <w:rsid w:val="008031E4"/>
    <w:rsid w:val="00807CBA"/>
    <w:rsid w:val="00810A07"/>
    <w:rsid w:val="008131E8"/>
    <w:rsid w:val="0082288B"/>
    <w:rsid w:val="00825C17"/>
    <w:rsid w:val="0082668E"/>
    <w:rsid w:val="00830548"/>
    <w:rsid w:val="00830DD8"/>
    <w:rsid w:val="00833347"/>
    <w:rsid w:val="008429D6"/>
    <w:rsid w:val="00844F98"/>
    <w:rsid w:val="008472B3"/>
    <w:rsid w:val="00855EEC"/>
    <w:rsid w:val="00861F1D"/>
    <w:rsid w:val="00864452"/>
    <w:rsid w:val="00865623"/>
    <w:rsid w:val="00866E0B"/>
    <w:rsid w:val="008700FA"/>
    <w:rsid w:val="00870DDC"/>
    <w:rsid w:val="00877B6B"/>
    <w:rsid w:val="00877C70"/>
    <w:rsid w:val="008821C2"/>
    <w:rsid w:val="008852D7"/>
    <w:rsid w:val="00885941"/>
    <w:rsid w:val="008A1184"/>
    <w:rsid w:val="008A1876"/>
    <w:rsid w:val="008A3E59"/>
    <w:rsid w:val="008A6C5E"/>
    <w:rsid w:val="008C05EF"/>
    <w:rsid w:val="008C69B2"/>
    <w:rsid w:val="008E384D"/>
    <w:rsid w:val="008E4B43"/>
    <w:rsid w:val="008F374C"/>
    <w:rsid w:val="0090354D"/>
    <w:rsid w:val="00903EF4"/>
    <w:rsid w:val="00907333"/>
    <w:rsid w:val="009134B9"/>
    <w:rsid w:val="009135E7"/>
    <w:rsid w:val="009135F3"/>
    <w:rsid w:val="00914A3B"/>
    <w:rsid w:val="0093757C"/>
    <w:rsid w:val="00956349"/>
    <w:rsid w:val="00960010"/>
    <w:rsid w:val="00962D22"/>
    <w:rsid w:val="00965A50"/>
    <w:rsid w:val="00971CD4"/>
    <w:rsid w:val="00976257"/>
    <w:rsid w:val="00976A95"/>
    <w:rsid w:val="00982332"/>
    <w:rsid w:val="00982BC3"/>
    <w:rsid w:val="009909BC"/>
    <w:rsid w:val="009915BC"/>
    <w:rsid w:val="0099557F"/>
    <w:rsid w:val="00995754"/>
    <w:rsid w:val="00995C37"/>
    <w:rsid w:val="009A75F7"/>
    <w:rsid w:val="009B106E"/>
    <w:rsid w:val="009B1335"/>
    <w:rsid w:val="009B316B"/>
    <w:rsid w:val="009B410A"/>
    <w:rsid w:val="009B732E"/>
    <w:rsid w:val="009C292F"/>
    <w:rsid w:val="009C3D59"/>
    <w:rsid w:val="009E28EB"/>
    <w:rsid w:val="009E58DF"/>
    <w:rsid w:val="009E71C3"/>
    <w:rsid w:val="009F2D68"/>
    <w:rsid w:val="009F7152"/>
    <w:rsid w:val="00A01091"/>
    <w:rsid w:val="00A13285"/>
    <w:rsid w:val="00A1490A"/>
    <w:rsid w:val="00A20262"/>
    <w:rsid w:val="00A20D58"/>
    <w:rsid w:val="00A21F44"/>
    <w:rsid w:val="00A2597F"/>
    <w:rsid w:val="00A30F91"/>
    <w:rsid w:val="00A40AB9"/>
    <w:rsid w:val="00A4110B"/>
    <w:rsid w:val="00A421B3"/>
    <w:rsid w:val="00A42D98"/>
    <w:rsid w:val="00A466F2"/>
    <w:rsid w:val="00A523BF"/>
    <w:rsid w:val="00A5301C"/>
    <w:rsid w:val="00A53606"/>
    <w:rsid w:val="00A56673"/>
    <w:rsid w:val="00A6085A"/>
    <w:rsid w:val="00A71EFF"/>
    <w:rsid w:val="00A73BFF"/>
    <w:rsid w:val="00A82F3B"/>
    <w:rsid w:val="00A85CBD"/>
    <w:rsid w:val="00A9196B"/>
    <w:rsid w:val="00A95761"/>
    <w:rsid w:val="00AA60FF"/>
    <w:rsid w:val="00AB7F54"/>
    <w:rsid w:val="00AC6F33"/>
    <w:rsid w:val="00AD0902"/>
    <w:rsid w:val="00AD69F7"/>
    <w:rsid w:val="00AD7487"/>
    <w:rsid w:val="00AE2E42"/>
    <w:rsid w:val="00AE38E2"/>
    <w:rsid w:val="00AE6452"/>
    <w:rsid w:val="00AE6607"/>
    <w:rsid w:val="00AE6C11"/>
    <w:rsid w:val="00AF4B7C"/>
    <w:rsid w:val="00B057EE"/>
    <w:rsid w:val="00B05B39"/>
    <w:rsid w:val="00B20CE1"/>
    <w:rsid w:val="00B21060"/>
    <w:rsid w:val="00B36309"/>
    <w:rsid w:val="00B5061B"/>
    <w:rsid w:val="00B526AF"/>
    <w:rsid w:val="00B542B0"/>
    <w:rsid w:val="00B5478F"/>
    <w:rsid w:val="00B616A6"/>
    <w:rsid w:val="00B705D7"/>
    <w:rsid w:val="00B76962"/>
    <w:rsid w:val="00B7778A"/>
    <w:rsid w:val="00B859B3"/>
    <w:rsid w:val="00B86F39"/>
    <w:rsid w:val="00BA5562"/>
    <w:rsid w:val="00BA7B45"/>
    <w:rsid w:val="00BB1572"/>
    <w:rsid w:val="00BB1F0C"/>
    <w:rsid w:val="00BC1FE0"/>
    <w:rsid w:val="00BC33F6"/>
    <w:rsid w:val="00BD03E0"/>
    <w:rsid w:val="00BD3A13"/>
    <w:rsid w:val="00BE668A"/>
    <w:rsid w:val="00BE68AE"/>
    <w:rsid w:val="00BF3D34"/>
    <w:rsid w:val="00BF6B59"/>
    <w:rsid w:val="00C02BD1"/>
    <w:rsid w:val="00C23461"/>
    <w:rsid w:val="00C40934"/>
    <w:rsid w:val="00C410D0"/>
    <w:rsid w:val="00C41B06"/>
    <w:rsid w:val="00C51680"/>
    <w:rsid w:val="00C52D4F"/>
    <w:rsid w:val="00C576A8"/>
    <w:rsid w:val="00C67CD8"/>
    <w:rsid w:val="00C76BD9"/>
    <w:rsid w:val="00C77CF8"/>
    <w:rsid w:val="00C849B7"/>
    <w:rsid w:val="00C87DD2"/>
    <w:rsid w:val="00C91265"/>
    <w:rsid w:val="00C92943"/>
    <w:rsid w:val="00C97A80"/>
    <w:rsid w:val="00CA23E5"/>
    <w:rsid w:val="00CA2EC5"/>
    <w:rsid w:val="00CB174F"/>
    <w:rsid w:val="00CB195B"/>
    <w:rsid w:val="00CB6055"/>
    <w:rsid w:val="00CB6096"/>
    <w:rsid w:val="00CB6CFE"/>
    <w:rsid w:val="00CC43BB"/>
    <w:rsid w:val="00CC4AFB"/>
    <w:rsid w:val="00CD1EE2"/>
    <w:rsid w:val="00CD567D"/>
    <w:rsid w:val="00CF6D4C"/>
    <w:rsid w:val="00D036B1"/>
    <w:rsid w:val="00D03D82"/>
    <w:rsid w:val="00D06FD8"/>
    <w:rsid w:val="00D15810"/>
    <w:rsid w:val="00D15950"/>
    <w:rsid w:val="00D215F8"/>
    <w:rsid w:val="00D24C39"/>
    <w:rsid w:val="00D25E98"/>
    <w:rsid w:val="00D264BD"/>
    <w:rsid w:val="00D3407A"/>
    <w:rsid w:val="00D4226E"/>
    <w:rsid w:val="00D450B4"/>
    <w:rsid w:val="00D45E71"/>
    <w:rsid w:val="00D53F94"/>
    <w:rsid w:val="00D57082"/>
    <w:rsid w:val="00D65134"/>
    <w:rsid w:val="00D66799"/>
    <w:rsid w:val="00D73307"/>
    <w:rsid w:val="00D80127"/>
    <w:rsid w:val="00D92C50"/>
    <w:rsid w:val="00DA4D35"/>
    <w:rsid w:val="00DA6298"/>
    <w:rsid w:val="00DB3340"/>
    <w:rsid w:val="00DB713C"/>
    <w:rsid w:val="00DC06D5"/>
    <w:rsid w:val="00DC14B0"/>
    <w:rsid w:val="00DC4E07"/>
    <w:rsid w:val="00DD0FD2"/>
    <w:rsid w:val="00DD6A4D"/>
    <w:rsid w:val="00DE6F01"/>
    <w:rsid w:val="00DE6F76"/>
    <w:rsid w:val="00DF6E8B"/>
    <w:rsid w:val="00E01C41"/>
    <w:rsid w:val="00E07931"/>
    <w:rsid w:val="00E112A2"/>
    <w:rsid w:val="00E11990"/>
    <w:rsid w:val="00E14F94"/>
    <w:rsid w:val="00E15041"/>
    <w:rsid w:val="00E23B6D"/>
    <w:rsid w:val="00E36653"/>
    <w:rsid w:val="00E376C9"/>
    <w:rsid w:val="00E46E6E"/>
    <w:rsid w:val="00E64245"/>
    <w:rsid w:val="00E66D5B"/>
    <w:rsid w:val="00E70408"/>
    <w:rsid w:val="00E753ED"/>
    <w:rsid w:val="00E77B4B"/>
    <w:rsid w:val="00E80244"/>
    <w:rsid w:val="00E805A9"/>
    <w:rsid w:val="00E9274A"/>
    <w:rsid w:val="00E948A3"/>
    <w:rsid w:val="00EA363F"/>
    <w:rsid w:val="00EB0FC9"/>
    <w:rsid w:val="00EB3B6B"/>
    <w:rsid w:val="00EB6E15"/>
    <w:rsid w:val="00EC2F11"/>
    <w:rsid w:val="00EC3099"/>
    <w:rsid w:val="00ED5464"/>
    <w:rsid w:val="00ED5B5F"/>
    <w:rsid w:val="00EE23CF"/>
    <w:rsid w:val="00EE2617"/>
    <w:rsid w:val="00EE6470"/>
    <w:rsid w:val="00EF342B"/>
    <w:rsid w:val="00EF4CCF"/>
    <w:rsid w:val="00F0175B"/>
    <w:rsid w:val="00F0584E"/>
    <w:rsid w:val="00F1199D"/>
    <w:rsid w:val="00F120CE"/>
    <w:rsid w:val="00F144C0"/>
    <w:rsid w:val="00F151A8"/>
    <w:rsid w:val="00F25651"/>
    <w:rsid w:val="00F30C49"/>
    <w:rsid w:val="00F3128C"/>
    <w:rsid w:val="00F3175B"/>
    <w:rsid w:val="00F37C51"/>
    <w:rsid w:val="00F402D3"/>
    <w:rsid w:val="00F41556"/>
    <w:rsid w:val="00F46137"/>
    <w:rsid w:val="00F51435"/>
    <w:rsid w:val="00F5159B"/>
    <w:rsid w:val="00F57225"/>
    <w:rsid w:val="00F635BD"/>
    <w:rsid w:val="00F6580F"/>
    <w:rsid w:val="00F710B8"/>
    <w:rsid w:val="00F721FB"/>
    <w:rsid w:val="00F92DBE"/>
    <w:rsid w:val="00FA0C5B"/>
    <w:rsid w:val="00FA16A7"/>
    <w:rsid w:val="00FA56EF"/>
    <w:rsid w:val="00FA6B8F"/>
    <w:rsid w:val="00FC2019"/>
    <w:rsid w:val="00FC269A"/>
    <w:rsid w:val="00FC350F"/>
    <w:rsid w:val="00FC5107"/>
    <w:rsid w:val="00FC5D9A"/>
    <w:rsid w:val="00FD3DF3"/>
    <w:rsid w:val="00FD789A"/>
    <w:rsid w:val="00FE0261"/>
    <w:rsid w:val="00FE313D"/>
    <w:rsid w:val="00FE3502"/>
    <w:rsid w:val="00FE5A8D"/>
    <w:rsid w:val="00FE5B61"/>
    <w:rsid w:val="00FF7244"/>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8B1F2C1-CDED-425C-8DD1-B621F6A5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470C6"/>
    <w:pPr>
      <w:tabs>
        <w:tab w:val="right" w:leader="hyphen" w:pos="8364"/>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4"/>
    <w:uiPriority w:val="99"/>
    <w:unhideWhenUsed/>
    <w:rsid w:val="00D450B4"/>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table" w:customStyle="1" w:styleId="24">
    <w:name w:val="表格格線2"/>
    <w:basedOn w:val="a1"/>
    <w:next w:val="af6"/>
    <w:uiPriority w:val="39"/>
    <w:rsid w:val="00072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810A07"/>
    <w:rPr>
      <w:color w:val="0000FF"/>
      <w:u w:val="single"/>
    </w:rPr>
  </w:style>
  <w:style w:type="character" w:customStyle="1" w:styleId="22">
    <w:name w:val="(一)下內文縮2 字元"/>
    <w:link w:val="21"/>
    <w:qFormat/>
    <w:locked/>
    <w:rsid w:val="009E28EB"/>
    <w:rPr>
      <w:rFonts w:ascii="標楷體" w:eastAsia="標楷體"/>
      <w:snapToGrid w:val="0"/>
      <w:kern w:val="2"/>
      <w:sz w:val="28"/>
      <w:szCs w:val="28"/>
    </w:rPr>
  </w:style>
  <w:style w:type="character" w:customStyle="1" w:styleId="aa">
    <w:name w:val="報告名稱 字元"/>
    <w:link w:val="a9"/>
    <w:locked/>
    <w:rsid w:val="003A5602"/>
    <w:rPr>
      <w:rFonts w:ascii="標楷體" w:eastAsia="標楷體"/>
      <w:b/>
      <w:snapToGrid w:val="0"/>
      <w:kern w:val="2"/>
      <w:sz w:val="36"/>
      <w:szCs w:val="28"/>
    </w:rPr>
  </w:style>
  <w:style w:type="character" w:customStyle="1" w:styleId="25">
    <w:name w:val="(一)(二)(三) 字元2"/>
    <w:rsid w:val="009909B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1352">
      <w:bodyDiv w:val="1"/>
      <w:marLeft w:val="0"/>
      <w:marRight w:val="0"/>
      <w:marTop w:val="0"/>
      <w:marBottom w:val="0"/>
      <w:divBdr>
        <w:top w:val="none" w:sz="0" w:space="0" w:color="auto"/>
        <w:left w:val="none" w:sz="0" w:space="0" w:color="auto"/>
        <w:bottom w:val="none" w:sz="0" w:space="0" w:color="auto"/>
        <w:right w:val="none" w:sz="0" w:space="0" w:color="auto"/>
      </w:divBdr>
    </w:div>
    <w:div w:id="199442778">
      <w:bodyDiv w:val="1"/>
      <w:marLeft w:val="0"/>
      <w:marRight w:val="0"/>
      <w:marTop w:val="0"/>
      <w:marBottom w:val="0"/>
      <w:divBdr>
        <w:top w:val="none" w:sz="0" w:space="0" w:color="auto"/>
        <w:left w:val="none" w:sz="0" w:space="0" w:color="auto"/>
        <w:bottom w:val="none" w:sz="0" w:space="0" w:color="auto"/>
        <w:right w:val="none" w:sz="0" w:space="0" w:color="auto"/>
      </w:divBdr>
      <w:divsChild>
        <w:div w:id="316804078">
          <w:marLeft w:val="480"/>
          <w:marRight w:val="0"/>
          <w:marTop w:val="0"/>
          <w:marBottom w:val="120"/>
          <w:divBdr>
            <w:top w:val="none" w:sz="0" w:space="0" w:color="auto"/>
            <w:left w:val="none" w:sz="0" w:space="0" w:color="auto"/>
            <w:bottom w:val="none" w:sz="0" w:space="0" w:color="auto"/>
            <w:right w:val="none" w:sz="0" w:space="0" w:color="auto"/>
          </w:divBdr>
        </w:div>
        <w:div w:id="522741605">
          <w:marLeft w:val="480"/>
          <w:marRight w:val="0"/>
          <w:marTop w:val="0"/>
          <w:marBottom w:val="120"/>
          <w:divBdr>
            <w:top w:val="none" w:sz="0" w:space="0" w:color="auto"/>
            <w:left w:val="none" w:sz="0" w:space="0" w:color="auto"/>
            <w:bottom w:val="none" w:sz="0" w:space="0" w:color="auto"/>
            <w:right w:val="none" w:sz="0" w:space="0" w:color="auto"/>
          </w:divBdr>
        </w:div>
        <w:div w:id="697311724">
          <w:marLeft w:val="0"/>
          <w:marRight w:val="0"/>
          <w:marTop w:val="0"/>
          <w:marBottom w:val="120"/>
          <w:divBdr>
            <w:top w:val="none" w:sz="0" w:space="0" w:color="auto"/>
            <w:left w:val="none" w:sz="0" w:space="0" w:color="auto"/>
            <w:bottom w:val="none" w:sz="0" w:space="0" w:color="auto"/>
            <w:right w:val="none" w:sz="0" w:space="0" w:color="auto"/>
          </w:divBdr>
        </w:div>
        <w:div w:id="860969589">
          <w:marLeft w:val="480"/>
          <w:marRight w:val="0"/>
          <w:marTop w:val="0"/>
          <w:marBottom w:val="120"/>
          <w:divBdr>
            <w:top w:val="none" w:sz="0" w:space="0" w:color="auto"/>
            <w:left w:val="none" w:sz="0" w:space="0" w:color="auto"/>
            <w:bottom w:val="none" w:sz="0" w:space="0" w:color="auto"/>
            <w:right w:val="none" w:sz="0" w:space="0" w:color="auto"/>
          </w:divBdr>
        </w:div>
        <w:div w:id="1025015480">
          <w:marLeft w:val="480"/>
          <w:marRight w:val="0"/>
          <w:marTop w:val="0"/>
          <w:marBottom w:val="120"/>
          <w:divBdr>
            <w:top w:val="none" w:sz="0" w:space="0" w:color="auto"/>
            <w:left w:val="none" w:sz="0" w:space="0" w:color="auto"/>
            <w:bottom w:val="none" w:sz="0" w:space="0" w:color="auto"/>
            <w:right w:val="none" w:sz="0" w:space="0" w:color="auto"/>
          </w:divBdr>
        </w:div>
        <w:div w:id="1451165577">
          <w:marLeft w:val="480"/>
          <w:marRight w:val="0"/>
          <w:marTop w:val="0"/>
          <w:marBottom w:val="120"/>
          <w:divBdr>
            <w:top w:val="none" w:sz="0" w:space="0" w:color="auto"/>
            <w:left w:val="none" w:sz="0" w:space="0" w:color="auto"/>
            <w:bottom w:val="none" w:sz="0" w:space="0" w:color="auto"/>
            <w:right w:val="none" w:sz="0" w:space="0" w:color="auto"/>
          </w:divBdr>
        </w:div>
        <w:div w:id="1596981772">
          <w:marLeft w:val="480"/>
          <w:marRight w:val="0"/>
          <w:marTop w:val="0"/>
          <w:marBottom w:val="120"/>
          <w:divBdr>
            <w:top w:val="none" w:sz="0" w:space="0" w:color="auto"/>
            <w:left w:val="none" w:sz="0" w:space="0" w:color="auto"/>
            <w:bottom w:val="none" w:sz="0" w:space="0" w:color="auto"/>
            <w:right w:val="none" w:sz="0" w:space="0" w:color="auto"/>
          </w:divBdr>
        </w:div>
        <w:div w:id="2126726698">
          <w:marLeft w:val="480"/>
          <w:marRight w:val="0"/>
          <w:marTop w:val="0"/>
          <w:marBottom w:val="120"/>
          <w:divBdr>
            <w:top w:val="none" w:sz="0" w:space="0" w:color="auto"/>
            <w:left w:val="none" w:sz="0" w:space="0" w:color="auto"/>
            <w:bottom w:val="none" w:sz="0" w:space="0" w:color="auto"/>
            <w:right w:val="none" w:sz="0" w:space="0" w:color="auto"/>
          </w:divBdr>
        </w:div>
      </w:divsChild>
    </w:div>
    <w:div w:id="233707950">
      <w:bodyDiv w:val="1"/>
      <w:marLeft w:val="0"/>
      <w:marRight w:val="0"/>
      <w:marTop w:val="0"/>
      <w:marBottom w:val="0"/>
      <w:divBdr>
        <w:top w:val="none" w:sz="0" w:space="0" w:color="auto"/>
        <w:left w:val="none" w:sz="0" w:space="0" w:color="auto"/>
        <w:bottom w:val="none" w:sz="0" w:space="0" w:color="auto"/>
        <w:right w:val="none" w:sz="0" w:space="0" w:color="auto"/>
      </w:divBdr>
    </w:div>
    <w:div w:id="519860948">
      <w:bodyDiv w:val="1"/>
      <w:marLeft w:val="0"/>
      <w:marRight w:val="0"/>
      <w:marTop w:val="0"/>
      <w:marBottom w:val="0"/>
      <w:divBdr>
        <w:top w:val="none" w:sz="0" w:space="0" w:color="auto"/>
        <w:left w:val="none" w:sz="0" w:space="0" w:color="auto"/>
        <w:bottom w:val="none" w:sz="0" w:space="0" w:color="auto"/>
        <w:right w:val="none" w:sz="0" w:space="0" w:color="auto"/>
      </w:divBdr>
    </w:div>
    <w:div w:id="589120223">
      <w:bodyDiv w:val="1"/>
      <w:marLeft w:val="0"/>
      <w:marRight w:val="0"/>
      <w:marTop w:val="0"/>
      <w:marBottom w:val="0"/>
      <w:divBdr>
        <w:top w:val="none" w:sz="0" w:space="0" w:color="auto"/>
        <w:left w:val="none" w:sz="0" w:space="0" w:color="auto"/>
        <w:bottom w:val="none" w:sz="0" w:space="0" w:color="auto"/>
        <w:right w:val="none" w:sz="0" w:space="0" w:color="auto"/>
      </w:divBdr>
    </w:div>
    <w:div w:id="792289668">
      <w:bodyDiv w:val="1"/>
      <w:marLeft w:val="0"/>
      <w:marRight w:val="0"/>
      <w:marTop w:val="0"/>
      <w:marBottom w:val="0"/>
      <w:divBdr>
        <w:top w:val="none" w:sz="0" w:space="0" w:color="auto"/>
        <w:left w:val="none" w:sz="0" w:space="0" w:color="auto"/>
        <w:bottom w:val="none" w:sz="0" w:space="0" w:color="auto"/>
        <w:right w:val="none" w:sz="0" w:space="0" w:color="auto"/>
      </w:divBdr>
    </w:div>
    <w:div w:id="897546361">
      <w:bodyDiv w:val="1"/>
      <w:marLeft w:val="0"/>
      <w:marRight w:val="0"/>
      <w:marTop w:val="0"/>
      <w:marBottom w:val="0"/>
      <w:divBdr>
        <w:top w:val="none" w:sz="0" w:space="0" w:color="auto"/>
        <w:left w:val="none" w:sz="0" w:space="0" w:color="auto"/>
        <w:bottom w:val="none" w:sz="0" w:space="0" w:color="auto"/>
        <w:right w:val="none" w:sz="0" w:space="0" w:color="auto"/>
      </w:divBdr>
    </w:div>
    <w:div w:id="913204609">
      <w:bodyDiv w:val="1"/>
      <w:marLeft w:val="0"/>
      <w:marRight w:val="0"/>
      <w:marTop w:val="0"/>
      <w:marBottom w:val="0"/>
      <w:divBdr>
        <w:top w:val="none" w:sz="0" w:space="0" w:color="auto"/>
        <w:left w:val="none" w:sz="0" w:space="0" w:color="auto"/>
        <w:bottom w:val="none" w:sz="0" w:space="0" w:color="auto"/>
        <w:right w:val="none" w:sz="0" w:space="0" w:color="auto"/>
      </w:divBdr>
    </w:div>
    <w:div w:id="1123188314">
      <w:bodyDiv w:val="1"/>
      <w:marLeft w:val="0"/>
      <w:marRight w:val="0"/>
      <w:marTop w:val="0"/>
      <w:marBottom w:val="0"/>
      <w:divBdr>
        <w:top w:val="none" w:sz="0" w:space="0" w:color="auto"/>
        <w:left w:val="none" w:sz="0" w:space="0" w:color="auto"/>
        <w:bottom w:val="none" w:sz="0" w:space="0" w:color="auto"/>
        <w:right w:val="none" w:sz="0" w:space="0" w:color="auto"/>
      </w:divBdr>
    </w:div>
    <w:div w:id="1237128646">
      <w:bodyDiv w:val="1"/>
      <w:marLeft w:val="0"/>
      <w:marRight w:val="0"/>
      <w:marTop w:val="0"/>
      <w:marBottom w:val="0"/>
      <w:divBdr>
        <w:top w:val="none" w:sz="0" w:space="0" w:color="auto"/>
        <w:left w:val="none" w:sz="0" w:space="0" w:color="auto"/>
        <w:bottom w:val="none" w:sz="0" w:space="0" w:color="auto"/>
        <w:right w:val="none" w:sz="0" w:space="0" w:color="auto"/>
      </w:divBdr>
    </w:div>
    <w:div w:id="1445536863">
      <w:bodyDiv w:val="1"/>
      <w:marLeft w:val="0"/>
      <w:marRight w:val="0"/>
      <w:marTop w:val="0"/>
      <w:marBottom w:val="0"/>
      <w:divBdr>
        <w:top w:val="none" w:sz="0" w:space="0" w:color="auto"/>
        <w:left w:val="none" w:sz="0" w:space="0" w:color="auto"/>
        <w:bottom w:val="none" w:sz="0" w:space="0" w:color="auto"/>
        <w:right w:val="none" w:sz="0" w:space="0" w:color="auto"/>
      </w:divBdr>
    </w:div>
    <w:div w:id="1707294219">
      <w:bodyDiv w:val="1"/>
      <w:marLeft w:val="0"/>
      <w:marRight w:val="0"/>
      <w:marTop w:val="0"/>
      <w:marBottom w:val="0"/>
      <w:divBdr>
        <w:top w:val="none" w:sz="0" w:space="0" w:color="auto"/>
        <w:left w:val="none" w:sz="0" w:space="0" w:color="auto"/>
        <w:bottom w:val="none" w:sz="0" w:space="0" w:color="auto"/>
        <w:right w:val="none" w:sz="0" w:space="0" w:color="auto"/>
      </w:divBdr>
    </w:div>
    <w:div w:id="1760979960">
      <w:bodyDiv w:val="1"/>
      <w:marLeft w:val="0"/>
      <w:marRight w:val="0"/>
      <w:marTop w:val="0"/>
      <w:marBottom w:val="0"/>
      <w:divBdr>
        <w:top w:val="none" w:sz="0" w:space="0" w:color="auto"/>
        <w:left w:val="none" w:sz="0" w:space="0" w:color="auto"/>
        <w:bottom w:val="none" w:sz="0" w:space="0" w:color="auto"/>
        <w:right w:val="none" w:sz="0" w:space="0" w:color="auto"/>
      </w:divBdr>
    </w:div>
    <w:div w:id="1876965618">
      <w:bodyDiv w:val="1"/>
      <w:marLeft w:val="0"/>
      <w:marRight w:val="0"/>
      <w:marTop w:val="0"/>
      <w:marBottom w:val="0"/>
      <w:divBdr>
        <w:top w:val="none" w:sz="0" w:space="0" w:color="auto"/>
        <w:left w:val="none" w:sz="0" w:space="0" w:color="auto"/>
        <w:bottom w:val="none" w:sz="0" w:space="0" w:color="auto"/>
        <w:right w:val="none" w:sz="0" w:space="0" w:color="auto"/>
      </w:divBdr>
    </w:div>
    <w:div w:id="2094931009">
      <w:bodyDiv w:val="1"/>
      <w:marLeft w:val="0"/>
      <w:marRight w:val="0"/>
      <w:marTop w:val="0"/>
      <w:marBottom w:val="0"/>
      <w:divBdr>
        <w:top w:val="none" w:sz="0" w:space="0" w:color="auto"/>
        <w:left w:val="none" w:sz="0" w:space="0" w:color="auto"/>
        <w:bottom w:val="none" w:sz="0" w:space="0" w:color="auto"/>
        <w:right w:val="none" w:sz="0" w:space="0" w:color="auto"/>
      </w:divBdr>
    </w:div>
    <w:div w:id="21140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0889C-2276-4030-AD52-E0A77B3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230</Words>
  <Characters>1314</Characters>
  <Application>Microsoft Office Word</Application>
  <DocSecurity>0</DocSecurity>
  <Lines>10</Lines>
  <Paragraphs>3</Paragraphs>
  <ScaleCrop>false</ScaleCrop>
  <Company/>
  <LinksUpToDate>false</LinksUpToDate>
  <CharactersWithSpaces>1541</CharactersWithSpaces>
  <SharedDoc>false</SharedDoc>
  <HLinks>
    <vt:vector size="24" baseType="variant">
      <vt:variant>
        <vt:i4>1376304</vt:i4>
      </vt:variant>
      <vt:variant>
        <vt:i4>20</vt:i4>
      </vt:variant>
      <vt:variant>
        <vt:i4>0</vt:i4>
      </vt:variant>
      <vt:variant>
        <vt:i4>5</vt:i4>
      </vt:variant>
      <vt:variant>
        <vt:lpwstr/>
      </vt:variant>
      <vt:variant>
        <vt:lpwstr>_Toc181784898</vt:lpwstr>
      </vt:variant>
      <vt:variant>
        <vt:i4>1376304</vt:i4>
      </vt:variant>
      <vt:variant>
        <vt:i4>14</vt:i4>
      </vt:variant>
      <vt:variant>
        <vt:i4>0</vt:i4>
      </vt:variant>
      <vt:variant>
        <vt:i4>5</vt:i4>
      </vt:variant>
      <vt:variant>
        <vt:lpwstr/>
      </vt:variant>
      <vt:variant>
        <vt:lpwstr>_Toc181784897</vt:lpwstr>
      </vt:variant>
      <vt:variant>
        <vt:i4>1376304</vt:i4>
      </vt:variant>
      <vt:variant>
        <vt:i4>8</vt:i4>
      </vt:variant>
      <vt:variant>
        <vt:i4>0</vt:i4>
      </vt:variant>
      <vt:variant>
        <vt:i4>5</vt:i4>
      </vt:variant>
      <vt:variant>
        <vt:lpwstr/>
      </vt:variant>
      <vt:variant>
        <vt:lpwstr>_Toc181784896</vt:lpwstr>
      </vt:variant>
      <vt:variant>
        <vt:i4>1376304</vt:i4>
      </vt:variant>
      <vt:variant>
        <vt:i4>2</vt:i4>
      </vt:variant>
      <vt:variant>
        <vt:i4>0</vt:i4>
      </vt:variant>
      <vt:variant>
        <vt:i4>5</vt:i4>
      </vt:variant>
      <vt:variant>
        <vt:lpwstr/>
      </vt:variant>
      <vt:variant>
        <vt:lpwstr>_Toc181784895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2024-11-06T03:28:00Z</cp:lastPrinted>
  <dcterms:created xsi:type="dcterms:W3CDTF">2024-11-11T07:17:00Z</dcterms:created>
  <dcterms:modified xsi:type="dcterms:W3CDTF">2024-11-11T07:17:00Z</dcterms:modified>
</cp:coreProperties>
</file>