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352" w:rsidRPr="00663DE1" w:rsidRDefault="00072352" w:rsidP="001D3692">
      <w:pPr>
        <w:pStyle w:val="a9"/>
        <w:rPr>
          <w:color w:val="000000"/>
          <w:spacing w:val="-12"/>
        </w:rPr>
      </w:pPr>
      <w:bookmarkStart w:id="0" w:name="_GoBack"/>
      <w:bookmarkEnd w:id="0"/>
      <w:r w:rsidRPr="00663DE1">
        <w:rPr>
          <w:rFonts w:hint="eastAsia"/>
          <w:color w:val="000000"/>
          <w:spacing w:val="-12"/>
        </w:rPr>
        <w:t>財團法人公共電視文化事業基金會</w:t>
      </w:r>
      <w:r w:rsidR="00654E17" w:rsidRPr="00663DE1">
        <w:rPr>
          <w:rFonts w:hint="eastAsia"/>
          <w:color w:val="000000"/>
          <w:spacing w:val="-12"/>
        </w:rPr>
        <w:t>11</w:t>
      </w:r>
      <w:r w:rsidR="005C5142" w:rsidRPr="00663DE1">
        <w:rPr>
          <w:rFonts w:hint="eastAsia"/>
          <w:color w:val="000000"/>
          <w:spacing w:val="-12"/>
        </w:rPr>
        <w:t>4</w:t>
      </w:r>
      <w:r w:rsidR="00654E17" w:rsidRPr="00663DE1">
        <w:rPr>
          <w:rFonts w:hint="eastAsia"/>
          <w:color w:val="000000"/>
          <w:spacing w:val="-12"/>
        </w:rPr>
        <w:t>年度</w:t>
      </w:r>
      <w:r w:rsidRPr="00663DE1">
        <w:rPr>
          <w:rFonts w:hint="eastAsia"/>
          <w:color w:val="000000"/>
          <w:spacing w:val="-12"/>
        </w:rPr>
        <w:t>預算評估報告</w:t>
      </w:r>
    </w:p>
    <w:p w:rsidR="009135F3" w:rsidRPr="00663DE1" w:rsidRDefault="00266E9C" w:rsidP="00072352">
      <w:pPr>
        <w:adjustRightInd w:val="0"/>
        <w:ind w:leftChars="0" w:left="0" w:firstLine="566"/>
        <w:rPr>
          <w:color w:val="000000"/>
        </w:rPr>
      </w:pPr>
      <w:r w:rsidRPr="00663DE1">
        <w:rPr>
          <w:rFonts w:hint="eastAsia"/>
          <w:color w:val="000000"/>
        </w:rPr>
        <w:t>財團法人公共電視文化事業基金會(簡稱公視基金會)11</w:t>
      </w:r>
      <w:r w:rsidR="00F46137" w:rsidRPr="00663DE1">
        <w:rPr>
          <w:rFonts w:hint="eastAsia"/>
          <w:color w:val="000000"/>
        </w:rPr>
        <w:t>4</w:t>
      </w:r>
      <w:r w:rsidRPr="00663DE1">
        <w:rPr>
          <w:rFonts w:hint="eastAsia"/>
          <w:color w:val="000000"/>
        </w:rPr>
        <w:t>年度預算案收入合計</w:t>
      </w:r>
      <w:r w:rsidR="00F46137" w:rsidRPr="00663DE1">
        <w:rPr>
          <w:rFonts w:hint="eastAsia"/>
          <w:color w:val="000000"/>
        </w:rPr>
        <w:t>42</w:t>
      </w:r>
      <w:r w:rsidRPr="00663DE1">
        <w:rPr>
          <w:rFonts w:hint="eastAsia"/>
          <w:color w:val="000000"/>
        </w:rPr>
        <w:t>億</w:t>
      </w:r>
      <w:r w:rsidR="00F46137" w:rsidRPr="00663DE1">
        <w:rPr>
          <w:rFonts w:hint="eastAsia"/>
          <w:color w:val="000000"/>
        </w:rPr>
        <w:t>5</w:t>
      </w:r>
      <w:r w:rsidRPr="00663DE1">
        <w:rPr>
          <w:rFonts w:hint="eastAsia"/>
          <w:color w:val="000000"/>
        </w:rPr>
        <w:t>,4</w:t>
      </w:r>
      <w:r w:rsidR="00F46137" w:rsidRPr="00663DE1">
        <w:rPr>
          <w:rFonts w:hint="eastAsia"/>
          <w:color w:val="000000"/>
        </w:rPr>
        <w:t>11</w:t>
      </w:r>
      <w:r w:rsidRPr="00663DE1">
        <w:rPr>
          <w:rFonts w:hint="eastAsia"/>
          <w:color w:val="000000"/>
        </w:rPr>
        <w:t>萬</w:t>
      </w:r>
      <w:r w:rsidR="00F46137" w:rsidRPr="00663DE1">
        <w:rPr>
          <w:rFonts w:hint="eastAsia"/>
          <w:color w:val="000000"/>
        </w:rPr>
        <w:t>1</w:t>
      </w:r>
      <w:r w:rsidRPr="00663DE1">
        <w:rPr>
          <w:rFonts w:hint="eastAsia"/>
          <w:color w:val="000000"/>
        </w:rPr>
        <w:t>千元</w:t>
      </w:r>
      <w:r w:rsidRPr="00663DE1">
        <w:rPr>
          <w:rFonts w:hAnsi="標楷體" w:hint="eastAsia"/>
          <w:color w:val="000000"/>
        </w:rPr>
        <w:t>、</w:t>
      </w:r>
      <w:r w:rsidRPr="00663DE1">
        <w:rPr>
          <w:rFonts w:hint="eastAsia"/>
          <w:color w:val="000000"/>
        </w:rPr>
        <w:t>支出合計</w:t>
      </w:r>
      <w:r w:rsidR="00F46137" w:rsidRPr="00663DE1">
        <w:rPr>
          <w:rFonts w:hint="eastAsia"/>
          <w:color w:val="000000"/>
        </w:rPr>
        <w:t>44</w:t>
      </w:r>
      <w:r w:rsidRPr="00663DE1">
        <w:rPr>
          <w:rFonts w:hint="eastAsia"/>
          <w:color w:val="000000"/>
        </w:rPr>
        <w:t>億</w:t>
      </w:r>
      <w:r w:rsidR="00F46137" w:rsidRPr="00663DE1">
        <w:rPr>
          <w:rFonts w:hint="eastAsia"/>
          <w:color w:val="000000"/>
        </w:rPr>
        <w:t>6</w:t>
      </w:r>
      <w:r w:rsidRPr="00663DE1">
        <w:rPr>
          <w:rFonts w:hint="eastAsia"/>
          <w:color w:val="000000"/>
        </w:rPr>
        <w:t>,</w:t>
      </w:r>
      <w:r w:rsidR="00F46137" w:rsidRPr="00663DE1">
        <w:rPr>
          <w:rFonts w:hint="eastAsia"/>
          <w:color w:val="000000"/>
        </w:rPr>
        <w:t>933</w:t>
      </w:r>
      <w:r w:rsidRPr="00663DE1">
        <w:rPr>
          <w:rFonts w:hint="eastAsia"/>
          <w:color w:val="000000"/>
        </w:rPr>
        <w:t>萬</w:t>
      </w:r>
      <w:r w:rsidR="003D608F" w:rsidRPr="00663DE1">
        <w:rPr>
          <w:rFonts w:hint="eastAsia"/>
          <w:color w:val="000000"/>
        </w:rPr>
        <w:t>4千</w:t>
      </w:r>
      <w:r w:rsidRPr="00663DE1">
        <w:rPr>
          <w:rFonts w:hint="eastAsia"/>
          <w:color w:val="000000"/>
        </w:rPr>
        <w:t>元</w:t>
      </w:r>
      <w:r w:rsidR="00121328" w:rsidRPr="00663DE1">
        <w:rPr>
          <w:rFonts w:hint="eastAsia"/>
          <w:color w:val="000000"/>
        </w:rPr>
        <w:t>，</w:t>
      </w:r>
      <w:r w:rsidRPr="00663DE1">
        <w:rPr>
          <w:rFonts w:hAnsi="標楷體" w:hint="eastAsia"/>
          <w:color w:val="000000"/>
        </w:rPr>
        <w:t>收支相抵後</w:t>
      </w:r>
      <w:r w:rsidRPr="00663DE1">
        <w:rPr>
          <w:rFonts w:hint="eastAsia"/>
          <w:color w:val="000000"/>
        </w:rPr>
        <w:t>短絀2億</w:t>
      </w:r>
      <w:r w:rsidR="00F46137" w:rsidRPr="00663DE1">
        <w:rPr>
          <w:rFonts w:hint="eastAsia"/>
          <w:color w:val="000000"/>
        </w:rPr>
        <w:t>1</w:t>
      </w:r>
      <w:r w:rsidRPr="00663DE1">
        <w:rPr>
          <w:rFonts w:hint="eastAsia"/>
          <w:color w:val="000000"/>
        </w:rPr>
        <w:t>,</w:t>
      </w:r>
      <w:r w:rsidR="003D608F" w:rsidRPr="00663DE1">
        <w:rPr>
          <w:rFonts w:hint="eastAsia"/>
          <w:color w:val="000000"/>
        </w:rPr>
        <w:t>5</w:t>
      </w:r>
      <w:r w:rsidR="00F46137" w:rsidRPr="00663DE1">
        <w:rPr>
          <w:rFonts w:hint="eastAsia"/>
          <w:color w:val="000000"/>
        </w:rPr>
        <w:t>22</w:t>
      </w:r>
      <w:r w:rsidRPr="00663DE1">
        <w:rPr>
          <w:rFonts w:hint="eastAsia"/>
          <w:color w:val="000000"/>
        </w:rPr>
        <w:t>萬</w:t>
      </w:r>
      <w:r w:rsidR="00F46137" w:rsidRPr="00663DE1">
        <w:rPr>
          <w:rFonts w:hint="eastAsia"/>
          <w:color w:val="000000"/>
        </w:rPr>
        <w:t>3千</w:t>
      </w:r>
      <w:r w:rsidRPr="00663DE1">
        <w:rPr>
          <w:rFonts w:hint="eastAsia"/>
          <w:color w:val="000000"/>
        </w:rPr>
        <w:t>元，較11</w:t>
      </w:r>
      <w:r w:rsidR="00F46137" w:rsidRPr="00663DE1">
        <w:rPr>
          <w:rFonts w:hint="eastAsia"/>
          <w:color w:val="000000"/>
        </w:rPr>
        <w:t>3</w:t>
      </w:r>
      <w:r w:rsidRPr="00663DE1">
        <w:rPr>
          <w:rFonts w:hint="eastAsia"/>
          <w:color w:val="000000"/>
        </w:rPr>
        <w:t>年度預算減少短絀</w:t>
      </w:r>
      <w:r w:rsidR="00F46137" w:rsidRPr="00663DE1">
        <w:rPr>
          <w:rFonts w:hint="eastAsia"/>
          <w:color w:val="000000"/>
        </w:rPr>
        <w:t>1</w:t>
      </w:r>
      <w:r w:rsidRPr="00663DE1">
        <w:rPr>
          <w:rFonts w:hint="eastAsia"/>
          <w:color w:val="000000"/>
        </w:rPr>
        <w:t>,</w:t>
      </w:r>
      <w:r w:rsidR="00F46137" w:rsidRPr="00663DE1">
        <w:rPr>
          <w:rFonts w:hint="eastAsia"/>
          <w:color w:val="000000"/>
        </w:rPr>
        <w:t>032</w:t>
      </w:r>
      <w:r w:rsidRPr="00663DE1">
        <w:rPr>
          <w:rFonts w:hint="eastAsia"/>
          <w:color w:val="000000"/>
        </w:rPr>
        <w:t>萬</w:t>
      </w:r>
      <w:r w:rsidR="00F46137" w:rsidRPr="00663DE1">
        <w:rPr>
          <w:rFonts w:hint="eastAsia"/>
          <w:color w:val="000000"/>
        </w:rPr>
        <w:t>7</w:t>
      </w:r>
      <w:r w:rsidRPr="00663DE1">
        <w:rPr>
          <w:rFonts w:hint="eastAsia"/>
          <w:color w:val="000000"/>
        </w:rPr>
        <w:t>千元</w:t>
      </w:r>
      <w:r w:rsidR="00F46137" w:rsidRPr="00663DE1">
        <w:rPr>
          <w:rFonts w:hint="eastAsia"/>
          <w:color w:val="000000"/>
        </w:rPr>
        <w:t>，減幅4.58%</w:t>
      </w:r>
      <w:r w:rsidRPr="00663DE1">
        <w:rPr>
          <w:rFonts w:hint="eastAsia"/>
          <w:color w:val="000000"/>
        </w:rPr>
        <w:t>。謹就公視基金會11</w:t>
      </w:r>
      <w:r w:rsidR="00F46137" w:rsidRPr="00663DE1">
        <w:rPr>
          <w:rFonts w:hint="eastAsia"/>
          <w:color w:val="000000"/>
        </w:rPr>
        <w:t>4</w:t>
      </w:r>
      <w:r w:rsidRPr="00663DE1">
        <w:rPr>
          <w:rFonts w:hint="eastAsia"/>
          <w:color w:val="000000"/>
        </w:rPr>
        <w:t>年度預算案評估如下：</w:t>
      </w:r>
    </w:p>
    <w:p w:rsidR="00A82F3B" w:rsidRPr="00663DE1" w:rsidRDefault="000D75EB" w:rsidP="004B07BB">
      <w:pPr>
        <w:pStyle w:val="14"/>
        <w:spacing w:beforeLines="100" w:before="500"/>
        <w:ind w:left="567" w:hanging="567"/>
        <w:rPr>
          <w:color w:val="000000"/>
        </w:rPr>
      </w:pPr>
      <w:bookmarkStart w:id="1" w:name="_Toc82531827"/>
      <w:bookmarkStart w:id="2" w:name="_Toc117151398"/>
      <w:bookmarkStart w:id="3" w:name="_Toc181784897"/>
      <w:r w:rsidRPr="00663DE1">
        <w:rPr>
          <w:rFonts w:hint="eastAsia"/>
          <w:color w:val="000000"/>
        </w:rPr>
        <w:t>三</w:t>
      </w:r>
      <w:r w:rsidR="009E71C3" w:rsidRPr="00663DE1">
        <w:rPr>
          <w:rFonts w:hint="eastAsia"/>
          <w:color w:val="000000"/>
        </w:rPr>
        <w:t>、</w:t>
      </w:r>
      <w:r w:rsidRPr="00663DE1">
        <w:rPr>
          <w:rFonts w:hint="eastAsia"/>
          <w:color w:val="000000"/>
        </w:rPr>
        <w:t>收入來源仰賴政府益深，</w:t>
      </w:r>
      <w:r w:rsidR="002B6D2A" w:rsidRPr="00663DE1">
        <w:rPr>
          <w:rFonts w:hint="eastAsia"/>
          <w:color w:val="000000"/>
        </w:rPr>
        <w:t>惟</w:t>
      </w:r>
      <w:r w:rsidRPr="00663DE1">
        <w:rPr>
          <w:rFonts w:hint="eastAsia"/>
          <w:color w:val="000000"/>
        </w:rPr>
        <w:t>仍</w:t>
      </w:r>
      <w:r w:rsidR="009E71C3" w:rsidRPr="00663DE1">
        <w:rPr>
          <w:rFonts w:hint="eastAsia"/>
          <w:color w:val="000000"/>
        </w:rPr>
        <w:t>連年短絀，</w:t>
      </w:r>
      <w:bookmarkEnd w:id="1"/>
      <w:r w:rsidRPr="00663DE1">
        <w:rPr>
          <w:rFonts w:hint="eastAsia"/>
          <w:color w:val="000000"/>
        </w:rPr>
        <w:t>允</w:t>
      </w:r>
      <w:r w:rsidR="009E71C3" w:rsidRPr="00663DE1">
        <w:rPr>
          <w:rFonts w:hint="eastAsia"/>
          <w:color w:val="000000"/>
        </w:rPr>
        <w:t>宜</w:t>
      </w:r>
      <w:r w:rsidR="007B0866" w:rsidRPr="00663DE1">
        <w:rPr>
          <w:rFonts w:hint="eastAsia"/>
          <w:color w:val="000000"/>
        </w:rPr>
        <w:t>積極</w:t>
      </w:r>
      <w:r w:rsidR="009E71C3" w:rsidRPr="00663DE1">
        <w:rPr>
          <w:rFonts w:hint="eastAsia"/>
          <w:color w:val="000000"/>
        </w:rPr>
        <w:t>拓展</w:t>
      </w:r>
      <w:r w:rsidR="007B0866" w:rsidRPr="00663DE1">
        <w:rPr>
          <w:rFonts w:hint="eastAsia"/>
          <w:color w:val="000000"/>
        </w:rPr>
        <w:t>自籌</w:t>
      </w:r>
      <w:r w:rsidR="009E71C3" w:rsidRPr="00663DE1">
        <w:rPr>
          <w:rFonts w:hint="eastAsia"/>
          <w:color w:val="000000"/>
        </w:rPr>
        <w:t>財源</w:t>
      </w:r>
      <w:bookmarkEnd w:id="2"/>
      <w:r w:rsidR="002B6D2A" w:rsidRPr="00663DE1">
        <w:rPr>
          <w:rFonts w:hint="eastAsia"/>
          <w:color w:val="000000"/>
        </w:rPr>
        <w:t>及</w:t>
      </w:r>
      <w:r w:rsidRPr="00663DE1">
        <w:rPr>
          <w:rFonts w:hint="eastAsia"/>
          <w:color w:val="000000"/>
        </w:rPr>
        <w:t>提升營運績效</w:t>
      </w:r>
      <w:bookmarkEnd w:id="3"/>
    </w:p>
    <w:p w:rsidR="00C02BD1" w:rsidRPr="00663DE1" w:rsidRDefault="00F46137" w:rsidP="00D215F8">
      <w:pPr>
        <w:ind w:left="566" w:firstLine="566"/>
        <w:rPr>
          <w:color w:val="000000"/>
        </w:rPr>
      </w:pPr>
      <w:r w:rsidRPr="00663DE1">
        <w:rPr>
          <w:rFonts w:hint="eastAsia"/>
          <w:color w:val="000000"/>
        </w:rPr>
        <w:t>公視基金會114年度預算案</w:t>
      </w:r>
      <w:r w:rsidR="003476F0" w:rsidRPr="00663DE1">
        <w:rPr>
          <w:rFonts w:hint="eastAsia"/>
          <w:color w:val="000000"/>
        </w:rPr>
        <w:t>總</w:t>
      </w:r>
      <w:r w:rsidRPr="00663DE1">
        <w:rPr>
          <w:rFonts w:hint="eastAsia"/>
          <w:color w:val="000000"/>
        </w:rPr>
        <w:t>收入42億5,411萬1千元</w:t>
      </w:r>
      <w:r w:rsidRPr="00663DE1">
        <w:rPr>
          <w:rFonts w:hAnsi="標楷體" w:hint="eastAsia"/>
          <w:color w:val="000000"/>
        </w:rPr>
        <w:t>、</w:t>
      </w:r>
      <w:r w:rsidR="003476F0" w:rsidRPr="00663DE1">
        <w:rPr>
          <w:rFonts w:hAnsi="標楷體" w:hint="eastAsia"/>
          <w:color w:val="000000"/>
        </w:rPr>
        <w:t>總</w:t>
      </w:r>
      <w:r w:rsidRPr="00663DE1">
        <w:rPr>
          <w:rFonts w:hint="eastAsia"/>
          <w:color w:val="000000"/>
        </w:rPr>
        <w:t>支出44億6,933萬4千元</w:t>
      </w:r>
      <w:r w:rsidRPr="00663DE1">
        <w:rPr>
          <w:rFonts w:hAnsi="標楷體" w:hint="eastAsia"/>
          <w:color w:val="000000"/>
        </w:rPr>
        <w:t>、收支相抵後</w:t>
      </w:r>
      <w:r w:rsidRPr="00663DE1">
        <w:rPr>
          <w:rFonts w:hint="eastAsia"/>
          <w:color w:val="000000"/>
        </w:rPr>
        <w:t>短絀2億1,522萬3千元。</w:t>
      </w:r>
      <w:r w:rsidR="003738A4" w:rsidRPr="00663DE1">
        <w:rPr>
          <w:rFonts w:hint="eastAsia"/>
          <w:color w:val="000000"/>
        </w:rPr>
        <w:t>茲說明如下：</w:t>
      </w:r>
    </w:p>
    <w:p w:rsidR="00BC33F6" w:rsidRPr="00C02BD1" w:rsidRDefault="00BC33F6" w:rsidP="00BC33F6">
      <w:pPr>
        <w:pStyle w:val="a4"/>
        <w:ind w:left="849" w:hanging="283"/>
        <w:rPr>
          <w:b/>
        </w:rPr>
      </w:pPr>
      <w:r w:rsidRPr="00C02BD1">
        <w:rPr>
          <w:rFonts w:hint="eastAsia"/>
          <w:b/>
        </w:rPr>
        <w:t>(一)</w:t>
      </w:r>
      <w:r w:rsidR="00A56673" w:rsidRPr="00C02BD1">
        <w:rPr>
          <w:rFonts w:hint="eastAsia"/>
          <w:b/>
        </w:rPr>
        <w:t>公視</w:t>
      </w:r>
      <w:r w:rsidRPr="00C02BD1">
        <w:rPr>
          <w:rFonts w:hint="eastAsia"/>
          <w:b/>
        </w:rPr>
        <w:t>經費來源</w:t>
      </w:r>
      <w:r w:rsidR="00C02BD1" w:rsidRPr="00C02BD1">
        <w:rPr>
          <w:rFonts w:hint="eastAsia"/>
          <w:b/>
        </w:rPr>
        <w:t>除來自政府預算資源</w:t>
      </w:r>
      <w:r w:rsidR="002B6D2A">
        <w:rPr>
          <w:rFonts w:hint="eastAsia"/>
          <w:b/>
        </w:rPr>
        <w:t>外</w:t>
      </w:r>
      <w:r w:rsidR="00C02BD1" w:rsidRPr="00C02BD1">
        <w:rPr>
          <w:rFonts w:hint="eastAsia"/>
          <w:b/>
        </w:rPr>
        <w:t>，尚包括自籌財源</w:t>
      </w:r>
    </w:p>
    <w:p w:rsidR="00BC33F6" w:rsidRDefault="00BC33F6" w:rsidP="00BC33F6">
      <w:pPr>
        <w:pStyle w:val="21"/>
        <w:ind w:left="850" w:firstLine="566"/>
      </w:pPr>
      <w:r w:rsidRPr="005C5142">
        <w:rPr>
          <w:rFonts w:hint="eastAsia"/>
        </w:rPr>
        <w:t>公視基金會係依公共電視法第2條第1項規定</w:t>
      </w:r>
      <w:r w:rsidR="008700FA">
        <w:rPr>
          <w:rStyle w:val="af5"/>
        </w:rPr>
        <w:footnoteReference w:id="1"/>
      </w:r>
      <w:r w:rsidRPr="005C5142">
        <w:rPr>
          <w:rFonts w:hint="eastAsia"/>
        </w:rPr>
        <w:t>成立</w:t>
      </w:r>
      <w:r w:rsidR="009B316B">
        <w:rPr>
          <w:rFonts w:hint="eastAsia"/>
        </w:rPr>
        <w:t>，</w:t>
      </w:r>
      <w:r w:rsidRPr="005C5142">
        <w:rPr>
          <w:rFonts w:hint="eastAsia"/>
        </w:rPr>
        <w:t>依同法第28條規定</w:t>
      </w:r>
      <w:r w:rsidR="00A56673">
        <w:rPr>
          <w:rStyle w:val="af5"/>
        </w:rPr>
        <w:footnoteReference w:id="2"/>
      </w:r>
      <w:r w:rsidR="00A56673">
        <w:rPr>
          <w:rFonts w:hint="eastAsia"/>
        </w:rPr>
        <w:t>略以</w:t>
      </w:r>
      <w:r w:rsidRPr="005C5142">
        <w:rPr>
          <w:rFonts w:hint="eastAsia"/>
        </w:rPr>
        <w:t>，其經費來源包括文化發展基金之核撥、政府編列預算之捐贈</w:t>
      </w:r>
      <w:r w:rsidR="00A56673">
        <w:rPr>
          <w:rFonts w:hint="eastAsia"/>
        </w:rPr>
        <w:t>與補助</w:t>
      </w:r>
      <w:r w:rsidRPr="005C5142">
        <w:rPr>
          <w:rFonts w:hint="eastAsia"/>
        </w:rPr>
        <w:t>、基金運用之孳息、營運收入、投資他事業之收入、國內外公私機構、團體或個人之捐贈及其他收入。據此，公視基金會收入來源除來自政府預算資源</w:t>
      </w:r>
      <w:r w:rsidR="002B6D2A">
        <w:rPr>
          <w:rFonts w:hint="eastAsia"/>
        </w:rPr>
        <w:t>外</w:t>
      </w:r>
      <w:r w:rsidRPr="005C5142">
        <w:rPr>
          <w:rFonts w:hint="eastAsia"/>
        </w:rPr>
        <w:t>，尚包括自籌財源。</w:t>
      </w:r>
    </w:p>
    <w:p w:rsidR="00C02BD1" w:rsidRPr="000D75EB" w:rsidRDefault="00C02BD1" w:rsidP="00C02BD1">
      <w:pPr>
        <w:pStyle w:val="a4"/>
        <w:ind w:left="849" w:hanging="283"/>
        <w:rPr>
          <w:b/>
        </w:rPr>
      </w:pPr>
      <w:r w:rsidRPr="000D75EB">
        <w:rPr>
          <w:rFonts w:hint="eastAsia"/>
          <w:b/>
        </w:rPr>
        <w:t>(二)</w:t>
      </w:r>
      <w:r w:rsidR="000D75EB" w:rsidRPr="000D75EB">
        <w:rPr>
          <w:rFonts w:hint="eastAsia"/>
          <w:b/>
        </w:rPr>
        <w:t>收入來源仰賴政府益深，且連年短絀，有待提升營運績效</w:t>
      </w:r>
    </w:p>
    <w:p w:rsidR="00D25E98" w:rsidRPr="005C5142" w:rsidRDefault="00083B50" w:rsidP="00083B50">
      <w:pPr>
        <w:pStyle w:val="123"/>
        <w:ind w:left="1133" w:hanging="283"/>
      </w:pPr>
      <w:r>
        <w:rPr>
          <w:rFonts w:hint="eastAsia"/>
        </w:rPr>
        <w:t>1.</w:t>
      </w:r>
      <w:r w:rsidR="00D25E98" w:rsidRPr="005C5142">
        <w:rPr>
          <w:rFonts w:hint="eastAsia"/>
        </w:rPr>
        <w:t>公視基金會1</w:t>
      </w:r>
      <w:r w:rsidR="00D25E98">
        <w:rPr>
          <w:rFonts w:hint="eastAsia"/>
        </w:rPr>
        <w:t>10</w:t>
      </w:r>
      <w:r w:rsidR="00D25E98" w:rsidRPr="005C5142">
        <w:rPr>
          <w:rFonts w:hint="eastAsia"/>
        </w:rPr>
        <w:t>至</w:t>
      </w:r>
      <w:r w:rsidR="00D25E98" w:rsidRPr="005C5142">
        <w:t>11</w:t>
      </w:r>
      <w:r w:rsidR="00D25E98">
        <w:rPr>
          <w:rFonts w:hint="eastAsia"/>
        </w:rPr>
        <w:t>2</w:t>
      </w:r>
      <w:r w:rsidR="00D25E98" w:rsidRPr="005C5142">
        <w:t>年度</w:t>
      </w:r>
      <w:r w:rsidR="00D25E98">
        <w:rPr>
          <w:rFonts w:hint="eastAsia"/>
        </w:rPr>
        <w:t>決算</w:t>
      </w:r>
      <w:r w:rsidR="00D25E98" w:rsidRPr="005C5142">
        <w:t>短絀</w:t>
      </w:r>
      <w:r w:rsidR="00D25E98" w:rsidRPr="005C5142">
        <w:rPr>
          <w:rFonts w:hint="eastAsia"/>
        </w:rPr>
        <w:t>介於</w:t>
      </w:r>
      <w:r w:rsidR="00D25E98" w:rsidRPr="005C5142">
        <w:t>1億</w:t>
      </w:r>
      <w:r w:rsidR="00D25E98" w:rsidRPr="005C5142">
        <w:rPr>
          <w:rFonts w:hint="eastAsia"/>
          <w:snapToGrid/>
        </w:rPr>
        <w:t>2,958萬元至2</w:t>
      </w:r>
      <w:r w:rsidR="00D25E98" w:rsidRPr="005C5142">
        <w:t>億</w:t>
      </w:r>
      <w:r w:rsidR="00D25E98">
        <w:rPr>
          <w:rFonts w:hint="eastAsia"/>
        </w:rPr>
        <w:t>6</w:t>
      </w:r>
      <w:r w:rsidR="00D25E98" w:rsidRPr="005C5142">
        <w:rPr>
          <w:rFonts w:hint="eastAsia"/>
          <w:snapToGrid/>
        </w:rPr>
        <w:t>,</w:t>
      </w:r>
      <w:r w:rsidR="00D25E98">
        <w:rPr>
          <w:rFonts w:hint="eastAsia"/>
          <w:snapToGrid/>
        </w:rPr>
        <w:t>589</w:t>
      </w:r>
      <w:r w:rsidR="00D25E98" w:rsidRPr="005C5142">
        <w:rPr>
          <w:rFonts w:hint="eastAsia"/>
          <w:snapToGrid/>
        </w:rPr>
        <w:t>萬</w:t>
      </w:r>
      <w:r w:rsidR="00D25E98">
        <w:rPr>
          <w:rFonts w:hint="eastAsia"/>
          <w:snapToGrid/>
        </w:rPr>
        <w:t>7</w:t>
      </w:r>
      <w:r w:rsidR="00D25E98" w:rsidRPr="005C5142">
        <w:rPr>
          <w:rFonts w:hint="eastAsia"/>
          <w:snapToGrid/>
        </w:rPr>
        <w:t>千元間</w:t>
      </w:r>
      <w:r w:rsidR="00CB6096">
        <w:rPr>
          <w:rFonts w:hint="eastAsia"/>
          <w:snapToGrid/>
        </w:rPr>
        <w:t>，113及114年度仍預計短絀各為2億2</w:t>
      </w:r>
      <w:r w:rsidR="00CB6096" w:rsidRPr="005C5142">
        <w:rPr>
          <w:rFonts w:hint="eastAsia"/>
          <w:snapToGrid/>
        </w:rPr>
        <w:t>,</w:t>
      </w:r>
      <w:r w:rsidR="00CB6096">
        <w:rPr>
          <w:rFonts w:hint="eastAsia"/>
          <w:snapToGrid/>
        </w:rPr>
        <w:t>555</w:t>
      </w:r>
      <w:r w:rsidR="00CB6096" w:rsidRPr="005C5142">
        <w:rPr>
          <w:rFonts w:hint="eastAsia"/>
          <w:snapToGrid/>
        </w:rPr>
        <w:t>萬元</w:t>
      </w:r>
      <w:r w:rsidR="00CB6096">
        <w:rPr>
          <w:rFonts w:hint="eastAsia"/>
          <w:snapToGrid/>
        </w:rPr>
        <w:t>及2億1</w:t>
      </w:r>
      <w:r w:rsidR="00CB6096" w:rsidRPr="005C5142">
        <w:rPr>
          <w:rFonts w:hint="eastAsia"/>
          <w:snapToGrid/>
        </w:rPr>
        <w:t>,</w:t>
      </w:r>
      <w:r w:rsidR="00CB6096">
        <w:rPr>
          <w:rFonts w:hint="eastAsia"/>
          <w:snapToGrid/>
        </w:rPr>
        <w:t>522</w:t>
      </w:r>
      <w:r w:rsidR="00CB6096" w:rsidRPr="005C5142">
        <w:rPr>
          <w:rFonts w:hint="eastAsia"/>
          <w:snapToGrid/>
        </w:rPr>
        <w:t>萬</w:t>
      </w:r>
      <w:r w:rsidR="00CB6096">
        <w:rPr>
          <w:rFonts w:hint="eastAsia"/>
          <w:snapToGrid/>
        </w:rPr>
        <w:t>3千</w:t>
      </w:r>
      <w:r w:rsidR="00CB6096" w:rsidRPr="005C5142">
        <w:rPr>
          <w:rFonts w:hint="eastAsia"/>
          <w:snapToGrid/>
        </w:rPr>
        <w:t>元</w:t>
      </w:r>
      <w:r w:rsidR="009B316B">
        <w:rPr>
          <w:rFonts w:hint="eastAsia"/>
          <w:snapToGrid/>
        </w:rPr>
        <w:t>；</w:t>
      </w:r>
      <w:r w:rsidR="00D25E98" w:rsidRPr="005C5142">
        <w:rPr>
          <w:rFonts w:hint="eastAsia"/>
          <w:snapToGrid/>
        </w:rPr>
        <w:t>若</w:t>
      </w:r>
      <w:r w:rsidR="00D25E98" w:rsidRPr="005C5142">
        <w:t>扣除</w:t>
      </w:r>
      <w:r w:rsidR="00D25E98" w:rsidRPr="005C5142">
        <w:rPr>
          <w:rFonts w:hint="eastAsia"/>
        </w:rPr>
        <w:t>依權益法認列</w:t>
      </w:r>
      <w:r w:rsidR="00D25E98" w:rsidRPr="005C5142">
        <w:rPr>
          <w:rFonts w:hint="eastAsia"/>
        </w:rPr>
        <w:lastRenderedPageBreak/>
        <w:t>華視投資損失後，除1</w:t>
      </w:r>
      <w:r w:rsidR="00CB6096">
        <w:rPr>
          <w:rFonts w:hint="eastAsia"/>
        </w:rPr>
        <w:t>12</w:t>
      </w:r>
      <w:r w:rsidR="00D25E98" w:rsidRPr="005C5142">
        <w:rPr>
          <w:rFonts w:hint="eastAsia"/>
        </w:rPr>
        <w:t>年度</w:t>
      </w:r>
      <w:r w:rsidR="002B6D2A">
        <w:rPr>
          <w:rFonts w:hint="eastAsia"/>
        </w:rPr>
        <w:t>決算</w:t>
      </w:r>
      <w:r w:rsidR="00D25E98" w:rsidRPr="005C5142">
        <w:rPr>
          <w:rFonts w:hint="eastAsia"/>
        </w:rPr>
        <w:t>外</w:t>
      </w:r>
      <w:r w:rsidR="002B6D2A">
        <w:rPr>
          <w:rFonts w:hint="eastAsia"/>
        </w:rPr>
        <w:t>，</w:t>
      </w:r>
      <w:r w:rsidR="00D25E98" w:rsidRPr="005C5142">
        <w:rPr>
          <w:rFonts w:hint="eastAsia"/>
        </w:rPr>
        <w:t>各年度仍為短絀，介於2,442萬元及</w:t>
      </w:r>
      <w:r w:rsidR="002B6D2A">
        <w:rPr>
          <w:rFonts w:hint="eastAsia"/>
        </w:rPr>
        <w:t>1億4</w:t>
      </w:r>
      <w:r w:rsidR="00D25E98" w:rsidRPr="005C5142">
        <w:rPr>
          <w:rFonts w:hint="eastAsia"/>
        </w:rPr>
        <w:t>,</w:t>
      </w:r>
      <w:r w:rsidR="002B6D2A">
        <w:rPr>
          <w:rFonts w:hint="eastAsia"/>
        </w:rPr>
        <w:t>464</w:t>
      </w:r>
      <w:r w:rsidR="00D25E98" w:rsidRPr="005C5142">
        <w:rPr>
          <w:rFonts w:hint="eastAsia"/>
        </w:rPr>
        <w:t>萬</w:t>
      </w:r>
      <w:r w:rsidR="002B6D2A">
        <w:rPr>
          <w:rFonts w:hint="eastAsia"/>
        </w:rPr>
        <w:t>1</w:t>
      </w:r>
      <w:r w:rsidR="00D25E98" w:rsidRPr="005C5142">
        <w:rPr>
          <w:rFonts w:hint="eastAsia"/>
        </w:rPr>
        <w:t>千元間(詳表1)，顯示公視基金會營運績效未盡理想。</w:t>
      </w:r>
    </w:p>
    <w:p w:rsidR="00C02BD1" w:rsidRPr="00663DE1" w:rsidRDefault="00083B50" w:rsidP="000D75EB">
      <w:pPr>
        <w:pStyle w:val="123"/>
        <w:ind w:left="1133" w:hanging="283"/>
        <w:rPr>
          <w:color w:val="2F5496"/>
        </w:rPr>
      </w:pPr>
      <w:r>
        <w:rPr>
          <w:rFonts w:hint="eastAsia"/>
        </w:rPr>
        <w:t>2.</w:t>
      </w:r>
      <w:r w:rsidR="00BC33F6" w:rsidRPr="005C5142">
        <w:rPr>
          <w:rFonts w:hint="eastAsia"/>
        </w:rPr>
        <w:t>該基金會</w:t>
      </w:r>
      <w:r>
        <w:rPr>
          <w:rFonts w:hint="eastAsia"/>
        </w:rPr>
        <w:t>自籌收入包含銷貨收入、活動收入、代製節目收入、受贈收入、</w:t>
      </w:r>
      <w:r w:rsidR="00057D00">
        <w:rPr>
          <w:rFonts w:hint="eastAsia"/>
        </w:rPr>
        <w:t>租金、廣告收入及財務</w:t>
      </w:r>
      <w:r>
        <w:rPr>
          <w:rFonts w:hint="eastAsia"/>
        </w:rPr>
        <w:t>收入</w:t>
      </w:r>
      <w:r w:rsidR="00057D00">
        <w:rPr>
          <w:rFonts w:hint="eastAsia"/>
        </w:rPr>
        <w:t>等，</w:t>
      </w:r>
      <w:r>
        <w:rPr>
          <w:rFonts w:hint="eastAsia"/>
        </w:rPr>
        <w:t>110至112年度決算</w:t>
      </w:r>
      <w:r w:rsidR="00057D00">
        <w:rPr>
          <w:rFonts w:hint="eastAsia"/>
        </w:rPr>
        <w:t>自籌收入</w:t>
      </w:r>
      <w:r w:rsidR="00E01C41">
        <w:rPr>
          <w:rFonts w:hint="eastAsia"/>
        </w:rPr>
        <w:t>由4億2</w:t>
      </w:r>
      <w:r w:rsidR="00E01C41">
        <w:t>,317</w:t>
      </w:r>
      <w:r w:rsidR="00E01C41">
        <w:rPr>
          <w:rFonts w:hint="eastAsia"/>
        </w:rPr>
        <w:t>萬3千元</w:t>
      </w:r>
      <w:r w:rsidR="002B6D2A">
        <w:rPr>
          <w:rFonts w:hint="eastAsia"/>
        </w:rPr>
        <w:t>遞</w:t>
      </w:r>
      <w:r w:rsidR="00E01C41">
        <w:rPr>
          <w:rFonts w:hint="eastAsia"/>
        </w:rPr>
        <w:t>減</w:t>
      </w:r>
      <w:r w:rsidR="007F0E41">
        <w:rPr>
          <w:rFonts w:hint="eastAsia"/>
        </w:rPr>
        <w:t>為</w:t>
      </w:r>
      <w:r w:rsidR="00057D00">
        <w:rPr>
          <w:rFonts w:hint="eastAsia"/>
        </w:rPr>
        <w:t>2億9,635萬9</w:t>
      </w:r>
      <w:r w:rsidR="00E01C41">
        <w:rPr>
          <w:rFonts w:hint="eastAsia"/>
        </w:rPr>
        <w:t>千元，113及114年度各預計</w:t>
      </w:r>
      <w:r w:rsidR="002B6D2A">
        <w:rPr>
          <w:rFonts w:hint="eastAsia"/>
        </w:rPr>
        <w:t>為</w:t>
      </w:r>
      <w:r w:rsidR="00E01C41">
        <w:rPr>
          <w:rFonts w:hint="eastAsia"/>
        </w:rPr>
        <w:t>3億4</w:t>
      </w:r>
      <w:r w:rsidR="00E01C41">
        <w:t>,000</w:t>
      </w:r>
      <w:r w:rsidR="00E01C41">
        <w:rPr>
          <w:rFonts w:hint="eastAsia"/>
        </w:rPr>
        <w:t>萬元及3億297萬8千元，</w:t>
      </w:r>
      <w:r w:rsidR="002B6D2A">
        <w:rPr>
          <w:rFonts w:hint="eastAsia"/>
        </w:rPr>
        <w:t>惟</w:t>
      </w:r>
      <w:r w:rsidR="00E01C41">
        <w:rPr>
          <w:rFonts w:hint="eastAsia"/>
        </w:rPr>
        <w:t>均未及110年度自籌水準。另觀自籌比率由110年度之15.17%下滑至114年度</w:t>
      </w:r>
      <w:r w:rsidR="000D75EB">
        <w:rPr>
          <w:rFonts w:hint="eastAsia"/>
        </w:rPr>
        <w:t>預計為</w:t>
      </w:r>
      <w:r w:rsidR="00E01C41">
        <w:rPr>
          <w:rFonts w:hint="eastAsia"/>
        </w:rPr>
        <w:t>7.12%</w:t>
      </w:r>
      <w:r w:rsidR="00E01C41" w:rsidRPr="005C5142">
        <w:rPr>
          <w:rFonts w:hint="eastAsia"/>
        </w:rPr>
        <w:t>(詳表1)</w:t>
      </w:r>
      <w:r w:rsidR="00E01C41">
        <w:rPr>
          <w:rFonts w:hint="eastAsia"/>
        </w:rPr>
        <w:t>，</w:t>
      </w:r>
      <w:r w:rsidR="00BC33F6" w:rsidRPr="005C5142">
        <w:rPr>
          <w:rFonts w:hint="eastAsia"/>
        </w:rPr>
        <w:t>顯示收入來源仰賴政府益深，有待提升來自民間之自籌收入，改善短絀。</w:t>
      </w:r>
    </w:p>
    <w:p w:rsidR="00D25E98" w:rsidRPr="00663DE1" w:rsidRDefault="004D04FC" w:rsidP="009E71C3">
      <w:pPr>
        <w:ind w:left="566" w:firstLineChars="210" w:firstLine="595"/>
        <w:rPr>
          <w:color w:val="000000"/>
        </w:rPr>
      </w:pPr>
      <w:r w:rsidRPr="00663DE1">
        <w:rPr>
          <w:rFonts w:hint="eastAsia"/>
          <w:color w:val="000000"/>
        </w:rPr>
        <w:t>綜上，公視基金會</w:t>
      </w:r>
      <w:r w:rsidR="000D75EB" w:rsidRPr="00663DE1">
        <w:rPr>
          <w:rFonts w:hint="eastAsia"/>
          <w:color w:val="000000"/>
        </w:rPr>
        <w:t>110</w:t>
      </w:r>
      <w:r w:rsidRPr="00663DE1">
        <w:rPr>
          <w:rFonts w:hint="eastAsia"/>
          <w:color w:val="000000"/>
        </w:rPr>
        <w:t>至11</w:t>
      </w:r>
      <w:r w:rsidR="006F4C7F" w:rsidRPr="00663DE1">
        <w:rPr>
          <w:rFonts w:hint="eastAsia"/>
          <w:color w:val="000000"/>
        </w:rPr>
        <w:t>2</w:t>
      </w:r>
      <w:r w:rsidRPr="00663DE1">
        <w:rPr>
          <w:rFonts w:hint="eastAsia"/>
          <w:color w:val="000000"/>
        </w:rPr>
        <w:t>年度</w:t>
      </w:r>
      <w:r w:rsidR="001470C6" w:rsidRPr="00663DE1">
        <w:rPr>
          <w:rFonts w:hint="eastAsia"/>
          <w:color w:val="000000"/>
        </w:rPr>
        <w:t>連年</w:t>
      </w:r>
      <w:r w:rsidRPr="00663DE1">
        <w:rPr>
          <w:rFonts w:hint="eastAsia"/>
          <w:color w:val="000000"/>
        </w:rPr>
        <w:t>短絀，</w:t>
      </w:r>
      <w:r w:rsidR="006F4C7F" w:rsidRPr="00663DE1">
        <w:rPr>
          <w:rFonts w:hint="eastAsia"/>
          <w:color w:val="000000"/>
        </w:rPr>
        <w:t>且預計113及114年度仍持續短絀，</w:t>
      </w:r>
      <w:r w:rsidRPr="00663DE1">
        <w:rPr>
          <w:rFonts w:hint="eastAsia"/>
          <w:color w:val="000000"/>
        </w:rPr>
        <w:t>縱扣除依權益法認列投資華視損失後仍多為短絀，</w:t>
      </w:r>
      <w:r w:rsidR="000D75EB" w:rsidRPr="00663DE1">
        <w:rPr>
          <w:rFonts w:hint="eastAsia"/>
          <w:color w:val="000000"/>
        </w:rPr>
        <w:t>顯示營運績效欠佳，</w:t>
      </w:r>
      <w:r w:rsidRPr="00663DE1">
        <w:rPr>
          <w:rFonts w:hint="eastAsia"/>
          <w:color w:val="000000"/>
        </w:rPr>
        <w:t>且同期間自籌比率最高僅15.17%，11</w:t>
      </w:r>
      <w:r w:rsidR="000D75EB" w:rsidRPr="00663DE1">
        <w:rPr>
          <w:rFonts w:hint="eastAsia"/>
          <w:color w:val="000000"/>
        </w:rPr>
        <w:t>4</w:t>
      </w:r>
      <w:r w:rsidRPr="00663DE1">
        <w:rPr>
          <w:rFonts w:hint="eastAsia"/>
          <w:color w:val="000000"/>
        </w:rPr>
        <w:t>年度預計減為7.</w:t>
      </w:r>
      <w:r w:rsidR="000D75EB" w:rsidRPr="00663DE1">
        <w:rPr>
          <w:rFonts w:hint="eastAsia"/>
          <w:color w:val="000000"/>
        </w:rPr>
        <w:t>12</w:t>
      </w:r>
      <w:r w:rsidRPr="00663DE1">
        <w:rPr>
          <w:rFonts w:hint="eastAsia"/>
          <w:color w:val="000000"/>
        </w:rPr>
        <w:t>%，允宜拓</w:t>
      </w:r>
      <w:r w:rsidR="009E71C3" w:rsidRPr="00663DE1">
        <w:rPr>
          <w:rFonts w:hint="eastAsia"/>
          <w:color w:val="000000"/>
        </w:rPr>
        <w:t>展</w:t>
      </w:r>
      <w:r w:rsidRPr="00663DE1">
        <w:rPr>
          <w:rFonts w:hint="eastAsia"/>
          <w:color w:val="000000"/>
        </w:rPr>
        <w:t>財源，提升</w:t>
      </w:r>
      <w:r w:rsidR="009E71C3" w:rsidRPr="00663DE1">
        <w:rPr>
          <w:rFonts w:hint="eastAsia"/>
          <w:color w:val="000000"/>
        </w:rPr>
        <w:t>自籌</w:t>
      </w:r>
      <w:r w:rsidRPr="00663DE1">
        <w:rPr>
          <w:rFonts w:hint="eastAsia"/>
          <w:color w:val="000000"/>
        </w:rPr>
        <w:t>能力，</w:t>
      </w:r>
      <w:r w:rsidR="002B6D2A" w:rsidRPr="00663DE1">
        <w:rPr>
          <w:rFonts w:hint="eastAsia"/>
          <w:color w:val="000000"/>
        </w:rPr>
        <w:t>以</w:t>
      </w:r>
      <w:r w:rsidRPr="00663DE1">
        <w:rPr>
          <w:rFonts w:hint="eastAsia"/>
          <w:color w:val="000000"/>
        </w:rPr>
        <w:t>改善短絀</w:t>
      </w:r>
      <w:r w:rsidR="002B6D2A" w:rsidRPr="00663DE1">
        <w:rPr>
          <w:rFonts w:hint="eastAsia"/>
          <w:color w:val="000000"/>
        </w:rPr>
        <w:t>及</w:t>
      </w:r>
      <w:r w:rsidRPr="00663DE1">
        <w:rPr>
          <w:rFonts w:hint="eastAsia"/>
          <w:color w:val="000000"/>
        </w:rPr>
        <w:t>減輕政府財政負擔。</w:t>
      </w:r>
    </w:p>
    <w:p w:rsidR="00D215F8" w:rsidRPr="00663DE1" w:rsidRDefault="00D215F8" w:rsidP="00D215F8">
      <w:pPr>
        <w:spacing w:beforeLines="30" w:before="150" w:line="360" w:lineRule="exact"/>
        <w:ind w:leftChars="0" w:left="0" w:firstLineChars="0" w:firstLine="0"/>
        <w:rPr>
          <w:b/>
          <w:color w:val="000000"/>
        </w:rPr>
      </w:pPr>
      <w:r w:rsidRPr="00663DE1">
        <w:rPr>
          <w:rFonts w:hint="eastAsia"/>
          <w:b/>
          <w:color w:val="000000"/>
        </w:rPr>
        <w:t>表1  公視基金會1</w:t>
      </w:r>
      <w:r w:rsidR="00B20CE1" w:rsidRPr="00663DE1">
        <w:rPr>
          <w:rFonts w:hint="eastAsia"/>
          <w:b/>
          <w:color w:val="000000"/>
        </w:rPr>
        <w:t>1</w:t>
      </w:r>
      <w:r w:rsidRPr="00663DE1">
        <w:rPr>
          <w:rFonts w:hint="eastAsia"/>
          <w:b/>
          <w:color w:val="000000"/>
        </w:rPr>
        <w:t>0至11</w:t>
      </w:r>
      <w:r w:rsidR="00B20CE1" w:rsidRPr="00663DE1">
        <w:rPr>
          <w:rFonts w:hint="eastAsia"/>
          <w:b/>
          <w:color w:val="000000"/>
        </w:rPr>
        <w:t>4</w:t>
      </w:r>
      <w:r w:rsidRPr="00663DE1">
        <w:rPr>
          <w:rFonts w:hint="eastAsia"/>
          <w:b/>
          <w:color w:val="000000"/>
        </w:rPr>
        <w:t>年</w:t>
      </w:r>
      <w:r w:rsidR="002B6D2A" w:rsidRPr="00663DE1">
        <w:rPr>
          <w:rFonts w:hint="eastAsia"/>
          <w:b/>
          <w:color w:val="000000"/>
        </w:rPr>
        <w:t>度</w:t>
      </w:r>
      <w:r w:rsidRPr="00663DE1">
        <w:rPr>
          <w:rFonts w:hint="eastAsia"/>
          <w:b/>
          <w:color w:val="000000"/>
        </w:rPr>
        <w:t>收支餘絀及自籌比率彙總表</w:t>
      </w:r>
    </w:p>
    <w:p w:rsidR="000C5AFE" w:rsidRPr="00663DE1" w:rsidRDefault="00D215F8" w:rsidP="004603EC">
      <w:pPr>
        <w:spacing w:line="360" w:lineRule="exact"/>
        <w:ind w:leftChars="0" w:left="0" w:firstLineChars="0" w:firstLine="0"/>
        <w:rPr>
          <w:color w:val="000000"/>
          <w:sz w:val="24"/>
          <w:szCs w:val="24"/>
        </w:rPr>
      </w:pPr>
      <w:r w:rsidRPr="00663DE1">
        <w:rPr>
          <w:rFonts w:hint="eastAsia"/>
          <w:b/>
          <w:color w:val="000000"/>
        </w:rPr>
        <w:t xml:space="preserve">                                            </w:t>
      </w:r>
      <w:r w:rsidRPr="00663DE1">
        <w:rPr>
          <w:rFonts w:hint="eastAsia"/>
          <w:color w:val="000000"/>
          <w:sz w:val="24"/>
          <w:szCs w:val="24"/>
        </w:rPr>
        <w:t>單位：新臺幣千元</w:t>
      </w:r>
      <w:r w:rsidR="00E07931" w:rsidRPr="00663DE1">
        <w:rPr>
          <w:rFonts w:hint="eastAsia"/>
          <w:color w:val="000000"/>
          <w:sz w:val="24"/>
          <w:szCs w:val="24"/>
        </w:rPr>
        <w:t>；%</w:t>
      </w:r>
    </w:p>
    <w:tbl>
      <w:tblPr>
        <w:tblW w:w="8431" w:type="dxa"/>
        <w:tblInd w:w="37" w:type="dxa"/>
        <w:tblLayout w:type="fixed"/>
        <w:tblCellMar>
          <w:left w:w="28" w:type="dxa"/>
          <w:right w:w="28" w:type="dxa"/>
        </w:tblCellMar>
        <w:tblLook w:val="04A0" w:firstRow="1" w:lastRow="0" w:firstColumn="1" w:lastColumn="0" w:noHBand="0" w:noVBand="1"/>
      </w:tblPr>
      <w:tblGrid>
        <w:gridCol w:w="2538"/>
        <w:gridCol w:w="1122"/>
        <w:gridCol w:w="1193"/>
        <w:gridCol w:w="1192"/>
        <w:gridCol w:w="1193"/>
        <w:gridCol w:w="1193"/>
      </w:tblGrid>
      <w:tr w:rsidR="00CB6096" w:rsidRPr="00E07931" w:rsidTr="00083B50">
        <w:trPr>
          <w:tblHeader/>
        </w:trPr>
        <w:tc>
          <w:tcPr>
            <w:tcW w:w="2538" w:type="dxa"/>
            <w:vMerge w:val="restart"/>
            <w:tcBorders>
              <w:top w:val="single" w:sz="12" w:space="0" w:color="auto"/>
              <w:left w:val="single" w:sz="12"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項目</w:t>
            </w:r>
          </w:p>
        </w:tc>
        <w:tc>
          <w:tcPr>
            <w:tcW w:w="1122" w:type="dxa"/>
            <w:tcBorders>
              <w:top w:val="single" w:sz="12" w:space="0" w:color="auto"/>
              <w:left w:val="nil"/>
              <w:bottom w:val="single" w:sz="4" w:space="0" w:color="auto"/>
              <w:right w:val="single" w:sz="4" w:space="0" w:color="auto"/>
            </w:tcBorders>
            <w:shd w:val="clear" w:color="auto" w:fill="auto"/>
            <w:vAlign w:val="center"/>
          </w:tcPr>
          <w:p w:rsidR="00CB6096" w:rsidRPr="00057D00" w:rsidRDefault="00CB6096" w:rsidP="00B5061B">
            <w:pPr>
              <w:pStyle w:val="142"/>
              <w:jc w:val="center"/>
              <w:rPr>
                <w:snapToGrid/>
                <w:spacing w:val="-20"/>
              </w:rPr>
            </w:pPr>
            <w:r w:rsidRPr="00057D00">
              <w:rPr>
                <w:rFonts w:hint="eastAsia"/>
                <w:snapToGrid/>
                <w:spacing w:val="-20"/>
              </w:rPr>
              <w:t>110年度</w:t>
            </w:r>
          </w:p>
        </w:tc>
        <w:tc>
          <w:tcPr>
            <w:tcW w:w="1193" w:type="dxa"/>
            <w:tcBorders>
              <w:top w:val="single" w:sz="12" w:space="0" w:color="auto"/>
              <w:left w:val="nil"/>
              <w:bottom w:val="single" w:sz="4" w:space="0" w:color="auto"/>
              <w:right w:val="single" w:sz="4" w:space="0" w:color="auto"/>
            </w:tcBorders>
            <w:shd w:val="clear" w:color="auto" w:fill="auto"/>
            <w:vAlign w:val="center"/>
          </w:tcPr>
          <w:p w:rsidR="00CB6096" w:rsidRPr="00057D00" w:rsidRDefault="00CB6096" w:rsidP="00B5061B">
            <w:pPr>
              <w:pStyle w:val="142"/>
              <w:jc w:val="center"/>
              <w:rPr>
                <w:snapToGrid/>
                <w:spacing w:val="-20"/>
              </w:rPr>
            </w:pPr>
            <w:r w:rsidRPr="00057D00">
              <w:rPr>
                <w:rFonts w:hint="eastAsia"/>
                <w:snapToGrid/>
                <w:spacing w:val="-20"/>
              </w:rPr>
              <w:t>111年度</w:t>
            </w:r>
          </w:p>
        </w:tc>
        <w:tc>
          <w:tcPr>
            <w:tcW w:w="1192" w:type="dxa"/>
            <w:tcBorders>
              <w:top w:val="single" w:sz="12" w:space="0" w:color="auto"/>
              <w:left w:val="nil"/>
              <w:bottom w:val="single" w:sz="4" w:space="0" w:color="auto"/>
              <w:right w:val="single" w:sz="4" w:space="0" w:color="auto"/>
            </w:tcBorders>
            <w:shd w:val="clear" w:color="auto" w:fill="auto"/>
            <w:vAlign w:val="center"/>
          </w:tcPr>
          <w:p w:rsidR="00CB6096" w:rsidRPr="00057D00" w:rsidRDefault="00CB6096" w:rsidP="00B5061B">
            <w:pPr>
              <w:pStyle w:val="142"/>
              <w:jc w:val="center"/>
              <w:rPr>
                <w:snapToGrid/>
                <w:spacing w:val="-20"/>
              </w:rPr>
            </w:pPr>
            <w:r w:rsidRPr="00057D00">
              <w:rPr>
                <w:rFonts w:hint="eastAsia"/>
                <w:snapToGrid/>
                <w:spacing w:val="-20"/>
              </w:rPr>
              <w:t>112年度</w:t>
            </w:r>
          </w:p>
        </w:tc>
        <w:tc>
          <w:tcPr>
            <w:tcW w:w="1193" w:type="dxa"/>
            <w:tcBorders>
              <w:top w:val="single" w:sz="12"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113年度</w:t>
            </w:r>
          </w:p>
        </w:tc>
        <w:tc>
          <w:tcPr>
            <w:tcW w:w="1193" w:type="dxa"/>
            <w:tcBorders>
              <w:top w:val="single" w:sz="12" w:space="0" w:color="auto"/>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114年度</w:t>
            </w:r>
          </w:p>
        </w:tc>
      </w:tr>
      <w:tr w:rsidR="00CB6096" w:rsidRPr="00E07931" w:rsidTr="00083B50">
        <w:trPr>
          <w:tblHeader/>
        </w:trPr>
        <w:tc>
          <w:tcPr>
            <w:tcW w:w="2538" w:type="dxa"/>
            <w:vMerge/>
            <w:tcBorders>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snapToGrid/>
                <w:spacing w:val="-20"/>
              </w:rPr>
            </w:pP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決算數</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決算數</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決算數</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預算數</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預算數</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snapToGrid/>
                <w:spacing w:val="-20"/>
              </w:rPr>
            </w:pPr>
            <w:r w:rsidRPr="00057D00">
              <w:rPr>
                <w:rFonts w:hint="eastAsia"/>
                <w:snapToGrid/>
                <w:spacing w:val="-20"/>
              </w:rPr>
              <w:t>總收入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2,789,184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2,554,587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3,460,267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4,344,494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4,254,111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ind w:left="203" w:hangingChars="100" w:hanging="203"/>
              <w:rPr>
                <w:b/>
                <w:snapToGrid/>
                <w:spacing w:val="-20"/>
              </w:rPr>
            </w:pPr>
            <w:r w:rsidRPr="00057D00">
              <w:rPr>
                <w:rFonts w:hint="eastAsia"/>
                <w:b/>
                <w:snapToGrid/>
                <w:spacing w:val="-20"/>
              </w:rPr>
              <w:t>—自籌收入合計數</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423,173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312,634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296,359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340,000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302,978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7" w:left="-7" w:hangingChars="20" w:hanging="41"/>
              <w:rPr>
                <w:snapToGrid/>
                <w:spacing w:val="-20"/>
              </w:rPr>
            </w:pPr>
            <w:r w:rsidRPr="00057D00">
              <w:rPr>
                <w:rFonts w:hint="eastAsia"/>
                <w:snapToGrid/>
                <w:spacing w:val="-20"/>
              </w:rPr>
              <w:t xml:space="preserve">   1.銷貨收入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209,120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174,766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132,346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170,000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130,000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2" w:left="-6" w:hangingChars="14" w:hanging="28"/>
              <w:rPr>
                <w:snapToGrid/>
                <w:spacing w:val="-20"/>
              </w:rPr>
            </w:pPr>
            <w:r w:rsidRPr="00057D00">
              <w:rPr>
                <w:rFonts w:hint="eastAsia"/>
                <w:snapToGrid/>
                <w:spacing w:val="-20"/>
              </w:rPr>
              <w:t xml:space="preserve">   2.活動收入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993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4,140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3,459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18,000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17,000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2" w:left="423" w:hangingChars="225" w:hanging="457"/>
              <w:rPr>
                <w:snapToGrid/>
                <w:spacing w:val="-20"/>
              </w:rPr>
            </w:pPr>
            <w:r w:rsidRPr="00057D00">
              <w:rPr>
                <w:rFonts w:hint="eastAsia"/>
                <w:snapToGrid/>
                <w:spacing w:val="-20"/>
              </w:rPr>
              <w:t xml:space="preserve">   3.代製節目收入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129,960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50,914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52,764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35,000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35,000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2" w:left="-6" w:hangingChars="14" w:hanging="28"/>
              <w:rPr>
                <w:snapToGrid/>
                <w:spacing w:val="-20"/>
              </w:rPr>
            </w:pPr>
            <w:r w:rsidRPr="00057D00">
              <w:rPr>
                <w:rFonts w:hint="eastAsia"/>
                <w:snapToGrid/>
                <w:spacing w:val="-20"/>
              </w:rPr>
              <w:t xml:space="preserve">   4.受贈收入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48,699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41,654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47,271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69,000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70,000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083B50" w:rsidRPr="00057D00" w:rsidRDefault="00CB6096" w:rsidP="00083B50">
            <w:pPr>
              <w:pStyle w:val="142"/>
              <w:ind w:leftChars="-12" w:left="480" w:hangingChars="253" w:hanging="514"/>
              <w:rPr>
                <w:snapToGrid/>
                <w:spacing w:val="-20"/>
              </w:rPr>
            </w:pPr>
            <w:r w:rsidRPr="00057D00">
              <w:rPr>
                <w:rFonts w:hint="eastAsia"/>
                <w:snapToGrid/>
                <w:spacing w:val="-20"/>
              </w:rPr>
              <w:t xml:space="preserve">   5.其他業務收入</w:t>
            </w:r>
          </w:p>
          <w:p w:rsidR="00CB6096" w:rsidRPr="00057D00" w:rsidRDefault="00083B50" w:rsidP="00083B50">
            <w:pPr>
              <w:pStyle w:val="142"/>
              <w:ind w:leftChars="-12" w:left="480" w:rightChars="-35" w:right="-99" w:hangingChars="253" w:hanging="514"/>
              <w:rPr>
                <w:snapToGrid/>
                <w:spacing w:val="-20"/>
              </w:rPr>
            </w:pPr>
            <w:r w:rsidRPr="00057D00">
              <w:rPr>
                <w:rFonts w:hint="eastAsia"/>
                <w:snapToGrid/>
                <w:spacing w:val="-20"/>
              </w:rPr>
              <w:t xml:space="preserve">     (租金、廣告收入)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19,177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20,431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22,895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19,500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18,574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083B50">
            <w:pPr>
              <w:pStyle w:val="142"/>
              <w:ind w:leftChars="-12" w:left="505" w:hangingChars="265" w:hanging="539"/>
              <w:rPr>
                <w:snapToGrid/>
                <w:spacing w:val="-20"/>
              </w:rPr>
            </w:pPr>
            <w:r w:rsidRPr="00057D00">
              <w:rPr>
                <w:rFonts w:hint="eastAsia"/>
                <w:snapToGrid/>
                <w:spacing w:val="-20"/>
              </w:rPr>
              <w:t xml:space="preserve">   6.業務外收入</w:t>
            </w:r>
            <w:r w:rsidR="00083B50" w:rsidRPr="00057D00">
              <w:rPr>
                <w:rFonts w:hint="eastAsia"/>
                <w:snapToGrid/>
                <w:spacing w:val="-20"/>
              </w:rPr>
              <w:t>(財務收入)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15,224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20,729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37,624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28,500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32,404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b/>
                <w:snapToGrid/>
                <w:spacing w:val="-20"/>
              </w:rPr>
            </w:pPr>
            <w:r w:rsidRPr="00057D00">
              <w:rPr>
                <w:rFonts w:hint="eastAsia"/>
                <w:b/>
                <w:snapToGrid/>
                <w:spacing w:val="-20"/>
              </w:rPr>
              <w:t>自籌比率(%)</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15.17</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12.24</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8.56</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7.83</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7.12</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b/>
                <w:snapToGrid/>
                <w:spacing w:val="-20"/>
              </w:rPr>
            </w:pPr>
            <w:r w:rsidRPr="00057D00">
              <w:rPr>
                <w:rFonts w:hint="eastAsia"/>
                <w:b/>
                <w:snapToGrid/>
                <w:spacing w:val="-20"/>
              </w:rPr>
              <w:t>本期餘(-絀)(</w:t>
            </w:r>
            <w:r w:rsidRPr="00057D00">
              <w:rPr>
                <w:b/>
                <w:snapToGrid/>
                <w:spacing w:val="-20"/>
              </w:rPr>
              <w:t>A)</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-129,580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-265,897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-149,225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-225,550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-215,223 </w:t>
            </w:r>
          </w:p>
        </w:tc>
      </w:tr>
      <w:tr w:rsidR="00CB6096" w:rsidRPr="00E07931" w:rsidTr="00083B50">
        <w:tc>
          <w:tcPr>
            <w:tcW w:w="2538"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57D00" w:rsidRDefault="00CB6096" w:rsidP="00CB6096">
            <w:pPr>
              <w:pStyle w:val="142"/>
              <w:ind w:rightChars="-18" w:right="-51"/>
              <w:rPr>
                <w:snapToGrid/>
                <w:spacing w:val="-20"/>
              </w:rPr>
            </w:pPr>
            <w:r w:rsidRPr="00057D00">
              <w:rPr>
                <w:rFonts w:hint="eastAsia"/>
                <w:snapToGrid/>
                <w:spacing w:val="-20"/>
              </w:rPr>
              <w:t>採權益法認列投資利益</w:t>
            </w:r>
          </w:p>
          <w:p w:rsidR="00CB6096" w:rsidRPr="00057D00" w:rsidRDefault="00CB6096" w:rsidP="00CB6096">
            <w:pPr>
              <w:pStyle w:val="142"/>
              <w:ind w:rightChars="-18" w:right="-51"/>
              <w:rPr>
                <w:snapToGrid/>
                <w:spacing w:val="-20"/>
              </w:rPr>
            </w:pPr>
            <w:r w:rsidRPr="00057D00">
              <w:rPr>
                <w:rFonts w:hint="eastAsia"/>
                <w:snapToGrid/>
                <w:spacing w:val="-20"/>
              </w:rPr>
              <w:t>(-損失)(</w:t>
            </w:r>
            <w:r w:rsidRPr="00057D00">
              <w:rPr>
                <w:snapToGrid/>
                <w:spacing w:val="-20"/>
              </w:rPr>
              <w:t>B)</w:t>
            </w:r>
          </w:p>
        </w:tc>
        <w:tc>
          <w:tcPr>
            <w:tcW w:w="1122" w:type="dxa"/>
            <w:tcBorders>
              <w:top w:val="single" w:sz="4"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-105,160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CB6096" w:rsidRPr="00FD3DF3" w:rsidRDefault="00CB6096" w:rsidP="002B6D2A">
            <w:pPr>
              <w:pStyle w:val="142"/>
              <w:jc w:val="right"/>
              <w:rPr>
                <w:snapToGrid/>
                <w:color w:val="FF0000"/>
                <w:spacing w:val="-20"/>
              </w:rPr>
            </w:pPr>
            <w:r w:rsidRPr="00663DE1">
              <w:rPr>
                <w:rFonts w:hint="eastAsia"/>
                <w:snapToGrid/>
                <w:color w:val="000000"/>
                <w:spacing w:val="-20"/>
              </w:rPr>
              <w:t>-</w:t>
            </w:r>
            <w:r w:rsidR="002B6D2A" w:rsidRPr="00663DE1">
              <w:rPr>
                <w:rFonts w:hint="eastAsia"/>
                <w:snapToGrid/>
                <w:color w:val="000000"/>
                <w:spacing w:val="-20"/>
              </w:rPr>
              <w:t>121</w:t>
            </w:r>
            <w:r w:rsidRPr="00663DE1">
              <w:rPr>
                <w:rFonts w:hint="eastAsia"/>
                <w:snapToGrid/>
                <w:color w:val="000000"/>
                <w:spacing w:val="-20"/>
              </w:rPr>
              <w:t>,</w:t>
            </w:r>
            <w:r w:rsidR="002B6D2A" w:rsidRPr="00663DE1">
              <w:rPr>
                <w:rFonts w:hint="eastAsia"/>
                <w:snapToGrid/>
                <w:color w:val="000000"/>
                <w:spacing w:val="-20"/>
              </w:rPr>
              <w:t>256</w:t>
            </w:r>
            <w:r w:rsidRPr="00FD3DF3">
              <w:rPr>
                <w:rFonts w:hint="eastAsia"/>
                <w:snapToGrid/>
                <w:color w:val="FF0000"/>
                <w:spacing w:val="-20"/>
              </w:rPr>
              <w:t xml:space="preserve"> </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-201,665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-148,234 </w:t>
            </w:r>
          </w:p>
        </w:tc>
        <w:tc>
          <w:tcPr>
            <w:tcW w:w="1193" w:type="dxa"/>
            <w:tcBorders>
              <w:top w:val="single" w:sz="4" w:space="0" w:color="auto"/>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-140,868 </w:t>
            </w:r>
          </w:p>
        </w:tc>
      </w:tr>
      <w:tr w:rsidR="00CB6096" w:rsidRPr="00E07931" w:rsidTr="00083B50">
        <w:tc>
          <w:tcPr>
            <w:tcW w:w="253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CB6096" w:rsidRPr="00057D00" w:rsidRDefault="00CB6096" w:rsidP="00B5061B">
            <w:pPr>
              <w:pStyle w:val="142"/>
              <w:jc w:val="both"/>
              <w:rPr>
                <w:b/>
                <w:snapToGrid/>
                <w:spacing w:val="-20"/>
              </w:rPr>
            </w:pPr>
            <w:r w:rsidRPr="00057D00">
              <w:rPr>
                <w:rFonts w:hint="eastAsia"/>
                <w:b/>
                <w:snapToGrid/>
                <w:spacing w:val="-20"/>
              </w:rPr>
              <w:lastRenderedPageBreak/>
              <w:t>本期餘(絀)扣除投資損失(A</w:t>
            </w:r>
            <w:r w:rsidRPr="00057D00">
              <w:rPr>
                <w:b/>
                <w:snapToGrid/>
                <w:spacing w:val="-20"/>
              </w:rPr>
              <w:t>-B</w:t>
            </w:r>
            <w:r w:rsidRPr="00057D00">
              <w:rPr>
                <w:rFonts w:hint="eastAsia"/>
                <w:b/>
                <w:snapToGrid/>
                <w:spacing w:val="-20"/>
              </w:rPr>
              <w:t>)</w:t>
            </w:r>
          </w:p>
        </w:tc>
        <w:tc>
          <w:tcPr>
            <w:tcW w:w="1122"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B5061B">
            <w:pPr>
              <w:pStyle w:val="142"/>
              <w:jc w:val="right"/>
              <w:rPr>
                <w:b/>
                <w:snapToGrid/>
                <w:spacing w:val="-20"/>
              </w:rPr>
            </w:pPr>
            <w:r w:rsidRPr="00663DE1">
              <w:rPr>
                <w:rFonts w:hint="eastAsia"/>
                <w:b/>
                <w:snapToGrid/>
                <w:color w:val="000000"/>
                <w:spacing w:val="-20"/>
              </w:rPr>
              <w:t>-24,420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2B6D2A">
            <w:pPr>
              <w:pStyle w:val="142"/>
              <w:jc w:val="right"/>
              <w:rPr>
                <w:b/>
                <w:snapToGrid/>
                <w:spacing w:val="-20"/>
              </w:rPr>
            </w:pPr>
            <w:r w:rsidRPr="00663DE1">
              <w:rPr>
                <w:b/>
                <w:snapToGrid/>
                <w:color w:val="000000"/>
                <w:spacing w:val="-20"/>
              </w:rPr>
              <w:t>-</w:t>
            </w:r>
            <w:r w:rsidR="002B6D2A" w:rsidRPr="00663DE1">
              <w:rPr>
                <w:rFonts w:hint="eastAsia"/>
                <w:b/>
                <w:snapToGrid/>
                <w:color w:val="000000"/>
                <w:spacing w:val="-20"/>
              </w:rPr>
              <w:t>1</w:t>
            </w:r>
            <w:r w:rsidRPr="00663DE1">
              <w:rPr>
                <w:b/>
                <w:snapToGrid/>
                <w:color w:val="000000"/>
                <w:spacing w:val="-20"/>
              </w:rPr>
              <w:t>4</w:t>
            </w:r>
            <w:r w:rsidR="002B6D2A" w:rsidRPr="00663DE1">
              <w:rPr>
                <w:rFonts w:hint="eastAsia"/>
                <w:b/>
                <w:snapToGrid/>
                <w:color w:val="000000"/>
                <w:spacing w:val="-20"/>
              </w:rPr>
              <w:t>4</w:t>
            </w:r>
            <w:r w:rsidRPr="00663DE1">
              <w:rPr>
                <w:rFonts w:hint="eastAsia"/>
                <w:b/>
                <w:snapToGrid/>
                <w:color w:val="000000"/>
                <w:spacing w:val="-20"/>
              </w:rPr>
              <w:t>,</w:t>
            </w:r>
            <w:r w:rsidR="002B6D2A" w:rsidRPr="00663DE1">
              <w:rPr>
                <w:rFonts w:hint="eastAsia"/>
                <w:b/>
                <w:snapToGrid/>
                <w:color w:val="000000"/>
                <w:spacing w:val="-20"/>
              </w:rPr>
              <w:t>641</w:t>
            </w:r>
          </w:p>
        </w:tc>
        <w:tc>
          <w:tcPr>
            <w:tcW w:w="1192"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B5061B">
            <w:pPr>
              <w:pStyle w:val="142"/>
              <w:jc w:val="right"/>
              <w:rPr>
                <w:b/>
                <w:snapToGrid/>
                <w:spacing w:val="-20"/>
              </w:rPr>
            </w:pPr>
            <w:r w:rsidRPr="00663DE1">
              <w:rPr>
                <w:b/>
                <w:snapToGrid/>
                <w:color w:val="000000"/>
                <w:spacing w:val="-20"/>
              </w:rPr>
              <w:t>52</w:t>
            </w:r>
            <w:r w:rsidRPr="00663DE1">
              <w:rPr>
                <w:rFonts w:hint="eastAsia"/>
                <w:b/>
                <w:snapToGrid/>
                <w:color w:val="000000"/>
                <w:spacing w:val="-20"/>
              </w:rPr>
              <w:t>,</w:t>
            </w:r>
            <w:r w:rsidRPr="00663DE1">
              <w:rPr>
                <w:b/>
                <w:snapToGrid/>
                <w:color w:val="000000"/>
                <w:spacing w:val="-20"/>
              </w:rPr>
              <w:t>440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B5061B">
            <w:pPr>
              <w:pStyle w:val="142"/>
              <w:jc w:val="right"/>
              <w:rPr>
                <w:b/>
                <w:snapToGrid/>
                <w:spacing w:val="-20"/>
              </w:rPr>
            </w:pPr>
            <w:r w:rsidRPr="00663DE1">
              <w:rPr>
                <w:rFonts w:hint="eastAsia"/>
                <w:b/>
                <w:snapToGrid/>
                <w:color w:val="000000"/>
                <w:spacing w:val="-20"/>
              </w:rPr>
              <w:t>-77,316</w:t>
            </w:r>
          </w:p>
        </w:tc>
        <w:tc>
          <w:tcPr>
            <w:tcW w:w="1193" w:type="dxa"/>
            <w:tcBorders>
              <w:top w:val="single" w:sz="4" w:space="0" w:color="auto"/>
              <w:left w:val="nil"/>
              <w:bottom w:val="single" w:sz="12" w:space="0" w:color="auto"/>
              <w:right w:val="single" w:sz="12" w:space="0" w:color="auto"/>
            </w:tcBorders>
            <w:shd w:val="clear" w:color="auto" w:fill="auto"/>
            <w:noWrap/>
            <w:vAlign w:val="center"/>
          </w:tcPr>
          <w:p w:rsidR="00CB6096" w:rsidRPr="00057D00" w:rsidRDefault="00CB6096" w:rsidP="00B5061B">
            <w:pPr>
              <w:pStyle w:val="142"/>
              <w:jc w:val="right"/>
              <w:rPr>
                <w:b/>
                <w:snapToGrid/>
                <w:spacing w:val="-20"/>
              </w:rPr>
            </w:pPr>
            <w:r w:rsidRPr="00663DE1">
              <w:rPr>
                <w:b/>
                <w:snapToGrid/>
                <w:color w:val="000000"/>
                <w:spacing w:val="-20"/>
              </w:rPr>
              <w:t>-</w:t>
            </w:r>
            <w:r w:rsidRPr="00663DE1">
              <w:rPr>
                <w:rFonts w:hint="eastAsia"/>
                <w:b/>
                <w:snapToGrid/>
                <w:color w:val="000000"/>
                <w:spacing w:val="-20"/>
              </w:rPr>
              <w:t>7</w:t>
            </w:r>
            <w:r w:rsidRPr="00663DE1">
              <w:rPr>
                <w:b/>
                <w:snapToGrid/>
                <w:color w:val="000000"/>
                <w:spacing w:val="-20"/>
              </w:rPr>
              <w:t>4,355</w:t>
            </w:r>
          </w:p>
        </w:tc>
      </w:tr>
    </w:tbl>
    <w:p w:rsidR="00965A50" w:rsidRPr="00663DE1" w:rsidRDefault="00965A50" w:rsidP="00965A50">
      <w:pPr>
        <w:pStyle w:val="142"/>
        <w:rPr>
          <w:color w:val="000000"/>
        </w:rPr>
      </w:pPr>
      <w:r w:rsidRPr="00663DE1">
        <w:rPr>
          <w:rFonts w:hint="eastAsia"/>
          <w:color w:val="000000"/>
        </w:rPr>
        <w:t>說    明：表列1</w:t>
      </w:r>
      <w:r w:rsidRPr="00663DE1">
        <w:rPr>
          <w:color w:val="000000"/>
        </w:rPr>
        <w:t>1</w:t>
      </w:r>
      <w:r w:rsidRPr="00663DE1">
        <w:rPr>
          <w:rFonts w:hint="eastAsia"/>
          <w:color w:val="000000"/>
        </w:rPr>
        <w:t>0至11</w:t>
      </w:r>
      <w:r w:rsidRPr="00663DE1">
        <w:rPr>
          <w:color w:val="000000"/>
        </w:rPr>
        <w:t>2</w:t>
      </w:r>
      <w:r w:rsidRPr="00663DE1">
        <w:rPr>
          <w:rFonts w:hint="eastAsia"/>
          <w:color w:val="000000"/>
        </w:rPr>
        <w:t>年度為決算數，11</w:t>
      </w:r>
      <w:r w:rsidRPr="00663DE1">
        <w:rPr>
          <w:color w:val="000000"/>
        </w:rPr>
        <w:t>3</w:t>
      </w:r>
      <w:r w:rsidRPr="00663DE1">
        <w:rPr>
          <w:rFonts w:hint="eastAsia"/>
          <w:color w:val="000000"/>
        </w:rPr>
        <w:t>及11</w:t>
      </w:r>
      <w:r w:rsidRPr="00663DE1">
        <w:rPr>
          <w:color w:val="000000"/>
        </w:rPr>
        <w:t>4</w:t>
      </w:r>
      <w:r w:rsidRPr="00663DE1">
        <w:rPr>
          <w:rFonts w:hint="eastAsia"/>
          <w:color w:val="000000"/>
        </w:rPr>
        <w:t>年度為預算</w:t>
      </w:r>
      <w:r w:rsidR="002B6D2A" w:rsidRPr="00663DE1">
        <w:rPr>
          <w:rFonts w:hint="eastAsia"/>
          <w:color w:val="000000"/>
        </w:rPr>
        <w:t>案</w:t>
      </w:r>
      <w:r w:rsidRPr="00663DE1">
        <w:rPr>
          <w:rFonts w:hint="eastAsia"/>
          <w:color w:val="000000"/>
        </w:rPr>
        <w:t>數。</w:t>
      </w:r>
    </w:p>
    <w:p w:rsidR="00BC33F6" w:rsidRPr="00663DE1" w:rsidRDefault="000D75EB" w:rsidP="006B3A2C">
      <w:pPr>
        <w:pStyle w:val="142"/>
        <w:rPr>
          <w:color w:val="000000"/>
        </w:rPr>
      </w:pPr>
      <w:r w:rsidRPr="00663DE1">
        <w:rPr>
          <w:rFonts w:hint="eastAsia"/>
          <w:color w:val="000000"/>
        </w:rPr>
        <w:t>資料來源：彙整自公視基金會提供資料。</w:t>
      </w:r>
    </w:p>
    <w:sectPr w:rsidR="00BC33F6" w:rsidRPr="00663DE1" w:rsidSect="009B106E">
      <w:footerReference w:type="default" r:id="rId8"/>
      <w:pgSz w:w="11906" w:h="16838" w:code="9"/>
      <w:pgMar w:top="1701" w:right="1645"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61B" w:rsidRDefault="00B5061B" w:rsidP="009B732E">
      <w:pPr>
        <w:spacing w:line="240" w:lineRule="auto"/>
        <w:ind w:left="560" w:firstLine="560"/>
      </w:pPr>
      <w:r>
        <w:separator/>
      </w:r>
    </w:p>
  </w:endnote>
  <w:endnote w:type="continuationSeparator" w:id="0">
    <w:p w:rsidR="00B5061B" w:rsidRDefault="00B5061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40B75" w:rsidP="00440B75">
    <w:pPr>
      <w:pStyle w:val="af"/>
      <w:ind w:leftChars="0" w:left="566" w:firstLineChars="0" w:firstLine="406"/>
    </w:pPr>
    <w:r>
      <w:rPr>
        <w:rFonts w:hint="eastAsia"/>
      </w:rPr>
      <w:t xml:space="preserve">                                227</w:t>
    </w:r>
    <w:r w:rsidR="004E113E">
      <w:t>-</w:t>
    </w:r>
    <w:r w:rsidR="004E113E">
      <w:fldChar w:fldCharType="begin"/>
    </w:r>
    <w:r w:rsidR="004E113E">
      <w:instrText>PAGE   \* MERGEFORMAT</w:instrText>
    </w:r>
    <w:r w:rsidR="004E113E">
      <w:fldChar w:fldCharType="separate"/>
    </w:r>
    <w:r w:rsidR="006B3A2C" w:rsidRPr="006B3A2C">
      <w:rPr>
        <w:noProof/>
        <w:lang w:val="zh-TW"/>
      </w:rPr>
      <w:t>2</w:t>
    </w:r>
    <w:r w:rsidR="004E113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61B" w:rsidRDefault="00B5061B" w:rsidP="009B732E">
      <w:pPr>
        <w:spacing w:line="240" w:lineRule="auto"/>
        <w:ind w:left="560" w:firstLine="560"/>
      </w:pPr>
      <w:r>
        <w:separator/>
      </w:r>
    </w:p>
  </w:footnote>
  <w:footnote w:type="continuationSeparator" w:id="0">
    <w:p w:rsidR="00B5061B" w:rsidRDefault="00B5061B" w:rsidP="009B732E">
      <w:pPr>
        <w:spacing w:line="240" w:lineRule="auto"/>
        <w:ind w:left="560" w:firstLine="560"/>
      </w:pPr>
      <w:r>
        <w:continuationSeparator/>
      </w:r>
    </w:p>
  </w:footnote>
  <w:footnote w:id="1">
    <w:p w:rsidR="008700FA" w:rsidRPr="008700FA" w:rsidRDefault="008700FA" w:rsidP="008700FA">
      <w:pPr>
        <w:pStyle w:val="142"/>
        <w:ind w:leftChars="1" w:left="198" w:hangingChars="80" w:hanging="195"/>
        <w:jc w:val="both"/>
      </w:pPr>
      <w:r>
        <w:rPr>
          <w:rStyle w:val="af5"/>
        </w:rPr>
        <w:footnoteRef/>
      </w:r>
      <w:r>
        <w:t xml:space="preserve"> </w:t>
      </w:r>
      <w:r>
        <w:rPr>
          <w:rFonts w:hint="eastAsia"/>
        </w:rPr>
        <w:t>公共電視法第2條第1項規定：「</w:t>
      </w:r>
      <w:r w:rsidRPr="008700FA">
        <w:rPr>
          <w:rFonts w:hint="eastAsia"/>
        </w:rPr>
        <w:t>為實現本法之目的，應成立財團法人公共電視文化事業基金會（以下簡稱公視基金會），經營公共電視臺（以下簡稱電臺）。</w:t>
      </w:r>
      <w:r>
        <w:rPr>
          <w:rFonts w:hint="eastAsia"/>
        </w:rPr>
        <w:t>」</w:t>
      </w:r>
    </w:p>
  </w:footnote>
  <w:footnote w:id="2">
    <w:p w:rsidR="00A56673" w:rsidRPr="00A56673" w:rsidRDefault="00A56673" w:rsidP="00A56673">
      <w:pPr>
        <w:pStyle w:val="142"/>
        <w:ind w:leftChars="1" w:left="198" w:hangingChars="80" w:hanging="195"/>
        <w:jc w:val="both"/>
      </w:pPr>
      <w:r>
        <w:rPr>
          <w:rStyle w:val="af5"/>
        </w:rPr>
        <w:footnoteRef/>
      </w:r>
      <w:r>
        <w:t xml:space="preserve"> </w:t>
      </w:r>
      <w:r>
        <w:rPr>
          <w:rFonts w:hint="eastAsia"/>
        </w:rPr>
        <w:t>公共電視法第28條規定：「公視基金會之經費來源如下：一、文化發展基金之核撥。二、政府編列預算之捐贈與補助。三、公視基金會基金運用之孳息。四、營運之收入。五、投資他事業之收入。六、國內外公私機構、團體或個人之捐贈。七、其他收入。」</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1418E"/>
    <w:multiLevelType w:val="hybridMultilevel"/>
    <w:tmpl w:val="83E69636"/>
    <w:lvl w:ilvl="0" w:tplc="F53EF4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801B66"/>
    <w:multiLevelType w:val="hybridMultilevel"/>
    <w:tmpl w:val="61707FCE"/>
    <w:lvl w:ilvl="0" w:tplc="AD227AAA">
      <w:start w:val="1"/>
      <w:numFmt w:val="decimal"/>
      <w:lvlText w:val="%1."/>
      <w:lvlJc w:val="left"/>
      <w:pPr>
        <w:ind w:left="3054"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45E077DA"/>
    <w:multiLevelType w:val="hybridMultilevel"/>
    <w:tmpl w:val="71180E54"/>
    <w:lvl w:ilvl="0" w:tplc="4AC28D34">
      <w:start w:val="1"/>
      <w:numFmt w:val="decimal"/>
      <w:lvlText w:val="%1."/>
      <w:lvlJc w:val="left"/>
      <w:pPr>
        <w:ind w:left="986" w:hanging="4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46532447"/>
    <w:multiLevelType w:val="hybridMultilevel"/>
    <w:tmpl w:val="03A8C118"/>
    <w:lvl w:ilvl="0" w:tplc="CD188DD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6AF1230"/>
    <w:multiLevelType w:val="hybridMultilevel"/>
    <w:tmpl w:val="760E83BA"/>
    <w:lvl w:ilvl="0" w:tplc="24CE7A40">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0151406"/>
    <w:multiLevelType w:val="hybridMultilevel"/>
    <w:tmpl w:val="C3809C80"/>
    <w:lvl w:ilvl="0" w:tplc="0AC6AC6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1428F"/>
    <w:rsid w:val="000166EF"/>
    <w:rsid w:val="00024914"/>
    <w:rsid w:val="000261E5"/>
    <w:rsid w:val="00031F34"/>
    <w:rsid w:val="00034CA5"/>
    <w:rsid w:val="00042093"/>
    <w:rsid w:val="0005313C"/>
    <w:rsid w:val="00057D00"/>
    <w:rsid w:val="0006310F"/>
    <w:rsid w:val="00072352"/>
    <w:rsid w:val="00077B95"/>
    <w:rsid w:val="000815F2"/>
    <w:rsid w:val="00083B50"/>
    <w:rsid w:val="00086499"/>
    <w:rsid w:val="00086B48"/>
    <w:rsid w:val="00087CC6"/>
    <w:rsid w:val="0009440B"/>
    <w:rsid w:val="000A092D"/>
    <w:rsid w:val="000A2D81"/>
    <w:rsid w:val="000A3FF7"/>
    <w:rsid w:val="000B4AD1"/>
    <w:rsid w:val="000B4F99"/>
    <w:rsid w:val="000B6FD1"/>
    <w:rsid w:val="000C5AFE"/>
    <w:rsid w:val="000C7A94"/>
    <w:rsid w:val="000D3D77"/>
    <w:rsid w:val="000D4376"/>
    <w:rsid w:val="000D4433"/>
    <w:rsid w:val="000D4B51"/>
    <w:rsid w:val="000D4C99"/>
    <w:rsid w:val="000D75EB"/>
    <w:rsid w:val="000E30CD"/>
    <w:rsid w:val="000E3458"/>
    <w:rsid w:val="000E4D98"/>
    <w:rsid w:val="000F1747"/>
    <w:rsid w:val="000F2277"/>
    <w:rsid w:val="001046E0"/>
    <w:rsid w:val="00113AD5"/>
    <w:rsid w:val="00121328"/>
    <w:rsid w:val="001359EB"/>
    <w:rsid w:val="00141D98"/>
    <w:rsid w:val="00143D59"/>
    <w:rsid w:val="001470C6"/>
    <w:rsid w:val="001514E0"/>
    <w:rsid w:val="00153082"/>
    <w:rsid w:val="00156A4D"/>
    <w:rsid w:val="00165EE9"/>
    <w:rsid w:val="00180D46"/>
    <w:rsid w:val="00185801"/>
    <w:rsid w:val="00187489"/>
    <w:rsid w:val="00190B36"/>
    <w:rsid w:val="00191119"/>
    <w:rsid w:val="00192F09"/>
    <w:rsid w:val="001A406F"/>
    <w:rsid w:val="001A568A"/>
    <w:rsid w:val="001B05EB"/>
    <w:rsid w:val="001B1FB1"/>
    <w:rsid w:val="001B3614"/>
    <w:rsid w:val="001B556F"/>
    <w:rsid w:val="001C018F"/>
    <w:rsid w:val="001C3D45"/>
    <w:rsid w:val="001C75C1"/>
    <w:rsid w:val="001C7F52"/>
    <w:rsid w:val="001D3692"/>
    <w:rsid w:val="001D3FAF"/>
    <w:rsid w:val="001D46AA"/>
    <w:rsid w:val="001E08E6"/>
    <w:rsid w:val="001E4839"/>
    <w:rsid w:val="001F7404"/>
    <w:rsid w:val="00210AFE"/>
    <w:rsid w:val="00230325"/>
    <w:rsid w:val="00230936"/>
    <w:rsid w:val="00245BE5"/>
    <w:rsid w:val="00250F88"/>
    <w:rsid w:val="00255B38"/>
    <w:rsid w:val="00266E9C"/>
    <w:rsid w:val="00270182"/>
    <w:rsid w:val="002709A0"/>
    <w:rsid w:val="00274404"/>
    <w:rsid w:val="00275AF1"/>
    <w:rsid w:val="002804A9"/>
    <w:rsid w:val="00285A2A"/>
    <w:rsid w:val="00286E55"/>
    <w:rsid w:val="00291DC0"/>
    <w:rsid w:val="00297315"/>
    <w:rsid w:val="002A762F"/>
    <w:rsid w:val="002B3C3F"/>
    <w:rsid w:val="002B6D2A"/>
    <w:rsid w:val="002E69BE"/>
    <w:rsid w:val="002F1CC7"/>
    <w:rsid w:val="002F4510"/>
    <w:rsid w:val="002F4C5D"/>
    <w:rsid w:val="002F5926"/>
    <w:rsid w:val="00304073"/>
    <w:rsid w:val="003247FB"/>
    <w:rsid w:val="00324E8C"/>
    <w:rsid w:val="00327461"/>
    <w:rsid w:val="00332CE1"/>
    <w:rsid w:val="003331DA"/>
    <w:rsid w:val="00333537"/>
    <w:rsid w:val="00336478"/>
    <w:rsid w:val="003476F0"/>
    <w:rsid w:val="003738A4"/>
    <w:rsid w:val="00374F3C"/>
    <w:rsid w:val="0037589F"/>
    <w:rsid w:val="00382168"/>
    <w:rsid w:val="00393903"/>
    <w:rsid w:val="00396F04"/>
    <w:rsid w:val="003A098D"/>
    <w:rsid w:val="003A3ED4"/>
    <w:rsid w:val="003A410D"/>
    <w:rsid w:val="003A473A"/>
    <w:rsid w:val="003A5602"/>
    <w:rsid w:val="003A61E4"/>
    <w:rsid w:val="003A6BDA"/>
    <w:rsid w:val="003B0671"/>
    <w:rsid w:val="003B1354"/>
    <w:rsid w:val="003B1A33"/>
    <w:rsid w:val="003B30B4"/>
    <w:rsid w:val="003B4376"/>
    <w:rsid w:val="003B57E7"/>
    <w:rsid w:val="003B67D4"/>
    <w:rsid w:val="003C03B9"/>
    <w:rsid w:val="003C11D6"/>
    <w:rsid w:val="003C4217"/>
    <w:rsid w:val="003D08A2"/>
    <w:rsid w:val="003D3EF9"/>
    <w:rsid w:val="003D4187"/>
    <w:rsid w:val="003D608F"/>
    <w:rsid w:val="003D711E"/>
    <w:rsid w:val="003E7DA1"/>
    <w:rsid w:val="00417D63"/>
    <w:rsid w:val="004228BB"/>
    <w:rsid w:val="0043128B"/>
    <w:rsid w:val="00432194"/>
    <w:rsid w:val="00434F33"/>
    <w:rsid w:val="00435174"/>
    <w:rsid w:val="004353AE"/>
    <w:rsid w:val="00440B75"/>
    <w:rsid w:val="004436A7"/>
    <w:rsid w:val="00444A2F"/>
    <w:rsid w:val="00447ACE"/>
    <w:rsid w:val="00452633"/>
    <w:rsid w:val="0045434C"/>
    <w:rsid w:val="004557D3"/>
    <w:rsid w:val="00456448"/>
    <w:rsid w:val="004603EC"/>
    <w:rsid w:val="00462522"/>
    <w:rsid w:val="00464F48"/>
    <w:rsid w:val="00465EF7"/>
    <w:rsid w:val="00467D96"/>
    <w:rsid w:val="00471E7F"/>
    <w:rsid w:val="00474027"/>
    <w:rsid w:val="0047642C"/>
    <w:rsid w:val="004765B8"/>
    <w:rsid w:val="00484DAB"/>
    <w:rsid w:val="004868E1"/>
    <w:rsid w:val="00496510"/>
    <w:rsid w:val="004976E9"/>
    <w:rsid w:val="004A3810"/>
    <w:rsid w:val="004B07BB"/>
    <w:rsid w:val="004B2A2F"/>
    <w:rsid w:val="004C0BE2"/>
    <w:rsid w:val="004C53CB"/>
    <w:rsid w:val="004D04FC"/>
    <w:rsid w:val="004D4D1C"/>
    <w:rsid w:val="004E113E"/>
    <w:rsid w:val="004F2961"/>
    <w:rsid w:val="004F3595"/>
    <w:rsid w:val="0050090B"/>
    <w:rsid w:val="005016D4"/>
    <w:rsid w:val="00505629"/>
    <w:rsid w:val="005075ED"/>
    <w:rsid w:val="00507717"/>
    <w:rsid w:val="005133CD"/>
    <w:rsid w:val="00516330"/>
    <w:rsid w:val="00520F09"/>
    <w:rsid w:val="00526ED7"/>
    <w:rsid w:val="005328BA"/>
    <w:rsid w:val="00545427"/>
    <w:rsid w:val="0055226D"/>
    <w:rsid w:val="00572A89"/>
    <w:rsid w:val="00585795"/>
    <w:rsid w:val="00587531"/>
    <w:rsid w:val="005963D7"/>
    <w:rsid w:val="005A13D6"/>
    <w:rsid w:val="005A6B65"/>
    <w:rsid w:val="005B1C3F"/>
    <w:rsid w:val="005B33F3"/>
    <w:rsid w:val="005B7041"/>
    <w:rsid w:val="005C27D8"/>
    <w:rsid w:val="005C5142"/>
    <w:rsid w:val="005D120B"/>
    <w:rsid w:val="005D3D75"/>
    <w:rsid w:val="005D5602"/>
    <w:rsid w:val="005D5DCB"/>
    <w:rsid w:val="005E039E"/>
    <w:rsid w:val="005E5DE3"/>
    <w:rsid w:val="005E79A6"/>
    <w:rsid w:val="005F6E32"/>
    <w:rsid w:val="006066D4"/>
    <w:rsid w:val="00612F3A"/>
    <w:rsid w:val="006235AC"/>
    <w:rsid w:val="00631CD0"/>
    <w:rsid w:val="00632125"/>
    <w:rsid w:val="00654E17"/>
    <w:rsid w:val="00663DE1"/>
    <w:rsid w:val="006679DA"/>
    <w:rsid w:val="00680B7C"/>
    <w:rsid w:val="0068679A"/>
    <w:rsid w:val="006A3E65"/>
    <w:rsid w:val="006B3A2C"/>
    <w:rsid w:val="006B59FC"/>
    <w:rsid w:val="006D3744"/>
    <w:rsid w:val="006F4C7F"/>
    <w:rsid w:val="007015A1"/>
    <w:rsid w:val="00704C1C"/>
    <w:rsid w:val="00711803"/>
    <w:rsid w:val="00711EC7"/>
    <w:rsid w:val="00713173"/>
    <w:rsid w:val="00713C68"/>
    <w:rsid w:val="00714058"/>
    <w:rsid w:val="00714781"/>
    <w:rsid w:val="00716329"/>
    <w:rsid w:val="00740F5E"/>
    <w:rsid w:val="00744408"/>
    <w:rsid w:val="007467A0"/>
    <w:rsid w:val="00746F9C"/>
    <w:rsid w:val="00752D04"/>
    <w:rsid w:val="0076210F"/>
    <w:rsid w:val="00764D50"/>
    <w:rsid w:val="007775F7"/>
    <w:rsid w:val="007804F4"/>
    <w:rsid w:val="00783316"/>
    <w:rsid w:val="00784DC3"/>
    <w:rsid w:val="00795C2A"/>
    <w:rsid w:val="007A037B"/>
    <w:rsid w:val="007B0866"/>
    <w:rsid w:val="007B3745"/>
    <w:rsid w:val="007B62CF"/>
    <w:rsid w:val="007B676A"/>
    <w:rsid w:val="007C1277"/>
    <w:rsid w:val="007D735A"/>
    <w:rsid w:val="007D7908"/>
    <w:rsid w:val="007E2AF4"/>
    <w:rsid w:val="007E3455"/>
    <w:rsid w:val="007F0E41"/>
    <w:rsid w:val="007F1789"/>
    <w:rsid w:val="007F751B"/>
    <w:rsid w:val="008003BC"/>
    <w:rsid w:val="008031E4"/>
    <w:rsid w:val="00807CBA"/>
    <w:rsid w:val="00810A07"/>
    <w:rsid w:val="008131E8"/>
    <w:rsid w:val="0082288B"/>
    <w:rsid w:val="00825C17"/>
    <w:rsid w:val="0082668E"/>
    <w:rsid w:val="00830548"/>
    <w:rsid w:val="00830DD8"/>
    <w:rsid w:val="00833347"/>
    <w:rsid w:val="008429D6"/>
    <w:rsid w:val="00844F98"/>
    <w:rsid w:val="008472B3"/>
    <w:rsid w:val="00855EEC"/>
    <w:rsid w:val="00861F1D"/>
    <w:rsid w:val="00864452"/>
    <w:rsid w:val="00865623"/>
    <w:rsid w:val="00866E0B"/>
    <w:rsid w:val="008700FA"/>
    <w:rsid w:val="00870DDC"/>
    <w:rsid w:val="00877B6B"/>
    <w:rsid w:val="00877C70"/>
    <w:rsid w:val="008821C2"/>
    <w:rsid w:val="008852D7"/>
    <w:rsid w:val="00885941"/>
    <w:rsid w:val="008A1184"/>
    <w:rsid w:val="008A1876"/>
    <w:rsid w:val="008A3E59"/>
    <w:rsid w:val="008A6C5E"/>
    <w:rsid w:val="008C05EF"/>
    <w:rsid w:val="008C69B2"/>
    <w:rsid w:val="008E384D"/>
    <w:rsid w:val="008E4B43"/>
    <w:rsid w:val="008F374C"/>
    <w:rsid w:val="0090354D"/>
    <w:rsid w:val="00903EF4"/>
    <w:rsid w:val="00907333"/>
    <w:rsid w:val="009134B9"/>
    <w:rsid w:val="009135E7"/>
    <w:rsid w:val="009135F3"/>
    <w:rsid w:val="00914A3B"/>
    <w:rsid w:val="0093757C"/>
    <w:rsid w:val="00956349"/>
    <w:rsid w:val="00960010"/>
    <w:rsid w:val="00962D22"/>
    <w:rsid w:val="00965A50"/>
    <w:rsid w:val="00971CD4"/>
    <w:rsid w:val="00976257"/>
    <w:rsid w:val="00976A95"/>
    <w:rsid w:val="00982332"/>
    <w:rsid w:val="00982BC3"/>
    <w:rsid w:val="009909BC"/>
    <w:rsid w:val="009915BC"/>
    <w:rsid w:val="0099557F"/>
    <w:rsid w:val="00995754"/>
    <w:rsid w:val="00995C37"/>
    <w:rsid w:val="009A75F7"/>
    <w:rsid w:val="009B106E"/>
    <w:rsid w:val="009B1335"/>
    <w:rsid w:val="009B316B"/>
    <w:rsid w:val="009B410A"/>
    <w:rsid w:val="009B732E"/>
    <w:rsid w:val="009C292F"/>
    <w:rsid w:val="009C3D59"/>
    <w:rsid w:val="009E28EB"/>
    <w:rsid w:val="009E58DF"/>
    <w:rsid w:val="009E71C3"/>
    <w:rsid w:val="009F2D68"/>
    <w:rsid w:val="009F7152"/>
    <w:rsid w:val="00A01091"/>
    <w:rsid w:val="00A13285"/>
    <w:rsid w:val="00A1490A"/>
    <w:rsid w:val="00A20262"/>
    <w:rsid w:val="00A20D58"/>
    <w:rsid w:val="00A21F44"/>
    <w:rsid w:val="00A2597F"/>
    <w:rsid w:val="00A30F91"/>
    <w:rsid w:val="00A40AB9"/>
    <w:rsid w:val="00A4110B"/>
    <w:rsid w:val="00A421B3"/>
    <w:rsid w:val="00A42D98"/>
    <w:rsid w:val="00A466F2"/>
    <w:rsid w:val="00A523BF"/>
    <w:rsid w:val="00A5301C"/>
    <w:rsid w:val="00A53606"/>
    <w:rsid w:val="00A56673"/>
    <w:rsid w:val="00A6085A"/>
    <w:rsid w:val="00A71EFF"/>
    <w:rsid w:val="00A73BFF"/>
    <w:rsid w:val="00A82F3B"/>
    <w:rsid w:val="00A85CBD"/>
    <w:rsid w:val="00A9196B"/>
    <w:rsid w:val="00A95761"/>
    <w:rsid w:val="00AA60FF"/>
    <w:rsid w:val="00AB7F54"/>
    <w:rsid w:val="00AC6F33"/>
    <w:rsid w:val="00AD0902"/>
    <w:rsid w:val="00AD69F7"/>
    <w:rsid w:val="00AD7487"/>
    <w:rsid w:val="00AE2E42"/>
    <w:rsid w:val="00AE38E2"/>
    <w:rsid w:val="00AE6452"/>
    <w:rsid w:val="00AE6607"/>
    <w:rsid w:val="00AE6C11"/>
    <w:rsid w:val="00AF4B7C"/>
    <w:rsid w:val="00B057EE"/>
    <w:rsid w:val="00B05B39"/>
    <w:rsid w:val="00B20CE1"/>
    <w:rsid w:val="00B21060"/>
    <w:rsid w:val="00B36309"/>
    <w:rsid w:val="00B5061B"/>
    <w:rsid w:val="00B526AF"/>
    <w:rsid w:val="00B542B0"/>
    <w:rsid w:val="00B5478F"/>
    <w:rsid w:val="00B616A6"/>
    <w:rsid w:val="00B705D7"/>
    <w:rsid w:val="00B76962"/>
    <w:rsid w:val="00B7778A"/>
    <w:rsid w:val="00B859B3"/>
    <w:rsid w:val="00B86F39"/>
    <w:rsid w:val="00BA5562"/>
    <w:rsid w:val="00BA7B45"/>
    <w:rsid w:val="00BB1572"/>
    <w:rsid w:val="00BB1F0C"/>
    <w:rsid w:val="00BC1FE0"/>
    <w:rsid w:val="00BC33F6"/>
    <w:rsid w:val="00BD03E0"/>
    <w:rsid w:val="00BD3A13"/>
    <w:rsid w:val="00BE668A"/>
    <w:rsid w:val="00BE68AE"/>
    <w:rsid w:val="00BF3D34"/>
    <w:rsid w:val="00BF6B59"/>
    <w:rsid w:val="00C02BD1"/>
    <w:rsid w:val="00C23461"/>
    <w:rsid w:val="00C40934"/>
    <w:rsid w:val="00C410D0"/>
    <w:rsid w:val="00C41B06"/>
    <w:rsid w:val="00C51680"/>
    <w:rsid w:val="00C52D4F"/>
    <w:rsid w:val="00C576A8"/>
    <w:rsid w:val="00C67CD8"/>
    <w:rsid w:val="00C76BD9"/>
    <w:rsid w:val="00C77CF8"/>
    <w:rsid w:val="00C849B7"/>
    <w:rsid w:val="00C87DD2"/>
    <w:rsid w:val="00C91265"/>
    <w:rsid w:val="00C92943"/>
    <w:rsid w:val="00C97A80"/>
    <w:rsid w:val="00CA23E5"/>
    <w:rsid w:val="00CA2EC5"/>
    <w:rsid w:val="00CB174F"/>
    <w:rsid w:val="00CB195B"/>
    <w:rsid w:val="00CB6055"/>
    <w:rsid w:val="00CB6096"/>
    <w:rsid w:val="00CB6CFE"/>
    <w:rsid w:val="00CC43BB"/>
    <w:rsid w:val="00CC4AFB"/>
    <w:rsid w:val="00CD1EE2"/>
    <w:rsid w:val="00CD567D"/>
    <w:rsid w:val="00CF6D4C"/>
    <w:rsid w:val="00D036B1"/>
    <w:rsid w:val="00D03D82"/>
    <w:rsid w:val="00D06FD8"/>
    <w:rsid w:val="00D15810"/>
    <w:rsid w:val="00D15950"/>
    <w:rsid w:val="00D215F8"/>
    <w:rsid w:val="00D24C39"/>
    <w:rsid w:val="00D25E98"/>
    <w:rsid w:val="00D264BD"/>
    <w:rsid w:val="00D3407A"/>
    <w:rsid w:val="00D4226E"/>
    <w:rsid w:val="00D450B4"/>
    <w:rsid w:val="00D45E71"/>
    <w:rsid w:val="00D53F94"/>
    <w:rsid w:val="00D57082"/>
    <w:rsid w:val="00D65134"/>
    <w:rsid w:val="00D66799"/>
    <w:rsid w:val="00D73307"/>
    <w:rsid w:val="00D80127"/>
    <w:rsid w:val="00D92C50"/>
    <w:rsid w:val="00DA4D35"/>
    <w:rsid w:val="00DA6298"/>
    <w:rsid w:val="00DB3340"/>
    <w:rsid w:val="00DB713C"/>
    <w:rsid w:val="00DC06D5"/>
    <w:rsid w:val="00DC14B0"/>
    <w:rsid w:val="00DC4E07"/>
    <w:rsid w:val="00DD0FD2"/>
    <w:rsid w:val="00DD6A4D"/>
    <w:rsid w:val="00DE6F01"/>
    <w:rsid w:val="00DE6F76"/>
    <w:rsid w:val="00DF6E8B"/>
    <w:rsid w:val="00E01C41"/>
    <w:rsid w:val="00E07931"/>
    <w:rsid w:val="00E112A2"/>
    <w:rsid w:val="00E11990"/>
    <w:rsid w:val="00E14F94"/>
    <w:rsid w:val="00E15041"/>
    <w:rsid w:val="00E23B6D"/>
    <w:rsid w:val="00E36653"/>
    <w:rsid w:val="00E376C9"/>
    <w:rsid w:val="00E46E6E"/>
    <w:rsid w:val="00E64245"/>
    <w:rsid w:val="00E66D5B"/>
    <w:rsid w:val="00E70408"/>
    <w:rsid w:val="00E753ED"/>
    <w:rsid w:val="00E77B4B"/>
    <w:rsid w:val="00E80244"/>
    <w:rsid w:val="00E805A9"/>
    <w:rsid w:val="00E9274A"/>
    <w:rsid w:val="00E948A3"/>
    <w:rsid w:val="00EA363F"/>
    <w:rsid w:val="00EB0FC9"/>
    <w:rsid w:val="00EB3B6B"/>
    <w:rsid w:val="00EB6E15"/>
    <w:rsid w:val="00EC2F11"/>
    <w:rsid w:val="00EC3099"/>
    <w:rsid w:val="00ED5464"/>
    <w:rsid w:val="00ED5B5F"/>
    <w:rsid w:val="00EE23CF"/>
    <w:rsid w:val="00EE2617"/>
    <w:rsid w:val="00EE6470"/>
    <w:rsid w:val="00EF342B"/>
    <w:rsid w:val="00EF4CCF"/>
    <w:rsid w:val="00F0175B"/>
    <w:rsid w:val="00F0584E"/>
    <w:rsid w:val="00F1199D"/>
    <w:rsid w:val="00F120CE"/>
    <w:rsid w:val="00F144C0"/>
    <w:rsid w:val="00F151A8"/>
    <w:rsid w:val="00F25651"/>
    <w:rsid w:val="00F30C49"/>
    <w:rsid w:val="00F3128C"/>
    <w:rsid w:val="00F3175B"/>
    <w:rsid w:val="00F37C51"/>
    <w:rsid w:val="00F402D3"/>
    <w:rsid w:val="00F41556"/>
    <w:rsid w:val="00F46137"/>
    <w:rsid w:val="00F51435"/>
    <w:rsid w:val="00F5159B"/>
    <w:rsid w:val="00F57225"/>
    <w:rsid w:val="00F635BD"/>
    <w:rsid w:val="00F6580F"/>
    <w:rsid w:val="00F710B8"/>
    <w:rsid w:val="00F721FB"/>
    <w:rsid w:val="00F92DBE"/>
    <w:rsid w:val="00FA0C5B"/>
    <w:rsid w:val="00FA16A7"/>
    <w:rsid w:val="00FA56EF"/>
    <w:rsid w:val="00FA6B8F"/>
    <w:rsid w:val="00FC2019"/>
    <w:rsid w:val="00FC269A"/>
    <w:rsid w:val="00FC350F"/>
    <w:rsid w:val="00FC5107"/>
    <w:rsid w:val="00FC5D9A"/>
    <w:rsid w:val="00FD3DF3"/>
    <w:rsid w:val="00FD789A"/>
    <w:rsid w:val="00FE0261"/>
    <w:rsid w:val="00FE313D"/>
    <w:rsid w:val="00FE3502"/>
    <w:rsid w:val="00FE5A8D"/>
    <w:rsid w:val="00FE5B61"/>
    <w:rsid w:val="00FF7244"/>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6F099B1-1CCD-48C3-962F-EC0B2BE0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link w:val="a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470C6"/>
    <w:pPr>
      <w:tabs>
        <w:tab w:val="right" w:leader="hyphen" w:pos="8364"/>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4"/>
    <w:uiPriority w:val="99"/>
    <w:unhideWhenUsed/>
    <w:rsid w:val="00D450B4"/>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table" w:customStyle="1" w:styleId="24">
    <w:name w:val="表格格線2"/>
    <w:basedOn w:val="a1"/>
    <w:next w:val="af6"/>
    <w:uiPriority w:val="39"/>
    <w:rsid w:val="00072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810A07"/>
    <w:rPr>
      <w:color w:val="0000FF"/>
      <w:u w:val="single"/>
    </w:rPr>
  </w:style>
  <w:style w:type="character" w:customStyle="1" w:styleId="22">
    <w:name w:val="(一)下內文縮2 字元"/>
    <w:link w:val="21"/>
    <w:qFormat/>
    <w:locked/>
    <w:rsid w:val="009E28EB"/>
    <w:rPr>
      <w:rFonts w:ascii="標楷體" w:eastAsia="標楷體"/>
      <w:snapToGrid w:val="0"/>
      <w:kern w:val="2"/>
      <w:sz w:val="28"/>
      <w:szCs w:val="28"/>
    </w:rPr>
  </w:style>
  <w:style w:type="character" w:customStyle="1" w:styleId="aa">
    <w:name w:val="報告名稱 字元"/>
    <w:link w:val="a9"/>
    <w:locked/>
    <w:rsid w:val="003A5602"/>
    <w:rPr>
      <w:rFonts w:ascii="標楷體" w:eastAsia="標楷體"/>
      <w:b/>
      <w:snapToGrid w:val="0"/>
      <w:kern w:val="2"/>
      <w:sz w:val="36"/>
      <w:szCs w:val="28"/>
    </w:rPr>
  </w:style>
  <w:style w:type="character" w:customStyle="1" w:styleId="25">
    <w:name w:val="(一)(二)(三) 字元2"/>
    <w:rsid w:val="009909B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1352">
      <w:bodyDiv w:val="1"/>
      <w:marLeft w:val="0"/>
      <w:marRight w:val="0"/>
      <w:marTop w:val="0"/>
      <w:marBottom w:val="0"/>
      <w:divBdr>
        <w:top w:val="none" w:sz="0" w:space="0" w:color="auto"/>
        <w:left w:val="none" w:sz="0" w:space="0" w:color="auto"/>
        <w:bottom w:val="none" w:sz="0" w:space="0" w:color="auto"/>
        <w:right w:val="none" w:sz="0" w:space="0" w:color="auto"/>
      </w:divBdr>
    </w:div>
    <w:div w:id="199442778">
      <w:bodyDiv w:val="1"/>
      <w:marLeft w:val="0"/>
      <w:marRight w:val="0"/>
      <w:marTop w:val="0"/>
      <w:marBottom w:val="0"/>
      <w:divBdr>
        <w:top w:val="none" w:sz="0" w:space="0" w:color="auto"/>
        <w:left w:val="none" w:sz="0" w:space="0" w:color="auto"/>
        <w:bottom w:val="none" w:sz="0" w:space="0" w:color="auto"/>
        <w:right w:val="none" w:sz="0" w:space="0" w:color="auto"/>
      </w:divBdr>
      <w:divsChild>
        <w:div w:id="316804078">
          <w:marLeft w:val="480"/>
          <w:marRight w:val="0"/>
          <w:marTop w:val="0"/>
          <w:marBottom w:val="120"/>
          <w:divBdr>
            <w:top w:val="none" w:sz="0" w:space="0" w:color="auto"/>
            <w:left w:val="none" w:sz="0" w:space="0" w:color="auto"/>
            <w:bottom w:val="none" w:sz="0" w:space="0" w:color="auto"/>
            <w:right w:val="none" w:sz="0" w:space="0" w:color="auto"/>
          </w:divBdr>
        </w:div>
        <w:div w:id="522741605">
          <w:marLeft w:val="480"/>
          <w:marRight w:val="0"/>
          <w:marTop w:val="0"/>
          <w:marBottom w:val="120"/>
          <w:divBdr>
            <w:top w:val="none" w:sz="0" w:space="0" w:color="auto"/>
            <w:left w:val="none" w:sz="0" w:space="0" w:color="auto"/>
            <w:bottom w:val="none" w:sz="0" w:space="0" w:color="auto"/>
            <w:right w:val="none" w:sz="0" w:space="0" w:color="auto"/>
          </w:divBdr>
        </w:div>
        <w:div w:id="697311724">
          <w:marLeft w:val="0"/>
          <w:marRight w:val="0"/>
          <w:marTop w:val="0"/>
          <w:marBottom w:val="120"/>
          <w:divBdr>
            <w:top w:val="none" w:sz="0" w:space="0" w:color="auto"/>
            <w:left w:val="none" w:sz="0" w:space="0" w:color="auto"/>
            <w:bottom w:val="none" w:sz="0" w:space="0" w:color="auto"/>
            <w:right w:val="none" w:sz="0" w:space="0" w:color="auto"/>
          </w:divBdr>
        </w:div>
        <w:div w:id="860969589">
          <w:marLeft w:val="480"/>
          <w:marRight w:val="0"/>
          <w:marTop w:val="0"/>
          <w:marBottom w:val="120"/>
          <w:divBdr>
            <w:top w:val="none" w:sz="0" w:space="0" w:color="auto"/>
            <w:left w:val="none" w:sz="0" w:space="0" w:color="auto"/>
            <w:bottom w:val="none" w:sz="0" w:space="0" w:color="auto"/>
            <w:right w:val="none" w:sz="0" w:space="0" w:color="auto"/>
          </w:divBdr>
        </w:div>
        <w:div w:id="1025015480">
          <w:marLeft w:val="480"/>
          <w:marRight w:val="0"/>
          <w:marTop w:val="0"/>
          <w:marBottom w:val="120"/>
          <w:divBdr>
            <w:top w:val="none" w:sz="0" w:space="0" w:color="auto"/>
            <w:left w:val="none" w:sz="0" w:space="0" w:color="auto"/>
            <w:bottom w:val="none" w:sz="0" w:space="0" w:color="auto"/>
            <w:right w:val="none" w:sz="0" w:space="0" w:color="auto"/>
          </w:divBdr>
        </w:div>
        <w:div w:id="1451165577">
          <w:marLeft w:val="480"/>
          <w:marRight w:val="0"/>
          <w:marTop w:val="0"/>
          <w:marBottom w:val="120"/>
          <w:divBdr>
            <w:top w:val="none" w:sz="0" w:space="0" w:color="auto"/>
            <w:left w:val="none" w:sz="0" w:space="0" w:color="auto"/>
            <w:bottom w:val="none" w:sz="0" w:space="0" w:color="auto"/>
            <w:right w:val="none" w:sz="0" w:space="0" w:color="auto"/>
          </w:divBdr>
        </w:div>
        <w:div w:id="1596981772">
          <w:marLeft w:val="480"/>
          <w:marRight w:val="0"/>
          <w:marTop w:val="0"/>
          <w:marBottom w:val="120"/>
          <w:divBdr>
            <w:top w:val="none" w:sz="0" w:space="0" w:color="auto"/>
            <w:left w:val="none" w:sz="0" w:space="0" w:color="auto"/>
            <w:bottom w:val="none" w:sz="0" w:space="0" w:color="auto"/>
            <w:right w:val="none" w:sz="0" w:space="0" w:color="auto"/>
          </w:divBdr>
        </w:div>
        <w:div w:id="2126726698">
          <w:marLeft w:val="480"/>
          <w:marRight w:val="0"/>
          <w:marTop w:val="0"/>
          <w:marBottom w:val="120"/>
          <w:divBdr>
            <w:top w:val="none" w:sz="0" w:space="0" w:color="auto"/>
            <w:left w:val="none" w:sz="0" w:space="0" w:color="auto"/>
            <w:bottom w:val="none" w:sz="0" w:space="0" w:color="auto"/>
            <w:right w:val="none" w:sz="0" w:space="0" w:color="auto"/>
          </w:divBdr>
        </w:div>
      </w:divsChild>
    </w:div>
    <w:div w:id="233707950">
      <w:bodyDiv w:val="1"/>
      <w:marLeft w:val="0"/>
      <w:marRight w:val="0"/>
      <w:marTop w:val="0"/>
      <w:marBottom w:val="0"/>
      <w:divBdr>
        <w:top w:val="none" w:sz="0" w:space="0" w:color="auto"/>
        <w:left w:val="none" w:sz="0" w:space="0" w:color="auto"/>
        <w:bottom w:val="none" w:sz="0" w:space="0" w:color="auto"/>
        <w:right w:val="none" w:sz="0" w:space="0" w:color="auto"/>
      </w:divBdr>
    </w:div>
    <w:div w:id="519860948">
      <w:bodyDiv w:val="1"/>
      <w:marLeft w:val="0"/>
      <w:marRight w:val="0"/>
      <w:marTop w:val="0"/>
      <w:marBottom w:val="0"/>
      <w:divBdr>
        <w:top w:val="none" w:sz="0" w:space="0" w:color="auto"/>
        <w:left w:val="none" w:sz="0" w:space="0" w:color="auto"/>
        <w:bottom w:val="none" w:sz="0" w:space="0" w:color="auto"/>
        <w:right w:val="none" w:sz="0" w:space="0" w:color="auto"/>
      </w:divBdr>
    </w:div>
    <w:div w:id="589120223">
      <w:bodyDiv w:val="1"/>
      <w:marLeft w:val="0"/>
      <w:marRight w:val="0"/>
      <w:marTop w:val="0"/>
      <w:marBottom w:val="0"/>
      <w:divBdr>
        <w:top w:val="none" w:sz="0" w:space="0" w:color="auto"/>
        <w:left w:val="none" w:sz="0" w:space="0" w:color="auto"/>
        <w:bottom w:val="none" w:sz="0" w:space="0" w:color="auto"/>
        <w:right w:val="none" w:sz="0" w:space="0" w:color="auto"/>
      </w:divBdr>
    </w:div>
    <w:div w:id="792289668">
      <w:bodyDiv w:val="1"/>
      <w:marLeft w:val="0"/>
      <w:marRight w:val="0"/>
      <w:marTop w:val="0"/>
      <w:marBottom w:val="0"/>
      <w:divBdr>
        <w:top w:val="none" w:sz="0" w:space="0" w:color="auto"/>
        <w:left w:val="none" w:sz="0" w:space="0" w:color="auto"/>
        <w:bottom w:val="none" w:sz="0" w:space="0" w:color="auto"/>
        <w:right w:val="none" w:sz="0" w:space="0" w:color="auto"/>
      </w:divBdr>
    </w:div>
    <w:div w:id="897546361">
      <w:bodyDiv w:val="1"/>
      <w:marLeft w:val="0"/>
      <w:marRight w:val="0"/>
      <w:marTop w:val="0"/>
      <w:marBottom w:val="0"/>
      <w:divBdr>
        <w:top w:val="none" w:sz="0" w:space="0" w:color="auto"/>
        <w:left w:val="none" w:sz="0" w:space="0" w:color="auto"/>
        <w:bottom w:val="none" w:sz="0" w:space="0" w:color="auto"/>
        <w:right w:val="none" w:sz="0" w:space="0" w:color="auto"/>
      </w:divBdr>
    </w:div>
    <w:div w:id="913204609">
      <w:bodyDiv w:val="1"/>
      <w:marLeft w:val="0"/>
      <w:marRight w:val="0"/>
      <w:marTop w:val="0"/>
      <w:marBottom w:val="0"/>
      <w:divBdr>
        <w:top w:val="none" w:sz="0" w:space="0" w:color="auto"/>
        <w:left w:val="none" w:sz="0" w:space="0" w:color="auto"/>
        <w:bottom w:val="none" w:sz="0" w:space="0" w:color="auto"/>
        <w:right w:val="none" w:sz="0" w:space="0" w:color="auto"/>
      </w:divBdr>
    </w:div>
    <w:div w:id="1123188314">
      <w:bodyDiv w:val="1"/>
      <w:marLeft w:val="0"/>
      <w:marRight w:val="0"/>
      <w:marTop w:val="0"/>
      <w:marBottom w:val="0"/>
      <w:divBdr>
        <w:top w:val="none" w:sz="0" w:space="0" w:color="auto"/>
        <w:left w:val="none" w:sz="0" w:space="0" w:color="auto"/>
        <w:bottom w:val="none" w:sz="0" w:space="0" w:color="auto"/>
        <w:right w:val="none" w:sz="0" w:space="0" w:color="auto"/>
      </w:divBdr>
    </w:div>
    <w:div w:id="1237128646">
      <w:bodyDiv w:val="1"/>
      <w:marLeft w:val="0"/>
      <w:marRight w:val="0"/>
      <w:marTop w:val="0"/>
      <w:marBottom w:val="0"/>
      <w:divBdr>
        <w:top w:val="none" w:sz="0" w:space="0" w:color="auto"/>
        <w:left w:val="none" w:sz="0" w:space="0" w:color="auto"/>
        <w:bottom w:val="none" w:sz="0" w:space="0" w:color="auto"/>
        <w:right w:val="none" w:sz="0" w:space="0" w:color="auto"/>
      </w:divBdr>
    </w:div>
    <w:div w:id="1445536863">
      <w:bodyDiv w:val="1"/>
      <w:marLeft w:val="0"/>
      <w:marRight w:val="0"/>
      <w:marTop w:val="0"/>
      <w:marBottom w:val="0"/>
      <w:divBdr>
        <w:top w:val="none" w:sz="0" w:space="0" w:color="auto"/>
        <w:left w:val="none" w:sz="0" w:space="0" w:color="auto"/>
        <w:bottom w:val="none" w:sz="0" w:space="0" w:color="auto"/>
        <w:right w:val="none" w:sz="0" w:space="0" w:color="auto"/>
      </w:divBdr>
    </w:div>
    <w:div w:id="1707294219">
      <w:bodyDiv w:val="1"/>
      <w:marLeft w:val="0"/>
      <w:marRight w:val="0"/>
      <w:marTop w:val="0"/>
      <w:marBottom w:val="0"/>
      <w:divBdr>
        <w:top w:val="none" w:sz="0" w:space="0" w:color="auto"/>
        <w:left w:val="none" w:sz="0" w:space="0" w:color="auto"/>
        <w:bottom w:val="none" w:sz="0" w:space="0" w:color="auto"/>
        <w:right w:val="none" w:sz="0" w:space="0" w:color="auto"/>
      </w:divBdr>
    </w:div>
    <w:div w:id="1760979960">
      <w:bodyDiv w:val="1"/>
      <w:marLeft w:val="0"/>
      <w:marRight w:val="0"/>
      <w:marTop w:val="0"/>
      <w:marBottom w:val="0"/>
      <w:divBdr>
        <w:top w:val="none" w:sz="0" w:space="0" w:color="auto"/>
        <w:left w:val="none" w:sz="0" w:space="0" w:color="auto"/>
        <w:bottom w:val="none" w:sz="0" w:space="0" w:color="auto"/>
        <w:right w:val="none" w:sz="0" w:space="0" w:color="auto"/>
      </w:divBdr>
    </w:div>
    <w:div w:id="1876965618">
      <w:bodyDiv w:val="1"/>
      <w:marLeft w:val="0"/>
      <w:marRight w:val="0"/>
      <w:marTop w:val="0"/>
      <w:marBottom w:val="0"/>
      <w:divBdr>
        <w:top w:val="none" w:sz="0" w:space="0" w:color="auto"/>
        <w:left w:val="none" w:sz="0" w:space="0" w:color="auto"/>
        <w:bottom w:val="none" w:sz="0" w:space="0" w:color="auto"/>
        <w:right w:val="none" w:sz="0" w:space="0" w:color="auto"/>
      </w:divBdr>
    </w:div>
    <w:div w:id="2094931009">
      <w:bodyDiv w:val="1"/>
      <w:marLeft w:val="0"/>
      <w:marRight w:val="0"/>
      <w:marTop w:val="0"/>
      <w:marBottom w:val="0"/>
      <w:divBdr>
        <w:top w:val="none" w:sz="0" w:space="0" w:color="auto"/>
        <w:left w:val="none" w:sz="0" w:space="0" w:color="auto"/>
        <w:bottom w:val="none" w:sz="0" w:space="0" w:color="auto"/>
        <w:right w:val="none" w:sz="0" w:space="0" w:color="auto"/>
      </w:divBdr>
    </w:div>
    <w:div w:id="211409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CCB28-8D9E-4C9F-83C1-2F3451A83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277</Words>
  <Characters>1579</Characters>
  <Application>Microsoft Office Word</Application>
  <DocSecurity>0</DocSecurity>
  <Lines>13</Lines>
  <Paragraphs>3</Paragraphs>
  <ScaleCrop>false</ScaleCrop>
  <Company/>
  <LinksUpToDate>false</LinksUpToDate>
  <CharactersWithSpaces>1853</CharactersWithSpaces>
  <SharedDoc>false</SharedDoc>
  <HLinks>
    <vt:vector size="24" baseType="variant">
      <vt:variant>
        <vt:i4>1376304</vt:i4>
      </vt:variant>
      <vt:variant>
        <vt:i4>20</vt:i4>
      </vt:variant>
      <vt:variant>
        <vt:i4>0</vt:i4>
      </vt:variant>
      <vt:variant>
        <vt:i4>5</vt:i4>
      </vt:variant>
      <vt:variant>
        <vt:lpwstr/>
      </vt:variant>
      <vt:variant>
        <vt:lpwstr>_Toc181784898</vt:lpwstr>
      </vt:variant>
      <vt:variant>
        <vt:i4>1376304</vt:i4>
      </vt:variant>
      <vt:variant>
        <vt:i4>14</vt:i4>
      </vt:variant>
      <vt:variant>
        <vt:i4>0</vt:i4>
      </vt:variant>
      <vt:variant>
        <vt:i4>5</vt:i4>
      </vt:variant>
      <vt:variant>
        <vt:lpwstr/>
      </vt:variant>
      <vt:variant>
        <vt:lpwstr>_Toc181784897</vt:lpwstr>
      </vt:variant>
      <vt:variant>
        <vt:i4>1376304</vt:i4>
      </vt:variant>
      <vt:variant>
        <vt:i4>8</vt:i4>
      </vt:variant>
      <vt:variant>
        <vt:i4>0</vt:i4>
      </vt:variant>
      <vt:variant>
        <vt:i4>5</vt:i4>
      </vt:variant>
      <vt:variant>
        <vt:lpwstr/>
      </vt:variant>
      <vt:variant>
        <vt:lpwstr>_Toc181784896</vt:lpwstr>
      </vt:variant>
      <vt:variant>
        <vt:i4>1376304</vt:i4>
      </vt:variant>
      <vt:variant>
        <vt:i4>2</vt:i4>
      </vt:variant>
      <vt:variant>
        <vt:i4>0</vt:i4>
      </vt:variant>
      <vt:variant>
        <vt:i4>5</vt:i4>
      </vt:variant>
      <vt:variant>
        <vt:lpwstr/>
      </vt:variant>
      <vt:variant>
        <vt:lpwstr>_Toc181784895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2024-11-06T03:28:00Z</cp:lastPrinted>
  <dcterms:created xsi:type="dcterms:W3CDTF">2024-11-11T07:17:00Z</dcterms:created>
  <dcterms:modified xsi:type="dcterms:W3CDTF">2024-11-11T07:17:00Z</dcterms:modified>
</cp:coreProperties>
</file>