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352" w:rsidRPr="00663DE1" w:rsidRDefault="00072352" w:rsidP="001D3692">
      <w:pPr>
        <w:pStyle w:val="a9"/>
        <w:rPr>
          <w:color w:val="000000"/>
          <w:spacing w:val="-12"/>
        </w:rPr>
      </w:pPr>
      <w:bookmarkStart w:id="0" w:name="_GoBack"/>
      <w:bookmarkEnd w:id="0"/>
      <w:r w:rsidRPr="00663DE1">
        <w:rPr>
          <w:rFonts w:hint="eastAsia"/>
          <w:color w:val="000000"/>
          <w:spacing w:val="-12"/>
        </w:rPr>
        <w:t>財團法人公共電視文化事業基金會</w:t>
      </w:r>
      <w:r w:rsidR="00654E17" w:rsidRPr="00663DE1">
        <w:rPr>
          <w:rFonts w:hint="eastAsia"/>
          <w:color w:val="000000"/>
          <w:spacing w:val="-12"/>
        </w:rPr>
        <w:t>11</w:t>
      </w:r>
      <w:r w:rsidR="005C5142" w:rsidRPr="00663DE1">
        <w:rPr>
          <w:rFonts w:hint="eastAsia"/>
          <w:color w:val="000000"/>
          <w:spacing w:val="-12"/>
        </w:rPr>
        <w:t>4</w:t>
      </w:r>
      <w:r w:rsidR="00654E17" w:rsidRPr="00663DE1">
        <w:rPr>
          <w:rFonts w:hint="eastAsia"/>
          <w:color w:val="000000"/>
          <w:spacing w:val="-12"/>
        </w:rPr>
        <w:t>年度</w:t>
      </w:r>
      <w:r w:rsidRPr="00663DE1">
        <w:rPr>
          <w:rFonts w:hint="eastAsia"/>
          <w:color w:val="000000"/>
          <w:spacing w:val="-12"/>
        </w:rPr>
        <w:t>預算評估報告</w:t>
      </w:r>
    </w:p>
    <w:p w:rsidR="009135F3" w:rsidRPr="00663DE1" w:rsidRDefault="00266E9C" w:rsidP="00072352">
      <w:pPr>
        <w:adjustRightInd w:val="0"/>
        <w:ind w:leftChars="0" w:left="0" w:firstLine="566"/>
        <w:rPr>
          <w:color w:val="000000"/>
        </w:rPr>
      </w:pPr>
      <w:r w:rsidRPr="00663DE1">
        <w:rPr>
          <w:rFonts w:hint="eastAsia"/>
          <w:color w:val="000000"/>
        </w:rPr>
        <w:t>財團法人公共電視文化事業基金會(簡稱公視基金會)11</w:t>
      </w:r>
      <w:r w:rsidR="00F46137" w:rsidRPr="00663DE1">
        <w:rPr>
          <w:rFonts w:hint="eastAsia"/>
          <w:color w:val="000000"/>
        </w:rPr>
        <w:t>4</w:t>
      </w:r>
      <w:r w:rsidRPr="00663DE1">
        <w:rPr>
          <w:rFonts w:hint="eastAsia"/>
          <w:color w:val="000000"/>
        </w:rPr>
        <w:t>年度預算案收入合計</w:t>
      </w:r>
      <w:r w:rsidR="00F46137" w:rsidRPr="00663DE1">
        <w:rPr>
          <w:rFonts w:hint="eastAsia"/>
          <w:color w:val="000000"/>
        </w:rPr>
        <w:t>42</w:t>
      </w:r>
      <w:r w:rsidRPr="00663DE1">
        <w:rPr>
          <w:rFonts w:hint="eastAsia"/>
          <w:color w:val="000000"/>
        </w:rPr>
        <w:t>億</w:t>
      </w:r>
      <w:r w:rsidR="00F46137" w:rsidRPr="00663DE1">
        <w:rPr>
          <w:rFonts w:hint="eastAsia"/>
          <w:color w:val="000000"/>
        </w:rPr>
        <w:t>5</w:t>
      </w:r>
      <w:r w:rsidRPr="00663DE1">
        <w:rPr>
          <w:rFonts w:hint="eastAsia"/>
          <w:color w:val="000000"/>
        </w:rPr>
        <w:t>,4</w:t>
      </w:r>
      <w:r w:rsidR="00F46137" w:rsidRPr="00663DE1">
        <w:rPr>
          <w:rFonts w:hint="eastAsia"/>
          <w:color w:val="000000"/>
        </w:rPr>
        <w:t>11</w:t>
      </w:r>
      <w:r w:rsidRPr="00663DE1">
        <w:rPr>
          <w:rFonts w:hint="eastAsia"/>
          <w:color w:val="000000"/>
        </w:rPr>
        <w:t>萬</w:t>
      </w:r>
      <w:r w:rsidR="00F46137" w:rsidRPr="00663DE1">
        <w:rPr>
          <w:rFonts w:hint="eastAsia"/>
          <w:color w:val="000000"/>
        </w:rPr>
        <w:t>1</w:t>
      </w:r>
      <w:r w:rsidRPr="00663DE1">
        <w:rPr>
          <w:rFonts w:hint="eastAsia"/>
          <w:color w:val="000000"/>
        </w:rPr>
        <w:t>千元</w:t>
      </w:r>
      <w:r w:rsidRPr="00663DE1">
        <w:rPr>
          <w:rFonts w:hAnsi="標楷體" w:hint="eastAsia"/>
          <w:color w:val="000000"/>
        </w:rPr>
        <w:t>、</w:t>
      </w:r>
      <w:r w:rsidRPr="00663DE1">
        <w:rPr>
          <w:rFonts w:hint="eastAsia"/>
          <w:color w:val="000000"/>
        </w:rPr>
        <w:t>支出合計</w:t>
      </w:r>
      <w:r w:rsidR="00F46137" w:rsidRPr="00663DE1">
        <w:rPr>
          <w:rFonts w:hint="eastAsia"/>
          <w:color w:val="000000"/>
        </w:rPr>
        <w:t>44</w:t>
      </w:r>
      <w:r w:rsidRPr="00663DE1">
        <w:rPr>
          <w:rFonts w:hint="eastAsia"/>
          <w:color w:val="000000"/>
        </w:rPr>
        <w:t>億</w:t>
      </w:r>
      <w:r w:rsidR="00F46137" w:rsidRPr="00663DE1">
        <w:rPr>
          <w:rFonts w:hint="eastAsia"/>
          <w:color w:val="000000"/>
        </w:rPr>
        <w:t>6</w:t>
      </w:r>
      <w:r w:rsidRPr="00663DE1">
        <w:rPr>
          <w:rFonts w:hint="eastAsia"/>
          <w:color w:val="000000"/>
        </w:rPr>
        <w:t>,</w:t>
      </w:r>
      <w:r w:rsidR="00F46137" w:rsidRPr="00663DE1">
        <w:rPr>
          <w:rFonts w:hint="eastAsia"/>
          <w:color w:val="000000"/>
        </w:rPr>
        <w:t>933</w:t>
      </w:r>
      <w:r w:rsidRPr="00663DE1">
        <w:rPr>
          <w:rFonts w:hint="eastAsia"/>
          <w:color w:val="000000"/>
        </w:rPr>
        <w:t>萬</w:t>
      </w:r>
      <w:r w:rsidR="003D608F" w:rsidRPr="00663DE1">
        <w:rPr>
          <w:rFonts w:hint="eastAsia"/>
          <w:color w:val="000000"/>
        </w:rPr>
        <w:t>4千</w:t>
      </w:r>
      <w:r w:rsidRPr="00663DE1">
        <w:rPr>
          <w:rFonts w:hint="eastAsia"/>
          <w:color w:val="000000"/>
        </w:rPr>
        <w:t>元</w:t>
      </w:r>
      <w:r w:rsidR="00121328" w:rsidRPr="00663DE1">
        <w:rPr>
          <w:rFonts w:hint="eastAsia"/>
          <w:color w:val="000000"/>
        </w:rPr>
        <w:t>，</w:t>
      </w:r>
      <w:r w:rsidRPr="00663DE1">
        <w:rPr>
          <w:rFonts w:hAnsi="標楷體" w:hint="eastAsia"/>
          <w:color w:val="000000"/>
        </w:rPr>
        <w:t>收支相抵後</w:t>
      </w:r>
      <w:r w:rsidRPr="00663DE1">
        <w:rPr>
          <w:rFonts w:hint="eastAsia"/>
          <w:color w:val="000000"/>
        </w:rPr>
        <w:t>短絀2億</w:t>
      </w:r>
      <w:r w:rsidR="00F46137" w:rsidRPr="00663DE1">
        <w:rPr>
          <w:rFonts w:hint="eastAsia"/>
          <w:color w:val="000000"/>
        </w:rPr>
        <w:t>1</w:t>
      </w:r>
      <w:r w:rsidRPr="00663DE1">
        <w:rPr>
          <w:rFonts w:hint="eastAsia"/>
          <w:color w:val="000000"/>
        </w:rPr>
        <w:t>,</w:t>
      </w:r>
      <w:r w:rsidR="003D608F" w:rsidRPr="00663DE1">
        <w:rPr>
          <w:rFonts w:hint="eastAsia"/>
          <w:color w:val="000000"/>
        </w:rPr>
        <w:t>5</w:t>
      </w:r>
      <w:r w:rsidR="00F46137" w:rsidRPr="00663DE1">
        <w:rPr>
          <w:rFonts w:hint="eastAsia"/>
          <w:color w:val="000000"/>
        </w:rPr>
        <w:t>22</w:t>
      </w:r>
      <w:r w:rsidRPr="00663DE1">
        <w:rPr>
          <w:rFonts w:hint="eastAsia"/>
          <w:color w:val="000000"/>
        </w:rPr>
        <w:t>萬</w:t>
      </w:r>
      <w:r w:rsidR="00F46137" w:rsidRPr="00663DE1">
        <w:rPr>
          <w:rFonts w:hint="eastAsia"/>
          <w:color w:val="000000"/>
        </w:rPr>
        <w:t>3千</w:t>
      </w:r>
      <w:r w:rsidRPr="00663DE1">
        <w:rPr>
          <w:rFonts w:hint="eastAsia"/>
          <w:color w:val="000000"/>
        </w:rPr>
        <w:t>元，較11</w:t>
      </w:r>
      <w:r w:rsidR="00F46137" w:rsidRPr="00663DE1">
        <w:rPr>
          <w:rFonts w:hint="eastAsia"/>
          <w:color w:val="000000"/>
        </w:rPr>
        <w:t>3</w:t>
      </w:r>
      <w:r w:rsidRPr="00663DE1">
        <w:rPr>
          <w:rFonts w:hint="eastAsia"/>
          <w:color w:val="000000"/>
        </w:rPr>
        <w:t>年度預算減少短絀</w:t>
      </w:r>
      <w:r w:rsidR="00F46137" w:rsidRPr="00663DE1">
        <w:rPr>
          <w:rFonts w:hint="eastAsia"/>
          <w:color w:val="000000"/>
        </w:rPr>
        <w:t>1</w:t>
      </w:r>
      <w:r w:rsidRPr="00663DE1">
        <w:rPr>
          <w:rFonts w:hint="eastAsia"/>
          <w:color w:val="000000"/>
        </w:rPr>
        <w:t>,</w:t>
      </w:r>
      <w:r w:rsidR="00F46137" w:rsidRPr="00663DE1">
        <w:rPr>
          <w:rFonts w:hint="eastAsia"/>
          <w:color w:val="000000"/>
        </w:rPr>
        <w:t>032</w:t>
      </w:r>
      <w:r w:rsidRPr="00663DE1">
        <w:rPr>
          <w:rFonts w:hint="eastAsia"/>
          <w:color w:val="000000"/>
        </w:rPr>
        <w:t>萬</w:t>
      </w:r>
      <w:r w:rsidR="00F46137" w:rsidRPr="00663DE1">
        <w:rPr>
          <w:rFonts w:hint="eastAsia"/>
          <w:color w:val="000000"/>
        </w:rPr>
        <w:t>7</w:t>
      </w:r>
      <w:r w:rsidRPr="00663DE1">
        <w:rPr>
          <w:rFonts w:hint="eastAsia"/>
          <w:color w:val="000000"/>
        </w:rPr>
        <w:t>千元</w:t>
      </w:r>
      <w:r w:rsidR="00F46137" w:rsidRPr="00663DE1">
        <w:rPr>
          <w:rFonts w:hint="eastAsia"/>
          <w:color w:val="000000"/>
        </w:rPr>
        <w:t>，減幅4.58%</w:t>
      </w:r>
      <w:r w:rsidRPr="00663DE1">
        <w:rPr>
          <w:rFonts w:hint="eastAsia"/>
          <w:color w:val="000000"/>
        </w:rPr>
        <w:t>。謹就公視基金會11</w:t>
      </w:r>
      <w:r w:rsidR="00F46137" w:rsidRPr="00663DE1">
        <w:rPr>
          <w:rFonts w:hint="eastAsia"/>
          <w:color w:val="000000"/>
        </w:rPr>
        <w:t>4</w:t>
      </w:r>
      <w:r w:rsidRPr="00663DE1">
        <w:rPr>
          <w:rFonts w:hint="eastAsia"/>
          <w:color w:val="000000"/>
        </w:rPr>
        <w:t>年度預算案評估如下：</w:t>
      </w:r>
    </w:p>
    <w:p w:rsidR="000D75EB" w:rsidRPr="001C3D45" w:rsidRDefault="000D75EB" w:rsidP="001C3D45">
      <w:pPr>
        <w:pStyle w:val="14"/>
        <w:spacing w:beforeLines="100" w:before="500"/>
        <w:ind w:left="567" w:hanging="567"/>
      </w:pPr>
      <w:bookmarkStart w:id="1" w:name="_Toc181784898"/>
      <w:bookmarkStart w:id="2" w:name="_Toc84599521"/>
      <w:r w:rsidRPr="001C3D45">
        <w:rPr>
          <w:rFonts w:hint="eastAsia"/>
        </w:rPr>
        <w:t>四、連年認列華視投資損失為數不低，允宜研謀督促華視提升營運績效，另並依規定檢附華視預算資料</w:t>
      </w:r>
      <w:bookmarkEnd w:id="1"/>
    </w:p>
    <w:p w:rsidR="000D75EB" w:rsidRPr="00663DE1" w:rsidRDefault="000D75EB" w:rsidP="000D75EB">
      <w:pPr>
        <w:ind w:left="566" w:firstLine="566"/>
        <w:rPr>
          <w:color w:val="2F5496"/>
        </w:rPr>
      </w:pPr>
      <w:r w:rsidRPr="00663DE1">
        <w:rPr>
          <w:rFonts w:hint="eastAsia"/>
          <w:color w:val="000000"/>
        </w:rPr>
        <w:t>公視基金會114年度預算案「業務外支出–其他業務外支出」編列1億4</w:t>
      </w:r>
      <w:r w:rsidRPr="00663DE1">
        <w:rPr>
          <w:color w:val="000000"/>
        </w:rPr>
        <w:t>,</w:t>
      </w:r>
      <w:r w:rsidRPr="00663DE1">
        <w:rPr>
          <w:rFonts w:hint="eastAsia"/>
          <w:color w:val="000000"/>
        </w:rPr>
        <w:t>086萬8千元，係採權益法認列投資中華電視股份有限公司(下簡稱華視)損失，較113年度預算數1億4</w:t>
      </w:r>
      <w:r w:rsidRPr="00663DE1">
        <w:rPr>
          <w:color w:val="000000"/>
        </w:rPr>
        <w:t>,823</w:t>
      </w:r>
      <w:r w:rsidRPr="00663DE1">
        <w:rPr>
          <w:rFonts w:hint="eastAsia"/>
          <w:color w:val="000000"/>
        </w:rPr>
        <w:t>萬4千元，減少7</w:t>
      </w:r>
      <w:r w:rsidRPr="00663DE1">
        <w:rPr>
          <w:color w:val="000000"/>
        </w:rPr>
        <w:t>36</w:t>
      </w:r>
      <w:r w:rsidRPr="00663DE1">
        <w:rPr>
          <w:rFonts w:hint="eastAsia"/>
          <w:color w:val="000000"/>
        </w:rPr>
        <w:t>萬6千元</w:t>
      </w:r>
      <w:r w:rsidRPr="00663DE1">
        <w:rPr>
          <w:color w:val="000000"/>
        </w:rPr>
        <w:t>。</w:t>
      </w:r>
      <w:r w:rsidRPr="00663DE1">
        <w:rPr>
          <w:rFonts w:hint="eastAsia"/>
          <w:color w:val="000000"/>
        </w:rPr>
        <w:t>茲說明如下：</w:t>
      </w:r>
    </w:p>
    <w:p w:rsidR="000D75EB" w:rsidRPr="00663DE1" w:rsidRDefault="000D75EB" w:rsidP="000D75EB">
      <w:pPr>
        <w:pStyle w:val="a4"/>
        <w:ind w:left="849" w:hanging="283"/>
        <w:rPr>
          <w:b/>
          <w:color w:val="000000"/>
        </w:rPr>
      </w:pPr>
      <w:r w:rsidRPr="00663DE1">
        <w:rPr>
          <w:rFonts w:hint="eastAsia"/>
          <w:b/>
          <w:color w:val="000000"/>
        </w:rPr>
        <w:t>(一)110至114年度認列華視投資損失占公視短絀數比率介於45.6%至135.14%，為公視連年短絀重要原因</w:t>
      </w:r>
    </w:p>
    <w:p w:rsidR="000D75EB" w:rsidRPr="00663DE1" w:rsidRDefault="000D75EB" w:rsidP="000D75EB">
      <w:pPr>
        <w:pStyle w:val="21"/>
        <w:ind w:left="850" w:firstLine="566"/>
        <w:rPr>
          <w:color w:val="2F5496"/>
        </w:rPr>
      </w:pPr>
      <w:r w:rsidRPr="00663DE1">
        <w:rPr>
          <w:rFonts w:hint="eastAsia"/>
          <w:color w:val="000000"/>
        </w:rPr>
        <w:t>公視基金會1</w:t>
      </w:r>
      <w:r w:rsidRPr="00663DE1">
        <w:rPr>
          <w:color w:val="000000"/>
        </w:rPr>
        <w:t>1</w:t>
      </w:r>
      <w:r w:rsidRPr="00663DE1">
        <w:rPr>
          <w:rFonts w:hint="eastAsia"/>
          <w:color w:val="000000"/>
        </w:rPr>
        <w:t>0至11</w:t>
      </w:r>
      <w:r w:rsidRPr="00663DE1">
        <w:rPr>
          <w:color w:val="000000"/>
        </w:rPr>
        <w:t>2</w:t>
      </w:r>
      <w:r w:rsidRPr="00663DE1">
        <w:rPr>
          <w:rFonts w:hint="eastAsia"/>
          <w:color w:val="000000"/>
        </w:rPr>
        <w:t>年度決算收支短絀介於1億2</w:t>
      </w:r>
      <w:r w:rsidRPr="00663DE1">
        <w:rPr>
          <w:color w:val="000000"/>
        </w:rPr>
        <w:t>,958</w:t>
      </w:r>
      <w:r w:rsidRPr="00663DE1">
        <w:rPr>
          <w:rFonts w:hint="eastAsia"/>
          <w:color w:val="000000"/>
        </w:rPr>
        <w:t>萬元至2億6</w:t>
      </w:r>
      <w:r w:rsidRPr="00663DE1">
        <w:rPr>
          <w:color w:val="000000"/>
        </w:rPr>
        <w:t>,589</w:t>
      </w:r>
      <w:r w:rsidRPr="00663DE1">
        <w:rPr>
          <w:rFonts w:hint="eastAsia"/>
          <w:color w:val="000000"/>
        </w:rPr>
        <w:t>萬7千元間，預計1</w:t>
      </w:r>
      <w:r w:rsidRPr="00663DE1">
        <w:rPr>
          <w:color w:val="000000"/>
        </w:rPr>
        <w:t>13</w:t>
      </w:r>
      <w:r w:rsidRPr="00663DE1">
        <w:rPr>
          <w:rFonts w:hint="eastAsia"/>
          <w:color w:val="000000"/>
        </w:rPr>
        <w:t>及11</w:t>
      </w:r>
      <w:r w:rsidRPr="00663DE1">
        <w:rPr>
          <w:color w:val="000000"/>
        </w:rPr>
        <w:t>4</w:t>
      </w:r>
      <w:r w:rsidRPr="00663DE1">
        <w:rPr>
          <w:rFonts w:hint="eastAsia"/>
          <w:color w:val="000000"/>
        </w:rPr>
        <w:t>年度仍各短絀2億2</w:t>
      </w:r>
      <w:r w:rsidRPr="00663DE1">
        <w:rPr>
          <w:color w:val="000000"/>
        </w:rPr>
        <w:t>,5</w:t>
      </w:r>
      <w:r w:rsidRPr="00663DE1">
        <w:rPr>
          <w:rFonts w:hint="eastAsia"/>
          <w:color w:val="000000"/>
        </w:rPr>
        <w:t>50萬元及2億1</w:t>
      </w:r>
      <w:r w:rsidRPr="00663DE1">
        <w:rPr>
          <w:color w:val="000000"/>
        </w:rPr>
        <w:t>,</w:t>
      </w:r>
      <w:r w:rsidRPr="00663DE1">
        <w:rPr>
          <w:rFonts w:hint="eastAsia"/>
          <w:color w:val="000000"/>
        </w:rPr>
        <w:t>522萬3千元</w:t>
      </w:r>
      <w:r w:rsidR="002B6D2A" w:rsidRPr="00663DE1">
        <w:rPr>
          <w:rFonts w:hint="eastAsia"/>
          <w:color w:val="000000"/>
        </w:rPr>
        <w:t>，其中</w:t>
      </w:r>
      <w:r w:rsidRPr="00663DE1">
        <w:rPr>
          <w:rFonts w:hint="eastAsia"/>
          <w:color w:val="000000"/>
        </w:rPr>
        <w:t>110至114年度實際(預計)依權益法認列華視投資損失介於1億516萬元至2億166萬5千元間，占公視基金會短絀數比率介於45.6%至135.14%間(詳表1)，顯示認列華視投資損失為公視基金會連年短絀之重要原因，允宜</w:t>
      </w:r>
      <w:r w:rsidR="002B6D2A" w:rsidRPr="00663DE1">
        <w:rPr>
          <w:rFonts w:hint="eastAsia"/>
          <w:color w:val="000000"/>
        </w:rPr>
        <w:t>妥謀善策以</w:t>
      </w:r>
      <w:r w:rsidRPr="00663DE1">
        <w:rPr>
          <w:rFonts w:hint="eastAsia"/>
          <w:color w:val="000000"/>
        </w:rPr>
        <w:t>提升華視營運績效。</w:t>
      </w:r>
    </w:p>
    <w:p w:rsidR="000D75EB" w:rsidRPr="00663DE1" w:rsidRDefault="000D75EB" w:rsidP="004603EC">
      <w:pPr>
        <w:spacing w:beforeLines="30" w:before="150" w:line="360" w:lineRule="exact"/>
        <w:ind w:leftChars="0" w:left="0" w:firstLineChars="0" w:firstLine="0"/>
        <w:rPr>
          <w:b/>
          <w:color w:val="000000"/>
        </w:rPr>
      </w:pPr>
      <w:r w:rsidRPr="00663DE1">
        <w:rPr>
          <w:rFonts w:hint="eastAsia"/>
          <w:b/>
          <w:color w:val="000000"/>
        </w:rPr>
        <w:t>表1  公視基金會1</w:t>
      </w:r>
      <w:r w:rsidRPr="00663DE1">
        <w:rPr>
          <w:b/>
          <w:color w:val="000000"/>
        </w:rPr>
        <w:t>10</w:t>
      </w:r>
      <w:r w:rsidRPr="00663DE1">
        <w:rPr>
          <w:rFonts w:hint="eastAsia"/>
          <w:b/>
          <w:color w:val="000000"/>
        </w:rPr>
        <w:t>至11</w:t>
      </w:r>
      <w:r w:rsidRPr="00663DE1">
        <w:rPr>
          <w:b/>
          <w:color w:val="000000"/>
        </w:rPr>
        <w:t>4</w:t>
      </w:r>
      <w:r w:rsidRPr="00663DE1">
        <w:rPr>
          <w:rFonts w:hint="eastAsia"/>
          <w:b/>
          <w:color w:val="000000"/>
        </w:rPr>
        <w:t>年</w:t>
      </w:r>
      <w:r w:rsidR="002B6D2A" w:rsidRPr="00663DE1">
        <w:rPr>
          <w:rFonts w:hint="eastAsia"/>
          <w:b/>
          <w:color w:val="000000"/>
        </w:rPr>
        <w:t>度</w:t>
      </w:r>
      <w:r w:rsidRPr="00663DE1">
        <w:rPr>
          <w:rFonts w:hint="eastAsia"/>
          <w:b/>
          <w:color w:val="000000"/>
        </w:rPr>
        <w:t>收支餘絀及投資華視損失彙總表</w:t>
      </w:r>
    </w:p>
    <w:p w:rsidR="000D75EB" w:rsidRPr="00663DE1" w:rsidRDefault="000D75EB" w:rsidP="004603EC">
      <w:pPr>
        <w:spacing w:line="360" w:lineRule="exact"/>
        <w:ind w:leftChars="0" w:left="0" w:firstLineChars="0" w:firstLine="0"/>
        <w:rPr>
          <w:color w:val="000000"/>
          <w:sz w:val="24"/>
          <w:szCs w:val="24"/>
        </w:rPr>
      </w:pPr>
      <w:r w:rsidRPr="00663DE1">
        <w:rPr>
          <w:rFonts w:hint="eastAsia"/>
          <w:b/>
          <w:color w:val="2F5496"/>
        </w:rPr>
        <w:t xml:space="preserve">                                            </w:t>
      </w:r>
      <w:r w:rsidRPr="00663DE1">
        <w:rPr>
          <w:rFonts w:hint="eastAsia"/>
          <w:color w:val="000000"/>
          <w:sz w:val="24"/>
          <w:szCs w:val="24"/>
        </w:rPr>
        <w:t>單位：新臺幣千元；%</w:t>
      </w:r>
    </w:p>
    <w:tbl>
      <w:tblPr>
        <w:tblW w:w="846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24"/>
        <w:gridCol w:w="1328"/>
        <w:gridCol w:w="1328"/>
        <w:gridCol w:w="1328"/>
        <w:gridCol w:w="1328"/>
        <w:gridCol w:w="1532"/>
      </w:tblGrid>
      <w:tr w:rsidR="000D75EB" w:rsidRPr="00D15950" w:rsidTr="00B5061B">
        <w:tc>
          <w:tcPr>
            <w:tcW w:w="1624" w:type="dxa"/>
            <w:shd w:val="clear" w:color="auto" w:fill="auto"/>
            <w:vAlign w:val="center"/>
            <w:hideMark/>
          </w:tcPr>
          <w:p w:rsidR="000D75EB" w:rsidRPr="00663DE1" w:rsidRDefault="000D75EB" w:rsidP="00B5061B">
            <w:pPr>
              <w:pStyle w:val="142"/>
              <w:jc w:val="distribute"/>
              <w:rPr>
                <w:snapToGrid/>
                <w:color w:val="000000"/>
              </w:rPr>
            </w:pPr>
            <w:r w:rsidRPr="00663DE1">
              <w:rPr>
                <w:rFonts w:hint="eastAsia"/>
                <w:snapToGrid/>
                <w:color w:val="000000"/>
              </w:rPr>
              <w:t>項目</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110年度</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111年度</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112年度</w:t>
            </w:r>
          </w:p>
        </w:tc>
        <w:tc>
          <w:tcPr>
            <w:tcW w:w="1328" w:type="dxa"/>
            <w:vAlign w:val="center"/>
          </w:tcPr>
          <w:p w:rsidR="000D75EB" w:rsidRPr="00663DE1" w:rsidRDefault="000D75EB" w:rsidP="00B5061B">
            <w:pPr>
              <w:pStyle w:val="142"/>
              <w:jc w:val="center"/>
              <w:rPr>
                <w:snapToGrid/>
                <w:color w:val="000000"/>
              </w:rPr>
            </w:pPr>
            <w:r w:rsidRPr="00663DE1">
              <w:rPr>
                <w:rFonts w:hint="eastAsia"/>
                <w:snapToGrid/>
                <w:color w:val="000000"/>
              </w:rPr>
              <w:t>113年度</w:t>
            </w:r>
          </w:p>
        </w:tc>
        <w:tc>
          <w:tcPr>
            <w:tcW w:w="1532" w:type="dxa"/>
            <w:shd w:val="clear" w:color="auto" w:fill="auto"/>
            <w:vAlign w:val="center"/>
          </w:tcPr>
          <w:p w:rsidR="000D75EB" w:rsidRPr="00663DE1" w:rsidRDefault="000D75EB" w:rsidP="00B5061B">
            <w:pPr>
              <w:pStyle w:val="142"/>
              <w:jc w:val="center"/>
              <w:rPr>
                <w:snapToGrid/>
                <w:color w:val="000000"/>
              </w:rPr>
            </w:pPr>
            <w:r w:rsidRPr="00663DE1">
              <w:rPr>
                <w:rFonts w:hint="eastAsia"/>
                <w:snapToGrid/>
                <w:color w:val="000000"/>
              </w:rPr>
              <w:t>1</w:t>
            </w:r>
            <w:r w:rsidRPr="00663DE1">
              <w:rPr>
                <w:snapToGrid/>
                <w:color w:val="000000"/>
              </w:rPr>
              <w:t>14</w:t>
            </w:r>
            <w:r w:rsidRPr="00663DE1">
              <w:rPr>
                <w:rFonts w:hint="eastAsia"/>
                <w:snapToGrid/>
                <w:color w:val="000000"/>
              </w:rPr>
              <w:t>年度</w:t>
            </w:r>
          </w:p>
        </w:tc>
      </w:tr>
      <w:tr w:rsidR="000D75EB" w:rsidRPr="00D15950" w:rsidTr="00B5061B">
        <w:tc>
          <w:tcPr>
            <w:tcW w:w="1624" w:type="dxa"/>
            <w:shd w:val="clear" w:color="auto" w:fill="auto"/>
            <w:vAlign w:val="center"/>
            <w:hideMark/>
          </w:tcPr>
          <w:p w:rsidR="000D75EB" w:rsidRPr="00663DE1" w:rsidRDefault="000D75EB" w:rsidP="00B5061B">
            <w:pPr>
              <w:pStyle w:val="142"/>
              <w:rPr>
                <w:snapToGrid/>
                <w:color w:val="000000"/>
              </w:rPr>
            </w:pPr>
            <w:r w:rsidRPr="00663DE1">
              <w:rPr>
                <w:rFonts w:hint="eastAsia"/>
                <w:snapToGrid/>
                <w:color w:val="000000"/>
              </w:rPr>
              <w:t>收支餘(-絀)A</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-129,580</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-265,897</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w:t>
            </w:r>
            <w:r w:rsidRPr="00663DE1">
              <w:rPr>
                <w:snapToGrid/>
                <w:color w:val="000000"/>
              </w:rPr>
              <w:t>149</w:t>
            </w:r>
            <w:r w:rsidRPr="00663DE1">
              <w:rPr>
                <w:rFonts w:hint="eastAsia"/>
                <w:snapToGrid/>
                <w:color w:val="000000"/>
              </w:rPr>
              <w:t>,</w:t>
            </w:r>
            <w:r w:rsidRPr="00663DE1">
              <w:rPr>
                <w:snapToGrid/>
                <w:color w:val="000000"/>
              </w:rPr>
              <w:t>225</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-225,550</w:t>
            </w:r>
          </w:p>
        </w:tc>
        <w:tc>
          <w:tcPr>
            <w:tcW w:w="1532" w:type="dxa"/>
            <w:shd w:val="clear" w:color="auto" w:fill="auto"/>
            <w:vAlign w:val="center"/>
          </w:tcPr>
          <w:p w:rsidR="000D75EB" w:rsidRPr="00663DE1" w:rsidRDefault="000D75EB" w:rsidP="00B5061B">
            <w:pPr>
              <w:pStyle w:val="142"/>
              <w:jc w:val="right"/>
              <w:rPr>
                <w:snapToGrid/>
                <w:color w:val="000000"/>
              </w:rPr>
            </w:pPr>
            <w:r w:rsidRPr="00663DE1">
              <w:rPr>
                <w:rFonts w:hint="eastAsia"/>
                <w:snapToGrid/>
                <w:color w:val="000000"/>
              </w:rPr>
              <w:t>-215,</w:t>
            </w:r>
            <w:r w:rsidRPr="00663DE1">
              <w:rPr>
                <w:snapToGrid/>
                <w:color w:val="000000"/>
              </w:rPr>
              <w:t>223</w:t>
            </w:r>
          </w:p>
        </w:tc>
      </w:tr>
      <w:tr w:rsidR="000D75EB" w:rsidRPr="00D15950" w:rsidTr="00B5061B">
        <w:tc>
          <w:tcPr>
            <w:tcW w:w="1624" w:type="dxa"/>
            <w:shd w:val="clear" w:color="auto" w:fill="auto"/>
            <w:vAlign w:val="center"/>
            <w:hideMark/>
          </w:tcPr>
          <w:p w:rsidR="000D75EB" w:rsidRPr="00663DE1" w:rsidRDefault="000D75EB" w:rsidP="00B5061B">
            <w:pPr>
              <w:pStyle w:val="142"/>
              <w:rPr>
                <w:snapToGrid/>
                <w:color w:val="000000"/>
              </w:rPr>
            </w:pPr>
            <w:r w:rsidRPr="00663DE1">
              <w:rPr>
                <w:rFonts w:hint="eastAsia"/>
                <w:snapToGrid/>
                <w:color w:val="000000"/>
              </w:rPr>
              <w:t>認列華視投資損失B</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-105,160</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-121,256</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w:t>
            </w:r>
            <w:r w:rsidRPr="00663DE1">
              <w:rPr>
                <w:snapToGrid/>
                <w:color w:val="000000"/>
              </w:rPr>
              <w:t>201</w:t>
            </w:r>
            <w:r w:rsidRPr="00663DE1">
              <w:rPr>
                <w:rFonts w:hint="eastAsia"/>
                <w:snapToGrid/>
                <w:color w:val="000000"/>
              </w:rPr>
              <w:t>,</w:t>
            </w:r>
            <w:r w:rsidRPr="00663DE1">
              <w:rPr>
                <w:snapToGrid/>
                <w:color w:val="000000"/>
              </w:rPr>
              <w:t>665</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-148,234</w:t>
            </w:r>
          </w:p>
        </w:tc>
        <w:tc>
          <w:tcPr>
            <w:tcW w:w="1532" w:type="dxa"/>
            <w:shd w:val="clear" w:color="auto" w:fill="auto"/>
            <w:vAlign w:val="center"/>
          </w:tcPr>
          <w:p w:rsidR="000D75EB" w:rsidRPr="00663DE1" w:rsidRDefault="000D75EB" w:rsidP="00B5061B">
            <w:pPr>
              <w:pStyle w:val="142"/>
              <w:jc w:val="right"/>
              <w:rPr>
                <w:snapToGrid/>
                <w:color w:val="000000"/>
              </w:rPr>
            </w:pPr>
            <w:r w:rsidRPr="00663DE1">
              <w:rPr>
                <w:rFonts w:hint="eastAsia"/>
                <w:snapToGrid/>
                <w:color w:val="000000"/>
              </w:rPr>
              <w:t>-</w:t>
            </w:r>
            <w:r w:rsidRPr="00663DE1">
              <w:rPr>
                <w:snapToGrid/>
                <w:color w:val="000000"/>
              </w:rPr>
              <w:t>140,868</w:t>
            </w:r>
          </w:p>
        </w:tc>
      </w:tr>
      <w:tr w:rsidR="000D75EB" w:rsidRPr="00D15950" w:rsidTr="00B5061B">
        <w:tc>
          <w:tcPr>
            <w:tcW w:w="1624" w:type="dxa"/>
            <w:shd w:val="clear" w:color="auto" w:fill="auto"/>
            <w:noWrap/>
            <w:vAlign w:val="center"/>
            <w:hideMark/>
          </w:tcPr>
          <w:p w:rsidR="000D75EB" w:rsidRPr="00663DE1" w:rsidRDefault="000D75EB" w:rsidP="00B5061B">
            <w:pPr>
              <w:pStyle w:val="142"/>
              <w:rPr>
                <w:snapToGrid/>
                <w:color w:val="000000"/>
              </w:rPr>
            </w:pPr>
            <w:r w:rsidRPr="00663DE1">
              <w:rPr>
                <w:rFonts w:hint="eastAsia"/>
                <w:snapToGrid/>
                <w:color w:val="000000"/>
              </w:rPr>
              <w:t>占比(B/A)</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81.15</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45.60</w:t>
            </w:r>
          </w:p>
        </w:tc>
        <w:tc>
          <w:tcPr>
            <w:tcW w:w="1328" w:type="dxa"/>
            <w:vAlign w:val="center"/>
          </w:tcPr>
          <w:p w:rsidR="000D75EB" w:rsidRPr="00663DE1" w:rsidRDefault="000D75EB" w:rsidP="00B5061B">
            <w:pPr>
              <w:pStyle w:val="142"/>
              <w:jc w:val="right"/>
              <w:rPr>
                <w:snapToGrid/>
                <w:color w:val="000000"/>
              </w:rPr>
            </w:pPr>
            <w:r w:rsidRPr="00663DE1">
              <w:rPr>
                <w:snapToGrid/>
                <w:color w:val="000000"/>
              </w:rPr>
              <w:t>135.14</w:t>
            </w:r>
          </w:p>
        </w:tc>
        <w:tc>
          <w:tcPr>
            <w:tcW w:w="1328" w:type="dxa"/>
            <w:vAlign w:val="center"/>
          </w:tcPr>
          <w:p w:rsidR="000D75EB" w:rsidRPr="00663DE1" w:rsidRDefault="000D75EB" w:rsidP="00B5061B">
            <w:pPr>
              <w:pStyle w:val="142"/>
              <w:jc w:val="right"/>
              <w:rPr>
                <w:snapToGrid/>
                <w:color w:val="000000"/>
              </w:rPr>
            </w:pPr>
            <w:r w:rsidRPr="00663DE1">
              <w:rPr>
                <w:rFonts w:hint="eastAsia"/>
                <w:snapToGrid/>
                <w:color w:val="000000"/>
              </w:rPr>
              <w:t>65.72</w:t>
            </w:r>
          </w:p>
        </w:tc>
        <w:tc>
          <w:tcPr>
            <w:tcW w:w="1532" w:type="dxa"/>
            <w:shd w:val="clear" w:color="auto" w:fill="auto"/>
            <w:noWrap/>
            <w:vAlign w:val="center"/>
          </w:tcPr>
          <w:p w:rsidR="000D75EB" w:rsidRPr="00663DE1" w:rsidRDefault="000D75EB" w:rsidP="00B5061B">
            <w:pPr>
              <w:pStyle w:val="142"/>
              <w:jc w:val="right"/>
              <w:rPr>
                <w:snapToGrid/>
                <w:color w:val="000000"/>
              </w:rPr>
            </w:pPr>
            <w:r w:rsidRPr="00663DE1">
              <w:rPr>
                <w:rFonts w:hint="eastAsia"/>
                <w:snapToGrid/>
                <w:color w:val="000000"/>
              </w:rPr>
              <w:t>6</w:t>
            </w:r>
            <w:r w:rsidRPr="00663DE1">
              <w:rPr>
                <w:snapToGrid/>
                <w:color w:val="000000"/>
              </w:rPr>
              <w:t>5.45</w:t>
            </w:r>
          </w:p>
        </w:tc>
      </w:tr>
    </w:tbl>
    <w:p w:rsidR="000D75EB" w:rsidRPr="00663DE1" w:rsidRDefault="000D75EB" w:rsidP="000D75EB">
      <w:pPr>
        <w:pStyle w:val="142"/>
        <w:rPr>
          <w:color w:val="000000"/>
        </w:rPr>
      </w:pPr>
      <w:r w:rsidRPr="00663DE1">
        <w:rPr>
          <w:rFonts w:hint="eastAsia"/>
          <w:color w:val="000000"/>
        </w:rPr>
        <w:t>說    明：上表11</w:t>
      </w:r>
      <w:r w:rsidRPr="00663DE1">
        <w:rPr>
          <w:color w:val="000000"/>
        </w:rPr>
        <w:t>2</w:t>
      </w:r>
      <w:r w:rsidRPr="00663DE1">
        <w:rPr>
          <w:rFonts w:hint="eastAsia"/>
          <w:color w:val="000000"/>
        </w:rPr>
        <w:t>年度(含)以前為決算數，11</w:t>
      </w:r>
      <w:r w:rsidRPr="00663DE1">
        <w:rPr>
          <w:color w:val="000000"/>
        </w:rPr>
        <w:t>3</w:t>
      </w:r>
      <w:r w:rsidRPr="00663DE1">
        <w:rPr>
          <w:rFonts w:hint="eastAsia"/>
          <w:color w:val="000000"/>
        </w:rPr>
        <w:t>年度及11</w:t>
      </w:r>
      <w:r w:rsidRPr="00663DE1">
        <w:rPr>
          <w:color w:val="000000"/>
        </w:rPr>
        <w:t>4</w:t>
      </w:r>
      <w:r w:rsidRPr="00663DE1">
        <w:rPr>
          <w:rFonts w:hint="eastAsia"/>
          <w:color w:val="000000"/>
        </w:rPr>
        <w:t>年度為預算數。</w:t>
      </w:r>
    </w:p>
    <w:p w:rsidR="000D75EB" w:rsidRPr="00663DE1" w:rsidRDefault="000D75EB" w:rsidP="000D75EB">
      <w:pPr>
        <w:pStyle w:val="142"/>
        <w:rPr>
          <w:color w:val="000000"/>
        </w:rPr>
      </w:pPr>
      <w:r w:rsidRPr="00663DE1">
        <w:rPr>
          <w:rFonts w:hint="eastAsia"/>
          <w:color w:val="000000"/>
        </w:rPr>
        <w:t>資料來源：彙整公視基金會預決算書。</w:t>
      </w:r>
    </w:p>
    <w:p w:rsidR="000D75EB" w:rsidRPr="00663DE1" w:rsidRDefault="000D75EB" w:rsidP="000D75EB">
      <w:pPr>
        <w:pStyle w:val="a4"/>
        <w:ind w:left="849" w:hanging="283"/>
        <w:rPr>
          <w:b/>
          <w:color w:val="000000"/>
        </w:rPr>
      </w:pPr>
      <w:r w:rsidRPr="00663DE1">
        <w:rPr>
          <w:rFonts w:hint="eastAsia"/>
          <w:b/>
          <w:color w:val="000000"/>
        </w:rPr>
        <w:lastRenderedPageBreak/>
        <w:t>(二)公視基金會允宜依規定將轉投資事業華視之預算資料納入其預算案之附錄</w:t>
      </w:r>
    </w:p>
    <w:p w:rsidR="000D75EB" w:rsidRPr="00663DE1" w:rsidRDefault="000D75EB" w:rsidP="000D75EB">
      <w:pPr>
        <w:pStyle w:val="21"/>
        <w:ind w:left="850" w:firstLine="566"/>
        <w:rPr>
          <w:color w:val="2F5496"/>
        </w:rPr>
      </w:pPr>
      <w:r w:rsidRPr="00663DE1">
        <w:rPr>
          <w:rFonts w:hint="eastAsia"/>
          <w:color w:val="000000"/>
        </w:rPr>
        <w:t>公視基金會依無線電視事業公股處理條例受贈華視股權，持股比率達83.24%</w:t>
      </w:r>
      <w:r w:rsidR="002B6D2A" w:rsidRPr="00663DE1">
        <w:rPr>
          <w:rFonts w:hint="eastAsia"/>
          <w:color w:val="000000"/>
        </w:rPr>
        <w:t>；</w:t>
      </w:r>
      <w:r w:rsidRPr="00663DE1">
        <w:rPr>
          <w:rFonts w:hint="eastAsia"/>
          <w:color w:val="000000"/>
        </w:rPr>
        <w:t>按財團法人依法預算須送立法院之預算編製注意事項第3條第2項規定</w:t>
      </w:r>
      <w:r w:rsidRPr="00663DE1">
        <w:rPr>
          <w:rStyle w:val="af5"/>
          <w:color w:val="000000"/>
        </w:rPr>
        <w:footnoteReference w:id="1"/>
      </w:r>
      <w:r w:rsidRPr="00663DE1">
        <w:rPr>
          <w:rFonts w:hint="eastAsia"/>
          <w:color w:val="000000"/>
        </w:rPr>
        <w:t>略以，各財團法人預算書表之附錄含括持股超過百分之五十之轉投資事業預算資料。惟該基金會114年度預算案</w:t>
      </w:r>
      <w:r w:rsidR="002B6D2A" w:rsidRPr="00663DE1">
        <w:rPr>
          <w:rFonts w:hint="eastAsia"/>
          <w:color w:val="000000"/>
        </w:rPr>
        <w:t>未編製</w:t>
      </w:r>
      <w:r w:rsidRPr="00663DE1">
        <w:rPr>
          <w:rFonts w:hint="eastAsia"/>
          <w:color w:val="000000"/>
        </w:rPr>
        <w:t>附錄</w:t>
      </w:r>
      <w:r w:rsidR="002B6D2A" w:rsidRPr="00663DE1">
        <w:rPr>
          <w:rFonts w:hint="eastAsia"/>
          <w:color w:val="000000"/>
        </w:rPr>
        <w:t>以</w:t>
      </w:r>
      <w:r w:rsidRPr="00663DE1">
        <w:rPr>
          <w:rFonts w:hint="eastAsia"/>
          <w:color w:val="000000"/>
        </w:rPr>
        <w:t>檢附華視114年度預算資料，允宜依前揭規定</w:t>
      </w:r>
      <w:r w:rsidR="002B6D2A" w:rsidRPr="00663DE1">
        <w:rPr>
          <w:rFonts w:hint="eastAsia"/>
          <w:color w:val="000000"/>
        </w:rPr>
        <w:t>辦理</w:t>
      </w:r>
      <w:r w:rsidRPr="00663DE1">
        <w:rPr>
          <w:rFonts w:hint="eastAsia"/>
          <w:color w:val="000000"/>
        </w:rPr>
        <w:t>，俾利本院預算審議。</w:t>
      </w:r>
    </w:p>
    <w:p w:rsidR="000D75EB" w:rsidRPr="00663DE1" w:rsidRDefault="000D75EB" w:rsidP="000D75EB">
      <w:pPr>
        <w:ind w:left="566" w:firstLine="566"/>
        <w:rPr>
          <w:color w:val="000000"/>
        </w:rPr>
      </w:pPr>
      <w:r w:rsidRPr="00663DE1">
        <w:rPr>
          <w:rFonts w:hint="eastAsia"/>
          <w:color w:val="000000"/>
        </w:rPr>
        <w:t>綜上，華視為公視基金會持股比率達83.24%之轉投資事業，該基金會連年認列華視投資損失，顯示華視營運欠佳，允宜督促華視研謀</w:t>
      </w:r>
      <w:r w:rsidR="002B6D2A" w:rsidRPr="00663DE1">
        <w:rPr>
          <w:rFonts w:hint="eastAsia"/>
          <w:color w:val="000000"/>
        </w:rPr>
        <w:t>改善以</w:t>
      </w:r>
      <w:r w:rsidRPr="00663DE1">
        <w:rPr>
          <w:rFonts w:hint="eastAsia"/>
          <w:color w:val="000000"/>
        </w:rPr>
        <w:t>提升營運績效，另並依規定於預算案</w:t>
      </w:r>
      <w:r w:rsidR="002B6D2A" w:rsidRPr="00663DE1">
        <w:rPr>
          <w:rFonts w:hint="eastAsia"/>
          <w:color w:val="000000"/>
        </w:rPr>
        <w:t>編製</w:t>
      </w:r>
      <w:r w:rsidRPr="00663DE1">
        <w:rPr>
          <w:rFonts w:hint="eastAsia"/>
          <w:color w:val="000000"/>
        </w:rPr>
        <w:t>附錄</w:t>
      </w:r>
      <w:r w:rsidR="00143D59" w:rsidRPr="00663DE1">
        <w:rPr>
          <w:rFonts w:hint="eastAsia"/>
          <w:color w:val="000000"/>
        </w:rPr>
        <w:t>以</w:t>
      </w:r>
      <w:r w:rsidRPr="00663DE1">
        <w:rPr>
          <w:rFonts w:hint="eastAsia"/>
          <w:color w:val="000000"/>
        </w:rPr>
        <w:t>檢附華視預算資料，俾利預算審議。</w:t>
      </w:r>
      <w:bookmarkEnd w:id="2"/>
    </w:p>
    <w:p w:rsidR="00BC33F6" w:rsidRPr="00663DE1" w:rsidRDefault="00520F09" w:rsidP="00520F09">
      <w:pPr>
        <w:pStyle w:val="ab"/>
        <w:rPr>
          <w:color w:val="000000"/>
        </w:rPr>
      </w:pPr>
      <w:r w:rsidRPr="00663DE1">
        <w:rPr>
          <w:rFonts w:hint="eastAsia"/>
          <w:color w:val="000000"/>
        </w:rPr>
        <w:t>(分機：</w:t>
      </w:r>
      <w:r w:rsidR="00FE5A8D" w:rsidRPr="00663DE1">
        <w:rPr>
          <w:rFonts w:hint="eastAsia"/>
          <w:color w:val="000000"/>
        </w:rPr>
        <w:t>8653</w:t>
      </w:r>
      <w:r w:rsidRPr="00663DE1">
        <w:rPr>
          <w:rFonts w:hint="eastAsia"/>
          <w:color w:val="000000"/>
        </w:rPr>
        <w:t xml:space="preserve"> </w:t>
      </w:r>
      <w:r w:rsidR="00FE5A8D" w:rsidRPr="00663DE1">
        <w:rPr>
          <w:rFonts w:hint="eastAsia"/>
          <w:color w:val="000000"/>
        </w:rPr>
        <w:t>江穗美</w:t>
      </w:r>
      <w:r w:rsidRPr="00663DE1">
        <w:rPr>
          <w:rFonts w:hint="eastAsia"/>
          <w:color w:val="000000"/>
        </w:rPr>
        <w:t>)</w:t>
      </w:r>
    </w:p>
    <w:sectPr w:rsidR="00BC33F6" w:rsidRPr="00663DE1" w:rsidSect="009B106E">
      <w:footerReference w:type="default" r:id="rId8"/>
      <w:pgSz w:w="11906" w:h="16838" w:code="9"/>
      <w:pgMar w:top="1701" w:right="1645"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61B" w:rsidRDefault="00B5061B" w:rsidP="009B732E">
      <w:pPr>
        <w:spacing w:line="240" w:lineRule="auto"/>
        <w:ind w:left="560" w:firstLine="560"/>
      </w:pPr>
      <w:r>
        <w:separator/>
      </w:r>
    </w:p>
  </w:endnote>
  <w:endnote w:type="continuationSeparator" w:id="0">
    <w:p w:rsidR="00B5061B" w:rsidRDefault="00B5061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13E" w:rsidRDefault="00440B75" w:rsidP="00440B75">
    <w:pPr>
      <w:pStyle w:val="af"/>
      <w:ind w:leftChars="0" w:left="566" w:firstLineChars="0" w:firstLine="406"/>
    </w:pPr>
    <w:r>
      <w:rPr>
        <w:rFonts w:hint="eastAsia"/>
      </w:rPr>
      <w:t xml:space="preserve">                                227</w:t>
    </w:r>
    <w:r w:rsidR="004E113E">
      <w:t>-</w:t>
    </w:r>
    <w:r w:rsidR="004E113E">
      <w:fldChar w:fldCharType="begin"/>
    </w:r>
    <w:r w:rsidR="004E113E">
      <w:instrText>PAGE   \* MERGEFORMAT</w:instrText>
    </w:r>
    <w:r w:rsidR="004E113E">
      <w:fldChar w:fldCharType="separate"/>
    </w:r>
    <w:r w:rsidR="00A13B47" w:rsidRPr="00A13B47">
      <w:rPr>
        <w:noProof/>
        <w:lang w:val="zh-TW"/>
      </w:rPr>
      <w:t>2</w:t>
    </w:r>
    <w:r w:rsidR="004E113E">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61B" w:rsidRDefault="00B5061B" w:rsidP="009B732E">
      <w:pPr>
        <w:spacing w:line="240" w:lineRule="auto"/>
        <w:ind w:left="560" w:firstLine="560"/>
      </w:pPr>
      <w:r>
        <w:separator/>
      </w:r>
    </w:p>
  </w:footnote>
  <w:footnote w:type="continuationSeparator" w:id="0">
    <w:p w:rsidR="00B5061B" w:rsidRDefault="00B5061B" w:rsidP="009B732E">
      <w:pPr>
        <w:spacing w:line="240" w:lineRule="auto"/>
        <w:ind w:left="560" w:firstLine="560"/>
      </w:pPr>
      <w:r>
        <w:continuationSeparator/>
      </w:r>
    </w:p>
  </w:footnote>
  <w:footnote w:id="1">
    <w:p w:rsidR="000D75EB" w:rsidRPr="00BC33F6" w:rsidRDefault="000D75EB" w:rsidP="000D75EB">
      <w:pPr>
        <w:pStyle w:val="142"/>
        <w:ind w:leftChars="1" w:left="198" w:hangingChars="80" w:hanging="195"/>
        <w:jc w:val="both"/>
      </w:pPr>
      <w:r>
        <w:rPr>
          <w:rStyle w:val="af5"/>
        </w:rPr>
        <w:footnoteRef/>
      </w:r>
      <w:r>
        <w:t xml:space="preserve"> </w:t>
      </w:r>
      <w:r w:rsidRPr="00304BD3">
        <w:rPr>
          <w:rFonts w:hint="eastAsia"/>
        </w:rPr>
        <w:t>財團法人依法預算須送立法院之預算編製注意事項第3條第2項規定：「各財團法人預算書表包括：…(六)附錄：持股超過百分之五十之轉投資事業預算資料（依法無法</w:t>
      </w:r>
      <w:r>
        <w:rPr>
          <w:rFonts w:hint="eastAsia"/>
        </w:rPr>
        <w:t>取</w:t>
      </w:r>
      <w:r w:rsidRPr="00304BD3">
        <w:rPr>
          <w:rFonts w:hint="eastAsia"/>
        </w:rPr>
        <w:t>得轉投資事業之預算資料者毋須編列）</w:t>
      </w:r>
      <w:r w:rsidR="00143D59">
        <w:rPr>
          <w:rFonts w:hint="eastAsia"/>
        </w:rPr>
        <w:t>。</w:t>
      </w:r>
      <w:r w:rsidRPr="00304BD3">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1418E"/>
    <w:multiLevelType w:val="hybridMultilevel"/>
    <w:tmpl w:val="83E69636"/>
    <w:lvl w:ilvl="0" w:tplc="F53EF4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801B66"/>
    <w:multiLevelType w:val="hybridMultilevel"/>
    <w:tmpl w:val="61707FCE"/>
    <w:lvl w:ilvl="0" w:tplc="AD227AAA">
      <w:start w:val="1"/>
      <w:numFmt w:val="decimal"/>
      <w:lvlText w:val="%1."/>
      <w:lvlJc w:val="left"/>
      <w:pPr>
        <w:ind w:left="3054"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45E077DA"/>
    <w:multiLevelType w:val="hybridMultilevel"/>
    <w:tmpl w:val="71180E54"/>
    <w:lvl w:ilvl="0" w:tplc="4AC28D34">
      <w:start w:val="1"/>
      <w:numFmt w:val="decimal"/>
      <w:lvlText w:val="%1."/>
      <w:lvlJc w:val="left"/>
      <w:pPr>
        <w:ind w:left="986" w:hanging="4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46532447"/>
    <w:multiLevelType w:val="hybridMultilevel"/>
    <w:tmpl w:val="03A8C118"/>
    <w:lvl w:ilvl="0" w:tplc="CD188DD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6AF1230"/>
    <w:multiLevelType w:val="hybridMultilevel"/>
    <w:tmpl w:val="760E83BA"/>
    <w:lvl w:ilvl="0" w:tplc="24CE7A40">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0151406"/>
    <w:multiLevelType w:val="hybridMultilevel"/>
    <w:tmpl w:val="C3809C80"/>
    <w:lvl w:ilvl="0" w:tplc="0AC6AC6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1428F"/>
    <w:rsid w:val="000166EF"/>
    <w:rsid w:val="00024914"/>
    <w:rsid w:val="000261E5"/>
    <w:rsid w:val="00031F34"/>
    <w:rsid w:val="00034CA5"/>
    <w:rsid w:val="00042093"/>
    <w:rsid w:val="0005313C"/>
    <w:rsid w:val="00057D00"/>
    <w:rsid w:val="0006310F"/>
    <w:rsid w:val="00072352"/>
    <w:rsid w:val="00077B95"/>
    <w:rsid w:val="000815F2"/>
    <w:rsid w:val="00083B50"/>
    <w:rsid w:val="00086499"/>
    <w:rsid w:val="00086B48"/>
    <w:rsid w:val="00087CC6"/>
    <w:rsid w:val="0009440B"/>
    <w:rsid w:val="000A092D"/>
    <w:rsid w:val="000A2D81"/>
    <w:rsid w:val="000A3FF7"/>
    <w:rsid w:val="000B4AD1"/>
    <w:rsid w:val="000B4F99"/>
    <w:rsid w:val="000B6FD1"/>
    <w:rsid w:val="000C5AFE"/>
    <w:rsid w:val="000C7A94"/>
    <w:rsid w:val="000D3D77"/>
    <w:rsid w:val="000D4376"/>
    <w:rsid w:val="000D4433"/>
    <w:rsid w:val="000D4B51"/>
    <w:rsid w:val="000D4C99"/>
    <w:rsid w:val="000D75EB"/>
    <w:rsid w:val="000E30CD"/>
    <w:rsid w:val="000E3458"/>
    <w:rsid w:val="000E4D98"/>
    <w:rsid w:val="000F1747"/>
    <w:rsid w:val="000F2277"/>
    <w:rsid w:val="001046E0"/>
    <w:rsid w:val="00113AD5"/>
    <w:rsid w:val="00121328"/>
    <w:rsid w:val="001359EB"/>
    <w:rsid w:val="00141D98"/>
    <w:rsid w:val="00143D59"/>
    <w:rsid w:val="001470C6"/>
    <w:rsid w:val="001514E0"/>
    <w:rsid w:val="00153082"/>
    <w:rsid w:val="00156A4D"/>
    <w:rsid w:val="00165EE9"/>
    <w:rsid w:val="00180D46"/>
    <w:rsid w:val="00185801"/>
    <w:rsid w:val="00187489"/>
    <w:rsid w:val="00190B36"/>
    <w:rsid w:val="00191119"/>
    <w:rsid w:val="00192F09"/>
    <w:rsid w:val="001A406F"/>
    <w:rsid w:val="001A568A"/>
    <w:rsid w:val="001B05EB"/>
    <w:rsid w:val="001B1FB1"/>
    <w:rsid w:val="001B3614"/>
    <w:rsid w:val="001B556F"/>
    <w:rsid w:val="001C018F"/>
    <w:rsid w:val="001C3D45"/>
    <w:rsid w:val="001C75C1"/>
    <w:rsid w:val="001C7F52"/>
    <w:rsid w:val="001D3692"/>
    <w:rsid w:val="001D3FAF"/>
    <w:rsid w:val="001D46AA"/>
    <w:rsid w:val="001E08E6"/>
    <w:rsid w:val="001E4839"/>
    <w:rsid w:val="001F7404"/>
    <w:rsid w:val="00210AFE"/>
    <w:rsid w:val="00230325"/>
    <w:rsid w:val="00230936"/>
    <w:rsid w:val="00245BE5"/>
    <w:rsid w:val="00250F88"/>
    <w:rsid w:val="00255B38"/>
    <w:rsid w:val="00266E9C"/>
    <w:rsid w:val="00270182"/>
    <w:rsid w:val="002709A0"/>
    <w:rsid w:val="00274404"/>
    <w:rsid w:val="00275AF1"/>
    <w:rsid w:val="002804A9"/>
    <w:rsid w:val="00285A2A"/>
    <w:rsid w:val="00286E55"/>
    <w:rsid w:val="00291DC0"/>
    <w:rsid w:val="00297315"/>
    <w:rsid w:val="002A762F"/>
    <w:rsid w:val="002B3C3F"/>
    <w:rsid w:val="002B6D2A"/>
    <w:rsid w:val="002E69BE"/>
    <w:rsid w:val="002F1CC7"/>
    <w:rsid w:val="002F4510"/>
    <w:rsid w:val="002F4C5D"/>
    <w:rsid w:val="002F5926"/>
    <w:rsid w:val="00304073"/>
    <w:rsid w:val="003247FB"/>
    <w:rsid w:val="00324E8C"/>
    <w:rsid w:val="00327461"/>
    <w:rsid w:val="00332CE1"/>
    <w:rsid w:val="003331DA"/>
    <w:rsid w:val="00333537"/>
    <w:rsid w:val="00336478"/>
    <w:rsid w:val="003476F0"/>
    <w:rsid w:val="003738A4"/>
    <w:rsid w:val="00374F3C"/>
    <w:rsid w:val="0037589F"/>
    <w:rsid w:val="00382168"/>
    <w:rsid w:val="00393903"/>
    <w:rsid w:val="00396F04"/>
    <w:rsid w:val="003A098D"/>
    <w:rsid w:val="003A3ED4"/>
    <w:rsid w:val="003A410D"/>
    <w:rsid w:val="003A473A"/>
    <w:rsid w:val="003A5602"/>
    <w:rsid w:val="003A61E4"/>
    <w:rsid w:val="003A6BDA"/>
    <w:rsid w:val="003B0671"/>
    <w:rsid w:val="003B1354"/>
    <w:rsid w:val="003B1A33"/>
    <w:rsid w:val="003B30B4"/>
    <w:rsid w:val="003B4376"/>
    <w:rsid w:val="003B57E7"/>
    <w:rsid w:val="003B67D4"/>
    <w:rsid w:val="003C03B9"/>
    <w:rsid w:val="003C11D6"/>
    <w:rsid w:val="003C4217"/>
    <w:rsid w:val="003D08A2"/>
    <w:rsid w:val="003D3EF9"/>
    <w:rsid w:val="003D4187"/>
    <w:rsid w:val="003D608F"/>
    <w:rsid w:val="003D711E"/>
    <w:rsid w:val="003E7DA1"/>
    <w:rsid w:val="00417D63"/>
    <w:rsid w:val="004228BB"/>
    <w:rsid w:val="0043128B"/>
    <w:rsid w:val="00432194"/>
    <w:rsid w:val="00434F33"/>
    <w:rsid w:val="00435174"/>
    <w:rsid w:val="004353AE"/>
    <w:rsid w:val="00440B75"/>
    <w:rsid w:val="004436A7"/>
    <w:rsid w:val="00444A2F"/>
    <w:rsid w:val="00447ACE"/>
    <w:rsid w:val="00452633"/>
    <w:rsid w:val="0045434C"/>
    <w:rsid w:val="004557D3"/>
    <w:rsid w:val="00456448"/>
    <w:rsid w:val="004603EC"/>
    <w:rsid w:val="00462522"/>
    <w:rsid w:val="00464F48"/>
    <w:rsid w:val="00465EF7"/>
    <w:rsid w:val="00467D96"/>
    <w:rsid w:val="00471E7F"/>
    <w:rsid w:val="00474027"/>
    <w:rsid w:val="0047642C"/>
    <w:rsid w:val="004765B8"/>
    <w:rsid w:val="00484DAB"/>
    <w:rsid w:val="004868E1"/>
    <w:rsid w:val="00496510"/>
    <w:rsid w:val="004976E9"/>
    <w:rsid w:val="004A3810"/>
    <w:rsid w:val="004B07BB"/>
    <w:rsid w:val="004B2A2F"/>
    <w:rsid w:val="004C0BE2"/>
    <w:rsid w:val="004C53CB"/>
    <w:rsid w:val="004D04FC"/>
    <w:rsid w:val="004D4D1C"/>
    <w:rsid w:val="004E113E"/>
    <w:rsid w:val="004F2961"/>
    <w:rsid w:val="004F3595"/>
    <w:rsid w:val="0050090B"/>
    <w:rsid w:val="005016D4"/>
    <w:rsid w:val="00505629"/>
    <w:rsid w:val="005075ED"/>
    <w:rsid w:val="00507717"/>
    <w:rsid w:val="005133CD"/>
    <w:rsid w:val="00516330"/>
    <w:rsid w:val="00520F09"/>
    <w:rsid w:val="00526ED7"/>
    <w:rsid w:val="005328BA"/>
    <w:rsid w:val="00545427"/>
    <w:rsid w:val="0055226D"/>
    <w:rsid w:val="00572A89"/>
    <w:rsid w:val="00585795"/>
    <w:rsid w:val="00587531"/>
    <w:rsid w:val="005963D7"/>
    <w:rsid w:val="005A13D6"/>
    <w:rsid w:val="005A6B65"/>
    <w:rsid w:val="005B1C3F"/>
    <w:rsid w:val="005B33F3"/>
    <w:rsid w:val="005B7041"/>
    <w:rsid w:val="005C27D8"/>
    <w:rsid w:val="005C5142"/>
    <w:rsid w:val="005D120B"/>
    <w:rsid w:val="005D3D75"/>
    <w:rsid w:val="005D5602"/>
    <w:rsid w:val="005D5DCB"/>
    <w:rsid w:val="005E039E"/>
    <w:rsid w:val="005E5DE3"/>
    <w:rsid w:val="005E79A6"/>
    <w:rsid w:val="005F6E32"/>
    <w:rsid w:val="006066D4"/>
    <w:rsid w:val="00612F3A"/>
    <w:rsid w:val="006235AC"/>
    <w:rsid w:val="00631CD0"/>
    <w:rsid w:val="00632125"/>
    <w:rsid w:val="00654E17"/>
    <w:rsid w:val="00663DE1"/>
    <w:rsid w:val="006679DA"/>
    <w:rsid w:val="00680B7C"/>
    <w:rsid w:val="0068679A"/>
    <w:rsid w:val="006A3E65"/>
    <w:rsid w:val="006B59FC"/>
    <w:rsid w:val="006D3744"/>
    <w:rsid w:val="006F4C7F"/>
    <w:rsid w:val="007015A1"/>
    <w:rsid w:val="00704C1C"/>
    <w:rsid w:val="00711803"/>
    <w:rsid w:val="00711EC7"/>
    <w:rsid w:val="00713173"/>
    <w:rsid w:val="00713C68"/>
    <w:rsid w:val="00714058"/>
    <w:rsid w:val="00714781"/>
    <w:rsid w:val="00716329"/>
    <w:rsid w:val="00740F5E"/>
    <w:rsid w:val="00744408"/>
    <w:rsid w:val="007467A0"/>
    <w:rsid w:val="00746F9C"/>
    <w:rsid w:val="00752D04"/>
    <w:rsid w:val="0076210F"/>
    <w:rsid w:val="00764D50"/>
    <w:rsid w:val="007775F7"/>
    <w:rsid w:val="007804F4"/>
    <w:rsid w:val="00783316"/>
    <w:rsid w:val="00784DC3"/>
    <w:rsid w:val="00795C2A"/>
    <w:rsid w:val="007A037B"/>
    <w:rsid w:val="007B0866"/>
    <w:rsid w:val="007B3745"/>
    <w:rsid w:val="007B62CF"/>
    <w:rsid w:val="007B676A"/>
    <w:rsid w:val="007C1277"/>
    <w:rsid w:val="007D735A"/>
    <w:rsid w:val="007D7908"/>
    <w:rsid w:val="007E2AF4"/>
    <w:rsid w:val="007E3455"/>
    <w:rsid w:val="007F0E41"/>
    <w:rsid w:val="007F1789"/>
    <w:rsid w:val="007F751B"/>
    <w:rsid w:val="008003BC"/>
    <w:rsid w:val="008031E4"/>
    <w:rsid w:val="00807CBA"/>
    <w:rsid w:val="00810A07"/>
    <w:rsid w:val="008131E8"/>
    <w:rsid w:val="0082288B"/>
    <w:rsid w:val="00825C17"/>
    <w:rsid w:val="0082668E"/>
    <w:rsid w:val="00830548"/>
    <w:rsid w:val="00830DD8"/>
    <w:rsid w:val="00833347"/>
    <w:rsid w:val="008429D6"/>
    <w:rsid w:val="00844F98"/>
    <w:rsid w:val="008472B3"/>
    <w:rsid w:val="00855EEC"/>
    <w:rsid w:val="00861F1D"/>
    <w:rsid w:val="00864452"/>
    <w:rsid w:val="00865623"/>
    <w:rsid w:val="00866E0B"/>
    <w:rsid w:val="008700FA"/>
    <w:rsid w:val="00870DDC"/>
    <w:rsid w:val="00877B6B"/>
    <w:rsid w:val="00877C70"/>
    <w:rsid w:val="008821C2"/>
    <w:rsid w:val="008852D7"/>
    <w:rsid w:val="00885941"/>
    <w:rsid w:val="008A1184"/>
    <w:rsid w:val="008A1876"/>
    <w:rsid w:val="008A3E59"/>
    <w:rsid w:val="008A6C5E"/>
    <w:rsid w:val="008C05EF"/>
    <w:rsid w:val="008C69B2"/>
    <w:rsid w:val="008E384D"/>
    <w:rsid w:val="008E4B43"/>
    <w:rsid w:val="008F374C"/>
    <w:rsid w:val="0090354D"/>
    <w:rsid w:val="00903EF4"/>
    <w:rsid w:val="00907333"/>
    <w:rsid w:val="009134B9"/>
    <w:rsid w:val="009135E7"/>
    <w:rsid w:val="009135F3"/>
    <w:rsid w:val="00914A3B"/>
    <w:rsid w:val="0093757C"/>
    <w:rsid w:val="00956349"/>
    <w:rsid w:val="00960010"/>
    <w:rsid w:val="00962D22"/>
    <w:rsid w:val="00965A50"/>
    <w:rsid w:val="00971CD4"/>
    <w:rsid w:val="00976257"/>
    <w:rsid w:val="00976A95"/>
    <w:rsid w:val="00982332"/>
    <w:rsid w:val="00982BC3"/>
    <w:rsid w:val="009909BC"/>
    <w:rsid w:val="009915BC"/>
    <w:rsid w:val="0099557F"/>
    <w:rsid w:val="00995754"/>
    <w:rsid w:val="00995C37"/>
    <w:rsid w:val="009A75F7"/>
    <w:rsid w:val="009B106E"/>
    <w:rsid w:val="009B1335"/>
    <w:rsid w:val="009B316B"/>
    <w:rsid w:val="009B410A"/>
    <w:rsid w:val="009B732E"/>
    <w:rsid w:val="009C292F"/>
    <w:rsid w:val="009C3D59"/>
    <w:rsid w:val="009E28EB"/>
    <w:rsid w:val="009E58DF"/>
    <w:rsid w:val="009E71C3"/>
    <w:rsid w:val="009F2D68"/>
    <w:rsid w:val="009F7152"/>
    <w:rsid w:val="00A01091"/>
    <w:rsid w:val="00A13285"/>
    <w:rsid w:val="00A13B47"/>
    <w:rsid w:val="00A1490A"/>
    <w:rsid w:val="00A20262"/>
    <w:rsid w:val="00A20D58"/>
    <w:rsid w:val="00A21F44"/>
    <w:rsid w:val="00A2597F"/>
    <w:rsid w:val="00A30F91"/>
    <w:rsid w:val="00A40AB9"/>
    <w:rsid w:val="00A4110B"/>
    <w:rsid w:val="00A421B3"/>
    <w:rsid w:val="00A42D98"/>
    <w:rsid w:val="00A466F2"/>
    <w:rsid w:val="00A523BF"/>
    <w:rsid w:val="00A5301C"/>
    <w:rsid w:val="00A53606"/>
    <w:rsid w:val="00A56673"/>
    <w:rsid w:val="00A6085A"/>
    <w:rsid w:val="00A71EFF"/>
    <w:rsid w:val="00A73BFF"/>
    <w:rsid w:val="00A82F3B"/>
    <w:rsid w:val="00A85CBD"/>
    <w:rsid w:val="00A9196B"/>
    <w:rsid w:val="00A95761"/>
    <w:rsid w:val="00AA60FF"/>
    <w:rsid w:val="00AB7F54"/>
    <w:rsid w:val="00AC6F33"/>
    <w:rsid w:val="00AD0902"/>
    <w:rsid w:val="00AD69F7"/>
    <w:rsid w:val="00AD7487"/>
    <w:rsid w:val="00AE2E42"/>
    <w:rsid w:val="00AE38E2"/>
    <w:rsid w:val="00AE6452"/>
    <w:rsid w:val="00AE6607"/>
    <w:rsid w:val="00AE6C11"/>
    <w:rsid w:val="00AF4B7C"/>
    <w:rsid w:val="00B057EE"/>
    <w:rsid w:val="00B05B39"/>
    <w:rsid w:val="00B20CE1"/>
    <w:rsid w:val="00B21060"/>
    <w:rsid w:val="00B36309"/>
    <w:rsid w:val="00B5061B"/>
    <w:rsid w:val="00B526AF"/>
    <w:rsid w:val="00B542B0"/>
    <w:rsid w:val="00B5478F"/>
    <w:rsid w:val="00B616A6"/>
    <w:rsid w:val="00B705D7"/>
    <w:rsid w:val="00B76962"/>
    <w:rsid w:val="00B7778A"/>
    <w:rsid w:val="00B859B3"/>
    <w:rsid w:val="00B86F39"/>
    <w:rsid w:val="00BA5562"/>
    <w:rsid w:val="00BA7B45"/>
    <w:rsid w:val="00BB1572"/>
    <w:rsid w:val="00BB1F0C"/>
    <w:rsid w:val="00BC1FE0"/>
    <w:rsid w:val="00BC33F6"/>
    <w:rsid w:val="00BD03E0"/>
    <w:rsid w:val="00BD3A13"/>
    <w:rsid w:val="00BE668A"/>
    <w:rsid w:val="00BE68AE"/>
    <w:rsid w:val="00BF3D34"/>
    <w:rsid w:val="00BF6B59"/>
    <w:rsid w:val="00C02BD1"/>
    <w:rsid w:val="00C23461"/>
    <w:rsid w:val="00C40934"/>
    <w:rsid w:val="00C410D0"/>
    <w:rsid w:val="00C41B06"/>
    <w:rsid w:val="00C51680"/>
    <w:rsid w:val="00C52D4F"/>
    <w:rsid w:val="00C576A8"/>
    <w:rsid w:val="00C67CD8"/>
    <w:rsid w:val="00C76BD9"/>
    <w:rsid w:val="00C77CF8"/>
    <w:rsid w:val="00C849B7"/>
    <w:rsid w:val="00C87DD2"/>
    <w:rsid w:val="00C91265"/>
    <w:rsid w:val="00C92943"/>
    <w:rsid w:val="00C97A80"/>
    <w:rsid w:val="00CA23E5"/>
    <w:rsid w:val="00CA2EC5"/>
    <w:rsid w:val="00CB174F"/>
    <w:rsid w:val="00CB195B"/>
    <w:rsid w:val="00CB6055"/>
    <w:rsid w:val="00CB6096"/>
    <w:rsid w:val="00CB6CFE"/>
    <w:rsid w:val="00CC43BB"/>
    <w:rsid w:val="00CC4AFB"/>
    <w:rsid w:val="00CD1EE2"/>
    <w:rsid w:val="00CD567D"/>
    <w:rsid w:val="00CF6D4C"/>
    <w:rsid w:val="00D036B1"/>
    <w:rsid w:val="00D03D82"/>
    <w:rsid w:val="00D06FD8"/>
    <w:rsid w:val="00D15810"/>
    <w:rsid w:val="00D15950"/>
    <w:rsid w:val="00D215F8"/>
    <w:rsid w:val="00D24C39"/>
    <w:rsid w:val="00D25E98"/>
    <w:rsid w:val="00D264BD"/>
    <w:rsid w:val="00D3407A"/>
    <w:rsid w:val="00D4226E"/>
    <w:rsid w:val="00D450B4"/>
    <w:rsid w:val="00D45E71"/>
    <w:rsid w:val="00D53F94"/>
    <w:rsid w:val="00D57082"/>
    <w:rsid w:val="00D65134"/>
    <w:rsid w:val="00D66799"/>
    <w:rsid w:val="00D73307"/>
    <w:rsid w:val="00D80127"/>
    <w:rsid w:val="00D92C50"/>
    <w:rsid w:val="00DA4D35"/>
    <w:rsid w:val="00DA6298"/>
    <w:rsid w:val="00DB3340"/>
    <w:rsid w:val="00DB713C"/>
    <w:rsid w:val="00DC06D5"/>
    <w:rsid w:val="00DC14B0"/>
    <w:rsid w:val="00DC4E07"/>
    <w:rsid w:val="00DD0FD2"/>
    <w:rsid w:val="00DD6A4D"/>
    <w:rsid w:val="00DE6F01"/>
    <w:rsid w:val="00DE6F76"/>
    <w:rsid w:val="00DF6E8B"/>
    <w:rsid w:val="00E01C41"/>
    <w:rsid w:val="00E07931"/>
    <w:rsid w:val="00E112A2"/>
    <w:rsid w:val="00E11990"/>
    <w:rsid w:val="00E14F94"/>
    <w:rsid w:val="00E15041"/>
    <w:rsid w:val="00E23B6D"/>
    <w:rsid w:val="00E36653"/>
    <w:rsid w:val="00E376C9"/>
    <w:rsid w:val="00E46E6E"/>
    <w:rsid w:val="00E64245"/>
    <w:rsid w:val="00E66D5B"/>
    <w:rsid w:val="00E70408"/>
    <w:rsid w:val="00E753ED"/>
    <w:rsid w:val="00E77B4B"/>
    <w:rsid w:val="00E80244"/>
    <w:rsid w:val="00E805A9"/>
    <w:rsid w:val="00E9274A"/>
    <w:rsid w:val="00E948A3"/>
    <w:rsid w:val="00EA363F"/>
    <w:rsid w:val="00EB0FC9"/>
    <w:rsid w:val="00EB3B6B"/>
    <w:rsid w:val="00EB6E15"/>
    <w:rsid w:val="00EC2F11"/>
    <w:rsid w:val="00EC3099"/>
    <w:rsid w:val="00ED5464"/>
    <w:rsid w:val="00ED5B5F"/>
    <w:rsid w:val="00EE23CF"/>
    <w:rsid w:val="00EE2617"/>
    <w:rsid w:val="00EE6470"/>
    <w:rsid w:val="00EF342B"/>
    <w:rsid w:val="00EF4CCF"/>
    <w:rsid w:val="00F0175B"/>
    <w:rsid w:val="00F0584E"/>
    <w:rsid w:val="00F1199D"/>
    <w:rsid w:val="00F120CE"/>
    <w:rsid w:val="00F144C0"/>
    <w:rsid w:val="00F151A8"/>
    <w:rsid w:val="00F25651"/>
    <w:rsid w:val="00F30C49"/>
    <w:rsid w:val="00F3128C"/>
    <w:rsid w:val="00F3175B"/>
    <w:rsid w:val="00F37C51"/>
    <w:rsid w:val="00F402D3"/>
    <w:rsid w:val="00F41556"/>
    <w:rsid w:val="00F46137"/>
    <w:rsid w:val="00F51435"/>
    <w:rsid w:val="00F5159B"/>
    <w:rsid w:val="00F57225"/>
    <w:rsid w:val="00F635BD"/>
    <w:rsid w:val="00F6580F"/>
    <w:rsid w:val="00F710B8"/>
    <w:rsid w:val="00F721FB"/>
    <w:rsid w:val="00F92DBE"/>
    <w:rsid w:val="00FA0C5B"/>
    <w:rsid w:val="00FA16A7"/>
    <w:rsid w:val="00FA56EF"/>
    <w:rsid w:val="00FA6B8F"/>
    <w:rsid w:val="00FC2019"/>
    <w:rsid w:val="00FC269A"/>
    <w:rsid w:val="00FC350F"/>
    <w:rsid w:val="00FC5107"/>
    <w:rsid w:val="00FC5D9A"/>
    <w:rsid w:val="00FD3DF3"/>
    <w:rsid w:val="00FD789A"/>
    <w:rsid w:val="00FE0261"/>
    <w:rsid w:val="00FE313D"/>
    <w:rsid w:val="00FE3502"/>
    <w:rsid w:val="00FE5A8D"/>
    <w:rsid w:val="00FE5B61"/>
    <w:rsid w:val="00FF7244"/>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B9ACFD9-2D33-48CE-8FA4-E36B7ABD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470C6"/>
    <w:pPr>
      <w:tabs>
        <w:tab w:val="right" w:leader="hyphen" w:pos="8364"/>
      </w:tabs>
      <w:ind w:leftChars="0" w:left="486" w:rightChars="99" w:right="280" w:hangingChars="200" w:hanging="486"/>
    </w:pPr>
    <w:rPr>
      <w:sz w:val="24"/>
    </w:rPr>
  </w:style>
  <w:style w:type="paragraph" w:styleId="23">
    <w:name w:val="toc 2"/>
    <w:basedOn w:val="a"/>
    <w:next w:val="a"/>
    <w:autoRedefine/>
    <w:semiHidden/>
    <w:rsid w:val="00D450B4"/>
    <w:pPr>
      <w:tabs>
        <w:tab w:val="right" w:leader="hyphen" w:pos="8490"/>
      </w:tabs>
      <w:ind w:leftChars="0" w:left="566" w:hangingChars="200" w:hanging="566"/>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024914"/>
    <w:rPr>
      <w:rFonts w:ascii="標楷體" w:eastAsia="標楷體"/>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4"/>
    <w:uiPriority w:val="99"/>
    <w:unhideWhenUsed/>
    <w:rsid w:val="00D450B4"/>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table" w:customStyle="1" w:styleId="24">
    <w:name w:val="表格格線2"/>
    <w:basedOn w:val="a1"/>
    <w:next w:val="af6"/>
    <w:uiPriority w:val="39"/>
    <w:rsid w:val="00072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810A07"/>
    <w:rPr>
      <w:color w:val="0000FF"/>
      <w:u w:val="single"/>
    </w:rPr>
  </w:style>
  <w:style w:type="character" w:customStyle="1" w:styleId="22">
    <w:name w:val="(一)下內文縮2 字元"/>
    <w:link w:val="21"/>
    <w:qFormat/>
    <w:locked/>
    <w:rsid w:val="009E28EB"/>
    <w:rPr>
      <w:rFonts w:ascii="標楷體" w:eastAsia="標楷體"/>
      <w:snapToGrid w:val="0"/>
      <w:kern w:val="2"/>
      <w:sz w:val="28"/>
      <w:szCs w:val="28"/>
    </w:rPr>
  </w:style>
  <w:style w:type="character" w:customStyle="1" w:styleId="aa">
    <w:name w:val="報告名稱 字元"/>
    <w:link w:val="a9"/>
    <w:locked/>
    <w:rsid w:val="003A5602"/>
    <w:rPr>
      <w:rFonts w:ascii="標楷體" w:eastAsia="標楷體"/>
      <w:b/>
      <w:snapToGrid w:val="0"/>
      <w:kern w:val="2"/>
      <w:sz w:val="36"/>
      <w:szCs w:val="28"/>
    </w:rPr>
  </w:style>
  <w:style w:type="character" w:customStyle="1" w:styleId="25">
    <w:name w:val="(一)(二)(三) 字元2"/>
    <w:rsid w:val="009909B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1352">
      <w:bodyDiv w:val="1"/>
      <w:marLeft w:val="0"/>
      <w:marRight w:val="0"/>
      <w:marTop w:val="0"/>
      <w:marBottom w:val="0"/>
      <w:divBdr>
        <w:top w:val="none" w:sz="0" w:space="0" w:color="auto"/>
        <w:left w:val="none" w:sz="0" w:space="0" w:color="auto"/>
        <w:bottom w:val="none" w:sz="0" w:space="0" w:color="auto"/>
        <w:right w:val="none" w:sz="0" w:space="0" w:color="auto"/>
      </w:divBdr>
    </w:div>
    <w:div w:id="199442778">
      <w:bodyDiv w:val="1"/>
      <w:marLeft w:val="0"/>
      <w:marRight w:val="0"/>
      <w:marTop w:val="0"/>
      <w:marBottom w:val="0"/>
      <w:divBdr>
        <w:top w:val="none" w:sz="0" w:space="0" w:color="auto"/>
        <w:left w:val="none" w:sz="0" w:space="0" w:color="auto"/>
        <w:bottom w:val="none" w:sz="0" w:space="0" w:color="auto"/>
        <w:right w:val="none" w:sz="0" w:space="0" w:color="auto"/>
      </w:divBdr>
      <w:divsChild>
        <w:div w:id="316804078">
          <w:marLeft w:val="480"/>
          <w:marRight w:val="0"/>
          <w:marTop w:val="0"/>
          <w:marBottom w:val="120"/>
          <w:divBdr>
            <w:top w:val="none" w:sz="0" w:space="0" w:color="auto"/>
            <w:left w:val="none" w:sz="0" w:space="0" w:color="auto"/>
            <w:bottom w:val="none" w:sz="0" w:space="0" w:color="auto"/>
            <w:right w:val="none" w:sz="0" w:space="0" w:color="auto"/>
          </w:divBdr>
        </w:div>
        <w:div w:id="522741605">
          <w:marLeft w:val="480"/>
          <w:marRight w:val="0"/>
          <w:marTop w:val="0"/>
          <w:marBottom w:val="120"/>
          <w:divBdr>
            <w:top w:val="none" w:sz="0" w:space="0" w:color="auto"/>
            <w:left w:val="none" w:sz="0" w:space="0" w:color="auto"/>
            <w:bottom w:val="none" w:sz="0" w:space="0" w:color="auto"/>
            <w:right w:val="none" w:sz="0" w:space="0" w:color="auto"/>
          </w:divBdr>
        </w:div>
        <w:div w:id="697311724">
          <w:marLeft w:val="0"/>
          <w:marRight w:val="0"/>
          <w:marTop w:val="0"/>
          <w:marBottom w:val="120"/>
          <w:divBdr>
            <w:top w:val="none" w:sz="0" w:space="0" w:color="auto"/>
            <w:left w:val="none" w:sz="0" w:space="0" w:color="auto"/>
            <w:bottom w:val="none" w:sz="0" w:space="0" w:color="auto"/>
            <w:right w:val="none" w:sz="0" w:space="0" w:color="auto"/>
          </w:divBdr>
        </w:div>
        <w:div w:id="860969589">
          <w:marLeft w:val="480"/>
          <w:marRight w:val="0"/>
          <w:marTop w:val="0"/>
          <w:marBottom w:val="120"/>
          <w:divBdr>
            <w:top w:val="none" w:sz="0" w:space="0" w:color="auto"/>
            <w:left w:val="none" w:sz="0" w:space="0" w:color="auto"/>
            <w:bottom w:val="none" w:sz="0" w:space="0" w:color="auto"/>
            <w:right w:val="none" w:sz="0" w:space="0" w:color="auto"/>
          </w:divBdr>
        </w:div>
        <w:div w:id="1025015480">
          <w:marLeft w:val="480"/>
          <w:marRight w:val="0"/>
          <w:marTop w:val="0"/>
          <w:marBottom w:val="120"/>
          <w:divBdr>
            <w:top w:val="none" w:sz="0" w:space="0" w:color="auto"/>
            <w:left w:val="none" w:sz="0" w:space="0" w:color="auto"/>
            <w:bottom w:val="none" w:sz="0" w:space="0" w:color="auto"/>
            <w:right w:val="none" w:sz="0" w:space="0" w:color="auto"/>
          </w:divBdr>
        </w:div>
        <w:div w:id="1451165577">
          <w:marLeft w:val="480"/>
          <w:marRight w:val="0"/>
          <w:marTop w:val="0"/>
          <w:marBottom w:val="120"/>
          <w:divBdr>
            <w:top w:val="none" w:sz="0" w:space="0" w:color="auto"/>
            <w:left w:val="none" w:sz="0" w:space="0" w:color="auto"/>
            <w:bottom w:val="none" w:sz="0" w:space="0" w:color="auto"/>
            <w:right w:val="none" w:sz="0" w:space="0" w:color="auto"/>
          </w:divBdr>
        </w:div>
        <w:div w:id="1596981772">
          <w:marLeft w:val="480"/>
          <w:marRight w:val="0"/>
          <w:marTop w:val="0"/>
          <w:marBottom w:val="120"/>
          <w:divBdr>
            <w:top w:val="none" w:sz="0" w:space="0" w:color="auto"/>
            <w:left w:val="none" w:sz="0" w:space="0" w:color="auto"/>
            <w:bottom w:val="none" w:sz="0" w:space="0" w:color="auto"/>
            <w:right w:val="none" w:sz="0" w:space="0" w:color="auto"/>
          </w:divBdr>
        </w:div>
        <w:div w:id="2126726698">
          <w:marLeft w:val="480"/>
          <w:marRight w:val="0"/>
          <w:marTop w:val="0"/>
          <w:marBottom w:val="120"/>
          <w:divBdr>
            <w:top w:val="none" w:sz="0" w:space="0" w:color="auto"/>
            <w:left w:val="none" w:sz="0" w:space="0" w:color="auto"/>
            <w:bottom w:val="none" w:sz="0" w:space="0" w:color="auto"/>
            <w:right w:val="none" w:sz="0" w:space="0" w:color="auto"/>
          </w:divBdr>
        </w:div>
      </w:divsChild>
    </w:div>
    <w:div w:id="233707950">
      <w:bodyDiv w:val="1"/>
      <w:marLeft w:val="0"/>
      <w:marRight w:val="0"/>
      <w:marTop w:val="0"/>
      <w:marBottom w:val="0"/>
      <w:divBdr>
        <w:top w:val="none" w:sz="0" w:space="0" w:color="auto"/>
        <w:left w:val="none" w:sz="0" w:space="0" w:color="auto"/>
        <w:bottom w:val="none" w:sz="0" w:space="0" w:color="auto"/>
        <w:right w:val="none" w:sz="0" w:space="0" w:color="auto"/>
      </w:divBdr>
    </w:div>
    <w:div w:id="519860948">
      <w:bodyDiv w:val="1"/>
      <w:marLeft w:val="0"/>
      <w:marRight w:val="0"/>
      <w:marTop w:val="0"/>
      <w:marBottom w:val="0"/>
      <w:divBdr>
        <w:top w:val="none" w:sz="0" w:space="0" w:color="auto"/>
        <w:left w:val="none" w:sz="0" w:space="0" w:color="auto"/>
        <w:bottom w:val="none" w:sz="0" w:space="0" w:color="auto"/>
        <w:right w:val="none" w:sz="0" w:space="0" w:color="auto"/>
      </w:divBdr>
    </w:div>
    <w:div w:id="589120223">
      <w:bodyDiv w:val="1"/>
      <w:marLeft w:val="0"/>
      <w:marRight w:val="0"/>
      <w:marTop w:val="0"/>
      <w:marBottom w:val="0"/>
      <w:divBdr>
        <w:top w:val="none" w:sz="0" w:space="0" w:color="auto"/>
        <w:left w:val="none" w:sz="0" w:space="0" w:color="auto"/>
        <w:bottom w:val="none" w:sz="0" w:space="0" w:color="auto"/>
        <w:right w:val="none" w:sz="0" w:space="0" w:color="auto"/>
      </w:divBdr>
    </w:div>
    <w:div w:id="792289668">
      <w:bodyDiv w:val="1"/>
      <w:marLeft w:val="0"/>
      <w:marRight w:val="0"/>
      <w:marTop w:val="0"/>
      <w:marBottom w:val="0"/>
      <w:divBdr>
        <w:top w:val="none" w:sz="0" w:space="0" w:color="auto"/>
        <w:left w:val="none" w:sz="0" w:space="0" w:color="auto"/>
        <w:bottom w:val="none" w:sz="0" w:space="0" w:color="auto"/>
        <w:right w:val="none" w:sz="0" w:space="0" w:color="auto"/>
      </w:divBdr>
    </w:div>
    <w:div w:id="897546361">
      <w:bodyDiv w:val="1"/>
      <w:marLeft w:val="0"/>
      <w:marRight w:val="0"/>
      <w:marTop w:val="0"/>
      <w:marBottom w:val="0"/>
      <w:divBdr>
        <w:top w:val="none" w:sz="0" w:space="0" w:color="auto"/>
        <w:left w:val="none" w:sz="0" w:space="0" w:color="auto"/>
        <w:bottom w:val="none" w:sz="0" w:space="0" w:color="auto"/>
        <w:right w:val="none" w:sz="0" w:space="0" w:color="auto"/>
      </w:divBdr>
    </w:div>
    <w:div w:id="913204609">
      <w:bodyDiv w:val="1"/>
      <w:marLeft w:val="0"/>
      <w:marRight w:val="0"/>
      <w:marTop w:val="0"/>
      <w:marBottom w:val="0"/>
      <w:divBdr>
        <w:top w:val="none" w:sz="0" w:space="0" w:color="auto"/>
        <w:left w:val="none" w:sz="0" w:space="0" w:color="auto"/>
        <w:bottom w:val="none" w:sz="0" w:space="0" w:color="auto"/>
        <w:right w:val="none" w:sz="0" w:space="0" w:color="auto"/>
      </w:divBdr>
    </w:div>
    <w:div w:id="1123188314">
      <w:bodyDiv w:val="1"/>
      <w:marLeft w:val="0"/>
      <w:marRight w:val="0"/>
      <w:marTop w:val="0"/>
      <w:marBottom w:val="0"/>
      <w:divBdr>
        <w:top w:val="none" w:sz="0" w:space="0" w:color="auto"/>
        <w:left w:val="none" w:sz="0" w:space="0" w:color="auto"/>
        <w:bottom w:val="none" w:sz="0" w:space="0" w:color="auto"/>
        <w:right w:val="none" w:sz="0" w:space="0" w:color="auto"/>
      </w:divBdr>
    </w:div>
    <w:div w:id="1237128646">
      <w:bodyDiv w:val="1"/>
      <w:marLeft w:val="0"/>
      <w:marRight w:val="0"/>
      <w:marTop w:val="0"/>
      <w:marBottom w:val="0"/>
      <w:divBdr>
        <w:top w:val="none" w:sz="0" w:space="0" w:color="auto"/>
        <w:left w:val="none" w:sz="0" w:space="0" w:color="auto"/>
        <w:bottom w:val="none" w:sz="0" w:space="0" w:color="auto"/>
        <w:right w:val="none" w:sz="0" w:space="0" w:color="auto"/>
      </w:divBdr>
    </w:div>
    <w:div w:id="1445536863">
      <w:bodyDiv w:val="1"/>
      <w:marLeft w:val="0"/>
      <w:marRight w:val="0"/>
      <w:marTop w:val="0"/>
      <w:marBottom w:val="0"/>
      <w:divBdr>
        <w:top w:val="none" w:sz="0" w:space="0" w:color="auto"/>
        <w:left w:val="none" w:sz="0" w:space="0" w:color="auto"/>
        <w:bottom w:val="none" w:sz="0" w:space="0" w:color="auto"/>
        <w:right w:val="none" w:sz="0" w:space="0" w:color="auto"/>
      </w:divBdr>
    </w:div>
    <w:div w:id="1707294219">
      <w:bodyDiv w:val="1"/>
      <w:marLeft w:val="0"/>
      <w:marRight w:val="0"/>
      <w:marTop w:val="0"/>
      <w:marBottom w:val="0"/>
      <w:divBdr>
        <w:top w:val="none" w:sz="0" w:space="0" w:color="auto"/>
        <w:left w:val="none" w:sz="0" w:space="0" w:color="auto"/>
        <w:bottom w:val="none" w:sz="0" w:space="0" w:color="auto"/>
        <w:right w:val="none" w:sz="0" w:space="0" w:color="auto"/>
      </w:divBdr>
    </w:div>
    <w:div w:id="1760979960">
      <w:bodyDiv w:val="1"/>
      <w:marLeft w:val="0"/>
      <w:marRight w:val="0"/>
      <w:marTop w:val="0"/>
      <w:marBottom w:val="0"/>
      <w:divBdr>
        <w:top w:val="none" w:sz="0" w:space="0" w:color="auto"/>
        <w:left w:val="none" w:sz="0" w:space="0" w:color="auto"/>
        <w:bottom w:val="none" w:sz="0" w:space="0" w:color="auto"/>
        <w:right w:val="none" w:sz="0" w:space="0" w:color="auto"/>
      </w:divBdr>
    </w:div>
    <w:div w:id="1876965618">
      <w:bodyDiv w:val="1"/>
      <w:marLeft w:val="0"/>
      <w:marRight w:val="0"/>
      <w:marTop w:val="0"/>
      <w:marBottom w:val="0"/>
      <w:divBdr>
        <w:top w:val="none" w:sz="0" w:space="0" w:color="auto"/>
        <w:left w:val="none" w:sz="0" w:space="0" w:color="auto"/>
        <w:bottom w:val="none" w:sz="0" w:space="0" w:color="auto"/>
        <w:right w:val="none" w:sz="0" w:space="0" w:color="auto"/>
      </w:divBdr>
    </w:div>
    <w:div w:id="2094931009">
      <w:bodyDiv w:val="1"/>
      <w:marLeft w:val="0"/>
      <w:marRight w:val="0"/>
      <w:marTop w:val="0"/>
      <w:marBottom w:val="0"/>
      <w:divBdr>
        <w:top w:val="none" w:sz="0" w:space="0" w:color="auto"/>
        <w:left w:val="none" w:sz="0" w:space="0" w:color="auto"/>
        <w:bottom w:val="none" w:sz="0" w:space="0" w:color="auto"/>
        <w:right w:val="none" w:sz="0" w:space="0" w:color="auto"/>
      </w:divBdr>
    </w:div>
    <w:div w:id="211409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01B4E-B2CB-493D-B84C-F866B8C72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182</Words>
  <Characters>1043</Characters>
  <Application>Microsoft Office Word</Application>
  <DocSecurity>0</DocSecurity>
  <Lines>8</Lines>
  <Paragraphs>2</Paragraphs>
  <ScaleCrop>false</ScaleCrop>
  <Company/>
  <LinksUpToDate>false</LinksUpToDate>
  <CharactersWithSpaces>1223</CharactersWithSpaces>
  <SharedDoc>false</SharedDoc>
  <HLinks>
    <vt:vector size="24" baseType="variant">
      <vt:variant>
        <vt:i4>1376304</vt:i4>
      </vt:variant>
      <vt:variant>
        <vt:i4>20</vt:i4>
      </vt:variant>
      <vt:variant>
        <vt:i4>0</vt:i4>
      </vt:variant>
      <vt:variant>
        <vt:i4>5</vt:i4>
      </vt:variant>
      <vt:variant>
        <vt:lpwstr/>
      </vt:variant>
      <vt:variant>
        <vt:lpwstr>_Toc181784898</vt:lpwstr>
      </vt:variant>
      <vt:variant>
        <vt:i4>1376304</vt:i4>
      </vt:variant>
      <vt:variant>
        <vt:i4>14</vt:i4>
      </vt:variant>
      <vt:variant>
        <vt:i4>0</vt:i4>
      </vt:variant>
      <vt:variant>
        <vt:i4>5</vt:i4>
      </vt:variant>
      <vt:variant>
        <vt:lpwstr/>
      </vt:variant>
      <vt:variant>
        <vt:lpwstr>_Toc181784897</vt:lpwstr>
      </vt:variant>
      <vt:variant>
        <vt:i4>1376304</vt:i4>
      </vt:variant>
      <vt:variant>
        <vt:i4>8</vt:i4>
      </vt:variant>
      <vt:variant>
        <vt:i4>0</vt:i4>
      </vt:variant>
      <vt:variant>
        <vt:i4>5</vt:i4>
      </vt:variant>
      <vt:variant>
        <vt:lpwstr/>
      </vt:variant>
      <vt:variant>
        <vt:lpwstr>_Toc181784896</vt:lpwstr>
      </vt:variant>
      <vt:variant>
        <vt:i4>1376304</vt:i4>
      </vt:variant>
      <vt:variant>
        <vt:i4>2</vt:i4>
      </vt:variant>
      <vt:variant>
        <vt:i4>0</vt:i4>
      </vt:variant>
      <vt:variant>
        <vt:i4>5</vt:i4>
      </vt:variant>
      <vt:variant>
        <vt:lpwstr/>
      </vt:variant>
      <vt:variant>
        <vt:lpwstr>_Toc181784895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2024-11-06T03:28:00Z</cp:lastPrinted>
  <dcterms:created xsi:type="dcterms:W3CDTF">2024-11-11T07:17:00Z</dcterms:created>
  <dcterms:modified xsi:type="dcterms:W3CDTF">2024-11-11T07:17:00Z</dcterms:modified>
</cp:coreProperties>
</file>