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7480" w:rsidRPr="00B17480" w:rsidRDefault="00B17480" w:rsidP="00B17480">
      <w:pPr>
        <w:pStyle w:val="a9"/>
        <w:rPr>
          <w:rFonts w:hint="eastAsia"/>
        </w:rPr>
      </w:pPr>
      <w:bookmarkStart w:id="0" w:name="_GoBack"/>
      <w:bookmarkEnd w:id="0"/>
      <w:r w:rsidRPr="00B17480">
        <w:rPr>
          <w:rFonts w:hint="eastAsia"/>
        </w:rPr>
        <w:t>國軍營舍及設施改建基金11</w:t>
      </w:r>
      <w:r w:rsidR="009328E1">
        <w:t>4</w:t>
      </w:r>
      <w:r w:rsidRPr="00B17480">
        <w:rPr>
          <w:rFonts w:hint="eastAsia"/>
        </w:rPr>
        <w:t>年度預算評估報告</w:t>
      </w:r>
    </w:p>
    <w:p w:rsidR="00B17480" w:rsidRPr="00B17480" w:rsidRDefault="00B17480" w:rsidP="00B17480">
      <w:pPr>
        <w:adjustRightInd w:val="0"/>
        <w:ind w:leftChars="0" w:left="0" w:firstLine="566"/>
        <w:rPr>
          <w:rFonts w:hint="eastAsia"/>
        </w:rPr>
      </w:pPr>
      <w:bookmarkStart w:id="1" w:name="_Toc279151268"/>
      <w:bookmarkStart w:id="2" w:name="_Toc288557474"/>
      <w:bookmarkStart w:id="3" w:name="_Toc503254766"/>
      <w:r w:rsidRPr="00B17480">
        <w:rPr>
          <w:rFonts w:hint="eastAsia"/>
        </w:rPr>
        <w:t>國軍營舍及設施改建基金(以下簡稱營改基金)11</w:t>
      </w:r>
      <w:r w:rsidR="0071348C">
        <w:t>4</w:t>
      </w:r>
      <w:r w:rsidRPr="00B17480">
        <w:rPr>
          <w:rFonts w:hint="eastAsia"/>
        </w:rPr>
        <w:t>年度基金來源編列</w:t>
      </w:r>
      <w:r w:rsidR="008722CE">
        <w:t>1</w:t>
      </w:r>
      <w:r w:rsidR="0071348C">
        <w:t>47</w:t>
      </w:r>
      <w:r w:rsidR="0071348C" w:rsidRPr="00B17480">
        <w:rPr>
          <w:rFonts w:hint="eastAsia"/>
        </w:rPr>
        <w:t>億</w:t>
      </w:r>
      <w:r w:rsidR="0071348C">
        <w:t>4,735</w:t>
      </w:r>
      <w:r w:rsidR="0071348C" w:rsidRPr="00B17480">
        <w:rPr>
          <w:rFonts w:hint="eastAsia"/>
        </w:rPr>
        <w:t>萬</w:t>
      </w:r>
      <w:r w:rsidR="0071348C">
        <w:t>5</w:t>
      </w:r>
      <w:r w:rsidR="007F2762">
        <w:rPr>
          <w:rFonts w:hint="eastAsia"/>
          <w:lang w:eastAsia="zh-HK"/>
        </w:rPr>
        <w:t>千</w:t>
      </w:r>
      <w:r w:rsidRPr="00B17480">
        <w:rPr>
          <w:rFonts w:hint="eastAsia"/>
        </w:rPr>
        <w:t>元，較1</w:t>
      </w:r>
      <w:r w:rsidR="007F2762">
        <w:rPr>
          <w:rFonts w:hint="eastAsia"/>
        </w:rPr>
        <w:t>1</w:t>
      </w:r>
      <w:r w:rsidR="0071348C">
        <w:t>3</w:t>
      </w:r>
      <w:r w:rsidRPr="00B17480">
        <w:rPr>
          <w:rFonts w:hint="eastAsia"/>
        </w:rPr>
        <w:t>年度預算數</w:t>
      </w:r>
      <w:r w:rsidR="0071348C" w:rsidRPr="0071348C">
        <w:rPr>
          <w:rFonts w:hint="eastAsia"/>
        </w:rPr>
        <w:t>180億2,252萬4千元</w:t>
      </w:r>
      <w:r w:rsidR="008722CE">
        <w:rPr>
          <w:rFonts w:hint="eastAsia"/>
        </w:rPr>
        <w:t>減少</w:t>
      </w:r>
      <w:r w:rsidR="007F2762">
        <w:rPr>
          <w:rFonts w:hint="eastAsia"/>
        </w:rPr>
        <w:t>3</w:t>
      </w:r>
      <w:r w:rsidR="0071348C">
        <w:t>2</w:t>
      </w:r>
      <w:r w:rsidR="0071348C" w:rsidRPr="00B17480">
        <w:rPr>
          <w:rFonts w:hint="eastAsia"/>
        </w:rPr>
        <w:t>億</w:t>
      </w:r>
      <w:r w:rsidR="0071348C">
        <w:t>7,516</w:t>
      </w:r>
      <w:r w:rsidR="0071348C" w:rsidRPr="00B17480">
        <w:rPr>
          <w:rFonts w:hint="eastAsia"/>
        </w:rPr>
        <w:t>萬</w:t>
      </w:r>
      <w:r w:rsidR="0071348C">
        <w:t>9</w:t>
      </w:r>
      <w:r w:rsidRPr="00B17480">
        <w:rPr>
          <w:rFonts w:hint="eastAsia"/>
        </w:rPr>
        <w:t>千元(</w:t>
      </w:r>
      <w:r w:rsidR="008722CE">
        <w:rPr>
          <w:rFonts w:hint="eastAsia"/>
        </w:rPr>
        <w:t>減</w:t>
      </w:r>
      <w:r w:rsidRPr="00B17480">
        <w:rPr>
          <w:rFonts w:hint="eastAsia"/>
        </w:rPr>
        <w:t>幅</w:t>
      </w:r>
      <w:r w:rsidR="008722CE">
        <w:t>1</w:t>
      </w:r>
      <w:r w:rsidR="0071348C">
        <w:t>8</w:t>
      </w:r>
      <w:r w:rsidR="007F2762">
        <w:rPr>
          <w:rFonts w:hint="eastAsia"/>
        </w:rPr>
        <w:t>.</w:t>
      </w:r>
      <w:r w:rsidR="0071348C">
        <w:t>17</w:t>
      </w:r>
      <w:r w:rsidRPr="00B17480">
        <w:rPr>
          <w:rFonts w:hint="eastAsia"/>
        </w:rPr>
        <w:t>%)；基金用途編列</w:t>
      </w:r>
      <w:r w:rsidR="0071348C">
        <w:t>393</w:t>
      </w:r>
      <w:r w:rsidR="00D62CBA" w:rsidRPr="00B17480">
        <w:rPr>
          <w:rFonts w:hint="eastAsia"/>
        </w:rPr>
        <w:t>億</w:t>
      </w:r>
      <w:r w:rsidR="0071348C">
        <w:t>126</w:t>
      </w:r>
      <w:r w:rsidR="00D62CBA" w:rsidRPr="00B17480">
        <w:rPr>
          <w:rFonts w:hint="eastAsia"/>
        </w:rPr>
        <w:t>萬</w:t>
      </w:r>
      <w:r w:rsidR="0071348C">
        <w:t>3</w:t>
      </w:r>
      <w:r w:rsidR="0071348C">
        <w:rPr>
          <w:rFonts w:hint="eastAsia"/>
        </w:rPr>
        <w:t>千</w:t>
      </w:r>
      <w:r w:rsidRPr="00B17480">
        <w:rPr>
          <w:rFonts w:hint="eastAsia"/>
        </w:rPr>
        <w:t>元，較1</w:t>
      </w:r>
      <w:r w:rsidR="007F2762">
        <w:rPr>
          <w:rFonts w:hint="eastAsia"/>
        </w:rPr>
        <w:t>1</w:t>
      </w:r>
      <w:r w:rsidR="002C58AD">
        <w:t>3</w:t>
      </w:r>
      <w:r w:rsidRPr="00B17480">
        <w:rPr>
          <w:rFonts w:hint="eastAsia"/>
        </w:rPr>
        <w:t>年度預算數</w:t>
      </w:r>
      <w:r w:rsidR="0071348C" w:rsidRPr="0071348C">
        <w:rPr>
          <w:rFonts w:hint="eastAsia"/>
        </w:rPr>
        <w:t>326億4,892萬元</w:t>
      </w:r>
      <w:r w:rsidR="00273603">
        <w:rPr>
          <w:rFonts w:hint="eastAsia"/>
        </w:rPr>
        <w:t>增加</w:t>
      </w:r>
      <w:r w:rsidR="00D62CBA">
        <w:t>66</w:t>
      </w:r>
      <w:r w:rsidR="00D62CBA" w:rsidRPr="00B17480">
        <w:rPr>
          <w:rFonts w:hint="eastAsia"/>
        </w:rPr>
        <w:t>億</w:t>
      </w:r>
      <w:r w:rsidR="00D62CBA">
        <w:t>5,234</w:t>
      </w:r>
      <w:r w:rsidR="00D62CBA" w:rsidRPr="00B17480">
        <w:rPr>
          <w:rFonts w:hint="eastAsia"/>
        </w:rPr>
        <w:t>萬</w:t>
      </w:r>
      <w:r w:rsidR="00D62CBA">
        <w:t>3</w:t>
      </w:r>
      <w:r w:rsidRPr="00B17480">
        <w:rPr>
          <w:rFonts w:hint="eastAsia"/>
        </w:rPr>
        <w:t>千元(增幅</w:t>
      </w:r>
      <w:r w:rsidR="00D62CBA">
        <w:t>20</w:t>
      </w:r>
      <w:r w:rsidR="00273603">
        <w:t>.</w:t>
      </w:r>
      <w:r w:rsidR="00D62CBA">
        <w:t>38</w:t>
      </w:r>
      <w:r w:rsidR="00273603">
        <w:t>%</w:t>
      </w:r>
      <w:r w:rsidRPr="00B17480">
        <w:rPr>
          <w:rFonts w:hint="eastAsia"/>
        </w:rPr>
        <w:t>)；以上收支相抵後，預計</w:t>
      </w:r>
      <w:r w:rsidR="00840E4F">
        <w:rPr>
          <w:rFonts w:hint="eastAsia"/>
          <w:lang w:eastAsia="zh-HK"/>
        </w:rPr>
        <w:t>短絀</w:t>
      </w:r>
      <w:r w:rsidR="00D62CBA">
        <w:t>245</w:t>
      </w:r>
      <w:r w:rsidR="00D62CBA" w:rsidRPr="00B17480">
        <w:rPr>
          <w:rFonts w:hint="eastAsia"/>
        </w:rPr>
        <w:t>億</w:t>
      </w:r>
      <w:r w:rsidR="00D62CBA">
        <w:t>5,390</w:t>
      </w:r>
      <w:r w:rsidR="00D62CBA" w:rsidRPr="00B17480">
        <w:rPr>
          <w:rFonts w:hint="eastAsia"/>
        </w:rPr>
        <w:t>萬</w:t>
      </w:r>
      <w:r w:rsidR="00D62CBA">
        <w:t>8</w:t>
      </w:r>
      <w:r w:rsidR="00131AF2">
        <w:rPr>
          <w:rFonts w:hint="eastAsia"/>
        </w:rPr>
        <w:t>千</w:t>
      </w:r>
      <w:r w:rsidRPr="00B17480">
        <w:rPr>
          <w:rFonts w:hint="eastAsia"/>
        </w:rPr>
        <w:t>元，較1</w:t>
      </w:r>
      <w:r w:rsidR="00840E4F">
        <w:rPr>
          <w:rFonts w:hint="eastAsia"/>
        </w:rPr>
        <w:t>1</w:t>
      </w:r>
      <w:r w:rsidR="00D62CBA">
        <w:t>3</w:t>
      </w:r>
      <w:r w:rsidRPr="00B17480">
        <w:rPr>
          <w:rFonts w:hint="eastAsia"/>
        </w:rPr>
        <w:t>年度之預計</w:t>
      </w:r>
      <w:r w:rsidR="000B2C04">
        <w:rPr>
          <w:rFonts w:hint="eastAsia"/>
        </w:rPr>
        <w:t>短絀</w:t>
      </w:r>
      <w:r w:rsidR="00D62CBA" w:rsidRPr="00D62CBA">
        <w:rPr>
          <w:rFonts w:hint="eastAsia"/>
        </w:rPr>
        <w:t>146億2,639萬6千元</w:t>
      </w:r>
      <w:r w:rsidR="00840E4F" w:rsidRPr="00840E4F">
        <w:rPr>
          <w:rFonts w:hint="eastAsia"/>
        </w:rPr>
        <w:t>，</w:t>
      </w:r>
      <w:r w:rsidR="000B2C04">
        <w:rPr>
          <w:rFonts w:hint="eastAsia"/>
        </w:rPr>
        <w:t>增加</w:t>
      </w:r>
      <w:r w:rsidR="00F304CF">
        <w:rPr>
          <w:rFonts w:hint="eastAsia"/>
        </w:rPr>
        <w:t>短絀</w:t>
      </w:r>
      <w:r w:rsidR="00D62CBA">
        <w:t>99</w:t>
      </w:r>
      <w:r w:rsidR="00D62CBA" w:rsidRPr="00840E4F">
        <w:rPr>
          <w:rFonts w:hint="eastAsia"/>
        </w:rPr>
        <w:t>億</w:t>
      </w:r>
      <w:r w:rsidR="00D62CBA">
        <w:t>2,751</w:t>
      </w:r>
      <w:r w:rsidR="00D62CBA" w:rsidRPr="00840E4F">
        <w:rPr>
          <w:rFonts w:hint="eastAsia"/>
        </w:rPr>
        <w:t>萬</w:t>
      </w:r>
      <w:r w:rsidR="00D62CBA">
        <w:t>2</w:t>
      </w:r>
      <w:r w:rsidR="00840E4F" w:rsidRPr="00840E4F">
        <w:rPr>
          <w:rFonts w:hint="eastAsia"/>
        </w:rPr>
        <w:t>千元</w:t>
      </w:r>
      <w:r w:rsidR="00D85549" w:rsidRPr="00D85549">
        <w:rPr>
          <w:rFonts w:hint="eastAsia"/>
        </w:rPr>
        <w:t>(增幅</w:t>
      </w:r>
      <w:r w:rsidR="00D62CBA">
        <w:t>67</w:t>
      </w:r>
      <w:r w:rsidR="00D85549" w:rsidRPr="00D85549">
        <w:rPr>
          <w:rFonts w:hint="eastAsia"/>
        </w:rPr>
        <w:t>.</w:t>
      </w:r>
      <w:r w:rsidR="00D62CBA">
        <w:t>87</w:t>
      </w:r>
      <w:r w:rsidR="00D85549" w:rsidRPr="00D85549">
        <w:rPr>
          <w:rFonts w:hint="eastAsia"/>
        </w:rPr>
        <w:t>%)</w:t>
      </w:r>
      <w:r w:rsidR="002961FF">
        <w:rPr>
          <w:rFonts w:hint="eastAsia"/>
        </w:rPr>
        <w:t>，</w:t>
      </w:r>
      <w:r w:rsidR="002961FF" w:rsidRPr="002961FF">
        <w:rPr>
          <w:rFonts w:hint="eastAsia"/>
        </w:rPr>
        <w:t>主要係</w:t>
      </w:r>
      <w:r w:rsidR="002961FF">
        <w:rPr>
          <w:rFonts w:hint="eastAsia"/>
        </w:rPr>
        <w:t>因</w:t>
      </w:r>
      <w:r w:rsidR="002961FF" w:rsidRPr="002961FF">
        <w:rPr>
          <w:rFonts w:hint="eastAsia"/>
        </w:rPr>
        <w:t>興安專案部分工程進入高峰期，相關經費需求加劇等所致</w:t>
      </w:r>
      <w:r w:rsidR="00840E4F" w:rsidRPr="00840E4F">
        <w:rPr>
          <w:rFonts w:hint="eastAsia"/>
        </w:rPr>
        <w:t>。</w:t>
      </w:r>
      <w:r w:rsidRPr="00B17480">
        <w:rPr>
          <w:rFonts w:hint="eastAsia"/>
        </w:rPr>
        <w:t>謹</w:t>
      </w:r>
      <w:r w:rsidR="002961FF">
        <w:rPr>
          <w:rFonts w:hint="eastAsia"/>
        </w:rPr>
        <w:t>就營改基金1</w:t>
      </w:r>
      <w:r w:rsidR="002961FF">
        <w:t>1</w:t>
      </w:r>
      <w:r w:rsidR="00D62CBA">
        <w:t>4</w:t>
      </w:r>
      <w:r w:rsidR="002961FF">
        <w:rPr>
          <w:rFonts w:hint="eastAsia"/>
        </w:rPr>
        <w:t>年度預算案</w:t>
      </w:r>
      <w:r w:rsidRPr="00B17480">
        <w:rPr>
          <w:rFonts w:hint="eastAsia"/>
        </w:rPr>
        <w:t>評述如下：</w:t>
      </w:r>
    </w:p>
    <w:p w:rsidR="009D3951" w:rsidRPr="009D3951" w:rsidRDefault="00914818" w:rsidP="00FB3289">
      <w:pPr>
        <w:pStyle w:val="14"/>
        <w:ind w:left="567" w:hanging="567"/>
        <w:rPr>
          <w:rFonts w:hint="eastAsia"/>
        </w:rPr>
      </w:pPr>
      <w:bookmarkStart w:id="4" w:name="_Toc55680417"/>
      <w:bookmarkStart w:id="5" w:name="_Toc86758428"/>
      <w:bookmarkStart w:id="6" w:name="_Toc110536189"/>
      <w:bookmarkStart w:id="7" w:name="_Toc56065513"/>
      <w:bookmarkStart w:id="8" w:name="_Toc162017471"/>
      <w:bookmarkStart w:id="9" w:name="_Toc181963670"/>
      <w:r>
        <w:rPr>
          <w:rFonts w:hint="eastAsia"/>
        </w:rPr>
        <w:t>三</w:t>
      </w:r>
      <w:r w:rsidR="009D3951" w:rsidRPr="009D3951">
        <w:rPr>
          <w:rFonts w:hint="eastAsia"/>
          <w:lang w:eastAsia="zh-HK"/>
        </w:rPr>
        <w:t>、</w:t>
      </w:r>
      <w:r w:rsidR="00050909" w:rsidRPr="00050909">
        <w:rPr>
          <w:rFonts w:hint="eastAsia"/>
          <w:lang w:eastAsia="zh-HK"/>
        </w:rPr>
        <w:t>101至11</w:t>
      </w:r>
      <w:r w:rsidR="003C2273">
        <w:rPr>
          <w:lang w:eastAsia="zh-HK"/>
        </w:rPr>
        <w:t>2</w:t>
      </w:r>
      <w:r w:rsidR="00050909" w:rsidRPr="00050909">
        <w:rPr>
          <w:rFonts w:hint="eastAsia"/>
          <w:lang w:eastAsia="zh-HK"/>
        </w:rPr>
        <w:t>年度各主要業務計畫預算執行間</w:t>
      </w:r>
      <w:r w:rsidR="009D3951" w:rsidRPr="009D3951">
        <w:rPr>
          <w:rFonts w:hint="eastAsia"/>
        </w:rPr>
        <w:t>有執行率偏低、鉅額保留或編列不足需補辦預算等</w:t>
      </w:r>
      <w:r w:rsidR="00417EF7">
        <w:rPr>
          <w:rFonts w:hint="eastAsia"/>
        </w:rPr>
        <w:t>情事</w:t>
      </w:r>
      <w:r w:rsidR="009D3951" w:rsidRPr="009D3951">
        <w:rPr>
          <w:rFonts w:hint="eastAsia"/>
        </w:rPr>
        <w:t>，宜妥</w:t>
      </w:r>
      <w:r w:rsidR="00050909">
        <w:rPr>
          <w:rFonts w:hint="eastAsia"/>
        </w:rPr>
        <w:t>適控管預算執行</w:t>
      </w:r>
      <w:r w:rsidR="009D3951" w:rsidRPr="009D3951">
        <w:rPr>
          <w:rFonts w:hint="eastAsia"/>
        </w:rPr>
        <w:t>，</w:t>
      </w:r>
      <w:r w:rsidR="00050909">
        <w:rPr>
          <w:rFonts w:hint="eastAsia"/>
        </w:rPr>
        <w:t>以提升預算資源運用</w:t>
      </w:r>
      <w:r w:rsidR="009D3951" w:rsidRPr="009D3951">
        <w:rPr>
          <w:rFonts w:hint="eastAsia"/>
        </w:rPr>
        <w:t>效</w:t>
      </w:r>
      <w:bookmarkEnd w:id="8"/>
      <w:r w:rsidR="00050909">
        <w:rPr>
          <w:rFonts w:hint="eastAsia"/>
        </w:rPr>
        <w:t>能</w:t>
      </w:r>
      <w:bookmarkEnd w:id="9"/>
    </w:p>
    <w:p w:rsidR="00C758B7" w:rsidRDefault="009D3951" w:rsidP="009D3951">
      <w:pPr>
        <w:ind w:left="566" w:firstLine="566"/>
      </w:pPr>
      <w:r w:rsidRPr="009D3951">
        <w:rPr>
          <w:rFonts w:hint="eastAsia"/>
        </w:rPr>
        <w:t>營改基金主要</w:t>
      </w:r>
      <w:r w:rsidRPr="009D3951">
        <w:rPr>
          <w:rFonts w:hint="eastAsia"/>
          <w:lang w:eastAsia="zh-HK"/>
        </w:rPr>
        <w:t>業務</w:t>
      </w:r>
      <w:r w:rsidRPr="009D3951">
        <w:rPr>
          <w:rFonts w:hint="eastAsia"/>
        </w:rPr>
        <w:t>計畫包含博愛專案</w:t>
      </w:r>
      <w:r w:rsidR="00B95F83">
        <w:rPr>
          <w:rFonts w:hint="eastAsia"/>
        </w:rPr>
        <w:t>計畫</w:t>
      </w:r>
      <w:r w:rsidRPr="009D3951">
        <w:rPr>
          <w:rFonts w:hint="eastAsia"/>
        </w:rPr>
        <w:t>、第205廠遷建專案計畫、資安園區專案計畫、老舊營舍</w:t>
      </w:r>
      <w:r w:rsidRPr="009D3951">
        <w:rPr>
          <w:rFonts w:hint="eastAsia"/>
          <w:lang w:eastAsia="zh-HK"/>
        </w:rPr>
        <w:t>整建計畫</w:t>
      </w:r>
      <w:r w:rsidRPr="009D3951">
        <w:rPr>
          <w:rFonts w:hint="eastAsia"/>
        </w:rPr>
        <w:t>與工程及設施整</w:t>
      </w:r>
      <w:r w:rsidRPr="009D3951">
        <w:rPr>
          <w:rFonts w:hint="eastAsia"/>
        </w:rPr>
        <w:lastRenderedPageBreak/>
        <w:t>建計畫，1</w:t>
      </w:r>
      <w:r w:rsidRPr="009D3951">
        <w:t>1</w:t>
      </w:r>
      <w:r w:rsidR="005815A2">
        <w:t>4</w:t>
      </w:r>
      <w:r w:rsidRPr="009D3951">
        <w:rPr>
          <w:rFonts w:hint="eastAsia"/>
        </w:rPr>
        <w:t>年度</w:t>
      </w:r>
      <w:r w:rsidR="00C758B7" w:rsidRPr="00C758B7">
        <w:rPr>
          <w:rFonts w:hint="eastAsia"/>
        </w:rPr>
        <w:t>預算案於「</w:t>
      </w:r>
      <w:r w:rsidR="00C758B7">
        <w:rPr>
          <w:rFonts w:hint="eastAsia"/>
        </w:rPr>
        <w:t>基金用途</w:t>
      </w:r>
      <w:r w:rsidR="00C758B7" w:rsidRPr="00C758B7">
        <w:rPr>
          <w:rFonts w:hint="eastAsia"/>
        </w:rPr>
        <w:t>」編列主要業務計畫</w:t>
      </w:r>
      <w:r w:rsidR="00C758B7" w:rsidRPr="00C758B7">
        <w:t>391</w:t>
      </w:r>
      <w:r w:rsidR="00C758B7">
        <w:rPr>
          <w:rFonts w:hint="eastAsia"/>
        </w:rPr>
        <w:t>億</w:t>
      </w:r>
      <w:r w:rsidR="00C758B7" w:rsidRPr="00C758B7">
        <w:t>7</w:t>
      </w:r>
      <w:r w:rsidR="00C758B7">
        <w:t>,</w:t>
      </w:r>
      <w:r w:rsidR="00C758B7" w:rsidRPr="00C758B7">
        <w:t>167</w:t>
      </w:r>
      <w:r w:rsidR="00C758B7">
        <w:rPr>
          <w:rFonts w:hint="eastAsia"/>
        </w:rPr>
        <w:t>萬</w:t>
      </w:r>
      <w:r w:rsidR="00C758B7" w:rsidRPr="00C758B7">
        <w:t>5</w:t>
      </w:r>
      <w:r w:rsidR="00C758B7" w:rsidRPr="00C758B7">
        <w:rPr>
          <w:rFonts w:hint="eastAsia"/>
        </w:rPr>
        <w:t>千元，較1</w:t>
      </w:r>
      <w:r w:rsidR="00C758B7">
        <w:t>13</w:t>
      </w:r>
      <w:r w:rsidR="00C758B7" w:rsidRPr="00C758B7">
        <w:rPr>
          <w:rFonts w:hint="eastAsia"/>
        </w:rPr>
        <w:t>年度之</w:t>
      </w:r>
      <w:r w:rsidR="00C758B7" w:rsidRPr="00C758B7">
        <w:t>324</w:t>
      </w:r>
      <w:r w:rsidR="00C758B7">
        <w:rPr>
          <w:rFonts w:hint="eastAsia"/>
        </w:rPr>
        <w:t>億</w:t>
      </w:r>
      <w:r w:rsidR="00C758B7" w:rsidRPr="00C758B7">
        <w:t>4</w:t>
      </w:r>
      <w:r w:rsidR="00C758B7">
        <w:t>,</w:t>
      </w:r>
      <w:r w:rsidR="00C758B7" w:rsidRPr="00C758B7">
        <w:t>826</w:t>
      </w:r>
      <w:r w:rsidR="00C758B7">
        <w:rPr>
          <w:rFonts w:hint="eastAsia"/>
        </w:rPr>
        <w:t>萬</w:t>
      </w:r>
      <w:r w:rsidR="00C758B7" w:rsidRPr="00C758B7">
        <w:t>1</w:t>
      </w:r>
      <w:r w:rsidR="00C758B7" w:rsidRPr="00C758B7">
        <w:rPr>
          <w:rFonts w:hint="eastAsia"/>
        </w:rPr>
        <w:t>千元增加</w:t>
      </w:r>
      <w:r w:rsidR="00C758B7">
        <w:t>67</w:t>
      </w:r>
      <w:r w:rsidR="00C758B7">
        <w:rPr>
          <w:rFonts w:hint="eastAsia"/>
        </w:rPr>
        <w:t>億</w:t>
      </w:r>
      <w:r w:rsidR="00C758B7">
        <w:t>2,341</w:t>
      </w:r>
      <w:r w:rsidR="00C758B7">
        <w:rPr>
          <w:rFonts w:hint="eastAsia"/>
        </w:rPr>
        <w:t>萬</w:t>
      </w:r>
      <w:r w:rsidR="00C758B7">
        <w:t>4</w:t>
      </w:r>
      <w:r w:rsidR="00C758B7">
        <w:rPr>
          <w:rFonts w:hint="eastAsia"/>
        </w:rPr>
        <w:t>千</w:t>
      </w:r>
      <w:r w:rsidR="00C758B7" w:rsidRPr="00C758B7">
        <w:rPr>
          <w:rFonts w:hint="eastAsia"/>
        </w:rPr>
        <w:t>元(增幅</w:t>
      </w:r>
      <w:r w:rsidR="00C758B7">
        <w:t>20</w:t>
      </w:r>
      <w:r w:rsidR="00C758B7" w:rsidRPr="00C758B7">
        <w:rPr>
          <w:rFonts w:hint="eastAsia"/>
        </w:rPr>
        <w:t>.7</w:t>
      </w:r>
      <w:r w:rsidR="00C758B7">
        <w:t>2</w:t>
      </w:r>
      <w:r w:rsidR="00C758B7" w:rsidRPr="00C758B7">
        <w:rPr>
          <w:rFonts w:hint="eastAsia"/>
        </w:rPr>
        <w:t>%)；又因疫情解封</w:t>
      </w:r>
      <w:r w:rsidR="00C758B7">
        <w:rPr>
          <w:rFonts w:hint="eastAsia"/>
        </w:rPr>
        <w:t>，</w:t>
      </w:r>
      <w:r w:rsidR="00C758B7" w:rsidRPr="00C758B7">
        <w:rPr>
          <w:rFonts w:hint="eastAsia"/>
        </w:rPr>
        <w:t>老舊營舍整建計畫</w:t>
      </w:r>
      <w:r w:rsidR="00C758B7">
        <w:rPr>
          <w:rFonts w:hint="eastAsia"/>
        </w:rPr>
        <w:t>之</w:t>
      </w:r>
      <w:r w:rsidR="00C758B7" w:rsidRPr="00C758B7">
        <w:rPr>
          <w:rFonts w:hint="eastAsia"/>
        </w:rPr>
        <w:t>龍山營區新建工程等92案</w:t>
      </w:r>
      <w:r w:rsidR="003B37F7" w:rsidRPr="00C758B7">
        <w:rPr>
          <w:rFonts w:hint="eastAsia"/>
        </w:rPr>
        <w:t>，工程</w:t>
      </w:r>
      <w:r w:rsidR="00926B79">
        <w:rPr>
          <w:rFonts w:hint="eastAsia"/>
        </w:rPr>
        <w:t>進</w:t>
      </w:r>
      <w:r w:rsidR="003B37F7" w:rsidRPr="00C758B7">
        <w:rPr>
          <w:rFonts w:hint="eastAsia"/>
        </w:rPr>
        <w:t>度超前</w:t>
      </w:r>
      <w:r w:rsidR="003B37F7">
        <w:rPr>
          <w:rFonts w:hint="eastAsia"/>
        </w:rPr>
        <w:t>，致原編年度預算不足</w:t>
      </w:r>
      <w:r w:rsidR="00C758B7" w:rsidRPr="00C758B7">
        <w:rPr>
          <w:rFonts w:hint="eastAsia"/>
        </w:rPr>
        <w:t>，報經</w:t>
      </w:r>
      <w:r w:rsidR="003B37F7">
        <w:rPr>
          <w:rFonts w:hint="eastAsia"/>
        </w:rPr>
        <w:t>行政院</w:t>
      </w:r>
      <w:r w:rsidR="00C758B7" w:rsidRPr="00C758B7">
        <w:rPr>
          <w:rFonts w:hint="eastAsia"/>
        </w:rPr>
        <w:t>同意於1</w:t>
      </w:r>
      <w:r w:rsidR="003B37F7">
        <w:rPr>
          <w:rFonts w:hint="eastAsia"/>
        </w:rPr>
        <w:t>1</w:t>
      </w:r>
      <w:r w:rsidR="003B37F7">
        <w:t>2</w:t>
      </w:r>
      <w:r w:rsidR="00C758B7" w:rsidRPr="00C758B7">
        <w:rPr>
          <w:rFonts w:hint="eastAsia"/>
        </w:rPr>
        <w:t>年度先行辦理並補辦11</w:t>
      </w:r>
      <w:r w:rsidR="003B37F7">
        <w:t>4</w:t>
      </w:r>
      <w:r w:rsidR="00C758B7" w:rsidRPr="00C758B7">
        <w:rPr>
          <w:rFonts w:hint="eastAsia"/>
        </w:rPr>
        <w:t>年度預算</w:t>
      </w:r>
      <w:r w:rsidR="003B37F7" w:rsidRPr="003B37F7">
        <w:rPr>
          <w:rFonts w:hint="eastAsia"/>
        </w:rPr>
        <w:t>90億8,000萬元</w:t>
      </w:r>
      <w:r w:rsidR="003B37F7">
        <w:rPr>
          <w:rFonts w:hint="eastAsia"/>
        </w:rPr>
        <w:t>。經查：</w:t>
      </w:r>
    </w:p>
    <w:p w:rsidR="009D3951" w:rsidRPr="009D3951" w:rsidRDefault="009D3951" w:rsidP="009D3951">
      <w:pPr>
        <w:ind w:left="849" w:hangingChars="100" w:hanging="283"/>
        <w:rPr>
          <w:b/>
        </w:rPr>
      </w:pPr>
      <w:r w:rsidRPr="009D3951">
        <w:rPr>
          <w:rFonts w:hint="eastAsia"/>
          <w:b/>
        </w:rPr>
        <w:t>(一)營改基金應妥適衡酌各項營舍及設施整建計畫之工程進度與執行能力，核實編列年度預算</w:t>
      </w:r>
    </w:p>
    <w:p w:rsidR="009D3951" w:rsidRPr="009D3951" w:rsidRDefault="009D3951" w:rsidP="009D3951">
      <w:pPr>
        <w:adjustRightInd w:val="0"/>
        <w:ind w:leftChars="300" w:left="850" w:firstLine="566"/>
      </w:pPr>
      <w:r w:rsidRPr="009D3951">
        <w:rPr>
          <w:rFonts w:hint="eastAsia"/>
        </w:rPr>
        <w:t>據1</w:t>
      </w:r>
      <w:r w:rsidRPr="009D3951">
        <w:t>1</w:t>
      </w:r>
      <w:r w:rsidR="003B37F7">
        <w:rPr>
          <w:rFonts w:hint="eastAsia"/>
        </w:rPr>
        <w:t>4</w:t>
      </w:r>
      <w:r w:rsidRPr="009D3951">
        <w:rPr>
          <w:rFonts w:hint="eastAsia"/>
        </w:rPr>
        <w:t>年度中央及地方政府預算籌編原則第</w:t>
      </w:r>
      <w:r w:rsidR="00F41075">
        <w:rPr>
          <w:rFonts w:hint="eastAsia"/>
        </w:rPr>
        <w:t>5</w:t>
      </w:r>
      <w:r w:rsidR="00F41075" w:rsidRPr="009D3951">
        <w:rPr>
          <w:rFonts w:hint="eastAsia"/>
        </w:rPr>
        <w:t>點</w:t>
      </w:r>
      <w:r w:rsidR="00F41075">
        <w:rPr>
          <w:rFonts w:hint="eastAsia"/>
        </w:rPr>
        <w:t>第7款</w:t>
      </w:r>
      <w:r w:rsidRPr="009D3951">
        <w:rPr>
          <w:rFonts w:hint="eastAsia"/>
        </w:rPr>
        <w:t>規定：「特種基金固定資產建設改良擴充專案計畫、資金轉投資計畫及其他重大投資計畫應妥作可行性評估，核實成本效益分析，</w:t>
      </w:r>
      <w:r w:rsidR="00DE7527" w:rsidRPr="00DE7527">
        <w:rPr>
          <w:rFonts w:hAnsi="標楷體"/>
        </w:rPr>
        <w:t>…</w:t>
      </w:r>
      <w:r w:rsidR="00DE7527">
        <w:rPr>
          <w:rFonts w:hint="eastAsia"/>
        </w:rPr>
        <w:t>，</w:t>
      </w:r>
      <w:r w:rsidRPr="009D3951">
        <w:rPr>
          <w:rFonts w:hint="eastAsia"/>
        </w:rPr>
        <w:t>擬具計畫依規定程序報核，並建立計畫管控及風險管</w:t>
      </w:r>
      <w:r w:rsidRPr="009D3951">
        <w:rPr>
          <w:rFonts w:hint="eastAsia"/>
        </w:rPr>
        <w:lastRenderedPageBreak/>
        <w:t>理機制；其預算之編製，應依核定計畫，衡酌工程或投資進度、財務狀況及執行能力，據以核實編列年度預算</w:t>
      </w:r>
      <w:r w:rsidR="00DE7527">
        <w:rPr>
          <w:rFonts w:hint="eastAsia"/>
        </w:rPr>
        <w:t>；</w:t>
      </w:r>
      <w:r w:rsidRPr="009D3951">
        <w:rPr>
          <w:rFonts w:hAnsi="標楷體"/>
        </w:rPr>
        <w:t>…</w:t>
      </w:r>
      <w:r w:rsidRPr="009D3951">
        <w:rPr>
          <w:rFonts w:hint="eastAsia"/>
        </w:rPr>
        <w:t>。」據此，營改基金宜參照工程實際進度及預算執行能力核實編列預算，並加強經費控管，以利整體資源妥善規劃運用。</w:t>
      </w:r>
    </w:p>
    <w:p w:rsidR="009D3951" w:rsidRPr="009D3951" w:rsidRDefault="009D3951" w:rsidP="009D3951">
      <w:pPr>
        <w:ind w:left="849" w:hangingChars="100" w:hanging="283"/>
        <w:rPr>
          <w:rFonts w:hint="eastAsia"/>
          <w:b/>
        </w:rPr>
      </w:pPr>
      <w:r w:rsidRPr="009D3951">
        <w:rPr>
          <w:rFonts w:hint="eastAsia"/>
          <w:b/>
        </w:rPr>
        <w:t>(二)</w:t>
      </w:r>
      <w:r w:rsidR="00F41075" w:rsidRPr="00F41075">
        <w:rPr>
          <w:rFonts w:hint="eastAsia"/>
          <w:b/>
        </w:rPr>
        <w:t>101至11</w:t>
      </w:r>
      <w:r w:rsidR="003C2273">
        <w:rPr>
          <w:b/>
        </w:rPr>
        <w:t>2</w:t>
      </w:r>
      <w:r w:rsidR="00F41075" w:rsidRPr="00F41075">
        <w:rPr>
          <w:rFonts w:hint="eastAsia"/>
          <w:b/>
        </w:rPr>
        <w:t>年度</w:t>
      </w:r>
      <w:r w:rsidRPr="009D3951">
        <w:rPr>
          <w:rFonts w:hint="eastAsia"/>
          <w:b/>
          <w:lang w:eastAsia="zh-HK"/>
        </w:rPr>
        <w:t>各主要業務計畫</w:t>
      </w:r>
      <w:r w:rsidRPr="009D3951">
        <w:rPr>
          <w:rFonts w:hint="eastAsia"/>
          <w:b/>
        </w:rPr>
        <w:t>預算</w:t>
      </w:r>
      <w:r w:rsidRPr="009D3951">
        <w:rPr>
          <w:rFonts w:hint="eastAsia"/>
          <w:b/>
          <w:lang w:eastAsia="zh-HK"/>
        </w:rPr>
        <w:t>執行</w:t>
      </w:r>
      <w:r w:rsidRPr="009D3951">
        <w:rPr>
          <w:rFonts w:hint="eastAsia"/>
          <w:b/>
        </w:rPr>
        <w:t>間有</w:t>
      </w:r>
      <w:r w:rsidRPr="009D3951">
        <w:rPr>
          <w:rFonts w:hint="eastAsia"/>
          <w:b/>
          <w:lang w:eastAsia="zh-HK"/>
        </w:rPr>
        <w:t>未臻理想</w:t>
      </w:r>
      <w:r w:rsidRPr="009D3951">
        <w:rPr>
          <w:rFonts w:hint="eastAsia"/>
          <w:b/>
        </w:rPr>
        <w:t>情事，</w:t>
      </w:r>
      <w:r w:rsidR="00DE7527">
        <w:rPr>
          <w:rFonts w:hint="eastAsia"/>
          <w:b/>
        </w:rPr>
        <w:t>各年度保留經費及比率多偏高</w:t>
      </w:r>
    </w:p>
    <w:p w:rsidR="004E68B8" w:rsidRPr="004E68B8" w:rsidRDefault="004E68B8" w:rsidP="004E68B8">
      <w:pPr>
        <w:adjustRightInd w:val="0"/>
        <w:ind w:leftChars="300" w:left="850" w:firstLine="566"/>
        <w:rPr>
          <w:color w:val="0070C0"/>
        </w:rPr>
      </w:pPr>
      <w:r>
        <w:rPr>
          <w:rFonts w:hint="eastAsia"/>
        </w:rPr>
        <w:t>營改基金</w:t>
      </w:r>
      <w:r w:rsidRPr="004E68B8">
        <w:rPr>
          <w:rFonts w:hint="eastAsia"/>
        </w:rPr>
        <w:t>101至11</w:t>
      </w:r>
      <w:r w:rsidRPr="004E68B8">
        <w:t>4</w:t>
      </w:r>
      <w:r w:rsidRPr="004E68B8">
        <w:rPr>
          <w:rFonts w:hint="eastAsia"/>
        </w:rPr>
        <w:t>年度主要業務計畫可用預算數概呈先減後增趨勢，由1</w:t>
      </w:r>
      <w:r w:rsidRPr="004E68B8">
        <w:t>01</w:t>
      </w:r>
      <w:r w:rsidRPr="004E68B8">
        <w:rPr>
          <w:rFonts w:hint="eastAsia"/>
        </w:rPr>
        <w:t>年之</w:t>
      </w:r>
      <w:r w:rsidRPr="004E68B8">
        <w:t>122</w:t>
      </w:r>
      <w:r w:rsidRPr="004E68B8">
        <w:rPr>
          <w:rFonts w:hint="eastAsia"/>
        </w:rPr>
        <w:t>億</w:t>
      </w:r>
      <w:r w:rsidRPr="004E68B8">
        <w:t>688</w:t>
      </w:r>
      <w:r w:rsidRPr="004E68B8">
        <w:rPr>
          <w:rFonts w:hint="eastAsia"/>
        </w:rPr>
        <w:t>萬</w:t>
      </w:r>
      <w:r w:rsidRPr="004E68B8">
        <w:t>1</w:t>
      </w:r>
      <w:r w:rsidRPr="004E68B8">
        <w:rPr>
          <w:rFonts w:hint="eastAsia"/>
        </w:rPr>
        <w:t>千元減少至1</w:t>
      </w:r>
      <w:r w:rsidRPr="004E68B8">
        <w:t>04</w:t>
      </w:r>
      <w:r w:rsidRPr="004E68B8">
        <w:rPr>
          <w:rFonts w:hint="eastAsia"/>
        </w:rPr>
        <w:t>年之</w:t>
      </w:r>
      <w:r w:rsidRPr="004E68B8">
        <w:t>57</w:t>
      </w:r>
      <w:r w:rsidRPr="004E68B8">
        <w:rPr>
          <w:rFonts w:hint="eastAsia"/>
        </w:rPr>
        <w:t>億</w:t>
      </w:r>
      <w:r w:rsidRPr="004E68B8">
        <w:t>9,520</w:t>
      </w:r>
      <w:r w:rsidRPr="004E68B8">
        <w:rPr>
          <w:rFonts w:hint="eastAsia"/>
        </w:rPr>
        <w:t>萬元後，再增至1</w:t>
      </w:r>
      <w:r w:rsidRPr="004E68B8">
        <w:t>14</w:t>
      </w:r>
      <w:r w:rsidRPr="004E68B8">
        <w:rPr>
          <w:rFonts w:hint="eastAsia"/>
        </w:rPr>
        <w:t>年之</w:t>
      </w:r>
      <w:r w:rsidRPr="004E68B8">
        <w:t>391</w:t>
      </w:r>
      <w:r w:rsidRPr="004E68B8">
        <w:rPr>
          <w:rFonts w:hint="eastAsia"/>
        </w:rPr>
        <w:t>億</w:t>
      </w:r>
      <w:r w:rsidRPr="004E68B8">
        <w:t>7,167</w:t>
      </w:r>
      <w:r w:rsidRPr="004E68B8">
        <w:rPr>
          <w:rFonts w:hint="eastAsia"/>
        </w:rPr>
        <w:t>萬</w:t>
      </w:r>
      <w:r w:rsidRPr="004E68B8">
        <w:t>5</w:t>
      </w:r>
      <w:r w:rsidRPr="004E68B8">
        <w:rPr>
          <w:rFonts w:hint="eastAsia"/>
        </w:rPr>
        <w:t>千元，如與前揭數額最低之1</w:t>
      </w:r>
      <w:r w:rsidRPr="004E68B8">
        <w:t>04</w:t>
      </w:r>
      <w:r w:rsidRPr="004E68B8">
        <w:rPr>
          <w:rFonts w:hint="eastAsia"/>
        </w:rPr>
        <w:t>年度相較，計增加</w:t>
      </w:r>
      <w:r w:rsidRPr="004E68B8">
        <w:t>333</w:t>
      </w:r>
      <w:r w:rsidRPr="004E68B8">
        <w:rPr>
          <w:rFonts w:hint="eastAsia"/>
        </w:rPr>
        <w:t>億</w:t>
      </w:r>
      <w:r w:rsidRPr="004E68B8">
        <w:t>7,647</w:t>
      </w:r>
      <w:r w:rsidRPr="004E68B8">
        <w:rPr>
          <w:rFonts w:hint="eastAsia"/>
        </w:rPr>
        <w:t>萬</w:t>
      </w:r>
      <w:r w:rsidRPr="004E68B8">
        <w:t>5</w:t>
      </w:r>
      <w:r w:rsidRPr="004E68B8">
        <w:rPr>
          <w:rFonts w:hint="eastAsia"/>
        </w:rPr>
        <w:t>千元(增</w:t>
      </w:r>
      <w:r w:rsidR="00E71794">
        <w:rPr>
          <w:rFonts w:hint="eastAsia"/>
        </w:rPr>
        <w:t>加</w:t>
      </w:r>
      <w:r w:rsidRPr="004E68B8">
        <w:t>5</w:t>
      </w:r>
      <w:r w:rsidR="00E71794">
        <w:rPr>
          <w:rFonts w:hint="eastAsia"/>
        </w:rPr>
        <w:t>.</w:t>
      </w:r>
      <w:r w:rsidRPr="004E68B8">
        <w:t>7</w:t>
      </w:r>
      <w:r w:rsidR="00E71794">
        <w:t>6</w:t>
      </w:r>
      <w:r w:rsidR="00E71794">
        <w:rPr>
          <w:rFonts w:hint="eastAsia"/>
        </w:rPr>
        <w:t>倍</w:t>
      </w:r>
      <w:r w:rsidRPr="004E68B8">
        <w:t>)</w:t>
      </w:r>
      <w:r w:rsidRPr="004E68B8">
        <w:rPr>
          <w:rFonts w:hint="eastAsia"/>
        </w:rPr>
        <w:t>，顯示近年國軍各項營舍及設施整建計畫所需經費頗為龐鉅。惟由表</w:t>
      </w:r>
      <w:r>
        <w:t>1</w:t>
      </w:r>
      <w:r w:rsidRPr="004E68B8">
        <w:rPr>
          <w:rFonts w:hint="eastAsia"/>
        </w:rPr>
        <w:t>所示，101至1</w:t>
      </w:r>
      <w:r w:rsidRPr="004E68B8">
        <w:t>12</w:t>
      </w:r>
      <w:r w:rsidRPr="004E68B8">
        <w:rPr>
          <w:rFonts w:hint="eastAsia"/>
        </w:rPr>
        <w:t>年度營改基金主要業務計畫決算之保留金額，由101年度之49億7,573萬7千元，降至103年度之17億3,113萬2千元後，再逐漸上升至1</w:t>
      </w:r>
      <w:r w:rsidRPr="004E68B8">
        <w:t>11</w:t>
      </w:r>
      <w:r w:rsidRPr="004E68B8">
        <w:rPr>
          <w:rFonts w:hint="eastAsia"/>
        </w:rPr>
        <w:t>年</w:t>
      </w:r>
      <w:r w:rsidRPr="004E68B8">
        <w:rPr>
          <w:rFonts w:hint="eastAsia"/>
        </w:rPr>
        <w:lastRenderedPageBreak/>
        <w:t>度之</w:t>
      </w:r>
      <w:r w:rsidRPr="004E68B8">
        <w:t>55</w:t>
      </w:r>
      <w:r w:rsidRPr="004E68B8">
        <w:rPr>
          <w:rFonts w:hint="eastAsia"/>
        </w:rPr>
        <w:t>億</w:t>
      </w:r>
      <w:r w:rsidRPr="004E68B8">
        <w:t>1,858</w:t>
      </w:r>
      <w:r w:rsidRPr="004E68B8">
        <w:rPr>
          <w:rFonts w:hint="eastAsia"/>
        </w:rPr>
        <w:t>萬</w:t>
      </w:r>
      <w:r w:rsidRPr="004E68B8">
        <w:t>6</w:t>
      </w:r>
      <w:r w:rsidRPr="004E68B8">
        <w:rPr>
          <w:rFonts w:hint="eastAsia"/>
        </w:rPr>
        <w:t>千元，1</w:t>
      </w:r>
      <w:r w:rsidRPr="004E68B8">
        <w:t>12</w:t>
      </w:r>
      <w:r w:rsidRPr="004E68B8">
        <w:rPr>
          <w:rFonts w:hint="eastAsia"/>
        </w:rPr>
        <w:t>年度雖略降至</w:t>
      </w:r>
      <w:r w:rsidRPr="004E68B8">
        <w:t>35</w:t>
      </w:r>
      <w:r w:rsidRPr="004E68B8">
        <w:rPr>
          <w:rFonts w:hint="eastAsia"/>
        </w:rPr>
        <w:t>億</w:t>
      </w:r>
      <w:r w:rsidRPr="004E68B8">
        <w:t>3,041</w:t>
      </w:r>
      <w:r w:rsidRPr="004E68B8">
        <w:rPr>
          <w:rFonts w:hint="eastAsia"/>
        </w:rPr>
        <w:t>萬</w:t>
      </w:r>
      <w:r w:rsidRPr="004E68B8">
        <w:t>5</w:t>
      </w:r>
      <w:r w:rsidRPr="004E68B8">
        <w:rPr>
          <w:rFonts w:hint="eastAsia"/>
        </w:rPr>
        <w:t>千元，然其中除103年度外，其餘各年度保留金額均逾20億元；另檢視該期間營改基金各業務計畫預算之保留比率介於9.</w:t>
      </w:r>
      <w:r w:rsidRPr="004E68B8">
        <w:t>41</w:t>
      </w:r>
      <w:r w:rsidRPr="004E68B8">
        <w:rPr>
          <w:rFonts w:hint="eastAsia"/>
        </w:rPr>
        <w:t>%至41.12%之間，且其中除103年度、1</w:t>
      </w:r>
      <w:r w:rsidRPr="004E68B8">
        <w:t>12</w:t>
      </w:r>
      <w:r w:rsidRPr="004E68B8">
        <w:rPr>
          <w:rFonts w:hint="eastAsia"/>
        </w:rPr>
        <w:t>年度外，各年度保留比率均逾</w:t>
      </w:r>
      <w:r w:rsidRPr="004E68B8">
        <w:t>2</w:t>
      </w:r>
      <w:r w:rsidRPr="004E68B8">
        <w:rPr>
          <w:rFonts w:hint="eastAsia"/>
        </w:rPr>
        <w:t>成以上，恐影響計畫推展。</w:t>
      </w:r>
    </w:p>
    <w:p w:rsidR="003C535E" w:rsidRPr="004A367C" w:rsidRDefault="003C535E" w:rsidP="003C535E">
      <w:pPr>
        <w:adjustRightInd w:val="0"/>
        <w:ind w:leftChars="-450" w:left="-1274" w:firstLineChars="0" w:firstLine="0"/>
        <w:rPr>
          <w:rFonts w:hAnsi="標楷體"/>
          <w:b/>
        </w:rPr>
      </w:pPr>
      <w:r w:rsidRPr="00396E45">
        <w:rPr>
          <w:rFonts w:hAnsi="標楷體" w:cs="標楷體" w:hint="eastAsia"/>
          <w:b/>
          <w:snapToGrid/>
        </w:rPr>
        <w:t>表</w:t>
      </w:r>
      <w:r w:rsidR="00AA4CA2">
        <w:rPr>
          <w:rFonts w:hAnsi="標楷體" w:cs="標楷體"/>
          <w:b/>
          <w:snapToGrid/>
        </w:rPr>
        <w:t>1</w:t>
      </w:r>
      <w:r w:rsidRPr="00396E45">
        <w:rPr>
          <w:rFonts w:hAnsi="標楷體" w:cs="標楷體"/>
          <w:b/>
          <w:snapToGrid/>
        </w:rPr>
        <w:t xml:space="preserve">  </w:t>
      </w:r>
      <w:r w:rsidRPr="004A367C">
        <w:rPr>
          <w:rFonts w:hAnsi="標楷體" w:hint="eastAsia"/>
          <w:b/>
        </w:rPr>
        <w:t>營改基金101至</w:t>
      </w:r>
      <w:r w:rsidRPr="004A367C">
        <w:rPr>
          <w:rFonts w:hAnsi="標楷體"/>
          <w:b/>
        </w:rPr>
        <w:t>11</w:t>
      </w:r>
      <w:r>
        <w:rPr>
          <w:rFonts w:hAnsi="標楷體"/>
          <w:b/>
        </w:rPr>
        <w:t>4</w:t>
      </w:r>
      <w:r w:rsidRPr="004A367C">
        <w:rPr>
          <w:rFonts w:hAnsi="標楷體" w:hint="eastAsia"/>
          <w:b/>
        </w:rPr>
        <w:t>年度主要業務計畫預算編列與執行情形概況表</w:t>
      </w:r>
    </w:p>
    <w:p w:rsidR="003C535E" w:rsidRPr="00396E45" w:rsidRDefault="003C535E" w:rsidP="003C535E">
      <w:pPr>
        <w:adjustRightInd w:val="0"/>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cs="標楷體" w:hint="eastAsia"/>
          <w:snapToGrid/>
          <w:sz w:val="24"/>
          <w:szCs w:val="24"/>
        </w:rPr>
        <w:t xml:space="preserve"> </w:t>
      </w:r>
      <w:r w:rsidRPr="00396E45">
        <w:rPr>
          <w:rFonts w:hAnsi="標楷體" w:hint="eastAsia"/>
          <w:snapToGrid/>
          <w:sz w:val="24"/>
          <w:szCs w:val="24"/>
        </w:rPr>
        <w:t>單位：新臺幣千元；%</w:t>
      </w:r>
    </w:p>
    <w:tbl>
      <w:tblPr>
        <w:tblW w:w="9801" w:type="dxa"/>
        <w:tblInd w:w="-1168" w:type="dxa"/>
        <w:tblLayout w:type="fixed"/>
        <w:tblLook w:val="0000" w:firstRow="0" w:lastRow="0" w:firstColumn="0" w:lastColumn="0" w:noHBand="0" w:noVBand="0"/>
      </w:tblPr>
      <w:tblGrid>
        <w:gridCol w:w="562"/>
        <w:gridCol w:w="1190"/>
        <w:gridCol w:w="1232"/>
        <w:gridCol w:w="1134"/>
        <w:gridCol w:w="1302"/>
        <w:gridCol w:w="1232"/>
        <w:gridCol w:w="755"/>
        <w:gridCol w:w="1204"/>
        <w:gridCol w:w="1190"/>
      </w:tblGrid>
      <w:tr w:rsidR="003C535E" w:rsidRPr="00396E45" w:rsidTr="00023215">
        <w:trPr>
          <w:tblHeader/>
        </w:trPr>
        <w:tc>
          <w:tcPr>
            <w:tcW w:w="562" w:type="dxa"/>
            <w:vMerge w:val="restart"/>
            <w:tcBorders>
              <w:top w:val="single" w:sz="12" w:space="0" w:color="auto"/>
              <w:left w:val="single" w:sz="12" w:space="0" w:color="auto"/>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年度</w:t>
            </w:r>
          </w:p>
        </w:tc>
        <w:tc>
          <w:tcPr>
            <w:tcW w:w="4858" w:type="dxa"/>
            <w:gridSpan w:val="4"/>
            <w:tcBorders>
              <w:top w:val="single" w:sz="12" w:space="0" w:color="auto"/>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可用預算數</w:t>
            </w:r>
          </w:p>
        </w:tc>
        <w:tc>
          <w:tcPr>
            <w:tcW w:w="1987" w:type="dxa"/>
            <w:gridSpan w:val="2"/>
            <w:tcBorders>
              <w:top w:val="single" w:sz="12" w:space="0" w:color="auto"/>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決算數(執行數)</w:t>
            </w:r>
          </w:p>
        </w:tc>
        <w:tc>
          <w:tcPr>
            <w:tcW w:w="2394" w:type="dxa"/>
            <w:gridSpan w:val="2"/>
            <w:tcBorders>
              <w:top w:val="single" w:sz="12" w:space="0" w:color="auto"/>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未支用預算數</w:t>
            </w:r>
          </w:p>
        </w:tc>
      </w:tr>
      <w:tr w:rsidR="003C535E" w:rsidRPr="00396E45" w:rsidTr="00023215">
        <w:trPr>
          <w:tblHeader/>
        </w:trPr>
        <w:tc>
          <w:tcPr>
            <w:tcW w:w="562" w:type="dxa"/>
            <w:vMerge/>
            <w:tcBorders>
              <w:top w:val="single" w:sz="12" w:space="0" w:color="000000"/>
              <w:left w:val="single" w:sz="12" w:space="0" w:color="auto"/>
              <w:bottom w:val="single" w:sz="6" w:space="0" w:color="000000"/>
            </w:tcBorders>
            <w:shd w:val="clear" w:color="auto" w:fill="auto"/>
            <w:vAlign w:val="center"/>
          </w:tcPr>
          <w:p w:rsidR="003C535E" w:rsidRPr="00396E45" w:rsidRDefault="003C535E" w:rsidP="00023215">
            <w:pPr>
              <w:suppressAutoHyphens/>
              <w:snapToGrid w:val="0"/>
              <w:spacing w:line="280" w:lineRule="exact"/>
              <w:ind w:leftChars="0" w:left="0" w:firstLineChars="0" w:firstLine="0"/>
              <w:jc w:val="center"/>
              <w:rPr>
                <w:rFonts w:hAnsi="標楷體"/>
                <w:b/>
                <w:snapToGrid/>
                <w:sz w:val="22"/>
                <w:szCs w:val="22"/>
              </w:rPr>
            </w:pP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以前年度保 留 數</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本年度</w:t>
            </w:r>
          </w:p>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預算數</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pacing w:val="-12"/>
                <w:sz w:val="20"/>
                <w:szCs w:val="20"/>
              </w:rPr>
              <w:t>本年度奉准先行辦理數</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合計(1)</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金額(2)</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477F0D" w:rsidRDefault="003C535E" w:rsidP="00023215">
            <w:pPr>
              <w:suppressAutoHyphens/>
              <w:spacing w:line="220" w:lineRule="exact"/>
              <w:ind w:leftChars="0" w:left="0" w:firstLineChars="0" w:firstLine="0"/>
              <w:jc w:val="center"/>
              <w:rPr>
                <w:rFonts w:ascii="Times New Roman" w:eastAsia="新細明體"/>
                <w:snapToGrid/>
                <w:spacing w:val="-6"/>
                <w:kern w:val="0"/>
                <w:sz w:val="18"/>
                <w:szCs w:val="18"/>
              </w:rPr>
            </w:pPr>
            <w:r w:rsidRPr="00477F0D">
              <w:rPr>
                <w:rFonts w:hAnsi="標楷體" w:hint="eastAsia"/>
                <w:b/>
                <w:snapToGrid/>
                <w:spacing w:val="-6"/>
                <w:sz w:val="18"/>
                <w:szCs w:val="18"/>
              </w:rPr>
              <w:t>執行率</w:t>
            </w:r>
            <w:r w:rsidRPr="00477F0D">
              <w:rPr>
                <w:rFonts w:hAnsi="標楷體" w:hint="eastAsia"/>
                <w:b/>
                <w:snapToGrid/>
                <w:spacing w:val="-6"/>
                <w:sz w:val="16"/>
                <w:szCs w:val="16"/>
              </w:rPr>
              <w:t>(2)/(1)</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本年度</w:t>
            </w:r>
          </w:p>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保留數</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賸餘數</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snapToGrid/>
                <w:sz w:val="22"/>
                <w:szCs w:val="22"/>
              </w:rPr>
              <w:t>101</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6,747,031</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5,459,850</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0</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12,206,881</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6,686,567</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54.78</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4,975,737</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544,577</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snapToGrid/>
                <w:sz w:val="22"/>
                <w:szCs w:val="22"/>
              </w:rPr>
              <w:t>102</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4,975,737</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6,626,470</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0</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11,602,207</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6,099,649</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52.57</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3,519,913</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1,982,645</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snapToGrid/>
                <w:sz w:val="22"/>
                <w:szCs w:val="22"/>
              </w:rPr>
              <w:t>103</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3,519,973</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3,948,266</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B6296D" w:rsidRDefault="003C535E" w:rsidP="00023215">
            <w:pPr>
              <w:suppressAutoHyphens/>
              <w:spacing w:line="280" w:lineRule="exact"/>
              <w:ind w:leftChars="0" w:left="0" w:firstLineChars="0" w:firstLine="0"/>
              <w:jc w:val="right"/>
              <w:rPr>
                <w:rFonts w:ascii="Times New Roman" w:eastAsia="新細明體"/>
                <w:snapToGrid/>
                <w:spacing w:val="-5"/>
                <w:kern w:val="0"/>
                <w:sz w:val="20"/>
                <w:szCs w:val="20"/>
              </w:rPr>
            </w:pPr>
            <w:r w:rsidRPr="00B6296D">
              <w:rPr>
                <w:rFonts w:hAnsi="標楷體" w:hint="eastAsia"/>
                <w:snapToGrid/>
                <w:color w:val="000000"/>
                <w:spacing w:val="-5"/>
                <w:kern w:val="0"/>
                <w:sz w:val="20"/>
                <w:szCs w:val="20"/>
              </w:rPr>
              <w:t>1,230,992</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8,699,231</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6,619,650</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76.09</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1,731,132</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348,449</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snapToGrid/>
                <w:sz w:val="22"/>
                <w:szCs w:val="22"/>
              </w:rPr>
              <w:t>104</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1,731,132</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4,064,068</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0</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5,795,200</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3,269,177</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56.41</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2,281,814</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244,209</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snapToGrid/>
                <w:sz w:val="22"/>
                <w:szCs w:val="22"/>
              </w:rPr>
              <w:t>105</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2,281,814</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4,814,869</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403,202</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7,499,885</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4,595,997</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61.28</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2,806,982</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96,906</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snapToGrid/>
                <w:sz w:val="22"/>
                <w:szCs w:val="22"/>
              </w:rPr>
              <w:t>106</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2,806,982</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4,683,976</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0</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7,490,958</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4,257,863</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56.84</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2,878,891</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354,203</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cs="標楷體" w:hint="eastAsia"/>
                <w:snapToGrid/>
                <w:sz w:val="22"/>
                <w:szCs w:val="22"/>
              </w:rPr>
              <w:t>107</w:t>
            </w:r>
          </w:p>
        </w:tc>
        <w:tc>
          <w:tcPr>
            <w:tcW w:w="1190" w:type="dxa"/>
            <w:tcBorders>
              <w:top w:val="single" w:sz="6" w:space="0" w:color="000000"/>
              <w:left w:val="single" w:sz="6" w:space="0" w:color="000000"/>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2,878,891</w:t>
            </w:r>
          </w:p>
        </w:tc>
        <w:tc>
          <w:tcPr>
            <w:tcW w:w="1232" w:type="dxa"/>
            <w:tcBorders>
              <w:top w:val="single" w:sz="6" w:space="0" w:color="000000"/>
              <w:left w:val="single" w:sz="6" w:space="0" w:color="000000"/>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5,617,689</w:t>
            </w:r>
          </w:p>
        </w:tc>
        <w:tc>
          <w:tcPr>
            <w:tcW w:w="1134" w:type="dxa"/>
            <w:tcBorders>
              <w:top w:val="single" w:sz="6" w:space="0" w:color="000000"/>
              <w:left w:val="single" w:sz="6" w:space="0" w:color="000000"/>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snapToGrid/>
                <w:color w:val="000000"/>
                <w:spacing w:val="-5"/>
                <w:kern w:val="0"/>
                <w:sz w:val="22"/>
                <w:szCs w:val="22"/>
              </w:rPr>
              <w:t>0</w:t>
            </w:r>
          </w:p>
        </w:tc>
        <w:tc>
          <w:tcPr>
            <w:tcW w:w="1302" w:type="dxa"/>
            <w:tcBorders>
              <w:top w:val="single" w:sz="6" w:space="0" w:color="000000"/>
              <w:left w:val="single" w:sz="6" w:space="0" w:color="000000"/>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8,496,580</w:t>
            </w:r>
          </w:p>
        </w:tc>
        <w:tc>
          <w:tcPr>
            <w:tcW w:w="1232" w:type="dxa"/>
            <w:tcBorders>
              <w:top w:val="single" w:sz="6" w:space="0" w:color="000000"/>
              <w:left w:val="single" w:sz="6" w:space="0" w:color="000000"/>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3,856,282</w:t>
            </w:r>
          </w:p>
        </w:tc>
        <w:tc>
          <w:tcPr>
            <w:tcW w:w="755" w:type="dxa"/>
            <w:tcBorders>
              <w:top w:val="single" w:sz="6" w:space="0" w:color="000000"/>
              <w:left w:val="single" w:sz="6" w:space="0" w:color="000000"/>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45.39</w:t>
            </w:r>
          </w:p>
        </w:tc>
        <w:tc>
          <w:tcPr>
            <w:tcW w:w="1204" w:type="dxa"/>
            <w:tcBorders>
              <w:top w:val="single" w:sz="6" w:space="0" w:color="000000"/>
              <w:left w:val="single" w:sz="6" w:space="0" w:color="000000"/>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 xml:space="preserve">3,493,988 </w:t>
            </w:r>
          </w:p>
        </w:tc>
        <w:tc>
          <w:tcPr>
            <w:tcW w:w="1190" w:type="dxa"/>
            <w:tcBorders>
              <w:top w:val="single" w:sz="6" w:space="0" w:color="000000"/>
              <w:left w:val="single" w:sz="6" w:space="0" w:color="000000"/>
              <w:bottom w:val="single" w:sz="6" w:space="0" w:color="000000"/>
              <w:right w:val="single" w:sz="12" w:space="0" w:color="auto"/>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 xml:space="preserve">1,146,310 </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cs="標楷體" w:hint="eastAsia"/>
                <w:snapToGrid/>
                <w:sz w:val="22"/>
                <w:szCs w:val="22"/>
              </w:rPr>
              <w:t>108</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3,493,988</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7,049,748</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0</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10,543,736</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6,798,392</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64.48</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3,351,007</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394,336</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cs="標楷體" w:hint="eastAsia"/>
                <w:snapToGrid/>
                <w:sz w:val="22"/>
                <w:szCs w:val="22"/>
              </w:rPr>
              <w:lastRenderedPageBreak/>
              <w:t>109</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3,351,007</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8,529,787</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0</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11,880,794</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8,642,902</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72.75</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3,208,281</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29,611</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8A6681"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8A6681">
              <w:rPr>
                <w:rFonts w:hAnsi="標楷體" w:cs="標楷體" w:hint="eastAsia"/>
                <w:snapToGrid/>
                <w:sz w:val="22"/>
                <w:szCs w:val="22"/>
              </w:rPr>
              <w:t>1</w:t>
            </w:r>
            <w:r w:rsidRPr="008A6681">
              <w:rPr>
                <w:rFonts w:hAnsi="標楷體" w:cs="標楷體"/>
                <w:snapToGrid/>
                <w:sz w:val="22"/>
                <w:szCs w:val="22"/>
              </w:rPr>
              <w:t>10</w:t>
            </w:r>
          </w:p>
        </w:tc>
        <w:tc>
          <w:tcPr>
            <w:tcW w:w="1190" w:type="dxa"/>
            <w:tcBorders>
              <w:left w:val="single" w:sz="6" w:space="0" w:color="000000"/>
              <w:bottom w:val="single" w:sz="4" w:space="0" w:color="000000"/>
            </w:tcBorders>
            <w:shd w:val="clear" w:color="auto" w:fill="auto"/>
            <w:vAlign w:val="center"/>
          </w:tcPr>
          <w:p w:rsidR="003C535E" w:rsidRPr="00396E45" w:rsidRDefault="003C535E" w:rsidP="00023215">
            <w:pPr>
              <w:widowControl/>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0"/>
              </w:rPr>
              <w:t>3,208,281</w:t>
            </w:r>
          </w:p>
        </w:tc>
        <w:tc>
          <w:tcPr>
            <w:tcW w:w="1232" w:type="dxa"/>
            <w:tcBorders>
              <w:left w:val="single" w:sz="4" w:space="0" w:color="000000"/>
              <w:bottom w:val="single" w:sz="4" w:space="0" w:color="000000"/>
            </w:tcBorders>
            <w:shd w:val="clear" w:color="auto" w:fill="auto"/>
            <w:vAlign w:val="center"/>
          </w:tcPr>
          <w:p w:rsidR="003C535E" w:rsidRPr="00396E45" w:rsidRDefault="003C535E" w:rsidP="00023215">
            <w:pPr>
              <w:widowControl/>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0"/>
                <w:szCs w:val="20"/>
              </w:rPr>
              <w:t>1</w:t>
            </w:r>
            <w:r w:rsidRPr="00396E45">
              <w:rPr>
                <w:rFonts w:hAnsi="標楷體"/>
                <w:snapToGrid/>
                <w:color w:val="000000"/>
                <w:spacing w:val="-5"/>
                <w:kern w:val="0"/>
                <w:sz w:val="20"/>
                <w:szCs w:val="20"/>
              </w:rPr>
              <w:t>2,996,289</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spacing w:val="-5"/>
                <w:kern w:val="0"/>
                <w:sz w:val="22"/>
                <w:szCs w:val="22"/>
              </w:rPr>
              <w:t>56</w:t>
            </w:r>
            <w:r w:rsidRPr="00396E45">
              <w:rPr>
                <w:rFonts w:hAnsi="標楷體"/>
                <w:snapToGrid/>
                <w:spacing w:val="-5"/>
                <w:kern w:val="0"/>
                <w:sz w:val="22"/>
                <w:szCs w:val="22"/>
              </w:rPr>
              <w:t>0,249</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spacing w:val="-5"/>
                <w:kern w:val="0"/>
                <w:sz w:val="22"/>
                <w:szCs w:val="22"/>
              </w:rPr>
              <w:t>16,764,819</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spacing w:val="-5"/>
                <w:kern w:val="0"/>
                <w:sz w:val="20"/>
                <w:szCs w:val="20"/>
              </w:rPr>
              <w:t>11</w:t>
            </w:r>
            <w:r w:rsidRPr="00396E45">
              <w:rPr>
                <w:rFonts w:hAnsi="標楷體"/>
                <w:snapToGrid/>
                <w:spacing w:val="-5"/>
                <w:kern w:val="0"/>
                <w:sz w:val="20"/>
                <w:szCs w:val="20"/>
              </w:rPr>
              <w:t>,</w:t>
            </w:r>
            <w:r w:rsidRPr="00396E45">
              <w:rPr>
                <w:rFonts w:hAnsi="標楷體" w:hint="eastAsia"/>
                <w:snapToGrid/>
                <w:spacing w:val="-5"/>
                <w:kern w:val="0"/>
                <w:sz w:val="20"/>
                <w:szCs w:val="20"/>
              </w:rPr>
              <w:t>539</w:t>
            </w:r>
            <w:r w:rsidRPr="00396E45">
              <w:rPr>
                <w:rFonts w:hAnsi="標楷體"/>
                <w:snapToGrid/>
                <w:spacing w:val="-5"/>
                <w:kern w:val="0"/>
                <w:sz w:val="20"/>
                <w:szCs w:val="20"/>
              </w:rPr>
              <w:t>,</w:t>
            </w:r>
            <w:r w:rsidRPr="00396E45">
              <w:rPr>
                <w:rFonts w:hAnsi="標楷體" w:hint="eastAsia"/>
                <w:snapToGrid/>
                <w:spacing w:val="-5"/>
                <w:kern w:val="0"/>
                <w:sz w:val="20"/>
                <w:szCs w:val="20"/>
              </w:rPr>
              <w:t>62</w:t>
            </w:r>
            <w:r w:rsidRPr="00396E45">
              <w:rPr>
                <w:rFonts w:hAnsi="標楷體"/>
                <w:snapToGrid/>
                <w:spacing w:val="-5"/>
                <w:kern w:val="0"/>
                <w:sz w:val="20"/>
                <w:szCs w:val="20"/>
              </w:rPr>
              <w:t>3</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spacing w:val="-5"/>
                <w:kern w:val="0"/>
                <w:sz w:val="22"/>
                <w:szCs w:val="22"/>
              </w:rPr>
              <w:t>68.83</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spacing w:val="-5"/>
                <w:kern w:val="0"/>
                <w:sz w:val="22"/>
                <w:szCs w:val="22"/>
              </w:rPr>
              <w:t>5</w:t>
            </w:r>
            <w:r w:rsidRPr="00396E45">
              <w:rPr>
                <w:rFonts w:hAnsi="標楷體"/>
                <w:snapToGrid/>
                <w:spacing w:val="-5"/>
                <w:kern w:val="0"/>
                <w:sz w:val="22"/>
                <w:szCs w:val="22"/>
              </w:rPr>
              <w:t>,197,709</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spacing w:val="-5"/>
                <w:kern w:val="0"/>
                <w:sz w:val="22"/>
                <w:szCs w:val="22"/>
              </w:rPr>
              <w:t>27</w:t>
            </w:r>
            <w:r w:rsidRPr="00396E45">
              <w:rPr>
                <w:rFonts w:hAnsi="標楷體"/>
                <w:snapToGrid/>
                <w:spacing w:val="-5"/>
                <w:kern w:val="0"/>
                <w:sz w:val="22"/>
                <w:szCs w:val="22"/>
              </w:rPr>
              <w:t>,</w:t>
            </w:r>
            <w:r w:rsidRPr="00396E45">
              <w:rPr>
                <w:rFonts w:hAnsi="標楷體" w:hint="eastAsia"/>
                <w:snapToGrid/>
                <w:spacing w:val="-5"/>
                <w:kern w:val="0"/>
                <w:sz w:val="22"/>
                <w:szCs w:val="22"/>
              </w:rPr>
              <w:t>48</w:t>
            </w:r>
            <w:r w:rsidRPr="00396E45">
              <w:rPr>
                <w:rFonts w:hAnsi="標楷體"/>
                <w:snapToGrid/>
                <w:spacing w:val="-5"/>
                <w:kern w:val="0"/>
                <w:sz w:val="22"/>
                <w:szCs w:val="22"/>
              </w:rPr>
              <w:t>7</w:t>
            </w:r>
          </w:p>
        </w:tc>
      </w:tr>
      <w:tr w:rsidR="003C535E" w:rsidRPr="00396E45" w:rsidTr="00023215">
        <w:tc>
          <w:tcPr>
            <w:tcW w:w="562" w:type="dxa"/>
            <w:tcBorders>
              <w:top w:val="single" w:sz="6" w:space="0" w:color="000000"/>
              <w:left w:val="single" w:sz="12" w:space="0" w:color="auto"/>
              <w:bottom w:val="single" w:sz="6" w:space="0" w:color="000000"/>
              <w:right w:val="nil"/>
            </w:tcBorders>
          </w:tcPr>
          <w:p w:rsidR="003C535E" w:rsidRPr="00574576" w:rsidRDefault="003C535E" w:rsidP="00023215">
            <w:pPr>
              <w:pStyle w:val="142"/>
              <w:jc w:val="center"/>
              <w:rPr>
                <w:snapToGrid/>
                <w:sz w:val="22"/>
                <w:szCs w:val="22"/>
              </w:rPr>
            </w:pPr>
            <w:r w:rsidRPr="00574576">
              <w:rPr>
                <w:rFonts w:hint="eastAsia"/>
                <w:sz w:val="22"/>
                <w:szCs w:val="22"/>
              </w:rPr>
              <w:t>111</w:t>
            </w:r>
          </w:p>
        </w:tc>
        <w:tc>
          <w:tcPr>
            <w:tcW w:w="1190" w:type="dxa"/>
            <w:tcBorders>
              <w:top w:val="single" w:sz="4" w:space="0" w:color="000000"/>
              <w:left w:val="single" w:sz="6" w:space="0" w:color="000000"/>
              <w:bottom w:val="single" w:sz="6" w:space="0" w:color="auto"/>
              <w:right w:val="single" w:sz="6" w:space="0" w:color="auto"/>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5,197,709</w:t>
            </w:r>
          </w:p>
        </w:tc>
        <w:tc>
          <w:tcPr>
            <w:tcW w:w="1232" w:type="dxa"/>
            <w:tcBorders>
              <w:top w:val="single" w:sz="4" w:space="0" w:color="000000"/>
              <w:left w:val="single" w:sz="6" w:space="0" w:color="auto"/>
              <w:bottom w:val="single" w:sz="6" w:space="0" w:color="auto"/>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18,468,089</w:t>
            </w:r>
          </w:p>
        </w:tc>
        <w:tc>
          <w:tcPr>
            <w:tcW w:w="1134"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212,671</w:t>
            </w:r>
          </w:p>
        </w:tc>
        <w:tc>
          <w:tcPr>
            <w:tcW w:w="1302"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23,878,469</w:t>
            </w:r>
          </w:p>
        </w:tc>
        <w:tc>
          <w:tcPr>
            <w:tcW w:w="1232"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18,280,660</w:t>
            </w:r>
          </w:p>
        </w:tc>
        <w:tc>
          <w:tcPr>
            <w:tcW w:w="755"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pStyle w:val="142"/>
              <w:jc w:val="right"/>
              <w:rPr>
                <w:rFonts w:hint="eastAsia"/>
                <w:sz w:val="20"/>
                <w:szCs w:val="20"/>
              </w:rPr>
            </w:pPr>
            <w:r w:rsidRPr="00574576">
              <w:rPr>
                <w:rFonts w:hint="eastAsia"/>
                <w:sz w:val="20"/>
                <w:szCs w:val="20"/>
              </w:rPr>
              <w:t>76.56</w:t>
            </w:r>
          </w:p>
        </w:tc>
        <w:tc>
          <w:tcPr>
            <w:tcW w:w="1204"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5,518,586</w:t>
            </w:r>
          </w:p>
        </w:tc>
        <w:tc>
          <w:tcPr>
            <w:tcW w:w="1190" w:type="dxa"/>
            <w:tcBorders>
              <w:top w:val="single" w:sz="6" w:space="0" w:color="000000"/>
              <w:left w:val="single" w:sz="6" w:space="0" w:color="000000"/>
              <w:bottom w:val="single" w:sz="6" w:space="0" w:color="000000"/>
              <w:right w:val="single" w:sz="12" w:space="0" w:color="auto"/>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79,223</w:t>
            </w:r>
          </w:p>
        </w:tc>
      </w:tr>
      <w:tr w:rsidR="003C535E" w:rsidRPr="00396E45" w:rsidTr="00023215">
        <w:tc>
          <w:tcPr>
            <w:tcW w:w="562" w:type="dxa"/>
            <w:tcBorders>
              <w:top w:val="single" w:sz="6" w:space="0" w:color="000000"/>
              <w:left w:val="single" w:sz="12" w:space="0" w:color="auto"/>
              <w:bottom w:val="single" w:sz="6" w:space="0" w:color="000000"/>
              <w:right w:val="nil"/>
            </w:tcBorders>
          </w:tcPr>
          <w:p w:rsidR="003C535E" w:rsidRPr="00574576" w:rsidRDefault="003C535E" w:rsidP="00023215">
            <w:pPr>
              <w:pStyle w:val="142"/>
              <w:jc w:val="center"/>
              <w:rPr>
                <w:rFonts w:hint="eastAsia"/>
                <w:sz w:val="22"/>
                <w:szCs w:val="22"/>
              </w:rPr>
            </w:pPr>
            <w:r w:rsidRPr="00574576">
              <w:rPr>
                <w:rFonts w:hint="eastAsia"/>
                <w:sz w:val="22"/>
                <w:szCs w:val="22"/>
              </w:rPr>
              <w:t>112</w:t>
            </w:r>
          </w:p>
        </w:tc>
        <w:tc>
          <w:tcPr>
            <w:tcW w:w="1190" w:type="dxa"/>
            <w:tcBorders>
              <w:top w:val="single" w:sz="6" w:space="0" w:color="auto"/>
              <w:left w:val="single" w:sz="6" w:space="0" w:color="000000"/>
              <w:bottom w:val="single" w:sz="6" w:space="0" w:color="auto"/>
              <w:right w:val="single" w:sz="6" w:space="0" w:color="auto"/>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5,518,586</w:t>
            </w:r>
          </w:p>
        </w:tc>
        <w:tc>
          <w:tcPr>
            <w:tcW w:w="1232" w:type="dxa"/>
            <w:tcBorders>
              <w:top w:val="single" w:sz="6" w:space="0" w:color="auto"/>
              <w:left w:val="single" w:sz="6" w:space="0" w:color="auto"/>
              <w:bottom w:val="single" w:sz="6" w:space="0" w:color="auto"/>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22,937,566</w:t>
            </w:r>
          </w:p>
        </w:tc>
        <w:tc>
          <w:tcPr>
            <w:tcW w:w="1134"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pStyle w:val="142"/>
              <w:jc w:val="right"/>
              <w:rPr>
                <w:rFonts w:hint="eastAsia"/>
                <w:sz w:val="20"/>
                <w:szCs w:val="20"/>
              </w:rPr>
            </w:pPr>
            <w:r w:rsidRPr="00574576">
              <w:rPr>
                <w:rFonts w:hint="eastAsia"/>
                <w:sz w:val="20"/>
                <w:szCs w:val="20"/>
              </w:rPr>
              <w:t>9,080,000</w:t>
            </w:r>
          </w:p>
        </w:tc>
        <w:tc>
          <w:tcPr>
            <w:tcW w:w="1302"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37,536,152</w:t>
            </w:r>
          </w:p>
        </w:tc>
        <w:tc>
          <w:tcPr>
            <w:tcW w:w="1232"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33,943,838</w:t>
            </w:r>
          </w:p>
        </w:tc>
        <w:tc>
          <w:tcPr>
            <w:tcW w:w="755"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pStyle w:val="142"/>
              <w:jc w:val="right"/>
              <w:rPr>
                <w:rFonts w:hint="eastAsia"/>
                <w:sz w:val="20"/>
                <w:szCs w:val="20"/>
              </w:rPr>
            </w:pPr>
            <w:r w:rsidRPr="00574576">
              <w:rPr>
                <w:rFonts w:hint="eastAsia"/>
                <w:sz w:val="20"/>
                <w:szCs w:val="20"/>
              </w:rPr>
              <w:t>90.43</w:t>
            </w:r>
          </w:p>
        </w:tc>
        <w:tc>
          <w:tcPr>
            <w:tcW w:w="1204"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3,530,415</w:t>
            </w:r>
          </w:p>
        </w:tc>
        <w:tc>
          <w:tcPr>
            <w:tcW w:w="1190" w:type="dxa"/>
            <w:tcBorders>
              <w:top w:val="single" w:sz="6" w:space="0" w:color="000000"/>
              <w:left w:val="single" w:sz="6" w:space="0" w:color="000000"/>
              <w:bottom w:val="single" w:sz="6" w:space="0" w:color="000000"/>
              <w:right w:val="single" w:sz="12" w:space="0" w:color="auto"/>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61,899</w:t>
            </w:r>
          </w:p>
        </w:tc>
      </w:tr>
      <w:tr w:rsidR="003C535E" w:rsidRPr="00396E45" w:rsidTr="00023215">
        <w:tc>
          <w:tcPr>
            <w:tcW w:w="562" w:type="dxa"/>
            <w:tcBorders>
              <w:top w:val="single" w:sz="6" w:space="0" w:color="000000"/>
              <w:left w:val="single" w:sz="12" w:space="0" w:color="auto"/>
              <w:bottom w:val="single" w:sz="6" w:space="0" w:color="000000"/>
              <w:right w:val="nil"/>
            </w:tcBorders>
          </w:tcPr>
          <w:p w:rsidR="003C535E" w:rsidRPr="00574576" w:rsidRDefault="003C535E" w:rsidP="00023215">
            <w:pPr>
              <w:pStyle w:val="142"/>
              <w:jc w:val="center"/>
              <w:rPr>
                <w:rFonts w:hint="eastAsia"/>
                <w:sz w:val="22"/>
                <w:szCs w:val="22"/>
              </w:rPr>
            </w:pPr>
            <w:r w:rsidRPr="00574576">
              <w:rPr>
                <w:rFonts w:hint="eastAsia"/>
                <w:sz w:val="22"/>
                <w:szCs w:val="22"/>
              </w:rPr>
              <w:t>113</w:t>
            </w:r>
          </w:p>
        </w:tc>
        <w:tc>
          <w:tcPr>
            <w:tcW w:w="1190" w:type="dxa"/>
            <w:tcBorders>
              <w:top w:val="single" w:sz="6" w:space="0" w:color="auto"/>
              <w:left w:val="single" w:sz="6" w:space="0" w:color="000000"/>
              <w:bottom w:val="single" w:sz="6" w:space="0" w:color="auto"/>
              <w:right w:val="single" w:sz="6" w:space="0" w:color="auto"/>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3,530,415</w:t>
            </w:r>
          </w:p>
        </w:tc>
        <w:tc>
          <w:tcPr>
            <w:tcW w:w="1232" w:type="dxa"/>
            <w:tcBorders>
              <w:top w:val="single" w:sz="6" w:space="0" w:color="auto"/>
              <w:left w:val="single" w:sz="6" w:space="0" w:color="auto"/>
              <w:bottom w:val="single" w:sz="6" w:space="0" w:color="auto"/>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32,448,261</w:t>
            </w:r>
          </w:p>
        </w:tc>
        <w:tc>
          <w:tcPr>
            <w:tcW w:w="1134"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0</w:t>
            </w:r>
          </w:p>
        </w:tc>
        <w:tc>
          <w:tcPr>
            <w:tcW w:w="1302"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35,978,712</w:t>
            </w:r>
          </w:p>
        </w:tc>
        <w:tc>
          <w:tcPr>
            <w:tcW w:w="1232"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20,379,938</w:t>
            </w:r>
          </w:p>
        </w:tc>
        <w:tc>
          <w:tcPr>
            <w:tcW w:w="755"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pStyle w:val="142"/>
              <w:jc w:val="right"/>
              <w:rPr>
                <w:rFonts w:hint="eastAsia"/>
                <w:sz w:val="20"/>
                <w:szCs w:val="20"/>
              </w:rPr>
            </w:pPr>
            <w:r w:rsidRPr="00574576">
              <w:rPr>
                <w:rFonts w:hint="eastAsia"/>
                <w:sz w:val="20"/>
                <w:szCs w:val="20"/>
              </w:rPr>
              <w:t>56.64</w:t>
            </w:r>
          </w:p>
        </w:tc>
        <w:tc>
          <w:tcPr>
            <w:tcW w:w="1204"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w:t>
            </w:r>
          </w:p>
        </w:tc>
        <w:tc>
          <w:tcPr>
            <w:tcW w:w="1190" w:type="dxa"/>
            <w:tcBorders>
              <w:top w:val="single" w:sz="6" w:space="0" w:color="000000"/>
              <w:left w:val="single" w:sz="6" w:space="0" w:color="000000"/>
              <w:bottom w:val="single" w:sz="6" w:space="0" w:color="000000"/>
              <w:right w:val="single" w:sz="12" w:space="0" w:color="auto"/>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w:t>
            </w:r>
          </w:p>
        </w:tc>
      </w:tr>
      <w:tr w:rsidR="003C535E" w:rsidRPr="00396E45" w:rsidTr="00023215">
        <w:tc>
          <w:tcPr>
            <w:tcW w:w="562" w:type="dxa"/>
            <w:tcBorders>
              <w:top w:val="single" w:sz="6" w:space="0" w:color="000000"/>
              <w:left w:val="single" w:sz="12" w:space="0" w:color="auto"/>
              <w:bottom w:val="single" w:sz="12" w:space="0" w:color="auto"/>
              <w:right w:val="nil"/>
            </w:tcBorders>
          </w:tcPr>
          <w:p w:rsidR="003C535E" w:rsidRPr="00574576" w:rsidRDefault="003C535E" w:rsidP="00023215">
            <w:pPr>
              <w:pStyle w:val="142"/>
              <w:jc w:val="center"/>
              <w:rPr>
                <w:rFonts w:hint="eastAsia"/>
                <w:sz w:val="22"/>
                <w:szCs w:val="22"/>
              </w:rPr>
            </w:pPr>
            <w:r w:rsidRPr="00574576">
              <w:rPr>
                <w:rFonts w:hint="eastAsia"/>
                <w:sz w:val="22"/>
                <w:szCs w:val="22"/>
              </w:rPr>
              <w:t>114</w:t>
            </w:r>
          </w:p>
        </w:tc>
        <w:tc>
          <w:tcPr>
            <w:tcW w:w="1190" w:type="dxa"/>
            <w:tcBorders>
              <w:top w:val="single" w:sz="6" w:space="0" w:color="auto"/>
              <w:left w:val="single" w:sz="6" w:space="0" w:color="000000"/>
              <w:bottom w:val="single" w:sz="12" w:space="0" w:color="auto"/>
              <w:right w:val="single" w:sz="6" w:space="0" w:color="auto"/>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w:t>
            </w:r>
          </w:p>
        </w:tc>
        <w:tc>
          <w:tcPr>
            <w:tcW w:w="1232" w:type="dxa"/>
            <w:tcBorders>
              <w:top w:val="single" w:sz="6" w:space="0" w:color="auto"/>
              <w:left w:val="single" w:sz="6" w:space="0" w:color="auto"/>
              <w:bottom w:val="single" w:sz="12" w:space="0" w:color="auto"/>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39,171,675</w:t>
            </w:r>
          </w:p>
        </w:tc>
        <w:tc>
          <w:tcPr>
            <w:tcW w:w="1134" w:type="dxa"/>
            <w:tcBorders>
              <w:top w:val="single" w:sz="6" w:space="0" w:color="000000"/>
              <w:left w:val="single" w:sz="6" w:space="0" w:color="000000"/>
              <w:bottom w:val="single" w:sz="12" w:space="0" w:color="auto"/>
              <w:right w:val="nil"/>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w:t>
            </w:r>
          </w:p>
        </w:tc>
        <w:tc>
          <w:tcPr>
            <w:tcW w:w="1302" w:type="dxa"/>
            <w:tcBorders>
              <w:top w:val="single" w:sz="6" w:space="0" w:color="000000"/>
              <w:left w:val="single" w:sz="6" w:space="0" w:color="000000"/>
              <w:bottom w:val="single" w:sz="12" w:space="0" w:color="auto"/>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39,171,675</w:t>
            </w:r>
          </w:p>
        </w:tc>
        <w:tc>
          <w:tcPr>
            <w:tcW w:w="1232" w:type="dxa"/>
            <w:tcBorders>
              <w:top w:val="single" w:sz="6" w:space="0" w:color="000000"/>
              <w:left w:val="single" w:sz="6" w:space="0" w:color="000000"/>
              <w:bottom w:val="single" w:sz="12" w:space="0" w:color="auto"/>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w:t>
            </w:r>
          </w:p>
        </w:tc>
        <w:tc>
          <w:tcPr>
            <w:tcW w:w="755" w:type="dxa"/>
            <w:tcBorders>
              <w:top w:val="single" w:sz="6" w:space="0" w:color="000000"/>
              <w:left w:val="single" w:sz="6" w:space="0" w:color="000000"/>
              <w:bottom w:val="single" w:sz="12" w:space="0" w:color="auto"/>
              <w:right w:val="nil"/>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w:t>
            </w:r>
          </w:p>
        </w:tc>
        <w:tc>
          <w:tcPr>
            <w:tcW w:w="1204" w:type="dxa"/>
            <w:tcBorders>
              <w:top w:val="single" w:sz="6" w:space="0" w:color="000000"/>
              <w:left w:val="single" w:sz="6" w:space="0" w:color="000000"/>
              <w:bottom w:val="single" w:sz="12" w:space="0" w:color="auto"/>
              <w:right w:val="nil"/>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w:t>
            </w:r>
          </w:p>
        </w:tc>
        <w:tc>
          <w:tcPr>
            <w:tcW w:w="1190" w:type="dxa"/>
            <w:tcBorders>
              <w:top w:val="single" w:sz="6" w:space="0" w:color="000000"/>
              <w:left w:val="single" w:sz="6" w:space="0" w:color="000000"/>
              <w:bottom w:val="single" w:sz="12" w:space="0" w:color="auto"/>
              <w:right w:val="single" w:sz="12" w:space="0" w:color="auto"/>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w:t>
            </w:r>
          </w:p>
        </w:tc>
      </w:tr>
    </w:tbl>
    <w:p w:rsidR="003C535E" w:rsidRPr="00396E45" w:rsidRDefault="003C535E" w:rsidP="003C535E">
      <w:pPr>
        <w:adjustRightInd w:val="0"/>
        <w:spacing w:line="300" w:lineRule="exact"/>
        <w:ind w:leftChars="-450" w:left="-58" w:hangingChars="500" w:hanging="1216"/>
        <w:rPr>
          <w:rFonts w:ascii="Times New Roman" w:eastAsia="新細明體"/>
          <w:snapToGrid/>
          <w:spacing w:val="-5"/>
          <w:kern w:val="0"/>
          <w:sz w:val="18"/>
          <w:szCs w:val="20"/>
        </w:rPr>
      </w:pPr>
      <w:r w:rsidRPr="00396E45">
        <w:rPr>
          <w:rFonts w:hAnsi="標楷體" w:hint="eastAsia"/>
          <w:snapToGrid/>
          <w:sz w:val="24"/>
          <w:szCs w:val="24"/>
        </w:rPr>
        <w:t>說　　明：</w:t>
      </w:r>
      <w:r w:rsidRPr="00F25CBD">
        <w:rPr>
          <w:rFonts w:hAnsi="標楷體" w:hint="eastAsia"/>
          <w:snapToGrid/>
          <w:sz w:val="24"/>
          <w:szCs w:val="24"/>
          <w:lang w:eastAsia="zh-HK"/>
        </w:rPr>
        <w:t>本表執行率=(年度決算數/可用預算合計數)；執行數不含保留數及賸餘(停止支用)數。本表不包括一般行政管理計畫。113年度之本期執行數為截至7月底。114年度為預算案數。</w:t>
      </w:r>
    </w:p>
    <w:p w:rsidR="003C535E" w:rsidRPr="00396E45" w:rsidRDefault="003C535E" w:rsidP="003C535E">
      <w:pPr>
        <w:adjustRightInd w:val="0"/>
        <w:spacing w:line="300" w:lineRule="exact"/>
        <w:ind w:leftChars="-450" w:left="-58" w:hangingChars="500" w:hanging="1216"/>
        <w:rPr>
          <w:rFonts w:ascii="Times New Roman" w:eastAsia="新細明體"/>
          <w:snapToGrid/>
          <w:spacing w:val="-5"/>
          <w:kern w:val="0"/>
          <w:sz w:val="18"/>
          <w:szCs w:val="20"/>
        </w:rPr>
      </w:pPr>
      <w:r w:rsidRPr="00396E45">
        <w:rPr>
          <w:rFonts w:hAnsi="標楷體" w:hint="eastAsia"/>
          <w:snapToGrid/>
          <w:sz w:val="24"/>
          <w:szCs w:val="24"/>
        </w:rPr>
        <w:t>資料來源：國軍營舍及設施改建基金提供。</w:t>
      </w:r>
    </w:p>
    <w:p w:rsidR="00BE56E0" w:rsidRPr="009D3951" w:rsidRDefault="00BE56E0" w:rsidP="00BE56E0">
      <w:pPr>
        <w:ind w:left="849" w:hangingChars="100" w:hanging="283"/>
        <w:rPr>
          <w:rFonts w:hint="eastAsia"/>
          <w:b/>
        </w:rPr>
      </w:pPr>
      <w:r w:rsidRPr="009D3951">
        <w:rPr>
          <w:b/>
        </w:rPr>
        <w:t>(</w:t>
      </w:r>
      <w:r w:rsidRPr="009D3951">
        <w:rPr>
          <w:rFonts w:hint="eastAsia"/>
          <w:b/>
        </w:rPr>
        <w:t>三</w:t>
      </w:r>
      <w:r w:rsidRPr="009D3951">
        <w:rPr>
          <w:b/>
        </w:rPr>
        <w:t>)</w:t>
      </w:r>
      <w:r>
        <w:rPr>
          <w:rFonts w:hint="eastAsia"/>
          <w:b/>
        </w:rPr>
        <w:t>營改基金</w:t>
      </w:r>
      <w:r w:rsidRPr="009D3951">
        <w:rPr>
          <w:rFonts w:hint="eastAsia"/>
          <w:b/>
        </w:rPr>
        <w:t>已連續</w:t>
      </w:r>
      <w:r>
        <w:rPr>
          <w:b/>
        </w:rPr>
        <w:t>3</w:t>
      </w:r>
      <w:r w:rsidRPr="009D3951">
        <w:rPr>
          <w:rFonts w:hint="eastAsia"/>
          <w:b/>
        </w:rPr>
        <w:t>年補辦預算，案經行政院函請國防部督導該基金核實編列預算，以避免類此情事再度發生</w:t>
      </w:r>
    </w:p>
    <w:p w:rsidR="00BE56E0" w:rsidRPr="009D3951" w:rsidRDefault="00DE7527" w:rsidP="00BE56E0">
      <w:pPr>
        <w:adjustRightInd w:val="0"/>
        <w:ind w:leftChars="300" w:left="850" w:firstLine="566"/>
      </w:pPr>
      <w:r>
        <w:rPr>
          <w:rFonts w:hint="eastAsia"/>
        </w:rPr>
        <w:t>營改基金</w:t>
      </w:r>
      <w:r w:rsidR="00BE56E0" w:rsidRPr="009D3951">
        <w:rPr>
          <w:rFonts w:hint="eastAsia"/>
        </w:rPr>
        <w:t>110</w:t>
      </w:r>
      <w:r w:rsidR="00BE56E0">
        <w:rPr>
          <w:rFonts w:hint="eastAsia"/>
        </w:rPr>
        <w:t>、</w:t>
      </w:r>
      <w:r w:rsidR="00BE56E0" w:rsidRPr="009D3951">
        <w:rPr>
          <w:rFonts w:hint="eastAsia"/>
        </w:rPr>
        <w:t>111及</w:t>
      </w:r>
      <w:r w:rsidR="00BE56E0">
        <w:rPr>
          <w:rFonts w:hint="eastAsia"/>
        </w:rPr>
        <w:t>1</w:t>
      </w:r>
      <w:r w:rsidR="00BE56E0">
        <w:t>12</w:t>
      </w:r>
      <w:r w:rsidR="00BE56E0" w:rsidRPr="009D3951">
        <w:rPr>
          <w:rFonts w:hint="eastAsia"/>
        </w:rPr>
        <w:t>年度因部分</w:t>
      </w:r>
      <w:r w:rsidR="00BE56E0" w:rsidRPr="00D06B16">
        <w:rPr>
          <w:rFonts w:hint="eastAsia"/>
        </w:rPr>
        <w:t>主要業務計畫</w:t>
      </w:r>
      <w:r w:rsidR="00BE56E0" w:rsidRPr="009D3951">
        <w:rPr>
          <w:rFonts w:hint="eastAsia"/>
        </w:rPr>
        <w:t>之工程進度超前，致預算不足支應，須先行辦理並補辦預算，事前規劃仍欠周延，茲分述如下：</w:t>
      </w:r>
    </w:p>
    <w:p w:rsidR="00BE56E0" w:rsidRPr="009D3951" w:rsidRDefault="00BE56E0" w:rsidP="00BE56E0">
      <w:pPr>
        <w:ind w:leftChars="300" w:left="1133" w:hangingChars="100" w:hanging="283"/>
      </w:pPr>
      <w:r w:rsidRPr="009D3951">
        <w:rPr>
          <w:rFonts w:hint="eastAsia"/>
        </w:rPr>
        <w:t>1</w:t>
      </w:r>
      <w:r w:rsidRPr="009D3951">
        <w:t>.</w:t>
      </w:r>
      <w:r w:rsidRPr="009D3951">
        <w:rPr>
          <w:rFonts w:hint="eastAsia"/>
        </w:rPr>
        <w:t>工程及設施整建計畫110年度報經行政院核准先行辦理，並補辦112年度預算，金額計5億</w:t>
      </w:r>
      <w:r w:rsidRPr="009D3951">
        <w:t>6,024</w:t>
      </w:r>
      <w:r w:rsidRPr="009D3951">
        <w:rPr>
          <w:rFonts w:hint="eastAsia"/>
        </w:rPr>
        <w:t>萬9千元，主要係「JQ</w:t>
      </w:r>
      <w:r w:rsidRPr="009D3951">
        <w:rPr>
          <w:rFonts w:hint="eastAsia"/>
        </w:rPr>
        <w:lastRenderedPageBreak/>
        <w:t>專案」等10案工程</w:t>
      </w:r>
      <w:r w:rsidRPr="009D3951">
        <w:rPr>
          <w:vertAlign w:val="superscript"/>
        </w:rPr>
        <w:footnoteReference w:id="1"/>
      </w:r>
      <w:r w:rsidRPr="009D3951">
        <w:rPr>
          <w:rFonts w:hint="eastAsia"/>
        </w:rPr>
        <w:t>預算編列不足等因素所致；嗣行政院審查營改基金擬先行辦理之事由、必要性及急迫性，雖同意先行辦理，惟仍請國防部督促營改基金未來應妥適衡酌工程進度，核實編列預算，避免類此情事再度發生</w:t>
      </w:r>
      <w:r w:rsidRPr="009D3951">
        <w:rPr>
          <w:vertAlign w:val="superscript"/>
        </w:rPr>
        <w:footnoteReference w:id="2"/>
      </w:r>
      <w:r w:rsidRPr="009D3951">
        <w:rPr>
          <w:rFonts w:hint="eastAsia"/>
        </w:rPr>
        <w:t>。</w:t>
      </w:r>
    </w:p>
    <w:p w:rsidR="00BE56E0" w:rsidRPr="009D3951" w:rsidRDefault="00BE56E0" w:rsidP="00BE56E0">
      <w:pPr>
        <w:ind w:leftChars="300" w:left="1133" w:hangingChars="100" w:hanging="283"/>
      </w:pPr>
      <w:r w:rsidRPr="009D3951">
        <w:rPr>
          <w:rFonts w:hint="eastAsia"/>
        </w:rPr>
        <w:lastRenderedPageBreak/>
        <w:t>2</w:t>
      </w:r>
      <w:r w:rsidRPr="009D3951">
        <w:t>.</w:t>
      </w:r>
      <w:r w:rsidRPr="009D3951">
        <w:rPr>
          <w:rFonts w:hint="eastAsia"/>
        </w:rPr>
        <w:t>工程及設施整建計畫111年度報經行政院核准先行辦理，並補辦11</w:t>
      </w:r>
      <w:r w:rsidRPr="009D3951">
        <w:t>3</w:t>
      </w:r>
      <w:r w:rsidRPr="009D3951">
        <w:rPr>
          <w:rFonts w:hint="eastAsia"/>
        </w:rPr>
        <w:t>年度預算，金額計2億1,267萬1千元，主要係因東澳嶺等6處營區設施整建工程、駐美團辦公大樓整建工程及國軍軍事博物館新建工程等進度超前，預算編列不足等因素所致</w:t>
      </w:r>
      <w:r w:rsidR="00DE7527">
        <w:rPr>
          <w:rFonts w:hint="eastAsia"/>
        </w:rPr>
        <w:t>；</w:t>
      </w:r>
      <w:r w:rsidRPr="009D3951">
        <w:rPr>
          <w:rFonts w:hint="eastAsia"/>
        </w:rPr>
        <w:t>嗣行政院審查後雖同意先行辦理，惟考量工程及設施整建計畫已連續2年補辦預算，為避免營改基金過度運用此一預算執行彈性機制，造成年度預算作業程序流於形式，爰再次建請國防部督促營改基金未來應妥適衡酌工程進度，核實編列預算，避免類此情事再度發生</w:t>
      </w:r>
      <w:r w:rsidRPr="009D3951">
        <w:rPr>
          <w:vertAlign w:val="superscript"/>
        </w:rPr>
        <w:footnoteReference w:id="3"/>
      </w:r>
      <w:r w:rsidRPr="009D3951">
        <w:rPr>
          <w:rFonts w:hint="eastAsia"/>
        </w:rPr>
        <w:t>。</w:t>
      </w:r>
    </w:p>
    <w:p w:rsidR="00BE56E0" w:rsidRDefault="00BE56E0" w:rsidP="00BE56E0">
      <w:pPr>
        <w:ind w:leftChars="300" w:left="1133" w:hangingChars="100" w:hanging="283"/>
      </w:pPr>
      <w:r>
        <w:rPr>
          <w:rFonts w:hint="eastAsia"/>
        </w:rPr>
        <w:t>3</w:t>
      </w:r>
      <w:r>
        <w:t>.</w:t>
      </w:r>
      <w:r w:rsidRPr="00551144">
        <w:rPr>
          <w:rFonts w:hint="eastAsia"/>
        </w:rPr>
        <w:t>老舊營舍整建計畫</w:t>
      </w:r>
      <w:r w:rsidRPr="009D3951">
        <w:rPr>
          <w:rFonts w:hint="eastAsia"/>
        </w:rPr>
        <w:t>11</w:t>
      </w:r>
      <w:r>
        <w:t>2</w:t>
      </w:r>
      <w:r w:rsidRPr="009D3951">
        <w:rPr>
          <w:rFonts w:hint="eastAsia"/>
        </w:rPr>
        <w:t>年度報經行政院核准先行辦理，並補</w:t>
      </w:r>
      <w:r w:rsidRPr="009D3951">
        <w:rPr>
          <w:rFonts w:hint="eastAsia"/>
        </w:rPr>
        <w:lastRenderedPageBreak/>
        <w:t>辦11</w:t>
      </w:r>
      <w:r>
        <w:t>4</w:t>
      </w:r>
      <w:r w:rsidRPr="009D3951">
        <w:rPr>
          <w:rFonts w:hint="eastAsia"/>
        </w:rPr>
        <w:t>年度預算，金額計</w:t>
      </w:r>
      <w:r w:rsidRPr="00551144">
        <w:rPr>
          <w:rFonts w:hint="eastAsia"/>
        </w:rPr>
        <w:t>90億8,000萬元</w:t>
      </w:r>
      <w:r w:rsidRPr="009D3951">
        <w:rPr>
          <w:rFonts w:hint="eastAsia"/>
        </w:rPr>
        <w:t>，主要係因</w:t>
      </w:r>
      <w:r w:rsidRPr="00551144">
        <w:rPr>
          <w:rFonts w:hint="eastAsia"/>
        </w:rPr>
        <w:t>龍山營區新建工程等92案</w:t>
      </w:r>
      <w:r w:rsidRPr="009D3951">
        <w:rPr>
          <w:rFonts w:hint="eastAsia"/>
        </w:rPr>
        <w:t>進度超前，預算編列不足等因素所致</w:t>
      </w:r>
      <w:r w:rsidR="00DE7527">
        <w:rPr>
          <w:rFonts w:hint="eastAsia"/>
        </w:rPr>
        <w:t>；</w:t>
      </w:r>
      <w:r w:rsidRPr="009D3951">
        <w:rPr>
          <w:rFonts w:hint="eastAsia"/>
        </w:rPr>
        <w:t>嗣行政院審查後雖</w:t>
      </w:r>
      <w:r>
        <w:rPr>
          <w:rFonts w:hint="eastAsia"/>
        </w:rPr>
        <w:t>勉予</w:t>
      </w:r>
      <w:r w:rsidRPr="009D3951">
        <w:rPr>
          <w:rFonts w:hint="eastAsia"/>
        </w:rPr>
        <w:t>同意先行辦理，惟</w:t>
      </w:r>
      <w:r w:rsidRPr="00551144">
        <w:rPr>
          <w:rFonts w:hint="eastAsia"/>
        </w:rPr>
        <w:t>本案先行辦理金額龐鉅，顯未配合工程進度實際需要核實編列年度預算，嗣後應確實檢討改進，避免類此情形再發生</w:t>
      </w:r>
      <w:r w:rsidRPr="009D3951">
        <w:rPr>
          <w:vertAlign w:val="superscript"/>
        </w:rPr>
        <w:footnoteReference w:id="4"/>
      </w:r>
      <w:r w:rsidRPr="00551144">
        <w:rPr>
          <w:rFonts w:hint="eastAsia"/>
        </w:rPr>
        <w:t>。</w:t>
      </w:r>
    </w:p>
    <w:p w:rsidR="00BE56E0" w:rsidRPr="009D3951" w:rsidRDefault="00BE56E0" w:rsidP="00BE56E0">
      <w:pPr>
        <w:ind w:left="566" w:firstLine="566"/>
      </w:pPr>
      <w:r w:rsidRPr="009D3951">
        <w:rPr>
          <w:rFonts w:hint="eastAsia"/>
        </w:rPr>
        <w:t>綜上，國軍各項營舍整建計畫所涉經費龐鉅，允宜妥善規劃運用國家整體資源，並加強預算執行進度控管，以達計畫預期成效；惟</w:t>
      </w:r>
      <w:r w:rsidRPr="00EB1D84">
        <w:rPr>
          <w:rFonts w:hint="eastAsia"/>
        </w:rPr>
        <w:t>近年各主要業務計畫</w:t>
      </w:r>
      <w:r w:rsidRPr="009D3951">
        <w:rPr>
          <w:rFonts w:hint="eastAsia"/>
        </w:rPr>
        <w:t>預算</w:t>
      </w:r>
      <w:r w:rsidRPr="009D3951">
        <w:rPr>
          <w:rFonts w:hint="eastAsia"/>
          <w:lang w:eastAsia="zh-HK"/>
        </w:rPr>
        <w:t>執行</w:t>
      </w:r>
      <w:r w:rsidRPr="009D3951">
        <w:rPr>
          <w:rFonts w:hint="eastAsia"/>
        </w:rPr>
        <w:t>間有</w:t>
      </w:r>
      <w:r w:rsidR="00926B79">
        <w:rPr>
          <w:rFonts w:hint="eastAsia"/>
        </w:rPr>
        <w:t>預算執行率偏低及鉅額保留等</w:t>
      </w:r>
      <w:r w:rsidRPr="009D3951">
        <w:rPr>
          <w:rFonts w:hint="eastAsia"/>
          <w:lang w:eastAsia="zh-HK"/>
        </w:rPr>
        <w:t>未臻理想</w:t>
      </w:r>
      <w:r w:rsidRPr="009D3951">
        <w:rPr>
          <w:rFonts w:hint="eastAsia"/>
        </w:rPr>
        <w:t>情事，且已連續</w:t>
      </w:r>
      <w:r>
        <w:rPr>
          <w:rFonts w:hint="eastAsia"/>
        </w:rPr>
        <w:t>3</w:t>
      </w:r>
      <w:r w:rsidRPr="009D3951">
        <w:rPr>
          <w:rFonts w:hint="eastAsia"/>
        </w:rPr>
        <w:t>年(110</w:t>
      </w:r>
      <w:r>
        <w:rPr>
          <w:rFonts w:hint="eastAsia"/>
        </w:rPr>
        <w:t>至</w:t>
      </w:r>
      <w:r w:rsidRPr="009D3951">
        <w:rPr>
          <w:rFonts w:hint="eastAsia"/>
        </w:rPr>
        <w:t>11</w:t>
      </w:r>
      <w:r>
        <w:t>2</w:t>
      </w:r>
      <w:r w:rsidRPr="009D3951">
        <w:rPr>
          <w:rFonts w:hint="eastAsia"/>
        </w:rPr>
        <w:t>年度)因預算編列不足，須先行辦理並補辦預算，預算編列與計畫執行均有待加強，嗣營改基金仍宜妥為衡酌各計畫工程進度，審慎評估實際經費需求，並核實編列預算，俾增執行效益。</w:t>
      </w:r>
    </w:p>
    <w:bookmarkEnd w:id="7"/>
    <w:bookmarkEnd w:id="1"/>
    <w:bookmarkEnd w:id="2"/>
    <w:bookmarkEnd w:id="3"/>
    <w:bookmarkEnd w:id="4"/>
    <w:bookmarkEnd w:id="5"/>
    <w:bookmarkEnd w:id="6"/>
    <w:sectPr w:rsidR="00BE56E0" w:rsidRPr="009D3951" w:rsidSect="007F278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7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2BAA" w:rsidRDefault="00092BAA" w:rsidP="00B17480">
      <w:pPr>
        <w:spacing w:line="240" w:lineRule="auto"/>
        <w:ind w:left="560" w:firstLine="560"/>
      </w:pPr>
      <w:r>
        <w:separator/>
      </w:r>
    </w:p>
  </w:endnote>
  <w:endnote w:type="continuationSeparator" w:id="0">
    <w:p w:rsidR="00092BAA" w:rsidRDefault="00092BAA" w:rsidP="00B1748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678" w:rsidRDefault="005E3678">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46B2" w:rsidRDefault="000A46B2" w:rsidP="009B2194">
    <w:pPr>
      <w:pStyle w:val="af1"/>
      <w:ind w:leftChars="0" w:left="0" w:firstLineChars="0" w:firstLine="0"/>
      <w:jc w:val="center"/>
    </w:pPr>
    <w:r>
      <w:fldChar w:fldCharType="begin"/>
    </w:r>
    <w:r>
      <w:instrText>PAGE   \* MERGEFORMAT</w:instrText>
    </w:r>
    <w:r>
      <w:fldChar w:fldCharType="separate"/>
    </w:r>
    <w:r w:rsidR="005E3678" w:rsidRPr="005E3678">
      <w:rPr>
        <w:noProof/>
        <w:lang w:val="zh-TW"/>
      </w:rPr>
      <w:t>2</w:t>
    </w:r>
    <w:r>
      <w:fldChar w:fldCharType="end"/>
    </w:r>
  </w:p>
  <w:p w:rsidR="000A46B2" w:rsidRDefault="000A46B2" w:rsidP="009B2194">
    <w:pPr>
      <w:pStyle w:val="af1"/>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678" w:rsidRDefault="005E3678">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2BAA" w:rsidRDefault="00092BAA" w:rsidP="00B17480">
      <w:pPr>
        <w:spacing w:line="240" w:lineRule="auto"/>
        <w:ind w:left="560" w:firstLine="560"/>
      </w:pPr>
      <w:r>
        <w:separator/>
      </w:r>
    </w:p>
  </w:footnote>
  <w:footnote w:type="continuationSeparator" w:id="0">
    <w:p w:rsidR="00092BAA" w:rsidRDefault="00092BAA" w:rsidP="00B17480">
      <w:pPr>
        <w:spacing w:line="240" w:lineRule="auto"/>
        <w:ind w:left="560" w:firstLine="560"/>
      </w:pPr>
      <w:r>
        <w:continuationSeparator/>
      </w:r>
    </w:p>
  </w:footnote>
  <w:footnote w:id="1">
    <w:p w:rsidR="00BE56E0" w:rsidRPr="00D75382" w:rsidRDefault="00BE56E0" w:rsidP="00BE56E0">
      <w:pPr>
        <w:pStyle w:val="142"/>
        <w:ind w:left="78" w:hangingChars="32" w:hanging="78"/>
        <w:jc w:val="both"/>
        <w:rPr>
          <w:rFonts w:hint="eastAsia"/>
        </w:rPr>
      </w:pPr>
      <w:r>
        <w:rPr>
          <w:rStyle w:val="af8"/>
        </w:rPr>
        <w:footnoteRef/>
      </w:r>
      <w:r w:rsidRPr="00D75382">
        <w:rPr>
          <w:rFonts w:hint="eastAsia"/>
        </w:rPr>
        <w:t>包括JQ專案(先行辦理數2,000萬元，以下同)、航特部兩棲偵察營港勤設施工程(1億8,800萬元)、慧敏營區林口副供站設施新建工程(760萬9千元)、左營港東五~東七碼頭整建工程(8,399萬3千元)、東澳嶺等6處營區設施整建工程(4,567萬元)、列管營區衛生下水道銜接工程(179萬1千元)、駐美軍事代表團辦公大樓整建(5,486萬7千元)、國家軍事博物館新建工程(8,266萬8千元)、光華營區污水下水道新建工程(5,804萬1千元)、光華營區水房遷建工程(1,761萬元)等10案工程。據詢營改基金表示：「本案預算編列不足之原因，主要係考量工程及設施整建計畫近幾年執行率(106年度54.95%、107年度30.58%、108年度37.53%、109年度67.49%)</w:t>
      </w:r>
      <w:r>
        <w:rPr>
          <w:rFonts w:hint="eastAsia"/>
        </w:rPr>
        <w:t>欠</w:t>
      </w:r>
      <w:r w:rsidRPr="00D75382">
        <w:rPr>
          <w:rFonts w:hint="eastAsia"/>
        </w:rPr>
        <w:t>佳，爰</w:t>
      </w:r>
      <w:r>
        <w:rPr>
          <w:rFonts w:hint="eastAsia"/>
        </w:rPr>
        <w:t>1</w:t>
      </w:r>
      <w:r>
        <w:t>10</w:t>
      </w:r>
      <w:r>
        <w:rPr>
          <w:rFonts w:hint="eastAsia"/>
        </w:rPr>
        <w:t>年度</w:t>
      </w:r>
      <w:r w:rsidRPr="00D75382">
        <w:rPr>
          <w:rFonts w:hint="eastAsia"/>
        </w:rPr>
        <w:t>以保守估計需求數編列</w:t>
      </w:r>
      <w:r>
        <w:rPr>
          <w:rFonts w:hint="eastAsia"/>
        </w:rPr>
        <w:t>；</w:t>
      </w:r>
      <w:r w:rsidRPr="00D75382">
        <w:rPr>
          <w:rFonts w:hint="eastAsia"/>
        </w:rPr>
        <w:t>惟實際執行時，所編預算不足支付實際執行所需之委託技術服務費、營建工程等支出，故必須申請先行動支，並於112年度補辦預算。」</w:t>
      </w:r>
    </w:p>
  </w:footnote>
  <w:footnote w:id="2">
    <w:p w:rsidR="00BE56E0" w:rsidRPr="00407CA6" w:rsidRDefault="00BE56E0" w:rsidP="00BE56E0">
      <w:pPr>
        <w:pStyle w:val="142"/>
        <w:ind w:left="78" w:hangingChars="32" w:hanging="78"/>
        <w:jc w:val="both"/>
        <w:rPr>
          <w:rFonts w:hint="eastAsia"/>
        </w:rPr>
      </w:pPr>
      <w:r>
        <w:rPr>
          <w:rStyle w:val="af8"/>
        </w:rPr>
        <w:footnoteRef/>
      </w:r>
      <w:r w:rsidRPr="00407CA6">
        <w:rPr>
          <w:rFonts w:hint="eastAsia"/>
        </w:rPr>
        <w:t>行政院110年12月3日院授主基綜字第1100201699號函</w:t>
      </w:r>
      <w:r w:rsidR="003041FA">
        <w:rPr>
          <w:rFonts w:hint="eastAsia"/>
        </w:rPr>
        <w:t>略以，</w:t>
      </w:r>
      <w:r w:rsidRPr="00407CA6">
        <w:rPr>
          <w:rFonts w:hint="eastAsia"/>
        </w:rPr>
        <w:t>…110年度預算不足，請准先行辦理，並補辦112年度預算5.60億元一案，…。二、本案同意辦理，並請督促營改基金未來應妥適衡酌工程進度，核實編列預算，避免類此情事再度發生。</w:t>
      </w:r>
    </w:p>
  </w:footnote>
  <w:footnote w:id="3">
    <w:p w:rsidR="00BE56E0" w:rsidRPr="00B3126A" w:rsidRDefault="00BE56E0" w:rsidP="00BE56E0">
      <w:pPr>
        <w:pStyle w:val="142"/>
        <w:ind w:left="78" w:hangingChars="32" w:hanging="78"/>
        <w:jc w:val="both"/>
        <w:rPr>
          <w:rFonts w:hint="eastAsia"/>
        </w:rPr>
      </w:pPr>
      <w:r>
        <w:rPr>
          <w:rStyle w:val="af8"/>
        </w:rPr>
        <w:footnoteRef/>
      </w:r>
      <w:r w:rsidRPr="00060236">
        <w:rPr>
          <w:rFonts w:hint="eastAsia"/>
        </w:rPr>
        <w:t>行政院111年11月21日院授主基綜字第1110202037號</w:t>
      </w:r>
      <w:r>
        <w:rPr>
          <w:rFonts w:hint="eastAsia"/>
        </w:rPr>
        <w:t>函</w:t>
      </w:r>
      <w:r w:rsidR="003041FA">
        <w:rPr>
          <w:rFonts w:hint="eastAsia"/>
        </w:rPr>
        <w:t>略以，</w:t>
      </w:r>
      <w:r w:rsidRPr="00035E37">
        <w:rPr>
          <w:rFonts w:hint="eastAsia"/>
        </w:rPr>
        <w:t>…11</w:t>
      </w:r>
      <w:r>
        <w:rPr>
          <w:rFonts w:hint="eastAsia"/>
        </w:rPr>
        <w:t>1</w:t>
      </w:r>
      <w:r w:rsidRPr="00035E37">
        <w:rPr>
          <w:rFonts w:hint="eastAsia"/>
        </w:rPr>
        <w:t>年度預算不足，請准先行辦理，並補辦112年度預算</w:t>
      </w:r>
      <w:r>
        <w:t>2.13</w:t>
      </w:r>
      <w:r w:rsidRPr="00035E37">
        <w:rPr>
          <w:rFonts w:hint="eastAsia"/>
        </w:rPr>
        <w:t>億元一案，…。二、本案同意辦理。另營改基金本年度老舊營舍整建計畫等執行率均偏低，惟旨揭計畫連續2年補辦預算，請督促該基金未來應妥適衡酌各計畫工程進度，核實編列預算，避免類此情事再度發生。</w:t>
      </w:r>
    </w:p>
  </w:footnote>
  <w:footnote w:id="4">
    <w:p w:rsidR="00BE56E0" w:rsidRPr="00B3126A" w:rsidRDefault="00BE56E0" w:rsidP="00BE56E0">
      <w:pPr>
        <w:pStyle w:val="142"/>
        <w:ind w:left="78" w:hangingChars="32" w:hanging="78"/>
        <w:rPr>
          <w:rFonts w:hint="eastAsia"/>
        </w:rPr>
      </w:pPr>
      <w:r>
        <w:rPr>
          <w:rStyle w:val="af8"/>
        </w:rPr>
        <w:footnoteRef/>
      </w:r>
      <w:r w:rsidRPr="00060236">
        <w:rPr>
          <w:rFonts w:hint="eastAsia"/>
        </w:rPr>
        <w:t>行政院11</w:t>
      </w:r>
      <w:r>
        <w:t>2</w:t>
      </w:r>
      <w:r w:rsidRPr="00060236">
        <w:rPr>
          <w:rFonts w:hint="eastAsia"/>
        </w:rPr>
        <w:t>年1</w:t>
      </w:r>
      <w:r>
        <w:t>2</w:t>
      </w:r>
      <w:r w:rsidRPr="00060236">
        <w:rPr>
          <w:rFonts w:hint="eastAsia"/>
        </w:rPr>
        <w:t>月</w:t>
      </w:r>
      <w:r>
        <w:t>18</w:t>
      </w:r>
      <w:r w:rsidRPr="00060236">
        <w:rPr>
          <w:rFonts w:hint="eastAsia"/>
        </w:rPr>
        <w:t>日院授主基綜字第11</w:t>
      </w:r>
      <w:r>
        <w:t>20202722</w:t>
      </w:r>
      <w:r w:rsidRPr="00060236">
        <w:rPr>
          <w:rFonts w:hint="eastAsia"/>
        </w:rPr>
        <w:t>號</w:t>
      </w:r>
      <w:r>
        <w:rPr>
          <w:rFonts w:hint="eastAsia"/>
        </w:rPr>
        <w:t>函</w:t>
      </w:r>
      <w:r w:rsidR="003041FA">
        <w:rPr>
          <w:rFonts w:hint="eastAsia"/>
        </w:rPr>
        <w:t>略以</w:t>
      </w:r>
      <w:r w:rsidR="00E62550">
        <w:rPr>
          <w:rFonts w:hint="eastAsia"/>
        </w:rPr>
        <w:t>，</w:t>
      </w:r>
      <w:r w:rsidRPr="00035E37">
        <w:rPr>
          <w:rFonts w:hint="eastAsia"/>
        </w:rPr>
        <w:t>…</w:t>
      </w:r>
      <w:r w:rsidR="003041FA">
        <w:rPr>
          <w:rFonts w:ascii="新細明體" w:eastAsia="新細明體" w:hAnsi="新細明體" w:hint="eastAsia"/>
        </w:rPr>
        <w:t>「</w:t>
      </w:r>
      <w:r>
        <w:rPr>
          <w:rFonts w:hint="eastAsia"/>
        </w:rPr>
        <w:t>老舊營舍整建計畫</w:t>
      </w:r>
      <w:r w:rsidR="003041FA" w:rsidRPr="003041FA">
        <w:rPr>
          <w:rFonts w:hAnsi="標楷體" w:hint="eastAsia"/>
        </w:rPr>
        <w:t>」</w:t>
      </w:r>
      <w:r>
        <w:rPr>
          <w:rFonts w:hint="eastAsia"/>
        </w:rPr>
        <w:t>本</w:t>
      </w:r>
      <w:r w:rsidR="000A46B2">
        <w:rPr>
          <w:rFonts w:hint="eastAsia"/>
        </w:rPr>
        <w:t>(</w:t>
      </w:r>
      <w:r>
        <w:rPr>
          <w:rFonts w:hint="eastAsia"/>
        </w:rPr>
        <w:t>112</w:t>
      </w:r>
      <w:r w:rsidR="000A46B2">
        <w:rPr>
          <w:rFonts w:hint="eastAsia"/>
        </w:rPr>
        <w:t>)</w:t>
      </w:r>
      <w:r>
        <w:rPr>
          <w:rFonts w:hint="eastAsia"/>
        </w:rPr>
        <w:t>年度請准先行辦理126.84億元，並補辦114年度預算</w:t>
      </w:r>
      <w:r w:rsidRPr="00035E37">
        <w:rPr>
          <w:rFonts w:hint="eastAsia"/>
        </w:rPr>
        <w:t>，…。</w:t>
      </w:r>
      <w:r>
        <w:rPr>
          <w:rFonts w:hint="eastAsia"/>
        </w:rPr>
        <w:t>二、本案勉予同意本年度以94.9億元為上限先行辦理，補辦114年度預算，並請視營改基金業務需要核實辦理，不得辦理預算保留；其餘31.94億元同意先行辦理113年度預算。</w:t>
      </w:r>
      <w:r w:rsidRPr="000537CA">
        <w:rPr>
          <w:rFonts w:hAnsi="標楷體"/>
        </w:rPr>
        <w:t>…</w:t>
      </w:r>
      <w:r>
        <w:rPr>
          <w:rFonts w:hint="eastAsia"/>
        </w:rPr>
        <w:t>請配合辦理：</w:t>
      </w:r>
      <w:r w:rsidR="000A46B2">
        <w:rPr>
          <w:rFonts w:hint="eastAsia"/>
        </w:rPr>
        <w:t>(</w:t>
      </w:r>
      <w:r>
        <w:rPr>
          <w:rFonts w:hint="eastAsia"/>
        </w:rPr>
        <w:t>一</w:t>
      </w:r>
      <w:r w:rsidR="000A46B2">
        <w:rPr>
          <w:rFonts w:hint="eastAsia"/>
        </w:rPr>
        <w:t>)</w:t>
      </w:r>
      <w:r>
        <w:rPr>
          <w:rFonts w:hint="eastAsia"/>
        </w:rPr>
        <w:t>本案先行辦理金額龐鉅，顯未配合工程進度實際需要核實編列年度預算，嗣後應確實檢討改進，避免類此情形再發生。</w:t>
      </w:r>
      <w:r w:rsidRPr="000537CA">
        <w:rPr>
          <w:rFonts w:hAnsi="標楷體"/>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678" w:rsidRDefault="005E3678">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678" w:rsidRDefault="005E3678">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678" w:rsidRDefault="005E3678">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098B"/>
    <w:multiLevelType w:val="hybridMultilevel"/>
    <w:tmpl w:val="FDB6BD02"/>
    <w:lvl w:ilvl="0" w:tplc="9D1836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45662A"/>
    <w:multiLevelType w:val="hybridMultilevel"/>
    <w:tmpl w:val="1E2005F6"/>
    <w:lvl w:ilvl="0" w:tplc="FDD802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FF60409"/>
    <w:multiLevelType w:val="hybridMultilevel"/>
    <w:tmpl w:val="429CEC16"/>
    <w:lvl w:ilvl="0" w:tplc="D7382E0E">
      <w:start w:val="29"/>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4" w15:restartNumberingAfterBreak="0">
    <w:nsid w:val="10530447"/>
    <w:multiLevelType w:val="hybridMultilevel"/>
    <w:tmpl w:val="5414187C"/>
    <w:lvl w:ilvl="0" w:tplc="DB8AEDC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8C6648"/>
    <w:multiLevelType w:val="hybridMultilevel"/>
    <w:tmpl w:val="029EBB88"/>
    <w:lvl w:ilvl="0" w:tplc="77F6AC2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9F740F7"/>
    <w:multiLevelType w:val="hybridMultilevel"/>
    <w:tmpl w:val="78EC6C62"/>
    <w:lvl w:ilvl="0" w:tplc="7A9ADE6C">
      <w:start w:val="1"/>
      <w:numFmt w:val="bullet"/>
      <w:lvlText w:val="※"/>
      <w:lvlJc w:val="left"/>
      <w:pPr>
        <w:tabs>
          <w:tab w:val="num" w:pos="1405"/>
        </w:tabs>
        <w:ind w:left="1405" w:hanging="360"/>
      </w:pPr>
      <w:rPr>
        <w:rFonts w:ascii="標楷體" w:eastAsia="標楷體" w:hAnsi="標楷體" w:cs="Times New Roman" w:hint="eastAsia"/>
      </w:rPr>
    </w:lvl>
    <w:lvl w:ilvl="1" w:tplc="04090003" w:tentative="1">
      <w:start w:val="1"/>
      <w:numFmt w:val="bullet"/>
      <w:lvlText w:val=""/>
      <w:lvlJc w:val="left"/>
      <w:pPr>
        <w:tabs>
          <w:tab w:val="num" w:pos="2005"/>
        </w:tabs>
        <w:ind w:left="2005" w:hanging="480"/>
      </w:pPr>
      <w:rPr>
        <w:rFonts w:ascii="Wingdings" w:hAnsi="Wingdings" w:hint="default"/>
      </w:rPr>
    </w:lvl>
    <w:lvl w:ilvl="2" w:tplc="04090005" w:tentative="1">
      <w:start w:val="1"/>
      <w:numFmt w:val="bullet"/>
      <w:lvlText w:val=""/>
      <w:lvlJc w:val="left"/>
      <w:pPr>
        <w:tabs>
          <w:tab w:val="num" w:pos="2485"/>
        </w:tabs>
        <w:ind w:left="2485" w:hanging="480"/>
      </w:pPr>
      <w:rPr>
        <w:rFonts w:ascii="Wingdings" w:hAnsi="Wingdings" w:hint="default"/>
      </w:rPr>
    </w:lvl>
    <w:lvl w:ilvl="3" w:tplc="04090001" w:tentative="1">
      <w:start w:val="1"/>
      <w:numFmt w:val="bullet"/>
      <w:lvlText w:val=""/>
      <w:lvlJc w:val="left"/>
      <w:pPr>
        <w:tabs>
          <w:tab w:val="num" w:pos="2965"/>
        </w:tabs>
        <w:ind w:left="2965" w:hanging="480"/>
      </w:pPr>
      <w:rPr>
        <w:rFonts w:ascii="Wingdings" w:hAnsi="Wingdings" w:hint="default"/>
      </w:rPr>
    </w:lvl>
    <w:lvl w:ilvl="4" w:tplc="04090003" w:tentative="1">
      <w:start w:val="1"/>
      <w:numFmt w:val="bullet"/>
      <w:lvlText w:val=""/>
      <w:lvlJc w:val="left"/>
      <w:pPr>
        <w:tabs>
          <w:tab w:val="num" w:pos="3445"/>
        </w:tabs>
        <w:ind w:left="3445" w:hanging="480"/>
      </w:pPr>
      <w:rPr>
        <w:rFonts w:ascii="Wingdings" w:hAnsi="Wingdings" w:hint="default"/>
      </w:rPr>
    </w:lvl>
    <w:lvl w:ilvl="5" w:tplc="04090005" w:tentative="1">
      <w:start w:val="1"/>
      <w:numFmt w:val="bullet"/>
      <w:lvlText w:val=""/>
      <w:lvlJc w:val="left"/>
      <w:pPr>
        <w:tabs>
          <w:tab w:val="num" w:pos="3925"/>
        </w:tabs>
        <w:ind w:left="3925" w:hanging="480"/>
      </w:pPr>
      <w:rPr>
        <w:rFonts w:ascii="Wingdings" w:hAnsi="Wingdings" w:hint="default"/>
      </w:rPr>
    </w:lvl>
    <w:lvl w:ilvl="6" w:tplc="04090001" w:tentative="1">
      <w:start w:val="1"/>
      <w:numFmt w:val="bullet"/>
      <w:lvlText w:val=""/>
      <w:lvlJc w:val="left"/>
      <w:pPr>
        <w:tabs>
          <w:tab w:val="num" w:pos="4405"/>
        </w:tabs>
        <w:ind w:left="4405" w:hanging="480"/>
      </w:pPr>
      <w:rPr>
        <w:rFonts w:ascii="Wingdings" w:hAnsi="Wingdings" w:hint="default"/>
      </w:rPr>
    </w:lvl>
    <w:lvl w:ilvl="7" w:tplc="04090003" w:tentative="1">
      <w:start w:val="1"/>
      <w:numFmt w:val="bullet"/>
      <w:lvlText w:val=""/>
      <w:lvlJc w:val="left"/>
      <w:pPr>
        <w:tabs>
          <w:tab w:val="num" w:pos="4885"/>
        </w:tabs>
        <w:ind w:left="4885" w:hanging="480"/>
      </w:pPr>
      <w:rPr>
        <w:rFonts w:ascii="Wingdings" w:hAnsi="Wingdings" w:hint="default"/>
      </w:rPr>
    </w:lvl>
    <w:lvl w:ilvl="8" w:tplc="04090005" w:tentative="1">
      <w:start w:val="1"/>
      <w:numFmt w:val="bullet"/>
      <w:lvlText w:val=""/>
      <w:lvlJc w:val="left"/>
      <w:pPr>
        <w:tabs>
          <w:tab w:val="num" w:pos="5365"/>
        </w:tabs>
        <w:ind w:left="5365" w:hanging="480"/>
      </w:pPr>
      <w:rPr>
        <w:rFonts w:ascii="Wingdings" w:hAnsi="Wingdings" w:hint="default"/>
      </w:rPr>
    </w:lvl>
  </w:abstractNum>
  <w:abstractNum w:abstractNumId="7" w15:restartNumberingAfterBreak="0">
    <w:nsid w:val="1EDF005C"/>
    <w:multiLevelType w:val="hybridMultilevel"/>
    <w:tmpl w:val="E6C22144"/>
    <w:lvl w:ilvl="0" w:tplc="B4047690">
      <w:start w:val="1"/>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8" w15:restartNumberingAfterBreak="0">
    <w:nsid w:val="22F12080"/>
    <w:multiLevelType w:val="hybridMultilevel"/>
    <w:tmpl w:val="F34667D6"/>
    <w:lvl w:ilvl="0" w:tplc="19A2BC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3CE5CB0"/>
    <w:multiLevelType w:val="hybridMultilevel"/>
    <w:tmpl w:val="5DA26A06"/>
    <w:lvl w:ilvl="0" w:tplc="AC2A6D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11" w15:restartNumberingAfterBreak="0">
    <w:nsid w:val="2F1F02DE"/>
    <w:multiLevelType w:val="hybridMultilevel"/>
    <w:tmpl w:val="757692D8"/>
    <w:lvl w:ilvl="0" w:tplc="08A88D0C">
      <w:start w:val="1"/>
      <w:numFmt w:val="bullet"/>
      <w:lvlText w:val="※"/>
      <w:lvlJc w:val="left"/>
      <w:pPr>
        <w:tabs>
          <w:tab w:val="num" w:pos="1069"/>
        </w:tabs>
        <w:ind w:left="1069" w:hanging="360"/>
      </w:pPr>
      <w:rPr>
        <w:rFonts w:ascii="標楷體" w:eastAsia="標楷體" w:hAnsi="標楷體" w:cs="Times New Roman" w:hint="eastAsia"/>
        <w:sz w:val="24"/>
        <w:szCs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322C7ABE"/>
    <w:multiLevelType w:val="hybridMultilevel"/>
    <w:tmpl w:val="C0982678"/>
    <w:lvl w:ilvl="0" w:tplc="DABA9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1F798C"/>
    <w:multiLevelType w:val="hybridMultilevel"/>
    <w:tmpl w:val="05F6111E"/>
    <w:lvl w:ilvl="0" w:tplc="556CA33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15"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DF75F9"/>
    <w:multiLevelType w:val="hybridMultilevel"/>
    <w:tmpl w:val="E65A8A84"/>
    <w:lvl w:ilvl="0" w:tplc="B7D4D632">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FAF5671"/>
    <w:multiLevelType w:val="hybridMultilevel"/>
    <w:tmpl w:val="4C4E9C24"/>
    <w:lvl w:ilvl="0" w:tplc="111481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7DA4C36"/>
    <w:multiLevelType w:val="hybridMultilevel"/>
    <w:tmpl w:val="DE4E0C7C"/>
    <w:lvl w:ilvl="0" w:tplc="968E5BB0">
      <w:numFmt w:val="bullet"/>
      <w:lvlText w:val="※"/>
      <w:lvlJc w:val="left"/>
      <w:pPr>
        <w:tabs>
          <w:tab w:val="num" w:pos="1805"/>
        </w:tabs>
        <w:ind w:left="1805" w:hanging="360"/>
      </w:pPr>
      <w:rPr>
        <w:rFonts w:ascii="標楷體" w:eastAsia="標楷體" w:hAnsi="標楷體" w:cs="Times New Roman" w:hint="eastAsia"/>
      </w:rPr>
    </w:lvl>
    <w:lvl w:ilvl="1" w:tplc="04090003" w:tentative="1">
      <w:start w:val="1"/>
      <w:numFmt w:val="bullet"/>
      <w:lvlText w:val=""/>
      <w:lvlJc w:val="left"/>
      <w:pPr>
        <w:tabs>
          <w:tab w:val="num" w:pos="2405"/>
        </w:tabs>
        <w:ind w:left="2405" w:hanging="480"/>
      </w:pPr>
      <w:rPr>
        <w:rFonts w:ascii="Wingdings" w:hAnsi="Wingdings" w:hint="default"/>
      </w:rPr>
    </w:lvl>
    <w:lvl w:ilvl="2" w:tplc="04090005" w:tentative="1">
      <w:start w:val="1"/>
      <w:numFmt w:val="bullet"/>
      <w:lvlText w:val=""/>
      <w:lvlJc w:val="left"/>
      <w:pPr>
        <w:tabs>
          <w:tab w:val="num" w:pos="2885"/>
        </w:tabs>
        <w:ind w:left="2885" w:hanging="480"/>
      </w:pPr>
      <w:rPr>
        <w:rFonts w:ascii="Wingdings" w:hAnsi="Wingdings" w:hint="default"/>
      </w:rPr>
    </w:lvl>
    <w:lvl w:ilvl="3" w:tplc="04090001" w:tentative="1">
      <w:start w:val="1"/>
      <w:numFmt w:val="bullet"/>
      <w:lvlText w:val=""/>
      <w:lvlJc w:val="left"/>
      <w:pPr>
        <w:tabs>
          <w:tab w:val="num" w:pos="3365"/>
        </w:tabs>
        <w:ind w:left="3365" w:hanging="480"/>
      </w:pPr>
      <w:rPr>
        <w:rFonts w:ascii="Wingdings" w:hAnsi="Wingdings" w:hint="default"/>
      </w:rPr>
    </w:lvl>
    <w:lvl w:ilvl="4" w:tplc="04090003" w:tentative="1">
      <w:start w:val="1"/>
      <w:numFmt w:val="bullet"/>
      <w:lvlText w:val=""/>
      <w:lvlJc w:val="left"/>
      <w:pPr>
        <w:tabs>
          <w:tab w:val="num" w:pos="3845"/>
        </w:tabs>
        <w:ind w:left="3845" w:hanging="480"/>
      </w:pPr>
      <w:rPr>
        <w:rFonts w:ascii="Wingdings" w:hAnsi="Wingdings" w:hint="default"/>
      </w:rPr>
    </w:lvl>
    <w:lvl w:ilvl="5" w:tplc="04090005" w:tentative="1">
      <w:start w:val="1"/>
      <w:numFmt w:val="bullet"/>
      <w:lvlText w:val=""/>
      <w:lvlJc w:val="left"/>
      <w:pPr>
        <w:tabs>
          <w:tab w:val="num" w:pos="4325"/>
        </w:tabs>
        <w:ind w:left="4325" w:hanging="480"/>
      </w:pPr>
      <w:rPr>
        <w:rFonts w:ascii="Wingdings" w:hAnsi="Wingdings" w:hint="default"/>
      </w:rPr>
    </w:lvl>
    <w:lvl w:ilvl="6" w:tplc="04090001" w:tentative="1">
      <w:start w:val="1"/>
      <w:numFmt w:val="bullet"/>
      <w:lvlText w:val=""/>
      <w:lvlJc w:val="left"/>
      <w:pPr>
        <w:tabs>
          <w:tab w:val="num" w:pos="4805"/>
        </w:tabs>
        <w:ind w:left="4805" w:hanging="480"/>
      </w:pPr>
      <w:rPr>
        <w:rFonts w:ascii="Wingdings" w:hAnsi="Wingdings" w:hint="default"/>
      </w:rPr>
    </w:lvl>
    <w:lvl w:ilvl="7" w:tplc="04090003" w:tentative="1">
      <w:start w:val="1"/>
      <w:numFmt w:val="bullet"/>
      <w:lvlText w:val=""/>
      <w:lvlJc w:val="left"/>
      <w:pPr>
        <w:tabs>
          <w:tab w:val="num" w:pos="5285"/>
        </w:tabs>
        <w:ind w:left="5285" w:hanging="480"/>
      </w:pPr>
      <w:rPr>
        <w:rFonts w:ascii="Wingdings" w:hAnsi="Wingdings" w:hint="default"/>
      </w:rPr>
    </w:lvl>
    <w:lvl w:ilvl="8" w:tplc="04090005" w:tentative="1">
      <w:start w:val="1"/>
      <w:numFmt w:val="bullet"/>
      <w:lvlText w:val=""/>
      <w:lvlJc w:val="left"/>
      <w:pPr>
        <w:tabs>
          <w:tab w:val="num" w:pos="5765"/>
        </w:tabs>
        <w:ind w:left="5765" w:hanging="480"/>
      </w:pPr>
      <w:rPr>
        <w:rFonts w:ascii="Wingdings" w:hAnsi="Wingdings" w:hint="default"/>
      </w:rPr>
    </w:lvl>
  </w:abstractNum>
  <w:abstractNum w:abstractNumId="21" w15:restartNumberingAfterBreak="0">
    <w:nsid w:val="4BE7172F"/>
    <w:multiLevelType w:val="hybridMultilevel"/>
    <w:tmpl w:val="4E4C3BAA"/>
    <w:lvl w:ilvl="0" w:tplc="B6E042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E9D3440"/>
    <w:multiLevelType w:val="hybridMultilevel"/>
    <w:tmpl w:val="1E063F2E"/>
    <w:lvl w:ilvl="0" w:tplc="CC22C3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DDE5769"/>
    <w:multiLevelType w:val="hybridMultilevel"/>
    <w:tmpl w:val="7DE425D8"/>
    <w:lvl w:ilvl="0" w:tplc="6A9426B0">
      <w:start w:val="1"/>
      <w:numFmt w:val="decimal"/>
      <w:lvlText w:val="%1."/>
      <w:lvlJc w:val="left"/>
      <w:pPr>
        <w:ind w:left="1492" w:hanging="360"/>
      </w:pPr>
      <w:rPr>
        <w:rFonts w:hAnsi="Times New Roman" w:cs="Times New Roman" w:hint="default"/>
        <w:color w:val="auto"/>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F1D2032"/>
    <w:multiLevelType w:val="hybridMultilevel"/>
    <w:tmpl w:val="F8EE878C"/>
    <w:lvl w:ilvl="0" w:tplc="DE0060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0032149"/>
    <w:multiLevelType w:val="hybridMultilevel"/>
    <w:tmpl w:val="A7BA18EC"/>
    <w:lvl w:ilvl="0" w:tplc="6EC4F4D2">
      <w:start w:val="2"/>
      <w:numFmt w:val="bullet"/>
      <w:lvlText w:val="小"/>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63697D62"/>
    <w:multiLevelType w:val="hybridMultilevel"/>
    <w:tmpl w:val="B6AEC036"/>
    <w:lvl w:ilvl="0" w:tplc="C4C091F4">
      <w:start w:val="3"/>
      <w:numFmt w:val="bullet"/>
      <w:lvlText w:val="※"/>
      <w:lvlJc w:val="left"/>
      <w:pPr>
        <w:tabs>
          <w:tab w:val="num" w:pos="1412"/>
        </w:tabs>
        <w:ind w:left="1412" w:hanging="360"/>
      </w:pPr>
      <w:rPr>
        <w:rFonts w:ascii="標楷體" w:eastAsia="標楷體" w:hAnsi="標楷體" w:cs="Times New Roman" w:hint="eastAsia"/>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28"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0320E6C"/>
    <w:multiLevelType w:val="hybridMultilevel"/>
    <w:tmpl w:val="E29C15EC"/>
    <w:lvl w:ilvl="0" w:tplc="56EE8200">
      <w:start w:val="5"/>
      <w:numFmt w:val="bullet"/>
      <w:lvlText w:val="※"/>
      <w:lvlJc w:val="left"/>
      <w:pPr>
        <w:tabs>
          <w:tab w:val="num" w:pos="77"/>
        </w:tabs>
        <w:ind w:left="77" w:hanging="360"/>
      </w:pPr>
      <w:rPr>
        <w:rFonts w:ascii="標楷體" w:eastAsia="標楷體" w:hAnsi="標楷體" w:cs="Times New Roman" w:hint="eastAsia"/>
      </w:rPr>
    </w:lvl>
    <w:lvl w:ilvl="1" w:tplc="04090003" w:tentative="1">
      <w:start w:val="1"/>
      <w:numFmt w:val="bullet"/>
      <w:lvlText w:val=""/>
      <w:lvlJc w:val="left"/>
      <w:pPr>
        <w:tabs>
          <w:tab w:val="num" w:pos="677"/>
        </w:tabs>
        <w:ind w:left="677" w:hanging="480"/>
      </w:pPr>
      <w:rPr>
        <w:rFonts w:ascii="Wingdings" w:hAnsi="Wingdings" w:hint="default"/>
      </w:rPr>
    </w:lvl>
    <w:lvl w:ilvl="2" w:tplc="04090005" w:tentative="1">
      <w:start w:val="1"/>
      <w:numFmt w:val="bullet"/>
      <w:lvlText w:val=""/>
      <w:lvlJc w:val="left"/>
      <w:pPr>
        <w:tabs>
          <w:tab w:val="num" w:pos="1157"/>
        </w:tabs>
        <w:ind w:left="1157" w:hanging="480"/>
      </w:pPr>
      <w:rPr>
        <w:rFonts w:ascii="Wingdings" w:hAnsi="Wingdings" w:hint="default"/>
      </w:rPr>
    </w:lvl>
    <w:lvl w:ilvl="3" w:tplc="04090001" w:tentative="1">
      <w:start w:val="1"/>
      <w:numFmt w:val="bullet"/>
      <w:lvlText w:val=""/>
      <w:lvlJc w:val="left"/>
      <w:pPr>
        <w:tabs>
          <w:tab w:val="num" w:pos="1637"/>
        </w:tabs>
        <w:ind w:left="1637" w:hanging="480"/>
      </w:pPr>
      <w:rPr>
        <w:rFonts w:ascii="Wingdings" w:hAnsi="Wingdings" w:hint="default"/>
      </w:rPr>
    </w:lvl>
    <w:lvl w:ilvl="4" w:tplc="04090003" w:tentative="1">
      <w:start w:val="1"/>
      <w:numFmt w:val="bullet"/>
      <w:lvlText w:val=""/>
      <w:lvlJc w:val="left"/>
      <w:pPr>
        <w:tabs>
          <w:tab w:val="num" w:pos="2117"/>
        </w:tabs>
        <w:ind w:left="2117" w:hanging="480"/>
      </w:pPr>
      <w:rPr>
        <w:rFonts w:ascii="Wingdings" w:hAnsi="Wingdings" w:hint="default"/>
      </w:rPr>
    </w:lvl>
    <w:lvl w:ilvl="5" w:tplc="04090005" w:tentative="1">
      <w:start w:val="1"/>
      <w:numFmt w:val="bullet"/>
      <w:lvlText w:val=""/>
      <w:lvlJc w:val="left"/>
      <w:pPr>
        <w:tabs>
          <w:tab w:val="num" w:pos="2597"/>
        </w:tabs>
        <w:ind w:left="2597" w:hanging="480"/>
      </w:pPr>
      <w:rPr>
        <w:rFonts w:ascii="Wingdings" w:hAnsi="Wingdings" w:hint="default"/>
      </w:rPr>
    </w:lvl>
    <w:lvl w:ilvl="6" w:tplc="04090001" w:tentative="1">
      <w:start w:val="1"/>
      <w:numFmt w:val="bullet"/>
      <w:lvlText w:val=""/>
      <w:lvlJc w:val="left"/>
      <w:pPr>
        <w:tabs>
          <w:tab w:val="num" w:pos="3077"/>
        </w:tabs>
        <w:ind w:left="3077" w:hanging="480"/>
      </w:pPr>
      <w:rPr>
        <w:rFonts w:ascii="Wingdings" w:hAnsi="Wingdings" w:hint="default"/>
      </w:rPr>
    </w:lvl>
    <w:lvl w:ilvl="7" w:tplc="04090003" w:tentative="1">
      <w:start w:val="1"/>
      <w:numFmt w:val="bullet"/>
      <w:lvlText w:val=""/>
      <w:lvlJc w:val="left"/>
      <w:pPr>
        <w:tabs>
          <w:tab w:val="num" w:pos="3557"/>
        </w:tabs>
        <w:ind w:left="3557" w:hanging="480"/>
      </w:pPr>
      <w:rPr>
        <w:rFonts w:ascii="Wingdings" w:hAnsi="Wingdings" w:hint="default"/>
      </w:rPr>
    </w:lvl>
    <w:lvl w:ilvl="8" w:tplc="04090005" w:tentative="1">
      <w:start w:val="1"/>
      <w:numFmt w:val="bullet"/>
      <w:lvlText w:val=""/>
      <w:lvlJc w:val="left"/>
      <w:pPr>
        <w:tabs>
          <w:tab w:val="num" w:pos="4037"/>
        </w:tabs>
        <w:ind w:left="4037" w:hanging="480"/>
      </w:pPr>
      <w:rPr>
        <w:rFonts w:ascii="Wingdings" w:hAnsi="Wingdings" w:hint="default"/>
      </w:rPr>
    </w:lvl>
  </w:abstractNum>
  <w:abstractNum w:abstractNumId="30" w15:restartNumberingAfterBreak="0">
    <w:nsid w:val="728C4678"/>
    <w:multiLevelType w:val="hybridMultilevel"/>
    <w:tmpl w:val="0CC8D56E"/>
    <w:lvl w:ilvl="0" w:tplc="47CE07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77A96B88"/>
    <w:multiLevelType w:val="hybridMultilevel"/>
    <w:tmpl w:val="F8FEBCF4"/>
    <w:lvl w:ilvl="0" w:tplc="727C99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abstractNum w:abstractNumId="33" w15:restartNumberingAfterBreak="0">
    <w:nsid w:val="7D1900F5"/>
    <w:multiLevelType w:val="hybridMultilevel"/>
    <w:tmpl w:val="D910B428"/>
    <w:lvl w:ilvl="0" w:tplc="7CB0CAE8">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E7D5F36"/>
    <w:multiLevelType w:val="hybridMultilevel"/>
    <w:tmpl w:val="87D2FDC8"/>
    <w:lvl w:ilvl="0" w:tplc="F2A06C5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F8B5B64"/>
    <w:multiLevelType w:val="hybridMultilevel"/>
    <w:tmpl w:val="C8E4665A"/>
    <w:lvl w:ilvl="0" w:tplc="499A0BD8">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2"/>
  </w:num>
  <w:num w:numId="2">
    <w:abstractNumId w:val="23"/>
  </w:num>
  <w:num w:numId="3">
    <w:abstractNumId w:val="19"/>
  </w:num>
  <w:num w:numId="4">
    <w:abstractNumId w:val="17"/>
  </w:num>
  <w:num w:numId="5">
    <w:abstractNumId w:val="14"/>
  </w:num>
  <w:num w:numId="6">
    <w:abstractNumId w:val="28"/>
  </w:num>
  <w:num w:numId="7">
    <w:abstractNumId w:val="15"/>
  </w:num>
  <w:num w:numId="8">
    <w:abstractNumId w:val="32"/>
  </w:num>
  <w:num w:numId="9">
    <w:abstractNumId w:val="10"/>
  </w:num>
  <w:num w:numId="10">
    <w:abstractNumId w:val="27"/>
  </w:num>
  <w:num w:numId="11">
    <w:abstractNumId w:val="3"/>
  </w:num>
  <w:num w:numId="12">
    <w:abstractNumId w:val="6"/>
  </w:num>
  <w:num w:numId="13">
    <w:abstractNumId w:val="20"/>
  </w:num>
  <w:num w:numId="14">
    <w:abstractNumId w:val="13"/>
  </w:num>
  <w:num w:numId="15">
    <w:abstractNumId w:val="7"/>
  </w:num>
  <w:num w:numId="16">
    <w:abstractNumId w:val="4"/>
  </w:num>
  <w:num w:numId="17">
    <w:abstractNumId w:val="29"/>
  </w:num>
  <w:num w:numId="18">
    <w:abstractNumId w:val="22"/>
  </w:num>
  <w:num w:numId="19">
    <w:abstractNumId w:val="18"/>
  </w:num>
  <w:num w:numId="20">
    <w:abstractNumId w:val="9"/>
  </w:num>
  <w:num w:numId="21">
    <w:abstractNumId w:val="30"/>
  </w:num>
  <w:num w:numId="22">
    <w:abstractNumId w:val="25"/>
  </w:num>
  <w:num w:numId="23">
    <w:abstractNumId w:val="16"/>
  </w:num>
  <w:num w:numId="24">
    <w:abstractNumId w:val="5"/>
  </w:num>
  <w:num w:numId="25">
    <w:abstractNumId w:val="21"/>
  </w:num>
  <w:num w:numId="26">
    <w:abstractNumId w:val="24"/>
  </w:num>
  <w:num w:numId="27">
    <w:abstractNumId w:val="11"/>
  </w:num>
  <w:num w:numId="28">
    <w:abstractNumId w:val="33"/>
  </w:num>
  <w:num w:numId="29">
    <w:abstractNumId w:val="35"/>
  </w:num>
  <w:num w:numId="30">
    <w:abstractNumId w:val="1"/>
  </w:num>
  <w:num w:numId="31">
    <w:abstractNumId w:val="26"/>
  </w:num>
  <w:num w:numId="32">
    <w:abstractNumId w:val="34"/>
  </w:num>
  <w:num w:numId="33">
    <w:abstractNumId w:val="31"/>
  </w:num>
  <w:num w:numId="34">
    <w:abstractNumId w:val="12"/>
  </w:num>
  <w:num w:numId="35">
    <w:abstractNumId w:val="0"/>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17480"/>
    <w:rsid w:val="0000030D"/>
    <w:rsid w:val="00000FD0"/>
    <w:rsid w:val="00002522"/>
    <w:rsid w:val="0000598C"/>
    <w:rsid w:val="00007136"/>
    <w:rsid w:val="000075DD"/>
    <w:rsid w:val="00014099"/>
    <w:rsid w:val="00015148"/>
    <w:rsid w:val="000163A3"/>
    <w:rsid w:val="000165C7"/>
    <w:rsid w:val="00017C3A"/>
    <w:rsid w:val="00023215"/>
    <w:rsid w:val="00031B61"/>
    <w:rsid w:val="000321BB"/>
    <w:rsid w:val="00035B9A"/>
    <w:rsid w:val="00035E6C"/>
    <w:rsid w:val="00036F21"/>
    <w:rsid w:val="00042F8A"/>
    <w:rsid w:val="00045F48"/>
    <w:rsid w:val="00046160"/>
    <w:rsid w:val="000468E0"/>
    <w:rsid w:val="000501FB"/>
    <w:rsid w:val="00050909"/>
    <w:rsid w:val="00050D45"/>
    <w:rsid w:val="000537CA"/>
    <w:rsid w:val="00055196"/>
    <w:rsid w:val="0005712B"/>
    <w:rsid w:val="0006334B"/>
    <w:rsid w:val="000641C6"/>
    <w:rsid w:val="000643C7"/>
    <w:rsid w:val="00064590"/>
    <w:rsid w:val="0006618D"/>
    <w:rsid w:val="0006689E"/>
    <w:rsid w:val="00067577"/>
    <w:rsid w:val="00070460"/>
    <w:rsid w:val="000721BF"/>
    <w:rsid w:val="00075C34"/>
    <w:rsid w:val="000827E5"/>
    <w:rsid w:val="00082B21"/>
    <w:rsid w:val="00082E21"/>
    <w:rsid w:val="00082EE6"/>
    <w:rsid w:val="000839BC"/>
    <w:rsid w:val="00091380"/>
    <w:rsid w:val="00092469"/>
    <w:rsid w:val="00092630"/>
    <w:rsid w:val="0009291E"/>
    <w:rsid w:val="00092BAA"/>
    <w:rsid w:val="00093457"/>
    <w:rsid w:val="0009499C"/>
    <w:rsid w:val="00095998"/>
    <w:rsid w:val="000A1721"/>
    <w:rsid w:val="000A3E33"/>
    <w:rsid w:val="000A46B2"/>
    <w:rsid w:val="000A4FC1"/>
    <w:rsid w:val="000A7AF3"/>
    <w:rsid w:val="000B204C"/>
    <w:rsid w:val="000B20B4"/>
    <w:rsid w:val="000B2C04"/>
    <w:rsid w:val="000B3761"/>
    <w:rsid w:val="000B376A"/>
    <w:rsid w:val="000B4C3E"/>
    <w:rsid w:val="000B6630"/>
    <w:rsid w:val="000B7DF3"/>
    <w:rsid w:val="000C18DD"/>
    <w:rsid w:val="000C32D9"/>
    <w:rsid w:val="000C3690"/>
    <w:rsid w:val="000C4B06"/>
    <w:rsid w:val="000C7222"/>
    <w:rsid w:val="000C738F"/>
    <w:rsid w:val="000D2070"/>
    <w:rsid w:val="000D2979"/>
    <w:rsid w:val="000D654E"/>
    <w:rsid w:val="000D6807"/>
    <w:rsid w:val="000D6C9A"/>
    <w:rsid w:val="000D7EC7"/>
    <w:rsid w:val="000E12B1"/>
    <w:rsid w:val="000E2EE4"/>
    <w:rsid w:val="000E5A5B"/>
    <w:rsid w:val="000F0373"/>
    <w:rsid w:val="000F1115"/>
    <w:rsid w:val="000F2767"/>
    <w:rsid w:val="000F305E"/>
    <w:rsid w:val="000F307B"/>
    <w:rsid w:val="000F3CC2"/>
    <w:rsid w:val="000F60C1"/>
    <w:rsid w:val="000F72FD"/>
    <w:rsid w:val="00100DA7"/>
    <w:rsid w:val="0010136C"/>
    <w:rsid w:val="00102E4D"/>
    <w:rsid w:val="00107829"/>
    <w:rsid w:val="00107B49"/>
    <w:rsid w:val="0011333F"/>
    <w:rsid w:val="00114AF3"/>
    <w:rsid w:val="00117520"/>
    <w:rsid w:val="00122152"/>
    <w:rsid w:val="00124105"/>
    <w:rsid w:val="0012475B"/>
    <w:rsid w:val="00126278"/>
    <w:rsid w:val="00126824"/>
    <w:rsid w:val="00131AF2"/>
    <w:rsid w:val="00132CE4"/>
    <w:rsid w:val="001340F6"/>
    <w:rsid w:val="00134C07"/>
    <w:rsid w:val="00135BAF"/>
    <w:rsid w:val="00136B91"/>
    <w:rsid w:val="001372EA"/>
    <w:rsid w:val="0014111C"/>
    <w:rsid w:val="00141E9F"/>
    <w:rsid w:val="0014201D"/>
    <w:rsid w:val="00142ADA"/>
    <w:rsid w:val="00145CFB"/>
    <w:rsid w:val="00146F7C"/>
    <w:rsid w:val="00150519"/>
    <w:rsid w:val="0015082F"/>
    <w:rsid w:val="00150F18"/>
    <w:rsid w:val="0015272F"/>
    <w:rsid w:val="00154700"/>
    <w:rsid w:val="00154EE7"/>
    <w:rsid w:val="00156958"/>
    <w:rsid w:val="00160FCD"/>
    <w:rsid w:val="00161D56"/>
    <w:rsid w:val="001636F7"/>
    <w:rsid w:val="00164008"/>
    <w:rsid w:val="00171036"/>
    <w:rsid w:val="001759D8"/>
    <w:rsid w:val="00176F30"/>
    <w:rsid w:val="00181EC8"/>
    <w:rsid w:val="00191690"/>
    <w:rsid w:val="00192D86"/>
    <w:rsid w:val="00194699"/>
    <w:rsid w:val="00197237"/>
    <w:rsid w:val="001A10C5"/>
    <w:rsid w:val="001A318F"/>
    <w:rsid w:val="001C7021"/>
    <w:rsid w:val="001C7429"/>
    <w:rsid w:val="001D40AD"/>
    <w:rsid w:val="001D6BC1"/>
    <w:rsid w:val="001D7041"/>
    <w:rsid w:val="001E01D9"/>
    <w:rsid w:val="001E1883"/>
    <w:rsid w:val="001E2D49"/>
    <w:rsid w:val="001E461E"/>
    <w:rsid w:val="001F10C4"/>
    <w:rsid w:val="001F1398"/>
    <w:rsid w:val="001F1BDC"/>
    <w:rsid w:val="001F34B6"/>
    <w:rsid w:val="001F46AB"/>
    <w:rsid w:val="001F6DD9"/>
    <w:rsid w:val="001F6F69"/>
    <w:rsid w:val="001F7F55"/>
    <w:rsid w:val="002002FA"/>
    <w:rsid w:val="002005BC"/>
    <w:rsid w:val="00201D05"/>
    <w:rsid w:val="00202637"/>
    <w:rsid w:val="00206521"/>
    <w:rsid w:val="0020708D"/>
    <w:rsid w:val="002076C1"/>
    <w:rsid w:val="00207A99"/>
    <w:rsid w:val="0021100A"/>
    <w:rsid w:val="00221257"/>
    <w:rsid w:val="0022234D"/>
    <w:rsid w:val="002238C3"/>
    <w:rsid w:val="00226104"/>
    <w:rsid w:val="002271B3"/>
    <w:rsid w:val="002272A6"/>
    <w:rsid w:val="00234F1F"/>
    <w:rsid w:val="002372CD"/>
    <w:rsid w:val="00240C44"/>
    <w:rsid w:val="00241D54"/>
    <w:rsid w:val="00242C9C"/>
    <w:rsid w:val="00242FD0"/>
    <w:rsid w:val="00244677"/>
    <w:rsid w:val="00244DE7"/>
    <w:rsid w:val="00246EF7"/>
    <w:rsid w:val="00252FE4"/>
    <w:rsid w:val="00253C57"/>
    <w:rsid w:val="002543F5"/>
    <w:rsid w:val="00255783"/>
    <w:rsid w:val="00260739"/>
    <w:rsid w:val="00263415"/>
    <w:rsid w:val="00263C4D"/>
    <w:rsid w:val="00265102"/>
    <w:rsid w:val="002669EB"/>
    <w:rsid w:val="00273603"/>
    <w:rsid w:val="002754B8"/>
    <w:rsid w:val="00283F4D"/>
    <w:rsid w:val="002852E3"/>
    <w:rsid w:val="00285AA5"/>
    <w:rsid w:val="0028734A"/>
    <w:rsid w:val="002902C0"/>
    <w:rsid w:val="00290F59"/>
    <w:rsid w:val="002939E8"/>
    <w:rsid w:val="00294A57"/>
    <w:rsid w:val="002961FF"/>
    <w:rsid w:val="00296237"/>
    <w:rsid w:val="002965B7"/>
    <w:rsid w:val="002977F8"/>
    <w:rsid w:val="002A3A75"/>
    <w:rsid w:val="002B032F"/>
    <w:rsid w:val="002B084B"/>
    <w:rsid w:val="002B2B61"/>
    <w:rsid w:val="002B444D"/>
    <w:rsid w:val="002B59FA"/>
    <w:rsid w:val="002B5B82"/>
    <w:rsid w:val="002C0889"/>
    <w:rsid w:val="002C2D8E"/>
    <w:rsid w:val="002C48A1"/>
    <w:rsid w:val="002C58AD"/>
    <w:rsid w:val="002C656A"/>
    <w:rsid w:val="002C6A71"/>
    <w:rsid w:val="002C6B6C"/>
    <w:rsid w:val="002D1CC5"/>
    <w:rsid w:val="002D2185"/>
    <w:rsid w:val="002D2746"/>
    <w:rsid w:val="002D3107"/>
    <w:rsid w:val="002D65D2"/>
    <w:rsid w:val="002E0549"/>
    <w:rsid w:val="002E4833"/>
    <w:rsid w:val="002E5E87"/>
    <w:rsid w:val="002E682E"/>
    <w:rsid w:val="002E74B0"/>
    <w:rsid w:val="002F0D72"/>
    <w:rsid w:val="002F0FD1"/>
    <w:rsid w:val="002F6CFD"/>
    <w:rsid w:val="00300F24"/>
    <w:rsid w:val="003041FA"/>
    <w:rsid w:val="003062E1"/>
    <w:rsid w:val="00306661"/>
    <w:rsid w:val="00306CCF"/>
    <w:rsid w:val="00307020"/>
    <w:rsid w:val="00307244"/>
    <w:rsid w:val="00311AA3"/>
    <w:rsid w:val="00314143"/>
    <w:rsid w:val="003143C0"/>
    <w:rsid w:val="00314F0F"/>
    <w:rsid w:val="00316184"/>
    <w:rsid w:val="0032128F"/>
    <w:rsid w:val="00321C64"/>
    <w:rsid w:val="00322EB4"/>
    <w:rsid w:val="0032392C"/>
    <w:rsid w:val="0032472B"/>
    <w:rsid w:val="0033166F"/>
    <w:rsid w:val="003320E0"/>
    <w:rsid w:val="00332835"/>
    <w:rsid w:val="00343F20"/>
    <w:rsid w:val="00347022"/>
    <w:rsid w:val="00352D70"/>
    <w:rsid w:val="00353B53"/>
    <w:rsid w:val="003546F9"/>
    <w:rsid w:val="003550BD"/>
    <w:rsid w:val="00356436"/>
    <w:rsid w:val="00357A25"/>
    <w:rsid w:val="00360AC5"/>
    <w:rsid w:val="00362BFB"/>
    <w:rsid w:val="00363DE1"/>
    <w:rsid w:val="00365347"/>
    <w:rsid w:val="00366DA8"/>
    <w:rsid w:val="0036744A"/>
    <w:rsid w:val="003675C7"/>
    <w:rsid w:val="00370C26"/>
    <w:rsid w:val="00371A2F"/>
    <w:rsid w:val="00373097"/>
    <w:rsid w:val="00373BA6"/>
    <w:rsid w:val="00377618"/>
    <w:rsid w:val="00381270"/>
    <w:rsid w:val="00381FFA"/>
    <w:rsid w:val="003829F4"/>
    <w:rsid w:val="00382DD0"/>
    <w:rsid w:val="0038543D"/>
    <w:rsid w:val="0039062D"/>
    <w:rsid w:val="00392C7B"/>
    <w:rsid w:val="0039366F"/>
    <w:rsid w:val="00395BF7"/>
    <w:rsid w:val="00397144"/>
    <w:rsid w:val="00397528"/>
    <w:rsid w:val="00397FA2"/>
    <w:rsid w:val="003A03F1"/>
    <w:rsid w:val="003A2B04"/>
    <w:rsid w:val="003A3AA1"/>
    <w:rsid w:val="003A3E71"/>
    <w:rsid w:val="003A47AB"/>
    <w:rsid w:val="003A57D0"/>
    <w:rsid w:val="003A6248"/>
    <w:rsid w:val="003A650F"/>
    <w:rsid w:val="003A7455"/>
    <w:rsid w:val="003A79EE"/>
    <w:rsid w:val="003B1819"/>
    <w:rsid w:val="003B2F90"/>
    <w:rsid w:val="003B37F7"/>
    <w:rsid w:val="003B4406"/>
    <w:rsid w:val="003B504A"/>
    <w:rsid w:val="003C0B49"/>
    <w:rsid w:val="003C146C"/>
    <w:rsid w:val="003C17FC"/>
    <w:rsid w:val="003C2273"/>
    <w:rsid w:val="003C3CFF"/>
    <w:rsid w:val="003C535E"/>
    <w:rsid w:val="003C575A"/>
    <w:rsid w:val="003C5A87"/>
    <w:rsid w:val="003C64E8"/>
    <w:rsid w:val="003C6E1F"/>
    <w:rsid w:val="003C7686"/>
    <w:rsid w:val="003D2491"/>
    <w:rsid w:val="003D411F"/>
    <w:rsid w:val="003D4348"/>
    <w:rsid w:val="003E2414"/>
    <w:rsid w:val="003E5852"/>
    <w:rsid w:val="003E7515"/>
    <w:rsid w:val="003F096D"/>
    <w:rsid w:val="003F1D4D"/>
    <w:rsid w:val="003F24AF"/>
    <w:rsid w:val="003F32E2"/>
    <w:rsid w:val="003F34D3"/>
    <w:rsid w:val="003F4ECD"/>
    <w:rsid w:val="003F6E04"/>
    <w:rsid w:val="00401D1E"/>
    <w:rsid w:val="00401E3F"/>
    <w:rsid w:val="00401E6D"/>
    <w:rsid w:val="0040293F"/>
    <w:rsid w:val="00403B23"/>
    <w:rsid w:val="004055CD"/>
    <w:rsid w:val="00405AA6"/>
    <w:rsid w:val="00406085"/>
    <w:rsid w:val="004065C0"/>
    <w:rsid w:val="00410E94"/>
    <w:rsid w:val="00411F46"/>
    <w:rsid w:val="004166A9"/>
    <w:rsid w:val="00417EF7"/>
    <w:rsid w:val="00421EF4"/>
    <w:rsid w:val="00424451"/>
    <w:rsid w:val="00433F72"/>
    <w:rsid w:val="00442A49"/>
    <w:rsid w:val="00446902"/>
    <w:rsid w:val="00450360"/>
    <w:rsid w:val="0045266B"/>
    <w:rsid w:val="00454B71"/>
    <w:rsid w:val="00461BDB"/>
    <w:rsid w:val="0046247B"/>
    <w:rsid w:val="004632E3"/>
    <w:rsid w:val="0046376E"/>
    <w:rsid w:val="00464592"/>
    <w:rsid w:val="00464724"/>
    <w:rsid w:val="00464895"/>
    <w:rsid w:val="0046600D"/>
    <w:rsid w:val="004678C3"/>
    <w:rsid w:val="004730E7"/>
    <w:rsid w:val="00475DAB"/>
    <w:rsid w:val="00475E97"/>
    <w:rsid w:val="0047709D"/>
    <w:rsid w:val="004778E6"/>
    <w:rsid w:val="004845EE"/>
    <w:rsid w:val="00484CF5"/>
    <w:rsid w:val="0048568A"/>
    <w:rsid w:val="0048587E"/>
    <w:rsid w:val="0048652F"/>
    <w:rsid w:val="00486A38"/>
    <w:rsid w:val="00496A2A"/>
    <w:rsid w:val="00496B0C"/>
    <w:rsid w:val="00496C42"/>
    <w:rsid w:val="0049779B"/>
    <w:rsid w:val="004A2F4F"/>
    <w:rsid w:val="004A4C4E"/>
    <w:rsid w:val="004A5B3C"/>
    <w:rsid w:val="004A774A"/>
    <w:rsid w:val="004A7B39"/>
    <w:rsid w:val="004B141C"/>
    <w:rsid w:val="004B25AE"/>
    <w:rsid w:val="004B3976"/>
    <w:rsid w:val="004B3A05"/>
    <w:rsid w:val="004B3A1B"/>
    <w:rsid w:val="004B49BF"/>
    <w:rsid w:val="004B5BC0"/>
    <w:rsid w:val="004B6236"/>
    <w:rsid w:val="004C0B2C"/>
    <w:rsid w:val="004C163A"/>
    <w:rsid w:val="004C27E5"/>
    <w:rsid w:val="004C43B8"/>
    <w:rsid w:val="004C442D"/>
    <w:rsid w:val="004C52E8"/>
    <w:rsid w:val="004D08F6"/>
    <w:rsid w:val="004D2B02"/>
    <w:rsid w:val="004D48E1"/>
    <w:rsid w:val="004D751C"/>
    <w:rsid w:val="004E023C"/>
    <w:rsid w:val="004E1FA4"/>
    <w:rsid w:val="004E68B8"/>
    <w:rsid w:val="004E7558"/>
    <w:rsid w:val="004F0B81"/>
    <w:rsid w:val="004F0C5F"/>
    <w:rsid w:val="004F4441"/>
    <w:rsid w:val="004F5733"/>
    <w:rsid w:val="004F7104"/>
    <w:rsid w:val="005001DF"/>
    <w:rsid w:val="00503A94"/>
    <w:rsid w:val="005065DB"/>
    <w:rsid w:val="0051025D"/>
    <w:rsid w:val="00510DDF"/>
    <w:rsid w:val="00510F55"/>
    <w:rsid w:val="00513606"/>
    <w:rsid w:val="00513A63"/>
    <w:rsid w:val="00514026"/>
    <w:rsid w:val="00520899"/>
    <w:rsid w:val="00521A36"/>
    <w:rsid w:val="00523248"/>
    <w:rsid w:val="00523502"/>
    <w:rsid w:val="00525BB4"/>
    <w:rsid w:val="00526EB3"/>
    <w:rsid w:val="0053013A"/>
    <w:rsid w:val="00530573"/>
    <w:rsid w:val="00530BFC"/>
    <w:rsid w:val="00531171"/>
    <w:rsid w:val="00531677"/>
    <w:rsid w:val="0054113E"/>
    <w:rsid w:val="00541FF8"/>
    <w:rsid w:val="005450B5"/>
    <w:rsid w:val="00550B4E"/>
    <w:rsid w:val="00551144"/>
    <w:rsid w:val="00553BA5"/>
    <w:rsid w:val="0055451A"/>
    <w:rsid w:val="00556F49"/>
    <w:rsid w:val="00560E68"/>
    <w:rsid w:val="005624EE"/>
    <w:rsid w:val="00567B2E"/>
    <w:rsid w:val="00567F45"/>
    <w:rsid w:val="00573442"/>
    <w:rsid w:val="005815A2"/>
    <w:rsid w:val="0058177E"/>
    <w:rsid w:val="00581A1E"/>
    <w:rsid w:val="00582261"/>
    <w:rsid w:val="005826E1"/>
    <w:rsid w:val="005844C2"/>
    <w:rsid w:val="00585A4E"/>
    <w:rsid w:val="005864DA"/>
    <w:rsid w:val="00587FC4"/>
    <w:rsid w:val="00592829"/>
    <w:rsid w:val="005A05F2"/>
    <w:rsid w:val="005A3107"/>
    <w:rsid w:val="005A322B"/>
    <w:rsid w:val="005A7D94"/>
    <w:rsid w:val="005B0D62"/>
    <w:rsid w:val="005B3054"/>
    <w:rsid w:val="005B5BB8"/>
    <w:rsid w:val="005B71CD"/>
    <w:rsid w:val="005B7A6F"/>
    <w:rsid w:val="005C6924"/>
    <w:rsid w:val="005D1943"/>
    <w:rsid w:val="005D2572"/>
    <w:rsid w:val="005D3B15"/>
    <w:rsid w:val="005D3F3C"/>
    <w:rsid w:val="005D4684"/>
    <w:rsid w:val="005D76A4"/>
    <w:rsid w:val="005E0E31"/>
    <w:rsid w:val="005E12AF"/>
    <w:rsid w:val="005E1967"/>
    <w:rsid w:val="005E25D2"/>
    <w:rsid w:val="005E3678"/>
    <w:rsid w:val="005E6644"/>
    <w:rsid w:val="005E793D"/>
    <w:rsid w:val="005F0392"/>
    <w:rsid w:val="005F121A"/>
    <w:rsid w:val="005F306B"/>
    <w:rsid w:val="005F38B5"/>
    <w:rsid w:val="005F4675"/>
    <w:rsid w:val="005F4738"/>
    <w:rsid w:val="005F5F82"/>
    <w:rsid w:val="005F6494"/>
    <w:rsid w:val="006026A0"/>
    <w:rsid w:val="006027C4"/>
    <w:rsid w:val="00602C1D"/>
    <w:rsid w:val="00602CA4"/>
    <w:rsid w:val="00602F78"/>
    <w:rsid w:val="006043D0"/>
    <w:rsid w:val="00604EF8"/>
    <w:rsid w:val="006109AA"/>
    <w:rsid w:val="00610E34"/>
    <w:rsid w:val="0061128A"/>
    <w:rsid w:val="00611A50"/>
    <w:rsid w:val="00611AFE"/>
    <w:rsid w:val="0061790D"/>
    <w:rsid w:val="0062184A"/>
    <w:rsid w:val="00622551"/>
    <w:rsid w:val="0062339F"/>
    <w:rsid w:val="00623700"/>
    <w:rsid w:val="00626EAF"/>
    <w:rsid w:val="0062770C"/>
    <w:rsid w:val="006353EC"/>
    <w:rsid w:val="00635BB8"/>
    <w:rsid w:val="00635E7D"/>
    <w:rsid w:val="00636F84"/>
    <w:rsid w:val="00642FBB"/>
    <w:rsid w:val="006442B5"/>
    <w:rsid w:val="00644ACA"/>
    <w:rsid w:val="006462FE"/>
    <w:rsid w:val="00646C0B"/>
    <w:rsid w:val="00651C9D"/>
    <w:rsid w:val="0065383C"/>
    <w:rsid w:val="006552DE"/>
    <w:rsid w:val="00661467"/>
    <w:rsid w:val="006618A4"/>
    <w:rsid w:val="0066582B"/>
    <w:rsid w:val="00666CEF"/>
    <w:rsid w:val="00666EDB"/>
    <w:rsid w:val="00671879"/>
    <w:rsid w:val="00672B51"/>
    <w:rsid w:val="00674386"/>
    <w:rsid w:val="00674AD3"/>
    <w:rsid w:val="00675202"/>
    <w:rsid w:val="00676276"/>
    <w:rsid w:val="00676BD6"/>
    <w:rsid w:val="00677D08"/>
    <w:rsid w:val="00680F4A"/>
    <w:rsid w:val="0068346E"/>
    <w:rsid w:val="00684ADC"/>
    <w:rsid w:val="00686947"/>
    <w:rsid w:val="00686D07"/>
    <w:rsid w:val="006909AD"/>
    <w:rsid w:val="0069128C"/>
    <w:rsid w:val="00691749"/>
    <w:rsid w:val="00691B77"/>
    <w:rsid w:val="00694531"/>
    <w:rsid w:val="00694DCE"/>
    <w:rsid w:val="0069563A"/>
    <w:rsid w:val="00696834"/>
    <w:rsid w:val="006A5C83"/>
    <w:rsid w:val="006A6BD9"/>
    <w:rsid w:val="006B026C"/>
    <w:rsid w:val="006B0AEE"/>
    <w:rsid w:val="006B0C87"/>
    <w:rsid w:val="006B1643"/>
    <w:rsid w:val="006B1DA6"/>
    <w:rsid w:val="006B386F"/>
    <w:rsid w:val="006B3C2E"/>
    <w:rsid w:val="006B4AD7"/>
    <w:rsid w:val="006B6B8B"/>
    <w:rsid w:val="006B70C0"/>
    <w:rsid w:val="006C080B"/>
    <w:rsid w:val="006C3E75"/>
    <w:rsid w:val="006C407B"/>
    <w:rsid w:val="006D0979"/>
    <w:rsid w:val="006D1A0B"/>
    <w:rsid w:val="006D5EB2"/>
    <w:rsid w:val="006D68FB"/>
    <w:rsid w:val="006D76B7"/>
    <w:rsid w:val="006D7817"/>
    <w:rsid w:val="006E0120"/>
    <w:rsid w:val="006E428F"/>
    <w:rsid w:val="006E598A"/>
    <w:rsid w:val="006F1414"/>
    <w:rsid w:val="006F1918"/>
    <w:rsid w:val="006F23A7"/>
    <w:rsid w:val="006F346F"/>
    <w:rsid w:val="006F3B70"/>
    <w:rsid w:val="006F7FC6"/>
    <w:rsid w:val="007015A1"/>
    <w:rsid w:val="00704162"/>
    <w:rsid w:val="007058A4"/>
    <w:rsid w:val="0070601D"/>
    <w:rsid w:val="007073EE"/>
    <w:rsid w:val="007128F7"/>
    <w:rsid w:val="0071348C"/>
    <w:rsid w:val="00716CAC"/>
    <w:rsid w:val="00723631"/>
    <w:rsid w:val="007239A0"/>
    <w:rsid w:val="007251FE"/>
    <w:rsid w:val="00727263"/>
    <w:rsid w:val="007308FE"/>
    <w:rsid w:val="00730E9A"/>
    <w:rsid w:val="0073414A"/>
    <w:rsid w:val="0073420C"/>
    <w:rsid w:val="0073798A"/>
    <w:rsid w:val="00740C61"/>
    <w:rsid w:val="00744408"/>
    <w:rsid w:val="00746957"/>
    <w:rsid w:val="00747714"/>
    <w:rsid w:val="00747866"/>
    <w:rsid w:val="007518D9"/>
    <w:rsid w:val="0075358B"/>
    <w:rsid w:val="00756881"/>
    <w:rsid w:val="007578AB"/>
    <w:rsid w:val="00761F9F"/>
    <w:rsid w:val="00764E94"/>
    <w:rsid w:val="0076698D"/>
    <w:rsid w:val="007704F9"/>
    <w:rsid w:val="00770AE1"/>
    <w:rsid w:val="00770BC4"/>
    <w:rsid w:val="00770CFC"/>
    <w:rsid w:val="00771651"/>
    <w:rsid w:val="007738B2"/>
    <w:rsid w:val="007754EF"/>
    <w:rsid w:val="00776AEE"/>
    <w:rsid w:val="00781C8E"/>
    <w:rsid w:val="00783489"/>
    <w:rsid w:val="00783CB1"/>
    <w:rsid w:val="007847FE"/>
    <w:rsid w:val="00792610"/>
    <w:rsid w:val="00792EDD"/>
    <w:rsid w:val="007940A1"/>
    <w:rsid w:val="007957EE"/>
    <w:rsid w:val="00795F53"/>
    <w:rsid w:val="00797B9C"/>
    <w:rsid w:val="007A0E32"/>
    <w:rsid w:val="007A2002"/>
    <w:rsid w:val="007A352C"/>
    <w:rsid w:val="007A48E1"/>
    <w:rsid w:val="007A5F15"/>
    <w:rsid w:val="007B0BA8"/>
    <w:rsid w:val="007B1D7A"/>
    <w:rsid w:val="007B20AB"/>
    <w:rsid w:val="007B2CEC"/>
    <w:rsid w:val="007B3629"/>
    <w:rsid w:val="007B4795"/>
    <w:rsid w:val="007C5439"/>
    <w:rsid w:val="007C69B4"/>
    <w:rsid w:val="007C7949"/>
    <w:rsid w:val="007D0A16"/>
    <w:rsid w:val="007D0D3C"/>
    <w:rsid w:val="007D1263"/>
    <w:rsid w:val="007D546D"/>
    <w:rsid w:val="007D5FD6"/>
    <w:rsid w:val="007E58ED"/>
    <w:rsid w:val="007E781A"/>
    <w:rsid w:val="007F0168"/>
    <w:rsid w:val="007F2627"/>
    <w:rsid w:val="007F2762"/>
    <w:rsid w:val="007F2786"/>
    <w:rsid w:val="007F7E1D"/>
    <w:rsid w:val="00800660"/>
    <w:rsid w:val="008036D9"/>
    <w:rsid w:val="00805AD7"/>
    <w:rsid w:val="00805F34"/>
    <w:rsid w:val="0080702C"/>
    <w:rsid w:val="0081016E"/>
    <w:rsid w:val="00812119"/>
    <w:rsid w:val="00812D5F"/>
    <w:rsid w:val="00815449"/>
    <w:rsid w:val="00825706"/>
    <w:rsid w:val="00825ADB"/>
    <w:rsid w:val="008352F2"/>
    <w:rsid w:val="0083679F"/>
    <w:rsid w:val="00840E4F"/>
    <w:rsid w:val="00846AC8"/>
    <w:rsid w:val="008470A5"/>
    <w:rsid w:val="00847930"/>
    <w:rsid w:val="0085229E"/>
    <w:rsid w:val="0085587D"/>
    <w:rsid w:val="00860068"/>
    <w:rsid w:val="00860F0E"/>
    <w:rsid w:val="00863769"/>
    <w:rsid w:val="00864181"/>
    <w:rsid w:val="00870419"/>
    <w:rsid w:val="0087053E"/>
    <w:rsid w:val="008722CE"/>
    <w:rsid w:val="00883939"/>
    <w:rsid w:val="00883A8F"/>
    <w:rsid w:val="00891365"/>
    <w:rsid w:val="008925F0"/>
    <w:rsid w:val="008936A4"/>
    <w:rsid w:val="008964E8"/>
    <w:rsid w:val="008A3E16"/>
    <w:rsid w:val="008A3FB5"/>
    <w:rsid w:val="008A49AA"/>
    <w:rsid w:val="008A65B3"/>
    <w:rsid w:val="008A67FD"/>
    <w:rsid w:val="008B1EF9"/>
    <w:rsid w:val="008B35C6"/>
    <w:rsid w:val="008B4DA6"/>
    <w:rsid w:val="008B52F2"/>
    <w:rsid w:val="008B74BC"/>
    <w:rsid w:val="008B7CDB"/>
    <w:rsid w:val="008C17B8"/>
    <w:rsid w:val="008C1D03"/>
    <w:rsid w:val="008C2386"/>
    <w:rsid w:val="008C5F7D"/>
    <w:rsid w:val="008C60DC"/>
    <w:rsid w:val="008C62B5"/>
    <w:rsid w:val="008C7560"/>
    <w:rsid w:val="008C77CC"/>
    <w:rsid w:val="008D018D"/>
    <w:rsid w:val="008D0933"/>
    <w:rsid w:val="008D1E55"/>
    <w:rsid w:val="008D6A02"/>
    <w:rsid w:val="008E1869"/>
    <w:rsid w:val="008E18F9"/>
    <w:rsid w:val="008E1F19"/>
    <w:rsid w:val="008E3FDB"/>
    <w:rsid w:val="008E50F5"/>
    <w:rsid w:val="008E6C52"/>
    <w:rsid w:val="008E7543"/>
    <w:rsid w:val="008F0C67"/>
    <w:rsid w:val="008F1048"/>
    <w:rsid w:val="008F27F2"/>
    <w:rsid w:val="008F331C"/>
    <w:rsid w:val="008F4466"/>
    <w:rsid w:val="008F51E4"/>
    <w:rsid w:val="008F7597"/>
    <w:rsid w:val="00901843"/>
    <w:rsid w:val="0090401F"/>
    <w:rsid w:val="009107C6"/>
    <w:rsid w:val="009119B7"/>
    <w:rsid w:val="00913A27"/>
    <w:rsid w:val="00914818"/>
    <w:rsid w:val="00916B9E"/>
    <w:rsid w:val="009238E3"/>
    <w:rsid w:val="00924F97"/>
    <w:rsid w:val="00925347"/>
    <w:rsid w:val="00926358"/>
    <w:rsid w:val="00926B79"/>
    <w:rsid w:val="009328E1"/>
    <w:rsid w:val="00935703"/>
    <w:rsid w:val="009361ED"/>
    <w:rsid w:val="009368DA"/>
    <w:rsid w:val="009407AB"/>
    <w:rsid w:val="009423FA"/>
    <w:rsid w:val="0094506B"/>
    <w:rsid w:val="009501C4"/>
    <w:rsid w:val="00950E31"/>
    <w:rsid w:val="009513D4"/>
    <w:rsid w:val="009514C6"/>
    <w:rsid w:val="00952200"/>
    <w:rsid w:val="00954894"/>
    <w:rsid w:val="009554E1"/>
    <w:rsid w:val="00957D55"/>
    <w:rsid w:val="0096066B"/>
    <w:rsid w:val="00962901"/>
    <w:rsid w:val="00963DF9"/>
    <w:rsid w:val="0096413D"/>
    <w:rsid w:val="00964AE1"/>
    <w:rsid w:val="00966000"/>
    <w:rsid w:val="00967539"/>
    <w:rsid w:val="00970670"/>
    <w:rsid w:val="00970861"/>
    <w:rsid w:val="00975219"/>
    <w:rsid w:val="00980199"/>
    <w:rsid w:val="0098089A"/>
    <w:rsid w:val="00985C76"/>
    <w:rsid w:val="00986076"/>
    <w:rsid w:val="00986794"/>
    <w:rsid w:val="009924C2"/>
    <w:rsid w:val="0099384C"/>
    <w:rsid w:val="00993BB6"/>
    <w:rsid w:val="009950A6"/>
    <w:rsid w:val="009A68A1"/>
    <w:rsid w:val="009A76B5"/>
    <w:rsid w:val="009B12B1"/>
    <w:rsid w:val="009B2194"/>
    <w:rsid w:val="009B38E7"/>
    <w:rsid w:val="009C08A6"/>
    <w:rsid w:val="009C3012"/>
    <w:rsid w:val="009C301A"/>
    <w:rsid w:val="009C3C95"/>
    <w:rsid w:val="009C629D"/>
    <w:rsid w:val="009C65DF"/>
    <w:rsid w:val="009C7CDB"/>
    <w:rsid w:val="009D3245"/>
    <w:rsid w:val="009D3951"/>
    <w:rsid w:val="009D4739"/>
    <w:rsid w:val="009D54F2"/>
    <w:rsid w:val="009E07BB"/>
    <w:rsid w:val="009E2A1A"/>
    <w:rsid w:val="009E36EE"/>
    <w:rsid w:val="009E48B4"/>
    <w:rsid w:val="009E65C4"/>
    <w:rsid w:val="009E7D2D"/>
    <w:rsid w:val="009F0239"/>
    <w:rsid w:val="009F60D0"/>
    <w:rsid w:val="00A00540"/>
    <w:rsid w:val="00A02AEC"/>
    <w:rsid w:val="00A05FF5"/>
    <w:rsid w:val="00A10B58"/>
    <w:rsid w:val="00A126AD"/>
    <w:rsid w:val="00A17863"/>
    <w:rsid w:val="00A301D3"/>
    <w:rsid w:val="00A30A5F"/>
    <w:rsid w:val="00A30DA9"/>
    <w:rsid w:val="00A3329B"/>
    <w:rsid w:val="00A33BF7"/>
    <w:rsid w:val="00A35CD6"/>
    <w:rsid w:val="00A36DE8"/>
    <w:rsid w:val="00A37F97"/>
    <w:rsid w:val="00A4310C"/>
    <w:rsid w:val="00A4388C"/>
    <w:rsid w:val="00A4412F"/>
    <w:rsid w:val="00A46298"/>
    <w:rsid w:val="00A47C37"/>
    <w:rsid w:val="00A5030E"/>
    <w:rsid w:val="00A51C93"/>
    <w:rsid w:val="00A524B5"/>
    <w:rsid w:val="00A55F45"/>
    <w:rsid w:val="00A566F6"/>
    <w:rsid w:val="00A577CC"/>
    <w:rsid w:val="00A6576F"/>
    <w:rsid w:val="00A66B6D"/>
    <w:rsid w:val="00A66EFC"/>
    <w:rsid w:val="00A72C65"/>
    <w:rsid w:val="00A731B3"/>
    <w:rsid w:val="00A73CB1"/>
    <w:rsid w:val="00A74E17"/>
    <w:rsid w:val="00A76DCA"/>
    <w:rsid w:val="00A83FF6"/>
    <w:rsid w:val="00A9058A"/>
    <w:rsid w:val="00A93D50"/>
    <w:rsid w:val="00A94CDA"/>
    <w:rsid w:val="00A94FD7"/>
    <w:rsid w:val="00A96C45"/>
    <w:rsid w:val="00A96F2E"/>
    <w:rsid w:val="00A96FD6"/>
    <w:rsid w:val="00A97619"/>
    <w:rsid w:val="00A97FF1"/>
    <w:rsid w:val="00AA4827"/>
    <w:rsid w:val="00AA4CA2"/>
    <w:rsid w:val="00AA5FC8"/>
    <w:rsid w:val="00AB42EC"/>
    <w:rsid w:val="00AB65FA"/>
    <w:rsid w:val="00AC1F3E"/>
    <w:rsid w:val="00AC515A"/>
    <w:rsid w:val="00AD271E"/>
    <w:rsid w:val="00AD28C5"/>
    <w:rsid w:val="00AD2C17"/>
    <w:rsid w:val="00AD2D0D"/>
    <w:rsid w:val="00AD2FF4"/>
    <w:rsid w:val="00AE022D"/>
    <w:rsid w:val="00AE1DA3"/>
    <w:rsid w:val="00AE3AAF"/>
    <w:rsid w:val="00AE7E73"/>
    <w:rsid w:val="00AF067C"/>
    <w:rsid w:val="00B0009C"/>
    <w:rsid w:val="00B00D78"/>
    <w:rsid w:val="00B0190E"/>
    <w:rsid w:val="00B038B3"/>
    <w:rsid w:val="00B07F36"/>
    <w:rsid w:val="00B1071C"/>
    <w:rsid w:val="00B11608"/>
    <w:rsid w:val="00B12EC3"/>
    <w:rsid w:val="00B13C05"/>
    <w:rsid w:val="00B17480"/>
    <w:rsid w:val="00B177B6"/>
    <w:rsid w:val="00B22882"/>
    <w:rsid w:val="00B22DE6"/>
    <w:rsid w:val="00B2388E"/>
    <w:rsid w:val="00B25FD3"/>
    <w:rsid w:val="00B276A3"/>
    <w:rsid w:val="00B27B53"/>
    <w:rsid w:val="00B307CD"/>
    <w:rsid w:val="00B31B0F"/>
    <w:rsid w:val="00B32A17"/>
    <w:rsid w:val="00B32A5C"/>
    <w:rsid w:val="00B33A3A"/>
    <w:rsid w:val="00B40D9D"/>
    <w:rsid w:val="00B40DC7"/>
    <w:rsid w:val="00B41034"/>
    <w:rsid w:val="00B41908"/>
    <w:rsid w:val="00B42D79"/>
    <w:rsid w:val="00B43D46"/>
    <w:rsid w:val="00B50D5E"/>
    <w:rsid w:val="00B51925"/>
    <w:rsid w:val="00B52223"/>
    <w:rsid w:val="00B529E5"/>
    <w:rsid w:val="00B616B1"/>
    <w:rsid w:val="00B625F5"/>
    <w:rsid w:val="00B6268E"/>
    <w:rsid w:val="00B635D5"/>
    <w:rsid w:val="00B66E73"/>
    <w:rsid w:val="00B67274"/>
    <w:rsid w:val="00B71558"/>
    <w:rsid w:val="00B7173C"/>
    <w:rsid w:val="00B74032"/>
    <w:rsid w:val="00B7452A"/>
    <w:rsid w:val="00B7453B"/>
    <w:rsid w:val="00B82903"/>
    <w:rsid w:val="00B8406D"/>
    <w:rsid w:val="00B8489E"/>
    <w:rsid w:val="00B85982"/>
    <w:rsid w:val="00B92806"/>
    <w:rsid w:val="00B9470E"/>
    <w:rsid w:val="00B95F83"/>
    <w:rsid w:val="00B977CA"/>
    <w:rsid w:val="00B97C72"/>
    <w:rsid w:val="00BA0BCF"/>
    <w:rsid w:val="00BA24F5"/>
    <w:rsid w:val="00BA4D02"/>
    <w:rsid w:val="00BA4F1B"/>
    <w:rsid w:val="00BA522B"/>
    <w:rsid w:val="00BB1366"/>
    <w:rsid w:val="00BB13E0"/>
    <w:rsid w:val="00BB2DDD"/>
    <w:rsid w:val="00BB64FC"/>
    <w:rsid w:val="00BC2E7E"/>
    <w:rsid w:val="00BC37B9"/>
    <w:rsid w:val="00BC7DE8"/>
    <w:rsid w:val="00BD030D"/>
    <w:rsid w:val="00BD13AF"/>
    <w:rsid w:val="00BD253D"/>
    <w:rsid w:val="00BD2611"/>
    <w:rsid w:val="00BD32A1"/>
    <w:rsid w:val="00BD4925"/>
    <w:rsid w:val="00BE06C0"/>
    <w:rsid w:val="00BE2784"/>
    <w:rsid w:val="00BE4B07"/>
    <w:rsid w:val="00BE56E0"/>
    <w:rsid w:val="00BE7EF1"/>
    <w:rsid w:val="00BF1906"/>
    <w:rsid w:val="00BF37BF"/>
    <w:rsid w:val="00BF3B42"/>
    <w:rsid w:val="00BF3E83"/>
    <w:rsid w:val="00BF4B23"/>
    <w:rsid w:val="00BF516D"/>
    <w:rsid w:val="00C00D6E"/>
    <w:rsid w:val="00C0482A"/>
    <w:rsid w:val="00C059B7"/>
    <w:rsid w:val="00C05B1D"/>
    <w:rsid w:val="00C0621B"/>
    <w:rsid w:val="00C13815"/>
    <w:rsid w:val="00C15FA2"/>
    <w:rsid w:val="00C170A8"/>
    <w:rsid w:val="00C20129"/>
    <w:rsid w:val="00C203BF"/>
    <w:rsid w:val="00C23CAF"/>
    <w:rsid w:val="00C251E8"/>
    <w:rsid w:val="00C253A3"/>
    <w:rsid w:val="00C313DA"/>
    <w:rsid w:val="00C340A3"/>
    <w:rsid w:val="00C3467D"/>
    <w:rsid w:val="00C346FE"/>
    <w:rsid w:val="00C36177"/>
    <w:rsid w:val="00C37699"/>
    <w:rsid w:val="00C377E2"/>
    <w:rsid w:val="00C37A7F"/>
    <w:rsid w:val="00C41235"/>
    <w:rsid w:val="00C41D4F"/>
    <w:rsid w:val="00C53D38"/>
    <w:rsid w:val="00C53D5B"/>
    <w:rsid w:val="00C55171"/>
    <w:rsid w:val="00C578DD"/>
    <w:rsid w:val="00C57ADD"/>
    <w:rsid w:val="00C62D7F"/>
    <w:rsid w:val="00C639DC"/>
    <w:rsid w:val="00C6572D"/>
    <w:rsid w:val="00C7188E"/>
    <w:rsid w:val="00C73468"/>
    <w:rsid w:val="00C75064"/>
    <w:rsid w:val="00C758B7"/>
    <w:rsid w:val="00C778F8"/>
    <w:rsid w:val="00C80018"/>
    <w:rsid w:val="00C8503D"/>
    <w:rsid w:val="00C857B2"/>
    <w:rsid w:val="00C8670B"/>
    <w:rsid w:val="00C870C9"/>
    <w:rsid w:val="00C87608"/>
    <w:rsid w:val="00C87EDA"/>
    <w:rsid w:val="00C87F2E"/>
    <w:rsid w:val="00C9167C"/>
    <w:rsid w:val="00C92B5B"/>
    <w:rsid w:val="00C97C32"/>
    <w:rsid w:val="00CA4CA6"/>
    <w:rsid w:val="00CA4FA1"/>
    <w:rsid w:val="00CA5DF4"/>
    <w:rsid w:val="00CA633F"/>
    <w:rsid w:val="00CA6475"/>
    <w:rsid w:val="00CB0C87"/>
    <w:rsid w:val="00CB20EA"/>
    <w:rsid w:val="00CB4266"/>
    <w:rsid w:val="00CC19AB"/>
    <w:rsid w:val="00CC294C"/>
    <w:rsid w:val="00CC356B"/>
    <w:rsid w:val="00CC6317"/>
    <w:rsid w:val="00CD0618"/>
    <w:rsid w:val="00CD074E"/>
    <w:rsid w:val="00CD24AB"/>
    <w:rsid w:val="00CD2F92"/>
    <w:rsid w:val="00CD4B6B"/>
    <w:rsid w:val="00CE0C3F"/>
    <w:rsid w:val="00CE670C"/>
    <w:rsid w:val="00CF0EC8"/>
    <w:rsid w:val="00D04E3F"/>
    <w:rsid w:val="00D06B16"/>
    <w:rsid w:val="00D11C12"/>
    <w:rsid w:val="00D11EB1"/>
    <w:rsid w:val="00D12A3C"/>
    <w:rsid w:val="00D1385D"/>
    <w:rsid w:val="00D163C7"/>
    <w:rsid w:val="00D206C4"/>
    <w:rsid w:val="00D224EE"/>
    <w:rsid w:val="00D23166"/>
    <w:rsid w:val="00D23F13"/>
    <w:rsid w:val="00D27596"/>
    <w:rsid w:val="00D323EC"/>
    <w:rsid w:val="00D32923"/>
    <w:rsid w:val="00D333E1"/>
    <w:rsid w:val="00D34032"/>
    <w:rsid w:val="00D35447"/>
    <w:rsid w:val="00D3622B"/>
    <w:rsid w:val="00D36658"/>
    <w:rsid w:val="00D36A69"/>
    <w:rsid w:val="00D37CCB"/>
    <w:rsid w:val="00D4282B"/>
    <w:rsid w:val="00D42F35"/>
    <w:rsid w:val="00D43909"/>
    <w:rsid w:val="00D467F5"/>
    <w:rsid w:val="00D47A91"/>
    <w:rsid w:val="00D5067E"/>
    <w:rsid w:val="00D51101"/>
    <w:rsid w:val="00D52163"/>
    <w:rsid w:val="00D54925"/>
    <w:rsid w:val="00D54BFD"/>
    <w:rsid w:val="00D54D04"/>
    <w:rsid w:val="00D55A27"/>
    <w:rsid w:val="00D55ABE"/>
    <w:rsid w:val="00D60989"/>
    <w:rsid w:val="00D622F3"/>
    <w:rsid w:val="00D62CBA"/>
    <w:rsid w:val="00D65289"/>
    <w:rsid w:val="00D65739"/>
    <w:rsid w:val="00D65C1E"/>
    <w:rsid w:val="00D66407"/>
    <w:rsid w:val="00D6641F"/>
    <w:rsid w:val="00D66E93"/>
    <w:rsid w:val="00D715E9"/>
    <w:rsid w:val="00D72AB2"/>
    <w:rsid w:val="00D74598"/>
    <w:rsid w:val="00D755CE"/>
    <w:rsid w:val="00D77086"/>
    <w:rsid w:val="00D7785E"/>
    <w:rsid w:val="00D8133C"/>
    <w:rsid w:val="00D83F5D"/>
    <w:rsid w:val="00D85549"/>
    <w:rsid w:val="00D86E58"/>
    <w:rsid w:val="00D906F0"/>
    <w:rsid w:val="00D94F69"/>
    <w:rsid w:val="00D95731"/>
    <w:rsid w:val="00D963A5"/>
    <w:rsid w:val="00D97C11"/>
    <w:rsid w:val="00DA0A1B"/>
    <w:rsid w:val="00DA695A"/>
    <w:rsid w:val="00DB5679"/>
    <w:rsid w:val="00DB5F26"/>
    <w:rsid w:val="00DC0C3E"/>
    <w:rsid w:val="00DC0E82"/>
    <w:rsid w:val="00DC25C4"/>
    <w:rsid w:val="00DD050E"/>
    <w:rsid w:val="00DD4ADC"/>
    <w:rsid w:val="00DD4F8B"/>
    <w:rsid w:val="00DD5F83"/>
    <w:rsid w:val="00DD75CD"/>
    <w:rsid w:val="00DE026E"/>
    <w:rsid w:val="00DE1CF7"/>
    <w:rsid w:val="00DE50DF"/>
    <w:rsid w:val="00DE5CD9"/>
    <w:rsid w:val="00DE7527"/>
    <w:rsid w:val="00DE7F7A"/>
    <w:rsid w:val="00DF1F40"/>
    <w:rsid w:val="00DF4262"/>
    <w:rsid w:val="00DF465E"/>
    <w:rsid w:val="00DF4E1A"/>
    <w:rsid w:val="00DF59D1"/>
    <w:rsid w:val="00E046E9"/>
    <w:rsid w:val="00E04B7C"/>
    <w:rsid w:val="00E05CDE"/>
    <w:rsid w:val="00E06DAD"/>
    <w:rsid w:val="00E07B1D"/>
    <w:rsid w:val="00E11DB8"/>
    <w:rsid w:val="00E13B55"/>
    <w:rsid w:val="00E14EB7"/>
    <w:rsid w:val="00E20236"/>
    <w:rsid w:val="00E203B3"/>
    <w:rsid w:val="00E2413D"/>
    <w:rsid w:val="00E25DB5"/>
    <w:rsid w:val="00E3237F"/>
    <w:rsid w:val="00E324E6"/>
    <w:rsid w:val="00E3490D"/>
    <w:rsid w:val="00E35E2E"/>
    <w:rsid w:val="00E47057"/>
    <w:rsid w:val="00E473AC"/>
    <w:rsid w:val="00E47B29"/>
    <w:rsid w:val="00E50B71"/>
    <w:rsid w:val="00E57A2A"/>
    <w:rsid w:val="00E606B3"/>
    <w:rsid w:val="00E608EC"/>
    <w:rsid w:val="00E609D4"/>
    <w:rsid w:val="00E621B7"/>
    <w:rsid w:val="00E62550"/>
    <w:rsid w:val="00E65D15"/>
    <w:rsid w:val="00E65EA0"/>
    <w:rsid w:val="00E66FE2"/>
    <w:rsid w:val="00E70E2F"/>
    <w:rsid w:val="00E70EEB"/>
    <w:rsid w:val="00E71794"/>
    <w:rsid w:val="00E7203F"/>
    <w:rsid w:val="00E73D7D"/>
    <w:rsid w:val="00E73DD2"/>
    <w:rsid w:val="00E747A9"/>
    <w:rsid w:val="00E749A3"/>
    <w:rsid w:val="00E76832"/>
    <w:rsid w:val="00E833A0"/>
    <w:rsid w:val="00E85528"/>
    <w:rsid w:val="00E86AAE"/>
    <w:rsid w:val="00E875E1"/>
    <w:rsid w:val="00E91E1A"/>
    <w:rsid w:val="00E93AE0"/>
    <w:rsid w:val="00EA01BC"/>
    <w:rsid w:val="00EA1FE6"/>
    <w:rsid w:val="00EA2137"/>
    <w:rsid w:val="00EA2D22"/>
    <w:rsid w:val="00EA3959"/>
    <w:rsid w:val="00EA4C06"/>
    <w:rsid w:val="00EA51CE"/>
    <w:rsid w:val="00EB0C37"/>
    <w:rsid w:val="00EB1666"/>
    <w:rsid w:val="00EB1D84"/>
    <w:rsid w:val="00EB1FA0"/>
    <w:rsid w:val="00EB2B05"/>
    <w:rsid w:val="00EB61F4"/>
    <w:rsid w:val="00EB7461"/>
    <w:rsid w:val="00EB7912"/>
    <w:rsid w:val="00EC0589"/>
    <w:rsid w:val="00EC1717"/>
    <w:rsid w:val="00EC3928"/>
    <w:rsid w:val="00EC43B0"/>
    <w:rsid w:val="00EC44CB"/>
    <w:rsid w:val="00EC65D5"/>
    <w:rsid w:val="00EC7DC9"/>
    <w:rsid w:val="00ED03C0"/>
    <w:rsid w:val="00ED38EF"/>
    <w:rsid w:val="00ED662A"/>
    <w:rsid w:val="00ED6D7B"/>
    <w:rsid w:val="00ED6F63"/>
    <w:rsid w:val="00ED70AC"/>
    <w:rsid w:val="00EE1FA3"/>
    <w:rsid w:val="00EE31D1"/>
    <w:rsid w:val="00EE3ACC"/>
    <w:rsid w:val="00EE4C55"/>
    <w:rsid w:val="00EE55D7"/>
    <w:rsid w:val="00EE6430"/>
    <w:rsid w:val="00EF2CD7"/>
    <w:rsid w:val="00EF2D10"/>
    <w:rsid w:val="00EF53AD"/>
    <w:rsid w:val="00F0169D"/>
    <w:rsid w:val="00F02173"/>
    <w:rsid w:val="00F038D3"/>
    <w:rsid w:val="00F04A0B"/>
    <w:rsid w:val="00F061DB"/>
    <w:rsid w:val="00F07ECE"/>
    <w:rsid w:val="00F11A75"/>
    <w:rsid w:val="00F14865"/>
    <w:rsid w:val="00F165BE"/>
    <w:rsid w:val="00F20B35"/>
    <w:rsid w:val="00F21D9C"/>
    <w:rsid w:val="00F21F3A"/>
    <w:rsid w:val="00F25396"/>
    <w:rsid w:val="00F25BF6"/>
    <w:rsid w:val="00F25D78"/>
    <w:rsid w:val="00F25EE6"/>
    <w:rsid w:val="00F260FD"/>
    <w:rsid w:val="00F266EB"/>
    <w:rsid w:val="00F304CF"/>
    <w:rsid w:val="00F326CD"/>
    <w:rsid w:val="00F3718A"/>
    <w:rsid w:val="00F40795"/>
    <w:rsid w:val="00F41075"/>
    <w:rsid w:val="00F47D9A"/>
    <w:rsid w:val="00F53B3E"/>
    <w:rsid w:val="00F54295"/>
    <w:rsid w:val="00F577D3"/>
    <w:rsid w:val="00F60C45"/>
    <w:rsid w:val="00F61582"/>
    <w:rsid w:val="00F646A2"/>
    <w:rsid w:val="00F71EC9"/>
    <w:rsid w:val="00F71ED0"/>
    <w:rsid w:val="00F7382A"/>
    <w:rsid w:val="00F73F48"/>
    <w:rsid w:val="00F74798"/>
    <w:rsid w:val="00F75BD8"/>
    <w:rsid w:val="00F76DC1"/>
    <w:rsid w:val="00F77B39"/>
    <w:rsid w:val="00F80693"/>
    <w:rsid w:val="00F80E64"/>
    <w:rsid w:val="00F8190B"/>
    <w:rsid w:val="00F861E3"/>
    <w:rsid w:val="00F86984"/>
    <w:rsid w:val="00F97088"/>
    <w:rsid w:val="00FA120C"/>
    <w:rsid w:val="00FA59AB"/>
    <w:rsid w:val="00FA5F8F"/>
    <w:rsid w:val="00FA6A62"/>
    <w:rsid w:val="00FB1BA8"/>
    <w:rsid w:val="00FB25C2"/>
    <w:rsid w:val="00FB3289"/>
    <w:rsid w:val="00FB4484"/>
    <w:rsid w:val="00FB451D"/>
    <w:rsid w:val="00FB48BA"/>
    <w:rsid w:val="00FB6434"/>
    <w:rsid w:val="00FB713F"/>
    <w:rsid w:val="00FB7653"/>
    <w:rsid w:val="00FC02B2"/>
    <w:rsid w:val="00FC143E"/>
    <w:rsid w:val="00FC312B"/>
    <w:rsid w:val="00FC36D9"/>
    <w:rsid w:val="00FC3F8B"/>
    <w:rsid w:val="00FC4B83"/>
    <w:rsid w:val="00FC7263"/>
    <w:rsid w:val="00FC75F7"/>
    <w:rsid w:val="00FC7F4F"/>
    <w:rsid w:val="00FD2EEF"/>
    <w:rsid w:val="00FD3761"/>
    <w:rsid w:val="00FD69C7"/>
    <w:rsid w:val="00FE29BE"/>
    <w:rsid w:val="00FE3EFE"/>
    <w:rsid w:val="00FE61CD"/>
    <w:rsid w:val="00FE7C54"/>
    <w:rsid w:val="00FF006A"/>
    <w:rsid w:val="00FF2C3D"/>
    <w:rsid w:val="00FF437A"/>
    <w:rsid w:val="00FF48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A3BE3CB-7445-49C4-8092-179F0302F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5688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0"/>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ad">
    <w:name w:val="格式表頭"/>
    <w:basedOn w:val="a4"/>
    <w:rsid w:val="00B17480"/>
    <w:pPr>
      <w:ind w:leftChars="0" w:left="0" w:firstLineChars="0" w:firstLine="0"/>
      <w:jc w:val="center"/>
    </w:pPr>
    <w:rPr>
      <w:b/>
      <w:snapToGrid/>
      <w:szCs w:val="24"/>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rsid w:val="002C6A71"/>
    <w:pPr>
      <w:tabs>
        <w:tab w:val="right" w:leader="hyphen" w:pos="8490"/>
      </w:tabs>
      <w:ind w:leftChars="0" w:left="566" w:rightChars="80" w:right="227" w:hangingChars="200" w:hanging="566"/>
    </w:pPr>
    <w:rPr>
      <w:sz w:val="24"/>
    </w:rPr>
  </w:style>
  <w:style w:type="paragraph" w:styleId="22">
    <w:name w:val="toc 2"/>
    <w:basedOn w:val="a"/>
    <w:next w:val="a"/>
    <w:autoRedefine/>
    <w:uiPriority w:val="39"/>
    <w:pPr>
      <w:tabs>
        <w:tab w:val="right" w:leader="hyphen" w:pos="8490"/>
      </w:tabs>
      <w:ind w:leftChars="0" w:left="566" w:hangingChars="200" w:hanging="566"/>
    </w:pPr>
  </w:style>
  <w:style w:type="character" w:styleId="ae">
    <w:name w:val="page number"/>
    <w:rsid w:val="00B17480"/>
  </w:style>
  <w:style w:type="paragraph" w:styleId="af">
    <w:name w:val="header"/>
    <w:basedOn w:val="a"/>
    <w:link w:val="af0"/>
    <w:uiPriority w:val="99"/>
    <w:rsid w:val="00B17480"/>
    <w:pPr>
      <w:tabs>
        <w:tab w:val="center" w:pos="4153"/>
        <w:tab w:val="right" w:pos="8306"/>
      </w:tabs>
      <w:snapToGrid w:val="0"/>
    </w:pPr>
    <w:rPr>
      <w:sz w:val="20"/>
      <w:szCs w:val="20"/>
    </w:rPr>
  </w:style>
  <w:style w:type="character" w:customStyle="1" w:styleId="af0">
    <w:name w:val="頁首 字元"/>
    <w:link w:val="af"/>
    <w:uiPriority w:val="99"/>
    <w:rsid w:val="00B17480"/>
    <w:rPr>
      <w:rFonts w:ascii="標楷體" w:eastAsia="標楷體"/>
      <w:snapToGrid w:val="0"/>
      <w:kern w:val="2"/>
    </w:rPr>
  </w:style>
  <w:style w:type="paragraph" w:styleId="af1">
    <w:name w:val="footer"/>
    <w:basedOn w:val="a"/>
    <w:link w:val="af2"/>
    <w:uiPriority w:val="99"/>
    <w:rsid w:val="00B17480"/>
    <w:pPr>
      <w:tabs>
        <w:tab w:val="center" w:pos="4153"/>
        <w:tab w:val="right" w:pos="8306"/>
      </w:tabs>
      <w:snapToGrid w:val="0"/>
    </w:pPr>
    <w:rPr>
      <w:sz w:val="20"/>
      <w:szCs w:val="20"/>
    </w:rPr>
  </w:style>
  <w:style w:type="character" w:customStyle="1" w:styleId="af2">
    <w:name w:val="頁尾 字元"/>
    <w:link w:val="af1"/>
    <w:uiPriority w:val="99"/>
    <w:rsid w:val="00B17480"/>
    <w:rPr>
      <w:rFonts w:ascii="標楷體" w:eastAsia="標楷體"/>
      <w:snapToGrid w:val="0"/>
      <w:kern w:val="2"/>
    </w:rPr>
  </w:style>
  <w:style w:type="paragraph" w:styleId="3">
    <w:name w:val="toc 3"/>
    <w:basedOn w:val="a"/>
    <w:next w:val="a"/>
    <w:autoRedefine/>
    <w:semiHidden/>
    <w:rsid w:val="00B17480"/>
    <w:pPr>
      <w:ind w:leftChars="400" w:left="960"/>
    </w:pPr>
  </w:style>
  <w:style w:type="paragraph" w:styleId="4">
    <w:name w:val="toc 4"/>
    <w:basedOn w:val="a"/>
    <w:next w:val="a"/>
    <w:autoRedefine/>
    <w:semiHidden/>
    <w:rsid w:val="00B17480"/>
    <w:pPr>
      <w:ind w:leftChars="600" w:left="1440"/>
    </w:pPr>
  </w:style>
  <w:style w:type="paragraph" w:styleId="5">
    <w:name w:val="toc 5"/>
    <w:basedOn w:val="a"/>
    <w:next w:val="a"/>
    <w:autoRedefine/>
    <w:semiHidden/>
    <w:rsid w:val="00B17480"/>
    <w:pPr>
      <w:ind w:leftChars="800" w:left="1920"/>
    </w:pPr>
  </w:style>
  <w:style w:type="paragraph" w:styleId="6">
    <w:name w:val="toc 6"/>
    <w:basedOn w:val="a"/>
    <w:next w:val="a"/>
    <w:autoRedefine/>
    <w:semiHidden/>
    <w:rsid w:val="00B17480"/>
    <w:pPr>
      <w:ind w:leftChars="1000" w:left="2400"/>
    </w:pPr>
  </w:style>
  <w:style w:type="paragraph" w:styleId="7">
    <w:name w:val="toc 7"/>
    <w:basedOn w:val="a"/>
    <w:next w:val="a"/>
    <w:autoRedefine/>
    <w:semiHidden/>
    <w:rsid w:val="00B17480"/>
    <w:pPr>
      <w:ind w:leftChars="1200" w:left="2880"/>
    </w:pPr>
  </w:style>
  <w:style w:type="paragraph" w:styleId="8">
    <w:name w:val="toc 8"/>
    <w:basedOn w:val="a"/>
    <w:next w:val="a"/>
    <w:autoRedefine/>
    <w:semiHidden/>
    <w:rsid w:val="00B17480"/>
    <w:pPr>
      <w:ind w:leftChars="1400" w:left="3360"/>
    </w:pPr>
  </w:style>
  <w:style w:type="paragraph" w:styleId="9">
    <w:name w:val="toc 9"/>
    <w:basedOn w:val="a"/>
    <w:next w:val="a"/>
    <w:autoRedefine/>
    <w:semiHidden/>
    <w:rsid w:val="00B17480"/>
    <w:pPr>
      <w:ind w:leftChars="1600" w:left="3840"/>
    </w:pPr>
  </w:style>
  <w:style w:type="character" w:styleId="af3">
    <w:name w:val="Hyperlink"/>
    <w:uiPriority w:val="99"/>
    <w:rsid w:val="00B17480"/>
    <w:rPr>
      <w:color w:val="0000FF"/>
      <w:u w:val="single"/>
    </w:rPr>
  </w:style>
  <w:style w:type="table" w:styleId="af4">
    <w:name w:val="Table Grid"/>
    <w:basedOn w:val="a1"/>
    <w:rsid w:val="00B174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
    <w:link w:val="af6"/>
    <w:semiHidden/>
    <w:rsid w:val="00B17480"/>
    <w:rPr>
      <w:rFonts w:ascii="Arial" w:eastAsia="新細明體" w:hAnsi="Arial"/>
      <w:sz w:val="18"/>
      <w:szCs w:val="18"/>
    </w:rPr>
  </w:style>
  <w:style w:type="character" w:customStyle="1" w:styleId="af6">
    <w:name w:val="註解方塊文字 字元"/>
    <w:link w:val="af5"/>
    <w:semiHidden/>
    <w:rsid w:val="00B17480"/>
    <w:rPr>
      <w:rFonts w:ascii="Arial" w:hAnsi="Arial"/>
      <w:snapToGrid w:val="0"/>
      <w:kern w:val="2"/>
      <w:sz w:val="18"/>
      <w:szCs w:val="18"/>
    </w:rPr>
  </w:style>
  <w:style w:type="character" w:customStyle="1" w:styleId="1">
    <w:name w:val="(一)(二)(三) 字元1"/>
    <w:link w:val="a4"/>
    <w:rsid w:val="00B17480"/>
    <w:rPr>
      <w:rFonts w:ascii="標楷體" w:eastAsia="標楷體"/>
      <w:snapToGrid w:val="0"/>
      <w:kern w:val="2"/>
      <w:sz w:val="28"/>
      <w:szCs w:val="28"/>
    </w:rPr>
  </w:style>
  <w:style w:type="character" w:customStyle="1" w:styleId="1230">
    <w:name w:val="1.2.3. 字元"/>
    <w:link w:val="123"/>
    <w:rsid w:val="00B17480"/>
    <w:rPr>
      <w:rFonts w:ascii="標楷體" w:eastAsia="標楷體"/>
      <w:snapToGrid w:val="0"/>
      <w:kern w:val="2"/>
      <w:sz w:val="28"/>
      <w:szCs w:val="28"/>
    </w:rPr>
  </w:style>
  <w:style w:type="character" w:customStyle="1" w:styleId="21">
    <w:name w:val="(一)下內文縮2 字元"/>
    <w:link w:val="2"/>
    <w:rsid w:val="00B17480"/>
    <w:rPr>
      <w:rFonts w:ascii="標楷體" w:eastAsia="標楷體"/>
      <w:snapToGrid w:val="0"/>
      <w:kern w:val="2"/>
      <w:sz w:val="28"/>
      <w:szCs w:val="28"/>
    </w:rPr>
  </w:style>
  <w:style w:type="paragraph" w:customStyle="1" w:styleId="12">
    <w:name w:val="1"/>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3">
    <w:name w:val="(一)(二)(三) 字元2"/>
    <w:rsid w:val="00B17480"/>
    <w:rPr>
      <w:rFonts w:ascii="標楷體" w:eastAsia="標楷體"/>
      <w:snapToGrid w:val="0"/>
      <w:kern w:val="2"/>
      <w:sz w:val="28"/>
      <w:szCs w:val="28"/>
      <w:lang w:val="en-US" w:eastAsia="zh-TW" w:bidi="ar-SA"/>
    </w:rPr>
  </w:style>
  <w:style w:type="paragraph" w:customStyle="1" w:styleId="24">
    <w:name w:val=" 字元 字元2 字元 字元 字元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
    <w:name w:val="第二層(14號字) 字元1"/>
    <w:link w:val="14"/>
    <w:rsid w:val="00B17480"/>
    <w:rPr>
      <w:rFonts w:ascii="標楷體" w:eastAsia="標楷體"/>
      <w:b/>
      <w:snapToGrid w:val="0"/>
      <w:kern w:val="2"/>
      <w:sz w:val="28"/>
    </w:rPr>
  </w:style>
  <w:style w:type="character" w:customStyle="1" w:styleId="af7">
    <w:name w:val="(一)(二)(三) 字元"/>
    <w:rsid w:val="00B17480"/>
    <w:rPr>
      <w:rFonts w:ascii="標楷體" w:eastAsia="標楷體"/>
      <w:snapToGrid w:val="0"/>
      <w:kern w:val="2"/>
      <w:sz w:val="28"/>
      <w:szCs w:val="28"/>
      <w:lang w:val="en-US" w:eastAsia="zh-TW" w:bidi="ar-SA"/>
    </w:rPr>
  </w:style>
  <w:style w:type="character" w:customStyle="1" w:styleId="143">
    <w:name w:val="表格內文(14行高) 字元"/>
    <w:link w:val="142"/>
    <w:qFormat/>
    <w:rsid w:val="00B17480"/>
    <w:rPr>
      <w:rFonts w:ascii="標楷體" w:eastAsia="標楷體"/>
      <w:snapToGrid w:val="0"/>
      <w:kern w:val="2"/>
      <w:sz w:val="24"/>
      <w:szCs w:val="28"/>
    </w:rPr>
  </w:style>
  <w:style w:type="paragraph" w:customStyle="1" w:styleId="51">
    <w:name w:val=" 字元 字元5"/>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B17480"/>
    <w:rPr>
      <w:rFonts w:ascii="標楷體" w:eastAsia="標楷體"/>
      <w:b/>
      <w:snapToGrid w:val="0"/>
      <w:kern w:val="2"/>
      <w:sz w:val="28"/>
      <w:szCs w:val="28"/>
      <w:lang w:val="en-US" w:eastAsia="zh-TW" w:bidi="ar-SA"/>
    </w:rPr>
  </w:style>
  <w:style w:type="paragraph" w:customStyle="1" w:styleId="25">
    <w:name w:val=" 字元 字元2 字元 字元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8">
    <w:name w:val="footnote reference"/>
    <w:aliases w:val="FR,Ref,de nota al pie,註腳內容,Error-Fußnotenzeichen5,Error-Fußnotenzeichen6,Error-Fußnotenzeichen3"/>
    <w:unhideWhenUsed/>
    <w:rsid w:val="00B17480"/>
    <w:rPr>
      <w:vertAlign w:val="superscript"/>
    </w:rPr>
  </w:style>
  <w:style w:type="character" w:customStyle="1" w:styleId="200">
    <w:name w:val="表格內文(20行高) 字元"/>
    <w:link w:val="20"/>
    <w:rsid w:val="00B17480"/>
  </w:style>
  <w:style w:type="character" w:customStyle="1" w:styleId="210">
    <w:name w:val="(一)下內文縮2 字元1"/>
    <w:rsid w:val="00B17480"/>
    <w:rPr>
      <w:rFonts w:ascii="標楷體" w:eastAsia="標楷體"/>
      <w:snapToGrid w:val="0"/>
      <w:kern w:val="2"/>
      <w:sz w:val="28"/>
      <w:szCs w:val="28"/>
      <w:lang w:val="en-US" w:eastAsia="zh-TW" w:bidi="ar-SA"/>
    </w:rPr>
  </w:style>
  <w:style w:type="paragraph" w:styleId="af9">
    <w:name w:val="footnote text"/>
    <w:basedOn w:val="a"/>
    <w:link w:val="afa"/>
    <w:uiPriority w:val="99"/>
    <w:unhideWhenUsed/>
    <w:rsid w:val="00B17480"/>
    <w:pPr>
      <w:snapToGrid w:val="0"/>
      <w:jc w:val="left"/>
    </w:pPr>
    <w:rPr>
      <w:sz w:val="20"/>
      <w:szCs w:val="20"/>
      <w:lang w:val="x-none" w:eastAsia="x-none"/>
    </w:rPr>
  </w:style>
  <w:style w:type="character" w:customStyle="1" w:styleId="afa">
    <w:name w:val="註腳文字 字元"/>
    <w:link w:val="af9"/>
    <w:uiPriority w:val="99"/>
    <w:rsid w:val="00B17480"/>
    <w:rPr>
      <w:rFonts w:ascii="標楷體" w:eastAsia="標楷體"/>
      <w:snapToGrid w:val="0"/>
      <w:kern w:val="2"/>
      <w:lang w:val="x-none" w:eastAsia="x-none"/>
    </w:rPr>
  </w:style>
  <w:style w:type="paragraph" w:customStyle="1" w:styleId="afb">
    <w:name w:val=" 字元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b">
    <w:name w:val="姓名及分機 字元"/>
    <w:link w:val="aa"/>
    <w:rsid w:val="00B17480"/>
    <w:rPr>
      <w:rFonts w:ascii="標楷體" w:eastAsia="標楷體"/>
      <w:snapToGrid w:val="0"/>
      <w:kern w:val="2"/>
      <w:sz w:val="24"/>
      <w:szCs w:val="28"/>
    </w:rPr>
  </w:style>
  <w:style w:type="character" w:customStyle="1" w:styleId="10">
    <w:name w:val="結論 字元1"/>
    <w:link w:val="a6"/>
    <w:rsid w:val="00B17480"/>
    <w:rPr>
      <w:rFonts w:ascii="標楷體" w:eastAsia="標楷體"/>
      <w:snapToGrid w:val="0"/>
      <w:kern w:val="2"/>
      <w:sz w:val="28"/>
      <w:szCs w:val="28"/>
    </w:rPr>
  </w:style>
  <w:style w:type="paragraph" w:customStyle="1" w:styleId="afc">
    <w:name w:val="表格內文頂頭"/>
    <w:basedOn w:val="a"/>
    <w:next w:val="a"/>
    <w:rsid w:val="00B17480"/>
    <w:pPr>
      <w:kinsoku w:val="0"/>
      <w:overflowPunct w:val="0"/>
      <w:spacing w:line="315" w:lineRule="exact"/>
      <w:ind w:leftChars="0" w:left="0" w:firstLineChars="0" w:firstLine="0"/>
      <w:textAlignment w:val="center"/>
    </w:pPr>
    <w:rPr>
      <w:rFonts w:ascii="Times New Roman" w:eastAsia="華康細明體"/>
      <w:noProof/>
      <w:snapToGrid/>
      <w:sz w:val="21"/>
      <w:szCs w:val="24"/>
    </w:rPr>
  </w:style>
  <w:style w:type="paragraph" w:customStyle="1" w:styleId="afd">
    <w:name w:val="表格第一列(文字分散)"/>
    <w:basedOn w:val="a"/>
    <w:next w:val="a"/>
    <w:rsid w:val="00B17480"/>
    <w:pPr>
      <w:kinsoku w:val="0"/>
      <w:overflowPunct w:val="0"/>
      <w:spacing w:line="315" w:lineRule="exact"/>
      <w:ind w:leftChars="50" w:left="50" w:rightChars="50" w:right="50" w:firstLineChars="0" w:firstLine="0"/>
      <w:jc w:val="distribute"/>
      <w:textAlignment w:val="center"/>
    </w:pPr>
    <w:rPr>
      <w:rFonts w:ascii="Times New Roman" w:eastAsia="華康細明體"/>
      <w:noProof/>
      <w:snapToGrid/>
      <w:sz w:val="21"/>
      <w:szCs w:val="24"/>
    </w:rPr>
  </w:style>
  <w:style w:type="character" w:styleId="afe">
    <w:name w:val="Emphasis"/>
    <w:uiPriority w:val="20"/>
    <w:qFormat/>
    <w:rsid w:val="00B17480"/>
    <w:rPr>
      <w:b w:val="0"/>
      <w:bCs w:val="0"/>
      <w:i w:val="0"/>
      <w:iCs w:val="0"/>
      <w:color w:val="CC0033"/>
    </w:rPr>
  </w:style>
  <w:style w:type="paragraph" w:styleId="aff">
    <w:name w:val="endnote text"/>
    <w:basedOn w:val="a"/>
    <w:link w:val="aff0"/>
    <w:uiPriority w:val="99"/>
    <w:semiHidden/>
    <w:unhideWhenUsed/>
    <w:rsid w:val="00B17480"/>
    <w:pPr>
      <w:snapToGrid w:val="0"/>
      <w:jc w:val="left"/>
    </w:pPr>
  </w:style>
  <w:style w:type="character" w:customStyle="1" w:styleId="aff0">
    <w:name w:val="章節附註文字 字元"/>
    <w:link w:val="aff"/>
    <w:uiPriority w:val="99"/>
    <w:semiHidden/>
    <w:rsid w:val="00B17480"/>
    <w:rPr>
      <w:rFonts w:ascii="標楷體" w:eastAsia="標楷體"/>
      <w:snapToGrid w:val="0"/>
      <w:kern w:val="2"/>
      <w:sz w:val="28"/>
      <w:szCs w:val="28"/>
    </w:rPr>
  </w:style>
  <w:style w:type="character" w:styleId="aff1">
    <w:name w:val="endnote reference"/>
    <w:uiPriority w:val="99"/>
    <w:semiHidden/>
    <w:unhideWhenUsed/>
    <w:rsid w:val="00B17480"/>
    <w:rPr>
      <w:vertAlign w:val="superscript"/>
    </w:rPr>
  </w:style>
  <w:style w:type="paragraph" w:styleId="Web">
    <w:name w:val="Normal (Web)"/>
    <w:basedOn w:val="a"/>
    <w:uiPriority w:val="99"/>
    <w:unhideWhenUsed/>
    <w:rsid w:val="00B1748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2">
    <w:name w:val="Strong"/>
    <w:uiPriority w:val="22"/>
    <w:qFormat/>
    <w:rsid w:val="00B17480"/>
    <w:rPr>
      <w:b/>
      <w:bCs/>
    </w:rPr>
  </w:style>
  <w:style w:type="character" w:styleId="aff3">
    <w:name w:val="Subtle Emphasis"/>
    <w:uiPriority w:val="19"/>
    <w:qFormat/>
    <w:rsid w:val="00B17480"/>
    <w:rPr>
      <w:i/>
      <w:iCs/>
      <w:color w:val="808080"/>
    </w:rPr>
  </w:style>
  <w:style w:type="paragraph" w:styleId="aff4">
    <w:name w:val="Body Text"/>
    <w:basedOn w:val="a"/>
    <w:link w:val="aff5"/>
    <w:rsid w:val="00B17480"/>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5">
    <w:name w:val="本文 字元"/>
    <w:link w:val="aff4"/>
    <w:rsid w:val="00B17480"/>
    <w:rPr>
      <w:rFonts w:ascii="Arial" w:hAnsi="Arial"/>
      <w:spacing w:val="-5"/>
      <w:sz w:val="18"/>
    </w:rPr>
  </w:style>
  <w:style w:type="table" w:customStyle="1" w:styleId="13">
    <w:name w:val="表格格線1"/>
    <w:basedOn w:val="a1"/>
    <w:next w:val="af4"/>
    <w:uiPriority w:val="59"/>
    <w:rsid w:val="00B174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1"/>
    <w:next w:val="af4"/>
    <w:uiPriority w:val="59"/>
    <w:rsid w:val="00B174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4"/>
    <w:uiPriority w:val="39"/>
    <w:rsid w:val="006B1D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E0A41-977D-4CFF-8B8D-9AB61F0E5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11</Pages>
  <Words>508</Words>
  <Characters>2898</Characters>
  <Application>Microsoft Office Word</Application>
  <DocSecurity>0</DocSecurity>
  <Lines>24</Lines>
  <Paragraphs>6</Paragraphs>
  <ScaleCrop>false</ScaleCrop>
  <Company/>
  <LinksUpToDate>false</LinksUpToDate>
  <CharactersWithSpaces>3400</CharactersWithSpaces>
  <SharedDoc>false</SharedDoc>
  <HLinks>
    <vt:vector size="30" baseType="variant">
      <vt:variant>
        <vt:i4>1179696</vt:i4>
      </vt:variant>
      <vt:variant>
        <vt:i4>26</vt:i4>
      </vt:variant>
      <vt:variant>
        <vt:i4>0</vt:i4>
      </vt:variant>
      <vt:variant>
        <vt:i4>5</vt:i4>
      </vt:variant>
      <vt:variant>
        <vt:lpwstr/>
      </vt:variant>
      <vt:variant>
        <vt:lpwstr>_Toc181963672</vt:lpwstr>
      </vt:variant>
      <vt:variant>
        <vt:i4>1179696</vt:i4>
      </vt:variant>
      <vt:variant>
        <vt:i4>20</vt:i4>
      </vt:variant>
      <vt:variant>
        <vt:i4>0</vt:i4>
      </vt:variant>
      <vt:variant>
        <vt:i4>5</vt:i4>
      </vt:variant>
      <vt:variant>
        <vt:lpwstr/>
      </vt:variant>
      <vt:variant>
        <vt:lpwstr>_Toc181963671</vt:lpwstr>
      </vt:variant>
      <vt:variant>
        <vt:i4>1179696</vt:i4>
      </vt:variant>
      <vt:variant>
        <vt:i4>14</vt:i4>
      </vt:variant>
      <vt:variant>
        <vt:i4>0</vt:i4>
      </vt:variant>
      <vt:variant>
        <vt:i4>5</vt:i4>
      </vt:variant>
      <vt:variant>
        <vt:lpwstr/>
      </vt:variant>
      <vt:variant>
        <vt:lpwstr>_Toc181963670</vt:lpwstr>
      </vt:variant>
      <vt:variant>
        <vt:i4>1245232</vt:i4>
      </vt:variant>
      <vt:variant>
        <vt:i4>8</vt:i4>
      </vt:variant>
      <vt:variant>
        <vt:i4>0</vt:i4>
      </vt:variant>
      <vt:variant>
        <vt:i4>5</vt:i4>
      </vt:variant>
      <vt:variant>
        <vt:lpwstr/>
      </vt:variant>
      <vt:variant>
        <vt:lpwstr>_Toc181963669</vt:lpwstr>
      </vt:variant>
      <vt:variant>
        <vt:i4>1245232</vt:i4>
      </vt:variant>
      <vt:variant>
        <vt:i4>2</vt:i4>
      </vt:variant>
      <vt:variant>
        <vt:i4>0</vt:i4>
      </vt:variant>
      <vt:variant>
        <vt:i4>5</vt:i4>
      </vt:variant>
      <vt:variant>
        <vt:lpwstr/>
      </vt:variant>
      <vt:variant>
        <vt:lpwstr>_Toc181963668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2024-11-11T06:15:00Z</cp:lastPrinted>
  <dcterms:created xsi:type="dcterms:W3CDTF">2024-11-12T01:46:00Z</dcterms:created>
  <dcterms:modified xsi:type="dcterms:W3CDTF">2024-11-12T01:46:00Z</dcterms:modified>
</cp:coreProperties>
</file>