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bookmarkStart w:id="0" w:name="_GoBack"/>
      <w:bookmarkEnd w:id="0"/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B771B6" w:rsidRPr="00A944E3" w:rsidRDefault="00B771B6" w:rsidP="00E0333E">
      <w:pPr>
        <w:pStyle w:val="14"/>
        <w:ind w:left="567" w:hanging="567"/>
      </w:pPr>
      <w:bookmarkStart w:id="1" w:name="_Toc116635156"/>
      <w:bookmarkStart w:id="2" w:name="_Toc462844527"/>
      <w:bookmarkStart w:id="3" w:name="_Toc464138599"/>
      <w:bookmarkStart w:id="4" w:name="_Toc464287008"/>
      <w:bookmarkStart w:id="5" w:name="_Toc342398922"/>
      <w:bookmarkStart w:id="6" w:name="_Toc522198790"/>
      <w:bookmarkStart w:id="7" w:name="_Toc522198788"/>
      <w:bookmarkStart w:id="8" w:name="_Toc522198784"/>
      <w:bookmarkStart w:id="9" w:name="_Toc523573664"/>
      <w:bookmarkStart w:id="10" w:name="_Toc525836072"/>
      <w:bookmarkStart w:id="11" w:name="_Toc181776101"/>
      <w:r w:rsidRPr="00FA2750">
        <w:rPr>
          <w:rFonts w:hint="eastAsia"/>
        </w:rPr>
        <w:t>一</w:t>
      </w:r>
      <w:r>
        <w:rPr>
          <w:rFonts w:hint="eastAsia"/>
        </w:rPr>
        <w:t>五、</w:t>
      </w:r>
      <w:r w:rsidRPr="00AF12F8">
        <w:rPr>
          <w:rFonts w:hint="eastAsia"/>
        </w:rPr>
        <w:t>截至114年度中央政府撥補</w:t>
      </w:r>
      <w:r>
        <w:rPr>
          <w:rFonts w:hint="eastAsia"/>
        </w:rPr>
        <w:t>勞保基金累計數將</w:t>
      </w:r>
      <w:r w:rsidRPr="00AF12F8">
        <w:rPr>
          <w:rFonts w:hint="eastAsia"/>
        </w:rPr>
        <w:t>達3,870億元，</w:t>
      </w:r>
      <w:r>
        <w:rPr>
          <w:rFonts w:hint="eastAsia"/>
        </w:rPr>
        <w:t>允</w:t>
      </w:r>
      <w:r w:rsidRPr="00B35245">
        <w:rPr>
          <w:rFonts w:hint="eastAsia"/>
        </w:rPr>
        <w:t>宜檢討財務收支失衡原因，謀求改進，俾利勞保基金永續穩定經營，確實保障勞工退休生活</w:t>
      </w:r>
      <w:bookmarkEnd w:id="11"/>
    </w:p>
    <w:bookmarkEnd w:id="1"/>
    <w:p w:rsidR="00B771B6" w:rsidRDefault="00B771B6" w:rsidP="00E0333E">
      <w:pPr>
        <w:ind w:left="567" w:firstLine="567"/>
      </w:pPr>
      <w:r w:rsidRPr="008379CB">
        <w:rPr>
          <w:rFonts w:hint="eastAsia"/>
          <w:snapToGrid/>
        </w:rPr>
        <w:t>勞保作業基金11</w:t>
      </w:r>
      <w:r>
        <w:rPr>
          <w:rFonts w:hint="eastAsia"/>
          <w:snapToGrid/>
        </w:rPr>
        <w:t>4</w:t>
      </w:r>
      <w:r w:rsidRPr="008379CB">
        <w:rPr>
          <w:rFonts w:hint="eastAsia"/>
          <w:snapToGrid/>
        </w:rPr>
        <w:t>年度於「其他業務收入-其他補助收入」編列1,300億元，係政府撥補勞工保險基金，包括勞動部11</w:t>
      </w:r>
      <w:r>
        <w:rPr>
          <w:rFonts w:hint="eastAsia"/>
          <w:snapToGrid/>
        </w:rPr>
        <w:t>4</w:t>
      </w:r>
      <w:r w:rsidRPr="008379CB">
        <w:rPr>
          <w:rFonts w:hint="eastAsia"/>
          <w:snapToGrid/>
        </w:rPr>
        <w:t>年度</w:t>
      </w:r>
      <w:r w:rsidR="00216808">
        <w:rPr>
          <w:rFonts w:hint="eastAsia"/>
          <w:snapToGrid/>
        </w:rPr>
        <w:t>預算案</w:t>
      </w:r>
      <w:r w:rsidRPr="008379CB">
        <w:rPr>
          <w:rFonts w:hint="eastAsia"/>
          <w:snapToGrid/>
        </w:rPr>
        <w:t>編列獎補助費1,200億元，及「疫後強化經濟與社會韌性及全民共享經濟成果特別預算」(以下簡稱疫後特別預算)撥補300億元</w:t>
      </w:r>
      <w:r w:rsidR="00216808">
        <w:rPr>
          <w:rFonts w:hint="eastAsia"/>
          <w:snapToGrid/>
        </w:rPr>
        <w:t>(</w:t>
      </w:r>
      <w:r w:rsidRPr="008379CB">
        <w:rPr>
          <w:rFonts w:hint="eastAsia"/>
          <w:snapToGrid/>
        </w:rPr>
        <w:t>112至114年度每年各挹注100億元</w:t>
      </w:r>
      <w:r w:rsidR="00216808">
        <w:rPr>
          <w:rFonts w:hint="eastAsia"/>
          <w:snapToGrid/>
        </w:rPr>
        <w:t>)</w:t>
      </w:r>
      <w:r w:rsidRPr="008379CB">
        <w:rPr>
          <w:rFonts w:hint="eastAsia"/>
        </w:rPr>
        <w:t>。經查：</w:t>
      </w:r>
      <w:r w:rsidRPr="00FA2750">
        <w:rPr>
          <w:rFonts w:hint="eastAsia"/>
        </w:rPr>
        <w:t xml:space="preserve"> </w:t>
      </w:r>
    </w:p>
    <w:p w:rsidR="00B771B6" w:rsidRPr="00EB0EB3" w:rsidRDefault="00B771B6" w:rsidP="00E0333E">
      <w:pPr>
        <w:pStyle w:val="af6"/>
        <w:ind w:left="851" w:hanging="284"/>
        <w:rPr>
          <w:b/>
          <w:bCs/>
        </w:rPr>
      </w:pPr>
      <w:r w:rsidRPr="00EB0EB3">
        <w:rPr>
          <w:rFonts w:hint="eastAsia"/>
          <w:b/>
          <w:bCs/>
        </w:rPr>
        <w:t>(一)勞保基金</w:t>
      </w:r>
      <w:r>
        <w:rPr>
          <w:rFonts w:hint="eastAsia"/>
          <w:b/>
          <w:bCs/>
        </w:rPr>
        <w:t>迄113年7月底止，未提存負債金</w:t>
      </w:r>
      <w:r w:rsidRPr="00006E78">
        <w:rPr>
          <w:rFonts w:hint="eastAsia"/>
          <w:b/>
          <w:bCs/>
        </w:rPr>
        <w:t>額為11兆8</w:t>
      </w:r>
      <w:r>
        <w:rPr>
          <w:rFonts w:hint="eastAsia"/>
          <w:b/>
          <w:bCs/>
        </w:rPr>
        <w:t>,</w:t>
      </w:r>
      <w:r w:rsidRPr="00006E78">
        <w:rPr>
          <w:rFonts w:hint="eastAsia"/>
          <w:b/>
          <w:bCs/>
        </w:rPr>
        <w:t>57</w:t>
      </w:r>
      <w:r>
        <w:rPr>
          <w:rFonts w:hint="eastAsia"/>
          <w:b/>
          <w:bCs/>
        </w:rPr>
        <w:t>4</w:t>
      </w:r>
      <w:r w:rsidRPr="00006E78">
        <w:rPr>
          <w:rFonts w:hint="eastAsia"/>
          <w:b/>
          <w:bCs/>
        </w:rPr>
        <w:t>億元</w:t>
      </w:r>
    </w:p>
    <w:p w:rsidR="00B771B6" w:rsidRDefault="00B771B6" w:rsidP="00842DBC">
      <w:pPr>
        <w:pStyle w:val="24"/>
        <w:ind w:left="850" w:firstLine="567"/>
      </w:pPr>
      <w:r w:rsidRPr="00EB0EB3">
        <w:rPr>
          <w:rFonts w:hint="eastAsia"/>
        </w:rPr>
        <w:t>勞動部依據勞工保險條例第13條、第15條、第66條及第69條規定，以112年12月31日為基準日，精算勞保普通事故老年、失能及死亡給付等之過去服務應計給付精算現值(又稱精算負債)約13兆465億元，扣除截至113年7月底止已提存責任準備1兆1,891億元</w:t>
      </w:r>
      <w:r>
        <w:rPr>
          <w:rFonts w:hint="eastAsia"/>
        </w:rPr>
        <w:t>(詳表1)</w:t>
      </w:r>
      <w:r w:rsidRPr="00EB0EB3">
        <w:rPr>
          <w:rFonts w:hint="eastAsia"/>
        </w:rPr>
        <w:t>，未提存</w:t>
      </w:r>
      <w:r>
        <w:rPr>
          <w:rFonts w:hint="eastAsia"/>
        </w:rPr>
        <w:t>負債</w:t>
      </w:r>
      <w:r w:rsidRPr="00EB0EB3">
        <w:rPr>
          <w:rFonts w:hint="eastAsia"/>
        </w:rPr>
        <w:t>金額</w:t>
      </w:r>
      <w:r>
        <w:rPr>
          <w:rFonts w:hint="eastAsia"/>
        </w:rPr>
        <w:t>約</w:t>
      </w:r>
      <w:r w:rsidRPr="00EB0EB3">
        <w:rPr>
          <w:rFonts w:hint="eastAsia"/>
        </w:rPr>
        <w:t>11兆8</w:t>
      </w:r>
      <w:r>
        <w:t>,</w:t>
      </w:r>
      <w:r w:rsidRPr="00EB0EB3">
        <w:rPr>
          <w:rFonts w:hint="eastAsia"/>
        </w:rPr>
        <w:t>57</w:t>
      </w:r>
      <w:r>
        <w:t>4</w:t>
      </w:r>
      <w:r w:rsidRPr="00EB0EB3">
        <w:rPr>
          <w:rFonts w:hint="eastAsia"/>
        </w:rPr>
        <w:t>億元</w:t>
      </w:r>
      <w:r>
        <w:rPr>
          <w:rFonts w:hint="eastAsia"/>
        </w:rPr>
        <w:t>。</w:t>
      </w:r>
    </w:p>
    <w:p w:rsidR="00B771B6" w:rsidRPr="00842DBC" w:rsidRDefault="00B771B6" w:rsidP="00842DBC">
      <w:pPr>
        <w:pStyle w:val="24"/>
        <w:ind w:left="850" w:firstLine="567"/>
      </w:pPr>
      <w:r>
        <w:rPr>
          <w:rFonts w:hint="eastAsia"/>
        </w:rPr>
        <w:t>勞保基金112年度</w:t>
      </w:r>
      <w:r w:rsidRPr="001F281C">
        <w:rPr>
          <w:rFonts w:hint="eastAsia"/>
        </w:rPr>
        <w:t>保費收支</w:t>
      </w:r>
      <w:r>
        <w:rPr>
          <w:rFonts w:hint="eastAsia"/>
        </w:rPr>
        <w:t>決算數短絀440.6億元，為自</w:t>
      </w:r>
      <w:r w:rsidRPr="001F281C">
        <w:rPr>
          <w:rFonts w:hint="eastAsia"/>
        </w:rPr>
        <w:t>10</w:t>
      </w:r>
      <w:r>
        <w:rPr>
          <w:rFonts w:hint="eastAsia"/>
        </w:rPr>
        <w:t>6</w:t>
      </w:r>
      <w:r w:rsidRPr="001F281C">
        <w:rPr>
          <w:rFonts w:hint="eastAsia"/>
        </w:rPr>
        <w:t>年度</w:t>
      </w:r>
      <w:r>
        <w:rPr>
          <w:rFonts w:hint="eastAsia"/>
        </w:rPr>
        <w:t>起連續第7年保費收入不敷保費支出，且短絀數僅次於109年度，</w:t>
      </w:r>
      <w:r w:rsidRPr="001F281C">
        <w:rPr>
          <w:rFonts w:hint="eastAsia"/>
        </w:rPr>
        <w:t>11</w:t>
      </w:r>
      <w:r>
        <w:rPr>
          <w:rFonts w:hint="eastAsia"/>
        </w:rPr>
        <w:t>4</w:t>
      </w:r>
      <w:r w:rsidRPr="001F281C">
        <w:rPr>
          <w:rFonts w:hint="eastAsia"/>
        </w:rPr>
        <w:t>年度保費收支短絀預算數</w:t>
      </w:r>
      <w:r>
        <w:rPr>
          <w:rFonts w:hint="eastAsia"/>
        </w:rPr>
        <w:t>849</w:t>
      </w:r>
      <w:r w:rsidRPr="001F281C">
        <w:rPr>
          <w:rFonts w:hint="eastAsia"/>
        </w:rPr>
        <w:t>.</w:t>
      </w:r>
      <w:r>
        <w:rPr>
          <w:rFonts w:hint="eastAsia"/>
        </w:rPr>
        <w:t>13</w:t>
      </w:r>
      <w:r w:rsidRPr="001F281C">
        <w:rPr>
          <w:rFonts w:hint="eastAsia"/>
        </w:rPr>
        <w:t>億元</w:t>
      </w:r>
      <w:r>
        <w:rPr>
          <w:rFonts w:hint="eastAsia"/>
        </w:rPr>
        <w:t>，高於以前年度決算數。</w:t>
      </w:r>
    </w:p>
    <w:p w:rsidR="00D24E1F" w:rsidRDefault="00D24E1F" w:rsidP="00E0333E">
      <w:pPr>
        <w:spacing w:line="480" w:lineRule="exact"/>
        <w:ind w:leftChars="0" w:left="1580" w:hangingChars="557" w:hanging="1580"/>
        <w:rPr>
          <w:rFonts w:hAnsi="標楷體" w:cs="Arial"/>
          <w:b/>
        </w:rPr>
      </w:pPr>
    </w:p>
    <w:p w:rsidR="00D24E1F" w:rsidRDefault="00D24E1F" w:rsidP="00E0333E">
      <w:pPr>
        <w:spacing w:line="480" w:lineRule="exact"/>
        <w:ind w:leftChars="0" w:left="1580" w:hangingChars="557" w:hanging="1580"/>
        <w:rPr>
          <w:rFonts w:hAnsi="標楷體" w:cs="Arial"/>
          <w:b/>
        </w:rPr>
      </w:pPr>
    </w:p>
    <w:p w:rsidR="00B771B6" w:rsidRPr="00EB0EB3" w:rsidRDefault="00B771B6" w:rsidP="00E0333E">
      <w:pPr>
        <w:spacing w:line="480" w:lineRule="exact"/>
        <w:ind w:leftChars="0" w:left="1580" w:hangingChars="557" w:hanging="1580"/>
        <w:rPr>
          <w:rFonts w:hAnsi="標楷體"/>
        </w:rPr>
      </w:pPr>
      <w:r w:rsidRPr="00EB0EB3">
        <w:rPr>
          <w:rFonts w:hAnsi="標楷體" w:cs="Arial" w:hint="eastAsia"/>
          <w:b/>
        </w:rPr>
        <w:t>表</w:t>
      </w:r>
      <w:r>
        <w:rPr>
          <w:rFonts w:hAnsi="標楷體" w:cs="Arial" w:hint="eastAsia"/>
          <w:b/>
        </w:rPr>
        <w:t>1</w:t>
      </w:r>
      <w:r w:rsidRPr="00EB0EB3">
        <w:rPr>
          <w:rFonts w:hAnsi="標楷體" w:cs="Arial" w:hint="eastAsia"/>
          <w:b/>
        </w:rPr>
        <w:t xml:space="preserve">  </w:t>
      </w:r>
      <w:r w:rsidRPr="00EB0EB3">
        <w:rPr>
          <w:rFonts w:hAnsi="標楷體" w:hint="eastAsia"/>
          <w:b/>
          <w:spacing w:val="-4"/>
        </w:rPr>
        <w:t>勞保基金105</w:t>
      </w:r>
      <w:r w:rsidR="00751B00">
        <w:rPr>
          <w:rFonts w:hAnsi="標楷體" w:hint="eastAsia"/>
          <w:b/>
        </w:rPr>
        <w:t>至</w:t>
      </w:r>
      <w:r w:rsidRPr="00EB0EB3">
        <w:rPr>
          <w:rFonts w:hAnsi="標楷體" w:hint="eastAsia"/>
          <w:b/>
          <w:spacing w:val="-4"/>
        </w:rPr>
        <w:t xml:space="preserve">114年度各項收支統計表       </w:t>
      </w:r>
      <w:r w:rsidRPr="00EB0EB3">
        <w:rPr>
          <w:rFonts w:hAnsi="標楷體" w:hint="eastAsia"/>
          <w:sz w:val="24"/>
          <w:szCs w:val="24"/>
        </w:rPr>
        <w:t>單位：新臺幣億元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51"/>
        <w:gridCol w:w="1093"/>
        <w:gridCol w:w="1093"/>
        <w:gridCol w:w="1094"/>
        <w:gridCol w:w="1093"/>
        <w:gridCol w:w="1094"/>
        <w:gridCol w:w="1093"/>
        <w:gridCol w:w="1094"/>
      </w:tblGrid>
      <w:tr w:rsidR="00B771B6" w:rsidRPr="00EB0EB3" w:rsidTr="00C7452C">
        <w:trPr>
          <w:tblHeader/>
        </w:trPr>
        <w:tc>
          <w:tcPr>
            <w:tcW w:w="851" w:type="dxa"/>
            <w:shd w:val="clear" w:color="auto" w:fill="FFFFFF"/>
            <w:vAlign w:val="center"/>
          </w:tcPr>
          <w:p w:rsidR="00B771B6" w:rsidRPr="00EB0EB3" w:rsidRDefault="00B771B6" w:rsidP="00E0333E">
            <w:pPr>
              <w:pStyle w:val="143"/>
            </w:pPr>
            <w:r w:rsidRPr="00EB0EB3">
              <w:rPr>
                <w:rFonts w:hint="eastAsia"/>
              </w:rPr>
              <w:lastRenderedPageBreak/>
              <w:t>年度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AB2C2A">
            <w:pPr>
              <w:pStyle w:val="143"/>
              <w:jc w:val="center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保費收入</w:t>
            </w:r>
          </w:p>
          <w:p w:rsidR="00B771B6" w:rsidRPr="00EB0EB3" w:rsidRDefault="00B771B6" w:rsidP="00AB2C2A">
            <w:pPr>
              <w:pStyle w:val="143"/>
              <w:jc w:val="center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A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AB2C2A">
            <w:pPr>
              <w:pStyle w:val="143"/>
              <w:jc w:val="center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保險給付支出</w:t>
            </w:r>
          </w:p>
          <w:p w:rsidR="00B771B6" w:rsidRPr="00EB0EB3" w:rsidRDefault="00B771B6" w:rsidP="00AB2C2A">
            <w:pPr>
              <w:pStyle w:val="143"/>
              <w:jc w:val="center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B</w:t>
            </w:r>
          </w:p>
        </w:tc>
        <w:tc>
          <w:tcPr>
            <w:tcW w:w="109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AB2C2A">
            <w:pPr>
              <w:pStyle w:val="143"/>
              <w:jc w:val="center"/>
              <w:rPr>
                <w:spacing w:val="-20"/>
              </w:rPr>
            </w:pPr>
            <w:bookmarkStart w:id="12" w:name="_Hlk174699910"/>
            <w:r w:rsidRPr="00EB0EB3">
              <w:rPr>
                <w:rFonts w:hint="eastAsia"/>
                <w:spacing w:val="-20"/>
              </w:rPr>
              <w:t>保費收支餘絀</w:t>
            </w:r>
          </w:p>
          <w:bookmarkEnd w:id="12"/>
          <w:p w:rsidR="00B771B6" w:rsidRPr="00EB0EB3" w:rsidRDefault="00B771B6" w:rsidP="00AB2C2A">
            <w:pPr>
              <w:pStyle w:val="143"/>
              <w:jc w:val="center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C=A-B</w:t>
            </w:r>
          </w:p>
        </w:tc>
        <w:tc>
          <w:tcPr>
            <w:tcW w:w="10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AB2C2A">
            <w:pPr>
              <w:pStyle w:val="143"/>
              <w:jc w:val="center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其他收支</w:t>
            </w:r>
          </w:p>
          <w:p w:rsidR="00B771B6" w:rsidRPr="00EB0EB3" w:rsidRDefault="00B771B6" w:rsidP="00AB2C2A">
            <w:pPr>
              <w:pStyle w:val="143"/>
              <w:jc w:val="center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D</w:t>
            </w:r>
          </w:p>
        </w:tc>
        <w:tc>
          <w:tcPr>
            <w:tcW w:w="109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AB2C2A">
            <w:pPr>
              <w:pStyle w:val="143"/>
              <w:jc w:val="center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投資收益</w:t>
            </w:r>
          </w:p>
          <w:p w:rsidR="00B771B6" w:rsidRPr="00EB0EB3" w:rsidRDefault="00B771B6" w:rsidP="00AB2C2A">
            <w:pPr>
              <w:pStyle w:val="143"/>
              <w:jc w:val="center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F</w:t>
            </w:r>
          </w:p>
        </w:tc>
        <w:tc>
          <w:tcPr>
            <w:tcW w:w="10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AB2C2A">
            <w:pPr>
              <w:pStyle w:val="143"/>
              <w:jc w:val="center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責任準備提存數(收回數) C+D+F</w:t>
            </w:r>
          </w:p>
        </w:tc>
        <w:tc>
          <w:tcPr>
            <w:tcW w:w="109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771B6" w:rsidRPr="00EB0EB3" w:rsidRDefault="00B771B6" w:rsidP="00AB2C2A">
            <w:pPr>
              <w:pStyle w:val="143"/>
              <w:jc w:val="center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責任準備提存餘額</w:t>
            </w:r>
          </w:p>
        </w:tc>
      </w:tr>
      <w:tr w:rsidR="00B771B6" w:rsidRPr="00EB0EB3" w:rsidTr="00C7452C">
        <w:tc>
          <w:tcPr>
            <w:tcW w:w="851" w:type="dxa"/>
            <w:shd w:val="clear" w:color="auto" w:fill="FFFFFF"/>
          </w:tcPr>
          <w:p w:rsidR="00B771B6" w:rsidRPr="00EB0EB3" w:rsidRDefault="00B771B6" w:rsidP="00E0333E">
            <w:pPr>
              <w:pStyle w:val="143"/>
            </w:pPr>
            <w:r w:rsidRPr="00EB0EB3">
              <w:rPr>
                <w:rFonts w:hint="eastAsia"/>
              </w:rPr>
              <w:t>105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3,284.46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3,194.22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90.24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-3.38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268.56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355.42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7,533.01</w:t>
            </w:r>
          </w:p>
        </w:tc>
      </w:tr>
      <w:tr w:rsidR="00B771B6" w:rsidRPr="00EB0EB3" w:rsidTr="00C7452C">
        <w:tc>
          <w:tcPr>
            <w:tcW w:w="851" w:type="dxa"/>
            <w:shd w:val="clear" w:color="auto" w:fill="FFFFFF"/>
          </w:tcPr>
          <w:p w:rsidR="00B771B6" w:rsidRPr="00EB0EB3" w:rsidRDefault="00B771B6" w:rsidP="00E0333E">
            <w:pPr>
              <w:pStyle w:val="143"/>
            </w:pPr>
            <w:r w:rsidRPr="00EB0EB3">
              <w:rPr>
                <w:rFonts w:hint="eastAsia"/>
              </w:rPr>
              <w:t>106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3,557.16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3,829.31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-272.15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-5.10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530.97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253.72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7,786.73</w:t>
            </w:r>
          </w:p>
        </w:tc>
      </w:tr>
      <w:tr w:rsidR="00B771B6" w:rsidRPr="00EB0EB3" w:rsidTr="00C7452C">
        <w:tc>
          <w:tcPr>
            <w:tcW w:w="851" w:type="dxa"/>
            <w:shd w:val="clear" w:color="auto" w:fill="FFFFFF"/>
          </w:tcPr>
          <w:p w:rsidR="00B771B6" w:rsidRPr="00EB0EB3" w:rsidRDefault="00B771B6" w:rsidP="00E0333E">
            <w:pPr>
              <w:pStyle w:val="143"/>
            </w:pPr>
            <w:r w:rsidRPr="00EB0EB3">
              <w:rPr>
                <w:rFonts w:hint="eastAsia"/>
              </w:rPr>
              <w:t>107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3,646.51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3,896.19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-249.68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-5.88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-158.24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-413.80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7,372.93</w:t>
            </w:r>
          </w:p>
        </w:tc>
      </w:tr>
      <w:tr w:rsidR="00B771B6" w:rsidRPr="00EB0EB3" w:rsidTr="00C7452C">
        <w:tc>
          <w:tcPr>
            <w:tcW w:w="851" w:type="dxa"/>
            <w:shd w:val="clear" w:color="auto" w:fill="FFFFFF"/>
          </w:tcPr>
          <w:p w:rsidR="00B771B6" w:rsidRPr="00EB0EB3" w:rsidRDefault="00B771B6" w:rsidP="00E0333E">
            <w:pPr>
              <w:pStyle w:val="143"/>
            </w:pPr>
            <w:r w:rsidRPr="00EB0EB3">
              <w:rPr>
                <w:rFonts w:hint="eastAsia"/>
              </w:rPr>
              <w:t>108</w:t>
            </w:r>
          </w:p>
        </w:tc>
        <w:tc>
          <w:tcPr>
            <w:tcW w:w="1093" w:type="dxa"/>
            <w:shd w:val="clear" w:color="auto" w:fill="FFFFFF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3,933.57</w:t>
            </w:r>
          </w:p>
        </w:tc>
        <w:tc>
          <w:tcPr>
            <w:tcW w:w="1093" w:type="dxa"/>
            <w:shd w:val="clear" w:color="auto" w:fill="FFFFFF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4,156.12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-222.55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-1.71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896.08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671.82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8,044.74</w:t>
            </w:r>
          </w:p>
        </w:tc>
      </w:tr>
      <w:tr w:rsidR="00B771B6" w:rsidRPr="00EB0EB3" w:rsidTr="00C7452C">
        <w:tc>
          <w:tcPr>
            <w:tcW w:w="851" w:type="dxa"/>
            <w:shd w:val="clear" w:color="auto" w:fill="FFFFFF"/>
          </w:tcPr>
          <w:p w:rsidR="00B771B6" w:rsidRPr="00EB0EB3" w:rsidRDefault="00B771B6" w:rsidP="00E0333E">
            <w:pPr>
              <w:pStyle w:val="143"/>
            </w:pPr>
            <w:r w:rsidRPr="00EB0EB3">
              <w:rPr>
                <w:rFonts w:hint="eastAsia"/>
              </w:rPr>
              <w:t>109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4,006.00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4,487.97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 xml:space="preserve">-481.97 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195.58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642.29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355.90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8,400.64</w:t>
            </w:r>
          </w:p>
        </w:tc>
      </w:tr>
      <w:tr w:rsidR="00B771B6" w:rsidRPr="00EB0EB3" w:rsidTr="00C7452C">
        <w:tc>
          <w:tcPr>
            <w:tcW w:w="851" w:type="dxa"/>
            <w:shd w:val="clear" w:color="auto" w:fill="FFFFFF"/>
          </w:tcPr>
          <w:p w:rsidR="00B771B6" w:rsidRPr="00EB0EB3" w:rsidRDefault="00B771B6" w:rsidP="00E0333E">
            <w:pPr>
              <w:pStyle w:val="143"/>
            </w:pPr>
            <w:r w:rsidRPr="00EB0EB3">
              <w:rPr>
                <w:rFonts w:hint="eastAsia"/>
              </w:rPr>
              <w:t>110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4,279.72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4,563.61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-283.89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215.42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728.58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660.11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9,060.75</w:t>
            </w:r>
          </w:p>
        </w:tc>
      </w:tr>
      <w:tr w:rsidR="00B771B6" w:rsidRPr="00EB0EB3" w:rsidTr="00C7452C">
        <w:tc>
          <w:tcPr>
            <w:tcW w:w="851" w:type="dxa"/>
            <w:shd w:val="clear" w:color="auto" w:fill="FFFFFF"/>
          </w:tcPr>
          <w:p w:rsidR="00B771B6" w:rsidRPr="00EB0EB3" w:rsidRDefault="00B771B6" w:rsidP="00E0333E">
            <w:pPr>
              <w:pStyle w:val="143"/>
            </w:pPr>
            <w:r w:rsidRPr="00EB0EB3">
              <w:rPr>
                <w:rFonts w:hint="eastAsia"/>
              </w:rPr>
              <w:t>11</w:t>
            </w:r>
            <w:r w:rsidRPr="00EB0EB3">
              <w:t>1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4</w:t>
            </w:r>
            <w:r w:rsidRPr="00EB0EB3">
              <w:rPr>
                <w:spacing w:val="-20"/>
              </w:rPr>
              <w:t>,432.</w:t>
            </w:r>
            <w:r>
              <w:rPr>
                <w:rFonts w:hint="eastAsia"/>
                <w:spacing w:val="-20"/>
              </w:rPr>
              <w:t>57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4</w:t>
            </w:r>
            <w:r w:rsidRPr="00EB0EB3">
              <w:rPr>
                <w:spacing w:val="-20"/>
              </w:rPr>
              <w:t>,814.27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-</w:t>
            </w:r>
            <w:r w:rsidRPr="00EB0EB3">
              <w:rPr>
                <w:spacing w:val="-20"/>
              </w:rPr>
              <w:t>38</w:t>
            </w:r>
            <w:r>
              <w:rPr>
                <w:rFonts w:hint="eastAsia"/>
                <w:spacing w:val="-20"/>
              </w:rPr>
              <w:t>1</w:t>
            </w:r>
            <w:r w:rsidRPr="00EB0EB3">
              <w:rPr>
                <w:rFonts w:hint="eastAsia"/>
                <w:spacing w:val="-20"/>
              </w:rPr>
              <w:t>.</w:t>
            </w:r>
            <w:r>
              <w:rPr>
                <w:rFonts w:hint="eastAsia"/>
                <w:spacing w:val="-20"/>
              </w:rPr>
              <w:t>70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29</w:t>
            </w:r>
            <w:r w:rsidRPr="00EB0EB3">
              <w:rPr>
                <w:spacing w:val="-20"/>
              </w:rPr>
              <w:t>5</w:t>
            </w:r>
            <w:r w:rsidRPr="00EB0EB3">
              <w:rPr>
                <w:rFonts w:hint="eastAsia"/>
                <w:spacing w:val="-20"/>
              </w:rPr>
              <w:t>.</w:t>
            </w:r>
            <w:r w:rsidRPr="00EB0EB3">
              <w:rPr>
                <w:spacing w:val="-20"/>
              </w:rPr>
              <w:t>56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-</w:t>
            </w:r>
            <w:r w:rsidRPr="00EB0EB3">
              <w:rPr>
                <w:spacing w:val="-20"/>
              </w:rPr>
              <w:t>589</w:t>
            </w:r>
            <w:r w:rsidRPr="00EB0EB3">
              <w:rPr>
                <w:rFonts w:hint="eastAsia"/>
                <w:spacing w:val="-20"/>
              </w:rPr>
              <w:t>.</w:t>
            </w:r>
            <w:r w:rsidRPr="00EB0EB3">
              <w:rPr>
                <w:spacing w:val="-20"/>
              </w:rPr>
              <w:t>49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-676.01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8,</w:t>
            </w:r>
            <w:r w:rsidRPr="00EB0EB3">
              <w:rPr>
                <w:rFonts w:hint="eastAsia"/>
                <w:spacing w:val="-20"/>
              </w:rPr>
              <w:t>384.74</w:t>
            </w:r>
          </w:p>
        </w:tc>
      </w:tr>
      <w:tr w:rsidR="00B771B6" w:rsidRPr="00EB0EB3" w:rsidTr="00C7452C">
        <w:trPr>
          <w:trHeight w:val="200"/>
        </w:trPr>
        <w:tc>
          <w:tcPr>
            <w:tcW w:w="851" w:type="dxa"/>
            <w:shd w:val="clear" w:color="auto" w:fill="FFFFFF"/>
          </w:tcPr>
          <w:p w:rsidR="00B771B6" w:rsidRPr="00EB0EB3" w:rsidRDefault="00B771B6" w:rsidP="00E0333E">
            <w:pPr>
              <w:pStyle w:val="143"/>
              <w:rPr>
                <w:spacing w:val="-20"/>
              </w:rPr>
            </w:pPr>
            <w:r w:rsidRPr="00EB0EB3">
              <w:rPr>
                <w:rFonts w:hint="eastAsia"/>
              </w:rPr>
              <w:t>112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4,7</w:t>
            </w:r>
            <w:r w:rsidRPr="00EB0EB3">
              <w:rPr>
                <w:rFonts w:hint="eastAsia"/>
                <w:spacing w:val="-20"/>
              </w:rPr>
              <w:t>65</w:t>
            </w:r>
            <w:r w:rsidRPr="00EB0EB3">
              <w:rPr>
                <w:spacing w:val="-20"/>
              </w:rPr>
              <w:t>.</w:t>
            </w:r>
            <w:r w:rsidRPr="00EB0EB3">
              <w:rPr>
                <w:rFonts w:hint="eastAsia"/>
                <w:spacing w:val="-20"/>
              </w:rPr>
              <w:t>5</w:t>
            </w:r>
            <w:r w:rsidRPr="00EB0EB3">
              <w:rPr>
                <w:spacing w:val="-20"/>
              </w:rPr>
              <w:t>3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5,</w:t>
            </w:r>
            <w:r w:rsidRPr="00EB0EB3">
              <w:rPr>
                <w:rFonts w:hint="eastAsia"/>
                <w:spacing w:val="-20"/>
              </w:rPr>
              <w:t>206</w:t>
            </w:r>
            <w:r w:rsidRPr="00EB0EB3">
              <w:rPr>
                <w:spacing w:val="-20"/>
              </w:rPr>
              <w:t>.1</w:t>
            </w:r>
            <w:r w:rsidRPr="00EB0EB3">
              <w:rPr>
                <w:rFonts w:hint="eastAsia"/>
                <w:spacing w:val="-20"/>
              </w:rPr>
              <w:t>3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-440.60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547.50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1,100</w:t>
            </w:r>
            <w:r w:rsidRPr="00EB0EB3">
              <w:rPr>
                <w:spacing w:val="-20"/>
              </w:rPr>
              <w:t>.</w:t>
            </w:r>
            <w:r w:rsidRPr="00EB0EB3">
              <w:rPr>
                <w:rFonts w:hint="eastAsia"/>
                <w:spacing w:val="-20"/>
              </w:rPr>
              <w:t>89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1,207.79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9</w:t>
            </w:r>
            <w:r w:rsidRPr="00EB0EB3">
              <w:rPr>
                <w:spacing w:val="-20"/>
              </w:rPr>
              <w:t>,592.91</w:t>
            </w:r>
          </w:p>
        </w:tc>
      </w:tr>
      <w:tr w:rsidR="00B771B6" w:rsidRPr="00EB0EB3" w:rsidTr="00C7452C">
        <w:trPr>
          <w:trHeight w:val="200"/>
        </w:trPr>
        <w:tc>
          <w:tcPr>
            <w:tcW w:w="851" w:type="dxa"/>
            <w:shd w:val="clear" w:color="auto" w:fill="FFFFFF"/>
          </w:tcPr>
          <w:p w:rsidR="00B771B6" w:rsidRPr="00EB0EB3" w:rsidRDefault="00B771B6" w:rsidP="00E0333E">
            <w:pPr>
              <w:pStyle w:val="143"/>
            </w:pPr>
            <w:r w:rsidRPr="00EB0EB3">
              <w:rPr>
                <w:rFonts w:hint="eastAsia"/>
              </w:rPr>
              <w:t>1</w:t>
            </w:r>
            <w:r w:rsidRPr="00EB0EB3">
              <w:t>13</w:t>
            </w:r>
          </w:p>
        </w:tc>
        <w:tc>
          <w:tcPr>
            <w:tcW w:w="1093" w:type="dxa"/>
            <w:shd w:val="clear" w:color="auto" w:fill="FFFFFF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4,827.78</w:t>
            </w:r>
          </w:p>
        </w:tc>
        <w:tc>
          <w:tcPr>
            <w:tcW w:w="1093" w:type="dxa"/>
            <w:shd w:val="clear" w:color="auto" w:fill="FFFFFF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5,432.11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-604.33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rFonts w:hint="eastAsia"/>
                <w:spacing w:val="-20"/>
              </w:rPr>
              <w:t>1,296.28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287.37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979.32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9,520.85</w:t>
            </w:r>
          </w:p>
        </w:tc>
      </w:tr>
      <w:tr w:rsidR="00B771B6" w:rsidRPr="00EB0EB3" w:rsidTr="00C7452C">
        <w:trPr>
          <w:trHeight w:val="200"/>
        </w:trPr>
        <w:tc>
          <w:tcPr>
            <w:tcW w:w="851" w:type="dxa"/>
            <w:shd w:val="clear" w:color="auto" w:fill="FFFFFF"/>
            <w:vAlign w:val="center"/>
          </w:tcPr>
          <w:p w:rsidR="00B771B6" w:rsidRPr="00EB0EB3" w:rsidRDefault="00B771B6" w:rsidP="00E0333E">
            <w:pPr>
              <w:pStyle w:val="143"/>
            </w:pPr>
            <w:r w:rsidRPr="00EB0EB3">
              <w:rPr>
                <w:rFonts w:hint="eastAsia"/>
                <w:spacing w:val="-20"/>
                <w:sz w:val="20"/>
              </w:rPr>
              <w:t>11</w:t>
            </w:r>
            <w:r w:rsidRPr="00EB0EB3">
              <w:rPr>
                <w:spacing w:val="-20"/>
                <w:sz w:val="20"/>
              </w:rPr>
              <w:t>3</w:t>
            </w:r>
            <w:r w:rsidRPr="00EB0EB3">
              <w:rPr>
                <w:rFonts w:hint="eastAsia"/>
                <w:spacing w:val="-20"/>
                <w:sz w:val="20"/>
              </w:rPr>
              <w:t>年7月(實際數)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2,833.17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3,188.67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-355.50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1,298.44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1,355.31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2,298.25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  <w:sz w:val="22"/>
                <w:szCs w:val="24"/>
              </w:rPr>
              <w:t>11,891.16</w:t>
            </w:r>
          </w:p>
        </w:tc>
      </w:tr>
      <w:tr w:rsidR="00B771B6" w:rsidRPr="00EB0EB3" w:rsidTr="00C7452C">
        <w:trPr>
          <w:trHeight w:val="200"/>
        </w:trPr>
        <w:tc>
          <w:tcPr>
            <w:tcW w:w="851" w:type="dxa"/>
            <w:shd w:val="clear" w:color="auto" w:fill="FFFFFF"/>
          </w:tcPr>
          <w:p w:rsidR="00B771B6" w:rsidRPr="00EB0EB3" w:rsidRDefault="00B771B6" w:rsidP="00E0333E">
            <w:pPr>
              <w:pStyle w:val="143"/>
              <w:rPr>
                <w:spacing w:val="-20"/>
                <w:sz w:val="20"/>
              </w:rPr>
            </w:pPr>
            <w:r w:rsidRPr="00EB0EB3">
              <w:rPr>
                <w:rFonts w:hint="eastAsia"/>
                <w:spacing w:val="-20"/>
                <w:sz w:val="20"/>
              </w:rPr>
              <w:t>114</w:t>
            </w:r>
          </w:p>
        </w:tc>
        <w:tc>
          <w:tcPr>
            <w:tcW w:w="1093" w:type="dxa"/>
            <w:shd w:val="clear" w:color="auto" w:fill="FFFFFF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5,168.19</w:t>
            </w:r>
          </w:p>
        </w:tc>
        <w:tc>
          <w:tcPr>
            <w:tcW w:w="1093" w:type="dxa"/>
            <w:shd w:val="clear" w:color="auto" w:fill="FFFFFF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6,017.32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-849.13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1,297.86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365.71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</w:rPr>
            </w:pPr>
            <w:r w:rsidRPr="00EB0EB3">
              <w:rPr>
                <w:spacing w:val="-20"/>
              </w:rPr>
              <w:t>814.44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12" w:space="0" w:color="auto"/>
            </w:tcBorders>
          </w:tcPr>
          <w:p w:rsidR="00B771B6" w:rsidRPr="00EB0EB3" w:rsidRDefault="00B771B6" w:rsidP="00C86072">
            <w:pPr>
              <w:pStyle w:val="143"/>
              <w:jc w:val="right"/>
              <w:rPr>
                <w:spacing w:val="-20"/>
                <w:sz w:val="22"/>
                <w:szCs w:val="24"/>
              </w:rPr>
            </w:pPr>
            <w:r w:rsidRPr="00EB0EB3">
              <w:rPr>
                <w:spacing w:val="-20"/>
                <w:sz w:val="22"/>
                <w:szCs w:val="24"/>
              </w:rPr>
              <w:t>11,386.67</w:t>
            </w:r>
          </w:p>
        </w:tc>
      </w:tr>
    </w:tbl>
    <w:p w:rsidR="00B771B6" w:rsidRPr="00EB0EB3" w:rsidRDefault="00B771B6" w:rsidP="00E0333E">
      <w:pPr>
        <w:pStyle w:val="143"/>
        <w:ind w:left="1419" w:hangingChars="583" w:hanging="1419"/>
        <w:rPr>
          <w:rFonts w:hAnsi="標楷體"/>
        </w:rPr>
      </w:pPr>
      <w:r w:rsidRPr="00EB0EB3">
        <w:rPr>
          <w:rFonts w:hAnsi="標楷體" w:hint="eastAsia"/>
        </w:rPr>
        <w:t>說    明：1.本表係按歷年預、決算書資料填列，採權責制；精算報告及補充報告之基金餘額，存有帳務處理差異。</w:t>
      </w:r>
    </w:p>
    <w:p w:rsidR="00B771B6" w:rsidRPr="00EB0EB3" w:rsidRDefault="00B771B6" w:rsidP="00E0333E">
      <w:pPr>
        <w:pStyle w:val="143"/>
        <w:ind w:leftChars="400" w:left="1414" w:hangingChars="115" w:hanging="280"/>
        <w:rPr>
          <w:rFonts w:hAnsi="標楷體"/>
        </w:rPr>
      </w:pPr>
      <w:r w:rsidRPr="00EB0EB3">
        <w:rPr>
          <w:rFonts w:hAnsi="標楷體" w:hint="eastAsia"/>
        </w:rPr>
        <w:t>2.其他收支主要係其他補助收入、呆帳、業務外收入及業務外費用。</w:t>
      </w:r>
    </w:p>
    <w:p w:rsidR="00B771B6" w:rsidRPr="00EB0EB3" w:rsidRDefault="00B771B6" w:rsidP="00E0333E">
      <w:pPr>
        <w:pStyle w:val="143"/>
        <w:ind w:leftChars="401" w:left="1422" w:hangingChars="117" w:hanging="285"/>
        <w:rPr>
          <w:rFonts w:hAnsi="標楷體"/>
        </w:rPr>
      </w:pPr>
      <w:r w:rsidRPr="00EB0EB3">
        <w:rPr>
          <w:rFonts w:hAnsi="標楷體" w:hint="eastAsia"/>
        </w:rPr>
        <w:t>3.105-112年度為決算數，113、114年度為預算案數。</w:t>
      </w:r>
    </w:p>
    <w:p w:rsidR="00B771B6" w:rsidRDefault="00B771B6" w:rsidP="00E0333E">
      <w:pPr>
        <w:pStyle w:val="143"/>
        <w:ind w:left="1419" w:hangingChars="583" w:hanging="1419"/>
        <w:rPr>
          <w:rFonts w:hAnsi="標楷體"/>
        </w:rPr>
      </w:pPr>
      <w:r w:rsidRPr="00EB0EB3">
        <w:rPr>
          <w:rFonts w:hAnsi="標楷體" w:hint="eastAsia"/>
        </w:rPr>
        <w:t>資料來源：勞保局提供。</w:t>
      </w:r>
    </w:p>
    <w:p w:rsidR="00B771B6" w:rsidRPr="00F72663" w:rsidRDefault="00B771B6" w:rsidP="00E0333E">
      <w:pPr>
        <w:pStyle w:val="af6"/>
        <w:ind w:left="851" w:hanging="284"/>
        <w:rPr>
          <w:b/>
        </w:rPr>
      </w:pPr>
      <w:r w:rsidRPr="00F72663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F72663">
        <w:rPr>
          <w:rFonts w:hint="eastAsia"/>
          <w:b/>
        </w:rPr>
        <w:t>)勞保老年給付逐年</w:t>
      </w:r>
      <w:r>
        <w:rPr>
          <w:rFonts w:hint="eastAsia"/>
          <w:b/>
        </w:rPr>
        <w:t>快速</w:t>
      </w:r>
      <w:r w:rsidRPr="00F72663">
        <w:rPr>
          <w:rFonts w:hint="eastAsia"/>
          <w:b/>
        </w:rPr>
        <w:t>增加，112年底老年給付精算負債占整體精算負債之97.3%，未來老年給付負擔將</w:t>
      </w:r>
      <w:r>
        <w:rPr>
          <w:rFonts w:hint="eastAsia"/>
          <w:b/>
        </w:rPr>
        <w:t>愈趨</w:t>
      </w:r>
      <w:r w:rsidRPr="00F72663">
        <w:rPr>
          <w:rFonts w:hint="eastAsia"/>
          <w:b/>
        </w:rPr>
        <w:t>沉重</w:t>
      </w:r>
    </w:p>
    <w:p w:rsidR="00B771B6" w:rsidRDefault="00B771B6" w:rsidP="00E0333E">
      <w:pPr>
        <w:pStyle w:val="1230"/>
        <w:ind w:left="1133" w:hanging="283"/>
      </w:pPr>
      <w:r>
        <w:rPr>
          <w:rFonts w:hint="eastAsia"/>
        </w:rPr>
        <w:t>1.經統計近10年(</w:t>
      </w:r>
      <w:r>
        <w:t>103</w:t>
      </w:r>
      <w:r>
        <w:rPr>
          <w:rFonts w:hint="eastAsia"/>
        </w:rPr>
        <w:t>至</w:t>
      </w:r>
      <w:r>
        <w:t>112</w:t>
      </w:r>
      <w:r>
        <w:rPr>
          <w:rFonts w:hint="eastAsia"/>
        </w:rPr>
        <w:t>年度)勞保之老年給付(詳表2</w:t>
      </w:r>
      <w:r>
        <w:t>)</w:t>
      </w:r>
      <w:r>
        <w:rPr>
          <w:rFonts w:hint="eastAsia"/>
        </w:rPr>
        <w:t>，112年度老年給付之件數及金額分別為184萬3</w:t>
      </w:r>
      <w:r>
        <w:t>,</w:t>
      </w:r>
      <w:r>
        <w:rPr>
          <w:rFonts w:hint="eastAsia"/>
        </w:rPr>
        <w:t>518件及4</w:t>
      </w:r>
      <w:r>
        <w:t>,</w:t>
      </w:r>
      <w:r>
        <w:rPr>
          <w:rFonts w:hint="eastAsia"/>
        </w:rPr>
        <w:t>682.37億元，分別較103年度增加1.59倍及1.28倍，112年度勞保老年年金給付占整體老年給付之八成，112年底老年給付精算負債約12兆餘元，占整體精算負債之97.3%，老年年金給付為勞保基金之主要負擔且快速攀升。</w:t>
      </w:r>
    </w:p>
    <w:p w:rsidR="00B82956" w:rsidRDefault="00B771B6" w:rsidP="003E051A">
      <w:pPr>
        <w:pStyle w:val="1230"/>
        <w:ind w:left="1133" w:hanging="283"/>
        <w:rPr>
          <w:rFonts w:hAnsi="標楷體"/>
          <w:b/>
        </w:rPr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112年底勞保基金精算負債餘額</w:t>
      </w:r>
      <w:r>
        <w:t>13</w:t>
      </w:r>
      <w:r>
        <w:rPr>
          <w:rFonts w:hint="eastAsia"/>
        </w:rPr>
        <w:t>兆</w:t>
      </w:r>
      <w:r>
        <w:t>465</w:t>
      </w:r>
      <w:r>
        <w:rPr>
          <w:rFonts w:hint="eastAsia"/>
        </w:rPr>
        <w:t>億元，較111年度增加</w:t>
      </w:r>
      <w:r>
        <w:t>7,225</w:t>
      </w:r>
      <w:r>
        <w:rPr>
          <w:rFonts w:hint="eastAsia"/>
        </w:rPr>
        <w:t>億元，呈逐年增加趨勢；</w:t>
      </w:r>
      <w:r w:rsidRPr="00967EDF">
        <w:rPr>
          <w:rFonts w:hint="eastAsia"/>
        </w:rPr>
        <w:t>依據國發會推估，我國工作年齡人口自79年度開始進入人口紅利時期，並於94年達最高峰1,737萬人後轉為下滑，預計</w:t>
      </w:r>
      <w:r>
        <w:rPr>
          <w:rFonts w:hint="eastAsia"/>
        </w:rPr>
        <w:t>114年度進入超高齡社會，</w:t>
      </w:r>
      <w:r w:rsidRPr="00967EDF">
        <w:rPr>
          <w:rFonts w:hint="eastAsia"/>
        </w:rPr>
        <w:t>117年度起15</w:t>
      </w:r>
      <w:r>
        <w:rPr>
          <w:rFonts w:hint="eastAsia"/>
        </w:rPr>
        <w:t>歲至</w:t>
      </w:r>
      <w:r w:rsidRPr="00967EDF">
        <w:rPr>
          <w:rFonts w:hint="eastAsia"/>
        </w:rPr>
        <w:t>64歲工作年齡人口占比開始低於三分之二，對經社發展有利之人口紅利消失，代表勞動力已不</w:t>
      </w:r>
      <w:r w:rsidRPr="00967EDF">
        <w:rPr>
          <w:rFonts w:hint="eastAsia"/>
        </w:rPr>
        <w:lastRenderedPageBreak/>
        <w:t>若以往充沛，</w:t>
      </w:r>
      <w:r>
        <w:rPr>
          <w:rFonts w:hint="eastAsia"/>
        </w:rPr>
        <w:t>未來老年給付負擔將愈趨沉重</w:t>
      </w:r>
      <w:r w:rsidRPr="00967EDF">
        <w:rPr>
          <w:rFonts w:hint="eastAsia"/>
        </w:rPr>
        <w:t>。</w:t>
      </w:r>
    </w:p>
    <w:p w:rsidR="00B771B6" w:rsidRDefault="00B771B6" w:rsidP="00E0333E">
      <w:pPr>
        <w:ind w:leftChars="0" w:left="1422" w:hangingChars="501" w:hanging="1422"/>
        <w:rPr>
          <w:rFonts w:hAnsi="標楷體"/>
          <w:b/>
        </w:rPr>
      </w:pPr>
      <w:r w:rsidRPr="0096641D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2</w:t>
      </w:r>
      <w:r w:rsidRPr="0096641D">
        <w:rPr>
          <w:rFonts w:hAnsi="標楷體" w:hint="eastAsia"/>
          <w:b/>
        </w:rPr>
        <w:t xml:space="preserve">  10</w:t>
      </w:r>
      <w:r>
        <w:rPr>
          <w:rFonts w:hAnsi="標楷體" w:hint="eastAsia"/>
          <w:b/>
        </w:rPr>
        <w:t>3</w:t>
      </w:r>
      <w:r w:rsidR="00751B00">
        <w:rPr>
          <w:rFonts w:hAnsi="標楷體" w:hint="eastAsia"/>
          <w:b/>
        </w:rPr>
        <w:t>至</w:t>
      </w:r>
      <w:r w:rsidRPr="0096641D">
        <w:rPr>
          <w:rFonts w:hAnsi="標楷體" w:hint="eastAsia"/>
          <w:b/>
        </w:rPr>
        <w:t>11</w:t>
      </w:r>
      <w:r>
        <w:rPr>
          <w:rFonts w:hAnsi="標楷體" w:hint="eastAsia"/>
          <w:b/>
        </w:rPr>
        <w:t>2</w:t>
      </w:r>
      <w:r w:rsidRPr="0096641D">
        <w:rPr>
          <w:rFonts w:hAnsi="標楷體" w:hint="eastAsia"/>
          <w:b/>
        </w:rPr>
        <w:t>年</w:t>
      </w:r>
      <w:r>
        <w:rPr>
          <w:rFonts w:hAnsi="標楷體" w:hint="eastAsia"/>
          <w:b/>
        </w:rPr>
        <w:t>度我國勞工保險之老年給付統計表</w:t>
      </w:r>
    </w:p>
    <w:p w:rsidR="00B771B6" w:rsidRPr="004B2658" w:rsidRDefault="00B771B6" w:rsidP="00E0333E">
      <w:pPr>
        <w:ind w:leftChars="0" w:left="1422" w:hangingChars="501" w:hanging="1422"/>
        <w:jc w:val="right"/>
        <w:rPr>
          <w:sz w:val="24"/>
          <w:szCs w:val="24"/>
        </w:rPr>
      </w:pPr>
      <w:r>
        <w:rPr>
          <w:rFonts w:hAnsi="標楷體" w:hint="eastAsia"/>
          <w:b/>
        </w:rPr>
        <w:t xml:space="preserve">              </w:t>
      </w:r>
      <w:r w:rsidRPr="004B2658">
        <w:rPr>
          <w:rFonts w:hAnsi="標楷體" w:hint="eastAsia"/>
          <w:b/>
          <w:sz w:val="24"/>
          <w:szCs w:val="24"/>
        </w:rPr>
        <w:t xml:space="preserve"> </w:t>
      </w:r>
      <w:r w:rsidRPr="004B2658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件</w:t>
      </w:r>
      <w:r w:rsidRPr="004B2658">
        <w:rPr>
          <w:rFonts w:hint="eastAsia"/>
          <w:sz w:val="24"/>
          <w:szCs w:val="24"/>
        </w:rPr>
        <w:t>;新臺幣</w:t>
      </w:r>
      <w:r>
        <w:rPr>
          <w:rFonts w:hint="eastAsia"/>
          <w:sz w:val="24"/>
          <w:szCs w:val="24"/>
        </w:rPr>
        <w:t>億</w:t>
      </w:r>
      <w:r w:rsidRPr="004B2658">
        <w:rPr>
          <w:rFonts w:hint="eastAsia"/>
          <w:sz w:val="24"/>
          <w:szCs w:val="24"/>
        </w:rPr>
        <w:t>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5"/>
        <w:gridCol w:w="1276"/>
        <w:gridCol w:w="1276"/>
        <w:gridCol w:w="1276"/>
        <w:gridCol w:w="1276"/>
        <w:gridCol w:w="1417"/>
      </w:tblGrid>
      <w:tr w:rsidR="00B771B6" w:rsidRPr="00AE0EF3" w:rsidTr="00E0333E">
        <w:trPr>
          <w:tblHeader/>
        </w:trPr>
        <w:tc>
          <w:tcPr>
            <w:tcW w:w="709" w:type="dxa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1B6" w:rsidRDefault="00B771B6" w:rsidP="003E051A">
            <w:pPr>
              <w:pStyle w:val="143"/>
            </w:pPr>
            <w:r>
              <w:rPr>
                <w:rFonts w:hint="eastAsia"/>
              </w:rPr>
              <w:t>年</w:t>
            </w:r>
            <w:r w:rsidR="003E051A">
              <w:rPr>
                <w:rFonts w:hint="eastAsia"/>
              </w:rPr>
              <w:t>度</w:t>
            </w:r>
          </w:p>
          <w:p w:rsidR="00B771B6" w:rsidRPr="002C1D6B" w:rsidRDefault="00B771B6" w:rsidP="00E0333E">
            <w:pPr>
              <w:pStyle w:val="143"/>
              <w:ind w:leftChars="-37" w:hangingChars="57" w:hanging="105"/>
              <w:jc w:val="center"/>
            </w:pPr>
            <w:r w:rsidRPr="004E2210">
              <w:rPr>
                <w:rFonts w:hint="eastAsia"/>
                <w:spacing w:val="-20"/>
                <w:sz w:val="22"/>
              </w:rPr>
              <w:t>(年底)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3637D9" w:rsidRDefault="00B771B6" w:rsidP="00C7452C">
            <w:pPr>
              <w:pStyle w:val="143"/>
              <w:ind w:left="567"/>
              <w:jc w:val="center"/>
            </w:pPr>
            <w:r>
              <w:rPr>
                <w:rFonts w:hint="eastAsia"/>
              </w:rPr>
              <w:t>一次給付</w:t>
            </w:r>
          </w:p>
        </w:tc>
        <w:tc>
          <w:tcPr>
            <w:tcW w:w="255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1778FB" w:rsidRDefault="00B771B6" w:rsidP="00C7452C">
            <w:pPr>
              <w:pStyle w:val="143"/>
              <w:ind w:left="567"/>
              <w:jc w:val="center"/>
            </w:pPr>
            <w:r>
              <w:rPr>
                <w:rFonts w:hint="eastAsia"/>
              </w:rPr>
              <w:t>年金給付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1B6" w:rsidRPr="001778FB" w:rsidRDefault="00B771B6" w:rsidP="00C7452C">
            <w:pPr>
              <w:pStyle w:val="143"/>
              <w:ind w:left="567"/>
              <w:jc w:val="center"/>
            </w:pPr>
            <w:r>
              <w:rPr>
                <w:rFonts w:hint="eastAsia"/>
              </w:rPr>
              <w:t>合計</w:t>
            </w:r>
          </w:p>
        </w:tc>
      </w:tr>
      <w:tr w:rsidR="00B771B6" w:rsidRPr="00AE0EF3" w:rsidTr="00C7452C">
        <w:trPr>
          <w:tblHeader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1B6" w:rsidRPr="00035564" w:rsidRDefault="00B771B6" w:rsidP="00E0333E">
            <w:pPr>
              <w:pStyle w:val="143"/>
              <w:ind w:left="567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035564" w:rsidRDefault="00B771B6" w:rsidP="003E051A">
            <w:pPr>
              <w:pStyle w:val="143"/>
              <w:ind w:left="-85"/>
              <w:jc w:val="center"/>
            </w:pPr>
            <w:r>
              <w:rPr>
                <w:rFonts w:hint="eastAsia"/>
              </w:rPr>
              <w:t>件數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035564" w:rsidRDefault="00B771B6" w:rsidP="003E051A">
            <w:pPr>
              <w:pStyle w:val="143"/>
              <w:ind w:left="-90"/>
              <w:jc w:val="center"/>
            </w:pPr>
            <w:r w:rsidRPr="00035564">
              <w:rPr>
                <w:rFonts w:hint="eastAsia"/>
              </w:rPr>
              <w:t>金額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035564" w:rsidRDefault="00B771B6" w:rsidP="003E051A">
            <w:pPr>
              <w:pStyle w:val="143"/>
              <w:ind w:left="-90"/>
              <w:jc w:val="center"/>
            </w:pPr>
            <w:r>
              <w:rPr>
                <w:rFonts w:hint="eastAsia"/>
              </w:rPr>
              <w:t>件數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035564" w:rsidRDefault="00B771B6" w:rsidP="003E051A">
            <w:pPr>
              <w:pStyle w:val="143"/>
              <w:ind w:left="-90"/>
              <w:jc w:val="center"/>
            </w:pPr>
            <w:r w:rsidRPr="00035564">
              <w:rPr>
                <w:rFonts w:hint="eastAsia"/>
              </w:rPr>
              <w:t>金額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1B6" w:rsidRPr="00035564" w:rsidRDefault="00B771B6" w:rsidP="003E051A">
            <w:pPr>
              <w:pStyle w:val="143"/>
              <w:ind w:left="-90"/>
              <w:jc w:val="center"/>
            </w:pPr>
            <w:r>
              <w:rPr>
                <w:rFonts w:hint="eastAsia"/>
              </w:rPr>
              <w:t>件數</w:t>
            </w:r>
          </w:p>
        </w:tc>
        <w:tc>
          <w:tcPr>
            <w:tcW w:w="1417" w:type="dxa"/>
            <w:shd w:val="clear" w:color="auto" w:fill="FFFFFF"/>
          </w:tcPr>
          <w:p w:rsidR="00B771B6" w:rsidRPr="00035564" w:rsidRDefault="00B771B6" w:rsidP="003E051A">
            <w:pPr>
              <w:pStyle w:val="143"/>
              <w:ind w:left="-90"/>
              <w:jc w:val="center"/>
            </w:pPr>
            <w:r w:rsidRPr="00035564">
              <w:rPr>
                <w:rFonts w:hint="eastAsia"/>
              </w:rPr>
              <w:t>金額</w:t>
            </w:r>
          </w:p>
        </w:tc>
      </w:tr>
      <w:tr w:rsidR="00B771B6" w:rsidRPr="00E0333E" w:rsidTr="00C7452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1B6" w:rsidRPr="00E0333E" w:rsidRDefault="00B771B6" w:rsidP="00E0333E">
            <w:pPr>
              <w:pStyle w:val="143"/>
              <w:jc w:val="center"/>
            </w:pPr>
            <w:r w:rsidRPr="00E0333E">
              <w:t>103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>97,467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1,001.51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614,960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1,053.79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>712,427</w:t>
            </w:r>
          </w:p>
        </w:tc>
        <w:tc>
          <w:tcPr>
            <w:tcW w:w="1417" w:type="dxa"/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2,055.30 </w:t>
            </w:r>
          </w:p>
        </w:tc>
      </w:tr>
      <w:tr w:rsidR="00B771B6" w:rsidRPr="00E0333E" w:rsidTr="00C7452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1B6" w:rsidRPr="00E0333E" w:rsidRDefault="00B771B6" w:rsidP="00E0333E">
            <w:pPr>
              <w:pStyle w:val="143"/>
              <w:jc w:val="center"/>
            </w:pPr>
            <w:r w:rsidRPr="00E0333E">
              <w:t>104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>102,899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1,065.87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731,428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1,308.40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>834,327</w:t>
            </w:r>
          </w:p>
        </w:tc>
        <w:tc>
          <w:tcPr>
            <w:tcW w:w="1417" w:type="dxa"/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2,374.27 </w:t>
            </w:r>
          </w:p>
        </w:tc>
      </w:tr>
      <w:tr w:rsidR="00B771B6" w:rsidRPr="00E0333E" w:rsidTr="00C7452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1B6" w:rsidRPr="00E0333E" w:rsidRDefault="00B771B6" w:rsidP="00E0333E">
            <w:pPr>
              <w:pStyle w:val="143"/>
              <w:jc w:val="center"/>
            </w:pPr>
            <w:r w:rsidRPr="00E0333E">
              <w:t>105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>114,535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1,196.36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884,481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1,605.25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999,016</w:t>
            </w:r>
          </w:p>
        </w:tc>
        <w:tc>
          <w:tcPr>
            <w:tcW w:w="1417" w:type="dxa"/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2,801.61 </w:t>
            </w:r>
          </w:p>
        </w:tc>
      </w:tr>
      <w:tr w:rsidR="00B771B6" w:rsidRPr="00E0333E" w:rsidTr="00C7452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1B6" w:rsidRPr="00E0333E" w:rsidRDefault="00B771B6" w:rsidP="00E0333E">
            <w:pPr>
              <w:pStyle w:val="143"/>
              <w:jc w:val="center"/>
            </w:pPr>
            <w:r w:rsidRPr="00E0333E">
              <w:t>106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>134,998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1,468.78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1,041,873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1,971.21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1,176,871</w:t>
            </w:r>
          </w:p>
        </w:tc>
        <w:tc>
          <w:tcPr>
            <w:tcW w:w="1417" w:type="dxa"/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3,439.98 </w:t>
            </w:r>
          </w:p>
        </w:tc>
      </w:tr>
      <w:tr w:rsidR="00B771B6" w:rsidRPr="00E0333E" w:rsidTr="00C7452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1B6" w:rsidRPr="00E0333E" w:rsidRDefault="00B771B6" w:rsidP="00E0333E">
            <w:pPr>
              <w:pStyle w:val="143"/>
              <w:jc w:val="center"/>
            </w:pPr>
            <w:r w:rsidRPr="00E0333E">
              <w:t>107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>108,933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1,213.22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1,165,766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2,275.96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1,274,699</w:t>
            </w:r>
          </w:p>
        </w:tc>
        <w:tc>
          <w:tcPr>
            <w:tcW w:w="1417" w:type="dxa"/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3,489.18 </w:t>
            </w:r>
          </w:p>
        </w:tc>
      </w:tr>
      <w:tr w:rsidR="00B771B6" w:rsidRPr="00E0333E" w:rsidTr="00C7452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1B6" w:rsidRPr="00E0333E" w:rsidRDefault="00B771B6" w:rsidP="00E0333E">
            <w:pPr>
              <w:pStyle w:val="143"/>
              <w:jc w:val="center"/>
            </w:pPr>
            <w:r w:rsidRPr="00E0333E">
              <w:t>108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>110,676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1,178.60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1,273,387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2,552.86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1,384,063</w:t>
            </w:r>
          </w:p>
        </w:tc>
        <w:tc>
          <w:tcPr>
            <w:tcW w:w="1417" w:type="dxa"/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3,731.46 </w:t>
            </w:r>
          </w:p>
        </w:tc>
      </w:tr>
      <w:tr w:rsidR="00B771B6" w:rsidRPr="00E0333E" w:rsidTr="00C7452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1B6" w:rsidRPr="00E0333E" w:rsidRDefault="00B771B6" w:rsidP="00E0333E">
            <w:pPr>
              <w:pStyle w:val="143"/>
              <w:jc w:val="center"/>
            </w:pPr>
            <w:r w:rsidRPr="00E0333E">
              <w:t>109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>105,866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1,233.34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1,397,302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2,825.54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1,503,168</w:t>
            </w:r>
          </w:p>
        </w:tc>
        <w:tc>
          <w:tcPr>
            <w:tcW w:w="1417" w:type="dxa"/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4,058.88 </w:t>
            </w:r>
          </w:p>
        </w:tc>
      </w:tr>
      <w:tr w:rsidR="00B771B6" w:rsidRPr="00E0333E" w:rsidTr="00C7452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1B6" w:rsidRPr="00E0333E" w:rsidRDefault="00B771B6" w:rsidP="00E0333E">
            <w:pPr>
              <w:pStyle w:val="143"/>
              <w:jc w:val="center"/>
            </w:pPr>
            <w:r w:rsidRPr="00E0333E">
              <w:t>110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>93,646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1,014.72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1,492,650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3,102.12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1,586,296</w:t>
            </w:r>
          </w:p>
        </w:tc>
        <w:tc>
          <w:tcPr>
            <w:tcW w:w="1417" w:type="dxa"/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4,116.85 </w:t>
            </w:r>
          </w:p>
        </w:tc>
      </w:tr>
      <w:tr w:rsidR="00B771B6" w:rsidRPr="00E0333E" w:rsidTr="00C7452C">
        <w:trPr>
          <w:trHeight w:val="3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1B6" w:rsidRPr="00E0333E" w:rsidRDefault="00B771B6" w:rsidP="00E0333E">
            <w:pPr>
              <w:pStyle w:val="143"/>
              <w:jc w:val="center"/>
            </w:pPr>
            <w:r w:rsidRPr="00E0333E"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>85,548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911.30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1,597,562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3,381.02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1,683,110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4,292.33 </w:t>
            </w:r>
          </w:p>
        </w:tc>
      </w:tr>
      <w:tr w:rsidR="00B771B6" w:rsidRPr="00E0333E" w:rsidTr="00C7452C">
        <w:tc>
          <w:tcPr>
            <w:tcW w:w="709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B771B6" w:rsidRPr="00E0333E" w:rsidRDefault="00B771B6" w:rsidP="00E0333E">
            <w:pPr>
              <w:pStyle w:val="143"/>
              <w:jc w:val="center"/>
            </w:pPr>
            <w:r w:rsidRPr="00E0333E">
              <w:t>112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>101,425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927.67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1,742,093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3,754.70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  <w:rPr>
                <w:spacing w:val="-20"/>
              </w:rPr>
            </w:pPr>
            <w:r w:rsidRPr="00E0333E">
              <w:rPr>
                <w:spacing w:val="-20"/>
              </w:rPr>
              <w:t>1,843,518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B771B6" w:rsidRPr="00E0333E" w:rsidRDefault="00B771B6" w:rsidP="00E0333E">
            <w:pPr>
              <w:pStyle w:val="143"/>
              <w:jc w:val="right"/>
            </w:pPr>
            <w:r w:rsidRPr="00E0333E">
              <w:t xml:space="preserve">4,682.37 </w:t>
            </w:r>
          </w:p>
        </w:tc>
      </w:tr>
    </w:tbl>
    <w:p w:rsidR="00B771B6" w:rsidRDefault="00B771B6" w:rsidP="00E0333E">
      <w:pPr>
        <w:pStyle w:val="143"/>
        <w:ind w:left="1135" w:hangingChars="466" w:hanging="1135"/>
      </w:pPr>
      <w:r w:rsidRPr="00D577EE">
        <w:rPr>
          <w:rFonts w:hint="eastAsia"/>
        </w:rPr>
        <w:t>資料來源：</w:t>
      </w:r>
      <w:r>
        <w:rPr>
          <w:rFonts w:hint="eastAsia"/>
        </w:rPr>
        <w:t>112年度勞工保險統計年報。</w:t>
      </w:r>
    </w:p>
    <w:p w:rsidR="00B771B6" w:rsidRPr="00E52DCF" w:rsidRDefault="00B771B6" w:rsidP="00E0333E">
      <w:pPr>
        <w:pStyle w:val="af6"/>
        <w:ind w:left="851" w:hanging="284"/>
        <w:rPr>
          <w:b/>
        </w:rPr>
      </w:pPr>
      <w:r w:rsidRPr="00E52DCF">
        <w:rPr>
          <w:rFonts w:hint="eastAsia"/>
          <w:b/>
        </w:rPr>
        <w:t>(三)允宜</w:t>
      </w:r>
      <w:r>
        <w:rPr>
          <w:rFonts w:hint="eastAsia"/>
          <w:b/>
        </w:rPr>
        <w:t>檢討</w:t>
      </w:r>
      <w:r w:rsidRPr="00B35245">
        <w:rPr>
          <w:rFonts w:hint="eastAsia"/>
          <w:b/>
        </w:rPr>
        <w:t>財務收支失衡原因，謀求改進</w:t>
      </w:r>
      <w:r>
        <w:rPr>
          <w:rFonts w:hint="eastAsia"/>
          <w:b/>
        </w:rPr>
        <w:t>，</w:t>
      </w:r>
      <w:r w:rsidR="004A45AF">
        <w:rPr>
          <w:rFonts w:hint="eastAsia"/>
          <w:b/>
        </w:rPr>
        <w:t>並</w:t>
      </w:r>
      <w:r>
        <w:rPr>
          <w:rFonts w:hint="eastAsia"/>
          <w:b/>
        </w:rPr>
        <w:t>完成</w:t>
      </w:r>
      <w:r w:rsidRPr="00E52DCF">
        <w:rPr>
          <w:rFonts w:hint="eastAsia"/>
          <w:b/>
        </w:rPr>
        <w:t>周</w:t>
      </w:r>
      <w:r>
        <w:rPr>
          <w:rFonts w:hint="eastAsia"/>
          <w:b/>
        </w:rPr>
        <w:t>妥</w:t>
      </w:r>
      <w:r w:rsidRPr="00E52DCF">
        <w:rPr>
          <w:rFonts w:hint="eastAsia"/>
          <w:b/>
        </w:rPr>
        <w:t>財務健全方案</w:t>
      </w:r>
      <w:r>
        <w:rPr>
          <w:rFonts w:hint="eastAsia"/>
          <w:b/>
        </w:rPr>
        <w:t>及法制作業</w:t>
      </w:r>
      <w:bookmarkStart w:id="13" w:name="_Hlk176426684"/>
      <w:r>
        <w:rPr>
          <w:rFonts w:hint="eastAsia"/>
          <w:b/>
        </w:rPr>
        <w:t>，</w:t>
      </w:r>
      <w:r w:rsidRPr="00E52DCF">
        <w:rPr>
          <w:rFonts w:hint="eastAsia"/>
          <w:b/>
        </w:rPr>
        <w:t>俾利基金永續</w:t>
      </w:r>
      <w:r>
        <w:rPr>
          <w:rFonts w:hint="eastAsia"/>
          <w:b/>
        </w:rPr>
        <w:t>穩當</w:t>
      </w:r>
      <w:r w:rsidRPr="00E52DCF">
        <w:rPr>
          <w:rFonts w:hint="eastAsia"/>
          <w:b/>
        </w:rPr>
        <w:t>，以發揮社會保險功能</w:t>
      </w:r>
      <w:bookmarkEnd w:id="13"/>
    </w:p>
    <w:p w:rsidR="00B771B6" w:rsidRPr="00B662D9" w:rsidRDefault="00B771B6" w:rsidP="00B35245">
      <w:pPr>
        <w:pStyle w:val="24"/>
        <w:ind w:left="850" w:firstLine="567"/>
      </w:pPr>
      <w:r w:rsidRPr="00E52DCF">
        <w:rPr>
          <w:rFonts w:hint="eastAsia"/>
        </w:rPr>
        <w:t>按勞動部以109年底為基期，</w:t>
      </w:r>
      <w:r>
        <w:rPr>
          <w:rFonts w:hint="eastAsia"/>
        </w:rPr>
        <w:t>於</w:t>
      </w:r>
      <w:r w:rsidRPr="00E52DCF">
        <w:rPr>
          <w:rFonts w:hint="eastAsia"/>
        </w:rPr>
        <w:t>110年12月出版之「勞工保險普通事故保險費率精算及財務評估」精算評估報告書(以下簡稱最新精算報告)</w:t>
      </w:r>
      <w:r w:rsidRPr="00E52DCF">
        <w:rPr>
          <w:rStyle w:val="af5"/>
        </w:rPr>
        <w:footnoteReference w:id="1"/>
      </w:r>
      <w:r w:rsidRPr="00E52DCF">
        <w:rPr>
          <w:rFonts w:hint="eastAsia"/>
        </w:rPr>
        <w:t>指出，基金餘額將逐年減少，預計於117年度用罄。政府為減緩其財務壓力</w:t>
      </w:r>
      <w:r>
        <w:rPr>
          <w:rFonts w:hint="eastAsia"/>
        </w:rPr>
        <w:t>撥補勞保基金</w:t>
      </w:r>
      <w:r w:rsidRPr="00E52DCF">
        <w:rPr>
          <w:rFonts w:hint="eastAsia"/>
        </w:rPr>
        <w:t>，勞動部說明略以，「109年起依</w:t>
      </w:r>
      <w:r w:rsidRPr="00B662D9">
        <w:rPr>
          <w:rFonts w:hint="eastAsia"/>
        </w:rPr>
        <w:t>行政院106年草案之規劃，循預算編列程序及行政院匡列額度，據以編列預算撥補勞工保險基金，以穩定基金流量。」、「考量政府資源挹注有助於維持勞工保險基金水位，為保障勞工之保險給付權益，仍有必要賡續撥補，爰行政院於衡酌政府財政狀況下，同意於114年續編1,200億元撥補勞工保險基金。」。</w:t>
      </w:r>
    </w:p>
    <w:p w:rsidR="00B771B6" w:rsidRPr="00E52DCF" w:rsidRDefault="00B771B6" w:rsidP="00B35245">
      <w:pPr>
        <w:pStyle w:val="24"/>
        <w:ind w:left="850" w:firstLine="547"/>
      </w:pPr>
      <w:r w:rsidRPr="00B662D9">
        <w:rPr>
          <w:rFonts w:hAnsi="標楷體" w:hint="eastAsia"/>
          <w:sz w:val="27"/>
          <w:szCs w:val="27"/>
        </w:rPr>
        <w:t>按114</w:t>
      </w:r>
      <w:r w:rsidRPr="00B662D9">
        <w:rPr>
          <w:rFonts w:hint="eastAsia"/>
        </w:rPr>
        <w:t>年度</w:t>
      </w:r>
      <w:r w:rsidRPr="00B662D9">
        <w:rPr>
          <w:rFonts w:hAnsi="標楷體" w:hint="eastAsia"/>
          <w:sz w:val="27"/>
          <w:szCs w:val="27"/>
        </w:rPr>
        <w:t>中央及地方政府預算籌編原則第4點</w:t>
      </w:r>
      <w:r w:rsidR="00943F44">
        <w:rPr>
          <w:rFonts w:hAnsi="標楷體" w:hint="eastAsia"/>
          <w:sz w:val="27"/>
          <w:szCs w:val="27"/>
        </w:rPr>
        <w:t>所</w:t>
      </w:r>
      <w:r w:rsidRPr="00B662D9">
        <w:rPr>
          <w:rFonts w:hAnsi="標楷體" w:hint="eastAsia"/>
          <w:sz w:val="27"/>
          <w:szCs w:val="27"/>
        </w:rPr>
        <w:t>規範中央</w:t>
      </w:r>
      <w:r w:rsidRPr="00B662D9">
        <w:rPr>
          <w:rFonts w:hAnsi="標楷體" w:hint="eastAsia"/>
          <w:sz w:val="27"/>
          <w:szCs w:val="27"/>
        </w:rPr>
        <w:lastRenderedPageBreak/>
        <w:t>及地方政府支出辦理原則：「(五)中央及地方政府辦理各項退休年金及社會保險，應以建構永續穩定之年金制度為目標，並檢討保險財務收支失衡原因，謀求改進；其他各項社會福利措施之推動，應本兼顧政府財政負擔、權利義務對等及社</w:t>
      </w:r>
      <w:r w:rsidRPr="00460BD7">
        <w:rPr>
          <w:rFonts w:hAnsi="標楷體" w:hint="eastAsia"/>
          <w:sz w:val="27"/>
          <w:szCs w:val="27"/>
        </w:rPr>
        <w:t>會公平正義等原則，並考量社會救助給付條件、對象及額度之差異化，審慎規劃辦理。」</w:t>
      </w:r>
      <w:r w:rsidRPr="00E52DCF">
        <w:rPr>
          <w:rFonts w:hint="eastAsia"/>
        </w:rPr>
        <w:t>有鑑於勞保基金財務狀況影響勞工權益甚</w:t>
      </w:r>
      <w:r>
        <w:rPr>
          <w:rFonts w:hint="eastAsia"/>
        </w:rPr>
        <w:t>鉅</w:t>
      </w:r>
      <w:r w:rsidRPr="00E52DCF">
        <w:rPr>
          <w:rFonts w:hint="eastAsia"/>
        </w:rPr>
        <w:t>，然政府資源有限，允宜</w:t>
      </w:r>
      <w:r>
        <w:rPr>
          <w:rFonts w:hint="eastAsia"/>
        </w:rPr>
        <w:t>檢討勞</w:t>
      </w:r>
      <w:r w:rsidRPr="00B35245">
        <w:rPr>
          <w:rFonts w:hint="eastAsia"/>
        </w:rPr>
        <w:t>保財務收支失衡原因，謀求改進</w:t>
      </w:r>
      <w:r>
        <w:rPr>
          <w:rFonts w:hint="eastAsia"/>
        </w:rPr>
        <w:t>，研議</w:t>
      </w:r>
      <w:r w:rsidRPr="00E52DCF">
        <w:rPr>
          <w:rFonts w:hint="eastAsia"/>
        </w:rPr>
        <w:t>財務健全方案，完備法制作業，俾利基金永續</w:t>
      </w:r>
      <w:r>
        <w:rPr>
          <w:rFonts w:hint="eastAsia"/>
        </w:rPr>
        <w:t>穩健</w:t>
      </w:r>
      <w:r w:rsidRPr="00E52DCF">
        <w:rPr>
          <w:rFonts w:hint="eastAsia"/>
        </w:rPr>
        <w:t>，以發揮社會保險功能。</w:t>
      </w:r>
    </w:p>
    <w:p w:rsidR="00B771B6" w:rsidRPr="00E52DCF" w:rsidRDefault="00B771B6" w:rsidP="00E0333E">
      <w:pPr>
        <w:ind w:left="567" w:firstLine="567"/>
      </w:pPr>
      <w:r w:rsidRPr="00E52DCF">
        <w:rPr>
          <w:rFonts w:hint="eastAsia"/>
        </w:rPr>
        <w:t>綜上，</w:t>
      </w:r>
      <w:r>
        <w:rPr>
          <w:rFonts w:hint="eastAsia"/>
        </w:rPr>
        <w:t>中央政府為減緩勞保基金財務壓力，自109年度至</w:t>
      </w:r>
      <w:r w:rsidRPr="00E52DCF">
        <w:rPr>
          <w:rFonts w:hint="eastAsia"/>
        </w:rPr>
        <w:t>114年度撥補</w:t>
      </w:r>
      <w:r>
        <w:rPr>
          <w:rFonts w:hint="eastAsia"/>
        </w:rPr>
        <w:t>累計數將達3</w:t>
      </w:r>
      <w:r w:rsidRPr="00E52DCF">
        <w:rPr>
          <w:rFonts w:hint="eastAsia"/>
        </w:rPr>
        <w:t>,</w:t>
      </w:r>
      <w:r>
        <w:rPr>
          <w:rFonts w:hint="eastAsia"/>
        </w:rPr>
        <w:t>870</w:t>
      </w:r>
      <w:r w:rsidRPr="00E52DCF">
        <w:rPr>
          <w:rFonts w:hint="eastAsia"/>
        </w:rPr>
        <w:t>億元，面對「超高齡社會來臨」及「人口紅利消失」</w:t>
      </w:r>
      <w:r>
        <w:rPr>
          <w:rFonts w:hint="eastAsia"/>
        </w:rPr>
        <w:t>之</w:t>
      </w:r>
      <w:r w:rsidRPr="00E52DCF">
        <w:rPr>
          <w:rFonts w:hint="eastAsia"/>
        </w:rPr>
        <w:t>挑戰，未來勞保基金財務負擔將更形沉重，勞保基金財務問題涉及世代公平與廣大勞工福祉，允宜</w:t>
      </w:r>
      <w:r w:rsidRPr="00B35245">
        <w:rPr>
          <w:rFonts w:hint="eastAsia"/>
        </w:rPr>
        <w:t>檢討</w:t>
      </w:r>
      <w:bookmarkStart w:id="14" w:name="_Hlk178693085"/>
      <w:r>
        <w:rPr>
          <w:rFonts w:hint="eastAsia"/>
        </w:rPr>
        <w:t>勞</w:t>
      </w:r>
      <w:r w:rsidRPr="00B35245">
        <w:rPr>
          <w:rFonts w:hint="eastAsia"/>
        </w:rPr>
        <w:t>保財務收支失衡原因，謀求改進</w:t>
      </w:r>
      <w:bookmarkEnd w:id="14"/>
      <w:r>
        <w:rPr>
          <w:rFonts w:hint="eastAsia"/>
        </w:rPr>
        <w:t>，</w:t>
      </w:r>
      <w:r w:rsidRPr="00B35245">
        <w:rPr>
          <w:rFonts w:hint="eastAsia"/>
        </w:rPr>
        <w:t>俾利勞保基金永續</w:t>
      </w:r>
      <w:r>
        <w:rPr>
          <w:rFonts w:hint="eastAsia"/>
        </w:rPr>
        <w:t>穩定</w:t>
      </w:r>
      <w:r w:rsidRPr="00B35245">
        <w:rPr>
          <w:rFonts w:hint="eastAsia"/>
        </w:rPr>
        <w:t>經營，確實保障勞工退休生活</w:t>
      </w:r>
      <w:r w:rsidRPr="00E52DCF">
        <w:rPr>
          <w:rFonts w:hint="eastAsia"/>
        </w:rPr>
        <w:t>。</w:t>
      </w:r>
      <w:r>
        <w:rPr>
          <w:rFonts w:hint="eastAsia"/>
        </w:rPr>
        <w:t xml:space="preserve">  </w:t>
      </w: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sectPr w:rsidR="00B771B6" w:rsidRPr="00E52DCF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E55E6E">
      <w:rPr>
        <w:noProof/>
        <w:sz w:val="20"/>
        <w:szCs w:val="20"/>
      </w:rPr>
      <w:t>4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  <w:footnote w:id="1">
    <w:p w:rsidR="00B771B6" w:rsidRPr="00D96D9E" w:rsidRDefault="00B771B6" w:rsidP="00E0333E">
      <w:pPr>
        <w:pStyle w:val="143"/>
        <w:ind w:left="141" w:hangingChars="58" w:hanging="141"/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依據</w:t>
      </w:r>
      <w:r w:rsidRPr="005A24FD">
        <w:rPr>
          <w:rFonts w:hint="eastAsia"/>
        </w:rPr>
        <w:t>勞工保險條例施行細則第26條之1規定：「保險人應至少每三年精算一次本條例第13條所定之普通事故保險費率，每次精算五十年。」</w:t>
      </w:r>
      <w:r>
        <w:rPr>
          <w:rFonts w:hint="eastAsia"/>
        </w:rPr>
        <w:t>，</w:t>
      </w:r>
      <w:r w:rsidRPr="005A24FD">
        <w:rPr>
          <w:rFonts w:hint="eastAsia"/>
        </w:rPr>
        <w:t>每3年提出整體財務評估及最適普通事故保險費率，並以</w:t>
      </w:r>
      <w:r>
        <w:rPr>
          <w:rFonts w:hint="eastAsia"/>
        </w:rPr>
        <w:t>「</w:t>
      </w:r>
      <w:r w:rsidRPr="005A24FD">
        <w:rPr>
          <w:rFonts w:hint="eastAsia"/>
        </w:rPr>
        <w:t>補充報告</w:t>
      </w:r>
      <w:r>
        <w:rPr>
          <w:rFonts w:hint="eastAsia"/>
        </w:rPr>
        <w:t>」</w:t>
      </w:r>
      <w:r w:rsidRPr="005A24FD">
        <w:rPr>
          <w:rFonts w:hint="eastAsia"/>
        </w:rPr>
        <w:t>提出每年底之基金精算負債</w:t>
      </w:r>
      <w:r>
        <w:rPr>
          <w:rFonts w:hint="eastAsia"/>
        </w:rPr>
        <w:t>，精算報告係由勞保局委外辦理，目前以110年12月出版為最新版。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E6E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C3F90FD-3236-4679-A16D-F4796B45D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80649-6D4E-4E89-BE44-E4732A17A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502</Words>
  <Characters>2863</Characters>
  <Application>Microsoft Office Word</Application>
  <DocSecurity>0</DocSecurity>
  <Lines>23</Lines>
  <Paragraphs>6</Paragraphs>
  <ScaleCrop>false</ScaleCrop>
  <Company/>
  <LinksUpToDate>false</LinksUpToDate>
  <CharactersWithSpaces>3359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2024-11-13T03:35:00Z</dcterms:created>
  <dcterms:modified xsi:type="dcterms:W3CDTF">2024-11-13T03:35:00Z</dcterms:modified>
</cp:coreProperties>
</file>