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F32" w:rsidRPr="0034283B" w:rsidRDefault="00D33F32" w:rsidP="00D33F32">
      <w:pPr>
        <w:pStyle w:val="aa"/>
      </w:pPr>
      <w:bookmarkStart w:id="0" w:name="_GoBack"/>
      <w:bookmarkEnd w:id="0"/>
      <w:r w:rsidRPr="0034283B">
        <w:rPr>
          <w:rFonts w:hint="eastAsia"/>
        </w:rPr>
        <w:t>台灣電力股份有限公司11</w:t>
      </w:r>
      <w:r w:rsidR="00290FB8" w:rsidRPr="0034283B">
        <w:t>4</w:t>
      </w:r>
      <w:r w:rsidRPr="0034283B">
        <w:rPr>
          <w:rFonts w:hint="eastAsia"/>
        </w:rPr>
        <w:t>年度營業預算評估報告</w:t>
      </w:r>
    </w:p>
    <w:p w:rsidR="00D33F32" w:rsidRPr="0034283B" w:rsidRDefault="00D33F32" w:rsidP="00FA5541">
      <w:pPr>
        <w:pStyle w:val="a7"/>
        <w:ind w:firstLine="566"/>
      </w:pPr>
      <w:r w:rsidRPr="0034283B">
        <w:rPr>
          <w:rFonts w:hint="eastAsia"/>
        </w:rPr>
        <w:t>台灣電力股份有限公司(以下稱台電公司)主要任務係穩定供應我國經濟發展及全民生活所需之電力，以促進工商業繁榮，並提高人民生活水準。</w:t>
      </w:r>
      <w:r w:rsidR="00401B02" w:rsidRPr="0034283B">
        <w:rPr>
          <w:rFonts w:hAnsi="標楷體" w:hint="eastAsia"/>
        </w:rPr>
        <w:t>台電公司114年度預算案編列營業收入9,895億3,648萬9千元，營業成本9,393億3,440萬6千元，營業費用173億7,111萬8千元，營業外收入152億4,880萬4千元，營業外費用403億4,303萬6千元，收支相抵後本期淨利77億3,673萬3千元，較113年度預算淨損1,887億453萬8千元，</w:t>
      </w:r>
      <w:r w:rsidR="00414AA7" w:rsidRPr="0034283B">
        <w:rPr>
          <w:rFonts w:hAnsi="標楷體" w:hint="eastAsia"/>
        </w:rPr>
        <w:t>由虧轉盈</w:t>
      </w:r>
      <w:r w:rsidR="00401B02" w:rsidRPr="0034283B">
        <w:rPr>
          <w:rFonts w:hAnsi="標楷體" w:hint="eastAsia"/>
        </w:rPr>
        <w:t>。</w:t>
      </w:r>
      <w:r w:rsidRPr="0034283B">
        <w:rPr>
          <w:rFonts w:hint="eastAsia"/>
        </w:rPr>
        <w:t>謹就台電公司11</w:t>
      </w:r>
      <w:r w:rsidR="00290FB8" w:rsidRPr="0034283B">
        <w:t>4</w:t>
      </w:r>
      <w:r w:rsidRPr="0034283B">
        <w:rPr>
          <w:rFonts w:hint="eastAsia"/>
        </w:rPr>
        <w:t>年度營業預算案評估如下：</w:t>
      </w:r>
    </w:p>
    <w:p w:rsidR="00A028CA" w:rsidRPr="0034283B" w:rsidRDefault="003814D6" w:rsidP="00A028CA">
      <w:pPr>
        <w:pStyle w:val="14"/>
        <w:ind w:left="567" w:hanging="567"/>
        <w:rPr>
          <w:rFonts w:hint="eastAsia"/>
        </w:rPr>
      </w:pPr>
      <w:bookmarkStart w:id="1" w:name="_Toc181628373"/>
      <w:r w:rsidRPr="00A028CA">
        <w:rPr>
          <w:rFonts w:hint="eastAsia"/>
        </w:rPr>
        <w:t>六、</w:t>
      </w:r>
      <w:r w:rsidR="00A028CA" w:rsidRPr="00A028CA">
        <w:rPr>
          <w:rFonts w:hint="eastAsia"/>
        </w:rPr>
        <w:t>近年各項輔助服務購入數量急遽增加，除因應再生能源滲透率增加外，亦有因應供電緊澀之虞</w:t>
      </w:r>
      <w:r w:rsidR="00A028CA">
        <w:rPr>
          <w:rFonts w:hint="eastAsia"/>
        </w:rPr>
        <w:t>，</w:t>
      </w:r>
      <w:r w:rsidR="00A028CA" w:rsidRPr="0034283B">
        <w:rPr>
          <w:rFonts w:hint="eastAsia"/>
        </w:rPr>
        <w:t>允宜滾動檢討評估成本效益，並研擬長期配套方案，俾合理控管供電成本</w:t>
      </w:r>
      <w:bookmarkEnd w:id="1"/>
    </w:p>
    <w:p w:rsidR="00285D5A" w:rsidRPr="0034283B" w:rsidRDefault="00285D5A" w:rsidP="00285D5A">
      <w:pPr>
        <w:ind w:left="566" w:firstLine="566"/>
      </w:pPr>
      <w:r w:rsidRPr="0034283B">
        <w:rPr>
          <w:rFonts w:hint="eastAsia"/>
        </w:rPr>
        <w:t>台電公司11</w:t>
      </w:r>
      <w:r w:rsidR="00853B2F" w:rsidRPr="0034283B">
        <w:t>4</w:t>
      </w:r>
      <w:r w:rsidRPr="0034283B">
        <w:rPr>
          <w:rFonts w:hint="eastAsia"/>
        </w:rPr>
        <w:t>年度預算案於「輸電費用-其他」項下編列購入輔助服務支出8</w:t>
      </w:r>
      <w:r w:rsidRPr="0034283B">
        <w:t>4</w:t>
      </w:r>
      <w:r w:rsidRPr="0034283B">
        <w:rPr>
          <w:rFonts w:hint="eastAsia"/>
        </w:rPr>
        <w:t>億7</w:t>
      </w:r>
      <w:r w:rsidRPr="0034283B">
        <w:t>,686</w:t>
      </w:r>
      <w:r w:rsidRPr="0034283B">
        <w:rPr>
          <w:rFonts w:hint="eastAsia"/>
        </w:rPr>
        <w:t>萬7千元</w:t>
      </w:r>
      <w:r w:rsidR="008C7601">
        <w:rPr>
          <w:rStyle w:val="af3"/>
        </w:rPr>
        <w:footnoteReference w:id="1"/>
      </w:r>
      <w:r w:rsidRPr="0034283B">
        <w:rPr>
          <w:rFonts w:hint="eastAsia"/>
        </w:rPr>
        <w:t>，</w:t>
      </w:r>
      <w:r w:rsidRPr="0034283B">
        <w:rPr>
          <w:rFonts w:hAnsi="標楷體" w:hint="eastAsia"/>
        </w:rPr>
        <w:t>較113年度預算數增加12億917萬2千元(增幅16.64%)。</w:t>
      </w:r>
      <w:r w:rsidRPr="0034283B">
        <w:rPr>
          <w:rFonts w:hint="eastAsia"/>
        </w:rPr>
        <w:t>經查：</w:t>
      </w:r>
    </w:p>
    <w:p w:rsidR="003B7919" w:rsidRPr="0034283B" w:rsidRDefault="00285D5A" w:rsidP="003B7919">
      <w:pPr>
        <w:pStyle w:val="a4"/>
        <w:ind w:left="849" w:hanging="283"/>
        <w:rPr>
          <w:rFonts w:hint="eastAsia"/>
          <w:b/>
        </w:rPr>
      </w:pPr>
      <w:r w:rsidRPr="0034283B">
        <w:rPr>
          <w:rFonts w:hint="eastAsia"/>
          <w:b/>
        </w:rPr>
        <w:t>(一)</w:t>
      </w:r>
      <w:r w:rsidR="003B7919" w:rsidRPr="0034283B">
        <w:rPr>
          <w:rFonts w:hint="eastAsia"/>
          <w:b/>
        </w:rPr>
        <w:t>近年各項輔助服務購入數量急遽增加，除因應再生能源滲透率</w:t>
      </w:r>
      <w:r w:rsidR="00A028CA">
        <w:rPr>
          <w:rFonts w:hint="eastAsia"/>
          <w:b/>
        </w:rPr>
        <w:t>大量</w:t>
      </w:r>
      <w:r w:rsidR="003B7919" w:rsidRPr="0034283B">
        <w:rPr>
          <w:rFonts w:hint="eastAsia"/>
          <w:b/>
        </w:rPr>
        <w:t>增加外，</w:t>
      </w:r>
      <w:r w:rsidR="00A028CA" w:rsidRPr="00A028CA">
        <w:rPr>
          <w:rFonts w:hint="eastAsia"/>
          <w:b/>
        </w:rPr>
        <w:t>亦有為填補電力供應緊澀之情形</w:t>
      </w:r>
      <w:r w:rsidR="00A028CA" w:rsidRPr="0034283B">
        <w:rPr>
          <w:rFonts w:hint="eastAsia"/>
          <w:b/>
        </w:rPr>
        <w:t xml:space="preserve"> </w:t>
      </w:r>
    </w:p>
    <w:p w:rsidR="00285D5A" w:rsidRPr="0034283B" w:rsidRDefault="00285D5A" w:rsidP="00285D5A">
      <w:pPr>
        <w:pStyle w:val="21"/>
        <w:ind w:left="850" w:firstLine="566"/>
      </w:pPr>
      <w:r w:rsidRPr="0034283B">
        <w:rPr>
          <w:rFonts w:hint="eastAsia"/>
        </w:rPr>
        <w:t>台電公司於110年6月發布「電力交易平台設置規則」，同年7月電力交易平台上線(首先開設「日前輔助服務市場</w:t>
      </w:r>
      <w:r w:rsidRPr="0034283B">
        <w:rPr>
          <w:rStyle w:val="af3"/>
        </w:rPr>
        <w:footnoteReference w:id="2"/>
      </w:r>
      <w:r w:rsidRPr="0034283B">
        <w:rPr>
          <w:rFonts w:hint="eastAsia"/>
        </w:rPr>
        <w:t>」)，讓民間分散式電力資源可至平台參與競價，成為台電公司隨時可調度電力之虛擬機組，以維持電網穩定。</w:t>
      </w:r>
    </w:p>
    <w:p w:rsidR="00285D5A" w:rsidRPr="0034283B" w:rsidRDefault="00285D5A" w:rsidP="00285D5A">
      <w:pPr>
        <w:pStyle w:val="21"/>
        <w:ind w:left="850" w:firstLine="566"/>
        <w:rPr>
          <w:rFonts w:hint="eastAsia"/>
        </w:rPr>
      </w:pPr>
      <w:r w:rsidRPr="0034283B">
        <w:rPr>
          <w:rFonts w:hint="eastAsia"/>
        </w:rPr>
        <w:t>據台電公司說明，購入輔助服務係為維持電力供應安全與可靠、確保電力系統穩定、維持電力品質及因應偶發事故。目</w:t>
      </w:r>
      <w:r w:rsidRPr="0034283B">
        <w:rPr>
          <w:rFonts w:hint="eastAsia"/>
        </w:rPr>
        <w:lastRenderedPageBreak/>
        <w:t>前購入輔助服務項目</w:t>
      </w:r>
      <w:r w:rsidR="00511549">
        <w:rPr>
          <w:rFonts w:hint="eastAsia"/>
        </w:rPr>
        <w:t>共</w:t>
      </w:r>
      <w:r w:rsidRPr="0034283B">
        <w:rPr>
          <w:rFonts w:hint="eastAsia"/>
        </w:rPr>
        <w:t>有「調頻備轉」、「即時備轉」、「補充備轉」</w:t>
      </w:r>
      <w:r w:rsidR="00D6487B">
        <w:rPr>
          <w:rFonts w:hint="eastAsia"/>
        </w:rPr>
        <w:t>及「</w:t>
      </w:r>
      <w:r w:rsidR="00D6487B" w:rsidRPr="0034283B">
        <w:rPr>
          <w:rFonts w:hint="eastAsia"/>
        </w:rPr>
        <w:t>電能移轉複合動態調節備轉</w:t>
      </w:r>
      <w:r w:rsidR="00D6487B">
        <w:rPr>
          <w:rFonts w:hint="eastAsia"/>
        </w:rPr>
        <w:t>」</w:t>
      </w:r>
      <w:r w:rsidRPr="0034283B">
        <w:rPr>
          <w:rFonts w:hint="eastAsia"/>
        </w:rPr>
        <w:t>等</w:t>
      </w:r>
      <w:r w:rsidR="00D6487B">
        <w:rPr>
          <w:rFonts w:hint="eastAsia"/>
        </w:rPr>
        <w:t>4</w:t>
      </w:r>
      <w:r w:rsidRPr="0034283B">
        <w:rPr>
          <w:rFonts w:hint="eastAsia"/>
        </w:rPr>
        <w:t>項，</w:t>
      </w:r>
      <w:r w:rsidR="00097082">
        <w:rPr>
          <w:rFonts w:hint="eastAsia"/>
        </w:rPr>
        <w:t>謹擇要說明</w:t>
      </w:r>
      <w:r w:rsidRPr="0034283B">
        <w:rPr>
          <w:rFonts w:hint="eastAsia"/>
        </w:rPr>
        <w:t>如下：</w:t>
      </w:r>
    </w:p>
    <w:p w:rsidR="00285D5A" w:rsidRPr="0034283B" w:rsidRDefault="00285D5A" w:rsidP="00285D5A">
      <w:pPr>
        <w:pStyle w:val="123"/>
        <w:ind w:left="1133" w:hanging="283"/>
        <w:rPr>
          <w:rFonts w:hint="eastAsia"/>
        </w:rPr>
      </w:pPr>
      <w:r w:rsidRPr="0034283B">
        <w:rPr>
          <w:rFonts w:hint="eastAsia"/>
          <w:b/>
        </w:rPr>
        <w:t>1.調頻備轉</w:t>
      </w:r>
      <w:r w:rsidRPr="0034283B">
        <w:rPr>
          <w:rFonts w:hint="eastAsia"/>
        </w:rPr>
        <w:t>：</w:t>
      </w:r>
      <w:r w:rsidR="00D460E8" w:rsidRPr="00546FF5">
        <w:rPr>
          <w:rFonts w:hint="eastAsia"/>
        </w:rPr>
        <w:t>參與模式分為「動態調頻備轉(</w:t>
      </w:r>
      <w:r w:rsidR="00D460E8" w:rsidRPr="00546FF5">
        <w:t>Dynamic Regulation Reserve</w:t>
      </w:r>
      <w:r w:rsidR="00D460E8">
        <w:t xml:space="preserve">, </w:t>
      </w:r>
      <w:r w:rsidR="00D460E8" w:rsidRPr="00546FF5">
        <w:rPr>
          <w:rFonts w:hint="eastAsia"/>
        </w:rPr>
        <w:t>dReg)」及「靜態調頻備轉(</w:t>
      </w:r>
      <w:r w:rsidR="00D460E8" w:rsidRPr="00546FF5">
        <w:t>Static Regulation Reserve</w:t>
      </w:r>
      <w:r w:rsidR="00D460E8">
        <w:t xml:space="preserve">, </w:t>
      </w:r>
      <w:r w:rsidR="00D460E8" w:rsidRPr="00546FF5">
        <w:rPr>
          <w:rFonts w:hint="eastAsia"/>
        </w:rPr>
        <w:t>sReg)</w:t>
      </w:r>
      <w:r w:rsidR="00D460E8">
        <w:rPr>
          <w:rFonts w:hint="eastAsia"/>
        </w:rPr>
        <w:t>」，</w:t>
      </w:r>
      <w:r w:rsidRPr="0034283B">
        <w:rPr>
          <w:rFonts w:hint="eastAsia"/>
        </w:rPr>
        <w:t>係由交易資源自動追隨頻率進行向上或雙向之頻率調節，無須人工指令啟動，依排程或調度指令執行充放電，以調整尖離峰時段全系統負載需求差異</w:t>
      </w:r>
      <w:r w:rsidR="00D11263">
        <w:rPr>
          <w:rFonts w:hint="eastAsia"/>
        </w:rPr>
        <w:t>，1</w:t>
      </w:r>
      <w:r w:rsidR="00D11263">
        <w:t>14</w:t>
      </w:r>
      <w:r w:rsidR="00D11263">
        <w:rPr>
          <w:rFonts w:hint="eastAsia"/>
        </w:rPr>
        <w:t>年度</w:t>
      </w:r>
      <w:r w:rsidRPr="0034283B">
        <w:rPr>
          <w:rFonts w:hint="eastAsia"/>
        </w:rPr>
        <w:t>需求量為</w:t>
      </w:r>
      <w:r w:rsidR="00760C4D">
        <w:rPr>
          <w:rFonts w:hint="eastAsia"/>
        </w:rPr>
        <w:t>每小時</w:t>
      </w:r>
      <w:r w:rsidR="00D11263">
        <w:rPr>
          <w:rFonts w:hint="eastAsia"/>
        </w:rPr>
        <w:t>5</w:t>
      </w:r>
      <w:r w:rsidR="00D11263">
        <w:t>00MW</w:t>
      </w:r>
      <w:r w:rsidR="00D11263">
        <w:rPr>
          <w:rStyle w:val="af3"/>
        </w:rPr>
        <w:footnoteReference w:id="3"/>
      </w:r>
      <w:r w:rsidRPr="0034283B">
        <w:rPr>
          <w:rFonts w:hint="eastAsia"/>
        </w:rPr>
        <w:t>。</w:t>
      </w:r>
    </w:p>
    <w:p w:rsidR="00285D5A" w:rsidRPr="0034283B" w:rsidRDefault="00285D5A" w:rsidP="00285D5A">
      <w:pPr>
        <w:pStyle w:val="123"/>
        <w:ind w:left="1133" w:hanging="283"/>
        <w:rPr>
          <w:rFonts w:hint="eastAsia"/>
        </w:rPr>
      </w:pPr>
      <w:r w:rsidRPr="0034283B">
        <w:rPr>
          <w:rFonts w:hint="eastAsia"/>
          <w:b/>
        </w:rPr>
        <w:t>2.即時備轉：</w:t>
      </w:r>
      <w:r w:rsidRPr="0034283B">
        <w:rPr>
          <w:rFonts w:hint="eastAsia"/>
        </w:rPr>
        <w:t>係考慮系統單一最大機組容量</w:t>
      </w:r>
      <w:r w:rsidR="00D11263">
        <w:rPr>
          <w:rFonts w:hint="eastAsia"/>
        </w:rPr>
        <w:t>(</w:t>
      </w:r>
      <w:r w:rsidRPr="0034283B">
        <w:rPr>
          <w:rFonts w:hint="eastAsia"/>
        </w:rPr>
        <w:t>目前為1,000MW）準備，用</w:t>
      </w:r>
      <w:r w:rsidRPr="00D460E8">
        <w:rPr>
          <w:rFonts w:hint="eastAsia"/>
        </w:rPr>
        <w:t>以因應機組跳機或負載突增等偶發事</w:t>
      </w:r>
      <w:r w:rsidR="00D11263" w:rsidRPr="00D460E8">
        <w:rPr>
          <w:rFonts w:hint="eastAsia"/>
        </w:rPr>
        <w:t>件</w:t>
      </w:r>
      <w:r w:rsidR="00D11263" w:rsidRPr="00D11263">
        <w:rPr>
          <w:rFonts w:hint="eastAsia"/>
        </w:rPr>
        <w:t>，</w:t>
      </w:r>
      <w:r w:rsidR="00D11263">
        <w:t>114</w:t>
      </w:r>
      <w:r w:rsidR="00D11263">
        <w:rPr>
          <w:rFonts w:hint="eastAsia"/>
        </w:rPr>
        <w:t>年度</w:t>
      </w:r>
      <w:r w:rsidRPr="0034283B">
        <w:rPr>
          <w:rFonts w:hint="eastAsia"/>
        </w:rPr>
        <w:t>需求量為</w:t>
      </w:r>
      <w:r w:rsidR="00760C4D">
        <w:rPr>
          <w:rFonts w:hint="eastAsia"/>
        </w:rPr>
        <w:t>每小時</w:t>
      </w:r>
      <w:r w:rsidR="00D11263">
        <w:rPr>
          <w:rFonts w:hint="eastAsia"/>
        </w:rPr>
        <w:t>5</w:t>
      </w:r>
      <w:r w:rsidR="00D11263">
        <w:t>00</w:t>
      </w:r>
      <w:r w:rsidRPr="0034283B">
        <w:rPr>
          <w:rFonts w:hint="eastAsia"/>
        </w:rPr>
        <w:t>MW。</w:t>
      </w:r>
    </w:p>
    <w:p w:rsidR="00285D5A" w:rsidRPr="0034283B" w:rsidRDefault="00285D5A" w:rsidP="00285D5A">
      <w:pPr>
        <w:pStyle w:val="123"/>
        <w:ind w:left="1133" w:hanging="283"/>
      </w:pPr>
      <w:r w:rsidRPr="0034283B">
        <w:rPr>
          <w:rFonts w:hint="eastAsia"/>
          <w:b/>
        </w:rPr>
        <w:t>3.補充備轉：</w:t>
      </w:r>
      <w:r w:rsidRPr="0034283B">
        <w:rPr>
          <w:rFonts w:hint="eastAsia"/>
        </w:rPr>
        <w:t>需求評估時考量「預測偏差量」與「其他運轉風險」，</w:t>
      </w:r>
      <w:r w:rsidRPr="00D460E8">
        <w:rPr>
          <w:rFonts w:hint="eastAsia"/>
        </w:rPr>
        <w:t>其啟動時機係因應系統負載突增或供需預測誤差等長時間電源供需不平衡事件</w:t>
      </w:r>
      <w:r w:rsidR="00511549">
        <w:rPr>
          <w:rFonts w:hint="eastAsia"/>
        </w:rPr>
        <w:t>，</w:t>
      </w:r>
      <w:r w:rsidR="00D11263">
        <w:rPr>
          <w:rFonts w:hint="eastAsia"/>
        </w:rPr>
        <w:t>1</w:t>
      </w:r>
      <w:r w:rsidR="00D11263">
        <w:t>14</w:t>
      </w:r>
      <w:r w:rsidR="00D11263">
        <w:rPr>
          <w:rFonts w:hint="eastAsia"/>
        </w:rPr>
        <w:t>年度</w:t>
      </w:r>
      <w:r w:rsidRPr="0034283B">
        <w:rPr>
          <w:rFonts w:hint="eastAsia"/>
        </w:rPr>
        <w:t>需求量為</w:t>
      </w:r>
      <w:r w:rsidR="00760C4D">
        <w:rPr>
          <w:rFonts w:hint="eastAsia"/>
        </w:rPr>
        <w:t>每小時</w:t>
      </w:r>
      <w:r w:rsidRPr="0034283B">
        <w:rPr>
          <w:rFonts w:hint="eastAsia"/>
        </w:rPr>
        <w:t>1,000MW。</w:t>
      </w:r>
    </w:p>
    <w:p w:rsidR="00D11263" w:rsidRPr="0034283B" w:rsidRDefault="003B7919" w:rsidP="00D11263">
      <w:pPr>
        <w:pStyle w:val="123"/>
        <w:ind w:left="1133" w:hanging="283"/>
      </w:pPr>
      <w:r w:rsidRPr="0034283B">
        <w:rPr>
          <w:b/>
        </w:rPr>
        <w:t>4.</w:t>
      </w:r>
      <w:r w:rsidR="00D6487B" w:rsidRPr="00D6487B">
        <w:rPr>
          <w:rFonts w:hint="eastAsia"/>
          <w:b/>
        </w:rPr>
        <w:t>電能移轉複合動態調節備轉容量(</w:t>
      </w:r>
      <w:r w:rsidR="00511549">
        <w:rPr>
          <w:b/>
        </w:rPr>
        <w:t>E</w:t>
      </w:r>
      <w:r w:rsidR="00511549" w:rsidRPr="00511549">
        <w:rPr>
          <w:rFonts w:hint="eastAsia"/>
          <w:b/>
        </w:rPr>
        <w:t>nergy-shifting with Dynamic Regulating function reserve，</w:t>
      </w:r>
      <w:r w:rsidR="00D6487B" w:rsidRPr="00D6487B">
        <w:rPr>
          <w:rFonts w:hint="eastAsia"/>
          <w:b/>
        </w:rPr>
        <w:t>以下</w:t>
      </w:r>
      <w:r w:rsidR="00511549">
        <w:rPr>
          <w:rFonts w:hint="eastAsia"/>
          <w:b/>
        </w:rPr>
        <w:t>簡</w:t>
      </w:r>
      <w:r w:rsidR="00D6487B" w:rsidRPr="00D6487B">
        <w:rPr>
          <w:rFonts w:hint="eastAsia"/>
          <w:b/>
        </w:rPr>
        <w:t>稱E-dReg</w:t>
      </w:r>
      <w:r w:rsidR="00D6487B" w:rsidRPr="0034283B">
        <w:rPr>
          <w:rFonts w:hint="eastAsia"/>
        </w:rPr>
        <w:t>）</w:t>
      </w:r>
      <w:r w:rsidRPr="0034283B">
        <w:rPr>
          <w:rFonts w:hint="eastAsia"/>
          <w:b/>
        </w:rPr>
        <w:t>：</w:t>
      </w:r>
      <w:r w:rsidR="0034283B">
        <w:rPr>
          <w:rFonts w:hint="eastAsia"/>
        </w:rPr>
        <w:t>因</w:t>
      </w:r>
      <w:r w:rsidRPr="0034283B">
        <w:rPr>
          <w:rFonts w:hint="eastAsia"/>
        </w:rPr>
        <w:t>電力系統再生能源滲透率漸增，需增加輔助服務，</w:t>
      </w:r>
      <w:r w:rsidRPr="00D460E8">
        <w:rPr>
          <w:rFonts w:hint="eastAsia"/>
        </w:rPr>
        <w:t>利用儲能系統提供電能轉移服務，以因應夜尖峰供電需求。</w:t>
      </w:r>
      <w:r w:rsidR="00D11263" w:rsidRPr="00D460E8">
        <w:rPr>
          <w:rFonts w:hint="eastAsia"/>
        </w:rPr>
        <w:t>1</w:t>
      </w:r>
      <w:r w:rsidR="00D11263">
        <w:t>14</w:t>
      </w:r>
      <w:r w:rsidR="00D11263">
        <w:rPr>
          <w:rFonts w:hint="eastAsia"/>
        </w:rPr>
        <w:t>年度</w:t>
      </w:r>
      <w:r w:rsidR="00D11263" w:rsidRPr="0034283B">
        <w:rPr>
          <w:rFonts w:hint="eastAsia"/>
        </w:rPr>
        <w:t>需求量為</w:t>
      </w:r>
      <w:r w:rsidR="00760C4D">
        <w:rPr>
          <w:rFonts w:hint="eastAsia"/>
        </w:rPr>
        <w:t>每小時</w:t>
      </w:r>
      <w:r w:rsidR="00D11263">
        <w:rPr>
          <w:rFonts w:hint="eastAsia"/>
        </w:rPr>
        <w:t>5</w:t>
      </w:r>
      <w:r w:rsidR="00D11263">
        <w:t>00</w:t>
      </w:r>
      <w:r w:rsidR="00D11263" w:rsidRPr="0034283B">
        <w:rPr>
          <w:rFonts w:hint="eastAsia"/>
        </w:rPr>
        <w:t>MW。</w:t>
      </w:r>
    </w:p>
    <w:p w:rsidR="003B7919" w:rsidRPr="0034283B" w:rsidRDefault="003B7919" w:rsidP="003B7919">
      <w:pPr>
        <w:pStyle w:val="21"/>
        <w:ind w:left="850" w:firstLine="566"/>
      </w:pPr>
      <w:r w:rsidRPr="0034283B">
        <w:rPr>
          <w:rFonts w:hint="eastAsia"/>
        </w:rPr>
        <w:t>據</w:t>
      </w:r>
      <w:r w:rsidR="00D11263">
        <w:rPr>
          <w:rFonts w:hint="eastAsia"/>
        </w:rPr>
        <w:t>台電</w:t>
      </w:r>
      <w:r w:rsidRPr="0034283B">
        <w:rPr>
          <w:rFonts w:hint="eastAsia"/>
        </w:rPr>
        <w:t>公司統計，自110年10月電力交易平台正式上線日</w:t>
      </w:r>
      <w:r w:rsidR="00A94F91">
        <w:rPr>
          <w:rFonts w:hint="eastAsia"/>
        </w:rPr>
        <w:t>至</w:t>
      </w:r>
      <w:r w:rsidRPr="0034283B">
        <w:rPr>
          <w:rFonts w:hint="eastAsia"/>
        </w:rPr>
        <w:t>11</w:t>
      </w:r>
      <w:r w:rsidRPr="0034283B">
        <w:t>3</w:t>
      </w:r>
      <w:r w:rsidRPr="0034283B">
        <w:rPr>
          <w:rFonts w:hint="eastAsia"/>
        </w:rPr>
        <w:t>年7月底止，「調頻備轉」、「即時備轉」、「補充備轉」及「E-dReg」等4項輔助服務之購入數量</w:t>
      </w:r>
      <w:r w:rsidR="007B7B69">
        <w:rPr>
          <w:rFonts w:hint="eastAsia"/>
        </w:rPr>
        <w:t>及金額</w:t>
      </w:r>
      <w:r w:rsidRPr="0034283B">
        <w:rPr>
          <w:rFonts w:hint="eastAsia"/>
        </w:rPr>
        <w:t>急速增加(詳表1)，預計11</w:t>
      </w:r>
      <w:r w:rsidRPr="0034283B">
        <w:t>4</w:t>
      </w:r>
      <w:r w:rsidRPr="0034283B">
        <w:rPr>
          <w:rFonts w:hint="eastAsia"/>
        </w:rPr>
        <w:t>年度將</w:t>
      </w:r>
      <w:r w:rsidR="007B7B69">
        <w:rPr>
          <w:rFonts w:hint="eastAsia"/>
        </w:rPr>
        <w:t>持續成長</w:t>
      </w:r>
      <w:r w:rsidRPr="0034283B">
        <w:rPr>
          <w:rFonts w:hint="eastAsia"/>
        </w:rPr>
        <w:t>，</w:t>
      </w:r>
      <w:r w:rsidR="00A94F91">
        <w:rPr>
          <w:rFonts w:hint="eastAsia"/>
        </w:rPr>
        <w:t>其中又以E</w:t>
      </w:r>
      <w:r w:rsidR="00A94F91">
        <w:t>-</w:t>
      </w:r>
      <w:r w:rsidR="00A94F91">
        <w:rPr>
          <w:rFonts w:hint="eastAsia"/>
        </w:rPr>
        <w:t>d</w:t>
      </w:r>
      <w:r w:rsidR="00A94F91">
        <w:t>Reg</w:t>
      </w:r>
      <w:r w:rsidR="00A94F91">
        <w:rPr>
          <w:rFonts w:hint="eastAsia"/>
        </w:rPr>
        <w:t>金額由1</w:t>
      </w:r>
      <w:r w:rsidR="00A94F91">
        <w:t>12</w:t>
      </w:r>
      <w:r w:rsidR="00A94F91">
        <w:rPr>
          <w:rFonts w:hint="eastAsia"/>
        </w:rPr>
        <w:t>年度1</w:t>
      </w:r>
      <w:r w:rsidR="00A94F91">
        <w:t>.28</w:t>
      </w:r>
      <w:r w:rsidR="00A94F91">
        <w:rPr>
          <w:rFonts w:hint="eastAsia"/>
        </w:rPr>
        <w:t>億元增至1</w:t>
      </w:r>
      <w:r w:rsidR="00A94F91">
        <w:t>14</w:t>
      </w:r>
      <w:r w:rsidR="00A94F91">
        <w:rPr>
          <w:rFonts w:hint="eastAsia"/>
        </w:rPr>
        <w:t>年度預算數4</w:t>
      </w:r>
      <w:r w:rsidR="00A94F91">
        <w:t>8.71</w:t>
      </w:r>
      <w:r w:rsidR="00614679">
        <w:rPr>
          <w:rFonts w:hint="eastAsia"/>
        </w:rPr>
        <w:t>億</w:t>
      </w:r>
      <w:r w:rsidR="00A94F91">
        <w:rPr>
          <w:rFonts w:hint="eastAsia"/>
        </w:rPr>
        <w:t>元為最</w:t>
      </w:r>
      <w:r w:rsidR="00922BA0">
        <w:rPr>
          <w:rFonts w:hint="eastAsia"/>
        </w:rPr>
        <w:t>多</w:t>
      </w:r>
      <w:r w:rsidR="00A94F91">
        <w:rPr>
          <w:rFonts w:hint="eastAsia"/>
        </w:rPr>
        <w:t>，</w:t>
      </w:r>
      <w:r w:rsidRPr="0034283B">
        <w:rPr>
          <w:rFonts w:hint="eastAsia"/>
        </w:rPr>
        <w:t>顯示購入</w:t>
      </w:r>
      <w:r w:rsidRPr="0034283B">
        <w:rPr>
          <w:rFonts w:hint="eastAsia"/>
        </w:rPr>
        <w:lastRenderedPageBreak/>
        <w:t>輔助服務除為因應再生能源滲入率</w:t>
      </w:r>
      <w:r w:rsidR="00A94F91">
        <w:rPr>
          <w:rFonts w:hint="eastAsia"/>
        </w:rPr>
        <w:t>大量增加</w:t>
      </w:r>
      <w:r w:rsidRPr="0034283B">
        <w:rPr>
          <w:rFonts w:hint="eastAsia"/>
        </w:rPr>
        <w:t>外，亦有為填補電力供應緊澀之情形。</w:t>
      </w:r>
    </w:p>
    <w:p w:rsidR="00285D5A" w:rsidRPr="0034283B" w:rsidRDefault="00285D5A" w:rsidP="00285D5A">
      <w:pPr>
        <w:pStyle w:val="a4"/>
        <w:ind w:left="849" w:hanging="283"/>
        <w:rPr>
          <w:b/>
        </w:rPr>
      </w:pPr>
      <w:r w:rsidRPr="0034283B">
        <w:rPr>
          <w:rFonts w:hint="eastAsia"/>
          <w:b/>
        </w:rPr>
        <w:t>(</w:t>
      </w:r>
      <w:r w:rsidR="003B7919" w:rsidRPr="0034283B">
        <w:rPr>
          <w:rFonts w:hint="eastAsia"/>
          <w:b/>
        </w:rPr>
        <w:t>二</w:t>
      </w:r>
      <w:r w:rsidRPr="0034283B">
        <w:rPr>
          <w:rFonts w:hint="eastAsia"/>
          <w:b/>
        </w:rPr>
        <w:t>)部分輔助服務價格上限高於各種電源發購電成本，允宜滾動檢討並審慎評估輔助服務之成本效益，研擬長期配套方案，俾有效控管成本</w:t>
      </w:r>
    </w:p>
    <w:p w:rsidR="00285D5A" w:rsidRPr="0034283B" w:rsidRDefault="00285D5A" w:rsidP="00285D5A">
      <w:pPr>
        <w:pStyle w:val="21"/>
        <w:ind w:left="850" w:firstLine="566"/>
      </w:pPr>
      <w:r w:rsidRPr="0034283B">
        <w:rPr>
          <w:rFonts w:hint="eastAsia"/>
        </w:rPr>
        <w:t>據台電公司說明，日前輔助服務市場之價格可概分為容量費、效能費及電能相關費用。依下列原則決定價格：</w:t>
      </w:r>
    </w:p>
    <w:p w:rsidR="00285D5A" w:rsidRPr="0034283B" w:rsidRDefault="00285D5A" w:rsidP="00285D5A">
      <w:pPr>
        <w:pStyle w:val="123"/>
        <w:ind w:left="1133" w:hanging="283"/>
        <w:rPr>
          <w:rFonts w:hint="eastAsia"/>
        </w:rPr>
      </w:pPr>
      <w:r w:rsidRPr="0034283B">
        <w:rPr>
          <w:rFonts w:hint="eastAsia"/>
        </w:rPr>
        <w:t>1</w:t>
      </w:r>
      <w:r w:rsidRPr="0034283B">
        <w:t>.</w:t>
      </w:r>
      <w:r w:rsidRPr="0034283B">
        <w:rPr>
          <w:rFonts w:hint="eastAsia"/>
        </w:rPr>
        <w:t>容量費：係由合格交易者自由報價，台電公司以系統總成本最小化為目標決定得標者後，得標者之最高報價決定。</w:t>
      </w:r>
    </w:p>
    <w:p w:rsidR="00285D5A" w:rsidRPr="0034283B" w:rsidRDefault="00285D5A" w:rsidP="00285D5A">
      <w:pPr>
        <w:pStyle w:val="123"/>
        <w:ind w:left="1133" w:hanging="283"/>
        <w:rPr>
          <w:rFonts w:hint="eastAsia"/>
        </w:rPr>
      </w:pPr>
      <w:r w:rsidRPr="0034283B">
        <w:rPr>
          <w:rFonts w:hint="eastAsia"/>
        </w:rPr>
        <w:t>2</w:t>
      </w:r>
      <w:r w:rsidRPr="0034283B">
        <w:t>.</w:t>
      </w:r>
      <w:r w:rsidRPr="0034283B">
        <w:rPr>
          <w:rFonts w:hint="eastAsia"/>
        </w:rPr>
        <w:t>效能費：係由合格交易者之交易資源規格決定，係固定價格。</w:t>
      </w:r>
    </w:p>
    <w:p w:rsidR="00285D5A" w:rsidRPr="0034283B" w:rsidRDefault="00285D5A" w:rsidP="00285D5A">
      <w:pPr>
        <w:pStyle w:val="123"/>
        <w:ind w:left="1133" w:hanging="283"/>
        <w:rPr>
          <w:rFonts w:hint="eastAsia"/>
        </w:rPr>
      </w:pPr>
      <w:r w:rsidRPr="0034283B">
        <w:rPr>
          <w:rFonts w:hint="eastAsia"/>
        </w:rPr>
        <w:t>3</w:t>
      </w:r>
      <w:r w:rsidRPr="0034283B">
        <w:t>.</w:t>
      </w:r>
      <w:r w:rsidRPr="0034283B">
        <w:rPr>
          <w:rFonts w:hint="eastAsia"/>
        </w:rPr>
        <w:t>電能相關費用中E-dReg之充放電服務費係固定價格，即時備轉之電能價格係由日前電能邊際價格決定，補充備轉之電能價格係依合格交易者之報價決定。</w:t>
      </w:r>
    </w:p>
    <w:p w:rsidR="00285D5A" w:rsidRPr="0034283B" w:rsidRDefault="00285D5A" w:rsidP="00285D5A">
      <w:pPr>
        <w:pStyle w:val="21"/>
        <w:ind w:left="850" w:firstLine="566"/>
      </w:pPr>
      <w:r w:rsidRPr="0034283B">
        <w:rPr>
          <w:rFonts w:hint="eastAsia"/>
        </w:rPr>
        <w:t>依台電公司</w:t>
      </w:r>
      <w:r w:rsidR="002432D9" w:rsidRPr="0034283B">
        <w:rPr>
          <w:rFonts w:hint="eastAsia"/>
        </w:rPr>
        <w:t>提供1</w:t>
      </w:r>
      <w:r w:rsidR="002432D9" w:rsidRPr="0034283B">
        <w:t>10</w:t>
      </w:r>
      <w:r w:rsidR="002432D9" w:rsidRPr="0034283B">
        <w:rPr>
          <w:rFonts w:hint="eastAsia"/>
        </w:rPr>
        <w:t>年至1</w:t>
      </w:r>
      <w:r w:rsidR="002432D9" w:rsidRPr="0034283B">
        <w:t>13</w:t>
      </w:r>
      <w:r w:rsidR="002432D9" w:rsidRPr="0034283B">
        <w:rPr>
          <w:rFonts w:hint="eastAsia"/>
        </w:rPr>
        <w:t>年7月底容量費平均價格，包含「調頻備轉」、「即時備轉」、「補充備轉」及「E-dReg」等4項輔助服務</w:t>
      </w:r>
      <w:r w:rsidR="007B7B69">
        <w:rPr>
          <w:rFonts w:hint="eastAsia"/>
        </w:rPr>
        <w:t>多</w:t>
      </w:r>
      <w:r w:rsidR="002432D9" w:rsidRPr="0034283B">
        <w:rPr>
          <w:rFonts w:hint="eastAsia"/>
        </w:rPr>
        <w:t>呈下降趨勢</w:t>
      </w:r>
      <w:r w:rsidR="00E91E96" w:rsidRPr="0034283B">
        <w:rPr>
          <w:rFonts w:hint="eastAsia"/>
        </w:rPr>
        <w:t>(詳表2</w:t>
      </w:r>
      <w:r w:rsidR="00E91E96" w:rsidRPr="0034283B">
        <w:t>)</w:t>
      </w:r>
      <w:r w:rsidR="002432D9" w:rsidRPr="0034283B">
        <w:rPr>
          <w:rFonts w:hint="eastAsia"/>
        </w:rPr>
        <w:t>，</w:t>
      </w:r>
      <w:r w:rsidR="007B7B69">
        <w:rPr>
          <w:rFonts w:hint="eastAsia"/>
        </w:rPr>
        <w:t>顯示容量費之</w:t>
      </w:r>
      <w:r w:rsidR="00564F34">
        <w:rPr>
          <w:rFonts w:hint="eastAsia"/>
        </w:rPr>
        <w:t>平均</w:t>
      </w:r>
      <w:r w:rsidR="007B7B69">
        <w:rPr>
          <w:rFonts w:hint="eastAsia"/>
        </w:rPr>
        <w:t>得標價格隨著合格交易者增加</w:t>
      </w:r>
      <w:r w:rsidR="003A6935">
        <w:rPr>
          <w:rFonts w:hint="eastAsia"/>
        </w:rPr>
        <w:t>而</w:t>
      </w:r>
      <w:r w:rsidR="007B7B69">
        <w:rPr>
          <w:rFonts w:hint="eastAsia"/>
        </w:rPr>
        <w:t>持續</w:t>
      </w:r>
      <w:r w:rsidR="007B7B69" w:rsidRPr="0034283B">
        <w:rPr>
          <w:rFonts w:hint="eastAsia"/>
        </w:rPr>
        <w:t>下降</w:t>
      </w:r>
      <w:r w:rsidR="007B7B69">
        <w:rPr>
          <w:rFonts w:hint="eastAsia"/>
        </w:rPr>
        <w:t>；</w:t>
      </w:r>
      <w:r w:rsidR="002432D9" w:rsidRPr="0034283B">
        <w:rPr>
          <w:rFonts w:hint="eastAsia"/>
        </w:rPr>
        <w:t>惟</w:t>
      </w:r>
      <w:r w:rsidRPr="0034283B">
        <w:rPr>
          <w:rFonts w:hint="eastAsia"/>
        </w:rPr>
        <w:t>日前輔助服務市場各項輔助服務價格上限，其中補充備轉電能費價格上限為每度10元(詳表</w:t>
      </w:r>
      <w:r w:rsidR="00D0367B" w:rsidRPr="0034283B">
        <w:t>3</w:t>
      </w:r>
      <w:r w:rsidRPr="0034283B">
        <w:rPr>
          <w:rFonts w:hint="eastAsia"/>
        </w:rPr>
        <w:t>)，遠高於該公司</w:t>
      </w:r>
      <w:r w:rsidR="00D33A7A" w:rsidRPr="0034283B">
        <w:rPr>
          <w:rFonts w:hint="eastAsia"/>
        </w:rPr>
        <w:t>自發(</w:t>
      </w:r>
      <w:r w:rsidRPr="0034283B">
        <w:rPr>
          <w:rFonts w:hint="eastAsia"/>
        </w:rPr>
        <w:t>購</w:t>
      </w:r>
      <w:r w:rsidR="00D33A7A" w:rsidRPr="0034283B">
        <w:rPr>
          <w:rFonts w:hint="eastAsia"/>
        </w:rPr>
        <w:t>)</w:t>
      </w:r>
      <w:r w:rsidRPr="0034283B">
        <w:rPr>
          <w:rFonts w:hint="eastAsia"/>
        </w:rPr>
        <w:t>電成本</w:t>
      </w:r>
      <w:r w:rsidRPr="0034283B">
        <w:rPr>
          <w:rStyle w:val="af3"/>
        </w:rPr>
        <w:footnoteReference w:id="4"/>
      </w:r>
      <w:r w:rsidRPr="0034283B">
        <w:rPr>
          <w:rFonts w:hint="eastAsia"/>
        </w:rPr>
        <w:t>，允宜滾動檢討並審慎評估輔助服務之成本效益，並研擬長期配套方案，俾有效控管供電成本。</w:t>
      </w:r>
    </w:p>
    <w:p w:rsidR="00285D5A" w:rsidRDefault="00285D5A" w:rsidP="00285D5A">
      <w:pPr>
        <w:ind w:left="566" w:firstLine="566"/>
      </w:pPr>
      <w:r w:rsidRPr="0034283B">
        <w:rPr>
          <w:rFonts w:hint="eastAsia"/>
        </w:rPr>
        <w:t>綜上，台電公司</w:t>
      </w:r>
      <w:r w:rsidR="00D460E8">
        <w:rPr>
          <w:rFonts w:hint="eastAsia"/>
        </w:rPr>
        <w:t>近年購入輔助服務</w:t>
      </w:r>
      <w:r w:rsidR="00DA4D2A">
        <w:rPr>
          <w:rFonts w:hint="eastAsia"/>
        </w:rPr>
        <w:t>數量</w:t>
      </w:r>
      <w:r w:rsidR="00D460E8">
        <w:rPr>
          <w:rFonts w:hint="eastAsia"/>
        </w:rPr>
        <w:t>持續增加，致輔助服務支出金額遽增，惟</w:t>
      </w:r>
      <w:r w:rsidRPr="0034283B">
        <w:rPr>
          <w:rFonts w:hint="eastAsia"/>
        </w:rPr>
        <w:t>部分輔助服務價格上限遠高於各種電源發購電成本，允宜滾動檢討並審慎評估輔助服務之成本效益，研擬長期配套方案，俾妥適控管供電成本。</w:t>
      </w:r>
    </w:p>
    <w:p w:rsidR="008C7601" w:rsidRDefault="00285D5A" w:rsidP="00285D5A">
      <w:pPr>
        <w:ind w:leftChars="9" w:left="564" w:hangingChars="190" w:hanging="539"/>
        <w:rPr>
          <w:b/>
          <w:spacing w:val="-6"/>
        </w:rPr>
      </w:pPr>
      <w:r w:rsidRPr="0034283B">
        <w:rPr>
          <w:rFonts w:hint="eastAsia"/>
          <w:b/>
        </w:rPr>
        <w:lastRenderedPageBreak/>
        <w:t>表1</w:t>
      </w:r>
      <w:r w:rsidRPr="0034283B">
        <w:rPr>
          <w:rFonts w:hint="eastAsia"/>
          <w:b/>
          <w:spacing w:val="-6"/>
        </w:rPr>
        <w:t xml:space="preserve"> 台電公司110至11</w:t>
      </w:r>
      <w:r w:rsidR="008C7601">
        <w:rPr>
          <w:b/>
          <w:spacing w:val="-6"/>
        </w:rPr>
        <w:t>3</w:t>
      </w:r>
      <w:r w:rsidR="00CB653E" w:rsidRPr="0034283B">
        <w:rPr>
          <w:rFonts w:hint="eastAsia"/>
          <w:b/>
          <w:spacing w:val="-6"/>
        </w:rPr>
        <w:t>年</w:t>
      </w:r>
      <w:r w:rsidR="008C7601">
        <w:rPr>
          <w:rFonts w:hint="eastAsia"/>
          <w:b/>
          <w:spacing w:val="-6"/>
        </w:rPr>
        <w:t>7月</w:t>
      </w:r>
      <w:r w:rsidR="003A6935">
        <w:rPr>
          <w:rFonts w:hint="eastAsia"/>
          <w:b/>
          <w:spacing w:val="-6"/>
        </w:rPr>
        <w:t>底</w:t>
      </w:r>
      <w:r w:rsidRPr="0034283B">
        <w:rPr>
          <w:rFonts w:hint="eastAsia"/>
          <w:b/>
          <w:spacing w:val="-6"/>
        </w:rPr>
        <w:t>購入輔助服務一覽表</w:t>
      </w:r>
    </w:p>
    <w:p w:rsidR="00285D5A" w:rsidRPr="0034283B" w:rsidRDefault="00285D5A" w:rsidP="008C7601">
      <w:pPr>
        <w:ind w:leftChars="9" w:left="541" w:hangingChars="190" w:hanging="516"/>
        <w:jc w:val="right"/>
        <w:rPr>
          <w:rFonts w:hint="eastAsia"/>
          <w:b/>
        </w:rPr>
      </w:pPr>
      <w:r w:rsidRPr="0034283B">
        <w:rPr>
          <w:rFonts w:hint="eastAsia"/>
          <w:b/>
          <w:spacing w:val="-6"/>
        </w:rPr>
        <w:t xml:space="preserve">  </w:t>
      </w:r>
      <w:r w:rsidRPr="0034283B">
        <w:rPr>
          <w:rFonts w:hint="eastAsia"/>
          <w:spacing w:val="-6"/>
          <w:sz w:val="24"/>
          <w:szCs w:val="24"/>
        </w:rPr>
        <w:t>單位：</w:t>
      </w:r>
      <w:r w:rsidR="00172EA2">
        <w:rPr>
          <w:rFonts w:hint="eastAsia"/>
          <w:spacing w:val="-6"/>
          <w:sz w:val="24"/>
          <w:szCs w:val="24"/>
        </w:rPr>
        <w:t>M</w:t>
      </w:r>
      <w:r w:rsidR="00172EA2">
        <w:rPr>
          <w:spacing w:val="-6"/>
          <w:sz w:val="24"/>
          <w:szCs w:val="24"/>
        </w:rPr>
        <w:t>W</w:t>
      </w:r>
      <w:r w:rsidRPr="0034283B">
        <w:rPr>
          <w:rFonts w:hint="eastAsia"/>
          <w:spacing w:val="-6"/>
          <w:sz w:val="24"/>
          <w:szCs w:val="24"/>
        </w:rPr>
        <w:t>；新臺幣千元</w:t>
      </w:r>
    </w:p>
    <w:tbl>
      <w:tblPr>
        <w:tblW w:w="8665"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29"/>
        <w:gridCol w:w="1559"/>
        <w:gridCol w:w="1560"/>
        <w:gridCol w:w="1701"/>
        <w:gridCol w:w="2016"/>
      </w:tblGrid>
      <w:tr w:rsidR="00564F34" w:rsidRPr="0034283B" w:rsidTr="00DA4D2A">
        <w:tc>
          <w:tcPr>
            <w:tcW w:w="1829" w:type="dxa"/>
            <w:vMerge w:val="restart"/>
            <w:tcBorders>
              <w:top w:val="single" w:sz="12" w:space="0" w:color="auto"/>
              <w:bottom w:val="single" w:sz="8" w:space="0" w:color="auto"/>
              <w:right w:val="single" w:sz="8" w:space="0" w:color="auto"/>
            </w:tcBorders>
            <w:shd w:val="clear" w:color="auto" w:fill="auto"/>
            <w:vAlign w:val="center"/>
          </w:tcPr>
          <w:p w:rsidR="00285D5A" w:rsidRPr="0034283B" w:rsidRDefault="00285D5A" w:rsidP="00614679">
            <w:pPr>
              <w:pStyle w:val="142"/>
              <w:spacing w:line="360" w:lineRule="exact"/>
              <w:jc w:val="center"/>
              <w:rPr>
                <w:b/>
                <w:snapToGrid/>
                <w:szCs w:val="24"/>
              </w:rPr>
            </w:pPr>
            <w:r w:rsidRPr="0034283B">
              <w:rPr>
                <w:rFonts w:hint="eastAsia"/>
                <w:b/>
                <w:snapToGrid/>
                <w:szCs w:val="24"/>
              </w:rPr>
              <w:t xml:space="preserve">年 </w:t>
            </w:r>
            <w:r w:rsidRPr="0034283B">
              <w:rPr>
                <w:b/>
                <w:snapToGrid/>
                <w:szCs w:val="24"/>
              </w:rPr>
              <w:t xml:space="preserve"> </w:t>
            </w:r>
            <w:r w:rsidRPr="0034283B">
              <w:rPr>
                <w:rFonts w:hint="eastAsia"/>
                <w:b/>
                <w:snapToGrid/>
                <w:szCs w:val="24"/>
              </w:rPr>
              <w:t>度</w:t>
            </w:r>
          </w:p>
        </w:tc>
        <w:tc>
          <w:tcPr>
            <w:tcW w:w="6836" w:type="dxa"/>
            <w:gridSpan w:val="4"/>
            <w:tcBorders>
              <w:top w:val="single" w:sz="12" w:space="0" w:color="auto"/>
              <w:left w:val="single" w:sz="8" w:space="0" w:color="auto"/>
              <w:bottom w:val="single" w:sz="8" w:space="0" w:color="auto"/>
            </w:tcBorders>
            <w:shd w:val="clear" w:color="auto" w:fill="auto"/>
            <w:vAlign w:val="center"/>
          </w:tcPr>
          <w:p w:rsidR="00285D5A" w:rsidRPr="0034283B" w:rsidRDefault="00285D5A" w:rsidP="00614679">
            <w:pPr>
              <w:pStyle w:val="142"/>
              <w:spacing w:line="360" w:lineRule="exact"/>
              <w:jc w:val="center"/>
              <w:rPr>
                <w:b/>
                <w:snapToGrid/>
                <w:szCs w:val="24"/>
              </w:rPr>
            </w:pPr>
            <w:r w:rsidRPr="0034283B">
              <w:rPr>
                <w:rFonts w:hint="eastAsia"/>
                <w:b/>
                <w:snapToGrid/>
                <w:szCs w:val="24"/>
              </w:rPr>
              <w:t>依購入輔助服務種類分析</w:t>
            </w:r>
          </w:p>
        </w:tc>
      </w:tr>
      <w:tr w:rsidR="00564F34" w:rsidRPr="0034283B" w:rsidTr="00DA4D2A">
        <w:tc>
          <w:tcPr>
            <w:tcW w:w="1829" w:type="dxa"/>
            <w:vMerge/>
            <w:tcBorders>
              <w:top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center"/>
              <w:rPr>
                <w:b/>
                <w:snapToGrid/>
                <w:szCs w:val="24"/>
              </w:rPr>
            </w:pPr>
          </w:p>
        </w:tc>
        <w:tc>
          <w:tcPr>
            <w:tcW w:w="3119"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center"/>
              <w:rPr>
                <w:b/>
                <w:snapToGrid/>
                <w:szCs w:val="24"/>
              </w:rPr>
            </w:pPr>
            <w:r w:rsidRPr="0034283B">
              <w:rPr>
                <w:rFonts w:hint="eastAsia"/>
                <w:b/>
                <w:snapToGrid/>
                <w:szCs w:val="24"/>
              </w:rPr>
              <w:t>調頻備轉</w:t>
            </w:r>
          </w:p>
        </w:tc>
        <w:tc>
          <w:tcPr>
            <w:tcW w:w="3717" w:type="dxa"/>
            <w:gridSpan w:val="2"/>
            <w:tcBorders>
              <w:top w:val="single" w:sz="8" w:space="0" w:color="auto"/>
              <w:left w:val="single" w:sz="8" w:space="0" w:color="auto"/>
              <w:bottom w:val="single" w:sz="8" w:space="0" w:color="auto"/>
            </w:tcBorders>
            <w:shd w:val="clear" w:color="auto" w:fill="auto"/>
            <w:vAlign w:val="center"/>
          </w:tcPr>
          <w:p w:rsidR="00CB653E" w:rsidRPr="0034283B" w:rsidRDefault="00CB653E" w:rsidP="00614679">
            <w:pPr>
              <w:pStyle w:val="142"/>
              <w:spacing w:line="360" w:lineRule="exact"/>
              <w:jc w:val="center"/>
              <w:rPr>
                <w:b/>
                <w:snapToGrid/>
                <w:szCs w:val="24"/>
              </w:rPr>
            </w:pPr>
            <w:r w:rsidRPr="0034283B">
              <w:rPr>
                <w:rFonts w:hint="eastAsia"/>
                <w:b/>
                <w:snapToGrid/>
                <w:szCs w:val="24"/>
              </w:rPr>
              <w:t>即時備轉</w:t>
            </w:r>
          </w:p>
        </w:tc>
      </w:tr>
      <w:tr w:rsidR="00564F34" w:rsidRPr="0034283B" w:rsidTr="00DA4D2A">
        <w:tc>
          <w:tcPr>
            <w:tcW w:w="1829" w:type="dxa"/>
            <w:vMerge/>
            <w:tcBorders>
              <w:top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center"/>
              <w:rPr>
                <w:b/>
                <w:snapToGrid/>
                <w:szCs w:val="24"/>
              </w:rPr>
            </w:pP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center"/>
              <w:rPr>
                <w:b/>
                <w:snapToGrid/>
                <w:sz w:val="22"/>
                <w:szCs w:val="22"/>
              </w:rPr>
            </w:pPr>
            <w:r w:rsidRPr="0034283B">
              <w:rPr>
                <w:rFonts w:hint="eastAsia"/>
                <w:b/>
                <w:snapToGrid/>
                <w:szCs w:val="24"/>
              </w:rPr>
              <w:t>數量</w:t>
            </w:r>
          </w:p>
        </w:tc>
        <w:tc>
          <w:tcPr>
            <w:tcW w:w="1560"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center"/>
              <w:rPr>
                <w:b/>
                <w:snapToGrid/>
                <w:spacing w:val="-24"/>
                <w:sz w:val="22"/>
                <w:szCs w:val="22"/>
              </w:rPr>
            </w:pPr>
            <w:r w:rsidRPr="0034283B">
              <w:rPr>
                <w:rFonts w:hint="eastAsia"/>
                <w:b/>
                <w:snapToGrid/>
                <w:szCs w:val="24"/>
              </w:rPr>
              <w:t>金額</w:t>
            </w:r>
          </w:p>
        </w:tc>
        <w:tc>
          <w:tcPr>
            <w:tcW w:w="1701"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center"/>
              <w:rPr>
                <w:b/>
                <w:snapToGrid/>
                <w:szCs w:val="24"/>
              </w:rPr>
            </w:pPr>
            <w:r w:rsidRPr="0034283B">
              <w:rPr>
                <w:rFonts w:hint="eastAsia"/>
                <w:b/>
                <w:snapToGrid/>
                <w:szCs w:val="24"/>
              </w:rPr>
              <w:t>數量</w:t>
            </w:r>
          </w:p>
        </w:tc>
        <w:tc>
          <w:tcPr>
            <w:tcW w:w="2016" w:type="dxa"/>
            <w:tcBorders>
              <w:top w:val="single" w:sz="8" w:space="0" w:color="auto"/>
              <w:left w:val="single" w:sz="8" w:space="0" w:color="auto"/>
              <w:bottom w:val="single" w:sz="8" w:space="0" w:color="auto"/>
            </w:tcBorders>
            <w:shd w:val="clear" w:color="auto" w:fill="auto"/>
            <w:vAlign w:val="center"/>
          </w:tcPr>
          <w:p w:rsidR="00CB653E" w:rsidRPr="0034283B" w:rsidRDefault="00CB653E" w:rsidP="00614679">
            <w:pPr>
              <w:pStyle w:val="142"/>
              <w:spacing w:line="360" w:lineRule="exact"/>
              <w:jc w:val="center"/>
              <w:rPr>
                <w:b/>
                <w:snapToGrid/>
                <w:spacing w:val="-28"/>
                <w:position w:val="-4"/>
                <w:sz w:val="22"/>
                <w:szCs w:val="22"/>
              </w:rPr>
            </w:pPr>
            <w:r w:rsidRPr="0034283B">
              <w:rPr>
                <w:rFonts w:hint="eastAsia"/>
                <w:b/>
                <w:snapToGrid/>
                <w:szCs w:val="24"/>
              </w:rPr>
              <w:t>金額</w:t>
            </w:r>
          </w:p>
        </w:tc>
      </w:tr>
      <w:tr w:rsidR="00CB653E" w:rsidRPr="0034283B" w:rsidTr="003A6935">
        <w:tc>
          <w:tcPr>
            <w:tcW w:w="1829" w:type="dxa"/>
            <w:tcBorders>
              <w:top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center"/>
              <w:rPr>
                <w:snapToGrid/>
                <w:spacing w:val="-20"/>
                <w:szCs w:val="24"/>
              </w:rPr>
            </w:pPr>
            <w:r w:rsidRPr="0034283B">
              <w:rPr>
                <w:rFonts w:hint="eastAsia"/>
                <w:snapToGrid/>
                <w:spacing w:val="-20"/>
                <w:szCs w:val="24"/>
              </w:rPr>
              <w:t>1</w:t>
            </w:r>
            <w:r w:rsidRPr="0034283B">
              <w:rPr>
                <w:snapToGrid/>
                <w:spacing w:val="-20"/>
                <w:szCs w:val="24"/>
              </w:rPr>
              <w:t>10</w:t>
            </w: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right"/>
              <w:rPr>
                <w:snapToGrid/>
                <w:spacing w:val="-12"/>
                <w:szCs w:val="24"/>
              </w:rPr>
            </w:pPr>
            <w:r w:rsidRPr="0034283B">
              <w:rPr>
                <w:rFonts w:hint="eastAsia"/>
                <w:snapToGrid/>
                <w:spacing w:val="-12"/>
                <w:szCs w:val="24"/>
              </w:rPr>
              <w:t>15,035</w:t>
            </w:r>
          </w:p>
        </w:tc>
        <w:tc>
          <w:tcPr>
            <w:tcW w:w="1560"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right"/>
              <w:rPr>
                <w:snapToGrid/>
                <w:spacing w:val="-12"/>
                <w:szCs w:val="24"/>
              </w:rPr>
            </w:pPr>
            <w:r w:rsidRPr="0034283B">
              <w:rPr>
                <w:rFonts w:hint="eastAsia"/>
                <w:snapToGrid/>
                <w:spacing w:val="-12"/>
                <w:szCs w:val="24"/>
              </w:rPr>
              <w:t>14,151</w:t>
            </w:r>
          </w:p>
        </w:tc>
        <w:tc>
          <w:tcPr>
            <w:tcW w:w="1701"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right"/>
              <w:rPr>
                <w:snapToGrid/>
                <w:spacing w:val="-12"/>
                <w:szCs w:val="24"/>
              </w:rPr>
            </w:pPr>
            <w:r w:rsidRPr="0034283B">
              <w:rPr>
                <w:rFonts w:hint="eastAsia"/>
                <w:snapToGrid/>
                <w:spacing w:val="-12"/>
                <w:szCs w:val="24"/>
              </w:rPr>
              <w:t>1,436</w:t>
            </w:r>
          </w:p>
        </w:tc>
        <w:tc>
          <w:tcPr>
            <w:tcW w:w="2016" w:type="dxa"/>
            <w:tcBorders>
              <w:top w:val="single" w:sz="8" w:space="0" w:color="auto"/>
              <w:left w:val="single" w:sz="8" w:space="0" w:color="auto"/>
              <w:bottom w:val="single" w:sz="8" w:space="0" w:color="auto"/>
            </w:tcBorders>
            <w:shd w:val="clear" w:color="auto" w:fill="auto"/>
            <w:vAlign w:val="center"/>
          </w:tcPr>
          <w:p w:rsidR="00CB653E" w:rsidRPr="0034283B" w:rsidRDefault="00CB653E" w:rsidP="00614679">
            <w:pPr>
              <w:pStyle w:val="142"/>
              <w:spacing w:line="360" w:lineRule="exact"/>
              <w:jc w:val="right"/>
              <w:rPr>
                <w:snapToGrid/>
                <w:spacing w:val="-12"/>
                <w:szCs w:val="24"/>
              </w:rPr>
            </w:pPr>
            <w:r w:rsidRPr="0034283B">
              <w:rPr>
                <w:rFonts w:hint="eastAsia"/>
                <w:snapToGrid/>
                <w:spacing w:val="-12"/>
                <w:szCs w:val="24"/>
              </w:rPr>
              <w:t>574</w:t>
            </w:r>
          </w:p>
        </w:tc>
      </w:tr>
      <w:tr w:rsidR="00CB653E" w:rsidRPr="0034283B" w:rsidTr="003A6935">
        <w:tc>
          <w:tcPr>
            <w:tcW w:w="1829" w:type="dxa"/>
            <w:tcBorders>
              <w:top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center"/>
              <w:rPr>
                <w:snapToGrid/>
                <w:spacing w:val="-20"/>
                <w:szCs w:val="24"/>
              </w:rPr>
            </w:pPr>
            <w:r w:rsidRPr="0034283B">
              <w:rPr>
                <w:rFonts w:hint="eastAsia"/>
                <w:snapToGrid/>
                <w:spacing w:val="-20"/>
                <w:szCs w:val="24"/>
              </w:rPr>
              <w:t>1</w:t>
            </w:r>
            <w:r w:rsidRPr="0034283B">
              <w:rPr>
                <w:snapToGrid/>
                <w:spacing w:val="-20"/>
                <w:szCs w:val="24"/>
              </w:rPr>
              <w:t>11</w:t>
            </w: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right"/>
              <w:rPr>
                <w:rFonts w:hint="eastAsia"/>
                <w:snapToGrid/>
                <w:spacing w:val="-12"/>
                <w:szCs w:val="24"/>
              </w:rPr>
            </w:pPr>
            <w:r w:rsidRPr="0034283B">
              <w:rPr>
                <w:rFonts w:hint="eastAsia"/>
                <w:snapToGrid/>
                <w:spacing w:val="-12"/>
                <w:szCs w:val="24"/>
              </w:rPr>
              <w:t>360,079</w:t>
            </w:r>
          </w:p>
        </w:tc>
        <w:tc>
          <w:tcPr>
            <w:tcW w:w="1560"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right"/>
              <w:rPr>
                <w:rFonts w:hint="eastAsia"/>
                <w:snapToGrid/>
                <w:spacing w:val="-12"/>
                <w:szCs w:val="24"/>
              </w:rPr>
            </w:pPr>
            <w:r w:rsidRPr="0034283B">
              <w:rPr>
                <w:rFonts w:hint="eastAsia"/>
                <w:snapToGrid/>
                <w:spacing w:val="-12"/>
                <w:szCs w:val="24"/>
              </w:rPr>
              <w:t>315,670</w:t>
            </w:r>
          </w:p>
        </w:tc>
        <w:tc>
          <w:tcPr>
            <w:tcW w:w="1701"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right"/>
              <w:rPr>
                <w:rFonts w:hint="eastAsia"/>
                <w:snapToGrid/>
                <w:spacing w:val="-12"/>
                <w:szCs w:val="24"/>
              </w:rPr>
            </w:pPr>
            <w:r w:rsidRPr="0034283B">
              <w:rPr>
                <w:rFonts w:hint="eastAsia"/>
                <w:snapToGrid/>
                <w:spacing w:val="-12"/>
                <w:szCs w:val="24"/>
              </w:rPr>
              <w:t>184,442</w:t>
            </w:r>
          </w:p>
        </w:tc>
        <w:tc>
          <w:tcPr>
            <w:tcW w:w="2016" w:type="dxa"/>
            <w:tcBorders>
              <w:top w:val="single" w:sz="8" w:space="0" w:color="auto"/>
              <w:left w:val="single" w:sz="8" w:space="0" w:color="auto"/>
              <w:bottom w:val="single" w:sz="8" w:space="0" w:color="auto"/>
            </w:tcBorders>
            <w:shd w:val="clear" w:color="auto" w:fill="auto"/>
            <w:vAlign w:val="center"/>
          </w:tcPr>
          <w:p w:rsidR="00CB653E" w:rsidRPr="0034283B" w:rsidRDefault="00CB653E" w:rsidP="00614679">
            <w:pPr>
              <w:pStyle w:val="142"/>
              <w:spacing w:line="360" w:lineRule="exact"/>
              <w:jc w:val="right"/>
              <w:rPr>
                <w:rFonts w:hint="eastAsia"/>
                <w:snapToGrid/>
                <w:spacing w:val="-12"/>
                <w:szCs w:val="24"/>
              </w:rPr>
            </w:pPr>
            <w:r w:rsidRPr="0034283B">
              <w:rPr>
                <w:rFonts w:hint="eastAsia"/>
                <w:snapToGrid/>
                <w:spacing w:val="-12"/>
                <w:szCs w:val="24"/>
              </w:rPr>
              <w:t>77,030</w:t>
            </w:r>
          </w:p>
        </w:tc>
      </w:tr>
      <w:tr w:rsidR="00CB653E" w:rsidRPr="0034283B" w:rsidTr="003A6935">
        <w:tc>
          <w:tcPr>
            <w:tcW w:w="1829" w:type="dxa"/>
            <w:tcBorders>
              <w:top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center"/>
              <w:rPr>
                <w:snapToGrid/>
                <w:spacing w:val="-20"/>
                <w:szCs w:val="24"/>
              </w:rPr>
            </w:pPr>
            <w:r w:rsidRPr="0034283B">
              <w:rPr>
                <w:rFonts w:hint="eastAsia"/>
                <w:snapToGrid/>
                <w:spacing w:val="-20"/>
                <w:szCs w:val="24"/>
              </w:rPr>
              <w:t>1</w:t>
            </w:r>
            <w:r w:rsidRPr="0034283B">
              <w:rPr>
                <w:snapToGrid/>
                <w:spacing w:val="-20"/>
                <w:szCs w:val="24"/>
              </w:rPr>
              <w:t>12</w:t>
            </w: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right"/>
              <w:rPr>
                <w:rFonts w:hint="eastAsia"/>
                <w:snapToGrid/>
                <w:spacing w:val="-12"/>
                <w:szCs w:val="24"/>
              </w:rPr>
            </w:pPr>
            <w:r w:rsidRPr="0034283B">
              <w:rPr>
                <w:rFonts w:hint="eastAsia"/>
                <w:snapToGrid/>
                <w:spacing w:val="-12"/>
                <w:szCs w:val="24"/>
              </w:rPr>
              <w:t>2,262,623</w:t>
            </w:r>
          </w:p>
        </w:tc>
        <w:tc>
          <w:tcPr>
            <w:tcW w:w="1560"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right"/>
              <w:rPr>
                <w:rFonts w:hint="eastAsia"/>
                <w:snapToGrid/>
                <w:spacing w:val="-12"/>
                <w:szCs w:val="24"/>
              </w:rPr>
            </w:pPr>
            <w:r w:rsidRPr="0034283B">
              <w:rPr>
                <w:rFonts w:hint="eastAsia"/>
                <w:snapToGrid/>
                <w:spacing w:val="-12"/>
                <w:szCs w:val="24"/>
              </w:rPr>
              <w:t>1,690,889</w:t>
            </w:r>
          </w:p>
        </w:tc>
        <w:tc>
          <w:tcPr>
            <w:tcW w:w="1701"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614679">
            <w:pPr>
              <w:pStyle w:val="142"/>
              <w:spacing w:line="360" w:lineRule="exact"/>
              <w:jc w:val="right"/>
              <w:rPr>
                <w:rFonts w:hint="eastAsia"/>
                <w:snapToGrid/>
                <w:spacing w:val="-12"/>
                <w:szCs w:val="24"/>
              </w:rPr>
            </w:pPr>
            <w:r w:rsidRPr="0034283B">
              <w:rPr>
                <w:rFonts w:hint="eastAsia"/>
                <w:snapToGrid/>
                <w:spacing w:val="-12"/>
                <w:szCs w:val="24"/>
              </w:rPr>
              <w:t>554,866</w:t>
            </w:r>
          </w:p>
        </w:tc>
        <w:tc>
          <w:tcPr>
            <w:tcW w:w="2016" w:type="dxa"/>
            <w:tcBorders>
              <w:top w:val="single" w:sz="8" w:space="0" w:color="auto"/>
              <w:left w:val="single" w:sz="8" w:space="0" w:color="auto"/>
              <w:bottom w:val="single" w:sz="8" w:space="0" w:color="auto"/>
            </w:tcBorders>
            <w:shd w:val="clear" w:color="auto" w:fill="auto"/>
            <w:vAlign w:val="center"/>
          </w:tcPr>
          <w:p w:rsidR="00CB653E" w:rsidRPr="0034283B" w:rsidRDefault="00CB653E" w:rsidP="00614679">
            <w:pPr>
              <w:pStyle w:val="142"/>
              <w:spacing w:line="360" w:lineRule="exact"/>
              <w:jc w:val="right"/>
              <w:rPr>
                <w:rFonts w:hint="eastAsia"/>
                <w:snapToGrid/>
                <w:spacing w:val="-12"/>
                <w:szCs w:val="24"/>
              </w:rPr>
            </w:pPr>
            <w:r w:rsidRPr="0034283B">
              <w:rPr>
                <w:rFonts w:hint="eastAsia"/>
                <w:snapToGrid/>
                <w:spacing w:val="-12"/>
                <w:szCs w:val="24"/>
              </w:rPr>
              <w:t>187,394</w:t>
            </w:r>
          </w:p>
        </w:tc>
      </w:tr>
      <w:tr w:rsidR="00CB653E" w:rsidRPr="0034283B" w:rsidTr="003A6935">
        <w:tc>
          <w:tcPr>
            <w:tcW w:w="1829" w:type="dxa"/>
            <w:tcBorders>
              <w:top w:val="single" w:sz="8" w:space="0" w:color="auto"/>
              <w:bottom w:val="double" w:sz="4" w:space="0" w:color="auto"/>
              <w:right w:val="single" w:sz="8" w:space="0" w:color="auto"/>
            </w:tcBorders>
            <w:shd w:val="clear" w:color="auto" w:fill="auto"/>
            <w:vAlign w:val="center"/>
          </w:tcPr>
          <w:p w:rsidR="00CB653E" w:rsidRPr="0034283B" w:rsidRDefault="00CB653E" w:rsidP="00614679">
            <w:pPr>
              <w:pStyle w:val="142"/>
              <w:spacing w:line="360" w:lineRule="exact"/>
              <w:jc w:val="center"/>
              <w:rPr>
                <w:rFonts w:hint="eastAsia"/>
                <w:snapToGrid/>
                <w:spacing w:val="-20"/>
                <w:szCs w:val="24"/>
              </w:rPr>
            </w:pPr>
            <w:r w:rsidRPr="0034283B">
              <w:rPr>
                <w:rFonts w:hint="eastAsia"/>
                <w:snapToGrid/>
                <w:spacing w:val="-20"/>
                <w:szCs w:val="24"/>
              </w:rPr>
              <w:t>113年1</w:t>
            </w:r>
            <w:r w:rsidRPr="0034283B">
              <w:rPr>
                <w:snapToGrid/>
                <w:spacing w:val="-20"/>
                <w:szCs w:val="24"/>
              </w:rPr>
              <w:t>-7</w:t>
            </w:r>
            <w:r w:rsidRPr="0034283B">
              <w:rPr>
                <w:rFonts w:hint="eastAsia"/>
                <w:snapToGrid/>
                <w:spacing w:val="-20"/>
                <w:szCs w:val="24"/>
              </w:rPr>
              <w:t>月</w:t>
            </w:r>
          </w:p>
        </w:tc>
        <w:tc>
          <w:tcPr>
            <w:tcW w:w="1559" w:type="dxa"/>
            <w:tcBorders>
              <w:top w:val="single" w:sz="8" w:space="0" w:color="auto"/>
              <w:left w:val="single" w:sz="8" w:space="0" w:color="auto"/>
              <w:bottom w:val="double" w:sz="4" w:space="0" w:color="auto"/>
              <w:right w:val="single" w:sz="8" w:space="0" w:color="auto"/>
            </w:tcBorders>
            <w:shd w:val="clear" w:color="auto" w:fill="auto"/>
            <w:vAlign w:val="center"/>
          </w:tcPr>
          <w:p w:rsidR="00CB653E" w:rsidRPr="0034283B" w:rsidRDefault="00CB653E" w:rsidP="00614679">
            <w:pPr>
              <w:pStyle w:val="142"/>
              <w:spacing w:line="360" w:lineRule="exact"/>
              <w:jc w:val="right"/>
              <w:rPr>
                <w:rFonts w:hint="eastAsia"/>
                <w:snapToGrid/>
                <w:spacing w:val="-12"/>
                <w:szCs w:val="24"/>
              </w:rPr>
            </w:pPr>
            <w:r w:rsidRPr="0034283B">
              <w:rPr>
                <w:rFonts w:hint="eastAsia"/>
                <w:snapToGrid/>
                <w:spacing w:val="-12"/>
                <w:szCs w:val="24"/>
              </w:rPr>
              <w:t>2,527,286</w:t>
            </w:r>
          </w:p>
        </w:tc>
        <w:tc>
          <w:tcPr>
            <w:tcW w:w="1560" w:type="dxa"/>
            <w:tcBorders>
              <w:top w:val="single" w:sz="8" w:space="0" w:color="auto"/>
              <w:left w:val="single" w:sz="8" w:space="0" w:color="auto"/>
              <w:bottom w:val="double" w:sz="4" w:space="0" w:color="auto"/>
              <w:right w:val="single" w:sz="8" w:space="0" w:color="auto"/>
            </w:tcBorders>
            <w:shd w:val="clear" w:color="auto" w:fill="auto"/>
            <w:vAlign w:val="center"/>
          </w:tcPr>
          <w:p w:rsidR="00CB653E" w:rsidRPr="0034283B" w:rsidRDefault="00CB653E" w:rsidP="00614679">
            <w:pPr>
              <w:pStyle w:val="142"/>
              <w:spacing w:line="360" w:lineRule="exact"/>
              <w:jc w:val="right"/>
              <w:rPr>
                <w:rFonts w:hint="eastAsia"/>
                <w:snapToGrid/>
                <w:spacing w:val="-12"/>
                <w:szCs w:val="24"/>
              </w:rPr>
            </w:pPr>
            <w:r w:rsidRPr="0034283B">
              <w:rPr>
                <w:rFonts w:hint="eastAsia"/>
                <w:snapToGrid/>
                <w:spacing w:val="-12"/>
                <w:szCs w:val="24"/>
              </w:rPr>
              <w:t>952,580</w:t>
            </w:r>
          </w:p>
        </w:tc>
        <w:tc>
          <w:tcPr>
            <w:tcW w:w="1701" w:type="dxa"/>
            <w:tcBorders>
              <w:top w:val="single" w:sz="8" w:space="0" w:color="auto"/>
              <w:left w:val="single" w:sz="8" w:space="0" w:color="auto"/>
              <w:bottom w:val="double" w:sz="4" w:space="0" w:color="auto"/>
              <w:right w:val="single" w:sz="8" w:space="0" w:color="auto"/>
            </w:tcBorders>
            <w:shd w:val="clear" w:color="auto" w:fill="auto"/>
            <w:vAlign w:val="center"/>
          </w:tcPr>
          <w:p w:rsidR="00CB653E" w:rsidRPr="0034283B" w:rsidRDefault="00CB653E" w:rsidP="00614679">
            <w:pPr>
              <w:pStyle w:val="142"/>
              <w:spacing w:line="360" w:lineRule="exact"/>
              <w:jc w:val="right"/>
              <w:rPr>
                <w:rFonts w:hint="eastAsia"/>
                <w:snapToGrid/>
                <w:spacing w:val="-12"/>
                <w:szCs w:val="24"/>
              </w:rPr>
            </w:pPr>
            <w:r w:rsidRPr="0034283B">
              <w:rPr>
                <w:rFonts w:hint="eastAsia"/>
                <w:snapToGrid/>
                <w:spacing w:val="-12"/>
                <w:szCs w:val="24"/>
              </w:rPr>
              <w:t>457,986</w:t>
            </w:r>
          </w:p>
        </w:tc>
        <w:tc>
          <w:tcPr>
            <w:tcW w:w="2016" w:type="dxa"/>
            <w:tcBorders>
              <w:top w:val="single" w:sz="8" w:space="0" w:color="auto"/>
              <w:left w:val="single" w:sz="8" w:space="0" w:color="auto"/>
              <w:bottom w:val="double" w:sz="4" w:space="0" w:color="auto"/>
            </w:tcBorders>
            <w:shd w:val="clear" w:color="auto" w:fill="auto"/>
            <w:vAlign w:val="center"/>
          </w:tcPr>
          <w:p w:rsidR="00CB653E" w:rsidRPr="0034283B" w:rsidRDefault="00CB653E" w:rsidP="00614679">
            <w:pPr>
              <w:pStyle w:val="142"/>
              <w:spacing w:line="360" w:lineRule="exact"/>
              <w:jc w:val="right"/>
              <w:rPr>
                <w:rFonts w:hint="eastAsia"/>
                <w:snapToGrid/>
                <w:spacing w:val="-12"/>
                <w:szCs w:val="24"/>
              </w:rPr>
            </w:pPr>
            <w:r w:rsidRPr="0034283B">
              <w:rPr>
                <w:rFonts w:hint="eastAsia"/>
                <w:snapToGrid/>
                <w:spacing w:val="-12"/>
                <w:szCs w:val="24"/>
              </w:rPr>
              <w:t>128,240</w:t>
            </w:r>
          </w:p>
        </w:tc>
      </w:tr>
      <w:tr w:rsidR="00CB653E" w:rsidRPr="0034283B" w:rsidTr="003A6935">
        <w:trPr>
          <w:trHeight w:val="259"/>
        </w:trPr>
        <w:tc>
          <w:tcPr>
            <w:tcW w:w="1829" w:type="dxa"/>
            <w:vMerge w:val="restart"/>
            <w:tcBorders>
              <w:top w:val="double" w:sz="4" w:space="0" w:color="auto"/>
              <w:bottom w:val="single" w:sz="8" w:space="0" w:color="auto"/>
              <w:right w:val="single" w:sz="8" w:space="0" w:color="auto"/>
            </w:tcBorders>
            <w:shd w:val="clear" w:color="auto" w:fill="auto"/>
            <w:vAlign w:val="center"/>
          </w:tcPr>
          <w:p w:rsidR="00CB653E" w:rsidRPr="0034283B" w:rsidRDefault="003A6935" w:rsidP="00974EB2">
            <w:pPr>
              <w:pStyle w:val="142"/>
              <w:spacing w:line="300" w:lineRule="exact"/>
              <w:jc w:val="center"/>
              <w:rPr>
                <w:b/>
                <w:snapToGrid/>
                <w:szCs w:val="24"/>
              </w:rPr>
            </w:pPr>
            <w:r w:rsidRPr="0034283B">
              <w:rPr>
                <w:rFonts w:hint="eastAsia"/>
                <w:b/>
                <w:snapToGrid/>
                <w:szCs w:val="24"/>
              </w:rPr>
              <w:t xml:space="preserve">年 </w:t>
            </w:r>
            <w:r w:rsidRPr="0034283B">
              <w:rPr>
                <w:b/>
                <w:snapToGrid/>
                <w:szCs w:val="24"/>
              </w:rPr>
              <w:t xml:space="preserve"> </w:t>
            </w:r>
            <w:r w:rsidRPr="0034283B">
              <w:rPr>
                <w:rFonts w:hint="eastAsia"/>
                <w:b/>
                <w:snapToGrid/>
                <w:szCs w:val="24"/>
              </w:rPr>
              <w:t>度</w:t>
            </w:r>
          </w:p>
        </w:tc>
        <w:tc>
          <w:tcPr>
            <w:tcW w:w="3119" w:type="dxa"/>
            <w:gridSpan w:val="2"/>
            <w:tcBorders>
              <w:top w:val="double" w:sz="4"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974EB2">
            <w:pPr>
              <w:pStyle w:val="142"/>
              <w:spacing w:line="300" w:lineRule="exact"/>
              <w:jc w:val="center"/>
              <w:rPr>
                <w:b/>
                <w:snapToGrid/>
                <w:szCs w:val="24"/>
              </w:rPr>
            </w:pPr>
            <w:r w:rsidRPr="0034283B">
              <w:rPr>
                <w:rFonts w:hint="eastAsia"/>
                <w:b/>
                <w:snapToGrid/>
                <w:szCs w:val="24"/>
              </w:rPr>
              <w:t>補充備轉</w:t>
            </w:r>
          </w:p>
        </w:tc>
        <w:tc>
          <w:tcPr>
            <w:tcW w:w="3717" w:type="dxa"/>
            <w:gridSpan w:val="2"/>
            <w:tcBorders>
              <w:top w:val="double" w:sz="4" w:space="0" w:color="auto"/>
              <w:left w:val="single" w:sz="8" w:space="0" w:color="auto"/>
              <w:bottom w:val="single" w:sz="8" w:space="0" w:color="auto"/>
            </w:tcBorders>
            <w:shd w:val="clear" w:color="auto" w:fill="auto"/>
            <w:vAlign w:val="center"/>
          </w:tcPr>
          <w:p w:rsidR="00CB653E" w:rsidRPr="0034283B" w:rsidRDefault="00614679" w:rsidP="00974EB2">
            <w:pPr>
              <w:pStyle w:val="142"/>
              <w:spacing w:line="300" w:lineRule="exact"/>
              <w:jc w:val="center"/>
              <w:rPr>
                <w:b/>
                <w:snapToGrid/>
                <w:szCs w:val="24"/>
              </w:rPr>
            </w:pPr>
            <w:r>
              <w:rPr>
                <w:b/>
                <w:snapToGrid/>
                <w:szCs w:val="24"/>
              </w:rPr>
              <w:t>E-dR</w:t>
            </w:r>
            <w:r w:rsidR="00CB653E" w:rsidRPr="0034283B">
              <w:rPr>
                <w:b/>
                <w:snapToGrid/>
                <w:szCs w:val="24"/>
              </w:rPr>
              <w:t>eg</w:t>
            </w:r>
          </w:p>
        </w:tc>
      </w:tr>
      <w:tr w:rsidR="00CB653E" w:rsidRPr="0034283B" w:rsidTr="003A6935">
        <w:tc>
          <w:tcPr>
            <w:tcW w:w="1829" w:type="dxa"/>
            <w:vMerge/>
            <w:tcBorders>
              <w:top w:val="single" w:sz="8" w:space="0" w:color="auto"/>
              <w:bottom w:val="single" w:sz="8" w:space="0" w:color="auto"/>
              <w:right w:val="single" w:sz="8" w:space="0" w:color="auto"/>
            </w:tcBorders>
            <w:shd w:val="clear" w:color="auto" w:fill="auto"/>
            <w:vAlign w:val="center"/>
          </w:tcPr>
          <w:p w:rsidR="00CB653E" w:rsidRPr="0034283B" w:rsidRDefault="00CB653E" w:rsidP="00974EB2">
            <w:pPr>
              <w:pStyle w:val="142"/>
              <w:spacing w:line="300" w:lineRule="exact"/>
              <w:jc w:val="center"/>
              <w:rPr>
                <w:b/>
                <w:snapToGrid/>
                <w:szCs w:val="24"/>
              </w:rPr>
            </w:pP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974EB2">
            <w:pPr>
              <w:pStyle w:val="142"/>
              <w:spacing w:line="300" w:lineRule="exact"/>
              <w:jc w:val="center"/>
              <w:rPr>
                <w:b/>
                <w:snapToGrid/>
                <w:szCs w:val="24"/>
              </w:rPr>
            </w:pPr>
            <w:r w:rsidRPr="0034283B">
              <w:rPr>
                <w:rFonts w:hint="eastAsia"/>
                <w:b/>
                <w:snapToGrid/>
                <w:szCs w:val="24"/>
              </w:rPr>
              <w:t>數量</w:t>
            </w:r>
          </w:p>
        </w:tc>
        <w:tc>
          <w:tcPr>
            <w:tcW w:w="1560"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974EB2">
            <w:pPr>
              <w:pStyle w:val="142"/>
              <w:spacing w:line="300" w:lineRule="exact"/>
              <w:jc w:val="center"/>
              <w:rPr>
                <w:b/>
                <w:snapToGrid/>
                <w:spacing w:val="-28"/>
                <w:sz w:val="22"/>
                <w:szCs w:val="22"/>
              </w:rPr>
            </w:pPr>
            <w:r w:rsidRPr="0034283B">
              <w:rPr>
                <w:rFonts w:hint="eastAsia"/>
                <w:b/>
                <w:snapToGrid/>
                <w:szCs w:val="24"/>
              </w:rPr>
              <w:t>金額</w:t>
            </w:r>
          </w:p>
        </w:tc>
        <w:tc>
          <w:tcPr>
            <w:tcW w:w="1701" w:type="dxa"/>
            <w:tcBorders>
              <w:top w:val="single" w:sz="8" w:space="0" w:color="auto"/>
              <w:left w:val="single" w:sz="8" w:space="0" w:color="auto"/>
              <w:bottom w:val="single" w:sz="8" w:space="0" w:color="auto"/>
              <w:right w:val="single" w:sz="8" w:space="0" w:color="auto"/>
            </w:tcBorders>
            <w:shd w:val="clear" w:color="auto" w:fill="auto"/>
            <w:vAlign w:val="center"/>
          </w:tcPr>
          <w:p w:rsidR="00CB653E" w:rsidRPr="0034283B" w:rsidRDefault="00CB653E" w:rsidP="00974EB2">
            <w:pPr>
              <w:pStyle w:val="142"/>
              <w:spacing w:line="300" w:lineRule="exact"/>
              <w:jc w:val="center"/>
              <w:rPr>
                <w:b/>
                <w:snapToGrid/>
                <w:szCs w:val="24"/>
              </w:rPr>
            </w:pPr>
            <w:r w:rsidRPr="0034283B">
              <w:rPr>
                <w:rFonts w:hint="eastAsia"/>
                <w:b/>
                <w:snapToGrid/>
                <w:szCs w:val="24"/>
              </w:rPr>
              <w:t>數量</w:t>
            </w:r>
          </w:p>
        </w:tc>
        <w:tc>
          <w:tcPr>
            <w:tcW w:w="2016" w:type="dxa"/>
            <w:tcBorders>
              <w:top w:val="single" w:sz="8" w:space="0" w:color="auto"/>
              <w:left w:val="single" w:sz="8" w:space="0" w:color="auto"/>
              <w:bottom w:val="single" w:sz="8" w:space="0" w:color="auto"/>
            </w:tcBorders>
            <w:shd w:val="clear" w:color="auto" w:fill="auto"/>
            <w:vAlign w:val="center"/>
          </w:tcPr>
          <w:p w:rsidR="00CB653E" w:rsidRPr="0034283B" w:rsidRDefault="00CB653E" w:rsidP="00974EB2">
            <w:pPr>
              <w:pStyle w:val="142"/>
              <w:spacing w:line="300" w:lineRule="exact"/>
              <w:jc w:val="center"/>
              <w:rPr>
                <w:b/>
                <w:snapToGrid/>
                <w:spacing w:val="-28"/>
                <w:sz w:val="22"/>
                <w:szCs w:val="22"/>
              </w:rPr>
            </w:pPr>
            <w:r w:rsidRPr="0034283B">
              <w:rPr>
                <w:rFonts w:hint="eastAsia"/>
                <w:b/>
                <w:snapToGrid/>
                <w:szCs w:val="24"/>
              </w:rPr>
              <w:t>金額</w:t>
            </w:r>
          </w:p>
        </w:tc>
      </w:tr>
      <w:tr w:rsidR="003B7919" w:rsidRPr="0034283B" w:rsidTr="003A6935">
        <w:tc>
          <w:tcPr>
            <w:tcW w:w="1829" w:type="dxa"/>
            <w:tcBorders>
              <w:top w:val="single" w:sz="8" w:space="0" w:color="auto"/>
              <w:bottom w:val="single" w:sz="8" w:space="0" w:color="auto"/>
              <w:right w:val="single" w:sz="8" w:space="0" w:color="auto"/>
            </w:tcBorders>
            <w:shd w:val="clear" w:color="auto" w:fill="auto"/>
            <w:vAlign w:val="center"/>
          </w:tcPr>
          <w:p w:rsidR="003B7919" w:rsidRPr="0034283B" w:rsidRDefault="003B7919" w:rsidP="00974EB2">
            <w:pPr>
              <w:pStyle w:val="142"/>
              <w:spacing w:line="300" w:lineRule="exact"/>
              <w:jc w:val="center"/>
              <w:rPr>
                <w:snapToGrid/>
                <w:spacing w:val="-20"/>
                <w:szCs w:val="24"/>
              </w:rPr>
            </w:pPr>
            <w:r w:rsidRPr="0034283B">
              <w:rPr>
                <w:rFonts w:hint="eastAsia"/>
                <w:snapToGrid/>
                <w:spacing w:val="-20"/>
                <w:szCs w:val="24"/>
              </w:rPr>
              <w:t>1</w:t>
            </w:r>
            <w:r w:rsidRPr="0034283B">
              <w:rPr>
                <w:snapToGrid/>
                <w:spacing w:val="-20"/>
                <w:szCs w:val="24"/>
              </w:rPr>
              <w:t>10</w:t>
            </w: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tcPr>
          <w:p w:rsidR="003B7919" w:rsidRPr="0034283B" w:rsidRDefault="003B7919" w:rsidP="00974EB2">
            <w:pPr>
              <w:pStyle w:val="142"/>
              <w:spacing w:line="300" w:lineRule="exact"/>
              <w:jc w:val="right"/>
              <w:rPr>
                <w:snapToGrid/>
                <w:spacing w:val="-12"/>
                <w:szCs w:val="24"/>
              </w:rPr>
            </w:pPr>
            <w:r w:rsidRPr="0034283B">
              <w:rPr>
                <w:rFonts w:hint="eastAsia"/>
                <w:snapToGrid/>
                <w:spacing w:val="-12"/>
                <w:szCs w:val="24"/>
              </w:rPr>
              <w:t>0</w:t>
            </w:r>
          </w:p>
        </w:tc>
        <w:tc>
          <w:tcPr>
            <w:tcW w:w="1560" w:type="dxa"/>
            <w:tcBorders>
              <w:top w:val="single" w:sz="8" w:space="0" w:color="auto"/>
              <w:left w:val="single" w:sz="8" w:space="0" w:color="auto"/>
              <w:bottom w:val="single" w:sz="8" w:space="0" w:color="auto"/>
              <w:right w:val="single" w:sz="8" w:space="0" w:color="auto"/>
            </w:tcBorders>
            <w:shd w:val="clear" w:color="auto" w:fill="auto"/>
            <w:vAlign w:val="center"/>
          </w:tcPr>
          <w:p w:rsidR="003B7919" w:rsidRPr="0034283B" w:rsidRDefault="003B7919" w:rsidP="00974EB2">
            <w:pPr>
              <w:pStyle w:val="142"/>
              <w:spacing w:line="300" w:lineRule="exact"/>
              <w:jc w:val="right"/>
              <w:rPr>
                <w:snapToGrid/>
                <w:spacing w:val="-12"/>
                <w:szCs w:val="24"/>
              </w:rPr>
            </w:pPr>
            <w:r w:rsidRPr="0034283B">
              <w:rPr>
                <w:rFonts w:hint="eastAsia"/>
                <w:snapToGrid/>
                <w:spacing w:val="-12"/>
                <w:szCs w:val="24"/>
              </w:rPr>
              <w:t>0</w:t>
            </w:r>
          </w:p>
        </w:tc>
        <w:tc>
          <w:tcPr>
            <w:tcW w:w="1701" w:type="dxa"/>
            <w:tcBorders>
              <w:top w:val="single" w:sz="8" w:space="0" w:color="auto"/>
              <w:left w:val="single" w:sz="8" w:space="0" w:color="auto"/>
              <w:bottom w:val="single" w:sz="8" w:space="0" w:color="auto"/>
              <w:right w:val="single" w:sz="8" w:space="0" w:color="auto"/>
            </w:tcBorders>
            <w:shd w:val="clear" w:color="auto" w:fill="auto"/>
            <w:vAlign w:val="center"/>
          </w:tcPr>
          <w:p w:rsidR="003B7919" w:rsidRPr="0034283B" w:rsidRDefault="003B7919" w:rsidP="00974EB2">
            <w:pPr>
              <w:pStyle w:val="142"/>
              <w:spacing w:line="300" w:lineRule="exact"/>
              <w:jc w:val="right"/>
              <w:rPr>
                <w:snapToGrid/>
                <w:spacing w:val="-12"/>
                <w:szCs w:val="24"/>
              </w:rPr>
            </w:pPr>
            <w:r w:rsidRPr="0034283B">
              <w:rPr>
                <w:rFonts w:hint="eastAsia"/>
                <w:snapToGrid/>
                <w:spacing w:val="-12"/>
                <w:szCs w:val="24"/>
              </w:rPr>
              <w:t>-</w:t>
            </w:r>
          </w:p>
        </w:tc>
        <w:tc>
          <w:tcPr>
            <w:tcW w:w="2016" w:type="dxa"/>
            <w:tcBorders>
              <w:top w:val="single" w:sz="8" w:space="0" w:color="auto"/>
              <w:left w:val="single" w:sz="8" w:space="0" w:color="auto"/>
              <w:bottom w:val="single" w:sz="8" w:space="0" w:color="auto"/>
            </w:tcBorders>
            <w:shd w:val="clear" w:color="auto" w:fill="auto"/>
            <w:vAlign w:val="center"/>
          </w:tcPr>
          <w:p w:rsidR="003B7919" w:rsidRPr="0034283B" w:rsidRDefault="003B7919" w:rsidP="00974EB2">
            <w:pPr>
              <w:pStyle w:val="142"/>
              <w:spacing w:line="300" w:lineRule="exact"/>
              <w:jc w:val="right"/>
              <w:rPr>
                <w:snapToGrid/>
                <w:spacing w:val="-12"/>
                <w:szCs w:val="24"/>
              </w:rPr>
            </w:pPr>
            <w:r w:rsidRPr="0034283B">
              <w:rPr>
                <w:rFonts w:hint="eastAsia"/>
                <w:snapToGrid/>
                <w:spacing w:val="-12"/>
                <w:szCs w:val="24"/>
              </w:rPr>
              <w:t>-</w:t>
            </w:r>
          </w:p>
        </w:tc>
      </w:tr>
      <w:tr w:rsidR="003B7919" w:rsidRPr="0034283B" w:rsidTr="003A6935">
        <w:tc>
          <w:tcPr>
            <w:tcW w:w="1829" w:type="dxa"/>
            <w:tcBorders>
              <w:top w:val="single" w:sz="8" w:space="0" w:color="auto"/>
              <w:bottom w:val="single" w:sz="8" w:space="0" w:color="auto"/>
              <w:right w:val="single" w:sz="8" w:space="0" w:color="auto"/>
            </w:tcBorders>
            <w:shd w:val="clear" w:color="auto" w:fill="auto"/>
            <w:vAlign w:val="center"/>
          </w:tcPr>
          <w:p w:rsidR="003B7919" w:rsidRPr="0034283B" w:rsidRDefault="003B7919" w:rsidP="00974EB2">
            <w:pPr>
              <w:pStyle w:val="142"/>
              <w:spacing w:line="300" w:lineRule="exact"/>
              <w:jc w:val="center"/>
              <w:rPr>
                <w:snapToGrid/>
                <w:spacing w:val="-20"/>
                <w:szCs w:val="24"/>
              </w:rPr>
            </w:pPr>
            <w:r w:rsidRPr="0034283B">
              <w:rPr>
                <w:rFonts w:hint="eastAsia"/>
                <w:snapToGrid/>
                <w:spacing w:val="-20"/>
                <w:szCs w:val="24"/>
              </w:rPr>
              <w:t>1</w:t>
            </w:r>
            <w:r w:rsidRPr="0034283B">
              <w:rPr>
                <w:snapToGrid/>
                <w:spacing w:val="-20"/>
                <w:szCs w:val="24"/>
              </w:rPr>
              <w:t>11</w:t>
            </w: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tcPr>
          <w:p w:rsidR="003B7919" w:rsidRPr="0034283B" w:rsidRDefault="008C7601" w:rsidP="00974EB2">
            <w:pPr>
              <w:pStyle w:val="142"/>
              <w:spacing w:line="300" w:lineRule="exact"/>
              <w:jc w:val="right"/>
              <w:rPr>
                <w:snapToGrid/>
                <w:spacing w:val="-12"/>
                <w:szCs w:val="24"/>
              </w:rPr>
            </w:pPr>
            <w:r>
              <w:rPr>
                <w:rFonts w:hint="eastAsia"/>
                <w:snapToGrid/>
                <w:spacing w:val="-12"/>
                <w:szCs w:val="24"/>
              </w:rPr>
              <w:t>5</w:t>
            </w:r>
            <w:r>
              <w:rPr>
                <w:snapToGrid/>
                <w:spacing w:val="-12"/>
                <w:szCs w:val="24"/>
              </w:rPr>
              <w:t>00</w:t>
            </w:r>
            <w:r>
              <w:rPr>
                <w:rFonts w:hint="eastAsia"/>
                <w:snapToGrid/>
                <w:spacing w:val="-12"/>
                <w:szCs w:val="24"/>
              </w:rPr>
              <w:t>,3</w:t>
            </w:r>
            <w:r>
              <w:rPr>
                <w:snapToGrid/>
                <w:spacing w:val="-12"/>
                <w:szCs w:val="24"/>
              </w:rPr>
              <w:t>70</w:t>
            </w:r>
          </w:p>
        </w:tc>
        <w:tc>
          <w:tcPr>
            <w:tcW w:w="1560" w:type="dxa"/>
            <w:tcBorders>
              <w:top w:val="single" w:sz="8" w:space="0" w:color="auto"/>
              <w:left w:val="single" w:sz="8" w:space="0" w:color="auto"/>
              <w:bottom w:val="single" w:sz="8" w:space="0" w:color="auto"/>
              <w:right w:val="single" w:sz="8" w:space="0" w:color="auto"/>
            </w:tcBorders>
            <w:shd w:val="clear" w:color="auto" w:fill="auto"/>
            <w:vAlign w:val="center"/>
          </w:tcPr>
          <w:p w:rsidR="003B7919" w:rsidRPr="0034283B" w:rsidRDefault="003B7919" w:rsidP="00974EB2">
            <w:pPr>
              <w:pStyle w:val="142"/>
              <w:spacing w:line="300" w:lineRule="exact"/>
              <w:jc w:val="right"/>
              <w:rPr>
                <w:snapToGrid/>
                <w:spacing w:val="-12"/>
                <w:szCs w:val="24"/>
              </w:rPr>
            </w:pPr>
            <w:r w:rsidRPr="0034283B">
              <w:rPr>
                <w:rFonts w:hint="eastAsia"/>
                <w:snapToGrid/>
                <w:spacing w:val="-12"/>
                <w:szCs w:val="24"/>
              </w:rPr>
              <w:t>2</w:t>
            </w:r>
            <w:r w:rsidRPr="0034283B">
              <w:rPr>
                <w:snapToGrid/>
                <w:spacing w:val="-12"/>
                <w:szCs w:val="24"/>
              </w:rPr>
              <w:t>01,010</w:t>
            </w:r>
          </w:p>
        </w:tc>
        <w:tc>
          <w:tcPr>
            <w:tcW w:w="1701" w:type="dxa"/>
            <w:tcBorders>
              <w:top w:val="single" w:sz="8" w:space="0" w:color="auto"/>
              <w:left w:val="single" w:sz="8" w:space="0" w:color="auto"/>
              <w:bottom w:val="single" w:sz="8" w:space="0" w:color="auto"/>
              <w:right w:val="single" w:sz="8" w:space="0" w:color="auto"/>
            </w:tcBorders>
            <w:shd w:val="clear" w:color="auto" w:fill="auto"/>
            <w:vAlign w:val="center"/>
          </w:tcPr>
          <w:p w:rsidR="003B7919" w:rsidRPr="0034283B" w:rsidRDefault="003B7919" w:rsidP="00974EB2">
            <w:pPr>
              <w:pStyle w:val="142"/>
              <w:spacing w:line="300" w:lineRule="exact"/>
              <w:jc w:val="right"/>
              <w:rPr>
                <w:snapToGrid/>
                <w:spacing w:val="-12"/>
                <w:szCs w:val="24"/>
              </w:rPr>
            </w:pPr>
            <w:r w:rsidRPr="0034283B">
              <w:rPr>
                <w:rFonts w:hint="eastAsia"/>
                <w:snapToGrid/>
                <w:spacing w:val="-12"/>
                <w:szCs w:val="24"/>
              </w:rPr>
              <w:t>-</w:t>
            </w:r>
          </w:p>
        </w:tc>
        <w:tc>
          <w:tcPr>
            <w:tcW w:w="2016" w:type="dxa"/>
            <w:tcBorders>
              <w:top w:val="single" w:sz="8" w:space="0" w:color="auto"/>
              <w:left w:val="single" w:sz="8" w:space="0" w:color="auto"/>
              <w:bottom w:val="single" w:sz="8" w:space="0" w:color="auto"/>
            </w:tcBorders>
            <w:shd w:val="clear" w:color="auto" w:fill="auto"/>
            <w:vAlign w:val="center"/>
          </w:tcPr>
          <w:p w:rsidR="003B7919" w:rsidRPr="0034283B" w:rsidRDefault="003B7919" w:rsidP="00974EB2">
            <w:pPr>
              <w:pStyle w:val="142"/>
              <w:spacing w:line="300" w:lineRule="exact"/>
              <w:jc w:val="right"/>
              <w:rPr>
                <w:snapToGrid/>
                <w:spacing w:val="-12"/>
                <w:szCs w:val="24"/>
              </w:rPr>
            </w:pPr>
            <w:r w:rsidRPr="0034283B">
              <w:rPr>
                <w:rFonts w:hint="eastAsia"/>
                <w:snapToGrid/>
                <w:spacing w:val="-12"/>
                <w:szCs w:val="24"/>
              </w:rPr>
              <w:t>-</w:t>
            </w:r>
          </w:p>
        </w:tc>
      </w:tr>
      <w:tr w:rsidR="003B7919" w:rsidRPr="0034283B" w:rsidTr="003A6935">
        <w:tc>
          <w:tcPr>
            <w:tcW w:w="1829" w:type="dxa"/>
            <w:tcBorders>
              <w:top w:val="single" w:sz="8" w:space="0" w:color="auto"/>
              <w:bottom w:val="single" w:sz="8" w:space="0" w:color="auto"/>
              <w:right w:val="single" w:sz="8" w:space="0" w:color="auto"/>
            </w:tcBorders>
            <w:shd w:val="clear" w:color="auto" w:fill="auto"/>
            <w:vAlign w:val="center"/>
          </w:tcPr>
          <w:p w:rsidR="003B7919" w:rsidRPr="0034283B" w:rsidRDefault="003B7919" w:rsidP="00974EB2">
            <w:pPr>
              <w:pStyle w:val="142"/>
              <w:spacing w:line="300" w:lineRule="exact"/>
              <w:jc w:val="center"/>
              <w:rPr>
                <w:snapToGrid/>
                <w:spacing w:val="-20"/>
                <w:szCs w:val="24"/>
              </w:rPr>
            </w:pPr>
            <w:r w:rsidRPr="0034283B">
              <w:rPr>
                <w:rFonts w:hint="eastAsia"/>
                <w:snapToGrid/>
                <w:spacing w:val="-20"/>
                <w:szCs w:val="24"/>
              </w:rPr>
              <w:t>1</w:t>
            </w:r>
            <w:r w:rsidRPr="0034283B">
              <w:rPr>
                <w:snapToGrid/>
                <w:spacing w:val="-20"/>
                <w:szCs w:val="24"/>
              </w:rPr>
              <w:t>12</w:t>
            </w:r>
          </w:p>
        </w:tc>
        <w:tc>
          <w:tcPr>
            <w:tcW w:w="1559" w:type="dxa"/>
            <w:tcBorders>
              <w:top w:val="single" w:sz="8" w:space="0" w:color="auto"/>
              <w:left w:val="single" w:sz="8" w:space="0" w:color="auto"/>
              <w:bottom w:val="single" w:sz="8" w:space="0" w:color="auto"/>
              <w:right w:val="single" w:sz="8" w:space="0" w:color="auto"/>
            </w:tcBorders>
            <w:shd w:val="clear" w:color="auto" w:fill="auto"/>
            <w:vAlign w:val="center"/>
          </w:tcPr>
          <w:p w:rsidR="003B7919" w:rsidRPr="0034283B" w:rsidRDefault="008C7601" w:rsidP="00974EB2">
            <w:pPr>
              <w:pStyle w:val="142"/>
              <w:spacing w:line="300" w:lineRule="exact"/>
              <w:jc w:val="right"/>
              <w:rPr>
                <w:snapToGrid/>
                <w:spacing w:val="-12"/>
                <w:szCs w:val="24"/>
              </w:rPr>
            </w:pPr>
            <w:r>
              <w:rPr>
                <w:rFonts w:hint="eastAsia"/>
                <w:snapToGrid/>
                <w:spacing w:val="-12"/>
                <w:szCs w:val="24"/>
              </w:rPr>
              <w:t>9</w:t>
            </w:r>
            <w:r>
              <w:rPr>
                <w:snapToGrid/>
                <w:spacing w:val="-12"/>
                <w:szCs w:val="24"/>
              </w:rPr>
              <w:t>31,122</w:t>
            </w:r>
          </w:p>
        </w:tc>
        <w:tc>
          <w:tcPr>
            <w:tcW w:w="1560" w:type="dxa"/>
            <w:tcBorders>
              <w:top w:val="single" w:sz="8" w:space="0" w:color="auto"/>
              <w:left w:val="single" w:sz="8" w:space="0" w:color="auto"/>
              <w:bottom w:val="single" w:sz="8" w:space="0" w:color="auto"/>
              <w:right w:val="single" w:sz="8" w:space="0" w:color="auto"/>
            </w:tcBorders>
            <w:shd w:val="clear" w:color="auto" w:fill="auto"/>
            <w:vAlign w:val="center"/>
          </w:tcPr>
          <w:p w:rsidR="003B7919" w:rsidRPr="0034283B" w:rsidRDefault="003B7919" w:rsidP="00974EB2">
            <w:pPr>
              <w:pStyle w:val="142"/>
              <w:spacing w:line="300" w:lineRule="exact"/>
              <w:jc w:val="right"/>
              <w:rPr>
                <w:snapToGrid/>
                <w:spacing w:val="-12"/>
                <w:szCs w:val="24"/>
              </w:rPr>
            </w:pPr>
            <w:r w:rsidRPr="0034283B">
              <w:rPr>
                <w:rFonts w:hint="eastAsia"/>
                <w:snapToGrid/>
                <w:spacing w:val="-12"/>
                <w:szCs w:val="24"/>
              </w:rPr>
              <w:t>2</w:t>
            </w:r>
            <w:r w:rsidRPr="0034283B">
              <w:rPr>
                <w:snapToGrid/>
                <w:spacing w:val="-12"/>
                <w:szCs w:val="24"/>
              </w:rPr>
              <w:t>49,197</w:t>
            </w:r>
          </w:p>
        </w:tc>
        <w:tc>
          <w:tcPr>
            <w:tcW w:w="1701" w:type="dxa"/>
            <w:tcBorders>
              <w:top w:val="single" w:sz="8" w:space="0" w:color="auto"/>
              <w:left w:val="single" w:sz="8" w:space="0" w:color="auto"/>
              <w:bottom w:val="single" w:sz="8" w:space="0" w:color="auto"/>
              <w:right w:val="single" w:sz="8" w:space="0" w:color="auto"/>
            </w:tcBorders>
            <w:shd w:val="clear" w:color="auto" w:fill="auto"/>
            <w:vAlign w:val="center"/>
          </w:tcPr>
          <w:p w:rsidR="003B7919" w:rsidRPr="0034283B" w:rsidRDefault="003B7919" w:rsidP="00974EB2">
            <w:pPr>
              <w:pStyle w:val="142"/>
              <w:spacing w:line="300" w:lineRule="exact"/>
              <w:jc w:val="right"/>
              <w:rPr>
                <w:snapToGrid/>
                <w:spacing w:val="-12"/>
                <w:szCs w:val="24"/>
              </w:rPr>
            </w:pPr>
            <w:r w:rsidRPr="0034283B">
              <w:rPr>
                <w:rFonts w:hint="eastAsia"/>
                <w:snapToGrid/>
                <w:spacing w:val="-12"/>
                <w:szCs w:val="24"/>
              </w:rPr>
              <w:t>1</w:t>
            </w:r>
            <w:r w:rsidRPr="0034283B">
              <w:rPr>
                <w:snapToGrid/>
                <w:spacing w:val="-12"/>
                <w:szCs w:val="24"/>
              </w:rPr>
              <w:t>16,709</w:t>
            </w:r>
          </w:p>
        </w:tc>
        <w:tc>
          <w:tcPr>
            <w:tcW w:w="2016" w:type="dxa"/>
            <w:tcBorders>
              <w:top w:val="single" w:sz="8" w:space="0" w:color="auto"/>
              <w:left w:val="single" w:sz="8" w:space="0" w:color="auto"/>
              <w:bottom w:val="single" w:sz="8" w:space="0" w:color="auto"/>
            </w:tcBorders>
            <w:shd w:val="clear" w:color="auto" w:fill="auto"/>
            <w:vAlign w:val="center"/>
          </w:tcPr>
          <w:p w:rsidR="003B7919" w:rsidRPr="0034283B" w:rsidRDefault="003B7919" w:rsidP="00974EB2">
            <w:pPr>
              <w:pStyle w:val="142"/>
              <w:spacing w:line="300" w:lineRule="exact"/>
              <w:jc w:val="right"/>
              <w:rPr>
                <w:snapToGrid/>
                <w:spacing w:val="-12"/>
                <w:szCs w:val="24"/>
              </w:rPr>
            </w:pPr>
            <w:r w:rsidRPr="0034283B">
              <w:rPr>
                <w:rFonts w:hint="eastAsia"/>
                <w:snapToGrid/>
                <w:spacing w:val="-12"/>
                <w:szCs w:val="24"/>
              </w:rPr>
              <w:t>1</w:t>
            </w:r>
            <w:r w:rsidRPr="0034283B">
              <w:rPr>
                <w:snapToGrid/>
                <w:spacing w:val="-12"/>
                <w:szCs w:val="24"/>
              </w:rPr>
              <w:t>28,487</w:t>
            </w:r>
          </w:p>
        </w:tc>
      </w:tr>
      <w:tr w:rsidR="003B7919" w:rsidRPr="0034283B" w:rsidTr="003A6935">
        <w:tc>
          <w:tcPr>
            <w:tcW w:w="1829" w:type="dxa"/>
            <w:tcBorders>
              <w:top w:val="single" w:sz="8" w:space="0" w:color="auto"/>
              <w:bottom w:val="single" w:sz="12" w:space="0" w:color="auto"/>
              <w:right w:val="single" w:sz="8" w:space="0" w:color="auto"/>
            </w:tcBorders>
            <w:shd w:val="clear" w:color="auto" w:fill="auto"/>
            <w:vAlign w:val="center"/>
          </w:tcPr>
          <w:p w:rsidR="003B7919" w:rsidRPr="0034283B" w:rsidRDefault="003B7919" w:rsidP="00974EB2">
            <w:pPr>
              <w:pStyle w:val="142"/>
              <w:spacing w:line="300" w:lineRule="exact"/>
              <w:jc w:val="center"/>
              <w:rPr>
                <w:rFonts w:hint="eastAsia"/>
                <w:snapToGrid/>
                <w:spacing w:val="-20"/>
                <w:szCs w:val="24"/>
              </w:rPr>
            </w:pPr>
            <w:r w:rsidRPr="0034283B">
              <w:rPr>
                <w:rFonts w:hint="eastAsia"/>
                <w:snapToGrid/>
                <w:spacing w:val="-20"/>
                <w:szCs w:val="24"/>
              </w:rPr>
              <w:t>113年1</w:t>
            </w:r>
            <w:r w:rsidRPr="0034283B">
              <w:rPr>
                <w:snapToGrid/>
                <w:spacing w:val="-20"/>
                <w:szCs w:val="24"/>
              </w:rPr>
              <w:t>-7</w:t>
            </w:r>
            <w:r w:rsidRPr="0034283B">
              <w:rPr>
                <w:rFonts w:hint="eastAsia"/>
                <w:snapToGrid/>
                <w:spacing w:val="-20"/>
                <w:szCs w:val="24"/>
              </w:rPr>
              <w:t>月</w:t>
            </w:r>
          </w:p>
        </w:tc>
        <w:tc>
          <w:tcPr>
            <w:tcW w:w="1559" w:type="dxa"/>
            <w:tcBorders>
              <w:top w:val="single" w:sz="8" w:space="0" w:color="auto"/>
              <w:left w:val="single" w:sz="8" w:space="0" w:color="auto"/>
              <w:bottom w:val="single" w:sz="12" w:space="0" w:color="auto"/>
              <w:right w:val="single" w:sz="8" w:space="0" w:color="auto"/>
            </w:tcBorders>
            <w:shd w:val="clear" w:color="auto" w:fill="auto"/>
            <w:vAlign w:val="center"/>
          </w:tcPr>
          <w:p w:rsidR="003B7919" w:rsidRPr="0034283B" w:rsidRDefault="008C7601" w:rsidP="00974EB2">
            <w:pPr>
              <w:pStyle w:val="142"/>
              <w:spacing w:line="300" w:lineRule="exact"/>
              <w:jc w:val="right"/>
              <w:rPr>
                <w:rFonts w:hint="eastAsia"/>
                <w:snapToGrid/>
                <w:spacing w:val="-12"/>
                <w:szCs w:val="24"/>
              </w:rPr>
            </w:pPr>
            <w:r>
              <w:rPr>
                <w:rFonts w:hint="eastAsia"/>
                <w:snapToGrid/>
                <w:spacing w:val="-12"/>
                <w:szCs w:val="24"/>
              </w:rPr>
              <w:t>8</w:t>
            </w:r>
            <w:r>
              <w:rPr>
                <w:snapToGrid/>
                <w:spacing w:val="-12"/>
                <w:szCs w:val="24"/>
              </w:rPr>
              <w:t>24,599</w:t>
            </w:r>
          </w:p>
        </w:tc>
        <w:tc>
          <w:tcPr>
            <w:tcW w:w="1560" w:type="dxa"/>
            <w:tcBorders>
              <w:top w:val="single" w:sz="8" w:space="0" w:color="auto"/>
              <w:left w:val="single" w:sz="8" w:space="0" w:color="auto"/>
              <w:bottom w:val="single" w:sz="12" w:space="0" w:color="auto"/>
              <w:right w:val="single" w:sz="8" w:space="0" w:color="auto"/>
            </w:tcBorders>
            <w:shd w:val="clear" w:color="auto" w:fill="auto"/>
            <w:vAlign w:val="center"/>
          </w:tcPr>
          <w:p w:rsidR="003B7919" w:rsidRPr="0034283B" w:rsidRDefault="003B7919" w:rsidP="00974EB2">
            <w:pPr>
              <w:pStyle w:val="142"/>
              <w:spacing w:line="300" w:lineRule="exact"/>
              <w:jc w:val="right"/>
              <w:rPr>
                <w:rFonts w:hint="eastAsia"/>
                <w:snapToGrid/>
                <w:spacing w:val="-12"/>
                <w:szCs w:val="24"/>
              </w:rPr>
            </w:pPr>
            <w:r w:rsidRPr="0034283B">
              <w:rPr>
                <w:rFonts w:hint="eastAsia"/>
                <w:snapToGrid/>
                <w:spacing w:val="-12"/>
                <w:szCs w:val="24"/>
              </w:rPr>
              <w:t>2</w:t>
            </w:r>
            <w:r w:rsidRPr="0034283B">
              <w:rPr>
                <w:snapToGrid/>
                <w:spacing w:val="-12"/>
                <w:szCs w:val="24"/>
              </w:rPr>
              <w:t>01,620</w:t>
            </w:r>
          </w:p>
        </w:tc>
        <w:tc>
          <w:tcPr>
            <w:tcW w:w="1701" w:type="dxa"/>
            <w:tcBorders>
              <w:top w:val="single" w:sz="8" w:space="0" w:color="auto"/>
              <w:left w:val="single" w:sz="8" w:space="0" w:color="auto"/>
              <w:bottom w:val="single" w:sz="12" w:space="0" w:color="auto"/>
              <w:right w:val="single" w:sz="8" w:space="0" w:color="auto"/>
            </w:tcBorders>
            <w:shd w:val="clear" w:color="auto" w:fill="auto"/>
            <w:vAlign w:val="center"/>
          </w:tcPr>
          <w:p w:rsidR="003B7919" w:rsidRPr="0034283B" w:rsidRDefault="003B7919" w:rsidP="00974EB2">
            <w:pPr>
              <w:pStyle w:val="142"/>
              <w:spacing w:line="300" w:lineRule="exact"/>
              <w:jc w:val="right"/>
              <w:rPr>
                <w:rFonts w:hint="eastAsia"/>
                <w:snapToGrid/>
                <w:spacing w:val="-12"/>
                <w:szCs w:val="24"/>
              </w:rPr>
            </w:pPr>
            <w:r w:rsidRPr="0034283B">
              <w:rPr>
                <w:rFonts w:hint="eastAsia"/>
                <w:snapToGrid/>
                <w:spacing w:val="-12"/>
                <w:szCs w:val="24"/>
              </w:rPr>
              <w:t>8</w:t>
            </w:r>
            <w:r w:rsidRPr="0034283B">
              <w:rPr>
                <w:snapToGrid/>
                <w:spacing w:val="-12"/>
                <w:szCs w:val="24"/>
              </w:rPr>
              <w:t>55,644</w:t>
            </w:r>
          </w:p>
        </w:tc>
        <w:tc>
          <w:tcPr>
            <w:tcW w:w="2016" w:type="dxa"/>
            <w:tcBorders>
              <w:top w:val="single" w:sz="8" w:space="0" w:color="auto"/>
              <w:left w:val="single" w:sz="8" w:space="0" w:color="auto"/>
              <w:bottom w:val="single" w:sz="12" w:space="0" w:color="auto"/>
            </w:tcBorders>
            <w:shd w:val="clear" w:color="auto" w:fill="auto"/>
            <w:vAlign w:val="center"/>
          </w:tcPr>
          <w:p w:rsidR="003B7919" w:rsidRPr="0034283B" w:rsidRDefault="003B7919" w:rsidP="00974EB2">
            <w:pPr>
              <w:pStyle w:val="142"/>
              <w:spacing w:line="300" w:lineRule="exact"/>
              <w:jc w:val="right"/>
              <w:rPr>
                <w:rFonts w:hint="eastAsia"/>
                <w:snapToGrid/>
                <w:spacing w:val="-12"/>
                <w:szCs w:val="24"/>
              </w:rPr>
            </w:pPr>
            <w:r w:rsidRPr="0034283B">
              <w:rPr>
                <w:rFonts w:hint="eastAsia"/>
                <w:snapToGrid/>
                <w:spacing w:val="-12"/>
                <w:szCs w:val="24"/>
              </w:rPr>
              <w:t>1</w:t>
            </w:r>
            <w:r w:rsidRPr="0034283B">
              <w:rPr>
                <w:snapToGrid/>
                <w:spacing w:val="-12"/>
                <w:szCs w:val="24"/>
              </w:rPr>
              <w:t>,101,020</w:t>
            </w:r>
          </w:p>
        </w:tc>
      </w:tr>
    </w:tbl>
    <w:p w:rsidR="00BD3057" w:rsidRPr="0034283B" w:rsidRDefault="00285D5A" w:rsidP="00BD3057">
      <w:pPr>
        <w:pStyle w:val="142"/>
        <w:ind w:left="1459" w:hangingChars="600" w:hanging="1459"/>
      </w:pPr>
      <w:r w:rsidRPr="0034283B">
        <w:rPr>
          <w:rFonts w:hint="eastAsia"/>
        </w:rPr>
        <w:t>說    明：</w:t>
      </w:r>
      <w:r w:rsidR="00BD3057" w:rsidRPr="0034283B">
        <w:rPr>
          <w:rFonts w:hint="eastAsia"/>
        </w:rPr>
        <w:t>1</w:t>
      </w:r>
      <w:r w:rsidR="00BD3057" w:rsidRPr="0034283B">
        <w:t>.</w:t>
      </w:r>
      <w:r w:rsidR="00BD3057" w:rsidRPr="0034283B">
        <w:rPr>
          <w:rFonts w:hint="eastAsia"/>
        </w:rPr>
        <w:t>本表1</w:t>
      </w:r>
      <w:r w:rsidR="00BD3057" w:rsidRPr="0034283B">
        <w:t>12</w:t>
      </w:r>
      <w:r w:rsidR="00BD3057" w:rsidRPr="0034283B">
        <w:rPr>
          <w:rFonts w:hint="eastAsia"/>
        </w:rPr>
        <w:t>年度以前為決算數，</w:t>
      </w:r>
      <w:r w:rsidR="00BD3057" w:rsidRPr="0034283B">
        <w:t>113</w:t>
      </w:r>
      <w:r w:rsidR="00BD3057" w:rsidRPr="0034283B">
        <w:rPr>
          <w:rFonts w:hint="eastAsia"/>
        </w:rPr>
        <w:t>年1至7月為實際數</w:t>
      </w:r>
      <w:r w:rsidR="009C300C">
        <w:rPr>
          <w:rFonts w:hint="eastAsia"/>
        </w:rPr>
        <w:t>。</w:t>
      </w:r>
    </w:p>
    <w:p w:rsidR="00285D5A" w:rsidRPr="0034283B" w:rsidRDefault="00BD3057" w:rsidP="00BD3057">
      <w:pPr>
        <w:pStyle w:val="142"/>
        <w:ind w:firstLineChars="500" w:firstLine="1216"/>
        <w:rPr>
          <w:snapToGrid/>
          <w:szCs w:val="24"/>
        </w:rPr>
      </w:pPr>
      <w:r w:rsidRPr="0034283B">
        <w:rPr>
          <w:rFonts w:hint="eastAsia"/>
          <w:snapToGrid/>
          <w:szCs w:val="24"/>
        </w:rPr>
        <w:t>2</w:t>
      </w:r>
      <w:r w:rsidRPr="0034283B">
        <w:rPr>
          <w:snapToGrid/>
          <w:szCs w:val="24"/>
        </w:rPr>
        <w:t>.</w:t>
      </w:r>
      <w:r w:rsidR="00285D5A" w:rsidRPr="0034283B">
        <w:rPr>
          <w:rFonts w:hint="eastAsia"/>
          <w:snapToGrid/>
          <w:szCs w:val="24"/>
        </w:rPr>
        <w:t>補充備轉110年尚無參與者。</w:t>
      </w:r>
    </w:p>
    <w:p w:rsidR="00285D5A" w:rsidRPr="0034283B" w:rsidRDefault="00285D5A" w:rsidP="00285D5A">
      <w:pPr>
        <w:pStyle w:val="142"/>
        <w:rPr>
          <w:rFonts w:hint="eastAsia"/>
        </w:rPr>
      </w:pPr>
      <w:r w:rsidRPr="0034283B">
        <w:rPr>
          <w:rFonts w:hint="eastAsia"/>
          <w:snapToGrid/>
          <w:szCs w:val="24"/>
        </w:rPr>
        <w:t>資料來源：台電公司提供。</w:t>
      </w:r>
    </w:p>
    <w:p w:rsidR="002432D9" w:rsidRPr="0034283B" w:rsidRDefault="002432D9" w:rsidP="002432D9">
      <w:pPr>
        <w:ind w:leftChars="9" w:left="564" w:hangingChars="190" w:hanging="539"/>
        <w:rPr>
          <w:b/>
          <w:spacing w:val="-6"/>
        </w:rPr>
      </w:pPr>
      <w:r w:rsidRPr="0034283B">
        <w:rPr>
          <w:rFonts w:hint="eastAsia"/>
          <w:b/>
        </w:rPr>
        <w:t>表2</w:t>
      </w:r>
      <w:r w:rsidRPr="0034283B">
        <w:rPr>
          <w:rFonts w:hint="eastAsia"/>
          <w:b/>
          <w:spacing w:val="-6"/>
        </w:rPr>
        <w:t xml:space="preserve"> 台電公司110至11</w:t>
      </w:r>
      <w:r w:rsidR="003A6935">
        <w:rPr>
          <w:b/>
          <w:spacing w:val="-6"/>
        </w:rPr>
        <w:t>3</w:t>
      </w:r>
      <w:r w:rsidRPr="0034283B">
        <w:rPr>
          <w:rFonts w:hint="eastAsia"/>
          <w:b/>
          <w:spacing w:val="-6"/>
        </w:rPr>
        <w:t>年</w:t>
      </w:r>
      <w:r w:rsidR="003A6935">
        <w:rPr>
          <w:rFonts w:hint="eastAsia"/>
          <w:b/>
          <w:spacing w:val="-6"/>
        </w:rPr>
        <w:t>7月底</w:t>
      </w:r>
      <w:r w:rsidRPr="0034283B">
        <w:rPr>
          <w:rFonts w:hint="eastAsia"/>
          <w:b/>
          <w:spacing w:val="-6"/>
        </w:rPr>
        <w:t>購入輔助服務容量費平均價格表</w:t>
      </w:r>
    </w:p>
    <w:p w:rsidR="002432D9" w:rsidRPr="0034283B" w:rsidRDefault="002432D9" w:rsidP="002432D9">
      <w:pPr>
        <w:ind w:leftChars="9" w:left="541" w:hangingChars="190" w:hanging="516"/>
        <w:jc w:val="right"/>
        <w:rPr>
          <w:rFonts w:hint="eastAsia"/>
          <w:b/>
        </w:rPr>
      </w:pPr>
      <w:r w:rsidRPr="0034283B">
        <w:rPr>
          <w:rFonts w:hint="eastAsia"/>
          <w:b/>
          <w:spacing w:val="-6"/>
        </w:rPr>
        <w:t xml:space="preserve">  </w:t>
      </w:r>
      <w:r w:rsidRPr="0034283B">
        <w:rPr>
          <w:rFonts w:hint="eastAsia"/>
          <w:spacing w:val="-6"/>
          <w:sz w:val="24"/>
          <w:szCs w:val="24"/>
        </w:rPr>
        <w:t>單位：新臺幣元/每度</w:t>
      </w:r>
    </w:p>
    <w:tbl>
      <w:tblPr>
        <w:tblW w:w="849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14"/>
        <w:gridCol w:w="1550"/>
        <w:gridCol w:w="1622"/>
        <w:gridCol w:w="1684"/>
        <w:gridCol w:w="1821"/>
      </w:tblGrid>
      <w:tr w:rsidR="002432D9" w:rsidRPr="0034283B" w:rsidTr="00DA4D2A">
        <w:trPr>
          <w:tblHeader/>
        </w:trPr>
        <w:tc>
          <w:tcPr>
            <w:tcW w:w="1814" w:type="dxa"/>
            <w:shd w:val="clear" w:color="auto" w:fill="auto"/>
            <w:vAlign w:val="center"/>
          </w:tcPr>
          <w:p w:rsidR="002432D9" w:rsidRPr="0034283B" w:rsidRDefault="002432D9" w:rsidP="002432D9">
            <w:pPr>
              <w:pStyle w:val="142"/>
              <w:spacing w:line="340" w:lineRule="exact"/>
              <w:jc w:val="center"/>
              <w:rPr>
                <w:b/>
                <w:snapToGrid/>
                <w:szCs w:val="24"/>
              </w:rPr>
            </w:pPr>
            <w:r w:rsidRPr="0034283B">
              <w:rPr>
                <w:rFonts w:hint="eastAsia"/>
                <w:b/>
                <w:snapToGrid/>
                <w:szCs w:val="24"/>
              </w:rPr>
              <w:t>年度</w:t>
            </w:r>
          </w:p>
        </w:tc>
        <w:tc>
          <w:tcPr>
            <w:tcW w:w="1550" w:type="dxa"/>
            <w:shd w:val="clear" w:color="auto" w:fill="auto"/>
            <w:vAlign w:val="center"/>
          </w:tcPr>
          <w:p w:rsidR="002432D9" w:rsidRPr="003A6935" w:rsidRDefault="002432D9" w:rsidP="003A6935">
            <w:pPr>
              <w:pStyle w:val="142"/>
              <w:jc w:val="center"/>
              <w:rPr>
                <w:rFonts w:hint="eastAsia"/>
                <w:b/>
                <w:snapToGrid/>
                <w:szCs w:val="24"/>
              </w:rPr>
            </w:pPr>
            <w:r w:rsidRPr="003A6935">
              <w:rPr>
                <w:rFonts w:hint="eastAsia"/>
                <w:b/>
                <w:snapToGrid/>
                <w:szCs w:val="24"/>
              </w:rPr>
              <w:t>調頻備轉</w:t>
            </w:r>
          </w:p>
        </w:tc>
        <w:tc>
          <w:tcPr>
            <w:tcW w:w="1622" w:type="dxa"/>
            <w:shd w:val="clear" w:color="auto" w:fill="auto"/>
            <w:vAlign w:val="center"/>
          </w:tcPr>
          <w:p w:rsidR="002432D9" w:rsidRPr="003A6935" w:rsidRDefault="002432D9" w:rsidP="003A6935">
            <w:pPr>
              <w:pStyle w:val="142"/>
              <w:jc w:val="center"/>
              <w:rPr>
                <w:b/>
                <w:snapToGrid/>
                <w:szCs w:val="24"/>
              </w:rPr>
            </w:pPr>
            <w:r w:rsidRPr="003A6935">
              <w:rPr>
                <w:rFonts w:hint="eastAsia"/>
                <w:b/>
                <w:snapToGrid/>
                <w:szCs w:val="24"/>
              </w:rPr>
              <w:t>即時備轉</w:t>
            </w:r>
          </w:p>
        </w:tc>
        <w:tc>
          <w:tcPr>
            <w:tcW w:w="1684" w:type="dxa"/>
            <w:shd w:val="clear" w:color="auto" w:fill="auto"/>
            <w:vAlign w:val="center"/>
          </w:tcPr>
          <w:p w:rsidR="002432D9" w:rsidRPr="003A6935" w:rsidRDefault="002432D9" w:rsidP="003A6935">
            <w:pPr>
              <w:pStyle w:val="142"/>
              <w:jc w:val="center"/>
              <w:rPr>
                <w:b/>
                <w:snapToGrid/>
                <w:szCs w:val="24"/>
              </w:rPr>
            </w:pPr>
            <w:r w:rsidRPr="003A6935">
              <w:rPr>
                <w:rFonts w:hint="eastAsia"/>
                <w:b/>
                <w:snapToGrid/>
                <w:szCs w:val="24"/>
              </w:rPr>
              <w:t>補充備轉</w:t>
            </w:r>
          </w:p>
        </w:tc>
        <w:tc>
          <w:tcPr>
            <w:tcW w:w="1821" w:type="dxa"/>
            <w:shd w:val="clear" w:color="auto" w:fill="auto"/>
            <w:vAlign w:val="center"/>
          </w:tcPr>
          <w:p w:rsidR="002432D9" w:rsidRPr="003A6935" w:rsidRDefault="002432D9" w:rsidP="003A6935">
            <w:pPr>
              <w:pStyle w:val="142"/>
              <w:jc w:val="center"/>
              <w:rPr>
                <w:rFonts w:hint="eastAsia"/>
                <w:b/>
                <w:snapToGrid/>
                <w:szCs w:val="24"/>
              </w:rPr>
            </w:pPr>
            <w:r w:rsidRPr="003A6935">
              <w:rPr>
                <w:rFonts w:hint="eastAsia"/>
                <w:b/>
                <w:snapToGrid/>
                <w:szCs w:val="24"/>
              </w:rPr>
              <w:t>E-dReg</w:t>
            </w:r>
          </w:p>
        </w:tc>
      </w:tr>
      <w:tr w:rsidR="002432D9" w:rsidRPr="0034283B" w:rsidTr="00DA4D2A">
        <w:tc>
          <w:tcPr>
            <w:tcW w:w="1814" w:type="dxa"/>
            <w:shd w:val="clear" w:color="auto" w:fill="auto"/>
            <w:vAlign w:val="center"/>
          </w:tcPr>
          <w:p w:rsidR="002432D9" w:rsidRPr="0034283B" w:rsidRDefault="002432D9" w:rsidP="002432D9">
            <w:pPr>
              <w:pStyle w:val="142"/>
              <w:spacing w:line="340" w:lineRule="exact"/>
              <w:jc w:val="center"/>
              <w:rPr>
                <w:snapToGrid/>
                <w:spacing w:val="-20"/>
                <w:szCs w:val="24"/>
              </w:rPr>
            </w:pPr>
            <w:r w:rsidRPr="0034283B">
              <w:rPr>
                <w:rFonts w:hint="eastAsia"/>
                <w:snapToGrid/>
                <w:spacing w:val="-20"/>
                <w:szCs w:val="24"/>
              </w:rPr>
              <w:t>1</w:t>
            </w:r>
            <w:r w:rsidRPr="0034283B">
              <w:rPr>
                <w:snapToGrid/>
                <w:spacing w:val="-20"/>
                <w:szCs w:val="24"/>
              </w:rPr>
              <w:t>10</w:t>
            </w:r>
            <w:r w:rsidRPr="0034283B">
              <w:rPr>
                <w:rFonts w:hint="eastAsia"/>
                <w:snapToGrid/>
                <w:spacing w:val="-20"/>
                <w:szCs w:val="24"/>
              </w:rPr>
              <w:t>年度</w:t>
            </w:r>
          </w:p>
        </w:tc>
        <w:tc>
          <w:tcPr>
            <w:tcW w:w="1550" w:type="dxa"/>
            <w:shd w:val="clear" w:color="auto" w:fill="auto"/>
            <w:vAlign w:val="center"/>
          </w:tcPr>
          <w:p w:rsidR="002432D9" w:rsidRPr="003A6935" w:rsidRDefault="002432D9" w:rsidP="003A6935">
            <w:pPr>
              <w:pStyle w:val="142"/>
              <w:jc w:val="right"/>
              <w:rPr>
                <w:rFonts w:hint="eastAsia"/>
                <w:snapToGrid/>
                <w:spacing w:val="-12"/>
                <w:szCs w:val="24"/>
              </w:rPr>
            </w:pPr>
            <w:r w:rsidRPr="003A6935">
              <w:rPr>
                <w:rFonts w:hint="eastAsia"/>
                <w:snapToGrid/>
                <w:spacing w:val="-12"/>
                <w:szCs w:val="24"/>
              </w:rPr>
              <w:t>0.5760</w:t>
            </w:r>
          </w:p>
        </w:tc>
        <w:tc>
          <w:tcPr>
            <w:tcW w:w="1622" w:type="dxa"/>
            <w:shd w:val="clear" w:color="auto" w:fill="auto"/>
          </w:tcPr>
          <w:p w:rsidR="002432D9" w:rsidRPr="003A6935" w:rsidRDefault="002432D9" w:rsidP="003A6935">
            <w:pPr>
              <w:pStyle w:val="142"/>
              <w:jc w:val="right"/>
              <w:rPr>
                <w:snapToGrid/>
                <w:spacing w:val="-12"/>
                <w:szCs w:val="24"/>
              </w:rPr>
            </w:pPr>
            <w:r w:rsidRPr="003A6935">
              <w:rPr>
                <w:snapToGrid/>
                <w:spacing w:val="-12"/>
                <w:szCs w:val="24"/>
              </w:rPr>
              <w:t>0.3990</w:t>
            </w:r>
          </w:p>
        </w:tc>
        <w:tc>
          <w:tcPr>
            <w:tcW w:w="1684" w:type="dxa"/>
            <w:shd w:val="clear" w:color="auto" w:fill="auto"/>
            <w:vAlign w:val="center"/>
          </w:tcPr>
          <w:p w:rsidR="002432D9" w:rsidRPr="003A6935" w:rsidRDefault="002432D9" w:rsidP="003A6935">
            <w:pPr>
              <w:pStyle w:val="142"/>
              <w:jc w:val="right"/>
              <w:rPr>
                <w:rFonts w:hint="eastAsia"/>
                <w:snapToGrid/>
                <w:spacing w:val="-12"/>
                <w:szCs w:val="24"/>
              </w:rPr>
            </w:pPr>
            <w:r w:rsidRPr="003A6935">
              <w:rPr>
                <w:rFonts w:hint="eastAsia"/>
                <w:snapToGrid/>
                <w:spacing w:val="-12"/>
                <w:szCs w:val="24"/>
              </w:rPr>
              <w:t>0.3500</w:t>
            </w:r>
          </w:p>
        </w:tc>
        <w:tc>
          <w:tcPr>
            <w:tcW w:w="1821" w:type="dxa"/>
            <w:shd w:val="clear" w:color="auto" w:fill="auto"/>
            <w:vAlign w:val="center"/>
          </w:tcPr>
          <w:p w:rsidR="002432D9" w:rsidRPr="003A6935" w:rsidRDefault="002432D9" w:rsidP="003A6935">
            <w:pPr>
              <w:pStyle w:val="142"/>
              <w:jc w:val="right"/>
              <w:rPr>
                <w:rFonts w:hint="eastAsia"/>
                <w:snapToGrid/>
                <w:spacing w:val="-12"/>
                <w:szCs w:val="24"/>
              </w:rPr>
            </w:pPr>
            <w:r w:rsidRPr="003A6935">
              <w:rPr>
                <w:rFonts w:hint="eastAsia"/>
                <w:snapToGrid/>
                <w:spacing w:val="-12"/>
                <w:szCs w:val="24"/>
              </w:rPr>
              <w:t>-</w:t>
            </w:r>
          </w:p>
        </w:tc>
      </w:tr>
      <w:tr w:rsidR="002432D9" w:rsidRPr="0034283B" w:rsidTr="00DA4D2A">
        <w:tc>
          <w:tcPr>
            <w:tcW w:w="1814" w:type="dxa"/>
            <w:shd w:val="clear" w:color="auto" w:fill="auto"/>
            <w:vAlign w:val="center"/>
          </w:tcPr>
          <w:p w:rsidR="002432D9" w:rsidRPr="0034283B" w:rsidRDefault="002432D9" w:rsidP="002432D9">
            <w:pPr>
              <w:pStyle w:val="142"/>
              <w:spacing w:line="340" w:lineRule="exact"/>
              <w:jc w:val="center"/>
              <w:rPr>
                <w:snapToGrid/>
                <w:spacing w:val="-20"/>
                <w:szCs w:val="24"/>
              </w:rPr>
            </w:pPr>
            <w:r w:rsidRPr="0034283B">
              <w:rPr>
                <w:rFonts w:hint="eastAsia"/>
                <w:snapToGrid/>
                <w:spacing w:val="-20"/>
                <w:szCs w:val="24"/>
              </w:rPr>
              <w:t>1</w:t>
            </w:r>
            <w:r w:rsidRPr="0034283B">
              <w:rPr>
                <w:snapToGrid/>
                <w:spacing w:val="-20"/>
                <w:szCs w:val="24"/>
              </w:rPr>
              <w:t>11</w:t>
            </w:r>
            <w:r w:rsidRPr="0034283B">
              <w:rPr>
                <w:rFonts w:hint="eastAsia"/>
                <w:snapToGrid/>
                <w:spacing w:val="-20"/>
                <w:szCs w:val="24"/>
              </w:rPr>
              <w:t>年度</w:t>
            </w:r>
          </w:p>
        </w:tc>
        <w:tc>
          <w:tcPr>
            <w:tcW w:w="1550" w:type="dxa"/>
            <w:shd w:val="clear" w:color="auto" w:fill="auto"/>
            <w:vAlign w:val="center"/>
          </w:tcPr>
          <w:p w:rsidR="002432D9" w:rsidRPr="003A6935" w:rsidRDefault="002432D9" w:rsidP="003A6935">
            <w:pPr>
              <w:pStyle w:val="142"/>
              <w:jc w:val="right"/>
              <w:rPr>
                <w:rFonts w:hint="eastAsia"/>
                <w:snapToGrid/>
                <w:spacing w:val="-12"/>
                <w:szCs w:val="24"/>
              </w:rPr>
            </w:pPr>
            <w:r w:rsidRPr="003A6935">
              <w:rPr>
                <w:rFonts w:hint="eastAsia"/>
                <w:snapToGrid/>
                <w:spacing w:val="-12"/>
                <w:szCs w:val="24"/>
              </w:rPr>
              <w:t>0.5970</w:t>
            </w:r>
          </w:p>
        </w:tc>
        <w:tc>
          <w:tcPr>
            <w:tcW w:w="1622" w:type="dxa"/>
            <w:shd w:val="clear" w:color="auto" w:fill="auto"/>
          </w:tcPr>
          <w:p w:rsidR="002432D9" w:rsidRPr="003A6935" w:rsidRDefault="002432D9" w:rsidP="003A6935">
            <w:pPr>
              <w:pStyle w:val="142"/>
              <w:jc w:val="right"/>
              <w:rPr>
                <w:snapToGrid/>
                <w:spacing w:val="-12"/>
                <w:szCs w:val="24"/>
              </w:rPr>
            </w:pPr>
            <w:r w:rsidRPr="003A6935">
              <w:rPr>
                <w:snapToGrid/>
                <w:spacing w:val="-12"/>
                <w:szCs w:val="24"/>
              </w:rPr>
              <w:t>0.3860</w:t>
            </w:r>
          </w:p>
        </w:tc>
        <w:tc>
          <w:tcPr>
            <w:tcW w:w="1684" w:type="dxa"/>
            <w:shd w:val="clear" w:color="auto" w:fill="auto"/>
            <w:vAlign w:val="center"/>
          </w:tcPr>
          <w:p w:rsidR="002432D9" w:rsidRPr="003A6935" w:rsidRDefault="002432D9" w:rsidP="003A6935">
            <w:pPr>
              <w:pStyle w:val="142"/>
              <w:jc w:val="right"/>
              <w:rPr>
                <w:rFonts w:hint="eastAsia"/>
                <w:snapToGrid/>
                <w:spacing w:val="-12"/>
                <w:szCs w:val="24"/>
              </w:rPr>
            </w:pPr>
            <w:r w:rsidRPr="003A6935">
              <w:rPr>
                <w:rFonts w:hint="eastAsia"/>
                <w:snapToGrid/>
                <w:spacing w:val="-12"/>
                <w:szCs w:val="24"/>
              </w:rPr>
              <w:t>0.3100</w:t>
            </w:r>
          </w:p>
        </w:tc>
        <w:tc>
          <w:tcPr>
            <w:tcW w:w="1821" w:type="dxa"/>
            <w:shd w:val="clear" w:color="auto" w:fill="auto"/>
            <w:vAlign w:val="center"/>
          </w:tcPr>
          <w:p w:rsidR="002432D9" w:rsidRPr="003A6935" w:rsidRDefault="002432D9" w:rsidP="003A6935">
            <w:pPr>
              <w:pStyle w:val="142"/>
              <w:jc w:val="right"/>
              <w:rPr>
                <w:rFonts w:hint="eastAsia"/>
                <w:snapToGrid/>
                <w:spacing w:val="-12"/>
                <w:szCs w:val="24"/>
              </w:rPr>
            </w:pPr>
            <w:r w:rsidRPr="003A6935">
              <w:rPr>
                <w:rFonts w:hint="eastAsia"/>
                <w:snapToGrid/>
                <w:spacing w:val="-12"/>
                <w:szCs w:val="24"/>
              </w:rPr>
              <w:t>-</w:t>
            </w:r>
          </w:p>
        </w:tc>
      </w:tr>
      <w:tr w:rsidR="002432D9" w:rsidRPr="0034283B" w:rsidTr="00DA4D2A">
        <w:tc>
          <w:tcPr>
            <w:tcW w:w="1814" w:type="dxa"/>
            <w:shd w:val="clear" w:color="auto" w:fill="auto"/>
            <w:vAlign w:val="center"/>
          </w:tcPr>
          <w:p w:rsidR="002432D9" w:rsidRPr="0034283B" w:rsidRDefault="002432D9" w:rsidP="002432D9">
            <w:pPr>
              <w:pStyle w:val="142"/>
              <w:spacing w:line="340" w:lineRule="exact"/>
              <w:jc w:val="center"/>
              <w:rPr>
                <w:snapToGrid/>
                <w:spacing w:val="-20"/>
                <w:szCs w:val="24"/>
              </w:rPr>
            </w:pPr>
            <w:r w:rsidRPr="0034283B">
              <w:rPr>
                <w:rFonts w:hint="eastAsia"/>
                <w:snapToGrid/>
                <w:spacing w:val="-20"/>
                <w:szCs w:val="24"/>
              </w:rPr>
              <w:t>1</w:t>
            </w:r>
            <w:r w:rsidRPr="0034283B">
              <w:rPr>
                <w:snapToGrid/>
                <w:spacing w:val="-20"/>
                <w:szCs w:val="24"/>
              </w:rPr>
              <w:t>12</w:t>
            </w:r>
            <w:r w:rsidRPr="0034283B">
              <w:rPr>
                <w:rFonts w:hint="eastAsia"/>
                <w:snapToGrid/>
                <w:spacing w:val="-20"/>
                <w:szCs w:val="24"/>
              </w:rPr>
              <w:t>年度</w:t>
            </w:r>
          </w:p>
        </w:tc>
        <w:tc>
          <w:tcPr>
            <w:tcW w:w="1550" w:type="dxa"/>
            <w:shd w:val="clear" w:color="auto" w:fill="auto"/>
            <w:vAlign w:val="center"/>
          </w:tcPr>
          <w:p w:rsidR="002432D9" w:rsidRPr="003A6935" w:rsidRDefault="002432D9" w:rsidP="003A6935">
            <w:pPr>
              <w:pStyle w:val="142"/>
              <w:jc w:val="right"/>
              <w:rPr>
                <w:rFonts w:hint="eastAsia"/>
                <w:snapToGrid/>
                <w:spacing w:val="-12"/>
                <w:szCs w:val="24"/>
              </w:rPr>
            </w:pPr>
            <w:r w:rsidRPr="003A6935">
              <w:rPr>
                <w:rFonts w:hint="eastAsia"/>
                <w:snapToGrid/>
                <w:spacing w:val="-12"/>
                <w:szCs w:val="24"/>
              </w:rPr>
              <w:t>0.4770</w:t>
            </w:r>
          </w:p>
        </w:tc>
        <w:tc>
          <w:tcPr>
            <w:tcW w:w="1622" w:type="dxa"/>
            <w:shd w:val="clear" w:color="auto" w:fill="auto"/>
          </w:tcPr>
          <w:p w:rsidR="002432D9" w:rsidRPr="003A6935" w:rsidRDefault="002432D9" w:rsidP="003A6935">
            <w:pPr>
              <w:pStyle w:val="142"/>
              <w:jc w:val="right"/>
              <w:rPr>
                <w:snapToGrid/>
                <w:spacing w:val="-12"/>
                <w:szCs w:val="24"/>
              </w:rPr>
            </w:pPr>
            <w:r w:rsidRPr="003A6935">
              <w:rPr>
                <w:snapToGrid/>
                <w:spacing w:val="-12"/>
                <w:szCs w:val="24"/>
              </w:rPr>
              <w:t>0.2960</w:t>
            </w:r>
          </w:p>
        </w:tc>
        <w:tc>
          <w:tcPr>
            <w:tcW w:w="1684" w:type="dxa"/>
            <w:shd w:val="clear" w:color="auto" w:fill="auto"/>
            <w:vAlign w:val="center"/>
          </w:tcPr>
          <w:p w:rsidR="002432D9" w:rsidRPr="003A6935" w:rsidRDefault="002432D9" w:rsidP="003A6935">
            <w:pPr>
              <w:pStyle w:val="142"/>
              <w:jc w:val="right"/>
              <w:rPr>
                <w:rFonts w:hint="eastAsia"/>
                <w:snapToGrid/>
                <w:spacing w:val="-12"/>
                <w:szCs w:val="24"/>
              </w:rPr>
            </w:pPr>
            <w:r w:rsidRPr="003A6935">
              <w:rPr>
                <w:rFonts w:hint="eastAsia"/>
                <w:snapToGrid/>
                <w:spacing w:val="-12"/>
                <w:szCs w:val="24"/>
              </w:rPr>
              <w:t>0.2610</w:t>
            </w:r>
          </w:p>
        </w:tc>
        <w:tc>
          <w:tcPr>
            <w:tcW w:w="1821" w:type="dxa"/>
            <w:shd w:val="clear" w:color="auto" w:fill="auto"/>
          </w:tcPr>
          <w:p w:rsidR="002432D9" w:rsidRPr="003A6935" w:rsidRDefault="002432D9" w:rsidP="003A6935">
            <w:pPr>
              <w:pStyle w:val="142"/>
              <w:jc w:val="right"/>
              <w:rPr>
                <w:rFonts w:hint="eastAsia"/>
                <w:snapToGrid/>
                <w:spacing w:val="-12"/>
                <w:szCs w:val="24"/>
              </w:rPr>
            </w:pPr>
            <w:r w:rsidRPr="003A6935">
              <w:rPr>
                <w:rFonts w:hint="eastAsia"/>
                <w:snapToGrid/>
                <w:spacing w:val="-12"/>
                <w:szCs w:val="24"/>
              </w:rPr>
              <w:t>0.6000</w:t>
            </w:r>
          </w:p>
        </w:tc>
      </w:tr>
      <w:tr w:rsidR="002432D9" w:rsidRPr="0034283B" w:rsidTr="00DA4D2A">
        <w:tc>
          <w:tcPr>
            <w:tcW w:w="1814" w:type="dxa"/>
            <w:shd w:val="clear" w:color="auto" w:fill="auto"/>
            <w:vAlign w:val="center"/>
          </w:tcPr>
          <w:p w:rsidR="002432D9" w:rsidRPr="0034283B" w:rsidRDefault="002432D9" w:rsidP="002432D9">
            <w:pPr>
              <w:pStyle w:val="142"/>
              <w:spacing w:line="340" w:lineRule="exact"/>
              <w:jc w:val="center"/>
              <w:rPr>
                <w:rFonts w:hint="eastAsia"/>
                <w:snapToGrid/>
                <w:spacing w:val="-20"/>
                <w:szCs w:val="24"/>
              </w:rPr>
            </w:pPr>
            <w:r w:rsidRPr="0034283B">
              <w:rPr>
                <w:rFonts w:hint="eastAsia"/>
                <w:snapToGrid/>
                <w:spacing w:val="-20"/>
                <w:szCs w:val="24"/>
              </w:rPr>
              <w:t>113年1</w:t>
            </w:r>
            <w:r w:rsidRPr="0034283B">
              <w:rPr>
                <w:snapToGrid/>
                <w:spacing w:val="-20"/>
                <w:szCs w:val="24"/>
              </w:rPr>
              <w:t>-7</w:t>
            </w:r>
            <w:r w:rsidRPr="0034283B">
              <w:rPr>
                <w:rFonts w:hint="eastAsia"/>
                <w:snapToGrid/>
                <w:spacing w:val="-20"/>
                <w:szCs w:val="24"/>
              </w:rPr>
              <w:t>月</w:t>
            </w:r>
          </w:p>
        </w:tc>
        <w:tc>
          <w:tcPr>
            <w:tcW w:w="1550" w:type="dxa"/>
            <w:shd w:val="clear" w:color="auto" w:fill="auto"/>
            <w:vAlign w:val="center"/>
          </w:tcPr>
          <w:p w:rsidR="002432D9" w:rsidRPr="003A6935" w:rsidRDefault="002432D9" w:rsidP="003A6935">
            <w:pPr>
              <w:pStyle w:val="142"/>
              <w:jc w:val="right"/>
              <w:rPr>
                <w:rFonts w:hint="eastAsia"/>
                <w:snapToGrid/>
                <w:spacing w:val="-12"/>
                <w:szCs w:val="24"/>
              </w:rPr>
            </w:pPr>
            <w:r w:rsidRPr="003A6935">
              <w:rPr>
                <w:rFonts w:hint="eastAsia"/>
                <w:snapToGrid/>
                <w:spacing w:val="-12"/>
                <w:szCs w:val="24"/>
              </w:rPr>
              <w:t>0.0320</w:t>
            </w:r>
          </w:p>
        </w:tc>
        <w:tc>
          <w:tcPr>
            <w:tcW w:w="1622" w:type="dxa"/>
            <w:shd w:val="clear" w:color="auto" w:fill="auto"/>
          </w:tcPr>
          <w:p w:rsidR="002432D9" w:rsidRPr="003A6935" w:rsidRDefault="002432D9" w:rsidP="003A6935">
            <w:pPr>
              <w:pStyle w:val="142"/>
              <w:jc w:val="right"/>
              <w:rPr>
                <w:snapToGrid/>
                <w:spacing w:val="-12"/>
                <w:szCs w:val="24"/>
              </w:rPr>
            </w:pPr>
            <w:r w:rsidRPr="003A6935">
              <w:rPr>
                <w:snapToGrid/>
                <w:spacing w:val="-12"/>
                <w:szCs w:val="24"/>
              </w:rPr>
              <w:t>0.2330</w:t>
            </w:r>
          </w:p>
        </w:tc>
        <w:tc>
          <w:tcPr>
            <w:tcW w:w="1684" w:type="dxa"/>
            <w:shd w:val="clear" w:color="auto" w:fill="auto"/>
            <w:vAlign w:val="center"/>
          </w:tcPr>
          <w:p w:rsidR="002432D9" w:rsidRPr="003A6935" w:rsidRDefault="002432D9" w:rsidP="003A6935">
            <w:pPr>
              <w:pStyle w:val="142"/>
              <w:jc w:val="right"/>
              <w:rPr>
                <w:rFonts w:hint="eastAsia"/>
                <w:snapToGrid/>
                <w:spacing w:val="-12"/>
                <w:szCs w:val="24"/>
              </w:rPr>
            </w:pPr>
            <w:r w:rsidRPr="003A6935">
              <w:rPr>
                <w:rFonts w:hint="eastAsia"/>
                <w:snapToGrid/>
                <w:spacing w:val="-12"/>
                <w:szCs w:val="24"/>
              </w:rPr>
              <w:t>0.2240</w:t>
            </w:r>
          </w:p>
        </w:tc>
        <w:tc>
          <w:tcPr>
            <w:tcW w:w="1821" w:type="dxa"/>
            <w:shd w:val="clear" w:color="auto" w:fill="auto"/>
            <w:vAlign w:val="center"/>
          </w:tcPr>
          <w:p w:rsidR="002432D9" w:rsidRPr="003A6935" w:rsidRDefault="002432D9" w:rsidP="003A6935">
            <w:pPr>
              <w:pStyle w:val="142"/>
              <w:jc w:val="right"/>
              <w:rPr>
                <w:rFonts w:hint="eastAsia"/>
                <w:snapToGrid/>
                <w:spacing w:val="-12"/>
                <w:szCs w:val="24"/>
              </w:rPr>
            </w:pPr>
            <w:r w:rsidRPr="003A6935">
              <w:rPr>
                <w:rFonts w:hint="eastAsia"/>
                <w:snapToGrid/>
                <w:spacing w:val="-12"/>
                <w:szCs w:val="24"/>
              </w:rPr>
              <w:t>0.5900</w:t>
            </w:r>
          </w:p>
        </w:tc>
      </w:tr>
    </w:tbl>
    <w:p w:rsidR="002432D9" w:rsidRDefault="002432D9" w:rsidP="002432D9">
      <w:pPr>
        <w:pStyle w:val="142"/>
        <w:rPr>
          <w:snapToGrid/>
          <w:szCs w:val="24"/>
        </w:rPr>
      </w:pPr>
      <w:r w:rsidRPr="0034283B">
        <w:rPr>
          <w:rFonts w:hint="eastAsia"/>
          <w:snapToGrid/>
          <w:szCs w:val="24"/>
        </w:rPr>
        <w:t>資料來源：台電公司提供。</w:t>
      </w:r>
    </w:p>
    <w:p w:rsidR="00285D5A" w:rsidRPr="0034283B" w:rsidRDefault="00285D5A" w:rsidP="00285D5A">
      <w:pPr>
        <w:ind w:leftChars="0" w:left="567" w:hangingChars="200" w:hanging="567"/>
        <w:rPr>
          <w:b/>
        </w:rPr>
      </w:pPr>
      <w:r w:rsidRPr="0034283B">
        <w:rPr>
          <w:rFonts w:hint="eastAsia"/>
          <w:b/>
        </w:rPr>
        <w:t>表</w:t>
      </w:r>
      <w:r w:rsidR="002432D9" w:rsidRPr="0034283B">
        <w:rPr>
          <w:rFonts w:hint="eastAsia"/>
          <w:b/>
        </w:rPr>
        <w:t>3</w:t>
      </w:r>
      <w:r w:rsidRPr="0034283B">
        <w:rPr>
          <w:rFonts w:hint="eastAsia"/>
          <w:b/>
        </w:rPr>
        <w:t xml:space="preserve"> 台電公司電力交易平台日前輔助服務市場價格上限一覽表</w:t>
      </w:r>
    </w:p>
    <w:p w:rsidR="00285D5A" w:rsidRPr="0034283B" w:rsidRDefault="00285D5A" w:rsidP="00285D5A">
      <w:pPr>
        <w:spacing w:line="280" w:lineRule="exact"/>
        <w:ind w:leftChars="0" w:left="486" w:hangingChars="200" w:hanging="486"/>
        <w:jc w:val="right"/>
        <w:rPr>
          <w:rFonts w:hint="eastAsia"/>
          <w:sz w:val="24"/>
          <w:szCs w:val="24"/>
        </w:rPr>
      </w:pPr>
      <w:r w:rsidRPr="0034283B">
        <w:rPr>
          <w:rFonts w:hint="eastAsia"/>
          <w:sz w:val="24"/>
          <w:szCs w:val="24"/>
        </w:rPr>
        <w:t>單位：新臺幣元/每度</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1219"/>
        <w:gridCol w:w="1890"/>
        <w:gridCol w:w="1274"/>
        <w:gridCol w:w="1203"/>
        <w:gridCol w:w="1946"/>
      </w:tblGrid>
      <w:tr w:rsidR="00285D5A" w:rsidRPr="0034283B" w:rsidTr="006D6D51">
        <w:tc>
          <w:tcPr>
            <w:tcW w:w="993" w:type="dxa"/>
            <w:vMerge w:val="restart"/>
            <w:shd w:val="clear" w:color="auto" w:fill="auto"/>
            <w:vAlign w:val="center"/>
          </w:tcPr>
          <w:p w:rsidR="00285D5A" w:rsidRPr="0034283B" w:rsidRDefault="00285D5A" w:rsidP="006D6D51">
            <w:pPr>
              <w:pStyle w:val="142"/>
              <w:jc w:val="center"/>
            </w:pPr>
            <w:r w:rsidRPr="0034283B">
              <w:rPr>
                <w:rFonts w:hint="eastAsia"/>
              </w:rPr>
              <w:t>年度</w:t>
            </w:r>
          </w:p>
        </w:tc>
        <w:tc>
          <w:tcPr>
            <w:tcW w:w="5586" w:type="dxa"/>
            <w:gridSpan w:val="4"/>
            <w:shd w:val="clear" w:color="auto" w:fill="auto"/>
            <w:vAlign w:val="center"/>
          </w:tcPr>
          <w:p w:rsidR="00285D5A" w:rsidRPr="0034283B" w:rsidRDefault="00285D5A" w:rsidP="006D6D51">
            <w:pPr>
              <w:pStyle w:val="142"/>
              <w:jc w:val="center"/>
              <w:rPr>
                <w:b/>
              </w:rPr>
            </w:pPr>
            <w:r w:rsidRPr="0034283B">
              <w:rPr>
                <w:rFonts w:hint="eastAsia"/>
                <w:b/>
              </w:rPr>
              <w:t>容量費價格上限</w:t>
            </w:r>
          </w:p>
        </w:tc>
        <w:tc>
          <w:tcPr>
            <w:tcW w:w="1946" w:type="dxa"/>
            <w:shd w:val="clear" w:color="auto" w:fill="auto"/>
            <w:vAlign w:val="center"/>
          </w:tcPr>
          <w:p w:rsidR="00285D5A" w:rsidRPr="0034283B" w:rsidRDefault="00285D5A" w:rsidP="006D6D51">
            <w:pPr>
              <w:pStyle w:val="142"/>
              <w:jc w:val="center"/>
              <w:rPr>
                <w:b/>
              </w:rPr>
            </w:pPr>
            <w:r w:rsidRPr="0034283B">
              <w:rPr>
                <w:rFonts w:hint="eastAsia"/>
                <w:b/>
              </w:rPr>
              <w:t>電能費價格上限</w:t>
            </w:r>
          </w:p>
        </w:tc>
      </w:tr>
      <w:tr w:rsidR="00285D5A" w:rsidRPr="0034283B" w:rsidTr="006D6D51">
        <w:tc>
          <w:tcPr>
            <w:tcW w:w="993" w:type="dxa"/>
            <w:vMerge/>
            <w:shd w:val="clear" w:color="auto" w:fill="auto"/>
          </w:tcPr>
          <w:p w:rsidR="00285D5A" w:rsidRPr="0034283B" w:rsidRDefault="00285D5A" w:rsidP="006D6D51">
            <w:pPr>
              <w:pStyle w:val="142"/>
            </w:pPr>
          </w:p>
        </w:tc>
        <w:tc>
          <w:tcPr>
            <w:tcW w:w="1219" w:type="dxa"/>
            <w:shd w:val="clear" w:color="auto" w:fill="auto"/>
            <w:vAlign w:val="center"/>
          </w:tcPr>
          <w:p w:rsidR="00285D5A" w:rsidRPr="0034283B" w:rsidRDefault="00285D5A" w:rsidP="006D6D51">
            <w:pPr>
              <w:pStyle w:val="142"/>
              <w:jc w:val="center"/>
              <w:rPr>
                <w:b/>
              </w:rPr>
            </w:pPr>
            <w:r w:rsidRPr="0034283B">
              <w:rPr>
                <w:rFonts w:hint="eastAsia"/>
                <w:b/>
              </w:rPr>
              <w:t>調頻備轉</w:t>
            </w:r>
          </w:p>
        </w:tc>
        <w:tc>
          <w:tcPr>
            <w:tcW w:w="1890" w:type="dxa"/>
            <w:shd w:val="clear" w:color="auto" w:fill="auto"/>
            <w:vAlign w:val="center"/>
          </w:tcPr>
          <w:p w:rsidR="00285D5A" w:rsidRPr="0034283B" w:rsidRDefault="00285D5A" w:rsidP="006D6D51">
            <w:pPr>
              <w:pStyle w:val="142"/>
              <w:jc w:val="center"/>
              <w:rPr>
                <w:b/>
              </w:rPr>
            </w:pPr>
            <w:r w:rsidRPr="0034283B">
              <w:rPr>
                <w:rFonts w:hint="eastAsia"/>
                <w:b/>
              </w:rPr>
              <w:t>電能移轉複合動態調節備轉</w:t>
            </w:r>
          </w:p>
        </w:tc>
        <w:tc>
          <w:tcPr>
            <w:tcW w:w="1274" w:type="dxa"/>
            <w:shd w:val="clear" w:color="auto" w:fill="auto"/>
            <w:vAlign w:val="center"/>
          </w:tcPr>
          <w:p w:rsidR="00285D5A" w:rsidRPr="0034283B" w:rsidRDefault="00285D5A" w:rsidP="006D6D51">
            <w:pPr>
              <w:pStyle w:val="142"/>
              <w:jc w:val="center"/>
              <w:rPr>
                <w:b/>
              </w:rPr>
            </w:pPr>
            <w:r w:rsidRPr="0034283B">
              <w:rPr>
                <w:rFonts w:hint="eastAsia"/>
                <w:b/>
              </w:rPr>
              <w:t>即時備轉</w:t>
            </w:r>
          </w:p>
        </w:tc>
        <w:tc>
          <w:tcPr>
            <w:tcW w:w="1203" w:type="dxa"/>
            <w:shd w:val="clear" w:color="auto" w:fill="auto"/>
            <w:vAlign w:val="center"/>
          </w:tcPr>
          <w:p w:rsidR="00285D5A" w:rsidRPr="0034283B" w:rsidRDefault="00285D5A" w:rsidP="006D6D51">
            <w:pPr>
              <w:pStyle w:val="142"/>
              <w:jc w:val="center"/>
              <w:rPr>
                <w:b/>
              </w:rPr>
            </w:pPr>
            <w:r w:rsidRPr="0034283B">
              <w:rPr>
                <w:rFonts w:hint="eastAsia"/>
                <w:b/>
              </w:rPr>
              <w:t>補充備轉</w:t>
            </w:r>
          </w:p>
        </w:tc>
        <w:tc>
          <w:tcPr>
            <w:tcW w:w="1946" w:type="dxa"/>
            <w:shd w:val="clear" w:color="auto" w:fill="auto"/>
            <w:vAlign w:val="center"/>
          </w:tcPr>
          <w:p w:rsidR="00285D5A" w:rsidRPr="0034283B" w:rsidRDefault="00285D5A" w:rsidP="006D6D51">
            <w:pPr>
              <w:pStyle w:val="142"/>
              <w:jc w:val="center"/>
              <w:rPr>
                <w:b/>
              </w:rPr>
            </w:pPr>
            <w:r w:rsidRPr="0034283B">
              <w:rPr>
                <w:rFonts w:hint="eastAsia"/>
                <w:b/>
              </w:rPr>
              <w:t>補充備轉</w:t>
            </w:r>
          </w:p>
        </w:tc>
      </w:tr>
      <w:tr w:rsidR="00285D5A" w:rsidRPr="0034283B" w:rsidTr="006D6D51">
        <w:tc>
          <w:tcPr>
            <w:tcW w:w="993" w:type="dxa"/>
            <w:shd w:val="clear" w:color="auto" w:fill="auto"/>
          </w:tcPr>
          <w:p w:rsidR="00285D5A" w:rsidRPr="0034283B" w:rsidRDefault="00285D5A" w:rsidP="00D33A7A">
            <w:pPr>
              <w:pStyle w:val="142"/>
            </w:pPr>
            <w:r w:rsidRPr="0034283B">
              <w:rPr>
                <w:rFonts w:hint="eastAsia"/>
              </w:rPr>
              <w:t>11</w:t>
            </w:r>
            <w:r w:rsidR="00D33A7A" w:rsidRPr="0034283B">
              <w:t>3</w:t>
            </w:r>
            <w:r w:rsidRPr="0034283B">
              <w:rPr>
                <w:rFonts w:hint="eastAsia"/>
              </w:rPr>
              <w:t>年1~12月</w:t>
            </w:r>
          </w:p>
        </w:tc>
        <w:tc>
          <w:tcPr>
            <w:tcW w:w="1219" w:type="dxa"/>
            <w:shd w:val="clear" w:color="auto" w:fill="auto"/>
            <w:vAlign w:val="center"/>
          </w:tcPr>
          <w:p w:rsidR="00285D5A" w:rsidRPr="0034283B" w:rsidRDefault="00285D5A" w:rsidP="006D6D51">
            <w:pPr>
              <w:pStyle w:val="142"/>
              <w:jc w:val="right"/>
            </w:pPr>
            <w:r w:rsidRPr="0034283B">
              <w:rPr>
                <w:rFonts w:hint="eastAsia"/>
              </w:rPr>
              <w:t>0.6</w:t>
            </w:r>
          </w:p>
        </w:tc>
        <w:tc>
          <w:tcPr>
            <w:tcW w:w="1890" w:type="dxa"/>
            <w:shd w:val="clear" w:color="auto" w:fill="auto"/>
            <w:vAlign w:val="center"/>
          </w:tcPr>
          <w:p w:rsidR="00285D5A" w:rsidRPr="0034283B" w:rsidRDefault="00285D5A" w:rsidP="006D6D51">
            <w:pPr>
              <w:pStyle w:val="142"/>
              <w:jc w:val="right"/>
            </w:pPr>
            <w:r w:rsidRPr="0034283B">
              <w:rPr>
                <w:rFonts w:hint="eastAsia"/>
              </w:rPr>
              <w:t>0.6</w:t>
            </w:r>
          </w:p>
        </w:tc>
        <w:tc>
          <w:tcPr>
            <w:tcW w:w="1274" w:type="dxa"/>
            <w:shd w:val="clear" w:color="auto" w:fill="auto"/>
            <w:vAlign w:val="center"/>
          </w:tcPr>
          <w:p w:rsidR="00285D5A" w:rsidRPr="0034283B" w:rsidRDefault="00285D5A" w:rsidP="006D6D51">
            <w:pPr>
              <w:pStyle w:val="142"/>
              <w:jc w:val="right"/>
            </w:pPr>
            <w:r w:rsidRPr="0034283B">
              <w:rPr>
                <w:rFonts w:hint="eastAsia"/>
              </w:rPr>
              <w:t>0.4</w:t>
            </w:r>
          </w:p>
        </w:tc>
        <w:tc>
          <w:tcPr>
            <w:tcW w:w="1203" w:type="dxa"/>
            <w:shd w:val="clear" w:color="auto" w:fill="auto"/>
            <w:vAlign w:val="center"/>
          </w:tcPr>
          <w:p w:rsidR="00285D5A" w:rsidRPr="0034283B" w:rsidRDefault="00285D5A" w:rsidP="006D6D51">
            <w:pPr>
              <w:pStyle w:val="142"/>
              <w:jc w:val="right"/>
            </w:pPr>
            <w:r w:rsidRPr="0034283B">
              <w:rPr>
                <w:rFonts w:hint="eastAsia"/>
              </w:rPr>
              <w:t>0.35</w:t>
            </w:r>
          </w:p>
        </w:tc>
        <w:tc>
          <w:tcPr>
            <w:tcW w:w="1946" w:type="dxa"/>
            <w:shd w:val="clear" w:color="auto" w:fill="FFF2CC"/>
            <w:vAlign w:val="center"/>
          </w:tcPr>
          <w:p w:rsidR="00285D5A" w:rsidRPr="0034283B" w:rsidRDefault="00285D5A" w:rsidP="006D6D51">
            <w:pPr>
              <w:pStyle w:val="142"/>
              <w:jc w:val="right"/>
            </w:pPr>
            <w:r w:rsidRPr="0034283B">
              <w:rPr>
                <w:rFonts w:hint="eastAsia"/>
              </w:rPr>
              <w:t>10</w:t>
            </w:r>
          </w:p>
        </w:tc>
      </w:tr>
    </w:tbl>
    <w:p w:rsidR="00285D5A" w:rsidRPr="0034283B" w:rsidRDefault="00285D5A" w:rsidP="00D33A7A">
      <w:pPr>
        <w:pStyle w:val="142"/>
        <w:ind w:left="1096" w:hangingChars="500" w:hanging="1096"/>
        <w:rPr>
          <w:spacing w:val="-12"/>
        </w:rPr>
      </w:pPr>
      <w:r w:rsidRPr="0034283B">
        <w:rPr>
          <w:rFonts w:hint="eastAsia"/>
          <w:spacing w:val="-12"/>
        </w:rPr>
        <w:t>資料來源：台灣電力公司電力交易平台/日前輔助服務市場/價格上限。</w:t>
      </w:r>
    </w:p>
    <w:sectPr w:rsidR="00285D5A" w:rsidRPr="0034283B" w:rsidSect="002D32A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419" w:rsidRDefault="00B57419" w:rsidP="00D760F2">
      <w:pPr>
        <w:spacing w:line="240" w:lineRule="auto"/>
        <w:ind w:left="560" w:firstLine="560"/>
      </w:pPr>
      <w:r>
        <w:separator/>
      </w:r>
    </w:p>
  </w:endnote>
  <w:endnote w:type="continuationSeparator" w:id="0">
    <w:p w:rsidR="00B57419" w:rsidRDefault="00B57419"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B93623">
    <w:pPr>
      <w:pStyle w:val="af"/>
      <w:ind w:leftChars="0" w:left="566" w:firstLineChars="0" w:firstLine="406"/>
      <w:jc w:val="center"/>
    </w:pPr>
    <w:r>
      <w:fldChar w:fldCharType="begin"/>
    </w:r>
    <w:r>
      <w:instrText>PAGE   \* MERGEFORMAT</w:instrText>
    </w:r>
    <w:r>
      <w:fldChar w:fldCharType="separate"/>
    </w:r>
    <w:r w:rsidR="00154445" w:rsidRPr="00154445">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419" w:rsidRDefault="00B57419" w:rsidP="00D760F2">
      <w:pPr>
        <w:spacing w:line="240" w:lineRule="auto"/>
        <w:ind w:left="560" w:firstLine="560"/>
      </w:pPr>
      <w:r>
        <w:separator/>
      </w:r>
    </w:p>
  </w:footnote>
  <w:footnote w:type="continuationSeparator" w:id="0">
    <w:p w:rsidR="00B57419" w:rsidRDefault="00B57419" w:rsidP="00D760F2">
      <w:pPr>
        <w:spacing w:line="240" w:lineRule="auto"/>
        <w:ind w:left="560" w:firstLine="560"/>
      </w:pPr>
      <w:r>
        <w:continuationSeparator/>
      </w:r>
    </w:p>
  </w:footnote>
  <w:footnote w:id="1">
    <w:p w:rsidR="00C007D9" w:rsidRPr="008C7601" w:rsidRDefault="00C007D9" w:rsidP="008C7601">
      <w:pPr>
        <w:pStyle w:val="142"/>
        <w:ind w:leftChars="2" w:left="271" w:hangingChars="109" w:hanging="265"/>
        <w:jc w:val="both"/>
        <w:rPr>
          <w:rFonts w:hint="eastAsia"/>
        </w:rPr>
      </w:pPr>
      <w:r>
        <w:rPr>
          <w:rStyle w:val="af3"/>
        </w:rPr>
        <w:footnoteRef/>
      </w:r>
      <w:r>
        <w:t xml:space="preserve"> </w:t>
      </w:r>
      <w:r>
        <w:rPr>
          <w:rFonts w:hint="eastAsia"/>
        </w:rPr>
        <w:t>台電公司</w:t>
      </w:r>
      <w:r w:rsidRPr="008C7601">
        <w:rPr>
          <w:rFonts w:hint="eastAsia"/>
        </w:rPr>
        <w:t>114年度</w:t>
      </w:r>
      <w:r w:rsidR="00614679">
        <w:rPr>
          <w:rFonts w:hint="eastAsia"/>
        </w:rPr>
        <w:t>預算案</w:t>
      </w:r>
      <w:r w:rsidRPr="008C7601">
        <w:rPr>
          <w:rFonts w:hint="eastAsia"/>
        </w:rPr>
        <w:t>對外購入輔助服務</w:t>
      </w:r>
      <w:r w:rsidRPr="008C7601">
        <w:t>84</w:t>
      </w:r>
      <w:r>
        <w:t>.77</w:t>
      </w:r>
      <w:r>
        <w:rPr>
          <w:rFonts w:hint="eastAsia"/>
        </w:rPr>
        <w:t>億元，包含</w:t>
      </w:r>
      <w:r w:rsidRPr="003A6935">
        <w:rPr>
          <w:rFonts w:hint="eastAsia"/>
        </w:rPr>
        <w:t>調頻備轉23</w:t>
      </w:r>
      <w:r w:rsidRPr="003A6935">
        <w:t>.</w:t>
      </w:r>
      <w:r w:rsidRPr="003A6935">
        <w:rPr>
          <w:rFonts w:hint="eastAsia"/>
        </w:rPr>
        <w:t>5</w:t>
      </w:r>
      <w:r w:rsidRPr="003A6935">
        <w:t>3</w:t>
      </w:r>
      <w:r w:rsidRPr="003A6935">
        <w:rPr>
          <w:rFonts w:hint="eastAsia"/>
        </w:rPr>
        <w:t>億元、即時備轉6</w:t>
      </w:r>
      <w:r w:rsidRPr="003A6935">
        <w:t>.</w:t>
      </w:r>
      <w:r w:rsidRPr="003A6935">
        <w:rPr>
          <w:rFonts w:hint="eastAsia"/>
        </w:rPr>
        <w:t>4</w:t>
      </w:r>
      <w:r w:rsidRPr="003A6935">
        <w:t>4</w:t>
      </w:r>
      <w:r w:rsidRPr="003A6935">
        <w:rPr>
          <w:rFonts w:hint="eastAsia"/>
        </w:rPr>
        <w:t>億元、補充備轉6</w:t>
      </w:r>
      <w:r w:rsidRPr="003A6935">
        <w:t>.09</w:t>
      </w:r>
      <w:r w:rsidRPr="003A6935">
        <w:rPr>
          <w:rFonts w:hint="eastAsia"/>
        </w:rPr>
        <w:t>億元及</w:t>
      </w:r>
      <w:r w:rsidRPr="0034283B">
        <w:rPr>
          <w:rFonts w:hint="eastAsia"/>
        </w:rPr>
        <w:t>電能移轉複合動態調節備轉</w:t>
      </w:r>
      <w:r w:rsidRPr="003A6935">
        <w:t>48.71</w:t>
      </w:r>
      <w:r w:rsidRPr="003A6935">
        <w:rPr>
          <w:rFonts w:hint="eastAsia"/>
        </w:rPr>
        <w:t>億元。</w:t>
      </w:r>
    </w:p>
  </w:footnote>
  <w:footnote w:id="2">
    <w:p w:rsidR="00C007D9" w:rsidRDefault="00C007D9" w:rsidP="00285D5A">
      <w:pPr>
        <w:pStyle w:val="142"/>
        <w:ind w:leftChars="2" w:left="271" w:hangingChars="109" w:hanging="265"/>
        <w:jc w:val="both"/>
        <w:rPr>
          <w:rFonts w:hint="eastAsia"/>
        </w:rPr>
      </w:pPr>
      <w:r>
        <w:rPr>
          <w:rStyle w:val="af3"/>
        </w:rPr>
        <w:footnoteRef/>
      </w:r>
      <w:r>
        <w:t xml:space="preserve"> </w:t>
      </w:r>
      <w:r w:rsidRPr="00826DF1">
        <w:rPr>
          <w:rFonts w:hint="eastAsia"/>
        </w:rPr>
        <w:t>日前輔助服務市場指於電力系統運轉前一日，以提供調頻備轉、即時備轉、補充備轉及其他必要之輔助服務作為交易標的之競價市場。</w:t>
      </w:r>
    </w:p>
  </w:footnote>
  <w:footnote w:id="3">
    <w:p w:rsidR="00C007D9" w:rsidRPr="00D11263" w:rsidRDefault="00C007D9" w:rsidP="00D11263">
      <w:pPr>
        <w:pStyle w:val="142"/>
        <w:ind w:leftChars="2" w:left="271" w:hangingChars="109" w:hanging="265"/>
        <w:rPr>
          <w:rFonts w:hint="eastAsia"/>
        </w:rPr>
      </w:pPr>
      <w:r>
        <w:rPr>
          <w:rStyle w:val="af3"/>
        </w:rPr>
        <w:footnoteRef/>
      </w:r>
      <w:r>
        <w:t xml:space="preserve"> </w:t>
      </w:r>
      <w:r>
        <w:rPr>
          <w:rFonts w:hint="eastAsia"/>
        </w:rPr>
        <w:t>依台電公司電力交易平台公告1</w:t>
      </w:r>
      <w:r>
        <w:t>14</w:t>
      </w:r>
      <w:r>
        <w:rPr>
          <w:rFonts w:hint="eastAsia"/>
        </w:rPr>
        <w:t>年度需求數。</w:t>
      </w:r>
    </w:p>
  </w:footnote>
  <w:footnote w:id="4">
    <w:p w:rsidR="00C007D9" w:rsidRPr="0026129E" w:rsidRDefault="00C007D9" w:rsidP="00285D5A">
      <w:pPr>
        <w:pStyle w:val="142"/>
        <w:ind w:leftChars="1" w:left="198" w:hangingChars="80" w:hanging="195"/>
        <w:jc w:val="both"/>
        <w:rPr>
          <w:rFonts w:hint="eastAsia"/>
        </w:rPr>
      </w:pPr>
      <w:r>
        <w:rPr>
          <w:rStyle w:val="af3"/>
        </w:rPr>
        <w:footnoteRef/>
      </w:r>
      <w:r>
        <w:t xml:space="preserve"> </w:t>
      </w:r>
      <w:r>
        <w:rPr>
          <w:rFonts w:hint="eastAsia"/>
        </w:rPr>
        <w:t>據台電公司統計，11</w:t>
      </w:r>
      <w:r>
        <w:t>3</w:t>
      </w:r>
      <w:r>
        <w:rPr>
          <w:rFonts w:hint="eastAsia"/>
        </w:rPr>
        <w:t>年1至8月平均每度自發電力成本單價(以下同)為2</w:t>
      </w:r>
      <w:r>
        <w:t>.73</w:t>
      </w:r>
      <w:r>
        <w:rPr>
          <w:rFonts w:hint="eastAsia"/>
        </w:rPr>
        <w:t>元、購入電力為</w:t>
      </w:r>
      <w:r>
        <w:t>3.9</w:t>
      </w:r>
      <w:r>
        <w:rPr>
          <w:rFonts w:hint="eastAsia"/>
        </w:rPr>
        <w:t>元，平均為3</w:t>
      </w:r>
      <w:r>
        <w:t>.06</w:t>
      </w:r>
      <w:r>
        <w:rPr>
          <w:rFonts w:hint="eastAsia"/>
        </w:rPr>
        <w:t>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09857C"/>
    <w:multiLevelType w:val="hybridMultilevel"/>
    <w:tmpl w:val="860D18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65BA147"/>
    <w:multiLevelType w:val="hybridMultilevel"/>
    <w:tmpl w:val="3CCAE15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3AE3511"/>
    <w:multiLevelType w:val="hybridMultilevel"/>
    <w:tmpl w:val="84DC6EA8"/>
    <w:lvl w:ilvl="0" w:tplc="E76820E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56304432"/>
    <w:multiLevelType w:val="hybridMultilevel"/>
    <w:tmpl w:val="FA1A5D4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688E9303"/>
    <w:multiLevelType w:val="hybridMultilevel"/>
    <w:tmpl w:val="252DE50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6B275985"/>
    <w:multiLevelType w:val="hybridMultilevel"/>
    <w:tmpl w:val="7968671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C81970"/>
    <w:multiLevelType w:val="hybridMultilevel"/>
    <w:tmpl w:val="BB08ACD4"/>
    <w:lvl w:ilvl="0" w:tplc="EBC209D6">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74A6B346"/>
    <w:multiLevelType w:val="hybridMultilevel"/>
    <w:tmpl w:val="D9D635D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6143C49"/>
    <w:multiLevelType w:val="hybridMultilevel"/>
    <w:tmpl w:val="AB428996"/>
    <w:lvl w:ilvl="0" w:tplc="E9BC5D32">
      <w:start w:val="1"/>
      <w:numFmt w:val="taiwaneseCountingThousand"/>
      <w:lvlText w:val="(%1)"/>
      <w:lvlJc w:val="left"/>
      <w:pPr>
        <w:ind w:left="48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6"/>
  </w:num>
  <w:num w:numId="4">
    <w:abstractNumId w:val="5"/>
  </w:num>
  <w:num w:numId="5">
    <w:abstractNumId w:val="4"/>
  </w:num>
  <w:num w:numId="6">
    <w:abstractNumId w:val="0"/>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33F32"/>
    <w:rsid w:val="000022EB"/>
    <w:rsid w:val="000027D5"/>
    <w:rsid w:val="00006E01"/>
    <w:rsid w:val="00006EA9"/>
    <w:rsid w:val="00007338"/>
    <w:rsid w:val="00012C3F"/>
    <w:rsid w:val="00012EC9"/>
    <w:rsid w:val="00014316"/>
    <w:rsid w:val="000160CB"/>
    <w:rsid w:val="00016699"/>
    <w:rsid w:val="0001672C"/>
    <w:rsid w:val="000175D8"/>
    <w:rsid w:val="00020900"/>
    <w:rsid w:val="00022460"/>
    <w:rsid w:val="00024294"/>
    <w:rsid w:val="000326F1"/>
    <w:rsid w:val="00040738"/>
    <w:rsid w:val="0004231A"/>
    <w:rsid w:val="00043E5B"/>
    <w:rsid w:val="00045B8D"/>
    <w:rsid w:val="00051285"/>
    <w:rsid w:val="00055A65"/>
    <w:rsid w:val="0006343F"/>
    <w:rsid w:val="00070337"/>
    <w:rsid w:val="00070DC5"/>
    <w:rsid w:val="00071832"/>
    <w:rsid w:val="00072E61"/>
    <w:rsid w:val="00073646"/>
    <w:rsid w:val="00073764"/>
    <w:rsid w:val="00073C9F"/>
    <w:rsid w:val="00073F33"/>
    <w:rsid w:val="00074416"/>
    <w:rsid w:val="00077E9F"/>
    <w:rsid w:val="00086096"/>
    <w:rsid w:val="00087B4F"/>
    <w:rsid w:val="00087FC0"/>
    <w:rsid w:val="000908FC"/>
    <w:rsid w:val="000964D7"/>
    <w:rsid w:val="00097082"/>
    <w:rsid w:val="000A004C"/>
    <w:rsid w:val="000B5EC5"/>
    <w:rsid w:val="000B6507"/>
    <w:rsid w:val="000B793D"/>
    <w:rsid w:val="000C10B1"/>
    <w:rsid w:val="000C20DA"/>
    <w:rsid w:val="000C23D6"/>
    <w:rsid w:val="000C3B02"/>
    <w:rsid w:val="000C4738"/>
    <w:rsid w:val="000C4C0B"/>
    <w:rsid w:val="000C52A3"/>
    <w:rsid w:val="000D42EB"/>
    <w:rsid w:val="000D5968"/>
    <w:rsid w:val="000D7B24"/>
    <w:rsid w:val="000D7C21"/>
    <w:rsid w:val="000E23D8"/>
    <w:rsid w:val="000E2E67"/>
    <w:rsid w:val="000E5FE8"/>
    <w:rsid w:val="000E64F9"/>
    <w:rsid w:val="000E65A6"/>
    <w:rsid w:val="000E69DE"/>
    <w:rsid w:val="000F47E0"/>
    <w:rsid w:val="000F6E23"/>
    <w:rsid w:val="000F7390"/>
    <w:rsid w:val="000F78A4"/>
    <w:rsid w:val="00101585"/>
    <w:rsid w:val="00102841"/>
    <w:rsid w:val="00105DC6"/>
    <w:rsid w:val="00107C5C"/>
    <w:rsid w:val="0011594C"/>
    <w:rsid w:val="001171BD"/>
    <w:rsid w:val="0011761C"/>
    <w:rsid w:val="001201FD"/>
    <w:rsid w:val="001207E6"/>
    <w:rsid w:val="00120AC4"/>
    <w:rsid w:val="00120B3C"/>
    <w:rsid w:val="001217D1"/>
    <w:rsid w:val="00123385"/>
    <w:rsid w:val="001237F2"/>
    <w:rsid w:val="00134B7B"/>
    <w:rsid w:val="00136544"/>
    <w:rsid w:val="00141161"/>
    <w:rsid w:val="00141818"/>
    <w:rsid w:val="00142C29"/>
    <w:rsid w:val="00142DB0"/>
    <w:rsid w:val="00144ED2"/>
    <w:rsid w:val="0014628D"/>
    <w:rsid w:val="001475E3"/>
    <w:rsid w:val="00147940"/>
    <w:rsid w:val="0015161F"/>
    <w:rsid w:val="00152056"/>
    <w:rsid w:val="00154445"/>
    <w:rsid w:val="00161595"/>
    <w:rsid w:val="001638EE"/>
    <w:rsid w:val="00172EA2"/>
    <w:rsid w:val="001736CA"/>
    <w:rsid w:val="00174EAA"/>
    <w:rsid w:val="00175B65"/>
    <w:rsid w:val="0017688D"/>
    <w:rsid w:val="00176CB0"/>
    <w:rsid w:val="00183DDA"/>
    <w:rsid w:val="0018424D"/>
    <w:rsid w:val="001922A9"/>
    <w:rsid w:val="00195DCD"/>
    <w:rsid w:val="001A05C4"/>
    <w:rsid w:val="001A2368"/>
    <w:rsid w:val="001A3C43"/>
    <w:rsid w:val="001B0106"/>
    <w:rsid w:val="001B06D0"/>
    <w:rsid w:val="001B0D39"/>
    <w:rsid w:val="001B0E79"/>
    <w:rsid w:val="001B22E1"/>
    <w:rsid w:val="001B6B8A"/>
    <w:rsid w:val="001B7C72"/>
    <w:rsid w:val="001B7F0B"/>
    <w:rsid w:val="001C24FB"/>
    <w:rsid w:val="001C3BCA"/>
    <w:rsid w:val="001C3C98"/>
    <w:rsid w:val="001C673C"/>
    <w:rsid w:val="001D3096"/>
    <w:rsid w:val="001D30BB"/>
    <w:rsid w:val="001D56C1"/>
    <w:rsid w:val="001D6C3A"/>
    <w:rsid w:val="001E1D59"/>
    <w:rsid w:val="001E2FAA"/>
    <w:rsid w:val="001E3DDA"/>
    <w:rsid w:val="001E6CC8"/>
    <w:rsid w:val="001E6EE6"/>
    <w:rsid w:val="001F1522"/>
    <w:rsid w:val="001F4E56"/>
    <w:rsid w:val="00201F57"/>
    <w:rsid w:val="0020349F"/>
    <w:rsid w:val="002037AD"/>
    <w:rsid w:val="0021213C"/>
    <w:rsid w:val="00213AB9"/>
    <w:rsid w:val="0021527E"/>
    <w:rsid w:val="00216FA5"/>
    <w:rsid w:val="00216FBA"/>
    <w:rsid w:val="0022106D"/>
    <w:rsid w:val="002210BF"/>
    <w:rsid w:val="00226D6D"/>
    <w:rsid w:val="00230967"/>
    <w:rsid w:val="00231C5A"/>
    <w:rsid w:val="00233DF7"/>
    <w:rsid w:val="002343BC"/>
    <w:rsid w:val="00235427"/>
    <w:rsid w:val="00236B14"/>
    <w:rsid w:val="00242BD1"/>
    <w:rsid w:val="00242C8A"/>
    <w:rsid w:val="002432D9"/>
    <w:rsid w:val="00243FAB"/>
    <w:rsid w:val="00244895"/>
    <w:rsid w:val="00246C32"/>
    <w:rsid w:val="002476A1"/>
    <w:rsid w:val="0025036F"/>
    <w:rsid w:val="00251B49"/>
    <w:rsid w:val="002527FE"/>
    <w:rsid w:val="002548E5"/>
    <w:rsid w:val="00255A18"/>
    <w:rsid w:val="00256402"/>
    <w:rsid w:val="002579F7"/>
    <w:rsid w:val="0026129E"/>
    <w:rsid w:val="00261DB6"/>
    <w:rsid w:val="002660C3"/>
    <w:rsid w:val="00266212"/>
    <w:rsid w:val="00266ABA"/>
    <w:rsid w:val="00266FA4"/>
    <w:rsid w:val="00267821"/>
    <w:rsid w:val="002700F8"/>
    <w:rsid w:val="00273169"/>
    <w:rsid w:val="002755FC"/>
    <w:rsid w:val="002771F4"/>
    <w:rsid w:val="00284244"/>
    <w:rsid w:val="002849D9"/>
    <w:rsid w:val="00285D5A"/>
    <w:rsid w:val="00290E7B"/>
    <w:rsid w:val="00290F9F"/>
    <w:rsid w:val="00290FB8"/>
    <w:rsid w:val="00293D49"/>
    <w:rsid w:val="002949E5"/>
    <w:rsid w:val="00296254"/>
    <w:rsid w:val="002967CB"/>
    <w:rsid w:val="002977AC"/>
    <w:rsid w:val="002A2DAB"/>
    <w:rsid w:val="002A2E82"/>
    <w:rsid w:val="002A4E85"/>
    <w:rsid w:val="002A5B17"/>
    <w:rsid w:val="002A5C5E"/>
    <w:rsid w:val="002B467E"/>
    <w:rsid w:val="002B63C2"/>
    <w:rsid w:val="002B72F1"/>
    <w:rsid w:val="002C59CD"/>
    <w:rsid w:val="002C6564"/>
    <w:rsid w:val="002C6D36"/>
    <w:rsid w:val="002D232B"/>
    <w:rsid w:val="002D32A6"/>
    <w:rsid w:val="002D32EC"/>
    <w:rsid w:val="002D3318"/>
    <w:rsid w:val="002D3D77"/>
    <w:rsid w:val="002D4476"/>
    <w:rsid w:val="002D487A"/>
    <w:rsid w:val="002D60FD"/>
    <w:rsid w:val="002D6769"/>
    <w:rsid w:val="002E091E"/>
    <w:rsid w:val="002E0A46"/>
    <w:rsid w:val="002E0C7D"/>
    <w:rsid w:val="002E2576"/>
    <w:rsid w:val="002E32E2"/>
    <w:rsid w:val="002E5D9F"/>
    <w:rsid w:val="002E60F5"/>
    <w:rsid w:val="002F2D5B"/>
    <w:rsid w:val="0030024F"/>
    <w:rsid w:val="0030510B"/>
    <w:rsid w:val="003105D4"/>
    <w:rsid w:val="003117EE"/>
    <w:rsid w:val="00315F2A"/>
    <w:rsid w:val="00320BEB"/>
    <w:rsid w:val="00322D3A"/>
    <w:rsid w:val="00322E6D"/>
    <w:rsid w:val="0032336F"/>
    <w:rsid w:val="003238B3"/>
    <w:rsid w:val="0032520B"/>
    <w:rsid w:val="00325903"/>
    <w:rsid w:val="00325E2A"/>
    <w:rsid w:val="003277C5"/>
    <w:rsid w:val="00334DA1"/>
    <w:rsid w:val="00336E47"/>
    <w:rsid w:val="00336FBC"/>
    <w:rsid w:val="00337DE4"/>
    <w:rsid w:val="0034283B"/>
    <w:rsid w:val="003430F0"/>
    <w:rsid w:val="00343782"/>
    <w:rsid w:val="00343A66"/>
    <w:rsid w:val="00345270"/>
    <w:rsid w:val="00352397"/>
    <w:rsid w:val="00355D7D"/>
    <w:rsid w:val="00363180"/>
    <w:rsid w:val="00363E41"/>
    <w:rsid w:val="00366140"/>
    <w:rsid w:val="00366168"/>
    <w:rsid w:val="00366ACF"/>
    <w:rsid w:val="00366FB0"/>
    <w:rsid w:val="00367BAA"/>
    <w:rsid w:val="00371AD7"/>
    <w:rsid w:val="003754F1"/>
    <w:rsid w:val="00377F87"/>
    <w:rsid w:val="00380AD4"/>
    <w:rsid w:val="003814D6"/>
    <w:rsid w:val="003823C8"/>
    <w:rsid w:val="003866DB"/>
    <w:rsid w:val="00386742"/>
    <w:rsid w:val="00387086"/>
    <w:rsid w:val="0038746D"/>
    <w:rsid w:val="00387794"/>
    <w:rsid w:val="003941D1"/>
    <w:rsid w:val="003A663B"/>
    <w:rsid w:val="003A6935"/>
    <w:rsid w:val="003A6C13"/>
    <w:rsid w:val="003A6D37"/>
    <w:rsid w:val="003A7EC0"/>
    <w:rsid w:val="003B1A72"/>
    <w:rsid w:val="003B1FE6"/>
    <w:rsid w:val="003B31D5"/>
    <w:rsid w:val="003B38C3"/>
    <w:rsid w:val="003B5A83"/>
    <w:rsid w:val="003B6A73"/>
    <w:rsid w:val="003B6ED4"/>
    <w:rsid w:val="003B7919"/>
    <w:rsid w:val="003C172A"/>
    <w:rsid w:val="003C1E06"/>
    <w:rsid w:val="003C3063"/>
    <w:rsid w:val="003C402E"/>
    <w:rsid w:val="003C5477"/>
    <w:rsid w:val="003C71BF"/>
    <w:rsid w:val="003C76F9"/>
    <w:rsid w:val="003D1616"/>
    <w:rsid w:val="003D1770"/>
    <w:rsid w:val="003D1A83"/>
    <w:rsid w:val="003D216F"/>
    <w:rsid w:val="003D2315"/>
    <w:rsid w:val="003D390D"/>
    <w:rsid w:val="003D41CB"/>
    <w:rsid w:val="003D5F2C"/>
    <w:rsid w:val="003D69FD"/>
    <w:rsid w:val="003D7D56"/>
    <w:rsid w:val="003D7E22"/>
    <w:rsid w:val="003E182B"/>
    <w:rsid w:val="003E2491"/>
    <w:rsid w:val="003E48CC"/>
    <w:rsid w:val="003F200B"/>
    <w:rsid w:val="003F235D"/>
    <w:rsid w:val="003F41D9"/>
    <w:rsid w:val="003F58F5"/>
    <w:rsid w:val="003F59F6"/>
    <w:rsid w:val="003F691D"/>
    <w:rsid w:val="003F6C8C"/>
    <w:rsid w:val="003F71FC"/>
    <w:rsid w:val="003F75E8"/>
    <w:rsid w:val="00400324"/>
    <w:rsid w:val="004003A7"/>
    <w:rsid w:val="0040041B"/>
    <w:rsid w:val="00401B02"/>
    <w:rsid w:val="00402ADA"/>
    <w:rsid w:val="004045AB"/>
    <w:rsid w:val="004073C6"/>
    <w:rsid w:val="00412C69"/>
    <w:rsid w:val="00414AA7"/>
    <w:rsid w:val="00416C0B"/>
    <w:rsid w:val="00416F26"/>
    <w:rsid w:val="00416FBB"/>
    <w:rsid w:val="00421497"/>
    <w:rsid w:val="00421F3F"/>
    <w:rsid w:val="00424B5F"/>
    <w:rsid w:val="0042544B"/>
    <w:rsid w:val="004264E2"/>
    <w:rsid w:val="00426916"/>
    <w:rsid w:val="00427A36"/>
    <w:rsid w:val="00427CFE"/>
    <w:rsid w:val="00430E2D"/>
    <w:rsid w:val="00430FCB"/>
    <w:rsid w:val="0043175F"/>
    <w:rsid w:val="004336FF"/>
    <w:rsid w:val="00434E2C"/>
    <w:rsid w:val="004442F5"/>
    <w:rsid w:val="00450231"/>
    <w:rsid w:val="00454F5E"/>
    <w:rsid w:val="00455407"/>
    <w:rsid w:val="00455F31"/>
    <w:rsid w:val="00457787"/>
    <w:rsid w:val="00457F21"/>
    <w:rsid w:val="00460623"/>
    <w:rsid w:val="00460EE6"/>
    <w:rsid w:val="00462E23"/>
    <w:rsid w:val="004644BB"/>
    <w:rsid w:val="00465A4E"/>
    <w:rsid w:val="0047112E"/>
    <w:rsid w:val="004745D2"/>
    <w:rsid w:val="00476116"/>
    <w:rsid w:val="00476311"/>
    <w:rsid w:val="0047649A"/>
    <w:rsid w:val="00477154"/>
    <w:rsid w:val="004771A2"/>
    <w:rsid w:val="00480131"/>
    <w:rsid w:val="004822FC"/>
    <w:rsid w:val="0048234F"/>
    <w:rsid w:val="004843C3"/>
    <w:rsid w:val="00485D23"/>
    <w:rsid w:val="004879F9"/>
    <w:rsid w:val="00490B39"/>
    <w:rsid w:val="00490D94"/>
    <w:rsid w:val="004967FA"/>
    <w:rsid w:val="004969F8"/>
    <w:rsid w:val="00497E39"/>
    <w:rsid w:val="00497EFD"/>
    <w:rsid w:val="004A2450"/>
    <w:rsid w:val="004A272D"/>
    <w:rsid w:val="004A35E6"/>
    <w:rsid w:val="004A4069"/>
    <w:rsid w:val="004A4494"/>
    <w:rsid w:val="004A47F4"/>
    <w:rsid w:val="004A5F80"/>
    <w:rsid w:val="004B2306"/>
    <w:rsid w:val="004B38EC"/>
    <w:rsid w:val="004B3A75"/>
    <w:rsid w:val="004B6524"/>
    <w:rsid w:val="004B7E07"/>
    <w:rsid w:val="004C2334"/>
    <w:rsid w:val="004C3FB4"/>
    <w:rsid w:val="004C4D9F"/>
    <w:rsid w:val="004C4F00"/>
    <w:rsid w:val="004C5F46"/>
    <w:rsid w:val="004C665A"/>
    <w:rsid w:val="004D03D2"/>
    <w:rsid w:val="004D245D"/>
    <w:rsid w:val="004D27BE"/>
    <w:rsid w:val="004D6D1A"/>
    <w:rsid w:val="004D7F42"/>
    <w:rsid w:val="004E07F9"/>
    <w:rsid w:val="004E445A"/>
    <w:rsid w:val="004E4532"/>
    <w:rsid w:val="004E55CC"/>
    <w:rsid w:val="004E6700"/>
    <w:rsid w:val="004E6B47"/>
    <w:rsid w:val="004E7A1A"/>
    <w:rsid w:val="004F16A5"/>
    <w:rsid w:val="004F1B49"/>
    <w:rsid w:val="004F1C2F"/>
    <w:rsid w:val="004F2585"/>
    <w:rsid w:val="004F29A5"/>
    <w:rsid w:val="004F2CCB"/>
    <w:rsid w:val="004F3D31"/>
    <w:rsid w:val="004F3FF8"/>
    <w:rsid w:val="004F408C"/>
    <w:rsid w:val="004F6A84"/>
    <w:rsid w:val="00502F2F"/>
    <w:rsid w:val="00505C1F"/>
    <w:rsid w:val="00510F67"/>
    <w:rsid w:val="00511549"/>
    <w:rsid w:val="0051158A"/>
    <w:rsid w:val="0051299F"/>
    <w:rsid w:val="00513795"/>
    <w:rsid w:val="00514E25"/>
    <w:rsid w:val="00515BF9"/>
    <w:rsid w:val="00516A42"/>
    <w:rsid w:val="00517D25"/>
    <w:rsid w:val="005252FB"/>
    <w:rsid w:val="00527BF3"/>
    <w:rsid w:val="00533077"/>
    <w:rsid w:val="0053690A"/>
    <w:rsid w:val="0054188B"/>
    <w:rsid w:val="005440B2"/>
    <w:rsid w:val="00545C36"/>
    <w:rsid w:val="005461BD"/>
    <w:rsid w:val="00546FF5"/>
    <w:rsid w:val="00547838"/>
    <w:rsid w:val="00550075"/>
    <w:rsid w:val="005504A7"/>
    <w:rsid w:val="005512B4"/>
    <w:rsid w:val="00551631"/>
    <w:rsid w:val="00552374"/>
    <w:rsid w:val="00554865"/>
    <w:rsid w:val="00556C80"/>
    <w:rsid w:val="005615C5"/>
    <w:rsid w:val="0056243D"/>
    <w:rsid w:val="005649CE"/>
    <w:rsid w:val="00564F34"/>
    <w:rsid w:val="00574F76"/>
    <w:rsid w:val="00580A99"/>
    <w:rsid w:val="005814E4"/>
    <w:rsid w:val="00581601"/>
    <w:rsid w:val="005827A9"/>
    <w:rsid w:val="00583464"/>
    <w:rsid w:val="00585E21"/>
    <w:rsid w:val="005864D0"/>
    <w:rsid w:val="00587BE9"/>
    <w:rsid w:val="00590BFC"/>
    <w:rsid w:val="00591E42"/>
    <w:rsid w:val="00597299"/>
    <w:rsid w:val="005A5F09"/>
    <w:rsid w:val="005A7186"/>
    <w:rsid w:val="005A75D7"/>
    <w:rsid w:val="005A7806"/>
    <w:rsid w:val="005B003B"/>
    <w:rsid w:val="005B2026"/>
    <w:rsid w:val="005C095C"/>
    <w:rsid w:val="005C18FC"/>
    <w:rsid w:val="005C3C38"/>
    <w:rsid w:val="005C70E9"/>
    <w:rsid w:val="005C7FDC"/>
    <w:rsid w:val="005D260B"/>
    <w:rsid w:val="005D3F75"/>
    <w:rsid w:val="005D6054"/>
    <w:rsid w:val="005D67A6"/>
    <w:rsid w:val="005D7D56"/>
    <w:rsid w:val="005E4B82"/>
    <w:rsid w:val="005F03D2"/>
    <w:rsid w:val="005F1EFC"/>
    <w:rsid w:val="005F4B6B"/>
    <w:rsid w:val="00600604"/>
    <w:rsid w:val="00601C54"/>
    <w:rsid w:val="00602E80"/>
    <w:rsid w:val="006052A6"/>
    <w:rsid w:val="00611431"/>
    <w:rsid w:val="00614679"/>
    <w:rsid w:val="006146E4"/>
    <w:rsid w:val="00616DB3"/>
    <w:rsid w:val="006170D8"/>
    <w:rsid w:val="00617578"/>
    <w:rsid w:val="00617BCB"/>
    <w:rsid w:val="006226B5"/>
    <w:rsid w:val="00624B69"/>
    <w:rsid w:val="006326E2"/>
    <w:rsid w:val="006343A0"/>
    <w:rsid w:val="00634611"/>
    <w:rsid w:val="00636796"/>
    <w:rsid w:val="00636A8F"/>
    <w:rsid w:val="00637643"/>
    <w:rsid w:val="00640BB0"/>
    <w:rsid w:val="0064242E"/>
    <w:rsid w:val="00642D8C"/>
    <w:rsid w:val="0064324C"/>
    <w:rsid w:val="006438F2"/>
    <w:rsid w:val="00643A8D"/>
    <w:rsid w:val="00653819"/>
    <w:rsid w:val="0065487A"/>
    <w:rsid w:val="00655E43"/>
    <w:rsid w:val="006563D8"/>
    <w:rsid w:val="0066093E"/>
    <w:rsid w:val="00662FB6"/>
    <w:rsid w:val="006642E1"/>
    <w:rsid w:val="00666958"/>
    <w:rsid w:val="006706FB"/>
    <w:rsid w:val="00671560"/>
    <w:rsid w:val="006726EC"/>
    <w:rsid w:val="00673095"/>
    <w:rsid w:val="00675D08"/>
    <w:rsid w:val="006763BA"/>
    <w:rsid w:val="00677312"/>
    <w:rsid w:val="00680691"/>
    <w:rsid w:val="0068121F"/>
    <w:rsid w:val="00681EB6"/>
    <w:rsid w:val="00683279"/>
    <w:rsid w:val="00684F19"/>
    <w:rsid w:val="006855CC"/>
    <w:rsid w:val="0069114E"/>
    <w:rsid w:val="00691A47"/>
    <w:rsid w:val="006926B5"/>
    <w:rsid w:val="00696916"/>
    <w:rsid w:val="00697277"/>
    <w:rsid w:val="006A0AA8"/>
    <w:rsid w:val="006A2DC4"/>
    <w:rsid w:val="006A5696"/>
    <w:rsid w:val="006A6CD1"/>
    <w:rsid w:val="006A747B"/>
    <w:rsid w:val="006B1736"/>
    <w:rsid w:val="006B4A46"/>
    <w:rsid w:val="006B527C"/>
    <w:rsid w:val="006B5726"/>
    <w:rsid w:val="006C2912"/>
    <w:rsid w:val="006C7ED3"/>
    <w:rsid w:val="006D147A"/>
    <w:rsid w:val="006D5F1A"/>
    <w:rsid w:val="006D6378"/>
    <w:rsid w:val="006D6D51"/>
    <w:rsid w:val="006E1805"/>
    <w:rsid w:val="006E584E"/>
    <w:rsid w:val="006E7375"/>
    <w:rsid w:val="006E7E9C"/>
    <w:rsid w:val="006F0C1F"/>
    <w:rsid w:val="006F51EB"/>
    <w:rsid w:val="007015A1"/>
    <w:rsid w:val="00701856"/>
    <w:rsid w:val="00701A47"/>
    <w:rsid w:val="00702708"/>
    <w:rsid w:val="00704743"/>
    <w:rsid w:val="00704EDF"/>
    <w:rsid w:val="00706DFA"/>
    <w:rsid w:val="00711775"/>
    <w:rsid w:val="00711A2D"/>
    <w:rsid w:val="007240CF"/>
    <w:rsid w:val="0072784C"/>
    <w:rsid w:val="00733B42"/>
    <w:rsid w:val="00734BA2"/>
    <w:rsid w:val="00734CCA"/>
    <w:rsid w:val="00735CB9"/>
    <w:rsid w:val="007376B2"/>
    <w:rsid w:val="00737901"/>
    <w:rsid w:val="007407D0"/>
    <w:rsid w:val="0074093E"/>
    <w:rsid w:val="00740CE7"/>
    <w:rsid w:val="0074130E"/>
    <w:rsid w:val="00741321"/>
    <w:rsid w:val="007441C7"/>
    <w:rsid w:val="00744408"/>
    <w:rsid w:val="007452D4"/>
    <w:rsid w:val="007516D8"/>
    <w:rsid w:val="007540FD"/>
    <w:rsid w:val="00754BB8"/>
    <w:rsid w:val="007569E7"/>
    <w:rsid w:val="0076098F"/>
    <w:rsid w:val="00760C4D"/>
    <w:rsid w:val="00761D97"/>
    <w:rsid w:val="00764E28"/>
    <w:rsid w:val="007650DB"/>
    <w:rsid w:val="00767F89"/>
    <w:rsid w:val="0077116D"/>
    <w:rsid w:val="00771A64"/>
    <w:rsid w:val="00772045"/>
    <w:rsid w:val="00772AF2"/>
    <w:rsid w:val="007730A2"/>
    <w:rsid w:val="0077386F"/>
    <w:rsid w:val="00773F8E"/>
    <w:rsid w:val="00774AD1"/>
    <w:rsid w:val="00776405"/>
    <w:rsid w:val="00777498"/>
    <w:rsid w:val="00780023"/>
    <w:rsid w:val="00781DC7"/>
    <w:rsid w:val="00783CCA"/>
    <w:rsid w:val="007849C2"/>
    <w:rsid w:val="0078598C"/>
    <w:rsid w:val="00786009"/>
    <w:rsid w:val="00786261"/>
    <w:rsid w:val="007867AC"/>
    <w:rsid w:val="00787314"/>
    <w:rsid w:val="00790AB5"/>
    <w:rsid w:val="00791EE1"/>
    <w:rsid w:val="00793AAE"/>
    <w:rsid w:val="0079498A"/>
    <w:rsid w:val="00794D91"/>
    <w:rsid w:val="007A00FF"/>
    <w:rsid w:val="007A26BF"/>
    <w:rsid w:val="007A2DE6"/>
    <w:rsid w:val="007A459F"/>
    <w:rsid w:val="007A5A7E"/>
    <w:rsid w:val="007A67A0"/>
    <w:rsid w:val="007A71E0"/>
    <w:rsid w:val="007A7FD5"/>
    <w:rsid w:val="007B2C33"/>
    <w:rsid w:val="007B338B"/>
    <w:rsid w:val="007B4D9E"/>
    <w:rsid w:val="007B5EA4"/>
    <w:rsid w:val="007B7559"/>
    <w:rsid w:val="007B79C1"/>
    <w:rsid w:val="007B7B69"/>
    <w:rsid w:val="007C51FF"/>
    <w:rsid w:val="007C6CF4"/>
    <w:rsid w:val="007C7D9F"/>
    <w:rsid w:val="007D095E"/>
    <w:rsid w:val="007D211B"/>
    <w:rsid w:val="007D30C5"/>
    <w:rsid w:val="007D3988"/>
    <w:rsid w:val="007D58F2"/>
    <w:rsid w:val="007D7498"/>
    <w:rsid w:val="007E070A"/>
    <w:rsid w:val="007E0C63"/>
    <w:rsid w:val="007E0EAE"/>
    <w:rsid w:val="007E2E70"/>
    <w:rsid w:val="007E6FF8"/>
    <w:rsid w:val="007E715D"/>
    <w:rsid w:val="007F1312"/>
    <w:rsid w:val="007F3334"/>
    <w:rsid w:val="007F3FE5"/>
    <w:rsid w:val="007F5983"/>
    <w:rsid w:val="00800D1A"/>
    <w:rsid w:val="00800D70"/>
    <w:rsid w:val="00801DBA"/>
    <w:rsid w:val="008025C6"/>
    <w:rsid w:val="00803B52"/>
    <w:rsid w:val="00805509"/>
    <w:rsid w:val="00805C5F"/>
    <w:rsid w:val="00805F97"/>
    <w:rsid w:val="00810F27"/>
    <w:rsid w:val="00812948"/>
    <w:rsid w:val="00812BF7"/>
    <w:rsid w:val="00814BF7"/>
    <w:rsid w:val="00816DF5"/>
    <w:rsid w:val="00817429"/>
    <w:rsid w:val="00817EF0"/>
    <w:rsid w:val="00820676"/>
    <w:rsid w:val="0082331B"/>
    <w:rsid w:val="00826DCC"/>
    <w:rsid w:val="00826DF1"/>
    <w:rsid w:val="00827167"/>
    <w:rsid w:val="00832344"/>
    <w:rsid w:val="00842B46"/>
    <w:rsid w:val="008444BD"/>
    <w:rsid w:val="00845091"/>
    <w:rsid w:val="008474E3"/>
    <w:rsid w:val="008503C2"/>
    <w:rsid w:val="00852EEF"/>
    <w:rsid w:val="00853B2F"/>
    <w:rsid w:val="00853D21"/>
    <w:rsid w:val="0085564F"/>
    <w:rsid w:val="00860904"/>
    <w:rsid w:val="00863065"/>
    <w:rsid w:val="00863360"/>
    <w:rsid w:val="008667EA"/>
    <w:rsid w:val="00870445"/>
    <w:rsid w:val="00871FE4"/>
    <w:rsid w:val="00880E24"/>
    <w:rsid w:val="00882404"/>
    <w:rsid w:val="00884865"/>
    <w:rsid w:val="0089119A"/>
    <w:rsid w:val="00892777"/>
    <w:rsid w:val="00892978"/>
    <w:rsid w:val="0089363C"/>
    <w:rsid w:val="008955D5"/>
    <w:rsid w:val="00896AB9"/>
    <w:rsid w:val="008A199B"/>
    <w:rsid w:val="008A2D16"/>
    <w:rsid w:val="008A4865"/>
    <w:rsid w:val="008A64E5"/>
    <w:rsid w:val="008A6B3A"/>
    <w:rsid w:val="008B0092"/>
    <w:rsid w:val="008B09AD"/>
    <w:rsid w:val="008B2E92"/>
    <w:rsid w:val="008B4192"/>
    <w:rsid w:val="008B7258"/>
    <w:rsid w:val="008C3454"/>
    <w:rsid w:val="008C3B67"/>
    <w:rsid w:val="008C7601"/>
    <w:rsid w:val="008D120E"/>
    <w:rsid w:val="008D306F"/>
    <w:rsid w:val="008D3F9F"/>
    <w:rsid w:val="008D4F60"/>
    <w:rsid w:val="008D5681"/>
    <w:rsid w:val="008D5702"/>
    <w:rsid w:val="008D6A28"/>
    <w:rsid w:val="008D701B"/>
    <w:rsid w:val="008E0DAC"/>
    <w:rsid w:val="008E25EA"/>
    <w:rsid w:val="008E2D93"/>
    <w:rsid w:val="008E59DB"/>
    <w:rsid w:val="008F02E0"/>
    <w:rsid w:val="008F110B"/>
    <w:rsid w:val="008F3276"/>
    <w:rsid w:val="008F3471"/>
    <w:rsid w:val="008F38CC"/>
    <w:rsid w:val="008F6963"/>
    <w:rsid w:val="00903213"/>
    <w:rsid w:val="00904AC6"/>
    <w:rsid w:val="009053E6"/>
    <w:rsid w:val="009107BF"/>
    <w:rsid w:val="0091506B"/>
    <w:rsid w:val="009160FA"/>
    <w:rsid w:val="00921C8C"/>
    <w:rsid w:val="00922BA0"/>
    <w:rsid w:val="0092424E"/>
    <w:rsid w:val="00924662"/>
    <w:rsid w:val="0092791B"/>
    <w:rsid w:val="00931A2D"/>
    <w:rsid w:val="00933380"/>
    <w:rsid w:val="00940646"/>
    <w:rsid w:val="009428F7"/>
    <w:rsid w:val="00943E61"/>
    <w:rsid w:val="009470B8"/>
    <w:rsid w:val="00947B6D"/>
    <w:rsid w:val="00950C0A"/>
    <w:rsid w:val="00951EC9"/>
    <w:rsid w:val="009647B5"/>
    <w:rsid w:val="009656BA"/>
    <w:rsid w:val="009659F6"/>
    <w:rsid w:val="00971DF8"/>
    <w:rsid w:val="009740A8"/>
    <w:rsid w:val="00974A87"/>
    <w:rsid w:val="00974EB2"/>
    <w:rsid w:val="009751C9"/>
    <w:rsid w:val="00975A7E"/>
    <w:rsid w:val="00977A63"/>
    <w:rsid w:val="00977F9C"/>
    <w:rsid w:val="0098001C"/>
    <w:rsid w:val="00984C06"/>
    <w:rsid w:val="009907C9"/>
    <w:rsid w:val="00990CFA"/>
    <w:rsid w:val="009A16CB"/>
    <w:rsid w:val="009A359F"/>
    <w:rsid w:val="009A59EF"/>
    <w:rsid w:val="009B0959"/>
    <w:rsid w:val="009C0848"/>
    <w:rsid w:val="009C300C"/>
    <w:rsid w:val="009C4F43"/>
    <w:rsid w:val="009C683C"/>
    <w:rsid w:val="009C6958"/>
    <w:rsid w:val="009D0090"/>
    <w:rsid w:val="009D456D"/>
    <w:rsid w:val="009D4A7E"/>
    <w:rsid w:val="009E0023"/>
    <w:rsid w:val="009E062E"/>
    <w:rsid w:val="009E2B91"/>
    <w:rsid w:val="009E3AC6"/>
    <w:rsid w:val="009E4220"/>
    <w:rsid w:val="009E4584"/>
    <w:rsid w:val="009F772E"/>
    <w:rsid w:val="009F7C69"/>
    <w:rsid w:val="00A028CA"/>
    <w:rsid w:val="00A03637"/>
    <w:rsid w:val="00A03F80"/>
    <w:rsid w:val="00A052C7"/>
    <w:rsid w:val="00A05412"/>
    <w:rsid w:val="00A064B4"/>
    <w:rsid w:val="00A11834"/>
    <w:rsid w:val="00A1413E"/>
    <w:rsid w:val="00A141BD"/>
    <w:rsid w:val="00A15D77"/>
    <w:rsid w:val="00A15E69"/>
    <w:rsid w:val="00A17226"/>
    <w:rsid w:val="00A17B33"/>
    <w:rsid w:val="00A208DC"/>
    <w:rsid w:val="00A2197B"/>
    <w:rsid w:val="00A233FC"/>
    <w:rsid w:val="00A23C41"/>
    <w:rsid w:val="00A23EE6"/>
    <w:rsid w:val="00A24831"/>
    <w:rsid w:val="00A263D3"/>
    <w:rsid w:val="00A26A03"/>
    <w:rsid w:val="00A27975"/>
    <w:rsid w:val="00A3432A"/>
    <w:rsid w:val="00A35C51"/>
    <w:rsid w:val="00A406A9"/>
    <w:rsid w:val="00A426BF"/>
    <w:rsid w:val="00A42AEF"/>
    <w:rsid w:val="00A516D5"/>
    <w:rsid w:val="00A55DAC"/>
    <w:rsid w:val="00A57A47"/>
    <w:rsid w:val="00A60D05"/>
    <w:rsid w:val="00A6527D"/>
    <w:rsid w:val="00A666D1"/>
    <w:rsid w:val="00A7269E"/>
    <w:rsid w:val="00A74BA4"/>
    <w:rsid w:val="00A756BD"/>
    <w:rsid w:val="00A76C7D"/>
    <w:rsid w:val="00A80C67"/>
    <w:rsid w:val="00A81232"/>
    <w:rsid w:val="00A8248D"/>
    <w:rsid w:val="00A82690"/>
    <w:rsid w:val="00A85F17"/>
    <w:rsid w:val="00A94F91"/>
    <w:rsid w:val="00A95D0A"/>
    <w:rsid w:val="00A96D11"/>
    <w:rsid w:val="00A97AEB"/>
    <w:rsid w:val="00AA0818"/>
    <w:rsid w:val="00AA1F8C"/>
    <w:rsid w:val="00AA37F1"/>
    <w:rsid w:val="00AA72B8"/>
    <w:rsid w:val="00AA75EB"/>
    <w:rsid w:val="00AB16DD"/>
    <w:rsid w:val="00AB3073"/>
    <w:rsid w:val="00AB5879"/>
    <w:rsid w:val="00AB7B21"/>
    <w:rsid w:val="00AB7D13"/>
    <w:rsid w:val="00AC0179"/>
    <w:rsid w:val="00AC1CE5"/>
    <w:rsid w:val="00AC2B14"/>
    <w:rsid w:val="00AC6AB8"/>
    <w:rsid w:val="00AC76B3"/>
    <w:rsid w:val="00AD1816"/>
    <w:rsid w:val="00AD297F"/>
    <w:rsid w:val="00AD504D"/>
    <w:rsid w:val="00AD53B0"/>
    <w:rsid w:val="00AE22FB"/>
    <w:rsid w:val="00AE3341"/>
    <w:rsid w:val="00AE399C"/>
    <w:rsid w:val="00AE6275"/>
    <w:rsid w:val="00AE7833"/>
    <w:rsid w:val="00AF1E96"/>
    <w:rsid w:val="00AF2EBC"/>
    <w:rsid w:val="00AF391B"/>
    <w:rsid w:val="00AF5433"/>
    <w:rsid w:val="00AF575B"/>
    <w:rsid w:val="00AF62D7"/>
    <w:rsid w:val="00B01475"/>
    <w:rsid w:val="00B018A3"/>
    <w:rsid w:val="00B04579"/>
    <w:rsid w:val="00B04F46"/>
    <w:rsid w:val="00B061B0"/>
    <w:rsid w:val="00B07CB5"/>
    <w:rsid w:val="00B11585"/>
    <w:rsid w:val="00B122A7"/>
    <w:rsid w:val="00B13543"/>
    <w:rsid w:val="00B15036"/>
    <w:rsid w:val="00B15D2B"/>
    <w:rsid w:val="00B2010B"/>
    <w:rsid w:val="00B20626"/>
    <w:rsid w:val="00B20E99"/>
    <w:rsid w:val="00B243A3"/>
    <w:rsid w:val="00B2674A"/>
    <w:rsid w:val="00B3070F"/>
    <w:rsid w:val="00B334D1"/>
    <w:rsid w:val="00B36B7D"/>
    <w:rsid w:val="00B40913"/>
    <w:rsid w:val="00B40B19"/>
    <w:rsid w:val="00B40C43"/>
    <w:rsid w:val="00B41E72"/>
    <w:rsid w:val="00B420EA"/>
    <w:rsid w:val="00B42C0B"/>
    <w:rsid w:val="00B43B10"/>
    <w:rsid w:val="00B45E58"/>
    <w:rsid w:val="00B47472"/>
    <w:rsid w:val="00B51887"/>
    <w:rsid w:val="00B52656"/>
    <w:rsid w:val="00B52EBC"/>
    <w:rsid w:val="00B53646"/>
    <w:rsid w:val="00B56D71"/>
    <w:rsid w:val="00B57419"/>
    <w:rsid w:val="00B60730"/>
    <w:rsid w:val="00B614A3"/>
    <w:rsid w:val="00B649BF"/>
    <w:rsid w:val="00B71AC6"/>
    <w:rsid w:val="00B724C5"/>
    <w:rsid w:val="00B72C78"/>
    <w:rsid w:val="00B7605C"/>
    <w:rsid w:val="00B76945"/>
    <w:rsid w:val="00B827D0"/>
    <w:rsid w:val="00B84A2A"/>
    <w:rsid w:val="00B91095"/>
    <w:rsid w:val="00B91C03"/>
    <w:rsid w:val="00B93623"/>
    <w:rsid w:val="00B94923"/>
    <w:rsid w:val="00B95A61"/>
    <w:rsid w:val="00B96813"/>
    <w:rsid w:val="00B96FD0"/>
    <w:rsid w:val="00B976EB"/>
    <w:rsid w:val="00BA3175"/>
    <w:rsid w:val="00BA5B80"/>
    <w:rsid w:val="00BA6709"/>
    <w:rsid w:val="00BA6D14"/>
    <w:rsid w:val="00BB01FB"/>
    <w:rsid w:val="00BB23D0"/>
    <w:rsid w:val="00BB573E"/>
    <w:rsid w:val="00BB748F"/>
    <w:rsid w:val="00BB7AF9"/>
    <w:rsid w:val="00BB7DA9"/>
    <w:rsid w:val="00BC00B5"/>
    <w:rsid w:val="00BC1810"/>
    <w:rsid w:val="00BC2955"/>
    <w:rsid w:val="00BC5C99"/>
    <w:rsid w:val="00BC72E1"/>
    <w:rsid w:val="00BD07DA"/>
    <w:rsid w:val="00BD2C68"/>
    <w:rsid w:val="00BD3057"/>
    <w:rsid w:val="00BD57C8"/>
    <w:rsid w:val="00BE0208"/>
    <w:rsid w:val="00BE0614"/>
    <w:rsid w:val="00BE2FA9"/>
    <w:rsid w:val="00BE3515"/>
    <w:rsid w:val="00BE4E04"/>
    <w:rsid w:val="00BE6D68"/>
    <w:rsid w:val="00BF0F49"/>
    <w:rsid w:val="00BF22CC"/>
    <w:rsid w:val="00BF5CD1"/>
    <w:rsid w:val="00BF5FA6"/>
    <w:rsid w:val="00BF6BE7"/>
    <w:rsid w:val="00C007AB"/>
    <w:rsid w:val="00C007D9"/>
    <w:rsid w:val="00C008EE"/>
    <w:rsid w:val="00C00DE4"/>
    <w:rsid w:val="00C00F1F"/>
    <w:rsid w:val="00C0303A"/>
    <w:rsid w:val="00C049D7"/>
    <w:rsid w:val="00C110A0"/>
    <w:rsid w:val="00C13D8E"/>
    <w:rsid w:val="00C163D1"/>
    <w:rsid w:val="00C20F8D"/>
    <w:rsid w:val="00C23C2F"/>
    <w:rsid w:val="00C263C0"/>
    <w:rsid w:val="00C30C9A"/>
    <w:rsid w:val="00C36CF2"/>
    <w:rsid w:val="00C37B02"/>
    <w:rsid w:val="00C37E9B"/>
    <w:rsid w:val="00C42DA9"/>
    <w:rsid w:val="00C44EFF"/>
    <w:rsid w:val="00C46428"/>
    <w:rsid w:val="00C50ECB"/>
    <w:rsid w:val="00C537D9"/>
    <w:rsid w:val="00C57500"/>
    <w:rsid w:val="00C57ECE"/>
    <w:rsid w:val="00C60472"/>
    <w:rsid w:val="00C6396A"/>
    <w:rsid w:val="00C642DE"/>
    <w:rsid w:val="00C66407"/>
    <w:rsid w:val="00C66D14"/>
    <w:rsid w:val="00C677F6"/>
    <w:rsid w:val="00C70618"/>
    <w:rsid w:val="00C72BF3"/>
    <w:rsid w:val="00C75AEC"/>
    <w:rsid w:val="00C76114"/>
    <w:rsid w:val="00C7730D"/>
    <w:rsid w:val="00C80261"/>
    <w:rsid w:val="00C82875"/>
    <w:rsid w:val="00C87ACD"/>
    <w:rsid w:val="00C9014C"/>
    <w:rsid w:val="00C90AFE"/>
    <w:rsid w:val="00C92652"/>
    <w:rsid w:val="00C926E0"/>
    <w:rsid w:val="00C93ACF"/>
    <w:rsid w:val="00C97278"/>
    <w:rsid w:val="00CA037E"/>
    <w:rsid w:val="00CA051B"/>
    <w:rsid w:val="00CA0D05"/>
    <w:rsid w:val="00CA2415"/>
    <w:rsid w:val="00CA4B5B"/>
    <w:rsid w:val="00CA4F15"/>
    <w:rsid w:val="00CA53C9"/>
    <w:rsid w:val="00CA567A"/>
    <w:rsid w:val="00CA5916"/>
    <w:rsid w:val="00CA769F"/>
    <w:rsid w:val="00CB653E"/>
    <w:rsid w:val="00CC0E90"/>
    <w:rsid w:val="00CC1176"/>
    <w:rsid w:val="00CC2125"/>
    <w:rsid w:val="00CD2019"/>
    <w:rsid w:val="00CD6D43"/>
    <w:rsid w:val="00CD7984"/>
    <w:rsid w:val="00CD79EE"/>
    <w:rsid w:val="00CE3AB1"/>
    <w:rsid w:val="00CE5112"/>
    <w:rsid w:val="00CF0F39"/>
    <w:rsid w:val="00CF1EFE"/>
    <w:rsid w:val="00CF2243"/>
    <w:rsid w:val="00CF53CD"/>
    <w:rsid w:val="00CF6536"/>
    <w:rsid w:val="00CF6561"/>
    <w:rsid w:val="00CF728B"/>
    <w:rsid w:val="00D009C7"/>
    <w:rsid w:val="00D0174B"/>
    <w:rsid w:val="00D030ED"/>
    <w:rsid w:val="00D0367B"/>
    <w:rsid w:val="00D07A1B"/>
    <w:rsid w:val="00D07B4D"/>
    <w:rsid w:val="00D11263"/>
    <w:rsid w:val="00D1554A"/>
    <w:rsid w:val="00D157B9"/>
    <w:rsid w:val="00D15B4E"/>
    <w:rsid w:val="00D16267"/>
    <w:rsid w:val="00D162FF"/>
    <w:rsid w:val="00D17637"/>
    <w:rsid w:val="00D17B5E"/>
    <w:rsid w:val="00D20917"/>
    <w:rsid w:val="00D21AF7"/>
    <w:rsid w:val="00D30C3C"/>
    <w:rsid w:val="00D319AB"/>
    <w:rsid w:val="00D321BA"/>
    <w:rsid w:val="00D33A7A"/>
    <w:rsid w:val="00D33F32"/>
    <w:rsid w:val="00D34785"/>
    <w:rsid w:val="00D34C26"/>
    <w:rsid w:val="00D36F62"/>
    <w:rsid w:val="00D40963"/>
    <w:rsid w:val="00D4168D"/>
    <w:rsid w:val="00D42DA0"/>
    <w:rsid w:val="00D45B40"/>
    <w:rsid w:val="00D460E8"/>
    <w:rsid w:val="00D46370"/>
    <w:rsid w:val="00D5163F"/>
    <w:rsid w:val="00D51FB9"/>
    <w:rsid w:val="00D52D7F"/>
    <w:rsid w:val="00D54DED"/>
    <w:rsid w:val="00D56DD9"/>
    <w:rsid w:val="00D60E52"/>
    <w:rsid w:val="00D61AC9"/>
    <w:rsid w:val="00D639DD"/>
    <w:rsid w:val="00D63A96"/>
    <w:rsid w:val="00D6487B"/>
    <w:rsid w:val="00D64E1E"/>
    <w:rsid w:val="00D66F65"/>
    <w:rsid w:val="00D71B67"/>
    <w:rsid w:val="00D760F2"/>
    <w:rsid w:val="00D81B3F"/>
    <w:rsid w:val="00D827F4"/>
    <w:rsid w:val="00D83337"/>
    <w:rsid w:val="00D8467B"/>
    <w:rsid w:val="00D8671A"/>
    <w:rsid w:val="00D87FF1"/>
    <w:rsid w:val="00D922A6"/>
    <w:rsid w:val="00D9295E"/>
    <w:rsid w:val="00D93487"/>
    <w:rsid w:val="00D93B32"/>
    <w:rsid w:val="00D93EF3"/>
    <w:rsid w:val="00D9402A"/>
    <w:rsid w:val="00D95BAC"/>
    <w:rsid w:val="00D96C68"/>
    <w:rsid w:val="00DA1480"/>
    <w:rsid w:val="00DA4B40"/>
    <w:rsid w:val="00DA4C82"/>
    <w:rsid w:val="00DA4D2A"/>
    <w:rsid w:val="00DB3443"/>
    <w:rsid w:val="00DB35C2"/>
    <w:rsid w:val="00DC274A"/>
    <w:rsid w:val="00DC2BD4"/>
    <w:rsid w:val="00DC2F15"/>
    <w:rsid w:val="00DC3381"/>
    <w:rsid w:val="00DC6C1D"/>
    <w:rsid w:val="00DD126E"/>
    <w:rsid w:val="00DD1BC1"/>
    <w:rsid w:val="00DD22B6"/>
    <w:rsid w:val="00DD278B"/>
    <w:rsid w:val="00DD719B"/>
    <w:rsid w:val="00DE045C"/>
    <w:rsid w:val="00DE060F"/>
    <w:rsid w:val="00DE2B89"/>
    <w:rsid w:val="00DE7ABC"/>
    <w:rsid w:val="00DF065F"/>
    <w:rsid w:val="00DF0B19"/>
    <w:rsid w:val="00DF13E6"/>
    <w:rsid w:val="00DF2D6E"/>
    <w:rsid w:val="00E0013D"/>
    <w:rsid w:val="00E07EE9"/>
    <w:rsid w:val="00E11218"/>
    <w:rsid w:val="00E11F7F"/>
    <w:rsid w:val="00E12AEE"/>
    <w:rsid w:val="00E13049"/>
    <w:rsid w:val="00E2032E"/>
    <w:rsid w:val="00E21792"/>
    <w:rsid w:val="00E22DAE"/>
    <w:rsid w:val="00E26CD2"/>
    <w:rsid w:val="00E30378"/>
    <w:rsid w:val="00E31BC4"/>
    <w:rsid w:val="00E3303F"/>
    <w:rsid w:val="00E33048"/>
    <w:rsid w:val="00E36327"/>
    <w:rsid w:val="00E365E6"/>
    <w:rsid w:val="00E37630"/>
    <w:rsid w:val="00E426C9"/>
    <w:rsid w:val="00E430D2"/>
    <w:rsid w:val="00E449AF"/>
    <w:rsid w:val="00E47504"/>
    <w:rsid w:val="00E47B9E"/>
    <w:rsid w:val="00E51AF0"/>
    <w:rsid w:val="00E521A6"/>
    <w:rsid w:val="00E557AF"/>
    <w:rsid w:val="00E55F4D"/>
    <w:rsid w:val="00E57783"/>
    <w:rsid w:val="00E63B0B"/>
    <w:rsid w:val="00E646D8"/>
    <w:rsid w:val="00E6509F"/>
    <w:rsid w:val="00E72487"/>
    <w:rsid w:val="00E74D79"/>
    <w:rsid w:val="00E75DA0"/>
    <w:rsid w:val="00E777D9"/>
    <w:rsid w:val="00E85502"/>
    <w:rsid w:val="00E8669A"/>
    <w:rsid w:val="00E9045E"/>
    <w:rsid w:val="00E919CF"/>
    <w:rsid w:val="00E91E96"/>
    <w:rsid w:val="00E94082"/>
    <w:rsid w:val="00E94B00"/>
    <w:rsid w:val="00E97411"/>
    <w:rsid w:val="00EA3092"/>
    <w:rsid w:val="00EA3FFB"/>
    <w:rsid w:val="00EA4EDE"/>
    <w:rsid w:val="00EA6A93"/>
    <w:rsid w:val="00EA76EC"/>
    <w:rsid w:val="00EA7F0E"/>
    <w:rsid w:val="00EB02CE"/>
    <w:rsid w:val="00EB1E78"/>
    <w:rsid w:val="00EB218E"/>
    <w:rsid w:val="00EB2563"/>
    <w:rsid w:val="00EB2942"/>
    <w:rsid w:val="00EB2F0A"/>
    <w:rsid w:val="00EB3422"/>
    <w:rsid w:val="00EB418B"/>
    <w:rsid w:val="00EC0233"/>
    <w:rsid w:val="00EC091E"/>
    <w:rsid w:val="00EC3633"/>
    <w:rsid w:val="00EC3C56"/>
    <w:rsid w:val="00EC67C4"/>
    <w:rsid w:val="00ED036D"/>
    <w:rsid w:val="00ED3757"/>
    <w:rsid w:val="00ED3CA2"/>
    <w:rsid w:val="00ED4762"/>
    <w:rsid w:val="00ED5082"/>
    <w:rsid w:val="00ED5D45"/>
    <w:rsid w:val="00EE0269"/>
    <w:rsid w:val="00EE132B"/>
    <w:rsid w:val="00EE3471"/>
    <w:rsid w:val="00EE656B"/>
    <w:rsid w:val="00EE69F4"/>
    <w:rsid w:val="00EE7174"/>
    <w:rsid w:val="00EF10C8"/>
    <w:rsid w:val="00EF2C88"/>
    <w:rsid w:val="00F00E60"/>
    <w:rsid w:val="00F05BBF"/>
    <w:rsid w:val="00F061D9"/>
    <w:rsid w:val="00F0746F"/>
    <w:rsid w:val="00F117ED"/>
    <w:rsid w:val="00F12AAD"/>
    <w:rsid w:val="00F1456B"/>
    <w:rsid w:val="00F15726"/>
    <w:rsid w:val="00F17DED"/>
    <w:rsid w:val="00F22020"/>
    <w:rsid w:val="00F23834"/>
    <w:rsid w:val="00F23B4C"/>
    <w:rsid w:val="00F2536A"/>
    <w:rsid w:val="00F320D6"/>
    <w:rsid w:val="00F32A36"/>
    <w:rsid w:val="00F338E6"/>
    <w:rsid w:val="00F33A4B"/>
    <w:rsid w:val="00F35FAC"/>
    <w:rsid w:val="00F3640E"/>
    <w:rsid w:val="00F36700"/>
    <w:rsid w:val="00F448D1"/>
    <w:rsid w:val="00F457C6"/>
    <w:rsid w:val="00F46C49"/>
    <w:rsid w:val="00F47B6B"/>
    <w:rsid w:val="00F503F8"/>
    <w:rsid w:val="00F50754"/>
    <w:rsid w:val="00F5571B"/>
    <w:rsid w:val="00F56423"/>
    <w:rsid w:val="00F570F0"/>
    <w:rsid w:val="00F60492"/>
    <w:rsid w:val="00F60667"/>
    <w:rsid w:val="00F60E3B"/>
    <w:rsid w:val="00F61DC4"/>
    <w:rsid w:val="00F63A4B"/>
    <w:rsid w:val="00F6587D"/>
    <w:rsid w:val="00F71D8E"/>
    <w:rsid w:val="00F731F8"/>
    <w:rsid w:val="00F739BD"/>
    <w:rsid w:val="00F7587A"/>
    <w:rsid w:val="00F81859"/>
    <w:rsid w:val="00F82E67"/>
    <w:rsid w:val="00F84CA5"/>
    <w:rsid w:val="00F915CB"/>
    <w:rsid w:val="00F94B01"/>
    <w:rsid w:val="00F9673A"/>
    <w:rsid w:val="00F96849"/>
    <w:rsid w:val="00FA038F"/>
    <w:rsid w:val="00FA0B2F"/>
    <w:rsid w:val="00FA33BE"/>
    <w:rsid w:val="00FA3AE7"/>
    <w:rsid w:val="00FA5541"/>
    <w:rsid w:val="00FB3068"/>
    <w:rsid w:val="00FB40DE"/>
    <w:rsid w:val="00FB44C0"/>
    <w:rsid w:val="00FB6A79"/>
    <w:rsid w:val="00FC10FA"/>
    <w:rsid w:val="00FC250D"/>
    <w:rsid w:val="00FC5AE6"/>
    <w:rsid w:val="00FC65DA"/>
    <w:rsid w:val="00FD0397"/>
    <w:rsid w:val="00FD1F23"/>
    <w:rsid w:val="00FD446A"/>
    <w:rsid w:val="00FE160A"/>
    <w:rsid w:val="00FE41DC"/>
    <w:rsid w:val="00FE502E"/>
    <w:rsid w:val="00FE5693"/>
    <w:rsid w:val="00FE6D27"/>
    <w:rsid w:val="00FF010B"/>
    <w:rsid w:val="00FF2EB4"/>
    <w:rsid w:val="00FF3D1F"/>
    <w:rsid w:val="00FF6BAA"/>
    <w:rsid w:val="00FF70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96897D9-A545-4B0F-BC44-094E18E62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33F32"/>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D33F32"/>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D33F32"/>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984C06"/>
    <w:pPr>
      <w:keepNext/>
      <w:spacing w:line="720" w:lineRule="atLeast"/>
      <w:outlineLvl w:val="3"/>
    </w:pPr>
    <w:rPr>
      <w:rFonts w:ascii="Calibri Light" w:eastAsia="新細明體" w:hAnsi="Calibri Light"/>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d">
    <w:name w:val="header"/>
    <w:basedOn w:val="a"/>
    <w:link w:val="ae"/>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FE6D27"/>
    <w:pPr>
      <w:tabs>
        <w:tab w:val="right" w:leader="hyphen" w:pos="8490"/>
      </w:tabs>
      <w:ind w:leftChars="0" w:left="487" w:hangingChars="200" w:hanging="487"/>
    </w:pPr>
    <w:rPr>
      <w:b/>
      <w:noProof/>
      <w:sz w:val="24"/>
    </w:rPr>
  </w:style>
  <w:style w:type="paragraph" w:styleId="23">
    <w:name w:val="toc 2"/>
    <w:basedOn w:val="a"/>
    <w:next w:val="a"/>
    <w:autoRedefine/>
    <w:uiPriority w:val="39"/>
    <w:rsid w:val="00D40963"/>
    <w:pPr>
      <w:tabs>
        <w:tab w:val="right" w:leader="hyphen" w:pos="8490"/>
      </w:tabs>
      <w:ind w:leftChars="0" w:left="486" w:rightChars="100" w:right="283" w:hangingChars="200" w:hanging="486"/>
    </w:pPr>
    <w:rPr>
      <w:noProof/>
      <w:sz w:val="24"/>
    </w:rPr>
  </w:style>
  <w:style w:type="character" w:customStyle="1" w:styleId="ae">
    <w:name w:val="頁首 字元"/>
    <w:link w:val="ad"/>
    <w:uiPriority w:val="99"/>
    <w:rsid w:val="00D71B67"/>
    <w:rPr>
      <w:rFonts w:ascii="標楷體" w:eastAsia="標楷體"/>
      <w:snapToGrid w:val="0"/>
      <w:kern w:val="2"/>
    </w:rPr>
  </w:style>
  <w:style w:type="paragraph" w:styleId="af">
    <w:name w:val="footer"/>
    <w:basedOn w:val="a"/>
    <w:link w:val="af0"/>
    <w:uiPriority w:val="99"/>
    <w:unhideWhenUsed/>
    <w:rsid w:val="00D71B67"/>
    <w:pPr>
      <w:tabs>
        <w:tab w:val="center" w:pos="4153"/>
        <w:tab w:val="right" w:pos="8306"/>
      </w:tabs>
      <w:snapToGrid w:val="0"/>
    </w:pPr>
    <w:rPr>
      <w:sz w:val="20"/>
      <w:szCs w:val="20"/>
    </w:rPr>
  </w:style>
  <w:style w:type="character" w:customStyle="1" w:styleId="af0">
    <w:name w:val="頁尾 字元"/>
    <w:link w:val="af"/>
    <w:uiPriority w:val="99"/>
    <w:rsid w:val="00D71B67"/>
    <w:rPr>
      <w:rFonts w:ascii="標楷體" w:eastAsia="標楷體"/>
      <w:snapToGrid w:val="0"/>
      <w:kern w:val="2"/>
    </w:rPr>
  </w:style>
  <w:style w:type="character" w:customStyle="1" w:styleId="10">
    <w:name w:val="標題 1 字元"/>
    <w:link w:val="1"/>
    <w:uiPriority w:val="9"/>
    <w:rsid w:val="00D33F32"/>
    <w:rPr>
      <w:rFonts w:ascii="Calibri Light" w:hAnsi="Calibri Light"/>
      <w:b/>
      <w:bCs/>
      <w:snapToGrid w:val="0"/>
      <w:kern w:val="52"/>
      <w:sz w:val="52"/>
      <w:szCs w:val="52"/>
    </w:rPr>
  </w:style>
  <w:style w:type="character" w:customStyle="1" w:styleId="20">
    <w:name w:val="標題 2 字元"/>
    <w:link w:val="2"/>
    <w:uiPriority w:val="9"/>
    <w:semiHidden/>
    <w:rsid w:val="00D33F32"/>
    <w:rPr>
      <w:rFonts w:ascii="Calibri Light" w:hAnsi="Calibri Light"/>
      <w:b/>
      <w:bCs/>
      <w:snapToGrid w:val="0"/>
      <w:kern w:val="2"/>
      <w:sz w:val="48"/>
      <w:szCs w:val="48"/>
    </w:rPr>
  </w:style>
  <w:style w:type="character" w:customStyle="1" w:styleId="30">
    <w:name w:val="標題 3 字元"/>
    <w:link w:val="3"/>
    <w:uiPriority w:val="9"/>
    <w:semiHidden/>
    <w:rsid w:val="00D33F32"/>
    <w:rPr>
      <w:rFonts w:ascii="Calibri Light" w:hAnsi="Calibri Light"/>
      <w:b/>
      <w:bCs/>
      <w:snapToGrid w:val="0"/>
      <w:kern w:val="2"/>
      <w:sz w:val="36"/>
      <w:szCs w:val="36"/>
    </w:rPr>
  </w:style>
  <w:style w:type="paragraph" w:styleId="af1">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2"/>
    <w:unhideWhenUsed/>
    <w:qFormat/>
    <w:rsid w:val="00D33F32"/>
    <w:pPr>
      <w:snapToGrid w:val="0"/>
      <w:jc w:val="left"/>
    </w:pPr>
    <w:rPr>
      <w:sz w:val="20"/>
      <w:szCs w:val="20"/>
    </w:rPr>
  </w:style>
  <w:style w:type="character" w:customStyle="1" w:styleId="af2">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1"/>
    <w:qFormat/>
    <w:rsid w:val="00D33F32"/>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unhideWhenUsed/>
    <w:qFormat/>
    <w:rsid w:val="00D33F32"/>
    <w:rPr>
      <w:vertAlign w:val="superscript"/>
    </w:rPr>
  </w:style>
  <w:style w:type="table" w:styleId="af4">
    <w:name w:val="Table Grid"/>
    <w:basedOn w:val="a1"/>
    <w:uiPriority w:val="59"/>
    <w:rsid w:val="00D3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D33F32"/>
    <w:rPr>
      <w:rFonts w:ascii="標楷體" w:eastAsia="標楷體"/>
      <w:snapToGrid w:val="0"/>
      <w:kern w:val="2"/>
      <w:sz w:val="24"/>
      <w:szCs w:val="28"/>
    </w:rPr>
  </w:style>
  <w:style w:type="character" w:customStyle="1" w:styleId="22">
    <w:name w:val="(一)下內文縮2 字元"/>
    <w:link w:val="21"/>
    <w:qFormat/>
    <w:rsid w:val="00D33F32"/>
    <w:rPr>
      <w:rFonts w:ascii="標楷體" w:eastAsia="標楷體"/>
      <w:snapToGrid w:val="0"/>
      <w:kern w:val="2"/>
      <w:sz w:val="28"/>
      <w:szCs w:val="28"/>
    </w:rPr>
  </w:style>
  <w:style w:type="character" w:customStyle="1" w:styleId="1230">
    <w:name w:val="1.2.3. 字元"/>
    <w:link w:val="123"/>
    <w:rsid w:val="00D33F32"/>
    <w:rPr>
      <w:rFonts w:ascii="標楷體" w:eastAsia="標楷體"/>
      <w:snapToGrid w:val="0"/>
      <w:kern w:val="2"/>
      <w:sz w:val="28"/>
      <w:szCs w:val="28"/>
    </w:rPr>
  </w:style>
  <w:style w:type="character" w:styleId="af5">
    <w:name w:val="Hyperlink"/>
    <w:uiPriority w:val="99"/>
    <w:unhideWhenUsed/>
    <w:rsid w:val="00D33F32"/>
    <w:rPr>
      <w:rFonts w:eastAsia="標楷體"/>
      <w:color w:val="0563C1"/>
      <w:sz w:val="24"/>
      <w:u w:val="single"/>
    </w:rPr>
  </w:style>
  <w:style w:type="character" w:customStyle="1" w:styleId="140">
    <w:name w:val="第二層(14號字) 字元"/>
    <w:link w:val="14"/>
    <w:rsid w:val="00D33F32"/>
    <w:rPr>
      <w:rFonts w:ascii="標楷體" w:eastAsia="標楷體"/>
      <w:b/>
      <w:snapToGrid w:val="0"/>
      <w:kern w:val="2"/>
      <w:sz w:val="28"/>
    </w:rPr>
  </w:style>
  <w:style w:type="paragraph" w:styleId="af6">
    <w:name w:val="Balloon Text"/>
    <w:basedOn w:val="a"/>
    <w:link w:val="af7"/>
    <w:uiPriority w:val="99"/>
    <w:semiHidden/>
    <w:unhideWhenUsed/>
    <w:rsid w:val="00D33F32"/>
    <w:pPr>
      <w:spacing w:line="240" w:lineRule="auto"/>
    </w:pPr>
    <w:rPr>
      <w:rFonts w:ascii="Calibri Light" w:eastAsia="新細明體" w:hAnsi="Calibri Light"/>
      <w:sz w:val="18"/>
      <w:szCs w:val="18"/>
    </w:rPr>
  </w:style>
  <w:style w:type="character" w:customStyle="1" w:styleId="af7">
    <w:name w:val="註解方塊文字 字元"/>
    <w:link w:val="af6"/>
    <w:uiPriority w:val="99"/>
    <w:semiHidden/>
    <w:rsid w:val="00D33F32"/>
    <w:rPr>
      <w:rFonts w:ascii="Calibri Light" w:hAnsi="Calibri Light"/>
      <w:snapToGrid w:val="0"/>
      <w:kern w:val="2"/>
      <w:sz w:val="18"/>
      <w:szCs w:val="18"/>
    </w:rPr>
  </w:style>
  <w:style w:type="character" w:customStyle="1" w:styleId="11">
    <w:name w:val="(一)(二)(三) 字元1"/>
    <w:link w:val="a4"/>
    <w:rsid w:val="00E3303F"/>
    <w:rPr>
      <w:rFonts w:ascii="標楷體" w:eastAsia="標楷體"/>
      <w:snapToGrid w:val="0"/>
      <w:kern w:val="2"/>
      <w:sz w:val="28"/>
      <w:szCs w:val="28"/>
    </w:rPr>
  </w:style>
  <w:style w:type="paragraph" w:customStyle="1" w:styleId="13">
    <w:name w:val="1"/>
    <w:basedOn w:val="a"/>
    <w:semiHidden/>
    <w:rsid w:val="00C90A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AF2EBC"/>
    <w:pPr>
      <w:widowControl w:val="0"/>
      <w:autoSpaceDE w:val="0"/>
      <w:autoSpaceDN w:val="0"/>
      <w:adjustRightInd w:val="0"/>
    </w:pPr>
    <w:rPr>
      <w:rFonts w:ascii="標楷體" w:eastAsia="標楷體" w:cs="標楷體"/>
      <w:color w:val="000000"/>
      <w:sz w:val="24"/>
      <w:szCs w:val="24"/>
    </w:rPr>
  </w:style>
  <w:style w:type="paragraph" w:styleId="Web">
    <w:name w:val="Normal (Web)"/>
    <w:basedOn w:val="a"/>
    <w:uiPriority w:val="99"/>
    <w:semiHidden/>
    <w:unhideWhenUsed/>
    <w:rsid w:val="00B07CB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4">
    <w:name w:val="(一)(二)(三) 字元2"/>
    <w:rsid w:val="00DC3381"/>
    <w:rPr>
      <w:rFonts w:ascii="標楷體" w:eastAsia="標楷體"/>
      <w:snapToGrid w:val="0"/>
      <w:kern w:val="2"/>
      <w:sz w:val="28"/>
      <w:szCs w:val="28"/>
    </w:rPr>
  </w:style>
  <w:style w:type="character" w:customStyle="1" w:styleId="a8">
    <w:name w:val="前言內文 字元"/>
    <w:link w:val="a7"/>
    <w:locked/>
    <w:rsid w:val="007452D4"/>
    <w:rPr>
      <w:rFonts w:ascii="標楷體" w:eastAsia="標楷體"/>
      <w:snapToGrid w:val="0"/>
      <w:kern w:val="2"/>
      <w:sz w:val="28"/>
      <w:szCs w:val="28"/>
    </w:rPr>
  </w:style>
  <w:style w:type="paragraph" w:styleId="af8">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9"/>
    <w:uiPriority w:val="34"/>
    <w:qFormat/>
    <w:rsid w:val="00E12AEE"/>
    <w:pPr>
      <w:spacing w:line="240" w:lineRule="auto"/>
      <w:ind w:left="480" w:firstLineChars="0" w:firstLine="0"/>
      <w:jc w:val="left"/>
    </w:pPr>
    <w:rPr>
      <w:rFonts w:ascii="Calibri" w:eastAsia="新細明體" w:hAnsi="Calibri"/>
      <w:snapToGrid/>
      <w:sz w:val="24"/>
      <w:szCs w:val="22"/>
    </w:rPr>
  </w:style>
  <w:style w:type="character" w:customStyle="1" w:styleId="af9">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8"/>
    <w:uiPriority w:val="34"/>
    <w:qFormat/>
    <w:rsid w:val="00E12AEE"/>
    <w:rPr>
      <w:rFonts w:ascii="Calibri" w:hAnsi="Calibri"/>
      <w:kern w:val="2"/>
      <w:sz w:val="24"/>
      <w:szCs w:val="22"/>
    </w:rPr>
  </w:style>
  <w:style w:type="character" w:styleId="afa">
    <w:name w:val="Emphasis"/>
    <w:uiPriority w:val="20"/>
    <w:qFormat/>
    <w:rsid w:val="00D20917"/>
    <w:rPr>
      <w:i/>
      <w:iCs/>
    </w:rPr>
  </w:style>
  <w:style w:type="character" w:customStyle="1" w:styleId="40">
    <w:name w:val="標題 4 字元"/>
    <w:link w:val="4"/>
    <w:uiPriority w:val="9"/>
    <w:semiHidden/>
    <w:rsid w:val="00984C06"/>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141384">
      <w:bodyDiv w:val="1"/>
      <w:marLeft w:val="0"/>
      <w:marRight w:val="0"/>
      <w:marTop w:val="0"/>
      <w:marBottom w:val="0"/>
      <w:divBdr>
        <w:top w:val="none" w:sz="0" w:space="0" w:color="auto"/>
        <w:left w:val="none" w:sz="0" w:space="0" w:color="auto"/>
        <w:bottom w:val="none" w:sz="0" w:space="0" w:color="auto"/>
        <w:right w:val="none" w:sz="0" w:space="0" w:color="auto"/>
      </w:divBdr>
    </w:div>
    <w:div w:id="1340161137">
      <w:bodyDiv w:val="1"/>
      <w:marLeft w:val="0"/>
      <w:marRight w:val="0"/>
      <w:marTop w:val="0"/>
      <w:marBottom w:val="0"/>
      <w:divBdr>
        <w:top w:val="none" w:sz="0" w:space="0" w:color="auto"/>
        <w:left w:val="none" w:sz="0" w:space="0" w:color="auto"/>
        <w:bottom w:val="none" w:sz="0" w:space="0" w:color="auto"/>
        <w:right w:val="none" w:sz="0" w:space="0" w:color="auto"/>
      </w:divBdr>
    </w:div>
    <w:div w:id="1441994719">
      <w:bodyDiv w:val="1"/>
      <w:marLeft w:val="0"/>
      <w:marRight w:val="0"/>
      <w:marTop w:val="0"/>
      <w:marBottom w:val="0"/>
      <w:divBdr>
        <w:top w:val="none" w:sz="0" w:space="0" w:color="auto"/>
        <w:left w:val="none" w:sz="0" w:space="0" w:color="auto"/>
        <w:bottom w:val="none" w:sz="0" w:space="0" w:color="auto"/>
        <w:right w:val="none" w:sz="0" w:space="0" w:color="auto"/>
      </w:divBdr>
    </w:div>
    <w:div w:id="150955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7AC71-CFA6-48C4-BBFC-32761D247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4</Pages>
  <Words>416</Words>
  <Characters>2375</Characters>
  <Application>Microsoft Office Word</Application>
  <DocSecurity>0</DocSecurity>
  <Lines>19</Lines>
  <Paragraphs>5</Paragraphs>
  <ScaleCrop>false</ScaleCrop>
  <Company>HOME</Company>
  <LinksUpToDate>false</LinksUpToDate>
  <CharactersWithSpaces>2786</CharactersWithSpaces>
  <SharedDoc>false</SharedDoc>
  <HLinks>
    <vt:vector size="138" baseType="variant">
      <vt:variant>
        <vt:i4>1638449</vt:i4>
      </vt:variant>
      <vt:variant>
        <vt:i4>128</vt:i4>
      </vt:variant>
      <vt:variant>
        <vt:i4>0</vt:i4>
      </vt:variant>
      <vt:variant>
        <vt:i4>5</vt:i4>
      </vt:variant>
      <vt:variant>
        <vt:lpwstr/>
      </vt:variant>
      <vt:variant>
        <vt:lpwstr>_Toc181628387</vt:lpwstr>
      </vt:variant>
      <vt:variant>
        <vt:i4>1638449</vt:i4>
      </vt:variant>
      <vt:variant>
        <vt:i4>122</vt:i4>
      </vt:variant>
      <vt:variant>
        <vt:i4>0</vt:i4>
      </vt:variant>
      <vt:variant>
        <vt:i4>5</vt:i4>
      </vt:variant>
      <vt:variant>
        <vt:lpwstr/>
      </vt:variant>
      <vt:variant>
        <vt:lpwstr>_Toc181628386</vt:lpwstr>
      </vt:variant>
      <vt:variant>
        <vt:i4>1638449</vt:i4>
      </vt:variant>
      <vt:variant>
        <vt:i4>116</vt:i4>
      </vt:variant>
      <vt:variant>
        <vt:i4>0</vt:i4>
      </vt:variant>
      <vt:variant>
        <vt:i4>5</vt:i4>
      </vt:variant>
      <vt:variant>
        <vt:lpwstr/>
      </vt:variant>
      <vt:variant>
        <vt:lpwstr>_Toc181628385</vt:lpwstr>
      </vt:variant>
      <vt:variant>
        <vt:i4>1638449</vt:i4>
      </vt:variant>
      <vt:variant>
        <vt:i4>110</vt:i4>
      </vt:variant>
      <vt:variant>
        <vt:i4>0</vt:i4>
      </vt:variant>
      <vt:variant>
        <vt:i4>5</vt:i4>
      </vt:variant>
      <vt:variant>
        <vt:lpwstr/>
      </vt:variant>
      <vt:variant>
        <vt:lpwstr>_Toc181628384</vt:lpwstr>
      </vt:variant>
      <vt:variant>
        <vt:i4>1638449</vt:i4>
      </vt:variant>
      <vt:variant>
        <vt:i4>104</vt:i4>
      </vt:variant>
      <vt:variant>
        <vt:i4>0</vt:i4>
      </vt:variant>
      <vt:variant>
        <vt:i4>5</vt:i4>
      </vt:variant>
      <vt:variant>
        <vt:lpwstr/>
      </vt:variant>
      <vt:variant>
        <vt:lpwstr>_Toc181628383</vt:lpwstr>
      </vt:variant>
      <vt:variant>
        <vt:i4>1638449</vt:i4>
      </vt:variant>
      <vt:variant>
        <vt:i4>98</vt:i4>
      </vt:variant>
      <vt:variant>
        <vt:i4>0</vt:i4>
      </vt:variant>
      <vt:variant>
        <vt:i4>5</vt:i4>
      </vt:variant>
      <vt:variant>
        <vt:lpwstr/>
      </vt:variant>
      <vt:variant>
        <vt:lpwstr>_Toc181628382</vt:lpwstr>
      </vt:variant>
      <vt:variant>
        <vt:i4>1638449</vt:i4>
      </vt:variant>
      <vt:variant>
        <vt:i4>92</vt:i4>
      </vt:variant>
      <vt:variant>
        <vt:i4>0</vt:i4>
      </vt:variant>
      <vt:variant>
        <vt:i4>5</vt:i4>
      </vt:variant>
      <vt:variant>
        <vt:lpwstr/>
      </vt:variant>
      <vt:variant>
        <vt:lpwstr>_Toc181628381</vt:lpwstr>
      </vt:variant>
      <vt:variant>
        <vt:i4>1638449</vt:i4>
      </vt:variant>
      <vt:variant>
        <vt:i4>86</vt:i4>
      </vt:variant>
      <vt:variant>
        <vt:i4>0</vt:i4>
      </vt:variant>
      <vt:variant>
        <vt:i4>5</vt:i4>
      </vt:variant>
      <vt:variant>
        <vt:lpwstr/>
      </vt:variant>
      <vt:variant>
        <vt:lpwstr>_Toc181628380</vt:lpwstr>
      </vt:variant>
      <vt:variant>
        <vt:i4>1441841</vt:i4>
      </vt:variant>
      <vt:variant>
        <vt:i4>80</vt:i4>
      </vt:variant>
      <vt:variant>
        <vt:i4>0</vt:i4>
      </vt:variant>
      <vt:variant>
        <vt:i4>5</vt:i4>
      </vt:variant>
      <vt:variant>
        <vt:lpwstr/>
      </vt:variant>
      <vt:variant>
        <vt:lpwstr>_Toc181628379</vt:lpwstr>
      </vt:variant>
      <vt:variant>
        <vt:i4>1441841</vt:i4>
      </vt:variant>
      <vt:variant>
        <vt:i4>74</vt:i4>
      </vt:variant>
      <vt:variant>
        <vt:i4>0</vt:i4>
      </vt:variant>
      <vt:variant>
        <vt:i4>5</vt:i4>
      </vt:variant>
      <vt:variant>
        <vt:lpwstr/>
      </vt:variant>
      <vt:variant>
        <vt:lpwstr>_Toc181628378</vt:lpwstr>
      </vt:variant>
      <vt:variant>
        <vt:i4>1441841</vt:i4>
      </vt:variant>
      <vt:variant>
        <vt:i4>68</vt:i4>
      </vt:variant>
      <vt:variant>
        <vt:i4>0</vt:i4>
      </vt:variant>
      <vt:variant>
        <vt:i4>5</vt:i4>
      </vt:variant>
      <vt:variant>
        <vt:lpwstr/>
      </vt:variant>
      <vt:variant>
        <vt:lpwstr>_Toc181628377</vt:lpwstr>
      </vt:variant>
      <vt:variant>
        <vt:i4>1441841</vt:i4>
      </vt:variant>
      <vt:variant>
        <vt:i4>62</vt:i4>
      </vt:variant>
      <vt:variant>
        <vt:i4>0</vt:i4>
      </vt:variant>
      <vt:variant>
        <vt:i4>5</vt:i4>
      </vt:variant>
      <vt:variant>
        <vt:lpwstr/>
      </vt:variant>
      <vt:variant>
        <vt:lpwstr>_Toc181628376</vt:lpwstr>
      </vt:variant>
      <vt:variant>
        <vt:i4>1441841</vt:i4>
      </vt:variant>
      <vt:variant>
        <vt:i4>56</vt:i4>
      </vt:variant>
      <vt:variant>
        <vt:i4>0</vt:i4>
      </vt:variant>
      <vt:variant>
        <vt:i4>5</vt:i4>
      </vt:variant>
      <vt:variant>
        <vt:lpwstr/>
      </vt:variant>
      <vt:variant>
        <vt:lpwstr>_Toc181628375</vt:lpwstr>
      </vt:variant>
      <vt:variant>
        <vt:i4>1441841</vt:i4>
      </vt:variant>
      <vt:variant>
        <vt:i4>50</vt:i4>
      </vt:variant>
      <vt:variant>
        <vt:i4>0</vt:i4>
      </vt:variant>
      <vt:variant>
        <vt:i4>5</vt:i4>
      </vt:variant>
      <vt:variant>
        <vt:lpwstr/>
      </vt:variant>
      <vt:variant>
        <vt:lpwstr>_Toc181628374</vt:lpwstr>
      </vt:variant>
      <vt:variant>
        <vt:i4>1441841</vt:i4>
      </vt:variant>
      <vt:variant>
        <vt:i4>44</vt:i4>
      </vt:variant>
      <vt:variant>
        <vt:i4>0</vt:i4>
      </vt:variant>
      <vt:variant>
        <vt:i4>5</vt:i4>
      </vt:variant>
      <vt:variant>
        <vt:lpwstr/>
      </vt:variant>
      <vt:variant>
        <vt:lpwstr>_Toc181628373</vt:lpwstr>
      </vt:variant>
      <vt:variant>
        <vt:i4>1441841</vt:i4>
      </vt:variant>
      <vt:variant>
        <vt:i4>38</vt:i4>
      </vt:variant>
      <vt:variant>
        <vt:i4>0</vt:i4>
      </vt:variant>
      <vt:variant>
        <vt:i4>5</vt:i4>
      </vt:variant>
      <vt:variant>
        <vt:lpwstr/>
      </vt:variant>
      <vt:variant>
        <vt:lpwstr>_Toc181628372</vt:lpwstr>
      </vt:variant>
      <vt:variant>
        <vt:i4>1441841</vt:i4>
      </vt:variant>
      <vt:variant>
        <vt:i4>32</vt:i4>
      </vt:variant>
      <vt:variant>
        <vt:i4>0</vt:i4>
      </vt:variant>
      <vt:variant>
        <vt:i4>5</vt:i4>
      </vt:variant>
      <vt:variant>
        <vt:lpwstr/>
      </vt:variant>
      <vt:variant>
        <vt:lpwstr>_Toc181628371</vt:lpwstr>
      </vt:variant>
      <vt:variant>
        <vt:i4>1441841</vt:i4>
      </vt:variant>
      <vt:variant>
        <vt:i4>26</vt:i4>
      </vt:variant>
      <vt:variant>
        <vt:i4>0</vt:i4>
      </vt:variant>
      <vt:variant>
        <vt:i4>5</vt:i4>
      </vt:variant>
      <vt:variant>
        <vt:lpwstr/>
      </vt:variant>
      <vt:variant>
        <vt:lpwstr>_Toc181628370</vt:lpwstr>
      </vt:variant>
      <vt:variant>
        <vt:i4>1507377</vt:i4>
      </vt:variant>
      <vt:variant>
        <vt:i4>20</vt:i4>
      </vt:variant>
      <vt:variant>
        <vt:i4>0</vt:i4>
      </vt:variant>
      <vt:variant>
        <vt:i4>5</vt:i4>
      </vt:variant>
      <vt:variant>
        <vt:lpwstr/>
      </vt:variant>
      <vt:variant>
        <vt:lpwstr>_Toc181628369</vt:lpwstr>
      </vt:variant>
      <vt:variant>
        <vt:i4>1507377</vt:i4>
      </vt:variant>
      <vt:variant>
        <vt:i4>14</vt:i4>
      </vt:variant>
      <vt:variant>
        <vt:i4>0</vt:i4>
      </vt:variant>
      <vt:variant>
        <vt:i4>5</vt:i4>
      </vt:variant>
      <vt:variant>
        <vt:lpwstr/>
      </vt:variant>
      <vt:variant>
        <vt:lpwstr>_Toc181628368</vt:lpwstr>
      </vt:variant>
      <vt:variant>
        <vt:i4>1507377</vt:i4>
      </vt:variant>
      <vt:variant>
        <vt:i4>8</vt:i4>
      </vt:variant>
      <vt:variant>
        <vt:i4>0</vt:i4>
      </vt:variant>
      <vt:variant>
        <vt:i4>5</vt:i4>
      </vt:variant>
      <vt:variant>
        <vt:lpwstr/>
      </vt:variant>
      <vt:variant>
        <vt:lpwstr>_Toc181628367</vt:lpwstr>
      </vt:variant>
      <vt:variant>
        <vt:i4>1507377</vt:i4>
      </vt:variant>
      <vt:variant>
        <vt:i4>2</vt:i4>
      </vt:variant>
      <vt:variant>
        <vt:i4>0</vt:i4>
      </vt:variant>
      <vt:variant>
        <vt:i4>5</vt:i4>
      </vt:variant>
      <vt:variant>
        <vt:lpwstr/>
      </vt:variant>
      <vt:variant>
        <vt:lpwstr>_Toc181628366</vt:lpwstr>
      </vt:variant>
      <vt:variant>
        <vt:i4>7405680</vt:i4>
      </vt:variant>
      <vt:variant>
        <vt:i4>0</vt:i4>
      </vt:variant>
      <vt:variant>
        <vt:i4>0</vt:i4>
      </vt:variant>
      <vt:variant>
        <vt:i4>5</vt:i4>
      </vt:variant>
      <vt:variant>
        <vt:lpwstr>https://law.moj.gov.tw/LawClass/LawAll.aspx?pcode=O0090012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2024-11-05T08:32:00Z</cp:lastPrinted>
  <dcterms:created xsi:type="dcterms:W3CDTF">2024-11-13T06:18:00Z</dcterms:created>
  <dcterms:modified xsi:type="dcterms:W3CDTF">2024-11-13T06:18:00Z</dcterms:modified>
</cp:coreProperties>
</file>