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33F32" w:rsidRPr="0034283B" w:rsidRDefault="00D33F32" w:rsidP="00D33F32">
      <w:pPr>
        <w:pStyle w:val="aa"/>
      </w:pPr>
      <w:bookmarkStart w:id="0" w:name="_GoBack"/>
      <w:bookmarkEnd w:id="0"/>
      <w:r w:rsidRPr="0034283B">
        <w:rPr>
          <w:rFonts w:hint="eastAsia"/>
        </w:rPr>
        <w:t>台灣電力股份有限公司11</w:t>
      </w:r>
      <w:r w:rsidR="00290FB8" w:rsidRPr="0034283B">
        <w:t>4</w:t>
      </w:r>
      <w:r w:rsidRPr="0034283B">
        <w:rPr>
          <w:rFonts w:hint="eastAsia"/>
        </w:rPr>
        <w:t>年度營業預算評估報告</w:t>
      </w:r>
    </w:p>
    <w:p w:rsidR="00D33F32" w:rsidRPr="0034283B" w:rsidRDefault="00D33F32" w:rsidP="00FA5541">
      <w:pPr>
        <w:pStyle w:val="a7"/>
        <w:ind w:firstLine="566"/>
      </w:pPr>
      <w:r w:rsidRPr="0034283B">
        <w:rPr>
          <w:rFonts w:hint="eastAsia"/>
        </w:rPr>
        <w:t>台灣電力股份有限公司(以下稱台電公司)主要任務係穩定供應我國經濟發展及全民生活所需之電力，以促進工商業繁榮，並提高人民生活水準。</w:t>
      </w:r>
      <w:r w:rsidR="00401B02" w:rsidRPr="0034283B">
        <w:rPr>
          <w:rFonts w:hAnsi="標楷體" w:hint="eastAsia"/>
        </w:rPr>
        <w:t>台電公司114年度預算案編列營業收入9,895億3,648萬9千元，營業成本9,393億3,440萬6千元，營業費用173億7,111萬8千元，營業外收入152億4,880萬4千元，營業外費用403億4,303萬6千元，收支相抵後本期淨利77億3,673萬3千元，較113年度預算淨損1,887億453萬8千元，</w:t>
      </w:r>
      <w:r w:rsidR="00414AA7" w:rsidRPr="0034283B">
        <w:rPr>
          <w:rFonts w:hAnsi="標楷體" w:hint="eastAsia"/>
        </w:rPr>
        <w:t>由虧轉盈</w:t>
      </w:r>
      <w:r w:rsidR="00401B02" w:rsidRPr="0034283B">
        <w:rPr>
          <w:rFonts w:hAnsi="標楷體" w:hint="eastAsia"/>
        </w:rPr>
        <w:t>。</w:t>
      </w:r>
      <w:r w:rsidRPr="0034283B">
        <w:rPr>
          <w:rFonts w:hint="eastAsia"/>
        </w:rPr>
        <w:t>謹就台電公司11</w:t>
      </w:r>
      <w:r w:rsidR="00290FB8" w:rsidRPr="0034283B">
        <w:t>4</w:t>
      </w:r>
      <w:r w:rsidRPr="0034283B">
        <w:rPr>
          <w:rFonts w:hint="eastAsia"/>
        </w:rPr>
        <w:t>年度營業預算案評估如下：</w:t>
      </w:r>
    </w:p>
    <w:p w:rsidR="00D56DD9" w:rsidRPr="0034283B" w:rsidRDefault="004F1C2F" w:rsidP="00AA1F8C">
      <w:pPr>
        <w:pStyle w:val="14"/>
        <w:ind w:left="567" w:hanging="567"/>
      </w:pPr>
      <w:bookmarkStart w:id="1" w:name="_Toc181628375"/>
      <w:r w:rsidRPr="0034283B">
        <w:rPr>
          <w:rFonts w:hint="eastAsia"/>
        </w:rPr>
        <w:t>八、預計11</w:t>
      </w:r>
      <w:r w:rsidR="00B649BF" w:rsidRPr="0034283B">
        <w:t>4</w:t>
      </w:r>
      <w:r w:rsidRPr="0034283B">
        <w:rPr>
          <w:rFonts w:hint="eastAsia"/>
        </w:rPr>
        <w:t>年度發電燃料費用雖較11</w:t>
      </w:r>
      <w:r w:rsidR="00B649BF" w:rsidRPr="0034283B">
        <w:t>3</w:t>
      </w:r>
      <w:r w:rsidRPr="0034283B">
        <w:rPr>
          <w:rFonts w:hint="eastAsia"/>
        </w:rPr>
        <w:t>年度</w:t>
      </w:r>
      <w:r w:rsidR="00462E23">
        <w:rPr>
          <w:rFonts w:hint="eastAsia"/>
        </w:rPr>
        <w:t>下降</w:t>
      </w:r>
      <w:r w:rsidRPr="0034283B">
        <w:rPr>
          <w:rFonts w:hint="eastAsia"/>
        </w:rPr>
        <w:t>，惟部分燃料市場價格已高於原預估值，允宜加強成本控管機制，俾穩定供電成本</w:t>
      </w:r>
      <w:bookmarkEnd w:id="1"/>
    </w:p>
    <w:p w:rsidR="00550075" w:rsidRPr="0034283B" w:rsidRDefault="00AA1F8C" w:rsidP="00ED4762">
      <w:pPr>
        <w:ind w:left="566" w:firstLine="566"/>
      </w:pPr>
      <w:r w:rsidRPr="0034283B">
        <w:rPr>
          <w:rFonts w:hint="eastAsia"/>
        </w:rPr>
        <w:t>台電公司11</w:t>
      </w:r>
      <w:r w:rsidR="00EB418B" w:rsidRPr="0034283B">
        <w:t>4</w:t>
      </w:r>
      <w:r w:rsidRPr="0034283B">
        <w:rPr>
          <w:rFonts w:hint="eastAsia"/>
        </w:rPr>
        <w:t>年度預算案「火力發電費用」及「核能發電費用」之材料及用品費用項下</w:t>
      </w:r>
      <w:r w:rsidR="00B15036" w:rsidRPr="0034283B">
        <w:rPr>
          <w:rFonts w:hint="eastAsia"/>
        </w:rPr>
        <w:t>各編列發電用燃料費用4,052億8,420萬2千元及10億819萬7千元，合</w:t>
      </w:r>
      <w:r w:rsidR="003277C5">
        <w:rPr>
          <w:rFonts w:hint="eastAsia"/>
        </w:rPr>
        <w:t>共</w:t>
      </w:r>
      <w:r w:rsidR="00B15036" w:rsidRPr="0034283B">
        <w:rPr>
          <w:rFonts w:hint="eastAsia"/>
        </w:rPr>
        <w:t>4,062億9,239萬9千元，較113年度預算減少351億4,587萬9千元</w:t>
      </w:r>
      <w:r w:rsidR="003277C5">
        <w:rPr>
          <w:rFonts w:hint="eastAsia"/>
        </w:rPr>
        <w:t>(</w:t>
      </w:r>
      <w:r w:rsidR="00B15036" w:rsidRPr="0034283B">
        <w:rPr>
          <w:rFonts w:hint="eastAsia"/>
        </w:rPr>
        <w:t>減幅7.96%</w:t>
      </w:r>
      <w:r w:rsidR="003277C5">
        <w:t>)</w:t>
      </w:r>
      <w:r w:rsidRPr="0034283B">
        <w:rPr>
          <w:rFonts w:hint="eastAsia"/>
        </w:rPr>
        <w:t>。</w:t>
      </w:r>
      <w:r w:rsidR="00550075" w:rsidRPr="0034283B">
        <w:rPr>
          <w:rFonts w:hint="eastAsia"/>
        </w:rPr>
        <w:t>經查：</w:t>
      </w:r>
    </w:p>
    <w:p w:rsidR="00AA1F8C" w:rsidRPr="0034283B" w:rsidRDefault="00550075" w:rsidP="00550075">
      <w:pPr>
        <w:pStyle w:val="a4"/>
        <w:ind w:left="849" w:hanging="283"/>
      </w:pPr>
      <w:r w:rsidRPr="0034283B">
        <w:rPr>
          <w:rFonts w:hint="eastAsia"/>
          <w:b/>
        </w:rPr>
        <w:t>(一)</w:t>
      </w:r>
      <w:r w:rsidR="00AA1F8C" w:rsidRPr="0034283B">
        <w:rPr>
          <w:rFonts w:hint="eastAsia"/>
          <w:b/>
        </w:rPr>
        <w:t>11</w:t>
      </w:r>
      <w:r w:rsidR="00711775" w:rsidRPr="0034283B">
        <w:rPr>
          <w:b/>
        </w:rPr>
        <w:t>4</w:t>
      </w:r>
      <w:r w:rsidR="00AA1F8C" w:rsidRPr="0034283B">
        <w:rPr>
          <w:rFonts w:hint="eastAsia"/>
          <w:b/>
        </w:rPr>
        <w:t>年度燃料費用估計基礎</w:t>
      </w:r>
    </w:p>
    <w:p w:rsidR="00AA1F8C" w:rsidRDefault="00550075" w:rsidP="00F81859">
      <w:pPr>
        <w:pStyle w:val="123"/>
        <w:spacing w:line="480" w:lineRule="exact"/>
        <w:ind w:left="1133" w:hanging="283"/>
      </w:pPr>
      <w:r w:rsidRPr="0034283B">
        <w:rPr>
          <w:rFonts w:hAnsi="標楷體" w:cs="細明體" w:hint="eastAsia"/>
          <w:b/>
        </w:rPr>
        <w:t>1.</w:t>
      </w:r>
      <w:r w:rsidR="00AA1F8C" w:rsidRPr="0034283B">
        <w:rPr>
          <w:rFonts w:hAnsi="標楷體" w:cs="細明體" w:hint="eastAsia"/>
          <w:b/>
        </w:rPr>
        <w:t>燃煤</w:t>
      </w:r>
      <w:r w:rsidR="00AA1F8C" w:rsidRPr="0034283B">
        <w:rPr>
          <w:rFonts w:hint="eastAsia"/>
          <w:b/>
        </w:rPr>
        <w:t>：</w:t>
      </w:r>
      <w:r w:rsidR="00AA1F8C" w:rsidRPr="0034283B">
        <w:rPr>
          <w:rFonts w:hint="eastAsia"/>
        </w:rPr>
        <w:t>11</w:t>
      </w:r>
      <w:r w:rsidR="00711775" w:rsidRPr="0034283B">
        <w:t>4</w:t>
      </w:r>
      <w:r w:rsidR="00AA1F8C" w:rsidRPr="0034283B">
        <w:rPr>
          <w:rFonts w:hint="eastAsia"/>
        </w:rPr>
        <w:t>年度預計燃煤用量</w:t>
      </w:r>
      <w:r w:rsidR="00F81859" w:rsidRPr="0034283B">
        <w:rPr>
          <w:rFonts w:hint="eastAsia"/>
        </w:rPr>
        <w:t>2,265萬4,885公噸，以長約與現貨數量比例80</w:t>
      </w:r>
      <w:r w:rsidR="00D030ED" w:rsidRPr="0034283B">
        <w:rPr>
          <w:rFonts w:hint="eastAsia"/>
        </w:rPr>
        <w:t>：</w:t>
      </w:r>
      <w:r w:rsidR="00F81859" w:rsidRPr="0034283B">
        <w:rPr>
          <w:rFonts w:hint="eastAsia"/>
        </w:rPr>
        <w:t>20估列。依國際平均煤價</w:t>
      </w:r>
      <w:r w:rsidR="0076098F" w:rsidRPr="0034283B">
        <w:rPr>
          <w:rFonts w:hint="eastAsia"/>
        </w:rPr>
        <w:t>1</w:t>
      </w:r>
      <w:r w:rsidR="0076098F" w:rsidRPr="0034283B">
        <w:t>41.97</w:t>
      </w:r>
      <w:r w:rsidR="00F81859" w:rsidRPr="0034283B">
        <w:rPr>
          <w:rFonts w:hint="eastAsia"/>
        </w:rPr>
        <w:t>美元/公噸(國際標準熱值6,322 Kcal/Kg)為基準，按匯率新臺幣31.979元兌1美元，加計海運費、稅什費及煤場營運費後，</w:t>
      </w:r>
      <w:r w:rsidR="00CF6536">
        <w:rPr>
          <w:rFonts w:hint="eastAsia"/>
        </w:rPr>
        <w:t>估列</w:t>
      </w:r>
      <w:r w:rsidR="00F81859" w:rsidRPr="0034283B">
        <w:rPr>
          <w:rFonts w:hint="eastAsia"/>
        </w:rPr>
        <w:t>燃煤用料價格為4,640元/公噸。</w:t>
      </w:r>
    </w:p>
    <w:p w:rsidR="00AA1F8C" w:rsidRPr="0034283B" w:rsidRDefault="00754BB8" w:rsidP="00754BB8">
      <w:pPr>
        <w:pStyle w:val="123"/>
        <w:ind w:left="1133" w:hanging="283"/>
        <w:rPr>
          <w:rFonts w:ascii="細明體" w:eastAsia="細明體" w:hAnsi="細明體" w:hint="eastAsia"/>
          <w:b/>
        </w:rPr>
      </w:pPr>
      <w:r w:rsidRPr="0034283B">
        <w:rPr>
          <w:rFonts w:hint="eastAsia"/>
          <w:b/>
        </w:rPr>
        <w:t>2.</w:t>
      </w:r>
      <w:r w:rsidR="00AA1F8C" w:rsidRPr="0034283B">
        <w:rPr>
          <w:rFonts w:hint="eastAsia"/>
          <w:b/>
        </w:rPr>
        <w:t>燃料油與超級柴油：</w:t>
      </w:r>
    </w:p>
    <w:p w:rsidR="00F81859" w:rsidRPr="0034283B" w:rsidRDefault="00754BB8" w:rsidP="00F81859">
      <w:pPr>
        <w:pStyle w:val="123"/>
        <w:spacing w:line="480" w:lineRule="exact"/>
        <w:ind w:left="1133" w:hanging="283"/>
      </w:pPr>
      <w:r w:rsidRPr="0034283B">
        <w:rPr>
          <w:rFonts w:hint="eastAsia"/>
          <w:b/>
        </w:rPr>
        <w:t>(</w:t>
      </w:r>
      <w:r w:rsidR="00AA1F8C" w:rsidRPr="0034283B">
        <w:rPr>
          <w:rFonts w:hint="eastAsia"/>
          <w:b/>
        </w:rPr>
        <w:t>1</w:t>
      </w:r>
      <w:r w:rsidRPr="0034283B">
        <w:rPr>
          <w:rFonts w:hint="eastAsia"/>
          <w:b/>
        </w:rPr>
        <w:t>)</w:t>
      </w:r>
      <w:r w:rsidR="00AA1F8C" w:rsidRPr="0034283B">
        <w:rPr>
          <w:rFonts w:hint="eastAsia"/>
          <w:b/>
        </w:rPr>
        <w:t>燃料油：</w:t>
      </w:r>
      <w:r w:rsidR="00AA1F8C" w:rsidRPr="0034283B">
        <w:rPr>
          <w:rFonts w:hint="eastAsia"/>
        </w:rPr>
        <w:t>11</w:t>
      </w:r>
      <w:r w:rsidR="00711775" w:rsidRPr="0034283B">
        <w:t>4</w:t>
      </w:r>
      <w:r w:rsidR="00AA1F8C" w:rsidRPr="0034283B">
        <w:rPr>
          <w:rFonts w:hint="eastAsia"/>
        </w:rPr>
        <w:t>年度預估</w:t>
      </w:r>
      <w:r w:rsidR="00F81859" w:rsidRPr="0034283B">
        <w:rPr>
          <w:rFonts w:hint="eastAsia"/>
        </w:rPr>
        <w:t>共需預估共需23萬849公秉，按中油公司預估自煉單價1萬9,462元/公秉估算。</w:t>
      </w:r>
    </w:p>
    <w:p w:rsidR="00AA1F8C" w:rsidRPr="0034283B" w:rsidRDefault="00754BB8" w:rsidP="00F81859">
      <w:pPr>
        <w:pStyle w:val="123"/>
        <w:spacing w:line="480" w:lineRule="exact"/>
        <w:ind w:left="1133" w:hanging="283"/>
        <w:rPr>
          <w:rFonts w:hint="eastAsia"/>
        </w:rPr>
      </w:pPr>
      <w:r w:rsidRPr="0034283B">
        <w:rPr>
          <w:rFonts w:hint="eastAsia"/>
          <w:b/>
        </w:rPr>
        <w:t>(</w:t>
      </w:r>
      <w:r w:rsidR="00AA1F8C" w:rsidRPr="0034283B">
        <w:rPr>
          <w:rFonts w:hint="eastAsia"/>
          <w:b/>
        </w:rPr>
        <w:t>2</w:t>
      </w:r>
      <w:r w:rsidRPr="0034283B">
        <w:rPr>
          <w:rFonts w:hint="eastAsia"/>
          <w:b/>
        </w:rPr>
        <w:t>)</w:t>
      </w:r>
      <w:r w:rsidR="00AA1F8C" w:rsidRPr="0034283B">
        <w:rPr>
          <w:rFonts w:hint="eastAsia"/>
          <w:b/>
        </w:rPr>
        <w:t>超級柴油：</w:t>
      </w:r>
      <w:r w:rsidR="00AA1F8C" w:rsidRPr="0034283B">
        <w:rPr>
          <w:rFonts w:hint="eastAsia"/>
        </w:rPr>
        <w:t>11</w:t>
      </w:r>
      <w:r w:rsidR="00711775" w:rsidRPr="0034283B">
        <w:t>4</w:t>
      </w:r>
      <w:r w:rsidR="00AA1F8C" w:rsidRPr="0034283B">
        <w:rPr>
          <w:rFonts w:hint="eastAsia"/>
        </w:rPr>
        <w:t>年度預估</w:t>
      </w:r>
      <w:r w:rsidR="00F81859" w:rsidRPr="0034283B">
        <w:rPr>
          <w:rFonts w:hint="eastAsia"/>
        </w:rPr>
        <w:t>共</w:t>
      </w:r>
      <w:r w:rsidR="00AA1F8C" w:rsidRPr="0034283B">
        <w:rPr>
          <w:rFonts w:hint="eastAsia"/>
        </w:rPr>
        <w:t>需</w:t>
      </w:r>
      <w:r w:rsidR="00F81859" w:rsidRPr="0034283B">
        <w:rPr>
          <w:rFonts w:hint="eastAsia"/>
        </w:rPr>
        <w:t>12萬942公秉，按中油公司預估國內售價2萬4,396元/公秉計價。</w:t>
      </w:r>
    </w:p>
    <w:p w:rsidR="00AA1F8C" w:rsidRPr="0034283B" w:rsidRDefault="00754BB8" w:rsidP="00754BB8">
      <w:pPr>
        <w:pStyle w:val="123"/>
        <w:ind w:left="1133" w:hanging="283"/>
        <w:rPr>
          <w:rFonts w:hint="eastAsia"/>
        </w:rPr>
      </w:pPr>
      <w:r w:rsidRPr="0034283B">
        <w:rPr>
          <w:rFonts w:hint="eastAsia"/>
          <w:b/>
        </w:rPr>
        <w:t>3.</w:t>
      </w:r>
      <w:r w:rsidR="00AA1F8C" w:rsidRPr="0034283B">
        <w:rPr>
          <w:rFonts w:hint="eastAsia"/>
          <w:b/>
        </w:rPr>
        <w:t>天然氣：</w:t>
      </w:r>
      <w:r w:rsidR="00A76C7D" w:rsidRPr="0034283B">
        <w:rPr>
          <w:rFonts w:hint="eastAsia"/>
        </w:rPr>
        <w:t>預計11</w:t>
      </w:r>
      <w:r w:rsidR="00A76C7D" w:rsidRPr="0034283B">
        <w:t>4</w:t>
      </w:r>
      <w:r w:rsidR="00A76C7D" w:rsidRPr="0034283B">
        <w:rPr>
          <w:rFonts w:hint="eastAsia"/>
        </w:rPr>
        <w:t>年度共需1,460萬公噸(197.87億</w:t>
      </w:r>
      <w:r w:rsidR="00CF6536">
        <w:rPr>
          <w:rFonts w:hint="eastAsia"/>
        </w:rPr>
        <w:t>立方公</w:t>
      </w:r>
      <w:r w:rsidR="00CF6536">
        <w:rPr>
          <w:rFonts w:hint="eastAsia"/>
        </w:rPr>
        <w:lastRenderedPageBreak/>
        <w:t>尺</w:t>
      </w:r>
      <w:r w:rsidR="00A76C7D" w:rsidRPr="0034283B">
        <w:rPr>
          <w:rFonts w:hint="eastAsia"/>
        </w:rPr>
        <w:t>)，</w:t>
      </w:r>
      <w:r w:rsidR="0076098F" w:rsidRPr="0034283B">
        <w:rPr>
          <w:rFonts w:hint="eastAsia"/>
        </w:rPr>
        <w:t>按中油公司預估國內售價1</w:t>
      </w:r>
      <w:r w:rsidR="0076098F" w:rsidRPr="0034283B">
        <w:t>4.7936</w:t>
      </w:r>
      <w:r w:rsidR="009470B8">
        <w:rPr>
          <w:rFonts w:hint="eastAsia"/>
        </w:rPr>
        <w:t>元</w:t>
      </w:r>
      <w:r w:rsidR="0076098F" w:rsidRPr="0034283B">
        <w:rPr>
          <w:rFonts w:hint="eastAsia"/>
        </w:rPr>
        <w:t>/</w:t>
      </w:r>
      <w:r w:rsidR="00CF6536">
        <w:rPr>
          <w:rFonts w:hint="eastAsia"/>
        </w:rPr>
        <w:t>立方公尺</w:t>
      </w:r>
      <w:r w:rsidR="00A76C7D" w:rsidRPr="0034283B">
        <w:rPr>
          <w:rFonts w:hint="eastAsia"/>
        </w:rPr>
        <w:t>估算</w:t>
      </w:r>
      <w:r w:rsidR="00681EB6" w:rsidRPr="0034283B">
        <w:rPr>
          <w:rFonts w:hint="eastAsia"/>
        </w:rPr>
        <w:t>，</w:t>
      </w:r>
      <w:r w:rsidR="00F81859" w:rsidRPr="0034283B">
        <w:rPr>
          <w:rFonts w:hint="eastAsia"/>
        </w:rPr>
        <w:t>其中統約供應1,283.6萬公噸(173.44億</w:t>
      </w:r>
      <w:r w:rsidR="00CF6536">
        <w:rPr>
          <w:rFonts w:hint="eastAsia"/>
        </w:rPr>
        <w:t>立方公尺</w:t>
      </w:r>
      <w:r w:rsidR="00F81859" w:rsidRPr="0034283B">
        <w:rPr>
          <w:rFonts w:hint="eastAsia"/>
        </w:rPr>
        <w:t>)，依中油公司預估國內售價15.2583元/</w:t>
      </w:r>
      <w:r w:rsidR="00CF6536">
        <w:rPr>
          <w:rFonts w:hint="eastAsia"/>
        </w:rPr>
        <w:t>立方公尺</w:t>
      </w:r>
      <w:r w:rsidR="00F81859" w:rsidRPr="0034283B">
        <w:rPr>
          <w:rFonts w:hint="eastAsia"/>
        </w:rPr>
        <w:t>估算；</w:t>
      </w:r>
      <w:r w:rsidR="00A76C7D" w:rsidRPr="0034283B">
        <w:rPr>
          <w:rFonts w:hint="eastAsia"/>
        </w:rPr>
        <w:t>另</w:t>
      </w:r>
      <w:r w:rsidR="00F81859" w:rsidRPr="0034283B">
        <w:rPr>
          <w:rFonts w:hint="eastAsia"/>
        </w:rPr>
        <w:t>大潭電廠176.4萬公噸(24.43億</w:t>
      </w:r>
      <w:r w:rsidR="00CF6536">
        <w:rPr>
          <w:rFonts w:hint="eastAsia"/>
        </w:rPr>
        <w:t>立方公尺</w:t>
      </w:r>
      <w:r w:rsidR="00F81859" w:rsidRPr="0034283B">
        <w:rPr>
          <w:rFonts w:hint="eastAsia"/>
        </w:rPr>
        <w:t>)</w:t>
      </w:r>
      <w:r w:rsidR="00A76C7D" w:rsidRPr="0034283B">
        <w:rPr>
          <w:rFonts w:hint="eastAsia"/>
        </w:rPr>
        <w:t>，</w:t>
      </w:r>
      <w:r w:rsidR="00F81859" w:rsidRPr="0034283B">
        <w:rPr>
          <w:rFonts w:hint="eastAsia"/>
        </w:rPr>
        <w:t>中油公司依合約特性及國際天然氣市場行情推估價格11.495元/</w:t>
      </w:r>
      <w:r w:rsidR="00CF6536">
        <w:rPr>
          <w:rFonts w:hint="eastAsia"/>
        </w:rPr>
        <w:t>立方公尺</w:t>
      </w:r>
      <w:r w:rsidR="00F81859" w:rsidRPr="0034283B">
        <w:rPr>
          <w:rFonts w:hint="eastAsia"/>
        </w:rPr>
        <w:t>估算</w:t>
      </w:r>
      <w:r w:rsidR="00AA1F8C" w:rsidRPr="0034283B">
        <w:rPr>
          <w:rFonts w:hint="eastAsia"/>
        </w:rPr>
        <w:t>。</w:t>
      </w:r>
    </w:p>
    <w:p w:rsidR="00754BB8" w:rsidRPr="0034283B" w:rsidRDefault="00754BB8" w:rsidP="00754BB8">
      <w:pPr>
        <w:pStyle w:val="a4"/>
        <w:ind w:left="849" w:hanging="283"/>
        <w:rPr>
          <w:b/>
        </w:rPr>
      </w:pPr>
      <w:r w:rsidRPr="0034283B">
        <w:rPr>
          <w:rFonts w:hint="eastAsia"/>
          <w:b/>
        </w:rPr>
        <w:t>(二)允宜加強發電成本之控管與抑減措施，俾穩定供電成本與售電價格</w:t>
      </w:r>
    </w:p>
    <w:p w:rsidR="00AA1F8C" w:rsidRPr="0034283B" w:rsidRDefault="004264E2" w:rsidP="00754BB8">
      <w:pPr>
        <w:pStyle w:val="21"/>
        <w:ind w:left="850" w:firstLine="566"/>
      </w:pPr>
      <w:r>
        <w:rPr>
          <w:rFonts w:hint="eastAsia"/>
        </w:rPr>
        <w:t>依</w:t>
      </w:r>
      <w:r w:rsidR="001E6EE6" w:rsidRPr="0034283B">
        <w:rPr>
          <w:rFonts w:hint="eastAsia"/>
        </w:rPr>
        <w:t>台電公司1</w:t>
      </w:r>
      <w:r w:rsidR="001E6EE6" w:rsidRPr="0034283B">
        <w:t>13</w:t>
      </w:r>
      <w:r w:rsidR="001E6EE6" w:rsidRPr="0034283B">
        <w:rPr>
          <w:rFonts w:hint="eastAsia"/>
        </w:rPr>
        <w:t>年8月</w:t>
      </w:r>
      <w:r w:rsidR="00F23B4C" w:rsidRPr="0034283B">
        <w:rPr>
          <w:rFonts w:hint="eastAsia"/>
        </w:rPr>
        <w:t>依市場燃料價格重新估算結果</w:t>
      </w:r>
      <w:r w:rsidR="001E6EE6" w:rsidRPr="0034283B">
        <w:rPr>
          <w:rFonts w:hint="eastAsia"/>
        </w:rPr>
        <w:t>，在不考慮匯率因素之情況下，</w:t>
      </w:r>
      <w:r w:rsidR="00F23B4C" w:rsidRPr="0034283B">
        <w:rPr>
          <w:rFonts w:hint="eastAsia"/>
        </w:rPr>
        <w:t>發電燃料成本依</w:t>
      </w:r>
      <w:r w:rsidR="001E6EE6" w:rsidRPr="0034283B">
        <w:rPr>
          <w:rFonts w:hint="eastAsia"/>
        </w:rPr>
        <w:t>行政院原核定設算匯率(新臺幣31.979元兌1美元)</w:t>
      </w:r>
      <w:r w:rsidR="00F23B4C" w:rsidRPr="0034283B">
        <w:rPr>
          <w:rFonts w:hint="eastAsia"/>
        </w:rPr>
        <w:t>計算</w:t>
      </w:r>
      <w:r w:rsidR="001E6EE6" w:rsidRPr="0034283B">
        <w:rPr>
          <w:rFonts w:hint="eastAsia"/>
        </w:rPr>
        <w:t>，</w:t>
      </w:r>
      <w:r w:rsidR="004A272D">
        <w:rPr>
          <w:rFonts w:hint="eastAsia"/>
        </w:rPr>
        <w:t>其中</w:t>
      </w:r>
      <w:r w:rsidR="001E6EE6" w:rsidRPr="0034283B">
        <w:rPr>
          <w:rFonts w:hint="eastAsia"/>
        </w:rPr>
        <w:t>除天然氣之市場價格</w:t>
      </w:r>
      <w:r w:rsidR="00D66F65" w:rsidRPr="0034283B">
        <w:rPr>
          <w:rFonts w:hint="eastAsia"/>
        </w:rPr>
        <w:t>低於11</w:t>
      </w:r>
      <w:r w:rsidR="00D66F65" w:rsidRPr="0034283B">
        <w:t>4</w:t>
      </w:r>
      <w:r w:rsidR="00D66F65" w:rsidRPr="0034283B">
        <w:rPr>
          <w:rFonts w:hint="eastAsia"/>
        </w:rPr>
        <w:t>年度預算案預估價格外，其餘各項燃料成本皆高於預估值</w:t>
      </w:r>
      <w:r w:rsidR="00F23B4C" w:rsidRPr="0034283B">
        <w:rPr>
          <w:rFonts w:hint="eastAsia"/>
        </w:rPr>
        <w:t>，增減核算後，重估成本</w:t>
      </w:r>
      <w:r w:rsidR="001E6EE6" w:rsidRPr="0034283B">
        <w:rPr>
          <w:rFonts w:hint="eastAsia"/>
        </w:rPr>
        <w:t>較11</w:t>
      </w:r>
      <w:r w:rsidR="001E6EE6" w:rsidRPr="0034283B">
        <w:t>4</w:t>
      </w:r>
      <w:r w:rsidR="001E6EE6" w:rsidRPr="0034283B">
        <w:rPr>
          <w:rFonts w:hint="eastAsia"/>
        </w:rPr>
        <w:t>年度預算案原預估成本減少3</w:t>
      </w:r>
      <w:r w:rsidR="001E6EE6" w:rsidRPr="0034283B">
        <w:t>2.41</w:t>
      </w:r>
      <w:r w:rsidR="001E6EE6" w:rsidRPr="0034283B">
        <w:rPr>
          <w:rFonts w:hint="eastAsia"/>
        </w:rPr>
        <w:t>億元(詳表1)</w:t>
      </w:r>
      <w:r w:rsidR="00AA1F8C" w:rsidRPr="0034283B">
        <w:rPr>
          <w:rFonts w:hint="eastAsia"/>
        </w:rPr>
        <w:t>，</w:t>
      </w:r>
      <w:r w:rsidR="00F23B4C" w:rsidRPr="0034283B">
        <w:rPr>
          <w:rFonts w:hint="eastAsia"/>
        </w:rPr>
        <w:t>惟</w:t>
      </w:r>
      <w:r w:rsidR="001E6EE6" w:rsidRPr="0034283B">
        <w:rPr>
          <w:rFonts w:hint="eastAsia"/>
        </w:rPr>
        <w:t>考量</w:t>
      </w:r>
      <w:r w:rsidR="00AA1F8C" w:rsidRPr="0034283B">
        <w:rPr>
          <w:rFonts w:hint="eastAsia"/>
        </w:rPr>
        <w:t>近期新臺幣兌美元匯率</w:t>
      </w:r>
      <w:r w:rsidR="009D0090" w:rsidRPr="0034283B">
        <w:rPr>
          <w:rFonts w:hint="eastAsia"/>
        </w:rPr>
        <w:t>較原設算匯率</w:t>
      </w:r>
      <w:r w:rsidR="00AA1F8C" w:rsidRPr="0034283B">
        <w:rPr>
          <w:rFonts w:hint="eastAsia"/>
        </w:rPr>
        <w:t>趨貶</w:t>
      </w:r>
      <w:r w:rsidR="00F84CA5" w:rsidRPr="0034283B">
        <w:rPr>
          <w:rStyle w:val="af3"/>
        </w:rPr>
        <w:footnoteReference w:id="1"/>
      </w:r>
      <w:r w:rsidR="00AA1F8C" w:rsidRPr="0034283B">
        <w:rPr>
          <w:rFonts w:hint="eastAsia"/>
        </w:rPr>
        <w:t>，</w:t>
      </w:r>
      <w:r w:rsidR="00F84CA5" w:rsidRPr="0034283B">
        <w:rPr>
          <w:rFonts w:hint="eastAsia"/>
        </w:rPr>
        <w:t>恐</w:t>
      </w:r>
      <w:r w:rsidR="001E6EE6" w:rsidRPr="0034283B">
        <w:rPr>
          <w:rFonts w:hint="eastAsia"/>
        </w:rPr>
        <w:t>促使</w:t>
      </w:r>
      <w:r w:rsidR="00AA1F8C" w:rsidRPr="0034283B">
        <w:rPr>
          <w:rFonts w:hint="eastAsia"/>
        </w:rPr>
        <w:t>燃料成本</w:t>
      </w:r>
      <w:r w:rsidR="001E6EE6" w:rsidRPr="0034283B">
        <w:rPr>
          <w:rFonts w:hint="eastAsia"/>
        </w:rPr>
        <w:t>增加</w:t>
      </w:r>
      <w:r w:rsidR="00AA1F8C" w:rsidRPr="0034283B">
        <w:rPr>
          <w:rFonts w:hint="eastAsia"/>
          <w:spacing w:val="-8"/>
        </w:rPr>
        <w:t>。謹</w:t>
      </w:r>
      <w:r w:rsidR="00F84CA5" w:rsidRPr="0034283B">
        <w:rPr>
          <w:rFonts w:hint="eastAsia"/>
          <w:spacing w:val="-8"/>
        </w:rPr>
        <w:t>說明</w:t>
      </w:r>
      <w:r w:rsidR="00AA1F8C" w:rsidRPr="0034283B">
        <w:rPr>
          <w:rFonts w:hint="eastAsia"/>
          <w:spacing w:val="-8"/>
        </w:rPr>
        <w:t>如下：</w:t>
      </w:r>
    </w:p>
    <w:p w:rsidR="00AC2B14" w:rsidRPr="0034283B" w:rsidRDefault="00754BB8" w:rsidP="00754BB8">
      <w:pPr>
        <w:pStyle w:val="123"/>
        <w:ind w:left="1133" w:hanging="283"/>
      </w:pPr>
      <w:r w:rsidRPr="0034283B">
        <w:rPr>
          <w:rFonts w:hint="eastAsia"/>
          <w:b/>
        </w:rPr>
        <w:t>1.</w:t>
      </w:r>
      <w:r w:rsidR="00AA1F8C" w:rsidRPr="0034283B">
        <w:rPr>
          <w:rFonts w:hint="eastAsia"/>
          <w:b/>
        </w:rPr>
        <w:t>燃煤：</w:t>
      </w:r>
      <w:r w:rsidR="00AA1F8C" w:rsidRPr="0034283B">
        <w:rPr>
          <w:rFonts w:hint="eastAsia"/>
        </w:rPr>
        <w:t>台電公司</w:t>
      </w:r>
      <w:r w:rsidR="00D8671A">
        <w:rPr>
          <w:rFonts w:hint="eastAsia"/>
        </w:rPr>
        <w:t>表示</w:t>
      </w:r>
      <w:r w:rsidR="00975A7E" w:rsidRPr="0034283B">
        <w:rPr>
          <w:rFonts w:hint="eastAsia"/>
        </w:rPr>
        <w:t>1</w:t>
      </w:r>
      <w:r w:rsidR="00975A7E" w:rsidRPr="0034283B">
        <w:t>13</w:t>
      </w:r>
      <w:r w:rsidR="00975A7E" w:rsidRPr="0034283B">
        <w:rPr>
          <w:rFonts w:hint="eastAsia"/>
        </w:rPr>
        <w:t>年7月底國際煤價為1</w:t>
      </w:r>
      <w:r w:rsidR="00975A7E" w:rsidRPr="0034283B">
        <w:t>50.03</w:t>
      </w:r>
      <w:r w:rsidR="00AC2B14" w:rsidRPr="0034283B">
        <w:rPr>
          <w:rFonts w:hint="eastAsia"/>
        </w:rPr>
        <w:t>美元/公噸</w:t>
      </w:r>
      <w:r w:rsidR="00975A7E" w:rsidRPr="0034283B">
        <w:rPr>
          <w:rFonts w:hint="eastAsia"/>
        </w:rPr>
        <w:t>，實際購買價格為1</w:t>
      </w:r>
      <w:r w:rsidR="00975A7E" w:rsidRPr="0034283B">
        <w:t>32.43</w:t>
      </w:r>
      <w:r w:rsidR="00975A7E" w:rsidRPr="0034283B">
        <w:rPr>
          <w:rFonts w:hint="eastAsia"/>
        </w:rPr>
        <w:t>美元/公噸</w:t>
      </w:r>
      <w:r w:rsidR="00AA1F8C" w:rsidRPr="0034283B">
        <w:rPr>
          <w:rFonts w:hint="eastAsia"/>
        </w:rPr>
        <w:t>(國際標準熱值6,322 Kcal/Kg)。</w:t>
      </w:r>
      <w:r w:rsidR="00AC2B14" w:rsidRPr="0034283B">
        <w:rPr>
          <w:rFonts w:hint="eastAsia"/>
        </w:rPr>
        <w:t>依</w:t>
      </w:r>
      <w:r w:rsidR="00975A7E" w:rsidRPr="0034283B">
        <w:rPr>
          <w:rFonts w:hAnsi="標楷體" w:hint="eastAsia"/>
        </w:rPr>
        <w:t>global</w:t>
      </w:r>
      <w:r w:rsidR="004A272D">
        <w:rPr>
          <w:rFonts w:hAnsi="標楷體"/>
        </w:rPr>
        <w:t xml:space="preserve"> </w:t>
      </w:r>
      <w:r w:rsidR="00975A7E" w:rsidRPr="0034283B">
        <w:rPr>
          <w:rFonts w:hAnsi="標楷體" w:hint="eastAsia"/>
        </w:rPr>
        <w:t xml:space="preserve">COAL最新預測(113年8月19日)，114年平均價格約為160美元/公噸(國際標準熱值 6,322 </w:t>
      </w:r>
      <w:r w:rsidR="00A76C7D" w:rsidRPr="0034283B">
        <w:rPr>
          <w:rFonts w:hint="eastAsia"/>
        </w:rPr>
        <w:t>Kcal/Kg</w:t>
      </w:r>
      <w:r w:rsidR="00975A7E" w:rsidRPr="0034283B">
        <w:rPr>
          <w:rFonts w:hAnsi="標楷體" w:hint="eastAsia"/>
        </w:rPr>
        <w:t xml:space="preserve"> GAR</w:t>
      </w:r>
      <w:r w:rsidR="005D260B" w:rsidRPr="0034283B">
        <w:rPr>
          <w:rStyle w:val="af3"/>
        </w:rPr>
        <w:footnoteReference w:id="2"/>
      </w:r>
      <w:r w:rsidR="00AC2B14" w:rsidRPr="0034283B">
        <w:rPr>
          <w:rFonts w:hint="eastAsia"/>
        </w:rPr>
        <w:t>)</w:t>
      </w:r>
      <w:r w:rsidR="004A272D">
        <w:rPr>
          <w:rFonts w:hint="eastAsia"/>
        </w:rPr>
        <w:t>，該</w:t>
      </w:r>
      <w:r w:rsidR="00AC2B14" w:rsidRPr="0034283B">
        <w:rPr>
          <w:rFonts w:hint="eastAsia"/>
        </w:rPr>
        <w:t>公司將持續關注燃煤市場價格走勢，掌握進場採購之時機。</w:t>
      </w:r>
    </w:p>
    <w:p w:rsidR="00975A7E" w:rsidRPr="0034283B" w:rsidRDefault="00754BB8" w:rsidP="00975A7E">
      <w:pPr>
        <w:pStyle w:val="123"/>
        <w:ind w:left="1133" w:hanging="283"/>
        <w:rPr>
          <w:rFonts w:hAnsi="標楷體"/>
        </w:rPr>
      </w:pPr>
      <w:r w:rsidRPr="0034283B">
        <w:rPr>
          <w:rFonts w:hint="eastAsia"/>
          <w:b/>
        </w:rPr>
        <w:t>2.</w:t>
      </w:r>
      <w:r w:rsidR="00AA1F8C" w:rsidRPr="0034283B">
        <w:rPr>
          <w:rFonts w:hint="eastAsia"/>
          <w:b/>
        </w:rPr>
        <w:t>油品：</w:t>
      </w:r>
      <w:r w:rsidR="00AA1F8C" w:rsidRPr="0034283B">
        <w:rPr>
          <w:rFonts w:hint="eastAsia"/>
        </w:rPr>
        <w:t>台電公司</w:t>
      </w:r>
      <w:r w:rsidR="00D8671A">
        <w:rPr>
          <w:rFonts w:hint="eastAsia"/>
        </w:rPr>
        <w:t>表示</w:t>
      </w:r>
      <w:r w:rsidR="00AC2B14" w:rsidRPr="0034283B">
        <w:rPr>
          <w:rFonts w:hint="eastAsia"/>
        </w:rPr>
        <w:t>該公司所使用發電用燃料油與超級柴油其價格走勢皆隨國際油價浮動。</w:t>
      </w:r>
      <w:r w:rsidR="00975A7E" w:rsidRPr="0034283B">
        <w:rPr>
          <w:rFonts w:hAnsi="標楷體" w:hint="eastAsia"/>
        </w:rPr>
        <w:t>近期以哈衝突</w:t>
      </w:r>
      <w:r w:rsidR="00F23B4C" w:rsidRPr="0034283B">
        <w:rPr>
          <w:rFonts w:hAnsi="標楷體" w:hint="eastAsia"/>
        </w:rPr>
        <w:t>及紅</w:t>
      </w:r>
      <w:r w:rsidR="00975A7E" w:rsidRPr="0034283B">
        <w:rPr>
          <w:rFonts w:hAnsi="標楷體" w:hint="eastAsia"/>
        </w:rPr>
        <w:t>海危機等地緣政治衝擊影響油價市場，</w:t>
      </w:r>
      <w:r w:rsidR="00F23B4C" w:rsidRPr="0034283B">
        <w:rPr>
          <w:rFonts w:hAnsi="標楷體" w:hint="eastAsia"/>
        </w:rPr>
        <w:t>惟</w:t>
      </w:r>
      <w:r w:rsidR="00975A7E" w:rsidRPr="0034283B">
        <w:rPr>
          <w:rFonts w:hAnsi="標楷體" w:hint="eastAsia"/>
        </w:rPr>
        <w:t>伊朗及以色列雙方克制避免衝突規模擴大，油價所受衝擊</w:t>
      </w:r>
      <w:r w:rsidR="004A272D">
        <w:rPr>
          <w:rFonts w:hAnsi="標楷體" w:hint="eastAsia"/>
        </w:rPr>
        <w:t>或將減緩</w:t>
      </w:r>
      <w:r w:rsidR="00975A7E" w:rsidRPr="0034283B">
        <w:rPr>
          <w:rFonts w:hAnsi="標楷體" w:hint="eastAsia"/>
        </w:rPr>
        <w:t>，</w:t>
      </w:r>
      <w:r w:rsidR="000160CB" w:rsidRPr="0034283B">
        <w:rPr>
          <w:rFonts w:hAnsi="標楷體" w:hint="eastAsia"/>
        </w:rPr>
        <w:t>惟</w:t>
      </w:r>
      <w:r w:rsidR="004264E2">
        <w:rPr>
          <w:rFonts w:hAnsi="標楷體" w:hint="eastAsia"/>
        </w:rPr>
        <w:t>油品</w:t>
      </w:r>
      <w:r w:rsidR="00AD504D" w:rsidRPr="0034283B">
        <w:rPr>
          <w:rFonts w:hAnsi="標楷體" w:hint="eastAsia"/>
        </w:rPr>
        <w:t>需求仍視</w:t>
      </w:r>
      <w:r w:rsidR="00975A7E" w:rsidRPr="0034283B">
        <w:rPr>
          <w:rFonts w:hAnsi="標楷體" w:hint="eastAsia"/>
        </w:rPr>
        <w:t>全球經濟基本面</w:t>
      </w:r>
      <w:r w:rsidR="00AD504D" w:rsidRPr="0034283B">
        <w:rPr>
          <w:rFonts w:hAnsi="標楷體" w:hint="eastAsia"/>
        </w:rPr>
        <w:t>而定</w:t>
      </w:r>
      <w:r w:rsidR="00975A7E" w:rsidRPr="0034283B">
        <w:rPr>
          <w:rFonts w:hAnsi="標楷體" w:hint="eastAsia"/>
        </w:rPr>
        <w:t>。</w:t>
      </w:r>
      <w:r w:rsidR="004A272D">
        <w:rPr>
          <w:rFonts w:hAnsi="標楷體" w:hint="eastAsia"/>
        </w:rPr>
        <w:t>另依</w:t>
      </w:r>
      <w:r w:rsidR="00975A7E" w:rsidRPr="0034283B">
        <w:rPr>
          <w:rFonts w:hAnsi="標楷體" w:hint="eastAsia"/>
        </w:rPr>
        <w:t>美國能源署</w:t>
      </w:r>
      <w:r w:rsidR="00975A7E" w:rsidRPr="0034283B">
        <w:rPr>
          <w:rFonts w:hAnsi="標楷體"/>
        </w:rPr>
        <w:t>11</w:t>
      </w:r>
      <w:r w:rsidR="00975A7E" w:rsidRPr="0034283B">
        <w:rPr>
          <w:rFonts w:hAnsi="標楷體" w:hint="eastAsia"/>
        </w:rPr>
        <w:t>3年8月最新預測，</w:t>
      </w:r>
      <w:r w:rsidR="00975A7E" w:rsidRPr="0034283B">
        <w:rPr>
          <w:rFonts w:hAnsi="標楷體" w:hint="eastAsia"/>
        </w:rPr>
        <w:lastRenderedPageBreak/>
        <w:t>113年8</w:t>
      </w:r>
      <w:r w:rsidR="00A76C7D" w:rsidRPr="0034283B">
        <w:rPr>
          <w:rFonts w:hAnsi="標楷體" w:hint="eastAsia"/>
        </w:rPr>
        <w:t>至</w:t>
      </w:r>
      <w:r w:rsidR="00975A7E" w:rsidRPr="0034283B">
        <w:rPr>
          <w:rFonts w:hAnsi="標楷體" w:hint="eastAsia"/>
        </w:rPr>
        <w:t>12月</w:t>
      </w:r>
      <w:r w:rsidR="00975A7E" w:rsidRPr="0034283B">
        <w:rPr>
          <w:rFonts w:hAnsi="標楷體"/>
        </w:rPr>
        <w:t>Brent</w:t>
      </w:r>
      <w:r w:rsidR="00975A7E" w:rsidRPr="0034283B">
        <w:rPr>
          <w:rFonts w:hAnsi="標楷體" w:hint="eastAsia"/>
        </w:rPr>
        <w:t>平均油價預估為83</w:t>
      </w:r>
      <w:r w:rsidR="00F23B4C" w:rsidRPr="0034283B">
        <w:rPr>
          <w:rFonts w:hAnsi="標楷體" w:hint="eastAsia"/>
        </w:rPr>
        <w:t>至</w:t>
      </w:r>
      <w:r w:rsidR="00975A7E" w:rsidRPr="0034283B">
        <w:rPr>
          <w:rFonts w:hAnsi="標楷體" w:hint="eastAsia"/>
        </w:rPr>
        <w:t>87美元/桶，114年</w:t>
      </w:r>
      <w:r w:rsidR="00975A7E" w:rsidRPr="0034283B">
        <w:rPr>
          <w:rFonts w:hAnsi="標楷體"/>
        </w:rPr>
        <w:t>Brent</w:t>
      </w:r>
      <w:r w:rsidR="00975A7E" w:rsidRPr="0034283B">
        <w:rPr>
          <w:rFonts w:hAnsi="標楷體" w:hint="eastAsia"/>
        </w:rPr>
        <w:t>平均油價為85.75美元/桶。</w:t>
      </w:r>
    </w:p>
    <w:p w:rsidR="00AA1F8C" w:rsidRPr="004264E2" w:rsidRDefault="00754BB8" w:rsidP="00754BB8">
      <w:pPr>
        <w:pStyle w:val="123"/>
        <w:ind w:left="1133" w:hanging="283"/>
      </w:pPr>
      <w:r w:rsidRPr="0034283B">
        <w:rPr>
          <w:rFonts w:hint="eastAsia"/>
          <w:b/>
        </w:rPr>
        <w:t>3.</w:t>
      </w:r>
      <w:r w:rsidR="00AA1F8C" w:rsidRPr="0034283B">
        <w:rPr>
          <w:rFonts w:hint="eastAsia"/>
          <w:b/>
        </w:rPr>
        <w:t>天然氣：</w:t>
      </w:r>
      <w:r w:rsidR="00A76C7D" w:rsidRPr="0034283B">
        <w:rPr>
          <w:rFonts w:hAnsi="標楷體" w:hint="eastAsia"/>
        </w:rPr>
        <w:t>中油公司天然氣採購成本受到國際油價走勢影響甚大</w:t>
      </w:r>
      <w:r w:rsidR="004264E2">
        <w:rPr>
          <w:rFonts w:hAnsi="標楷體" w:hint="eastAsia"/>
        </w:rPr>
        <w:t>，</w:t>
      </w:r>
      <w:r w:rsidR="00A76C7D" w:rsidRPr="0034283B">
        <w:rPr>
          <w:rFonts w:hAnsi="標楷體" w:hint="eastAsia"/>
        </w:rPr>
        <w:t>台電</w:t>
      </w:r>
      <w:r w:rsidR="00FA038F" w:rsidRPr="0034283B">
        <w:rPr>
          <w:rFonts w:hAnsi="標楷體" w:hint="eastAsia"/>
        </w:rPr>
        <w:t>公司每月收集國際油市資訊逐月對價格進行檢討</w:t>
      </w:r>
      <w:r w:rsidR="00516A42">
        <w:rPr>
          <w:rFonts w:hAnsi="標楷體" w:hint="eastAsia"/>
        </w:rPr>
        <w:t>；</w:t>
      </w:r>
      <w:r w:rsidR="004264E2">
        <w:rPr>
          <w:rFonts w:hAnsi="標楷體" w:hint="eastAsia"/>
        </w:rPr>
        <w:t>參</w:t>
      </w:r>
      <w:r w:rsidR="00A76C7D" w:rsidRPr="0034283B">
        <w:rPr>
          <w:rFonts w:hAnsi="標楷體" w:hint="eastAsia"/>
        </w:rPr>
        <w:t>據</w:t>
      </w:r>
      <w:r w:rsidR="00AA1F8C" w:rsidRPr="0034283B">
        <w:rPr>
          <w:rFonts w:hint="eastAsia"/>
        </w:rPr>
        <w:t>中油公司</w:t>
      </w:r>
      <w:r w:rsidR="00975A7E" w:rsidRPr="0034283B">
        <w:t>113</w:t>
      </w:r>
      <w:r w:rsidR="00975A7E" w:rsidRPr="0034283B">
        <w:rPr>
          <w:rFonts w:hint="eastAsia"/>
        </w:rPr>
        <w:t>年8月</w:t>
      </w:r>
      <w:r w:rsidR="00975A7E" w:rsidRPr="0034283B">
        <w:t>1</w:t>
      </w:r>
      <w:r w:rsidR="00975A7E" w:rsidRPr="0034283B">
        <w:rPr>
          <w:rFonts w:hint="eastAsia"/>
        </w:rPr>
        <w:t>日</w:t>
      </w:r>
      <w:r w:rsidR="00AA1F8C" w:rsidRPr="0034283B">
        <w:rPr>
          <w:rFonts w:hint="eastAsia"/>
        </w:rPr>
        <w:t>公告</w:t>
      </w:r>
      <w:r w:rsidR="0034283B" w:rsidRPr="0034283B">
        <w:rPr>
          <w:rFonts w:hAnsi="標楷體" w:hint="eastAsia"/>
        </w:rPr>
        <w:t>天然氣</w:t>
      </w:r>
      <w:r w:rsidR="00AA1F8C" w:rsidRPr="0034283B">
        <w:rPr>
          <w:rFonts w:hint="eastAsia"/>
        </w:rPr>
        <w:t>參考牌價</w:t>
      </w:r>
      <w:r w:rsidR="00975A7E" w:rsidRPr="0034283B">
        <w:rPr>
          <w:rFonts w:hint="eastAsia"/>
        </w:rPr>
        <w:t>為1</w:t>
      </w:r>
      <w:r w:rsidR="00975A7E" w:rsidRPr="0034283B">
        <w:t>4.0225</w:t>
      </w:r>
      <w:r w:rsidR="00AA1F8C" w:rsidRPr="0034283B">
        <w:rPr>
          <w:rFonts w:hint="eastAsia"/>
        </w:rPr>
        <w:t>元/</w:t>
      </w:r>
      <w:r w:rsidR="00CF6536">
        <w:rPr>
          <w:rFonts w:hint="eastAsia"/>
        </w:rPr>
        <w:t>立方公尺</w:t>
      </w:r>
      <w:r w:rsidR="00AA1F8C" w:rsidRPr="0034283B">
        <w:rPr>
          <w:rFonts w:hint="eastAsia"/>
        </w:rPr>
        <w:t>，較台電公司11</w:t>
      </w:r>
      <w:r w:rsidR="00975A7E" w:rsidRPr="0034283B">
        <w:t>4</w:t>
      </w:r>
      <w:r w:rsidR="00AA1F8C" w:rsidRPr="0034283B">
        <w:rPr>
          <w:rFonts w:hint="eastAsia"/>
        </w:rPr>
        <w:t>年度預算案預估價格</w:t>
      </w:r>
      <w:r w:rsidR="00975A7E" w:rsidRPr="0034283B">
        <w:rPr>
          <w:rFonts w:hint="eastAsia"/>
        </w:rPr>
        <w:t>1</w:t>
      </w:r>
      <w:r w:rsidR="00975A7E" w:rsidRPr="0034283B">
        <w:t>4.7936</w:t>
      </w:r>
      <w:r w:rsidR="00AA1F8C" w:rsidRPr="0034283B">
        <w:rPr>
          <w:rFonts w:hint="eastAsia"/>
        </w:rPr>
        <w:t>元/</w:t>
      </w:r>
      <w:r w:rsidR="00CF6536">
        <w:rPr>
          <w:rFonts w:hint="eastAsia"/>
        </w:rPr>
        <w:t>立方公尺</w:t>
      </w:r>
      <w:r w:rsidR="009E062E" w:rsidRPr="0034283B">
        <w:rPr>
          <w:rFonts w:hint="eastAsia"/>
        </w:rPr>
        <w:t>減少</w:t>
      </w:r>
      <w:r w:rsidR="000160CB" w:rsidRPr="0034283B">
        <w:rPr>
          <w:rFonts w:hint="eastAsia"/>
        </w:rPr>
        <w:t>0</w:t>
      </w:r>
      <w:r w:rsidR="000160CB" w:rsidRPr="0034283B">
        <w:t>.7711</w:t>
      </w:r>
      <w:r w:rsidR="00AA1F8C" w:rsidRPr="0034283B">
        <w:rPr>
          <w:rFonts w:hint="eastAsia"/>
        </w:rPr>
        <w:t>元/</w:t>
      </w:r>
      <w:r w:rsidR="00CF6536">
        <w:rPr>
          <w:rFonts w:hint="eastAsia"/>
        </w:rPr>
        <w:t>立方公尺</w:t>
      </w:r>
      <w:r w:rsidR="004264E2">
        <w:rPr>
          <w:rFonts w:hint="eastAsia"/>
        </w:rPr>
        <w:t>，略呈下降趨勢。</w:t>
      </w:r>
    </w:p>
    <w:p w:rsidR="00AA1F8C" w:rsidRDefault="00AA1F8C" w:rsidP="00754BB8">
      <w:pPr>
        <w:ind w:left="566" w:firstLine="566"/>
      </w:pPr>
      <w:r w:rsidRPr="0034283B">
        <w:rPr>
          <w:rFonts w:hint="eastAsia"/>
        </w:rPr>
        <w:t>綜上，</w:t>
      </w:r>
      <w:r w:rsidR="00F23B4C" w:rsidRPr="0034283B">
        <w:rPr>
          <w:rFonts w:hint="eastAsia"/>
        </w:rPr>
        <w:t>台電公司預計11</w:t>
      </w:r>
      <w:r w:rsidR="00F23B4C" w:rsidRPr="0034283B">
        <w:t>4</w:t>
      </w:r>
      <w:r w:rsidR="00F23B4C" w:rsidRPr="0034283B">
        <w:rPr>
          <w:rFonts w:hint="eastAsia"/>
        </w:rPr>
        <w:t>年度發電燃料費用較11</w:t>
      </w:r>
      <w:r w:rsidR="00F23B4C" w:rsidRPr="0034283B">
        <w:t>3</w:t>
      </w:r>
      <w:r w:rsidR="00F23B4C" w:rsidRPr="0034283B">
        <w:rPr>
          <w:rFonts w:hint="eastAsia"/>
        </w:rPr>
        <w:t>年度減少351</w:t>
      </w:r>
      <w:r w:rsidR="00F23B4C" w:rsidRPr="0034283B">
        <w:t>.46</w:t>
      </w:r>
      <w:r w:rsidR="00F23B4C" w:rsidRPr="0034283B">
        <w:rPr>
          <w:rFonts w:hint="eastAsia"/>
        </w:rPr>
        <w:t>億元(減幅7.96%</w:t>
      </w:r>
      <w:r w:rsidR="00F23B4C" w:rsidRPr="0034283B">
        <w:t>)</w:t>
      </w:r>
      <w:r w:rsidR="00F23B4C" w:rsidRPr="0034283B">
        <w:rPr>
          <w:rFonts w:hint="eastAsia"/>
        </w:rPr>
        <w:t>，復據</w:t>
      </w:r>
      <w:r w:rsidR="0085564F" w:rsidRPr="0034283B">
        <w:rPr>
          <w:rFonts w:hint="eastAsia"/>
        </w:rPr>
        <w:t>1</w:t>
      </w:r>
      <w:r w:rsidR="0085564F" w:rsidRPr="0034283B">
        <w:t>13</w:t>
      </w:r>
      <w:r w:rsidR="0085564F" w:rsidRPr="0034283B">
        <w:rPr>
          <w:rFonts w:hint="eastAsia"/>
        </w:rPr>
        <w:t>年8月</w:t>
      </w:r>
      <w:r w:rsidR="00F23B4C" w:rsidRPr="0034283B">
        <w:rPr>
          <w:rFonts w:hint="eastAsia"/>
        </w:rPr>
        <w:t>重估結果，</w:t>
      </w:r>
      <w:r w:rsidRPr="0034283B">
        <w:rPr>
          <w:rFonts w:hint="eastAsia"/>
        </w:rPr>
        <w:t>發電燃料成本</w:t>
      </w:r>
      <w:r w:rsidR="00F23B4C" w:rsidRPr="0034283B">
        <w:rPr>
          <w:rFonts w:hint="eastAsia"/>
        </w:rPr>
        <w:t>亦</w:t>
      </w:r>
      <w:r w:rsidRPr="0034283B">
        <w:rPr>
          <w:rFonts w:hint="eastAsia"/>
        </w:rPr>
        <w:t>較11</w:t>
      </w:r>
      <w:r w:rsidR="001E6EE6" w:rsidRPr="0034283B">
        <w:t>4</w:t>
      </w:r>
      <w:r w:rsidRPr="0034283B">
        <w:rPr>
          <w:rFonts w:hint="eastAsia"/>
        </w:rPr>
        <w:t>年度預算案原預估成本</w:t>
      </w:r>
      <w:r w:rsidR="000160CB" w:rsidRPr="0034283B">
        <w:rPr>
          <w:rFonts w:hint="eastAsia"/>
        </w:rPr>
        <w:t>減少3</w:t>
      </w:r>
      <w:r w:rsidR="000160CB" w:rsidRPr="0034283B">
        <w:t>2.41</w:t>
      </w:r>
      <w:r w:rsidRPr="0034283B">
        <w:rPr>
          <w:rFonts w:hint="eastAsia"/>
        </w:rPr>
        <w:t>億元，</w:t>
      </w:r>
      <w:r w:rsidR="000160CB" w:rsidRPr="0034283B">
        <w:rPr>
          <w:rFonts w:hint="eastAsia"/>
        </w:rPr>
        <w:t>惟</w:t>
      </w:r>
      <w:r w:rsidR="00D66F65" w:rsidRPr="0034283B">
        <w:rPr>
          <w:rFonts w:hint="eastAsia"/>
        </w:rPr>
        <w:t>各項燃料中除天然氣之市場價格低於原預估值外，其餘各項燃料成本皆高於原預估值</w:t>
      </w:r>
      <w:r w:rsidR="00FA038F" w:rsidRPr="0034283B">
        <w:rPr>
          <w:rFonts w:hint="eastAsia"/>
        </w:rPr>
        <w:t>。鑒於</w:t>
      </w:r>
      <w:r w:rsidRPr="0034283B">
        <w:rPr>
          <w:rFonts w:hint="eastAsia"/>
        </w:rPr>
        <w:t>近期新臺幣兌美元匯率走勢</w:t>
      </w:r>
      <w:r w:rsidR="00556C80" w:rsidRPr="0034283B">
        <w:rPr>
          <w:rFonts w:hint="eastAsia"/>
        </w:rPr>
        <w:t>已較原設算匯率趨貶</w:t>
      </w:r>
      <w:r w:rsidRPr="0034283B">
        <w:rPr>
          <w:rFonts w:hint="eastAsia"/>
        </w:rPr>
        <w:t>，</w:t>
      </w:r>
      <w:r w:rsidR="001E6EE6" w:rsidRPr="0034283B">
        <w:rPr>
          <w:rFonts w:hint="eastAsia"/>
        </w:rPr>
        <w:t>恐促使燃料成本</w:t>
      </w:r>
      <w:r w:rsidR="00F23B4C" w:rsidRPr="0034283B">
        <w:rPr>
          <w:rFonts w:hint="eastAsia"/>
        </w:rPr>
        <w:t>上升</w:t>
      </w:r>
      <w:r w:rsidR="001E6EE6" w:rsidRPr="0034283B">
        <w:rPr>
          <w:rFonts w:hint="eastAsia"/>
        </w:rPr>
        <w:t>，</w:t>
      </w:r>
      <w:r w:rsidRPr="0034283B">
        <w:rPr>
          <w:rFonts w:hint="eastAsia"/>
        </w:rPr>
        <w:t>台電公司允宜預為研謀因應對策，並加強成本抑減與控管措施，俾穩定供電成本與售電價格。</w:t>
      </w:r>
    </w:p>
    <w:p w:rsidR="00AA1F8C" w:rsidRPr="0034283B" w:rsidRDefault="00AA1F8C" w:rsidP="00AA1F8C">
      <w:pPr>
        <w:ind w:leftChars="-9" w:left="567" w:hangingChars="209" w:hanging="592"/>
        <w:rPr>
          <w:rFonts w:hint="eastAsia"/>
        </w:rPr>
      </w:pPr>
      <w:r w:rsidRPr="0034283B">
        <w:rPr>
          <w:rFonts w:hint="eastAsia"/>
          <w:b/>
        </w:rPr>
        <w:t>表1  台電公司11</w:t>
      </w:r>
      <w:r w:rsidR="00A666D1" w:rsidRPr="0034283B">
        <w:rPr>
          <w:b/>
        </w:rPr>
        <w:t>4</w:t>
      </w:r>
      <w:r w:rsidRPr="0034283B">
        <w:rPr>
          <w:rFonts w:hint="eastAsia"/>
          <w:b/>
        </w:rPr>
        <w:t>年度發電燃料成本核算表</w:t>
      </w:r>
      <w:r w:rsidRPr="0034283B">
        <w:rPr>
          <w:rFonts w:hint="eastAsia"/>
        </w:rPr>
        <w:t xml:space="preserve">        </w:t>
      </w:r>
      <w:r w:rsidRPr="0034283B">
        <w:rPr>
          <w:rFonts w:hint="eastAsia"/>
          <w:sz w:val="24"/>
          <w:szCs w:val="24"/>
        </w:rPr>
        <w:t>單位：新臺幣千元</w:t>
      </w:r>
    </w:p>
    <w:tbl>
      <w:tblPr>
        <w:tblW w:w="8661" w:type="dxa"/>
        <w:tblInd w:w="9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1E0" w:firstRow="1" w:lastRow="1" w:firstColumn="1" w:lastColumn="1" w:noHBand="0" w:noVBand="0"/>
      </w:tblPr>
      <w:tblGrid>
        <w:gridCol w:w="1007"/>
        <w:gridCol w:w="992"/>
        <w:gridCol w:w="1701"/>
        <w:gridCol w:w="1701"/>
        <w:gridCol w:w="1701"/>
        <w:gridCol w:w="1559"/>
      </w:tblGrid>
      <w:tr w:rsidR="002D32A6" w:rsidRPr="0034283B" w:rsidTr="000160CB">
        <w:trPr>
          <w:tblHeader/>
        </w:trPr>
        <w:tc>
          <w:tcPr>
            <w:tcW w:w="1999" w:type="dxa"/>
            <w:gridSpan w:val="2"/>
            <w:tcBorders>
              <w:top w:val="single" w:sz="12" w:space="0" w:color="auto"/>
              <w:bottom w:val="single" w:sz="6" w:space="0" w:color="auto"/>
            </w:tcBorders>
            <w:shd w:val="clear" w:color="auto" w:fill="auto"/>
            <w:vAlign w:val="center"/>
          </w:tcPr>
          <w:p w:rsidR="002D32A6" w:rsidRPr="0034283B" w:rsidRDefault="002D32A6" w:rsidP="002D32A6">
            <w:pPr>
              <w:spacing w:line="280" w:lineRule="exact"/>
              <w:ind w:leftChars="0" w:left="0" w:firstLineChars="0" w:firstLine="0"/>
              <w:jc w:val="center"/>
              <w:rPr>
                <w:rFonts w:hint="eastAsia"/>
                <w:b/>
                <w:sz w:val="24"/>
              </w:rPr>
            </w:pPr>
            <w:r w:rsidRPr="0034283B">
              <w:rPr>
                <w:rFonts w:hint="eastAsia"/>
                <w:b/>
                <w:sz w:val="24"/>
              </w:rPr>
              <w:t>項  目</w:t>
            </w:r>
          </w:p>
        </w:tc>
        <w:tc>
          <w:tcPr>
            <w:tcW w:w="1701" w:type="dxa"/>
            <w:tcBorders>
              <w:top w:val="single" w:sz="12" w:space="0" w:color="auto"/>
              <w:bottom w:val="single" w:sz="6" w:space="0" w:color="auto"/>
            </w:tcBorders>
            <w:shd w:val="clear" w:color="auto" w:fill="auto"/>
            <w:vAlign w:val="center"/>
          </w:tcPr>
          <w:p w:rsidR="002D32A6" w:rsidRPr="0034283B" w:rsidRDefault="002D32A6" w:rsidP="002D32A6">
            <w:pPr>
              <w:spacing w:line="280" w:lineRule="exact"/>
              <w:ind w:leftChars="0" w:left="0" w:firstLineChars="0" w:firstLine="0"/>
              <w:jc w:val="center"/>
              <w:rPr>
                <w:rFonts w:hint="eastAsia"/>
                <w:b/>
                <w:sz w:val="24"/>
              </w:rPr>
            </w:pPr>
            <w:r w:rsidRPr="0034283B">
              <w:rPr>
                <w:rFonts w:hint="eastAsia"/>
                <w:b/>
                <w:sz w:val="24"/>
              </w:rPr>
              <w:t>預估用量</w:t>
            </w:r>
          </w:p>
          <w:p w:rsidR="002D32A6" w:rsidRPr="0034283B" w:rsidRDefault="002D32A6" w:rsidP="002D32A6">
            <w:pPr>
              <w:spacing w:line="280" w:lineRule="exact"/>
              <w:ind w:leftChars="0" w:left="0" w:firstLineChars="0" w:firstLine="0"/>
              <w:jc w:val="center"/>
              <w:rPr>
                <w:rFonts w:hint="eastAsia"/>
                <w:b/>
                <w:sz w:val="24"/>
              </w:rPr>
            </w:pPr>
            <w:r w:rsidRPr="0034283B">
              <w:rPr>
                <w:rFonts w:hint="eastAsia"/>
                <w:b/>
                <w:sz w:val="24"/>
              </w:rPr>
              <w:t>（1）</w:t>
            </w:r>
          </w:p>
        </w:tc>
        <w:tc>
          <w:tcPr>
            <w:tcW w:w="1701" w:type="dxa"/>
            <w:tcBorders>
              <w:top w:val="single" w:sz="12" w:space="0" w:color="auto"/>
              <w:bottom w:val="single" w:sz="6" w:space="0" w:color="auto"/>
            </w:tcBorders>
            <w:shd w:val="clear" w:color="auto" w:fill="auto"/>
            <w:vAlign w:val="center"/>
          </w:tcPr>
          <w:p w:rsidR="002D32A6" w:rsidRPr="0034283B" w:rsidRDefault="002D32A6" w:rsidP="002D32A6">
            <w:pPr>
              <w:spacing w:line="280" w:lineRule="exact"/>
              <w:ind w:leftChars="0" w:left="0" w:firstLineChars="0" w:firstLine="0"/>
              <w:jc w:val="center"/>
              <w:rPr>
                <w:rFonts w:hint="eastAsia"/>
                <w:b/>
                <w:sz w:val="24"/>
              </w:rPr>
            </w:pPr>
            <w:r w:rsidRPr="0034283B">
              <w:rPr>
                <w:rFonts w:hint="eastAsia"/>
                <w:b/>
                <w:sz w:val="24"/>
              </w:rPr>
              <w:t>1</w:t>
            </w:r>
            <w:r w:rsidRPr="0034283B">
              <w:rPr>
                <w:b/>
                <w:sz w:val="24"/>
              </w:rPr>
              <w:t>14</w:t>
            </w:r>
            <w:r w:rsidRPr="0034283B">
              <w:rPr>
                <w:rFonts w:hint="eastAsia"/>
                <w:b/>
                <w:sz w:val="24"/>
              </w:rPr>
              <w:t>年度預算案估計基礎(</w:t>
            </w:r>
            <w:r w:rsidRPr="0034283B">
              <w:rPr>
                <w:b/>
                <w:sz w:val="24"/>
              </w:rPr>
              <w:t>2)</w:t>
            </w:r>
          </w:p>
        </w:tc>
        <w:tc>
          <w:tcPr>
            <w:tcW w:w="1701" w:type="dxa"/>
            <w:tcBorders>
              <w:top w:val="single" w:sz="12" w:space="0" w:color="auto"/>
              <w:bottom w:val="single" w:sz="6" w:space="0" w:color="auto"/>
            </w:tcBorders>
            <w:shd w:val="clear" w:color="auto" w:fill="auto"/>
            <w:vAlign w:val="center"/>
          </w:tcPr>
          <w:p w:rsidR="00256402" w:rsidRPr="0034283B" w:rsidRDefault="002D32A6" w:rsidP="002D32A6">
            <w:pPr>
              <w:spacing w:line="280" w:lineRule="exact"/>
              <w:ind w:leftChars="0" w:left="0" w:firstLineChars="0" w:firstLine="0"/>
              <w:jc w:val="center"/>
              <w:rPr>
                <w:b/>
                <w:sz w:val="24"/>
              </w:rPr>
            </w:pPr>
            <w:r w:rsidRPr="0034283B">
              <w:rPr>
                <w:rFonts w:hint="eastAsia"/>
                <w:b/>
                <w:sz w:val="24"/>
              </w:rPr>
              <w:t>1</w:t>
            </w:r>
            <w:r w:rsidRPr="0034283B">
              <w:rPr>
                <w:b/>
                <w:sz w:val="24"/>
              </w:rPr>
              <w:t>13</w:t>
            </w:r>
            <w:r w:rsidRPr="0034283B">
              <w:rPr>
                <w:rFonts w:hint="eastAsia"/>
                <w:b/>
                <w:sz w:val="24"/>
              </w:rPr>
              <w:t>年8月</w:t>
            </w:r>
          </w:p>
          <w:p w:rsidR="002D32A6" w:rsidRPr="0034283B" w:rsidRDefault="002D32A6" w:rsidP="002D32A6">
            <w:pPr>
              <w:spacing w:line="280" w:lineRule="exact"/>
              <w:ind w:leftChars="0" w:left="0" w:firstLineChars="0" w:firstLine="0"/>
              <w:jc w:val="center"/>
              <w:rPr>
                <w:rFonts w:hint="eastAsia"/>
                <w:b/>
                <w:sz w:val="24"/>
              </w:rPr>
            </w:pPr>
            <w:r w:rsidRPr="0034283B">
              <w:rPr>
                <w:rFonts w:hint="eastAsia"/>
                <w:b/>
                <w:sz w:val="24"/>
              </w:rPr>
              <w:t>重估單價(3）</w:t>
            </w:r>
          </w:p>
        </w:tc>
        <w:tc>
          <w:tcPr>
            <w:tcW w:w="1559" w:type="dxa"/>
            <w:tcBorders>
              <w:top w:val="single" w:sz="12" w:space="0" w:color="auto"/>
              <w:bottom w:val="single" w:sz="6" w:space="0" w:color="auto"/>
              <w:right w:val="single" w:sz="12" w:space="0" w:color="auto"/>
            </w:tcBorders>
            <w:shd w:val="clear" w:color="auto" w:fill="auto"/>
            <w:vAlign w:val="center"/>
          </w:tcPr>
          <w:p w:rsidR="002D32A6" w:rsidRPr="0034283B" w:rsidRDefault="002D32A6" w:rsidP="002D32A6">
            <w:pPr>
              <w:spacing w:line="280" w:lineRule="exact"/>
              <w:ind w:leftChars="0" w:left="0" w:firstLineChars="0" w:firstLine="0"/>
              <w:jc w:val="center"/>
              <w:rPr>
                <w:rFonts w:hint="eastAsia"/>
                <w:b/>
                <w:sz w:val="24"/>
              </w:rPr>
            </w:pPr>
            <w:r w:rsidRPr="0034283B">
              <w:rPr>
                <w:rFonts w:hint="eastAsia"/>
                <w:b/>
                <w:sz w:val="24"/>
              </w:rPr>
              <w:t>差異金額</w:t>
            </w:r>
          </w:p>
          <w:p w:rsidR="002D32A6" w:rsidRPr="0034283B" w:rsidRDefault="002D32A6" w:rsidP="002D32A6">
            <w:pPr>
              <w:spacing w:line="280" w:lineRule="exact"/>
              <w:ind w:leftChars="0" w:left="0" w:firstLineChars="0" w:firstLine="0"/>
              <w:jc w:val="center"/>
              <w:rPr>
                <w:rFonts w:hint="eastAsia"/>
                <w:b/>
                <w:sz w:val="24"/>
              </w:rPr>
            </w:pPr>
            <w:r w:rsidRPr="0034283B">
              <w:rPr>
                <w:rFonts w:hint="eastAsia"/>
                <w:b/>
                <w:sz w:val="24"/>
              </w:rPr>
              <w:t>〔（3）-（2）〕×（1）</w:t>
            </w:r>
          </w:p>
        </w:tc>
      </w:tr>
      <w:tr w:rsidR="002D32A6" w:rsidRPr="0034283B" w:rsidTr="000160CB">
        <w:trPr>
          <w:trHeight w:val="548"/>
        </w:trPr>
        <w:tc>
          <w:tcPr>
            <w:tcW w:w="1007" w:type="dxa"/>
            <w:vMerge w:val="restart"/>
            <w:tcBorders>
              <w:top w:val="single" w:sz="6" w:space="0" w:color="auto"/>
              <w:bottom w:val="single" w:sz="6" w:space="0" w:color="auto"/>
            </w:tcBorders>
            <w:shd w:val="clear" w:color="auto" w:fill="auto"/>
            <w:vAlign w:val="center"/>
          </w:tcPr>
          <w:p w:rsidR="002D32A6" w:rsidRPr="0034283B" w:rsidRDefault="002D32A6" w:rsidP="00B95A61">
            <w:pPr>
              <w:spacing w:line="240" w:lineRule="exact"/>
              <w:ind w:leftChars="0" w:left="0" w:firstLineChars="0" w:firstLine="0"/>
              <w:jc w:val="distribute"/>
              <w:rPr>
                <w:rFonts w:hAnsi="標楷體" w:hint="eastAsia"/>
                <w:b/>
                <w:snapToGrid/>
                <w:sz w:val="24"/>
                <w:szCs w:val="22"/>
              </w:rPr>
            </w:pPr>
            <w:r w:rsidRPr="0034283B">
              <w:rPr>
                <w:rFonts w:hAnsi="標楷體" w:hint="eastAsia"/>
                <w:b/>
                <w:snapToGrid/>
                <w:sz w:val="24"/>
                <w:szCs w:val="22"/>
              </w:rPr>
              <w:t>低硫燃料油</w:t>
            </w:r>
          </w:p>
        </w:tc>
        <w:tc>
          <w:tcPr>
            <w:tcW w:w="992" w:type="dxa"/>
            <w:tcBorders>
              <w:top w:val="single" w:sz="6" w:space="0" w:color="auto"/>
              <w:bottom w:val="single" w:sz="6" w:space="0" w:color="auto"/>
            </w:tcBorders>
            <w:vAlign w:val="center"/>
          </w:tcPr>
          <w:p w:rsidR="002D32A6" w:rsidRPr="0034283B" w:rsidRDefault="002D32A6" w:rsidP="002D32A6">
            <w:pPr>
              <w:spacing w:line="240" w:lineRule="exact"/>
              <w:ind w:leftChars="0" w:left="0" w:firstLineChars="0" w:firstLine="0"/>
              <w:jc w:val="center"/>
              <w:rPr>
                <w:rFonts w:hAnsi="標楷體" w:hint="eastAsia"/>
                <w:snapToGrid/>
                <w:sz w:val="24"/>
                <w:szCs w:val="22"/>
              </w:rPr>
            </w:pPr>
            <w:r w:rsidRPr="0034283B">
              <w:rPr>
                <w:rFonts w:hAnsi="標楷體" w:hint="eastAsia"/>
                <w:snapToGrid/>
                <w:sz w:val="24"/>
                <w:szCs w:val="22"/>
              </w:rPr>
              <w:t>金額</w:t>
            </w:r>
          </w:p>
        </w:tc>
        <w:tc>
          <w:tcPr>
            <w:tcW w:w="1701" w:type="dxa"/>
            <w:tcBorders>
              <w:top w:val="single" w:sz="6" w:space="0" w:color="auto"/>
              <w:bottom w:val="single" w:sz="6" w:space="0" w:color="auto"/>
            </w:tcBorders>
            <w:shd w:val="clear" w:color="auto" w:fill="auto"/>
            <w:vAlign w:val="center"/>
          </w:tcPr>
          <w:p w:rsidR="002D32A6" w:rsidRPr="0034283B" w:rsidRDefault="002D32A6" w:rsidP="002D32A6">
            <w:pPr>
              <w:spacing w:line="240" w:lineRule="exact"/>
              <w:ind w:leftChars="0" w:left="0" w:firstLineChars="0" w:firstLine="0"/>
              <w:jc w:val="right"/>
              <w:rPr>
                <w:rFonts w:hAnsi="標楷體" w:hint="eastAsia"/>
                <w:snapToGrid/>
                <w:sz w:val="24"/>
                <w:szCs w:val="22"/>
              </w:rPr>
            </w:pPr>
            <w:r w:rsidRPr="0034283B">
              <w:rPr>
                <w:rFonts w:hAnsi="標楷體" w:hint="eastAsia"/>
                <w:snapToGrid/>
                <w:sz w:val="24"/>
                <w:szCs w:val="22"/>
              </w:rPr>
              <w:t>230,849</w:t>
            </w:r>
          </w:p>
        </w:tc>
        <w:tc>
          <w:tcPr>
            <w:tcW w:w="1701" w:type="dxa"/>
            <w:tcBorders>
              <w:top w:val="single" w:sz="6" w:space="0" w:color="auto"/>
              <w:bottom w:val="single" w:sz="6" w:space="0" w:color="auto"/>
            </w:tcBorders>
            <w:shd w:val="clear" w:color="auto" w:fill="auto"/>
            <w:vAlign w:val="center"/>
          </w:tcPr>
          <w:p w:rsidR="002D32A6" w:rsidRPr="0034283B" w:rsidRDefault="002D32A6" w:rsidP="002D32A6">
            <w:pPr>
              <w:spacing w:line="240" w:lineRule="exact"/>
              <w:ind w:leftChars="0" w:left="0" w:firstLineChars="0" w:firstLine="0"/>
              <w:jc w:val="right"/>
              <w:rPr>
                <w:rFonts w:hAnsi="標楷體" w:hint="eastAsia"/>
                <w:snapToGrid/>
                <w:sz w:val="24"/>
                <w:szCs w:val="22"/>
              </w:rPr>
            </w:pPr>
            <w:r w:rsidRPr="0034283B">
              <w:rPr>
                <w:rFonts w:hAnsi="標楷體" w:hint="eastAsia"/>
                <w:snapToGrid/>
                <w:sz w:val="24"/>
                <w:szCs w:val="22"/>
              </w:rPr>
              <w:t>19,462</w:t>
            </w:r>
          </w:p>
        </w:tc>
        <w:tc>
          <w:tcPr>
            <w:tcW w:w="1701" w:type="dxa"/>
            <w:tcBorders>
              <w:top w:val="single" w:sz="6" w:space="0" w:color="auto"/>
              <w:bottom w:val="single" w:sz="6" w:space="0" w:color="auto"/>
            </w:tcBorders>
            <w:shd w:val="clear" w:color="auto" w:fill="auto"/>
            <w:vAlign w:val="center"/>
          </w:tcPr>
          <w:p w:rsidR="002D32A6" w:rsidRPr="0034283B" w:rsidRDefault="002D32A6" w:rsidP="002D32A6">
            <w:pPr>
              <w:spacing w:line="240" w:lineRule="exact"/>
              <w:ind w:leftChars="0" w:left="0" w:firstLineChars="0" w:firstLine="0"/>
              <w:jc w:val="right"/>
              <w:rPr>
                <w:rFonts w:hAnsi="標楷體" w:hint="eastAsia"/>
                <w:snapToGrid/>
                <w:sz w:val="24"/>
                <w:szCs w:val="22"/>
              </w:rPr>
            </w:pPr>
            <w:r w:rsidRPr="0034283B">
              <w:rPr>
                <w:rFonts w:hAnsi="標楷體" w:hint="eastAsia"/>
                <w:snapToGrid/>
                <w:sz w:val="24"/>
                <w:szCs w:val="22"/>
              </w:rPr>
              <w:t>20,102</w:t>
            </w:r>
          </w:p>
        </w:tc>
        <w:tc>
          <w:tcPr>
            <w:tcW w:w="1559" w:type="dxa"/>
            <w:vMerge w:val="restart"/>
            <w:tcBorders>
              <w:top w:val="single" w:sz="6" w:space="0" w:color="auto"/>
              <w:bottom w:val="single" w:sz="6" w:space="0" w:color="auto"/>
              <w:right w:val="single" w:sz="12" w:space="0" w:color="auto"/>
            </w:tcBorders>
            <w:shd w:val="clear" w:color="auto" w:fill="auto"/>
            <w:vAlign w:val="center"/>
          </w:tcPr>
          <w:p w:rsidR="002D32A6" w:rsidRPr="0034283B" w:rsidRDefault="002D32A6" w:rsidP="004045AB">
            <w:pPr>
              <w:spacing w:line="240" w:lineRule="exact"/>
              <w:ind w:leftChars="0" w:left="0" w:firstLineChars="0" w:firstLine="0"/>
              <w:jc w:val="right"/>
              <w:rPr>
                <w:rFonts w:hAnsi="標楷體" w:hint="eastAsia"/>
                <w:snapToGrid/>
                <w:sz w:val="24"/>
                <w:szCs w:val="22"/>
              </w:rPr>
            </w:pPr>
            <w:r w:rsidRPr="0034283B">
              <w:rPr>
                <w:rFonts w:hAnsi="標楷體" w:hint="eastAsia"/>
                <w:snapToGrid/>
                <w:sz w:val="24"/>
                <w:szCs w:val="22"/>
              </w:rPr>
              <w:t>147,743</w:t>
            </w:r>
          </w:p>
        </w:tc>
      </w:tr>
      <w:tr w:rsidR="002D32A6" w:rsidRPr="0034283B" w:rsidTr="000160CB">
        <w:tc>
          <w:tcPr>
            <w:tcW w:w="1007" w:type="dxa"/>
            <w:vMerge/>
            <w:tcBorders>
              <w:top w:val="single" w:sz="6" w:space="0" w:color="auto"/>
              <w:bottom w:val="single" w:sz="6" w:space="0" w:color="auto"/>
            </w:tcBorders>
            <w:shd w:val="clear" w:color="auto" w:fill="auto"/>
            <w:vAlign w:val="center"/>
          </w:tcPr>
          <w:p w:rsidR="002D32A6" w:rsidRPr="0034283B" w:rsidRDefault="002D32A6" w:rsidP="00B95A61">
            <w:pPr>
              <w:spacing w:line="240" w:lineRule="exact"/>
              <w:ind w:leftChars="0" w:left="0" w:firstLineChars="0" w:firstLine="0"/>
              <w:jc w:val="distribute"/>
              <w:rPr>
                <w:rFonts w:hAnsi="標楷體" w:hint="eastAsia"/>
                <w:b/>
                <w:snapToGrid/>
                <w:sz w:val="24"/>
                <w:szCs w:val="22"/>
              </w:rPr>
            </w:pPr>
          </w:p>
        </w:tc>
        <w:tc>
          <w:tcPr>
            <w:tcW w:w="992" w:type="dxa"/>
            <w:tcBorders>
              <w:top w:val="single" w:sz="6" w:space="0" w:color="auto"/>
              <w:bottom w:val="single" w:sz="6" w:space="0" w:color="auto"/>
            </w:tcBorders>
            <w:vAlign w:val="center"/>
          </w:tcPr>
          <w:p w:rsidR="002D32A6" w:rsidRPr="0034283B" w:rsidRDefault="00334DA1" w:rsidP="00334DA1">
            <w:pPr>
              <w:spacing w:line="240" w:lineRule="exact"/>
              <w:ind w:leftChars="0" w:left="0" w:firstLineChars="0" w:firstLine="0"/>
              <w:jc w:val="center"/>
              <w:rPr>
                <w:rFonts w:hAnsi="標楷體" w:hint="eastAsia"/>
                <w:snapToGrid/>
                <w:sz w:val="24"/>
                <w:szCs w:val="22"/>
              </w:rPr>
            </w:pPr>
            <w:r>
              <w:rPr>
                <w:rFonts w:hAnsi="標楷體" w:hint="eastAsia"/>
                <w:snapToGrid/>
                <w:sz w:val="24"/>
                <w:szCs w:val="22"/>
              </w:rPr>
              <w:t>單位</w:t>
            </w:r>
          </w:p>
        </w:tc>
        <w:tc>
          <w:tcPr>
            <w:tcW w:w="1701" w:type="dxa"/>
            <w:tcBorders>
              <w:top w:val="single" w:sz="6" w:space="0" w:color="auto"/>
              <w:bottom w:val="single" w:sz="6" w:space="0" w:color="auto"/>
            </w:tcBorders>
            <w:shd w:val="clear" w:color="auto" w:fill="auto"/>
            <w:vAlign w:val="center"/>
          </w:tcPr>
          <w:p w:rsidR="002D32A6" w:rsidRPr="0034283B" w:rsidRDefault="002D32A6" w:rsidP="002D32A6">
            <w:pPr>
              <w:spacing w:line="240" w:lineRule="exact"/>
              <w:ind w:leftChars="0" w:left="0" w:firstLineChars="0" w:firstLine="0"/>
              <w:jc w:val="center"/>
              <w:rPr>
                <w:rFonts w:hAnsi="標楷體" w:hint="eastAsia"/>
                <w:snapToGrid/>
                <w:sz w:val="24"/>
                <w:szCs w:val="22"/>
              </w:rPr>
            </w:pPr>
            <w:r w:rsidRPr="0034283B">
              <w:rPr>
                <w:rFonts w:hAnsi="標楷體" w:hint="eastAsia"/>
                <w:snapToGrid/>
                <w:sz w:val="24"/>
                <w:szCs w:val="22"/>
              </w:rPr>
              <w:t>公秉</w:t>
            </w:r>
          </w:p>
        </w:tc>
        <w:tc>
          <w:tcPr>
            <w:tcW w:w="1701" w:type="dxa"/>
            <w:tcBorders>
              <w:top w:val="single" w:sz="6" w:space="0" w:color="auto"/>
              <w:bottom w:val="single" w:sz="6" w:space="0" w:color="auto"/>
            </w:tcBorders>
            <w:shd w:val="clear" w:color="auto" w:fill="auto"/>
            <w:vAlign w:val="center"/>
          </w:tcPr>
          <w:p w:rsidR="002D32A6" w:rsidRPr="0034283B" w:rsidRDefault="002D32A6" w:rsidP="002D32A6">
            <w:pPr>
              <w:spacing w:line="240" w:lineRule="exact"/>
              <w:ind w:leftChars="0" w:left="0" w:firstLineChars="0" w:firstLine="0"/>
              <w:jc w:val="center"/>
              <w:rPr>
                <w:rFonts w:hAnsi="標楷體" w:hint="eastAsia"/>
                <w:snapToGrid/>
                <w:sz w:val="24"/>
                <w:szCs w:val="22"/>
              </w:rPr>
            </w:pPr>
            <w:r w:rsidRPr="0034283B">
              <w:rPr>
                <w:rFonts w:hAnsi="標楷體" w:hint="eastAsia"/>
                <w:snapToGrid/>
                <w:sz w:val="24"/>
                <w:szCs w:val="22"/>
              </w:rPr>
              <w:t>元/公秉</w:t>
            </w:r>
          </w:p>
        </w:tc>
        <w:tc>
          <w:tcPr>
            <w:tcW w:w="1701" w:type="dxa"/>
            <w:tcBorders>
              <w:top w:val="single" w:sz="6" w:space="0" w:color="auto"/>
              <w:bottom w:val="single" w:sz="6" w:space="0" w:color="auto"/>
            </w:tcBorders>
            <w:shd w:val="clear" w:color="auto" w:fill="auto"/>
            <w:vAlign w:val="center"/>
          </w:tcPr>
          <w:p w:rsidR="002D32A6" w:rsidRPr="0034283B" w:rsidRDefault="002D32A6" w:rsidP="002D32A6">
            <w:pPr>
              <w:spacing w:line="240" w:lineRule="exact"/>
              <w:ind w:leftChars="0" w:left="0" w:firstLineChars="0" w:firstLine="0"/>
              <w:jc w:val="center"/>
              <w:rPr>
                <w:rFonts w:hAnsi="標楷體"/>
                <w:snapToGrid/>
                <w:sz w:val="24"/>
                <w:szCs w:val="22"/>
              </w:rPr>
            </w:pPr>
            <w:r w:rsidRPr="0034283B">
              <w:rPr>
                <w:rFonts w:hAnsi="標楷體" w:hint="eastAsia"/>
                <w:snapToGrid/>
                <w:sz w:val="24"/>
                <w:szCs w:val="22"/>
              </w:rPr>
              <w:t>元/公秉</w:t>
            </w:r>
          </w:p>
          <w:p w:rsidR="002D32A6" w:rsidRPr="0034283B" w:rsidRDefault="002D32A6" w:rsidP="000160CB">
            <w:pPr>
              <w:spacing w:line="240" w:lineRule="exact"/>
              <w:ind w:leftChars="0" w:left="0" w:firstLineChars="0" w:firstLine="0"/>
              <w:rPr>
                <w:rFonts w:hAnsi="標楷體" w:hint="eastAsia"/>
                <w:snapToGrid/>
                <w:sz w:val="24"/>
                <w:szCs w:val="22"/>
              </w:rPr>
            </w:pPr>
            <w:r w:rsidRPr="0034283B">
              <w:rPr>
                <w:rFonts w:hAnsi="標楷體" w:hint="eastAsia"/>
                <w:snapToGrid/>
                <w:sz w:val="24"/>
                <w:szCs w:val="22"/>
              </w:rPr>
              <w:t>(中油公司113/8/6牌告未稅價格加計品質價差)</w:t>
            </w:r>
          </w:p>
        </w:tc>
        <w:tc>
          <w:tcPr>
            <w:tcW w:w="1559" w:type="dxa"/>
            <w:vMerge/>
            <w:tcBorders>
              <w:top w:val="single" w:sz="6" w:space="0" w:color="auto"/>
              <w:bottom w:val="single" w:sz="6" w:space="0" w:color="auto"/>
              <w:right w:val="single" w:sz="12" w:space="0" w:color="auto"/>
            </w:tcBorders>
            <w:shd w:val="clear" w:color="auto" w:fill="auto"/>
            <w:vAlign w:val="center"/>
          </w:tcPr>
          <w:p w:rsidR="002D32A6" w:rsidRPr="0034283B" w:rsidRDefault="002D32A6" w:rsidP="004045AB">
            <w:pPr>
              <w:spacing w:line="240" w:lineRule="exact"/>
              <w:ind w:leftChars="0" w:left="0" w:firstLineChars="0" w:firstLine="0"/>
              <w:jc w:val="right"/>
              <w:rPr>
                <w:rFonts w:hAnsi="標楷體" w:hint="eastAsia"/>
                <w:snapToGrid/>
                <w:sz w:val="24"/>
                <w:szCs w:val="22"/>
              </w:rPr>
            </w:pPr>
          </w:p>
        </w:tc>
      </w:tr>
      <w:tr w:rsidR="00334DA1" w:rsidRPr="0034283B" w:rsidTr="000160CB">
        <w:trPr>
          <w:trHeight w:val="486"/>
        </w:trPr>
        <w:tc>
          <w:tcPr>
            <w:tcW w:w="1007" w:type="dxa"/>
            <w:vMerge w:val="restart"/>
            <w:tcBorders>
              <w:top w:val="single" w:sz="6" w:space="0" w:color="auto"/>
              <w:bottom w:val="single" w:sz="6" w:space="0" w:color="auto"/>
            </w:tcBorders>
            <w:shd w:val="clear" w:color="auto" w:fill="auto"/>
            <w:vAlign w:val="center"/>
          </w:tcPr>
          <w:p w:rsidR="00334DA1" w:rsidRPr="0034283B" w:rsidRDefault="00334DA1" w:rsidP="00B95A61">
            <w:pPr>
              <w:spacing w:line="240" w:lineRule="exact"/>
              <w:ind w:leftChars="0" w:left="0" w:firstLineChars="0" w:firstLine="0"/>
              <w:jc w:val="distribute"/>
              <w:rPr>
                <w:rFonts w:hAnsi="標楷體" w:hint="eastAsia"/>
                <w:b/>
                <w:snapToGrid/>
                <w:sz w:val="24"/>
                <w:szCs w:val="22"/>
              </w:rPr>
            </w:pPr>
            <w:r w:rsidRPr="0034283B">
              <w:rPr>
                <w:rFonts w:hAnsi="標楷體" w:hint="eastAsia"/>
                <w:b/>
                <w:snapToGrid/>
                <w:sz w:val="24"/>
                <w:szCs w:val="22"/>
              </w:rPr>
              <w:t>超級柴油</w:t>
            </w:r>
          </w:p>
        </w:tc>
        <w:tc>
          <w:tcPr>
            <w:tcW w:w="992" w:type="dxa"/>
            <w:tcBorders>
              <w:top w:val="single" w:sz="6" w:space="0" w:color="auto"/>
              <w:bottom w:val="single" w:sz="6" w:space="0" w:color="auto"/>
            </w:tcBorders>
            <w:vAlign w:val="center"/>
          </w:tcPr>
          <w:p w:rsidR="00334DA1" w:rsidRPr="0034283B" w:rsidRDefault="00334DA1" w:rsidP="00334DA1">
            <w:pPr>
              <w:spacing w:line="240" w:lineRule="exact"/>
              <w:ind w:leftChars="0" w:left="0" w:firstLineChars="0" w:firstLine="0"/>
              <w:jc w:val="center"/>
              <w:rPr>
                <w:rFonts w:hAnsi="標楷體" w:hint="eastAsia"/>
                <w:snapToGrid/>
                <w:sz w:val="24"/>
                <w:szCs w:val="22"/>
              </w:rPr>
            </w:pPr>
            <w:r w:rsidRPr="0034283B">
              <w:rPr>
                <w:rFonts w:hAnsi="標楷體" w:hint="eastAsia"/>
                <w:snapToGrid/>
                <w:sz w:val="24"/>
                <w:szCs w:val="22"/>
              </w:rPr>
              <w:t>金額</w:t>
            </w:r>
          </w:p>
        </w:tc>
        <w:tc>
          <w:tcPr>
            <w:tcW w:w="1701" w:type="dxa"/>
            <w:tcBorders>
              <w:top w:val="single" w:sz="6" w:space="0" w:color="auto"/>
              <w:bottom w:val="single" w:sz="6" w:space="0" w:color="auto"/>
            </w:tcBorders>
            <w:shd w:val="clear" w:color="auto" w:fill="auto"/>
            <w:vAlign w:val="center"/>
          </w:tcPr>
          <w:p w:rsidR="00334DA1" w:rsidRPr="0034283B" w:rsidRDefault="00334DA1" w:rsidP="00334DA1">
            <w:pPr>
              <w:spacing w:line="240" w:lineRule="exact"/>
              <w:ind w:leftChars="0" w:left="0" w:firstLineChars="0" w:firstLine="0"/>
              <w:jc w:val="right"/>
              <w:rPr>
                <w:rFonts w:hAnsi="標楷體" w:hint="eastAsia"/>
                <w:snapToGrid/>
                <w:sz w:val="24"/>
                <w:szCs w:val="22"/>
              </w:rPr>
            </w:pPr>
            <w:r w:rsidRPr="0034283B">
              <w:rPr>
                <w:rFonts w:hAnsi="標楷體" w:hint="eastAsia"/>
                <w:snapToGrid/>
                <w:sz w:val="24"/>
                <w:szCs w:val="22"/>
              </w:rPr>
              <w:t>120,942</w:t>
            </w:r>
          </w:p>
        </w:tc>
        <w:tc>
          <w:tcPr>
            <w:tcW w:w="1701" w:type="dxa"/>
            <w:tcBorders>
              <w:top w:val="single" w:sz="6" w:space="0" w:color="auto"/>
              <w:bottom w:val="single" w:sz="6" w:space="0" w:color="auto"/>
            </w:tcBorders>
            <w:shd w:val="clear" w:color="auto" w:fill="auto"/>
            <w:vAlign w:val="center"/>
          </w:tcPr>
          <w:p w:rsidR="00334DA1" w:rsidRPr="0034283B" w:rsidRDefault="00334DA1" w:rsidP="00334DA1">
            <w:pPr>
              <w:spacing w:line="240" w:lineRule="exact"/>
              <w:ind w:leftChars="0" w:left="0" w:firstLineChars="0" w:firstLine="0"/>
              <w:jc w:val="right"/>
              <w:rPr>
                <w:rFonts w:hAnsi="標楷體" w:hint="eastAsia"/>
                <w:snapToGrid/>
                <w:sz w:val="24"/>
                <w:szCs w:val="22"/>
              </w:rPr>
            </w:pPr>
            <w:r w:rsidRPr="0034283B">
              <w:rPr>
                <w:rFonts w:hAnsi="標楷體" w:hint="eastAsia"/>
                <w:snapToGrid/>
                <w:sz w:val="24"/>
                <w:szCs w:val="22"/>
              </w:rPr>
              <w:t>24,396</w:t>
            </w:r>
          </w:p>
        </w:tc>
        <w:tc>
          <w:tcPr>
            <w:tcW w:w="1701" w:type="dxa"/>
            <w:tcBorders>
              <w:top w:val="single" w:sz="6" w:space="0" w:color="auto"/>
              <w:bottom w:val="single" w:sz="6" w:space="0" w:color="auto"/>
            </w:tcBorders>
            <w:shd w:val="clear" w:color="auto" w:fill="auto"/>
            <w:vAlign w:val="center"/>
          </w:tcPr>
          <w:p w:rsidR="00334DA1" w:rsidRPr="0034283B" w:rsidRDefault="00334DA1" w:rsidP="00334DA1">
            <w:pPr>
              <w:spacing w:line="240" w:lineRule="exact"/>
              <w:ind w:leftChars="0" w:left="0" w:firstLineChars="0" w:firstLine="0"/>
              <w:jc w:val="right"/>
              <w:rPr>
                <w:rFonts w:hAnsi="標楷體" w:hint="eastAsia"/>
                <w:snapToGrid/>
                <w:sz w:val="24"/>
                <w:szCs w:val="22"/>
              </w:rPr>
            </w:pPr>
            <w:r w:rsidRPr="0034283B">
              <w:rPr>
                <w:rFonts w:hAnsi="標楷體" w:hint="eastAsia"/>
                <w:snapToGrid/>
                <w:sz w:val="24"/>
                <w:szCs w:val="22"/>
              </w:rPr>
              <w:t>27,000</w:t>
            </w:r>
          </w:p>
        </w:tc>
        <w:tc>
          <w:tcPr>
            <w:tcW w:w="1559" w:type="dxa"/>
            <w:vMerge w:val="restart"/>
            <w:tcBorders>
              <w:top w:val="single" w:sz="6" w:space="0" w:color="auto"/>
              <w:bottom w:val="single" w:sz="6" w:space="0" w:color="auto"/>
              <w:right w:val="single" w:sz="12" w:space="0" w:color="auto"/>
            </w:tcBorders>
            <w:shd w:val="clear" w:color="auto" w:fill="auto"/>
            <w:vAlign w:val="center"/>
          </w:tcPr>
          <w:p w:rsidR="00334DA1" w:rsidRPr="0034283B" w:rsidRDefault="00334DA1" w:rsidP="00334DA1">
            <w:pPr>
              <w:spacing w:line="240" w:lineRule="exact"/>
              <w:ind w:leftChars="0" w:left="0" w:firstLineChars="0" w:firstLine="0"/>
              <w:jc w:val="right"/>
              <w:rPr>
                <w:rFonts w:hAnsi="標楷體" w:hint="eastAsia"/>
                <w:snapToGrid/>
                <w:sz w:val="24"/>
                <w:szCs w:val="22"/>
              </w:rPr>
            </w:pPr>
            <w:r w:rsidRPr="0034283B">
              <w:rPr>
                <w:rFonts w:hAnsi="標楷體" w:hint="eastAsia"/>
                <w:snapToGrid/>
                <w:sz w:val="24"/>
                <w:szCs w:val="22"/>
              </w:rPr>
              <w:t>314,933</w:t>
            </w:r>
          </w:p>
        </w:tc>
      </w:tr>
      <w:tr w:rsidR="00334DA1" w:rsidRPr="0034283B" w:rsidTr="000160CB">
        <w:tc>
          <w:tcPr>
            <w:tcW w:w="1007" w:type="dxa"/>
            <w:vMerge/>
            <w:tcBorders>
              <w:top w:val="single" w:sz="6" w:space="0" w:color="auto"/>
              <w:bottom w:val="single" w:sz="4" w:space="0" w:color="auto"/>
            </w:tcBorders>
            <w:shd w:val="clear" w:color="auto" w:fill="auto"/>
            <w:vAlign w:val="center"/>
          </w:tcPr>
          <w:p w:rsidR="00334DA1" w:rsidRPr="0034283B" w:rsidRDefault="00334DA1" w:rsidP="00B95A61">
            <w:pPr>
              <w:spacing w:line="240" w:lineRule="exact"/>
              <w:ind w:leftChars="0" w:left="0" w:firstLineChars="0" w:firstLine="0"/>
              <w:jc w:val="distribute"/>
              <w:rPr>
                <w:rFonts w:hAnsi="標楷體" w:hint="eastAsia"/>
                <w:b/>
                <w:snapToGrid/>
                <w:sz w:val="24"/>
                <w:szCs w:val="22"/>
              </w:rPr>
            </w:pPr>
          </w:p>
        </w:tc>
        <w:tc>
          <w:tcPr>
            <w:tcW w:w="992" w:type="dxa"/>
            <w:tcBorders>
              <w:top w:val="single" w:sz="6" w:space="0" w:color="auto"/>
              <w:bottom w:val="single" w:sz="4" w:space="0" w:color="auto"/>
            </w:tcBorders>
            <w:vAlign w:val="center"/>
          </w:tcPr>
          <w:p w:rsidR="00334DA1" w:rsidRPr="0034283B" w:rsidRDefault="00334DA1" w:rsidP="00334DA1">
            <w:pPr>
              <w:spacing w:line="240" w:lineRule="exact"/>
              <w:ind w:leftChars="0" w:left="0" w:firstLineChars="0" w:firstLine="0"/>
              <w:jc w:val="center"/>
              <w:rPr>
                <w:rFonts w:hAnsi="標楷體" w:hint="eastAsia"/>
                <w:snapToGrid/>
                <w:sz w:val="24"/>
                <w:szCs w:val="22"/>
              </w:rPr>
            </w:pPr>
            <w:r>
              <w:rPr>
                <w:rFonts w:hAnsi="標楷體" w:hint="eastAsia"/>
                <w:snapToGrid/>
                <w:sz w:val="24"/>
                <w:szCs w:val="22"/>
              </w:rPr>
              <w:t>單位</w:t>
            </w:r>
          </w:p>
        </w:tc>
        <w:tc>
          <w:tcPr>
            <w:tcW w:w="1701" w:type="dxa"/>
            <w:tcBorders>
              <w:top w:val="single" w:sz="6" w:space="0" w:color="auto"/>
              <w:bottom w:val="single" w:sz="4" w:space="0" w:color="auto"/>
            </w:tcBorders>
            <w:shd w:val="clear" w:color="auto" w:fill="auto"/>
            <w:vAlign w:val="center"/>
          </w:tcPr>
          <w:p w:rsidR="00334DA1" w:rsidRPr="0034283B" w:rsidRDefault="00334DA1" w:rsidP="00334DA1">
            <w:pPr>
              <w:spacing w:line="240" w:lineRule="exact"/>
              <w:ind w:leftChars="0" w:left="0" w:firstLineChars="0" w:firstLine="0"/>
              <w:jc w:val="center"/>
              <w:rPr>
                <w:rFonts w:hAnsi="標楷體" w:hint="eastAsia"/>
                <w:snapToGrid/>
                <w:sz w:val="24"/>
                <w:szCs w:val="22"/>
              </w:rPr>
            </w:pPr>
            <w:r w:rsidRPr="0034283B">
              <w:rPr>
                <w:rFonts w:hAnsi="標楷體" w:hint="eastAsia"/>
                <w:snapToGrid/>
                <w:sz w:val="24"/>
                <w:szCs w:val="22"/>
              </w:rPr>
              <w:t>公秉</w:t>
            </w:r>
          </w:p>
        </w:tc>
        <w:tc>
          <w:tcPr>
            <w:tcW w:w="1701" w:type="dxa"/>
            <w:tcBorders>
              <w:top w:val="single" w:sz="6" w:space="0" w:color="auto"/>
              <w:bottom w:val="single" w:sz="4" w:space="0" w:color="auto"/>
            </w:tcBorders>
            <w:shd w:val="clear" w:color="auto" w:fill="auto"/>
            <w:vAlign w:val="center"/>
          </w:tcPr>
          <w:p w:rsidR="00334DA1" w:rsidRPr="0034283B" w:rsidRDefault="00334DA1" w:rsidP="00334DA1">
            <w:pPr>
              <w:spacing w:line="240" w:lineRule="exact"/>
              <w:ind w:leftChars="0" w:left="0" w:firstLineChars="0" w:firstLine="0"/>
              <w:jc w:val="center"/>
              <w:rPr>
                <w:rFonts w:hAnsi="標楷體" w:hint="eastAsia"/>
                <w:snapToGrid/>
                <w:sz w:val="24"/>
                <w:szCs w:val="22"/>
              </w:rPr>
            </w:pPr>
            <w:r w:rsidRPr="0034283B">
              <w:rPr>
                <w:rFonts w:hAnsi="標楷體" w:hint="eastAsia"/>
                <w:snapToGrid/>
                <w:sz w:val="24"/>
                <w:szCs w:val="22"/>
              </w:rPr>
              <w:t>元/公秉</w:t>
            </w:r>
          </w:p>
        </w:tc>
        <w:tc>
          <w:tcPr>
            <w:tcW w:w="1701" w:type="dxa"/>
            <w:tcBorders>
              <w:top w:val="single" w:sz="6" w:space="0" w:color="auto"/>
              <w:bottom w:val="single" w:sz="4" w:space="0" w:color="auto"/>
            </w:tcBorders>
            <w:shd w:val="clear" w:color="auto" w:fill="auto"/>
            <w:vAlign w:val="center"/>
          </w:tcPr>
          <w:p w:rsidR="00334DA1" w:rsidRPr="0034283B" w:rsidRDefault="00334DA1" w:rsidP="00334DA1">
            <w:pPr>
              <w:spacing w:line="240" w:lineRule="exact"/>
              <w:ind w:leftChars="0" w:left="0" w:firstLineChars="0" w:firstLine="0"/>
              <w:jc w:val="center"/>
              <w:rPr>
                <w:rFonts w:hAnsi="標楷體"/>
                <w:snapToGrid/>
                <w:sz w:val="24"/>
                <w:szCs w:val="22"/>
              </w:rPr>
            </w:pPr>
            <w:r w:rsidRPr="0034283B">
              <w:rPr>
                <w:rFonts w:hAnsi="標楷體" w:hint="eastAsia"/>
                <w:snapToGrid/>
                <w:sz w:val="24"/>
                <w:szCs w:val="22"/>
              </w:rPr>
              <w:t xml:space="preserve">元/公秉 </w:t>
            </w:r>
          </w:p>
          <w:p w:rsidR="00334DA1" w:rsidRPr="0034283B" w:rsidRDefault="00334DA1" w:rsidP="00334DA1">
            <w:pPr>
              <w:spacing w:line="240" w:lineRule="exact"/>
              <w:ind w:leftChars="0" w:left="0" w:firstLineChars="0" w:firstLine="0"/>
              <w:rPr>
                <w:rFonts w:hAnsi="標楷體" w:hint="eastAsia"/>
                <w:snapToGrid/>
                <w:sz w:val="24"/>
                <w:szCs w:val="22"/>
              </w:rPr>
            </w:pPr>
            <w:r w:rsidRPr="0034283B">
              <w:rPr>
                <w:rFonts w:hAnsi="標楷體" w:hint="eastAsia"/>
                <w:snapToGrid/>
                <w:sz w:val="24"/>
                <w:szCs w:val="22"/>
              </w:rPr>
              <w:t>(中油公司113/8/12牌告未稅價格)</w:t>
            </w:r>
          </w:p>
        </w:tc>
        <w:tc>
          <w:tcPr>
            <w:tcW w:w="1559" w:type="dxa"/>
            <w:vMerge/>
            <w:tcBorders>
              <w:top w:val="single" w:sz="6" w:space="0" w:color="auto"/>
              <w:bottom w:val="single" w:sz="4" w:space="0" w:color="auto"/>
              <w:right w:val="single" w:sz="12" w:space="0" w:color="auto"/>
            </w:tcBorders>
            <w:shd w:val="clear" w:color="auto" w:fill="auto"/>
            <w:vAlign w:val="center"/>
          </w:tcPr>
          <w:p w:rsidR="00334DA1" w:rsidRPr="0034283B" w:rsidRDefault="00334DA1" w:rsidP="00334DA1">
            <w:pPr>
              <w:spacing w:line="240" w:lineRule="exact"/>
              <w:ind w:leftChars="0" w:left="0" w:firstLineChars="0" w:firstLine="0"/>
              <w:jc w:val="right"/>
              <w:rPr>
                <w:rFonts w:hAnsi="標楷體" w:hint="eastAsia"/>
                <w:snapToGrid/>
                <w:sz w:val="24"/>
                <w:szCs w:val="22"/>
              </w:rPr>
            </w:pPr>
          </w:p>
        </w:tc>
      </w:tr>
      <w:tr w:rsidR="00334DA1" w:rsidRPr="0034283B" w:rsidTr="00D827F4">
        <w:trPr>
          <w:trHeight w:val="396"/>
        </w:trPr>
        <w:tc>
          <w:tcPr>
            <w:tcW w:w="1007" w:type="dxa"/>
            <w:vMerge w:val="restart"/>
            <w:tcBorders>
              <w:top w:val="single" w:sz="4" w:space="0" w:color="auto"/>
            </w:tcBorders>
            <w:shd w:val="clear" w:color="auto" w:fill="auto"/>
            <w:vAlign w:val="center"/>
          </w:tcPr>
          <w:p w:rsidR="00334DA1" w:rsidRPr="0034283B" w:rsidRDefault="00334DA1" w:rsidP="00B95A61">
            <w:pPr>
              <w:spacing w:line="240" w:lineRule="exact"/>
              <w:ind w:leftChars="0" w:left="0" w:firstLineChars="0" w:firstLine="0"/>
              <w:jc w:val="distribute"/>
              <w:rPr>
                <w:rFonts w:hAnsi="標楷體" w:hint="eastAsia"/>
                <w:b/>
                <w:snapToGrid/>
                <w:sz w:val="24"/>
                <w:szCs w:val="22"/>
              </w:rPr>
            </w:pPr>
            <w:r w:rsidRPr="0034283B">
              <w:rPr>
                <w:rFonts w:hAnsi="標楷體" w:hint="eastAsia"/>
                <w:b/>
                <w:snapToGrid/>
                <w:sz w:val="24"/>
                <w:szCs w:val="22"/>
              </w:rPr>
              <w:t>燃煤</w:t>
            </w:r>
          </w:p>
        </w:tc>
        <w:tc>
          <w:tcPr>
            <w:tcW w:w="992" w:type="dxa"/>
            <w:tcBorders>
              <w:top w:val="single" w:sz="4" w:space="0" w:color="auto"/>
            </w:tcBorders>
            <w:vAlign w:val="center"/>
          </w:tcPr>
          <w:p w:rsidR="00334DA1" w:rsidRPr="0034283B" w:rsidRDefault="00334DA1" w:rsidP="00334DA1">
            <w:pPr>
              <w:spacing w:line="240" w:lineRule="exact"/>
              <w:ind w:leftChars="0" w:left="0" w:firstLineChars="0" w:firstLine="0"/>
              <w:jc w:val="center"/>
              <w:rPr>
                <w:rFonts w:hAnsi="標楷體" w:hint="eastAsia"/>
                <w:snapToGrid/>
                <w:sz w:val="24"/>
                <w:szCs w:val="22"/>
              </w:rPr>
            </w:pPr>
            <w:r w:rsidRPr="0034283B">
              <w:rPr>
                <w:rFonts w:hAnsi="標楷體" w:hint="eastAsia"/>
                <w:snapToGrid/>
                <w:sz w:val="24"/>
                <w:szCs w:val="22"/>
              </w:rPr>
              <w:t>金額</w:t>
            </w:r>
          </w:p>
        </w:tc>
        <w:tc>
          <w:tcPr>
            <w:tcW w:w="1701" w:type="dxa"/>
            <w:tcBorders>
              <w:top w:val="single" w:sz="4" w:space="0" w:color="auto"/>
            </w:tcBorders>
            <w:shd w:val="clear" w:color="auto" w:fill="auto"/>
            <w:vAlign w:val="center"/>
          </w:tcPr>
          <w:p w:rsidR="00334DA1" w:rsidRPr="0034283B" w:rsidRDefault="00334DA1" w:rsidP="00334DA1">
            <w:pPr>
              <w:spacing w:line="240" w:lineRule="exact"/>
              <w:ind w:leftChars="0" w:left="0" w:firstLineChars="0" w:firstLine="0"/>
              <w:jc w:val="right"/>
              <w:rPr>
                <w:rFonts w:hAnsi="標楷體" w:hint="eastAsia"/>
                <w:snapToGrid/>
                <w:sz w:val="24"/>
                <w:szCs w:val="22"/>
              </w:rPr>
            </w:pPr>
            <w:r w:rsidRPr="0034283B">
              <w:rPr>
                <w:rFonts w:hAnsi="標楷體" w:hint="eastAsia"/>
                <w:snapToGrid/>
                <w:sz w:val="24"/>
                <w:szCs w:val="22"/>
              </w:rPr>
              <w:t>22,654,885</w:t>
            </w:r>
          </w:p>
        </w:tc>
        <w:tc>
          <w:tcPr>
            <w:tcW w:w="1701" w:type="dxa"/>
            <w:tcBorders>
              <w:top w:val="single" w:sz="4" w:space="0" w:color="auto"/>
            </w:tcBorders>
            <w:shd w:val="clear" w:color="auto" w:fill="auto"/>
            <w:vAlign w:val="center"/>
          </w:tcPr>
          <w:p w:rsidR="00334DA1" w:rsidRPr="0034283B" w:rsidRDefault="00334DA1" w:rsidP="00334DA1">
            <w:pPr>
              <w:spacing w:line="240" w:lineRule="exact"/>
              <w:ind w:leftChars="0" w:left="0" w:firstLineChars="0" w:firstLine="0"/>
              <w:jc w:val="right"/>
              <w:rPr>
                <w:rFonts w:hAnsi="標楷體" w:hint="eastAsia"/>
                <w:snapToGrid/>
                <w:sz w:val="24"/>
                <w:szCs w:val="22"/>
              </w:rPr>
            </w:pPr>
            <w:r w:rsidRPr="0034283B">
              <w:rPr>
                <w:rFonts w:hAnsi="標楷體" w:hint="eastAsia"/>
                <w:snapToGrid/>
                <w:sz w:val="24"/>
                <w:szCs w:val="22"/>
              </w:rPr>
              <w:t>4,640</w:t>
            </w:r>
          </w:p>
        </w:tc>
        <w:tc>
          <w:tcPr>
            <w:tcW w:w="1701" w:type="dxa"/>
            <w:tcBorders>
              <w:top w:val="single" w:sz="4" w:space="0" w:color="auto"/>
            </w:tcBorders>
            <w:shd w:val="clear" w:color="auto" w:fill="auto"/>
            <w:vAlign w:val="center"/>
          </w:tcPr>
          <w:p w:rsidR="00334DA1" w:rsidRPr="0034283B" w:rsidRDefault="00334DA1" w:rsidP="00334DA1">
            <w:pPr>
              <w:spacing w:line="240" w:lineRule="exact"/>
              <w:ind w:leftChars="0" w:left="0" w:firstLineChars="0" w:firstLine="0"/>
              <w:jc w:val="right"/>
              <w:rPr>
                <w:rFonts w:hAnsi="標楷體" w:hint="eastAsia"/>
                <w:snapToGrid/>
                <w:sz w:val="24"/>
                <w:szCs w:val="22"/>
              </w:rPr>
            </w:pPr>
            <w:r w:rsidRPr="0034283B">
              <w:rPr>
                <w:rFonts w:hAnsi="標楷體" w:hint="eastAsia"/>
                <w:snapToGrid/>
                <w:sz w:val="24"/>
                <w:szCs w:val="22"/>
              </w:rPr>
              <w:t>5,150</w:t>
            </w:r>
          </w:p>
        </w:tc>
        <w:tc>
          <w:tcPr>
            <w:tcW w:w="1559" w:type="dxa"/>
            <w:vMerge w:val="restart"/>
            <w:tcBorders>
              <w:top w:val="single" w:sz="4" w:space="0" w:color="auto"/>
              <w:right w:val="single" w:sz="12" w:space="0" w:color="auto"/>
            </w:tcBorders>
            <w:shd w:val="clear" w:color="auto" w:fill="auto"/>
            <w:vAlign w:val="center"/>
          </w:tcPr>
          <w:p w:rsidR="00334DA1" w:rsidRPr="0034283B" w:rsidRDefault="00334DA1" w:rsidP="00334DA1">
            <w:pPr>
              <w:spacing w:line="240" w:lineRule="exact"/>
              <w:ind w:leftChars="0" w:left="0" w:firstLineChars="0" w:firstLine="0"/>
              <w:jc w:val="right"/>
              <w:rPr>
                <w:rFonts w:hAnsi="標楷體" w:hint="eastAsia"/>
                <w:snapToGrid/>
                <w:sz w:val="24"/>
                <w:szCs w:val="22"/>
              </w:rPr>
            </w:pPr>
            <w:r w:rsidRPr="0034283B">
              <w:rPr>
                <w:rFonts w:hAnsi="標楷體" w:hint="eastAsia"/>
                <w:snapToGrid/>
                <w:sz w:val="24"/>
                <w:szCs w:val="22"/>
              </w:rPr>
              <w:t>11,553,991</w:t>
            </w:r>
          </w:p>
        </w:tc>
      </w:tr>
      <w:tr w:rsidR="00334DA1" w:rsidRPr="0034283B" w:rsidTr="00D827F4">
        <w:trPr>
          <w:trHeight w:val="288"/>
        </w:trPr>
        <w:tc>
          <w:tcPr>
            <w:tcW w:w="1007" w:type="dxa"/>
            <w:vMerge/>
            <w:shd w:val="clear" w:color="auto" w:fill="auto"/>
            <w:vAlign w:val="center"/>
          </w:tcPr>
          <w:p w:rsidR="00334DA1" w:rsidRPr="0034283B" w:rsidRDefault="00334DA1" w:rsidP="00B95A61">
            <w:pPr>
              <w:spacing w:line="240" w:lineRule="exact"/>
              <w:ind w:leftChars="0" w:left="0" w:firstLineChars="0" w:firstLine="0"/>
              <w:jc w:val="distribute"/>
              <w:rPr>
                <w:rFonts w:hAnsi="標楷體" w:hint="eastAsia"/>
                <w:b/>
                <w:snapToGrid/>
                <w:sz w:val="24"/>
                <w:szCs w:val="22"/>
              </w:rPr>
            </w:pPr>
          </w:p>
        </w:tc>
        <w:tc>
          <w:tcPr>
            <w:tcW w:w="992" w:type="dxa"/>
            <w:vMerge w:val="restart"/>
            <w:vAlign w:val="center"/>
          </w:tcPr>
          <w:p w:rsidR="00334DA1" w:rsidRPr="0034283B" w:rsidRDefault="00334DA1" w:rsidP="00334DA1">
            <w:pPr>
              <w:spacing w:line="240" w:lineRule="exact"/>
              <w:ind w:leftChars="0" w:left="0" w:firstLineChars="0" w:firstLine="0"/>
              <w:jc w:val="center"/>
              <w:rPr>
                <w:rFonts w:hAnsi="標楷體" w:hint="eastAsia"/>
                <w:snapToGrid/>
                <w:sz w:val="24"/>
                <w:szCs w:val="22"/>
              </w:rPr>
            </w:pPr>
            <w:r>
              <w:rPr>
                <w:rFonts w:hAnsi="標楷體" w:hint="eastAsia"/>
                <w:snapToGrid/>
                <w:sz w:val="24"/>
                <w:szCs w:val="22"/>
              </w:rPr>
              <w:t>單位</w:t>
            </w:r>
          </w:p>
        </w:tc>
        <w:tc>
          <w:tcPr>
            <w:tcW w:w="1701" w:type="dxa"/>
            <w:shd w:val="clear" w:color="auto" w:fill="auto"/>
            <w:vAlign w:val="center"/>
          </w:tcPr>
          <w:p w:rsidR="00334DA1" w:rsidRPr="0034283B" w:rsidRDefault="00334DA1" w:rsidP="00334DA1">
            <w:pPr>
              <w:spacing w:line="240" w:lineRule="exact"/>
              <w:ind w:leftChars="0" w:left="0" w:firstLineChars="0" w:firstLine="0"/>
              <w:jc w:val="center"/>
              <w:rPr>
                <w:rFonts w:hAnsi="標楷體" w:hint="eastAsia"/>
                <w:snapToGrid/>
                <w:sz w:val="24"/>
                <w:szCs w:val="22"/>
              </w:rPr>
            </w:pPr>
            <w:r w:rsidRPr="0034283B">
              <w:rPr>
                <w:rFonts w:hAnsi="標楷體" w:hint="eastAsia"/>
                <w:snapToGrid/>
                <w:sz w:val="24"/>
                <w:szCs w:val="22"/>
              </w:rPr>
              <w:t>公噸</w:t>
            </w:r>
          </w:p>
        </w:tc>
        <w:tc>
          <w:tcPr>
            <w:tcW w:w="1701" w:type="dxa"/>
            <w:shd w:val="clear" w:color="auto" w:fill="auto"/>
            <w:vAlign w:val="center"/>
          </w:tcPr>
          <w:p w:rsidR="00334DA1" w:rsidRPr="0034283B" w:rsidRDefault="00334DA1" w:rsidP="00334DA1">
            <w:pPr>
              <w:spacing w:line="240" w:lineRule="exact"/>
              <w:ind w:leftChars="0" w:left="0" w:firstLineChars="0" w:firstLine="0"/>
              <w:jc w:val="center"/>
              <w:rPr>
                <w:rFonts w:hAnsi="標楷體" w:hint="eastAsia"/>
                <w:snapToGrid/>
                <w:sz w:val="24"/>
                <w:szCs w:val="22"/>
              </w:rPr>
            </w:pPr>
            <w:r w:rsidRPr="0034283B">
              <w:rPr>
                <w:rFonts w:hAnsi="標楷體" w:hint="eastAsia"/>
                <w:snapToGrid/>
                <w:sz w:val="24"/>
                <w:szCs w:val="22"/>
              </w:rPr>
              <w:t>元/公噸</w:t>
            </w:r>
          </w:p>
        </w:tc>
        <w:tc>
          <w:tcPr>
            <w:tcW w:w="1701" w:type="dxa"/>
            <w:shd w:val="clear" w:color="auto" w:fill="auto"/>
            <w:vAlign w:val="center"/>
          </w:tcPr>
          <w:p w:rsidR="00334DA1" w:rsidRPr="0034283B" w:rsidRDefault="00334DA1" w:rsidP="00334DA1">
            <w:pPr>
              <w:spacing w:line="240" w:lineRule="exact"/>
              <w:ind w:leftChars="0" w:left="0" w:firstLineChars="0" w:firstLine="0"/>
              <w:jc w:val="center"/>
              <w:rPr>
                <w:rFonts w:hAnsi="標楷體" w:hint="eastAsia"/>
                <w:snapToGrid/>
                <w:sz w:val="24"/>
                <w:szCs w:val="22"/>
              </w:rPr>
            </w:pPr>
            <w:r w:rsidRPr="0034283B">
              <w:rPr>
                <w:rFonts w:hAnsi="標楷體" w:hint="eastAsia"/>
                <w:snapToGrid/>
                <w:sz w:val="24"/>
                <w:szCs w:val="22"/>
              </w:rPr>
              <w:t>元/公噸</w:t>
            </w:r>
          </w:p>
        </w:tc>
        <w:tc>
          <w:tcPr>
            <w:tcW w:w="1559" w:type="dxa"/>
            <w:vMerge/>
            <w:tcBorders>
              <w:right w:val="single" w:sz="12" w:space="0" w:color="auto"/>
            </w:tcBorders>
            <w:shd w:val="clear" w:color="auto" w:fill="auto"/>
            <w:vAlign w:val="center"/>
          </w:tcPr>
          <w:p w:rsidR="00334DA1" w:rsidRPr="0034283B" w:rsidRDefault="00334DA1" w:rsidP="00334DA1">
            <w:pPr>
              <w:spacing w:line="240" w:lineRule="exact"/>
              <w:ind w:leftChars="0" w:left="0" w:firstLineChars="0" w:firstLine="0"/>
              <w:jc w:val="right"/>
              <w:rPr>
                <w:rFonts w:hAnsi="標楷體" w:hint="eastAsia"/>
                <w:snapToGrid/>
                <w:sz w:val="24"/>
                <w:szCs w:val="22"/>
              </w:rPr>
            </w:pPr>
          </w:p>
        </w:tc>
      </w:tr>
      <w:tr w:rsidR="00701A47" w:rsidRPr="0034283B" w:rsidTr="00D827F4">
        <w:tc>
          <w:tcPr>
            <w:tcW w:w="1007" w:type="dxa"/>
            <w:vMerge/>
            <w:shd w:val="clear" w:color="auto" w:fill="auto"/>
            <w:vAlign w:val="center"/>
          </w:tcPr>
          <w:p w:rsidR="00701A47" w:rsidRPr="0034283B" w:rsidRDefault="00701A47" w:rsidP="00B95A61">
            <w:pPr>
              <w:spacing w:line="240" w:lineRule="exact"/>
              <w:ind w:leftChars="0" w:left="0" w:firstLineChars="0" w:firstLine="0"/>
              <w:jc w:val="distribute"/>
              <w:rPr>
                <w:rFonts w:hAnsi="標楷體" w:hint="eastAsia"/>
                <w:b/>
                <w:snapToGrid/>
                <w:sz w:val="24"/>
                <w:szCs w:val="22"/>
              </w:rPr>
            </w:pPr>
          </w:p>
        </w:tc>
        <w:tc>
          <w:tcPr>
            <w:tcW w:w="992" w:type="dxa"/>
            <w:vMerge/>
            <w:vAlign w:val="center"/>
          </w:tcPr>
          <w:p w:rsidR="00701A47" w:rsidRPr="0034283B" w:rsidRDefault="00701A47" w:rsidP="002D32A6">
            <w:pPr>
              <w:spacing w:line="240" w:lineRule="exact"/>
              <w:ind w:leftChars="0" w:left="0" w:firstLineChars="0" w:firstLine="0"/>
              <w:jc w:val="center"/>
              <w:rPr>
                <w:rFonts w:hAnsi="標楷體" w:hint="eastAsia"/>
                <w:snapToGrid/>
                <w:sz w:val="24"/>
                <w:szCs w:val="22"/>
              </w:rPr>
            </w:pPr>
          </w:p>
        </w:tc>
        <w:tc>
          <w:tcPr>
            <w:tcW w:w="5103" w:type="dxa"/>
            <w:gridSpan w:val="3"/>
            <w:shd w:val="clear" w:color="auto" w:fill="auto"/>
            <w:vAlign w:val="center"/>
          </w:tcPr>
          <w:p w:rsidR="00701A47" w:rsidRPr="0034283B" w:rsidRDefault="00B95A61" w:rsidP="004A272D">
            <w:pPr>
              <w:spacing w:line="240" w:lineRule="exact"/>
              <w:ind w:leftChars="0" w:left="0" w:firstLineChars="0" w:firstLine="0"/>
              <w:jc w:val="left"/>
              <w:rPr>
                <w:rFonts w:hAnsi="標楷體" w:hint="eastAsia"/>
                <w:snapToGrid/>
                <w:sz w:val="24"/>
                <w:szCs w:val="22"/>
              </w:rPr>
            </w:pPr>
            <w:r>
              <w:rPr>
                <w:rFonts w:hAnsi="標楷體" w:hint="eastAsia"/>
                <w:snapToGrid/>
                <w:sz w:val="24"/>
                <w:szCs w:val="22"/>
              </w:rPr>
              <w:t>依</w:t>
            </w:r>
            <w:r w:rsidR="00701A47" w:rsidRPr="0034283B">
              <w:rPr>
                <w:rFonts w:hAnsi="標楷體" w:hint="eastAsia"/>
                <w:snapToGrid/>
                <w:sz w:val="24"/>
                <w:szCs w:val="22"/>
              </w:rPr>
              <w:t>行政院核定設算滙率+海運費、稅什費及煤場營運費</w:t>
            </w:r>
            <w:r>
              <w:rPr>
                <w:rFonts w:hAnsi="標楷體" w:hint="eastAsia"/>
                <w:snapToGrid/>
                <w:sz w:val="24"/>
                <w:szCs w:val="22"/>
              </w:rPr>
              <w:t>核算</w:t>
            </w:r>
          </w:p>
        </w:tc>
        <w:tc>
          <w:tcPr>
            <w:tcW w:w="1559" w:type="dxa"/>
            <w:vMerge/>
            <w:tcBorders>
              <w:bottom w:val="single" w:sz="6" w:space="0" w:color="auto"/>
              <w:right w:val="single" w:sz="12" w:space="0" w:color="auto"/>
            </w:tcBorders>
            <w:shd w:val="clear" w:color="auto" w:fill="auto"/>
            <w:vAlign w:val="center"/>
          </w:tcPr>
          <w:p w:rsidR="00701A47" w:rsidRPr="0034283B" w:rsidRDefault="00701A47" w:rsidP="004045AB">
            <w:pPr>
              <w:spacing w:line="240" w:lineRule="exact"/>
              <w:ind w:leftChars="0" w:left="0" w:firstLineChars="0" w:firstLine="0"/>
              <w:jc w:val="right"/>
              <w:rPr>
                <w:rFonts w:hAnsi="標楷體" w:hint="eastAsia"/>
                <w:snapToGrid/>
                <w:sz w:val="24"/>
                <w:szCs w:val="22"/>
              </w:rPr>
            </w:pPr>
          </w:p>
        </w:tc>
      </w:tr>
      <w:tr w:rsidR="00334DA1" w:rsidRPr="0034283B" w:rsidTr="000160CB">
        <w:trPr>
          <w:trHeight w:val="376"/>
        </w:trPr>
        <w:tc>
          <w:tcPr>
            <w:tcW w:w="1007" w:type="dxa"/>
            <w:vMerge w:val="restart"/>
            <w:shd w:val="clear" w:color="auto" w:fill="auto"/>
            <w:vAlign w:val="center"/>
          </w:tcPr>
          <w:p w:rsidR="00334DA1" w:rsidRPr="0034283B" w:rsidRDefault="00334DA1" w:rsidP="00B95A61">
            <w:pPr>
              <w:spacing w:line="240" w:lineRule="exact"/>
              <w:ind w:leftChars="0" w:left="0" w:firstLineChars="0" w:firstLine="0"/>
              <w:jc w:val="distribute"/>
              <w:rPr>
                <w:rFonts w:hAnsi="標楷體" w:hint="eastAsia"/>
                <w:b/>
                <w:snapToGrid/>
                <w:sz w:val="24"/>
                <w:szCs w:val="22"/>
              </w:rPr>
            </w:pPr>
            <w:r w:rsidRPr="0034283B">
              <w:rPr>
                <w:rFonts w:hAnsi="標楷體" w:hint="eastAsia"/>
                <w:b/>
                <w:snapToGrid/>
                <w:sz w:val="24"/>
                <w:szCs w:val="22"/>
              </w:rPr>
              <w:t>天然氣</w:t>
            </w:r>
          </w:p>
        </w:tc>
        <w:tc>
          <w:tcPr>
            <w:tcW w:w="992" w:type="dxa"/>
            <w:vAlign w:val="center"/>
          </w:tcPr>
          <w:p w:rsidR="00334DA1" w:rsidRPr="0034283B" w:rsidRDefault="00334DA1" w:rsidP="00334DA1">
            <w:pPr>
              <w:spacing w:line="240" w:lineRule="exact"/>
              <w:ind w:leftChars="0" w:left="0" w:firstLineChars="0" w:firstLine="0"/>
              <w:jc w:val="center"/>
              <w:rPr>
                <w:rFonts w:hAnsi="標楷體" w:hint="eastAsia"/>
                <w:snapToGrid/>
                <w:sz w:val="24"/>
                <w:szCs w:val="22"/>
              </w:rPr>
            </w:pPr>
            <w:r w:rsidRPr="0034283B">
              <w:rPr>
                <w:rFonts w:hAnsi="標楷體" w:hint="eastAsia"/>
                <w:snapToGrid/>
                <w:sz w:val="24"/>
                <w:szCs w:val="22"/>
              </w:rPr>
              <w:t>金額</w:t>
            </w:r>
          </w:p>
        </w:tc>
        <w:tc>
          <w:tcPr>
            <w:tcW w:w="1701" w:type="dxa"/>
            <w:shd w:val="clear" w:color="auto" w:fill="auto"/>
            <w:vAlign w:val="center"/>
          </w:tcPr>
          <w:p w:rsidR="00334DA1" w:rsidRPr="0034283B" w:rsidRDefault="00334DA1" w:rsidP="00334DA1">
            <w:pPr>
              <w:spacing w:line="240" w:lineRule="exact"/>
              <w:ind w:leftChars="0" w:left="0" w:firstLineChars="0" w:firstLine="0"/>
              <w:jc w:val="right"/>
              <w:rPr>
                <w:rFonts w:hAnsi="標楷體" w:hint="eastAsia"/>
                <w:snapToGrid/>
                <w:sz w:val="24"/>
                <w:szCs w:val="22"/>
              </w:rPr>
            </w:pPr>
            <w:r w:rsidRPr="0034283B">
              <w:rPr>
                <w:rFonts w:hAnsi="標楷體" w:hint="eastAsia"/>
                <w:snapToGrid/>
                <w:sz w:val="24"/>
                <w:szCs w:val="22"/>
              </w:rPr>
              <w:t>19,787,035</w:t>
            </w:r>
          </w:p>
        </w:tc>
        <w:tc>
          <w:tcPr>
            <w:tcW w:w="1701" w:type="dxa"/>
            <w:shd w:val="clear" w:color="auto" w:fill="auto"/>
            <w:vAlign w:val="center"/>
          </w:tcPr>
          <w:p w:rsidR="00334DA1" w:rsidRPr="0034283B" w:rsidRDefault="00334DA1" w:rsidP="00334DA1">
            <w:pPr>
              <w:spacing w:line="240" w:lineRule="exact"/>
              <w:ind w:leftChars="0" w:left="0" w:firstLineChars="0" w:firstLine="0"/>
              <w:jc w:val="right"/>
              <w:rPr>
                <w:rFonts w:hAnsi="標楷體" w:hint="eastAsia"/>
                <w:snapToGrid/>
                <w:sz w:val="24"/>
                <w:szCs w:val="22"/>
              </w:rPr>
            </w:pPr>
            <w:r w:rsidRPr="0034283B">
              <w:rPr>
                <w:rFonts w:hAnsi="標楷體" w:hint="eastAsia"/>
                <w:snapToGrid/>
                <w:sz w:val="24"/>
                <w:szCs w:val="22"/>
              </w:rPr>
              <w:t>14.7936</w:t>
            </w:r>
          </w:p>
        </w:tc>
        <w:tc>
          <w:tcPr>
            <w:tcW w:w="1701" w:type="dxa"/>
            <w:shd w:val="clear" w:color="auto" w:fill="auto"/>
            <w:vAlign w:val="center"/>
          </w:tcPr>
          <w:p w:rsidR="00334DA1" w:rsidRPr="0034283B" w:rsidRDefault="00334DA1" w:rsidP="00334DA1">
            <w:pPr>
              <w:spacing w:line="240" w:lineRule="exact"/>
              <w:ind w:leftChars="0" w:left="0" w:firstLineChars="0" w:firstLine="0"/>
              <w:jc w:val="right"/>
              <w:rPr>
                <w:rFonts w:hAnsi="標楷體" w:hint="eastAsia"/>
                <w:snapToGrid/>
                <w:sz w:val="24"/>
                <w:szCs w:val="22"/>
              </w:rPr>
            </w:pPr>
            <w:r w:rsidRPr="0034283B">
              <w:rPr>
                <w:rFonts w:hAnsi="標楷體" w:hint="eastAsia"/>
                <w:snapToGrid/>
                <w:sz w:val="24"/>
                <w:szCs w:val="22"/>
              </w:rPr>
              <w:t>14.0225</w:t>
            </w:r>
          </w:p>
        </w:tc>
        <w:tc>
          <w:tcPr>
            <w:tcW w:w="1559" w:type="dxa"/>
            <w:vMerge w:val="restart"/>
            <w:tcBorders>
              <w:top w:val="single" w:sz="6" w:space="0" w:color="auto"/>
              <w:bottom w:val="single" w:sz="6" w:space="0" w:color="auto"/>
              <w:right w:val="single" w:sz="12" w:space="0" w:color="auto"/>
            </w:tcBorders>
            <w:shd w:val="clear" w:color="auto" w:fill="auto"/>
            <w:vAlign w:val="center"/>
          </w:tcPr>
          <w:p w:rsidR="00334DA1" w:rsidRPr="0034283B" w:rsidRDefault="00334DA1" w:rsidP="00334DA1">
            <w:pPr>
              <w:spacing w:line="240" w:lineRule="exact"/>
              <w:ind w:leftChars="0" w:left="0" w:firstLineChars="0" w:firstLine="0"/>
              <w:jc w:val="right"/>
              <w:rPr>
                <w:rFonts w:hAnsi="標楷體" w:hint="eastAsia"/>
                <w:snapToGrid/>
                <w:sz w:val="24"/>
                <w:szCs w:val="22"/>
              </w:rPr>
            </w:pPr>
            <w:r w:rsidRPr="0034283B">
              <w:rPr>
                <w:rFonts w:hAnsi="標楷體" w:hint="eastAsia"/>
                <w:snapToGrid/>
                <w:sz w:val="24"/>
                <w:szCs w:val="22"/>
              </w:rPr>
              <w:t>-15,257,783</w:t>
            </w:r>
          </w:p>
        </w:tc>
      </w:tr>
      <w:tr w:rsidR="00334DA1" w:rsidRPr="0034283B" w:rsidTr="000160CB">
        <w:trPr>
          <w:trHeight w:val="834"/>
        </w:trPr>
        <w:tc>
          <w:tcPr>
            <w:tcW w:w="1007" w:type="dxa"/>
            <w:vMerge/>
            <w:shd w:val="clear" w:color="auto" w:fill="auto"/>
            <w:vAlign w:val="center"/>
          </w:tcPr>
          <w:p w:rsidR="00334DA1" w:rsidRPr="0034283B" w:rsidRDefault="00334DA1" w:rsidP="00B95A61">
            <w:pPr>
              <w:spacing w:line="240" w:lineRule="exact"/>
              <w:ind w:leftChars="0" w:left="0" w:firstLineChars="0" w:firstLine="0"/>
              <w:jc w:val="distribute"/>
              <w:rPr>
                <w:rFonts w:hAnsi="標楷體" w:hint="eastAsia"/>
                <w:snapToGrid/>
                <w:sz w:val="24"/>
                <w:szCs w:val="22"/>
              </w:rPr>
            </w:pPr>
          </w:p>
        </w:tc>
        <w:tc>
          <w:tcPr>
            <w:tcW w:w="992" w:type="dxa"/>
            <w:vAlign w:val="center"/>
          </w:tcPr>
          <w:p w:rsidR="00334DA1" w:rsidRPr="0034283B" w:rsidRDefault="00334DA1" w:rsidP="00334DA1">
            <w:pPr>
              <w:spacing w:line="240" w:lineRule="exact"/>
              <w:ind w:leftChars="0" w:left="0" w:firstLineChars="0" w:firstLine="0"/>
              <w:jc w:val="center"/>
              <w:rPr>
                <w:rFonts w:hAnsi="標楷體" w:hint="eastAsia"/>
                <w:snapToGrid/>
                <w:sz w:val="24"/>
                <w:szCs w:val="22"/>
              </w:rPr>
            </w:pPr>
            <w:r>
              <w:rPr>
                <w:rFonts w:hAnsi="標楷體" w:hint="eastAsia"/>
                <w:snapToGrid/>
                <w:sz w:val="24"/>
                <w:szCs w:val="22"/>
              </w:rPr>
              <w:t>單位</w:t>
            </w:r>
          </w:p>
        </w:tc>
        <w:tc>
          <w:tcPr>
            <w:tcW w:w="1701" w:type="dxa"/>
            <w:shd w:val="clear" w:color="auto" w:fill="auto"/>
            <w:vAlign w:val="center"/>
          </w:tcPr>
          <w:p w:rsidR="00334DA1" w:rsidRPr="00CF6536" w:rsidRDefault="00334DA1" w:rsidP="00334DA1">
            <w:pPr>
              <w:spacing w:line="240" w:lineRule="exact"/>
              <w:ind w:leftChars="0" w:left="0" w:firstLineChars="0" w:firstLine="0"/>
              <w:jc w:val="center"/>
              <w:rPr>
                <w:rFonts w:hAnsi="標楷體" w:hint="eastAsia"/>
                <w:snapToGrid/>
                <w:sz w:val="22"/>
                <w:szCs w:val="24"/>
              </w:rPr>
            </w:pPr>
            <w:r w:rsidRPr="00CF6536">
              <w:rPr>
                <w:rFonts w:hAnsi="標楷體" w:hint="eastAsia"/>
                <w:snapToGrid/>
                <w:sz w:val="22"/>
                <w:szCs w:val="24"/>
              </w:rPr>
              <w:t>千</w:t>
            </w:r>
            <w:r w:rsidR="00CF6536" w:rsidRPr="00CF6536">
              <w:rPr>
                <w:rFonts w:hint="eastAsia"/>
                <w:sz w:val="22"/>
              </w:rPr>
              <w:t>立方公尺</w:t>
            </w:r>
          </w:p>
        </w:tc>
        <w:tc>
          <w:tcPr>
            <w:tcW w:w="1701" w:type="dxa"/>
            <w:shd w:val="clear" w:color="auto" w:fill="auto"/>
            <w:vAlign w:val="center"/>
          </w:tcPr>
          <w:p w:rsidR="00334DA1" w:rsidRPr="00CF6536" w:rsidRDefault="00334DA1" w:rsidP="00334DA1">
            <w:pPr>
              <w:spacing w:line="240" w:lineRule="exact"/>
              <w:ind w:leftChars="0" w:left="0" w:firstLineChars="0" w:firstLine="0"/>
              <w:jc w:val="center"/>
              <w:rPr>
                <w:rFonts w:hAnsi="標楷體" w:hint="eastAsia"/>
                <w:snapToGrid/>
                <w:sz w:val="22"/>
                <w:szCs w:val="24"/>
              </w:rPr>
            </w:pPr>
            <w:r w:rsidRPr="00CF6536">
              <w:rPr>
                <w:rFonts w:hAnsi="標楷體" w:hint="eastAsia"/>
                <w:snapToGrid/>
                <w:sz w:val="22"/>
                <w:szCs w:val="24"/>
              </w:rPr>
              <w:t>元/</w:t>
            </w:r>
            <w:r w:rsidR="004A272D" w:rsidRPr="00CF6536">
              <w:rPr>
                <w:sz w:val="22"/>
                <w:szCs w:val="24"/>
              </w:rPr>
              <w:t xml:space="preserve"> </w:t>
            </w:r>
            <w:r w:rsidR="00CF6536" w:rsidRPr="00CF6536">
              <w:rPr>
                <w:rFonts w:hint="eastAsia"/>
                <w:sz w:val="22"/>
              </w:rPr>
              <w:t>立方公尺</w:t>
            </w:r>
          </w:p>
        </w:tc>
        <w:tc>
          <w:tcPr>
            <w:tcW w:w="1701" w:type="dxa"/>
            <w:tcBorders>
              <w:bottom w:val="single" w:sz="6" w:space="0" w:color="auto"/>
            </w:tcBorders>
            <w:shd w:val="clear" w:color="auto" w:fill="auto"/>
            <w:vAlign w:val="center"/>
          </w:tcPr>
          <w:p w:rsidR="00334DA1" w:rsidRPr="00CF6536" w:rsidRDefault="00334DA1" w:rsidP="00334DA1">
            <w:pPr>
              <w:spacing w:line="240" w:lineRule="exact"/>
              <w:ind w:leftChars="0" w:left="0" w:firstLineChars="0" w:firstLine="0"/>
              <w:jc w:val="center"/>
              <w:rPr>
                <w:rFonts w:hAnsi="標楷體"/>
                <w:snapToGrid/>
                <w:sz w:val="22"/>
                <w:szCs w:val="22"/>
              </w:rPr>
            </w:pPr>
            <w:r w:rsidRPr="00CF6536">
              <w:rPr>
                <w:rFonts w:hAnsi="標楷體" w:hint="eastAsia"/>
                <w:snapToGrid/>
                <w:sz w:val="22"/>
                <w:szCs w:val="22"/>
              </w:rPr>
              <w:t>元/</w:t>
            </w:r>
            <w:r w:rsidR="004A272D" w:rsidRPr="00CF6536">
              <w:rPr>
                <w:sz w:val="22"/>
                <w:szCs w:val="22"/>
              </w:rPr>
              <w:t xml:space="preserve"> </w:t>
            </w:r>
            <w:r w:rsidR="00CF6536" w:rsidRPr="00CF6536">
              <w:rPr>
                <w:rFonts w:hint="eastAsia"/>
                <w:sz w:val="22"/>
                <w:szCs w:val="22"/>
              </w:rPr>
              <w:t>立方公尺</w:t>
            </w:r>
          </w:p>
          <w:p w:rsidR="00334DA1" w:rsidRPr="004A272D" w:rsidRDefault="00334DA1" w:rsidP="00334DA1">
            <w:pPr>
              <w:spacing w:line="240" w:lineRule="exact"/>
              <w:ind w:leftChars="0" w:left="0" w:firstLineChars="0" w:firstLine="0"/>
              <w:rPr>
                <w:rFonts w:hAnsi="標楷體" w:hint="eastAsia"/>
                <w:snapToGrid/>
                <w:sz w:val="24"/>
                <w:szCs w:val="24"/>
              </w:rPr>
            </w:pPr>
            <w:r w:rsidRPr="004A272D">
              <w:rPr>
                <w:rFonts w:hAnsi="標楷體" w:hint="eastAsia"/>
                <w:snapToGrid/>
                <w:sz w:val="24"/>
                <w:szCs w:val="24"/>
              </w:rPr>
              <w:t>(中油公司113/8/1牌告未稅價格)</w:t>
            </w:r>
          </w:p>
        </w:tc>
        <w:tc>
          <w:tcPr>
            <w:tcW w:w="1559" w:type="dxa"/>
            <w:vMerge/>
            <w:tcBorders>
              <w:top w:val="single" w:sz="6" w:space="0" w:color="auto"/>
              <w:bottom w:val="single" w:sz="6" w:space="0" w:color="auto"/>
              <w:right w:val="single" w:sz="12" w:space="0" w:color="auto"/>
            </w:tcBorders>
            <w:shd w:val="clear" w:color="auto" w:fill="auto"/>
            <w:vAlign w:val="center"/>
          </w:tcPr>
          <w:p w:rsidR="00334DA1" w:rsidRPr="0034283B" w:rsidRDefault="00334DA1" w:rsidP="00334DA1">
            <w:pPr>
              <w:spacing w:line="240" w:lineRule="exact"/>
              <w:ind w:leftChars="0" w:left="0" w:firstLineChars="0" w:firstLine="0"/>
              <w:jc w:val="left"/>
              <w:rPr>
                <w:rFonts w:hAnsi="標楷體"/>
                <w:snapToGrid/>
                <w:sz w:val="24"/>
                <w:szCs w:val="22"/>
              </w:rPr>
            </w:pPr>
          </w:p>
        </w:tc>
      </w:tr>
      <w:tr w:rsidR="00334DA1" w:rsidRPr="0034283B" w:rsidTr="000160CB">
        <w:trPr>
          <w:trHeight w:val="398"/>
        </w:trPr>
        <w:tc>
          <w:tcPr>
            <w:tcW w:w="1007" w:type="dxa"/>
            <w:vMerge w:val="restart"/>
            <w:shd w:val="clear" w:color="auto" w:fill="auto"/>
            <w:vAlign w:val="center"/>
          </w:tcPr>
          <w:p w:rsidR="00334DA1" w:rsidRPr="0034283B" w:rsidRDefault="00334DA1" w:rsidP="00B95A61">
            <w:pPr>
              <w:spacing w:line="240" w:lineRule="exact"/>
              <w:ind w:leftChars="0" w:left="0" w:firstLineChars="0" w:firstLine="0"/>
              <w:jc w:val="distribute"/>
              <w:rPr>
                <w:rFonts w:hAnsi="標楷體" w:hint="eastAsia"/>
                <w:b/>
                <w:snapToGrid/>
                <w:sz w:val="24"/>
                <w:szCs w:val="22"/>
              </w:rPr>
            </w:pPr>
            <w:r w:rsidRPr="0034283B">
              <w:rPr>
                <w:rFonts w:hAnsi="標楷體" w:hint="eastAsia"/>
                <w:b/>
                <w:snapToGrid/>
                <w:sz w:val="24"/>
                <w:szCs w:val="22"/>
              </w:rPr>
              <w:t>核燃料</w:t>
            </w:r>
          </w:p>
        </w:tc>
        <w:tc>
          <w:tcPr>
            <w:tcW w:w="992" w:type="dxa"/>
            <w:vAlign w:val="center"/>
          </w:tcPr>
          <w:p w:rsidR="00334DA1" w:rsidRPr="0034283B" w:rsidRDefault="00334DA1" w:rsidP="00334DA1">
            <w:pPr>
              <w:spacing w:line="240" w:lineRule="exact"/>
              <w:ind w:leftChars="0" w:left="0" w:firstLineChars="0" w:firstLine="0"/>
              <w:jc w:val="center"/>
              <w:rPr>
                <w:rFonts w:hAnsi="標楷體" w:hint="eastAsia"/>
                <w:snapToGrid/>
                <w:sz w:val="24"/>
                <w:szCs w:val="22"/>
              </w:rPr>
            </w:pPr>
            <w:r w:rsidRPr="0034283B">
              <w:rPr>
                <w:rFonts w:hAnsi="標楷體" w:hint="eastAsia"/>
                <w:snapToGrid/>
                <w:sz w:val="24"/>
                <w:szCs w:val="22"/>
              </w:rPr>
              <w:t>金額</w:t>
            </w:r>
          </w:p>
        </w:tc>
        <w:tc>
          <w:tcPr>
            <w:tcW w:w="1701" w:type="dxa"/>
            <w:shd w:val="clear" w:color="auto" w:fill="auto"/>
            <w:vAlign w:val="center"/>
          </w:tcPr>
          <w:p w:rsidR="00334DA1" w:rsidRPr="0034283B" w:rsidRDefault="00334DA1" w:rsidP="00334DA1">
            <w:pPr>
              <w:spacing w:line="240" w:lineRule="exact"/>
              <w:ind w:leftChars="0" w:left="0" w:firstLineChars="0" w:firstLine="0"/>
              <w:jc w:val="right"/>
              <w:rPr>
                <w:rFonts w:hAnsi="標楷體" w:hint="eastAsia"/>
                <w:snapToGrid/>
                <w:sz w:val="24"/>
                <w:szCs w:val="22"/>
              </w:rPr>
            </w:pPr>
            <w:r w:rsidRPr="0034283B">
              <w:rPr>
                <w:rFonts w:hAnsi="標楷體" w:hint="eastAsia"/>
                <w:snapToGrid/>
                <w:sz w:val="24"/>
                <w:szCs w:val="22"/>
              </w:rPr>
              <w:t>2,902,956</w:t>
            </w:r>
          </w:p>
        </w:tc>
        <w:tc>
          <w:tcPr>
            <w:tcW w:w="1701" w:type="dxa"/>
            <w:shd w:val="clear" w:color="auto" w:fill="auto"/>
            <w:vAlign w:val="center"/>
          </w:tcPr>
          <w:p w:rsidR="00334DA1" w:rsidRPr="0034283B" w:rsidRDefault="00334DA1" w:rsidP="00334DA1">
            <w:pPr>
              <w:spacing w:line="240" w:lineRule="exact"/>
              <w:ind w:leftChars="0" w:left="0" w:firstLineChars="0" w:firstLine="0"/>
              <w:jc w:val="right"/>
              <w:rPr>
                <w:rFonts w:hAnsi="標楷體" w:hint="eastAsia"/>
                <w:snapToGrid/>
                <w:sz w:val="24"/>
                <w:szCs w:val="22"/>
              </w:rPr>
            </w:pPr>
            <w:r w:rsidRPr="0034283B">
              <w:rPr>
                <w:rFonts w:hAnsi="標楷體" w:hint="eastAsia"/>
                <w:snapToGrid/>
                <w:sz w:val="24"/>
                <w:szCs w:val="22"/>
              </w:rPr>
              <w:t>0.3473</w:t>
            </w:r>
          </w:p>
        </w:tc>
        <w:tc>
          <w:tcPr>
            <w:tcW w:w="1701" w:type="dxa"/>
            <w:tcBorders>
              <w:top w:val="single" w:sz="6" w:space="0" w:color="auto"/>
              <w:bottom w:val="single" w:sz="6" w:space="0" w:color="auto"/>
              <w:tr2bl w:val="single" w:sz="4" w:space="0" w:color="auto"/>
            </w:tcBorders>
            <w:shd w:val="clear" w:color="auto" w:fill="auto"/>
            <w:vAlign w:val="center"/>
          </w:tcPr>
          <w:p w:rsidR="00334DA1" w:rsidRPr="0034283B" w:rsidRDefault="00334DA1" w:rsidP="00334DA1">
            <w:pPr>
              <w:spacing w:line="240" w:lineRule="exact"/>
              <w:ind w:leftChars="0" w:left="0" w:firstLineChars="0" w:firstLine="0"/>
              <w:jc w:val="left"/>
              <w:rPr>
                <w:rFonts w:hAnsi="標楷體" w:hint="eastAsia"/>
                <w:snapToGrid/>
                <w:sz w:val="24"/>
                <w:szCs w:val="22"/>
              </w:rPr>
            </w:pPr>
          </w:p>
        </w:tc>
        <w:tc>
          <w:tcPr>
            <w:tcW w:w="1559" w:type="dxa"/>
            <w:vMerge w:val="restart"/>
            <w:tcBorders>
              <w:top w:val="single" w:sz="6" w:space="0" w:color="auto"/>
              <w:bottom w:val="single" w:sz="6" w:space="0" w:color="auto"/>
              <w:right w:val="single" w:sz="12" w:space="0" w:color="auto"/>
              <w:tr2bl w:val="single" w:sz="4" w:space="0" w:color="auto"/>
            </w:tcBorders>
            <w:shd w:val="clear" w:color="auto" w:fill="auto"/>
            <w:vAlign w:val="center"/>
          </w:tcPr>
          <w:p w:rsidR="00334DA1" w:rsidRPr="0034283B" w:rsidRDefault="00334DA1" w:rsidP="00334DA1">
            <w:pPr>
              <w:spacing w:line="240" w:lineRule="exact"/>
              <w:ind w:leftChars="0" w:left="0" w:firstLineChars="0" w:firstLine="0"/>
              <w:jc w:val="left"/>
              <w:rPr>
                <w:rFonts w:hAnsi="標楷體" w:hint="eastAsia"/>
                <w:snapToGrid/>
                <w:sz w:val="24"/>
                <w:szCs w:val="22"/>
              </w:rPr>
            </w:pPr>
          </w:p>
        </w:tc>
      </w:tr>
      <w:tr w:rsidR="00334DA1" w:rsidRPr="0034283B" w:rsidTr="000160CB">
        <w:trPr>
          <w:trHeight w:val="453"/>
        </w:trPr>
        <w:tc>
          <w:tcPr>
            <w:tcW w:w="1007" w:type="dxa"/>
            <w:vMerge/>
            <w:shd w:val="clear" w:color="auto" w:fill="auto"/>
            <w:vAlign w:val="center"/>
          </w:tcPr>
          <w:p w:rsidR="00334DA1" w:rsidRPr="0034283B" w:rsidRDefault="00334DA1" w:rsidP="00334DA1">
            <w:pPr>
              <w:spacing w:line="240" w:lineRule="exact"/>
              <w:ind w:leftChars="0" w:left="0" w:firstLineChars="0" w:firstLine="0"/>
              <w:jc w:val="left"/>
              <w:rPr>
                <w:rFonts w:hAnsi="標楷體" w:hint="eastAsia"/>
                <w:snapToGrid/>
                <w:sz w:val="24"/>
                <w:szCs w:val="22"/>
              </w:rPr>
            </w:pPr>
          </w:p>
        </w:tc>
        <w:tc>
          <w:tcPr>
            <w:tcW w:w="992" w:type="dxa"/>
            <w:vAlign w:val="center"/>
          </w:tcPr>
          <w:p w:rsidR="00334DA1" w:rsidRPr="0034283B" w:rsidRDefault="00334DA1" w:rsidP="00334DA1">
            <w:pPr>
              <w:spacing w:line="240" w:lineRule="exact"/>
              <w:ind w:leftChars="0" w:left="0" w:firstLineChars="0" w:firstLine="0"/>
              <w:jc w:val="center"/>
              <w:rPr>
                <w:rFonts w:hAnsi="標楷體" w:hint="eastAsia"/>
                <w:snapToGrid/>
                <w:sz w:val="24"/>
                <w:szCs w:val="22"/>
              </w:rPr>
            </w:pPr>
            <w:r>
              <w:rPr>
                <w:rFonts w:hAnsi="標楷體" w:hint="eastAsia"/>
                <w:snapToGrid/>
                <w:sz w:val="24"/>
                <w:szCs w:val="22"/>
              </w:rPr>
              <w:t>單位</w:t>
            </w:r>
          </w:p>
        </w:tc>
        <w:tc>
          <w:tcPr>
            <w:tcW w:w="1701" w:type="dxa"/>
            <w:shd w:val="clear" w:color="auto" w:fill="auto"/>
            <w:vAlign w:val="center"/>
          </w:tcPr>
          <w:p w:rsidR="00334DA1" w:rsidRPr="0034283B" w:rsidRDefault="00334DA1" w:rsidP="00334DA1">
            <w:pPr>
              <w:spacing w:line="240" w:lineRule="exact"/>
              <w:ind w:leftChars="0" w:left="0" w:firstLineChars="0" w:firstLine="0"/>
              <w:jc w:val="center"/>
              <w:rPr>
                <w:rFonts w:hAnsi="標楷體" w:hint="eastAsia"/>
                <w:snapToGrid/>
                <w:sz w:val="24"/>
                <w:szCs w:val="22"/>
              </w:rPr>
            </w:pPr>
            <w:r w:rsidRPr="0034283B">
              <w:rPr>
                <w:rFonts w:hAnsi="標楷體" w:hint="eastAsia"/>
                <w:snapToGrid/>
                <w:sz w:val="24"/>
                <w:szCs w:val="22"/>
              </w:rPr>
              <w:t>千度</w:t>
            </w:r>
          </w:p>
        </w:tc>
        <w:tc>
          <w:tcPr>
            <w:tcW w:w="1701" w:type="dxa"/>
            <w:shd w:val="clear" w:color="auto" w:fill="auto"/>
            <w:vAlign w:val="center"/>
          </w:tcPr>
          <w:p w:rsidR="00334DA1" w:rsidRPr="0034283B" w:rsidRDefault="00334DA1" w:rsidP="00334DA1">
            <w:pPr>
              <w:spacing w:line="240" w:lineRule="exact"/>
              <w:ind w:leftChars="0" w:left="0" w:firstLineChars="0" w:firstLine="0"/>
              <w:jc w:val="center"/>
              <w:rPr>
                <w:rFonts w:hAnsi="標楷體" w:hint="eastAsia"/>
                <w:snapToGrid/>
                <w:sz w:val="24"/>
                <w:szCs w:val="22"/>
              </w:rPr>
            </w:pPr>
            <w:r w:rsidRPr="0034283B">
              <w:rPr>
                <w:rFonts w:hAnsi="標楷體" w:hint="eastAsia"/>
                <w:snapToGrid/>
                <w:sz w:val="24"/>
                <w:szCs w:val="22"/>
              </w:rPr>
              <w:t>元/度</w:t>
            </w:r>
          </w:p>
        </w:tc>
        <w:tc>
          <w:tcPr>
            <w:tcW w:w="1701" w:type="dxa"/>
            <w:tcBorders>
              <w:top w:val="single" w:sz="6" w:space="0" w:color="auto"/>
              <w:bottom w:val="single" w:sz="6" w:space="0" w:color="auto"/>
              <w:tr2bl w:val="single" w:sz="4" w:space="0" w:color="auto"/>
            </w:tcBorders>
            <w:shd w:val="clear" w:color="auto" w:fill="auto"/>
            <w:vAlign w:val="center"/>
          </w:tcPr>
          <w:p w:rsidR="00334DA1" w:rsidRPr="0034283B" w:rsidRDefault="00334DA1" w:rsidP="00334DA1">
            <w:pPr>
              <w:spacing w:line="240" w:lineRule="exact"/>
              <w:ind w:leftChars="0" w:left="0" w:firstLineChars="0" w:firstLine="0"/>
              <w:jc w:val="left"/>
              <w:rPr>
                <w:rFonts w:hAnsi="標楷體" w:hint="eastAsia"/>
                <w:snapToGrid/>
                <w:sz w:val="24"/>
                <w:szCs w:val="22"/>
              </w:rPr>
            </w:pPr>
          </w:p>
        </w:tc>
        <w:tc>
          <w:tcPr>
            <w:tcW w:w="1559" w:type="dxa"/>
            <w:vMerge/>
            <w:tcBorders>
              <w:top w:val="single" w:sz="6" w:space="0" w:color="auto"/>
              <w:bottom w:val="single" w:sz="6" w:space="0" w:color="auto"/>
              <w:right w:val="single" w:sz="12" w:space="0" w:color="auto"/>
              <w:tr2bl w:val="single" w:sz="4" w:space="0" w:color="auto"/>
            </w:tcBorders>
            <w:shd w:val="clear" w:color="auto" w:fill="auto"/>
            <w:vAlign w:val="center"/>
          </w:tcPr>
          <w:p w:rsidR="00334DA1" w:rsidRPr="0034283B" w:rsidRDefault="00334DA1" w:rsidP="00334DA1">
            <w:pPr>
              <w:spacing w:line="240" w:lineRule="exact"/>
              <w:ind w:leftChars="0" w:left="0" w:firstLineChars="0" w:firstLine="0"/>
              <w:jc w:val="left"/>
              <w:rPr>
                <w:rFonts w:hAnsi="標楷體" w:hint="eastAsia"/>
                <w:snapToGrid/>
                <w:sz w:val="24"/>
                <w:szCs w:val="22"/>
              </w:rPr>
            </w:pPr>
          </w:p>
        </w:tc>
      </w:tr>
      <w:tr w:rsidR="002D32A6" w:rsidRPr="0034283B" w:rsidTr="000160CB">
        <w:trPr>
          <w:trHeight w:val="401"/>
        </w:trPr>
        <w:tc>
          <w:tcPr>
            <w:tcW w:w="7102" w:type="dxa"/>
            <w:gridSpan w:val="5"/>
            <w:vAlign w:val="center"/>
          </w:tcPr>
          <w:p w:rsidR="002D32A6" w:rsidRPr="0034283B" w:rsidRDefault="002D32A6" w:rsidP="00D42DA0">
            <w:pPr>
              <w:spacing w:line="240" w:lineRule="exact"/>
              <w:ind w:leftChars="0" w:left="0" w:firstLineChars="0" w:firstLine="0"/>
              <w:jc w:val="center"/>
              <w:rPr>
                <w:rFonts w:hAnsi="標楷體" w:hint="eastAsia"/>
                <w:b/>
                <w:snapToGrid/>
                <w:sz w:val="24"/>
                <w:szCs w:val="22"/>
              </w:rPr>
            </w:pPr>
            <w:r w:rsidRPr="0034283B">
              <w:rPr>
                <w:rFonts w:hAnsi="標楷體" w:hint="eastAsia"/>
                <w:b/>
                <w:snapToGrid/>
                <w:sz w:val="24"/>
                <w:szCs w:val="22"/>
              </w:rPr>
              <w:t>差異金額合計</w:t>
            </w:r>
          </w:p>
        </w:tc>
        <w:tc>
          <w:tcPr>
            <w:tcW w:w="1559" w:type="dxa"/>
            <w:tcBorders>
              <w:right w:val="double" w:sz="4" w:space="0" w:color="auto"/>
            </w:tcBorders>
            <w:shd w:val="clear" w:color="auto" w:fill="auto"/>
            <w:vAlign w:val="center"/>
          </w:tcPr>
          <w:p w:rsidR="002D32A6" w:rsidRPr="0034283B" w:rsidRDefault="002D32A6" w:rsidP="002D32A6">
            <w:pPr>
              <w:spacing w:line="240" w:lineRule="exact"/>
              <w:ind w:leftChars="0" w:left="0" w:firstLineChars="0" w:firstLine="0"/>
              <w:jc w:val="right"/>
              <w:rPr>
                <w:rFonts w:hAnsi="標楷體" w:hint="eastAsia"/>
                <w:b/>
                <w:snapToGrid/>
                <w:sz w:val="24"/>
                <w:szCs w:val="22"/>
              </w:rPr>
            </w:pPr>
            <w:r w:rsidRPr="0034283B">
              <w:rPr>
                <w:rFonts w:hAnsi="標楷體" w:hint="eastAsia"/>
                <w:b/>
                <w:snapToGrid/>
                <w:sz w:val="24"/>
                <w:szCs w:val="22"/>
              </w:rPr>
              <w:t>-3,241,116</w:t>
            </w:r>
          </w:p>
        </w:tc>
      </w:tr>
    </w:tbl>
    <w:p w:rsidR="00AA1F8C" w:rsidRPr="0034283B" w:rsidRDefault="00AA1F8C" w:rsidP="00AA1F8C">
      <w:pPr>
        <w:pStyle w:val="142"/>
        <w:ind w:left="1163" w:hangingChars="478" w:hanging="1163"/>
      </w:pPr>
      <w:r w:rsidRPr="0034283B">
        <w:rPr>
          <w:rFonts w:hint="eastAsia"/>
        </w:rPr>
        <w:t>資料來源：台電公司</w:t>
      </w:r>
      <w:r w:rsidR="002D32A6" w:rsidRPr="0034283B">
        <w:rPr>
          <w:rFonts w:hint="eastAsia"/>
        </w:rPr>
        <w:t>提供</w:t>
      </w:r>
      <w:r w:rsidRPr="0034283B">
        <w:rPr>
          <w:rFonts w:hint="eastAsia"/>
        </w:rPr>
        <w:t>。</w:t>
      </w:r>
    </w:p>
    <w:sectPr w:rsidR="00AA1F8C" w:rsidRPr="0034283B" w:rsidSect="002D32A6">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57419" w:rsidRDefault="00B57419" w:rsidP="00D760F2">
      <w:pPr>
        <w:spacing w:line="240" w:lineRule="auto"/>
        <w:ind w:left="560" w:firstLine="560"/>
      </w:pPr>
      <w:r>
        <w:separator/>
      </w:r>
    </w:p>
  </w:endnote>
  <w:endnote w:type="continuationSeparator" w:id="0">
    <w:p w:rsidR="00B57419" w:rsidRDefault="00B57419" w:rsidP="00D760F2">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07D9" w:rsidRDefault="00C007D9" w:rsidP="00D71B67">
    <w:pPr>
      <w:pStyle w:val="af"/>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07D9" w:rsidRDefault="00C007D9" w:rsidP="00B93623">
    <w:pPr>
      <w:pStyle w:val="af"/>
      <w:ind w:leftChars="0" w:left="566" w:firstLineChars="0" w:firstLine="406"/>
      <w:jc w:val="center"/>
    </w:pPr>
    <w:r>
      <w:fldChar w:fldCharType="begin"/>
    </w:r>
    <w:r>
      <w:instrText>PAGE   \* MERGEFORMAT</w:instrText>
    </w:r>
    <w:r>
      <w:fldChar w:fldCharType="separate"/>
    </w:r>
    <w:r w:rsidR="0050477F" w:rsidRPr="0050477F">
      <w:rPr>
        <w:noProof/>
        <w:lang w:val="zh-TW"/>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07D9" w:rsidRDefault="00C007D9" w:rsidP="00D71B67">
    <w:pPr>
      <w:pStyle w:val="af"/>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57419" w:rsidRDefault="00B57419" w:rsidP="00D760F2">
      <w:pPr>
        <w:spacing w:line="240" w:lineRule="auto"/>
        <w:ind w:left="560" w:firstLine="560"/>
      </w:pPr>
      <w:r>
        <w:separator/>
      </w:r>
    </w:p>
  </w:footnote>
  <w:footnote w:type="continuationSeparator" w:id="0">
    <w:p w:rsidR="00B57419" w:rsidRDefault="00B57419" w:rsidP="00D760F2">
      <w:pPr>
        <w:spacing w:line="240" w:lineRule="auto"/>
        <w:ind w:left="560" w:firstLine="560"/>
      </w:pPr>
      <w:r>
        <w:continuationSeparator/>
      </w:r>
    </w:p>
  </w:footnote>
  <w:footnote w:id="1">
    <w:p w:rsidR="00C007D9" w:rsidRPr="00E72307" w:rsidRDefault="00C007D9" w:rsidP="00F84CA5">
      <w:pPr>
        <w:pStyle w:val="142"/>
        <w:ind w:left="647" w:hanging="647"/>
        <w:rPr>
          <w:rFonts w:hint="eastAsia"/>
        </w:rPr>
      </w:pPr>
      <w:r>
        <w:rPr>
          <w:rStyle w:val="af3"/>
        </w:rPr>
        <w:footnoteRef/>
      </w:r>
      <w:r>
        <w:t xml:space="preserve"> </w:t>
      </w:r>
      <w:r>
        <w:rPr>
          <w:rFonts w:hint="eastAsia"/>
        </w:rPr>
        <w:t>臺灣銀行11</w:t>
      </w:r>
      <w:r>
        <w:t>3</w:t>
      </w:r>
      <w:r>
        <w:rPr>
          <w:rFonts w:hint="eastAsia"/>
        </w:rPr>
        <w:t>年1</w:t>
      </w:r>
      <w:r>
        <w:t>0</w:t>
      </w:r>
      <w:r>
        <w:rPr>
          <w:rFonts w:hint="eastAsia"/>
        </w:rPr>
        <w:t>月1</w:t>
      </w:r>
      <w:r>
        <w:t>0</w:t>
      </w:r>
      <w:r>
        <w:rPr>
          <w:rFonts w:hint="eastAsia"/>
        </w:rPr>
        <w:t>日公告即期賣出匯率為新臺幣3</w:t>
      </w:r>
      <w:r>
        <w:t>2.255</w:t>
      </w:r>
      <w:r>
        <w:rPr>
          <w:rFonts w:hint="eastAsia"/>
        </w:rPr>
        <w:t>元兌1美元。</w:t>
      </w:r>
    </w:p>
  </w:footnote>
  <w:footnote w:id="2">
    <w:p w:rsidR="00C007D9" w:rsidRDefault="00C007D9" w:rsidP="002D487A">
      <w:pPr>
        <w:pStyle w:val="142"/>
        <w:ind w:left="647" w:hanging="647"/>
        <w:rPr>
          <w:rFonts w:hint="eastAsia"/>
        </w:rPr>
      </w:pPr>
      <w:r>
        <w:rPr>
          <w:rStyle w:val="af3"/>
        </w:rPr>
        <w:footnoteRef/>
      </w:r>
      <w:r>
        <w:t xml:space="preserve"> </w:t>
      </w:r>
      <w:r w:rsidRPr="005D260B">
        <w:rPr>
          <w:rFonts w:hint="eastAsia"/>
        </w:rPr>
        <w:t>(Kcal/</w:t>
      </w:r>
      <w:r>
        <w:t>K</w:t>
      </w:r>
      <w:r w:rsidRPr="005D260B">
        <w:rPr>
          <w:rFonts w:hint="eastAsia"/>
        </w:rPr>
        <w:t>g, GAR)</w:t>
      </w:r>
      <w:r>
        <w:rPr>
          <w:rFonts w:hint="eastAsia"/>
        </w:rPr>
        <w:t>係</w:t>
      </w:r>
      <w:r w:rsidRPr="005D260B">
        <w:rPr>
          <w:rFonts w:hint="eastAsia"/>
        </w:rPr>
        <w:t>濕基毛熱值</w:t>
      </w:r>
      <w:r>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07D9" w:rsidRDefault="00C007D9" w:rsidP="00D71B67">
    <w:pPr>
      <w:pStyle w:val="ad"/>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07D9" w:rsidRDefault="00C007D9" w:rsidP="00D71B67">
    <w:pPr>
      <w:pStyle w:val="ad"/>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07D9" w:rsidRDefault="00C007D9" w:rsidP="00D71B67">
    <w:pPr>
      <w:pStyle w:val="ad"/>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AD09857C"/>
    <w:multiLevelType w:val="hybridMultilevel"/>
    <w:tmpl w:val="860D18E0"/>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E65BA147"/>
    <w:multiLevelType w:val="hybridMultilevel"/>
    <w:tmpl w:val="3CCAE15A"/>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13AE3511"/>
    <w:multiLevelType w:val="hybridMultilevel"/>
    <w:tmpl w:val="84DC6EA8"/>
    <w:lvl w:ilvl="0" w:tplc="E76820E0">
      <w:start w:val="1"/>
      <w:numFmt w:val="decimal"/>
      <w:lvlText w:val="%1."/>
      <w:lvlJc w:val="left"/>
      <w:pPr>
        <w:ind w:left="1492" w:hanging="36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3" w15:restartNumberingAfterBreak="0">
    <w:nsid w:val="56304432"/>
    <w:multiLevelType w:val="hybridMultilevel"/>
    <w:tmpl w:val="FA1A5D4E"/>
    <w:lvl w:ilvl="0" w:tplc="0409000F">
      <w:start w:val="1"/>
      <w:numFmt w:val="decimal"/>
      <w:lvlText w:val="%1."/>
      <w:lvlJc w:val="left"/>
      <w:pPr>
        <w:ind w:left="1612" w:hanging="480"/>
      </w:p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4" w15:restartNumberingAfterBreak="0">
    <w:nsid w:val="688E9303"/>
    <w:multiLevelType w:val="hybridMultilevel"/>
    <w:tmpl w:val="252DE50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6B275985"/>
    <w:multiLevelType w:val="hybridMultilevel"/>
    <w:tmpl w:val="79686718"/>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73C81970"/>
    <w:multiLevelType w:val="hybridMultilevel"/>
    <w:tmpl w:val="BB08ACD4"/>
    <w:lvl w:ilvl="0" w:tplc="EBC209D6">
      <w:start w:val="1"/>
      <w:numFmt w:val="taiwaneseCountingThousand"/>
      <w:lvlText w:val="(%1)"/>
      <w:lvlJc w:val="left"/>
      <w:pPr>
        <w:ind w:left="1852" w:hanging="72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7" w15:restartNumberingAfterBreak="0">
    <w:nsid w:val="74A6B346"/>
    <w:multiLevelType w:val="hybridMultilevel"/>
    <w:tmpl w:val="D9D635D2"/>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76143C49"/>
    <w:multiLevelType w:val="hybridMultilevel"/>
    <w:tmpl w:val="AB428996"/>
    <w:lvl w:ilvl="0" w:tplc="E9BC5D32">
      <w:start w:val="1"/>
      <w:numFmt w:val="taiwaneseCountingThousand"/>
      <w:lvlText w:val="(%1)"/>
      <w:lvlJc w:val="left"/>
      <w:pPr>
        <w:ind w:left="480" w:hanging="480"/>
      </w:pPr>
      <w:rPr>
        <w:rFonts w:hint="eastAsia"/>
        <w:b/>
        <w:bC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3"/>
  </w:num>
  <w:num w:numId="2">
    <w:abstractNumId w:val="2"/>
  </w:num>
  <w:num w:numId="3">
    <w:abstractNumId w:val="6"/>
  </w:num>
  <w:num w:numId="4">
    <w:abstractNumId w:val="5"/>
  </w:num>
  <w:num w:numId="5">
    <w:abstractNumId w:val="4"/>
  </w:num>
  <w:num w:numId="6">
    <w:abstractNumId w:val="0"/>
  </w:num>
  <w:num w:numId="7">
    <w:abstractNumId w:val="1"/>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33F32"/>
    <w:rsid w:val="000022EB"/>
    <w:rsid w:val="000027D5"/>
    <w:rsid w:val="00006E01"/>
    <w:rsid w:val="00006EA9"/>
    <w:rsid w:val="00007338"/>
    <w:rsid w:val="00012C3F"/>
    <w:rsid w:val="00012EC9"/>
    <w:rsid w:val="00014316"/>
    <w:rsid w:val="000160CB"/>
    <w:rsid w:val="00016699"/>
    <w:rsid w:val="0001672C"/>
    <w:rsid w:val="000175D8"/>
    <w:rsid w:val="00020900"/>
    <w:rsid w:val="00022460"/>
    <w:rsid w:val="00024294"/>
    <w:rsid w:val="000326F1"/>
    <w:rsid w:val="00040738"/>
    <w:rsid w:val="0004231A"/>
    <w:rsid w:val="00043E5B"/>
    <w:rsid w:val="00045B8D"/>
    <w:rsid w:val="00051285"/>
    <w:rsid w:val="00055A65"/>
    <w:rsid w:val="0006343F"/>
    <w:rsid w:val="00070337"/>
    <w:rsid w:val="00070DC5"/>
    <w:rsid w:val="00071832"/>
    <w:rsid w:val="00072E61"/>
    <w:rsid w:val="00073646"/>
    <w:rsid w:val="00073764"/>
    <w:rsid w:val="00073C9F"/>
    <w:rsid w:val="00073F33"/>
    <w:rsid w:val="00074416"/>
    <w:rsid w:val="00077E9F"/>
    <w:rsid w:val="00086096"/>
    <w:rsid w:val="00087B4F"/>
    <w:rsid w:val="00087FC0"/>
    <w:rsid w:val="000908FC"/>
    <w:rsid w:val="000964D7"/>
    <w:rsid w:val="00097082"/>
    <w:rsid w:val="000A004C"/>
    <w:rsid w:val="000B5EC5"/>
    <w:rsid w:val="000B6507"/>
    <w:rsid w:val="000B793D"/>
    <w:rsid w:val="000C10B1"/>
    <w:rsid w:val="000C20DA"/>
    <w:rsid w:val="000C23D6"/>
    <w:rsid w:val="000C3B02"/>
    <w:rsid w:val="000C4738"/>
    <w:rsid w:val="000C4C0B"/>
    <w:rsid w:val="000C52A3"/>
    <w:rsid w:val="000D42EB"/>
    <w:rsid w:val="000D5968"/>
    <w:rsid w:val="000D7B24"/>
    <w:rsid w:val="000D7C21"/>
    <w:rsid w:val="000E23D8"/>
    <w:rsid w:val="000E2E67"/>
    <w:rsid w:val="000E5FE8"/>
    <w:rsid w:val="000E64F9"/>
    <w:rsid w:val="000E65A6"/>
    <w:rsid w:val="000E69DE"/>
    <w:rsid w:val="000F47E0"/>
    <w:rsid w:val="000F6E23"/>
    <w:rsid w:val="000F7390"/>
    <w:rsid w:val="000F78A4"/>
    <w:rsid w:val="00101585"/>
    <w:rsid w:val="00102841"/>
    <w:rsid w:val="00105DC6"/>
    <w:rsid w:val="00107C5C"/>
    <w:rsid w:val="0011594C"/>
    <w:rsid w:val="001171BD"/>
    <w:rsid w:val="0011761C"/>
    <w:rsid w:val="001201FD"/>
    <w:rsid w:val="001207E6"/>
    <w:rsid w:val="00120AC4"/>
    <w:rsid w:val="00120B3C"/>
    <w:rsid w:val="001217D1"/>
    <w:rsid w:val="00123385"/>
    <w:rsid w:val="001237F2"/>
    <w:rsid w:val="00134B7B"/>
    <w:rsid w:val="00136544"/>
    <w:rsid w:val="00141161"/>
    <w:rsid w:val="00141818"/>
    <w:rsid w:val="00142C29"/>
    <w:rsid w:val="00142DB0"/>
    <w:rsid w:val="00144ED2"/>
    <w:rsid w:val="0014628D"/>
    <w:rsid w:val="001475E3"/>
    <w:rsid w:val="00147940"/>
    <w:rsid w:val="0015161F"/>
    <w:rsid w:val="00152056"/>
    <w:rsid w:val="00161595"/>
    <w:rsid w:val="001638EE"/>
    <w:rsid w:val="00172EA2"/>
    <w:rsid w:val="001736CA"/>
    <w:rsid w:val="00174EAA"/>
    <w:rsid w:val="00175B65"/>
    <w:rsid w:val="0017688D"/>
    <w:rsid w:val="00176CB0"/>
    <w:rsid w:val="00183DDA"/>
    <w:rsid w:val="0018424D"/>
    <w:rsid w:val="001922A9"/>
    <w:rsid w:val="00195DCD"/>
    <w:rsid w:val="001A05C4"/>
    <w:rsid w:val="001A2368"/>
    <w:rsid w:val="001A3C43"/>
    <w:rsid w:val="001B0106"/>
    <w:rsid w:val="001B06D0"/>
    <w:rsid w:val="001B0D39"/>
    <w:rsid w:val="001B0E79"/>
    <w:rsid w:val="001B22E1"/>
    <w:rsid w:val="001B6B8A"/>
    <w:rsid w:val="001B7C72"/>
    <w:rsid w:val="001B7F0B"/>
    <w:rsid w:val="001C24FB"/>
    <w:rsid w:val="001C3BCA"/>
    <w:rsid w:val="001C3C98"/>
    <w:rsid w:val="001C673C"/>
    <w:rsid w:val="001D3096"/>
    <w:rsid w:val="001D30BB"/>
    <w:rsid w:val="001D56C1"/>
    <w:rsid w:val="001D6C3A"/>
    <w:rsid w:val="001E1D59"/>
    <w:rsid w:val="001E2FAA"/>
    <w:rsid w:val="001E3DDA"/>
    <w:rsid w:val="001E6CC8"/>
    <w:rsid w:val="001E6EE6"/>
    <w:rsid w:val="001F1522"/>
    <w:rsid w:val="001F4E56"/>
    <w:rsid w:val="00201F57"/>
    <w:rsid w:val="0020349F"/>
    <w:rsid w:val="002037AD"/>
    <w:rsid w:val="0021213C"/>
    <w:rsid w:val="00213AB9"/>
    <w:rsid w:val="0021527E"/>
    <w:rsid w:val="00216FA5"/>
    <w:rsid w:val="00216FBA"/>
    <w:rsid w:val="0022106D"/>
    <w:rsid w:val="002210BF"/>
    <w:rsid w:val="00226D6D"/>
    <w:rsid w:val="00230967"/>
    <w:rsid w:val="00231C5A"/>
    <w:rsid w:val="00233DF7"/>
    <w:rsid w:val="002343BC"/>
    <w:rsid w:val="00235427"/>
    <w:rsid w:val="00236B14"/>
    <w:rsid w:val="00242BD1"/>
    <w:rsid w:val="00242C8A"/>
    <w:rsid w:val="002432D9"/>
    <w:rsid w:val="00243FAB"/>
    <w:rsid w:val="00244895"/>
    <w:rsid w:val="00246C32"/>
    <w:rsid w:val="002476A1"/>
    <w:rsid w:val="0025036F"/>
    <w:rsid w:val="00251B49"/>
    <w:rsid w:val="002527FE"/>
    <w:rsid w:val="002548E5"/>
    <w:rsid w:val="00255A18"/>
    <w:rsid w:val="00256402"/>
    <w:rsid w:val="002579F7"/>
    <w:rsid w:val="0026129E"/>
    <w:rsid w:val="00261DB6"/>
    <w:rsid w:val="002660C3"/>
    <w:rsid w:val="00266212"/>
    <w:rsid w:val="00266ABA"/>
    <w:rsid w:val="00266FA4"/>
    <w:rsid w:val="00267821"/>
    <w:rsid w:val="002700F8"/>
    <w:rsid w:val="00273169"/>
    <w:rsid w:val="002755FC"/>
    <w:rsid w:val="002771F4"/>
    <w:rsid w:val="00284244"/>
    <w:rsid w:val="002849D9"/>
    <w:rsid w:val="00285D5A"/>
    <w:rsid w:val="00290E7B"/>
    <w:rsid w:val="00290F9F"/>
    <w:rsid w:val="00290FB8"/>
    <w:rsid w:val="00293D49"/>
    <w:rsid w:val="002949E5"/>
    <w:rsid w:val="00296254"/>
    <w:rsid w:val="002967CB"/>
    <w:rsid w:val="002977AC"/>
    <w:rsid w:val="002A2DAB"/>
    <w:rsid w:val="002A2E82"/>
    <w:rsid w:val="002A4E85"/>
    <w:rsid w:val="002A5B17"/>
    <w:rsid w:val="002A5C5E"/>
    <w:rsid w:val="002B467E"/>
    <w:rsid w:val="002B63C2"/>
    <w:rsid w:val="002B72F1"/>
    <w:rsid w:val="002C59CD"/>
    <w:rsid w:val="002C6564"/>
    <w:rsid w:val="002C6D36"/>
    <w:rsid w:val="002D232B"/>
    <w:rsid w:val="002D32A6"/>
    <w:rsid w:val="002D32EC"/>
    <w:rsid w:val="002D3318"/>
    <w:rsid w:val="002D3D77"/>
    <w:rsid w:val="002D4476"/>
    <w:rsid w:val="002D487A"/>
    <w:rsid w:val="002D60FD"/>
    <w:rsid w:val="002D6769"/>
    <w:rsid w:val="002E091E"/>
    <w:rsid w:val="002E0A46"/>
    <w:rsid w:val="002E0C7D"/>
    <w:rsid w:val="002E2576"/>
    <w:rsid w:val="002E32E2"/>
    <w:rsid w:val="002E5D9F"/>
    <w:rsid w:val="002E60F5"/>
    <w:rsid w:val="002F2D5B"/>
    <w:rsid w:val="0030024F"/>
    <w:rsid w:val="0030510B"/>
    <w:rsid w:val="003105D4"/>
    <w:rsid w:val="003117EE"/>
    <w:rsid w:val="00315F2A"/>
    <w:rsid w:val="00320BEB"/>
    <w:rsid w:val="00322D3A"/>
    <w:rsid w:val="00322E6D"/>
    <w:rsid w:val="0032336F"/>
    <w:rsid w:val="003238B3"/>
    <w:rsid w:val="0032520B"/>
    <w:rsid w:val="00325903"/>
    <w:rsid w:val="00325E2A"/>
    <w:rsid w:val="003277C5"/>
    <w:rsid w:val="00334DA1"/>
    <w:rsid w:val="00336E47"/>
    <w:rsid w:val="00336FBC"/>
    <w:rsid w:val="00337DE4"/>
    <w:rsid w:val="0034283B"/>
    <w:rsid w:val="003430F0"/>
    <w:rsid w:val="00343782"/>
    <w:rsid w:val="00343A66"/>
    <w:rsid w:val="00345270"/>
    <w:rsid w:val="00352397"/>
    <w:rsid w:val="00355D7D"/>
    <w:rsid w:val="00363180"/>
    <w:rsid w:val="00363E41"/>
    <w:rsid w:val="00366140"/>
    <w:rsid w:val="00366168"/>
    <w:rsid w:val="00366ACF"/>
    <w:rsid w:val="00366FB0"/>
    <w:rsid w:val="00367BAA"/>
    <w:rsid w:val="00371AD7"/>
    <w:rsid w:val="003754F1"/>
    <w:rsid w:val="00377F87"/>
    <w:rsid w:val="00380AD4"/>
    <w:rsid w:val="003814D6"/>
    <w:rsid w:val="003823C8"/>
    <w:rsid w:val="003866DB"/>
    <w:rsid w:val="00386742"/>
    <w:rsid w:val="00387086"/>
    <w:rsid w:val="0038746D"/>
    <w:rsid w:val="00387794"/>
    <w:rsid w:val="003941D1"/>
    <w:rsid w:val="003A663B"/>
    <w:rsid w:val="003A6935"/>
    <w:rsid w:val="003A6C13"/>
    <w:rsid w:val="003A6D37"/>
    <w:rsid w:val="003A7EC0"/>
    <w:rsid w:val="003B1A72"/>
    <w:rsid w:val="003B1FE6"/>
    <w:rsid w:val="003B31D5"/>
    <w:rsid w:val="003B38C3"/>
    <w:rsid w:val="003B5A83"/>
    <w:rsid w:val="003B6A73"/>
    <w:rsid w:val="003B6ED4"/>
    <w:rsid w:val="003B7919"/>
    <w:rsid w:val="003C172A"/>
    <w:rsid w:val="003C1E06"/>
    <w:rsid w:val="003C3063"/>
    <w:rsid w:val="003C402E"/>
    <w:rsid w:val="003C5477"/>
    <w:rsid w:val="003C71BF"/>
    <w:rsid w:val="003C76F9"/>
    <w:rsid w:val="003D1616"/>
    <w:rsid w:val="003D1770"/>
    <w:rsid w:val="003D1A83"/>
    <w:rsid w:val="003D216F"/>
    <w:rsid w:val="003D2315"/>
    <w:rsid w:val="003D390D"/>
    <w:rsid w:val="003D41CB"/>
    <w:rsid w:val="003D5F2C"/>
    <w:rsid w:val="003D69FD"/>
    <w:rsid w:val="003D7D56"/>
    <w:rsid w:val="003D7E22"/>
    <w:rsid w:val="003E182B"/>
    <w:rsid w:val="003E2491"/>
    <w:rsid w:val="003E48CC"/>
    <w:rsid w:val="003F200B"/>
    <w:rsid w:val="003F235D"/>
    <w:rsid w:val="003F41D9"/>
    <w:rsid w:val="003F58F5"/>
    <w:rsid w:val="003F59F6"/>
    <w:rsid w:val="003F691D"/>
    <w:rsid w:val="003F6C8C"/>
    <w:rsid w:val="003F71FC"/>
    <w:rsid w:val="003F75E8"/>
    <w:rsid w:val="00400324"/>
    <w:rsid w:val="004003A7"/>
    <w:rsid w:val="0040041B"/>
    <w:rsid w:val="00401B02"/>
    <w:rsid w:val="00402ADA"/>
    <w:rsid w:val="004045AB"/>
    <w:rsid w:val="004073C6"/>
    <w:rsid w:val="00412C69"/>
    <w:rsid w:val="00414AA7"/>
    <w:rsid w:val="00416C0B"/>
    <w:rsid w:val="00416F26"/>
    <w:rsid w:val="00416FBB"/>
    <w:rsid w:val="00421497"/>
    <w:rsid w:val="00421F3F"/>
    <w:rsid w:val="00424B5F"/>
    <w:rsid w:val="0042544B"/>
    <w:rsid w:val="004264E2"/>
    <w:rsid w:val="00426916"/>
    <w:rsid w:val="00427A36"/>
    <w:rsid w:val="00427CFE"/>
    <w:rsid w:val="00430E2D"/>
    <w:rsid w:val="00430FCB"/>
    <w:rsid w:val="0043175F"/>
    <w:rsid w:val="004336FF"/>
    <w:rsid w:val="00434E2C"/>
    <w:rsid w:val="004442F5"/>
    <w:rsid w:val="00450231"/>
    <w:rsid w:val="00454F5E"/>
    <w:rsid w:val="00455407"/>
    <w:rsid w:val="00455F31"/>
    <w:rsid w:val="00457787"/>
    <w:rsid w:val="00457F21"/>
    <w:rsid w:val="00460623"/>
    <w:rsid w:val="00460EE6"/>
    <w:rsid w:val="00462E23"/>
    <w:rsid w:val="004644BB"/>
    <w:rsid w:val="00465A4E"/>
    <w:rsid w:val="0047112E"/>
    <w:rsid w:val="004745D2"/>
    <w:rsid w:val="00476116"/>
    <w:rsid w:val="00476311"/>
    <w:rsid w:val="0047649A"/>
    <w:rsid w:val="00477154"/>
    <w:rsid w:val="004771A2"/>
    <w:rsid w:val="00480131"/>
    <w:rsid w:val="004822FC"/>
    <w:rsid w:val="0048234F"/>
    <w:rsid w:val="004843C3"/>
    <w:rsid w:val="00485D23"/>
    <w:rsid w:val="004879F9"/>
    <w:rsid w:val="00490B39"/>
    <w:rsid w:val="00490D94"/>
    <w:rsid w:val="004967FA"/>
    <w:rsid w:val="004969F8"/>
    <w:rsid w:val="00497E39"/>
    <w:rsid w:val="00497EFD"/>
    <w:rsid w:val="004A2450"/>
    <w:rsid w:val="004A272D"/>
    <w:rsid w:val="004A35E6"/>
    <w:rsid w:val="004A4069"/>
    <w:rsid w:val="004A4494"/>
    <w:rsid w:val="004A47F4"/>
    <w:rsid w:val="004A5F80"/>
    <w:rsid w:val="004B2306"/>
    <w:rsid w:val="004B38EC"/>
    <w:rsid w:val="004B3A75"/>
    <w:rsid w:val="004B6524"/>
    <w:rsid w:val="004B7E07"/>
    <w:rsid w:val="004C2334"/>
    <w:rsid w:val="004C3FB4"/>
    <w:rsid w:val="004C4D9F"/>
    <w:rsid w:val="004C4F00"/>
    <w:rsid w:val="004C5F46"/>
    <w:rsid w:val="004C665A"/>
    <w:rsid w:val="004D03D2"/>
    <w:rsid w:val="004D245D"/>
    <w:rsid w:val="004D27BE"/>
    <w:rsid w:val="004D6D1A"/>
    <w:rsid w:val="004D7F42"/>
    <w:rsid w:val="004E07F9"/>
    <w:rsid w:val="004E445A"/>
    <w:rsid w:val="004E4532"/>
    <w:rsid w:val="004E55CC"/>
    <w:rsid w:val="004E6700"/>
    <w:rsid w:val="004E6B47"/>
    <w:rsid w:val="004E7A1A"/>
    <w:rsid w:val="004F16A5"/>
    <w:rsid w:val="004F1B49"/>
    <w:rsid w:val="004F1C2F"/>
    <w:rsid w:val="004F2585"/>
    <w:rsid w:val="004F29A5"/>
    <w:rsid w:val="004F2CCB"/>
    <w:rsid w:val="004F3D31"/>
    <w:rsid w:val="004F3FF8"/>
    <w:rsid w:val="004F408C"/>
    <w:rsid w:val="004F6A84"/>
    <w:rsid w:val="00502F2F"/>
    <w:rsid w:val="0050477F"/>
    <w:rsid w:val="00505C1F"/>
    <w:rsid w:val="00510F67"/>
    <w:rsid w:val="00511549"/>
    <w:rsid w:val="0051158A"/>
    <w:rsid w:val="0051299F"/>
    <w:rsid w:val="00513795"/>
    <w:rsid w:val="00514E25"/>
    <w:rsid w:val="00515BF9"/>
    <w:rsid w:val="00516A42"/>
    <w:rsid w:val="00517D25"/>
    <w:rsid w:val="005252FB"/>
    <w:rsid w:val="00527BF3"/>
    <w:rsid w:val="00533077"/>
    <w:rsid w:val="0053690A"/>
    <w:rsid w:val="0054188B"/>
    <w:rsid w:val="005440B2"/>
    <w:rsid w:val="00545C36"/>
    <w:rsid w:val="005461BD"/>
    <w:rsid w:val="00546FF5"/>
    <w:rsid w:val="00547838"/>
    <w:rsid w:val="00550075"/>
    <w:rsid w:val="005504A7"/>
    <w:rsid w:val="005512B4"/>
    <w:rsid w:val="00551631"/>
    <w:rsid w:val="00552374"/>
    <w:rsid w:val="00554865"/>
    <w:rsid w:val="00556C80"/>
    <w:rsid w:val="005615C5"/>
    <w:rsid w:val="0056243D"/>
    <w:rsid w:val="005649CE"/>
    <w:rsid w:val="00564F34"/>
    <w:rsid w:val="00574F76"/>
    <w:rsid w:val="00580A99"/>
    <w:rsid w:val="005814E4"/>
    <w:rsid w:val="00581601"/>
    <w:rsid w:val="005827A9"/>
    <w:rsid w:val="00583464"/>
    <w:rsid w:val="00585E21"/>
    <w:rsid w:val="005864D0"/>
    <w:rsid w:val="00587BE9"/>
    <w:rsid w:val="00590BFC"/>
    <w:rsid w:val="00591E42"/>
    <w:rsid w:val="00597299"/>
    <w:rsid w:val="005A5F09"/>
    <w:rsid w:val="005A7186"/>
    <w:rsid w:val="005A75D7"/>
    <w:rsid w:val="005A7806"/>
    <w:rsid w:val="005B003B"/>
    <w:rsid w:val="005B2026"/>
    <w:rsid w:val="005C095C"/>
    <w:rsid w:val="005C18FC"/>
    <w:rsid w:val="005C3C38"/>
    <w:rsid w:val="005C70E9"/>
    <w:rsid w:val="005C7FDC"/>
    <w:rsid w:val="005D260B"/>
    <w:rsid w:val="005D3F75"/>
    <w:rsid w:val="005D6054"/>
    <w:rsid w:val="005D67A6"/>
    <w:rsid w:val="005D7D56"/>
    <w:rsid w:val="005E4B82"/>
    <w:rsid w:val="005F03D2"/>
    <w:rsid w:val="005F1EFC"/>
    <w:rsid w:val="005F4B6B"/>
    <w:rsid w:val="00600604"/>
    <w:rsid w:val="00601C54"/>
    <w:rsid w:val="00602E80"/>
    <w:rsid w:val="006052A6"/>
    <w:rsid w:val="00611431"/>
    <w:rsid w:val="00614679"/>
    <w:rsid w:val="006146E4"/>
    <w:rsid w:val="00616DB3"/>
    <w:rsid w:val="006170D8"/>
    <w:rsid w:val="00617578"/>
    <w:rsid w:val="00617BCB"/>
    <w:rsid w:val="006226B5"/>
    <w:rsid w:val="00624B69"/>
    <w:rsid w:val="006326E2"/>
    <w:rsid w:val="006343A0"/>
    <w:rsid w:val="00634611"/>
    <w:rsid w:val="00636796"/>
    <w:rsid w:val="00636A8F"/>
    <w:rsid w:val="00637643"/>
    <w:rsid w:val="00640BB0"/>
    <w:rsid w:val="0064242E"/>
    <w:rsid w:val="00642D8C"/>
    <w:rsid w:val="0064324C"/>
    <w:rsid w:val="006438F2"/>
    <w:rsid w:val="00643A8D"/>
    <w:rsid w:val="00653819"/>
    <w:rsid w:val="0065487A"/>
    <w:rsid w:val="00655E43"/>
    <w:rsid w:val="006563D8"/>
    <w:rsid w:val="0066093E"/>
    <w:rsid w:val="00662FB6"/>
    <w:rsid w:val="006642E1"/>
    <w:rsid w:val="00666958"/>
    <w:rsid w:val="006706FB"/>
    <w:rsid w:val="00671560"/>
    <w:rsid w:val="006726EC"/>
    <w:rsid w:val="00673095"/>
    <w:rsid w:val="00675D08"/>
    <w:rsid w:val="006763BA"/>
    <w:rsid w:val="00677312"/>
    <w:rsid w:val="00680691"/>
    <w:rsid w:val="0068121F"/>
    <w:rsid w:val="00681EB6"/>
    <w:rsid w:val="00683279"/>
    <w:rsid w:val="00684F19"/>
    <w:rsid w:val="006855CC"/>
    <w:rsid w:val="0069114E"/>
    <w:rsid w:val="00691A47"/>
    <w:rsid w:val="006926B5"/>
    <w:rsid w:val="00696916"/>
    <w:rsid w:val="00697277"/>
    <w:rsid w:val="006A0AA8"/>
    <w:rsid w:val="006A2DC4"/>
    <w:rsid w:val="006A5696"/>
    <w:rsid w:val="006A6CD1"/>
    <w:rsid w:val="006A747B"/>
    <w:rsid w:val="006B1736"/>
    <w:rsid w:val="006B4A46"/>
    <w:rsid w:val="006B527C"/>
    <w:rsid w:val="006B5726"/>
    <w:rsid w:val="006C2912"/>
    <w:rsid w:val="006C7ED3"/>
    <w:rsid w:val="006D147A"/>
    <w:rsid w:val="006D5F1A"/>
    <w:rsid w:val="006D6378"/>
    <w:rsid w:val="006D6D51"/>
    <w:rsid w:val="006E1805"/>
    <w:rsid w:val="006E584E"/>
    <w:rsid w:val="006E7375"/>
    <w:rsid w:val="006E7E9C"/>
    <w:rsid w:val="006F0C1F"/>
    <w:rsid w:val="006F51EB"/>
    <w:rsid w:val="007015A1"/>
    <w:rsid w:val="00701856"/>
    <w:rsid w:val="00701A47"/>
    <w:rsid w:val="00702708"/>
    <w:rsid w:val="00704743"/>
    <w:rsid w:val="00704EDF"/>
    <w:rsid w:val="00706DFA"/>
    <w:rsid w:val="00711775"/>
    <w:rsid w:val="00711A2D"/>
    <w:rsid w:val="007240CF"/>
    <w:rsid w:val="0072784C"/>
    <w:rsid w:val="00733B42"/>
    <w:rsid w:val="00734BA2"/>
    <w:rsid w:val="00734CCA"/>
    <w:rsid w:val="00735CB9"/>
    <w:rsid w:val="007376B2"/>
    <w:rsid w:val="00737901"/>
    <w:rsid w:val="007407D0"/>
    <w:rsid w:val="0074093E"/>
    <w:rsid w:val="00740CE7"/>
    <w:rsid w:val="0074130E"/>
    <w:rsid w:val="00741321"/>
    <w:rsid w:val="007441C7"/>
    <w:rsid w:val="00744408"/>
    <w:rsid w:val="007452D4"/>
    <w:rsid w:val="007516D8"/>
    <w:rsid w:val="007540FD"/>
    <w:rsid w:val="00754BB8"/>
    <w:rsid w:val="007569E7"/>
    <w:rsid w:val="0076098F"/>
    <w:rsid w:val="00760C4D"/>
    <w:rsid w:val="00761D97"/>
    <w:rsid w:val="00764E28"/>
    <w:rsid w:val="007650DB"/>
    <w:rsid w:val="00767F89"/>
    <w:rsid w:val="0077116D"/>
    <w:rsid w:val="00771A64"/>
    <w:rsid w:val="00772045"/>
    <w:rsid w:val="00772AF2"/>
    <w:rsid w:val="007730A2"/>
    <w:rsid w:val="0077386F"/>
    <w:rsid w:val="00773F8E"/>
    <w:rsid w:val="00774AD1"/>
    <w:rsid w:val="00776405"/>
    <w:rsid w:val="00777498"/>
    <w:rsid w:val="00780023"/>
    <w:rsid w:val="00781DC7"/>
    <w:rsid w:val="00783CCA"/>
    <w:rsid w:val="007849C2"/>
    <w:rsid w:val="0078598C"/>
    <w:rsid w:val="00786009"/>
    <w:rsid w:val="00786261"/>
    <w:rsid w:val="007867AC"/>
    <w:rsid w:val="00787314"/>
    <w:rsid w:val="00790AB5"/>
    <w:rsid w:val="00791EE1"/>
    <w:rsid w:val="00793AAE"/>
    <w:rsid w:val="0079498A"/>
    <w:rsid w:val="00794D91"/>
    <w:rsid w:val="007A00FF"/>
    <w:rsid w:val="007A26BF"/>
    <w:rsid w:val="007A2DE6"/>
    <w:rsid w:val="007A459F"/>
    <w:rsid w:val="007A5A7E"/>
    <w:rsid w:val="007A67A0"/>
    <w:rsid w:val="007A71E0"/>
    <w:rsid w:val="007A7FD5"/>
    <w:rsid w:val="007B2C33"/>
    <w:rsid w:val="007B338B"/>
    <w:rsid w:val="007B4D9E"/>
    <w:rsid w:val="007B5EA4"/>
    <w:rsid w:val="007B7559"/>
    <w:rsid w:val="007B79C1"/>
    <w:rsid w:val="007B7B69"/>
    <w:rsid w:val="007C51FF"/>
    <w:rsid w:val="007C6CF4"/>
    <w:rsid w:val="007C7D9F"/>
    <w:rsid w:val="007D095E"/>
    <w:rsid w:val="007D211B"/>
    <w:rsid w:val="007D30C5"/>
    <w:rsid w:val="007D3988"/>
    <w:rsid w:val="007D58F2"/>
    <w:rsid w:val="007D7498"/>
    <w:rsid w:val="007E070A"/>
    <w:rsid w:val="007E0C63"/>
    <w:rsid w:val="007E0EAE"/>
    <w:rsid w:val="007E2E70"/>
    <w:rsid w:val="007E6FF8"/>
    <w:rsid w:val="007E715D"/>
    <w:rsid w:val="007F1312"/>
    <w:rsid w:val="007F3334"/>
    <w:rsid w:val="007F3FE5"/>
    <w:rsid w:val="007F5983"/>
    <w:rsid w:val="00800D1A"/>
    <w:rsid w:val="00800D70"/>
    <w:rsid w:val="00801DBA"/>
    <w:rsid w:val="008025C6"/>
    <w:rsid w:val="00803B52"/>
    <w:rsid w:val="00805509"/>
    <w:rsid w:val="00805C5F"/>
    <w:rsid w:val="00805F97"/>
    <w:rsid w:val="00810F27"/>
    <w:rsid w:val="00812948"/>
    <w:rsid w:val="00812BF7"/>
    <w:rsid w:val="00814BF7"/>
    <w:rsid w:val="00816DF5"/>
    <w:rsid w:val="00817429"/>
    <w:rsid w:val="00817EF0"/>
    <w:rsid w:val="00820676"/>
    <w:rsid w:val="0082331B"/>
    <w:rsid w:val="00826DCC"/>
    <w:rsid w:val="00826DF1"/>
    <w:rsid w:val="00827167"/>
    <w:rsid w:val="00832344"/>
    <w:rsid w:val="00842B46"/>
    <w:rsid w:val="008444BD"/>
    <w:rsid w:val="00845091"/>
    <w:rsid w:val="008474E3"/>
    <w:rsid w:val="008503C2"/>
    <w:rsid w:val="00852EEF"/>
    <w:rsid w:val="00853B2F"/>
    <w:rsid w:val="00853D21"/>
    <w:rsid w:val="0085564F"/>
    <w:rsid w:val="00860904"/>
    <w:rsid w:val="00863065"/>
    <w:rsid w:val="00863360"/>
    <w:rsid w:val="008667EA"/>
    <w:rsid w:val="00870445"/>
    <w:rsid w:val="00871FE4"/>
    <w:rsid w:val="00880E24"/>
    <w:rsid w:val="00882404"/>
    <w:rsid w:val="00884865"/>
    <w:rsid w:val="0089119A"/>
    <w:rsid w:val="00892777"/>
    <w:rsid w:val="00892978"/>
    <w:rsid w:val="0089363C"/>
    <w:rsid w:val="008955D5"/>
    <w:rsid w:val="00896AB9"/>
    <w:rsid w:val="008A199B"/>
    <w:rsid w:val="008A2D16"/>
    <w:rsid w:val="008A4865"/>
    <w:rsid w:val="008A64E5"/>
    <w:rsid w:val="008A6B3A"/>
    <w:rsid w:val="008B0092"/>
    <w:rsid w:val="008B09AD"/>
    <w:rsid w:val="008B2E92"/>
    <w:rsid w:val="008B4192"/>
    <w:rsid w:val="008B7258"/>
    <w:rsid w:val="008C3454"/>
    <w:rsid w:val="008C3B67"/>
    <w:rsid w:val="008C7601"/>
    <w:rsid w:val="008D120E"/>
    <w:rsid w:val="008D306F"/>
    <w:rsid w:val="008D3F9F"/>
    <w:rsid w:val="008D4F60"/>
    <w:rsid w:val="008D5681"/>
    <w:rsid w:val="008D5702"/>
    <w:rsid w:val="008D6A28"/>
    <w:rsid w:val="008D701B"/>
    <w:rsid w:val="008E0DAC"/>
    <w:rsid w:val="008E25EA"/>
    <w:rsid w:val="008E2D93"/>
    <w:rsid w:val="008E59DB"/>
    <w:rsid w:val="008F02E0"/>
    <w:rsid w:val="008F110B"/>
    <w:rsid w:val="008F3276"/>
    <w:rsid w:val="008F3471"/>
    <w:rsid w:val="008F38CC"/>
    <w:rsid w:val="008F6963"/>
    <w:rsid w:val="00903213"/>
    <w:rsid w:val="00904AC6"/>
    <w:rsid w:val="009053E6"/>
    <w:rsid w:val="009107BF"/>
    <w:rsid w:val="0091506B"/>
    <w:rsid w:val="009160FA"/>
    <w:rsid w:val="00921C8C"/>
    <w:rsid w:val="00922BA0"/>
    <w:rsid w:val="0092424E"/>
    <w:rsid w:val="00924662"/>
    <w:rsid w:val="0092791B"/>
    <w:rsid w:val="00931A2D"/>
    <w:rsid w:val="00933380"/>
    <w:rsid w:val="00940646"/>
    <w:rsid w:val="009428F7"/>
    <w:rsid w:val="00943E61"/>
    <w:rsid w:val="009470B8"/>
    <w:rsid w:val="00947B6D"/>
    <w:rsid w:val="00950C0A"/>
    <w:rsid w:val="00951EC9"/>
    <w:rsid w:val="009647B5"/>
    <w:rsid w:val="009656BA"/>
    <w:rsid w:val="009659F6"/>
    <w:rsid w:val="00971DF8"/>
    <w:rsid w:val="009740A8"/>
    <w:rsid w:val="00974A87"/>
    <w:rsid w:val="00974EB2"/>
    <w:rsid w:val="009751C9"/>
    <w:rsid w:val="00975A7E"/>
    <w:rsid w:val="00977A63"/>
    <w:rsid w:val="00977F9C"/>
    <w:rsid w:val="0098001C"/>
    <w:rsid w:val="00984C06"/>
    <w:rsid w:val="009907C9"/>
    <w:rsid w:val="00990CFA"/>
    <w:rsid w:val="009A16CB"/>
    <w:rsid w:val="009A359F"/>
    <w:rsid w:val="009A59EF"/>
    <w:rsid w:val="009B0959"/>
    <w:rsid w:val="009C0848"/>
    <w:rsid w:val="009C300C"/>
    <w:rsid w:val="009C4F43"/>
    <w:rsid w:val="009C683C"/>
    <w:rsid w:val="009C6958"/>
    <w:rsid w:val="009D0090"/>
    <w:rsid w:val="009D456D"/>
    <w:rsid w:val="009D4A7E"/>
    <w:rsid w:val="009E0023"/>
    <w:rsid w:val="009E062E"/>
    <w:rsid w:val="009E2B91"/>
    <w:rsid w:val="009E3AC6"/>
    <w:rsid w:val="009E4220"/>
    <w:rsid w:val="009E4584"/>
    <w:rsid w:val="009F772E"/>
    <w:rsid w:val="009F7C69"/>
    <w:rsid w:val="00A028CA"/>
    <w:rsid w:val="00A03637"/>
    <w:rsid w:val="00A03F80"/>
    <w:rsid w:val="00A052C7"/>
    <w:rsid w:val="00A05412"/>
    <w:rsid w:val="00A064B4"/>
    <w:rsid w:val="00A11834"/>
    <w:rsid w:val="00A1413E"/>
    <w:rsid w:val="00A141BD"/>
    <w:rsid w:val="00A15D77"/>
    <w:rsid w:val="00A15E69"/>
    <w:rsid w:val="00A17226"/>
    <w:rsid w:val="00A17B33"/>
    <w:rsid w:val="00A208DC"/>
    <w:rsid w:val="00A2197B"/>
    <w:rsid w:val="00A233FC"/>
    <w:rsid w:val="00A23C41"/>
    <w:rsid w:val="00A23EE6"/>
    <w:rsid w:val="00A24831"/>
    <w:rsid w:val="00A263D3"/>
    <w:rsid w:val="00A26A03"/>
    <w:rsid w:val="00A27975"/>
    <w:rsid w:val="00A3432A"/>
    <w:rsid w:val="00A35C51"/>
    <w:rsid w:val="00A406A9"/>
    <w:rsid w:val="00A426BF"/>
    <w:rsid w:val="00A42AEF"/>
    <w:rsid w:val="00A516D5"/>
    <w:rsid w:val="00A55DAC"/>
    <w:rsid w:val="00A57A47"/>
    <w:rsid w:val="00A60D05"/>
    <w:rsid w:val="00A6527D"/>
    <w:rsid w:val="00A666D1"/>
    <w:rsid w:val="00A7269E"/>
    <w:rsid w:val="00A74BA4"/>
    <w:rsid w:val="00A756BD"/>
    <w:rsid w:val="00A76C7D"/>
    <w:rsid w:val="00A80C67"/>
    <w:rsid w:val="00A81232"/>
    <w:rsid w:val="00A8248D"/>
    <w:rsid w:val="00A82690"/>
    <w:rsid w:val="00A85F17"/>
    <w:rsid w:val="00A94F91"/>
    <w:rsid w:val="00A95D0A"/>
    <w:rsid w:val="00A96D11"/>
    <w:rsid w:val="00A97AEB"/>
    <w:rsid w:val="00AA0818"/>
    <w:rsid w:val="00AA1F8C"/>
    <w:rsid w:val="00AA37F1"/>
    <w:rsid w:val="00AA72B8"/>
    <w:rsid w:val="00AA75EB"/>
    <w:rsid w:val="00AB16DD"/>
    <w:rsid w:val="00AB3073"/>
    <w:rsid w:val="00AB5879"/>
    <w:rsid w:val="00AB7B21"/>
    <w:rsid w:val="00AB7D13"/>
    <w:rsid w:val="00AC0179"/>
    <w:rsid w:val="00AC1CE5"/>
    <w:rsid w:val="00AC2B14"/>
    <w:rsid w:val="00AC6AB8"/>
    <w:rsid w:val="00AC76B3"/>
    <w:rsid w:val="00AD1816"/>
    <w:rsid w:val="00AD297F"/>
    <w:rsid w:val="00AD504D"/>
    <w:rsid w:val="00AD53B0"/>
    <w:rsid w:val="00AE22FB"/>
    <w:rsid w:val="00AE3341"/>
    <w:rsid w:val="00AE399C"/>
    <w:rsid w:val="00AE6275"/>
    <w:rsid w:val="00AE7833"/>
    <w:rsid w:val="00AF1E96"/>
    <w:rsid w:val="00AF2EBC"/>
    <w:rsid w:val="00AF391B"/>
    <w:rsid w:val="00AF5433"/>
    <w:rsid w:val="00AF575B"/>
    <w:rsid w:val="00AF62D7"/>
    <w:rsid w:val="00B01475"/>
    <w:rsid w:val="00B018A3"/>
    <w:rsid w:val="00B04579"/>
    <w:rsid w:val="00B04F46"/>
    <w:rsid w:val="00B061B0"/>
    <w:rsid w:val="00B07CB5"/>
    <w:rsid w:val="00B11585"/>
    <w:rsid w:val="00B122A7"/>
    <w:rsid w:val="00B13543"/>
    <w:rsid w:val="00B15036"/>
    <w:rsid w:val="00B15D2B"/>
    <w:rsid w:val="00B2010B"/>
    <w:rsid w:val="00B20626"/>
    <w:rsid w:val="00B20E99"/>
    <w:rsid w:val="00B243A3"/>
    <w:rsid w:val="00B2674A"/>
    <w:rsid w:val="00B3070F"/>
    <w:rsid w:val="00B334D1"/>
    <w:rsid w:val="00B36B7D"/>
    <w:rsid w:val="00B40913"/>
    <w:rsid w:val="00B40B19"/>
    <w:rsid w:val="00B40C43"/>
    <w:rsid w:val="00B41E72"/>
    <w:rsid w:val="00B420EA"/>
    <w:rsid w:val="00B42C0B"/>
    <w:rsid w:val="00B43B10"/>
    <w:rsid w:val="00B45E58"/>
    <w:rsid w:val="00B47472"/>
    <w:rsid w:val="00B51887"/>
    <w:rsid w:val="00B52656"/>
    <w:rsid w:val="00B52EBC"/>
    <w:rsid w:val="00B53646"/>
    <w:rsid w:val="00B56D71"/>
    <w:rsid w:val="00B57419"/>
    <w:rsid w:val="00B60730"/>
    <w:rsid w:val="00B614A3"/>
    <w:rsid w:val="00B649BF"/>
    <w:rsid w:val="00B71AC6"/>
    <w:rsid w:val="00B724C5"/>
    <w:rsid w:val="00B72C78"/>
    <w:rsid w:val="00B7605C"/>
    <w:rsid w:val="00B76945"/>
    <w:rsid w:val="00B827D0"/>
    <w:rsid w:val="00B84A2A"/>
    <w:rsid w:val="00B91095"/>
    <w:rsid w:val="00B91C03"/>
    <w:rsid w:val="00B93623"/>
    <w:rsid w:val="00B94923"/>
    <w:rsid w:val="00B95A61"/>
    <w:rsid w:val="00B96813"/>
    <w:rsid w:val="00B96FD0"/>
    <w:rsid w:val="00B976EB"/>
    <w:rsid w:val="00BA3175"/>
    <w:rsid w:val="00BA5B80"/>
    <w:rsid w:val="00BA6709"/>
    <w:rsid w:val="00BA6D14"/>
    <w:rsid w:val="00BB01FB"/>
    <w:rsid w:val="00BB23D0"/>
    <w:rsid w:val="00BB573E"/>
    <w:rsid w:val="00BB748F"/>
    <w:rsid w:val="00BB7AF9"/>
    <w:rsid w:val="00BB7DA9"/>
    <w:rsid w:val="00BC00B5"/>
    <w:rsid w:val="00BC1810"/>
    <w:rsid w:val="00BC2955"/>
    <w:rsid w:val="00BC5C99"/>
    <w:rsid w:val="00BC72E1"/>
    <w:rsid w:val="00BD07DA"/>
    <w:rsid w:val="00BD2C68"/>
    <w:rsid w:val="00BD3057"/>
    <w:rsid w:val="00BD57C8"/>
    <w:rsid w:val="00BE0208"/>
    <w:rsid w:val="00BE0614"/>
    <w:rsid w:val="00BE2FA9"/>
    <w:rsid w:val="00BE3515"/>
    <w:rsid w:val="00BE4E04"/>
    <w:rsid w:val="00BE6D68"/>
    <w:rsid w:val="00BF0F49"/>
    <w:rsid w:val="00BF22CC"/>
    <w:rsid w:val="00BF5CD1"/>
    <w:rsid w:val="00BF5FA6"/>
    <w:rsid w:val="00BF6BE7"/>
    <w:rsid w:val="00C007AB"/>
    <w:rsid w:val="00C007D9"/>
    <w:rsid w:val="00C008EE"/>
    <w:rsid w:val="00C00DE4"/>
    <w:rsid w:val="00C00F1F"/>
    <w:rsid w:val="00C0303A"/>
    <w:rsid w:val="00C049D7"/>
    <w:rsid w:val="00C110A0"/>
    <w:rsid w:val="00C13D8E"/>
    <w:rsid w:val="00C163D1"/>
    <w:rsid w:val="00C20F8D"/>
    <w:rsid w:val="00C23C2F"/>
    <w:rsid w:val="00C263C0"/>
    <w:rsid w:val="00C30C9A"/>
    <w:rsid w:val="00C36CF2"/>
    <w:rsid w:val="00C37B02"/>
    <w:rsid w:val="00C37E9B"/>
    <w:rsid w:val="00C42DA9"/>
    <w:rsid w:val="00C44EFF"/>
    <w:rsid w:val="00C46428"/>
    <w:rsid w:val="00C50ECB"/>
    <w:rsid w:val="00C537D9"/>
    <w:rsid w:val="00C57500"/>
    <w:rsid w:val="00C57ECE"/>
    <w:rsid w:val="00C60472"/>
    <w:rsid w:val="00C6396A"/>
    <w:rsid w:val="00C642DE"/>
    <w:rsid w:val="00C66407"/>
    <w:rsid w:val="00C66D14"/>
    <w:rsid w:val="00C677F6"/>
    <w:rsid w:val="00C70618"/>
    <w:rsid w:val="00C72BF3"/>
    <w:rsid w:val="00C75AEC"/>
    <w:rsid w:val="00C76114"/>
    <w:rsid w:val="00C7730D"/>
    <w:rsid w:val="00C80261"/>
    <w:rsid w:val="00C82875"/>
    <w:rsid w:val="00C87ACD"/>
    <w:rsid w:val="00C9014C"/>
    <w:rsid w:val="00C90AFE"/>
    <w:rsid w:val="00C92652"/>
    <w:rsid w:val="00C926E0"/>
    <w:rsid w:val="00C93ACF"/>
    <w:rsid w:val="00C97278"/>
    <w:rsid w:val="00CA037E"/>
    <w:rsid w:val="00CA051B"/>
    <w:rsid w:val="00CA0D05"/>
    <w:rsid w:val="00CA2415"/>
    <w:rsid w:val="00CA4B5B"/>
    <w:rsid w:val="00CA4F15"/>
    <w:rsid w:val="00CA53C9"/>
    <w:rsid w:val="00CA567A"/>
    <w:rsid w:val="00CA5916"/>
    <w:rsid w:val="00CA769F"/>
    <w:rsid w:val="00CB653E"/>
    <w:rsid w:val="00CC0E90"/>
    <w:rsid w:val="00CC1176"/>
    <w:rsid w:val="00CC2125"/>
    <w:rsid w:val="00CD2019"/>
    <w:rsid w:val="00CD6D43"/>
    <w:rsid w:val="00CD7984"/>
    <w:rsid w:val="00CD79EE"/>
    <w:rsid w:val="00CE3AB1"/>
    <w:rsid w:val="00CE5112"/>
    <w:rsid w:val="00CF0F39"/>
    <w:rsid w:val="00CF1EFE"/>
    <w:rsid w:val="00CF2243"/>
    <w:rsid w:val="00CF53CD"/>
    <w:rsid w:val="00CF6536"/>
    <w:rsid w:val="00CF6561"/>
    <w:rsid w:val="00CF728B"/>
    <w:rsid w:val="00D009C7"/>
    <w:rsid w:val="00D0174B"/>
    <w:rsid w:val="00D030ED"/>
    <w:rsid w:val="00D0367B"/>
    <w:rsid w:val="00D07A1B"/>
    <w:rsid w:val="00D07B4D"/>
    <w:rsid w:val="00D11263"/>
    <w:rsid w:val="00D1554A"/>
    <w:rsid w:val="00D157B9"/>
    <w:rsid w:val="00D15B4E"/>
    <w:rsid w:val="00D16267"/>
    <w:rsid w:val="00D162FF"/>
    <w:rsid w:val="00D17637"/>
    <w:rsid w:val="00D17B5E"/>
    <w:rsid w:val="00D20917"/>
    <w:rsid w:val="00D21AF7"/>
    <w:rsid w:val="00D30C3C"/>
    <w:rsid w:val="00D319AB"/>
    <w:rsid w:val="00D321BA"/>
    <w:rsid w:val="00D33A7A"/>
    <w:rsid w:val="00D33F32"/>
    <w:rsid w:val="00D34785"/>
    <w:rsid w:val="00D34C26"/>
    <w:rsid w:val="00D36F62"/>
    <w:rsid w:val="00D40963"/>
    <w:rsid w:val="00D4168D"/>
    <w:rsid w:val="00D42DA0"/>
    <w:rsid w:val="00D45B40"/>
    <w:rsid w:val="00D460E8"/>
    <w:rsid w:val="00D46370"/>
    <w:rsid w:val="00D5163F"/>
    <w:rsid w:val="00D51FB9"/>
    <w:rsid w:val="00D52D7F"/>
    <w:rsid w:val="00D54DED"/>
    <w:rsid w:val="00D56DD9"/>
    <w:rsid w:val="00D60E52"/>
    <w:rsid w:val="00D61AC9"/>
    <w:rsid w:val="00D639DD"/>
    <w:rsid w:val="00D63A96"/>
    <w:rsid w:val="00D6487B"/>
    <w:rsid w:val="00D64E1E"/>
    <w:rsid w:val="00D66F65"/>
    <w:rsid w:val="00D71B67"/>
    <w:rsid w:val="00D760F2"/>
    <w:rsid w:val="00D81B3F"/>
    <w:rsid w:val="00D827F4"/>
    <w:rsid w:val="00D83337"/>
    <w:rsid w:val="00D8467B"/>
    <w:rsid w:val="00D8671A"/>
    <w:rsid w:val="00D87FF1"/>
    <w:rsid w:val="00D922A6"/>
    <w:rsid w:val="00D9295E"/>
    <w:rsid w:val="00D93487"/>
    <w:rsid w:val="00D93B32"/>
    <w:rsid w:val="00D93EF3"/>
    <w:rsid w:val="00D9402A"/>
    <w:rsid w:val="00D95BAC"/>
    <w:rsid w:val="00D96C68"/>
    <w:rsid w:val="00DA1480"/>
    <w:rsid w:val="00DA4B40"/>
    <w:rsid w:val="00DA4C82"/>
    <w:rsid w:val="00DA4D2A"/>
    <w:rsid w:val="00DB3443"/>
    <w:rsid w:val="00DB35C2"/>
    <w:rsid w:val="00DC274A"/>
    <w:rsid w:val="00DC2BD4"/>
    <w:rsid w:val="00DC2F15"/>
    <w:rsid w:val="00DC3381"/>
    <w:rsid w:val="00DC6C1D"/>
    <w:rsid w:val="00DD126E"/>
    <w:rsid w:val="00DD1BC1"/>
    <w:rsid w:val="00DD22B6"/>
    <w:rsid w:val="00DD278B"/>
    <w:rsid w:val="00DD719B"/>
    <w:rsid w:val="00DE045C"/>
    <w:rsid w:val="00DE060F"/>
    <w:rsid w:val="00DE2B89"/>
    <w:rsid w:val="00DE7ABC"/>
    <w:rsid w:val="00DF065F"/>
    <w:rsid w:val="00DF0B19"/>
    <w:rsid w:val="00DF13E6"/>
    <w:rsid w:val="00DF2D6E"/>
    <w:rsid w:val="00E0013D"/>
    <w:rsid w:val="00E07EE9"/>
    <w:rsid w:val="00E11218"/>
    <w:rsid w:val="00E11F7F"/>
    <w:rsid w:val="00E12AEE"/>
    <w:rsid w:val="00E13049"/>
    <w:rsid w:val="00E2032E"/>
    <w:rsid w:val="00E21792"/>
    <w:rsid w:val="00E22DAE"/>
    <w:rsid w:val="00E26CD2"/>
    <w:rsid w:val="00E30378"/>
    <w:rsid w:val="00E31BC4"/>
    <w:rsid w:val="00E3303F"/>
    <w:rsid w:val="00E33048"/>
    <w:rsid w:val="00E36327"/>
    <w:rsid w:val="00E365E6"/>
    <w:rsid w:val="00E37630"/>
    <w:rsid w:val="00E426C9"/>
    <w:rsid w:val="00E430D2"/>
    <w:rsid w:val="00E449AF"/>
    <w:rsid w:val="00E47504"/>
    <w:rsid w:val="00E47B9E"/>
    <w:rsid w:val="00E51AF0"/>
    <w:rsid w:val="00E521A6"/>
    <w:rsid w:val="00E557AF"/>
    <w:rsid w:val="00E55F4D"/>
    <w:rsid w:val="00E57783"/>
    <w:rsid w:val="00E63B0B"/>
    <w:rsid w:val="00E646D8"/>
    <w:rsid w:val="00E6509F"/>
    <w:rsid w:val="00E72487"/>
    <w:rsid w:val="00E74D79"/>
    <w:rsid w:val="00E75DA0"/>
    <w:rsid w:val="00E777D9"/>
    <w:rsid w:val="00E85502"/>
    <w:rsid w:val="00E8669A"/>
    <w:rsid w:val="00E9045E"/>
    <w:rsid w:val="00E919CF"/>
    <w:rsid w:val="00E91E96"/>
    <w:rsid w:val="00E94082"/>
    <w:rsid w:val="00E94B00"/>
    <w:rsid w:val="00E97411"/>
    <w:rsid w:val="00EA3092"/>
    <w:rsid w:val="00EA3FFB"/>
    <w:rsid w:val="00EA4EDE"/>
    <w:rsid w:val="00EA6A93"/>
    <w:rsid w:val="00EA76EC"/>
    <w:rsid w:val="00EA7F0E"/>
    <w:rsid w:val="00EB02CE"/>
    <w:rsid w:val="00EB1E78"/>
    <w:rsid w:val="00EB218E"/>
    <w:rsid w:val="00EB2563"/>
    <w:rsid w:val="00EB2942"/>
    <w:rsid w:val="00EB2F0A"/>
    <w:rsid w:val="00EB3422"/>
    <w:rsid w:val="00EB418B"/>
    <w:rsid w:val="00EC0233"/>
    <w:rsid w:val="00EC091E"/>
    <w:rsid w:val="00EC3633"/>
    <w:rsid w:val="00EC3C56"/>
    <w:rsid w:val="00EC67C4"/>
    <w:rsid w:val="00ED036D"/>
    <w:rsid w:val="00ED3757"/>
    <w:rsid w:val="00ED3CA2"/>
    <w:rsid w:val="00ED4762"/>
    <w:rsid w:val="00ED5082"/>
    <w:rsid w:val="00ED5D45"/>
    <w:rsid w:val="00EE0269"/>
    <w:rsid w:val="00EE132B"/>
    <w:rsid w:val="00EE3471"/>
    <w:rsid w:val="00EE656B"/>
    <w:rsid w:val="00EE69F4"/>
    <w:rsid w:val="00EE7174"/>
    <w:rsid w:val="00EF10C8"/>
    <w:rsid w:val="00EF2C88"/>
    <w:rsid w:val="00F00E60"/>
    <w:rsid w:val="00F05BBF"/>
    <w:rsid w:val="00F061D9"/>
    <w:rsid w:val="00F0746F"/>
    <w:rsid w:val="00F117ED"/>
    <w:rsid w:val="00F12AAD"/>
    <w:rsid w:val="00F1456B"/>
    <w:rsid w:val="00F15726"/>
    <w:rsid w:val="00F17DED"/>
    <w:rsid w:val="00F22020"/>
    <w:rsid w:val="00F23834"/>
    <w:rsid w:val="00F23B4C"/>
    <w:rsid w:val="00F2536A"/>
    <w:rsid w:val="00F320D6"/>
    <w:rsid w:val="00F32A36"/>
    <w:rsid w:val="00F338E6"/>
    <w:rsid w:val="00F33A4B"/>
    <w:rsid w:val="00F35FAC"/>
    <w:rsid w:val="00F3640E"/>
    <w:rsid w:val="00F36700"/>
    <w:rsid w:val="00F448D1"/>
    <w:rsid w:val="00F457C6"/>
    <w:rsid w:val="00F46C49"/>
    <w:rsid w:val="00F47B6B"/>
    <w:rsid w:val="00F503F8"/>
    <w:rsid w:val="00F50754"/>
    <w:rsid w:val="00F5571B"/>
    <w:rsid w:val="00F56423"/>
    <w:rsid w:val="00F570F0"/>
    <w:rsid w:val="00F60492"/>
    <w:rsid w:val="00F60667"/>
    <w:rsid w:val="00F60E3B"/>
    <w:rsid w:val="00F61DC4"/>
    <w:rsid w:val="00F63A4B"/>
    <w:rsid w:val="00F6587D"/>
    <w:rsid w:val="00F71D8E"/>
    <w:rsid w:val="00F731F8"/>
    <w:rsid w:val="00F739BD"/>
    <w:rsid w:val="00F7587A"/>
    <w:rsid w:val="00F81859"/>
    <w:rsid w:val="00F82E67"/>
    <w:rsid w:val="00F84CA5"/>
    <w:rsid w:val="00F915CB"/>
    <w:rsid w:val="00F94B01"/>
    <w:rsid w:val="00F9673A"/>
    <w:rsid w:val="00F96849"/>
    <w:rsid w:val="00FA038F"/>
    <w:rsid w:val="00FA0B2F"/>
    <w:rsid w:val="00FA33BE"/>
    <w:rsid w:val="00FA3AE7"/>
    <w:rsid w:val="00FA5541"/>
    <w:rsid w:val="00FB3068"/>
    <w:rsid w:val="00FB40DE"/>
    <w:rsid w:val="00FB44C0"/>
    <w:rsid w:val="00FB6A79"/>
    <w:rsid w:val="00FC10FA"/>
    <w:rsid w:val="00FC250D"/>
    <w:rsid w:val="00FC5AE6"/>
    <w:rsid w:val="00FC65DA"/>
    <w:rsid w:val="00FD0397"/>
    <w:rsid w:val="00FD1F23"/>
    <w:rsid w:val="00FD446A"/>
    <w:rsid w:val="00FE160A"/>
    <w:rsid w:val="00FE41DC"/>
    <w:rsid w:val="00FE502E"/>
    <w:rsid w:val="00FE5693"/>
    <w:rsid w:val="00FE6D27"/>
    <w:rsid w:val="00FF010B"/>
    <w:rsid w:val="00FF2EB4"/>
    <w:rsid w:val="00FF3D1F"/>
    <w:rsid w:val="00FF6BAA"/>
    <w:rsid w:val="00FF709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F6F9CC53-71FD-4F0E-8782-B823AFB811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D33F32"/>
    <w:pPr>
      <w:keepNext/>
      <w:spacing w:before="180" w:after="180" w:line="720" w:lineRule="atLeast"/>
      <w:outlineLvl w:val="0"/>
    </w:pPr>
    <w:rPr>
      <w:rFonts w:ascii="Calibri Light" w:eastAsia="新細明體" w:hAnsi="Calibri Light"/>
      <w:b/>
      <w:bCs/>
      <w:kern w:val="52"/>
      <w:sz w:val="52"/>
      <w:szCs w:val="52"/>
    </w:rPr>
  </w:style>
  <w:style w:type="paragraph" w:styleId="2">
    <w:name w:val="heading 2"/>
    <w:basedOn w:val="a"/>
    <w:next w:val="a"/>
    <w:link w:val="20"/>
    <w:uiPriority w:val="9"/>
    <w:semiHidden/>
    <w:unhideWhenUsed/>
    <w:qFormat/>
    <w:rsid w:val="00D33F32"/>
    <w:pPr>
      <w:keepNext/>
      <w:spacing w:line="720" w:lineRule="atLeast"/>
      <w:outlineLvl w:val="1"/>
    </w:pPr>
    <w:rPr>
      <w:rFonts w:ascii="Calibri Light" w:eastAsia="新細明體" w:hAnsi="Calibri Light"/>
      <w:b/>
      <w:bCs/>
      <w:sz w:val="48"/>
      <w:szCs w:val="48"/>
    </w:rPr>
  </w:style>
  <w:style w:type="paragraph" w:styleId="3">
    <w:name w:val="heading 3"/>
    <w:basedOn w:val="a"/>
    <w:next w:val="a"/>
    <w:link w:val="30"/>
    <w:uiPriority w:val="9"/>
    <w:semiHidden/>
    <w:unhideWhenUsed/>
    <w:qFormat/>
    <w:rsid w:val="00D33F32"/>
    <w:pPr>
      <w:keepNext/>
      <w:spacing w:line="720" w:lineRule="atLeast"/>
      <w:outlineLvl w:val="2"/>
    </w:pPr>
    <w:rPr>
      <w:rFonts w:ascii="Calibri Light" w:eastAsia="新細明體" w:hAnsi="Calibri Light"/>
      <w:b/>
      <w:bCs/>
      <w:sz w:val="36"/>
      <w:szCs w:val="36"/>
    </w:rPr>
  </w:style>
  <w:style w:type="paragraph" w:styleId="4">
    <w:name w:val="heading 4"/>
    <w:basedOn w:val="a"/>
    <w:next w:val="a"/>
    <w:link w:val="40"/>
    <w:uiPriority w:val="9"/>
    <w:semiHidden/>
    <w:unhideWhenUsed/>
    <w:qFormat/>
    <w:rsid w:val="00984C06"/>
    <w:pPr>
      <w:keepNext/>
      <w:spacing w:line="720" w:lineRule="atLeast"/>
      <w:outlineLvl w:val="3"/>
    </w:pPr>
    <w:rPr>
      <w:rFonts w:ascii="Calibri Light" w:eastAsia="新細明體" w:hAnsi="Calibri Light"/>
      <w:sz w:val="36"/>
      <w:szCs w:val="36"/>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1"/>
    <w:qFormat/>
    <w:pPr>
      <w:ind w:left="300" w:hangingChars="100" w:hanging="100"/>
    </w:pPr>
  </w:style>
  <w:style w:type="paragraph" w:customStyle="1" w:styleId="a5">
    <w:name w:val="(一)下內文"/>
    <w:basedOn w:val="a4"/>
    <w:pPr>
      <w:adjustRightInd w:val="0"/>
      <w:ind w:leftChars="300" w:firstLineChars="0" w:firstLine="0"/>
    </w:pPr>
  </w:style>
  <w:style w:type="paragraph" w:customStyle="1" w:styleId="123">
    <w:name w:val="1.2.3."/>
    <w:basedOn w:val="a5"/>
    <w:link w:val="1230"/>
    <w:qFormat/>
    <w:pPr>
      <w:adjustRightInd/>
      <w:ind w:left="400" w:hangingChars="100" w:hanging="100"/>
    </w:pPr>
  </w:style>
  <w:style w:type="paragraph" w:customStyle="1" w:styleId="a6">
    <w:name w:val="結論"/>
    <w:basedOn w:val="a5"/>
    <w:pPr>
      <w:adjustRightInd/>
      <w:ind w:leftChars="200" w:left="200"/>
    </w:pPr>
  </w:style>
  <w:style w:type="paragraph" w:customStyle="1" w:styleId="a7">
    <w:name w:val="前言內文"/>
    <w:basedOn w:val="a"/>
    <w:link w:val="a8"/>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pPr>
      <w:spacing w:line="400" w:lineRule="exact"/>
    </w:pPr>
  </w:style>
  <w:style w:type="paragraph" w:styleId="ad">
    <w:name w:val="header"/>
    <w:basedOn w:val="a"/>
    <w:link w:val="ae"/>
    <w:uiPriority w:val="99"/>
    <w:unhideWhenUsed/>
    <w:rsid w:val="00D71B67"/>
    <w:pPr>
      <w:tabs>
        <w:tab w:val="center" w:pos="4153"/>
        <w:tab w:val="right" w:pos="8306"/>
      </w:tabs>
      <w:snapToGrid w:val="0"/>
    </w:pPr>
    <w:rPr>
      <w:sz w:val="20"/>
      <w:szCs w:val="20"/>
    </w:rPr>
  </w:style>
  <w:style w:type="paragraph" w:styleId="a9">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2">
    <w:name w:val="toc 1"/>
    <w:basedOn w:val="a"/>
    <w:next w:val="a"/>
    <w:autoRedefine/>
    <w:uiPriority w:val="39"/>
    <w:rsid w:val="00FE6D27"/>
    <w:pPr>
      <w:tabs>
        <w:tab w:val="right" w:leader="hyphen" w:pos="8490"/>
      </w:tabs>
      <w:ind w:leftChars="0" w:left="487" w:hangingChars="200" w:hanging="487"/>
    </w:pPr>
    <w:rPr>
      <w:b/>
      <w:noProof/>
      <w:sz w:val="24"/>
    </w:rPr>
  </w:style>
  <w:style w:type="paragraph" w:styleId="23">
    <w:name w:val="toc 2"/>
    <w:basedOn w:val="a"/>
    <w:next w:val="a"/>
    <w:autoRedefine/>
    <w:uiPriority w:val="39"/>
    <w:rsid w:val="00D40963"/>
    <w:pPr>
      <w:tabs>
        <w:tab w:val="right" w:leader="hyphen" w:pos="8490"/>
      </w:tabs>
      <w:ind w:leftChars="0" w:left="486" w:rightChars="100" w:right="283" w:hangingChars="200" w:hanging="486"/>
    </w:pPr>
    <w:rPr>
      <w:noProof/>
      <w:sz w:val="24"/>
    </w:rPr>
  </w:style>
  <w:style w:type="character" w:customStyle="1" w:styleId="ae">
    <w:name w:val="頁首 字元"/>
    <w:link w:val="ad"/>
    <w:uiPriority w:val="99"/>
    <w:rsid w:val="00D71B67"/>
    <w:rPr>
      <w:rFonts w:ascii="標楷體" w:eastAsia="標楷體"/>
      <w:snapToGrid w:val="0"/>
      <w:kern w:val="2"/>
    </w:rPr>
  </w:style>
  <w:style w:type="paragraph" w:styleId="af">
    <w:name w:val="footer"/>
    <w:basedOn w:val="a"/>
    <w:link w:val="af0"/>
    <w:uiPriority w:val="99"/>
    <w:unhideWhenUsed/>
    <w:rsid w:val="00D71B67"/>
    <w:pPr>
      <w:tabs>
        <w:tab w:val="center" w:pos="4153"/>
        <w:tab w:val="right" w:pos="8306"/>
      </w:tabs>
      <w:snapToGrid w:val="0"/>
    </w:pPr>
    <w:rPr>
      <w:sz w:val="20"/>
      <w:szCs w:val="20"/>
    </w:rPr>
  </w:style>
  <w:style w:type="character" w:customStyle="1" w:styleId="af0">
    <w:name w:val="頁尾 字元"/>
    <w:link w:val="af"/>
    <w:uiPriority w:val="99"/>
    <w:rsid w:val="00D71B67"/>
    <w:rPr>
      <w:rFonts w:ascii="標楷體" w:eastAsia="標楷體"/>
      <w:snapToGrid w:val="0"/>
      <w:kern w:val="2"/>
    </w:rPr>
  </w:style>
  <w:style w:type="character" w:customStyle="1" w:styleId="10">
    <w:name w:val="標題 1 字元"/>
    <w:link w:val="1"/>
    <w:uiPriority w:val="9"/>
    <w:rsid w:val="00D33F32"/>
    <w:rPr>
      <w:rFonts w:ascii="Calibri Light" w:hAnsi="Calibri Light"/>
      <w:b/>
      <w:bCs/>
      <w:snapToGrid w:val="0"/>
      <w:kern w:val="52"/>
      <w:sz w:val="52"/>
      <w:szCs w:val="52"/>
    </w:rPr>
  </w:style>
  <w:style w:type="character" w:customStyle="1" w:styleId="20">
    <w:name w:val="標題 2 字元"/>
    <w:link w:val="2"/>
    <w:uiPriority w:val="9"/>
    <w:semiHidden/>
    <w:rsid w:val="00D33F32"/>
    <w:rPr>
      <w:rFonts w:ascii="Calibri Light" w:hAnsi="Calibri Light"/>
      <w:b/>
      <w:bCs/>
      <w:snapToGrid w:val="0"/>
      <w:kern w:val="2"/>
      <w:sz w:val="48"/>
      <w:szCs w:val="48"/>
    </w:rPr>
  </w:style>
  <w:style w:type="character" w:customStyle="1" w:styleId="30">
    <w:name w:val="標題 3 字元"/>
    <w:link w:val="3"/>
    <w:uiPriority w:val="9"/>
    <w:semiHidden/>
    <w:rsid w:val="00D33F32"/>
    <w:rPr>
      <w:rFonts w:ascii="Calibri Light" w:hAnsi="Calibri Light"/>
      <w:b/>
      <w:bCs/>
      <w:snapToGrid w:val="0"/>
      <w:kern w:val="2"/>
      <w:sz w:val="36"/>
      <w:szCs w:val="36"/>
    </w:rPr>
  </w:style>
  <w:style w:type="paragraph" w:styleId="af1">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字元,註腳文字 字元1, 字元"/>
    <w:basedOn w:val="a"/>
    <w:link w:val="af2"/>
    <w:unhideWhenUsed/>
    <w:qFormat/>
    <w:rsid w:val="00D33F32"/>
    <w:pPr>
      <w:snapToGrid w:val="0"/>
      <w:jc w:val="left"/>
    </w:pPr>
    <w:rPr>
      <w:sz w:val="20"/>
      <w:szCs w:val="20"/>
    </w:rPr>
  </w:style>
  <w:style w:type="character" w:customStyle="1" w:styleId="af2">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字元 字元4"/>
    <w:link w:val="af1"/>
    <w:qFormat/>
    <w:rsid w:val="00D33F32"/>
    <w:rPr>
      <w:rFonts w:ascii="標楷體" w:eastAsia="標楷體"/>
      <w:snapToGrid w:val="0"/>
      <w:kern w:val="2"/>
    </w:rPr>
  </w:style>
  <w:style w:type="character" w:styleId="af3">
    <w:name w:val="footnote reference"/>
    <w:aliases w:val="FR,Ref,de nota al pie,註腳內容,Error-Fußnotenzeichen5,Error-Fußnotenzeichen6,Error-Fußnotenzeichen3,Error-Fusnotßnotenzeichen5,Error-Fußnotenzeic"/>
    <w:unhideWhenUsed/>
    <w:qFormat/>
    <w:rsid w:val="00D33F32"/>
    <w:rPr>
      <w:vertAlign w:val="superscript"/>
    </w:rPr>
  </w:style>
  <w:style w:type="table" w:styleId="af4">
    <w:name w:val="Table Grid"/>
    <w:basedOn w:val="a1"/>
    <w:uiPriority w:val="59"/>
    <w:rsid w:val="00D33F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3">
    <w:name w:val="表格內文(14行高) 字元"/>
    <w:link w:val="142"/>
    <w:qFormat/>
    <w:rsid w:val="00D33F32"/>
    <w:rPr>
      <w:rFonts w:ascii="標楷體" w:eastAsia="標楷體"/>
      <w:snapToGrid w:val="0"/>
      <w:kern w:val="2"/>
      <w:sz w:val="24"/>
      <w:szCs w:val="28"/>
    </w:rPr>
  </w:style>
  <w:style w:type="character" w:customStyle="1" w:styleId="22">
    <w:name w:val="(一)下內文縮2 字元"/>
    <w:link w:val="21"/>
    <w:qFormat/>
    <w:rsid w:val="00D33F32"/>
    <w:rPr>
      <w:rFonts w:ascii="標楷體" w:eastAsia="標楷體"/>
      <w:snapToGrid w:val="0"/>
      <w:kern w:val="2"/>
      <w:sz w:val="28"/>
      <w:szCs w:val="28"/>
    </w:rPr>
  </w:style>
  <w:style w:type="character" w:customStyle="1" w:styleId="1230">
    <w:name w:val="1.2.3. 字元"/>
    <w:link w:val="123"/>
    <w:rsid w:val="00D33F32"/>
    <w:rPr>
      <w:rFonts w:ascii="標楷體" w:eastAsia="標楷體"/>
      <w:snapToGrid w:val="0"/>
      <w:kern w:val="2"/>
      <w:sz w:val="28"/>
      <w:szCs w:val="28"/>
    </w:rPr>
  </w:style>
  <w:style w:type="character" w:styleId="af5">
    <w:name w:val="Hyperlink"/>
    <w:uiPriority w:val="99"/>
    <w:unhideWhenUsed/>
    <w:rsid w:val="00D33F32"/>
    <w:rPr>
      <w:rFonts w:eastAsia="標楷體"/>
      <w:color w:val="0563C1"/>
      <w:sz w:val="24"/>
      <w:u w:val="single"/>
    </w:rPr>
  </w:style>
  <w:style w:type="character" w:customStyle="1" w:styleId="140">
    <w:name w:val="第二層(14號字) 字元"/>
    <w:link w:val="14"/>
    <w:rsid w:val="00D33F32"/>
    <w:rPr>
      <w:rFonts w:ascii="標楷體" w:eastAsia="標楷體"/>
      <w:b/>
      <w:snapToGrid w:val="0"/>
      <w:kern w:val="2"/>
      <w:sz w:val="28"/>
    </w:rPr>
  </w:style>
  <w:style w:type="paragraph" w:styleId="af6">
    <w:name w:val="Balloon Text"/>
    <w:basedOn w:val="a"/>
    <w:link w:val="af7"/>
    <w:uiPriority w:val="99"/>
    <w:semiHidden/>
    <w:unhideWhenUsed/>
    <w:rsid w:val="00D33F32"/>
    <w:pPr>
      <w:spacing w:line="240" w:lineRule="auto"/>
    </w:pPr>
    <w:rPr>
      <w:rFonts w:ascii="Calibri Light" w:eastAsia="新細明體" w:hAnsi="Calibri Light"/>
      <w:sz w:val="18"/>
      <w:szCs w:val="18"/>
    </w:rPr>
  </w:style>
  <w:style w:type="character" w:customStyle="1" w:styleId="af7">
    <w:name w:val="註解方塊文字 字元"/>
    <w:link w:val="af6"/>
    <w:uiPriority w:val="99"/>
    <w:semiHidden/>
    <w:rsid w:val="00D33F32"/>
    <w:rPr>
      <w:rFonts w:ascii="Calibri Light" w:hAnsi="Calibri Light"/>
      <w:snapToGrid w:val="0"/>
      <w:kern w:val="2"/>
      <w:sz w:val="18"/>
      <w:szCs w:val="18"/>
    </w:rPr>
  </w:style>
  <w:style w:type="character" w:customStyle="1" w:styleId="11">
    <w:name w:val="(一)(二)(三) 字元1"/>
    <w:link w:val="a4"/>
    <w:rsid w:val="00E3303F"/>
    <w:rPr>
      <w:rFonts w:ascii="標楷體" w:eastAsia="標楷體"/>
      <w:snapToGrid w:val="0"/>
      <w:kern w:val="2"/>
      <w:sz w:val="28"/>
      <w:szCs w:val="28"/>
    </w:rPr>
  </w:style>
  <w:style w:type="paragraph" w:customStyle="1" w:styleId="13">
    <w:name w:val="1"/>
    <w:basedOn w:val="a"/>
    <w:semiHidden/>
    <w:rsid w:val="00C90A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Default">
    <w:name w:val="Default"/>
    <w:rsid w:val="00AF2EBC"/>
    <w:pPr>
      <w:widowControl w:val="0"/>
      <w:autoSpaceDE w:val="0"/>
      <w:autoSpaceDN w:val="0"/>
      <w:adjustRightInd w:val="0"/>
    </w:pPr>
    <w:rPr>
      <w:rFonts w:ascii="標楷體" w:eastAsia="標楷體" w:cs="標楷體"/>
      <w:color w:val="000000"/>
      <w:sz w:val="24"/>
      <w:szCs w:val="24"/>
    </w:rPr>
  </w:style>
  <w:style w:type="paragraph" w:styleId="Web">
    <w:name w:val="Normal (Web)"/>
    <w:basedOn w:val="a"/>
    <w:uiPriority w:val="99"/>
    <w:semiHidden/>
    <w:unhideWhenUsed/>
    <w:rsid w:val="00B07CB5"/>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24">
    <w:name w:val="(一)(二)(三) 字元2"/>
    <w:rsid w:val="00DC3381"/>
    <w:rPr>
      <w:rFonts w:ascii="標楷體" w:eastAsia="標楷體"/>
      <w:snapToGrid w:val="0"/>
      <w:kern w:val="2"/>
      <w:sz w:val="28"/>
      <w:szCs w:val="28"/>
    </w:rPr>
  </w:style>
  <w:style w:type="character" w:customStyle="1" w:styleId="a8">
    <w:name w:val="前言內文 字元"/>
    <w:link w:val="a7"/>
    <w:locked/>
    <w:rsid w:val="007452D4"/>
    <w:rPr>
      <w:rFonts w:ascii="標楷體" w:eastAsia="標楷體"/>
      <w:snapToGrid w:val="0"/>
      <w:kern w:val="2"/>
      <w:sz w:val="28"/>
      <w:szCs w:val="28"/>
    </w:rPr>
  </w:style>
  <w:style w:type="paragraph" w:styleId="af8">
    <w:name w:val="List Paragraph"/>
    <w:aliases w:val="1.1.1.1清單段落,列點,(二),標1,List Paragraph,圖標號,標題 (4),List Paragraph1,Recommendation,Footnote Sam,List Paragraph (numbered (a)),Text,Noise heading,RUS List,Rec para,Dot pt,F5 List Paragraph,No Spacing1,List Paragraph Char Char Char,Indicator Text,標題一,卑南壹"/>
    <w:basedOn w:val="a"/>
    <w:link w:val="af9"/>
    <w:uiPriority w:val="34"/>
    <w:qFormat/>
    <w:rsid w:val="00E12AEE"/>
    <w:pPr>
      <w:spacing w:line="240" w:lineRule="auto"/>
      <w:ind w:left="480" w:firstLineChars="0" w:firstLine="0"/>
      <w:jc w:val="left"/>
    </w:pPr>
    <w:rPr>
      <w:rFonts w:ascii="Calibri" w:eastAsia="新細明體" w:hAnsi="Calibri"/>
      <w:snapToGrid/>
      <w:sz w:val="24"/>
      <w:szCs w:val="22"/>
    </w:rPr>
  </w:style>
  <w:style w:type="character" w:customStyle="1" w:styleId="af9">
    <w:name w:val="清單段落 字元"/>
    <w:aliases w:val="1.1.1.1清單段落 字元,列點 字元,(二) 字元,標1 字元,List Paragraph 字元,圖標號 字元,標題 (4) 字元,List Paragraph1 字元,Recommendation 字元,Footnote Sam 字元,List Paragraph (numbered (a)) 字元,Text 字元,Noise heading 字元,RUS List 字元,Rec para 字元,Dot pt 字元,F5 List Paragraph 字元,標題一 字元"/>
    <w:link w:val="af8"/>
    <w:uiPriority w:val="34"/>
    <w:qFormat/>
    <w:rsid w:val="00E12AEE"/>
    <w:rPr>
      <w:rFonts w:ascii="Calibri" w:hAnsi="Calibri"/>
      <w:kern w:val="2"/>
      <w:sz w:val="24"/>
      <w:szCs w:val="22"/>
    </w:rPr>
  </w:style>
  <w:style w:type="character" w:styleId="afa">
    <w:name w:val="Emphasis"/>
    <w:uiPriority w:val="20"/>
    <w:qFormat/>
    <w:rsid w:val="00D20917"/>
    <w:rPr>
      <w:i/>
      <w:iCs/>
    </w:rPr>
  </w:style>
  <w:style w:type="character" w:customStyle="1" w:styleId="40">
    <w:name w:val="標題 4 字元"/>
    <w:link w:val="4"/>
    <w:uiPriority w:val="9"/>
    <w:semiHidden/>
    <w:rsid w:val="00984C06"/>
    <w:rPr>
      <w:rFonts w:ascii="Calibri Light" w:eastAsia="新細明體" w:hAnsi="Calibri Light" w:cs="Times New Roman"/>
      <w:snapToGrid w:val="0"/>
      <w:kern w:val="2"/>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1141384">
      <w:bodyDiv w:val="1"/>
      <w:marLeft w:val="0"/>
      <w:marRight w:val="0"/>
      <w:marTop w:val="0"/>
      <w:marBottom w:val="0"/>
      <w:divBdr>
        <w:top w:val="none" w:sz="0" w:space="0" w:color="auto"/>
        <w:left w:val="none" w:sz="0" w:space="0" w:color="auto"/>
        <w:bottom w:val="none" w:sz="0" w:space="0" w:color="auto"/>
        <w:right w:val="none" w:sz="0" w:space="0" w:color="auto"/>
      </w:divBdr>
    </w:div>
    <w:div w:id="1340161137">
      <w:bodyDiv w:val="1"/>
      <w:marLeft w:val="0"/>
      <w:marRight w:val="0"/>
      <w:marTop w:val="0"/>
      <w:marBottom w:val="0"/>
      <w:divBdr>
        <w:top w:val="none" w:sz="0" w:space="0" w:color="auto"/>
        <w:left w:val="none" w:sz="0" w:space="0" w:color="auto"/>
        <w:bottom w:val="none" w:sz="0" w:space="0" w:color="auto"/>
        <w:right w:val="none" w:sz="0" w:space="0" w:color="auto"/>
      </w:divBdr>
    </w:div>
    <w:div w:id="1441994719">
      <w:bodyDiv w:val="1"/>
      <w:marLeft w:val="0"/>
      <w:marRight w:val="0"/>
      <w:marTop w:val="0"/>
      <w:marBottom w:val="0"/>
      <w:divBdr>
        <w:top w:val="none" w:sz="0" w:space="0" w:color="auto"/>
        <w:left w:val="none" w:sz="0" w:space="0" w:color="auto"/>
        <w:bottom w:val="none" w:sz="0" w:space="0" w:color="auto"/>
        <w:right w:val="none" w:sz="0" w:space="0" w:color="auto"/>
      </w:divBdr>
    </w:div>
    <w:div w:id="15095577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4CE04420L5\Desktop\2012&#31684;&#26412;&#27284;.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410596-7C2D-4CED-8A81-626B2BF181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2012範本檔.dot</Template>
  <TotalTime>0</TotalTime>
  <Pages>4</Pages>
  <Words>358</Words>
  <Characters>2045</Characters>
  <Application>Microsoft Office Word</Application>
  <DocSecurity>0</DocSecurity>
  <Lines>17</Lines>
  <Paragraphs>4</Paragraphs>
  <ScaleCrop>false</ScaleCrop>
  <Company>HOME</Company>
  <LinksUpToDate>false</LinksUpToDate>
  <CharactersWithSpaces>2399</CharactersWithSpaces>
  <SharedDoc>false</SharedDoc>
  <HLinks>
    <vt:vector size="138" baseType="variant">
      <vt:variant>
        <vt:i4>1638449</vt:i4>
      </vt:variant>
      <vt:variant>
        <vt:i4>128</vt:i4>
      </vt:variant>
      <vt:variant>
        <vt:i4>0</vt:i4>
      </vt:variant>
      <vt:variant>
        <vt:i4>5</vt:i4>
      </vt:variant>
      <vt:variant>
        <vt:lpwstr/>
      </vt:variant>
      <vt:variant>
        <vt:lpwstr>_Toc181628387</vt:lpwstr>
      </vt:variant>
      <vt:variant>
        <vt:i4>1638449</vt:i4>
      </vt:variant>
      <vt:variant>
        <vt:i4>122</vt:i4>
      </vt:variant>
      <vt:variant>
        <vt:i4>0</vt:i4>
      </vt:variant>
      <vt:variant>
        <vt:i4>5</vt:i4>
      </vt:variant>
      <vt:variant>
        <vt:lpwstr/>
      </vt:variant>
      <vt:variant>
        <vt:lpwstr>_Toc181628386</vt:lpwstr>
      </vt:variant>
      <vt:variant>
        <vt:i4>1638449</vt:i4>
      </vt:variant>
      <vt:variant>
        <vt:i4>116</vt:i4>
      </vt:variant>
      <vt:variant>
        <vt:i4>0</vt:i4>
      </vt:variant>
      <vt:variant>
        <vt:i4>5</vt:i4>
      </vt:variant>
      <vt:variant>
        <vt:lpwstr/>
      </vt:variant>
      <vt:variant>
        <vt:lpwstr>_Toc181628385</vt:lpwstr>
      </vt:variant>
      <vt:variant>
        <vt:i4>1638449</vt:i4>
      </vt:variant>
      <vt:variant>
        <vt:i4>110</vt:i4>
      </vt:variant>
      <vt:variant>
        <vt:i4>0</vt:i4>
      </vt:variant>
      <vt:variant>
        <vt:i4>5</vt:i4>
      </vt:variant>
      <vt:variant>
        <vt:lpwstr/>
      </vt:variant>
      <vt:variant>
        <vt:lpwstr>_Toc181628384</vt:lpwstr>
      </vt:variant>
      <vt:variant>
        <vt:i4>1638449</vt:i4>
      </vt:variant>
      <vt:variant>
        <vt:i4>104</vt:i4>
      </vt:variant>
      <vt:variant>
        <vt:i4>0</vt:i4>
      </vt:variant>
      <vt:variant>
        <vt:i4>5</vt:i4>
      </vt:variant>
      <vt:variant>
        <vt:lpwstr/>
      </vt:variant>
      <vt:variant>
        <vt:lpwstr>_Toc181628383</vt:lpwstr>
      </vt:variant>
      <vt:variant>
        <vt:i4>1638449</vt:i4>
      </vt:variant>
      <vt:variant>
        <vt:i4>98</vt:i4>
      </vt:variant>
      <vt:variant>
        <vt:i4>0</vt:i4>
      </vt:variant>
      <vt:variant>
        <vt:i4>5</vt:i4>
      </vt:variant>
      <vt:variant>
        <vt:lpwstr/>
      </vt:variant>
      <vt:variant>
        <vt:lpwstr>_Toc181628382</vt:lpwstr>
      </vt:variant>
      <vt:variant>
        <vt:i4>1638449</vt:i4>
      </vt:variant>
      <vt:variant>
        <vt:i4>92</vt:i4>
      </vt:variant>
      <vt:variant>
        <vt:i4>0</vt:i4>
      </vt:variant>
      <vt:variant>
        <vt:i4>5</vt:i4>
      </vt:variant>
      <vt:variant>
        <vt:lpwstr/>
      </vt:variant>
      <vt:variant>
        <vt:lpwstr>_Toc181628381</vt:lpwstr>
      </vt:variant>
      <vt:variant>
        <vt:i4>1638449</vt:i4>
      </vt:variant>
      <vt:variant>
        <vt:i4>86</vt:i4>
      </vt:variant>
      <vt:variant>
        <vt:i4>0</vt:i4>
      </vt:variant>
      <vt:variant>
        <vt:i4>5</vt:i4>
      </vt:variant>
      <vt:variant>
        <vt:lpwstr/>
      </vt:variant>
      <vt:variant>
        <vt:lpwstr>_Toc181628380</vt:lpwstr>
      </vt:variant>
      <vt:variant>
        <vt:i4>1441841</vt:i4>
      </vt:variant>
      <vt:variant>
        <vt:i4>80</vt:i4>
      </vt:variant>
      <vt:variant>
        <vt:i4>0</vt:i4>
      </vt:variant>
      <vt:variant>
        <vt:i4>5</vt:i4>
      </vt:variant>
      <vt:variant>
        <vt:lpwstr/>
      </vt:variant>
      <vt:variant>
        <vt:lpwstr>_Toc181628379</vt:lpwstr>
      </vt:variant>
      <vt:variant>
        <vt:i4>1441841</vt:i4>
      </vt:variant>
      <vt:variant>
        <vt:i4>74</vt:i4>
      </vt:variant>
      <vt:variant>
        <vt:i4>0</vt:i4>
      </vt:variant>
      <vt:variant>
        <vt:i4>5</vt:i4>
      </vt:variant>
      <vt:variant>
        <vt:lpwstr/>
      </vt:variant>
      <vt:variant>
        <vt:lpwstr>_Toc181628378</vt:lpwstr>
      </vt:variant>
      <vt:variant>
        <vt:i4>1441841</vt:i4>
      </vt:variant>
      <vt:variant>
        <vt:i4>68</vt:i4>
      </vt:variant>
      <vt:variant>
        <vt:i4>0</vt:i4>
      </vt:variant>
      <vt:variant>
        <vt:i4>5</vt:i4>
      </vt:variant>
      <vt:variant>
        <vt:lpwstr/>
      </vt:variant>
      <vt:variant>
        <vt:lpwstr>_Toc181628377</vt:lpwstr>
      </vt:variant>
      <vt:variant>
        <vt:i4>1441841</vt:i4>
      </vt:variant>
      <vt:variant>
        <vt:i4>62</vt:i4>
      </vt:variant>
      <vt:variant>
        <vt:i4>0</vt:i4>
      </vt:variant>
      <vt:variant>
        <vt:i4>5</vt:i4>
      </vt:variant>
      <vt:variant>
        <vt:lpwstr/>
      </vt:variant>
      <vt:variant>
        <vt:lpwstr>_Toc181628376</vt:lpwstr>
      </vt:variant>
      <vt:variant>
        <vt:i4>1441841</vt:i4>
      </vt:variant>
      <vt:variant>
        <vt:i4>56</vt:i4>
      </vt:variant>
      <vt:variant>
        <vt:i4>0</vt:i4>
      </vt:variant>
      <vt:variant>
        <vt:i4>5</vt:i4>
      </vt:variant>
      <vt:variant>
        <vt:lpwstr/>
      </vt:variant>
      <vt:variant>
        <vt:lpwstr>_Toc181628375</vt:lpwstr>
      </vt:variant>
      <vt:variant>
        <vt:i4>1441841</vt:i4>
      </vt:variant>
      <vt:variant>
        <vt:i4>50</vt:i4>
      </vt:variant>
      <vt:variant>
        <vt:i4>0</vt:i4>
      </vt:variant>
      <vt:variant>
        <vt:i4>5</vt:i4>
      </vt:variant>
      <vt:variant>
        <vt:lpwstr/>
      </vt:variant>
      <vt:variant>
        <vt:lpwstr>_Toc181628374</vt:lpwstr>
      </vt:variant>
      <vt:variant>
        <vt:i4>1441841</vt:i4>
      </vt:variant>
      <vt:variant>
        <vt:i4>44</vt:i4>
      </vt:variant>
      <vt:variant>
        <vt:i4>0</vt:i4>
      </vt:variant>
      <vt:variant>
        <vt:i4>5</vt:i4>
      </vt:variant>
      <vt:variant>
        <vt:lpwstr/>
      </vt:variant>
      <vt:variant>
        <vt:lpwstr>_Toc181628373</vt:lpwstr>
      </vt:variant>
      <vt:variant>
        <vt:i4>1441841</vt:i4>
      </vt:variant>
      <vt:variant>
        <vt:i4>38</vt:i4>
      </vt:variant>
      <vt:variant>
        <vt:i4>0</vt:i4>
      </vt:variant>
      <vt:variant>
        <vt:i4>5</vt:i4>
      </vt:variant>
      <vt:variant>
        <vt:lpwstr/>
      </vt:variant>
      <vt:variant>
        <vt:lpwstr>_Toc181628372</vt:lpwstr>
      </vt:variant>
      <vt:variant>
        <vt:i4>1441841</vt:i4>
      </vt:variant>
      <vt:variant>
        <vt:i4>32</vt:i4>
      </vt:variant>
      <vt:variant>
        <vt:i4>0</vt:i4>
      </vt:variant>
      <vt:variant>
        <vt:i4>5</vt:i4>
      </vt:variant>
      <vt:variant>
        <vt:lpwstr/>
      </vt:variant>
      <vt:variant>
        <vt:lpwstr>_Toc181628371</vt:lpwstr>
      </vt:variant>
      <vt:variant>
        <vt:i4>1441841</vt:i4>
      </vt:variant>
      <vt:variant>
        <vt:i4>26</vt:i4>
      </vt:variant>
      <vt:variant>
        <vt:i4>0</vt:i4>
      </vt:variant>
      <vt:variant>
        <vt:i4>5</vt:i4>
      </vt:variant>
      <vt:variant>
        <vt:lpwstr/>
      </vt:variant>
      <vt:variant>
        <vt:lpwstr>_Toc181628370</vt:lpwstr>
      </vt:variant>
      <vt:variant>
        <vt:i4>1507377</vt:i4>
      </vt:variant>
      <vt:variant>
        <vt:i4>20</vt:i4>
      </vt:variant>
      <vt:variant>
        <vt:i4>0</vt:i4>
      </vt:variant>
      <vt:variant>
        <vt:i4>5</vt:i4>
      </vt:variant>
      <vt:variant>
        <vt:lpwstr/>
      </vt:variant>
      <vt:variant>
        <vt:lpwstr>_Toc181628369</vt:lpwstr>
      </vt:variant>
      <vt:variant>
        <vt:i4>1507377</vt:i4>
      </vt:variant>
      <vt:variant>
        <vt:i4>14</vt:i4>
      </vt:variant>
      <vt:variant>
        <vt:i4>0</vt:i4>
      </vt:variant>
      <vt:variant>
        <vt:i4>5</vt:i4>
      </vt:variant>
      <vt:variant>
        <vt:lpwstr/>
      </vt:variant>
      <vt:variant>
        <vt:lpwstr>_Toc181628368</vt:lpwstr>
      </vt:variant>
      <vt:variant>
        <vt:i4>1507377</vt:i4>
      </vt:variant>
      <vt:variant>
        <vt:i4>8</vt:i4>
      </vt:variant>
      <vt:variant>
        <vt:i4>0</vt:i4>
      </vt:variant>
      <vt:variant>
        <vt:i4>5</vt:i4>
      </vt:variant>
      <vt:variant>
        <vt:lpwstr/>
      </vt:variant>
      <vt:variant>
        <vt:lpwstr>_Toc181628367</vt:lpwstr>
      </vt:variant>
      <vt:variant>
        <vt:i4>1507377</vt:i4>
      </vt:variant>
      <vt:variant>
        <vt:i4>2</vt:i4>
      </vt:variant>
      <vt:variant>
        <vt:i4>0</vt:i4>
      </vt:variant>
      <vt:variant>
        <vt:i4>5</vt:i4>
      </vt:variant>
      <vt:variant>
        <vt:lpwstr/>
      </vt:variant>
      <vt:variant>
        <vt:lpwstr>_Toc181628366</vt:lpwstr>
      </vt:variant>
      <vt:variant>
        <vt:i4>7405680</vt:i4>
      </vt:variant>
      <vt:variant>
        <vt:i4>0</vt:i4>
      </vt:variant>
      <vt:variant>
        <vt:i4>0</vt:i4>
      </vt:variant>
      <vt:variant>
        <vt:i4>5</vt:i4>
      </vt:variant>
      <vt:variant>
        <vt:lpwstr>https://law.moj.gov.tw/LawClass/LawAll.aspx?pcode=O0090012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dc:description/>
  <cp:lastModifiedBy>Administrator</cp:lastModifiedBy>
  <cp:revision>2</cp:revision>
  <cp:lastPrinted>2024-11-05T08:32:00Z</cp:lastPrinted>
  <dcterms:created xsi:type="dcterms:W3CDTF">2024-11-13T06:18:00Z</dcterms:created>
  <dcterms:modified xsi:type="dcterms:W3CDTF">2024-11-13T06:18:00Z</dcterms:modified>
</cp:coreProperties>
</file>