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643A8D" w:rsidRPr="0034283B" w:rsidRDefault="00832344" w:rsidP="00643A8D">
      <w:pPr>
        <w:pStyle w:val="14"/>
        <w:ind w:left="567" w:hanging="567"/>
        <w:rPr>
          <w:rFonts w:hint="eastAsia"/>
        </w:rPr>
      </w:pPr>
      <w:bookmarkStart w:id="0" w:name="_Toc181628377"/>
      <w:r w:rsidRPr="0034283B">
        <w:rPr>
          <w:rFonts w:hint="eastAsia"/>
        </w:rPr>
        <w:t>一０</w:t>
      </w:r>
      <w:r w:rsidR="00AB5879" w:rsidRPr="0034283B">
        <w:rPr>
          <w:rFonts w:hint="eastAsia"/>
        </w:rPr>
        <w:t>、</w:t>
      </w:r>
      <w:r w:rsidR="00643A8D" w:rsidRPr="0034283B">
        <w:rPr>
          <w:rFonts w:hint="eastAsia"/>
        </w:rPr>
        <w:t>依能源管理法規定繳交能源研究發展基金費用連年成長，允宜審酌財務狀況，協商主管機關檢討應提撥</w:t>
      </w:r>
      <w:r w:rsidR="003B6ED4" w:rsidRPr="0034283B">
        <w:rPr>
          <w:rFonts w:hint="eastAsia"/>
        </w:rPr>
        <w:t>金額</w:t>
      </w:r>
      <w:r w:rsidR="00643A8D" w:rsidRPr="0034283B">
        <w:rPr>
          <w:rFonts w:hint="eastAsia"/>
        </w:rPr>
        <w:t>，</w:t>
      </w:r>
      <w:r w:rsidR="003B6ED4" w:rsidRPr="0034283B">
        <w:rPr>
          <w:rFonts w:hint="eastAsia"/>
        </w:rPr>
        <w:t>以</w:t>
      </w:r>
      <w:r w:rsidR="00643A8D" w:rsidRPr="0034283B">
        <w:rPr>
          <w:rFonts w:hint="eastAsia"/>
        </w:rPr>
        <w:t>減輕營運負擔</w:t>
      </w:r>
      <w:bookmarkEnd w:id="0"/>
    </w:p>
    <w:p w:rsidR="00643A8D" w:rsidRPr="0034283B" w:rsidRDefault="00643A8D" w:rsidP="00643A8D">
      <w:pPr>
        <w:ind w:left="566" w:firstLine="566"/>
        <w:rPr>
          <w:rFonts w:hint="eastAsia"/>
        </w:rPr>
      </w:pPr>
      <w:r w:rsidRPr="0034283B">
        <w:rPr>
          <w:rFonts w:hint="eastAsia"/>
        </w:rPr>
        <w:t>台電公司11</w:t>
      </w:r>
      <w:r w:rsidRPr="0034283B">
        <w:t>4</w:t>
      </w:r>
      <w:r w:rsidRPr="0034283B">
        <w:rPr>
          <w:rFonts w:hint="eastAsia"/>
        </w:rPr>
        <w:t>年度預算案「研究發展費用-稅捐與規費-規費」科目編列依能源管理法規定繳交能源研究發展基金費用3</w:t>
      </w:r>
      <w:r w:rsidR="00B11585" w:rsidRPr="0034283B">
        <w:t>3</w:t>
      </w:r>
      <w:r w:rsidRPr="0034283B">
        <w:rPr>
          <w:rFonts w:hint="eastAsia"/>
        </w:rPr>
        <w:t>億</w:t>
      </w:r>
      <w:r w:rsidR="00B11585" w:rsidRPr="0034283B">
        <w:rPr>
          <w:rFonts w:hint="eastAsia"/>
        </w:rPr>
        <w:t>8</w:t>
      </w:r>
      <w:r w:rsidR="00B11585" w:rsidRPr="0034283B">
        <w:t>,124</w:t>
      </w:r>
      <w:r w:rsidRPr="0034283B">
        <w:rPr>
          <w:rFonts w:hint="eastAsia"/>
        </w:rPr>
        <w:t>萬</w:t>
      </w:r>
      <w:r w:rsidR="00B11585" w:rsidRPr="0034283B">
        <w:rPr>
          <w:rFonts w:hint="eastAsia"/>
        </w:rPr>
        <w:t>2</w:t>
      </w:r>
      <w:r w:rsidRPr="0034283B">
        <w:rPr>
          <w:rFonts w:hint="eastAsia"/>
        </w:rPr>
        <w:t>千元，較11</w:t>
      </w:r>
      <w:r w:rsidR="00B11585" w:rsidRPr="0034283B">
        <w:t>3</w:t>
      </w:r>
      <w:r w:rsidRPr="0034283B">
        <w:rPr>
          <w:rFonts w:hint="eastAsia"/>
        </w:rPr>
        <w:t>年度預算案數</w:t>
      </w:r>
      <w:r w:rsidR="00B11585" w:rsidRPr="0034283B">
        <w:rPr>
          <w:rFonts w:hint="eastAsia"/>
        </w:rPr>
        <w:t>3</w:t>
      </w:r>
      <w:r w:rsidR="00B11585" w:rsidRPr="0034283B">
        <w:t>2</w:t>
      </w:r>
      <w:r w:rsidRPr="0034283B">
        <w:rPr>
          <w:rFonts w:hint="eastAsia"/>
        </w:rPr>
        <w:t>億</w:t>
      </w:r>
      <w:r w:rsidR="00B11585" w:rsidRPr="0034283B">
        <w:t>8,714</w:t>
      </w:r>
      <w:r w:rsidRPr="0034283B">
        <w:rPr>
          <w:rFonts w:hint="eastAsia"/>
        </w:rPr>
        <w:t>萬</w:t>
      </w:r>
      <w:r w:rsidR="00B11585" w:rsidRPr="0034283B">
        <w:rPr>
          <w:rFonts w:hint="eastAsia"/>
        </w:rPr>
        <w:t>2</w:t>
      </w:r>
      <w:r w:rsidRPr="0034283B">
        <w:rPr>
          <w:rFonts w:hint="eastAsia"/>
        </w:rPr>
        <w:t>千元增加</w:t>
      </w:r>
      <w:r w:rsidR="00B11585" w:rsidRPr="0034283B">
        <w:rPr>
          <w:rFonts w:hint="eastAsia"/>
        </w:rPr>
        <w:t>9</w:t>
      </w:r>
      <w:r w:rsidR="00B11585" w:rsidRPr="0034283B">
        <w:t>,410</w:t>
      </w:r>
      <w:r w:rsidRPr="0034283B">
        <w:rPr>
          <w:rFonts w:hint="eastAsia"/>
        </w:rPr>
        <w:t>萬元，增幅2</w:t>
      </w:r>
      <w:r w:rsidR="00B11585" w:rsidRPr="0034283B">
        <w:t>.86</w:t>
      </w:r>
      <w:r w:rsidRPr="0034283B">
        <w:rPr>
          <w:rFonts w:hint="eastAsia"/>
        </w:rPr>
        <w:t>%。經查：</w:t>
      </w:r>
    </w:p>
    <w:p w:rsidR="00643A8D" w:rsidRPr="0034283B" w:rsidRDefault="00643A8D" w:rsidP="00643A8D">
      <w:pPr>
        <w:pStyle w:val="a4"/>
        <w:ind w:left="849" w:hanging="283"/>
        <w:rPr>
          <w:rFonts w:hint="eastAsia"/>
          <w:b/>
        </w:rPr>
      </w:pPr>
      <w:r w:rsidRPr="0034283B">
        <w:rPr>
          <w:rFonts w:hint="eastAsia"/>
          <w:b/>
        </w:rPr>
        <w:t>(一)本項費用係依能源管理法規定，於售電收入5</w:t>
      </w:r>
      <w:r w:rsidRPr="0034283B">
        <w:rPr>
          <w:b/>
        </w:rPr>
        <w:t>‰</w:t>
      </w:r>
      <w:r w:rsidRPr="0034283B">
        <w:rPr>
          <w:rFonts w:hint="eastAsia"/>
          <w:b/>
        </w:rPr>
        <w:t>範圍內提列</w:t>
      </w:r>
    </w:p>
    <w:p w:rsidR="00643A8D" w:rsidRPr="0034283B" w:rsidRDefault="00643A8D" w:rsidP="00643A8D">
      <w:pPr>
        <w:pStyle w:val="21"/>
        <w:ind w:left="850" w:firstLine="566"/>
        <w:rPr>
          <w:rFonts w:hint="eastAsia"/>
        </w:rPr>
      </w:pPr>
      <w:r w:rsidRPr="0034283B">
        <w:rPr>
          <w:rFonts w:hint="eastAsia"/>
        </w:rPr>
        <w:t>依據能源管理法第5條第1項規定：「中央主管機關得依預算法之規定，設置能源研究發展特種基金，訂定計畫，加強能源之研究發展工作。」同法第5條之1第2項規定：「前項第</w:t>
      </w:r>
      <w:r w:rsidR="00102841">
        <w:rPr>
          <w:rFonts w:hint="eastAsia"/>
        </w:rPr>
        <w:t>一</w:t>
      </w:r>
      <w:r w:rsidRPr="0034283B">
        <w:rPr>
          <w:rFonts w:hint="eastAsia"/>
        </w:rPr>
        <w:t>款之提撥，由中央主管機關就綜合電業、石油煉製業及石油輸入業每年經營能源業務收入之千分之</w:t>
      </w:r>
      <w:r w:rsidR="00102841">
        <w:rPr>
          <w:rFonts w:hint="eastAsia"/>
        </w:rPr>
        <w:t>五</w:t>
      </w:r>
      <w:r w:rsidRPr="0034283B">
        <w:rPr>
          <w:rFonts w:hint="eastAsia"/>
        </w:rPr>
        <w:t>範圍內收取。」台電公司爰依前開規定編列本項費用。</w:t>
      </w:r>
    </w:p>
    <w:p w:rsidR="00643A8D" w:rsidRPr="0034283B" w:rsidRDefault="00643A8D" w:rsidP="00643A8D">
      <w:pPr>
        <w:pStyle w:val="a4"/>
        <w:ind w:left="849" w:hanging="283"/>
        <w:rPr>
          <w:rFonts w:hint="eastAsia"/>
          <w:b/>
        </w:rPr>
      </w:pPr>
      <w:r w:rsidRPr="0034283B">
        <w:rPr>
          <w:rFonts w:hint="eastAsia"/>
          <w:b/>
        </w:rPr>
        <w:t>(二)自1</w:t>
      </w:r>
      <w:r w:rsidRPr="0034283B">
        <w:rPr>
          <w:b/>
        </w:rPr>
        <w:t>10</w:t>
      </w:r>
      <w:r w:rsidRPr="0034283B">
        <w:rPr>
          <w:rFonts w:hint="eastAsia"/>
          <w:b/>
        </w:rPr>
        <w:t>年起繳交</w:t>
      </w:r>
      <w:r w:rsidR="004C4F00" w:rsidRPr="0034283B">
        <w:rPr>
          <w:rFonts w:hint="eastAsia"/>
          <w:b/>
        </w:rPr>
        <w:t>能源研究發展基金</w:t>
      </w:r>
      <w:r w:rsidR="009E4584">
        <w:rPr>
          <w:rFonts w:hint="eastAsia"/>
          <w:b/>
        </w:rPr>
        <w:t>之</w:t>
      </w:r>
      <w:r w:rsidRPr="0034283B">
        <w:rPr>
          <w:rFonts w:hint="eastAsia"/>
          <w:b/>
        </w:rPr>
        <w:t>金額連年增加，允宜審酌財務狀況，加強與主管機關協商合理提撥數</w:t>
      </w:r>
    </w:p>
    <w:p w:rsidR="00643A8D" w:rsidRPr="0034283B" w:rsidRDefault="00643A8D" w:rsidP="00643A8D">
      <w:pPr>
        <w:pStyle w:val="21"/>
        <w:ind w:left="850" w:firstLine="566"/>
        <w:rPr>
          <w:spacing w:val="-4"/>
        </w:rPr>
      </w:pPr>
      <w:r w:rsidRPr="0034283B">
        <w:rPr>
          <w:rFonts w:hint="eastAsia"/>
        </w:rPr>
        <w:t>台電公司109年度該項支出提撥率約為3‰，繳交金額僅1</w:t>
      </w:r>
      <w:r w:rsidR="00C007D9">
        <w:t>7.53</w:t>
      </w:r>
      <w:r w:rsidRPr="0034283B">
        <w:rPr>
          <w:rFonts w:hint="eastAsia"/>
        </w:rPr>
        <w:t>億</w:t>
      </w:r>
      <w:r w:rsidR="009E4584">
        <w:rPr>
          <w:rFonts w:hint="eastAsia"/>
        </w:rPr>
        <w:t>元</w:t>
      </w:r>
      <w:r w:rsidRPr="0034283B">
        <w:rPr>
          <w:rFonts w:hint="eastAsia"/>
        </w:rPr>
        <w:t>，110至11</w:t>
      </w:r>
      <w:r w:rsidR="00B11585" w:rsidRPr="0034283B">
        <w:t>3</w:t>
      </w:r>
      <w:r w:rsidRPr="0034283B">
        <w:rPr>
          <w:rFonts w:hint="eastAsia"/>
        </w:rPr>
        <w:t>年度提撥率分別提高至4.9</w:t>
      </w:r>
      <w:r w:rsidR="00462E23">
        <w:t>6</w:t>
      </w:r>
      <w:r w:rsidRPr="0034283B">
        <w:rPr>
          <w:rFonts w:hAnsi="標楷體" w:hint="eastAsia"/>
        </w:rPr>
        <w:t>‰、</w:t>
      </w:r>
      <w:r w:rsidRPr="0034283B">
        <w:rPr>
          <w:rFonts w:hint="eastAsia"/>
        </w:rPr>
        <w:t>4.</w:t>
      </w:r>
      <w:r w:rsidR="00462E23">
        <w:t>79</w:t>
      </w:r>
      <w:r w:rsidRPr="0034283B">
        <w:rPr>
          <w:rFonts w:hAnsi="標楷體" w:hint="eastAsia"/>
        </w:rPr>
        <w:t>‰、</w:t>
      </w:r>
      <w:r w:rsidRPr="0034283B">
        <w:rPr>
          <w:rFonts w:hAnsi="標楷體" w:hint="eastAsia"/>
        </w:rPr>
        <w:lastRenderedPageBreak/>
        <w:t>4.</w:t>
      </w:r>
      <w:r w:rsidR="00462E23">
        <w:rPr>
          <w:rFonts w:hAnsi="標楷體"/>
        </w:rPr>
        <w:t>41</w:t>
      </w:r>
      <w:r w:rsidRPr="0034283B">
        <w:rPr>
          <w:rFonts w:hAnsi="標楷體" w:hint="eastAsia"/>
        </w:rPr>
        <w:t>‰、4.17‰</w:t>
      </w:r>
      <w:r w:rsidR="00B11585" w:rsidRPr="0034283B">
        <w:rPr>
          <w:rFonts w:hAnsi="標楷體" w:hint="eastAsia"/>
        </w:rPr>
        <w:t>，1</w:t>
      </w:r>
      <w:r w:rsidR="00B11585" w:rsidRPr="0034283B">
        <w:rPr>
          <w:rFonts w:hAnsi="標楷體"/>
        </w:rPr>
        <w:t>14</w:t>
      </w:r>
      <w:r w:rsidR="00B11585" w:rsidRPr="0034283B">
        <w:rPr>
          <w:rFonts w:hAnsi="標楷體" w:hint="eastAsia"/>
        </w:rPr>
        <w:t>年度提撥率雖降至3</w:t>
      </w:r>
      <w:r w:rsidR="00B11585" w:rsidRPr="0034283B">
        <w:rPr>
          <w:rFonts w:hAnsi="標楷體"/>
        </w:rPr>
        <w:t>.87</w:t>
      </w:r>
      <w:r w:rsidR="00B11585" w:rsidRPr="0034283B">
        <w:rPr>
          <w:rFonts w:hAnsi="標楷體" w:hint="eastAsia"/>
        </w:rPr>
        <w:t>‰，</w:t>
      </w:r>
      <w:r w:rsidR="00B724C5">
        <w:rPr>
          <w:rFonts w:hAnsi="標楷體" w:hint="eastAsia"/>
        </w:rPr>
        <w:t>惟</w:t>
      </w:r>
      <w:r w:rsidR="00B11585" w:rsidRPr="0034283B">
        <w:rPr>
          <w:rFonts w:hAnsi="標楷體" w:hint="eastAsia"/>
        </w:rPr>
        <w:t>仍高於1</w:t>
      </w:r>
      <w:r w:rsidR="00B11585" w:rsidRPr="0034283B">
        <w:rPr>
          <w:rFonts w:hAnsi="標楷體"/>
        </w:rPr>
        <w:t>09</w:t>
      </w:r>
      <w:r w:rsidR="00B11585" w:rsidRPr="0034283B">
        <w:rPr>
          <w:rFonts w:hAnsi="標楷體" w:hint="eastAsia"/>
        </w:rPr>
        <w:t>年度</w:t>
      </w:r>
      <w:r w:rsidR="00C007D9">
        <w:rPr>
          <w:rFonts w:hAnsi="標楷體" w:hint="eastAsia"/>
        </w:rPr>
        <w:t>。又</w:t>
      </w:r>
      <w:r w:rsidR="00B724C5">
        <w:rPr>
          <w:rFonts w:hint="eastAsia"/>
        </w:rPr>
        <w:t>該公司</w:t>
      </w:r>
      <w:r w:rsidR="003D5F2C" w:rsidRPr="0034283B">
        <w:rPr>
          <w:rFonts w:hint="eastAsia"/>
        </w:rPr>
        <w:t>自</w:t>
      </w:r>
      <w:r w:rsidRPr="0034283B">
        <w:rPr>
          <w:rFonts w:hint="eastAsia"/>
        </w:rPr>
        <w:t>1</w:t>
      </w:r>
      <w:r w:rsidRPr="0034283B">
        <w:t>10</w:t>
      </w:r>
      <w:r w:rsidRPr="0034283B">
        <w:rPr>
          <w:rFonts w:hint="eastAsia"/>
        </w:rPr>
        <w:t>年起</w:t>
      </w:r>
      <w:r w:rsidR="009E4584">
        <w:rPr>
          <w:rFonts w:hint="eastAsia"/>
        </w:rPr>
        <w:t>每年</w:t>
      </w:r>
      <w:r w:rsidRPr="0034283B">
        <w:rPr>
          <w:rFonts w:hint="eastAsia"/>
        </w:rPr>
        <w:t>繳交能源研究發展基金</w:t>
      </w:r>
      <w:r w:rsidR="00C93ACF">
        <w:rPr>
          <w:rFonts w:hint="eastAsia"/>
        </w:rPr>
        <w:t>金額</w:t>
      </w:r>
      <w:r w:rsidRPr="0034283B">
        <w:rPr>
          <w:rFonts w:hint="eastAsia"/>
        </w:rPr>
        <w:t>皆逾30億元(詳表1</w:t>
      </w:r>
      <w:r w:rsidRPr="0034283B">
        <w:t>)</w:t>
      </w:r>
      <w:r w:rsidR="009E4584">
        <w:rPr>
          <w:rFonts w:hint="eastAsia"/>
        </w:rPr>
        <w:t>，</w:t>
      </w:r>
      <w:r w:rsidR="00C93ACF">
        <w:rPr>
          <w:rFonts w:hint="eastAsia"/>
        </w:rPr>
        <w:t>且逐年增加，</w:t>
      </w:r>
      <w:r w:rsidR="00B724C5">
        <w:rPr>
          <w:rFonts w:hint="eastAsia"/>
        </w:rPr>
        <w:t>1</w:t>
      </w:r>
      <w:r w:rsidR="00B724C5">
        <w:t>14</w:t>
      </w:r>
      <w:r w:rsidR="00B724C5">
        <w:rPr>
          <w:rFonts w:hint="eastAsia"/>
        </w:rPr>
        <w:t>年度更高達3</w:t>
      </w:r>
      <w:r w:rsidR="00B724C5">
        <w:t>3.81</w:t>
      </w:r>
      <w:r w:rsidR="00B724C5">
        <w:rPr>
          <w:rFonts w:hint="eastAsia"/>
        </w:rPr>
        <w:t>億元。</w:t>
      </w:r>
      <w:r w:rsidRPr="0034283B">
        <w:rPr>
          <w:rFonts w:hint="eastAsia"/>
        </w:rPr>
        <w:t>按台電公司</w:t>
      </w:r>
      <w:r w:rsidR="00A7269E">
        <w:rPr>
          <w:rFonts w:hint="eastAsia"/>
        </w:rPr>
        <w:t>自</w:t>
      </w:r>
      <w:r w:rsidRPr="0034283B">
        <w:rPr>
          <w:rFonts w:hint="eastAsia"/>
        </w:rPr>
        <w:t>1</w:t>
      </w:r>
      <w:r w:rsidRPr="0034283B">
        <w:t>11</w:t>
      </w:r>
      <w:r w:rsidRPr="0034283B">
        <w:rPr>
          <w:rFonts w:hint="eastAsia"/>
        </w:rPr>
        <w:t>年度</w:t>
      </w:r>
      <w:r w:rsidR="009E4584">
        <w:rPr>
          <w:rFonts w:hint="eastAsia"/>
        </w:rPr>
        <w:t>受</w:t>
      </w:r>
      <w:r w:rsidRPr="0034283B">
        <w:rPr>
          <w:rFonts w:hint="eastAsia"/>
        </w:rPr>
        <w:t>烏俄戰爭影響，國際燃料價格持續攀升，</w:t>
      </w:r>
      <w:r w:rsidR="003B6ED4" w:rsidRPr="0034283B">
        <w:rPr>
          <w:rFonts w:hint="eastAsia"/>
        </w:rPr>
        <w:t>1</w:t>
      </w:r>
      <w:r w:rsidR="003B6ED4" w:rsidRPr="0034283B">
        <w:t>11</w:t>
      </w:r>
      <w:r w:rsidR="003B6ED4" w:rsidRPr="0034283B">
        <w:rPr>
          <w:rFonts w:hint="eastAsia"/>
        </w:rPr>
        <w:t>及1</w:t>
      </w:r>
      <w:r w:rsidR="003B6ED4" w:rsidRPr="0034283B">
        <w:t>12</w:t>
      </w:r>
      <w:r w:rsidR="003B6ED4" w:rsidRPr="0034283B">
        <w:rPr>
          <w:rFonts w:hint="eastAsia"/>
        </w:rPr>
        <w:t>年度稅前損失分別為2</w:t>
      </w:r>
      <w:r w:rsidR="003B6ED4" w:rsidRPr="0034283B">
        <w:t>,272</w:t>
      </w:r>
      <w:r w:rsidR="003B6ED4" w:rsidRPr="0034283B">
        <w:rPr>
          <w:rFonts w:hint="eastAsia"/>
        </w:rPr>
        <w:t>億元及1</w:t>
      </w:r>
      <w:r w:rsidR="003B6ED4" w:rsidRPr="0034283B">
        <w:t>,977</w:t>
      </w:r>
      <w:r w:rsidR="003B6ED4" w:rsidRPr="0034283B">
        <w:rPr>
          <w:rFonts w:hint="eastAsia"/>
        </w:rPr>
        <w:t>億元，</w:t>
      </w:r>
      <w:r w:rsidR="004C4F00" w:rsidRPr="0034283B">
        <w:rPr>
          <w:rFonts w:hint="eastAsia"/>
        </w:rPr>
        <w:t>1</w:t>
      </w:r>
      <w:r w:rsidR="004C4F00" w:rsidRPr="0034283B">
        <w:t>13</w:t>
      </w:r>
      <w:r w:rsidR="009E4584">
        <w:rPr>
          <w:rFonts w:hint="eastAsia"/>
        </w:rPr>
        <w:t>及1</w:t>
      </w:r>
      <w:r w:rsidR="009E4584">
        <w:t>14</w:t>
      </w:r>
      <w:r w:rsidR="004C4F00" w:rsidRPr="0034283B">
        <w:rPr>
          <w:rFonts w:hint="eastAsia"/>
        </w:rPr>
        <w:t>年</w:t>
      </w:r>
      <w:r w:rsidR="001B0E79">
        <w:rPr>
          <w:rFonts w:hint="eastAsia"/>
        </w:rPr>
        <w:t>度</w:t>
      </w:r>
      <w:r w:rsidR="004C4F00" w:rsidRPr="0034283B">
        <w:rPr>
          <w:rFonts w:hint="eastAsia"/>
        </w:rPr>
        <w:t>雖</w:t>
      </w:r>
      <w:r w:rsidR="001B0E79">
        <w:rPr>
          <w:rFonts w:hint="eastAsia"/>
        </w:rPr>
        <w:t>預計轉虧為盈，</w:t>
      </w:r>
      <w:r w:rsidR="004C4F00" w:rsidRPr="0034283B">
        <w:rPr>
          <w:rFonts w:hint="eastAsia"/>
        </w:rPr>
        <w:t>淨利</w:t>
      </w:r>
      <w:r w:rsidR="001B0E79">
        <w:rPr>
          <w:rFonts w:hint="eastAsia"/>
        </w:rPr>
        <w:t>可達</w:t>
      </w:r>
      <w:r w:rsidR="004C4F00" w:rsidRPr="0034283B">
        <w:rPr>
          <w:rFonts w:hint="eastAsia"/>
        </w:rPr>
        <w:t>1</w:t>
      </w:r>
      <w:r w:rsidR="004C4F00" w:rsidRPr="0034283B">
        <w:t>5</w:t>
      </w:r>
      <w:r w:rsidR="004C4F00" w:rsidRPr="0034283B">
        <w:rPr>
          <w:rFonts w:hint="eastAsia"/>
        </w:rPr>
        <w:t>億元</w:t>
      </w:r>
      <w:r w:rsidR="009E4584">
        <w:rPr>
          <w:rFonts w:hint="eastAsia"/>
        </w:rPr>
        <w:t>及7</w:t>
      </w:r>
      <w:r w:rsidR="009E4584">
        <w:t>7</w:t>
      </w:r>
      <w:r w:rsidR="009E4584">
        <w:rPr>
          <w:rFonts w:hint="eastAsia"/>
        </w:rPr>
        <w:t>億元</w:t>
      </w:r>
      <w:r w:rsidR="004C4F00" w:rsidRPr="0034283B">
        <w:rPr>
          <w:rFonts w:hint="eastAsia"/>
        </w:rPr>
        <w:t>，</w:t>
      </w:r>
      <w:r w:rsidR="00E63B0B" w:rsidRPr="0034283B">
        <w:rPr>
          <w:rFonts w:hint="eastAsia"/>
        </w:rPr>
        <w:t>惟</w:t>
      </w:r>
      <w:r w:rsidR="009E4584">
        <w:rPr>
          <w:rFonts w:hint="eastAsia"/>
        </w:rPr>
        <w:t>1</w:t>
      </w:r>
      <w:r w:rsidR="009E4584">
        <w:t>14</w:t>
      </w:r>
      <w:r w:rsidR="009E4584">
        <w:rPr>
          <w:rFonts w:hint="eastAsia"/>
        </w:rPr>
        <w:t>年底</w:t>
      </w:r>
      <w:r w:rsidRPr="0034283B">
        <w:rPr>
          <w:rFonts w:hint="eastAsia"/>
        </w:rPr>
        <w:t>累積虧損</w:t>
      </w:r>
      <w:r w:rsidR="009E4584">
        <w:rPr>
          <w:rFonts w:hint="eastAsia"/>
        </w:rPr>
        <w:t>仍高達</w:t>
      </w:r>
      <w:r w:rsidR="00E63B0B" w:rsidRPr="0034283B">
        <w:rPr>
          <w:rFonts w:hint="eastAsia"/>
        </w:rPr>
        <w:t>3</w:t>
      </w:r>
      <w:r w:rsidR="00E63B0B" w:rsidRPr="0034283B">
        <w:t>,726</w:t>
      </w:r>
      <w:r w:rsidR="00E63B0B" w:rsidRPr="0034283B">
        <w:rPr>
          <w:rFonts w:hint="eastAsia"/>
        </w:rPr>
        <w:t>億元</w:t>
      </w:r>
      <w:r w:rsidR="004C4F00" w:rsidRPr="0034283B">
        <w:rPr>
          <w:rFonts w:hint="eastAsia"/>
        </w:rPr>
        <w:t>(詳表2</w:t>
      </w:r>
      <w:r w:rsidR="004C4F00" w:rsidRPr="0034283B">
        <w:t>)</w:t>
      </w:r>
      <w:r w:rsidRPr="0034283B">
        <w:rPr>
          <w:rFonts w:hint="eastAsia"/>
        </w:rPr>
        <w:t>，財務負擔相當沉重，允宜審酌公司財務狀況，</w:t>
      </w:r>
      <w:r w:rsidRPr="0034283B">
        <w:rPr>
          <w:rFonts w:hint="eastAsia"/>
          <w:spacing w:val="-4"/>
        </w:rPr>
        <w:t>加強與主管機關協商對於能源研究發展基金規費之合宜提撥率。</w:t>
      </w:r>
    </w:p>
    <w:p w:rsidR="003B6ED4" w:rsidRPr="0034283B" w:rsidRDefault="003B6ED4" w:rsidP="003B6ED4">
      <w:pPr>
        <w:ind w:left="566" w:firstLine="566"/>
      </w:pPr>
      <w:r w:rsidRPr="0034283B">
        <w:rPr>
          <w:rFonts w:hint="eastAsia"/>
        </w:rPr>
        <w:t>綜上，台電公司</w:t>
      </w:r>
      <w:r w:rsidR="004C4F00" w:rsidRPr="0034283B">
        <w:rPr>
          <w:rFonts w:hint="eastAsia"/>
        </w:rPr>
        <w:t>近年因受烏俄戰爭影響，國際燃料價格持續攀升，1</w:t>
      </w:r>
      <w:r w:rsidR="004C4F00" w:rsidRPr="0034283B">
        <w:t>11</w:t>
      </w:r>
      <w:r w:rsidR="004C4F00" w:rsidRPr="0034283B">
        <w:rPr>
          <w:rFonts w:hint="eastAsia"/>
        </w:rPr>
        <w:t>及1</w:t>
      </w:r>
      <w:r w:rsidR="004C4F00" w:rsidRPr="0034283B">
        <w:t>12</w:t>
      </w:r>
      <w:r w:rsidR="004C4F00" w:rsidRPr="0034283B">
        <w:rPr>
          <w:rFonts w:hint="eastAsia"/>
        </w:rPr>
        <w:t>年度持續虧損，</w:t>
      </w:r>
      <w:r w:rsidR="00B724C5">
        <w:rPr>
          <w:rFonts w:hint="eastAsia"/>
        </w:rPr>
        <w:t>1</w:t>
      </w:r>
      <w:r w:rsidR="00B724C5">
        <w:t>14</w:t>
      </w:r>
      <w:r w:rsidR="009E4584">
        <w:rPr>
          <w:rFonts w:hint="eastAsia"/>
        </w:rPr>
        <w:t>年</w:t>
      </w:r>
      <w:r w:rsidR="00B724C5">
        <w:rPr>
          <w:rFonts w:hint="eastAsia"/>
        </w:rPr>
        <w:t>度</w:t>
      </w:r>
      <w:r w:rsidR="00101585">
        <w:rPr>
          <w:rFonts w:hint="eastAsia"/>
        </w:rPr>
        <w:t>雖</w:t>
      </w:r>
      <w:r w:rsidR="004C4F00" w:rsidRPr="0034283B">
        <w:rPr>
          <w:rFonts w:hint="eastAsia"/>
        </w:rPr>
        <w:t>預計</w:t>
      </w:r>
      <w:r w:rsidR="009E4584">
        <w:rPr>
          <w:rFonts w:hint="eastAsia"/>
        </w:rPr>
        <w:t>轉虧為盈，惟</w:t>
      </w:r>
      <w:r w:rsidR="00B724C5">
        <w:rPr>
          <w:rFonts w:hint="eastAsia"/>
        </w:rPr>
        <w:t>同</w:t>
      </w:r>
      <w:r w:rsidR="009E4584">
        <w:rPr>
          <w:rFonts w:hint="eastAsia"/>
        </w:rPr>
        <w:t>年底</w:t>
      </w:r>
      <w:r w:rsidR="004C4F00" w:rsidRPr="0034283B">
        <w:rPr>
          <w:rFonts w:hint="eastAsia"/>
        </w:rPr>
        <w:t>累積虧損</w:t>
      </w:r>
      <w:r w:rsidR="00B724C5">
        <w:rPr>
          <w:rFonts w:hint="eastAsia"/>
        </w:rPr>
        <w:t>近4千億元</w:t>
      </w:r>
      <w:r w:rsidR="004C4F00" w:rsidRPr="0034283B">
        <w:rPr>
          <w:rFonts w:hint="eastAsia"/>
        </w:rPr>
        <w:t>，</w:t>
      </w:r>
      <w:r w:rsidRPr="0034283B">
        <w:rPr>
          <w:rFonts w:hint="eastAsia"/>
        </w:rPr>
        <w:t>財務狀況相當嚴峻，允宜審酌財務狀況，加強與主管機關協商檢討能源研究發展基金規費提撥數，俾減輕營運負擔與供電成本。</w:t>
      </w:r>
    </w:p>
    <w:p w:rsidR="00643A8D" w:rsidRPr="0034283B" w:rsidRDefault="00643A8D" w:rsidP="00643A8D">
      <w:pPr>
        <w:pStyle w:val="21"/>
        <w:spacing w:beforeLines="20" w:before="100" w:line="360" w:lineRule="exact"/>
        <w:ind w:leftChars="-1" w:left="743" w:hangingChars="263" w:hanging="746"/>
        <w:rPr>
          <w:b/>
        </w:rPr>
      </w:pPr>
      <w:r w:rsidRPr="0034283B">
        <w:rPr>
          <w:rFonts w:hint="eastAsia"/>
          <w:b/>
        </w:rPr>
        <w:t xml:space="preserve">表1  </w:t>
      </w:r>
      <w:r w:rsidRPr="0034283B">
        <w:rPr>
          <w:rFonts w:hint="eastAsia"/>
          <w:b/>
          <w:spacing w:val="-8"/>
        </w:rPr>
        <w:t>台電公司109至11</w:t>
      </w:r>
      <w:r w:rsidRPr="0034283B">
        <w:rPr>
          <w:b/>
          <w:spacing w:val="-8"/>
        </w:rPr>
        <w:t>4</w:t>
      </w:r>
      <w:r w:rsidRPr="0034283B">
        <w:rPr>
          <w:rFonts w:hint="eastAsia"/>
          <w:b/>
          <w:spacing w:val="-8"/>
        </w:rPr>
        <w:t>年度繳交能源研究發展基金表</w:t>
      </w:r>
    </w:p>
    <w:p w:rsidR="00643A8D" w:rsidRPr="0034283B" w:rsidRDefault="00643A8D" w:rsidP="00643A8D">
      <w:pPr>
        <w:pStyle w:val="21"/>
        <w:spacing w:line="360" w:lineRule="exact"/>
        <w:ind w:leftChars="-1" w:left="743" w:hangingChars="263" w:hanging="746"/>
        <w:jc w:val="right"/>
        <w:rPr>
          <w:b/>
        </w:rPr>
      </w:pPr>
      <w:r w:rsidRPr="0034283B">
        <w:rPr>
          <w:rFonts w:hint="eastAsia"/>
          <w:b/>
        </w:rPr>
        <w:t xml:space="preserve">  </w:t>
      </w:r>
      <w:r w:rsidRPr="0034283B">
        <w:rPr>
          <w:rFonts w:hint="eastAsia"/>
          <w:sz w:val="24"/>
          <w:szCs w:val="24"/>
        </w:rPr>
        <w:t>單位：新臺幣千元；%</w:t>
      </w:r>
    </w:p>
    <w:tbl>
      <w:tblPr>
        <w:tblW w:w="8626"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48"/>
        <w:gridCol w:w="1250"/>
        <w:gridCol w:w="1301"/>
        <w:gridCol w:w="1250"/>
        <w:gridCol w:w="1269"/>
        <w:gridCol w:w="1272"/>
        <w:gridCol w:w="1236"/>
      </w:tblGrid>
      <w:tr w:rsidR="00643A8D" w:rsidRPr="0034283B" w:rsidTr="009E4584">
        <w:trPr>
          <w:tblHeader/>
        </w:trPr>
        <w:tc>
          <w:tcPr>
            <w:tcW w:w="1148"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項  目</w:t>
            </w:r>
          </w:p>
        </w:tc>
        <w:tc>
          <w:tcPr>
            <w:tcW w:w="1175"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109年度</w:t>
            </w:r>
          </w:p>
        </w:tc>
        <w:tc>
          <w:tcPr>
            <w:tcW w:w="1309"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110年度</w:t>
            </w:r>
          </w:p>
        </w:tc>
        <w:tc>
          <w:tcPr>
            <w:tcW w:w="1206" w:type="dxa"/>
            <w:shd w:val="clear" w:color="auto" w:fill="auto"/>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111年度</w:t>
            </w:r>
          </w:p>
        </w:tc>
        <w:tc>
          <w:tcPr>
            <w:tcW w:w="1272" w:type="dxa"/>
            <w:vAlign w:val="center"/>
          </w:tcPr>
          <w:p w:rsidR="00643A8D" w:rsidRPr="0034283B" w:rsidRDefault="00643A8D" w:rsidP="00BF5FA6">
            <w:pPr>
              <w:pStyle w:val="142"/>
              <w:spacing w:line="400" w:lineRule="exact"/>
              <w:jc w:val="center"/>
              <w:rPr>
                <w:rFonts w:hint="eastAsia"/>
                <w:b/>
                <w:spacing w:val="-16"/>
                <w:sz w:val="22"/>
                <w:szCs w:val="24"/>
              </w:rPr>
            </w:pPr>
            <w:r w:rsidRPr="0034283B">
              <w:rPr>
                <w:rFonts w:hint="eastAsia"/>
                <w:b/>
                <w:spacing w:val="-16"/>
                <w:sz w:val="22"/>
                <w:szCs w:val="24"/>
              </w:rPr>
              <w:t>1</w:t>
            </w:r>
            <w:r w:rsidRPr="0034283B">
              <w:rPr>
                <w:b/>
                <w:spacing w:val="-16"/>
                <w:sz w:val="22"/>
                <w:szCs w:val="24"/>
              </w:rPr>
              <w:t>12</w:t>
            </w:r>
            <w:r w:rsidRPr="0034283B">
              <w:rPr>
                <w:rFonts w:hint="eastAsia"/>
                <w:b/>
                <w:spacing w:val="-16"/>
                <w:sz w:val="22"/>
                <w:szCs w:val="24"/>
              </w:rPr>
              <w:t>年度</w:t>
            </w:r>
          </w:p>
        </w:tc>
        <w:tc>
          <w:tcPr>
            <w:tcW w:w="1275" w:type="dxa"/>
            <w:vAlign w:val="center"/>
          </w:tcPr>
          <w:p w:rsidR="00643A8D" w:rsidRPr="0034283B" w:rsidRDefault="00643A8D" w:rsidP="00BF5FA6">
            <w:pPr>
              <w:pStyle w:val="142"/>
              <w:spacing w:line="400" w:lineRule="exact"/>
              <w:jc w:val="center"/>
              <w:rPr>
                <w:b/>
                <w:spacing w:val="-16"/>
                <w:sz w:val="22"/>
                <w:szCs w:val="24"/>
              </w:rPr>
            </w:pPr>
            <w:r w:rsidRPr="0034283B">
              <w:rPr>
                <w:rFonts w:hint="eastAsia"/>
                <w:b/>
                <w:spacing w:val="-16"/>
                <w:sz w:val="22"/>
                <w:szCs w:val="24"/>
              </w:rPr>
              <w:t>11</w:t>
            </w:r>
            <w:r w:rsidRPr="0034283B">
              <w:rPr>
                <w:b/>
                <w:spacing w:val="-16"/>
                <w:sz w:val="22"/>
                <w:szCs w:val="24"/>
              </w:rPr>
              <w:t>3</w:t>
            </w:r>
            <w:r w:rsidRPr="0034283B">
              <w:rPr>
                <w:rFonts w:hint="eastAsia"/>
                <w:b/>
                <w:spacing w:val="-16"/>
                <w:sz w:val="22"/>
                <w:szCs w:val="24"/>
              </w:rPr>
              <w:t>年度</w:t>
            </w:r>
          </w:p>
        </w:tc>
        <w:tc>
          <w:tcPr>
            <w:tcW w:w="1241" w:type="dxa"/>
            <w:vAlign w:val="center"/>
          </w:tcPr>
          <w:p w:rsidR="00643A8D" w:rsidRPr="0034283B" w:rsidRDefault="00643A8D" w:rsidP="00BF5FA6">
            <w:pPr>
              <w:pStyle w:val="142"/>
              <w:spacing w:line="400" w:lineRule="exact"/>
              <w:jc w:val="center"/>
              <w:rPr>
                <w:rFonts w:hint="eastAsia"/>
                <w:b/>
                <w:spacing w:val="-16"/>
                <w:sz w:val="22"/>
                <w:szCs w:val="24"/>
              </w:rPr>
            </w:pPr>
            <w:r w:rsidRPr="0034283B">
              <w:rPr>
                <w:rFonts w:hint="eastAsia"/>
                <w:b/>
                <w:spacing w:val="-16"/>
                <w:sz w:val="22"/>
                <w:szCs w:val="24"/>
              </w:rPr>
              <w:t>1</w:t>
            </w:r>
            <w:r w:rsidRPr="0034283B">
              <w:rPr>
                <w:b/>
                <w:spacing w:val="-16"/>
                <w:sz w:val="22"/>
                <w:szCs w:val="24"/>
              </w:rPr>
              <w:t>14</w:t>
            </w:r>
            <w:r w:rsidRPr="0034283B">
              <w:rPr>
                <w:rFonts w:hint="eastAsia"/>
                <w:b/>
                <w:spacing w:val="-16"/>
                <w:sz w:val="22"/>
                <w:szCs w:val="24"/>
              </w:rPr>
              <w:t>年度</w:t>
            </w:r>
          </w:p>
        </w:tc>
      </w:tr>
      <w:tr w:rsidR="00462E23" w:rsidRPr="0034283B" w:rsidTr="002D232B">
        <w:tc>
          <w:tcPr>
            <w:tcW w:w="1148" w:type="dxa"/>
            <w:shd w:val="clear" w:color="auto" w:fill="auto"/>
          </w:tcPr>
          <w:p w:rsidR="00462E23" w:rsidRPr="0034283B" w:rsidRDefault="00462E23" w:rsidP="00BF5FA6">
            <w:pPr>
              <w:pStyle w:val="142"/>
              <w:spacing w:line="400" w:lineRule="exact"/>
              <w:rPr>
                <w:rFonts w:hint="eastAsia"/>
                <w:spacing w:val="-16"/>
                <w:sz w:val="22"/>
                <w:szCs w:val="24"/>
              </w:rPr>
            </w:pPr>
            <w:r w:rsidRPr="0034283B">
              <w:rPr>
                <w:rFonts w:hint="eastAsia"/>
                <w:spacing w:val="-16"/>
                <w:sz w:val="22"/>
                <w:szCs w:val="24"/>
              </w:rPr>
              <w:t>電費收入</w:t>
            </w:r>
          </w:p>
        </w:tc>
        <w:tc>
          <w:tcPr>
            <w:tcW w:w="1175"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584,187,991</w:t>
            </w:r>
          </w:p>
        </w:tc>
        <w:tc>
          <w:tcPr>
            <w:tcW w:w="1309"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609,190,352</w:t>
            </w:r>
          </w:p>
        </w:tc>
        <w:tc>
          <w:tcPr>
            <w:tcW w:w="1206"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645,087,239</w:t>
            </w:r>
          </w:p>
        </w:tc>
        <w:tc>
          <w:tcPr>
            <w:tcW w:w="1272" w:type="dxa"/>
          </w:tcPr>
          <w:p w:rsidR="00462E23" w:rsidRPr="00462E23" w:rsidRDefault="00462E23" w:rsidP="00BF5FA6">
            <w:pPr>
              <w:pStyle w:val="142"/>
              <w:spacing w:line="400" w:lineRule="exact"/>
              <w:jc w:val="right"/>
              <w:rPr>
                <w:spacing w:val="-16"/>
                <w:sz w:val="22"/>
                <w:szCs w:val="24"/>
              </w:rPr>
            </w:pPr>
            <w:r w:rsidRPr="00462E23">
              <w:rPr>
                <w:spacing w:val="-16"/>
                <w:sz w:val="22"/>
                <w:szCs w:val="24"/>
              </w:rPr>
              <w:t>716,068,004</w:t>
            </w:r>
          </w:p>
        </w:tc>
        <w:tc>
          <w:tcPr>
            <w:tcW w:w="1275" w:type="dxa"/>
          </w:tcPr>
          <w:p w:rsidR="00462E23" w:rsidRPr="00462E23" w:rsidRDefault="00462E23" w:rsidP="00BF5FA6">
            <w:pPr>
              <w:pStyle w:val="142"/>
              <w:spacing w:line="400" w:lineRule="exact"/>
              <w:jc w:val="right"/>
              <w:rPr>
                <w:rFonts w:hint="eastAsia"/>
                <w:spacing w:val="-16"/>
                <w:sz w:val="22"/>
                <w:szCs w:val="24"/>
              </w:rPr>
            </w:pPr>
            <w:r w:rsidRPr="00462E23">
              <w:rPr>
                <w:rFonts w:hint="eastAsia"/>
                <w:spacing w:val="-16"/>
                <w:sz w:val="22"/>
                <w:szCs w:val="24"/>
              </w:rPr>
              <w:t>7</w:t>
            </w:r>
            <w:r w:rsidRPr="00462E23">
              <w:rPr>
                <w:spacing w:val="-16"/>
                <w:sz w:val="22"/>
                <w:szCs w:val="24"/>
              </w:rPr>
              <w:t>87,706,345</w:t>
            </w:r>
          </w:p>
        </w:tc>
        <w:tc>
          <w:tcPr>
            <w:tcW w:w="1241" w:type="dxa"/>
          </w:tcPr>
          <w:p w:rsidR="00462E23" w:rsidRPr="0034283B" w:rsidRDefault="00462E23" w:rsidP="00BF5FA6">
            <w:pPr>
              <w:pStyle w:val="142"/>
              <w:spacing w:line="400" w:lineRule="exact"/>
              <w:jc w:val="right"/>
              <w:rPr>
                <w:rFonts w:hint="eastAsia"/>
                <w:spacing w:val="-20"/>
                <w:sz w:val="22"/>
                <w:szCs w:val="24"/>
              </w:rPr>
            </w:pPr>
            <w:r w:rsidRPr="0034283B">
              <w:rPr>
                <w:rFonts w:hint="eastAsia"/>
                <w:spacing w:val="-20"/>
                <w:sz w:val="22"/>
                <w:szCs w:val="24"/>
              </w:rPr>
              <w:t>8</w:t>
            </w:r>
            <w:r w:rsidRPr="0034283B">
              <w:rPr>
                <w:spacing w:val="-20"/>
                <w:sz w:val="22"/>
                <w:szCs w:val="24"/>
              </w:rPr>
              <w:t>72,639,009</w:t>
            </w:r>
          </w:p>
        </w:tc>
      </w:tr>
      <w:tr w:rsidR="00462E23" w:rsidRPr="0034283B" w:rsidTr="002D232B">
        <w:tc>
          <w:tcPr>
            <w:tcW w:w="1148" w:type="dxa"/>
            <w:shd w:val="clear" w:color="auto" w:fill="auto"/>
          </w:tcPr>
          <w:p w:rsidR="00462E23" w:rsidRPr="0034283B" w:rsidRDefault="00462E23" w:rsidP="00BF5FA6">
            <w:pPr>
              <w:pStyle w:val="142"/>
              <w:spacing w:line="400" w:lineRule="exact"/>
              <w:rPr>
                <w:spacing w:val="-16"/>
                <w:sz w:val="22"/>
                <w:szCs w:val="24"/>
              </w:rPr>
            </w:pPr>
            <w:r w:rsidRPr="0034283B">
              <w:rPr>
                <w:rFonts w:hint="eastAsia"/>
                <w:spacing w:val="-16"/>
                <w:sz w:val="22"/>
                <w:szCs w:val="24"/>
              </w:rPr>
              <w:t>繳交</w:t>
            </w:r>
            <w:r>
              <w:rPr>
                <w:rFonts w:hint="eastAsia"/>
                <w:spacing w:val="-16"/>
                <w:sz w:val="22"/>
                <w:szCs w:val="24"/>
              </w:rPr>
              <w:t>金額</w:t>
            </w:r>
          </w:p>
        </w:tc>
        <w:tc>
          <w:tcPr>
            <w:tcW w:w="1175"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1,752,564</w:t>
            </w:r>
          </w:p>
        </w:tc>
        <w:tc>
          <w:tcPr>
            <w:tcW w:w="1309"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3,022,347</w:t>
            </w:r>
          </w:p>
        </w:tc>
        <w:tc>
          <w:tcPr>
            <w:tcW w:w="1206"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3,092,076</w:t>
            </w:r>
          </w:p>
        </w:tc>
        <w:tc>
          <w:tcPr>
            <w:tcW w:w="1272" w:type="dxa"/>
          </w:tcPr>
          <w:p w:rsidR="00462E23" w:rsidRPr="00462E23" w:rsidRDefault="00462E23" w:rsidP="00BF5FA6">
            <w:pPr>
              <w:pStyle w:val="142"/>
              <w:spacing w:line="400" w:lineRule="exact"/>
              <w:jc w:val="right"/>
              <w:rPr>
                <w:spacing w:val="-16"/>
                <w:sz w:val="22"/>
                <w:szCs w:val="24"/>
              </w:rPr>
            </w:pPr>
            <w:r w:rsidRPr="00462E23">
              <w:rPr>
                <w:spacing w:val="-16"/>
                <w:sz w:val="22"/>
                <w:szCs w:val="24"/>
              </w:rPr>
              <w:t>3,156,884</w:t>
            </w:r>
          </w:p>
        </w:tc>
        <w:tc>
          <w:tcPr>
            <w:tcW w:w="1275"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3</w:t>
            </w:r>
            <w:r w:rsidRPr="0034283B">
              <w:rPr>
                <w:spacing w:val="-16"/>
                <w:sz w:val="22"/>
                <w:szCs w:val="24"/>
              </w:rPr>
              <w:t>,287,142</w:t>
            </w:r>
          </w:p>
        </w:tc>
        <w:tc>
          <w:tcPr>
            <w:tcW w:w="1241"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3</w:t>
            </w:r>
            <w:r w:rsidRPr="0034283B">
              <w:rPr>
                <w:spacing w:val="-16"/>
                <w:sz w:val="22"/>
                <w:szCs w:val="24"/>
              </w:rPr>
              <w:t>,381,242</w:t>
            </w:r>
          </w:p>
        </w:tc>
      </w:tr>
      <w:tr w:rsidR="00462E23" w:rsidRPr="0034283B" w:rsidTr="002D232B">
        <w:tc>
          <w:tcPr>
            <w:tcW w:w="1148" w:type="dxa"/>
            <w:shd w:val="clear" w:color="auto" w:fill="auto"/>
          </w:tcPr>
          <w:p w:rsidR="00462E23" w:rsidRPr="0034283B" w:rsidRDefault="00462E23" w:rsidP="00BF5FA6">
            <w:pPr>
              <w:pStyle w:val="142"/>
              <w:spacing w:line="400" w:lineRule="exact"/>
              <w:rPr>
                <w:spacing w:val="-16"/>
                <w:sz w:val="22"/>
                <w:szCs w:val="24"/>
              </w:rPr>
            </w:pPr>
            <w:r w:rsidRPr="0034283B">
              <w:rPr>
                <w:rFonts w:hint="eastAsia"/>
                <w:spacing w:val="-16"/>
                <w:sz w:val="22"/>
                <w:szCs w:val="24"/>
              </w:rPr>
              <w:t>提撥率</w:t>
            </w:r>
          </w:p>
        </w:tc>
        <w:tc>
          <w:tcPr>
            <w:tcW w:w="1175"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0.300</w:t>
            </w:r>
          </w:p>
        </w:tc>
        <w:tc>
          <w:tcPr>
            <w:tcW w:w="1309"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0.496</w:t>
            </w:r>
          </w:p>
        </w:tc>
        <w:tc>
          <w:tcPr>
            <w:tcW w:w="1206" w:type="dxa"/>
            <w:shd w:val="clear" w:color="auto" w:fill="auto"/>
          </w:tcPr>
          <w:p w:rsidR="00462E23" w:rsidRPr="00462E23" w:rsidRDefault="00462E23" w:rsidP="00BF5FA6">
            <w:pPr>
              <w:pStyle w:val="142"/>
              <w:spacing w:line="400" w:lineRule="exact"/>
              <w:jc w:val="right"/>
              <w:rPr>
                <w:spacing w:val="-16"/>
                <w:sz w:val="22"/>
                <w:szCs w:val="24"/>
              </w:rPr>
            </w:pPr>
            <w:r w:rsidRPr="00462E23">
              <w:rPr>
                <w:spacing w:val="-16"/>
                <w:sz w:val="22"/>
                <w:szCs w:val="24"/>
              </w:rPr>
              <w:t>0.479</w:t>
            </w:r>
          </w:p>
        </w:tc>
        <w:tc>
          <w:tcPr>
            <w:tcW w:w="1272" w:type="dxa"/>
          </w:tcPr>
          <w:p w:rsidR="00462E23" w:rsidRPr="00462E23" w:rsidRDefault="00462E23" w:rsidP="00BF5FA6">
            <w:pPr>
              <w:pStyle w:val="142"/>
              <w:spacing w:line="400" w:lineRule="exact"/>
              <w:jc w:val="right"/>
              <w:rPr>
                <w:spacing w:val="-16"/>
                <w:sz w:val="22"/>
                <w:szCs w:val="24"/>
              </w:rPr>
            </w:pPr>
            <w:r w:rsidRPr="00462E23">
              <w:rPr>
                <w:spacing w:val="-16"/>
                <w:sz w:val="22"/>
                <w:szCs w:val="24"/>
              </w:rPr>
              <w:t>0.441</w:t>
            </w:r>
          </w:p>
        </w:tc>
        <w:tc>
          <w:tcPr>
            <w:tcW w:w="1275"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0</w:t>
            </w:r>
            <w:r w:rsidRPr="0034283B">
              <w:rPr>
                <w:spacing w:val="-16"/>
                <w:sz w:val="22"/>
                <w:szCs w:val="24"/>
              </w:rPr>
              <w:t>.417</w:t>
            </w:r>
          </w:p>
        </w:tc>
        <w:tc>
          <w:tcPr>
            <w:tcW w:w="1241" w:type="dxa"/>
            <w:vAlign w:val="center"/>
          </w:tcPr>
          <w:p w:rsidR="00462E23" w:rsidRPr="0034283B" w:rsidRDefault="00462E23" w:rsidP="00BF5FA6">
            <w:pPr>
              <w:pStyle w:val="142"/>
              <w:spacing w:line="400" w:lineRule="exact"/>
              <w:jc w:val="right"/>
              <w:rPr>
                <w:rFonts w:hint="eastAsia"/>
                <w:spacing w:val="-16"/>
                <w:sz w:val="22"/>
                <w:szCs w:val="24"/>
              </w:rPr>
            </w:pPr>
            <w:r w:rsidRPr="0034283B">
              <w:rPr>
                <w:rFonts w:hint="eastAsia"/>
                <w:spacing w:val="-16"/>
                <w:sz w:val="22"/>
                <w:szCs w:val="24"/>
              </w:rPr>
              <w:t>0</w:t>
            </w:r>
            <w:r w:rsidRPr="0034283B">
              <w:rPr>
                <w:spacing w:val="-16"/>
                <w:sz w:val="22"/>
                <w:szCs w:val="24"/>
              </w:rPr>
              <w:t>.387</w:t>
            </w:r>
          </w:p>
        </w:tc>
      </w:tr>
    </w:tbl>
    <w:p w:rsidR="00C007D9" w:rsidRDefault="00643A8D" w:rsidP="00C007D9">
      <w:pPr>
        <w:pStyle w:val="142"/>
        <w:ind w:left="1094" w:hangingChars="450" w:hanging="1094"/>
      </w:pPr>
      <w:r w:rsidRPr="0034283B">
        <w:rPr>
          <w:rFonts w:hint="eastAsia"/>
        </w:rPr>
        <w:t>說    明：</w:t>
      </w:r>
      <w:r w:rsidR="00C007D9">
        <w:rPr>
          <w:rFonts w:hint="eastAsia"/>
        </w:rPr>
        <w:t>1</w:t>
      </w:r>
      <w:r w:rsidR="00C007D9">
        <w:t>.</w:t>
      </w:r>
      <w:r w:rsidRPr="0034283B">
        <w:rPr>
          <w:rFonts w:hint="eastAsia"/>
        </w:rPr>
        <w:t>提撥率=繳交基金數/電費收入</w:t>
      </w:r>
      <w:r w:rsidR="00C007D9">
        <w:rPr>
          <w:rFonts w:hint="eastAsia"/>
        </w:rPr>
        <w:t>。</w:t>
      </w:r>
    </w:p>
    <w:p w:rsidR="00643A8D" w:rsidRPr="0034283B" w:rsidRDefault="00C007D9" w:rsidP="00C007D9">
      <w:pPr>
        <w:pStyle w:val="142"/>
        <w:ind w:leftChars="450" w:left="1639" w:hangingChars="150" w:hanging="365"/>
      </w:pPr>
      <w:r>
        <w:rPr>
          <w:rFonts w:hint="eastAsia"/>
        </w:rPr>
        <w:t>2</w:t>
      </w:r>
      <w:r>
        <w:t>.</w:t>
      </w:r>
      <w:r w:rsidR="00462E23">
        <w:rPr>
          <w:rFonts w:hint="eastAsia"/>
        </w:rPr>
        <w:t>1</w:t>
      </w:r>
      <w:r w:rsidR="00462E23">
        <w:t>12</w:t>
      </w:r>
      <w:r w:rsidR="00462E23">
        <w:rPr>
          <w:rFonts w:hint="eastAsia"/>
        </w:rPr>
        <w:t>年度以前為審定決算數</w:t>
      </w:r>
      <w:r>
        <w:rPr>
          <w:rFonts w:hint="eastAsia"/>
        </w:rPr>
        <w:t>，1</w:t>
      </w:r>
      <w:r>
        <w:t>13</w:t>
      </w:r>
      <w:r>
        <w:rPr>
          <w:rFonts w:hint="eastAsia"/>
        </w:rPr>
        <w:t>及1</w:t>
      </w:r>
      <w:r>
        <w:t>14</w:t>
      </w:r>
      <w:r>
        <w:rPr>
          <w:rFonts w:hint="eastAsia"/>
        </w:rPr>
        <w:t>年度為預算案數</w:t>
      </w:r>
      <w:r w:rsidR="00643A8D" w:rsidRPr="0034283B">
        <w:rPr>
          <w:rFonts w:hint="eastAsia"/>
        </w:rPr>
        <w:t>。</w:t>
      </w:r>
    </w:p>
    <w:p w:rsidR="00643A8D" w:rsidRDefault="00643A8D" w:rsidP="00643A8D">
      <w:pPr>
        <w:pStyle w:val="142"/>
      </w:pPr>
      <w:r w:rsidRPr="0034283B">
        <w:rPr>
          <w:rFonts w:hint="eastAsia"/>
        </w:rPr>
        <w:t>資料來源：</w:t>
      </w:r>
      <w:r w:rsidR="00462E23">
        <w:rPr>
          <w:rFonts w:hint="eastAsia"/>
        </w:rPr>
        <w:t>台電公司提供</w:t>
      </w:r>
      <w:r w:rsidRPr="0034283B">
        <w:rPr>
          <w:rFonts w:hint="eastAsia"/>
        </w:rPr>
        <w:t>。</w:t>
      </w:r>
    </w:p>
    <w:p w:rsidR="004C4F00" w:rsidRPr="0034283B" w:rsidRDefault="004C4F00" w:rsidP="000908FC">
      <w:pPr>
        <w:pStyle w:val="21"/>
        <w:spacing w:beforeLines="20" w:before="100" w:line="360" w:lineRule="exact"/>
        <w:ind w:leftChars="-1" w:left="743" w:rightChars="-50" w:right="-142" w:hangingChars="263" w:hanging="746"/>
        <w:rPr>
          <w:sz w:val="24"/>
          <w:szCs w:val="24"/>
        </w:rPr>
      </w:pPr>
      <w:r w:rsidRPr="0034283B">
        <w:rPr>
          <w:rFonts w:hint="eastAsia"/>
          <w:b/>
        </w:rPr>
        <w:t xml:space="preserve">表2 </w:t>
      </w:r>
      <w:r w:rsidRPr="0034283B">
        <w:rPr>
          <w:b/>
        </w:rPr>
        <w:t xml:space="preserve"> </w:t>
      </w:r>
      <w:r w:rsidRPr="0034283B">
        <w:rPr>
          <w:rFonts w:hint="eastAsia"/>
          <w:b/>
        </w:rPr>
        <w:t>台電公司</w:t>
      </w:r>
      <w:r w:rsidR="001B0E79">
        <w:rPr>
          <w:b/>
        </w:rPr>
        <w:t>109</w:t>
      </w:r>
      <w:r w:rsidRPr="0034283B">
        <w:rPr>
          <w:rFonts w:hint="eastAsia"/>
          <w:b/>
        </w:rPr>
        <w:t>至11</w:t>
      </w:r>
      <w:r w:rsidRPr="0034283B">
        <w:rPr>
          <w:b/>
        </w:rPr>
        <w:t>4</w:t>
      </w:r>
      <w:r w:rsidRPr="0034283B">
        <w:rPr>
          <w:rFonts w:hint="eastAsia"/>
          <w:b/>
        </w:rPr>
        <w:t>年度各期損益表</w:t>
      </w:r>
      <w:r w:rsidR="00BF5FA6">
        <w:rPr>
          <w:rFonts w:hint="eastAsia"/>
          <w:b/>
        </w:rPr>
        <w:t xml:space="preserve"> </w:t>
      </w:r>
      <w:r w:rsidR="00BF5FA6">
        <w:rPr>
          <w:b/>
        </w:rPr>
        <w:t xml:space="preserve">        </w:t>
      </w:r>
      <w:r w:rsidR="000908FC">
        <w:rPr>
          <w:b/>
        </w:rPr>
        <w:t xml:space="preserve"> </w:t>
      </w:r>
      <w:r w:rsidRPr="0034283B">
        <w:rPr>
          <w:rFonts w:hint="eastAsia"/>
          <w:sz w:val="24"/>
          <w:szCs w:val="24"/>
        </w:rPr>
        <w:t>單位：新臺幣億元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27"/>
        <w:gridCol w:w="1134"/>
        <w:gridCol w:w="1134"/>
        <w:gridCol w:w="1134"/>
        <w:gridCol w:w="992"/>
        <w:gridCol w:w="1134"/>
        <w:gridCol w:w="992"/>
      </w:tblGrid>
      <w:tr w:rsidR="001B0E79" w:rsidRPr="0034283B" w:rsidTr="00781DC7">
        <w:trPr>
          <w:trHeight w:val="317"/>
          <w:tblHeader/>
        </w:trPr>
        <w:tc>
          <w:tcPr>
            <w:tcW w:w="2127"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center"/>
              <w:rPr>
                <w:b/>
                <w:sz w:val="22"/>
                <w:szCs w:val="22"/>
              </w:rPr>
            </w:pPr>
            <w:r w:rsidRPr="00BF5FA6">
              <w:rPr>
                <w:rFonts w:hint="eastAsia"/>
                <w:b/>
                <w:sz w:val="22"/>
                <w:szCs w:val="22"/>
              </w:rPr>
              <w:t>項 目</w:t>
            </w:r>
          </w:p>
        </w:tc>
        <w:tc>
          <w:tcPr>
            <w:tcW w:w="1134"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109年</w:t>
            </w:r>
            <w:r w:rsidR="00BF5FA6" w:rsidRPr="00BF5FA6">
              <w:rPr>
                <w:rFonts w:hint="eastAsia"/>
                <w:b/>
                <w:spacing w:val="-4"/>
                <w:sz w:val="22"/>
                <w:szCs w:val="22"/>
              </w:rPr>
              <w:t>度</w:t>
            </w:r>
          </w:p>
        </w:tc>
        <w:tc>
          <w:tcPr>
            <w:tcW w:w="1134"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110年</w:t>
            </w:r>
            <w:r w:rsidR="00BF5FA6" w:rsidRPr="00BF5FA6">
              <w:rPr>
                <w:rFonts w:hint="eastAsia"/>
                <w:b/>
                <w:spacing w:val="-4"/>
                <w:sz w:val="22"/>
                <w:szCs w:val="22"/>
              </w:rPr>
              <w:t>度</w:t>
            </w:r>
          </w:p>
        </w:tc>
        <w:tc>
          <w:tcPr>
            <w:tcW w:w="1134"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111年</w:t>
            </w:r>
            <w:r w:rsidR="00BF5FA6" w:rsidRPr="00BF5FA6">
              <w:rPr>
                <w:rFonts w:hint="eastAsia"/>
                <w:b/>
                <w:spacing w:val="-4"/>
                <w:sz w:val="22"/>
                <w:szCs w:val="22"/>
              </w:rPr>
              <w:t>度</w:t>
            </w:r>
          </w:p>
        </w:tc>
        <w:tc>
          <w:tcPr>
            <w:tcW w:w="992" w:type="dxa"/>
            <w:tcBorders>
              <w:top w:val="single" w:sz="12" w:space="0" w:color="auto"/>
              <w:bottom w:val="single" w:sz="4" w:space="0" w:color="auto"/>
            </w:tcBorders>
            <w:shd w:val="clear" w:color="auto" w:fill="auto"/>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112年</w:t>
            </w:r>
            <w:r w:rsidR="00BF5FA6" w:rsidRPr="00BF5FA6">
              <w:rPr>
                <w:rFonts w:hint="eastAsia"/>
                <w:b/>
                <w:spacing w:val="-4"/>
                <w:sz w:val="22"/>
                <w:szCs w:val="22"/>
              </w:rPr>
              <w:t>度</w:t>
            </w:r>
          </w:p>
        </w:tc>
        <w:tc>
          <w:tcPr>
            <w:tcW w:w="1134" w:type="dxa"/>
            <w:tcBorders>
              <w:top w:val="single" w:sz="12" w:space="0" w:color="auto"/>
              <w:bottom w:val="single" w:sz="4" w:space="0" w:color="auto"/>
            </w:tcBorders>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w:t>
            </w:r>
            <w:r w:rsidRPr="00BF5FA6">
              <w:rPr>
                <w:b/>
                <w:spacing w:val="-4"/>
                <w:sz w:val="22"/>
                <w:szCs w:val="22"/>
              </w:rPr>
              <w:t>13</w:t>
            </w:r>
            <w:r w:rsidRPr="00BF5FA6">
              <w:rPr>
                <w:rFonts w:hint="eastAsia"/>
                <w:b/>
                <w:spacing w:val="-4"/>
                <w:sz w:val="22"/>
                <w:szCs w:val="22"/>
              </w:rPr>
              <w:t>年</w:t>
            </w:r>
            <w:r w:rsidR="00BF5FA6" w:rsidRPr="00BF5FA6">
              <w:rPr>
                <w:rFonts w:hint="eastAsia"/>
                <w:b/>
                <w:spacing w:val="-4"/>
                <w:sz w:val="22"/>
                <w:szCs w:val="22"/>
              </w:rPr>
              <w:t>度</w:t>
            </w:r>
          </w:p>
        </w:tc>
        <w:tc>
          <w:tcPr>
            <w:tcW w:w="992" w:type="dxa"/>
            <w:tcBorders>
              <w:top w:val="single" w:sz="12" w:space="0" w:color="auto"/>
              <w:bottom w:val="single" w:sz="4" w:space="0" w:color="auto"/>
            </w:tcBorders>
            <w:vAlign w:val="center"/>
          </w:tcPr>
          <w:p w:rsidR="001B0E79" w:rsidRPr="00BF5FA6" w:rsidRDefault="001B0E79" w:rsidP="00BF5FA6">
            <w:pPr>
              <w:pStyle w:val="142"/>
              <w:spacing w:line="400" w:lineRule="exact"/>
              <w:ind w:left="367" w:hanging="367"/>
              <w:jc w:val="center"/>
              <w:rPr>
                <w:b/>
                <w:spacing w:val="-4"/>
                <w:sz w:val="22"/>
                <w:szCs w:val="22"/>
              </w:rPr>
            </w:pPr>
            <w:r w:rsidRPr="00BF5FA6">
              <w:rPr>
                <w:rFonts w:hint="eastAsia"/>
                <w:b/>
                <w:spacing w:val="-4"/>
                <w:sz w:val="22"/>
                <w:szCs w:val="22"/>
              </w:rPr>
              <w:t>1</w:t>
            </w:r>
            <w:r w:rsidRPr="00BF5FA6">
              <w:rPr>
                <w:b/>
                <w:spacing w:val="-4"/>
                <w:sz w:val="22"/>
                <w:szCs w:val="22"/>
              </w:rPr>
              <w:t>14</w:t>
            </w:r>
            <w:r w:rsidRPr="00BF5FA6">
              <w:rPr>
                <w:rFonts w:hint="eastAsia"/>
                <w:b/>
                <w:spacing w:val="-4"/>
                <w:sz w:val="22"/>
                <w:szCs w:val="22"/>
              </w:rPr>
              <w:t>年</w:t>
            </w:r>
            <w:r w:rsidR="00BF5FA6" w:rsidRPr="00BF5FA6">
              <w:rPr>
                <w:rFonts w:hint="eastAsia"/>
                <w:b/>
                <w:spacing w:val="-4"/>
                <w:sz w:val="22"/>
                <w:szCs w:val="22"/>
              </w:rPr>
              <w:t>度</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營業收入</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6,046</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6,210</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6,619</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7,810</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9,194</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9,895</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營業利益(損失-)</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499</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483</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-2,585</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-1,756</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247</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328</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營業外收入</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123</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157</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668</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205</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165</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152</w:t>
            </w:r>
          </w:p>
        </w:tc>
      </w:tr>
      <w:tr w:rsidR="001B0E79" w:rsidRPr="0034283B" w:rsidTr="00781DC7">
        <w:tc>
          <w:tcPr>
            <w:tcW w:w="2127"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營業外利益(損失-)</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-260</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-260</w:t>
            </w:r>
          </w:p>
        </w:tc>
        <w:tc>
          <w:tcPr>
            <w:tcW w:w="1134" w:type="dxa"/>
            <w:tcBorders>
              <w:top w:val="single" w:sz="4" w:space="0" w:color="auto"/>
              <w:bottom w:val="single" w:sz="4" w:space="0" w:color="auto"/>
            </w:tcBorders>
            <w:shd w:val="clear" w:color="auto" w:fill="auto"/>
            <w:vAlign w:val="center"/>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313</w:t>
            </w:r>
          </w:p>
        </w:tc>
        <w:tc>
          <w:tcPr>
            <w:tcW w:w="992" w:type="dxa"/>
            <w:tcBorders>
              <w:top w:val="single" w:sz="4" w:space="0" w:color="auto"/>
              <w:bottom w:val="single" w:sz="4"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-221</w:t>
            </w:r>
          </w:p>
        </w:tc>
        <w:tc>
          <w:tcPr>
            <w:tcW w:w="1134"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-232</w:t>
            </w:r>
          </w:p>
        </w:tc>
        <w:tc>
          <w:tcPr>
            <w:tcW w:w="992" w:type="dxa"/>
            <w:tcBorders>
              <w:top w:val="single" w:sz="4" w:space="0" w:color="auto"/>
              <w:bottom w:val="single" w:sz="4"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-251</w:t>
            </w:r>
          </w:p>
        </w:tc>
      </w:tr>
      <w:tr w:rsidR="001B0E79" w:rsidRPr="0034283B" w:rsidTr="00781DC7">
        <w:tc>
          <w:tcPr>
            <w:tcW w:w="2127"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t>稅前盈餘(損失-)</w:t>
            </w:r>
          </w:p>
        </w:tc>
        <w:tc>
          <w:tcPr>
            <w:tcW w:w="1134"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239</w:t>
            </w:r>
          </w:p>
        </w:tc>
        <w:tc>
          <w:tcPr>
            <w:tcW w:w="1134"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223</w:t>
            </w:r>
          </w:p>
        </w:tc>
        <w:tc>
          <w:tcPr>
            <w:tcW w:w="1134"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-2,272</w:t>
            </w:r>
          </w:p>
        </w:tc>
        <w:tc>
          <w:tcPr>
            <w:tcW w:w="992" w:type="dxa"/>
            <w:tcBorders>
              <w:top w:val="single" w:sz="4" w:space="0" w:color="auto"/>
              <w:bottom w:val="single" w:sz="6" w:space="0" w:color="auto"/>
            </w:tcBorders>
            <w:shd w:val="clear" w:color="auto" w:fill="auto"/>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-1,977</w:t>
            </w:r>
          </w:p>
        </w:tc>
        <w:tc>
          <w:tcPr>
            <w:tcW w:w="1134" w:type="dxa"/>
            <w:tcBorders>
              <w:top w:val="single" w:sz="4" w:space="0" w:color="auto"/>
              <w:bottom w:val="single" w:sz="6"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15</w:t>
            </w:r>
          </w:p>
        </w:tc>
        <w:tc>
          <w:tcPr>
            <w:tcW w:w="992" w:type="dxa"/>
            <w:tcBorders>
              <w:top w:val="single" w:sz="4" w:space="0" w:color="auto"/>
              <w:bottom w:val="single" w:sz="6" w:space="0" w:color="auto"/>
            </w:tcBorders>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77</w:t>
            </w:r>
          </w:p>
        </w:tc>
      </w:tr>
      <w:tr w:rsidR="001B0E79" w:rsidRPr="0034283B" w:rsidTr="00781DC7">
        <w:tc>
          <w:tcPr>
            <w:tcW w:w="2127" w:type="dxa"/>
            <w:tcBorders>
              <w:top w:val="single" w:sz="6" w:space="0" w:color="auto"/>
            </w:tcBorders>
            <w:shd w:val="clear" w:color="auto" w:fill="FFF2CC"/>
          </w:tcPr>
          <w:p w:rsidR="001B0E79" w:rsidRPr="00BF5FA6" w:rsidRDefault="001B0E79" w:rsidP="00BF5FA6">
            <w:pPr>
              <w:pStyle w:val="142"/>
              <w:spacing w:line="400" w:lineRule="exact"/>
              <w:ind w:left="351" w:hanging="351"/>
              <w:jc w:val="center"/>
              <w:rPr>
                <w:spacing w:val="-4"/>
                <w:sz w:val="22"/>
                <w:szCs w:val="22"/>
              </w:rPr>
            </w:pPr>
            <w:r w:rsidRPr="00BF5FA6">
              <w:rPr>
                <w:rFonts w:hint="eastAsia"/>
                <w:spacing w:val="-4"/>
                <w:sz w:val="22"/>
                <w:szCs w:val="22"/>
              </w:rPr>
              <w:lastRenderedPageBreak/>
              <w:t>累積盈餘(虧損-)</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-642</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-417</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-2,063</w:t>
            </w:r>
          </w:p>
        </w:tc>
        <w:tc>
          <w:tcPr>
            <w:tcW w:w="992"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spacing w:val="-4"/>
                <w:sz w:val="22"/>
                <w:szCs w:val="22"/>
              </w:rPr>
              <w:t>-3,818</w:t>
            </w:r>
          </w:p>
        </w:tc>
        <w:tc>
          <w:tcPr>
            <w:tcW w:w="1134"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-3,803</w:t>
            </w:r>
          </w:p>
        </w:tc>
        <w:tc>
          <w:tcPr>
            <w:tcW w:w="992" w:type="dxa"/>
            <w:tcBorders>
              <w:top w:val="single" w:sz="6" w:space="0" w:color="auto"/>
            </w:tcBorders>
            <w:shd w:val="clear" w:color="auto" w:fill="FFF2CC"/>
          </w:tcPr>
          <w:p w:rsidR="001B0E79" w:rsidRPr="00BF5FA6" w:rsidRDefault="001B0E79" w:rsidP="00BF5FA6">
            <w:pPr>
              <w:pStyle w:val="142"/>
              <w:spacing w:line="400" w:lineRule="exact"/>
              <w:ind w:left="351" w:hanging="351"/>
              <w:jc w:val="right"/>
              <w:rPr>
                <w:spacing w:val="-4"/>
                <w:sz w:val="22"/>
                <w:szCs w:val="22"/>
              </w:rPr>
            </w:pPr>
            <w:r w:rsidRPr="00BF5FA6">
              <w:rPr>
                <w:rFonts w:hint="eastAsia"/>
                <w:spacing w:val="-4"/>
                <w:sz w:val="22"/>
                <w:szCs w:val="22"/>
              </w:rPr>
              <w:t>-3,726</w:t>
            </w:r>
          </w:p>
        </w:tc>
      </w:tr>
    </w:tbl>
    <w:p w:rsidR="004C4F00" w:rsidRPr="0034283B" w:rsidRDefault="004C4F00" w:rsidP="00101585">
      <w:pPr>
        <w:pStyle w:val="142"/>
        <w:ind w:left="1216" w:rightChars="-50" w:right="-142" w:hangingChars="500" w:hanging="1216"/>
        <w:jc w:val="both"/>
      </w:pPr>
      <w:r w:rsidRPr="0034283B">
        <w:rPr>
          <w:rFonts w:hint="eastAsia"/>
        </w:rPr>
        <w:t>說    明：表列資料11</w:t>
      </w:r>
      <w:r w:rsidRPr="0034283B">
        <w:t>2</w:t>
      </w:r>
      <w:r w:rsidRPr="0034283B">
        <w:rPr>
          <w:rFonts w:hint="eastAsia"/>
        </w:rPr>
        <w:t>年度以前為審定決算數，11</w:t>
      </w:r>
      <w:r w:rsidRPr="0034283B">
        <w:t>3</w:t>
      </w:r>
      <w:r w:rsidRPr="0034283B">
        <w:rPr>
          <w:rFonts w:hint="eastAsia"/>
        </w:rPr>
        <w:t>年</w:t>
      </w:r>
      <w:r w:rsidR="001B0E79">
        <w:rPr>
          <w:rFonts w:hint="eastAsia"/>
        </w:rPr>
        <w:t>度</w:t>
      </w:r>
      <w:r w:rsidR="000D5968">
        <w:rPr>
          <w:rFonts w:hint="eastAsia"/>
        </w:rPr>
        <w:t>預算案編列本期淨損1</w:t>
      </w:r>
      <w:r w:rsidR="000D5968">
        <w:t>,887.05</w:t>
      </w:r>
      <w:r w:rsidR="000D5968">
        <w:rPr>
          <w:rFonts w:hint="eastAsia"/>
        </w:rPr>
        <w:t>億元，表列</w:t>
      </w:r>
      <w:r w:rsidR="001B0E79">
        <w:rPr>
          <w:rFonts w:hint="eastAsia"/>
        </w:rPr>
        <w:t>收支盈餘數</w:t>
      </w:r>
      <w:r w:rsidRPr="0034283B">
        <w:rPr>
          <w:rFonts w:hint="eastAsia"/>
        </w:rPr>
        <w:t>為</w:t>
      </w:r>
      <w:r w:rsidR="000D5968">
        <w:rPr>
          <w:rFonts w:hint="eastAsia"/>
        </w:rPr>
        <w:t>台電公司納入電價調漲等</w:t>
      </w:r>
      <w:r w:rsidRPr="0034283B">
        <w:rPr>
          <w:rFonts w:hint="eastAsia"/>
        </w:rPr>
        <w:t>預估數</w:t>
      </w:r>
      <w:r w:rsidR="000D5968">
        <w:rPr>
          <w:rFonts w:hint="eastAsia"/>
        </w:rPr>
        <w:t>，由台電公司</w:t>
      </w:r>
      <w:r w:rsidR="000D5968">
        <w:t>113</w:t>
      </w:r>
      <w:r w:rsidR="000D5968">
        <w:rPr>
          <w:rFonts w:hint="eastAsia"/>
        </w:rPr>
        <w:t>年8月1</w:t>
      </w:r>
      <w:r w:rsidR="000D5968">
        <w:t>9</w:t>
      </w:r>
      <w:r w:rsidR="000D5968">
        <w:rPr>
          <w:rFonts w:hint="eastAsia"/>
        </w:rPr>
        <w:t>日提供；</w:t>
      </w:r>
      <w:r w:rsidR="001B0E79">
        <w:rPr>
          <w:rFonts w:hint="eastAsia"/>
        </w:rPr>
        <w:t>累積盈餘(虧損)數為1</w:t>
      </w:r>
      <w:r w:rsidR="001B0E79">
        <w:t>14</w:t>
      </w:r>
      <w:r w:rsidR="001B0E79">
        <w:rPr>
          <w:rFonts w:hint="eastAsia"/>
        </w:rPr>
        <w:t>年度預計資產負債表之預計數</w:t>
      </w:r>
      <w:r w:rsidR="003D69FD">
        <w:rPr>
          <w:rFonts w:hint="eastAsia"/>
        </w:rPr>
        <w:t>，1</w:t>
      </w:r>
      <w:r w:rsidR="003D69FD">
        <w:t>14</w:t>
      </w:r>
      <w:r w:rsidR="003D69FD">
        <w:rPr>
          <w:rFonts w:hint="eastAsia"/>
        </w:rPr>
        <w:t>年度為預算案數</w:t>
      </w:r>
      <w:r w:rsidRPr="0034283B">
        <w:rPr>
          <w:rFonts w:hint="eastAsia"/>
        </w:rPr>
        <w:t>。</w:t>
      </w:r>
    </w:p>
    <w:p w:rsidR="004C4F00" w:rsidRDefault="004C4F00" w:rsidP="004C4F00">
      <w:pPr>
        <w:pStyle w:val="142"/>
        <w:ind w:leftChars="-3" w:left="1405" w:hangingChars="581" w:hanging="1413"/>
      </w:pPr>
      <w:r w:rsidRPr="0034283B">
        <w:rPr>
          <w:rFonts w:hint="eastAsia"/>
        </w:rPr>
        <w:t>資料來源：台電公司提供。</w:t>
      </w:r>
      <w:bookmarkStart w:id="1" w:name="_GoBack"/>
      <w:bookmarkEnd w:id="1"/>
    </w:p>
    <w:sectPr w:rsidR="004C4F00"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E10D03" w:rsidRPr="00E10D0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0D03"/>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D288A78-4670-4C14-B07D-246891A5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A4A90-9DF5-4B89-B273-B98FE39E8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288</Words>
  <Characters>1644</Characters>
  <Application>Microsoft Office Word</Application>
  <DocSecurity>0</DocSecurity>
  <Lines>13</Lines>
  <Paragraphs>3</Paragraphs>
  <ScaleCrop>false</ScaleCrop>
  <Company>HOME</Company>
  <LinksUpToDate>false</LinksUpToDate>
  <CharactersWithSpaces>1929</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