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F32" w:rsidRPr="0034283B" w:rsidRDefault="00D33F32" w:rsidP="00D33F32">
      <w:pPr>
        <w:pStyle w:val="aa"/>
      </w:pPr>
      <w:bookmarkStart w:id="0" w:name="_GoBack"/>
      <w:bookmarkEnd w:id="0"/>
      <w:r w:rsidRPr="0034283B">
        <w:rPr>
          <w:rFonts w:hint="eastAsia"/>
        </w:rPr>
        <w:t>台灣電力股份有限公司11</w:t>
      </w:r>
      <w:r w:rsidR="00290FB8" w:rsidRPr="0034283B">
        <w:t>4</w:t>
      </w:r>
      <w:r w:rsidRPr="0034283B">
        <w:rPr>
          <w:rFonts w:hint="eastAsia"/>
        </w:rPr>
        <w:t>年度營業預算評估報告</w:t>
      </w:r>
    </w:p>
    <w:p w:rsidR="00D33F32" w:rsidRPr="0034283B" w:rsidRDefault="00D33F32" w:rsidP="00FA5541">
      <w:pPr>
        <w:pStyle w:val="a7"/>
        <w:ind w:firstLine="566"/>
      </w:pPr>
      <w:r w:rsidRPr="0034283B">
        <w:rPr>
          <w:rFonts w:hint="eastAsia"/>
        </w:rPr>
        <w:t>台灣電力股份有限公司(以下稱台電公司)主要任務係穩定供應我國經濟發展及全民生活所需之電力，以促進工商業繁榮，並提高人民生活水準。</w:t>
      </w:r>
      <w:r w:rsidR="00401B02" w:rsidRPr="0034283B">
        <w:rPr>
          <w:rFonts w:hAnsi="標楷體" w:hint="eastAsia"/>
        </w:rPr>
        <w:t>台電公司114年度預算案編列營業收入9,895億3,648萬9千元，營業成本9,393億3,440萬6千元，營業費用173億7,111萬8千元，營業外收入152億4,880萬4千元，營業外費用403億4,303萬6千元，收支相抵後本期淨利77億3,673萬3千元，較113年度預算淨損1,887億453萬8千元，</w:t>
      </w:r>
      <w:r w:rsidR="00414AA7" w:rsidRPr="0034283B">
        <w:rPr>
          <w:rFonts w:hAnsi="標楷體" w:hint="eastAsia"/>
        </w:rPr>
        <w:t>由虧轉盈</w:t>
      </w:r>
      <w:r w:rsidR="00401B02" w:rsidRPr="0034283B">
        <w:rPr>
          <w:rFonts w:hAnsi="標楷體" w:hint="eastAsia"/>
        </w:rPr>
        <w:t>。</w:t>
      </w:r>
      <w:r w:rsidRPr="0034283B">
        <w:rPr>
          <w:rFonts w:hint="eastAsia"/>
        </w:rPr>
        <w:t>謹就台電公司11</w:t>
      </w:r>
      <w:r w:rsidR="00290FB8" w:rsidRPr="0034283B">
        <w:t>4</w:t>
      </w:r>
      <w:r w:rsidRPr="0034283B">
        <w:rPr>
          <w:rFonts w:hint="eastAsia"/>
        </w:rPr>
        <w:t>年度營業預算案評估如下：</w:t>
      </w:r>
    </w:p>
    <w:p w:rsidR="00E21792" w:rsidRDefault="00E21792" w:rsidP="00E21792">
      <w:pPr>
        <w:pStyle w:val="14"/>
        <w:ind w:left="567" w:hanging="567"/>
        <w:rPr>
          <w:rFonts w:hint="eastAsia"/>
        </w:rPr>
      </w:pPr>
      <w:bookmarkStart w:id="1" w:name="_Toc181628379"/>
      <w:r>
        <w:rPr>
          <w:rFonts w:hint="eastAsia"/>
        </w:rPr>
        <w:t>一一、</w:t>
      </w:r>
      <w:bookmarkStart w:id="2" w:name="_Toc167713305"/>
      <w:r>
        <w:rPr>
          <w:rFonts w:hint="eastAsia"/>
        </w:rPr>
        <w:t>購建固定資產經費逐年增加，營運資金短缺情形加劇，允宜加強控管固定資產購建計畫之成本效益規劃及評估作業，以維持經營之健全</w:t>
      </w:r>
      <w:bookmarkEnd w:id="2"/>
      <w:r>
        <w:rPr>
          <w:rFonts w:hint="eastAsia"/>
        </w:rPr>
        <w:t>性</w:t>
      </w:r>
      <w:bookmarkEnd w:id="1"/>
    </w:p>
    <w:p w:rsidR="00E21792" w:rsidRDefault="00E21792" w:rsidP="00E21792">
      <w:pPr>
        <w:ind w:left="566" w:firstLine="566"/>
        <w:rPr>
          <w:b/>
        </w:rPr>
      </w:pPr>
      <w:r w:rsidRPr="008A7025">
        <w:rPr>
          <w:rFonts w:hint="eastAsia"/>
        </w:rPr>
        <w:t>台電公司11</w:t>
      </w:r>
      <w:r>
        <w:t>4</w:t>
      </w:r>
      <w:r w:rsidRPr="008A7025">
        <w:rPr>
          <w:rFonts w:hint="eastAsia"/>
        </w:rPr>
        <w:t>年度預算案</w:t>
      </w:r>
      <w:r>
        <w:rPr>
          <w:rFonts w:hint="eastAsia"/>
        </w:rPr>
        <w:t>固定資產建設改良擴充計畫編列2</w:t>
      </w:r>
      <w:r>
        <w:t>,689</w:t>
      </w:r>
      <w:r>
        <w:rPr>
          <w:rFonts w:hint="eastAsia"/>
        </w:rPr>
        <w:t>億8</w:t>
      </w:r>
      <w:r w:rsidR="003F691D">
        <w:t>,</w:t>
      </w:r>
      <w:r>
        <w:t>819</w:t>
      </w:r>
      <w:r>
        <w:rPr>
          <w:rFonts w:hint="eastAsia"/>
        </w:rPr>
        <w:t>萬8千元，另</w:t>
      </w:r>
      <w:r w:rsidRPr="008A7025">
        <w:rPr>
          <w:rFonts w:hint="eastAsia"/>
        </w:rPr>
        <w:t>新增舉借長期債務</w:t>
      </w:r>
      <w:r>
        <w:rPr>
          <w:rFonts w:hint="eastAsia"/>
        </w:rPr>
        <w:t>3</w:t>
      </w:r>
      <w:r>
        <w:t>,291</w:t>
      </w:r>
      <w:r w:rsidRPr="008A7025">
        <w:rPr>
          <w:rFonts w:hint="eastAsia"/>
        </w:rPr>
        <w:t>億</w:t>
      </w:r>
      <w:r>
        <w:rPr>
          <w:rFonts w:hint="eastAsia"/>
        </w:rPr>
        <w:t>8</w:t>
      </w:r>
      <w:r>
        <w:t>,500</w:t>
      </w:r>
      <w:r w:rsidRPr="008A7025">
        <w:rPr>
          <w:rFonts w:hint="eastAsia"/>
        </w:rPr>
        <w:t>萬元，包括支應購建固定資產</w:t>
      </w:r>
      <w:r>
        <w:rPr>
          <w:rFonts w:hint="eastAsia"/>
        </w:rPr>
        <w:t>2</w:t>
      </w:r>
      <w:r>
        <w:t>,106</w:t>
      </w:r>
      <w:r w:rsidRPr="008A7025">
        <w:rPr>
          <w:rFonts w:hint="eastAsia"/>
        </w:rPr>
        <w:t>億</w:t>
      </w:r>
      <w:r>
        <w:rPr>
          <w:rFonts w:hint="eastAsia"/>
        </w:rPr>
        <w:t>9</w:t>
      </w:r>
      <w:r>
        <w:t>,900</w:t>
      </w:r>
      <w:r w:rsidRPr="008A7025">
        <w:rPr>
          <w:rFonts w:hint="eastAsia"/>
        </w:rPr>
        <w:t>萬元及支應長期借款還本</w:t>
      </w:r>
      <w:r>
        <w:rPr>
          <w:rFonts w:hint="eastAsia"/>
        </w:rPr>
        <w:t>1</w:t>
      </w:r>
      <w:r>
        <w:t>,184</w:t>
      </w:r>
      <w:r w:rsidRPr="008A7025">
        <w:rPr>
          <w:rFonts w:hint="eastAsia"/>
        </w:rPr>
        <w:t>億</w:t>
      </w:r>
      <w:r>
        <w:rPr>
          <w:rFonts w:hint="eastAsia"/>
        </w:rPr>
        <w:t>8</w:t>
      </w:r>
      <w:r>
        <w:t>,600</w:t>
      </w:r>
      <w:r w:rsidRPr="008A7025">
        <w:rPr>
          <w:rFonts w:hint="eastAsia"/>
        </w:rPr>
        <w:t>萬元</w:t>
      </w:r>
      <w:r w:rsidRPr="0034283B">
        <w:rPr>
          <w:rFonts w:hint="eastAsia"/>
        </w:rPr>
        <w:t>。經查：</w:t>
      </w:r>
    </w:p>
    <w:p w:rsidR="00E21792" w:rsidRPr="005640F6" w:rsidRDefault="00E21792" w:rsidP="00E21792">
      <w:pPr>
        <w:pStyle w:val="a4"/>
        <w:spacing w:line="460" w:lineRule="exact"/>
        <w:ind w:left="849" w:hanging="283"/>
        <w:rPr>
          <w:b/>
        </w:rPr>
      </w:pPr>
      <w:r w:rsidRPr="005640F6">
        <w:rPr>
          <w:rFonts w:hint="eastAsia"/>
          <w:b/>
        </w:rPr>
        <w:t>(一)</w:t>
      </w:r>
      <w:r>
        <w:rPr>
          <w:rFonts w:hint="eastAsia"/>
          <w:b/>
        </w:rPr>
        <w:t>投入購建固定資產經費逐年提高，且專案計畫資</w:t>
      </w:r>
      <w:r w:rsidR="001E1D59">
        <w:rPr>
          <w:rFonts w:hint="eastAsia"/>
          <w:b/>
        </w:rPr>
        <w:t>金</w:t>
      </w:r>
      <w:r>
        <w:rPr>
          <w:rFonts w:hint="eastAsia"/>
          <w:b/>
        </w:rPr>
        <w:t>來源主要來自政府投資及外借資金</w:t>
      </w:r>
      <w:r w:rsidRPr="005640F6">
        <w:rPr>
          <w:b/>
        </w:rPr>
        <w:t xml:space="preserve"> </w:t>
      </w:r>
    </w:p>
    <w:p w:rsidR="00E21792" w:rsidRDefault="005D67A6" w:rsidP="00E21792">
      <w:pPr>
        <w:pStyle w:val="21"/>
        <w:ind w:left="850" w:firstLine="566"/>
      </w:pPr>
      <w:r>
        <w:rPr>
          <w:rFonts w:hint="eastAsia"/>
        </w:rPr>
        <w:t>按</w:t>
      </w:r>
      <w:r w:rsidR="00E21792">
        <w:rPr>
          <w:rFonts w:hint="eastAsia"/>
        </w:rPr>
        <w:t>台電公司為我國唯一輸配電業者，肩負穩定提供我國經濟開發及全民生活所需電力之任務，爰依電業法之規定</w:t>
      </w:r>
      <w:r>
        <w:rPr>
          <w:rStyle w:val="af3"/>
        </w:rPr>
        <w:footnoteReference w:id="1"/>
      </w:r>
      <w:r w:rsidR="00E21792">
        <w:rPr>
          <w:rFonts w:hint="eastAsia"/>
        </w:rPr>
        <w:t>，持續辦理</w:t>
      </w:r>
      <w:r>
        <w:rPr>
          <w:rFonts w:hint="eastAsia"/>
        </w:rPr>
        <w:t>加強</w:t>
      </w:r>
      <w:r w:rsidR="00E21792">
        <w:rPr>
          <w:rFonts w:hint="eastAsia"/>
        </w:rPr>
        <w:t>電網韌性及再生能源開發計畫。參據台電公司近年度預決算書所示，1</w:t>
      </w:r>
      <w:r w:rsidR="00E21792">
        <w:t>10</w:t>
      </w:r>
      <w:r w:rsidR="00E21792">
        <w:rPr>
          <w:rFonts w:hint="eastAsia"/>
        </w:rPr>
        <w:t>至1</w:t>
      </w:r>
      <w:r w:rsidR="00E21792">
        <w:t>12</w:t>
      </w:r>
      <w:r w:rsidR="00E21792">
        <w:rPr>
          <w:rFonts w:hint="eastAsia"/>
        </w:rPr>
        <w:t>年度購建固</w:t>
      </w:r>
      <w:r>
        <w:rPr>
          <w:rFonts w:hint="eastAsia"/>
        </w:rPr>
        <w:t>定</w:t>
      </w:r>
      <w:r w:rsidR="00E21792">
        <w:rPr>
          <w:rFonts w:hint="eastAsia"/>
        </w:rPr>
        <w:t>資產建設計畫經費</w:t>
      </w:r>
      <w:r w:rsidR="001E1D59">
        <w:rPr>
          <w:rFonts w:hint="eastAsia"/>
        </w:rPr>
        <w:t>平均</w:t>
      </w:r>
      <w:r w:rsidR="00A17226">
        <w:rPr>
          <w:rFonts w:hint="eastAsia"/>
        </w:rPr>
        <w:t>每</w:t>
      </w:r>
      <w:r w:rsidR="001E1D59">
        <w:rPr>
          <w:rFonts w:hint="eastAsia"/>
        </w:rPr>
        <w:t>年約1</w:t>
      </w:r>
      <w:r w:rsidR="001E1D59">
        <w:t>,633</w:t>
      </w:r>
      <w:r w:rsidR="001E1D59">
        <w:rPr>
          <w:rFonts w:hint="eastAsia"/>
        </w:rPr>
        <w:t>億</w:t>
      </w:r>
      <w:r w:rsidR="00E21792">
        <w:rPr>
          <w:rFonts w:hint="eastAsia"/>
        </w:rPr>
        <w:t>元，1</w:t>
      </w:r>
      <w:r w:rsidR="00E21792">
        <w:t>13</w:t>
      </w:r>
      <w:r w:rsidR="001475E3">
        <w:rPr>
          <w:rFonts w:hint="eastAsia"/>
        </w:rPr>
        <w:t>年起預算編列數遽增至2</w:t>
      </w:r>
      <w:r w:rsidR="001475E3">
        <w:t>,553</w:t>
      </w:r>
      <w:r w:rsidR="001475E3">
        <w:rPr>
          <w:rFonts w:hint="eastAsia"/>
        </w:rPr>
        <w:t>億元，</w:t>
      </w:r>
      <w:r w:rsidR="00E21792">
        <w:rPr>
          <w:rFonts w:hint="eastAsia"/>
        </w:rPr>
        <w:t>1</w:t>
      </w:r>
      <w:r w:rsidR="00E21792">
        <w:t>14</w:t>
      </w:r>
      <w:r w:rsidR="00E21792">
        <w:rPr>
          <w:rFonts w:hint="eastAsia"/>
        </w:rPr>
        <w:t>年度</w:t>
      </w:r>
      <w:r w:rsidR="001475E3">
        <w:rPr>
          <w:rFonts w:hint="eastAsia"/>
        </w:rPr>
        <w:t>再提高至2</w:t>
      </w:r>
      <w:r w:rsidR="001475E3">
        <w:t>,690</w:t>
      </w:r>
      <w:r w:rsidR="001475E3">
        <w:rPr>
          <w:rFonts w:hint="eastAsia"/>
        </w:rPr>
        <w:t>億元，</w:t>
      </w:r>
      <w:r w:rsidR="003F200B">
        <w:rPr>
          <w:rFonts w:hint="eastAsia"/>
        </w:rPr>
        <w:t>其中專案計畫經費占比</w:t>
      </w:r>
      <w:r w:rsidR="001475E3">
        <w:rPr>
          <w:rFonts w:hint="eastAsia"/>
        </w:rPr>
        <w:t>仍</w:t>
      </w:r>
      <w:r w:rsidR="00764E28">
        <w:rPr>
          <w:rFonts w:hint="eastAsia"/>
        </w:rPr>
        <w:t>維持在</w:t>
      </w:r>
      <w:r w:rsidR="003F200B">
        <w:rPr>
          <w:rFonts w:hint="eastAsia"/>
        </w:rPr>
        <w:t>4成至5成間</w:t>
      </w:r>
      <w:r w:rsidR="00A17226">
        <w:rPr>
          <w:rFonts w:hint="eastAsia"/>
        </w:rPr>
        <w:t>。</w:t>
      </w:r>
      <w:r>
        <w:rPr>
          <w:rFonts w:hint="eastAsia"/>
        </w:rPr>
        <w:t>惟該公司因持續虧損，自有資金裕度不足，</w:t>
      </w:r>
      <w:r w:rsidR="00E21792">
        <w:rPr>
          <w:rFonts w:hint="eastAsia"/>
        </w:rPr>
        <w:t>專案</w:t>
      </w:r>
      <w:r w:rsidR="001475E3">
        <w:rPr>
          <w:rFonts w:hint="eastAsia"/>
        </w:rPr>
        <w:lastRenderedPageBreak/>
        <w:t>計畫之</w:t>
      </w:r>
      <w:r w:rsidR="00E21792">
        <w:rPr>
          <w:rFonts w:hint="eastAsia"/>
        </w:rPr>
        <w:t>資金來源主要依賴政府投資及外借資金，</w:t>
      </w:r>
      <w:r>
        <w:rPr>
          <w:rFonts w:hint="eastAsia"/>
        </w:rPr>
        <w:t>其自有營運資金占</w:t>
      </w:r>
      <w:r w:rsidR="00E21792">
        <w:rPr>
          <w:rFonts w:hint="eastAsia"/>
        </w:rPr>
        <w:t>專案資金來源</w:t>
      </w:r>
      <w:r w:rsidR="001475E3">
        <w:rPr>
          <w:rFonts w:hint="eastAsia"/>
        </w:rPr>
        <w:t>最高未逾3成</w:t>
      </w:r>
      <w:r w:rsidR="00E21792">
        <w:rPr>
          <w:rFonts w:hint="eastAsia"/>
        </w:rPr>
        <w:t>，</w:t>
      </w:r>
      <w:r w:rsidR="00022460">
        <w:rPr>
          <w:rFonts w:hint="eastAsia"/>
        </w:rPr>
        <w:t>甚</w:t>
      </w:r>
      <w:r w:rsidR="001475E3">
        <w:rPr>
          <w:rFonts w:hint="eastAsia"/>
        </w:rPr>
        <w:t>1</w:t>
      </w:r>
      <w:r w:rsidR="001475E3">
        <w:t>1</w:t>
      </w:r>
      <w:r w:rsidR="00DF13E6">
        <w:t>1</w:t>
      </w:r>
      <w:r w:rsidR="001475E3">
        <w:rPr>
          <w:rFonts w:hint="eastAsia"/>
        </w:rPr>
        <w:t>年度之</w:t>
      </w:r>
      <w:r w:rsidR="00E21792">
        <w:rPr>
          <w:rFonts w:hint="eastAsia"/>
        </w:rPr>
        <w:t>資金來源全數</w:t>
      </w:r>
      <w:r w:rsidR="001475E3">
        <w:rPr>
          <w:rFonts w:hint="eastAsia"/>
        </w:rPr>
        <w:t>為</w:t>
      </w:r>
      <w:r w:rsidR="00E21792">
        <w:rPr>
          <w:rFonts w:hint="eastAsia"/>
        </w:rPr>
        <w:t>外借資金(詳表1</w:t>
      </w:r>
      <w:r w:rsidR="00E21792">
        <w:t>)</w:t>
      </w:r>
      <w:r w:rsidR="00E21792">
        <w:rPr>
          <w:rFonts w:hint="eastAsia"/>
        </w:rPr>
        <w:t>。</w:t>
      </w:r>
      <w:r w:rsidR="00E21792" w:rsidRPr="00CB7775">
        <w:rPr>
          <w:rFonts w:hint="eastAsia"/>
        </w:rPr>
        <w:t xml:space="preserve"> </w:t>
      </w:r>
    </w:p>
    <w:p w:rsidR="00E21792" w:rsidRDefault="00E21792" w:rsidP="00E21792">
      <w:pPr>
        <w:ind w:leftChars="5" w:left="567" w:hangingChars="195" w:hanging="553"/>
        <w:rPr>
          <w:rFonts w:hAnsi="標楷體"/>
          <w:b/>
          <w:color w:val="000000"/>
        </w:rPr>
      </w:pPr>
      <w:r w:rsidRPr="00564D02">
        <w:rPr>
          <w:rFonts w:hAnsi="標楷體" w:hint="eastAsia"/>
          <w:b/>
          <w:color w:val="000000"/>
        </w:rPr>
        <w:t>表</w:t>
      </w:r>
      <w:r>
        <w:rPr>
          <w:rFonts w:hAnsi="標楷體" w:hint="eastAsia"/>
          <w:b/>
          <w:color w:val="000000"/>
        </w:rPr>
        <w:t xml:space="preserve">1 </w:t>
      </w:r>
      <w:r w:rsidRPr="00564D02">
        <w:rPr>
          <w:rFonts w:hAnsi="標楷體" w:hint="eastAsia"/>
          <w:b/>
          <w:color w:val="000000"/>
        </w:rPr>
        <w:t>台電公司</w:t>
      </w:r>
      <w:r>
        <w:rPr>
          <w:rFonts w:hAnsi="標楷體" w:hint="eastAsia"/>
          <w:b/>
          <w:color w:val="000000"/>
        </w:rPr>
        <w:t>1</w:t>
      </w:r>
      <w:r>
        <w:rPr>
          <w:rFonts w:hAnsi="標楷體"/>
          <w:b/>
          <w:color w:val="000000"/>
        </w:rPr>
        <w:t>10</w:t>
      </w:r>
      <w:r>
        <w:rPr>
          <w:rFonts w:hAnsi="標楷體" w:hint="eastAsia"/>
          <w:b/>
          <w:color w:val="000000"/>
        </w:rPr>
        <w:t>至11</w:t>
      </w:r>
      <w:r>
        <w:rPr>
          <w:rFonts w:hAnsi="標楷體"/>
          <w:b/>
          <w:color w:val="000000"/>
        </w:rPr>
        <w:t>4</w:t>
      </w:r>
      <w:r>
        <w:rPr>
          <w:rFonts w:hAnsi="標楷體" w:hint="eastAsia"/>
          <w:b/>
          <w:color w:val="000000"/>
        </w:rPr>
        <w:t>年度購建固定資產建設經費</w:t>
      </w:r>
      <w:r w:rsidRPr="00564D02">
        <w:rPr>
          <w:rFonts w:hAnsi="標楷體" w:hint="eastAsia"/>
          <w:b/>
          <w:color w:val="000000"/>
        </w:rPr>
        <w:t>概況表</w:t>
      </w:r>
    </w:p>
    <w:p w:rsidR="00E21792" w:rsidRPr="00DB1CAC" w:rsidRDefault="00E21792" w:rsidP="00E21792">
      <w:pPr>
        <w:spacing w:line="400" w:lineRule="exact"/>
        <w:ind w:leftChars="5" w:left="567" w:right="283" w:hangingChars="195" w:hanging="553"/>
        <w:jc w:val="right"/>
        <w:rPr>
          <w:rFonts w:hAnsi="標楷體"/>
          <w:color w:val="000000"/>
          <w:sz w:val="24"/>
          <w:szCs w:val="24"/>
        </w:rPr>
      </w:pPr>
      <w:r w:rsidRPr="00564D02">
        <w:rPr>
          <w:rFonts w:hAnsi="標楷體" w:hint="eastAsia"/>
          <w:b/>
          <w:color w:val="000000"/>
        </w:rPr>
        <w:t xml:space="preserve"> </w:t>
      </w:r>
      <w:r>
        <w:rPr>
          <w:rFonts w:hAnsi="標楷體" w:hint="eastAsia"/>
          <w:b/>
          <w:color w:val="000000"/>
        </w:rPr>
        <w:t xml:space="preserve"> </w:t>
      </w:r>
      <w:r w:rsidRPr="00DB1CAC">
        <w:rPr>
          <w:rFonts w:hAnsi="標楷體" w:hint="eastAsia"/>
          <w:color w:val="000000"/>
          <w:sz w:val="24"/>
          <w:szCs w:val="24"/>
        </w:rPr>
        <w:t>單位：新臺幣</w:t>
      </w:r>
      <w:r>
        <w:rPr>
          <w:rFonts w:hAnsi="標楷體" w:hint="eastAsia"/>
          <w:color w:val="000000"/>
          <w:sz w:val="24"/>
          <w:szCs w:val="24"/>
        </w:rPr>
        <w:t>億</w:t>
      </w:r>
      <w:r w:rsidRPr="00DB1CAC">
        <w:rPr>
          <w:rFonts w:hAnsi="標楷體" w:hint="eastAsia"/>
          <w:color w:val="000000"/>
          <w:sz w:val="24"/>
          <w:szCs w:val="24"/>
        </w:rPr>
        <w:t>元</w:t>
      </w:r>
      <w:r>
        <w:rPr>
          <w:rFonts w:hAnsi="標楷體" w:hint="eastAsia"/>
          <w:color w:val="000000"/>
          <w:sz w:val="24"/>
          <w:szCs w:val="24"/>
        </w:rPr>
        <w:t>；%</w:t>
      </w:r>
    </w:p>
    <w:tbl>
      <w:tblPr>
        <w:tblW w:w="823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48"/>
        <w:gridCol w:w="1276"/>
        <w:gridCol w:w="1134"/>
        <w:gridCol w:w="1134"/>
        <w:gridCol w:w="1134"/>
        <w:gridCol w:w="1134"/>
        <w:gridCol w:w="1275"/>
      </w:tblGrid>
      <w:tr w:rsidR="00E21792" w:rsidRPr="00564D02" w:rsidTr="000C52A3">
        <w:trPr>
          <w:tblHeader/>
        </w:trPr>
        <w:tc>
          <w:tcPr>
            <w:tcW w:w="2424" w:type="dxa"/>
            <w:gridSpan w:val="2"/>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項目</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110年度</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111年度</w:t>
            </w:r>
          </w:p>
        </w:tc>
        <w:tc>
          <w:tcPr>
            <w:tcW w:w="1134" w:type="dxa"/>
            <w:shd w:val="clear" w:color="auto" w:fill="auto"/>
            <w:vAlign w:val="center"/>
          </w:tcPr>
          <w:p w:rsidR="00E21792" w:rsidRPr="00564D02" w:rsidRDefault="00E21792" w:rsidP="00D460E8">
            <w:pPr>
              <w:pStyle w:val="142"/>
              <w:spacing w:line="320" w:lineRule="exact"/>
              <w:ind w:left="439" w:hanging="439"/>
              <w:jc w:val="center"/>
              <w:rPr>
                <w:rFonts w:hint="eastAsia"/>
                <w:color w:val="000000"/>
                <w:spacing w:val="-10"/>
              </w:rPr>
            </w:pPr>
            <w:r w:rsidRPr="00564D02">
              <w:rPr>
                <w:rFonts w:hint="eastAsia"/>
                <w:color w:val="000000"/>
                <w:spacing w:val="-10"/>
              </w:rPr>
              <w:t>112年度</w:t>
            </w:r>
          </w:p>
        </w:tc>
        <w:tc>
          <w:tcPr>
            <w:tcW w:w="1134" w:type="dxa"/>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1</w:t>
            </w:r>
            <w:r>
              <w:rPr>
                <w:color w:val="000000"/>
                <w:spacing w:val="-10"/>
              </w:rPr>
              <w:t>13</w:t>
            </w:r>
            <w:r>
              <w:rPr>
                <w:rFonts w:hint="eastAsia"/>
                <w:color w:val="000000"/>
                <w:spacing w:val="-10"/>
              </w:rPr>
              <w:t>年度</w:t>
            </w:r>
          </w:p>
        </w:tc>
        <w:tc>
          <w:tcPr>
            <w:tcW w:w="1275" w:type="dxa"/>
          </w:tcPr>
          <w:p w:rsidR="00E21792" w:rsidRPr="00564D02" w:rsidRDefault="00E21792" w:rsidP="00D460E8">
            <w:pPr>
              <w:pStyle w:val="142"/>
              <w:spacing w:line="320" w:lineRule="exact"/>
              <w:ind w:left="439" w:hanging="439"/>
              <w:jc w:val="center"/>
              <w:rPr>
                <w:rFonts w:hint="eastAsia"/>
                <w:color w:val="000000"/>
                <w:spacing w:val="-10"/>
              </w:rPr>
            </w:pPr>
            <w:r>
              <w:rPr>
                <w:rFonts w:hint="eastAsia"/>
                <w:color w:val="000000"/>
                <w:spacing w:val="-10"/>
              </w:rPr>
              <w:t>1</w:t>
            </w:r>
            <w:r>
              <w:rPr>
                <w:color w:val="000000"/>
                <w:spacing w:val="-10"/>
              </w:rPr>
              <w:t>14</w:t>
            </w:r>
            <w:r>
              <w:rPr>
                <w:rFonts w:hint="eastAsia"/>
                <w:color w:val="000000"/>
                <w:spacing w:val="-10"/>
              </w:rPr>
              <w:t>年度</w:t>
            </w:r>
          </w:p>
        </w:tc>
      </w:tr>
      <w:tr w:rsidR="00E21792" w:rsidRPr="00564D02" w:rsidTr="000C52A3">
        <w:tc>
          <w:tcPr>
            <w:tcW w:w="2424" w:type="dxa"/>
            <w:gridSpan w:val="2"/>
            <w:shd w:val="clear" w:color="auto" w:fill="auto"/>
          </w:tcPr>
          <w:p w:rsidR="00E21792" w:rsidRDefault="00E21792" w:rsidP="00764E28">
            <w:pPr>
              <w:pStyle w:val="142"/>
              <w:spacing w:line="320" w:lineRule="exact"/>
              <w:ind w:left="439" w:hanging="439"/>
              <w:rPr>
                <w:rFonts w:hint="eastAsia"/>
                <w:color w:val="000000"/>
                <w:spacing w:val="-10"/>
              </w:rPr>
            </w:pPr>
            <w:r>
              <w:rPr>
                <w:rFonts w:hint="eastAsia"/>
                <w:color w:val="000000"/>
                <w:spacing w:val="-10"/>
              </w:rPr>
              <w:t>購建</w:t>
            </w:r>
            <w:r w:rsidRPr="00E21792">
              <w:rPr>
                <w:rFonts w:hint="eastAsia"/>
                <w:color w:val="000000"/>
                <w:spacing w:val="-10"/>
              </w:rPr>
              <w:t>固定資產</w:t>
            </w:r>
            <w:r w:rsidR="003F200B">
              <w:rPr>
                <w:rFonts w:hint="eastAsia"/>
                <w:color w:val="000000"/>
                <w:spacing w:val="-10"/>
              </w:rPr>
              <w:t>(</w:t>
            </w:r>
            <w:r w:rsidR="000C52A3">
              <w:rPr>
                <w:color w:val="000000"/>
                <w:spacing w:val="-10"/>
              </w:rPr>
              <w:t>A)</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,494</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,628</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,777</w:t>
            </w:r>
          </w:p>
        </w:tc>
        <w:tc>
          <w:tcPr>
            <w:tcW w:w="1134" w:type="dxa"/>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,553</w:t>
            </w:r>
          </w:p>
        </w:tc>
        <w:tc>
          <w:tcPr>
            <w:tcW w:w="1275" w:type="dxa"/>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,690</w:t>
            </w:r>
          </w:p>
        </w:tc>
      </w:tr>
      <w:tr w:rsidR="00E21792" w:rsidRPr="00564D02" w:rsidTr="000C52A3">
        <w:tc>
          <w:tcPr>
            <w:tcW w:w="2424" w:type="dxa"/>
            <w:gridSpan w:val="2"/>
            <w:shd w:val="clear" w:color="auto" w:fill="auto"/>
          </w:tcPr>
          <w:p w:rsidR="00E21792" w:rsidRDefault="00E21792" w:rsidP="000C52A3">
            <w:pPr>
              <w:pStyle w:val="142"/>
              <w:spacing w:line="320" w:lineRule="exact"/>
              <w:ind w:left="439" w:hanging="439"/>
              <w:rPr>
                <w:rFonts w:hint="eastAsia"/>
                <w:color w:val="000000"/>
                <w:spacing w:val="-10"/>
              </w:rPr>
            </w:pPr>
            <w:r>
              <w:rPr>
                <w:rFonts w:hint="eastAsia"/>
                <w:color w:val="000000"/>
                <w:spacing w:val="-10"/>
              </w:rPr>
              <w:t>專案計畫</w:t>
            </w:r>
            <w:r w:rsidR="003F200B">
              <w:rPr>
                <w:rFonts w:hint="eastAsia"/>
                <w:color w:val="000000"/>
                <w:spacing w:val="-10"/>
              </w:rPr>
              <w:t>(</w:t>
            </w:r>
            <w:r w:rsidR="000C52A3">
              <w:rPr>
                <w:color w:val="000000"/>
                <w:spacing w:val="-10"/>
              </w:rPr>
              <w:t>B)</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47</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61</w:t>
            </w:r>
          </w:p>
        </w:tc>
        <w:tc>
          <w:tcPr>
            <w:tcW w:w="1134" w:type="dxa"/>
            <w:shd w:val="clear" w:color="auto" w:fill="auto"/>
            <w:vAlign w:val="center"/>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92</w:t>
            </w:r>
          </w:p>
        </w:tc>
        <w:tc>
          <w:tcPr>
            <w:tcW w:w="1134" w:type="dxa"/>
          </w:tcPr>
          <w:p w:rsidR="00E21792" w:rsidRDefault="00E21792" w:rsidP="00D460E8">
            <w:pPr>
              <w:pStyle w:val="142"/>
              <w:spacing w:line="320" w:lineRule="exact"/>
              <w:ind w:left="439" w:hanging="439"/>
              <w:jc w:val="right"/>
              <w:rPr>
                <w:rFonts w:hint="eastAsia"/>
                <w:color w:val="000000"/>
                <w:spacing w:val="-10"/>
              </w:rPr>
            </w:pPr>
            <w:r>
              <w:rPr>
                <w:color w:val="000000"/>
                <w:spacing w:val="-10"/>
              </w:rPr>
              <w:t>1,206</w:t>
            </w:r>
          </w:p>
        </w:tc>
        <w:tc>
          <w:tcPr>
            <w:tcW w:w="1275" w:type="dxa"/>
          </w:tcPr>
          <w:p w:rsidR="00E21792" w:rsidRDefault="00E21792" w:rsidP="00D460E8">
            <w:pPr>
              <w:pStyle w:val="142"/>
              <w:spacing w:line="320" w:lineRule="exact"/>
              <w:ind w:left="439" w:hanging="439"/>
              <w:jc w:val="right"/>
              <w:rPr>
                <w:rFonts w:hint="eastAsia"/>
                <w:color w:val="000000"/>
                <w:spacing w:val="-10"/>
              </w:rPr>
            </w:pPr>
            <w:r>
              <w:rPr>
                <w:rFonts w:hint="eastAsia"/>
                <w:color w:val="000000"/>
                <w:spacing w:val="-10"/>
              </w:rPr>
              <w:t>1</w:t>
            </w:r>
            <w:r>
              <w:rPr>
                <w:color w:val="000000"/>
                <w:spacing w:val="-10"/>
              </w:rPr>
              <w:t>,456</w:t>
            </w:r>
          </w:p>
        </w:tc>
      </w:tr>
      <w:tr w:rsidR="00764E28" w:rsidRPr="00564D02" w:rsidTr="00733B42">
        <w:tc>
          <w:tcPr>
            <w:tcW w:w="2424" w:type="dxa"/>
            <w:gridSpan w:val="2"/>
            <w:shd w:val="clear" w:color="auto" w:fill="auto"/>
          </w:tcPr>
          <w:p w:rsidR="00764E28" w:rsidRDefault="00764E28" w:rsidP="00764E28">
            <w:pPr>
              <w:pStyle w:val="142"/>
              <w:spacing w:line="320" w:lineRule="exact"/>
              <w:ind w:left="439" w:hanging="439"/>
              <w:rPr>
                <w:rFonts w:hint="eastAsia"/>
                <w:color w:val="000000"/>
                <w:spacing w:val="-10"/>
              </w:rPr>
            </w:pPr>
            <w:r>
              <w:rPr>
                <w:rFonts w:hint="eastAsia"/>
                <w:color w:val="000000"/>
                <w:spacing w:val="-10"/>
              </w:rPr>
              <w:t>專案計畫占比(</w:t>
            </w:r>
            <w:r>
              <w:rPr>
                <w:color w:val="000000"/>
                <w:spacing w:val="-10"/>
              </w:rPr>
              <w:t>B/</w:t>
            </w:r>
            <w:r>
              <w:rPr>
                <w:rFonts w:hint="eastAsia"/>
                <w:color w:val="000000"/>
                <w:spacing w:val="-10"/>
              </w:rPr>
              <w:t>A</w:t>
            </w:r>
            <w:r>
              <w:rPr>
                <w:color w:val="000000"/>
                <w:spacing w:val="-10"/>
              </w:rPr>
              <w:t>)</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50.00</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46.74</w:t>
            </w:r>
          </w:p>
        </w:tc>
        <w:tc>
          <w:tcPr>
            <w:tcW w:w="1134" w:type="dxa"/>
            <w:shd w:val="clear" w:color="auto" w:fill="auto"/>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44.57</w:t>
            </w:r>
          </w:p>
        </w:tc>
        <w:tc>
          <w:tcPr>
            <w:tcW w:w="1134" w:type="dxa"/>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47.24</w:t>
            </w:r>
          </w:p>
        </w:tc>
        <w:tc>
          <w:tcPr>
            <w:tcW w:w="1275" w:type="dxa"/>
          </w:tcPr>
          <w:p w:rsidR="00764E28" w:rsidRPr="00764E28" w:rsidRDefault="00764E28" w:rsidP="00764E28">
            <w:pPr>
              <w:pStyle w:val="142"/>
              <w:spacing w:line="320" w:lineRule="exact"/>
              <w:ind w:left="439" w:hanging="439"/>
              <w:jc w:val="right"/>
              <w:rPr>
                <w:color w:val="000000"/>
                <w:spacing w:val="-10"/>
              </w:rPr>
            </w:pPr>
            <w:r w:rsidRPr="00764E28">
              <w:rPr>
                <w:color w:val="000000"/>
                <w:spacing w:val="-10"/>
              </w:rPr>
              <w:t>54.13</w:t>
            </w:r>
          </w:p>
        </w:tc>
      </w:tr>
      <w:tr w:rsidR="00E21792" w:rsidRPr="00564D02" w:rsidTr="000C52A3">
        <w:tc>
          <w:tcPr>
            <w:tcW w:w="1148" w:type="dxa"/>
            <w:vMerge w:val="restart"/>
            <w:shd w:val="clear" w:color="auto" w:fill="auto"/>
          </w:tcPr>
          <w:p w:rsidR="00E21792" w:rsidRPr="00564D02" w:rsidRDefault="00E21792" w:rsidP="00D460E8">
            <w:pPr>
              <w:pStyle w:val="142"/>
              <w:spacing w:line="340" w:lineRule="exact"/>
              <w:jc w:val="both"/>
              <w:rPr>
                <w:color w:val="000000"/>
                <w:spacing w:val="-10"/>
              </w:rPr>
            </w:pPr>
            <w:r>
              <w:rPr>
                <w:rFonts w:hint="eastAsia"/>
                <w:color w:val="000000"/>
                <w:spacing w:val="-10"/>
              </w:rPr>
              <w:t>專案計畫資金來源占比</w:t>
            </w:r>
          </w:p>
        </w:tc>
        <w:tc>
          <w:tcPr>
            <w:tcW w:w="1276" w:type="dxa"/>
          </w:tcPr>
          <w:p w:rsidR="00E21792" w:rsidRPr="00564D02" w:rsidRDefault="00E21792" w:rsidP="00D460E8">
            <w:pPr>
              <w:pStyle w:val="142"/>
              <w:spacing w:line="340" w:lineRule="exact"/>
              <w:ind w:leftChars="-24" w:left="86" w:hangingChars="69" w:hanging="154"/>
              <w:jc w:val="both"/>
              <w:rPr>
                <w:color w:val="000000"/>
                <w:spacing w:val="-10"/>
              </w:rPr>
            </w:pPr>
            <w:r>
              <w:rPr>
                <w:rFonts w:hint="eastAsia"/>
                <w:color w:val="000000"/>
                <w:spacing w:val="-10"/>
              </w:rPr>
              <w:t>政府投資</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8</w:t>
            </w:r>
            <w:r>
              <w:rPr>
                <w:color w:val="000000"/>
                <w:spacing w:val="-10"/>
              </w:rPr>
              <w:t>7.00</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4</w:t>
            </w:r>
            <w:r>
              <w:rPr>
                <w:color w:val="000000"/>
                <w:spacing w:val="-10"/>
              </w:rPr>
              <w:t>0.95</w:t>
            </w:r>
          </w:p>
        </w:tc>
        <w:tc>
          <w:tcPr>
            <w:tcW w:w="1275"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w:t>
            </w:r>
          </w:p>
        </w:tc>
      </w:tr>
      <w:tr w:rsidR="00E21792" w:rsidRPr="00564D02" w:rsidTr="000C52A3">
        <w:tc>
          <w:tcPr>
            <w:tcW w:w="1148" w:type="dxa"/>
            <w:vMerge/>
            <w:shd w:val="clear" w:color="auto" w:fill="auto"/>
          </w:tcPr>
          <w:p w:rsidR="00E21792" w:rsidRDefault="00E21792" w:rsidP="00D460E8">
            <w:pPr>
              <w:pStyle w:val="142"/>
              <w:spacing w:line="340" w:lineRule="exact"/>
              <w:ind w:leftChars="-24" w:left="86" w:hangingChars="69" w:hanging="154"/>
              <w:jc w:val="both"/>
              <w:rPr>
                <w:rFonts w:hint="eastAsia"/>
                <w:color w:val="000000"/>
                <w:spacing w:val="-10"/>
              </w:rPr>
            </w:pPr>
          </w:p>
        </w:tc>
        <w:tc>
          <w:tcPr>
            <w:tcW w:w="1276" w:type="dxa"/>
          </w:tcPr>
          <w:p w:rsidR="00E21792" w:rsidRPr="00564D02" w:rsidRDefault="003F691D" w:rsidP="00D460E8">
            <w:pPr>
              <w:pStyle w:val="142"/>
              <w:spacing w:line="340" w:lineRule="exact"/>
              <w:ind w:leftChars="-24" w:left="-68"/>
              <w:jc w:val="both"/>
              <w:rPr>
                <w:color w:val="000000"/>
                <w:spacing w:val="-10"/>
              </w:rPr>
            </w:pPr>
            <w:r>
              <w:rPr>
                <w:rFonts w:hint="eastAsia"/>
                <w:color w:val="000000"/>
                <w:spacing w:val="-10"/>
              </w:rPr>
              <w:t>自有營運資金及其他</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2</w:t>
            </w:r>
            <w:r>
              <w:rPr>
                <w:color w:val="000000"/>
                <w:spacing w:val="-10"/>
              </w:rPr>
              <w:t>1.28</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0</w:t>
            </w:r>
            <w:r>
              <w:rPr>
                <w:color w:val="000000"/>
                <w:spacing w:val="-10"/>
              </w:rPr>
              <w:t>.51</w:t>
            </w:r>
          </w:p>
        </w:tc>
        <w:tc>
          <w:tcPr>
            <w:tcW w:w="1275" w:type="dxa"/>
            <w:vAlign w:val="center"/>
          </w:tcPr>
          <w:p w:rsidR="00E21792" w:rsidRPr="00564D02" w:rsidRDefault="00E21792" w:rsidP="00022460">
            <w:pPr>
              <w:pStyle w:val="142"/>
              <w:spacing w:line="320" w:lineRule="exact"/>
              <w:ind w:left="439" w:hanging="439"/>
              <w:jc w:val="right"/>
              <w:rPr>
                <w:rFonts w:hint="eastAsia"/>
                <w:color w:val="000000"/>
                <w:spacing w:val="-10"/>
              </w:rPr>
            </w:pPr>
            <w:r>
              <w:rPr>
                <w:rFonts w:hint="eastAsia"/>
                <w:color w:val="000000"/>
                <w:spacing w:val="-10"/>
              </w:rPr>
              <w:t>2</w:t>
            </w:r>
            <w:r>
              <w:rPr>
                <w:color w:val="000000"/>
                <w:spacing w:val="-10"/>
              </w:rPr>
              <w:t>6.5</w:t>
            </w:r>
            <w:r w:rsidR="00022460">
              <w:rPr>
                <w:color w:val="000000"/>
                <w:spacing w:val="-10"/>
              </w:rPr>
              <w:t>6</w:t>
            </w:r>
          </w:p>
        </w:tc>
      </w:tr>
      <w:tr w:rsidR="00E21792" w:rsidRPr="00564D02" w:rsidTr="000C52A3">
        <w:tc>
          <w:tcPr>
            <w:tcW w:w="1148" w:type="dxa"/>
            <w:vMerge/>
            <w:shd w:val="clear" w:color="auto" w:fill="auto"/>
          </w:tcPr>
          <w:p w:rsidR="00E21792" w:rsidRDefault="00E21792" w:rsidP="00D460E8">
            <w:pPr>
              <w:pStyle w:val="142"/>
              <w:spacing w:line="340" w:lineRule="exact"/>
              <w:ind w:leftChars="-24" w:left="86" w:hangingChars="69" w:hanging="154"/>
              <w:jc w:val="both"/>
              <w:rPr>
                <w:rFonts w:hint="eastAsia"/>
                <w:color w:val="000000"/>
                <w:spacing w:val="-10"/>
              </w:rPr>
            </w:pPr>
          </w:p>
        </w:tc>
        <w:tc>
          <w:tcPr>
            <w:tcW w:w="1276" w:type="dxa"/>
          </w:tcPr>
          <w:p w:rsidR="00E21792" w:rsidRPr="00564D02" w:rsidRDefault="003F691D" w:rsidP="003F691D">
            <w:pPr>
              <w:pStyle w:val="142"/>
              <w:spacing w:line="340" w:lineRule="exact"/>
              <w:ind w:leftChars="-24" w:left="86" w:hangingChars="69" w:hanging="154"/>
              <w:jc w:val="both"/>
              <w:rPr>
                <w:rFonts w:hint="eastAsia"/>
                <w:color w:val="000000"/>
                <w:spacing w:val="-10"/>
              </w:rPr>
            </w:pPr>
            <w:r>
              <w:rPr>
                <w:rFonts w:hint="eastAsia"/>
                <w:color w:val="000000"/>
                <w:spacing w:val="-10"/>
              </w:rPr>
              <w:t>外借資金</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7</w:t>
            </w:r>
            <w:r>
              <w:rPr>
                <w:color w:val="000000"/>
                <w:spacing w:val="-10"/>
              </w:rPr>
              <w:t>8.72</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00.00</w:t>
            </w:r>
          </w:p>
        </w:tc>
        <w:tc>
          <w:tcPr>
            <w:tcW w:w="1134" w:type="dxa"/>
            <w:shd w:val="clear" w:color="auto" w:fill="auto"/>
            <w:vAlign w:val="center"/>
          </w:tcPr>
          <w:p w:rsidR="00E21792" w:rsidRPr="00564D02" w:rsidRDefault="00E21792" w:rsidP="00D460E8">
            <w:pPr>
              <w:pStyle w:val="142"/>
              <w:spacing w:line="320" w:lineRule="exact"/>
              <w:ind w:left="439" w:hanging="439"/>
              <w:jc w:val="right"/>
              <w:rPr>
                <w:color w:val="000000"/>
                <w:spacing w:val="-10"/>
              </w:rPr>
            </w:pPr>
            <w:r>
              <w:rPr>
                <w:rFonts w:hint="eastAsia"/>
                <w:color w:val="000000"/>
                <w:spacing w:val="-10"/>
              </w:rPr>
              <w:t>1</w:t>
            </w:r>
            <w:r>
              <w:rPr>
                <w:color w:val="000000"/>
                <w:spacing w:val="-10"/>
              </w:rPr>
              <w:t>3.00</w:t>
            </w:r>
          </w:p>
        </w:tc>
        <w:tc>
          <w:tcPr>
            <w:tcW w:w="1134"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5</w:t>
            </w:r>
            <w:r>
              <w:rPr>
                <w:color w:val="000000"/>
                <w:spacing w:val="-10"/>
              </w:rPr>
              <w:t>8.54</w:t>
            </w:r>
          </w:p>
        </w:tc>
        <w:tc>
          <w:tcPr>
            <w:tcW w:w="1275" w:type="dxa"/>
            <w:vAlign w:val="center"/>
          </w:tcPr>
          <w:p w:rsidR="00E21792" w:rsidRPr="00564D02" w:rsidRDefault="00E21792" w:rsidP="00D460E8">
            <w:pPr>
              <w:pStyle w:val="142"/>
              <w:spacing w:line="320" w:lineRule="exact"/>
              <w:ind w:left="439" w:hanging="439"/>
              <w:jc w:val="right"/>
              <w:rPr>
                <w:rFonts w:hint="eastAsia"/>
                <w:color w:val="000000"/>
                <w:spacing w:val="-10"/>
              </w:rPr>
            </w:pPr>
            <w:r>
              <w:rPr>
                <w:rFonts w:hint="eastAsia"/>
                <w:color w:val="000000"/>
                <w:spacing w:val="-10"/>
              </w:rPr>
              <w:t>7</w:t>
            </w:r>
            <w:r>
              <w:rPr>
                <w:color w:val="000000"/>
                <w:spacing w:val="-10"/>
              </w:rPr>
              <w:t>3.45</w:t>
            </w:r>
          </w:p>
        </w:tc>
      </w:tr>
    </w:tbl>
    <w:p w:rsidR="00E21792" w:rsidRDefault="00E21792" w:rsidP="00E21792">
      <w:pPr>
        <w:pStyle w:val="142"/>
        <w:ind w:leftChars="-3" w:left="1405" w:hangingChars="581" w:hanging="1413"/>
        <w:rPr>
          <w:rFonts w:hint="eastAsia"/>
        </w:rPr>
      </w:pPr>
      <w:r>
        <w:rPr>
          <w:rFonts w:hint="eastAsia"/>
        </w:rPr>
        <w:t xml:space="preserve">說 </w:t>
      </w:r>
      <w:r>
        <w:t xml:space="preserve">   </w:t>
      </w:r>
      <w:r>
        <w:rPr>
          <w:rFonts w:hint="eastAsia"/>
        </w:rPr>
        <w:t>明：</w:t>
      </w:r>
      <w:r w:rsidR="003F691D" w:rsidRPr="0034283B">
        <w:rPr>
          <w:rFonts w:hint="eastAsia"/>
        </w:rPr>
        <w:t>表列資料11</w:t>
      </w:r>
      <w:r w:rsidR="003F691D" w:rsidRPr="0034283B">
        <w:t>2</w:t>
      </w:r>
      <w:r w:rsidR="003F691D" w:rsidRPr="0034283B">
        <w:rPr>
          <w:rFonts w:hint="eastAsia"/>
        </w:rPr>
        <w:t>年度以前為審定決算數</w:t>
      </w:r>
      <w:r>
        <w:rPr>
          <w:rFonts w:hint="eastAsia"/>
        </w:rPr>
        <w:t>，1</w:t>
      </w:r>
      <w:r>
        <w:t>13</w:t>
      </w:r>
      <w:r>
        <w:rPr>
          <w:rFonts w:hint="eastAsia"/>
        </w:rPr>
        <w:t>及1</w:t>
      </w:r>
      <w:r>
        <w:t>14</w:t>
      </w:r>
      <w:r>
        <w:rPr>
          <w:rFonts w:hint="eastAsia"/>
        </w:rPr>
        <w:t>年度為預算案數。</w:t>
      </w:r>
    </w:p>
    <w:p w:rsidR="00E21792" w:rsidRDefault="00E21792" w:rsidP="00E21792">
      <w:pPr>
        <w:pStyle w:val="142"/>
        <w:ind w:leftChars="-3" w:left="1405" w:hangingChars="581" w:hanging="1413"/>
      </w:pPr>
      <w:r w:rsidRPr="0034283B">
        <w:rPr>
          <w:rFonts w:hint="eastAsia"/>
        </w:rPr>
        <w:t>資料來源：台電</w:t>
      </w:r>
      <w:r>
        <w:rPr>
          <w:rFonts w:hint="eastAsia"/>
        </w:rPr>
        <w:t>各年度預決算書及該</w:t>
      </w:r>
      <w:r w:rsidRPr="0034283B">
        <w:rPr>
          <w:rFonts w:hint="eastAsia"/>
        </w:rPr>
        <w:t>公司提供。</w:t>
      </w:r>
    </w:p>
    <w:p w:rsidR="00E21792" w:rsidRPr="00800D70" w:rsidRDefault="00E21792" w:rsidP="00E21792">
      <w:pPr>
        <w:pStyle w:val="a4"/>
        <w:ind w:left="849" w:hanging="283"/>
        <w:rPr>
          <w:rFonts w:hint="eastAsia"/>
          <w:b/>
        </w:rPr>
      </w:pPr>
      <w:r>
        <w:rPr>
          <w:b/>
        </w:rPr>
        <w:t>(</w:t>
      </w:r>
      <w:r>
        <w:rPr>
          <w:rFonts w:hint="eastAsia"/>
          <w:b/>
        </w:rPr>
        <w:t>二)近年</w:t>
      </w:r>
      <w:r w:rsidRPr="00800D70">
        <w:rPr>
          <w:rFonts w:hint="eastAsia"/>
          <w:b/>
        </w:rPr>
        <w:t>營運資金短缺且負債對權益比率過高</w:t>
      </w:r>
      <w:r>
        <w:rPr>
          <w:rFonts w:hint="eastAsia"/>
          <w:b/>
        </w:rPr>
        <w:t>，</w:t>
      </w:r>
      <w:r w:rsidRPr="00800D70">
        <w:rPr>
          <w:rFonts w:hint="eastAsia"/>
          <w:b/>
        </w:rPr>
        <w:t>允宜加強控管固定資產購建計畫之成本效益規劃及評估作業</w:t>
      </w:r>
      <w:r w:rsidRPr="00DD1BC1">
        <w:rPr>
          <w:rFonts w:hint="eastAsia"/>
          <w:b/>
        </w:rPr>
        <w:t>，以維護財務健全性</w:t>
      </w:r>
    </w:p>
    <w:p w:rsidR="00E21792" w:rsidRPr="007A7FD5" w:rsidRDefault="00E21792" w:rsidP="00E21792">
      <w:pPr>
        <w:pStyle w:val="21"/>
        <w:ind w:left="850" w:firstLine="566"/>
        <w:rPr>
          <w:color w:val="000000"/>
        </w:rPr>
      </w:pPr>
      <w:r w:rsidRPr="007A7FD5">
        <w:rPr>
          <w:color w:val="000000"/>
        </w:rPr>
        <w:t>為強化國營事業固定資產購建計畫之資金規劃，行政院「附屬單位預算共同項目編列作業規範」</w:t>
      </w:r>
      <w:r w:rsidR="00677312">
        <w:rPr>
          <w:rFonts w:hint="eastAsia"/>
          <w:color w:val="000000"/>
        </w:rPr>
        <w:t>壹</w:t>
      </w:r>
      <w:r w:rsidRPr="007A7FD5">
        <w:rPr>
          <w:color w:val="000000"/>
        </w:rPr>
        <w:t>營業基金</w:t>
      </w:r>
      <w:r w:rsidR="00677312">
        <w:rPr>
          <w:rFonts w:hint="eastAsia"/>
          <w:color w:val="000000"/>
        </w:rPr>
        <w:t>乙</w:t>
      </w:r>
      <w:r w:rsidRPr="007A7FD5">
        <w:rPr>
          <w:color w:val="000000"/>
        </w:rPr>
        <w:t>固定資產建設改良擴充規範</w:t>
      </w:r>
      <w:r w:rsidR="008F38CC">
        <w:rPr>
          <w:rFonts w:hint="eastAsia"/>
          <w:color w:val="000000"/>
        </w:rPr>
        <w:t>之第5點</w:t>
      </w:r>
      <w:r w:rsidRPr="007A7FD5">
        <w:rPr>
          <w:color w:val="000000"/>
        </w:rPr>
        <w:t>規定：「各事業除有效運用自有資金外，得設法運用舉債經營方式，以發揮財務槓桿原理，增加股東之投資報酬。惟營運資金餘額已呈負數，或負債對權益比率高於2倍之事業，如未獲准增資或有盈餘可供保留，以改善財務結構者，為避免繼續增加投資，而動搖事業之根本，除因政策需要辦理或業務性質特殊者外，不得再行辦理新興投資計畫。」另第6點規定：「各事業擴建及營運資金之籌措，應有效運用自有資金，必要時得以舉借方式辦理，並應考量資金成本，避免公庫增資。」</w:t>
      </w:r>
    </w:p>
    <w:p w:rsidR="00E21792" w:rsidRPr="00564D02" w:rsidRDefault="00E21792" w:rsidP="00E21792">
      <w:pPr>
        <w:pStyle w:val="21"/>
        <w:ind w:left="850" w:firstLine="566"/>
        <w:rPr>
          <w:color w:val="000000"/>
        </w:rPr>
      </w:pPr>
      <w:r>
        <w:rPr>
          <w:rFonts w:hint="eastAsia"/>
          <w:color w:val="000000"/>
        </w:rPr>
        <w:t>參據台電公司</w:t>
      </w:r>
      <w:r w:rsidR="00677312">
        <w:rPr>
          <w:rFonts w:hint="eastAsia"/>
          <w:color w:val="000000"/>
        </w:rPr>
        <w:t>近5年度(</w:t>
      </w:r>
      <w:r w:rsidRPr="007A7FD5">
        <w:rPr>
          <w:color w:val="000000"/>
        </w:rPr>
        <w:t>110至114</w:t>
      </w:r>
      <w:r w:rsidR="00677312">
        <w:rPr>
          <w:rFonts w:hint="eastAsia"/>
          <w:color w:val="000000"/>
        </w:rPr>
        <w:t>年度)</w:t>
      </w:r>
      <w:r w:rsidRPr="007A7FD5">
        <w:rPr>
          <w:color w:val="000000"/>
        </w:rPr>
        <w:t>之營運資金及負債</w:t>
      </w:r>
      <w:r w:rsidRPr="007A7FD5">
        <w:rPr>
          <w:color w:val="000000"/>
        </w:rPr>
        <w:lastRenderedPageBreak/>
        <w:t>對權益比率情形(詳表</w:t>
      </w:r>
      <w:r>
        <w:rPr>
          <w:rFonts w:hint="eastAsia"/>
          <w:color w:val="000000"/>
        </w:rPr>
        <w:t>2</w:t>
      </w:r>
      <w:r w:rsidRPr="007A7FD5">
        <w:rPr>
          <w:color w:val="000000"/>
        </w:rPr>
        <w:t>)，</w:t>
      </w:r>
      <w:r>
        <w:rPr>
          <w:rFonts w:hint="eastAsia"/>
          <w:color w:val="000000"/>
        </w:rPr>
        <w:t>該公司近5年度</w:t>
      </w:r>
      <w:r w:rsidRPr="007A7FD5">
        <w:rPr>
          <w:color w:val="000000"/>
        </w:rPr>
        <w:t>流動負債均高於流動資產，營運資金短缺均呈負值，未見改善趨勢</w:t>
      </w:r>
      <w:r w:rsidR="007730A2">
        <w:rPr>
          <w:rFonts w:hint="eastAsia"/>
          <w:color w:val="000000"/>
        </w:rPr>
        <w:t>；</w:t>
      </w:r>
      <w:r w:rsidRPr="007A7FD5">
        <w:rPr>
          <w:color w:val="000000"/>
        </w:rPr>
        <w:t>另</w:t>
      </w:r>
      <w:r>
        <w:rPr>
          <w:rFonts w:hint="eastAsia"/>
          <w:color w:val="000000"/>
        </w:rPr>
        <w:t>該公司</w:t>
      </w:r>
      <w:r w:rsidRPr="007A7FD5">
        <w:rPr>
          <w:color w:val="000000"/>
        </w:rPr>
        <w:t>負債對權益比率，</w:t>
      </w:r>
      <w:r>
        <w:rPr>
          <w:rFonts w:hint="eastAsia"/>
          <w:color w:val="000000"/>
        </w:rPr>
        <w:t>皆</w:t>
      </w:r>
      <w:r w:rsidRPr="007A7FD5">
        <w:rPr>
          <w:color w:val="000000"/>
        </w:rPr>
        <w:t>高於所訂「2倍」避免繼續增加投資之警戒值，</w:t>
      </w:r>
      <w:r w:rsidR="002E60F5">
        <w:rPr>
          <w:rFonts w:hint="eastAsia"/>
          <w:color w:val="000000"/>
        </w:rPr>
        <w:t>甚1</w:t>
      </w:r>
      <w:r w:rsidR="002E60F5">
        <w:rPr>
          <w:color w:val="000000"/>
        </w:rPr>
        <w:t>11</w:t>
      </w:r>
      <w:r w:rsidR="002E60F5">
        <w:rPr>
          <w:rFonts w:hint="eastAsia"/>
          <w:color w:val="000000"/>
        </w:rPr>
        <w:t>及1</w:t>
      </w:r>
      <w:r w:rsidR="002E60F5">
        <w:rPr>
          <w:color w:val="000000"/>
        </w:rPr>
        <w:t>12</w:t>
      </w:r>
      <w:r w:rsidR="002E60F5">
        <w:rPr>
          <w:rFonts w:hint="eastAsia"/>
          <w:color w:val="000000"/>
        </w:rPr>
        <w:t>年度已達1</w:t>
      </w:r>
      <w:r w:rsidR="002E60F5">
        <w:rPr>
          <w:color w:val="000000"/>
        </w:rPr>
        <w:t>7</w:t>
      </w:r>
      <w:r w:rsidR="007730A2">
        <w:rPr>
          <w:color w:val="000000"/>
        </w:rPr>
        <w:t>.26</w:t>
      </w:r>
      <w:r w:rsidR="002E60F5">
        <w:rPr>
          <w:rFonts w:hint="eastAsia"/>
          <w:color w:val="000000"/>
        </w:rPr>
        <w:t>及1</w:t>
      </w:r>
      <w:r w:rsidR="002E60F5">
        <w:rPr>
          <w:color w:val="000000"/>
        </w:rPr>
        <w:t>8</w:t>
      </w:r>
      <w:r w:rsidR="007730A2">
        <w:rPr>
          <w:color w:val="000000"/>
        </w:rPr>
        <w:t>.05</w:t>
      </w:r>
      <w:r w:rsidR="002E60F5">
        <w:rPr>
          <w:rFonts w:hint="eastAsia"/>
          <w:color w:val="000000"/>
        </w:rPr>
        <w:t>倍，</w:t>
      </w:r>
      <w:r w:rsidR="007730A2">
        <w:rPr>
          <w:rFonts w:hint="eastAsia"/>
          <w:color w:val="000000"/>
        </w:rPr>
        <w:t>1</w:t>
      </w:r>
      <w:r w:rsidR="007730A2">
        <w:rPr>
          <w:color w:val="000000"/>
        </w:rPr>
        <w:t>13</w:t>
      </w:r>
      <w:r w:rsidR="007730A2">
        <w:rPr>
          <w:rFonts w:hint="eastAsia"/>
          <w:color w:val="000000"/>
        </w:rPr>
        <w:t>及</w:t>
      </w:r>
      <w:r w:rsidR="002E60F5">
        <w:rPr>
          <w:rFonts w:hint="eastAsia"/>
          <w:color w:val="000000"/>
        </w:rPr>
        <w:t>1</w:t>
      </w:r>
      <w:r w:rsidR="002E60F5">
        <w:rPr>
          <w:color w:val="000000"/>
        </w:rPr>
        <w:t>14</w:t>
      </w:r>
      <w:r w:rsidR="002E60F5">
        <w:rPr>
          <w:rFonts w:hint="eastAsia"/>
          <w:color w:val="000000"/>
        </w:rPr>
        <w:t>年度仍</w:t>
      </w:r>
      <w:r w:rsidR="00677312">
        <w:rPr>
          <w:rFonts w:hint="eastAsia"/>
          <w:color w:val="000000"/>
        </w:rPr>
        <w:t>高達</w:t>
      </w:r>
      <w:r w:rsidR="007730A2">
        <w:rPr>
          <w:rFonts w:hint="eastAsia"/>
          <w:color w:val="000000"/>
        </w:rPr>
        <w:t>8</w:t>
      </w:r>
      <w:r w:rsidR="007730A2">
        <w:rPr>
          <w:color w:val="000000"/>
        </w:rPr>
        <w:t>.58</w:t>
      </w:r>
      <w:r w:rsidR="007730A2">
        <w:rPr>
          <w:rFonts w:hint="eastAsia"/>
          <w:color w:val="000000"/>
        </w:rPr>
        <w:t>倍及9</w:t>
      </w:r>
      <w:r w:rsidR="007730A2">
        <w:rPr>
          <w:color w:val="000000"/>
        </w:rPr>
        <w:t>.02</w:t>
      </w:r>
      <w:r w:rsidR="007730A2">
        <w:rPr>
          <w:rFonts w:hint="eastAsia"/>
          <w:color w:val="000000"/>
        </w:rPr>
        <w:t>倍，</w:t>
      </w:r>
      <w:r w:rsidRPr="007A7FD5">
        <w:rPr>
          <w:color w:val="000000"/>
        </w:rPr>
        <w:t>顯與政府對於國營事業購建固定資產建設計畫之控管機制未盡相符</w:t>
      </w:r>
      <w:r>
        <w:rPr>
          <w:rFonts w:hint="eastAsia"/>
          <w:color w:val="000000"/>
        </w:rPr>
        <w:t>。</w:t>
      </w:r>
      <w:r w:rsidR="00F457C6">
        <w:rPr>
          <w:rFonts w:hint="eastAsia"/>
          <w:color w:val="000000"/>
        </w:rPr>
        <w:t>另</w:t>
      </w:r>
      <w:r>
        <w:rPr>
          <w:rFonts w:hint="eastAsia"/>
          <w:color w:val="000000"/>
        </w:rPr>
        <w:t>台電公司1</w:t>
      </w:r>
      <w:r>
        <w:rPr>
          <w:color w:val="000000"/>
        </w:rPr>
        <w:t>1</w:t>
      </w:r>
      <w:r w:rsidR="00677312">
        <w:rPr>
          <w:color w:val="000000"/>
        </w:rPr>
        <w:t>1</w:t>
      </w:r>
      <w:r w:rsidR="00F457C6">
        <w:rPr>
          <w:rFonts w:hint="eastAsia"/>
          <w:color w:val="000000"/>
        </w:rPr>
        <w:t>至1</w:t>
      </w:r>
      <w:r w:rsidR="00F457C6">
        <w:rPr>
          <w:color w:val="000000"/>
        </w:rPr>
        <w:t>1</w:t>
      </w:r>
      <w:r w:rsidR="00677312">
        <w:rPr>
          <w:color w:val="000000"/>
        </w:rPr>
        <w:t>3</w:t>
      </w:r>
      <w:r w:rsidR="00F457C6">
        <w:rPr>
          <w:rFonts w:hint="eastAsia"/>
          <w:color w:val="000000"/>
        </w:rPr>
        <w:t>年度</w:t>
      </w:r>
      <w:r>
        <w:rPr>
          <w:rFonts w:hint="eastAsia"/>
          <w:color w:val="000000"/>
        </w:rPr>
        <w:t>總資產報酬率</w:t>
      </w:r>
      <w:r w:rsidR="00677312">
        <w:rPr>
          <w:rFonts w:hint="eastAsia"/>
          <w:color w:val="000000"/>
        </w:rPr>
        <w:t>均呈負值</w:t>
      </w:r>
      <w:r w:rsidR="00F457C6">
        <w:rPr>
          <w:rFonts w:hint="eastAsia"/>
          <w:color w:val="000000"/>
        </w:rPr>
        <w:t>，</w:t>
      </w:r>
      <w:r w:rsidR="00677312">
        <w:rPr>
          <w:rFonts w:hint="eastAsia"/>
          <w:color w:val="000000"/>
        </w:rPr>
        <w:t>1</w:t>
      </w:r>
      <w:r w:rsidR="00677312">
        <w:rPr>
          <w:color w:val="000000"/>
        </w:rPr>
        <w:t>14</w:t>
      </w:r>
      <w:r w:rsidR="00677312">
        <w:rPr>
          <w:rFonts w:hint="eastAsia"/>
          <w:color w:val="000000"/>
        </w:rPr>
        <w:t>年度雖預計改善，亦</w:t>
      </w:r>
      <w:r w:rsidR="00F457C6">
        <w:rPr>
          <w:rFonts w:hint="eastAsia"/>
          <w:color w:val="000000"/>
        </w:rPr>
        <w:t>僅</w:t>
      </w:r>
      <w:r w:rsidR="00677312">
        <w:rPr>
          <w:rFonts w:hint="eastAsia"/>
          <w:color w:val="000000"/>
        </w:rPr>
        <w:t>0</w:t>
      </w:r>
      <w:r w:rsidR="00677312">
        <w:rPr>
          <w:color w:val="000000"/>
        </w:rPr>
        <w:t>.27%</w:t>
      </w:r>
      <w:r w:rsidR="00677312">
        <w:rPr>
          <w:rFonts w:hint="eastAsia"/>
          <w:color w:val="000000"/>
        </w:rPr>
        <w:t>仍偏低，</w:t>
      </w:r>
      <w:r w:rsidR="00DD126E">
        <w:rPr>
          <w:rFonts w:hint="eastAsia"/>
          <w:color w:val="000000"/>
        </w:rPr>
        <w:t>與</w:t>
      </w:r>
      <w:r w:rsidR="008D4F60">
        <w:rPr>
          <w:rFonts w:hint="eastAsia"/>
          <w:color w:val="000000"/>
        </w:rPr>
        <w:t>國際</w:t>
      </w:r>
      <w:r w:rsidR="00DD126E">
        <w:rPr>
          <w:rFonts w:hint="eastAsia"/>
          <w:color w:val="000000"/>
        </w:rPr>
        <w:t>電力公司相</w:t>
      </w:r>
      <w:r w:rsidR="008D4F60">
        <w:rPr>
          <w:rFonts w:hint="eastAsia"/>
          <w:color w:val="000000"/>
        </w:rPr>
        <w:t>較，1</w:t>
      </w:r>
      <w:r w:rsidR="008D4F60">
        <w:rPr>
          <w:color w:val="000000"/>
        </w:rPr>
        <w:t>12</w:t>
      </w:r>
      <w:r w:rsidR="00677312">
        <w:rPr>
          <w:rFonts w:hint="eastAsia"/>
          <w:color w:val="000000"/>
        </w:rPr>
        <w:t>年度</w:t>
      </w:r>
      <w:r w:rsidR="00DD126E">
        <w:rPr>
          <w:rFonts w:hint="eastAsia"/>
          <w:color w:val="000000"/>
        </w:rPr>
        <w:t>台電公司</w:t>
      </w:r>
      <w:r w:rsidR="00677312">
        <w:rPr>
          <w:rFonts w:hint="eastAsia"/>
          <w:color w:val="000000"/>
        </w:rPr>
        <w:t>決算</w:t>
      </w:r>
      <w:r w:rsidR="008D4F60">
        <w:rPr>
          <w:rFonts w:hint="eastAsia"/>
          <w:color w:val="000000"/>
        </w:rPr>
        <w:t>總資產報酬率</w:t>
      </w:r>
      <w:r w:rsidR="00DD126E">
        <w:rPr>
          <w:rFonts w:hint="eastAsia"/>
          <w:color w:val="000000"/>
        </w:rPr>
        <w:t>遠</w:t>
      </w:r>
      <w:r>
        <w:rPr>
          <w:rFonts w:hint="eastAsia"/>
          <w:color w:val="000000"/>
        </w:rPr>
        <w:t>低於南非電力(E</w:t>
      </w:r>
      <w:r>
        <w:rPr>
          <w:color w:val="000000"/>
        </w:rPr>
        <w:t>SKOM)-3.8%</w:t>
      </w:r>
      <w:r>
        <w:rPr>
          <w:rFonts w:hint="eastAsia"/>
          <w:color w:val="000000"/>
        </w:rPr>
        <w:t>及韓國電力(</w:t>
      </w:r>
      <w:r>
        <w:rPr>
          <w:color w:val="000000"/>
        </w:rPr>
        <w:t>KEPCO)-3.2%</w:t>
      </w:r>
      <w:r w:rsidRPr="00426916">
        <w:rPr>
          <w:vertAlign w:val="superscript"/>
        </w:rPr>
        <w:footnoteReference w:id="2"/>
      </w:r>
      <w:r>
        <w:rPr>
          <w:rFonts w:hint="eastAsia"/>
          <w:color w:val="000000"/>
        </w:rPr>
        <w:t>，顯示整體資產運用效益欠佳</w:t>
      </w:r>
      <w:r w:rsidR="00022460">
        <w:rPr>
          <w:rFonts w:hint="eastAsia"/>
          <w:color w:val="000000"/>
        </w:rPr>
        <w:t>，</w:t>
      </w:r>
      <w:r w:rsidRPr="00336FBC">
        <w:rPr>
          <w:color w:val="000000"/>
        </w:rPr>
        <w:t>允宜審酌營運資金情形，加強控管各項固定資產購建計畫之成本效益及資金籌措方式，</w:t>
      </w:r>
      <w:r>
        <w:rPr>
          <w:rFonts w:hint="eastAsia"/>
          <w:color w:val="000000"/>
        </w:rPr>
        <w:t>以減輕政府財政負擔，俾</w:t>
      </w:r>
      <w:r w:rsidRPr="00947B6D">
        <w:rPr>
          <w:rFonts w:hint="eastAsia"/>
          <w:color w:val="000000"/>
        </w:rPr>
        <w:t>維護財務健全性</w:t>
      </w:r>
      <w:r>
        <w:rPr>
          <w:rFonts w:hint="eastAsia"/>
          <w:color w:val="000000"/>
        </w:rPr>
        <w:t>。</w:t>
      </w:r>
    </w:p>
    <w:p w:rsidR="00E21792" w:rsidRDefault="00E21792" w:rsidP="00E21792">
      <w:pPr>
        <w:pStyle w:val="21"/>
        <w:ind w:leftChars="200" w:left="566" w:firstLine="566"/>
      </w:pPr>
      <w:r>
        <w:rPr>
          <w:rFonts w:hint="eastAsia"/>
        </w:rPr>
        <w:t>綜上，台電公司1</w:t>
      </w:r>
      <w:r>
        <w:t>1</w:t>
      </w:r>
      <w:r w:rsidRPr="00426916">
        <w:t>4年度編列固定資產之建設改良及擴充計畫</w:t>
      </w:r>
      <w:r>
        <w:rPr>
          <w:rFonts w:hint="eastAsia"/>
        </w:rPr>
        <w:t>2</w:t>
      </w:r>
      <w:r>
        <w:t>,689</w:t>
      </w:r>
      <w:r>
        <w:rPr>
          <w:rFonts w:hint="eastAsia"/>
        </w:rPr>
        <w:t>億8</w:t>
      </w:r>
      <w:r>
        <w:t>,819</w:t>
      </w:r>
      <w:r>
        <w:rPr>
          <w:rFonts w:hint="eastAsia"/>
        </w:rPr>
        <w:t>萬8千元</w:t>
      </w:r>
      <w:r w:rsidRPr="00426916">
        <w:t>，其中專案計畫資金來源，預計7成以外借資金辦理，惟</w:t>
      </w:r>
      <w:r>
        <w:rPr>
          <w:rFonts w:hint="eastAsia"/>
        </w:rPr>
        <w:t>該公司</w:t>
      </w:r>
      <w:r w:rsidRPr="00426916">
        <w:t>近5年營運資金均短缺呈負值，負債對權益比率遠高於所訂「2倍」避免繼續增加投資之警戒值，</w:t>
      </w:r>
      <w:r>
        <w:rPr>
          <w:rFonts w:hint="eastAsia"/>
        </w:rPr>
        <w:t>總資產報酬率亦低於其他國家電力公司，</w:t>
      </w:r>
      <w:r w:rsidRPr="00426916">
        <w:t>允宜</w:t>
      </w:r>
      <w:r>
        <w:rPr>
          <w:rFonts w:hint="eastAsia"/>
        </w:rPr>
        <w:t>持續</w:t>
      </w:r>
      <w:r w:rsidRPr="00426916">
        <w:t>檢討</w:t>
      </w:r>
      <w:r>
        <w:rPr>
          <w:rFonts w:hint="eastAsia"/>
        </w:rPr>
        <w:t>及</w:t>
      </w:r>
      <w:r w:rsidRPr="00426916">
        <w:t>改善財務結構，</w:t>
      </w:r>
      <w:r>
        <w:rPr>
          <w:rFonts w:hint="eastAsia"/>
        </w:rPr>
        <w:t>妥為規劃</w:t>
      </w:r>
      <w:r w:rsidRPr="00426916">
        <w:t>各項固定資產購建計畫</w:t>
      </w:r>
      <w:r w:rsidR="00677312">
        <w:rPr>
          <w:rFonts w:hint="eastAsia"/>
        </w:rPr>
        <w:t>，並落實成本效益</w:t>
      </w:r>
      <w:r w:rsidRPr="00426916">
        <w:t>評估，以</w:t>
      </w:r>
      <w:r w:rsidRPr="00776405">
        <w:rPr>
          <w:rFonts w:hint="eastAsia"/>
          <w:color w:val="000000"/>
        </w:rPr>
        <w:t>維護經營之健全性</w:t>
      </w:r>
      <w:r>
        <w:rPr>
          <w:rFonts w:hint="eastAsia"/>
        </w:rPr>
        <w:t>。</w:t>
      </w:r>
    </w:p>
    <w:p w:rsidR="00E21792" w:rsidRDefault="00E21792" w:rsidP="00E21792">
      <w:pPr>
        <w:ind w:leftChars="5" w:left="567" w:hangingChars="195" w:hanging="553"/>
        <w:rPr>
          <w:rFonts w:hAnsi="標楷體"/>
          <w:b/>
          <w:color w:val="000000"/>
        </w:rPr>
      </w:pPr>
      <w:r w:rsidRPr="00564D02">
        <w:rPr>
          <w:rFonts w:hAnsi="標楷體" w:hint="eastAsia"/>
          <w:b/>
          <w:color w:val="000000"/>
        </w:rPr>
        <w:t>表</w:t>
      </w:r>
      <w:r>
        <w:rPr>
          <w:rFonts w:hAnsi="標楷體" w:hint="eastAsia"/>
          <w:b/>
          <w:color w:val="000000"/>
        </w:rPr>
        <w:t xml:space="preserve">2 </w:t>
      </w:r>
      <w:r w:rsidRPr="00564D02">
        <w:rPr>
          <w:rFonts w:hAnsi="標楷體" w:hint="eastAsia"/>
          <w:b/>
          <w:color w:val="000000"/>
        </w:rPr>
        <w:t>台電公司</w:t>
      </w:r>
      <w:r>
        <w:rPr>
          <w:rFonts w:hAnsi="標楷體" w:hint="eastAsia"/>
          <w:b/>
          <w:color w:val="000000"/>
        </w:rPr>
        <w:t>1</w:t>
      </w:r>
      <w:r>
        <w:rPr>
          <w:rFonts w:hAnsi="標楷體"/>
          <w:b/>
          <w:color w:val="000000"/>
        </w:rPr>
        <w:t>10</w:t>
      </w:r>
      <w:r>
        <w:rPr>
          <w:rFonts w:hAnsi="標楷體" w:hint="eastAsia"/>
          <w:b/>
          <w:color w:val="000000"/>
        </w:rPr>
        <w:t>至11</w:t>
      </w:r>
      <w:r>
        <w:rPr>
          <w:rFonts w:hAnsi="標楷體"/>
          <w:b/>
          <w:color w:val="000000"/>
        </w:rPr>
        <w:t>4</w:t>
      </w:r>
      <w:r>
        <w:rPr>
          <w:rFonts w:hAnsi="標楷體" w:hint="eastAsia"/>
          <w:b/>
          <w:color w:val="000000"/>
        </w:rPr>
        <w:t>年度營運資金餘額及重要財務指標</w:t>
      </w:r>
      <w:r w:rsidRPr="00564D02">
        <w:rPr>
          <w:rFonts w:hAnsi="標楷體" w:hint="eastAsia"/>
          <w:b/>
          <w:color w:val="000000"/>
        </w:rPr>
        <w:t>概況表</w:t>
      </w:r>
    </w:p>
    <w:p w:rsidR="00E21792" w:rsidRPr="00DB1CAC" w:rsidRDefault="00E21792" w:rsidP="00E21792">
      <w:pPr>
        <w:spacing w:line="400" w:lineRule="exact"/>
        <w:ind w:leftChars="5" w:left="567" w:hangingChars="195" w:hanging="553"/>
        <w:jc w:val="right"/>
        <w:rPr>
          <w:rFonts w:hAnsi="標楷體"/>
          <w:color w:val="000000"/>
          <w:sz w:val="24"/>
          <w:szCs w:val="24"/>
        </w:rPr>
      </w:pPr>
      <w:r w:rsidRPr="00564D02">
        <w:rPr>
          <w:rFonts w:hAnsi="標楷體" w:hint="eastAsia"/>
          <w:b/>
          <w:color w:val="000000"/>
        </w:rPr>
        <w:t xml:space="preserve"> </w:t>
      </w:r>
      <w:r>
        <w:rPr>
          <w:rFonts w:hAnsi="標楷體" w:hint="eastAsia"/>
          <w:b/>
          <w:color w:val="000000"/>
        </w:rPr>
        <w:t xml:space="preserve"> </w:t>
      </w:r>
      <w:r w:rsidRPr="00DB1CAC">
        <w:rPr>
          <w:rFonts w:hAnsi="標楷體" w:hint="eastAsia"/>
          <w:color w:val="000000"/>
          <w:sz w:val="24"/>
          <w:szCs w:val="24"/>
        </w:rPr>
        <w:t>單位：新臺幣</w:t>
      </w:r>
      <w:r>
        <w:rPr>
          <w:rFonts w:hAnsi="標楷體" w:hint="eastAsia"/>
          <w:color w:val="000000"/>
          <w:sz w:val="24"/>
          <w:szCs w:val="24"/>
        </w:rPr>
        <w:t>億</w:t>
      </w:r>
      <w:r w:rsidRPr="00DB1CAC">
        <w:rPr>
          <w:rFonts w:hAnsi="標楷體" w:hint="eastAsia"/>
          <w:color w:val="000000"/>
          <w:sz w:val="24"/>
          <w:szCs w:val="24"/>
        </w:rPr>
        <w:t>元</w:t>
      </w:r>
      <w:r>
        <w:rPr>
          <w:rFonts w:hAnsi="標楷體" w:hint="eastAsia"/>
          <w:color w:val="00000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127"/>
        <w:gridCol w:w="1275"/>
        <w:gridCol w:w="1276"/>
        <w:gridCol w:w="1276"/>
        <w:gridCol w:w="1134"/>
        <w:gridCol w:w="1417"/>
      </w:tblGrid>
      <w:tr w:rsidR="00E21792" w:rsidRPr="00564D02" w:rsidTr="00D460E8">
        <w:trPr>
          <w:tblHeader/>
        </w:trPr>
        <w:tc>
          <w:tcPr>
            <w:tcW w:w="2127"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項目</w:t>
            </w:r>
          </w:p>
        </w:tc>
        <w:tc>
          <w:tcPr>
            <w:tcW w:w="1275"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110年度</w:t>
            </w:r>
          </w:p>
        </w:tc>
        <w:tc>
          <w:tcPr>
            <w:tcW w:w="1276"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111年度</w:t>
            </w:r>
          </w:p>
        </w:tc>
        <w:tc>
          <w:tcPr>
            <w:tcW w:w="1276" w:type="dxa"/>
            <w:shd w:val="clear" w:color="auto" w:fill="auto"/>
            <w:vAlign w:val="center"/>
          </w:tcPr>
          <w:p w:rsidR="00E21792" w:rsidRPr="00564D02" w:rsidRDefault="00E21792" w:rsidP="00F457C6">
            <w:pPr>
              <w:pStyle w:val="142"/>
              <w:spacing w:line="380" w:lineRule="exact"/>
              <w:ind w:left="437" w:hanging="437"/>
              <w:jc w:val="center"/>
              <w:rPr>
                <w:rFonts w:hint="eastAsia"/>
                <w:color w:val="000000"/>
                <w:spacing w:val="-10"/>
              </w:rPr>
            </w:pPr>
            <w:r w:rsidRPr="00564D02">
              <w:rPr>
                <w:rFonts w:hint="eastAsia"/>
                <w:color w:val="000000"/>
                <w:spacing w:val="-10"/>
              </w:rPr>
              <w:t>112年度</w:t>
            </w:r>
          </w:p>
        </w:tc>
        <w:tc>
          <w:tcPr>
            <w:tcW w:w="1134" w:type="dxa"/>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1</w:t>
            </w:r>
            <w:r>
              <w:rPr>
                <w:color w:val="000000"/>
                <w:spacing w:val="-10"/>
              </w:rPr>
              <w:t>13</w:t>
            </w:r>
            <w:r>
              <w:rPr>
                <w:rFonts w:hint="eastAsia"/>
                <w:color w:val="000000"/>
                <w:spacing w:val="-10"/>
              </w:rPr>
              <w:t>年度</w:t>
            </w:r>
          </w:p>
        </w:tc>
        <w:tc>
          <w:tcPr>
            <w:tcW w:w="1417" w:type="dxa"/>
          </w:tcPr>
          <w:p w:rsidR="00E21792" w:rsidRPr="00564D02" w:rsidRDefault="00E21792" w:rsidP="00F457C6">
            <w:pPr>
              <w:pStyle w:val="142"/>
              <w:spacing w:line="380" w:lineRule="exact"/>
              <w:ind w:left="437" w:hanging="437"/>
              <w:jc w:val="center"/>
              <w:rPr>
                <w:rFonts w:hint="eastAsia"/>
                <w:color w:val="000000"/>
                <w:spacing w:val="-10"/>
              </w:rPr>
            </w:pPr>
            <w:r>
              <w:rPr>
                <w:rFonts w:hint="eastAsia"/>
                <w:color w:val="000000"/>
                <w:spacing w:val="-10"/>
              </w:rPr>
              <w:t>1</w:t>
            </w:r>
            <w:r>
              <w:rPr>
                <w:color w:val="000000"/>
                <w:spacing w:val="-10"/>
              </w:rPr>
              <w:t>14</w:t>
            </w:r>
            <w:r>
              <w:rPr>
                <w:rFonts w:hint="eastAsia"/>
                <w:color w:val="000000"/>
                <w:spacing w:val="-10"/>
              </w:rPr>
              <w:t>年度</w:t>
            </w:r>
          </w:p>
        </w:tc>
      </w:tr>
      <w:tr w:rsidR="00E21792" w:rsidRPr="00564D02" w:rsidTr="00D460E8">
        <w:tc>
          <w:tcPr>
            <w:tcW w:w="2127" w:type="dxa"/>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流動資產(</w:t>
            </w:r>
            <w:r>
              <w:rPr>
                <w:color w:val="000000"/>
                <w:spacing w:val="-10"/>
              </w:rPr>
              <w:t>A)</w:t>
            </w:r>
          </w:p>
        </w:tc>
        <w:tc>
          <w:tcPr>
            <w:tcW w:w="1275"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9</w:t>
            </w:r>
            <w:r>
              <w:rPr>
                <w:color w:val="000000"/>
                <w:spacing w:val="-10"/>
              </w:rPr>
              <w:t>87</w:t>
            </w:r>
          </w:p>
        </w:tc>
        <w:tc>
          <w:tcPr>
            <w:tcW w:w="1276"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1</w:t>
            </w:r>
            <w:r>
              <w:rPr>
                <w:color w:val="000000"/>
                <w:spacing w:val="-10"/>
              </w:rPr>
              <w:t>,486</w:t>
            </w:r>
          </w:p>
        </w:tc>
        <w:tc>
          <w:tcPr>
            <w:tcW w:w="1276" w:type="dxa"/>
            <w:shd w:val="clear" w:color="auto" w:fill="auto"/>
            <w:vAlign w:val="center"/>
          </w:tcPr>
          <w:p w:rsidR="00E21792" w:rsidRPr="00564D02" w:rsidRDefault="00E21792" w:rsidP="00F457C6">
            <w:pPr>
              <w:pStyle w:val="142"/>
              <w:spacing w:line="380" w:lineRule="exact"/>
              <w:ind w:left="437" w:hanging="437"/>
              <w:jc w:val="right"/>
              <w:rPr>
                <w:color w:val="000000"/>
                <w:spacing w:val="-10"/>
              </w:rPr>
            </w:pPr>
            <w:r>
              <w:rPr>
                <w:rFonts w:hint="eastAsia"/>
                <w:color w:val="000000"/>
                <w:spacing w:val="-10"/>
              </w:rPr>
              <w:t>1</w:t>
            </w:r>
            <w:r>
              <w:rPr>
                <w:color w:val="000000"/>
                <w:spacing w:val="-10"/>
              </w:rPr>
              <w:t>,470</w:t>
            </w:r>
          </w:p>
        </w:tc>
        <w:tc>
          <w:tcPr>
            <w:tcW w:w="1134" w:type="dxa"/>
          </w:tcPr>
          <w:p w:rsidR="00E21792" w:rsidRPr="00564D0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,519</w:t>
            </w:r>
          </w:p>
        </w:tc>
        <w:tc>
          <w:tcPr>
            <w:tcW w:w="1417" w:type="dxa"/>
          </w:tcPr>
          <w:p w:rsidR="00E21792" w:rsidRPr="00564D0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,559</w:t>
            </w:r>
          </w:p>
        </w:tc>
      </w:tr>
      <w:tr w:rsidR="00E21792" w:rsidRPr="00564D02" w:rsidTr="00D460E8">
        <w:tc>
          <w:tcPr>
            <w:tcW w:w="2127" w:type="dxa"/>
            <w:tcBorders>
              <w:bottom w:val="sing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流動負債(</w:t>
            </w:r>
            <w:r>
              <w:rPr>
                <w:color w:val="000000"/>
                <w:spacing w:val="-10"/>
              </w:rPr>
              <w:t>B)</w:t>
            </w:r>
          </w:p>
        </w:tc>
        <w:tc>
          <w:tcPr>
            <w:tcW w:w="1275"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4</w:t>
            </w:r>
            <w:r>
              <w:rPr>
                <w:color w:val="000000"/>
                <w:spacing w:val="-10"/>
              </w:rPr>
              <w:t>,688</w:t>
            </w:r>
          </w:p>
        </w:tc>
        <w:tc>
          <w:tcPr>
            <w:tcW w:w="1276"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,891</w:t>
            </w:r>
          </w:p>
        </w:tc>
        <w:tc>
          <w:tcPr>
            <w:tcW w:w="1276" w:type="dxa"/>
            <w:tcBorders>
              <w:bottom w:val="sing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,996</w:t>
            </w:r>
          </w:p>
        </w:tc>
        <w:tc>
          <w:tcPr>
            <w:tcW w:w="1134" w:type="dxa"/>
            <w:tcBorders>
              <w:bottom w:val="sing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,386</w:t>
            </w:r>
          </w:p>
        </w:tc>
        <w:tc>
          <w:tcPr>
            <w:tcW w:w="1417" w:type="dxa"/>
            <w:tcBorders>
              <w:bottom w:val="sing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6</w:t>
            </w:r>
            <w:r>
              <w:rPr>
                <w:color w:val="000000"/>
                <w:spacing w:val="-10"/>
              </w:rPr>
              <w:t>,388</w:t>
            </w:r>
          </w:p>
        </w:tc>
      </w:tr>
      <w:tr w:rsidR="00E21792" w:rsidRPr="00564D02" w:rsidTr="00D460E8">
        <w:tc>
          <w:tcPr>
            <w:tcW w:w="2127" w:type="dxa"/>
            <w:tcBorders>
              <w:top w:val="single" w:sz="4" w:space="0" w:color="auto"/>
              <w:bottom w:val="doub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lastRenderedPageBreak/>
              <w:t>營運資金餘額(</w:t>
            </w:r>
            <w:r>
              <w:rPr>
                <w:color w:val="000000"/>
                <w:spacing w:val="-10"/>
              </w:rPr>
              <w:t>A-B</w:t>
            </w:r>
            <w:r>
              <w:rPr>
                <w:rFonts w:hint="eastAsia"/>
                <w:color w:val="000000"/>
                <w:spacing w:val="-10"/>
              </w:rPr>
              <w:t>)</w:t>
            </w:r>
          </w:p>
        </w:tc>
        <w:tc>
          <w:tcPr>
            <w:tcW w:w="1275"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3,701</w:t>
            </w:r>
          </w:p>
        </w:tc>
        <w:tc>
          <w:tcPr>
            <w:tcW w:w="1276"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5,405</w:t>
            </w:r>
          </w:p>
        </w:tc>
        <w:tc>
          <w:tcPr>
            <w:tcW w:w="1276" w:type="dxa"/>
            <w:tcBorders>
              <w:top w:val="single" w:sz="4" w:space="0" w:color="auto"/>
              <w:bottom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5,526</w:t>
            </w:r>
          </w:p>
        </w:tc>
        <w:tc>
          <w:tcPr>
            <w:tcW w:w="1134" w:type="dxa"/>
            <w:tcBorders>
              <w:top w:val="single" w:sz="4" w:space="0" w:color="auto"/>
              <w:bottom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4,86</w:t>
            </w:r>
            <w:r w:rsidR="00120AC4">
              <w:rPr>
                <w:color w:val="000000"/>
                <w:spacing w:val="-10"/>
              </w:rPr>
              <w:t>7</w:t>
            </w:r>
          </w:p>
        </w:tc>
        <w:tc>
          <w:tcPr>
            <w:tcW w:w="1417" w:type="dxa"/>
            <w:tcBorders>
              <w:top w:val="single" w:sz="4" w:space="0" w:color="auto"/>
              <w:bottom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4,829</w:t>
            </w:r>
          </w:p>
        </w:tc>
      </w:tr>
      <w:tr w:rsidR="00E21792" w:rsidRPr="00564D02" w:rsidTr="00D460E8">
        <w:tc>
          <w:tcPr>
            <w:tcW w:w="2127" w:type="dxa"/>
            <w:tcBorders>
              <w:top w:val="double" w:sz="4"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負債總額(C</w:t>
            </w:r>
            <w:r>
              <w:rPr>
                <w:color w:val="000000"/>
                <w:spacing w:val="-10"/>
              </w:rPr>
              <w:t>)</w:t>
            </w:r>
          </w:p>
        </w:tc>
        <w:tc>
          <w:tcPr>
            <w:tcW w:w="1275"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8,549</w:t>
            </w:r>
          </w:p>
        </w:tc>
        <w:tc>
          <w:tcPr>
            <w:tcW w:w="1276"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1,983</w:t>
            </w:r>
          </w:p>
        </w:tc>
        <w:tc>
          <w:tcPr>
            <w:tcW w:w="1276" w:type="dxa"/>
            <w:tcBorders>
              <w:top w:val="double" w:sz="4"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4,309</w:t>
            </w:r>
          </w:p>
        </w:tc>
        <w:tc>
          <w:tcPr>
            <w:tcW w:w="1134" w:type="dxa"/>
            <w:tcBorders>
              <w:top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4,665</w:t>
            </w:r>
          </w:p>
        </w:tc>
        <w:tc>
          <w:tcPr>
            <w:tcW w:w="1417" w:type="dxa"/>
            <w:tcBorders>
              <w:top w:val="double" w:sz="4"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6,678</w:t>
            </w:r>
          </w:p>
        </w:tc>
      </w:tr>
      <w:tr w:rsidR="00E21792" w:rsidRPr="00564D02" w:rsidTr="00D460E8">
        <w:tc>
          <w:tcPr>
            <w:tcW w:w="2127" w:type="dxa"/>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權益(</w:t>
            </w:r>
            <w:r>
              <w:rPr>
                <w:color w:val="000000"/>
                <w:spacing w:val="-10"/>
              </w:rPr>
              <w:t>D)</w:t>
            </w:r>
          </w:p>
        </w:tc>
        <w:tc>
          <w:tcPr>
            <w:tcW w:w="1275"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3</w:t>
            </w:r>
            <w:r>
              <w:rPr>
                <w:color w:val="000000"/>
                <w:spacing w:val="-10"/>
              </w:rPr>
              <w:t>,509</w:t>
            </w:r>
          </w:p>
        </w:tc>
        <w:tc>
          <w:tcPr>
            <w:tcW w:w="1276"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,274</w:t>
            </w:r>
          </w:p>
        </w:tc>
        <w:tc>
          <w:tcPr>
            <w:tcW w:w="1276" w:type="dxa"/>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,347</w:t>
            </w:r>
          </w:p>
        </w:tc>
        <w:tc>
          <w:tcPr>
            <w:tcW w:w="1134" w:type="dxa"/>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,876</w:t>
            </w:r>
          </w:p>
        </w:tc>
        <w:tc>
          <w:tcPr>
            <w:tcW w:w="1417" w:type="dxa"/>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2</w:t>
            </w:r>
            <w:r>
              <w:rPr>
                <w:color w:val="000000"/>
                <w:spacing w:val="-10"/>
              </w:rPr>
              <w:t>,957</w:t>
            </w:r>
          </w:p>
        </w:tc>
      </w:tr>
      <w:tr w:rsidR="002E60F5" w:rsidRPr="00564D02" w:rsidTr="00C926E0">
        <w:tc>
          <w:tcPr>
            <w:tcW w:w="2127" w:type="dxa"/>
            <w:tcBorders>
              <w:bottom w:val="double" w:sz="4" w:space="0" w:color="auto"/>
            </w:tcBorders>
            <w:shd w:val="clear" w:color="auto" w:fill="auto"/>
          </w:tcPr>
          <w:p w:rsidR="002E60F5" w:rsidRDefault="002E60F5" w:rsidP="00F457C6">
            <w:pPr>
              <w:pStyle w:val="142"/>
              <w:spacing w:line="380" w:lineRule="exact"/>
              <w:ind w:left="437" w:hanging="437"/>
              <w:jc w:val="center"/>
              <w:rPr>
                <w:rFonts w:hint="eastAsia"/>
                <w:color w:val="000000"/>
                <w:spacing w:val="-10"/>
              </w:rPr>
            </w:pPr>
            <w:r>
              <w:rPr>
                <w:rFonts w:hint="eastAsia"/>
                <w:color w:val="000000"/>
                <w:spacing w:val="-10"/>
              </w:rPr>
              <w:t>比率(C</w:t>
            </w:r>
            <w:r>
              <w:rPr>
                <w:color w:val="000000"/>
                <w:spacing w:val="-10"/>
              </w:rPr>
              <w:t>/D</w:t>
            </w:r>
            <w:r>
              <w:rPr>
                <w:rFonts w:hint="eastAsia"/>
                <w:color w:val="000000"/>
                <w:spacing w:val="-10"/>
              </w:rPr>
              <w:t>)</w:t>
            </w:r>
          </w:p>
        </w:tc>
        <w:tc>
          <w:tcPr>
            <w:tcW w:w="1275"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color w:val="000000"/>
                <w:spacing w:val="-10"/>
              </w:rPr>
            </w:pPr>
            <w:r w:rsidRPr="002E60F5">
              <w:rPr>
                <w:rFonts w:hint="eastAsia"/>
                <w:color w:val="000000"/>
                <w:spacing w:val="-10"/>
              </w:rPr>
              <w:t>528</w:t>
            </w:r>
            <w:r>
              <w:rPr>
                <w:color w:val="000000"/>
                <w:spacing w:val="-10"/>
              </w:rPr>
              <w:t>.</w:t>
            </w:r>
            <w:r w:rsidRPr="002E60F5">
              <w:rPr>
                <w:rFonts w:hint="eastAsia"/>
                <w:color w:val="000000"/>
                <w:spacing w:val="-10"/>
              </w:rPr>
              <w:t>61</w:t>
            </w:r>
          </w:p>
        </w:tc>
        <w:tc>
          <w:tcPr>
            <w:tcW w:w="1276"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1</w:t>
            </w:r>
            <w:r>
              <w:rPr>
                <w:color w:val="000000"/>
                <w:spacing w:val="-10"/>
              </w:rPr>
              <w:t>,</w:t>
            </w:r>
            <w:r w:rsidRPr="002E60F5">
              <w:rPr>
                <w:rFonts w:hint="eastAsia"/>
                <w:color w:val="000000"/>
                <w:spacing w:val="-10"/>
              </w:rPr>
              <w:t>725</w:t>
            </w:r>
            <w:r>
              <w:rPr>
                <w:color w:val="000000"/>
                <w:spacing w:val="-10"/>
              </w:rPr>
              <w:t>.</w:t>
            </w:r>
            <w:r w:rsidRPr="002E60F5">
              <w:rPr>
                <w:rFonts w:hint="eastAsia"/>
                <w:color w:val="000000"/>
                <w:spacing w:val="-10"/>
              </w:rPr>
              <w:t>51</w:t>
            </w:r>
          </w:p>
        </w:tc>
        <w:tc>
          <w:tcPr>
            <w:tcW w:w="1276" w:type="dxa"/>
            <w:tcBorders>
              <w:bottom w:val="double" w:sz="4" w:space="0" w:color="auto"/>
            </w:tcBorders>
            <w:shd w:val="clear" w:color="auto" w:fill="auto"/>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1</w:t>
            </w:r>
            <w:r>
              <w:rPr>
                <w:color w:val="000000"/>
                <w:spacing w:val="-10"/>
              </w:rPr>
              <w:t>,</w:t>
            </w:r>
            <w:r w:rsidRPr="002E60F5">
              <w:rPr>
                <w:rFonts w:hint="eastAsia"/>
                <w:color w:val="000000"/>
                <w:spacing w:val="-10"/>
              </w:rPr>
              <w:t>804</w:t>
            </w:r>
            <w:r>
              <w:rPr>
                <w:color w:val="000000"/>
                <w:spacing w:val="-10"/>
              </w:rPr>
              <w:t>.</w:t>
            </w:r>
            <w:r w:rsidRPr="002E60F5">
              <w:rPr>
                <w:rFonts w:hint="eastAsia"/>
                <w:color w:val="000000"/>
                <w:spacing w:val="-10"/>
              </w:rPr>
              <w:t>68</w:t>
            </w:r>
          </w:p>
        </w:tc>
        <w:tc>
          <w:tcPr>
            <w:tcW w:w="1134" w:type="dxa"/>
            <w:tcBorders>
              <w:bottom w:val="double" w:sz="4" w:space="0" w:color="auto"/>
            </w:tcBorders>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857</w:t>
            </w:r>
            <w:r>
              <w:rPr>
                <w:color w:val="000000"/>
                <w:spacing w:val="-10"/>
              </w:rPr>
              <w:t>.</w:t>
            </w:r>
            <w:r w:rsidRPr="002E60F5">
              <w:rPr>
                <w:rFonts w:hint="eastAsia"/>
                <w:color w:val="000000"/>
                <w:spacing w:val="-10"/>
              </w:rPr>
              <w:t>61</w:t>
            </w:r>
          </w:p>
        </w:tc>
        <w:tc>
          <w:tcPr>
            <w:tcW w:w="1417" w:type="dxa"/>
            <w:tcBorders>
              <w:bottom w:val="double" w:sz="4" w:space="0" w:color="auto"/>
            </w:tcBorders>
            <w:vAlign w:val="center"/>
          </w:tcPr>
          <w:p w:rsidR="002E60F5" w:rsidRPr="002E60F5" w:rsidRDefault="002E60F5" w:rsidP="00F457C6">
            <w:pPr>
              <w:pStyle w:val="142"/>
              <w:spacing w:line="380" w:lineRule="exact"/>
              <w:ind w:left="437" w:hanging="437"/>
              <w:jc w:val="right"/>
              <w:rPr>
                <w:rFonts w:hint="eastAsia"/>
                <w:color w:val="000000"/>
                <w:spacing w:val="-10"/>
              </w:rPr>
            </w:pPr>
            <w:r w:rsidRPr="002E60F5">
              <w:rPr>
                <w:rFonts w:hint="eastAsia"/>
                <w:color w:val="000000"/>
                <w:spacing w:val="-10"/>
              </w:rPr>
              <w:t>902</w:t>
            </w:r>
            <w:r>
              <w:rPr>
                <w:color w:val="000000"/>
                <w:spacing w:val="-10"/>
              </w:rPr>
              <w:t>.</w:t>
            </w:r>
            <w:r w:rsidRPr="002E60F5">
              <w:rPr>
                <w:rFonts w:hint="eastAsia"/>
                <w:color w:val="000000"/>
                <w:spacing w:val="-10"/>
              </w:rPr>
              <w:t>20</w:t>
            </w:r>
          </w:p>
        </w:tc>
      </w:tr>
      <w:tr w:rsidR="00E21792" w:rsidRPr="00564D02" w:rsidTr="00D460E8">
        <w:tc>
          <w:tcPr>
            <w:tcW w:w="2127" w:type="dxa"/>
            <w:tcBorders>
              <w:top w:val="double" w:sz="4" w:space="0" w:color="auto"/>
              <w:bottom w:val="single" w:sz="12" w:space="0" w:color="auto"/>
            </w:tcBorders>
            <w:shd w:val="clear" w:color="auto" w:fill="auto"/>
          </w:tcPr>
          <w:p w:rsidR="00E21792" w:rsidRDefault="00E21792" w:rsidP="00F457C6">
            <w:pPr>
              <w:pStyle w:val="142"/>
              <w:spacing w:line="380" w:lineRule="exact"/>
              <w:ind w:left="437" w:hanging="437"/>
              <w:jc w:val="center"/>
              <w:rPr>
                <w:rFonts w:hint="eastAsia"/>
                <w:color w:val="000000"/>
                <w:spacing w:val="-10"/>
              </w:rPr>
            </w:pPr>
            <w:r>
              <w:rPr>
                <w:rFonts w:hint="eastAsia"/>
                <w:color w:val="000000"/>
                <w:spacing w:val="-10"/>
              </w:rPr>
              <w:t>總資產報酬率</w:t>
            </w:r>
          </w:p>
        </w:tc>
        <w:tc>
          <w:tcPr>
            <w:tcW w:w="1275"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1</w:t>
            </w:r>
            <w:r>
              <w:rPr>
                <w:color w:val="000000"/>
                <w:spacing w:val="-10"/>
              </w:rPr>
              <w:t>.03</w:t>
            </w:r>
          </w:p>
        </w:tc>
        <w:tc>
          <w:tcPr>
            <w:tcW w:w="1276"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10.00</w:t>
            </w:r>
          </w:p>
        </w:tc>
        <w:tc>
          <w:tcPr>
            <w:tcW w:w="1276" w:type="dxa"/>
            <w:tcBorders>
              <w:top w:val="double" w:sz="4" w:space="0" w:color="auto"/>
              <w:bottom w:val="single" w:sz="12" w:space="0" w:color="auto"/>
            </w:tcBorders>
            <w:shd w:val="clear" w:color="auto" w:fill="auto"/>
            <w:vAlign w:val="center"/>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8.14</w:t>
            </w:r>
          </w:p>
        </w:tc>
        <w:tc>
          <w:tcPr>
            <w:tcW w:w="1134" w:type="dxa"/>
            <w:tcBorders>
              <w:top w:val="double" w:sz="4" w:space="0" w:color="auto"/>
              <w:bottom w:val="single" w:sz="12"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w:t>
            </w:r>
            <w:r>
              <w:rPr>
                <w:color w:val="000000"/>
                <w:spacing w:val="-10"/>
              </w:rPr>
              <w:t>7.27</w:t>
            </w:r>
          </w:p>
        </w:tc>
        <w:tc>
          <w:tcPr>
            <w:tcW w:w="1417" w:type="dxa"/>
            <w:tcBorders>
              <w:top w:val="double" w:sz="4" w:space="0" w:color="auto"/>
              <w:bottom w:val="single" w:sz="12" w:space="0" w:color="auto"/>
            </w:tcBorders>
          </w:tcPr>
          <w:p w:rsidR="00E21792" w:rsidRDefault="00E21792" w:rsidP="00F457C6">
            <w:pPr>
              <w:pStyle w:val="142"/>
              <w:spacing w:line="380" w:lineRule="exact"/>
              <w:ind w:left="437" w:hanging="437"/>
              <w:jc w:val="right"/>
              <w:rPr>
                <w:rFonts w:hint="eastAsia"/>
                <w:color w:val="000000"/>
                <w:spacing w:val="-10"/>
              </w:rPr>
            </w:pPr>
            <w:r>
              <w:rPr>
                <w:rFonts w:hint="eastAsia"/>
                <w:color w:val="000000"/>
                <w:spacing w:val="-10"/>
              </w:rPr>
              <w:t>0</w:t>
            </w:r>
            <w:r>
              <w:rPr>
                <w:color w:val="000000"/>
                <w:spacing w:val="-10"/>
              </w:rPr>
              <w:t>.27</w:t>
            </w:r>
          </w:p>
        </w:tc>
      </w:tr>
    </w:tbl>
    <w:p w:rsidR="00E21792" w:rsidRDefault="00E21792" w:rsidP="008D4F60">
      <w:pPr>
        <w:pStyle w:val="142"/>
        <w:ind w:leftChars="-3" w:left="1086" w:hangingChars="450" w:hanging="1094"/>
        <w:rPr>
          <w:rFonts w:hint="eastAsia"/>
        </w:rPr>
      </w:pPr>
      <w:r>
        <w:rPr>
          <w:rFonts w:hint="eastAsia"/>
        </w:rPr>
        <w:t xml:space="preserve">說 </w:t>
      </w:r>
      <w:r>
        <w:t xml:space="preserve">   </w:t>
      </w:r>
      <w:r>
        <w:rPr>
          <w:rFonts w:hint="eastAsia"/>
        </w:rPr>
        <w:t>明：</w:t>
      </w:r>
      <w:r w:rsidR="003F691D" w:rsidRPr="0034283B">
        <w:rPr>
          <w:rFonts w:hint="eastAsia"/>
        </w:rPr>
        <w:t>表列資料11</w:t>
      </w:r>
      <w:r w:rsidR="003F691D" w:rsidRPr="0034283B">
        <w:t>2</w:t>
      </w:r>
      <w:r w:rsidR="003F691D" w:rsidRPr="0034283B">
        <w:rPr>
          <w:rFonts w:hint="eastAsia"/>
        </w:rPr>
        <w:t>年度以前為審定決算數</w:t>
      </w:r>
      <w:r>
        <w:rPr>
          <w:rFonts w:hint="eastAsia"/>
        </w:rPr>
        <w:t>，1</w:t>
      </w:r>
      <w:r>
        <w:t>13</w:t>
      </w:r>
      <w:r w:rsidR="008D4F60">
        <w:rPr>
          <w:rFonts w:hint="eastAsia"/>
        </w:rPr>
        <w:t>年度金額係1</w:t>
      </w:r>
      <w:r w:rsidR="008D4F60">
        <w:t>14</w:t>
      </w:r>
      <w:r w:rsidR="008D4F60">
        <w:rPr>
          <w:rFonts w:hint="eastAsia"/>
        </w:rPr>
        <w:t>年度預算案「資產負債預計表」所列調整後1</w:t>
      </w:r>
      <w:r w:rsidR="008D4F60">
        <w:t>13</w:t>
      </w:r>
      <w:r w:rsidR="008D4F60">
        <w:rPr>
          <w:rFonts w:hint="eastAsia"/>
        </w:rPr>
        <w:t>年底預計數，</w:t>
      </w:r>
      <w:r>
        <w:rPr>
          <w:rFonts w:hint="eastAsia"/>
        </w:rPr>
        <w:t>1</w:t>
      </w:r>
      <w:r>
        <w:t>14</w:t>
      </w:r>
      <w:r>
        <w:rPr>
          <w:rFonts w:hint="eastAsia"/>
        </w:rPr>
        <w:t>年度為預算案數。</w:t>
      </w:r>
    </w:p>
    <w:p w:rsidR="00E21792" w:rsidRDefault="00E21792" w:rsidP="00E21792">
      <w:pPr>
        <w:pStyle w:val="142"/>
        <w:ind w:leftChars="-3" w:left="1405" w:hangingChars="581" w:hanging="1413"/>
      </w:pPr>
      <w:r w:rsidRPr="0034283B">
        <w:rPr>
          <w:rFonts w:hint="eastAsia"/>
        </w:rPr>
        <w:t>資料來源：台電</w:t>
      </w:r>
      <w:r>
        <w:rPr>
          <w:rFonts w:hint="eastAsia"/>
        </w:rPr>
        <w:t>各年度預決算書</w:t>
      </w:r>
      <w:r w:rsidRPr="0034283B">
        <w:rPr>
          <w:rFonts w:hint="eastAsia"/>
        </w:rPr>
        <w:t>。</w:t>
      </w:r>
    </w:p>
    <w:sectPr w:rsidR="00E21792" w:rsidSect="002D32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419" w:rsidRDefault="00B57419" w:rsidP="00D760F2">
      <w:pPr>
        <w:spacing w:line="240" w:lineRule="auto"/>
        <w:ind w:left="560" w:firstLine="560"/>
      </w:pPr>
      <w:r>
        <w:separator/>
      </w:r>
    </w:p>
  </w:endnote>
  <w:endnote w:type="continuationSeparator" w:id="0">
    <w:p w:rsidR="00B57419" w:rsidRDefault="00B57419"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B93623">
    <w:pPr>
      <w:pStyle w:val="af"/>
      <w:ind w:leftChars="0" w:left="566" w:firstLineChars="0" w:firstLine="406"/>
      <w:jc w:val="center"/>
    </w:pPr>
    <w:r>
      <w:fldChar w:fldCharType="begin"/>
    </w:r>
    <w:r>
      <w:instrText>PAGE   \* MERGEFORMAT</w:instrText>
    </w:r>
    <w:r>
      <w:fldChar w:fldCharType="separate"/>
    </w:r>
    <w:r w:rsidR="00C33F08" w:rsidRPr="00C33F0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419" w:rsidRDefault="00B57419" w:rsidP="00D760F2">
      <w:pPr>
        <w:spacing w:line="240" w:lineRule="auto"/>
        <w:ind w:left="560" w:firstLine="560"/>
      </w:pPr>
      <w:r>
        <w:separator/>
      </w:r>
    </w:p>
  </w:footnote>
  <w:footnote w:type="continuationSeparator" w:id="0">
    <w:p w:rsidR="00B57419" w:rsidRDefault="00B57419" w:rsidP="00D760F2">
      <w:pPr>
        <w:spacing w:line="240" w:lineRule="auto"/>
        <w:ind w:left="560" w:firstLine="560"/>
      </w:pPr>
      <w:r>
        <w:continuationSeparator/>
      </w:r>
    </w:p>
  </w:footnote>
  <w:footnote w:id="1">
    <w:p w:rsidR="005D67A6" w:rsidRPr="005D67A6" w:rsidRDefault="005D67A6" w:rsidP="005D67A6">
      <w:pPr>
        <w:pStyle w:val="142"/>
        <w:ind w:left="243" w:hangingChars="100" w:hanging="243"/>
        <w:jc w:val="both"/>
        <w:rPr>
          <w:rFonts w:hint="eastAsia"/>
        </w:rPr>
      </w:pPr>
      <w:r>
        <w:rPr>
          <w:rStyle w:val="af3"/>
        </w:rPr>
        <w:footnoteRef/>
      </w:r>
      <w:r>
        <w:t xml:space="preserve"> </w:t>
      </w:r>
      <w:r w:rsidRPr="00744B4D">
        <w:rPr>
          <w:rFonts w:hint="eastAsia"/>
        </w:rPr>
        <w:t>電業法第8條第1項規定：「輸配電業應負責執行電力調度業務，於確保電力系統安全穩定下，應優先併網、調度再生能源。」</w:t>
      </w:r>
    </w:p>
  </w:footnote>
  <w:footnote w:id="2">
    <w:p w:rsidR="00C007D9" w:rsidRPr="00B13543" w:rsidRDefault="00C007D9" w:rsidP="00E21792">
      <w:pPr>
        <w:pStyle w:val="142"/>
        <w:ind w:left="243" w:hangingChars="100" w:hanging="243"/>
        <w:jc w:val="both"/>
        <w:rPr>
          <w:rFonts w:hint="eastAsia"/>
        </w:rPr>
      </w:pPr>
      <w:r>
        <w:rPr>
          <w:rStyle w:val="af3"/>
        </w:rPr>
        <w:footnoteRef/>
      </w:r>
      <w:r>
        <w:rPr>
          <w:rFonts w:hint="eastAsia"/>
        </w:rPr>
        <w:t xml:space="preserve"> 依台電公司</w:t>
      </w:r>
      <w:r w:rsidR="00F457C6">
        <w:rPr>
          <w:rFonts w:hint="eastAsia"/>
        </w:rPr>
        <w:t>提供</w:t>
      </w:r>
      <w:r>
        <w:rPr>
          <w:rFonts w:hint="eastAsia"/>
        </w:rPr>
        <w:t>重要電業經營績效，1</w:t>
      </w:r>
      <w:r>
        <w:t>0</w:t>
      </w:r>
      <w:r>
        <w:rPr>
          <w:rFonts w:hint="eastAsia"/>
        </w:rPr>
        <w:t>家國外電力公司資產報酬率僅有4家呈負值，分別為</w:t>
      </w:r>
      <w:r>
        <w:rPr>
          <w:rFonts w:hint="eastAsia"/>
          <w:color w:val="000000"/>
        </w:rPr>
        <w:t>南非電力(E</w:t>
      </w:r>
      <w:r>
        <w:rPr>
          <w:color w:val="000000"/>
        </w:rPr>
        <w:t>SKOM)-3.8%</w:t>
      </w:r>
      <w:r>
        <w:rPr>
          <w:rFonts w:hint="eastAsia"/>
          <w:color w:val="000000"/>
        </w:rPr>
        <w:t>、韓國電力(</w:t>
      </w:r>
      <w:r>
        <w:rPr>
          <w:color w:val="000000"/>
        </w:rPr>
        <w:t>KEPCO)-3.2%</w:t>
      </w:r>
      <w:r>
        <w:rPr>
          <w:rFonts w:hint="eastAsia"/>
          <w:color w:val="000000"/>
        </w:rPr>
        <w:t>、日本東京電力-</w:t>
      </w:r>
      <w:r>
        <w:rPr>
          <w:color w:val="000000"/>
        </w:rPr>
        <w:t>0.84%</w:t>
      </w:r>
      <w:r>
        <w:rPr>
          <w:rFonts w:hint="eastAsia"/>
          <w:color w:val="000000"/>
        </w:rPr>
        <w:t>及日本關西電力-</w:t>
      </w:r>
      <w:r>
        <w:rPr>
          <w:color w:val="000000"/>
        </w:rPr>
        <w:t>0.07%</w:t>
      </w:r>
      <w:r>
        <w:rPr>
          <w:rFonts w:hint="eastAsia"/>
          <w:color w:val="000000"/>
        </w:rPr>
        <w:t>，其中除韓國電力為2</w:t>
      </w:r>
      <w:r>
        <w:rPr>
          <w:color w:val="000000"/>
        </w:rPr>
        <w:t>023</w:t>
      </w:r>
      <w:r>
        <w:rPr>
          <w:rFonts w:hint="eastAsia"/>
          <w:color w:val="000000"/>
        </w:rPr>
        <w:t>年統計數據外，餘皆為2</w:t>
      </w:r>
      <w:r>
        <w:rPr>
          <w:color w:val="000000"/>
        </w:rPr>
        <w:t>022</w:t>
      </w:r>
      <w:r>
        <w:rPr>
          <w:rFonts w:hint="eastAsia"/>
          <w:color w:val="000000"/>
        </w:rPr>
        <w:t>年統計數據。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07D9" w:rsidRDefault="00C007D9" w:rsidP="00D71B67">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09857C"/>
    <w:multiLevelType w:val="hybridMultilevel"/>
    <w:tmpl w:val="860D18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65BA147"/>
    <w:multiLevelType w:val="hybridMultilevel"/>
    <w:tmpl w:val="3CCAE15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3AE3511"/>
    <w:multiLevelType w:val="hybridMultilevel"/>
    <w:tmpl w:val="84DC6EA8"/>
    <w:lvl w:ilvl="0" w:tplc="E76820E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56304432"/>
    <w:multiLevelType w:val="hybridMultilevel"/>
    <w:tmpl w:val="FA1A5D4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688E9303"/>
    <w:multiLevelType w:val="hybridMultilevel"/>
    <w:tmpl w:val="252DE50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B275985"/>
    <w:multiLevelType w:val="hybridMultilevel"/>
    <w:tmpl w:val="7968671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C81970"/>
    <w:multiLevelType w:val="hybridMultilevel"/>
    <w:tmpl w:val="BB08ACD4"/>
    <w:lvl w:ilvl="0" w:tplc="EBC209D6">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74A6B346"/>
    <w:multiLevelType w:val="hybridMultilevel"/>
    <w:tmpl w:val="D9D63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6143C49"/>
    <w:multiLevelType w:val="hybridMultilevel"/>
    <w:tmpl w:val="AB428996"/>
    <w:lvl w:ilvl="0" w:tplc="E9BC5D32">
      <w:start w:val="1"/>
      <w:numFmt w:val="taiwaneseCountingThousand"/>
      <w:lvlText w:val="(%1)"/>
      <w:lvlJc w:val="left"/>
      <w:pPr>
        <w:ind w:left="48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2"/>
  </w:num>
  <w:num w:numId="3">
    <w:abstractNumId w:val="6"/>
  </w:num>
  <w:num w:numId="4">
    <w:abstractNumId w:val="5"/>
  </w:num>
  <w:num w:numId="5">
    <w:abstractNumId w:val="4"/>
  </w:num>
  <w:num w:numId="6">
    <w:abstractNumId w:val="0"/>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33F32"/>
    <w:rsid w:val="000022EB"/>
    <w:rsid w:val="000027D5"/>
    <w:rsid w:val="00006E01"/>
    <w:rsid w:val="00006EA9"/>
    <w:rsid w:val="00007338"/>
    <w:rsid w:val="00012C3F"/>
    <w:rsid w:val="00012EC9"/>
    <w:rsid w:val="00014316"/>
    <w:rsid w:val="000160CB"/>
    <w:rsid w:val="00016699"/>
    <w:rsid w:val="0001672C"/>
    <w:rsid w:val="000175D8"/>
    <w:rsid w:val="00020900"/>
    <w:rsid w:val="00022460"/>
    <w:rsid w:val="00024294"/>
    <w:rsid w:val="000326F1"/>
    <w:rsid w:val="00040738"/>
    <w:rsid w:val="0004231A"/>
    <w:rsid w:val="00043E5B"/>
    <w:rsid w:val="00045B8D"/>
    <w:rsid w:val="00051285"/>
    <w:rsid w:val="00055A65"/>
    <w:rsid w:val="0006343F"/>
    <w:rsid w:val="00070337"/>
    <w:rsid w:val="00070DC5"/>
    <w:rsid w:val="00071832"/>
    <w:rsid w:val="00072E61"/>
    <w:rsid w:val="00073646"/>
    <w:rsid w:val="00073764"/>
    <w:rsid w:val="00073C9F"/>
    <w:rsid w:val="00073F33"/>
    <w:rsid w:val="00074416"/>
    <w:rsid w:val="00077E9F"/>
    <w:rsid w:val="00086096"/>
    <w:rsid w:val="00087B4F"/>
    <w:rsid w:val="00087FC0"/>
    <w:rsid w:val="000908FC"/>
    <w:rsid w:val="000964D7"/>
    <w:rsid w:val="00097082"/>
    <w:rsid w:val="000A004C"/>
    <w:rsid w:val="000B5EC5"/>
    <w:rsid w:val="000B6507"/>
    <w:rsid w:val="000B793D"/>
    <w:rsid w:val="000C10B1"/>
    <w:rsid w:val="000C20DA"/>
    <w:rsid w:val="000C23D6"/>
    <w:rsid w:val="000C3B02"/>
    <w:rsid w:val="000C4738"/>
    <w:rsid w:val="000C4C0B"/>
    <w:rsid w:val="000C52A3"/>
    <w:rsid w:val="000D42EB"/>
    <w:rsid w:val="000D5968"/>
    <w:rsid w:val="000D7B24"/>
    <w:rsid w:val="000D7C21"/>
    <w:rsid w:val="000E23D8"/>
    <w:rsid w:val="000E2E67"/>
    <w:rsid w:val="000E5FE8"/>
    <w:rsid w:val="000E64F9"/>
    <w:rsid w:val="000E65A6"/>
    <w:rsid w:val="000E69DE"/>
    <w:rsid w:val="000F47E0"/>
    <w:rsid w:val="000F6E23"/>
    <w:rsid w:val="000F7390"/>
    <w:rsid w:val="000F78A4"/>
    <w:rsid w:val="00101585"/>
    <w:rsid w:val="00102841"/>
    <w:rsid w:val="00105DC6"/>
    <w:rsid w:val="00107C5C"/>
    <w:rsid w:val="0011594C"/>
    <w:rsid w:val="001171BD"/>
    <w:rsid w:val="0011761C"/>
    <w:rsid w:val="001201FD"/>
    <w:rsid w:val="001207E6"/>
    <w:rsid w:val="00120AC4"/>
    <w:rsid w:val="00120B3C"/>
    <w:rsid w:val="001217D1"/>
    <w:rsid w:val="00123385"/>
    <w:rsid w:val="001237F2"/>
    <w:rsid w:val="00134B7B"/>
    <w:rsid w:val="00136544"/>
    <w:rsid w:val="00141161"/>
    <w:rsid w:val="00141818"/>
    <w:rsid w:val="00142C29"/>
    <w:rsid w:val="00142DB0"/>
    <w:rsid w:val="00144ED2"/>
    <w:rsid w:val="0014628D"/>
    <w:rsid w:val="001475E3"/>
    <w:rsid w:val="00147940"/>
    <w:rsid w:val="0015161F"/>
    <w:rsid w:val="00152056"/>
    <w:rsid w:val="00161595"/>
    <w:rsid w:val="001638EE"/>
    <w:rsid w:val="00172EA2"/>
    <w:rsid w:val="001736CA"/>
    <w:rsid w:val="00174EAA"/>
    <w:rsid w:val="00175B65"/>
    <w:rsid w:val="0017688D"/>
    <w:rsid w:val="00176CB0"/>
    <w:rsid w:val="00183DDA"/>
    <w:rsid w:val="0018424D"/>
    <w:rsid w:val="001922A9"/>
    <w:rsid w:val="00195DCD"/>
    <w:rsid w:val="001A05C4"/>
    <w:rsid w:val="001A2368"/>
    <w:rsid w:val="001A3C43"/>
    <w:rsid w:val="001B0106"/>
    <w:rsid w:val="001B06D0"/>
    <w:rsid w:val="001B0D39"/>
    <w:rsid w:val="001B0E79"/>
    <w:rsid w:val="001B22E1"/>
    <w:rsid w:val="001B6B8A"/>
    <w:rsid w:val="001B7C72"/>
    <w:rsid w:val="001B7F0B"/>
    <w:rsid w:val="001C24FB"/>
    <w:rsid w:val="001C3BCA"/>
    <w:rsid w:val="001C3C98"/>
    <w:rsid w:val="001C673C"/>
    <w:rsid w:val="001D3096"/>
    <w:rsid w:val="001D30BB"/>
    <w:rsid w:val="001D56C1"/>
    <w:rsid w:val="001D6C3A"/>
    <w:rsid w:val="001E1D59"/>
    <w:rsid w:val="001E2FAA"/>
    <w:rsid w:val="001E3DDA"/>
    <w:rsid w:val="001E6CC8"/>
    <w:rsid w:val="001E6EE6"/>
    <w:rsid w:val="001F1522"/>
    <w:rsid w:val="001F4E56"/>
    <w:rsid w:val="00201F57"/>
    <w:rsid w:val="0020349F"/>
    <w:rsid w:val="002037AD"/>
    <w:rsid w:val="0021213C"/>
    <w:rsid w:val="00213AB9"/>
    <w:rsid w:val="0021527E"/>
    <w:rsid w:val="00216FA5"/>
    <w:rsid w:val="00216FBA"/>
    <w:rsid w:val="0022106D"/>
    <w:rsid w:val="002210BF"/>
    <w:rsid w:val="00226D6D"/>
    <w:rsid w:val="00230967"/>
    <w:rsid w:val="00231C5A"/>
    <w:rsid w:val="00233DF7"/>
    <w:rsid w:val="002343BC"/>
    <w:rsid w:val="00235427"/>
    <w:rsid w:val="00236B14"/>
    <w:rsid w:val="00242BD1"/>
    <w:rsid w:val="00242C8A"/>
    <w:rsid w:val="002432D9"/>
    <w:rsid w:val="00243FAB"/>
    <w:rsid w:val="00244895"/>
    <w:rsid w:val="00246C32"/>
    <w:rsid w:val="002476A1"/>
    <w:rsid w:val="0025036F"/>
    <w:rsid w:val="00251B49"/>
    <w:rsid w:val="002527FE"/>
    <w:rsid w:val="002548E5"/>
    <w:rsid w:val="00255A18"/>
    <w:rsid w:val="00256402"/>
    <w:rsid w:val="002579F7"/>
    <w:rsid w:val="0026129E"/>
    <w:rsid w:val="00261DB6"/>
    <w:rsid w:val="002660C3"/>
    <w:rsid w:val="00266212"/>
    <w:rsid w:val="00266ABA"/>
    <w:rsid w:val="00266FA4"/>
    <w:rsid w:val="00267821"/>
    <w:rsid w:val="002700F8"/>
    <w:rsid w:val="00273169"/>
    <w:rsid w:val="002755FC"/>
    <w:rsid w:val="002771F4"/>
    <w:rsid w:val="00284244"/>
    <w:rsid w:val="002849D9"/>
    <w:rsid w:val="00285D5A"/>
    <w:rsid w:val="00290E7B"/>
    <w:rsid w:val="00290F9F"/>
    <w:rsid w:val="00290FB8"/>
    <w:rsid w:val="00293D49"/>
    <w:rsid w:val="002949E5"/>
    <w:rsid w:val="00296254"/>
    <w:rsid w:val="002967CB"/>
    <w:rsid w:val="002977AC"/>
    <w:rsid w:val="002A2DAB"/>
    <w:rsid w:val="002A2E82"/>
    <w:rsid w:val="002A4E85"/>
    <w:rsid w:val="002A5B17"/>
    <w:rsid w:val="002A5C5E"/>
    <w:rsid w:val="002B467E"/>
    <w:rsid w:val="002B63C2"/>
    <w:rsid w:val="002B72F1"/>
    <w:rsid w:val="002C59CD"/>
    <w:rsid w:val="002C6564"/>
    <w:rsid w:val="002C6D36"/>
    <w:rsid w:val="002D232B"/>
    <w:rsid w:val="002D32A6"/>
    <w:rsid w:val="002D32EC"/>
    <w:rsid w:val="002D3318"/>
    <w:rsid w:val="002D3D77"/>
    <w:rsid w:val="002D4476"/>
    <w:rsid w:val="002D487A"/>
    <w:rsid w:val="002D60FD"/>
    <w:rsid w:val="002D6769"/>
    <w:rsid w:val="002E091E"/>
    <w:rsid w:val="002E0A46"/>
    <w:rsid w:val="002E0C7D"/>
    <w:rsid w:val="002E2576"/>
    <w:rsid w:val="002E32E2"/>
    <w:rsid w:val="002E5D9F"/>
    <w:rsid w:val="002E60F5"/>
    <w:rsid w:val="002F2D5B"/>
    <w:rsid w:val="0030024F"/>
    <w:rsid w:val="0030510B"/>
    <w:rsid w:val="003105D4"/>
    <w:rsid w:val="003117EE"/>
    <w:rsid w:val="00315F2A"/>
    <w:rsid w:val="00320BEB"/>
    <w:rsid w:val="00322D3A"/>
    <w:rsid w:val="00322E6D"/>
    <w:rsid w:val="0032336F"/>
    <w:rsid w:val="003238B3"/>
    <w:rsid w:val="0032520B"/>
    <w:rsid w:val="00325903"/>
    <w:rsid w:val="00325E2A"/>
    <w:rsid w:val="003277C5"/>
    <w:rsid w:val="00334DA1"/>
    <w:rsid w:val="00336E47"/>
    <w:rsid w:val="00336FBC"/>
    <w:rsid w:val="00337DE4"/>
    <w:rsid w:val="0034283B"/>
    <w:rsid w:val="003430F0"/>
    <w:rsid w:val="00343782"/>
    <w:rsid w:val="00343A66"/>
    <w:rsid w:val="00345270"/>
    <w:rsid w:val="00352397"/>
    <w:rsid w:val="00355D7D"/>
    <w:rsid w:val="00363180"/>
    <w:rsid w:val="00363E41"/>
    <w:rsid w:val="00366140"/>
    <w:rsid w:val="00366168"/>
    <w:rsid w:val="00366ACF"/>
    <w:rsid w:val="00366FB0"/>
    <w:rsid w:val="00367BAA"/>
    <w:rsid w:val="00371AD7"/>
    <w:rsid w:val="003754F1"/>
    <w:rsid w:val="00377F87"/>
    <w:rsid w:val="00380AD4"/>
    <w:rsid w:val="003814D6"/>
    <w:rsid w:val="003823C8"/>
    <w:rsid w:val="003866DB"/>
    <w:rsid w:val="00386742"/>
    <w:rsid w:val="00387086"/>
    <w:rsid w:val="0038746D"/>
    <w:rsid w:val="00387794"/>
    <w:rsid w:val="003941D1"/>
    <w:rsid w:val="003A663B"/>
    <w:rsid w:val="003A6935"/>
    <w:rsid w:val="003A6C13"/>
    <w:rsid w:val="003A6D37"/>
    <w:rsid w:val="003A7EC0"/>
    <w:rsid w:val="003B1A72"/>
    <w:rsid w:val="003B1FE6"/>
    <w:rsid w:val="003B31D5"/>
    <w:rsid w:val="003B38C3"/>
    <w:rsid w:val="003B5A83"/>
    <w:rsid w:val="003B6A73"/>
    <w:rsid w:val="003B6ED4"/>
    <w:rsid w:val="003B7919"/>
    <w:rsid w:val="003C172A"/>
    <w:rsid w:val="003C1E06"/>
    <w:rsid w:val="003C3063"/>
    <w:rsid w:val="003C402E"/>
    <w:rsid w:val="003C5477"/>
    <w:rsid w:val="003C71BF"/>
    <w:rsid w:val="003C76F9"/>
    <w:rsid w:val="003D1616"/>
    <w:rsid w:val="003D1770"/>
    <w:rsid w:val="003D1A83"/>
    <w:rsid w:val="003D216F"/>
    <w:rsid w:val="003D2315"/>
    <w:rsid w:val="003D390D"/>
    <w:rsid w:val="003D41CB"/>
    <w:rsid w:val="003D5F2C"/>
    <w:rsid w:val="003D69FD"/>
    <w:rsid w:val="003D7D56"/>
    <w:rsid w:val="003D7E22"/>
    <w:rsid w:val="003E182B"/>
    <w:rsid w:val="003E2491"/>
    <w:rsid w:val="003E48CC"/>
    <w:rsid w:val="003F200B"/>
    <w:rsid w:val="003F235D"/>
    <w:rsid w:val="003F41D9"/>
    <w:rsid w:val="003F58F5"/>
    <w:rsid w:val="003F59F6"/>
    <w:rsid w:val="003F691D"/>
    <w:rsid w:val="003F6C8C"/>
    <w:rsid w:val="003F71FC"/>
    <w:rsid w:val="003F75E8"/>
    <w:rsid w:val="00400324"/>
    <w:rsid w:val="004003A7"/>
    <w:rsid w:val="0040041B"/>
    <w:rsid w:val="00401B02"/>
    <w:rsid w:val="00402ADA"/>
    <w:rsid w:val="004045AB"/>
    <w:rsid w:val="004073C6"/>
    <w:rsid w:val="00412C69"/>
    <w:rsid w:val="00414AA7"/>
    <w:rsid w:val="00416C0B"/>
    <w:rsid w:val="00416F26"/>
    <w:rsid w:val="00416FBB"/>
    <w:rsid w:val="00421497"/>
    <w:rsid w:val="00421F3F"/>
    <w:rsid w:val="00424B5F"/>
    <w:rsid w:val="0042544B"/>
    <w:rsid w:val="004264E2"/>
    <w:rsid w:val="00426916"/>
    <w:rsid w:val="00427A36"/>
    <w:rsid w:val="00427CFE"/>
    <w:rsid w:val="00430E2D"/>
    <w:rsid w:val="00430FCB"/>
    <w:rsid w:val="0043175F"/>
    <w:rsid w:val="004336FF"/>
    <w:rsid w:val="00434E2C"/>
    <w:rsid w:val="004442F5"/>
    <w:rsid w:val="00450231"/>
    <w:rsid w:val="00454F5E"/>
    <w:rsid w:val="00455407"/>
    <w:rsid w:val="00455F31"/>
    <w:rsid w:val="00457787"/>
    <w:rsid w:val="00457F21"/>
    <w:rsid w:val="00460623"/>
    <w:rsid w:val="00460EE6"/>
    <w:rsid w:val="00462E23"/>
    <w:rsid w:val="004644BB"/>
    <w:rsid w:val="00465A4E"/>
    <w:rsid w:val="0047112E"/>
    <w:rsid w:val="004745D2"/>
    <w:rsid w:val="00476116"/>
    <w:rsid w:val="00476311"/>
    <w:rsid w:val="0047649A"/>
    <w:rsid w:val="00477154"/>
    <w:rsid w:val="004771A2"/>
    <w:rsid w:val="00480131"/>
    <w:rsid w:val="004822FC"/>
    <w:rsid w:val="0048234F"/>
    <w:rsid w:val="004843C3"/>
    <w:rsid w:val="00485D23"/>
    <w:rsid w:val="004879F9"/>
    <w:rsid w:val="00490B39"/>
    <w:rsid w:val="00490D94"/>
    <w:rsid w:val="004967FA"/>
    <w:rsid w:val="004969F8"/>
    <w:rsid w:val="00497E39"/>
    <w:rsid w:val="00497EFD"/>
    <w:rsid w:val="004A2450"/>
    <w:rsid w:val="004A272D"/>
    <w:rsid w:val="004A35E6"/>
    <w:rsid w:val="004A4069"/>
    <w:rsid w:val="004A4494"/>
    <w:rsid w:val="004A47F4"/>
    <w:rsid w:val="004A5F80"/>
    <w:rsid w:val="004B2306"/>
    <w:rsid w:val="004B38EC"/>
    <w:rsid w:val="004B3A75"/>
    <w:rsid w:val="004B6524"/>
    <w:rsid w:val="004B7E07"/>
    <w:rsid w:val="004C2334"/>
    <w:rsid w:val="004C3FB4"/>
    <w:rsid w:val="004C4D9F"/>
    <w:rsid w:val="004C4F00"/>
    <w:rsid w:val="004C5F46"/>
    <w:rsid w:val="004C665A"/>
    <w:rsid w:val="004D03D2"/>
    <w:rsid w:val="004D245D"/>
    <w:rsid w:val="004D27BE"/>
    <w:rsid w:val="004D6D1A"/>
    <w:rsid w:val="004D7F42"/>
    <w:rsid w:val="004E07F9"/>
    <w:rsid w:val="004E445A"/>
    <w:rsid w:val="004E4532"/>
    <w:rsid w:val="004E55CC"/>
    <w:rsid w:val="004E6700"/>
    <w:rsid w:val="004E6B47"/>
    <w:rsid w:val="004E7A1A"/>
    <w:rsid w:val="004F16A5"/>
    <w:rsid w:val="004F1B49"/>
    <w:rsid w:val="004F1C2F"/>
    <w:rsid w:val="004F2585"/>
    <w:rsid w:val="004F29A5"/>
    <w:rsid w:val="004F2CCB"/>
    <w:rsid w:val="004F3D31"/>
    <w:rsid w:val="004F3FF8"/>
    <w:rsid w:val="004F408C"/>
    <w:rsid w:val="004F6A84"/>
    <w:rsid w:val="00502F2F"/>
    <w:rsid w:val="00505C1F"/>
    <w:rsid w:val="00510F67"/>
    <w:rsid w:val="00511549"/>
    <w:rsid w:val="0051158A"/>
    <w:rsid w:val="0051299F"/>
    <w:rsid w:val="00513795"/>
    <w:rsid w:val="00514E25"/>
    <w:rsid w:val="00515BF9"/>
    <w:rsid w:val="00516A42"/>
    <w:rsid w:val="00517D25"/>
    <w:rsid w:val="005252FB"/>
    <w:rsid w:val="00527BF3"/>
    <w:rsid w:val="00533077"/>
    <w:rsid w:val="0053690A"/>
    <w:rsid w:val="0054188B"/>
    <w:rsid w:val="005440B2"/>
    <w:rsid w:val="00545C36"/>
    <w:rsid w:val="005461BD"/>
    <w:rsid w:val="00546FF5"/>
    <w:rsid w:val="00547838"/>
    <w:rsid w:val="00550075"/>
    <w:rsid w:val="005504A7"/>
    <w:rsid w:val="005512B4"/>
    <w:rsid w:val="00551631"/>
    <w:rsid w:val="00552374"/>
    <w:rsid w:val="00554865"/>
    <w:rsid w:val="00556C80"/>
    <w:rsid w:val="005615C5"/>
    <w:rsid w:val="0056243D"/>
    <w:rsid w:val="005649CE"/>
    <w:rsid w:val="00564F34"/>
    <w:rsid w:val="00574F76"/>
    <w:rsid w:val="00580A99"/>
    <w:rsid w:val="005814E4"/>
    <w:rsid w:val="00581601"/>
    <w:rsid w:val="005827A9"/>
    <w:rsid w:val="00583464"/>
    <w:rsid w:val="00585E21"/>
    <w:rsid w:val="005864D0"/>
    <w:rsid w:val="00587BE9"/>
    <w:rsid w:val="00590BFC"/>
    <w:rsid w:val="00591E42"/>
    <w:rsid w:val="00597299"/>
    <w:rsid w:val="005A5F09"/>
    <w:rsid w:val="005A7186"/>
    <w:rsid w:val="005A75D7"/>
    <w:rsid w:val="005A7806"/>
    <w:rsid w:val="005B003B"/>
    <w:rsid w:val="005B2026"/>
    <w:rsid w:val="005C095C"/>
    <w:rsid w:val="005C18FC"/>
    <w:rsid w:val="005C3C38"/>
    <w:rsid w:val="005C70E9"/>
    <w:rsid w:val="005C7FDC"/>
    <w:rsid w:val="005D260B"/>
    <w:rsid w:val="005D3F75"/>
    <w:rsid w:val="005D6054"/>
    <w:rsid w:val="005D67A6"/>
    <w:rsid w:val="005D7D56"/>
    <w:rsid w:val="005E4B82"/>
    <w:rsid w:val="005F03D2"/>
    <w:rsid w:val="005F1EFC"/>
    <w:rsid w:val="005F4B6B"/>
    <w:rsid w:val="00600604"/>
    <w:rsid w:val="00601C54"/>
    <w:rsid w:val="00602E80"/>
    <w:rsid w:val="006052A6"/>
    <w:rsid w:val="00611431"/>
    <w:rsid w:val="00614679"/>
    <w:rsid w:val="006146E4"/>
    <w:rsid w:val="00616DB3"/>
    <w:rsid w:val="006170D8"/>
    <w:rsid w:val="00617578"/>
    <w:rsid w:val="00617BCB"/>
    <w:rsid w:val="006226B5"/>
    <w:rsid w:val="00624B69"/>
    <w:rsid w:val="006326E2"/>
    <w:rsid w:val="006343A0"/>
    <w:rsid w:val="00634611"/>
    <w:rsid w:val="00636796"/>
    <w:rsid w:val="00636A8F"/>
    <w:rsid w:val="00637643"/>
    <w:rsid w:val="00640BB0"/>
    <w:rsid w:val="0064242E"/>
    <w:rsid w:val="00642D8C"/>
    <w:rsid w:val="0064324C"/>
    <w:rsid w:val="006438F2"/>
    <w:rsid w:val="00643A8D"/>
    <w:rsid w:val="00653819"/>
    <w:rsid w:val="0065487A"/>
    <w:rsid w:val="00655E43"/>
    <w:rsid w:val="006563D8"/>
    <w:rsid w:val="0066093E"/>
    <w:rsid w:val="00662FB6"/>
    <w:rsid w:val="006642E1"/>
    <w:rsid w:val="00666958"/>
    <w:rsid w:val="006706FB"/>
    <w:rsid w:val="00671560"/>
    <w:rsid w:val="006726EC"/>
    <w:rsid w:val="00673095"/>
    <w:rsid w:val="00675D08"/>
    <w:rsid w:val="006763BA"/>
    <w:rsid w:val="00677312"/>
    <w:rsid w:val="00680691"/>
    <w:rsid w:val="0068121F"/>
    <w:rsid w:val="00681EB6"/>
    <w:rsid w:val="00683279"/>
    <w:rsid w:val="00684F19"/>
    <w:rsid w:val="006855CC"/>
    <w:rsid w:val="0069114E"/>
    <w:rsid w:val="00691A47"/>
    <w:rsid w:val="006926B5"/>
    <w:rsid w:val="00696916"/>
    <w:rsid w:val="00697277"/>
    <w:rsid w:val="006A0AA8"/>
    <w:rsid w:val="006A2DC4"/>
    <w:rsid w:val="006A5696"/>
    <w:rsid w:val="006A6CD1"/>
    <w:rsid w:val="006A747B"/>
    <w:rsid w:val="006B1736"/>
    <w:rsid w:val="006B4A46"/>
    <w:rsid w:val="006B527C"/>
    <w:rsid w:val="006B5726"/>
    <w:rsid w:val="006C2912"/>
    <w:rsid w:val="006C7ED3"/>
    <w:rsid w:val="006D147A"/>
    <w:rsid w:val="006D5F1A"/>
    <w:rsid w:val="006D6378"/>
    <w:rsid w:val="006D6D51"/>
    <w:rsid w:val="006E1805"/>
    <w:rsid w:val="006E584E"/>
    <w:rsid w:val="006E7375"/>
    <w:rsid w:val="006E7E9C"/>
    <w:rsid w:val="006F0C1F"/>
    <w:rsid w:val="006F51EB"/>
    <w:rsid w:val="007015A1"/>
    <w:rsid w:val="00701856"/>
    <w:rsid w:val="00701A47"/>
    <w:rsid w:val="00702708"/>
    <w:rsid w:val="00704743"/>
    <w:rsid w:val="00704EDF"/>
    <w:rsid w:val="00706DFA"/>
    <w:rsid w:val="00711775"/>
    <w:rsid w:val="00711A2D"/>
    <w:rsid w:val="007240CF"/>
    <w:rsid w:val="0072784C"/>
    <w:rsid w:val="00733B42"/>
    <w:rsid w:val="00734BA2"/>
    <w:rsid w:val="00734CCA"/>
    <w:rsid w:val="00735CB9"/>
    <w:rsid w:val="007376B2"/>
    <w:rsid w:val="00737901"/>
    <w:rsid w:val="007407D0"/>
    <w:rsid w:val="0074093E"/>
    <w:rsid w:val="00740CE7"/>
    <w:rsid w:val="0074130E"/>
    <w:rsid w:val="00741321"/>
    <w:rsid w:val="007441C7"/>
    <w:rsid w:val="00744408"/>
    <w:rsid w:val="007452D4"/>
    <w:rsid w:val="007516D8"/>
    <w:rsid w:val="007540FD"/>
    <w:rsid w:val="00754BB8"/>
    <w:rsid w:val="007569E7"/>
    <w:rsid w:val="0076098F"/>
    <w:rsid w:val="00760C4D"/>
    <w:rsid w:val="00761D97"/>
    <w:rsid w:val="00764E28"/>
    <w:rsid w:val="007650DB"/>
    <w:rsid w:val="00767F89"/>
    <w:rsid w:val="0077116D"/>
    <w:rsid w:val="00771A64"/>
    <w:rsid w:val="00772045"/>
    <w:rsid w:val="00772AF2"/>
    <w:rsid w:val="007730A2"/>
    <w:rsid w:val="0077386F"/>
    <w:rsid w:val="00773F8E"/>
    <w:rsid w:val="00774AD1"/>
    <w:rsid w:val="00776405"/>
    <w:rsid w:val="00777498"/>
    <w:rsid w:val="00780023"/>
    <w:rsid w:val="00781DC7"/>
    <w:rsid w:val="00783CCA"/>
    <w:rsid w:val="007849C2"/>
    <w:rsid w:val="0078598C"/>
    <w:rsid w:val="00786009"/>
    <w:rsid w:val="00786261"/>
    <w:rsid w:val="007867AC"/>
    <w:rsid w:val="00787314"/>
    <w:rsid w:val="00790AB5"/>
    <w:rsid w:val="00791EE1"/>
    <w:rsid w:val="00793AAE"/>
    <w:rsid w:val="0079498A"/>
    <w:rsid w:val="00794D91"/>
    <w:rsid w:val="007A00FF"/>
    <w:rsid w:val="007A26BF"/>
    <w:rsid w:val="007A2DE6"/>
    <w:rsid w:val="007A459F"/>
    <w:rsid w:val="007A5A7E"/>
    <w:rsid w:val="007A67A0"/>
    <w:rsid w:val="007A71E0"/>
    <w:rsid w:val="007A7FD5"/>
    <w:rsid w:val="007B2C33"/>
    <w:rsid w:val="007B338B"/>
    <w:rsid w:val="007B4D9E"/>
    <w:rsid w:val="007B5EA4"/>
    <w:rsid w:val="007B7559"/>
    <w:rsid w:val="007B79C1"/>
    <w:rsid w:val="007B7B69"/>
    <w:rsid w:val="007C51FF"/>
    <w:rsid w:val="007C6CF4"/>
    <w:rsid w:val="007C7D9F"/>
    <w:rsid w:val="007D095E"/>
    <w:rsid w:val="007D211B"/>
    <w:rsid w:val="007D30C5"/>
    <w:rsid w:val="007D3988"/>
    <w:rsid w:val="007D58F2"/>
    <w:rsid w:val="007D7498"/>
    <w:rsid w:val="007E070A"/>
    <w:rsid w:val="007E0C63"/>
    <w:rsid w:val="007E0EAE"/>
    <w:rsid w:val="007E2E70"/>
    <w:rsid w:val="007E6FF8"/>
    <w:rsid w:val="007E715D"/>
    <w:rsid w:val="007F1312"/>
    <w:rsid w:val="007F3334"/>
    <w:rsid w:val="007F3FE5"/>
    <w:rsid w:val="007F5983"/>
    <w:rsid w:val="00800D1A"/>
    <w:rsid w:val="00800D70"/>
    <w:rsid w:val="00801DBA"/>
    <w:rsid w:val="008025C6"/>
    <w:rsid w:val="00803B52"/>
    <w:rsid w:val="00805509"/>
    <w:rsid w:val="00805C5F"/>
    <w:rsid w:val="00805F97"/>
    <w:rsid w:val="00810F27"/>
    <w:rsid w:val="00812948"/>
    <w:rsid w:val="00812BF7"/>
    <w:rsid w:val="00814BF7"/>
    <w:rsid w:val="00816DF5"/>
    <w:rsid w:val="00817429"/>
    <w:rsid w:val="00817EF0"/>
    <w:rsid w:val="00820676"/>
    <w:rsid w:val="0082331B"/>
    <w:rsid w:val="00826DCC"/>
    <w:rsid w:val="00826DF1"/>
    <w:rsid w:val="00827167"/>
    <w:rsid w:val="00832344"/>
    <w:rsid w:val="00842B46"/>
    <w:rsid w:val="008444BD"/>
    <w:rsid w:val="00845091"/>
    <w:rsid w:val="008474E3"/>
    <w:rsid w:val="008503C2"/>
    <w:rsid w:val="00852EEF"/>
    <w:rsid w:val="00853B2F"/>
    <w:rsid w:val="00853D21"/>
    <w:rsid w:val="0085564F"/>
    <w:rsid w:val="00860904"/>
    <w:rsid w:val="00863065"/>
    <w:rsid w:val="00863360"/>
    <w:rsid w:val="008667EA"/>
    <w:rsid w:val="00870445"/>
    <w:rsid w:val="00871FE4"/>
    <w:rsid w:val="00880E24"/>
    <w:rsid w:val="00882404"/>
    <w:rsid w:val="00884865"/>
    <w:rsid w:val="0089119A"/>
    <w:rsid w:val="00892777"/>
    <w:rsid w:val="00892978"/>
    <w:rsid w:val="0089363C"/>
    <w:rsid w:val="008955D5"/>
    <w:rsid w:val="00896AB9"/>
    <w:rsid w:val="008A199B"/>
    <w:rsid w:val="008A2D16"/>
    <w:rsid w:val="008A4865"/>
    <w:rsid w:val="008A64E5"/>
    <w:rsid w:val="008A6B3A"/>
    <w:rsid w:val="008B0092"/>
    <w:rsid w:val="008B09AD"/>
    <w:rsid w:val="008B2E92"/>
    <w:rsid w:val="008B4192"/>
    <w:rsid w:val="008B7258"/>
    <w:rsid w:val="008C3454"/>
    <w:rsid w:val="008C3B67"/>
    <w:rsid w:val="008C7601"/>
    <w:rsid w:val="008D120E"/>
    <w:rsid w:val="008D306F"/>
    <w:rsid w:val="008D3F9F"/>
    <w:rsid w:val="008D4F60"/>
    <w:rsid w:val="008D5681"/>
    <w:rsid w:val="008D5702"/>
    <w:rsid w:val="008D6A28"/>
    <w:rsid w:val="008D701B"/>
    <w:rsid w:val="008E0DAC"/>
    <w:rsid w:val="008E25EA"/>
    <w:rsid w:val="008E2D93"/>
    <w:rsid w:val="008E59DB"/>
    <w:rsid w:val="008F02E0"/>
    <w:rsid w:val="008F110B"/>
    <w:rsid w:val="008F3276"/>
    <w:rsid w:val="008F3471"/>
    <w:rsid w:val="008F38CC"/>
    <w:rsid w:val="008F6963"/>
    <w:rsid w:val="00903213"/>
    <w:rsid w:val="00904AC6"/>
    <w:rsid w:val="009053E6"/>
    <w:rsid w:val="009107BF"/>
    <w:rsid w:val="0091506B"/>
    <w:rsid w:val="009160FA"/>
    <w:rsid w:val="00921C8C"/>
    <w:rsid w:val="00922BA0"/>
    <w:rsid w:val="0092424E"/>
    <w:rsid w:val="00924662"/>
    <w:rsid w:val="0092791B"/>
    <w:rsid w:val="00931A2D"/>
    <w:rsid w:val="00933380"/>
    <w:rsid w:val="00940646"/>
    <w:rsid w:val="009428F7"/>
    <w:rsid w:val="00943E61"/>
    <w:rsid w:val="009470B8"/>
    <w:rsid w:val="00947B6D"/>
    <w:rsid w:val="00950C0A"/>
    <w:rsid w:val="00951EC9"/>
    <w:rsid w:val="009647B5"/>
    <w:rsid w:val="009656BA"/>
    <w:rsid w:val="009659F6"/>
    <w:rsid w:val="00971DF8"/>
    <w:rsid w:val="009740A8"/>
    <w:rsid w:val="00974A87"/>
    <w:rsid w:val="00974EB2"/>
    <w:rsid w:val="009751C9"/>
    <w:rsid w:val="00975A7E"/>
    <w:rsid w:val="00977A63"/>
    <w:rsid w:val="00977F9C"/>
    <w:rsid w:val="0098001C"/>
    <w:rsid w:val="00984C06"/>
    <w:rsid w:val="009907C9"/>
    <w:rsid w:val="00990CFA"/>
    <w:rsid w:val="009A16CB"/>
    <w:rsid w:val="009A359F"/>
    <w:rsid w:val="009A59EF"/>
    <w:rsid w:val="009B0959"/>
    <w:rsid w:val="009C0848"/>
    <w:rsid w:val="009C300C"/>
    <w:rsid w:val="009C4F43"/>
    <w:rsid w:val="009C683C"/>
    <w:rsid w:val="009C6958"/>
    <w:rsid w:val="009D0090"/>
    <w:rsid w:val="009D456D"/>
    <w:rsid w:val="009D4A7E"/>
    <w:rsid w:val="009E0023"/>
    <w:rsid w:val="009E062E"/>
    <w:rsid w:val="009E2B91"/>
    <w:rsid w:val="009E3AC6"/>
    <w:rsid w:val="009E4220"/>
    <w:rsid w:val="009E4584"/>
    <w:rsid w:val="009F772E"/>
    <w:rsid w:val="009F7C69"/>
    <w:rsid w:val="00A028CA"/>
    <w:rsid w:val="00A03637"/>
    <w:rsid w:val="00A03F80"/>
    <w:rsid w:val="00A052C7"/>
    <w:rsid w:val="00A05412"/>
    <w:rsid w:val="00A064B4"/>
    <w:rsid w:val="00A11834"/>
    <w:rsid w:val="00A1413E"/>
    <w:rsid w:val="00A141BD"/>
    <w:rsid w:val="00A15D77"/>
    <w:rsid w:val="00A15E69"/>
    <w:rsid w:val="00A17226"/>
    <w:rsid w:val="00A17B33"/>
    <w:rsid w:val="00A208DC"/>
    <w:rsid w:val="00A2197B"/>
    <w:rsid w:val="00A233FC"/>
    <w:rsid w:val="00A23C41"/>
    <w:rsid w:val="00A23EE6"/>
    <w:rsid w:val="00A24831"/>
    <w:rsid w:val="00A263D3"/>
    <w:rsid w:val="00A26A03"/>
    <w:rsid w:val="00A27975"/>
    <w:rsid w:val="00A3432A"/>
    <w:rsid w:val="00A35C51"/>
    <w:rsid w:val="00A406A9"/>
    <w:rsid w:val="00A426BF"/>
    <w:rsid w:val="00A42AEF"/>
    <w:rsid w:val="00A516D5"/>
    <w:rsid w:val="00A55DAC"/>
    <w:rsid w:val="00A57A47"/>
    <w:rsid w:val="00A60D05"/>
    <w:rsid w:val="00A6527D"/>
    <w:rsid w:val="00A666D1"/>
    <w:rsid w:val="00A7269E"/>
    <w:rsid w:val="00A74BA4"/>
    <w:rsid w:val="00A756BD"/>
    <w:rsid w:val="00A76C7D"/>
    <w:rsid w:val="00A80C67"/>
    <w:rsid w:val="00A81232"/>
    <w:rsid w:val="00A8248D"/>
    <w:rsid w:val="00A82690"/>
    <w:rsid w:val="00A85F17"/>
    <w:rsid w:val="00A94F91"/>
    <w:rsid w:val="00A95D0A"/>
    <w:rsid w:val="00A96D11"/>
    <w:rsid w:val="00A97AEB"/>
    <w:rsid w:val="00AA0818"/>
    <w:rsid w:val="00AA1F8C"/>
    <w:rsid w:val="00AA37F1"/>
    <w:rsid w:val="00AA72B8"/>
    <w:rsid w:val="00AA75EB"/>
    <w:rsid w:val="00AB16DD"/>
    <w:rsid w:val="00AB3073"/>
    <w:rsid w:val="00AB5879"/>
    <w:rsid w:val="00AB7B21"/>
    <w:rsid w:val="00AB7D13"/>
    <w:rsid w:val="00AC0179"/>
    <w:rsid w:val="00AC1CE5"/>
    <w:rsid w:val="00AC2B14"/>
    <w:rsid w:val="00AC6AB8"/>
    <w:rsid w:val="00AC76B3"/>
    <w:rsid w:val="00AD1816"/>
    <w:rsid w:val="00AD297F"/>
    <w:rsid w:val="00AD504D"/>
    <w:rsid w:val="00AD53B0"/>
    <w:rsid w:val="00AE22FB"/>
    <w:rsid w:val="00AE3341"/>
    <w:rsid w:val="00AE399C"/>
    <w:rsid w:val="00AE6275"/>
    <w:rsid w:val="00AE7833"/>
    <w:rsid w:val="00AF1E96"/>
    <w:rsid w:val="00AF2EBC"/>
    <w:rsid w:val="00AF391B"/>
    <w:rsid w:val="00AF5433"/>
    <w:rsid w:val="00AF575B"/>
    <w:rsid w:val="00AF62D7"/>
    <w:rsid w:val="00B01475"/>
    <w:rsid w:val="00B018A3"/>
    <w:rsid w:val="00B04579"/>
    <w:rsid w:val="00B04F46"/>
    <w:rsid w:val="00B061B0"/>
    <w:rsid w:val="00B07CB5"/>
    <w:rsid w:val="00B11585"/>
    <w:rsid w:val="00B122A7"/>
    <w:rsid w:val="00B13543"/>
    <w:rsid w:val="00B15036"/>
    <w:rsid w:val="00B15D2B"/>
    <w:rsid w:val="00B2010B"/>
    <w:rsid w:val="00B20626"/>
    <w:rsid w:val="00B20E99"/>
    <w:rsid w:val="00B243A3"/>
    <w:rsid w:val="00B2674A"/>
    <w:rsid w:val="00B3070F"/>
    <w:rsid w:val="00B334D1"/>
    <w:rsid w:val="00B36B7D"/>
    <w:rsid w:val="00B40913"/>
    <w:rsid w:val="00B40B19"/>
    <w:rsid w:val="00B40C43"/>
    <w:rsid w:val="00B41E72"/>
    <w:rsid w:val="00B420EA"/>
    <w:rsid w:val="00B42C0B"/>
    <w:rsid w:val="00B43B10"/>
    <w:rsid w:val="00B45E58"/>
    <w:rsid w:val="00B47472"/>
    <w:rsid w:val="00B51887"/>
    <w:rsid w:val="00B52656"/>
    <w:rsid w:val="00B52EBC"/>
    <w:rsid w:val="00B53646"/>
    <w:rsid w:val="00B56D71"/>
    <w:rsid w:val="00B57419"/>
    <w:rsid w:val="00B60730"/>
    <w:rsid w:val="00B614A3"/>
    <w:rsid w:val="00B649BF"/>
    <w:rsid w:val="00B71AC6"/>
    <w:rsid w:val="00B724C5"/>
    <w:rsid w:val="00B72C78"/>
    <w:rsid w:val="00B7605C"/>
    <w:rsid w:val="00B76945"/>
    <w:rsid w:val="00B827D0"/>
    <w:rsid w:val="00B84A2A"/>
    <w:rsid w:val="00B91095"/>
    <w:rsid w:val="00B91C03"/>
    <w:rsid w:val="00B93623"/>
    <w:rsid w:val="00B94923"/>
    <w:rsid w:val="00B95A61"/>
    <w:rsid w:val="00B96813"/>
    <w:rsid w:val="00B96FD0"/>
    <w:rsid w:val="00B976EB"/>
    <w:rsid w:val="00BA3175"/>
    <w:rsid w:val="00BA5B80"/>
    <w:rsid w:val="00BA6709"/>
    <w:rsid w:val="00BA6D14"/>
    <w:rsid w:val="00BB01FB"/>
    <w:rsid w:val="00BB23D0"/>
    <w:rsid w:val="00BB573E"/>
    <w:rsid w:val="00BB748F"/>
    <w:rsid w:val="00BB7AF9"/>
    <w:rsid w:val="00BB7DA9"/>
    <w:rsid w:val="00BC00B5"/>
    <w:rsid w:val="00BC1810"/>
    <w:rsid w:val="00BC2955"/>
    <w:rsid w:val="00BC5C99"/>
    <w:rsid w:val="00BC72E1"/>
    <w:rsid w:val="00BD07DA"/>
    <w:rsid w:val="00BD2C68"/>
    <w:rsid w:val="00BD3057"/>
    <w:rsid w:val="00BD57C8"/>
    <w:rsid w:val="00BE0208"/>
    <w:rsid w:val="00BE0614"/>
    <w:rsid w:val="00BE2FA9"/>
    <w:rsid w:val="00BE3515"/>
    <w:rsid w:val="00BE4E04"/>
    <w:rsid w:val="00BE6D68"/>
    <w:rsid w:val="00BF0F49"/>
    <w:rsid w:val="00BF22CC"/>
    <w:rsid w:val="00BF5CD1"/>
    <w:rsid w:val="00BF5FA6"/>
    <w:rsid w:val="00BF6BE7"/>
    <w:rsid w:val="00C007AB"/>
    <w:rsid w:val="00C007D9"/>
    <w:rsid w:val="00C008EE"/>
    <w:rsid w:val="00C00DE4"/>
    <w:rsid w:val="00C00F1F"/>
    <w:rsid w:val="00C0303A"/>
    <w:rsid w:val="00C049D7"/>
    <w:rsid w:val="00C110A0"/>
    <w:rsid w:val="00C13D8E"/>
    <w:rsid w:val="00C163D1"/>
    <w:rsid w:val="00C20F8D"/>
    <w:rsid w:val="00C23C2F"/>
    <w:rsid w:val="00C263C0"/>
    <w:rsid w:val="00C30C9A"/>
    <w:rsid w:val="00C33F08"/>
    <w:rsid w:val="00C36CF2"/>
    <w:rsid w:val="00C37B02"/>
    <w:rsid w:val="00C37E9B"/>
    <w:rsid w:val="00C42DA9"/>
    <w:rsid w:val="00C44EFF"/>
    <w:rsid w:val="00C46428"/>
    <w:rsid w:val="00C50ECB"/>
    <w:rsid w:val="00C537D9"/>
    <w:rsid w:val="00C57500"/>
    <w:rsid w:val="00C57ECE"/>
    <w:rsid w:val="00C60472"/>
    <w:rsid w:val="00C6396A"/>
    <w:rsid w:val="00C642DE"/>
    <w:rsid w:val="00C66407"/>
    <w:rsid w:val="00C66D14"/>
    <w:rsid w:val="00C677F6"/>
    <w:rsid w:val="00C70618"/>
    <w:rsid w:val="00C72BF3"/>
    <w:rsid w:val="00C75AEC"/>
    <w:rsid w:val="00C76114"/>
    <w:rsid w:val="00C7730D"/>
    <w:rsid w:val="00C80261"/>
    <w:rsid w:val="00C82875"/>
    <w:rsid w:val="00C87ACD"/>
    <w:rsid w:val="00C9014C"/>
    <w:rsid w:val="00C90AFE"/>
    <w:rsid w:val="00C92652"/>
    <w:rsid w:val="00C926E0"/>
    <w:rsid w:val="00C93ACF"/>
    <w:rsid w:val="00C97278"/>
    <w:rsid w:val="00CA037E"/>
    <w:rsid w:val="00CA051B"/>
    <w:rsid w:val="00CA0D05"/>
    <w:rsid w:val="00CA2415"/>
    <w:rsid w:val="00CA4B5B"/>
    <w:rsid w:val="00CA4F15"/>
    <w:rsid w:val="00CA53C9"/>
    <w:rsid w:val="00CA567A"/>
    <w:rsid w:val="00CA5916"/>
    <w:rsid w:val="00CA769F"/>
    <w:rsid w:val="00CB653E"/>
    <w:rsid w:val="00CC0E90"/>
    <w:rsid w:val="00CC1176"/>
    <w:rsid w:val="00CC2125"/>
    <w:rsid w:val="00CD2019"/>
    <w:rsid w:val="00CD6D43"/>
    <w:rsid w:val="00CD7984"/>
    <w:rsid w:val="00CD79EE"/>
    <w:rsid w:val="00CE3AB1"/>
    <w:rsid w:val="00CE5112"/>
    <w:rsid w:val="00CF0F39"/>
    <w:rsid w:val="00CF1EFE"/>
    <w:rsid w:val="00CF2243"/>
    <w:rsid w:val="00CF53CD"/>
    <w:rsid w:val="00CF6536"/>
    <w:rsid w:val="00CF6561"/>
    <w:rsid w:val="00CF728B"/>
    <w:rsid w:val="00D009C7"/>
    <w:rsid w:val="00D0174B"/>
    <w:rsid w:val="00D030ED"/>
    <w:rsid w:val="00D0367B"/>
    <w:rsid w:val="00D07A1B"/>
    <w:rsid w:val="00D07B4D"/>
    <w:rsid w:val="00D11263"/>
    <w:rsid w:val="00D1554A"/>
    <w:rsid w:val="00D157B9"/>
    <w:rsid w:val="00D15B4E"/>
    <w:rsid w:val="00D16267"/>
    <w:rsid w:val="00D162FF"/>
    <w:rsid w:val="00D17637"/>
    <w:rsid w:val="00D17B5E"/>
    <w:rsid w:val="00D20917"/>
    <w:rsid w:val="00D21AF7"/>
    <w:rsid w:val="00D30C3C"/>
    <w:rsid w:val="00D319AB"/>
    <w:rsid w:val="00D321BA"/>
    <w:rsid w:val="00D33A7A"/>
    <w:rsid w:val="00D33F32"/>
    <w:rsid w:val="00D34785"/>
    <w:rsid w:val="00D34C26"/>
    <w:rsid w:val="00D36F62"/>
    <w:rsid w:val="00D40963"/>
    <w:rsid w:val="00D4168D"/>
    <w:rsid w:val="00D42DA0"/>
    <w:rsid w:val="00D45B40"/>
    <w:rsid w:val="00D460E8"/>
    <w:rsid w:val="00D46370"/>
    <w:rsid w:val="00D5163F"/>
    <w:rsid w:val="00D51FB9"/>
    <w:rsid w:val="00D52D7F"/>
    <w:rsid w:val="00D54DED"/>
    <w:rsid w:val="00D56DD9"/>
    <w:rsid w:val="00D60E52"/>
    <w:rsid w:val="00D61AC9"/>
    <w:rsid w:val="00D639DD"/>
    <w:rsid w:val="00D63A96"/>
    <w:rsid w:val="00D6487B"/>
    <w:rsid w:val="00D64E1E"/>
    <w:rsid w:val="00D66F65"/>
    <w:rsid w:val="00D71B67"/>
    <w:rsid w:val="00D760F2"/>
    <w:rsid w:val="00D81B3F"/>
    <w:rsid w:val="00D827F4"/>
    <w:rsid w:val="00D83337"/>
    <w:rsid w:val="00D8467B"/>
    <w:rsid w:val="00D8671A"/>
    <w:rsid w:val="00D87FF1"/>
    <w:rsid w:val="00D922A6"/>
    <w:rsid w:val="00D9295E"/>
    <w:rsid w:val="00D93487"/>
    <w:rsid w:val="00D93B32"/>
    <w:rsid w:val="00D93EF3"/>
    <w:rsid w:val="00D9402A"/>
    <w:rsid w:val="00D95BAC"/>
    <w:rsid w:val="00D96C68"/>
    <w:rsid w:val="00DA1480"/>
    <w:rsid w:val="00DA4B40"/>
    <w:rsid w:val="00DA4C82"/>
    <w:rsid w:val="00DA4D2A"/>
    <w:rsid w:val="00DB3443"/>
    <w:rsid w:val="00DB35C2"/>
    <w:rsid w:val="00DC274A"/>
    <w:rsid w:val="00DC2BD4"/>
    <w:rsid w:val="00DC2F15"/>
    <w:rsid w:val="00DC3381"/>
    <w:rsid w:val="00DC6C1D"/>
    <w:rsid w:val="00DD126E"/>
    <w:rsid w:val="00DD1BC1"/>
    <w:rsid w:val="00DD22B6"/>
    <w:rsid w:val="00DD278B"/>
    <w:rsid w:val="00DD719B"/>
    <w:rsid w:val="00DE045C"/>
    <w:rsid w:val="00DE060F"/>
    <w:rsid w:val="00DE2B89"/>
    <w:rsid w:val="00DE7ABC"/>
    <w:rsid w:val="00DF065F"/>
    <w:rsid w:val="00DF0B19"/>
    <w:rsid w:val="00DF13E6"/>
    <w:rsid w:val="00DF2D6E"/>
    <w:rsid w:val="00E0013D"/>
    <w:rsid w:val="00E07EE9"/>
    <w:rsid w:val="00E11218"/>
    <w:rsid w:val="00E11F7F"/>
    <w:rsid w:val="00E12AEE"/>
    <w:rsid w:val="00E13049"/>
    <w:rsid w:val="00E2032E"/>
    <w:rsid w:val="00E21792"/>
    <w:rsid w:val="00E22DAE"/>
    <w:rsid w:val="00E26CD2"/>
    <w:rsid w:val="00E30378"/>
    <w:rsid w:val="00E31BC4"/>
    <w:rsid w:val="00E3303F"/>
    <w:rsid w:val="00E33048"/>
    <w:rsid w:val="00E36327"/>
    <w:rsid w:val="00E365E6"/>
    <w:rsid w:val="00E37630"/>
    <w:rsid w:val="00E426C9"/>
    <w:rsid w:val="00E430D2"/>
    <w:rsid w:val="00E449AF"/>
    <w:rsid w:val="00E47504"/>
    <w:rsid w:val="00E47B9E"/>
    <w:rsid w:val="00E51AF0"/>
    <w:rsid w:val="00E521A6"/>
    <w:rsid w:val="00E557AF"/>
    <w:rsid w:val="00E55F4D"/>
    <w:rsid w:val="00E57783"/>
    <w:rsid w:val="00E63B0B"/>
    <w:rsid w:val="00E646D8"/>
    <w:rsid w:val="00E6509F"/>
    <w:rsid w:val="00E72487"/>
    <w:rsid w:val="00E74D79"/>
    <w:rsid w:val="00E75DA0"/>
    <w:rsid w:val="00E777D9"/>
    <w:rsid w:val="00E85502"/>
    <w:rsid w:val="00E8669A"/>
    <w:rsid w:val="00E9045E"/>
    <w:rsid w:val="00E919CF"/>
    <w:rsid w:val="00E91E96"/>
    <w:rsid w:val="00E94082"/>
    <w:rsid w:val="00E94B00"/>
    <w:rsid w:val="00E97411"/>
    <w:rsid w:val="00EA3092"/>
    <w:rsid w:val="00EA3FFB"/>
    <w:rsid w:val="00EA4EDE"/>
    <w:rsid w:val="00EA6A93"/>
    <w:rsid w:val="00EA76EC"/>
    <w:rsid w:val="00EA7F0E"/>
    <w:rsid w:val="00EB02CE"/>
    <w:rsid w:val="00EB1E78"/>
    <w:rsid w:val="00EB218E"/>
    <w:rsid w:val="00EB2563"/>
    <w:rsid w:val="00EB2942"/>
    <w:rsid w:val="00EB2F0A"/>
    <w:rsid w:val="00EB3422"/>
    <w:rsid w:val="00EB418B"/>
    <w:rsid w:val="00EC0233"/>
    <w:rsid w:val="00EC091E"/>
    <w:rsid w:val="00EC3633"/>
    <w:rsid w:val="00EC3C56"/>
    <w:rsid w:val="00EC67C4"/>
    <w:rsid w:val="00ED036D"/>
    <w:rsid w:val="00ED3757"/>
    <w:rsid w:val="00ED3CA2"/>
    <w:rsid w:val="00ED4762"/>
    <w:rsid w:val="00ED5082"/>
    <w:rsid w:val="00ED5D45"/>
    <w:rsid w:val="00EE0269"/>
    <w:rsid w:val="00EE132B"/>
    <w:rsid w:val="00EE3471"/>
    <w:rsid w:val="00EE656B"/>
    <w:rsid w:val="00EE69F4"/>
    <w:rsid w:val="00EE7174"/>
    <w:rsid w:val="00EF10C8"/>
    <w:rsid w:val="00EF2C88"/>
    <w:rsid w:val="00F00E60"/>
    <w:rsid w:val="00F05BBF"/>
    <w:rsid w:val="00F061D9"/>
    <w:rsid w:val="00F0746F"/>
    <w:rsid w:val="00F117ED"/>
    <w:rsid w:val="00F12AAD"/>
    <w:rsid w:val="00F1456B"/>
    <w:rsid w:val="00F15726"/>
    <w:rsid w:val="00F17DED"/>
    <w:rsid w:val="00F22020"/>
    <w:rsid w:val="00F23834"/>
    <w:rsid w:val="00F23B4C"/>
    <w:rsid w:val="00F2536A"/>
    <w:rsid w:val="00F320D6"/>
    <w:rsid w:val="00F32A36"/>
    <w:rsid w:val="00F338E6"/>
    <w:rsid w:val="00F33A4B"/>
    <w:rsid w:val="00F35FAC"/>
    <w:rsid w:val="00F3640E"/>
    <w:rsid w:val="00F36700"/>
    <w:rsid w:val="00F448D1"/>
    <w:rsid w:val="00F457C6"/>
    <w:rsid w:val="00F46C49"/>
    <w:rsid w:val="00F47B6B"/>
    <w:rsid w:val="00F503F8"/>
    <w:rsid w:val="00F50754"/>
    <w:rsid w:val="00F5571B"/>
    <w:rsid w:val="00F56423"/>
    <w:rsid w:val="00F570F0"/>
    <w:rsid w:val="00F60492"/>
    <w:rsid w:val="00F60667"/>
    <w:rsid w:val="00F60E3B"/>
    <w:rsid w:val="00F61DC4"/>
    <w:rsid w:val="00F63A4B"/>
    <w:rsid w:val="00F6587D"/>
    <w:rsid w:val="00F71D8E"/>
    <w:rsid w:val="00F731F8"/>
    <w:rsid w:val="00F739BD"/>
    <w:rsid w:val="00F7587A"/>
    <w:rsid w:val="00F81859"/>
    <w:rsid w:val="00F82E67"/>
    <w:rsid w:val="00F84CA5"/>
    <w:rsid w:val="00F915CB"/>
    <w:rsid w:val="00F94B01"/>
    <w:rsid w:val="00F9673A"/>
    <w:rsid w:val="00F96849"/>
    <w:rsid w:val="00FA038F"/>
    <w:rsid w:val="00FA0B2F"/>
    <w:rsid w:val="00FA33BE"/>
    <w:rsid w:val="00FA3AE7"/>
    <w:rsid w:val="00FA5541"/>
    <w:rsid w:val="00FB3068"/>
    <w:rsid w:val="00FB40DE"/>
    <w:rsid w:val="00FB44C0"/>
    <w:rsid w:val="00FB6A79"/>
    <w:rsid w:val="00FC10FA"/>
    <w:rsid w:val="00FC250D"/>
    <w:rsid w:val="00FC5AE6"/>
    <w:rsid w:val="00FC65DA"/>
    <w:rsid w:val="00FD0397"/>
    <w:rsid w:val="00FD1F23"/>
    <w:rsid w:val="00FD446A"/>
    <w:rsid w:val="00FE160A"/>
    <w:rsid w:val="00FE41DC"/>
    <w:rsid w:val="00FE502E"/>
    <w:rsid w:val="00FE5693"/>
    <w:rsid w:val="00FE6D27"/>
    <w:rsid w:val="00FF010B"/>
    <w:rsid w:val="00FF2EB4"/>
    <w:rsid w:val="00FF3D1F"/>
    <w:rsid w:val="00FF6BAA"/>
    <w:rsid w:val="00FF70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FE15617-A1B6-404F-9E25-9D07E4F85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33F3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33F3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D33F32"/>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984C06"/>
    <w:pPr>
      <w:keepNext/>
      <w:spacing w:line="720" w:lineRule="atLeast"/>
      <w:outlineLvl w:val="3"/>
    </w:pPr>
    <w:rPr>
      <w:rFonts w:ascii="Calibri Light" w:eastAsia="新細明體" w:hAnsi="Calibri Light"/>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link w:val="a8"/>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E6D27"/>
    <w:pPr>
      <w:tabs>
        <w:tab w:val="right" w:leader="hyphen" w:pos="8490"/>
      </w:tabs>
      <w:ind w:leftChars="0" w:left="487" w:hangingChars="200" w:hanging="487"/>
    </w:pPr>
    <w:rPr>
      <w:b/>
      <w:noProof/>
      <w:sz w:val="24"/>
    </w:rPr>
  </w:style>
  <w:style w:type="paragraph" w:styleId="23">
    <w:name w:val="toc 2"/>
    <w:basedOn w:val="a"/>
    <w:next w:val="a"/>
    <w:autoRedefine/>
    <w:uiPriority w:val="39"/>
    <w:rsid w:val="00D40963"/>
    <w:pPr>
      <w:tabs>
        <w:tab w:val="right" w:leader="hyphen" w:pos="8490"/>
      </w:tabs>
      <w:ind w:leftChars="0" w:left="486" w:rightChars="100" w:right="283" w:hangingChars="200" w:hanging="486"/>
    </w:pPr>
    <w:rPr>
      <w:noProof/>
      <w:sz w:val="24"/>
    </w:r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10">
    <w:name w:val="標題 1 字元"/>
    <w:link w:val="1"/>
    <w:uiPriority w:val="9"/>
    <w:rsid w:val="00D33F32"/>
    <w:rPr>
      <w:rFonts w:ascii="Calibri Light" w:hAnsi="Calibri Light"/>
      <w:b/>
      <w:bCs/>
      <w:snapToGrid w:val="0"/>
      <w:kern w:val="52"/>
      <w:sz w:val="52"/>
      <w:szCs w:val="52"/>
    </w:rPr>
  </w:style>
  <w:style w:type="character" w:customStyle="1" w:styleId="20">
    <w:name w:val="標題 2 字元"/>
    <w:link w:val="2"/>
    <w:uiPriority w:val="9"/>
    <w:semiHidden/>
    <w:rsid w:val="00D33F32"/>
    <w:rPr>
      <w:rFonts w:ascii="Calibri Light" w:hAnsi="Calibri Light"/>
      <w:b/>
      <w:bCs/>
      <w:snapToGrid w:val="0"/>
      <w:kern w:val="2"/>
      <w:sz w:val="48"/>
      <w:szCs w:val="48"/>
    </w:rPr>
  </w:style>
  <w:style w:type="character" w:customStyle="1" w:styleId="30">
    <w:name w:val="標題 3 字元"/>
    <w:link w:val="3"/>
    <w:uiPriority w:val="9"/>
    <w:semiHidden/>
    <w:rsid w:val="00D33F32"/>
    <w:rPr>
      <w:rFonts w:ascii="Calibri Light" w:hAnsi="Calibri Light"/>
      <w:b/>
      <w:bCs/>
      <w:snapToGrid w:val="0"/>
      <w:kern w:val="2"/>
      <w:sz w:val="36"/>
      <w:szCs w:val="36"/>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nhideWhenUsed/>
    <w:qFormat/>
    <w:rsid w:val="00D33F32"/>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qFormat/>
    <w:rsid w:val="00D33F32"/>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qFormat/>
    <w:rsid w:val="00D33F32"/>
    <w:rPr>
      <w:vertAlign w:val="superscript"/>
    </w:rPr>
  </w:style>
  <w:style w:type="table" w:styleId="af4">
    <w:name w:val="Table Grid"/>
    <w:basedOn w:val="a1"/>
    <w:uiPriority w:val="59"/>
    <w:rsid w:val="00D3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D33F32"/>
    <w:rPr>
      <w:rFonts w:ascii="標楷體" w:eastAsia="標楷體"/>
      <w:snapToGrid w:val="0"/>
      <w:kern w:val="2"/>
      <w:sz w:val="24"/>
      <w:szCs w:val="28"/>
    </w:rPr>
  </w:style>
  <w:style w:type="character" w:customStyle="1" w:styleId="22">
    <w:name w:val="(一)下內文縮2 字元"/>
    <w:link w:val="21"/>
    <w:qFormat/>
    <w:rsid w:val="00D33F32"/>
    <w:rPr>
      <w:rFonts w:ascii="標楷體" w:eastAsia="標楷體"/>
      <w:snapToGrid w:val="0"/>
      <w:kern w:val="2"/>
      <w:sz w:val="28"/>
      <w:szCs w:val="28"/>
    </w:rPr>
  </w:style>
  <w:style w:type="character" w:customStyle="1" w:styleId="1230">
    <w:name w:val="1.2.3. 字元"/>
    <w:link w:val="123"/>
    <w:rsid w:val="00D33F32"/>
    <w:rPr>
      <w:rFonts w:ascii="標楷體" w:eastAsia="標楷體"/>
      <w:snapToGrid w:val="0"/>
      <w:kern w:val="2"/>
      <w:sz w:val="28"/>
      <w:szCs w:val="28"/>
    </w:rPr>
  </w:style>
  <w:style w:type="character" w:styleId="af5">
    <w:name w:val="Hyperlink"/>
    <w:uiPriority w:val="99"/>
    <w:unhideWhenUsed/>
    <w:rsid w:val="00D33F32"/>
    <w:rPr>
      <w:rFonts w:eastAsia="標楷體"/>
      <w:color w:val="0563C1"/>
      <w:sz w:val="24"/>
      <w:u w:val="single"/>
    </w:rPr>
  </w:style>
  <w:style w:type="character" w:customStyle="1" w:styleId="140">
    <w:name w:val="第二層(14號字) 字元"/>
    <w:link w:val="14"/>
    <w:rsid w:val="00D33F32"/>
    <w:rPr>
      <w:rFonts w:ascii="標楷體" w:eastAsia="標楷體"/>
      <w:b/>
      <w:snapToGrid w:val="0"/>
      <w:kern w:val="2"/>
      <w:sz w:val="28"/>
    </w:rPr>
  </w:style>
  <w:style w:type="paragraph" w:styleId="af6">
    <w:name w:val="Balloon Text"/>
    <w:basedOn w:val="a"/>
    <w:link w:val="af7"/>
    <w:uiPriority w:val="99"/>
    <w:semiHidden/>
    <w:unhideWhenUsed/>
    <w:rsid w:val="00D33F32"/>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D33F32"/>
    <w:rPr>
      <w:rFonts w:ascii="Calibri Light" w:hAnsi="Calibri Light"/>
      <w:snapToGrid w:val="0"/>
      <w:kern w:val="2"/>
      <w:sz w:val="18"/>
      <w:szCs w:val="18"/>
    </w:rPr>
  </w:style>
  <w:style w:type="character" w:customStyle="1" w:styleId="11">
    <w:name w:val="(一)(二)(三) 字元1"/>
    <w:link w:val="a4"/>
    <w:rsid w:val="00E3303F"/>
    <w:rPr>
      <w:rFonts w:ascii="標楷體" w:eastAsia="標楷體"/>
      <w:snapToGrid w:val="0"/>
      <w:kern w:val="2"/>
      <w:sz w:val="28"/>
      <w:szCs w:val="28"/>
    </w:rPr>
  </w:style>
  <w:style w:type="paragraph" w:customStyle="1" w:styleId="13">
    <w:name w:val="1"/>
    <w:basedOn w:val="a"/>
    <w:semiHidden/>
    <w:rsid w:val="00C90A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AF2EBC"/>
    <w:pPr>
      <w:widowControl w:val="0"/>
      <w:autoSpaceDE w:val="0"/>
      <w:autoSpaceDN w:val="0"/>
      <w:adjustRightInd w:val="0"/>
    </w:pPr>
    <w:rPr>
      <w:rFonts w:ascii="標楷體" w:eastAsia="標楷體" w:cs="標楷體"/>
      <w:color w:val="000000"/>
      <w:sz w:val="24"/>
      <w:szCs w:val="24"/>
    </w:rPr>
  </w:style>
  <w:style w:type="paragraph" w:styleId="Web">
    <w:name w:val="Normal (Web)"/>
    <w:basedOn w:val="a"/>
    <w:uiPriority w:val="99"/>
    <w:semiHidden/>
    <w:unhideWhenUsed/>
    <w:rsid w:val="00B07CB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4">
    <w:name w:val="(一)(二)(三) 字元2"/>
    <w:rsid w:val="00DC3381"/>
    <w:rPr>
      <w:rFonts w:ascii="標楷體" w:eastAsia="標楷體"/>
      <w:snapToGrid w:val="0"/>
      <w:kern w:val="2"/>
      <w:sz w:val="28"/>
      <w:szCs w:val="28"/>
    </w:rPr>
  </w:style>
  <w:style w:type="character" w:customStyle="1" w:styleId="a8">
    <w:name w:val="前言內文 字元"/>
    <w:link w:val="a7"/>
    <w:locked/>
    <w:rsid w:val="007452D4"/>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E12AE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E12AEE"/>
    <w:rPr>
      <w:rFonts w:ascii="Calibri" w:hAnsi="Calibri"/>
      <w:kern w:val="2"/>
      <w:sz w:val="24"/>
      <w:szCs w:val="22"/>
    </w:rPr>
  </w:style>
  <w:style w:type="character" w:styleId="afa">
    <w:name w:val="Emphasis"/>
    <w:uiPriority w:val="20"/>
    <w:qFormat/>
    <w:rsid w:val="00D20917"/>
    <w:rPr>
      <w:i/>
      <w:iCs/>
    </w:rPr>
  </w:style>
  <w:style w:type="character" w:customStyle="1" w:styleId="40">
    <w:name w:val="標題 4 字元"/>
    <w:link w:val="4"/>
    <w:uiPriority w:val="9"/>
    <w:semiHidden/>
    <w:rsid w:val="00984C06"/>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141384">
      <w:bodyDiv w:val="1"/>
      <w:marLeft w:val="0"/>
      <w:marRight w:val="0"/>
      <w:marTop w:val="0"/>
      <w:marBottom w:val="0"/>
      <w:divBdr>
        <w:top w:val="none" w:sz="0" w:space="0" w:color="auto"/>
        <w:left w:val="none" w:sz="0" w:space="0" w:color="auto"/>
        <w:bottom w:val="none" w:sz="0" w:space="0" w:color="auto"/>
        <w:right w:val="none" w:sz="0" w:space="0" w:color="auto"/>
      </w:divBdr>
    </w:div>
    <w:div w:id="1340161137">
      <w:bodyDiv w:val="1"/>
      <w:marLeft w:val="0"/>
      <w:marRight w:val="0"/>
      <w:marTop w:val="0"/>
      <w:marBottom w:val="0"/>
      <w:divBdr>
        <w:top w:val="none" w:sz="0" w:space="0" w:color="auto"/>
        <w:left w:val="none" w:sz="0" w:space="0" w:color="auto"/>
        <w:bottom w:val="none" w:sz="0" w:space="0" w:color="auto"/>
        <w:right w:val="none" w:sz="0" w:space="0" w:color="auto"/>
      </w:divBdr>
    </w:div>
    <w:div w:id="1441994719">
      <w:bodyDiv w:val="1"/>
      <w:marLeft w:val="0"/>
      <w:marRight w:val="0"/>
      <w:marTop w:val="0"/>
      <w:marBottom w:val="0"/>
      <w:divBdr>
        <w:top w:val="none" w:sz="0" w:space="0" w:color="auto"/>
        <w:left w:val="none" w:sz="0" w:space="0" w:color="auto"/>
        <w:bottom w:val="none" w:sz="0" w:space="0" w:color="auto"/>
        <w:right w:val="none" w:sz="0" w:space="0" w:color="auto"/>
      </w:divBdr>
    </w:div>
    <w:div w:id="150955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7835C-82FE-4F7B-8F49-586FEC922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4</Pages>
  <Words>370</Words>
  <Characters>2110</Characters>
  <Application>Microsoft Office Word</Application>
  <DocSecurity>0</DocSecurity>
  <Lines>17</Lines>
  <Paragraphs>4</Paragraphs>
  <ScaleCrop>false</ScaleCrop>
  <Company>HOME</Company>
  <LinksUpToDate>false</LinksUpToDate>
  <CharactersWithSpaces>2476</CharactersWithSpaces>
  <SharedDoc>false</SharedDoc>
  <HLinks>
    <vt:vector size="138" baseType="variant">
      <vt:variant>
        <vt:i4>1638449</vt:i4>
      </vt:variant>
      <vt:variant>
        <vt:i4>128</vt:i4>
      </vt:variant>
      <vt:variant>
        <vt:i4>0</vt:i4>
      </vt:variant>
      <vt:variant>
        <vt:i4>5</vt:i4>
      </vt:variant>
      <vt:variant>
        <vt:lpwstr/>
      </vt:variant>
      <vt:variant>
        <vt:lpwstr>_Toc181628387</vt:lpwstr>
      </vt:variant>
      <vt:variant>
        <vt:i4>1638449</vt:i4>
      </vt:variant>
      <vt:variant>
        <vt:i4>122</vt:i4>
      </vt:variant>
      <vt:variant>
        <vt:i4>0</vt:i4>
      </vt:variant>
      <vt:variant>
        <vt:i4>5</vt:i4>
      </vt:variant>
      <vt:variant>
        <vt:lpwstr/>
      </vt:variant>
      <vt:variant>
        <vt:lpwstr>_Toc181628386</vt:lpwstr>
      </vt:variant>
      <vt:variant>
        <vt:i4>1638449</vt:i4>
      </vt:variant>
      <vt:variant>
        <vt:i4>116</vt:i4>
      </vt:variant>
      <vt:variant>
        <vt:i4>0</vt:i4>
      </vt:variant>
      <vt:variant>
        <vt:i4>5</vt:i4>
      </vt:variant>
      <vt:variant>
        <vt:lpwstr/>
      </vt:variant>
      <vt:variant>
        <vt:lpwstr>_Toc181628385</vt:lpwstr>
      </vt:variant>
      <vt:variant>
        <vt:i4>1638449</vt:i4>
      </vt:variant>
      <vt:variant>
        <vt:i4>110</vt:i4>
      </vt:variant>
      <vt:variant>
        <vt:i4>0</vt:i4>
      </vt:variant>
      <vt:variant>
        <vt:i4>5</vt:i4>
      </vt:variant>
      <vt:variant>
        <vt:lpwstr/>
      </vt:variant>
      <vt:variant>
        <vt:lpwstr>_Toc181628384</vt:lpwstr>
      </vt:variant>
      <vt:variant>
        <vt:i4>1638449</vt:i4>
      </vt:variant>
      <vt:variant>
        <vt:i4>104</vt:i4>
      </vt:variant>
      <vt:variant>
        <vt:i4>0</vt:i4>
      </vt:variant>
      <vt:variant>
        <vt:i4>5</vt:i4>
      </vt:variant>
      <vt:variant>
        <vt:lpwstr/>
      </vt:variant>
      <vt:variant>
        <vt:lpwstr>_Toc181628383</vt:lpwstr>
      </vt:variant>
      <vt:variant>
        <vt:i4>1638449</vt:i4>
      </vt:variant>
      <vt:variant>
        <vt:i4>98</vt:i4>
      </vt:variant>
      <vt:variant>
        <vt:i4>0</vt:i4>
      </vt:variant>
      <vt:variant>
        <vt:i4>5</vt:i4>
      </vt:variant>
      <vt:variant>
        <vt:lpwstr/>
      </vt:variant>
      <vt:variant>
        <vt:lpwstr>_Toc181628382</vt:lpwstr>
      </vt:variant>
      <vt:variant>
        <vt:i4>1638449</vt:i4>
      </vt:variant>
      <vt:variant>
        <vt:i4>92</vt:i4>
      </vt:variant>
      <vt:variant>
        <vt:i4>0</vt:i4>
      </vt:variant>
      <vt:variant>
        <vt:i4>5</vt:i4>
      </vt:variant>
      <vt:variant>
        <vt:lpwstr/>
      </vt:variant>
      <vt:variant>
        <vt:lpwstr>_Toc181628381</vt:lpwstr>
      </vt:variant>
      <vt:variant>
        <vt:i4>1638449</vt:i4>
      </vt:variant>
      <vt:variant>
        <vt:i4>86</vt:i4>
      </vt:variant>
      <vt:variant>
        <vt:i4>0</vt:i4>
      </vt:variant>
      <vt:variant>
        <vt:i4>5</vt:i4>
      </vt:variant>
      <vt:variant>
        <vt:lpwstr/>
      </vt:variant>
      <vt:variant>
        <vt:lpwstr>_Toc181628380</vt:lpwstr>
      </vt:variant>
      <vt:variant>
        <vt:i4>1441841</vt:i4>
      </vt:variant>
      <vt:variant>
        <vt:i4>80</vt:i4>
      </vt:variant>
      <vt:variant>
        <vt:i4>0</vt:i4>
      </vt:variant>
      <vt:variant>
        <vt:i4>5</vt:i4>
      </vt:variant>
      <vt:variant>
        <vt:lpwstr/>
      </vt:variant>
      <vt:variant>
        <vt:lpwstr>_Toc181628379</vt:lpwstr>
      </vt:variant>
      <vt:variant>
        <vt:i4>1441841</vt:i4>
      </vt:variant>
      <vt:variant>
        <vt:i4>74</vt:i4>
      </vt:variant>
      <vt:variant>
        <vt:i4>0</vt:i4>
      </vt:variant>
      <vt:variant>
        <vt:i4>5</vt:i4>
      </vt:variant>
      <vt:variant>
        <vt:lpwstr/>
      </vt:variant>
      <vt:variant>
        <vt:lpwstr>_Toc181628378</vt:lpwstr>
      </vt:variant>
      <vt:variant>
        <vt:i4>1441841</vt:i4>
      </vt:variant>
      <vt:variant>
        <vt:i4>68</vt:i4>
      </vt:variant>
      <vt:variant>
        <vt:i4>0</vt:i4>
      </vt:variant>
      <vt:variant>
        <vt:i4>5</vt:i4>
      </vt:variant>
      <vt:variant>
        <vt:lpwstr/>
      </vt:variant>
      <vt:variant>
        <vt:lpwstr>_Toc181628377</vt:lpwstr>
      </vt:variant>
      <vt:variant>
        <vt:i4>1441841</vt:i4>
      </vt:variant>
      <vt:variant>
        <vt:i4>62</vt:i4>
      </vt:variant>
      <vt:variant>
        <vt:i4>0</vt:i4>
      </vt:variant>
      <vt:variant>
        <vt:i4>5</vt:i4>
      </vt:variant>
      <vt:variant>
        <vt:lpwstr/>
      </vt:variant>
      <vt:variant>
        <vt:lpwstr>_Toc181628376</vt:lpwstr>
      </vt:variant>
      <vt:variant>
        <vt:i4>1441841</vt:i4>
      </vt:variant>
      <vt:variant>
        <vt:i4>56</vt:i4>
      </vt:variant>
      <vt:variant>
        <vt:i4>0</vt:i4>
      </vt:variant>
      <vt:variant>
        <vt:i4>5</vt:i4>
      </vt:variant>
      <vt:variant>
        <vt:lpwstr/>
      </vt:variant>
      <vt:variant>
        <vt:lpwstr>_Toc181628375</vt:lpwstr>
      </vt:variant>
      <vt:variant>
        <vt:i4>1441841</vt:i4>
      </vt:variant>
      <vt:variant>
        <vt:i4>50</vt:i4>
      </vt:variant>
      <vt:variant>
        <vt:i4>0</vt:i4>
      </vt:variant>
      <vt:variant>
        <vt:i4>5</vt:i4>
      </vt:variant>
      <vt:variant>
        <vt:lpwstr/>
      </vt:variant>
      <vt:variant>
        <vt:lpwstr>_Toc181628374</vt:lpwstr>
      </vt:variant>
      <vt:variant>
        <vt:i4>1441841</vt:i4>
      </vt:variant>
      <vt:variant>
        <vt:i4>44</vt:i4>
      </vt:variant>
      <vt:variant>
        <vt:i4>0</vt:i4>
      </vt:variant>
      <vt:variant>
        <vt:i4>5</vt:i4>
      </vt:variant>
      <vt:variant>
        <vt:lpwstr/>
      </vt:variant>
      <vt:variant>
        <vt:lpwstr>_Toc181628373</vt:lpwstr>
      </vt:variant>
      <vt:variant>
        <vt:i4>1441841</vt:i4>
      </vt:variant>
      <vt:variant>
        <vt:i4>38</vt:i4>
      </vt:variant>
      <vt:variant>
        <vt:i4>0</vt:i4>
      </vt:variant>
      <vt:variant>
        <vt:i4>5</vt:i4>
      </vt:variant>
      <vt:variant>
        <vt:lpwstr/>
      </vt:variant>
      <vt:variant>
        <vt:lpwstr>_Toc181628372</vt:lpwstr>
      </vt:variant>
      <vt:variant>
        <vt:i4>1441841</vt:i4>
      </vt:variant>
      <vt:variant>
        <vt:i4>32</vt:i4>
      </vt:variant>
      <vt:variant>
        <vt:i4>0</vt:i4>
      </vt:variant>
      <vt:variant>
        <vt:i4>5</vt:i4>
      </vt:variant>
      <vt:variant>
        <vt:lpwstr/>
      </vt:variant>
      <vt:variant>
        <vt:lpwstr>_Toc181628371</vt:lpwstr>
      </vt:variant>
      <vt:variant>
        <vt:i4>1441841</vt:i4>
      </vt:variant>
      <vt:variant>
        <vt:i4>26</vt:i4>
      </vt:variant>
      <vt:variant>
        <vt:i4>0</vt:i4>
      </vt:variant>
      <vt:variant>
        <vt:i4>5</vt:i4>
      </vt:variant>
      <vt:variant>
        <vt:lpwstr/>
      </vt:variant>
      <vt:variant>
        <vt:lpwstr>_Toc181628370</vt:lpwstr>
      </vt:variant>
      <vt:variant>
        <vt:i4>1507377</vt:i4>
      </vt:variant>
      <vt:variant>
        <vt:i4>20</vt:i4>
      </vt:variant>
      <vt:variant>
        <vt:i4>0</vt:i4>
      </vt:variant>
      <vt:variant>
        <vt:i4>5</vt:i4>
      </vt:variant>
      <vt:variant>
        <vt:lpwstr/>
      </vt:variant>
      <vt:variant>
        <vt:lpwstr>_Toc181628369</vt:lpwstr>
      </vt:variant>
      <vt:variant>
        <vt:i4>1507377</vt:i4>
      </vt:variant>
      <vt:variant>
        <vt:i4>14</vt:i4>
      </vt:variant>
      <vt:variant>
        <vt:i4>0</vt:i4>
      </vt:variant>
      <vt:variant>
        <vt:i4>5</vt:i4>
      </vt:variant>
      <vt:variant>
        <vt:lpwstr/>
      </vt:variant>
      <vt:variant>
        <vt:lpwstr>_Toc181628368</vt:lpwstr>
      </vt:variant>
      <vt:variant>
        <vt:i4>1507377</vt:i4>
      </vt:variant>
      <vt:variant>
        <vt:i4>8</vt:i4>
      </vt:variant>
      <vt:variant>
        <vt:i4>0</vt:i4>
      </vt:variant>
      <vt:variant>
        <vt:i4>5</vt:i4>
      </vt:variant>
      <vt:variant>
        <vt:lpwstr/>
      </vt:variant>
      <vt:variant>
        <vt:lpwstr>_Toc181628367</vt:lpwstr>
      </vt:variant>
      <vt:variant>
        <vt:i4>1507377</vt:i4>
      </vt:variant>
      <vt:variant>
        <vt:i4>2</vt:i4>
      </vt:variant>
      <vt:variant>
        <vt:i4>0</vt:i4>
      </vt:variant>
      <vt:variant>
        <vt:i4>5</vt:i4>
      </vt:variant>
      <vt:variant>
        <vt:lpwstr/>
      </vt:variant>
      <vt:variant>
        <vt:lpwstr>_Toc181628366</vt:lpwstr>
      </vt:variant>
      <vt:variant>
        <vt:i4>7405680</vt:i4>
      </vt:variant>
      <vt:variant>
        <vt:i4>0</vt:i4>
      </vt:variant>
      <vt:variant>
        <vt:i4>0</vt:i4>
      </vt:variant>
      <vt:variant>
        <vt:i4>5</vt:i4>
      </vt:variant>
      <vt:variant>
        <vt:lpwstr>https://law.moj.gov.tw/LawClass/LawAll.aspx?pcode=O0090012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2024-11-05T08:32:00Z</cp:lastPrinted>
  <dcterms:created xsi:type="dcterms:W3CDTF">2024-11-13T06:18:00Z</dcterms:created>
  <dcterms:modified xsi:type="dcterms:W3CDTF">2024-11-13T06:18:00Z</dcterms:modified>
</cp:coreProperties>
</file>