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A2160" w:rsidRDefault="00535ADA" w:rsidP="002C305B">
      <w:pPr>
        <w:pStyle w:val="ab"/>
        <w:rPr>
          <w:rFonts w:hAnsi="標楷體"/>
        </w:rPr>
      </w:pPr>
      <w:bookmarkStart w:id="0" w:name="_GoBack"/>
      <w:bookmarkEnd w:id="0"/>
      <w:r w:rsidRPr="003A2160">
        <w:rPr>
          <w:rFonts w:hAnsi="標楷體" w:hint="eastAsia"/>
        </w:rPr>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183E11" w:rsidRPr="003A2160" w:rsidRDefault="00267857" w:rsidP="0033177D">
      <w:pPr>
        <w:pStyle w:val="14"/>
        <w:ind w:left="567" w:hanging="567"/>
        <w:rPr>
          <w:rFonts w:hAnsi="標楷體"/>
        </w:rPr>
      </w:pPr>
      <w:bookmarkStart w:id="2" w:name="_Toc3170791"/>
      <w:bookmarkStart w:id="3" w:name="_Toc60137822"/>
      <w:bookmarkStart w:id="4" w:name="_Toc60137826"/>
      <w:bookmarkStart w:id="5" w:name="_Toc181980633"/>
      <w:bookmarkStart w:id="6" w:name="_Toc433707931"/>
      <w:bookmarkStart w:id="7" w:name="_Toc467171362"/>
      <w:bookmarkStart w:id="8" w:name="_Toc531273450"/>
      <w:bookmarkStart w:id="9" w:name="_Toc34832111"/>
      <w:bookmarkStart w:id="10" w:name="_Toc60137839"/>
      <w:bookmarkStart w:id="11" w:name="_Toc129667284"/>
      <w:bookmarkStart w:id="12" w:name="_Toc307216996"/>
      <w:bookmarkStart w:id="13" w:name="_Toc307218046"/>
      <w:bookmarkStart w:id="14" w:name="_Toc307218184"/>
      <w:bookmarkStart w:id="15" w:name="_Toc467171365"/>
      <w:bookmarkStart w:id="16" w:name="_Toc467228671"/>
      <w:bookmarkStart w:id="17" w:name="_Toc342568713"/>
      <w:bookmarkStart w:id="18" w:name="_Toc433707933"/>
      <w:r w:rsidRPr="003A2160">
        <w:rPr>
          <w:rFonts w:hAnsi="標楷體" w:hint="eastAsia"/>
        </w:rPr>
        <w:t>六</w:t>
      </w:r>
      <w:r w:rsidR="00183E11" w:rsidRPr="003A2160">
        <w:rPr>
          <w:rFonts w:hAnsi="標楷體" w:hint="eastAsia"/>
        </w:rPr>
        <w:t>、</w:t>
      </w:r>
      <w:r w:rsidR="00A164BB" w:rsidRPr="003A2160">
        <w:rPr>
          <w:rFonts w:hAnsi="標楷體" w:hint="eastAsia"/>
        </w:rPr>
        <w:t>11</w:t>
      </w:r>
      <w:r w:rsidR="005A1C36" w:rsidRPr="003A2160">
        <w:rPr>
          <w:rFonts w:hAnsi="標楷體"/>
        </w:rPr>
        <w:t>3</w:t>
      </w:r>
      <w:r w:rsidR="00A164BB" w:rsidRPr="003A2160">
        <w:rPr>
          <w:rFonts w:hAnsi="標楷體" w:hint="eastAsia"/>
        </w:rPr>
        <w:t>及</w:t>
      </w:r>
      <w:r w:rsidR="00183E11" w:rsidRPr="003A2160">
        <w:rPr>
          <w:rFonts w:hAnsi="標楷體" w:hint="eastAsia"/>
        </w:rPr>
        <w:t>11</w:t>
      </w:r>
      <w:r w:rsidR="005A1C36" w:rsidRPr="003A2160">
        <w:rPr>
          <w:rFonts w:hAnsi="標楷體"/>
        </w:rPr>
        <w:t>4</w:t>
      </w:r>
      <w:r w:rsidR="00183E11" w:rsidRPr="003A2160">
        <w:rPr>
          <w:rFonts w:hAnsi="標楷體" w:hint="eastAsia"/>
        </w:rPr>
        <w:t>年</w:t>
      </w:r>
      <w:r w:rsidR="00A164BB" w:rsidRPr="003A2160">
        <w:rPr>
          <w:rFonts w:hAnsi="標楷體" w:hint="eastAsia"/>
        </w:rPr>
        <w:t>度</w:t>
      </w:r>
      <w:r w:rsidR="00183E11" w:rsidRPr="003A2160">
        <w:rPr>
          <w:rFonts w:hAnsi="標楷體" w:hint="eastAsia"/>
        </w:rPr>
        <w:t>預計</w:t>
      </w:r>
      <w:r w:rsidR="00A164BB" w:rsidRPr="003A2160">
        <w:rPr>
          <w:rFonts w:hAnsi="標楷體" w:hint="eastAsia"/>
        </w:rPr>
        <w:t>轉虧為盈，</w:t>
      </w:r>
      <w:r w:rsidR="00246596" w:rsidRPr="003A2160">
        <w:rPr>
          <w:rFonts w:hAnsi="標楷體" w:hint="eastAsia"/>
        </w:rPr>
        <w:t>惟</w:t>
      </w:r>
      <w:r w:rsidR="005A1C36" w:rsidRPr="003A2160">
        <w:rPr>
          <w:rFonts w:hAnsi="標楷體" w:hint="eastAsia"/>
        </w:rPr>
        <w:t>自109年度</w:t>
      </w:r>
      <w:r w:rsidR="007E3AA4" w:rsidRPr="003A2160">
        <w:rPr>
          <w:rFonts w:hAnsi="標楷體" w:hint="eastAsia"/>
        </w:rPr>
        <w:t>起</w:t>
      </w:r>
      <w:r w:rsidR="005A1C36" w:rsidRPr="003A2160">
        <w:rPr>
          <w:rFonts w:hAnsi="標楷體" w:hint="eastAsia"/>
        </w:rPr>
        <w:t>已連續4年未達預算目標並呈虧損，</w:t>
      </w:r>
      <w:r w:rsidR="00183E11" w:rsidRPr="003A2160">
        <w:rPr>
          <w:rFonts w:hAnsi="標楷體" w:hint="eastAsia"/>
        </w:rPr>
        <w:t>允</w:t>
      </w:r>
      <w:r w:rsidR="007E3AA4" w:rsidRPr="003A2160">
        <w:rPr>
          <w:rFonts w:hAnsi="標楷體" w:hint="eastAsia"/>
        </w:rPr>
        <w:t>待</w:t>
      </w:r>
      <w:r w:rsidR="00183E11" w:rsidRPr="003A2160">
        <w:rPr>
          <w:rFonts w:hAnsi="標楷體" w:hint="eastAsia"/>
        </w:rPr>
        <w:t>積極</w:t>
      </w:r>
      <w:r w:rsidR="005A1C36" w:rsidRPr="003A2160">
        <w:rPr>
          <w:rFonts w:hAnsi="標楷體" w:hint="eastAsia"/>
        </w:rPr>
        <w:t>研謀</w:t>
      </w:r>
      <w:r w:rsidR="00183E11" w:rsidRPr="003A2160">
        <w:rPr>
          <w:rFonts w:hAnsi="標楷體" w:hint="eastAsia"/>
        </w:rPr>
        <w:t>改善</w:t>
      </w:r>
      <w:bookmarkEnd w:id="5"/>
    </w:p>
    <w:p w:rsidR="00183E11" w:rsidRPr="003A2160" w:rsidRDefault="00183E11" w:rsidP="00183E11">
      <w:pPr>
        <w:ind w:left="567" w:firstLine="567"/>
        <w:rPr>
          <w:rFonts w:hAnsi="標楷體"/>
        </w:rPr>
      </w:pPr>
      <w:r w:rsidRPr="003A2160">
        <w:rPr>
          <w:rFonts w:hAnsi="標楷體" w:hint="eastAsia"/>
        </w:rPr>
        <w:t>台灣中油公司11</w:t>
      </w:r>
      <w:r w:rsidR="006516A2" w:rsidRPr="003A2160">
        <w:rPr>
          <w:rFonts w:hAnsi="標楷體"/>
        </w:rPr>
        <w:t>4</w:t>
      </w:r>
      <w:r w:rsidRPr="003A2160">
        <w:rPr>
          <w:rFonts w:hAnsi="標楷體" w:hint="eastAsia"/>
        </w:rPr>
        <w:t>年度預算案編列營業與營業外收入合計1兆2,</w:t>
      </w:r>
      <w:r w:rsidR="009D55DC" w:rsidRPr="003A2160">
        <w:rPr>
          <w:rFonts w:hAnsi="標楷體"/>
        </w:rPr>
        <w:t>121</w:t>
      </w:r>
      <w:r w:rsidRPr="003A2160">
        <w:rPr>
          <w:rFonts w:hAnsi="標楷體" w:hint="eastAsia"/>
        </w:rPr>
        <w:t>億</w:t>
      </w:r>
      <w:r w:rsidR="009D55DC" w:rsidRPr="003A2160">
        <w:rPr>
          <w:rFonts w:hAnsi="標楷體"/>
        </w:rPr>
        <w:t>1</w:t>
      </w:r>
      <w:r w:rsidRPr="003A2160">
        <w:rPr>
          <w:rFonts w:hAnsi="標楷體" w:hint="eastAsia"/>
        </w:rPr>
        <w:t>,</w:t>
      </w:r>
      <w:r w:rsidR="009D55DC" w:rsidRPr="003A2160">
        <w:rPr>
          <w:rFonts w:hAnsi="標楷體"/>
        </w:rPr>
        <w:t>485</w:t>
      </w:r>
      <w:r w:rsidRPr="003A2160">
        <w:rPr>
          <w:rFonts w:hAnsi="標楷體" w:hint="eastAsia"/>
        </w:rPr>
        <w:t>萬</w:t>
      </w:r>
      <w:r w:rsidR="009D55DC" w:rsidRPr="003A2160">
        <w:rPr>
          <w:rFonts w:hAnsi="標楷體"/>
        </w:rPr>
        <w:t>4</w:t>
      </w:r>
      <w:r w:rsidRPr="003A2160">
        <w:rPr>
          <w:rFonts w:hAnsi="標楷體" w:hint="eastAsia"/>
        </w:rPr>
        <w:t>千元，支出合計1兆2,</w:t>
      </w:r>
      <w:r w:rsidR="009D55DC" w:rsidRPr="003A2160">
        <w:rPr>
          <w:rFonts w:hAnsi="標楷體"/>
        </w:rPr>
        <w:t>057</w:t>
      </w:r>
      <w:r w:rsidRPr="003A2160">
        <w:rPr>
          <w:rFonts w:hAnsi="標楷體" w:hint="eastAsia"/>
        </w:rPr>
        <w:t>億</w:t>
      </w:r>
      <w:r w:rsidR="009D55DC" w:rsidRPr="003A2160">
        <w:rPr>
          <w:rFonts w:hAnsi="標楷體"/>
        </w:rPr>
        <w:t>6</w:t>
      </w:r>
      <w:r w:rsidRPr="003A2160">
        <w:rPr>
          <w:rFonts w:hAnsi="標楷體" w:hint="eastAsia"/>
        </w:rPr>
        <w:t>,</w:t>
      </w:r>
      <w:r w:rsidR="00A164BB" w:rsidRPr="003A2160">
        <w:rPr>
          <w:rFonts w:hAnsi="標楷體" w:hint="eastAsia"/>
        </w:rPr>
        <w:t>5</w:t>
      </w:r>
      <w:r w:rsidR="009D55DC" w:rsidRPr="003A2160">
        <w:rPr>
          <w:rFonts w:hAnsi="標楷體"/>
        </w:rPr>
        <w:t>16</w:t>
      </w:r>
      <w:r w:rsidRPr="003A2160">
        <w:rPr>
          <w:rFonts w:hAnsi="標楷體" w:hint="eastAsia"/>
        </w:rPr>
        <w:t>萬</w:t>
      </w:r>
      <w:r w:rsidR="009D55DC" w:rsidRPr="003A2160">
        <w:rPr>
          <w:rFonts w:hAnsi="標楷體"/>
        </w:rPr>
        <w:t>2</w:t>
      </w:r>
      <w:r w:rsidRPr="003A2160">
        <w:rPr>
          <w:rFonts w:hAnsi="標楷體" w:hint="eastAsia"/>
        </w:rPr>
        <w:t>千元，收支相抵後，預計本期淨利</w:t>
      </w:r>
      <w:r w:rsidR="009D55DC" w:rsidRPr="003A2160">
        <w:rPr>
          <w:rFonts w:hAnsi="標楷體"/>
        </w:rPr>
        <w:t>63</w:t>
      </w:r>
      <w:r w:rsidRPr="003A2160">
        <w:rPr>
          <w:rFonts w:hAnsi="標楷體" w:hint="eastAsia"/>
        </w:rPr>
        <w:t>億</w:t>
      </w:r>
      <w:r w:rsidR="009D55DC" w:rsidRPr="003A2160">
        <w:rPr>
          <w:rFonts w:hAnsi="標楷體"/>
        </w:rPr>
        <w:t>4</w:t>
      </w:r>
      <w:r w:rsidRPr="003A2160">
        <w:rPr>
          <w:rFonts w:hAnsi="標楷體"/>
        </w:rPr>
        <w:t>,</w:t>
      </w:r>
      <w:r w:rsidR="00A164BB" w:rsidRPr="003A2160">
        <w:rPr>
          <w:rFonts w:hAnsi="標楷體" w:hint="eastAsia"/>
        </w:rPr>
        <w:t>9</w:t>
      </w:r>
      <w:r w:rsidR="009D55DC" w:rsidRPr="003A2160">
        <w:rPr>
          <w:rFonts w:hAnsi="標楷體"/>
        </w:rPr>
        <w:t>69</w:t>
      </w:r>
      <w:r w:rsidRPr="003A2160">
        <w:rPr>
          <w:rFonts w:hAnsi="標楷體" w:hint="eastAsia"/>
        </w:rPr>
        <w:t>萬</w:t>
      </w:r>
      <w:r w:rsidR="009D55DC" w:rsidRPr="003A2160">
        <w:rPr>
          <w:rFonts w:hAnsi="標楷體" w:hint="eastAsia"/>
        </w:rPr>
        <w:t>2千</w:t>
      </w:r>
      <w:r w:rsidRPr="003A2160">
        <w:rPr>
          <w:rFonts w:hAnsi="標楷體" w:hint="eastAsia"/>
        </w:rPr>
        <w:t>元。經查：</w:t>
      </w:r>
    </w:p>
    <w:p w:rsidR="00183E11" w:rsidRPr="003A2160" w:rsidRDefault="00183E11" w:rsidP="00183E11">
      <w:pPr>
        <w:pStyle w:val="a5"/>
        <w:ind w:left="851" w:hanging="284"/>
        <w:rPr>
          <w:rFonts w:hAnsi="標楷體"/>
          <w:b/>
        </w:rPr>
      </w:pPr>
      <w:r w:rsidRPr="003A2160">
        <w:rPr>
          <w:rFonts w:hAnsi="標楷體" w:hint="eastAsia"/>
          <w:b/>
        </w:rPr>
        <w:t>(一)</w:t>
      </w:r>
      <w:r w:rsidR="007E3AA4" w:rsidRPr="003A2160">
        <w:rPr>
          <w:rFonts w:hint="eastAsia"/>
          <w:b/>
        </w:rPr>
        <w:t>112</w:t>
      </w:r>
      <w:r w:rsidR="007E3AA4" w:rsidRPr="003A2160">
        <w:rPr>
          <w:rFonts w:hAnsi="標楷體" w:hint="eastAsia"/>
          <w:b/>
        </w:rPr>
        <w:t>年度決算虧損規模雖</w:t>
      </w:r>
      <w:r w:rsidR="00B81A5D" w:rsidRPr="003A2160">
        <w:rPr>
          <w:rFonts w:hAnsi="標楷體" w:hint="eastAsia"/>
          <w:b/>
        </w:rPr>
        <w:t>較111年度</w:t>
      </w:r>
      <w:r w:rsidR="007E3AA4" w:rsidRPr="003A2160">
        <w:rPr>
          <w:rFonts w:hAnsi="標楷體" w:hint="eastAsia"/>
          <w:b/>
        </w:rPr>
        <w:t>縮減至213億元，惟自109年度起已連續4年未達預算目標並呈虧損</w:t>
      </w:r>
    </w:p>
    <w:p w:rsidR="00183E11" w:rsidRPr="003A2160" w:rsidRDefault="002B1ECE" w:rsidP="002B1ECE">
      <w:pPr>
        <w:pStyle w:val="22"/>
        <w:ind w:left="850" w:firstLine="567"/>
        <w:rPr>
          <w:rFonts w:hAnsi="標楷體"/>
        </w:rPr>
      </w:pPr>
      <w:r w:rsidRPr="003A2160">
        <w:rPr>
          <w:rFonts w:hAnsi="標楷體" w:hint="eastAsia"/>
        </w:rPr>
        <w:t>彙整台灣中油公司近</w:t>
      </w:r>
      <w:r w:rsidRPr="003A2160">
        <w:rPr>
          <w:rFonts w:hAnsi="標楷體"/>
        </w:rPr>
        <w:t>4</w:t>
      </w:r>
      <w:r w:rsidRPr="003A2160">
        <w:rPr>
          <w:rFonts w:hAnsi="標楷體" w:hint="eastAsia"/>
        </w:rPr>
        <w:t>年度(10</w:t>
      </w:r>
      <w:r w:rsidRPr="003A2160">
        <w:rPr>
          <w:rFonts w:hAnsi="標楷體"/>
        </w:rPr>
        <w:t>9</w:t>
      </w:r>
      <w:r w:rsidRPr="003A2160">
        <w:rPr>
          <w:rFonts w:hAnsi="標楷體" w:hint="eastAsia"/>
        </w:rPr>
        <w:t>至112年度)預算盈虧目標達成情形(詳表1</w:t>
      </w:r>
      <w:r w:rsidRPr="003A2160">
        <w:rPr>
          <w:rFonts w:hAnsi="標楷體"/>
        </w:rPr>
        <w:t>)</w:t>
      </w:r>
      <w:r w:rsidRPr="003A2160">
        <w:rPr>
          <w:rFonts w:hAnsi="標楷體" w:hint="eastAsia"/>
        </w:rPr>
        <w:t>，該公司自109年度起已連續4年未達預算目標，</w:t>
      </w:r>
      <w:r w:rsidR="002504FF">
        <w:rPr>
          <w:rFonts w:hAnsi="標楷體" w:hint="eastAsia"/>
        </w:rPr>
        <w:t>且</w:t>
      </w:r>
      <w:r w:rsidRPr="003A2160">
        <w:rPr>
          <w:rFonts w:hAnsi="標楷體" w:hint="eastAsia"/>
        </w:rPr>
        <w:t>預算均編列盈餘，惟實際執行後卻呈虧損</w:t>
      </w:r>
      <w:r w:rsidR="0030244C" w:rsidRPr="003A2160">
        <w:rPr>
          <w:rFonts w:hAnsi="標楷體" w:hint="eastAsia"/>
        </w:rPr>
        <w:t>，</w:t>
      </w:r>
      <w:r w:rsidRPr="003A2160">
        <w:rPr>
          <w:rFonts w:hAnsi="標楷體" w:hint="eastAsia"/>
        </w:rPr>
        <w:t>究其各年度決算虧損原因</w:t>
      </w:r>
      <w:r w:rsidR="007F18DC" w:rsidRPr="003A2160">
        <w:rPr>
          <w:rStyle w:val="af5"/>
          <w:rFonts w:hAnsi="標楷體"/>
        </w:rPr>
        <w:footnoteReference w:id="1"/>
      </w:r>
      <w:r w:rsidRPr="003A2160">
        <w:rPr>
          <w:rFonts w:hAnsi="標楷體" w:hint="eastAsia"/>
        </w:rPr>
        <w:t>，</w:t>
      </w:r>
      <w:r w:rsidR="0030244C" w:rsidRPr="003A2160">
        <w:rPr>
          <w:rFonts w:hAnsi="標楷體" w:hint="eastAsia"/>
        </w:rPr>
        <w:t>主要</w:t>
      </w:r>
      <w:r w:rsidRPr="003A2160">
        <w:rPr>
          <w:rFonts w:hAnsi="標楷體" w:hint="eastAsia"/>
        </w:rPr>
        <w:t>係</w:t>
      </w:r>
      <w:r w:rsidR="0030244C" w:rsidRPr="003A2160">
        <w:rPr>
          <w:rFonts w:hAnsi="標楷體" w:hint="eastAsia"/>
        </w:rPr>
        <w:t>109年度</w:t>
      </w:r>
      <w:r w:rsidR="007F18DC" w:rsidRPr="003A2160">
        <w:rPr>
          <w:rFonts w:hAnsi="標楷體" w:hint="eastAsia"/>
        </w:rPr>
        <w:t>油品售價隨國際原油價格下跌毛利隨減及認列海外礦區油氣權益減損損失；</w:t>
      </w:r>
      <w:r w:rsidR="0030244C" w:rsidRPr="003A2160">
        <w:rPr>
          <w:rFonts w:hAnsi="標楷體" w:hint="eastAsia"/>
        </w:rPr>
        <w:t>110及111</w:t>
      </w:r>
      <w:r w:rsidRPr="003A2160">
        <w:rPr>
          <w:rFonts w:hAnsi="標楷體" w:hint="eastAsia"/>
        </w:rPr>
        <w:t>年度</w:t>
      </w:r>
      <w:r w:rsidR="0030244C" w:rsidRPr="003A2160">
        <w:rPr>
          <w:rFonts w:hAnsi="標楷體" w:hint="eastAsia"/>
        </w:rPr>
        <w:t>受國際</w:t>
      </w:r>
      <w:r w:rsidR="007F18DC" w:rsidRPr="003A2160">
        <w:rPr>
          <w:rFonts w:hAnsi="標楷體" w:hint="eastAsia"/>
        </w:rPr>
        <w:t>油</w:t>
      </w:r>
      <w:r w:rsidR="0030244C" w:rsidRPr="003A2160">
        <w:rPr>
          <w:rFonts w:hAnsi="標楷體" w:hint="eastAsia"/>
        </w:rPr>
        <w:t>氣</w:t>
      </w:r>
      <w:r w:rsidR="007F18DC" w:rsidRPr="003A2160">
        <w:rPr>
          <w:rFonts w:hAnsi="標楷體" w:hint="eastAsia"/>
        </w:rPr>
        <w:t>價格上漲，銷貨</w:t>
      </w:r>
      <w:r w:rsidR="0030244C" w:rsidRPr="003A2160">
        <w:rPr>
          <w:rFonts w:hAnsi="標楷體" w:hint="eastAsia"/>
        </w:rPr>
        <w:t>成本</w:t>
      </w:r>
      <w:r w:rsidR="007F18DC" w:rsidRPr="003A2160">
        <w:rPr>
          <w:rFonts w:hAnsi="標楷體" w:hint="eastAsia"/>
        </w:rPr>
        <w:t>較預算大幅增加</w:t>
      </w:r>
      <w:r w:rsidR="0030244C" w:rsidRPr="003A2160">
        <w:rPr>
          <w:rFonts w:hAnsi="標楷體" w:hint="eastAsia"/>
        </w:rPr>
        <w:t>影響；至112年度決算</w:t>
      </w:r>
      <w:r w:rsidRPr="003A2160">
        <w:rPr>
          <w:rFonts w:hAnsi="標楷體" w:hint="eastAsia"/>
        </w:rPr>
        <w:t>則係</w:t>
      </w:r>
      <w:r w:rsidR="007F18DC" w:rsidRPr="003A2160">
        <w:rPr>
          <w:rFonts w:hAnsi="標楷體" w:hint="eastAsia"/>
        </w:rPr>
        <w:t>配合平穩物價政策，油氣未能適足反應成本變動</w:t>
      </w:r>
      <w:r w:rsidRPr="003A2160">
        <w:rPr>
          <w:rFonts w:hAnsi="標楷體" w:hint="eastAsia"/>
        </w:rPr>
        <w:t>所</w:t>
      </w:r>
      <w:r w:rsidRPr="003A2160">
        <w:rPr>
          <w:rFonts w:hAnsi="標楷體" w:hint="eastAsia"/>
        </w:rPr>
        <w:lastRenderedPageBreak/>
        <w:t>致</w:t>
      </w:r>
      <w:r w:rsidR="0030244C" w:rsidRPr="003A2160">
        <w:rPr>
          <w:rFonts w:hAnsi="標楷體" w:hint="eastAsia"/>
        </w:rPr>
        <w:t>，</w:t>
      </w:r>
      <w:r w:rsidRPr="003A2160">
        <w:rPr>
          <w:rFonts w:hAnsi="標楷體" w:hint="eastAsia"/>
        </w:rPr>
        <w:t>該</w:t>
      </w:r>
      <w:r w:rsidR="0030244C" w:rsidRPr="003A2160">
        <w:rPr>
          <w:rFonts w:hAnsi="標楷體" w:hint="eastAsia"/>
        </w:rPr>
        <w:t>年度虧損規模雖</w:t>
      </w:r>
      <w:r w:rsidRPr="003A2160">
        <w:rPr>
          <w:rFonts w:hAnsi="標楷體" w:hint="eastAsia"/>
        </w:rPr>
        <w:t>已</w:t>
      </w:r>
      <w:r w:rsidR="0030244C" w:rsidRPr="003A2160">
        <w:rPr>
          <w:rFonts w:hAnsi="標楷體" w:hint="eastAsia"/>
        </w:rPr>
        <w:t>縮減至213</w:t>
      </w:r>
      <w:r w:rsidR="006B469A" w:rsidRPr="003A2160">
        <w:rPr>
          <w:rFonts w:hAnsi="標楷體" w:hint="eastAsia"/>
        </w:rPr>
        <w:t>億</w:t>
      </w:r>
      <w:r w:rsidR="00270A16">
        <w:rPr>
          <w:rFonts w:hAnsi="標楷體" w:hint="eastAsia"/>
        </w:rPr>
        <w:t>餘</w:t>
      </w:r>
      <w:r w:rsidR="006B469A" w:rsidRPr="003A2160">
        <w:rPr>
          <w:rFonts w:hAnsi="標楷體" w:hint="eastAsia"/>
        </w:rPr>
        <w:t>元，</w:t>
      </w:r>
      <w:r w:rsidR="007F18DC" w:rsidRPr="003A2160">
        <w:rPr>
          <w:rFonts w:hAnsi="標楷體" w:hint="eastAsia"/>
        </w:rPr>
        <w:t>惟</w:t>
      </w:r>
      <w:r w:rsidRPr="003A2160">
        <w:rPr>
          <w:rFonts w:hAnsi="標楷體" w:hint="eastAsia"/>
        </w:rPr>
        <w:t>仍亟待</w:t>
      </w:r>
      <w:r w:rsidR="006B469A" w:rsidRPr="003A2160">
        <w:rPr>
          <w:rFonts w:hAnsi="標楷體" w:hint="eastAsia"/>
        </w:rPr>
        <w:t>積極</w:t>
      </w:r>
      <w:r w:rsidRPr="003A2160">
        <w:rPr>
          <w:rFonts w:hAnsi="標楷體" w:hint="eastAsia"/>
        </w:rPr>
        <w:t>改善</w:t>
      </w:r>
      <w:r w:rsidR="006B469A" w:rsidRPr="003A2160">
        <w:rPr>
          <w:rFonts w:hAnsi="標楷體" w:hint="eastAsia"/>
        </w:rPr>
        <w:t>連年</w:t>
      </w:r>
      <w:r w:rsidRPr="003A2160">
        <w:rPr>
          <w:rFonts w:hAnsi="標楷體" w:hint="eastAsia"/>
        </w:rPr>
        <w:t>虧損情形。</w:t>
      </w:r>
    </w:p>
    <w:p w:rsidR="00D63088" w:rsidRPr="003A2160" w:rsidRDefault="00D63088" w:rsidP="00D63088">
      <w:pPr>
        <w:pStyle w:val="22"/>
        <w:ind w:leftChars="0" w:left="0" w:firstLineChars="0" w:firstLine="0"/>
        <w:jc w:val="left"/>
        <w:rPr>
          <w:rFonts w:hAnsi="標楷體"/>
        </w:rPr>
      </w:pPr>
      <w:r w:rsidRPr="003A2160">
        <w:rPr>
          <w:rFonts w:hAnsi="標楷體" w:hint="eastAsia"/>
          <w:b/>
          <w:spacing w:val="-6"/>
        </w:rPr>
        <w:t>表1  10</w:t>
      </w:r>
      <w:r w:rsidRPr="003A2160">
        <w:rPr>
          <w:rFonts w:hAnsi="標楷體"/>
          <w:b/>
          <w:spacing w:val="-6"/>
        </w:rPr>
        <w:t>9</w:t>
      </w:r>
      <w:r w:rsidRPr="003A2160">
        <w:rPr>
          <w:rFonts w:hAnsi="標楷體" w:hint="eastAsia"/>
          <w:b/>
          <w:spacing w:val="-6"/>
        </w:rPr>
        <w:t xml:space="preserve">至114年度台灣中油公司重要損益科目情形表 </w:t>
      </w:r>
      <w:r w:rsidRPr="003A2160">
        <w:rPr>
          <w:rFonts w:hAnsi="標楷體" w:hint="eastAsia"/>
          <w:sz w:val="24"/>
        </w:rPr>
        <w:t>單位：新臺幣億元</w:t>
      </w:r>
    </w:p>
    <w:tbl>
      <w:tblPr>
        <w:tblW w:w="852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64"/>
        <w:gridCol w:w="796"/>
        <w:gridCol w:w="797"/>
        <w:gridCol w:w="796"/>
        <w:gridCol w:w="797"/>
        <w:gridCol w:w="796"/>
        <w:gridCol w:w="797"/>
        <w:gridCol w:w="796"/>
        <w:gridCol w:w="797"/>
        <w:gridCol w:w="796"/>
        <w:gridCol w:w="797"/>
      </w:tblGrid>
      <w:tr w:rsidR="00D63088" w:rsidRPr="003A2160" w:rsidTr="00C52248">
        <w:trPr>
          <w:trHeight w:val="292"/>
          <w:tblHeader/>
        </w:trPr>
        <w:tc>
          <w:tcPr>
            <w:tcW w:w="564" w:type="dxa"/>
            <w:vMerge w:val="restart"/>
            <w:shd w:val="clear" w:color="auto" w:fill="auto"/>
            <w:vAlign w:val="center"/>
          </w:tcPr>
          <w:p w:rsidR="00D63088" w:rsidRPr="003A2160" w:rsidRDefault="00D63088" w:rsidP="00D63088">
            <w:pPr>
              <w:spacing w:line="240" w:lineRule="exact"/>
              <w:ind w:leftChars="0" w:left="0" w:firstLineChars="0" w:firstLine="0"/>
              <w:jc w:val="center"/>
              <w:rPr>
                <w:rFonts w:hAnsi="標楷體"/>
                <w:sz w:val="23"/>
                <w:szCs w:val="23"/>
              </w:rPr>
            </w:pPr>
            <w:r w:rsidRPr="003A2160">
              <w:rPr>
                <w:rFonts w:hAnsi="標楷體" w:hint="eastAsia"/>
                <w:sz w:val="23"/>
                <w:szCs w:val="23"/>
              </w:rPr>
              <w:t>年度及項目</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109</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110</w:t>
            </w:r>
            <w:r w:rsidRPr="003A2160">
              <w:rPr>
                <w:rFonts w:hAnsi="標楷體"/>
                <w:spacing w:val="-8"/>
                <w:sz w:val="23"/>
                <w:szCs w:val="23"/>
              </w:rPr>
              <w:t xml:space="preserve"> </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111</w:t>
            </w:r>
            <w:r w:rsidRPr="003A2160">
              <w:rPr>
                <w:rFonts w:hAnsi="標楷體"/>
                <w:spacing w:val="-8"/>
                <w:sz w:val="23"/>
                <w:szCs w:val="23"/>
              </w:rPr>
              <w:t xml:space="preserve"> </w:t>
            </w:r>
          </w:p>
        </w:tc>
        <w:tc>
          <w:tcPr>
            <w:tcW w:w="1593" w:type="dxa"/>
            <w:gridSpan w:val="2"/>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112</w:t>
            </w:r>
            <w:r w:rsidRPr="003A2160">
              <w:rPr>
                <w:rFonts w:hAnsi="標楷體"/>
                <w:spacing w:val="-8"/>
                <w:sz w:val="23"/>
                <w:szCs w:val="23"/>
              </w:rPr>
              <w:t xml:space="preserve"> </w:t>
            </w:r>
          </w:p>
        </w:tc>
        <w:tc>
          <w:tcPr>
            <w:tcW w:w="796" w:type="dxa"/>
            <w:vMerge w:val="restart"/>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113</w:t>
            </w:r>
          </w:p>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預算案</w:t>
            </w:r>
          </w:p>
        </w:tc>
        <w:tc>
          <w:tcPr>
            <w:tcW w:w="797" w:type="dxa"/>
            <w:vMerge w:val="restart"/>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w:t>
            </w:r>
            <w:r w:rsidRPr="003A2160">
              <w:rPr>
                <w:rFonts w:hAnsi="標楷體"/>
                <w:spacing w:val="-8"/>
                <w:sz w:val="23"/>
                <w:szCs w:val="23"/>
              </w:rPr>
              <w:t>4</w:t>
            </w:r>
          </w:p>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預算案</w:t>
            </w:r>
          </w:p>
        </w:tc>
      </w:tr>
      <w:tr w:rsidR="00D63088" w:rsidRPr="003A2160" w:rsidTr="00C52248">
        <w:trPr>
          <w:trHeight w:val="197"/>
          <w:tblHeader/>
        </w:trPr>
        <w:tc>
          <w:tcPr>
            <w:tcW w:w="564" w:type="dxa"/>
            <w:vMerge/>
            <w:shd w:val="clear" w:color="auto" w:fill="auto"/>
            <w:vAlign w:val="center"/>
          </w:tcPr>
          <w:p w:rsidR="00D63088" w:rsidRPr="003A2160" w:rsidRDefault="00D63088" w:rsidP="00D63088">
            <w:pPr>
              <w:spacing w:line="240" w:lineRule="exact"/>
              <w:ind w:leftChars="0" w:left="0" w:firstLineChars="0" w:firstLine="0"/>
              <w:jc w:val="center"/>
              <w:rPr>
                <w:rFonts w:hAnsi="標楷體"/>
                <w:sz w:val="23"/>
                <w:szCs w:val="23"/>
              </w:rPr>
            </w:pP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Merge/>
          </w:tcPr>
          <w:p w:rsidR="00D63088" w:rsidRPr="003A2160" w:rsidRDefault="00D63088" w:rsidP="00D63088">
            <w:pPr>
              <w:spacing w:line="240" w:lineRule="exact"/>
              <w:ind w:leftChars="0" w:left="0" w:firstLineChars="0" w:firstLine="0"/>
              <w:jc w:val="center"/>
              <w:rPr>
                <w:rFonts w:hAnsi="標楷體"/>
                <w:spacing w:val="-8"/>
                <w:sz w:val="23"/>
                <w:szCs w:val="23"/>
              </w:rPr>
            </w:pPr>
          </w:p>
        </w:tc>
        <w:tc>
          <w:tcPr>
            <w:tcW w:w="797" w:type="dxa"/>
            <w:vMerge/>
          </w:tcPr>
          <w:p w:rsidR="00D63088" w:rsidRPr="003A2160" w:rsidRDefault="00D63088" w:rsidP="00D63088">
            <w:pPr>
              <w:spacing w:line="240" w:lineRule="exact"/>
              <w:ind w:leftChars="0" w:left="0" w:firstLineChars="0" w:firstLine="0"/>
              <w:jc w:val="center"/>
              <w:rPr>
                <w:rFonts w:hAnsi="標楷體"/>
                <w:spacing w:val="-8"/>
                <w:sz w:val="23"/>
                <w:szCs w:val="23"/>
              </w:rPr>
            </w:pP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營業收入</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6,475.12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7,217.01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8,145.02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9,037.73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8,058.98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12,218.57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12,284.21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11,034.83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12,219.41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12</w:t>
            </w:r>
            <w:r w:rsidRPr="003A2160">
              <w:rPr>
                <w:rFonts w:hAnsi="標楷體"/>
                <w:spacing w:val="-34"/>
                <w:sz w:val="23"/>
                <w:szCs w:val="23"/>
              </w:rPr>
              <w:t>,</w:t>
            </w:r>
            <w:r w:rsidRPr="003A2160">
              <w:rPr>
                <w:rFonts w:hAnsi="標楷體" w:hint="eastAsia"/>
                <w:spacing w:val="-34"/>
                <w:sz w:val="23"/>
                <w:szCs w:val="23"/>
              </w:rPr>
              <w:t>086.77</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營業成本</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6,039.22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7,123.57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7,736.44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9,111.26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7,659.24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14,025.36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11,957.86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10,932.04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11,758.86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11</w:t>
            </w:r>
            <w:r w:rsidRPr="003A2160">
              <w:rPr>
                <w:rFonts w:hAnsi="標楷體"/>
                <w:spacing w:val="-34"/>
                <w:sz w:val="23"/>
                <w:szCs w:val="23"/>
              </w:rPr>
              <w:t>,</w:t>
            </w:r>
            <w:r w:rsidRPr="003A2160">
              <w:rPr>
                <w:rFonts w:hAnsi="標楷體" w:hint="eastAsia"/>
                <w:spacing w:val="-34"/>
                <w:sz w:val="23"/>
                <w:szCs w:val="23"/>
              </w:rPr>
              <w:t>569.52</w:t>
            </w:r>
          </w:p>
        </w:tc>
      </w:tr>
      <w:tr w:rsidR="00D63088" w:rsidRPr="003A2160" w:rsidTr="00C52248">
        <w:trPr>
          <w:trHeight w:val="462"/>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營業費用</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237.17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200.62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239.62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220.18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246.14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232.60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256.11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240.52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261.95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277.55</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營業損益</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198.73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-107.19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168.96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-293.71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153.60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-2,039.39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70.25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-137.74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198.60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239.70</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40"/>
                <w:sz w:val="23"/>
                <w:szCs w:val="23"/>
              </w:rPr>
              <w:t>營業外損益</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-57.40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30.15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-53.16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-177.61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-51.36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-104.92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-68.75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-86.37</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-165.78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-161.28</w:t>
            </w:r>
          </w:p>
        </w:tc>
      </w:tr>
      <w:tr w:rsidR="00D63088" w:rsidRPr="003A2160" w:rsidTr="00C52248">
        <w:trPr>
          <w:trHeight w:val="462"/>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本期損益</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113.54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-73.42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93.15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-392.84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82.13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-1,861.59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1.79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-213.63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27.00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63.50</w:t>
            </w:r>
          </w:p>
        </w:tc>
      </w:tr>
    </w:tbl>
    <w:p w:rsidR="00D63088" w:rsidRPr="003A2160" w:rsidRDefault="00D63088" w:rsidP="00D63088">
      <w:pPr>
        <w:spacing w:line="280" w:lineRule="exact"/>
        <w:ind w:leftChars="0" w:left="0" w:firstLineChars="0" w:firstLine="0"/>
        <w:rPr>
          <w:rFonts w:hAnsi="標楷體"/>
          <w:sz w:val="24"/>
          <w:szCs w:val="24"/>
        </w:rPr>
      </w:pPr>
      <w:r w:rsidRPr="003A2160">
        <w:rPr>
          <w:rFonts w:hAnsi="標楷體" w:hint="eastAsia"/>
          <w:sz w:val="24"/>
          <w:szCs w:val="24"/>
        </w:rPr>
        <w:t>資料來源：台灣中油公司各年度預、決算書。</w:t>
      </w:r>
    </w:p>
    <w:p w:rsidR="00183E11" w:rsidRPr="003A2160" w:rsidRDefault="00183E11" w:rsidP="00183E11">
      <w:pPr>
        <w:pStyle w:val="a5"/>
        <w:ind w:left="851" w:hanging="284"/>
        <w:rPr>
          <w:rFonts w:hAnsi="標楷體"/>
          <w:b/>
          <w:bCs/>
          <w:kern w:val="0"/>
        </w:rPr>
      </w:pPr>
      <w:r w:rsidRPr="003A2160">
        <w:rPr>
          <w:rFonts w:hAnsi="標楷體" w:hint="eastAsia"/>
          <w:b/>
          <w:bCs/>
          <w:kern w:val="0"/>
        </w:rPr>
        <w:t>(二)</w:t>
      </w:r>
      <w:r w:rsidR="007E3AA4" w:rsidRPr="003A2160">
        <w:rPr>
          <w:rFonts w:hAnsi="標楷體" w:hint="eastAsia"/>
          <w:b/>
          <w:bCs/>
          <w:kern w:val="0"/>
        </w:rPr>
        <w:t>113及114年度預計轉虧為盈，惟113年度累計至8</w:t>
      </w:r>
      <w:r w:rsidRPr="003A2160">
        <w:rPr>
          <w:rFonts w:hAnsi="標楷體"/>
          <w:b/>
          <w:bCs/>
          <w:kern w:val="0"/>
        </w:rPr>
        <w:t>月底</w:t>
      </w:r>
      <w:r w:rsidR="007E3AA4" w:rsidRPr="003A2160">
        <w:rPr>
          <w:rFonts w:hAnsi="標楷體" w:hint="eastAsia"/>
          <w:b/>
          <w:bCs/>
          <w:kern w:val="0"/>
        </w:rPr>
        <w:t>止</w:t>
      </w:r>
      <w:r w:rsidR="00BA6630">
        <w:rPr>
          <w:rFonts w:hAnsi="標楷體" w:hint="eastAsia"/>
          <w:b/>
          <w:bCs/>
          <w:kern w:val="0"/>
        </w:rPr>
        <w:t>，</w:t>
      </w:r>
      <w:r w:rsidRPr="003A2160">
        <w:rPr>
          <w:rFonts w:hAnsi="標楷體" w:hint="eastAsia"/>
          <w:b/>
          <w:bCs/>
          <w:kern w:val="0"/>
        </w:rPr>
        <w:t>本期淨損</w:t>
      </w:r>
      <w:r w:rsidRPr="003A2160">
        <w:rPr>
          <w:rFonts w:hAnsi="標楷體"/>
          <w:b/>
          <w:bCs/>
          <w:kern w:val="0"/>
        </w:rPr>
        <w:t>達</w:t>
      </w:r>
      <w:r w:rsidR="00775141" w:rsidRPr="003A2160">
        <w:rPr>
          <w:rFonts w:hAnsi="標楷體"/>
          <w:b/>
          <w:bCs/>
          <w:kern w:val="0"/>
        </w:rPr>
        <w:t>189</w:t>
      </w:r>
      <w:r w:rsidRPr="003A2160">
        <w:rPr>
          <w:rFonts w:hAnsi="標楷體"/>
          <w:b/>
          <w:bCs/>
          <w:kern w:val="0"/>
        </w:rPr>
        <w:t>億</w:t>
      </w:r>
      <w:r w:rsidRPr="003A2160">
        <w:rPr>
          <w:rFonts w:hAnsi="標楷體" w:hint="eastAsia"/>
          <w:b/>
          <w:bCs/>
          <w:kern w:val="0"/>
        </w:rPr>
        <w:t>餘</w:t>
      </w:r>
      <w:r w:rsidRPr="003A2160">
        <w:rPr>
          <w:rFonts w:hAnsi="標楷體"/>
          <w:b/>
          <w:bCs/>
          <w:kern w:val="0"/>
        </w:rPr>
        <w:t>元</w:t>
      </w:r>
      <w:r w:rsidRPr="003A2160">
        <w:rPr>
          <w:rFonts w:hAnsi="標楷體" w:hint="eastAsia"/>
          <w:b/>
          <w:bCs/>
          <w:kern w:val="0"/>
        </w:rPr>
        <w:t>，負債比率升高至</w:t>
      </w:r>
      <w:r w:rsidR="00775141" w:rsidRPr="003A2160">
        <w:rPr>
          <w:rFonts w:hAnsi="標楷體"/>
          <w:b/>
          <w:bCs/>
          <w:kern w:val="0"/>
        </w:rPr>
        <w:t>92.06</w:t>
      </w:r>
      <w:r w:rsidRPr="003A2160">
        <w:rPr>
          <w:rFonts w:hAnsi="標楷體" w:hint="eastAsia"/>
          <w:b/>
          <w:bCs/>
          <w:kern w:val="0"/>
        </w:rPr>
        <w:t>%</w:t>
      </w:r>
      <w:r w:rsidR="007E3AA4" w:rsidRPr="003A2160">
        <w:rPr>
          <w:rFonts w:hAnsi="標楷體" w:hint="eastAsia"/>
          <w:b/>
          <w:bCs/>
          <w:kern w:val="0"/>
        </w:rPr>
        <w:t>，114年底預計待填補虧損601億餘元，允宜積極研謀改善</w:t>
      </w:r>
    </w:p>
    <w:p w:rsidR="00183E11" w:rsidRPr="003A2160" w:rsidRDefault="0056378A" w:rsidP="00183E11">
      <w:pPr>
        <w:pStyle w:val="22"/>
        <w:ind w:left="850" w:firstLine="567"/>
        <w:rPr>
          <w:rFonts w:hAnsi="標楷體"/>
        </w:rPr>
      </w:pPr>
      <w:r w:rsidRPr="003A2160">
        <w:rPr>
          <w:rFonts w:hAnsi="標楷體" w:hint="eastAsia"/>
          <w:kern w:val="0"/>
        </w:rPr>
        <w:t>又</w:t>
      </w:r>
      <w:r w:rsidR="002504FF" w:rsidRPr="003A2160">
        <w:rPr>
          <w:rFonts w:hAnsi="標楷體" w:hint="eastAsia"/>
          <w:kern w:val="0"/>
        </w:rPr>
        <w:t>台灣中油公司</w:t>
      </w:r>
      <w:r w:rsidRPr="003A2160">
        <w:rPr>
          <w:rFonts w:hAnsi="標楷體" w:hint="eastAsia"/>
          <w:kern w:val="0"/>
        </w:rPr>
        <w:t>11</w:t>
      </w:r>
      <w:r w:rsidRPr="003A2160">
        <w:rPr>
          <w:rFonts w:hAnsi="標楷體"/>
          <w:kern w:val="0"/>
        </w:rPr>
        <w:t>3</w:t>
      </w:r>
      <w:r w:rsidRPr="003A2160">
        <w:rPr>
          <w:rFonts w:hAnsi="標楷體" w:hint="eastAsia"/>
          <w:kern w:val="0"/>
        </w:rPr>
        <w:t>及1</w:t>
      </w:r>
      <w:r w:rsidRPr="003A2160">
        <w:rPr>
          <w:rFonts w:hAnsi="標楷體"/>
          <w:kern w:val="0"/>
        </w:rPr>
        <w:t>14</w:t>
      </w:r>
      <w:r w:rsidRPr="003A2160">
        <w:rPr>
          <w:rFonts w:hAnsi="標楷體" w:hint="eastAsia"/>
          <w:kern w:val="0"/>
        </w:rPr>
        <w:t>年度預計轉虧為盈，分別編列本期淨利</w:t>
      </w:r>
      <w:r w:rsidRPr="003A2160">
        <w:rPr>
          <w:rFonts w:hAnsi="標楷體" w:hint="eastAsia"/>
        </w:rPr>
        <w:t>26億9</w:t>
      </w:r>
      <w:r w:rsidRPr="003A2160">
        <w:rPr>
          <w:rFonts w:hAnsi="標楷體"/>
        </w:rPr>
        <w:t>,</w:t>
      </w:r>
      <w:r w:rsidRPr="003A2160">
        <w:rPr>
          <w:rFonts w:hAnsi="標楷體" w:hint="eastAsia"/>
        </w:rPr>
        <w:t>988萬元</w:t>
      </w:r>
      <w:r w:rsidRPr="003A2160">
        <w:rPr>
          <w:rFonts w:hAnsi="標楷體" w:hint="eastAsia"/>
          <w:kern w:val="0"/>
        </w:rPr>
        <w:t>及</w:t>
      </w:r>
      <w:r w:rsidRPr="003A2160">
        <w:rPr>
          <w:rFonts w:hAnsi="標楷體"/>
        </w:rPr>
        <w:t>63</w:t>
      </w:r>
      <w:r w:rsidRPr="003A2160">
        <w:rPr>
          <w:rFonts w:hAnsi="標楷體" w:hint="eastAsia"/>
        </w:rPr>
        <w:t>億</w:t>
      </w:r>
      <w:r w:rsidRPr="003A2160">
        <w:rPr>
          <w:rFonts w:hAnsi="標楷體"/>
        </w:rPr>
        <w:t>4,</w:t>
      </w:r>
      <w:r w:rsidRPr="003A2160">
        <w:rPr>
          <w:rFonts w:hAnsi="標楷體" w:hint="eastAsia"/>
        </w:rPr>
        <w:t>9</w:t>
      </w:r>
      <w:r w:rsidRPr="003A2160">
        <w:rPr>
          <w:rFonts w:hAnsi="標楷體"/>
        </w:rPr>
        <w:t>69</w:t>
      </w:r>
      <w:r w:rsidRPr="003A2160">
        <w:rPr>
          <w:rFonts w:hAnsi="標楷體" w:hint="eastAsia"/>
        </w:rPr>
        <w:t>萬2千元</w:t>
      </w:r>
      <w:r w:rsidRPr="003A2160">
        <w:rPr>
          <w:rFonts w:hAnsi="標楷體" w:hint="eastAsia"/>
          <w:kern w:val="0"/>
        </w:rPr>
        <w:t>，惟</w:t>
      </w:r>
      <w:r w:rsidR="00183E11" w:rsidRPr="003A2160">
        <w:rPr>
          <w:rFonts w:hAnsi="標楷體" w:hint="eastAsia"/>
          <w:kern w:val="0"/>
        </w:rPr>
        <w:t>據</w:t>
      </w:r>
      <w:r w:rsidR="002504FF">
        <w:rPr>
          <w:rFonts w:hAnsi="標楷體" w:hint="eastAsia"/>
          <w:kern w:val="0"/>
        </w:rPr>
        <w:t>該</w:t>
      </w:r>
      <w:r w:rsidR="00183E11" w:rsidRPr="003A2160">
        <w:rPr>
          <w:rFonts w:hAnsi="標楷體" w:hint="eastAsia"/>
          <w:kern w:val="0"/>
        </w:rPr>
        <w:t>公司11</w:t>
      </w:r>
      <w:r w:rsidR="00301504" w:rsidRPr="003A2160">
        <w:rPr>
          <w:rFonts w:hAnsi="標楷體"/>
          <w:kern w:val="0"/>
        </w:rPr>
        <w:t>3</w:t>
      </w:r>
      <w:r w:rsidR="00183E11" w:rsidRPr="003A2160">
        <w:rPr>
          <w:rFonts w:hAnsi="標楷體" w:hint="eastAsia"/>
          <w:kern w:val="0"/>
        </w:rPr>
        <w:t>年</w:t>
      </w:r>
      <w:r w:rsidR="00301504" w:rsidRPr="003A2160">
        <w:rPr>
          <w:rFonts w:hAnsi="標楷體" w:hint="eastAsia"/>
          <w:kern w:val="0"/>
        </w:rPr>
        <w:t>8</w:t>
      </w:r>
      <w:r w:rsidR="00183E11" w:rsidRPr="003A2160">
        <w:rPr>
          <w:rFonts w:hAnsi="標楷體" w:hint="eastAsia"/>
          <w:kern w:val="0"/>
        </w:rPr>
        <w:t>月會計月報，11</w:t>
      </w:r>
      <w:r w:rsidR="00301504" w:rsidRPr="003A2160">
        <w:rPr>
          <w:rFonts w:hAnsi="標楷體"/>
          <w:kern w:val="0"/>
        </w:rPr>
        <w:t>3</w:t>
      </w:r>
      <w:r w:rsidR="00183E11" w:rsidRPr="003A2160">
        <w:rPr>
          <w:rFonts w:hAnsi="標楷體" w:hint="eastAsia"/>
          <w:kern w:val="0"/>
        </w:rPr>
        <w:t>年截至</w:t>
      </w:r>
      <w:r w:rsidR="00301504" w:rsidRPr="003A2160">
        <w:rPr>
          <w:rFonts w:hAnsi="標楷體"/>
          <w:kern w:val="0"/>
        </w:rPr>
        <w:t>8</w:t>
      </w:r>
      <w:r w:rsidR="00183E11" w:rsidRPr="003A2160">
        <w:rPr>
          <w:rFonts w:hAnsi="標楷體" w:hint="eastAsia"/>
          <w:kern w:val="0"/>
        </w:rPr>
        <w:t>月底止，本期淨損</w:t>
      </w:r>
      <w:r w:rsidR="00301504" w:rsidRPr="003A2160">
        <w:rPr>
          <w:rFonts w:hAnsi="標楷體"/>
          <w:kern w:val="0"/>
        </w:rPr>
        <w:t>189</w:t>
      </w:r>
      <w:r w:rsidR="00183E11" w:rsidRPr="003A2160">
        <w:rPr>
          <w:rFonts w:hAnsi="標楷體" w:hint="eastAsia"/>
          <w:kern w:val="0"/>
        </w:rPr>
        <w:t>億</w:t>
      </w:r>
      <w:r w:rsidR="00301504" w:rsidRPr="003A2160">
        <w:rPr>
          <w:rFonts w:hAnsi="標楷體"/>
          <w:kern w:val="0"/>
        </w:rPr>
        <w:t>2</w:t>
      </w:r>
      <w:r w:rsidR="00183E11" w:rsidRPr="003A2160">
        <w:rPr>
          <w:rFonts w:hAnsi="標楷體"/>
          <w:kern w:val="0"/>
        </w:rPr>
        <w:t>,</w:t>
      </w:r>
      <w:r w:rsidR="00301504" w:rsidRPr="003A2160">
        <w:rPr>
          <w:rFonts w:hAnsi="標楷體"/>
          <w:kern w:val="0"/>
        </w:rPr>
        <w:t>746</w:t>
      </w:r>
      <w:r w:rsidR="00183E11" w:rsidRPr="003A2160">
        <w:rPr>
          <w:rFonts w:hAnsi="標楷體" w:hint="eastAsia"/>
          <w:kern w:val="0"/>
        </w:rPr>
        <w:t>萬</w:t>
      </w:r>
      <w:r w:rsidR="00301504" w:rsidRPr="003A2160">
        <w:rPr>
          <w:rFonts w:hAnsi="標楷體"/>
          <w:kern w:val="0"/>
        </w:rPr>
        <w:t>8</w:t>
      </w:r>
      <w:r w:rsidR="00183E11" w:rsidRPr="003A2160">
        <w:rPr>
          <w:rFonts w:hAnsi="標楷體" w:hint="eastAsia"/>
          <w:kern w:val="0"/>
        </w:rPr>
        <w:t>千元，累積虧損</w:t>
      </w:r>
      <w:r w:rsidRPr="003A2160">
        <w:rPr>
          <w:rFonts w:hAnsi="標楷體"/>
          <w:kern w:val="0"/>
        </w:rPr>
        <w:t>865</w:t>
      </w:r>
      <w:r w:rsidR="00183E11" w:rsidRPr="003A2160">
        <w:rPr>
          <w:rFonts w:hAnsi="標楷體" w:hint="eastAsia"/>
          <w:kern w:val="0"/>
        </w:rPr>
        <w:t>億</w:t>
      </w:r>
      <w:r w:rsidRPr="003A2160">
        <w:rPr>
          <w:rFonts w:hAnsi="標楷體"/>
          <w:kern w:val="0"/>
        </w:rPr>
        <w:t>9</w:t>
      </w:r>
      <w:r w:rsidR="00183E11" w:rsidRPr="003A2160">
        <w:rPr>
          <w:rFonts w:hAnsi="標楷體"/>
          <w:kern w:val="0"/>
        </w:rPr>
        <w:t>,</w:t>
      </w:r>
      <w:r w:rsidRPr="003A2160">
        <w:rPr>
          <w:rFonts w:hAnsi="標楷體"/>
          <w:kern w:val="0"/>
        </w:rPr>
        <w:t>874</w:t>
      </w:r>
      <w:r w:rsidR="00183E11" w:rsidRPr="003A2160">
        <w:rPr>
          <w:rFonts w:hAnsi="標楷體" w:hint="eastAsia"/>
          <w:kern w:val="0"/>
        </w:rPr>
        <w:t>萬</w:t>
      </w:r>
      <w:r w:rsidRPr="003A2160">
        <w:rPr>
          <w:rFonts w:hAnsi="標楷體"/>
          <w:kern w:val="0"/>
        </w:rPr>
        <w:t>5</w:t>
      </w:r>
      <w:r w:rsidR="00183E11" w:rsidRPr="003A2160">
        <w:rPr>
          <w:rFonts w:hAnsi="標楷體" w:hint="eastAsia"/>
          <w:kern w:val="0"/>
        </w:rPr>
        <w:t>千元，負債比率升至</w:t>
      </w:r>
      <w:r w:rsidR="00775141" w:rsidRPr="003A2160">
        <w:rPr>
          <w:rFonts w:hAnsi="標楷體"/>
          <w:kern w:val="0"/>
        </w:rPr>
        <w:t>92.06</w:t>
      </w:r>
      <w:r w:rsidR="00183E11" w:rsidRPr="003A2160">
        <w:rPr>
          <w:rFonts w:hAnsi="標楷體" w:hint="eastAsia"/>
          <w:kern w:val="0"/>
        </w:rPr>
        <w:t>%，較</w:t>
      </w:r>
      <w:r w:rsidR="00775141" w:rsidRPr="003A2160">
        <w:rPr>
          <w:rFonts w:hAnsi="標楷體" w:hint="eastAsia"/>
          <w:kern w:val="0"/>
        </w:rPr>
        <w:t>112年度決算及</w:t>
      </w:r>
      <w:r w:rsidR="00183E11" w:rsidRPr="003A2160">
        <w:rPr>
          <w:rFonts w:hAnsi="標楷體" w:hint="eastAsia"/>
          <w:kern w:val="0"/>
        </w:rPr>
        <w:t>11</w:t>
      </w:r>
      <w:r w:rsidR="00775141" w:rsidRPr="003A2160">
        <w:rPr>
          <w:rFonts w:hAnsi="標楷體"/>
          <w:kern w:val="0"/>
        </w:rPr>
        <w:t>3</w:t>
      </w:r>
      <w:r w:rsidR="00183E11" w:rsidRPr="003A2160">
        <w:rPr>
          <w:rFonts w:hAnsi="標楷體" w:hint="eastAsia"/>
          <w:kern w:val="0"/>
        </w:rPr>
        <w:t>年度預算</w:t>
      </w:r>
      <w:r w:rsidR="00775141" w:rsidRPr="003A2160">
        <w:rPr>
          <w:rFonts w:hAnsi="標楷體" w:hint="eastAsia"/>
          <w:kern w:val="0"/>
        </w:rPr>
        <w:t>案之89.9</w:t>
      </w:r>
      <w:r w:rsidR="00270A16">
        <w:rPr>
          <w:rFonts w:hAnsi="標楷體"/>
          <w:kern w:val="0"/>
        </w:rPr>
        <w:t>0</w:t>
      </w:r>
      <w:r w:rsidR="00775141" w:rsidRPr="003A2160">
        <w:rPr>
          <w:rFonts w:hAnsi="標楷體" w:hint="eastAsia"/>
          <w:kern w:val="0"/>
        </w:rPr>
        <w:t>%及</w:t>
      </w:r>
      <w:r w:rsidR="00775141" w:rsidRPr="003A2160">
        <w:rPr>
          <w:rFonts w:hAnsi="標楷體"/>
          <w:kern w:val="0"/>
        </w:rPr>
        <w:t>90.42</w:t>
      </w:r>
      <w:r w:rsidR="00183E11" w:rsidRPr="003A2160">
        <w:rPr>
          <w:rFonts w:hAnsi="標楷體" w:hint="eastAsia"/>
          <w:kern w:val="0"/>
        </w:rPr>
        <w:t>%，高出</w:t>
      </w:r>
      <w:r w:rsidR="00775141" w:rsidRPr="003A2160">
        <w:rPr>
          <w:rFonts w:hAnsi="標楷體" w:hint="eastAsia"/>
          <w:kern w:val="0"/>
        </w:rPr>
        <w:t>各為2.16個百分點及</w:t>
      </w:r>
      <w:r w:rsidR="00183E11" w:rsidRPr="003A2160">
        <w:rPr>
          <w:rFonts w:hAnsi="標楷體" w:hint="eastAsia"/>
          <w:kern w:val="0"/>
        </w:rPr>
        <w:t>1.6</w:t>
      </w:r>
      <w:r w:rsidR="00775141" w:rsidRPr="003A2160">
        <w:rPr>
          <w:rFonts w:hAnsi="標楷體" w:hint="eastAsia"/>
          <w:kern w:val="0"/>
        </w:rPr>
        <w:t>4</w:t>
      </w:r>
      <w:r w:rsidR="00183E11" w:rsidRPr="003A2160">
        <w:rPr>
          <w:rFonts w:hAnsi="標楷體" w:hint="eastAsia"/>
          <w:kern w:val="0"/>
        </w:rPr>
        <w:t>個百分點</w:t>
      </w:r>
      <w:r w:rsidR="00775141" w:rsidRPr="003A2160">
        <w:rPr>
          <w:rFonts w:hAnsi="標楷體" w:hint="eastAsia"/>
          <w:kern w:val="0"/>
        </w:rPr>
        <w:t>，並較</w:t>
      </w:r>
      <w:r w:rsidR="00775141" w:rsidRPr="003A2160">
        <w:rPr>
          <w:rFonts w:hAnsi="標楷體"/>
          <w:kern w:val="0"/>
        </w:rPr>
        <w:t>110</w:t>
      </w:r>
      <w:r w:rsidR="00775141" w:rsidRPr="003A2160">
        <w:rPr>
          <w:rFonts w:hAnsi="標楷體" w:hint="eastAsia"/>
          <w:kern w:val="0"/>
        </w:rPr>
        <w:t>年底之</w:t>
      </w:r>
      <w:r w:rsidR="00775141" w:rsidRPr="003A2160">
        <w:rPr>
          <w:rFonts w:hAnsi="標楷體"/>
          <w:kern w:val="0"/>
        </w:rPr>
        <w:t>68.88</w:t>
      </w:r>
      <w:r w:rsidR="00775141" w:rsidRPr="003A2160">
        <w:rPr>
          <w:rFonts w:hAnsi="標楷體" w:hint="eastAsia"/>
          <w:kern w:val="0"/>
        </w:rPr>
        <w:t>%大幅提高</w:t>
      </w:r>
      <w:r w:rsidR="00775141" w:rsidRPr="003A2160">
        <w:rPr>
          <w:rFonts w:hAnsi="標楷體" w:hint="eastAsia"/>
        </w:rPr>
        <w:t>；</w:t>
      </w:r>
      <w:r w:rsidR="00775141" w:rsidRPr="003A2160">
        <w:rPr>
          <w:rFonts w:hAnsi="標楷體" w:hint="eastAsia"/>
          <w:kern w:val="0"/>
        </w:rPr>
        <w:t>而</w:t>
      </w:r>
      <w:r w:rsidR="00781B56" w:rsidRPr="003A2160">
        <w:rPr>
          <w:rFonts w:hAnsi="標楷體" w:hint="eastAsia"/>
          <w:kern w:val="0"/>
        </w:rPr>
        <w:t>11</w:t>
      </w:r>
      <w:r w:rsidR="00775141" w:rsidRPr="003A2160">
        <w:rPr>
          <w:rFonts w:hAnsi="標楷體"/>
          <w:kern w:val="0"/>
        </w:rPr>
        <w:t>4</w:t>
      </w:r>
      <w:r w:rsidR="00781B56" w:rsidRPr="003A2160">
        <w:rPr>
          <w:rFonts w:hAnsi="標楷體" w:hint="eastAsia"/>
          <w:kern w:val="0"/>
        </w:rPr>
        <w:t>年底</w:t>
      </w:r>
      <w:r w:rsidR="00331D66" w:rsidRPr="003A2160">
        <w:rPr>
          <w:rFonts w:hAnsi="標楷體" w:hint="eastAsia"/>
          <w:kern w:val="0"/>
        </w:rPr>
        <w:t>預計</w:t>
      </w:r>
      <w:r w:rsidR="00A306E3" w:rsidRPr="003A2160">
        <w:rPr>
          <w:rFonts w:hAnsi="標楷體" w:hint="eastAsia"/>
          <w:kern w:val="0"/>
        </w:rPr>
        <w:t>負債比率</w:t>
      </w:r>
      <w:r w:rsidR="00270A16">
        <w:rPr>
          <w:rFonts w:hAnsi="標楷體" w:hint="eastAsia"/>
          <w:kern w:val="0"/>
        </w:rPr>
        <w:t>再攀升至</w:t>
      </w:r>
      <w:r w:rsidR="00A306E3" w:rsidRPr="003A2160">
        <w:rPr>
          <w:rFonts w:hAnsi="標楷體" w:hint="eastAsia"/>
          <w:kern w:val="0"/>
        </w:rPr>
        <w:t>93.23%</w:t>
      </w:r>
      <w:r w:rsidR="00270A16">
        <w:rPr>
          <w:rFonts w:hAnsi="標楷體" w:hint="eastAsia"/>
          <w:kern w:val="0"/>
        </w:rPr>
        <w:t>，為自110年以來最高，且</w:t>
      </w:r>
      <w:r w:rsidR="00183E11" w:rsidRPr="003A2160">
        <w:rPr>
          <w:rFonts w:hAnsi="標楷體" w:hint="eastAsia"/>
          <w:kern w:val="0"/>
        </w:rPr>
        <w:t>累積虧損仍</w:t>
      </w:r>
      <w:r w:rsidR="00331D66" w:rsidRPr="003A2160">
        <w:rPr>
          <w:rFonts w:hAnsi="標楷體" w:hint="eastAsia"/>
          <w:kern w:val="0"/>
        </w:rPr>
        <w:t>高達</w:t>
      </w:r>
      <w:r w:rsidR="00775141" w:rsidRPr="003A2160">
        <w:rPr>
          <w:rFonts w:hAnsi="標楷體"/>
          <w:kern w:val="0"/>
        </w:rPr>
        <w:t>601</w:t>
      </w:r>
      <w:r w:rsidR="00183E11" w:rsidRPr="003A2160">
        <w:rPr>
          <w:rFonts w:hAnsi="標楷體" w:hint="eastAsia"/>
          <w:kern w:val="0"/>
        </w:rPr>
        <w:t>億3</w:t>
      </w:r>
      <w:r w:rsidR="00183E11" w:rsidRPr="003A2160">
        <w:rPr>
          <w:rFonts w:hAnsi="標楷體"/>
          <w:kern w:val="0"/>
        </w:rPr>
        <w:t>,</w:t>
      </w:r>
      <w:r w:rsidR="00775141" w:rsidRPr="003A2160">
        <w:rPr>
          <w:rFonts w:hAnsi="標楷體" w:hint="eastAsia"/>
          <w:kern w:val="0"/>
        </w:rPr>
        <w:t>600</w:t>
      </w:r>
      <w:r w:rsidR="00183E11" w:rsidRPr="003A2160">
        <w:rPr>
          <w:rFonts w:hAnsi="標楷體" w:hint="eastAsia"/>
          <w:kern w:val="0"/>
        </w:rPr>
        <w:t>萬3千元</w:t>
      </w:r>
      <w:r w:rsidR="00775141" w:rsidRPr="003A2160">
        <w:rPr>
          <w:rFonts w:hAnsi="標楷體" w:hint="eastAsia"/>
          <w:kern w:val="0"/>
        </w:rPr>
        <w:t>，</w:t>
      </w:r>
      <w:r w:rsidR="002504FF">
        <w:rPr>
          <w:rFonts w:hAnsi="標楷體" w:hint="eastAsia"/>
          <w:kern w:val="0"/>
        </w:rPr>
        <w:t>允宜</w:t>
      </w:r>
      <w:r w:rsidR="00183E11" w:rsidRPr="003A2160">
        <w:rPr>
          <w:rFonts w:hAnsi="標楷體" w:hint="eastAsia"/>
        </w:rPr>
        <w:t>全面檢討其營運狀況</w:t>
      </w:r>
      <w:r w:rsidR="002504FF">
        <w:rPr>
          <w:rFonts w:hAnsi="標楷體" w:hint="eastAsia"/>
        </w:rPr>
        <w:t>，以維財務結構之健全</w:t>
      </w:r>
      <w:r w:rsidR="00183E11" w:rsidRPr="003A2160">
        <w:rPr>
          <w:rFonts w:hAnsi="標楷體" w:hint="eastAsia"/>
        </w:rPr>
        <w:t>。</w:t>
      </w:r>
    </w:p>
    <w:p w:rsidR="00183E11" w:rsidRPr="003A2160" w:rsidRDefault="00183E11" w:rsidP="00183E11">
      <w:pPr>
        <w:ind w:left="567" w:firstLine="567"/>
        <w:rPr>
          <w:rFonts w:hAnsi="標楷體"/>
          <w:kern w:val="0"/>
        </w:rPr>
      </w:pPr>
      <w:r w:rsidRPr="003A2160">
        <w:rPr>
          <w:rFonts w:hAnsi="標楷體" w:hint="eastAsia"/>
        </w:rPr>
        <w:t>綜上，台灣中油公司自109年起</w:t>
      </w:r>
      <w:r w:rsidR="00A306E3" w:rsidRPr="003A2160">
        <w:rPr>
          <w:rFonts w:hAnsi="標楷體" w:hint="eastAsia"/>
        </w:rPr>
        <w:t>已連續4年未達預算盈餘目標</w:t>
      </w:r>
      <w:r w:rsidR="002504FF">
        <w:rPr>
          <w:rFonts w:hAnsi="標楷體" w:hint="eastAsia"/>
        </w:rPr>
        <w:t>並均呈虧損</w:t>
      </w:r>
      <w:r w:rsidRPr="003A2160">
        <w:rPr>
          <w:rFonts w:hAnsi="標楷體" w:hint="eastAsia"/>
        </w:rPr>
        <w:t>，</w:t>
      </w:r>
      <w:r w:rsidR="00331D66" w:rsidRPr="003A2160">
        <w:rPr>
          <w:rFonts w:hAnsi="標楷體" w:hint="eastAsia"/>
        </w:rPr>
        <w:t>雖</w:t>
      </w:r>
      <w:r w:rsidRPr="003A2160">
        <w:rPr>
          <w:rFonts w:hAnsi="標楷體" w:hint="eastAsia"/>
        </w:rPr>
        <w:t>11</w:t>
      </w:r>
      <w:r w:rsidR="00A306E3" w:rsidRPr="003A2160">
        <w:rPr>
          <w:rFonts w:hAnsi="標楷體"/>
        </w:rPr>
        <w:t>4</w:t>
      </w:r>
      <w:r w:rsidRPr="003A2160">
        <w:rPr>
          <w:rFonts w:hAnsi="標楷體" w:hint="eastAsia"/>
        </w:rPr>
        <w:t>年度預計本期淨利</w:t>
      </w:r>
      <w:r w:rsidR="00A306E3" w:rsidRPr="003A2160">
        <w:rPr>
          <w:rFonts w:hAnsi="標楷體" w:hint="eastAsia"/>
        </w:rPr>
        <w:t>63億4,969萬2千元</w:t>
      </w:r>
      <w:r w:rsidRPr="003A2160">
        <w:rPr>
          <w:rFonts w:hAnsi="標楷體" w:hint="eastAsia"/>
        </w:rPr>
        <w:t>，</w:t>
      </w:r>
      <w:r w:rsidR="00331D66" w:rsidRPr="003A2160">
        <w:rPr>
          <w:rFonts w:hAnsi="標楷體" w:hint="eastAsia"/>
        </w:rPr>
        <w:t>惟</w:t>
      </w:r>
      <w:r w:rsidRPr="003A2160">
        <w:rPr>
          <w:rFonts w:hAnsi="標楷體" w:hint="eastAsia"/>
        </w:rPr>
        <w:t>負債比率</w:t>
      </w:r>
      <w:r w:rsidR="00270A16" w:rsidRPr="00270A16">
        <w:rPr>
          <w:rFonts w:hAnsi="標楷體" w:hint="eastAsia"/>
        </w:rPr>
        <w:t>攀升至</w:t>
      </w:r>
      <w:r w:rsidR="00A306E3" w:rsidRPr="003A2160">
        <w:rPr>
          <w:rFonts w:hAnsi="標楷體"/>
        </w:rPr>
        <w:t>93.23</w:t>
      </w:r>
      <w:r w:rsidRPr="003A2160">
        <w:rPr>
          <w:rFonts w:hAnsi="標楷體" w:hint="eastAsia"/>
        </w:rPr>
        <w:t>%</w:t>
      </w:r>
      <w:r w:rsidRPr="003A2160">
        <w:rPr>
          <w:rFonts w:hAnsi="標楷體" w:hint="eastAsia"/>
          <w:kern w:val="0"/>
        </w:rPr>
        <w:t>，年底待填補</w:t>
      </w:r>
      <w:r w:rsidR="00331D66" w:rsidRPr="003A2160">
        <w:rPr>
          <w:rFonts w:hAnsi="標楷體" w:hint="eastAsia"/>
          <w:kern w:val="0"/>
        </w:rPr>
        <w:t>累計</w:t>
      </w:r>
      <w:r w:rsidRPr="003A2160">
        <w:rPr>
          <w:rFonts w:hAnsi="標楷體" w:hint="eastAsia"/>
          <w:kern w:val="0"/>
        </w:rPr>
        <w:t>虧損</w:t>
      </w:r>
      <w:r w:rsidR="00331D66" w:rsidRPr="003A2160">
        <w:rPr>
          <w:rFonts w:hAnsi="標楷體" w:hint="eastAsia"/>
          <w:kern w:val="0"/>
        </w:rPr>
        <w:t>仍高</w:t>
      </w:r>
      <w:r w:rsidRPr="003A2160">
        <w:rPr>
          <w:rFonts w:hAnsi="標楷體" w:hint="eastAsia"/>
          <w:kern w:val="0"/>
        </w:rPr>
        <w:t>達</w:t>
      </w:r>
      <w:r w:rsidR="00A306E3" w:rsidRPr="003A2160">
        <w:rPr>
          <w:rFonts w:hAnsi="標楷體" w:hint="eastAsia"/>
        </w:rPr>
        <w:t>601億</w:t>
      </w:r>
      <w:r w:rsidR="00A306E3" w:rsidRPr="003A2160">
        <w:rPr>
          <w:rFonts w:hAnsi="標楷體" w:hint="eastAsia"/>
        </w:rPr>
        <w:lastRenderedPageBreak/>
        <w:t>3,600萬3千元</w:t>
      </w:r>
      <w:r w:rsidRPr="003A2160">
        <w:rPr>
          <w:rFonts w:hAnsi="標楷體" w:hint="eastAsia"/>
          <w:kern w:val="0"/>
        </w:rPr>
        <w:t>，允</w:t>
      </w:r>
      <w:r w:rsidR="002504FF">
        <w:rPr>
          <w:rFonts w:hAnsi="標楷體" w:hint="eastAsia"/>
          <w:kern w:val="0"/>
        </w:rPr>
        <w:t>宜</w:t>
      </w:r>
      <w:r w:rsidRPr="003A2160">
        <w:rPr>
          <w:rFonts w:hAnsi="標楷體" w:hint="eastAsia"/>
          <w:kern w:val="0"/>
        </w:rPr>
        <w:t>積極研謀</w:t>
      </w:r>
      <w:r w:rsidR="00331D66" w:rsidRPr="003A2160">
        <w:rPr>
          <w:rFonts w:hAnsi="標楷體" w:hint="eastAsia"/>
          <w:kern w:val="0"/>
        </w:rPr>
        <w:t>財務結構</w:t>
      </w:r>
      <w:r w:rsidRPr="003A2160">
        <w:rPr>
          <w:rFonts w:hAnsi="標楷體" w:hint="eastAsia"/>
          <w:kern w:val="0"/>
        </w:rPr>
        <w:t>改善</w:t>
      </w:r>
      <w:r w:rsidR="00331D66" w:rsidRPr="003A2160">
        <w:rPr>
          <w:rFonts w:hAnsi="標楷體" w:hint="eastAsia"/>
          <w:kern w:val="0"/>
        </w:rPr>
        <w:t>措施</w:t>
      </w:r>
      <w:r w:rsidRPr="003A2160">
        <w:rPr>
          <w:rFonts w:hAnsi="標楷體" w:hint="eastAsia"/>
          <w:kern w:val="0"/>
        </w:rPr>
        <w:t>，以</w:t>
      </w:r>
      <w:r w:rsidR="00331D66" w:rsidRPr="003A2160">
        <w:rPr>
          <w:rFonts w:hAnsi="標楷體" w:hint="eastAsia"/>
          <w:kern w:val="0"/>
        </w:rPr>
        <w:t>維該公司財務及業務之穩健發展</w:t>
      </w:r>
      <w:r w:rsidRPr="003A2160">
        <w:rPr>
          <w:rFonts w:hAnsi="標楷體" w:hint="eastAsia"/>
          <w:kern w:val="0"/>
        </w:rPr>
        <w:t>。</w:t>
      </w:r>
    </w:p>
    <w:bookmarkEnd w:id="6"/>
    <w:bookmarkEnd w:id="7"/>
    <w:bookmarkEnd w:id="8"/>
    <w:bookmarkEnd w:id="9"/>
    <w:bookmarkEnd w:id="2"/>
    <w:bookmarkEnd w:id="3"/>
    <w:bookmarkEnd w:id="4"/>
    <w:bookmarkEnd w:id="10"/>
    <w:bookmarkEnd w:id="11"/>
    <w:bookmarkEnd w:id="12"/>
    <w:bookmarkEnd w:id="13"/>
    <w:bookmarkEnd w:id="14"/>
    <w:bookmarkEnd w:id="15"/>
    <w:bookmarkEnd w:id="16"/>
    <w:bookmarkEnd w:id="17"/>
    <w:bookmarkEnd w:id="18"/>
    <w:sectPr w:rsidR="00183E11" w:rsidRPr="003A2160" w:rsidSect="006D6123">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55424C" w:rsidRPr="0055424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 w:id="1">
    <w:p w:rsidR="00C41D7B" w:rsidRPr="007F18DC" w:rsidRDefault="00C41D7B" w:rsidP="00F50093">
      <w:pPr>
        <w:pStyle w:val="142"/>
        <w:ind w:left="68" w:hangingChars="28" w:hanging="68"/>
        <w:jc w:val="both"/>
      </w:pPr>
      <w:r>
        <w:rPr>
          <w:rStyle w:val="af5"/>
        </w:rPr>
        <w:footnoteRef/>
      </w:r>
      <w:r w:rsidRPr="00301504">
        <w:rPr>
          <w:rFonts w:hint="eastAsia"/>
        </w:rPr>
        <w:t>參閱審計部</w:t>
      </w:r>
      <w:r>
        <w:rPr>
          <w:rFonts w:hint="eastAsia"/>
        </w:rPr>
        <w:t>109至112</w:t>
      </w:r>
      <w:r w:rsidRPr="00301504">
        <w:rPr>
          <w:rFonts w:hint="eastAsia"/>
        </w:rPr>
        <w:t>年度中央政府總決算附屬單位決算及綜計表審核報告-營業部分</w:t>
      </w:r>
      <w:r>
        <w:rPr>
          <w:rFonts w:hint="eastAsia"/>
        </w:rPr>
        <w:t>之</w:t>
      </w:r>
      <w:r w:rsidRPr="00301504">
        <w:rPr>
          <w:rFonts w:hint="eastAsia"/>
        </w:rPr>
        <w:t>台灣中油股份有限公司</w:t>
      </w:r>
      <w:r>
        <w:rPr>
          <w:rFonts w:hint="eastAsia"/>
        </w:rPr>
        <w:t>「</w:t>
      </w:r>
      <w:r w:rsidRPr="00301504">
        <w:rPr>
          <w:rFonts w:hint="eastAsia"/>
        </w:rPr>
        <w:t>預算執行情形之審核</w:t>
      </w:r>
      <w:r>
        <w:rPr>
          <w:rFonts w:hint="eastAsia"/>
        </w:rPr>
        <w:t>」說明</w:t>
      </w:r>
      <w:r w:rsidRPr="0030150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24C"/>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F9467C1-164A-43B1-897F-D5F3DF48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48D85-F057-465E-8D37-796F8B340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297</Words>
  <Characters>1696</Characters>
  <Application>Microsoft Office Word</Application>
  <DocSecurity>0</DocSecurity>
  <Lines>14</Lines>
  <Paragraphs>3</Paragraphs>
  <ScaleCrop>false</ScaleCrop>
  <Company/>
  <LinksUpToDate>false</LinksUpToDate>
  <CharactersWithSpaces>1990</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2024-11-14T03:18:00Z</dcterms:created>
  <dcterms:modified xsi:type="dcterms:W3CDTF">2024-11-14T03:18:00Z</dcterms:modified>
</cp:coreProperties>
</file>