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A2160" w:rsidRDefault="00535ADA" w:rsidP="002C305B">
      <w:pPr>
        <w:pStyle w:val="ab"/>
        <w:rPr>
          <w:rFonts w:hAnsi="標楷體"/>
        </w:rPr>
      </w:pPr>
      <w:bookmarkStart w:id="0" w:name="_GoBack"/>
      <w:bookmarkEnd w:id="0"/>
      <w:r w:rsidRPr="003A2160">
        <w:rPr>
          <w:rFonts w:hAnsi="標楷體" w:hint="eastAsia"/>
        </w:rPr>
        <w:t>台灣中油股份有限公司1</w:t>
      </w:r>
      <w:r w:rsidR="004378C4" w:rsidRPr="003A2160">
        <w:rPr>
          <w:rFonts w:hAnsi="標楷體" w:hint="eastAsia"/>
        </w:rPr>
        <w:t>1</w:t>
      </w:r>
      <w:r w:rsidR="0002559E" w:rsidRPr="003A2160">
        <w:rPr>
          <w:rFonts w:hAnsi="標楷體"/>
        </w:rPr>
        <w:t>4</w:t>
      </w:r>
      <w:r w:rsidRPr="003A2160">
        <w:rPr>
          <w:rFonts w:hAnsi="標楷體" w:hint="eastAsia"/>
        </w:rPr>
        <w:t>年度營業預算評估報告</w:t>
      </w:r>
    </w:p>
    <w:p w:rsidR="004378C4" w:rsidRPr="00227DBB" w:rsidRDefault="00535ADA" w:rsidP="002C305B">
      <w:pPr>
        <w:pStyle w:val="a9"/>
        <w:ind w:firstLine="567"/>
        <w:rPr>
          <w:rFonts w:hAnsi="標楷體"/>
        </w:rPr>
      </w:pPr>
      <w:r w:rsidRPr="00227DBB">
        <w:rPr>
          <w:rFonts w:hAnsi="標楷體" w:hint="eastAsia"/>
        </w:rPr>
        <w:t>台灣中油股份有限公司(下稱台灣中油公司)主要業務範圍包括：石油、天然氣、地熱(蒸氣)及其有關能源礦類之探勘、開採及經營，油氣產品煉製、進出口、儲、運、銷及其有關服務業務</w:t>
      </w:r>
      <w:r w:rsidR="009A1F00" w:rsidRPr="00227DBB">
        <w:rPr>
          <w:rFonts w:hAnsi="標楷體" w:hint="eastAsia"/>
        </w:rPr>
        <w:t>，以及石油化學</w:t>
      </w:r>
      <w:r w:rsidRPr="00227DBB">
        <w:rPr>
          <w:rFonts w:hAnsi="標楷體" w:hint="eastAsia"/>
        </w:rPr>
        <w:t>原料之生產及供應等。</w:t>
      </w:r>
      <w:r w:rsidR="008F78A3" w:rsidRPr="00227DBB">
        <w:rPr>
          <w:rFonts w:hAnsi="標楷體" w:hint="eastAsia"/>
        </w:rPr>
        <w:t>11</w:t>
      </w:r>
      <w:r w:rsidR="009A1F00" w:rsidRPr="00227DBB">
        <w:rPr>
          <w:rFonts w:hAnsi="標楷體"/>
        </w:rPr>
        <w:t>4</w:t>
      </w:r>
      <w:r w:rsidR="008F78A3" w:rsidRPr="00227DBB">
        <w:rPr>
          <w:rFonts w:hAnsi="標楷體" w:hint="eastAsia"/>
        </w:rPr>
        <w:t>年度預算案編列營業收入</w:t>
      </w:r>
      <w:r w:rsidR="00791767" w:rsidRPr="00227DBB">
        <w:rPr>
          <w:rFonts w:hAnsi="標楷體" w:hint="eastAsia"/>
        </w:rPr>
        <w:t>1兆2</w:t>
      </w:r>
      <w:r w:rsidR="009A1F00" w:rsidRPr="00227DBB">
        <w:rPr>
          <w:rFonts w:hAnsi="標楷體"/>
        </w:rPr>
        <w:t>,086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7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674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2</w:t>
      </w:r>
      <w:r w:rsidR="008F78A3" w:rsidRPr="00227DBB">
        <w:rPr>
          <w:rFonts w:hAnsi="標楷體" w:hint="eastAsia"/>
        </w:rPr>
        <w:t>千元，營業成本</w:t>
      </w:r>
      <w:r w:rsidR="00791767" w:rsidRPr="00227DBB">
        <w:rPr>
          <w:rFonts w:hAnsi="標楷體" w:hint="eastAsia"/>
        </w:rPr>
        <w:t>1兆1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569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9471F9" w:rsidRPr="00227DBB">
        <w:rPr>
          <w:rFonts w:hAnsi="標楷體"/>
        </w:rPr>
        <w:t>,</w:t>
      </w:r>
      <w:r w:rsidR="009A1F00" w:rsidRPr="00227DBB">
        <w:rPr>
          <w:rFonts w:hAnsi="標楷體"/>
        </w:rPr>
        <w:t>162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5</w:t>
      </w:r>
      <w:r w:rsidR="008F78A3" w:rsidRPr="00227DBB">
        <w:rPr>
          <w:rFonts w:hAnsi="標楷體" w:hint="eastAsia"/>
        </w:rPr>
        <w:t>千元，營業費用2</w:t>
      </w:r>
      <w:r w:rsidR="009A1F00" w:rsidRPr="00227DBB">
        <w:rPr>
          <w:rFonts w:hAnsi="標楷體"/>
        </w:rPr>
        <w:t>77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8F78A3" w:rsidRPr="00227DBB">
        <w:rPr>
          <w:rFonts w:hAnsi="標楷體" w:hint="eastAsia"/>
        </w:rPr>
        <w:t>,</w:t>
      </w:r>
      <w:r w:rsidR="009471F9" w:rsidRPr="00227DBB">
        <w:rPr>
          <w:rFonts w:hAnsi="標楷體"/>
        </w:rPr>
        <w:t>4</w:t>
      </w:r>
      <w:r w:rsidR="009A1F00" w:rsidRPr="00227DBB">
        <w:rPr>
          <w:rFonts w:hAnsi="標楷體"/>
        </w:rPr>
        <w:t>95</w:t>
      </w:r>
      <w:r w:rsidR="008F78A3" w:rsidRPr="00227DBB">
        <w:rPr>
          <w:rFonts w:hAnsi="標楷體" w:hint="eastAsia"/>
        </w:rPr>
        <w:t>萬元，營業外收入</w:t>
      </w:r>
      <w:r w:rsidR="009A1F00" w:rsidRPr="00227DBB">
        <w:rPr>
          <w:rFonts w:hAnsi="標楷體"/>
        </w:rPr>
        <w:t>34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 w:hint="eastAsia"/>
        </w:rPr>
        <w:t>3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811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/>
        </w:rPr>
        <w:t>2</w:t>
      </w:r>
      <w:r w:rsidR="008F78A3" w:rsidRPr="00227DBB">
        <w:rPr>
          <w:rFonts w:hAnsi="標楷體" w:hint="eastAsia"/>
        </w:rPr>
        <w:t>千元，營業外費用</w:t>
      </w:r>
      <w:r w:rsidR="009A1F00" w:rsidRPr="00227DBB">
        <w:rPr>
          <w:rFonts w:hAnsi="標楷體"/>
        </w:rPr>
        <w:t>195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6</w:t>
      </w:r>
      <w:r w:rsidR="00791767" w:rsidRPr="00227DBB">
        <w:rPr>
          <w:rFonts w:hAnsi="標楷體"/>
        </w:rPr>
        <w:t>,</w:t>
      </w:r>
      <w:r w:rsidR="009A1F00" w:rsidRPr="00227DBB">
        <w:rPr>
          <w:rFonts w:hAnsi="標楷體"/>
        </w:rPr>
        <w:t>634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千元，</w:t>
      </w:r>
      <w:r w:rsidR="006653CE" w:rsidRPr="00227DBB">
        <w:rPr>
          <w:rFonts w:hAnsi="標楷體" w:hint="eastAsia"/>
        </w:rPr>
        <w:t>稅前</w:t>
      </w:r>
      <w:r w:rsidR="008F78A3" w:rsidRPr="00227DBB">
        <w:rPr>
          <w:rFonts w:hAnsi="標楷體" w:hint="eastAsia"/>
        </w:rPr>
        <w:t>淨</w:t>
      </w:r>
      <w:r w:rsidR="009471F9" w:rsidRPr="00227DBB">
        <w:rPr>
          <w:rFonts w:hAnsi="標楷體" w:hint="eastAsia"/>
        </w:rPr>
        <w:t>利</w:t>
      </w:r>
      <w:r w:rsidR="00A81487" w:rsidRPr="00227DBB">
        <w:rPr>
          <w:rFonts w:hAnsi="標楷體"/>
        </w:rPr>
        <w:t>78</w:t>
      </w:r>
      <w:r w:rsidR="009471F9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9471F9" w:rsidRPr="00227DBB">
        <w:rPr>
          <w:rFonts w:hAnsi="標楷體"/>
        </w:rPr>
        <w:t>,</w:t>
      </w:r>
      <w:r w:rsidR="009471F9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93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5千</w:t>
      </w:r>
      <w:r w:rsidR="008F78A3" w:rsidRPr="00227DBB">
        <w:rPr>
          <w:rFonts w:hAnsi="標楷體" w:hint="eastAsia"/>
        </w:rPr>
        <w:t>元，</w:t>
      </w:r>
      <w:r w:rsidR="00507884" w:rsidRPr="00227DBB">
        <w:rPr>
          <w:rFonts w:hAnsi="標楷體" w:hint="eastAsia"/>
        </w:rPr>
        <w:t>減除所得稅費用</w:t>
      </w:r>
      <w:r w:rsidR="00A81487" w:rsidRPr="00227DBB">
        <w:rPr>
          <w:rFonts w:hAnsi="標楷體"/>
        </w:rPr>
        <w:t>14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9</w:t>
      </w:r>
      <w:r w:rsidR="00507884" w:rsidRPr="00227DBB">
        <w:rPr>
          <w:rFonts w:hAnsi="標楷體"/>
        </w:rPr>
        <w:t>,</w:t>
      </w:r>
      <w:r w:rsidR="00A81487" w:rsidRPr="00227DBB">
        <w:rPr>
          <w:rFonts w:hAnsi="標楷體"/>
        </w:rPr>
        <w:t>224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3千</w:t>
      </w:r>
      <w:r w:rsidR="00507884" w:rsidRPr="00227DBB">
        <w:rPr>
          <w:rFonts w:hAnsi="標楷體" w:hint="eastAsia"/>
        </w:rPr>
        <w:t>元後，預計本期淨利</w:t>
      </w:r>
      <w:r w:rsidR="00A81487" w:rsidRPr="00227DBB">
        <w:rPr>
          <w:rFonts w:hAnsi="標楷體" w:hint="eastAsia"/>
        </w:rPr>
        <w:t>63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4</w:t>
      </w:r>
      <w:r w:rsidR="00507884" w:rsidRPr="00227DBB">
        <w:rPr>
          <w:rFonts w:hAnsi="標楷體"/>
        </w:rPr>
        <w:t>,</w:t>
      </w:r>
      <w:r w:rsidR="00507884" w:rsidRPr="00227DBB">
        <w:rPr>
          <w:rFonts w:hAnsi="標楷體" w:hint="eastAsia"/>
        </w:rPr>
        <w:t>9</w:t>
      </w:r>
      <w:r w:rsidR="00A81487" w:rsidRPr="00227DBB">
        <w:rPr>
          <w:rFonts w:hAnsi="標楷體"/>
        </w:rPr>
        <w:t>69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2千</w:t>
      </w:r>
      <w:r w:rsidR="00507884" w:rsidRPr="00227DBB">
        <w:rPr>
          <w:rFonts w:hAnsi="標楷體" w:hint="eastAsia"/>
        </w:rPr>
        <w:t>元，</w:t>
      </w:r>
      <w:r w:rsidR="008F78A3" w:rsidRPr="00227DBB">
        <w:rPr>
          <w:rFonts w:hAnsi="標楷體" w:hint="eastAsia"/>
        </w:rPr>
        <w:t>較11</w:t>
      </w:r>
      <w:r w:rsidR="00A81487" w:rsidRPr="00227DBB">
        <w:rPr>
          <w:rFonts w:hAnsi="標楷體"/>
        </w:rPr>
        <w:t>3</w:t>
      </w:r>
      <w:r w:rsidR="008F78A3" w:rsidRPr="00227DBB">
        <w:rPr>
          <w:rFonts w:hAnsi="標楷體" w:hint="eastAsia"/>
        </w:rPr>
        <w:t>年度預算</w:t>
      </w:r>
      <w:bookmarkStart w:id="1" w:name="_Hlk149838327"/>
      <w:r w:rsidR="009D55DC" w:rsidRPr="00227DBB">
        <w:rPr>
          <w:rFonts w:hAnsi="標楷體" w:hint="eastAsia"/>
        </w:rPr>
        <w:t>案</w:t>
      </w:r>
      <w:r w:rsidR="00507884" w:rsidRPr="00227DBB">
        <w:rPr>
          <w:rFonts w:hAnsi="標楷體" w:hint="eastAsia"/>
        </w:rPr>
        <w:t>本期</w:t>
      </w:r>
      <w:r w:rsidR="00791767" w:rsidRPr="00227DBB">
        <w:rPr>
          <w:rFonts w:hAnsi="標楷體" w:hint="eastAsia"/>
        </w:rPr>
        <w:t>淨利</w:t>
      </w:r>
      <w:r w:rsidR="00A81487" w:rsidRPr="00227DBB">
        <w:rPr>
          <w:rFonts w:hAnsi="標楷體"/>
        </w:rPr>
        <w:t>26</w:t>
      </w:r>
      <w:r w:rsidR="00791767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9</w:t>
      </w:r>
      <w:r w:rsidR="009471F9" w:rsidRPr="00227DBB">
        <w:rPr>
          <w:rFonts w:hAnsi="標楷體"/>
        </w:rPr>
        <w:t>,</w:t>
      </w:r>
      <w:r w:rsidR="00A81487" w:rsidRPr="00227DBB">
        <w:rPr>
          <w:rFonts w:hAnsi="標楷體"/>
        </w:rPr>
        <w:t>988</w:t>
      </w:r>
      <w:r w:rsidR="00791767" w:rsidRPr="00227DBB">
        <w:rPr>
          <w:rFonts w:hAnsi="標楷體" w:hint="eastAsia"/>
        </w:rPr>
        <w:t>萬元</w:t>
      </w:r>
      <w:bookmarkEnd w:id="1"/>
      <w:r w:rsidR="00A81487" w:rsidRPr="00227DBB">
        <w:rPr>
          <w:rFonts w:hAnsi="標楷體" w:hint="eastAsia"/>
        </w:rPr>
        <w:t>，</w:t>
      </w:r>
      <w:r w:rsidR="009471F9" w:rsidRPr="00227DBB">
        <w:rPr>
          <w:rFonts w:hAnsi="標楷體" w:hint="eastAsia"/>
        </w:rPr>
        <w:t>增加</w:t>
      </w:r>
      <w:r w:rsidR="00A81487" w:rsidRPr="00227DBB">
        <w:rPr>
          <w:rFonts w:hAnsi="標楷體"/>
        </w:rPr>
        <w:t>36</w:t>
      </w:r>
      <w:r w:rsidR="008F78A3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,</w:t>
      </w:r>
      <w:r w:rsidR="00A81487" w:rsidRPr="00227DBB">
        <w:rPr>
          <w:rFonts w:hAnsi="標楷體"/>
        </w:rPr>
        <w:t>981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</w:t>
      </w:r>
      <w:r w:rsidR="009471F9" w:rsidRPr="00227DBB">
        <w:rPr>
          <w:rFonts w:hAnsi="標楷體" w:hint="eastAsia"/>
        </w:rPr>
        <w:t>千</w:t>
      </w:r>
      <w:r w:rsidR="008F78A3" w:rsidRPr="00227DBB">
        <w:rPr>
          <w:rFonts w:hAnsi="標楷體" w:hint="eastAsia"/>
        </w:rPr>
        <w:t>元。</w:t>
      </w:r>
      <w:r w:rsidR="004378C4" w:rsidRPr="00227DBB">
        <w:rPr>
          <w:rFonts w:hAnsi="標楷體" w:hint="eastAsia"/>
        </w:rPr>
        <w:t>謹就台灣中油公司1</w:t>
      </w:r>
      <w:r w:rsidR="00732BE5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4</w:t>
      </w:r>
      <w:r w:rsidR="004378C4" w:rsidRPr="00227DBB">
        <w:rPr>
          <w:rFonts w:hAnsi="標楷體" w:hint="eastAsia"/>
        </w:rPr>
        <w:t>年度預算案評析如下：</w:t>
      </w:r>
    </w:p>
    <w:p w:rsidR="002C4D7F" w:rsidRPr="003A2160" w:rsidRDefault="002C4D7F" w:rsidP="002C4D7F">
      <w:pPr>
        <w:pStyle w:val="14"/>
        <w:ind w:left="567" w:hanging="567"/>
        <w:rPr>
          <w:rFonts w:hAnsi="標楷體"/>
        </w:rPr>
      </w:pPr>
      <w:bookmarkStart w:id="2" w:name="_Toc3170791"/>
      <w:bookmarkStart w:id="3" w:name="_Toc60137822"/>
      <w:bookmarkStart w:id="4" w:name="_Toc60137826"/>
      <w:bookmarkStart w:id="5" w:name="_Toc60137839"/>
      <w:bookmarkStart w:id="6" w:name="_Toc129667284"/>
      <w:bookmarkStart w:id="7" w:name="_Toc307216996"/>
      <w:bookmarkStart w:id="8" w:name="_Toc307218046"/>
      <w:bookmarkStart w:id="9" w:name="_Toc307218184"/>
      <w:bookmarkStart w:id="10" w:name="_Toc467171365"/>
      <w:bookmarkStart w:id="11" w:name="_Toc467228671"/>
      <w:bookmarkStart w:id="12" w:name="_Toc342568713"/>
      <w:bookmarkStart w:id="13" w:name="_Toc433707933"/>
      <w:bookmarkStart w:id="14" w:name="_Toc181980634"/>
      <w:bookmarkStart w:id="15" w:name="_Toc433707934"/>
      <w:bookmarkStart w:id="16" w:name="_Toc467171364"/>
      <w:bookmarkStart w:id="17" w:name="_Toc531338062"/>
      <w:r w:rsidRPr="003A2160">
        <w:rPr>
          <w:rFonts w:hAnsi="標楷體" w:hint="eastAsia"/>
        </w:rPr>
        <w:t>七、114年度</w:t>
      </w:r>
      <w:r w:rsidR="00EC5DE7" w:rsidRPr="003A2160">
        <w:rPr>
          <w:rFonts w:hAnsi="標楷體" w:hint="eastAsia"/>
        </w:rPr>
        <w:t>多</w:t>
      </w:r>
      <w:r w:rsidR="00C03AB8" w:rsidRPr="003A2160">
        <w:rPr>
          <w:rFonts w:hAnsi="標楷體" w:hint="eastAsia"/>
        </w:rPr>
        <w:t>項</w:t>
      </w:r>
      <w:r w:rsidR="00EC5DE7" w:rsidRPr="003A2160">
        <w:rPr>
          <w:rFonts w:hAnsi="標楷體" w:hint="eastAsia"/>
        </w:rPr>
        <w:t>產品預計銷</w:t>
      </w:r>
      <w:r w:rsidR="007A11CC" w:rsidRPr="003A2160">
        <w:rPr>
          <w:rFonts w:hAnsi="標楷體" w:hint="eastAsia"/>
        </w:rPr>
        <w:t>量較113年度</w:t>
      </w:r>
      <w:r w:rsidR="00A62A5F" w:rsidRPr="003A2160">
        <w:rPr>
          <w:rFonts w:hAnsi="標楷體" w:hint="eastAsia"/>
        </w:rPr>
        <w:t>下降</w:t>
      </w:r>
      <w:r w:rsidRPr="003A2160">
        <w:rPr>
          <w:rFonts w:hAnsi="標楷體" w:hint="eastAsia"/>
        </w:rPr>
        <w:t>，</w:t>
      </w:r>
      <w:r w:rsidR="00A62A5F" w:rsidRPr="003A2160">
        <w:rPr>
          <w:rFonts w:hAnsi="標楷體" w:hint="eastAsia"/>
        </w:rPr>
        <w:t>且</w:t>
      </w:r>
      <w:r w:rsidR="000177D9" w:rsidRPr="003A2160">
        <w:rPr>
          <w:rFonts w:hAnsi="標楷體" w:hint="eastAsia"/>
        </w:rPr>
        <w:t>近年</w:t>
      </w:r>
      <w:r w:rsidR="00A62A5F" w:rsidRPr="003A2160">
        <w:rPr>
          <w:rFonts w:hAnsi="標楷體" w:hint="eastAsia"/>
        </w:rPr>
        <w:t>部分產品單位售價低於單位成本</w:t>
      </w:r>
      <w:r w:rsidR="00EC5DE7" w:rsidRPr="003A2160">
        <w:rPr>
          <w:rFonts w:hAnsi="標楷體" w:hint="eastAsia"/>
        </w:rPr>
        <w:t>致銷售虧損</w:t>
      </w:r>
      <w:r w:rsidR="00A62A5F" w:rsidRPr="003A2160">
        <w:rPr>
          <w:rFonts w:hAnsi="標楷體" w:hint="eastAsia"/>
        </w:rPr>
        <w:t>，允宜</w:t>
      </w:r>
      <w:r w:rsidR="000177D9" w:rsidRPr="003A2160">
        <w:rPr>
          <w:rFonts w:hAnsi="標楷體" w:hint="eastAsia"/>
        </w:rPr>
        <w:t>盤整檢討所面臨經營挑戰並</w:t>
      </w:r>
      <w:r w:rsidR="00A62A5F" w:rsidRPr="003A2160">
        <w:rPr>
          <w:rFonts w:hAnsi="標楷體" w:hint="eastAsia"/>
        </w:rPr>
        <w:t>強化成本控管及售價費率之調整機制，以維營運健全</w:t>
      </w:r>
      <w:bookmarkEnd w:id="14"/>
    </w:p>
    <w:p w:rsidR="002C4D7F" w:rsidRPr="003A2160" w:rsidRDefault="002C4D7F" w:rsidP="00D017CF">
      <w:pPr>
        <w:ind w:left="567" w:firstLine="567"/>
        <w:rPr>
          <w:rFonts w:hAnsi="標楷體"/>
        </w:rPr>
      </w:pPr>
      <w:r w:rsidRPr="003A2160">
        <w:rPr>
          <w:rFonts w:hAnsi="標楷體" w:hint="eastAsia"/>
        </w:rPr>
        <w:t>台灣中油公司11</w:t>
      </w:r>
      <w:r w:rsidRPr="003A2160">
        <w:rPr>
          <w:rFonts w:hAnsi="標楷體"/>
        </w:rPr>
        <w:t>4</w:t>
      </w:r>
      <w:r w:rsidRPr="003A2160">
        <w:rPr>
          <w:rFonts w:hAnsi="標楷體" w:hint="eastAsia"/>
        </w:rPr>
        <w:t>年度預算案「營業收入」編列1兆2,086億7,674萬2千元，較11</w:t>
      </w:r>
      <w:r w:rsidRPr="003A2160">
        <w:rPr>
          <w:rFonts w:hAnsi="標楷體"/>
        </w:rPr>
        <w:t>3</w:t>
      </w:r>
      <w:r w:rsidRPr="003A2160">
        <w:rPr>
          <w:rFonts w:hAnsi="標楷體" w:hint="eastAsia"/>
        </w:rPr>
        <w:t>年度預算案</w:t>
      </w:r>
      <w:r w:rsidR="004D1897" w:rsidRPr="003A2160">
        <w:rPr>
          <w:rFonts w:hAnsi="標楷體" w:hint="eastAsia"/>
        </w:rPr>
        <w:t>1兆2,219億4,058萬3千元</w:t>
      </w:r>
      <w:r w:rsidRPr="003A2160">
        <w:rPr>
          <w:rFonts w:hAnsi="標楷體" w:hint="eastAsia"/>
        </w:rPr>
        <w:t>，</w:t>
      </w:r>
      <w:r w:rsidR="004D1897" w:rsidRPr="003A2160">
        <w:rPr>
          <w:rFonts w:hAnsi="標楷體" w:hint="eastAsia"/>
        </w:rPr>
        <w:t>減少</w:t>
      </w:r>
      <w:r w:rsidR="004D1897" w:rsidRPr="003A2160">
        <w:rPr>
          <w:rFonts w:hAnsi="標楷體"/>
        </w:rPr>
        <w:t>132</w:t>
      </w:r>
      <w:r w:rsidRPr="003A2160">
        <w:rPr>
          <w:rFonts w:hAnsi="標楷體" w:hint="eastAsia"/>
        </w:rPr>
        <w:t>億6</w:t>
      </w:r>
      <w:r w:rsidRPr="003A2160">
        <w:rPr>
          <w:rFonts w:hAnsi="標楷體"/>
        </w:rPr>
        <w:t>,</w:t>
      </w:r>
      <w:r w:rsidR="004D1897" w:rsidRPr="003A2160">
        <w:rPr>
          <w:rFonts w:hAnsi="標楷體"/>
        </w:rPr>
        <w:t>384</w:t>
      </w:r>
      <w:r w:rsidRPr="003A2160">
        <w:rPr>
          <w:rFonts w:hAnsi="標楷體" w:hint="eastAsia"/>
        </w:rPr>
        <w:t>萬</w:t>
      </w:r>
      <w:r w:rsidR="004D1897" w:rsidRPr="003A2160">
        <w:rPr>
          <w:rFonts w:hAnsi="標楷體"/>
        </w:rPr>
        <w:t>1</w:t>
      </w:r>
      <w:r w:rsidRPr="003A2160">
        <w:rPr>
          <w:rFonts w:hAnsi="標楷體" w:hint="eastAsia"/>
        </w:rPr>
        <w:t>千元(</w:t>
      </w:r>
      <w:r w:rsidR="004D1897" w:rsidRPr="003A2160">
        <w:rPr>
          <w:rFonts w:hAnsi="標楷體" w:hint="eastAsia"/>
        </w:rPr>
        <w:t>減</w:t>
      </w:r>
      <w:r w:rsidRPr="003A2160">
        <w:rPr>
          <w:rFonts w:hAnsi="標楷體" w:hint="eastAsia"/>
        </w:rPr>
        <w:t>幅</w:t>
      </w:r>
      <w:r w:rsidR="004D1897" w:rsidRPr="003A2160">
        <w:rPr>
          <w:rFonts w:hAnsi="標楷體" w:hint="eastAsia"/>
        </w:rPr>
        <w:t>1.09</w:t>
      </w:r>
      <w:r w:rsidRPr="003A2160">
        <w:rPr>
          <w:rFonts w:hAnsi="標楷體" w:hint="eastAsia"/>
        </w:rPr>
        <w:t>%)。經查：</w:t>
      </w:r>
    </w:p>
    <w:p w:rsidR="002C4D7F" w:rsidRPr="003A2160" w:rsidRDefault="002C4D7F" w:rsidP="002C4D7F">
      <w:pPr>
        <w:pStyle w:val="a5"/>
        <w:ind w:left="851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(一)</w:t>
      </w:r>
      <w:r w:rsidR="00675A9C" w:rsidRPr="003A2160">
        <w:rPr>
          <w:rFonts w:hAnsi="標楷體" w:hint="eastAsia"/>
          <w:b/>
        </w:rPr>
        <w:t>1</w:t>
      </w:r>
      <w:r w:rsidR="00675A9C" w:rsidRPr="003A2160">
        <w:rPr>
          <w:rFonts w:hAnsi="標楷體"/>
          <w:b/>
        </w:rPr>
        <w:t>14</w:t>
      </w:r>
      <w:r w:rsidR="00675A9C" w:rsidRPr="003A2160">
        <w:rPr>
          <w:rFonts w:hAnsi="標楷體" w:hint="eastAsia"/>
          <w:b/>
        </w:rPr>
        <w:t>年度預算案</w:t>
      </w:r>
      <w:r w:rsidR="00071F5C" w:rsidRPr="003A2160">
        <w:rPr>
          <w:rFonts w:hAnsi="標楷體" w:hint="eastAsia"/>
          <w:b/>
        </w:rPr>
        <w:t>之</w:t>
      </w:r>
      <w:r w:rsidR="00675A9C" w:rsidRPr="003A2160">
        <w:rPr>
          <w:rFonts w:hAnsi="標楷體" w:hint="eastAsia"/>
          <w:b/>
        </w:rPr>
        <w:t>產品銷售量除成品天然氣較113年度</w:t>
      </w:r>
      <w:r w:rsidR="00071F5C" w:rsidRPr="003A2160">
        <w:rPr>
          <w:rFonts w:hAnsi="標楷體" w:hint="eastAsia"/>
          <w:b/>
        </w:rPr>
        <w:t>成</w:t>
      </w:r>
      <w:r w:rsidR="00675A9C" w:rsidRPr="003A2160">
        <w:rPr>
          <w:rFonts w:hAnsi="標楷體" w:hint="eastAsia"/>
          <w:b/>
        </w:rPr>
        <w:t>長外，其餘產品均概呈下降</w:t>
      </w:r>
    </w:p>
    <w:p w:rsidR="004500C2" w:rsidRPr="003A2160" w:rsidRDefault="004A1912" w:rsidP="002C4D7F">
      <w:pPr>
        <w:pStyle w:val="22"/>
        <w:ind w:left="850" w:firstLine="567"/>
        <w:rPr>
          <w:rFonts w:hAnsi="標楷體"/>
        </w:rPr>
      </w:pPr>
      <w:r w:rsidRPr="003A2160">
        <w:rPr>
          <w:rFonts w:hAnsi="標楷體" w:hint="eastAsia"/>
        </w:rPr>
        <w:t>據</w:t>
      </w:r>
      <w:r w:rsidR="002C4D7F" w:rsidRPr="003A2160">
        <w:rPr>
          <w:rFonts w:hAnsi="標楷體" w:hint="eastAsia"/>
        </w:rPr>
        <w:t>台灣中油公司11</w:t>
      </w:r>
      <w:r w:rsidR="002C4D7F" w:rsidRPr="003A2160">
        <w:rPr>
          <w:rFonts w:hAnsi="標楷體"/>
        </w:rPr>
        <w:t>4</w:t>
      </w:r>
      <w:r w:rsidR="002C4D7F" w:rsidRPr="003A2160">
        <w:rPr>
          <w:rFonts w:hAnsi="標楷體" w:hint="eastAsia"/>
        </w:rPr>
        <w:t>年</w:t>
      </w:r>
      <w:r w:rsidR="007A11CC" w:rsidRPr="003A2160">
        <w:rPr>
          <w:rFonts w:hAnsi="標楷體" w:hint="eastAsia"/>
        </w:rPr>
        <w:t>預算案</w:t>
      </w:r>
      <w:r w:rsidR="001D79CB" w:rsidRPr="003A2160">
        <w:rPr>
          <w:rFonts w:hAnsi="標楷體" w:hint="eastAsia"/>
        </w:rPr>
        <w:t>之產品銷售量預估值及增減分析，</w:t>
      </w:r>
      <w:r w:rsidR="004500C2" w:rsidRPr="003A2160">
        <w:rPr>
          <w:rFonts w:hAnsi="標楷體" w:hint="eastAsia"/>
        </w:rPr>
        <w:t>除成品天然氣因天然氣發電需求增加致預計銷量達296</w:t>
      </w:r>
      <w:r w:rsidR="002504FF">
        <w:rPr>
          <w:rFonts w:hAnsi="標楷體"/>
        </w:rPr>
        <w:t>.</w:t>
      </w:r>
      <w:r w:rsidR="004500C2" w:rsidRPr="003A2160">
        <w:rPr>
          <w:rFonts w:hAnsi="標楷體" w:hint="eastAsia"/>
        </w:rPr>
        <w:t>66</w:t>
      </w:r>
      <w:r w:rsidR="002504FF">
        <w:rPr>
          <w:rFonts w:hAnsi="標楷體" w:hint="eastAsia"/>
        </w:rPr>
        <w:t>億</w:t>
      </w:r>
      <w:r w:rsidR="004500C2" w:rsidRPr="003A2160">
        <w:rPr>
          <w:rFonts w:hAnsi="標楷體" w:hint="eastAsia"/>
        </w:rPr>
        <w:t>立方公尺，較113年度</w:t>
      </w:r>
      <w:r w:rsidR="0004204F" w:rsidRPr="003A2160">
        <w:rPr>
          <w:rFonts w:hAnsi="標楷體" w:hint="eastAsia"/>
        </w:rPr>
        <w:t>預計</w:t>
      </w:r>
      <w:r w:rsidR="004500C2" w:rsidRPr="003A2160">
        <w:rPr>
          <w:rFonts w:hAnsi="標楷體" w:hint="eastAsia"/>
        </w:rPr>
        <w:t>銷量2</w:t>
      </w:r>
      <w:r w:rsidR="002504FF">
        <w:rPr>
          <w:rFonts w:hAnsi="標楷體"/>
        </w:rPr>
        <w:t>6</w:t>
      </w:r>
      <w:r w:rsidR="004500C2" w:rsidRPr="003A2160">
        <w:rPr>
          <w:rFonts w:hAnsi="標楷體"/>
        </w:rPr>
        <w:t>9</w:t>
      </w:r>
      <w:r w:rsidR="002504FF">
        <w:rPr>
          <w:rFonts w:hAnsi="標楷體"/>
        </w:rPr>
        <w:t>.</w:t>
      </w:r>
      <w:r w:rsidR="004500C2" w:rsidRPr="003A2160">
        <w:rPr>
          <w:rFonts w:hAnsi="標楷體"/>
        </w:rPr>
        <w:t>93</w:t>
      </w:r>
      <w:r w:rsidR="002504FF">
        <w:rPr>
          <w:rFonts w:hAnsi="標楷體" w:hint="eastAsia"/>
        </w:rPr>
        <w:t>億</w:t>
      </w:r>
      <w:r w:rsidR="004500C2" w:rsidRPr="003A2160">
        <w:rPr>
          <w:rFonts w:hAnsi="標楷體" w:hint="eastAsia"/>
        </w:rPr>
        <w:t>立方公尺成長9.90%外，其餘產品均概呈下降</w:t>
      </w:r>
      <w:r w:rsidR="00CB0531" w:rsidRPr="003A2160">
        <w:rPr>
          <w:rFonts w:hint="eastAsia"/>
        </w:rPr>
        <w:t>(詳表1)</w:t>
      </w:r>
      <w:r w:rsidR="004500C2" w:rsidRPr="003A2160">
        <w:rPr>
          <w:rFonts w:hAnsi="標楷體" w:hint="eastAsia"/>
        </w:rPr>
        <w:t>：</w:t>
      </w:r>
    </w:p>
    <w:p w:rsidR="00CB0531" w:rsidRPr="003A2160" w:rsidRDefault="004500C2" w:rsidP="00CB0531">
      <w:pPr>
        <w:pStyle w:val="123"/>
        <w:ind w:left="1134" w:hanging="284"/>
      </w:pPr>
      <w:r w:rsidRPr="003A2160">
        <w:rPr>
          <w:b/>
        </w:rPr>
        <w:t>1.</w:t>
      </w:r>
      <w:r w:rsidR="00CB0531" w:rsidRPr="003A2160">
        <w:rPr>
          <w:rFonts w:hint="eastAsia"/>
          <w:b/>
        </w:rPr>
        <w:t>原油(含礦產品及多邊貿易)：</w:t>
      </w:r>
      <w:r w:rsidR="00CB0531" w:rsidRPr="003A2160">
        <w:rPr>
          <w:rFonts w:hint="eastAsia"/>
        </w:rPr>
        <w:t>114年度預計銷售</w:t>
      </w:r>
      <w:r w:rsidR="002504FF">
        <w:rPr>
          <w:rFonts w:hint="eastAsia"/>
        </w:rPr>
        <w:t>8</w:t>
      </w:r>
      <w:r w:rsidR="00CB0531" w:rsidRPr="003A2160">
        <w:rPr>
          <w:rFonts w:hint="eastAsia"/>
        </w:rPr>
        <w:t>20</w:t>
      </w:r>
      <w:r w:rsidR="002504FF">
        <w:t>.</w:t>
      </w:r>
      <w:r w:rsidR="00CB0531" w:rsidRPr="003A2160">
        <w:rPr>
          <w:rFonts w:hint="eastAsia"/>
        </w:rPr>
        <w:t>2</w:t>
      </w:r>
      <w:r w:rsidR="002504FF">
        <w:rPr>
          <w:rFonts w:hint="eastAsia"/>
        </w:rPr>
        <w:t>萬</w:t>
      </w:r>
      <w:r w:rsidR="00CB0531" w:rsidRPr="003A2160">
        <w:rPr>
          <w:rFonts w:hint="eastAsia"/>
        </w:rPr>
        <w:t>公秉，較113 年度預算銷量</w:t>
      </w:r>
      <w:r w:rsidR="002504FF">
        <w:rPr>
          <w:rFonts w:hint="eastAsia"/>
        </w:rPr>
        <w:t>8</w:t>
      </w:r>
      <w:r w:rsidR="00CB0531" w:rsidRPr="003A2160">
        <w:rPr>
          <w:rFonts w:hint="eastAsia"/>
        </w:rPr>
        <w:t>87</w:t>
      </w:r>
      <w:r w:rsidR="002504FF">
        <w:t>.</w:t>
      </w:r>
      <w:r w:rsidR="00CB0531" w:rsidRPr="003A2160">
        <w:rPr>
          <w:rFonts w:hint="eastAsia"/>
        </w:rPr>
        <w:t>1</w:t>
      </w:r>
      <w:r w:rsidR="002504FF">
        <w:rPr>
          <w:rFonts w:hint="eastAsia"/>
        </w:rPr>
        <w:t>萬</w:t>
      </w:r>
      <w:r w:rsidR="00CB0531" w:rsidRPr="003A2160">
        <w:rPr>
          <w:rFonts w:hint="eastAsia"/>
        </w:rPr>
        <w:t>公秉，減少</w:t>
      </w:r>
      <w:r w:rsidR="00D017CF" w:rsidRPr="003A2160">
        <w:rPr>
          <w:rFonts w:hint="eastAsia"/>
        </w:rPr>
        <w:t>66</w:t>
      </w:r>
      <w:r w:rsidR="002504FF">
        <w:t>.</w:t>
      </w:r>
      <w:r w:rsidR="00D017CF" w:rsidRPr="003A2160">
        <w:rPr>
          <w:rFonts w:hint="eastAsia"/>
        </w:rPr>
        <w:t>9</w:t>
      </w:r>
      <w:r w:rsidR="002504FF">
        <w:rPr>
          <w:rFonts w:hint="eastAsia"/>
        </w:rPr>
        <w:t>萬</w:t>
      </w:r>
      <w:r w:rsidR="00D017CF" w:rsidRPr="003A2160">
        <w:rPr>
          <w:rFonts w:hint="eastAsia"/>
        </w:rPr>
        <w:t>公秉</w:t>
      </w:r>
      <w:r w:rsidR="00D017CF" w:rsidRPr="003A2160">
        <w:t>(</w:t>
      </w:r>
      <w:r w:rsidR="00D017CF" w:rsidRPr="003A2160">
        <w:rPr>
          <w:rFonts w:hint="eastAsia"/>
        </w:rPr>
        <w:t>減幅</w:t>
      </w:r>
      <w:r w:rsidR="00CB0531" w:rsidRPr="003A2160">
        <w:rPr>
          <w:rFonts w:hint="eastAsia"/>
        </w:rPr>
        <w:t>7.54%</w:t>
      </w:r>
      <w:r w:rsidR="00D017CF" w:rsidRPr="003A2160">
        <w:t>)</w:t>
      </w:r>
      <w:r w:rsidR="002C4136" w:rsidRPr="003A2160">
        <w:rPr>
          <w:rFonts w:hint="eastAsia"/>
        </w:rPr>
        <w:t>，</w:t>
      </w:r>
      <w:r w:rsidR="00CB0531" w:rsidRPr="003A2160">
        <w:rPr>
          <w:rFonts w:hint="eastAsia"/>
        </w:rPr>
        <w:t>主要係</w:t>
      </w:r>
      <w:r w:rsidR="002C4136" w:rsidRPr="003A2160">
        <w:rPr>
          <w:rFonts w:hint="eastAsia"/>
        </w:rPr>
        <w:t>多邊貿易量因全球為抗通膨提高利率，業</w:t>
      </w:r>
      <w:r w:rsidR="002C4136" w:rsidRPr="003A2160">
        <w:rPr>
          <w:rFonts w:hint="eastAsia"/>
        </w:rPr>
        <w:lastRenderedPageBreak/>
        <w:t>界因資金成本增加致貿易機會減少</w:t>
      </w:r>
      <w:r w:rsidR="00957703" w:rsidRPr="003A2160">
        <w:rPr>
          <w:rStyle w:val="af5"/>
        </w:rPr>
        <w:footnoteReference w:id="1"/>
      </w:r>
      <w:r w:rsidR="00CB0531" w:rsidRPr="003A2160">
        <w:rPr>
          <w:rFonts w:hint="eastAsia"/>
        </w:rPr>
        <w:t>。</w:t>
      </w:r>
    </w:p>
    <w:p w:rsidR="00CB0531" w:rsidRPr="003A2160" w:rsidRDefault="00CB0531" w:rsidP="00CB0531">
      <w:pPr>
        <w:pStyle w:val="123"/>
        <w:ind w:left="1134" w:hanging="284"/>
      </w:pPr>
      <w:r w:rsidRPr="003A2160">
        <w:rPr>
          <w:b/>
        </w:rPr>
        <w:t>2.</w:t>
      </w:r>
      <w:r w:rsidRPr="003A2160">
        <w:rPr>
          <w:rFonts w:hint="eastAsia"/>
          <w:b/>
        </w:rPr>
        <w:t>礦品天然氣：</w:t>
      </w:r>
      <w:r w:rsidRPr="003A2160">
        <w:rPr>
          <w:rFonts w:hint="eastAsia"/>
        </w:rPr>
        <w:t>114年度預計銷售5</w:t>
      </w:r>
      <w:r w:rsidR="00D6368A">
        <w:t>.</w:t>
      </w:r>
      <w:r w:rsidRPr="003A2160">
        <w:rPr>
          <w:rFonts w:hint="eastAsia"/>
        </w:rPr>
        <w:t>9</w:t>
      </w:r>
      <w:r w:rsidR="00D6368A">
        <w:t>2</w:t>
      </w:r>
      <w:r w:rsidR="00D6368A">
        <w:rPr>
          <w:rFonts w:hAnsi="標楷體" w:hint="eastAsia"/>
        </w:rPr>
        <w:t>億</w:t>
      </w:r>
      <w:r w:rsidRPr="003A2160">
        <w:rPr>
          <w:rFonts w:hint="eastAsia"/>
        </w:rPr>
        <w:t>立方公尺，較113年度預算銷量7</w:t>
      </w:r>
      <w:r w:rsidR="00D6368A">
        <w:t>.</w:t>
      </w:r>
      <w:r w:rsidR="00D6368A">
        <w:rPr>
          <w:rFonts w:hint="eastAsia"/>
        </w:rPr>
        <w:t>27</w:t>
      </w:r>
      <w:r w:rsidR="00D6368A">
        <w:rPr>
          <w:rFonts w:hAnsi="標楷體" w:hint="eastAsia"/>
        </w:rPr>
        <w:t>億</w:t>
      </w:r>
      <w:r w:rsidRPr="003A2160">
        <w:rPr>
          <w:rFonts w:hint="eastAsia"/>
        </w:rPr>
        <w:t>立方公尺，減少</w:t>
      </w:r>
      <w:r w:rsidR="002C4136" w:rsidRPr="003A2160">
        <w:t>1</w:t>
      </w:r>
      <w:r w:rsidR="00D6368A">
        <w:t>.</w:t>
      </w:r>
      <w:r w:rsidR="002C4136" w:rsidRPr="003A2160">
        <w:t>3</w:t>
      </w:r>
      <w:r w:rsidR="00D6368A">
        <w:t>5</w:t>
      </w:r>
      <w:r w:rsidR="00D6368A">
        <w:rPr>
          <w:rFonts w:hAnsi="標楷體" w:hint="eastAsia"/>
        </w:rPr>
        <w:t>億</w:t>
      </w:r>
      <w:r w:rsidR="002C4136" w:rsidRPr="003A2160">
        <w:rPr>
          <w:rFonts w:hint="eastAsia"/>
        </w:rPr>
        <w:t>立方公尺(減幅</w:t>
      </w:r>
      <w:r w:rsidRPr="003A2160">
        <w:rPr>
          <w:rFonts w:hint="eastAsia"/>
        </w:rPr>
        <w:t>18.58%</w:t>
      </w:r>
      <w:r w:rsidR="002C4136" w:rsidRPr="003A2160">
        <w:t>)</w:t>
      </w:r>
      <w:r w:rsidR="002C4136" w:rsidRPr="003A2160">
        <w:rPr>
          <w:rFonts w:hint="eastAsia"/>
        </w:rPr>
        <w:t>，</w:t>
      </w:r>
      <w:r w:rsidRPr="003A2160">
        <w:rPr>
          <w:rFonts w:hint="eastAsia"/>
        </w:rPr>
        <w:t>主要係因澳洲依序思(Ichthys)礦區及普陸(Prelude)礦區</w:t>
      </w:r>
      <w:r w:rsidR="002C4136" w:rsidRPr="003A2160">
        <w:rPr>
          <w:rFonts w:hint="eastAsia"/>
        </w:rPr>
        <w:t>114年度</w:t>
      </w:r>
      <w:r w:rsidRPr="003A2160">
        <w:rPr>
          <w:rFonts w:hint="eastAsia"/>
        </w:rPr>
        <w:t>預計分別分得4</w:t>
      </w:r>
      <w:r w:rsidR="00D6368A">
        <w:t>.</w:t>
      </w:r>
      <w:r w:rsidRPr="003A2160">
        <w:rPr>
          <w:rFonts w:hint="eastAsia"/>
        </w:rPr>
        <w:t>09</w:t>
      </w:r>
      <w:r w:rsidR="00D6368A">
        <w:rPr>
          <w:rFonts w:hAnsi="標楷體" w:hint="eastAsia"/>
        </w:rPr>
        <w:t>億</w:t>
      </w:r>
      <w:r w:rsidR="002C4136" w:rsidRPr="003A2160">
        <w:rPr>
          <w:rFonts w:hint="eastAsia"/>
        </w:rPr>
        <w:t>立方公尺</w:t>
      </w:r>
      <w:r w:rsidRPr="003A2160">
        <w:rPr>
          <w:rFonts w:hint="eastAsia"/>
        </w:rPr>
        <w:t>及1</w:t>
      </w:r>
      <w:r w:rsidR="00D6368A">
        <w:t>.</w:t>
      </w:r>
      <w:r w:rsidRPr="003A2160">
        <w:rPr>
          <w:rFonts w:hint="eastAsia"/>
        </w:rPr>
        <w:t>8</w:t>
      </w:r>
      <w:r w:rsidR="00D6368A">
        <w:t>1</w:t>
      </w:r>
      <w:r w:rsidR="00D6368A">
        <w:rPr>
          <w:rFonts w:hAnsi="標楷體" w:hint="eastAsia"/>
        </w:rPr>
        <w:t>億</w:t>
      </w:r>
      <w:r w:rsidRPr="003A2160">
        <w:rPr>
          <w:rFonts w:hint="eastAsia"/>
        </w:rPr>
        <w:t>立方公尺，較113年度分得量減少</w:t>
      </w:r>
      <w:r w:rsidR="002C4136" w:rsidRPr="003A2160">
        <w:rPr>
          <w:rFonts w:hint="eastAsia"/>
        </w:rPr>
        <w:t>所致</w:t>
      </w:r>
      <w:r w:rsidRPr="003A2160">
        <w:rPr>
          <w:rFonts w:hint="eastAsia"/>
        </w:rPr>
        <w:t>。</w:t>
      </w:r>
    </w:p>
    <w:p w:rsidR="00CB0531" w:rsidRPr="003A2160" w:rsidRDefault="00CB0531" w:rsidP="00CB0531">
      <w:pPr>
        <w:pStyle w:val="123"/>
        <w:ind w:left="1134" w:hanging="284"/>
      </w:pPr>
      <w:r w:rsidRPr="003A2160">
        <w:rPr>
          <w:rFonts w:hint="eastAsia"/>
          <w:b/>
        </w:rPr>
        <w:t>3.石油聯產品：</w:t>
      </w:r>
      <w:r w:rsidRPr="003A2160">
        <w:rPr>
          <w:rFonts w:hint="eastAsia"/>
        </w:rPr>
        <w:t>114</w:t>
      </w:r>
      <w:r w:rsidR="002C4136" w:rsidRPr="003A2160">
        <w:rPr>
          <w:rFonts w:hint="eastAsia"/>
        </w:rPr>
        <w:t>年度預計銷量</w:t>
      </w:r>
      <w:r w:rsidR="00D6368A">
        <w:rPr>
          <w:rFonts w:hint="eastAsia"/>
        </w:rPr>
        <w:t>2</w:t>
      </w:r>
      <w:r w:rsidR="00D6368A">
        <w:t>,</w:t>
      </w:r>
      <w:r w:rsidR="00D6368A">
        <w:rPr>
          <w:rFonts w:hint="eastAsia"/>
        </w:rPr>
        <w:t>1</w:t>
      </w:r>
      <w:r w:rsidRPr="003A2160">
        <w:rPr>
          <w:rFonts w:hint="eastAsia"/>
        </w:rPr>
        <w:t>90</w:t>
      </w:r>
      <w:r w:rsidR="00D6368A">
        <w:t>.</w:t>
      </w:r>
      <w:r w:rsidRPr="003A2160">
        <w:rPr>
          <w:rFonts w:hint="eastAsia"/>
        </w:rPr>
        <w:t>7</w:t>
      </w:r>
      <w:r w:rsidR="00D6368A">
        <w:rPr>
          <w:rFonts w:hint="eastAsia"/>
        </w:rPr>
        <w:t>萬</w:t>
      </w:r>
      <w:r w:rsidRPr="003A2160">
        <w:rPr>
          <w:rFonts w:hint="eastAsia"/>
        </w:rPr>
        <w:t>公秉，較113年度預算銷量2</w:t>
      </w:r>
      <w:r w:rsidR="00D6368A">
        <w:t>,</w:t>
      </w:r>
      <w:r w:rsidRPr="003A2160">
        <w:rPr>
          <w:rFonts w:hint="eastAsia"/>
        </w:rPr>
        <w:t>261</w:t>
      </w:r>
      <w:r w:rsidR="00D6368A">
        <w:rPr>
          <w:rFonts w:hint="eastAsia"/>
        </w:rPr>
        <w:t>萬</w:t>
      </w:r>
      <w:r w:rsidRPr="003A2160">
        <w:rPr>
          <w:rFonts w:hint="eastAsia"/>
        </w:rPr>
        <w:t>公秉，減少</w:t>
      </w:r>
      <w:r w:rsidR="008D688B" w:rsidRPr="003A2160">
        <w:rPr>
          <w:rFonts w:hint="eastAsia"/>
        </w:rPr>
        <w:t>70</w:t>
      </w:r>
      <w:r w:rsidR="00D6368A">
        <w:t>.</w:t>
      </w:r>
      <w:r w:rsidR="008D688B" w:rsidRPr="003A2160">
        <w:rPr>
          <w:rFonts w:hint="eastAsia"/>
        </w:rPr>
        <w:t>3</w:t>
      </w:r>
      <w:r w:rsidR="00D6368A">
        <w:rPr>
          <w:rFonts w:hint="eastAsia"/>
        </w:rPr>
        <w:t>萬</w:t>
      </w:r>
      <w:r w:rsidR="008D688B" w:rsidRPr="003A2160">
        <w:rPr>
          <w:rFonts w:hint="eastAsia"/>
        </w:rPr>
        <w:t>公秉(減幅</w:t>
      </w:r>
      <w:r w:rsidRPr="003A2160">
        <w:rPr>
          <w:rFonts w:hint="eastAsia"/>
        </w:rPr>
        <w:t>3.11%</w:t>
      </w:r>
      <w:r w:rsidR="008D688B" w:rsidRPr="003A2160">
        <w:t>)</w:t>
      </w:r>
      <w:r w:rsidR="002C4136" w:rsidRPr="003A2160">
        <w:rPr>
          <w:rFonts w:hint="eastAsia"/>
        </w:rPr>
        <w:t>，主要係</w:t>
      </w:r>
      <w:r w:rsidRPr="003A2160">
        <w:rPr>
          <w:rFonts w:hint="eastAsia"/>
        </w:rPr>
        <w:t>考量燃料油品需求降低及配合工場大修煉量減少所致。</w:t>
      </w:r>
    </w:p>
    <w:p w:rsidR="00CB0531" w:rsidRDefault="00CB0531" w:rsidP="00CB0531">
      <w:pPr>
        <w:pStyle w:val="123"/>
        <w:ind w:left="1134" w:hanging="284"/>
      </w:pPr>
      <w:r w:rsidRPr="003A2160">
        <w:rPr>
          <w:b/>
        </w:rPr>
        <w:t>4.</w:t>
      </w:r>
      <w:r w:rsidRPr="003A2160">
        <w:rPr>
          <w:rFonts w:hint="eastAsia"/>
          <w:b/>
        </w:rPr>
        <w:t>石油化學品：</w:t>
      </w:r>
      <w:r w:rsidRPr="003A2160">
        <w:rPr>
          <w:rFonts w:hint="eastAsia"/>
        </w:rPr>
        <w:t>114年度</w:t>
      </w:r>
      <w:r w:rsidR="008D688B" w:rsidRPr="003A2160">
        <w:rPr>
          <w:rFonts w:hint="eastAsia"/>
        </w:rPr>
        <w:t>預計</w:t>
      </w:r>
      <w:r w:rsidRPr="003A2160">
        <w:rPr>
          <w:rFonts w:hint="eastAsia"/>
        </w:rPr>
        <w:t>銷量為</w:t>
      </w:r>
      <w:r w:rsidR="00D6368A">
        <w:rPr>
          <w:rFonts w:hint="eastAsia"/>
        </w:rPr>
        <w:t>3</w:t>
      </w:r>
      <w:r w:rsidRPr="003A2160">
        <w:rPr>
          <w:rFonts w:hint="eastAsia"/>
        </w:rPr>
        <w:t>77</w:t>
      </w:r>
      <w:r w:rsidR="00D6368A">
        <w:t>.</w:t>
      </w:r>
      <w:r w:rsidRPr="003A2160">
        <w:rPr>
          <w:rFonts w:hint="eastAsia"/>
        </w:rPr>
        <w:t>9</w:t>
      </w:r>
      <w:r w:rsidR="00D6368A">
        <w:rPr>
          <w:rFonts w:hint="eastAsia"/>
        </w:rPr>
        <w:t>萬</w:t>
      </w:r>
      <w:r w:rsidRPr="003A2160">
        <w:rPr>
          <w:rFonts w:hint="eastAsia"/>
        </w:rPr>
        <w:t>公噸，較113年度預算銷量</w:t>
      </w:r>
      <w:r w:rsidR="00D6368A">
        <w:rPr>
          <w:rFonts w:hint="eastAsia"/>
        </w:rPr>
        <w:t>3</w:t>
      </w:r>
      <w:r w:rsidRPr="003A2160">
        <w:rPr>
          <w:rFonts w:hint="eastAsia"/>
        </w:rPr>
        <w:t>91</w:t>
      </w:r>
      <w:r w:rsidR="00D6368A">
        <w:t>.</w:t>
      </w:r>
      <w:r w:rsidRPr="003A2160">
        <w:rPr>
          <w:rFonts w:hint="eastAsia"/>
        </w:rPr>
        <w:t>3</w:t>
      </w:r>
      <w:r w:rsidR="00D6368A">
        <w:rPr>
          <w:rFonts w:hint="eastAsia"/>
        </w:rPr>
        <w:t>萬</w:t>
      </w:r>
      <w:r w:rsidRPr="003A2160">
        <w:rPr>
          <w:rFonts w:hint="eastAsia"/>
        </w:rPr>
        <w:t>公噸，減少</w:t>
      </w:r>
      <w:r w:rsidR="008D688B" w:rsidRPr="003A2160">
        <w:t>13</w:t>
      </w:r>
      <w:r w:rsidR="00D6368A">
        <w:t>.</w:t>
      </w:r>
      <w:r w:rsidR="008D688B" w:rsidRPr="003A2160">
        <w:t>4</w:t>
      </w:r>
      <w:r w:rsidR="00D6368A">
        <w:rPr>
          <w:rFonts w:hint="eastAsia"/>
        </w:rPr>
        <w:t>萬</w:t>
      </w:r>
      <w:r w:rsidR="008D688B" w:rsidRPr="003A2160">
        <w:rPr>
          <w:rFonts w:hint="eastAsia"/>
        </w:rPr>
        <w:t>公噸(減幅</w:t>
      </w:r>
      <w:r w:rsidRPr="003A2160">
        <w:rPr>
          <w:rFonts w:hint="eastAsia"/>
        </w:rPr>
        <w:t>3.42%</w:t>
      </w:r>
      <w:r w:rsidR="008D688B" w:rsidRPr="003A2160">
        <w:t>)</w:t>
      </w:r>
      <w:r w:rsidRPr="003A2160">
        <w:rPr>
          <w:rFonts w:hint="eastAsia"/>
        </w:rPr>
        <w:t>，</w:t>
      </w:r>
      <w:r w:rsidR="008D688B" w:rsidRPr="003A2160">
        <w:rPr>
          <w:rFonts w:hint="eastAsia"/>
        </w:rPr>
        <w:t>主要係</w:t>
      </w:r>
      <w:r w:rsidRPr="003A2160">
        <w:rPr>
          <w:rFonts w:hint="eastAsia"/>
        </w:rPr>
        <w:t>新三輕、四輕、第三芳香烴及第七芳香烴等工場大修天數增加</w:t>
      </w:r>
      <w:r w:rsidR="008D688B" w:rsidRPr="003A2160">
        <w:rPr>
          <w:rFonts w:hint="eastAsia"/>
        </w:rPr>
        <w:t>致預計銷量減少</w:t>
      </w:r>
      <w:r w:rsidRPr="003A2160">
        <w:rPr>
          <w:rFonts w:hint="eastAsia"/>
        </w:rPr>
        <w:t>。</w:t>
      </w:r>
    </w:p>
    <w:p w:rsidR="00164232" w:rsidRDefault="00164232" w:rsidP="00CB0531">
      <w:pPr>
        <w:pStyle w:val="123"/>
        <w:ind w:left="1133" w:hanging="283"/>
      </w:pPr>
    </w:p>
    <w:p w:rsidR="00D6368A" w:rsidRDefault="00D6368A" w:rsidP="00CB0531">
      <w:pPr>
        <w:pStyle w:val="123"/>
        <w:ind w:left="1133" w:hanging="283"/>
      </w:pPr>
    </w:p>
    <w:p w:rsidR="002C4D7F" w:rsidRPr="003A2160" w:rsidRDefault="002C4D7F" w:rsidP="002C4D7F">
      <w:pPr>
        <w:ind w:leftChars="0" w:left="0" w:firstLineChars="0" w:firstLine="0"/>
        <w:jc w:val="left"/>
        <w:rPr>
          <w:rFonts w:hAnsi="標楷體"/>
          <w:kern w:val="0"/>
          <w:sz w:val="24"/>
          <w:szCs w:val="24"/>
        </w:rPr>
      </w:pPr>
      <w:r w:rsidRPr="003A2160">
        <w:rPr>
          <w:rFonts w:hAnsi="標楷體" w:hint="eastAsia"/>
          <w:b/>
        </w:rPr>
        <w:t>表1  台灣中油公司</w:t>
      </w:r>
      <w:r w:rsidR="00071F5C" w:rsidRPr="003A2160">
        <w:rPr>
          <w:rFonts w:hAnsi="標楷體"/>
          <w:b/>
        </w:rPr>
        <w:t>110</w:t>
      </w:r>
      <w:r w:rsidRPr="003A2160">
        <w:rPr>
          <w:rFonts w:hAnsi="標楷體" w:hint="eastAsia"/>
          <w:b/>
        </w:rPr>
        <w:t>至114年度</w:t>
      </w:r>
      <w:r w:rsidR="00071F5C" w:rsidRPr="003A2160">
        <w:rPr>
          <w:rFonts w:hAnsi="標楷體" w:hint="eastAsia"/>
          <w:b/>
        </w:rPr>
        <w:t>產品銷售量</w:t>
      </w:r>
      <w:r w:rsidRPr="003A2160">
        <w:rPr>
          <w:rFonts w:hAnsi="標楷體" w:hint="eastAsia"/>
          <w:b/>
        </w:rPr>
        <w:t>預決算</w:t>
      </w:r>
      <w:r w:rsidR="006A438F" w:rsidRPr="003A2160">
        <w:rPr>
          <w:rFonts w:hAnsi="標楷體" w:hint="eastAsia"/>
          <w:b/>
        </w:rPr>
        <w:t>情形</w:t>
      </w:r>
      <w:r w:rsidRPr="003A2160">
        <w:rPr>
          <w:rFonts w:hAnsi="標楷體" w:hint="eastAsia"/>
          <w:b/>
        </w:rPr>
        <w:t>表</w:t>
      </w:r>
    </w:p>
    <w:tbl>
      <w:tblPr>
        <w:tblW w:w="8525" w:type="dxa"/>
        <w:tblInd w:w="15" w:type="dxa"/>
        <w:tblLayout w:type="fixed"/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840"/>
        <w:gridCol w:w="578"/>
        <w:gridCol w:w="850"/>
        <w:gridCol w:w="571"/>
        <w:gridCol w:w="847"/>
        <w:gridCol w:w="574"/>
        <w:gridCol w:w="843"/>
        <w:gridCol w:w="579"/>
        <w:gridCol w:w="883"/>
        <w:gridCol w:w="538"/>
        <w:gridCol w:w="904"/>
        <w:gridCol w:w="518"/>
      </w:tblGrid>
      <w:tr w:rsidR="004A1912" w:rsidRPr="003A2160" w:rsidTr="00894DC4">
        <w:trPr>
          <w:trHeight w:val="227"/>
          <w:tblHeader/>
        </w:trPr>
        <w:tc>
          <w:tcPr>
            <w:tcW w:w="84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產品名稱</w:t>
            </w:r>
          </w:p>
        </w:tc>
        <w:tc>
          <w:tcPr>
            <w:tcW w:w="57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單位</w:t>
            </w: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w w:val="105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w w:val="105"/>
                <w:kern w:val="0"/>
                <w:sz w:val="20"/>
                <w:szCs w:val="20"/>
              </w:rPr>
              <w:t>110</w:t>
            </w:r>
            <w:r w:rsidRPr="003A2160">
              <w:rPr>
                <w:rFonts w:hAnsi="標楷體" w:cs="標楷體" w:hint="eastAsia"/>
                <w:snapToGrid/>
                <w:spacing w:val="-20"/>
                <w:w w:val="105"/>
                <w:kern w:val="0"/>
                <w:sz w:val="20"/>
                <w:szCs w:val="20"/>
              </w:rPr>
              <w:t>年度決算數</w:t>
            </w: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w w:val="105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w w:val="105"/>
                <w:kern w:val="0"/>
                <w:sz w:val="20"/>
                <w:szCs w:val="20"/>
              </w:rPr>
              <w:t>111</w:t>
            </w:r>
            <w:r w:rsidRPr="003A2160">
              <w:rPr>
                <w:rFonts w:hAnsi="標楷體" w:cs="標楷體" w:hint="eastAsia"/>
                <w:snapToGrid/>
                <w:spacing w:val="-20"/>
                <w:w w:val="105"/>
                <w:kern w:val="0"/>
                <w:sz w:val="20"/>
                <w:szCs w:val="20"/>
              </w:rPr>
              <w:t>年度決算數</w:t>
            </w:r>
          </w:p>
        </w:tc>
        <w:tc>
          <w:tcPr>
            <w:tcW w:w="142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w w:val="105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w w:val="105"/>
                <w:kern w:val="0"/>
                <w:sz w:val="20"/>
                <w:szCs w:val="20"/>
              </w:rPr>
              <w:t>112</w:t>
            </w:r>
            <w:r w:rsidRPr="003A2160">
              <w:rPr>
                <w:rFonts w:hAnsi="標楷體" w:cs="標楷體" w:hint="eastAsia"/>
                <w:snapToGrid/>
                <w:spacing w:val="-20"/>
                <w:w w:val="105"/>
                <w:kern w:val="0"/>
                <w:sz w:val="20"/>
                <w:szCs w:val="20"/>
              </w:rPr>
              <w:t>年度決算數</w:t>
            </w: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w w:val="105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w w:val="105"/>
                <w:kern w:val="0"/>
                <w:sz w:val="20"/>
                <w:szCs w:val="20"/>
              </w:rPr>
              <w:t>113</w:t>
            </w:r>
            <w:r w:rsidRPr="003A2160">
              <w:rPr>
                <w:rFonts w:hAnsi="標楷體" w:cs="標楷體" w:hint="eastAsia"/>
                <w:snapToGrid/>
                <w:spacing w:val="-20"/>
                <w:w w:val="105"/>
                <w:kern w:val="0"/>
                <w:sz w:val="20"/>
                <w:szCs w:val="20"/>
              </w:rPr>
              <w:t>年度預算</w:t>
            </w:r>
            <w:r w:rsidR="004500C2" w:rsidRPr="003A2160">
              <w:rPr>
                <w:rFonts w:hAnsi="標楷體" w:cs="標楷體" w:hint="eastAsia"/>
                <w:snapToGrid/>
                <w:spacing w:val="-20"/>
                <w:w w:val="105"/>
                <w:kern w:val="0"/>
                <w:sz w:val="20"/>
                <w:szCs w:val="20"/>
              </w:rPr>
              <w:t>案</w:t>
            </w:r>
            <w:r w:rsidRPr="003A2160">
              <w:rPr>
                <w:rFonts w:hAnsi="標楷體" w:cs="標楷體" w:hint="eastAsia"/>
                <w:snapToGrid/>
                <w:spacing w:val="-20"/>
                <w:w w:val="105"/>
                <w:kern w:val="0"/>
                <w:sz w:val="20"/>
                <w:szCs w:val="20"/>
              </w:rPr>
              <w:t>數</w:t>
            </w:r>
          </w:p>
        </w:tc>
        <w:tc>
          <w:tcPr>
            <w:tcW w:w="142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w w:val="105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w w:val="105"/>
                <w:kern w:val="0"/>
                <w:sz w:val="20"/>
                <w:szCs w:val="20"/>
              </w:rPr>
              <w:t>114</w:t>
            </w:r>
            <w:r w:rsidRPr="003A2160">
              <w:rPr>
                <w:rFonts w:hAnsi="標楷體" w:cs="標楷體" w:hint="eastAsia"/>
                <w:snapToGrid/>
                <w:spacing w:val="-20"/>
                <w:w w:val="105"/>
                <w:kern w:val="0"/>
                <w:sz w:val="20"/>
                <w:szCs w:val="20"/>
              </w:rPr>
              <w:t>年度預算</w:t>
            </w:r>
            <w:r w:rsidR="004500C2" w:rsidRPr="003A2160">
              <w:rPr>
                <w:rFonts w:hAnsi="標楷體" w:cs="標楷體" w:hint="eastAsia"/>
                <w:snapToGrid/>
                <w:spacing w:val="-20"/>
                <w:w w:val="105"/>
                <w:kern w:val="0"/>
                <w:sz w:val="20"/>
                <w:szCs w:val="20"/>
              </w:rPr>
              <w:t>案</w:t>
            </w:r>
            <w:r w:rsidRPr="003A2160">
              <w:rPr>
                <w:rFonts w:hAnsi="標楷體" w:cs="標楷體" w:hint="eastAsia"/>
                <w:snapToGrid/>
                <w:spacing w:val="-20"/>
                <w:w w:val="105"/>
                <w:kern w:val="0"/>
                <w:sz w:val="20"/>
                <w:szCs w:val="20"/>
              </w:rPr>
              <w:t>數</w:t>
            </w:r>
          </w:p>
        </w:tc>
      </w:tr>
      <w:tr w:rsidR="001426B9" w:rsidRPr="003A2160" w:rsidTr="00894DC4">
        <w:trPr>
          <w:trHeight w:val="227"/>
          <w:tblHeader/>
        </w:trPr>
        <w:tc>
          <w:tcPr>
            <w:tcW w:w="840" w:type="dxa"/>
            <w:vMerge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7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數量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環比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數量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環比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數量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環比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數量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環比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數量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環比</w:t>
            </w:r>
          </w:p>
        </w:tc>
      </w:tr>
      <w:tr w:rsidR="001426B9" w:rsidRPr="003A2160" w:rsidTr="00876F16">
        <w:trPr>
          <w:trHeight w:val="283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1426B9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礦產品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4A1912" w:rsidRPr="003A2160" w:rsidRDefault="004A1912" w:rsidP="004A1912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</w:p>
        </w:tc>
      </w:tr>
      <w:tr w:rsidR="001426B9" w:rsidRPr="003A2160" w:rsidTr="00876F16">
        <w:trPr>
          <w:trHeight w:val="283"/>
        </w:trPr>
        <w:tc>
          <w:tcPr>
            <w:tcW w:w="840" w:type="dxa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1426B9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60" w:left="170" w:firstLineChars="0" w:firstLine="0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原油</w:t>
            </w:r>
          </w:p>
        </w:tc>
        <w:tc>
          <w:tcPr>
            <w:tcW w:w="5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公秉</w:t>
            </w:r>
          </w:p>
        </w:tc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283,212</w:t>
            </w:r>
          </w:p>
        </w:tc>
        <w:tc>
          <w:tcPr>
            <w:tcW w:w="5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109.13</w:t>
            </w:r>
          </w:p>
        </w:tc>
        <w:tc>
          <w:tcPr>
            <w:tcW w:w="8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373,415</w:t>
            </w:r>
          </w:p>
        </w:tc>
        <w:tc>
          <w:tcPr>
            <w:tcW w:w="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131.85</w:t>
            </w:r>
          </w:p>
        </w:tc>
        <w:tc>
          <w:tcPr>
            <w:tcW w:w="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414,450</w:t>
            </w:r>
          </w:p>
        </w:tc>
        <w:tc>
          <w:tcPr>
            <w:tcW w:w="5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110.99</w:t>
            </w:r>
          </w:p>
        </w:tc>
        <w:tc>
          <w:tcPr>
            <w:tcW w:w="8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1,071,339</w:t>
            </w:r>
          </w:p>
        </w:tc>
        <w:tc>
          <w:tcPr>
            <w:tcW w:w="5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258.50</w:t>
            </w:r>
          </w:p>
        </w:tc>
        <w:tc>
          <w:tcPr>
            <w:tcW w:w="9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1,202,466</w:t>
            </w:r>
          </w:p>
        </w:tc>
        <w:tc>
          <w:tcPr>
            <w:tcW w:w="518" w:type="dxa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112.24</w:t>
            </w:r>
          </w:p>
        </w:tc>
      </w:tr>
      <w:tr w:rsidR="001426B9" w:rsidRPr="003A2160" w:rsidTr="00876F16">
        <w:trPr>
          <w:trHeight w:val="341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1426B9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60" w:left="170" w:firstLineChars="0" w:firstLine="0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天然氣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千立方公</w:t>
            </w:r>
            <w:r w:rsidRPr="003A2160"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  <w:t xml:space="preserve"> </w:t>
            </w: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尺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392,132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100.69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361,407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92.16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398,287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110.20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726,501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182.41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591,516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81.42</w:t>
            </w:r>
          </w:p>
        </w:tc>
      </w:tr>
      <w:tr w:rsidR="001426B9" w:rsidRPr="003A2160" w:rsidTr="00876F16">
        <w:trPr>
          <w:trHeight w:val="341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52FD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60" w:left="170" w:rightChars="10" w:right="28" w:firstLineChars="0" w:firstLine="0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液化石油氣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8,999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412.04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4,729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52.55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9,123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192.92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21,518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235.87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16,219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75.37</w:t>
            </w:r>
          </w:p>
        </w:tc>
      </w:tr>
      <w:tr w:rsidR="001426B9" w:rsidRPr="003A2160" w:rsidTr="00876F16">
        <w:trPr>
          <w:trHeight w:val="341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52FD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Chars="10" w:right="28" w:firstLineChars="0" w:firstLine="0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原油</w:t>
            </w: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(</w:t>
            </w: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多邊貿易</w:t>
            </w: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11,012,790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88.71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9,813,276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89.11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7,254,379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73.92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7,800,000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107.52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7,000,000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89.74</w:t>
            </w:r>
          </w:p>
        </w:tc>
      </w:tr>
      <w:tr w:rsidR="001426B9" w:rsidRPr="003A2160" w:rsidTr="00876F16">
        <w:trPr>
          <w:trHeight w:val="341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852FDD" w:rsidRDefault="004A1912" w:rsidP="00852FD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Chars="10" w:right="28" w:firstLineChars="0" w:firstLine="0"/>
              <w:rPr>
                <w:rFonts w:hAnsi="標楷體" w:cs="標楷體"/>
                <w:snapToGrid/>
                <w:spacing w:val="-24"/>
                <w:kern w:val="0"/>
                <w:sz w:val="20"/>
                <w:szCs w:val="20"/>
              </w:rPr>
            </w:pPr>
            <w:r w:rsidRPr="00852FDD">
              <w:rPr>
                <w:rFonts w:hAnsi="標楷體" w:cs="標楷體" w:hint="eastAsia"/>
                <w:snapToGrid/>
                <w:spacing w:val="-24"/>
                <w:kern w:val="0"/>
                <w:sz w:val="20"/>
                <w:szCs w:val="20"/>
              </w:rPr>
              <w:t>成品天然氣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千立方公</w:t>
            </w:r>
            <w:r w:rsidRPr="003A2160"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  <w:t xml:space="preserve"> </w:t>
            </w: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尺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25,560,250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108.52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26,539,452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103.83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26,143,305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98.51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26,993,089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103.25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29,665,983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109.90</w:t>
            </w:r>
          </w:p>
        </w:tc>
      </w:tr>
      <w:tr w:rsidR="001426B9" w:rsidRPr="003A2160" w:rsidTr="00876F16">
        <w:trPr>
          <w:trHeight w:val="283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852FDD" w:rsidRDefault="004A1912" w:rsidP="00852FD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Chars="10" w:right="28" w:firstLineChars="0" w:firstLine="0"/>
              <w:rPr>
                <w:rFonts w:hAnsi="標楷體" w:cs="標楷體"/>
                <w:snapToGrid/>
                <w:spacing w:val="-24"/>
                <w:kern w:val="0"/>
                <w:sz w:val="20"/>
                <w:szCs w:val="20"/>
              </w:rPr>
            </w:pPr>
            <w:r w:rsidRPr="00852FDD">
              <w:rPr>
                <w:rFonts w:hAnsi="標楷體" w:cs="標楷體" w:hint="eastAsia"/>
                <w:snapToGrid/>
                <w:spacing w:val="-24"/>
                <w:kern w:val="0"/>
                <w:sz w:val="20"/>
                <w:szCs w:val="20"/>
              </w:rPr>
              <w:t>石油聯產品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22,949,808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97.38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22,630,890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98.61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21,595,245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95.42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22,610,350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104.70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21,907,460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96.89</w:t>
            </w:r>
          </w:p>
        </w:tc>
      </w:tr>
      <w:tr w:rsidR="001426B9" w:rsidRPr="003A2160" w:rsidTr="00876F16">
        <w:trPr>
          <w:trHeight w:val="341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52FD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60" w:left="170" w:rightChars="10" w:right="28" w:firstLineChars="0" w:firstLine="0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液化石油氣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552,338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93.84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587,592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106.38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611,890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104.14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528,200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86.32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546,140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103.40</w:t>
            </w:r>
          </w:p>
        </w:tc>
      </w:tr>
      <w:tr w:rsidR="001426B9" w:rsidRPr="003A2160" w:rsidTr="00876F16">
        <w:trPr>
          <w:trHeight w:val="283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1426B9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60" w:left="170" w:firstLineChars="0" w:firstLine="0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汽油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8,965,178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99.71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9,256,261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103.25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8,800,405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95.08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9,518,134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108.16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9,591,979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100.78</w:t>
            </w:r>
          </w:p>
        </w:tc>
      </w:tr>
      <w:tr w:rsidR="001426B9" w:rsidRPr="003A2160" w:rsidTr="00876F16">
        <w:trPr>
          <w:trHeight w:val="341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52FD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60" w:left="170" w:rightChars="10" w:right="28" w:firstLineChars="0" w:firstLine="0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lastRenderedPageBreak/>
              <w:t>航空燃油</w:t>
            </w: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(</w:t>
            </w: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含煤油</w:t>
            </w: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1,556,190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74.70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1,641,287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105.47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2,043,924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124.53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2,198,986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107.59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2,135,097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97.09</w:t>
            </w:r>
          </w:p>
        </w:tc>
      </w:tr>
      <w:tr w:rsidR="001426B9" w:rsidRPr="003A2160" w:rsidTr="00876F16">
        <w:trPr>
          <w:trHeight w:val="283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1426B9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60" w:left="170" w:firstLineChars="0" w:firstLine="0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柴油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5,764,825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87.75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6,316,497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109.57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5,528,351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87.52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6,307,996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114.10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5,864,540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92.97</w:t>
            </w:r>
          </w:p>
        </w:tc>
      </w:tr>
      <w:tr w:rsidR="001426B9" w:rsidRPr="003A2160" w:rsidTr="00876F16">
        <w:trPr>
          <w:trHeight w:val="283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1426B9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60" w:left="170" w:firstLineChars="0" w:firstLine="0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燃料油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4,248,371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146.51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3,201,343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75.35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2,533,207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79.13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2,550,454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100.68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2,238,085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87.75</w:t>
            </w:r>
          </w:p>
        </w:tc>
      </w:tr>
      <w:tr w:rsidR="001426B9" w:rsidRPr="003A2160" w:rsidTr="00876F16">
        <w:trPr>
          <w:trHeight w:val="341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52FD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60" w:left="170" w:rightChars="10" w:right="28" w:firstLineChars="0" w:firstLine="0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其他油品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1,411,094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72.22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1,307,986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92.69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1,576,942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120.56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1,624,512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103.02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1,684,876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103.72</w:t>
            </w:r>
          </w:p>
        </w:tc>
      </w:tr>
      <w:tr w:rsidR="001426B9" w:rsidRPr="003A2160" w:rsidTr="00876F16">
        <w:trPr>
          <w:trHeight w:val="283"/>
        </w:trPr>
        <w:tc>
          <w:tcPr>
            <w:tcW w:w="84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852FDD" w:rsidRDefault="004A1912" w:rsidP="00852FD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Chars="10" w:right="28" w:firstLineChars="0" w:firstLine="0"/>
              <w:rPr>
                <w:rFonts w:hAnsi="標楷體" w:cs="標楷體"/>
                <w:snapToGrid/>
                <w:spacing w:val="-24"/>
                <w:kern w:val="0"/>
                <w:sz w:val="20"/>
                <w:szCs w:val="20"/>
              </w:rPr>
            </w:pPr>
            <w:r w:rsidRPr="00852FDD">
              <w:rPr>
                <w:rFonts w:hAnsi="標楷體" w:cs="標楷體" w:hint="eastAsia"/>
                <w:snapToGrid/>
                <w:spacing w:val="-24"/>
                <w:kern w:val="0"/>
                <w:sz w:val="20"/>
                <w:szCs w:val="20"/>
              </w:rPr>
              <w:t>石油化學品</w:t>
            </w:r>
          </w:p>
        </w:tc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公噸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4,388,136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105.81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3,807,983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86.78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3,495,200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91.79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3,913,060</w: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111.96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3,779,150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4A1912" w:rsidRPr="003A2160" w:rsidRDefault="004A1912" w:rsidP="00876F16">
            <w:pPr>
              <w:kinsoku w:val="0"/>
              <w:overflowPunct w:val="0"/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</w:pPr>
            <w:r w:rsidRPr="003A2160">
              <w:rPr>
                <w:rFonts w:hAnsi="標楷體" w:cs="Book Antiqua"/>
                <w:snapToGrid/>
                <w:spacing w:val="-20"/>
                <w:kern w:val="0"/>
                <w:sz w:val="20"/>
                <w:szCs w:val="20"/>
              </w:rPr>
              <w:t>96.58</w:t>
            </w:r>
          </w:p>
        </w:tc>
      </w:tr>
    </w:tbl>
    <w:p w:rsidR="00782A2D" w:rsidRPr="003A2160" w:rsidRDefault="00782A2D" w:rsidP="00F73C2C">
      <w:pPr>
        <w:spacing w:line="280" w:lineRule="exact"/>
        <w:ind w:leftChars="0" w:left="1217" w:hangingChars="500" w:hanging="1217"/>
        <w:rPr>
          <w:rFonts w:hAnsi="標楷體"/>
          <w:sz w:val="24"/>
          <w:szCs w:val="24"/>
        </w:rPr>
      </w:pPr>
      <w:r w:rsidRPr="003A2160">
        <w:rPr>
          <w:rFonts w:hAnsi="標楷體" w:hint="eastAsia"/>
          <w:sz w:val="24"/>
          <w:szCs w:val="24"/>
        </w:rPr>
        <w:t>說    明：</w:t>
      </w:r>
      <w:r w:rsidR="00D6368A" w:rsidRPr="003A2160">
        <w:rPr>
          <w:rFonts w:hAnsi="標楷體" w:hint="eastAsia"/>
          <w:sz w:val="24"/>
          <w:szCs w:val="24"/>
        </w:rPr>
        <w:t>環比</w:t>
      </w:r>
      <w:r w:rsidR="00D6368A">
        <w:rPr>
          <w:rFonts w:hAnsi="標楷體" w:hint="eastAsia"/>
          <w:sz w:val="24"/>
          <w:szCs w:val="24"/>
        </w:rPr>
        <w:t>=本年度銷售量÷上年度銷售量；</w:t>
      </w:r>
      <w:r w:rsidRPr="003A2160">
        <w:rPr>
          <w:rFonts w:hAnsi="標楷體" w:hint="eastAsia"/>
          <w:sz w:val="24"/>
          <w:szCs w:val="24"/>
        </w:rPr>
        <w:t>環比低於100表示是項產品</w:t>
      </w:r>
      <w:r w:rsidR="00721A23" w:rsidRPr="003A2160">
        <w:rPr>
          <w:rFonts w:hAnsi="標楷體" w:hint="eastAsia"/>
          <w:sz w:val="24"/>
          <w:szCs w:val="24"/>
        </w:rPr>
        <w:t>銷量</w:t>
      </w:r>
      <w:r w:rsidRPr="003A2160">
        <w:rPr>
          <w:rFonts w:hAnsi="標楷體" w:hint="eastAsia"/>
          <w:sz w:val="24"/>
          <w:szCs w:val="24"/>
        </w:rPr>
        <w:t>較上年度預決算</w:t>
      </w:r>
      <w:r w:rsidR="00F73C2C" w:rsidRPr="003A2160">
        <w:rPr>
          <w:rFonts w:hAnsi="標楷體" w:hint="eastAsia"/>
          <w:sz w:val="24"/>
          <w:szCs w:val="24"/>
        </w:rPr>
        <w:t>減少；反之</w:t>
      </w:r>
      <w:r w:rsidR="00721A23" w:rsidRPr="003A2160">
        <w:rPr>
          <w:rFonts w:hAnsi="標楷體" w:hint="eastAsia"/>
          <w:sz w:val="24"/>
          <w:szCs w:val="24"/>
        </w:rPr>
        <w:t>，</w:t>
      </w:r>
      <w:r w:rsidR="00F73C2C" w:rsidRPr="003A2160">
        <w:rPr>
          <w:rFonts w:hAnsi="標楷體" w:hint="eastAsia"/>
          <w:sz w:val="24"/>
          <w:szCs w:val="24"/>
        </w:rPr>
        <w:t>環比高於100表示</w:t>
      </w:r>
      <w:r w:rsidR="0085727E" w:rsidRPr="003A2160">
        <w:rPr>
          <w:rFonts w:hAnsi="標楷體" w:hint="eastAsia"/>
          <w:sz w:val="24"/>
          <w:szCs w:val="24"/>
        </w:rPr>
        <w:t>銷量</w:t>
      </w:r>
      <w:r w:rsidR="00F73C2C" w:rsidRPr="003A2160">
        <w:rPr>
          <w:rFonts w:hAnsi="標楷體" w:hint="eastAsia"/>
          <w:sz w:val="24"/>
          <w:szCs w:val="24"/>
        </w:rPr>
        <w:t>較上年度預決算增加</w:t>
      </w:r>
      <w:r w:rsidRPr="003A2160">
        <w:rPr>
          <w:rFonts w:hAnsi="標楷體" w:hint="eastAsia"/>
          <w:sz w:val="24"/>
          <w:szCs w:val="24"/>
        </w:rPr>
        <w:t>。</w:t>
      </w:r>
    </w:p>
    <w:p w:rsidR="002C4D7F" w:rsidRPr="003A2160" w:rsidRDefault="002C4D7F" w:rsidP="002C4D7F">
      <w:pPr>
        <w:spacing w:line="280" w:lineRule="exact"/>
        <w:ind w:leftChars="0" w:left="0" w:firstLineChars="0" w:firstLine="0"/>
        <w:rPr>
          <w:rFonts w:hAnsi="標楷體"/>
          <w:sz w:val="24"/>
          <w:szCs w:val="24"/>
        </w:rPr>
      </w:pPr>
      <w:r w:rsidRPr="003A2160">
        <w:rPr>
          <w:rFonts w:hAnsi="標楷體" w:hint="eastAsia"/>
          <w:sz w:val="24"/>
          <w:szCs w:val="24"/>
        </w:rPr>
        <w:t>資料來源：台灣中油公司</w:t>
      </w:r>
      <w:r w:rsidR="00071F5C" w:rsidRPr="003A2160">
        <w:rPr>
          <w:rFonts w:hAnsi="標楷體" w:hint="eastAsia"/>
          <w:sz w:val="24"/>
          <w:szCs w:val="24"/>
        </w:rPr>
        <w:t>1</w:t>
      </w:r>
      <w:r w:rsidR="00071F5C" w:rsidRPr="003A2160">
        <w:rPr>
          <w:rFonts w:hAnsi="標楷體"/>
          <w:sz w:val="24"/>
          <w:szCs w:val="24"/>
        </w:rPr>
        <w:t>14</w:t>
      </w:r>
      <w:r w:rsidRPr="003A2160">
        <w:rPr>
          <w:rFonts w:hAnsi="標楷體" w:hint="eastAsia"/>
          <w:sz w:val="24"/>
          <w:szCs w:val="24"/>
        </w:rPr>
        <w:t>年度預算</w:t>
      </w:r>
      <w:r w:rsidR="00270A16">
        <w:rPr>
          <w:rFonts w:hAnsi="標楷體" w:hint="eastAsia"/>
          <w:sz w:val="24"/>
          <w:szCs w:val="24"/>
        </w:rPr>
        <w:t>案</w:t>
      </w:r>
      <w:r w:rsidRPr="003A2160">
        <w:rPr>
          <w:rFonts w:hAnsi="標楷體" w:hint="eastAsia"/>
          <w:sz w:val="24"/>
          <w:szCs w:val="24"/>
        </w:rPr>
        <w:t>。</w:t>
      </w:r>
    </w:p>
    <w:p w:rsidR="002C4D7F" w:rsidRPr="003A2160" w:rsidRDefault="002C4D7F" w:rsidP="002C4D7F">
      <w:pPr>
        <w:pStyle w:val="a5"/>
        <w:ind w:left="851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(二)</w:t>
      </w:r>
      <w:r w:rsidR="00EA27A6" w:rsidRPr="003A2160">
        <w:rPr>
          <w:rFonts w:hAnsi="標楷體" w:hint="eastAsia"/>
          <w:b/>
        </w:rPr>
        <w:t>成品天然氣及液化石油氣近3年度決算呈單位銷售虧損，</w:t>
      </w:r>
      <w:r w:rsidR="006A438F" w:rsidRPr="003A2160">
        <w:rPr>
          <w:rFonts w:hAnsi="標楷體" w:hint="eastAsia"/>
          <w:b/>
        </w:rPr>
        <w:t>允宜審酌國際燃料發展及淨零轉型政策等影響，檢討強化管控營運成本及價格費率之彈性調整機制，逐步改善虧損情形</w:t>
      </w:r>
    </w:p>
    <w:p w:rsidR="006A438F" w:rsidRPr="003A2160" w:rsidRDefault="006A438F" w:rsidP="002C4D7F">
      <w:pPr>
        <w:pStyle w:val="22"/>
        <w:ind w:left="850" w:firstLine="567"/>
        <w:rPr>
          <w:rFonts w:hAnsi="標楷體"/>
        </w:rPr>
      </w:pPr>
      <w:r w:rsidRPr="003A2160">
        <w:rPr>
          <w:rFonts w:hAnsi="標楷體" w:hint="eastAsia"/>
        </w:rPr>
        <w:t>檢視台灣中油公司108至112年度決算銷</w:t>
      </w:r>
      <w:r w:rsidR="00EA27A6" w:rsidRPr="003A2160">
        <w:rPr>
          <w:rFonts w:hAnsi="標楷體" w:hint="eastAsia"/>
        </w:rPr>
        <w:t>售</w:t>
      </w:r>
      <w:r w:rsidRPr="003A2160">
        <w:rPr>
          <w:rFonts w:hAnsi="標楷體" w:hint="eastAsia"/>
        </w:rPr>
        <w:t>計畫之</w:t>
      </w:r>
      <w:r w:rsidR="00AF3374" w:rsidRPr="003A2160">
        <w:rPr>
          <w:rFonts w:hAnsi="標楷體" w:hint="eastAsia"/>
        </w:rPr>
        <w:t>主要</w:t>
      </w:r>
      <w:r w:rsidRPr="003A2160">
        <w:rPr>
          <w:rFonts w:hAnsi="標楷體" w:hint="eastAsia"/>
        </w:rPr>
        <w:t>產品單位銷售成本及售價情形(詳表</w:t>
      </w:r>
      <w:r w:rsidRPr="003A2160">
        <w:rPr>
          <w:rFonts w:hAnsi="標楷體"/>
        </w:rPr>
        <w:t>2</w:t>
      </w:r>
      <w:r w:rsidRPr="003A2160">
        <w:rPr>
          <w:rFonts w:hAnsi="標楷體" w:hint="eastAsia"/>
        </w:rPr>
        <w:t>)，</w:t>
      </w:r>
      <w:r w:rsidR="00EA27A6" w:rsidRPr="003A2160">
        <w:rPr>
          <w:rFonts w:hAnsi="標楷體" w:hint="eastAsia"/>
        </w:rPr>
        <w:t>其中</w:t>
      </w:r>
      <w:r w:rsidRPr="003A2160">
        <w:rPr>
          <w:rFonts w:hAnsi="標楷體" w:hint="eastAsia"/>
        </w:rPr>
        <w:t>：</w:t>
      </w:r>
    </w:p>
    <w:p w:rsidR="006A438F" w:rsidRPr="003A2160" w:rsidRDefault="006A438F" w:rsidP="006A438F">
      <w:pPr>
        <w:pStyle w:val="123"/>
        <w:ind w:left="1133" w:hanging="283"/>
      </w:pPr>
      <w:r w:rsidRPr="003A2160">
        <w:rPr>
          <w:rFonts w:hint="eastAsia"/>
        </w:rPr>
        <w:t>1.按</w:t>
      </w:r>
      <w:r w:rsidR="005A3E0E" w:rsidRPr="003A2160">
        <w:rPr>
          <w:rFonts w:hint="eastAsia"/>
        </w:rPr>
        <w:t>台灣中油公司</w:t>
      </w:r>
      <w:r w:rsidRPr="003A2160">
        <w:rPr>
          <w:rFonts w:hint="eastAsia"/>
        </w:rPr>
        <w:t>112年度決算主要產品銷售收入占營收比率觀之，前3名分別為成品天然氣(占比35.27%)、車用汽油(占比21.13%)及柴油(占比11.64%)，合共占營收逾6成</w:t>
      </w:r>
      <w:r w:rsidR="00D6368A">
        <w:rPr>
          <w:rFonts w:hint="eastAsia"/>
        </w:rPr>
        <w:t>。惟</w:t>
      </w:r>
      <w:r w:rsidRPr="003A2160">
        <w:rPr>
          <w:rFonts w:hint="eastAsia"/>
        </w:rPr>
        <w:t>除「車用汽油」外，其餘2項產品單位售價均低於單位成本，每單位銷售虧損各為945元及1,965元，其中成品天然氣110至112年度配合政府穩定物價政策緩漲氣價等，該3年度每千立方公尺虧損介於945元至8,129元之間，年度銷售虧損金額各為749億元、2,157億元及247億元</w:t>
      </w:r>
      <w:r w:rsidR="00EA27A6" w:rsidRPr="003A2160">
        <w:rPr>
          <w:rStyle w:val="af5"/>
        </w:rPr>
        <w:footnoteReference w:id="2"/>
      </w:r>
      <w:r w:rsidRPr="003A2160">
        <w:rPr>
          <w:rFonts w:hint="eastAsia"/>
        </w:rPr>
        <w:t>；至液化石油氣112年度決算銷售收入占營收比重雖僅0.86%，惟該產品110至112年度亦配合穩定物價政策由</w:t>
      </w:r>
      <w:r w:rsidR="00EA27A6" w:rsidRPr="003A2160">
        <w:rPr>
          <w:rFonts w:hint="eastAsia"/>
        </w:rPr>
        <w:t>台灣中油公司</w:t>
      </w:r>
      <w:r w:rsidRPr="003A2160">
        <w:rPr>
          <w:rFonts w:hint="eastAsia"/>
        </w:rPr>
        <w:t>暫行吸收</w:t>
      </w:r>
      <w:r w:rsidR="00D6368A">
        <w:rPr>
          <w:rFonts w:hint="eastAsia"/>
        </w:rPr>
        <w:t>油</w:t>
      </w:r>
      <w:r w:rsidRPr="003A2160">
        <w:rPr>
          <w:rFonts w:hint="eastAsia"/>
        </w:rPr>
        <w:t>氣價，該3年度每公噸虧損均逾3千元以上，為銷售產品每單位銷售虧損偏高項目。</w:t>
      </w:r>
    </w:p>
    <w:p w:rsidR="001511B4" w:rsidRPr="003A2160" w:rsidRDefault="002A068F" w:rsidP="007A08B6">
      <w:pPr>
        <w:pStyle w:val="123"/>
        <w:ind w:left="1133" w:hanging="283"/>
      </w:pPr>
      <w:r w:rsidRPr="003A2160">
        <w:lastRenderedPageBreak/>
        <w:t>2</w:t>
      </w:r>
      <w:r w:rsidR="007A08B6" w:rsidRPr="003A2160">
        <w:rPr>
          <w:rFonts w:hint="eastAsia"/>
        </w:rPr>
        <w:t>.</w:t>
      </w:r>
      <w:r w:rsidR="00270A16" w:rsidRPr="003A2160">
        <w:rPr>
          <w:rFonts w:hint="eastAsia"/>
        </w:rPr>
        <w:t>台灣中油公司</w:t>
      </w:r>
      <w:r w:rsidR="00510E3C">
        <w:rPr>
          <w:rFonts w:hint="eastAsia"/>
        </w:rPr>
        <w:t>近</w:t>
      </w:r>
      <w:r w:rsidR="00270A16">
        <w:rPr>
          <w:rFonts w:hint="eastAsia"/>
        </w:rPr>
        <w:t>年經營政策均列有「持續檢討油氣調價機制</w:t>
      </w:r>
      <w:r w:rsidR="00510E3C">
        <w:rPr>
          <w:rFonts w:hint="eastAsia"/>
        </w:rPr>
        <w:t>，使油氣價格合理化</w:t>
      </w:r>
      <w:r w:rsidR="00270A16">
        <w:rPr>
          <w:rFonts w:hint="eastAsia"/>
        </w:rPr>
        <w:t>」</w:t>
      </w:r>
      <w:r w:rsidR="00510E3C">
        <w:rPr>
          <w:rFonts w:hint="eastAsia"/>
        </w:rPr>
        <w:t>項目</w:t>
      </w:r>
      <w:r w:rsidR="00270A16">
        <w:rPr>
          <w:rFonts w:hint="eastAsia"/>
        </w:rPr>
        <w:t>，</w:t>
      </w:r>
      <w:r w:rsidR="00510E3C">
        <w:rPr>
          <w:rFonts w:hint="eastAsia"/>
        </w:rPr>
        <w:t>經洽詢有關油氣價格調整之內部檢討研議情形</w:t>
      </w:r>
      <w:r w:rsidRPr="003A2160">
        <w:rPr>
          <w:rFonts w:hint="eastAsia"/>
        </w:rPr>
        <w:t>，</w:t>
      </w:r>
      <w:r w:rsidR="00510E3C">
        <w:rPr>
          <w:rFonts w:hint="eastAsia"/>
        </w:rPr>
        <w:t>據復</w:t>
      </w:r>
      <w:r w:rsidR="00D6368A">
        <w:rPr>
          <w:rFonts w:hint="eastAsia"/>
        </w:rPr>
        <w:t>略以，</w:t>
      </w:r>
      <w:r w:rsidR="001511B4" w:rsidRPr="003A2160">
        <w:rPr>
          <w:rFonts w:hint="eastAsia"/>
        </w:rPr>
        <w:t>國內汽柴油價格係依浮動油價機制每週進行調整，</w:t>
      </w:r>
      <w:r w:rsidR="00A23FAA" w:rsidRPr="003A2160">
        <w:rPr>
          <w:rFonts w:hint="eastAsia"/>
        </w:rPr>
        <w:t>又</w:t>
      </w:r>
      <w:r w:rsidRPr="003A2160">
        <w:rPr>
          <w:rFonts w:hint="eastAsia"/>
        </w:rPr>
        <w:t>為降低國際油價大幅上漲對國內民生產業之衝擊，訂有</w:t>
      </w:r>
      <w:r w:rsidR="001511B4" w:rsidRPr="003A2160">
        <w:rPr>
          <w:rFonts w:hint="eastAsia"/>
        </w:rPr>
        <w:t>亞鄰競爭國最低價及平穩措施之</w:t>
      </w:r>
      <w:r w:rsidRPr="003A2160">
        <w:rPr>
          <w:rFonts w:hint="eastAsia"/>
        </w:rPr>
        <w:t>雙緩漲機</w:t>
      </w:r>
      <w:r w:rsidR="001511B4" w:rsidRPr="003A2160">
        <w:rPr>
          <w:rFonts w:hint="eastAsia"/>
        </w:rPr>
        <w:t>制</w:t>
      </w:r>
      <w:r w:rsidR="001511B4" w:rsidRPr="003A2160">
        <w:rPr>
          <w:rStyle w:val="af5"/>
        </w:rPr>
        <w:footnoteReference w:id="3"/>
      </w:r>
      <w:r w:rsidR="001511B4" w:rsidRPr="003A2160">
        <w:rPr>
          <w:rFonts w:hint="eastAsia"/>
        </w:rPr>
        <w:t>，該公司</w:t>
      </w:r>
      <w:r w:rsidR="00510E3C">
        <w:rPr>
          <w:rFonts w:hint="eastAsia"/>
        </w:rPr>
        <w:t>經</w:t>
      </w:r>
      <w:r w:rsidR="001511B4" w:rsidRPr="003A2160">
        <w:rPr>
          <w:rFonts w:hint="eastAsia"/>
        </w:rPr>
        <w:t>持續關注國際油價</w:t>
      </w:r>
      <w:r w:rsidR="00510E3C">
        <w:rPr>
          <w:rFonts w:hint="eastAsia"/>
        </w:rPr>
        <w:t>走勢及密切追蹤亞鄰各國油價補貼降稅措施實施情形，並彙整相關資料</w:t>
      </w:r>
      <w:r w:rsidR="001511B4" w:rsidRPr="003A2160">
        <w:rPr>
          <w:rFonts w:hint="eastAsia"/>
        </w:rPr>
        <w:t>，</w:t>
      </w:r>
      <w:r w:rsidR="00DA34B4" w:rsidRPr="003A2160">
        <w:rPr>
          <w:rFonts w:hint="eastAsia"/>
        </w:rPr>
        <w:t>就現行</w:t>
      </w:r>
      <w:r w:rsidR="001511B4" w:rsidRPr="003A2160">
        <w:rPr>
          <w:rFonts w:hint="eastAsia"/>
        </w:rPr>
        <w:t>汽柴油浮動油價機制以維持亞鄰最低價及油價平穩措施，但應</w:t>
      </w:r>
      <w:r w:rsidR="00DA34B4" w:rsidRPr="003A2160">
        <w:rPr>
          <w:rFonts w:hint="eastAsia"/>
        </w:rPr>
        <w:t>「</w:t>
      </w:r>
      <w:r w:rsidR="001511B4" w:rsidRPr="003A2160">
        <w:rPr>
          <w:rFonts w:hint="eastAsia"/>
        </w:rPr>
        <w:t>排除其他國家政府補貼因素</w:t>
      </w:r>
      <w:r w:rsidR="00DA34B4" w:rsidRPr="003A2160">
        <w:rPr>
          <w:rFonts w:hint="eastAsia"/>
        </w:rPr>
        <w:t>」</w:t>
      </w:r>
      <w:r w:rsidR="001511B4" w:rsidRPr="003A2160">
        <w:rPr>
          <w:rFonts w:hint="eastAsia"/>
        </w:rPr>
        <w:t>之建議修正方案</w:t>
      </w:r>
      <w:r w:rsidR="00510E3C">
        <w:rPr>
          <w:rFonts w:hint="eastAsia"/>
        </w:rPr>
        <w:t>，已</w:t>
      </w:r>
      <w:r w:rsidR="001511B4" w:rsidRPr="003A2160">
        <w:rPr>
          <w:rFonts w:hint="eastAsia"/>
        </w:rPr>
        <w:t>向行政院爭取調整；至</w:t>
      </w:r>
      <w:r w:rsidR="00DA34B4" w:rsidRPr="003A2160">
        <w:rPr>
          <w:rFonts w:hint="eastAsia"/>
        </w:rPr>
        <w:t>天然氣價</w:t>
      </w:r>
      <w:r w:rsidR="00A23FAA" w:rsidRPr="003A2160">
        <w:rPr>
          <w:rFonts w:hint="eastAsia"/>
        </w:rPr>
        <w:t>之調價方式</w:t>
      </w:r>
      <w:r w:rsidR="00DA34B4" w:rsidRPr="003A2160">
        <w:rPr>
          <w:rFonts w:hint="eastAsia"/>
        </w:rPr>
        <w:t>，係</w:t>
      </w:r>
      <w:r w:rsidR="00D05883">
        <w:rPr>
          <w:rFonts w:hint="eastAsia"/>
        </w:rPr>
        <w:t>維持</w:t>
      </w:r>
      <w:r w:rsidR="00A23FAA" w:rsidRPr="003A2160">
        <w:rPr>
          <w:rFonts w:hint="eastAsia"/>
        </w:rPr>
        <w:t>以當年度法定預算之氣源成本為基準，逐月檢討全年進口</w:t>
      </w:r>
      <w:r w:rsidR="00A23FAA" w:rsidRPr="003A2160">
        <w:t>LNG</w:t>
      </w:r>
      <w:r w:rsidR="00A23FAA" w:rsidRPr="003A2160">
        <w:rPr>
          <w:rFonts w:hint="eastAsia"/>
        </w:rPr>
        <w:t>氣源成本變動</w:t>
      </w:r>
      <w:r w:rsidR="00A23FAA" w:rsidRPr="003A2160">
        <w:t>(</w:t>
      </w:r>
      <w:r w:rsidR="00A23FAA" w:rsidRPr="003A2160">
        <w:t>Δ</w:t>
      </w:r>
      <w:r w:rsidR="00A23FAA" w:rsidRPr="003A2160">
        <w:t>LNGC)</w:t>
      </w:r>
      <w:r w:rsidR="00A23FAA" w:rsidRPr="003A2160">
        <w:rPr>
          <w:rFonts w:hint="eastAsia"/>
        </w:rPr>
        <w:t>，再按當月至年底預算銷量</w:t>
      </w:r>
      <w:r w:rsidR="00A23FAA" w:rsidRPr="003A2160">
        <w:t>(Q)</w:t>
      </w:r>
      <w:r w:rsidR="00A23FAA" w:rsidRPr="003A2160">
        <w:rPr>
          <w:rFonts w:hint="eastAsia"/>
        </w:rPr>
        <w:t>，計算單價變動</w:t>
      </w:r>
      <w:r w:rsidR="00A23FAA" w:rsidRPr="003A2160">
        <w:t>(</w:t>
      </w:r>
      <w:r w:rsidR="00A23FAA" w:rsidRPr="003A2160">
        <w:t>Δ</w:t>
      </w:r>
      <w:r w:rsidR="00A23FAA" w:rsidRPr="003A2160">
        <w:t>P)</w:t>
      </w:r>
      <w:r w:rsidR="00A23FAA" w:rsidRPr="003A2160">
        <w:rPr>
          <w:rFonts w:hint="eastAsia"/>
        </w:rPr>
        <w:t>，單月調幅在</w:t>
      </w:r>
      <w:r w:rsidR="00A23FAA" w:rsidRPr="003A2160">
        <w:t>3%</w:t>
      </w:r>
      <w:r w:rsidR="00A23FAA" w:rsidRPr="003A2160">
        <w:rPr>
          <w:rFonts w:hint="eastAsia"/>
        </w:rPr>
        <w:t>以內，連續</w:t>
      </w:r>
      <w:r w:rsidR="00A23FAA" w:rsidRPr="003A2160">
        <w:t>3</w:t>
      </w:r>
      <w:r w:rsidR="00A23FAA" w:rsidRPr="003A2160">
        <w:rPr>
          <w:rFonts w:hint="eastAsia"/>
        </w:rPr>
        <w:t>個月累積調幅在</w:t>
      </w:r>
      <w:r w:rsidR="00A23FAA" w:rsidRPr="003A2160">
        <w:t>6%</w:t>
      </w:r>
      <w:r w:rsidR="00A23FAA" w:rsidRPr="003A2160">
        <w:rPr>
          <w:rFonts w:hint="eastAsia"/>
        </w:rPr>
        <w:t>內，授權台灣中油公司自行公佈後陳報經濟部備查，超出授權幅度，則陳報經濟部核定</w:t>
      </w:r>
      <w:r w:rsidR="00DA34B4" w:rsidRPr="003A2160">
        <w:rPr>
          <w:rFonts w:hint="eastAsia"/>
        </w:rPr>
        <w:t>。</w:t>
      </w:r>
    </w:p>
    <w:p w:rsidR="007A08B6" w:rsidRPr="003A2160" w:rsidRDefault="001511B4" w:rsidP="007A08B6">
      <w:pPr>
        <w:pStyle w:val="123"/>
        <w:ind w:left="1133" w:hanging="283"/>
      </w:pPr>
      <w:r w:rsidRPr="003A2160">
        <w:t>3.</w:t>
      </w:r>
      <w:r w:rsidRPr="003A2160">
        <w:rPr>
          <w:rFonts w:hint="eastAsia"/>
        </w:rPr>
        <w:t>台灣中油公司</w:t>
      </w:r>
      <w:r w:rsidR="007A08B6" w:rsidRPr="003A2160">
        <w:rPr>
          <w:rFonts w:hint="eastAsia"/>
        </w:rPr>
        <w:t>於肩負政府照顧民生、穩定物價及兼顧產業競爭力之政策性任務下，產品售價雖未能依循一般商業機制完全有效反映成本，惟鑑於國內能源多仰賴進口，允宜審慎評估國際燃料發展及淨零轉型政策等對於營運之影響，強化營運成本之控管及主要產品價格費率公平合理之調整機制，以改善事業營運績效。</w:t>
      </w:r>
    </w:p>
    <w:p w:rsidR="002C4D7F" w:rsidRPr="003A2160" w:rsidRDefault="002C4D7F" w:rsidP="002C4D7F">
      <w:pPr>
        <w:ind w:left="567" w:firstLine="567"/>
      </w:pPr>
      <w:r w:rsidRPr="003A2160">
        <w:rPr>
          <w:rFonts w:hint="eastAsia"/>
        </w:rPr>
        <w:t>綜上，台灣中油公司</w:t>
      </w:r>
      <w:r w:rsidR="002D5588" w:rsidRPr="003A2160">
        <w:rPr>
          <w:rFonts w:hint="eastAsia"/>
        </w:rPr>
        <w:t>114年度預算案「營業收入」編列1兆2,086億7,674萬2千元，較113年度預算案減少132億6,384</w:t>
      </w:r>
      <w:r w:rsidR="002D5588" w:rsidRPr="003A2160">
        <w:rPr>
          <w:rFonts w:hint="eastAsia"/>
        </w:rPr>
        <w:lastRenderedPageBreak/>
        <w:t>萬1千元</w:t>
      </w:r>
      <w:r w:rsidR="00AF3374" w:rsidRPr="003A2160">
        <w:rPr>
          <w:rFonts w:hint="eastAsia"/>
        </w:rPr>
        <w:t>，</w:t>
      </w:r>
      <w:r w:rsidR="002D5588" w:rsidRPr="003A2160">
        <w:rPr>
          <w:rFonts w:hint="eastAsia"/>
        </w:rPr>
        <w:t>減幅1.09%</w:t>
      </w:r>
      <w:r w:rsidR="005A3E0E" w:rsidRPr="003A2160">
        <w:rPr>
          <w:rFonts w:hint="eastAsia"/>
        </w:rPr>
        <w:t>，</w:t>
      </w:r>
      <w:r w:rsidR="00AF3374" w:rsidRPr="003A2160">
        <w:rPr>
          <w:rFonts w:hint="eastAsia"/>
        </w:rPr>
        <w:t>經檢視114年度預算案之產品銷售量除成品天然氣較113年度成長外，其餘產品均概呈下降；</w:t>
      </w:r>
      <w:r w:rsidR="005A3E0E" w:rsidRPr="003A2160">
        <w:rPr>
          <w:rFonts w:hint="eastAsia"/>
        </w:rPr>
        <w:t>且</w:t>
      </w:r>
      <w:r w:rsidR="00AF3374" w:rsidRPr="003A2160">
        <w:rPr>
          <w:rFonts w:hint="eastAsia"/>
        </w:rPr>
        <w:t>近</w:t>
      </w:r>
      <w:r w:rsidR="005A3E0E" w:rsidRPr="003A2160">
        <w:rPr>
          <w:rFonts w:hint="eastAsia"/>
        </w:rPr>
        <w:t>3</w:t>
      </w:r>
      <w:r w:rsidR="00AF3374" w:rsidRPr="003A2160">
        <w:rPr>
          <w:rFonts w:hint="eastAsia"/>
        </w:rPr>
        <w:t>年</w:t>
      </w:r>
      <w:r w:rsidR="005A3E0E" w:rsidRPr="003A2160">
        <w:rPr>
          <w:rFonts w:hint="eastAsia"/>
        </w:rPr>
        <w:t>決算成品天然氣及液化石油氣之</w:t>
      </w:r>
      <w:r w:rsidR="00AF3374" w:rsidRPr="003A2160">
        <w:rPr>
          <w:rFonts w:hint="eastAsia"/>
        </w:rPr>
        <w:t>單位售價低於單位成本致銷售虧損，允宜盤整產業景氣變化、國際燃料發展及淨零轉型政策等因素所面臨經營挑戰</w:t>
      </w:r>
      <w:r w:rsidR="00510E3C">
        <w:rPr>
          <w:rFonts w:hint="eastAsia"/>
        </w:rPr>
        <w:t>妥謀因應</w:t>
      </w:r>
      <w:r w:rsidR="00AF3374" w:rsidRPr="003A2160">
        <w:rPr>
          <w:rFonts w:hint="eastAsia"/>
        </w:rPr>
        <w:t>，</w:t>
      </w:r>
      <w:r w:rsidR="00510E3C">
        <w:rPr>
          <w:rFonts w:hint="eastAsia"/>
        </w:rPr>
        <w:t>並</w:t>
      </w:r>
      <w:r w:rsidR="00AF3374" w:rsidRPr="003A2160">
        <w:rPr>
          <w:rFonts w:hint="eastAsia"/>
        </w:rPr>
        <w:t>強化成本控管及售價費率之調整機制，</w:t>
      </w:r>
      <w:r w:rsidR="007F0E1A" w:rsidRPr="003A2160">
        <w:rPr>
          <w:rFonts w:hint="eastAsia"/>
        </w:rPr>
        <w:t>落實使用者付費原則，</w:t>
      </w:r>
      <w:r w:rsidR="00AF3374" w:rsidRPr="003A2160">
        <w:rPr>
          <w:rFonts w:hint="eastAsia"/>
        </w:rPr>
        <w:t>以維營運健全</w:t>
      </w:r>
      <w:r w:rsidRPr="003A2160">
        <w:rPr>
          <w:rFonts w:hint="eastAsia"/>
        </w:rPr>
        <w:t>。</w:t>
      </w:r>
    </w:p>
    <w:p w:rsidR="00EC5DE7" w:rsidRPr="003A2160" w:rsidRDefault="00EC5DE7" w:rsidP="00EC5DE7">
      <w:pPr>
        <w:ind w:leftChars="5" w:left="787" w:rightChars="-155" w:right="-439" w:hangingChars="307" w:hanging="773"/>
        <w:rPr>
          <w:rFonts w:hAnsi="標楷體"/>
          <w:spacing w:val="-16"/>
          <w:sz w:val="24"/>
          <w:szCs w:val="24"/>
        </w:rPr>
      </w:pPr>
      <w:r w:rsidRPr="003A2160">
        <w:rPr>
          <w:rFonts w:hAnsi="標楷體" w:hint="eastAsia"/>
          <w:b/>
          <w:spacing w:val="-16"/>
        </w:rPr>
        <w:t>表</w:t>
      </w:r>
      <w:r w:rsidRPr="003A2160">
        <w:rPr>
          <w:rFonts w:hAnsi="標楷體"/>
          <w:b/>
          <w:spacing w:val="-16"/>
        </w:rPr>
        <w:t>2</w:t>
      </w:r>
      <w:r w:rsidRPr="003A2160">
        <w:rPr>
          <w:rFonts w:hAnsi="標楷體" w:hint="eastAsia"/>
          <w:b/>
          <w:spacing w:val="-16"/>
        </w:rPr>
        <w:t xml:space="preserve">  台灣中油公司1</w:t>
      </w:r>
      <w:r w:rsidRPr="003A2160">
        <w:rPr>
          <w:rFonts w:hAnsi="標楷體"/>
          <w:b/>
          <w:spacing w:val="-16"/>
        </w:rPr>
        <w:t>08</w:t>
      </w:r>
      <w:r w:rsidRPr="003A2160">
        <w:rPr>
          <w:rFonts w:hAnsi="標楷體" w:hint="eastAsia"/>
          <w:b/>
          <w:spacing w:val="-16"/>
        </w:rPr>
        <w:t>至11</w:t>
      </w:r>
      <w:r w:rsidRPr="003A2160">
        <w:rPr>
          <w:rFonts w:hAnsi="標楷體"/>
          <w:b/>
          <w:spacing w:val="-16"/>
        </w:rPr>
        <w:t>2</w:t>
      </w:r>
      <w:r w:rsidRPr="003A2160">
        <w:rPr>
          <w:rFonts w:hAnsi="標楷體" w:hint="eastAsia"/>
          <w:b/>
          <w:spacing w:val="-16"/>
        </w:rPr>
        <w:t xml:space="preserve">年度產品單位成本與售價比較表 </w:t>
      </w:r>
      <w:r w:rsidRPr="003A2160">
        <w:rPr>
          <w:rFonts w:hAnsi="標楷體" w:hint="eastAsia"/>
          <w:spacing w:val="-16"/>
          <w:sz w:val="24"/>
          <w:szCs w:val="24"/>
        </w:rPr>
        <w:t>單位：新臺幣元</w:t>
      </w:r>
    </w:p>
    <w:tbl>
      <w:tblPr>
        <w:tblW w:w="8524" w:type="dxa"/>
        <w:tblInd w:w="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1050"/>
        <w:gridCol w:w="13"/>
        <w:gridCol w:w="1224"/>
        <w:gridCol w:w="13"/>
        <w:gridCol w:w="1224"/>
        <w:gridCol w:w="13"/>
        <w:gridCol w:w="1224"/>
        <w:gridCol w:w="13"/>
        <w:gridCol w:w="1224"/>
        <w:gridCol w:w="13"/>
        <w:gridCol w:w="1224"/>
        <w:gridCol w:w="13"/>
      </w:tblGrid>
      <w:tr w:rsidR="00EC5DE7" w:rsidRPr="003A2160" w:rsidTr="00DD1FFA">
        <w:trPr>
          <w:trHeight w:val="283"/>
          <w:tblHeader/>
        </w:trPr>
        <w:tc>
          <w:tcPr>
            <w:tcW w:w="709" w:type="dxa"/>
            <w:shd w:val="clear" w:color="auto" w:fill="auto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產品</w:t>
            </w:r>
          </w:p>
        </w:tc>
        <w:tc>
          <w:tcPr>
            <w:tcW w:w="567" w:type="dxa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單位</w:t>
            </w:r>
          </w:p>
        </w:tc>
        <w:tc>
          <w:tcPr>
            <w:tcW w:w="1063" w:type="dxa"/>
            <w:gridSpan w:val="2"/>
            <w:shd w:val="clear" w:color="auto" w:fill="auto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項目</w:t>
            </w:r>
          </w:p>
        </w:tc>
        <w:tc>
          <w:tcPr>
            <w:tcW w:w="1237" w:type="dxa"/>
            <w:gridSpan w:val="2"/>
            <w:shd w:val="clear" w:color="auto" w:fill="auto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108年度</w:t>
            </w:r>
          </w:p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決算</w:t>
            </w:r>
          </w:p>
        </w:tc>
        <w:tc>
          <w:tcPr>
            <w:tcW w:w="1237" w:type="dxa"/>
            <w:gridSpan w:val="2"/>
            <w:shd w:val="clear" w:color="auto" w:fill="auto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109年度</w:t>
            </w:r>
          </w:p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決算</w:t>
            </w:r>
          </w:p>
        </w:tc>
        <w:tc>
          <w:tcPr>
            <w:tcW w:w="1237" w:type="dxa"/>
            <w:gridSpan w:val="2"/>
            <w:shd w:val="clear" w:color="auto" w:fill="auto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110年度</w:t>
            </w:r>
          </w:p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決算</w:t>
            </w:r>
          </w:p>
        </w:tc>
        <w:tc>
          <w:tcPr>
            <w:tcW w:w="1237" w:type="dxa"/>
            <w:gridSpan w:val="2"/>
            <w:shd w:val="clear" w:color="auto" w:fill="auto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111年度</w:t>
            </w:r>
          </w:p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決算</w:t>
            </w:r>
          </w:p>
        </w:tc>
        <w:tc>
          <w:tcPr>
            <w:tcW w:w="1237" w:type="dxa"/>
            <w:gridSpan w:val="2"/>
            <w:shd w:val="clear" w:color="auto" w:fill="auto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112年度</w:t>
            </w:r>
          </w:p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決算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EC5DE7" w:rsidRPr="003A2160" w:rsidRDefault="00EC5DE7" w:rsidP="003026F1">
            <w:pPr>
              <w:pStyle w:val="142"/>
              <w:spacing w:line="240" w:lineRule="exact"/>
              <w:ind w:rightChars="10" w:right="28"/>
              <w:jc w:val="both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成品天然氣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千立方公尺</w:t>
            </w: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單位售價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11,716.31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8,287.48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8,307.21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13,985.08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14,888.82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both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單位成本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10,941.54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7,659.91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11,238.85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22,113.81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15,834.36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both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單位盈虧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774.77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627.57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510E3C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color w:val="FF0000"/>
                <w:sz w:val="24"/>
                <w:szCs w:val="24"/>
              </w:rPr>
            </w:pPr>
            <w:r w:rsidRPr="00510E3C">
              <w:rPr>
                <w:color w:val="FF0000"/>
                <w:sz w:val="24"/>
                <w:szCs w:val="24"/>
              </w:rPr>
              <w:t xml:space="preserve">-2,931.64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510E3C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color w:val="FF0000"/>
                <w:sz w:val="24"/>
                <w:szCs w:val="24"/>
              </w:rPr>
            </w:pPr>
            <w:r w:rsidRPr="00510E3C">
              <w:rPr>
                <w:color w:val="FF0000"/>
                <w:sz w:val="24"/>
                <w:szCs w:val="24"/>
              </w:rPr>
              <w:t xml:space="preserve">-8,128.73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510E3C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color w:val="FF0000"/>
                <w:sz w:val="24"/>
                <w:szCs w:val="24"/>
              </w:rPr>
            </w:pPr>
            <w:r w:rsidRPr="00510E3C">
              <w:rPr>
                <w:color w:val="FF0000"/>
                <w:sz w:val="24"/>
                <w:szCs w:val="24"/>
              </w:rPr>
              <w:t xml:space="preserve">-945.54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EC5DE7" w:rsidRPr="003A2160" w:rsidRDefault="00EC5DE7" w:rsidP="003026F1">
            <w:pPr>
              <w:pStyle w:val="142"/>
              <w:spacing w:line="240" w:lineRule="exact"/>
              <w:ind w:rightChars="10" w:right="28"/>
              <w:jc w:val="both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液化石油氣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公噸</w:t>
            </w: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單位售價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20,426.46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14,476.17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15,475.83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15,531.50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15,511.97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both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單位成本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19,028.45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13,832.73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18,906.93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28,419.55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22,137.67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both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單位盈虧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1,398.01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643.44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510E3C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color w:val="FF0000"/>
                <w:sz w:val="24"/>
                <w:szCs w:val="24"/>
              </w:rPr>
            </w:pPr>
            <w:r w:rsidRPr="00510E3C">
              <w:rPr>
                <w:color w:val="FF0000"/>
                <w:sz w:val="24"/>
                <w:szCs w:val="24"/>
              </w:rPr>
              <w:t xml:space="preserve">-3,431.10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510E3C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color w:val="FF0000"/>
                <w:sz w:val="24"/>
                <w:szCs w:val="24"/>
              </w:rPr>
            </w:pPr>
            <w:r w:rsidRPr="00510E3C">
              <w:rPr>
                <w:color w:val="FF0000"/>
                <w:sz w:val="24"/>
                <w:szCs w:val="24"/>
              </w:rPr>
              <w:t xml:space="preserve">-12,888.05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510E3C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color w:val="FF0000"/>
                <w:sz w:val="24"/>
                <w:szCs w:val="24"/>
              </w:rPr>
            </w:pPr>
            <w:r w:rsidRPr="00510E3C">
              <w:rPr>
                <w:color w:val="FF0000"/>
                <w:sz w:val="24"/>
                <w:szCs w:val="24"/>
              </w:rPr>
              <w:t xml:space="preserve">-6,625.70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EC5DE7" w:rsidRPr="003A2160" w:rsidRDefault="00EC5DE7" w:rsidP="003026F1">
            <w:pPr>
              <w:pStyle w:val="142"/>
              <w:spacing w:line="240" w:lineRule="exact"/>
              <w:ind w:rightChars="10" w:right="28"/>
              <w:jc w:val="both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車用汽油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公秉</w:t>
            </w: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單位售價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23,088.33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19,073.21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23,417.44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26,915.34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26,494.00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both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單位成本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22,462.10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19,526.51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20,550.19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27,830.40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26,078.19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both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單位盈虧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626.23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510E3C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color w:val="FF0000"/>
                <w:sz w:val="24"/>
                <w:szCs w:val="24"/>
              </w:rPr>
            </w:pPr>
            <w:r w:rsidRPr="00510E3C">
              <w:rPr>
                <w:color w:val="FF0000"/>
                <w:sz w:val="24"/>
                <w:szCs w:val="24"/>
              </w:rPr>
              <w:t xml:space="preserve">-453.30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2,867.25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510E3C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color w:val="FF0000"/>
                <w:sz w:val="24"/>
                <w:szCs w:val="24"/>
              </w:rPr>
            </w:pPr>
            <w:r w:rsidRPr="00510E3C">
              <w:rPr>
                <w:color w:val="FF0000"/>
                <w:sz w:val="24"/>
                <w:szCs w:val="24"/>
              </w:rPr>
              <w:t xml:space="preserve">-915.06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415.80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both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柴油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 w:hint="eastAsia"/>
                <w:spacing w:val="-20"/>
                <w:szCs w:val="24"/>
              </w:rPr>
              <w:t>公秉</w:t>
            </w: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單位售價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18,785.40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14,043.12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19,569.40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24,441.37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23,229.90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both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單位成本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17,978.52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15,165.68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16,763.14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23,144.67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25,195.03 </w:t>
            </w:r>
          </w:p>
        </w:tc>
      </w:tr>
      <w:tr w:rsidR="00EC5DE7" w:rsidRPr="003A2160" w:rsidTr="00DD1FFA">
        <w:trPr>
          <w:gridAfter w:val="1"/>
          <w:wAfter w:w="13" w:type="dxa"/>
          <w:trHeight w:val="255"/>
        </w:trPr>
        <w:tc>
          <w:tcPr>
            <w:tcW w:w="709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both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C5DE7" w:rsidRPr="003A2160" w:rsidRDefault="00EC5DE7" w:rsidP="00894DC4">
            <w:pPr>
              <w:pStyle w:val="142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050" w:type="dxa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單位盈虧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806.88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510E3C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color w:val="FF0000"/>
                <w:sz w:val="24"/>
                <w:szCs w:val="24"/>
              </w:rPr>
            </w:pPr>
            <w:r w:rsidRPr="00510E3C">
              <w:rPr>
                <w:color w:val="FF0000"/>
                <w:sz w:val="24"/>
                <w:szCs w:val="24"/>
              </w:rPr>
              <w:t xml:space="preserve">-1,122.56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2,806.26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3A2160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A2160">
              <w:rPr>
                <w:sz w:val="24"/>
                <w:szCs w:val="24"/>
              </w:rPr>
              <w:t xml:space="preserve">1,296.70 </w:t>
            </w:r>
          </w:p>
        </w:tc>
        <w:tc>
          <w:tcPr>
            <w:tcW w:w="1237" w:type="dxa"/>
            <w:gridSpan w:val="2"/>
            <w:shd w:val="clear" w:color="auto" w:fill="FFFFFF"/>
            <w:vAlign w:val="center"/>
          </w:tcPr>
          <w:p w:rsidR="00EC5DE7" w:rsidRPr="00510E3C" w:rsidRDefault="00EC5DE7" w:rsidP="00894DC4">
            <w:pPr>
              <w:spacing w:line="240" w:lineRule="exact"/>
              <w:ind w:leftChars="0" w:left="0" w:firstLineChars="0" w:firstLine="0"/>
              <w:jc w:val="right"/>
              <w:rPr>
                <w:color w:val="FF0000"/>
                <w:sz w:val="24"/>
                <w:szCs w:val="24"/>
              </w:rPr>
            </w:pPr>
            <w:r w:rsidRPr="00510E3C">
              <w:rPr>
                <w:color w:val="FF0000"/>
                <w:sz w:val="24"/>
                <w:szCs w:val="24"/>
              </w:rPr>
              <w:t xml:space="preserve">-1,965.13 </w:t>
            </w:r>
          </w:p>
        </w:tc>
      </w:tr>
    </w:tbl>
    <w:p w:rsidR="00EC5DE7" w:rsidRPr="003A2160" w:rsidRDefault="00EC5DE7" w:rsidP="00EC5DE7">
      <w:pPr>
        <w:spacing w:line="280" w:lineRule="exact"/>
        <w:ind w:leftChars="0" w:left="0" w:firstLineChars="0" w:firstLine="0"/>
        <w:rPr>
          <w:rFonts w:hAnsi="標楷體"/>
          <w:sz w:val="24"/>
          <w:szCs w:val="24"/>
        </w:rPr>
      </w:pPr>
      <w:r w:rsidRPr="003A2160">
        <w:rPr>
          <w:rFonts w:hAnsi="標楷體" w:hint="eastAsia"/>
          <w:sz w:val="24"/>
          <w:szCs w:val="24"/>
        </w:rPr>
        <w:t>說    明：108至11</w:t>
      </w:r>
      <w:r w:rsidRPr="003A2160">
        <w:rPr>
          <w:rFonts w:hAnsi="標楷體"/>
          <w:sz w:val="24"/>
          <w:szCs w:val="24"/>
        </w:rPr>
        <w:t>2</w:t>
      </w:r>
      <w:r w:rsidRPr="003A2160">
        <w:rPr>
          <w:rFonts w:hAnsi="標楷體" w:hint="eastAsia"/>
          <w:sz w:val="24"/>
          <w:szCs w:val="24"/>
        </w:rPr>
        <w:t>年度均為決算</w:t>
      </w:r>
      <w:r w:rsidR="00CF4329" w:rsidRPr="003A2160">
        <w:rPr>
          <w:rFonts w:hAnsi="標楷體" w:hint="eastAsia"/>
          <w:sz w:val="24"/>
          <w:szCs w:val="24"/>
        </w:rPr>
        <w:t>審定</w:t>
      </w:r>
      <w:r w:rsidRPr="003A2160">
        <w:rPr>
          <w:rFonts w:hAnsi="標楷體" w:hint="eastAsia"/>
          <w:sz w:val="24"/>
          <w:szCs w:val="24"/>
        </w:rPr>
        <w:t>數。</w:t>
      </w:r>
    </w:p>
    <w:p w:rsidR="00EC5DE7" w:rsidRPr="003A2160" w:rsidRDefault="00EC5DE7" w:rsidP="00EC5DE7">
      <w:pPr>
        <w:spacing w:line="280" w:lineRule="exact"/>
        <w:ind w:leftChars="0" w:left="0" w:firstLineChars="0" w:firstLine="0"/>
        <w:rPr>
          <w:rFonts w:hAnsi="標楷體"/>
          <w:sz w:val="24"/>
          <w:szCs w:val="24"/>
        </w:rPr>
      </w:pPr>
      <w:r w:rsidRPr="003A2160">
        <w:rPr>
          <w:rFonts w:hAnsi="標楷體" w:hint="eastAsia"/>
          <w:sz w:val="24"/>
          <w:szCs w:val="24"/>
        </w:rPr>
        <w:t>資料來源：台灣中油公司提供。</w:t>
      </w:r>
    </w:p>
    <w:bookmarkEnd w:id="15"/>
    <w:bookmarkEnd w:id="16"/>
    <w:bookmarkEnd w:id="17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sectPr w:rsidR="00EC5DE7" w:rsidRPr="003A2160" w:rsidSect="006D6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359" w:rsidRDefault="00D32359" w:rsidP="00C73CE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charset w:val="00"/>
    <w:family w:val="roman"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C41D7B" w:rsidRDefault="00C41D7B" w:rsidP="00C73CE8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657357" w:rsidRDefault="00C41D7B" w:rsidP="00562731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F1A1C" w:rsidRPr="002F1A1C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359" w:rsidRDefault="00D32359" w:rsidP="005507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footnote>
  <w:footnote w:id="1">
    <w:p w:rsidR="00C41D7B" w:rsidRPr="00957703" w:rsidRDefault="00C41D7B" w:rsidP="00F50093">
      <w:pPr>
        <w:pStyle w:val="142"/>
        <w:ind w:left="68" w:hangingChars="28" w:hanging="68"/>
        <w:jc w:val="both"/>
      </w:pPr>
      <w:r>
        <w:rPr>
          <w:rStyle w:val="af5"/>
        </w:rPr>
        <w:footnoteRef/>
      </w:r>
      <w:r>
        <w:rPr>
          <w:rFonts w:hint="eastAsia"/>
        </w:rPr>
        <w:t>參閱經濟部主管國營事業114年度事業計畫之台灣中油公司「煉量及產銷營運目標」說明。</w:t>
      </w:r>
    </w:p>
  </w:footnote>
  <w:footnote w:id="2">
    <w:p w:rsidR="00C41D7B" w:rsidRPr="001511B4" w:rsidRDefault="00C41D7B" w:rsidP="00F50093">
      <w:pPr>
        <w:pStyle w:val="142"/>
        <w:ind w:left="68" w:hangingChars="28" w:hanging="68"/>
        <w:jc w:val="both"/>
        <w:rPr>
          <w:snapToGrid/>
          <w:vertAlign w:val="superscript"/>
        </w:rPr>
      </w:pPr>
      <w:r w:rsidRPr="000B5818">
        <w:rPr>
          <w:snapToGrid/>
          <w:vertAlign w:val="superscript"/>
        </w:rPr>
        <w:footnoteRef/>
      </w:r>
      <w:r w:rsidRPr="00422096">
        <w:rPr>
          <w:rFonts w:hint="eastAsia"/>
          <w:snapToGrid/>
        </w:rPr>
        <w:t>參閱</w:t>
      </w:r>
      <w:r w:rsidRPr="00EA27A6">
        <w:rPr>
          <w:rFonts w:hint="eastAsia"/>
          <w:snapToGrid/>
        </w:rPr>
        <w:t>台灣中油公司</w:t>
      </w:r>
      <w:r w:rsidRPr="00422096">
        <w:rPr>
          <w:rFonts w:hint="eastAsia"/>
          <w:snapToGrid/>
        </w:rPr>
        <w:t>110至112年度</w:t>
      </w:r>
      <w:r>
        <w:rPr>
          <w:rFonts w:hint="eastAsia"/>
          <w:snapToGrid/>
        </w:rPr>
        <w:t>決算</w:t>
      </w:r>
      <w:r w:rsidRPr="00422096">
        <w:rPr>
          <w:rFonts w:hint="eastAsia"/>
          <w:snapToGrid/>
        </w:rPr>
        <w:t>之成本與售價比較表。</w:t>
      </w:r>
    </w:p>
  </w:footnote>
  <w:footnote w:id="3">
    <w:p w:rsidR="00C41D7B" w:rsidRPr="001511B4" w:rsidRDefault="00C41D7B" w:rsidP="00F50093">
      <w:pPr>
        <w:pStyle w:val="142"/>
        <w:ind w:left="68" w:hangingChars="28" w:hanging="68"/>
        <w:jc w:val="both"/>
        <w:rPr>
          <w:szCs w:val="24"/>
        </w:rPr>
      </w:pPr>
      <w:r w:rsidRPr="001511B4">
        <w:rPr>
          <w:snapToGrid/>
          <w:szCs w:val="24"/>
          <w:vertAlign w:val="superscript"/>
        </w:rPr>
        <w:footnoteRef/>
      </w:r>
      <w:r w:rsidRPr="001511B4">
        <w:rPr>
          <w:rFonts w:hint="eastAsia"/>
          <w:snapToGrid/>
          <w:szCs w:val="24"/>
        </w:rPr>
        <w:t>汽柴油價格雙緩漲機制：1.亞鄰競爭國最低價：國內汽、柴油稅前批售價以亞鄰競爭國</w:t>
      </w:r>
      <w:r>
        <w:rPr>
          <w:rFonts w:hint="eastAsia"/>
          <w:snapToGrid/>
          <w:szCs w:val="24"/>
        </w:rPr>
        <w:t>(</w:t>
      </w:r>
      <w:r w:rsidRPr="001511B4">
        <w:rPr>
          <w:rFonts w:hint="eastAsia"/>
          <w:snapToGrid/>
          <w:szCs w:val="24"/>
        </w:rPr>
        <w:t>日、韓、港、星</w:t>
      </w:r>
      <w:r>
        <w:rPr>
          <w:rFonts w:hint="eastAsia"/>
          <w:snapToGrid/>
          <w:szCs w:val="24"/>
        </w:rPr>
        <w:t>)</w:t>
      </w:r>
      <w:r w:rsidRPr="001511B4">
        <w:rPr>
          <w:rFonts w:hint="eastAsia"/>
          <w:snapToGrid/>
          <w:szCs w:val="24"/>
        </w:rPr>
        <w:t>稅前價之最低價為調整上限</w:t>
      </w:r>
      <w:r>
        <w:rPr>
          <w:rFonts w:hint="eastAsia"/>
          <w:snapToGrid/>
          <w:szCs w:val="24"/>
        </w:rPr>
        <w:t>；</w:t>
      </w:r>
      <w:r w:rsidRPr="001511B4">
        <w:rPr>
          <w:snapToGrid/>
          <w:szCs w:val="24"/>
        </w:rPr>
        <w:t>2.</w:t>
      </w:r>
      <w:r w:rsidRPr="001511B4">
        <w:rPr>
          <w:rFonts w:hint="eastAsia"/>
          <w:snapToGrid/>
          <w:szCs w:val="24"/>
        </w:rPr>
        <w:t>平穩措施：95汽油每公升零售價超過30、32.5及35元等3個緩漲門檻部分，由</w:t>
      </w:r>
      <w:r w:rsidRPr="003026F1">
        <w:rPr>
          <w:rFonts w:hint="eastAsia"/>
          <w:snapToGrid/>
          <w:szCs w:val="24"/>
        </w:rPr>
        <w:t>台灣中油公司</w:t>
      </w:r>
      <w:r w:rsidRPr="001511B4">
        <w:rPr>
          <w:rFonts w:hint="eastAsia"/>
          <w:snapToGrid/>
          <w:szCs w:val="24"/>
        </w:rPr>
        <w:t>與政府分別吸收25%、50%及75%。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545709" w:rsidRDefault="00C41D7B" w:rsidP="00C73CE8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E724DC7"/>
    <w:multiLevelType w:val="multilevel"/>
    <w:tmpl w:val="5C3AA9B2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color w:val="auto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7" w15:restartNumberingAfterBreak="0">
    <w:nsid w:val="27F77465"/>
    <w:multiLevelType w:val="multilevel"/>
    <w:tmpl w:val="1020F0F4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4" w15:restartNumberingAfterBreak="0">
    <w:nsid w:val="64B67271"/>
    <w:multiLevelType w:val="multilevel"/>
    <w:tmpl w:val="BE3C9D9A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  <w:color w:val="auto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6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5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4"/>
  </w:num>
  <w:num w:numId="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7A3"/>
    <w:rsid w:val="00001DDD"/>
    <w:rsid w:val="00004102"/>
    <w:rsid w:val="000043FB"/>
    <w:rsid w:val="000044E7"/>
    <w:rsid w:val="00004682"/>
    <w:rsid w:val="00004E14"/>
    <w:rsid w:val="0000508F"/>
    <w:rsid w:val="00005106"/>
    <w:rsid w:val="0000535C"/>
    <w:rsid w:val="00005A75"/>
    <w:rsid w:val="0000766D"/>
    <w:rsid w:val="00010547"/>
    <w:rsid w:val="00010818"/>
    <w:rsid w:val="000109A8"/>
    <w:rsid w:val="0001142A"/>
    <w:rsid w:val="00012258"/>
    <w:rsid w:val="000124A1"/>
    <w:rsid w:val="00012909"/>
    <w:rsid w:val="00013407"/>
    <w:rsid w:val="00013FEF"/>
    <w:rsid w:val="00014498"/>
    <w:rsid w:val="00014499"/>
    <w:rsid w:val="000147F5"/>
    <w:rsid w:val="00015447"/>
    <w:rsid w:val="00015B38"/>
    <w:rsid w:val="000169A6"/>
    <w:rsid w:val="00016CD8"/>
    <w:rsid w:val="000177D9"/>
    <w:rsid w:val="00017A6A"/>
    <w:rsid w:val="00020995"/>
    <w:rsid w:val="00020CDB"/>
    <w:rsid w:val="00020D3F"/>
    <w:rsid w:val="00020DF8"/>
    <w:rsid w:val="0002187D"/>
    <w:rsid w:val="00021EF5"/>
    <w:rsid w:val="00022102"/>
    <w:rsid w:val="0002283F"/>
    <w:rsid w:val="00022B64"/>
    <w:rsid w:val="00022D87"/>
    <w:rsid w:val="000236E6"/>
    <w:rsid w:val="00023722"/>
    <w:rsid w:val="0002425C"/>
    <w:rsid w:val="00024445"/>
    <w:rsid w:val="000246F6"/>
    <w:rsid w:val="00025436"/>
    <w:rsid w:val="0002559E"/>
    <w:rsid w:val="0002663F"/>
    <w:rsid w:val="00026B0E"/>
    <w:rsid w:val="00026DB4"/>
    <w:rsid w:val="00027CBF"/>
    <w:rsid w:val="00030363"/>
    <w:rsid w:val="000305BC"/>
    <w:rsid w:val="0003083E"/>
    <w:rsid w:val="00030AEB"/>
    <w:rsid w:val="000315CD"/>
    <w:rsid w:val="00031E5B"/>
    <w:rsid w:val="000324D4"/>
    <w:rsid w:val="00032802"/>
    <w:rsid w:val="00032E1E"/>
    <w:rsid w:val="0003382F"/>
    <w:rsid w:val="00033B9D"/>
    <w:rsid w:val="00033D30"/>
    <w:rsid w:val="00033FD5"/>
    <w:rsid w:val="000342AE"/>
    <w:rsid w:val="000345B9"/>
    <w:rsid w:val="00034CF6"/>
    <w:rsid w:val="00035B38"/>
    <w:rsid w:val="000366A1"/>
    <w:rsid w:val="00036CAB"/>
    <w:rsid w:val="000376A4"/>
    <w:rsid w:val="00037BBE"/>
    <w:rsid w:val="00037CBC"/>
    <w:rsid w:val="00040B5D"/>
    <w:rsid w:val="00041711"/>
    <w:rsid w:val="00041DAF"/>
    <w:rsid w:val="00041FC7"/>
    <w:rsid w:val="0004204F"/>
    <w:rsid w:val="00042475"/>
    <w:rsid w:val="0004441B"/>
    <w:rsid w:val="00044AB0"/>
    <w:rsid w:val="000451D1"/>
    <w:rsid w:val="0004620A"/>
    <w:rsid w:val="00046C10"/>
    <w:rsid w:val="00047DD7"/>
    <w:rsid w:val="000500DE"/>
    <w:rsid w:val="0005017F"/>
    <w:rsid w:val="000508C3"/>
    <w:rsid w:val="00050B8D"/>
    <w:rsid w:val="000513BE"/>
    <w:rsid w:val="00051AB5"/>
    <w:rsid w:val="00053122"/>
    <w:rsid w:val="000532DF"/>
    <w:rsid w:val="0005384A"/>
    <w:rsid w:val="00054A57"/>
    <w:rsid w:val="000550B9"/>
    <w:rsid w:val="000559DC"/>
    <w:rsid w:val="00055AAD"/>
    <w:rsid w:val="00056D2B"/>
    <w:rsid w:val="0005736B"/>
    <w:rsid w:val="00057426"/>
    <w:rsid w:val="00057F61"/>
    <w:rsid w:val="00057F93"/>
    <w:rsid w:val="00060140"/>
    <w:rsid w:val="000611F8"/>
    <w:rsid w:val="00062A1E"/>
    <w:rsid w:val="0006345F"/>
    <w:rsid w:val="00063EA9"/>
    <w:rsid w:val="000641A0"/>
    <w:rsid w:val="00064B30"/>
    <w:rsid w:val="00064F01"/>
    <w:rsid w:val="00065174"/>
    <w:rsid w:val="00065290"/>
    <w:rsid w:val="00065E27"/>
    <w:rsid w:val="00066379"/>
    <w:rsid w:val="000663D5"/>
    <w:rsid w:val="00066C46"/>
    <w:rsid w:val="00067524"/>
    <w:rsid w:val="00067AE2"/>
    <w:rsid w:val="00067FBD"/>
    <w:rsid w:val="00070311"/>
    <w:rsid w:val="00070A79"/>
    <w:rsid w:val="0007185A"/>
    <w:rsid w:val="00071AB7"/>
    <w:rsid w:val="00071E33"/>
    <w:rsid w:val="00071F5C"/>
    <w:rsid w:val="0007276F"/>
    <w:rsid w:val="00072DED"/>
    <w:rsid w:val="000732D3"/>
    <w:rsid w:val="000736E3"/>
    <w:rsid w:val="000740B1"/>
    <w:rsid w:val="0007416E"/>
    <w:rsid w:val="00074B80"/>
    <w:rsid w:val="00075389"/>
    <w:rsid w:val="000761F8"/>
    <w:rsid w:val="0007644F"/>
    <w:rsid w:val="0007652C"/>
    <w:rsid w:val="00076F13"/>
    <w:rsid w:val="00077A4C"/>
    <w:rsid w:val="00080074"/>
    <w:rsid w:val="00080503"/>
    <w:rsid w:val="00080594"/>
    <w:rsid w:val="00080768"/>
    <w:rsid w:val="000808DA"/>
    <w:rsid w:val="00080B59"/>
    <w:rsid w:val="00081482"/>
    <w:rsid w:val="0008166D"/>
    <w:rsid w:val="00082805"/>
    <w:rsid w:val="0008380E"/>
    <w:rsid w:val="00085739"/>
    <w:rsid w:val="0008676A"/>
    <w:rsid w:val="00086B14"/>
    <w:rsid w:val="00086E2D"/>
    <w:rsid w:val="0008745E"/>
    <w:rsid w:val="00087506"/>
    <w:rsid w:val="00087A68"/>
    <w:rsid w:val="00087EF4"/>
    <w:rsid w:val="000903CA"/>
    <w:rsid w:val="00090915"/>
    <w:rsid w:val="000929EF"/>
    <w:rsid w:val="00093710"/>
    <w:rsid w:val="00093797"/>
    <w:rsid w:val="0009432F"/>
    <w:rsid w:val="00094C04"/>
    <w:rsid w:val="00094EB3"/>
    <w:rsid w:val="000967FF"/>
    <w:rsid w:val="00096A1C"/>
    <w:rsid w:val="0009746D"/>
    <w:rsid w:val="000A0329"/>
    <w:rsid w:val="000A0955"/>
    <w:rsid w:val="000A3303"/>
    <w:rsid w:val="000A35D7"/>
    <w:rsid w:val="000A3FB1"/>
    <w:rsid w:val="000A4035"/>
    <w:rsid w:val="000A5B4E"/>
    <w:rsid w:val="000A5B9B"/>
    <w:rsid w:val="000A5CD2"/>
    <w:rsid w:val="000A631D"/>
    <w:rsid w:val="000A692F"/>
    <w:rsid w:val="000A744D"/>
    <w:rsid w:val="000A79A0"/>
    <w:rsid w:val="000A7B20"/>
    <w:rsid w:val="000B05AB"/>
    <w:rsid w:val="000B0790"/>
    <w:rsid w:val="000B10B7"/>
    <w:rsid w:val="000B1332"/>
    <w:rsid w:val="000B21A6"/>
    <w:rsid w:val="000B2CC4"/>
    <w:rsid w:val="000B383C"/>
    <w:rsid w:val="000B3B00"/>
    <w:rsid w:val="000B4264"/>
    <w:rsid w:val="000B4521"/>
    <w:rsid w:val="000B4F34"/>
    <w:rsid w:val="000B5C2A"/>
    <w:rsid w:val="000B6D8E"/>
    <w:rsid w:val="000B7994"/>
    <w:rsid w:val="000C0B32"/>
    <w:rsid w:val="000C0D83"/>
    <w:rsid w:val="000C0D97"/>
    <w:rsid w:val="000C0EF5"/>
    <w:rsid w:val="000C10BA"/>
    <w:rsid w:val="000C1513"/>
    <w:rsid w:val="000C1C9D"/>
    <w:rsid w:val="000C21AF"/>
    <w:rsid w:val="000C31CC"/>
    <w:rsid w:val="000C47EB"/>
    <w:rsid w:val="000C4BBA"/>
    <w:rsid w:val="000C4D4C"/>
    <w:rsid w:val="000C4FFB"/>
    <w:rsid w:val="000C5CAA"/>
    <w:rsid w:val="000C5F56"/>
    <w:rsid w:val="000C6379"/>
    <w:rsid w:val="000C709A"/>
    <w:rsid w:val="000C7750"/>
    <w:rsid w:val="000C7F7B"/>
    <w:rsid w:val="000D0CE8"/>
    <w:rsid w:val="000D113E"/>
    <w:rsid w:val="000D1678"/>
    <w:rsid w:val="000D2FAB"/>
    <w:rsid w:val="000D3209"/>
    <w:rsid w:val="000D366E"/>
    <w:rsid w:val="000D3901"/>
    <w:rsid w:val="000D3FFC"/>
    <w:rsid w:val="000D424D"/>
    <w:rsid w:val="000D44C9"/>
    <w:rsid w:val="000D47AD"/>
    <w:rsid w:val="000D4AEC"/>
    <w:rsid w:val="000D4FD0"/>
    <w:rsid w:val="000E01B5"/>
    <w:rsid w:val="000E0356"/>
    <w:rsid w:val="000E0B32"/>
    <w:rsid w:val="000E13F5"/>
    <w:rsid w:val="000E16DE"/>
    <w:rsid w:val="000E1840"/>
    <w:rsid w:val="000E269F"/>
    <w:rsid w:val="000E2B41"/>
    <w:rsid w:val="000E32C5"/>
    <w:rsid w:val="000E388F"/>
    <w:rsid w:val="000E3D13"/>
    <w:rsid w:val="000E47A2"/>
    <w:rsid w:val="000E521B"/>
    <w:rsid w:val="000E5223"/>
    <w:rsid w:val="000E655E"/>
    <w:rsid w:val="000E656B"/>
    <w:rsid w:val="000E6A0C"/>
    <w:rsid w:val="000E6ACF"/>
    <w:rsid w:val="000E6C16"/>
    <w:rsid w:val="000E7341"/>
    <w:rsid w:val="000E7FBB"/>
    <w:rsid w:val="000F0F27"/>
    <w:rsid w:val="000F28E9"/>
    <w:rsid w:val="000F2CFB"/>
    <w:rsid w:val="000F365C"/>
    <w:rsid w:val="000F42F7"/>
    <w:rsid w:val="000F44A1"/>
    <w:rsid w:val="000F488C"/>
    <w:rsid w:val="000F4F3A"/>
    <w:rsid w:val="000F5814"/>
    <w:rsid w:val="000F59E7"/>
    <w:rsid w:val="000F5C4B"/>
    <w:rsid w:val="000F64BB"/>
    <w:rsid w:val="000F73FE"/>
    <w:rsid w:val="000F7FEE"/>
    <w:rsid w:val="00100720"/>
    <w:rsid w:val="00100DCC"/>
    <w:rsid w:val="00100F64"/>
    <w:rsid w:val="00101161"/>
    <w:rsid w:val="0010160E"/>
    <w:rsid w:val="001020C2"/>
    <w:rsid w:val="00102A29"/>
    <w:rsid w:val="00102A4F"/>
    <w:rsid w:val="001030A2"/>
    <w:rsid w:val="0010345E"/>
    <w:rsid w:val="001038CA"/>
    <w:rsid w:val="00103AD0"/>
    <w:rsid w:val="00103B03"/>
    <w:rsid w:val="00103C4E"/>
    <w:rsid w:val="001050F4"/>
    <w:rsid w:val="001054C0"/>
    <w:rsid w:val="001054C8"/>
    <w:rsid w:val="00105A0B"/>
    <w:rsid w:val="00106246"/>
    <w:rsid w:val="00106633"/>
    <w:rsid w:val="001067A0"/>
    <w:rsid w:val="0010708C"/>
    <w:rsid w:val="00107873"/>
    <w:rsid w:val="0010787F"/>
    <w:rsid w:val="00110454"/>
    <w:rsid w:val="0011061A"/>
    <w:rsid w:val="00110892"/>
    <w:rsid w:val="00110EB8"/>
    <w:rsid w:val="00111DFC"/>
    <w:rsid w:val="001124EC"/>
    <w:rsid w:val="001134DD"/>
    <w:rsid w:val="001135C4"/>
    <w:rsid w:val="00113A63"/>
    <w:rsid w:val="00114350"/>
    <w:rsid w:val="001144BE"/>
    <w:rsid w:val="00114C2F"/>
    <w:rsid w:val="00114E51"/>
    <w:rsid w:val="00114F26"/>
    <w:rsid w:val="00114F5D"/>
    <w:rsid w:val="0011528C"/>
    <w:rsid w:val="0011568F"/>
    <w:rsid w:val="001156C3"/>
    <w:rsid w:val="00115F8B"/>
    <w:rsid w:val="001169C0"/>
    <w:rsid w:val="00116DF7"/>
    <w:rsid w:val="00117108"/>
    <w:rsid w:val="00120A96"/>
    <w:rsid w:val="00121CF2"/>
    <w:rsid w:val="0012273A"/>
    <w:rsid w:val="001227DE"/>
    <w:rsid w:val="00122A9C"/>
    <w:rsid w:val="001240E5"/>
    <w:rsid w:val="00124247"/>
    <w:rsid w:val="001251DF"/>
    <w:rsid w:val="00126119"/>
    <w:rsid w:val="00126C5F"/>
    <w:rsid w:val="001273A8"/>
    <w:rsid w:val="001273AC"/>
    <w:rsid w:val="0012764C"/>
    <w:rsid w:val="001276E7"/>
    <w:rsid w:val="00127DC7"/>
    <w:rsid w:val="0013009D"/>
    <w:rsid w:val="001326B7"/>
    <w:rsid w:val="00132FB4"/>
    <w:rsid w:val="00133332"/>
    <w:rsid w:val="0013334D"/>
    <w:rsid w:val="00133A75"/>
    <w:rsid w:val="00133DD4"/>
    <w:rsid w:val="00134268"/>
    <w:rsid w:val="001343E4"/>
    <w:rsid w:val="00134899"/>
    <w:rsid w:val="00134AFF"/>
    <w:rsid w:val="001350BC"/>
    <w:rsid w:val="00135269"/>
    <w:rsid w:val="001352F8"/>
    <w:rsid w:val="001354D8"/>
    <w:rsid w:val="00135ADF"/>
    <w:rsid w:val="001361CE"/>
    <w:rsid w:val="001364AB"/>
    <w:rsid w:val="00136C9A"/>
    <w:rsid w:val="0014010D"/>
    <w:rsid w:val="0014036E"/>
    <w:rsid w:val="00141BAD"/>
    <w:rsid w:val="001426B9"/>
    <w:rsid w:val="00142CCB"/>
    <w:rsid w:val="00143346"/>
    <w:rsid w:val="001439D9"/>
    <w:rsid w:val="00144857"/>
    <w:rsid w:val="00144CA5"/>
    <w:rsid w:val="0014534F"/>
    <w:rsid w:val="00145D85"/>
    <w:rsid w:val="00146490"/>
    <w:rsid w:val="00146BA1"/>
    <w:rsid w:val="00146EA2"/>
    <w:rsid w:val="00147C98"/>
    <w:rsid w:val="00150F27"/>
    <w:rsid w:val="001511B4"/>
    <w:rsid w:val="0015133A"/>
    <w:rsid w:val="00151AD3"/>
    <w:rsid w:val="0015248B"/>
    <w:rsid w:val="00153690"/>
    <w:rsid w:val="00153A4A"/>
    <w:rsid w:val="00153F87"/>
    <w:rsid w:val="00154356"/>
    <w:rsid w:val="001543CF"/>
    <w:rsid w:val="00154F39"/>
    <w:rsid w:val="001550A3"/>
    <w:rsid w:val="001551D1"/>
    <w:rsid w:val="00155417"/>
    <w:rsid w:val="00155441"/>
    <w:rsid w:val="00155952"/>
    <w:rsid w:val="001561D8"/>
    <w:rsid w:val="001575FA"/>
    <w:rsid w:val="00157ACD"/>
    <w:rsid w:val="00160400"/>
    <w:rsid w:val="001606AC"/>
    <w:rsid w:val="00160EFB"/>
    <w:rsid w:val="001618F3"/>
    <w:rsid w:val="00161B4C"/>
    <w:rsid w:val="00161B8E"/>
    <w:rsid w:val="00161F47"/>
    <w:rsid w:val="00161FAE"/>
    <w:rsid w:val="00162595"/>
    <w:rsid w:val="00163BA6"/>
    <w:rsid w:val="00164232"/>
    <w:rsid w:val="0016554E"/>
    <w:rsid w:val="00165AB3"/>
    <w:rsid w:val="00165C50"/>
    <w:rsid w:val="00165DDC"/>
    <w:rsid w:val="00166A35"/>
    <w:rsid w:val="00166F2F"/>
    <w:rsid w:val="00167121"/>
    <w:rsid w:val="00167B17"/>
    <w:rsid w:val="00167BB0"/>
    <w:rsid w:val="001729A9"/>
    <w:rsid w:val="00172E43"/>
    <w:rsid w:val="0017394B"/>
    <w:rsid w:val="00173B9D"/>
    <w:rsid w:val="001756AB"/>
    <w:rsid w:val="0017697A"/>
    <w:rsid w:val="00176D58"/>
    <w:rsid w:val="001772FC"/>
    <w:rsid w:val="00177AE3"/>
    <w:rsid w:val="00177FE2"/>
    <w:rsid w:val="00180717"/>
    <w:rsid w:val="00180B25"/>
    <w:rsid w:val="00181113"/>
    <w:rsid w:val="0018188C"/>
    <w:rsid w:val="00182141"/>
    <w:rsid w:val="0018265A"/>
    <w:rsid w:val="0018379F"/>
    <w:rsid w:val="00183E11"/>
    <w:rsid w:val="001840E0"/>
    <w:rsid w:val="001846D5"/>
    <w:rsid w:val="00185E9D"/>
    <w:rsid w:val="001866E6"/>
    <w:rsid w:val="00186D14"/>
    <w:rsid w:val="0018733B"/>
    <w:rsid w:val="001875A6"/>
    <w:rsid w:val="00187F3C"/>
    <w:rsid w:val="00187F7F"/>
    <w:rsid w:val="001907FA"/>
    <w:rsid w:val="00190C03"/>
    <w:rsid w:val="00190DAC"/>
    <w:rsid w:val="00191293"/>
    <w:rsid w:val="001914B1"/>
    <w:rsid w:val="00191FF2"/>
    <w:rsid w:val="001922A6"/>
    <w:rsid w:val="0019247F"/>
    <w:rsid w:val="001928A0"/>
    <w:rsid w:val="00192C17"/>
    <w:rsid w:val="0019476A"/>
    <w:rsid w:val="00194BF1"/>
    <w:rsid w:val="00195C2C"/>
    <w:rsid w:val="00195E65"/>
    <w:rsid w:val="00196246"/>
    <w:rsid w:val="00196386"/>
    <w:rsid w:val="00196E03"/>
    <w:rsid w:val="001973C2"/>
    <w:rsid w:val="00197A0E"/>
    <w:rsid w:val="00197B7D"/>
    <w:rsid w:val="001A00F8"/>
    <w:rsid w:val="001A07D5"/>
    <w:rsid w:val="001A09D5"/>
    <w:rsid w:val="001A1086"/>
    <w:rsid w:val="001A15D6"/>
    <w:rsid w:val="001A1602"/>
    <w:rsid w:val="001A1634"/>
    <w:rsid w:val="001A1DDF"/>
    <w:rsid w:val="001A211B"/>
    <w:rsid w:val="001A2CFF"/>
    <w:rsid w:val="001A3956"/>
    <w:rsid w:val="001A3A2A"/>
    <w:rsid w:val="001A3DB4"/>
    <w:rsid w:val="001A3FC9"/>
    <w:rsid w:val="001A409E"/>
    <w:rsid w:val="001A460B"/>
    <w:rsid w:val="001A509B"/>
    <w:rsid w:val="001A5AB0"/>
    <w:rsid w:val="001A6408"/>
    <w:rsid w:val="001A6945"/>
    <w:rsid w:val="001A775D"/>
    <w:rsid w:val="001A7B36"/>
    <w:rsid w:val="001A7E04"/>
    <w:rsid w:val="001B0245"/>
    <w:rsid w:val="001B0B75"/>
    <w:rsid w:val="001B0E3B"/>
    <w:rsid w:val="001B1DE1"/>
    <w:rsid w:val="001B2E6C"/>
    <w:rsid w:val="001B308D"/>
    <w:rsid w:val="001B3E2F"/>
    <w:rsid w:val="001B48C5"/>
    <w:rsid w:val="001B4BAF"/>
    <w:rsid w:val="001B4E54"/>
    <w:rsid w:val="001B5F8A"/>
    <w:rsid w:val="001B6E44"/>
    <w:rsid w:val="001C051E"/>
    <w:rsid w:val="001C0AFF"/>
    <w:rsid w:val="001C0BDB"/>
    <w:rsid w:val="001C1E33"/>
    <w:rsid w:val="001C21CB"/>
    <w:rsid w:val="001C283A"/>
    <w:rsid w:val="001C532D"/>
    <w:rsid w:val="001C54EA"/>
    <w:rsid w:val="001C5623"/>
    <w:rsid w:val="001C6391"/>
    <w:rsid w:val="001C6500"/>
    <w:rsid w:val="001C7BC2"/>
    <w:rsid w:val="001C7F92"/>
    <w:rsid w:val="001D0A7B"/>
    <w:rsid w:val="001D17A5"/>
    <w:rsid w:val="001D1AED"/>
    <w:rsid w:val="001D277E"/>
    <w:rsid w:val="001D347C"/>
    <w:rsid w:val="001D3BFC"/>
    <w:rsid w:val="001D3E27"/>
    <w:rsid w:val="001D4775"/>
    <w:rsid w:val="001D4953"/>
    <w:rsid w:val="001D55BA"/>
    <w:rsid w:val="001D58CE"/>
    <w:rsid w:val="001D5EDA"/>
    <w:rsid w:val="001D5FE6"/>
    <w:rsid w:val="001D77B6"/>
    <w:rsid w:val="001D79CB"/>
    <w:rsid w:val="001D7CC8"/>
    <w:rsid w:val="001E028D"/>
    <w:rsid w:val="001E0900"/>
    <w:rsid w:val="001E0B1F"/>
    <w:rsid w:val="001E1EC7"/>
    <w:rsid w:val="001E2005"/>
    <w:rsid w:val="001E30C8"/>
    <w:rsid w:val="001E3B38"/>
    <w:rsid w:val="001E3BF9"/>
    <w:rsid w:val="001E3F10"/>
    <w:rsid w:val="001E43F8"/>
    <w:rsid w:val="001E513F"/>
    <w:rsid w:val="001E5641"/>
    <w:rsid w:val="001E5BFD"/>
    <w:rsid w:val="001E5EA6"/>
    <w:rsid w:val="001E60EF"/>
    <w:rsid w:val="001E733B"/>
    <w:rsid w:val="001E7957"/>
    <w:rsid w:val="001E7F66"/>
    <w:rsid w:val="001F15B1"/>
    <w:rsid w:val="001F17F6"/>
    <w:rsid w:val="001F18FB"/>
    <w:rsid w:val="001F2AA5"/>
    <w:rsid w:val="001F2D9A"/>
    <w:rsid w:val="001F431D"/>
    <w:rsid w:val="001F4511"/>
    <w:rsid w:val="001F568C"/>
    <w:rsid w:val="001F65B0"/>
    <w:rsid w:val="001F66E2"/>
    <w:rsid w:val="001F69F0"/>
    <w:rsid w:val="001F71F6"/>
    <w:rsid w:val="001F7895"/>
    <w:rsid w:val="00200E78"/>
    <w:rsid w:val="00201124"/>
    <w:rsid w:val="00201830"/>
    <w:rsid w:val="00203378"/>
    <w:rsid w:val="0020367A"/>
    <w:rsid w:val="002037EF"/>
    <w:rsid w:val="0020453A"/>
    <w:rsid w:val="00205109"/>
    <w:rsid w:val="00205B29"/>
    <w:rsid w:val="00205D33"/>
    <w:rsid w:val="00205EF1"/>
    <w:rsid w:val="00206739"/>
    <w:rsid w:val="00210E98"/>
    <w:rsid w:val="00212701"/>
    <w:rsid w:val="00212963"/>
    <w:rsid w:val="00212D75"/>
    <w:rsid w:val="00213816"/>
    <w:rsid w:val="0021385C"/>
    <w:rsid w:val="0021439A"/>
    <w:rsid w:val="00214D82"/>
    <w:rsid w:val="00214D99"/>
    <w:rsid w:val="00215CD9"/>
    <w:rsid w:val="0021626C"/>
    <w:rsid w:val="0021679C"/>
    <w:rsid w:val="00216F10"/>
    <w:rsid w:val="00216FD8"/>
    <w:rsid w:val="00217676"/>
    <w:rsid w:val="00220441"/>
    <w:rsid w:val="00220EB5"/>
    <w:rsid w:val="002219BF"/>
    <w:rsid w:val="00221DF1"/>
    <w:rsid w:val="00222EF6"/>
    <w:rsid w:val="002237E1"/>
    <w:rsid w:val="0022430B"/>
    <w:rsid w:val="00224BC6"/>
    <w:rsid w:val="002257A6"/>
    <w:rsid w:val="0022645C"/>
    <w:rsid w:val="00227372"/>
    <w:rsid w:val="0022738D"/>
    <w:rsid w:val="00227DBB"/>
    <w:rsid w:val="00230046"/>
    <w:rsid w:val="002300C3"/>
    <w:rsid w:val="002302C7"/>
    <w:rsid w:val="002303E9"/>
    <w:rsid w:val="00231450"/>
    <w:rsid w:val="00231BAC"/>
    <w:rsid w:val="00232893"/>
    <w:rsid w:val="002346E5"/>
    <w:rsid w:val="00234B02"/>
    <w:rsid w:val="0023505C"/>
    <w:rsid w:val="002350B1"/>
    <w:rsid w:val="00235F31"/>
    <w:rsid w:val="002365C0"/>
    <w:rsid w:val="00236D93"/>
    <w:rsid w:val="0023726B"/>
    <w:rsid w:val="00237BFA"/>
    <w:rsid w:val="00240034"/>
    <w:rsid w:val="0024035A"/>
    <w:rsid w:val="00240BA0"/>
    <w:rsid w:val="00240EAE"/>
    <w:rsid w:val="00241B11"/>
    <w:rsid w:val="00241FD8"/>
    <w:rsid w:val="002420BB"/>
    <w:rsid w:val="002429D1"/>
    <w:rsid w:val="00243627"/>
    <w:rsid w:val="00244119"/>
    <w:rsid w:val="00244523"/>
    <w:rsid w:val="002445EA"/>
    <w:rsid w:val="002447AF"/>
    <w:rsid w:val="00244D5D"/>
    <w:rsid w:val="0024508D"/>
    <w:rsid w:val="002456E0"/>
    <w:rsid w:val="002457AF"/>
    <w:rsid w:val="00246596"/>
    <w:rsid w:val="00246E4F"/>
    <w:rsid w:val="0024733E"/>
    <w:rsid w:val="00247645"/>
    <w:rsid w:val="00247829"/>
    <w:rsid w:val="002504FF"/>
    <w:rsid w:val="00250840"/>
    <w:rsid w:val="00250B0F"/>
    <w:rsid w:val="00250D2B"/>
    <w:rsid w:val="002513BC"/>
    <w:rsid w:val="00251492"/>
    <w:rsid w:val="0025207B"/>
    <w:rsid w:val="00254D5D"/>
    <w:rsid w:val="00254FCB"/>
    <w:rsid w:val="0025562C"/>
    <w:rsid w:val="00255BE5"/>
    <w:rsid w:val="00255C1F"/>
    <w:rsid w:val="00255C52"/>
    <w:rsid w:val="00256285"/>
    <w:rsid w:val="00256AA7"/>
    <w:rsid w:val="00256D92"/>
    <w:rsid w:val="002579B6"/>
    <w:rsid w:val="00257CA3"/>
    <w:rsid w:val="00257D4D"/>
    <w:rsid w:val="0026047C"/>
    <w:rsid w:val="00260A45"/>
    <w:rsid w:val="00260DB7"/>
    <w:rsid w:val="00261073"/>
    <w:rsid w:val="00261166"/>
    <w:rsid w:val="00261341"/>
    <w:rsid w:val="0026176D"/>
    <w:rsid w:val="002618DA"/>
    <w:rsid w:val="00261C8F"/>
    <w:rsid w:val="00261E2D"/>
    <w:rsid w:val="002620AD"/>
    <w:rsid w:val="0026218F"/>
    <w:rsid w:val="002628C9"/>
    <w:rsid w:val="00263329"/>
    <w:rsid w:val="00263B9D"/>
    <w:rsid w:val="0026426A"/>
    <w:rsid w:val="0026479C"/>
    <w:rsid w:val="00265121"/>
    <w:rsid w:val="00265427"/>
    <w:rsid w:val="00266853"/>
    <w:rsid w:val="002676B8"/>
    <w:rsid w:val="00267857"/>
    <w:rsid w:val="00267927"/>
    <w:rsid w:val="00270A16"/>
    <w:rsid w:val="00270EE4"/>
    <w:rsid w:val="0027179C"/>
    <w:rsid w:val="002718AB"/>
    <w:rsid w:val="00271E09"/>
    <w:rsid w:val="00272A6B"/>
    <w:rsid w:val="00273018"/>
    <w:rsid w:val="0027327A"/>
    <w:rsid w:val="00273832"/>
    <w:rsid w:val="002739DB"/>
    <w:rsid w:val="00274B7C"/>
    <w:rsid w:val="00274C74"/>
    <w:rsid w:val="00274EC9"/>
    <w:rsid w:val="00275A16"/>
    <w:rsid w:val="00275A3E"/>
    <w:rsid w:val="0027655E"/>
    <w:rsid w:val="00276BF9"/>
    <w:rsid w:val="002776A1"/>
    <w:rsid w:val="002776F5"/>
    <w:rsid w:val="00280773"/>
    <w:rsid w:val="00280CC3"/>
    <w:rsid w:val="00280EA5"/>
    <w:rsid w:val="002810F3"/>
    <w:rsid w:val="00281246"/>
    <w:rsid w:val="00281B76"/>
    <w:rsid w:val="0028215E"/>
    <w:rsid w:val="00284BD1"/>
    <w:rsid w:val="00285250"/>
    <w:rsid w:val="00286839"/>
    <w:rsid w:val="00286E09"/>
    <w:rsid w:val="00286FE8"/>
    <w:rsid w:val="0028743C"/>
    <w:rsid w:val="00287541"/>
    <w:rsid w:val="002877EC"/>
    <w:rsid w:val="00290336"/>
    <w:rsid w:val="00290E9B"/>
    <w:rsid w:val="00291C3D"/>
    <w:rsid w:val="00292D7B"/>
    <w:rsid w:val="0029300B"/>
    <w:rsid w:val="0029328D"/>
    <w:rsid w:val="002942FD"/>
    <w:rsid w:val="00294EE7"/>
    <w:rsid w:val="00295320"/>
    <w:rsid w:val="00295439"/>
    <w:rsid w:val="00295536"/>
    <w:rsid w:val="00296B68"/>
    <w:rsid w:val="002974F0"/>
    <w:rsid w:val="002978F0"/>
    <w:rsid w:val="00297A9D"/>
    <w:rsid w:val="00297C71"/>
    <w:rsid w:val="002A059B"/>
    <w:rsid w:val="002A0620"/>
    <w:rsid w:val="002A068F"/>
    <w:rsid w:val="002A0F55"/>
    <w:rsid w:val="002A2017"/>
    <w:rsid w:val="002A2046"/>
    <w:rsid w:val="002A3CBD"/>
    <w:rsid w:val="002A4076"/>
    <w:rsid w:val="002A49C5"/>
    <w:rsid w:val="002A4B67"/>
    <w:rsid w:val="002A4DEC"/>
    <w:rsid w:val="002A73E7"/>
    <w:rsid w:val="002A7A12"/>
    <w:rsid w:val="002A7A18"/>
    <w:rsid w:val="002A7F34"/>
    <w:rsid w:val="002B0084"/>
    <w:rsid w:val="002B0402"/>
    <w:rsid w:val="002B0E94"/>
    <w:rsid w:val="002B188A"/>
    <w:rsid w:val="002B1D0C"/>
    <w:rsid w:val="002B1E8C"/>
    <w:rsid w:val="002B1ECE"/>
    <w:rsid w:val="002B25CD"/>
    <w:rsid w:val="002B2610"/>
    <w:rsid w:val="002B2F87"/>
    <w:rsid w:val="002B3856"/>
    <w:rsid w:val="002B560D"/>
    <w:rsid w:val="002B5A2D"/>
    <w:rsid w:val="002B6569"/>
    <w:rsid w:val="002B769D"/>
    <w:rsid w:val="002B7C01"/>
    <w:rsid w:val="002C022B"/>
    <w:rsid w:val="002C0457"/>
    <w:rsid w:val="002C074B"/>
    <w:rsid w:val="002C12D5"/>
    <w:rsid w:val="002C1762"/>
    <w:rsid w:val="002C1A13"/>
    <w:rsid w:val="002C2433"/>
    <w:rsid w:val="002C305B"/>
    <w:rsid w:val="002C3955"/>
    <w:rsid w:val="002C4136"/>
    <w:rsid w:val="002C4D7F"/>
    <w:rsid w:val="002C51EF"/>
    <w:rsid w:val="002C56E7"/>
    <w:rsid w:val="002C5AFA"/>
    <w:rsid w:val="002C5B90"/>
    <w:rsid w:val="002C6895"/>
    <w:rsid w:val="002C70F9"/>
    <w:rsid w:val="002D0180"/>
    <w:rsid w:val="002D0E65"/>
    <w:rsid w:val="002D1056"/>
    <w:rsid w:val="002D1B10"/>
    <w:rsid w:val="002D20D2"/>
    <w:rsid w:val="002D28A1"/>
    <w:rsid w:val="002D4554"/>
    <w:rsid w:val="002D4861"/>
    <w:rsid w:val="002D4A68"/>
    <w:rsid w:val="002D5588"/>
    <w:rsid w:val="002D5B3E"/>
    <w:rsid w:val="002D5CD3"/>
    <w:rsid w:val="002D5D74"/>
    <w:rsid w:val="002D6120"/>
    <w:rsid w:val="002D6602"/>
    <w:rsid w:val="002D6DDB"/>
    <w:rsid w:val="002D769E"/>
    <w:rsid w:val="002E0019"/>
    <w:rsid w:val="002E0D3F"/>
    <w:rsid w:val="002E14B6"/>
    <w:rsid w:val="002E161D"/>
    <w:rsid w:val="002E1816"/>
    <w:rsid w:val="002E247E"/>
    <w:rsid w:val="002E2779"/>
    <w:rsid w:val="002E337D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72C2"/>
    <w:rsid w:val="002E7376"/>
    <w:rsid w:val="002F0204"/>
    <w:rsid w:val="002F0724"/>
    <w:rsid w:val="002F080F"/>
    <w:rsid w:val="002F0A21"/>
    <w:rsid w:val="002F0F76"/>
    <w:rsid w:val="002F1145"/>
    <w:rsid w:val="002F186E"/>
    <w:rsid w:val="002F1A1C"/>
    <w:rsid w:val="002F2529"/>
    <w:rsid w:val="002F263F"/>
    <w:rsid w:val="002F3410"/>
    <w:rsid w:val="002F34D9"/>
    <w:rsid w:val="002F35C2"/>
    <w:rsid w:val="002F397D"/>
    <w:rsid w:val="002F3A4B"/>
    <w:rsid w:val="002F3E49"/>
    <w:rsid w:val="002F3F24"/>
    <w:rsid w:val="002F4129"/>
    <w:rsid w:val="002F41A9"/>
    <w:rsid w:val="002F421C"/>
    <w:rsid w:val="002F4BDD"/>
    <w:rsid w:val="002F5FBE"/>
    <w:rsid w:val="002F631E"/>
    <w:rsid w:val="002F6431"/>
    <w:rsid w:val="002F67FD"/>
    <w:rsid w:val="00301019"/>
    <w:rsid w:val="0030122E"/>
    <w:rsid w:val="00301504"/>
    <w:rsid w:val="00301823"/>
    <w:rsid w:val="00301C72"/>
    <w:rsid w:val="00301E9C"/>
    <w:rsid w:val="0030218F"/>
    <w:rsid w:val="003021AE"/>
    <w:rsid w:val="0030244C"/>
    <w:rsid w:val="003026F1"/>
    <w:rsid w:val="00303475"/>
    <w:rsid w:val="0030351B"/>
    <w:rsid w:val="00304352"/>
    <w:rsid w:val="00304407"/>
    <w:rsid w:val="00304C38"/>
    <w:rsid w:val="00305958"/>
    <w:rsid w:val="00305AD8"/>
    <w:rsid w:val="00305EBB"/>
    <w:rsid w:val="003102C9"/>
    <w:rsid w:val="003103A8"/>
    <w:rsid w:val="00310B06"/>
    <w:rsid w:val="00310C4A"/>
    <w:rsid w:val="00310C6C"/>
    <w:rsid w:val="00310E27"/>
    <w:rsid w:val="00311133"/>
    <w:rsid w:val="003117A9"/>
    <w:rsid w:val="00311934"/>
    <w:rsid w:val="0031239A"/>
    <w:rsid w:val="003127AF"/>
    <w:rsid w:val="003134BF"/>
    <w:rsid w:val="0031398D"/>
    <w:rsid w:val="00313A68"/>
    <w:rsid w:val="003147AB"/>
    <w:rsid w:val="00314A7E"/>
    <w:rsid w:val="00314D31"/>
    <w:rsid w:val="00315A68"/>
    <w:rsid w:val="00316510"/>
    <w:rsid w:val="00316EE9"/>
    <w:rsid w:val="0031774C"/>
    <w:rsid w:val="00320B2F"/>
    <w:rsid w:val="00320FF1"/>
    <w:rsid w:val="00321BE6"/>
    <w:rsid w:val="003228E3"/>
    <w:rsid w:val="00322A2A"/>
    <w:rsid w:val="00323127"/>
    <w:rsid w:val="003231A0"/>
    <w:rsid w:val="00323932"/>
    <w:rsid w:val="003255FF"/>
    <w:rsid w:val="00325EA5"/>
    <w:rsid w:val="00325EA8"/>
    <w:rsid w:val="00326588"/>
    <w:rsid w:val="00326614"/>
    <w:rsid w:val="00326919"/>
    <w:rsid w:val="00326B4A"/>
    <w:rsid w:val="00327874"/>
    <w:rsid w:val="0033010C"/>
    <w:rsid w:val="003306CB"/>
    <w:rsid w:val="00330E41"/>
    <w:rsid w:val="00331663"/>
    <w:rsid w:val="0033177D"/>
    <w:rsid w:val="003318EB"/>
    <w:rsid w:val="00331D66"/>
    <w:rsid w:val="00331F24"/>
    <w:rsid w:val="00332230"/>
    <w:rsid w:val="003322A6"/>
    <w:rsid w:val="0033249A"/>
    <w:rsid w:val="00332C1F"/>
    <w:rsid w:val="003334CE"/>
    <w:rsid w:val="00333519"/>
    <w:rsid w:val="003339F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5BC"/>
    <w:rsid w:val="00337732"/>
    <w:rsid w:val="0034069B"/>
    <w:rsid w:val="003419EA"/>
    <w:rsid w:val="00341B67"/>
    <w:rsid w:val="003421C4"/>
    <w:rsid w:val="00342ED0"/>
    <w:rsid w:val="003453BA"/>
    <w:rsid w:val="003455B2"/>
    <w:rsid w:val="00345CA9"/>
    <w:rsid w:val="00345D03"/>
    <w:rsid w:val="003461E4"/>
    <w:rsid w:val="00350375"/>
    <w:rsid w:val="00350993"/>
    <w:rsid w:val="00350D54"/>
    <w:rsid w:val="00350EA2"/>
    <w:rsid w:val="00351054"/>
    <w:rsid w:val="00353BFB"/>
    <w:rsid w:val="003551B0"/>
    <w:rsid w:val="00355CD7"/>
    <w:rsid w:val="00355E08"/>
    <w:rsid w:val="0035631A"/>
    <w:rsid w:val="003565AC"/>
    <w:rsid w:val="00356E67"/>
    <w:rsid w:val="00356F08"/>
    <w:rsid w:val="003571E6"/>
    <w:rsid w:val="003579AF"/>
    <w:rsid w:val="003613FC"/>
    <w:rsid w:val="003626FB"/>
    <w:rsid w:val="003628EE"/>
    <w:rsid w:val="00362ABD"/>
    <w:rsid w:val="00363540"/>
    <w:rsid w:val="003636A3"/>
    <w:rsid w:val="003638D8"/>
    <w:rsid w:val="003645AD"/>
    <w:rsid w:val="00365FC2"/>
    <w:rsid w:val="00365FEF"/>
    <w:rsid w:val="003662C3"/>
    <w:rsid w:val="0036631E"/>
    <w:rsid w:val="00366BCA"/>
    <w:rsid w:val="00367F9F"/>
    <w:rsid w:val="0037027E"/>
    <w:rsid w:val="00370394"/>
    <w:rsid w:val="00370F8D"/>
    <w:rsid w:val="00371C48"/>
    <w:rsid w:val="003727BC"/>
    <w:rsid w:val="00373667"/>
    <w:rsid w:val="0037464C"/>
    <w:rsid w:val="003768E6"/>
    <w:rsid w:val="00376AE0"/>
    <w:rsid w:val="00377BD7"/>
    <w:rsid w:val="003800D7"/>
    <w:rsid w:val="00380446"/>
    <w:rsid w:val="00380FC1"/>
    <w:rsid w:val="00381029"/>
    <w:rsid w:val="0038205C"/>
    <w:rsid w:val="0038288B"/>
    <w:rsid w:val="00382A46"/>
    <w:rsid w:val="00382B30"/>
    <w:rsid w:val="00382B8B"/>
    <w:rsid w:val="00382F6B"/>
    <w:rsid w:val="00383CD8"/>
    <w:rsid w:val="00384922"/>
    <w:rsid w:val="003852EC"/>
    <w:rsid w:val="003863F6"/>
    <w:rsid w:val="00386AB8"/>
    <w:rsid w:val="00387817"/>
    <w:rsid w:val="00387A18"/>
    <w:rsid w:val="00387A2E"/>
    <w:rsid w:val="0039005A"/>
    <w:rsid w:val="00390D66"/>
    <w:rsid w:val="0039100E"/>
    <w:rsid w:val="003910C5"/>
    <w:rsid w:val="00391423"/>
    <w:rsid w:val="003918AE"/>
    <w:rsid w:val="0039204F"/>
    <w:rsid w:val="0039212F"/>
    <w:rsid w:val="0039215F"/>
    <w:rsid w:val="00392165"/>
    <w:rsid w:val="00392465"/>
    <w:rsid w:val="003931E9"/>
    <w:rsid w:val="00393559"/>
    <w:rsid w:val="00393A40"/>
    <w:rsid w:val="00393B8D"/>
    <w:rsid w:val="0039423F"/>
    <w:rsid w:val="003949ED"/>
    <w:rsid w:val="00394AE3"/>
    <w:rsid w:val="00394AFE"/>
    <w:rsid w:val="00394D3B"/>
    <w:rsid w:val="00394DB9"/>
    <w:rsid w:val="00394FC0"/>
    <w:rsid w:val="003954AF"/>
    <w:rsid w:val="003962DF"/>
    <w:rsid w:val="0039651E"/>
    <w:rsid w:val="00396FBA"/>
    <w:rsid w:val="00397E1C"/>
    <w:rsid w:val="003A00E5"/>
    <w:rsid w:val="003A03D1"/>
    <w:rsid w:val="003A0637"/>
    <w:rsid w:val="003A0BF4"/>
    <w:rsid w:val="003A1C8B"/>
    <w:rsid w:val="003A1DB1"/>
    <w:rsid w:val="003A2028"/>
    <w:rsid w:val="003A20F3"/>
    <w:rsid w:val="003A2160"/>
    <w:rsid w:val="003A2F4D"/>
    <w:rsid w:val="003A3826"/>
    <w:rsid w:val="003A39AB"/>
    <w:rsid w:val="003A417B"/>
    <w:rsid w:val="003A682F"/>
    <w:rsid w:val="003A7932"/>
    <w:rsid w:val="003B02E3"/>
    <w:rsid w:val="003B03BB"/>
    <w:rsid w:val="003B0852"/>
    <w:rsid w:val="003B1A58"/>
    <w:rsid w:val="003B28FF"/>
    <w:rsid w:val="003B2D86"/>
    <w:rsid w:val="003B3B1D"/>
    <w:rsid w:val="003B3E6E"/>
    <w:rsid w:val="003B455A"/>
    <w:rsid w:val="003B4FF0"/>
    <w:rsid w:val="003B52C3"/>
    <w:rsid w:val="003B5635"/>
    <w:rsid w:val="003B5766"/>
    <w:rsid w:val="003B584A"/>
    <w:rsid w:val="003B6199"/>
    <w:rsid w:val="003B61F4"/>
    <w:rsid w:val="003B71D8"/>
    <w:rsid w:val="003B7317"/>
    <w:rsid w:val="003B7574"/>
    <w:rsid w:val="003B765F"/>
    <w:rsid w:val="003B7B69"/>
    <w:rsid w:val="003B7EEC"/>
    <w:rsid w:val="003B7F03"/>
    <w:rsid w:val="003C0319"/>
    <w:rsid w:val="003C125E"/>
    <w:rsid w:val="003C13F9"/>
    <w:rsid w:val="003C1B24"/>
    <w:rsid w:val="003C1D5C"/>
    <w:rsid w:val="003C2144"/>
    <w:rsid w:val="003C265F"/>
    <w:rsid w:val="003C2711"/>
    <w:rsid w:val="003C2BE7"/>
    <w:rsid w:val="003C2CB7"/>
    <w:rsid w:val="003C2DF0"/>
    <w:rsid w:val="003C34C0"/>
    <w:rsid w:val="003C375A"/>
    <w:rsid w:val="003C39B3"/>
    <w:rsid w:val="003C3FBF"/>
    <w:rsid w:val="003C4058"/>
    <w:rsid w:val="003C43B5"/>
    <w:rsid w:val="003C4512"/>
    <w:rsid w:val="003C4CF4"/>
    <w:rsid w:val="003C4E0C"/>
    <w:rsid w:val="003C5844"/>
    <w:rsid w:val="003C63F1"/>
    <w:rsid w:val="003C65D7"/>
    <w:rsid w:val="003C72AF"/>
    <w:rsid w:val="003C78F3"/>
    <w:rsid w:val="003C7A40"/>
    <w:rsid w:val="003D050B"/>
    <w:rsid w:val="003D08E0"/>
    <w:rsid w:val="003D1FA9"/>
    <w:rsid w:val="003D27D6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6F8"/>
    <w:rsid w:val="003D6B09"/>
    <w:rsid w:val="003D6FE7"/>
    <w:rsid w:val="003D709A"/>
    <w:rsid w:val="003D7129"/>
    <w:rsid w:val="003D7352"/>
    <w:rsid w:val="003D7363"/>
    <w:rsid w:val="003D79C0"/>
    <w:rsid w:val="003E0128"/>
    <w:rsid w:val="003E0311"/>
    <w:rsid w:val="003E0756"/>
    <w:rsid w:val="003E07E6"/>
    <w:rsid w:val="003E0A24"/>
    <w:rsid w:val="003E1FA9"/>
    <w:rsid w:val="003E2177"/>
    <w:rsid w:val="003E2398"/>
    <w:rsid w:val="003E2A22"/>
    <w:rsid w:val="003E3046"/>
    <w:rsid w:val="003E3664"/>
    <w:rsid w:val="003E3899"/>
    <w:rsid w:val="003E3965"/>
    <w:rsid w:val="003E4C56"/>
    <w:rsid w:val="003E4F85"/>
    <w:rsid w:val="003E5506"/>
    <w:rsid w:val="003E5A01"/>
    <w:rsid w:val="003E605C"/>
    <w:rsid w:val="003E6CB5"/>
    <w:rsid w:val="003E7644"/>
    <w:rsid w:val="003F03CE"/>
    <w:rsid w:val="003F0488"/>
    <w:rsid w:val="003F154A"/>
    <w:rsid w:val="003F1615"/>
    <w:rsid w:val="003F1977"/>
    <w:rsid w:val="003F2359"/>
    <w:rsid w:val="003F262D"/>
    <w:rsid w:val="003F268D"/>
    <w:rsid w:val="003F2B19"/>
    <w:rsid w:val="003F2C0F"/>
    <w:rsid w:val="003F2CFC"/>
    <w:rsid w:val="003F3986"/>
    <w:rsid w:val="003F3A55"/>
    <w:rsid w:val="003F47BA"/>
    <w:rsid w:val="003F50F9"/>
    <w:rsid w:val="003F5D1C"/>
    <w:rsid w:val="003F6981"/>
    <w:rsid w:val="003F787D"/>
    <w:rsid w:val="0040019C"/>
    <w:rsid w:val="004009EE"/>
    <w:rsid w:val="00400A2A"/>
    <w:rsid w:val="00400AA8"/>
    <w:rsid w:val="00401094"/>
    <w:rsid w:val="004011D7"/>
    <w:rsid w:val="00401562"/>
    <w:rsid w:val="004016E7"/>
    <w:rsid w:val="0040267F"/>
    <w:rsid w:val="00403353"/>
    <w:rsid w:val="00404E60"/>
    <w:rsid w:val="00404F14"/>
    <w:rsid w:val="00405056"/>
    <w:rsid w:val="0040511C"/>
    <w:rsid w:val="0040543E"/>
    <w:rsid w:val="00405C09"/>
    <w:rsid w:val="00405D94"/>
    <w:rsid w:val="00406328"/>
    <w:rsid w:val="00406EE0"/>
    <w:rsid w:val="00406FEC"/>
    <w:rsid w:val="00407D09"/>
    <w:rsid w:val="00407F31"/>
    <w:rsid w:val="00410255"/>
    <w:rsid w:val="00410443"/>
    <w:rsid w:val="00410FBB"/>
    <w:rsid w:val="0041140B"/>
    <w:rsid w:val="0041188A"/>
    <w:rsid w:val="00411DBF"/>
    <w:rsid w:val="00414296"/>
    <w:rsid w:val="00414440"/>
    <w:rsid w:val="00414752"/>
    <w:rsid w:val="0041493D"/>
    <w:rsid w:val="00414991"/>
    <w:rsid w:val="00415CB4"/>
    <w:rsid w:val="00416378"/>
    <w:rsid w:val="00417F7A"/>
    <w:rsid w:val="004200F1"/>
    <w:rsid w:val="00420541"/>
    <w:rsid w:val="004213EF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5D7E"/>
    <w:rsid w:val="00426DD2"/>
    <w:rsid w:val="004272B4"/>
    <w:rsid w:val="0042732C"/>
    <w:rsid w:val="00430A0E"/>
    <w:rsid w:val="0043133A"/>
    <w:rsid w:val="0043156D"/>
    <w:rsid w:val="00431E82"/>
    <w:rsid w:val="00432853"/>
    <w:rsid w:val="00432FD5"/>
    <w:rsid w:val="004333F4"/>
    <w:rsid w:val="00433AB3"/>
    <w:rsid w:val="00434370"/>
    <w:rsid w:val="00434496"/>
    <w:rsid w:val="004347CA"/>
    <w:rsid w:val="00434910"/>
    <w:rsid w:val="00434BF9"/>
    <w:rsid w:val="004351FA"/>
    <w:rsid w:val="0043549C"/>
    <w:rsid w:val="00435707"/>
    <w:rsid w:val="00435711"/>
    <w:rsid w:val="004358D9"/>
    <w:rsid w:val="0043610A"/>
    <w:rsid w:val="00436493"/>
    <w:rsid w:val="00436933"/>
    <w:rsid w:val="0043736E"/>
    <w:rsid w:val="004375D8"/>
    <w:rsid w:val="004378C4"/>
    <w:rsid w:val="004404EA"/>
    <w:rsid w:val="00440615"/>
    <w:rsid w:val="004407CE"/>
    <w:rsid w:val="00440C7A"/>
    <w:rsid w:val="00442BED"/>
    <w:rsid w:val="0044306B"/>
    <w:rsid w:val="004443A5"/>
    <w:rsid w:val="00444806"/>
    <w:rsid w:val="00444A14"/>
    <w:rsid w:val="00446181"/>
    <w:rsid w:val="00446A3D"/>
    <w:rsid w:val="00447F6E"/>
    <w:rsid w:val="004500C2"/>
    <w:rsid w:val="00450395"/>
    <w:rsid w:val="004511CC"/>
    <w:rsid w:val="00451D59"/>
    <w:rsid w:val="00452075"/>
    <w:rsid w:val="00452369"/>
    <w:rsid w:val="0045287B"/>
    <w:rsid w:val="004529A1"/>
    <w:rsid w:val="004549DD"/>
    <w:rsid w:val="004553BC"/>
    <w:rsid w:val="00455B30"/>
    <w:rsid w:val="00455C2A"/>
    <w:rsid w:val="004561C5"/>
    <w:rsid w:val="00456743"/>
    <w:rsid w:val="00456D91"/>
    <w:rsid w:val="0045768F"/>
    <w:rsid w:val="00457971"/>
    <w:rsid w:val="00457D64"/>
    <w:rsid w:val="004603E5"/>
    <w:rsid w:val="004619A0"/>
    <w:rsid w:val="00461CD7"/>
    <w:rsid w:val="00461EF8"/>
    <w:rsid w:val="004626AD"/>
    <w:rsid w:val="00463096"/>
    <w:rsid w:val="00463854"/>
    <w:rsid w:val="00463BFE"/>
    <w:rsid w:val="00464C5F"/>
    <w:rsid w:val="00465B69"/>
    <w:rsid w:val="004668B4"/>
    <w:rsid w:val="00466CC5"/>
    <w:rsid w:val="00467862"/>
    <w:rsid w:val="0046789F"/>
    <w:rsid w:val="00467D68"/>
    <w:rsid w:val="00470D32"/>
    <w:rsid w:val="0047120C"/>
    <w:rsid w:val="004712BA"/>
    <w:rsid w:val="004717E5"/>
    <w:rsid w:val="0047205D"/>
    <w:rsid w:val="00472AFF"/>
    <w:rsid w:val="004730B8"/>
    <w:rsid w:val="004732A1"/>
    <w:rsid w:val="00473367"/>
    <w:rsid w:val="0047348D"/>
    <w:rsid w:val="00473738"/>
    <w:rsid w:val="00473F04"/>
    <w:rsid w:val="00474B68"/>
    <w:rsid w:val="00474BDD"/>
    <w:rsid w:val="00474C47"/>
    <w:rsid w:val="00475564"/>
    <w:rsid w:val="00476118"/>
    <w:rsid w:val="00477606"/>
    <w:rsid w:val="0047787C"/>
    <w:rsid w:val="00480364"/>
    <w:rsid w:val="004804F6"/>
    <w:rsid w:val="0048099E"/>
    <w:rsid w:val="00480BD1"/>
    <w:rsid w:val="00480D27"/>
    <w:rsid w:val="004815DE"/>
    <w:rsid w:val="00481893"/>
    <w:rsid w:val="0048205E"/>
    <w:rsid w:val="00482267"/>
    <w:rsid w:val="00482DE8"/>
    <w:rsid w:val="0048444D"/>
    <w:rsid w:val="0048465A"/>
    <w:rsid w:val="00484D51"/>
    <w:rsid w:val="00484E2B"/>
    <w:rsid w:val="00486078"/>
    <w:rsid w:val="00487E8D"/>
    <w:rsid w:val="0049028F"/>
    <w:rsid w:val="004903DC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972"/>
    <w:rsid w:val="00493E6E"/>
    <w:rsid w:val="00493E8A"/>
    <w:rsid w:val="0049405A"/>
    <w:rsid w:val="004943EB"/>
    <w:rsid w:val="0049464A"/>
    <w:rsid w:val="004946E6"/>
    <w:rsid w:val="00494A18"/>
    <w:rsid w:val="00495198"/>
    <w:rsid w:val="0049618A"/>
    <w:rsid w:val="00496837"/>
    <w:rsid w:val="004A00E5"/>
    <w:rsid w:val="004A075F"/>
    <w:rsid w:val="004A0D07"/>
    <w:rsid w:val="004A0DD3"/>
    <w:rsid w:val="004A13A5"/>
    <w:rsid w:val="004A1465"/>
    <w:rsid w:val="004A1912"/>
    <w:rsid w:val="004A1C72"/>
    <w:rsid w:val="004A24EE"/>
    <w:rsid w:val="004A2CCF"/>
    <w:rsid w:val="004A3985"/>
    <w:rsid w:val="004A3CA1"/>
    <w:rsid w:val="004A46C9"/>
    <w:rsid w:val="004A4853"/>
    <w:rsid w:val="004A4B51"/>
    <w:rsid w:val="004A560A"/>
    <w:rsid w:val="004A5FA0"/>
    <w:rsid w:val="004A6806"/>
    <w:rsid w:val="004A7221"/>
    <w:rsid w:val="004A73F6"/>
    <w:rsid w:val="004A75D1"/>
    <w:rsid w:val="004A798A"/>
    <w:rsid w:val="004B0C79"/>
    <w:rsid w:val="004B1076"/>
    <w:rsid w:val="004B12AE"/>
    <w:rsid w:val="004B15CD"/>
    <w:rsid w:val="004B23C7"/>
    <w:rsid w:val="004B264F"/>
    <w:rsid w:val="004B2ACD"/>
    <w:rsid w:val="004B333E"/>
    <w:rsid w:val="004B390F"/>
    <w:rsid w:val="004B41AF"/>
    <w:rsid w:val="004B481A"/>
    <w:rsid w:val="004B53A8"/>
    <w:rsid w:val="004B54F1"/>
    <w:rsid w:val="004B5712"/>
    <w:rsid w:val="004B70E7"/>
    <w:rsid w:val="004B7B67"/>
    <w:rsid w:val="004C15FB"/>
    <w:rsid w:val="004C1C67"/>
    <w:rsid w:val="004C2A39"/>
    <w:rsid w:val="004C2C37"/>
    <w:rsid w:val="004C34F1"/>
    <w:rsid w:val="004C362E"/>
    <w:rsid w:val="004C3E50"/>
    <w:rsid w:val="004C46AC"/>
    <w:rsid w:val="004C4804"/>
    <w:rsid w:val="004C4C24"/>
    <w:rsid w:val="004C4EA3"/>
    <w:rsid w:val="004C51DD"/>
    <w:rsid w:val="004C5473"/>
    <w:rsid w:val="004C5DBF"/>
    <w:rsid w:val="004C7C68"/>
    <w:rsid w:val="004D02A5"/>
    <w:rsid w:val="004D03B6"/>
    <w:rsid w:val="004D0469"/>
    <w:rsid w:val="004D1621"/>
    <w:rsid w:val="004D1709"/>
    <w:rsid w:val="004D1897"/>
    <w:rsid w:val="004D199B"/>
    <w:rsid w:val="004D1E24"/>
    <w:rsid w:val="004D200E"/>
    <w:rsid w:val="004D2B6A"/>
    <w:rsid w:val="004D319F"/>
    <w:rsid w:val="004D3431"/>
    <w:rsid w:val="004D4270"/>
    <w:rsid w:val="004D4FC6"/>
    <w:rsid w:val="004D5CC8"/>
    <w:rsid w:val="004D7454"/>
    <w:rsid w:val="004D7687"/>
    <w:rsid w:val="004D7B0F"/>
    <w:rsid w:val="004D7FA6"/>
    <w:rsid w:val="004E04E4"/>
    <w:rsid w:val="004E0911"/>
    <w:rsid w:val="004E0BE7"/>
    <w:rsid w:val="004E114D"/>
    <w:rsid w:val="004E159B"/>
    <w:rsid w:val="004E2AC9"/>
    <w:rsid w:val="004E3316"/>
    <w:rsid w:val="004E415C"/>
    <w:rsid w:val="004E428A"/>
    <w:rsid w:val="004E4328"/>
    <w:rsid w:val="004E4872"/>
    <w:rsid w:val="004E52D3"/>
    <w:rsid w:val="004E7221"/>
    <w:rsid w:val="004E727B"/>
    <w:rsid w:val="004E7CC4"/>
    <w:rsid w:val="004F00F5"/>
    <w:rsid w:val="004F08B5"/>
    <w:rsid w:val="004F0D3D"/>
    <w:rsid w:val="004F183C"/>
    <w:rsid w:val="004F18CA"/>
    <w:rsid w:val="004F1922"/>
    <w:rsid w:val="004F1D2B"/>
    <w:rsid w:val="004F222D"/>
    <w:rsid w:val="004F2CAB"/>
    <w:rsid w:val="004F2EB0"/>
    <w:rsid w:val="004F3A4F"/>
    <w:rsid w:val="004F4161"/>
    <w:rsid w:val="004F41A6"/>
    <w:rsid w:val="004F4615"/>
    <w:rsid w:val="004F49DE"/>
    <w:rsid w:val="004F4A2B"/>
    <w:rsid w:val="004F4C4E"/>
    <w:rsid w:val="004F4C67"/>
    <w:rsid w:val="004F5474"/>
    <w:rsid w:val="004F58E1"/>
    <w:rsid w:val="004F5905"/>
    <w:rsid w:val="004F6029"/>
    <w:rsid w:val="004F636C"/>
    <w:rsid w:val="004F699D"/>
    <w:rsid w:val="004F731C"/>
    <w:rsid w:val="004F79AB"/>
    <w:rsid w:val="0050059C"/>
    <w:rsid w:val="00500D34"/>
    <w:rsid w:val="00500DF2"/>
    <w:rsid w:val="00500ECA"/>
    <w:rsid w:val="00501823"/>
    <w:rsid w:val="00501944"/>
    <w:rsid w:val="00502CF7"/>
    <w:rsid w:val="0050380F"/>
    <w:rsid w:val="00503913"/>
    <w:rsid w:val="00503AA2"/>
    <w:rsid w:val="00503D07"/>
    <w:rsid w:val="00503DCC"/>
    <w:rsid w:val="005043C1"/>
    <w:rsid w:val="00504659"/>
    <w:rsid w:val="0050473E"/>
    <w:rsid w:val="00504D92"/>
    <w:rsid w:val="00504FC7"/>
    <w:rsid w:val="00505493"/>
    <w:rsid w:val="005054DC"/>
    <w:rsid w:val="00505DBE"/>
    <w:rsid w:val="0050669C"/>
    <w:rsid w:val="005066F9"/>
    <w:rsid w:val="00507884"/>
    <w:rsid w:val="00510387"/>
    <w:rsid w:val="00510E3C"/>
    <w:rsid w:val="0051138B"/>
    <w:rsid w:val="0051201D"/>
    <w:rsid w:val="00512236"/>
    <w:rsid w:val="00512669"/>
    <w:rsid w:val="00512C67"/>
    <w:rsid w:val="00512CAC"/>
    <w:rsid w:val="00514756"/>
    <w:rsid w:val="00515073"/>
    <w:rsid w:val="0051542A"/>
    <w:rsid w:val="005159BE"/>
    <w:rsid w:val="00515EA7"/>
    <w:rsid w:val="0051619E"/>
    <w:rsid w:val="00517E6F"/>
    <w:rsid w:val="00517E7B"/>
    <w:rsid w:val="00520036"/>
    <w:rsid w:val="00520FDF"/>
    <w:rsid w:val="0052212D"/>
    <w:rsid w:val="00522B6B"/>
    <w:rsid w:val="00522FC4"/>
    <w:rsid w:val="005237D7"/>
    <w:rsid w:val="00523836"/>
    <w:rsid w:val="00523C1C"/>
    <w:rsid w:val="005240D3"/>
    <w:rsid w:val="005253BE"/>
    <w:rsid w:val="00525895"/>
    <w:rsid w:val="00525C63"/>
    <w:rsid w:val="00526020"/>
    <w:rsid w:val="005261CE"/>
    <w:rsid w:val="00530E0B"/>
    <w:rsid w:val="00530EC8"/>
    <w:rsid w:val="00531977"/>
    <w:rsid w:val="0053199A"/>
    <w:rsid w:val="00531ACC"/>
    <w:rsid w:val="00531CC4"/>
    <w:rsid w:val="00531F4B"/>
    <w:rsid w:val="00532D14"/>
    <w:rsid w:val="00533248"/>
    <w:rsid w:val="005334CC"/>
    <w:rsid w:val="005338C2"/>
    <w:rsid w:val="005339F2"/>
    <w:rsid w:val="00533EE6"/>
    <w:rsid w:val="005344E3"/>
    <w:rsid w:val="00534821"/>
    <w:rsid w:val="00535438"/>
    <w:rsid w:val="00535ADA"/>
    <w:rsid w:val="00535ED2"/>
    <w:rsid w:val="005362C1"/>
    <w:rsid w:val="0053634C"/>
    <w:rsid w:val="00537086"/>
    <w:rsid w:val="0053795C"/>
    <w:rsid w:val="00541323"/>
    <w:rsid w:val="0054307E"/>
    <w:rsid w:val="00543223"/>
    <w:rsid w:val="0054322A"/>
    <w:rsid w:val="0054326B"/>
    <w:rsid w:val="005442E8"/>
    <w:rsid w:val="00545709"/>
    <w:rsid w:val="00545CFC"/>
    <w:rsid w:val="00546292"/>
    <w:rsid w:val="00546D34"/>
    <w:rsid w:val="00546DEE"/>
    <w:rsid w:val="00550479"/>
    <w:rsid w:val="0055079C"/>
    <w:rsid w:val="00550982"/>
    <w:rsid w:val="00550A73"/>
    <w:rsid w:val="00550E10"/>
    <w:rsid w:val="005518B1"/>
    <w:rsid w:val="00552354"/>
    <w:rsid w:val="005535E4"/>
    <w:rsid w:val="00553BF0"/>
    <w:rsid w:val="005549CD"/>
    <w:rsid w:val="00554B52"/>
    <w:rsid w:val="00554D66"/>
    <w:rsid w:val="00554F7D"/>
    <w:rsid w:val="005559DF"/>
    <w:rsid w:val="00557A44"/>
    <w:rsid w:val="00560164"/>
    <w:rsid w:val="00560450"/>
    <w:rsid w:val="0056051F"/>
    <w:rsid w:val="00560A42"/>
    <w:rsid w:val="00560A5E"/>
    <w:rsid w:val="00561663"/>
    <w:rsid w:val="0056166D"/>
    <w:rsid w:val="005617F7"/>
    <w:rsid w:val="00562731"/>
    <w:rsid w:val="005632EA"/>
    <w:rsid w:val="00563721"/>
    <w:rsid w:val="0056378A"/>
    <w:rsid w:val="00563FF9"/>
    <w:rsid w:val="005640F2"/>
    <w:rsid w:val="00564351"/>
    <w:rsid w:val="005643F7"/>
    <w:rsid w:val="00564986"/>
    <w:rsid w:val="00565808"/>
    <w:rsid w:val="00565BFB"/>
    <w:rsid w:val="00565FB6"/>
    <w:rsid w:val="00566CB1"/>
    <w:rsid w:val="0056756F"/>
    <w:rsid w:val="00567873"/>
    <w:rsid w:val="005712A9"/>
    <w:rsid w:val="00571C9A"/>
    <w:rsid w:val="00571E2D"/>
    <w:rsid w:val="00572C2B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18"/>
    <w:rsid w:val="00580127"/>
    <w:rsid w:val="00580298"/>
    <w:rsid w:val="00581CC7"/>
    <w:rsid w:val="00581D1F"/>
    <w:rsid w:val="00582372"/>
    <w:rsid w:val="005825AA"/>
    <w:rsid w:val="00582EA6"/>
    <w:rsid w:val="00583943"/>
    <w:rsid w:val="00583BCE"/>
    <w:rsid w:val="00584560"/>
    <w:rsid w:val="0058515A"/>
    <w:rsid w:val="005851D2"/>
    <w:rsid w:val="00585548"/>
    <w:rsid w:val="00585D95"/>
    <w:rsid w:val="005864BE"/>
    <w:rsid w:val="00586A64"/>
    <w:rsid w:val="00586CF0"/>
    <w:rsid w:val="0058711C"/>
    <w:rsid w:val="005871FB"/>
    <w:rsid w:val="005879E4"/>
    <w:rsid w:val="00587CB7"/>
    <w:rsid w:val="00590AB2"/>
    <w:rsid w:val="00591025"/>
    <w:rsid w:val="005915B0"/>
    <w:rsid w:val="005917D3"/>
    <w:rsid w:val="00591A33"/>
    <w:rsid w:val="00592613"/>
    <w:rsid w:val="0059290A"/>
    <w:rsid w:val="0059331A"/>
    <w:rsid w:val="00593F19"/>
    <w:rsid w:val="00594140"/>
    <w:rsid w:val="00594B55"/>
    <w:rsid w:val="00596AD4"/>
    <w:rsid w:val="00596C58"/>
    <w:rsid w:val="00596CA4"/>
    <w:rsid w:val="0059747E"/>
    <w:rsid w:val="00597830"/>
    <w:rsid w:val="005A016B"/>
    <w:rsid w:val="005A0339"/>
    <w:rsid w:val="005A1533"/>
    <w:rsid w:val="005A1C0B"/>
    <w:rsid w:val="005A1C36"/>
    <w:rsid w:val="005A2505"/>
    <w:rsid w:val="005A2A4E"/>
    <w:rsid w:val="005A2B18"/>
    <w:rsid w:val="005A2CE4"/>
    <w:rsid w:val="005A3318"/>
    <w:rsid w:val="005A3E0E"/>
    <w:rsid w:val="005A42FA"/>
    <w:rsid w:val="005A44C1"/>
    <w:rsid w:val="005A4769"/>
    <w:rsid w:val="005A4A0B"/>
    <w:rsid w:val="005A4D55"/>
    <w:rsid w:val="005A4DD6"/>
    <w:rsid w:val="005A6297"/>
    <w:rsid w:val="005A78AB"/>
    <w:rsid w:val="005B013C"/>
    <w:rsid w:val="005B064B"/>
    <w:rsid w:val="005B14D3"/>
    <w:rsid w:val="005B14ED"/>
    <w:rsid w:val="005B37B2"/>
    <w:rsid w:val="005B3CD4"/>
    <w:rsid w:val="005B3F0F"/>
    <w:rsid w:val="005B3FB6"/>
    <w:rsid w:val="005B48E9"/>
    <w:rsid w:val="005B58E6"/>
    <w:rsid w:val="005B602E"/>
    <w:rsid w:val="005B63B6"/>
    <w:rsid w:val="005B6665"/>
    <w:rsid w:val="005B70D1"/>
    <w:rsid w:val="005B79B4"/>
    <w:rsid w:val="005B7BEF"/>
    <w:rsid w:val="005C0163"/>
    <w:rsid w:val="005C168C"/>
    <w:rsid w:val="005C1877"/>
    <w:rsid w:val="005C1AD7"/>
    <w:rsid w:val="005C2AAE"/>
    <w:rsid w:val="005C2BDE"/>
    <w:rsid w:val="005C32A3"/>
    <w:rsid w:val="005C3951"/>
    <w:rsid w:val="005C3D02"/>
    <w:rsid w:val="005C46E7"/>
    <w:rsid w:val="005C5AA0"/>
    <w:rsid w:val="005C5F40"/>
    <w:rsid w:val="005C61A9"/>
    <w:rsid w:val="005C6CA1"/>
    <w:rsid w:val="005C6D5B"/>
    <w:rsid w:val="005C72CF"/>
    <w:rsid w:val="005C73C4"/>
    <w:rsid w:val="005C7EAC"/>
    <w:rsid w:val="005C7FB7"/>
    <w:rsid w:val="005D0568"/>
    <w:rsid w:val="005D1744"/>
    <w:rsid w:val="005D1863"/>
    <w:rsid w:val="005D2201"/>
    <w:rsid w:val="005D2956"/>
    <w:rsid w:val="005D2D55"/>
    <w:rsid w:val="005D31F9"/>
    <w:rsid w:val="005D5210"/>
    <w:rsid w:val="005D527F"/>
    <w:rsid w:val="005D5DB0"/>
    <w:rsid w:val="005D5F51"/>
    <w:rsid w:val="005D6183"/>
    <w:rsid w:val="005D6745"/>
    <w:rsid w:val="005D6751"/>
    <w:rsid w:val="005D70DA"/>
    <w:rsid w:val="005D7157"/>
    <w:rsid w:val="005D77A2"/>
    <w:rsid w:val="005D7AE8"/>
    <w:rsid w:val="005E0AA1"/>
    <w:rsid w:val="005E12F0"/>
    <w:rsid w:val="005E19AE"/>
    <w:rsid w:val="005E243B"/>
    <w:rsid w:val="005E2526"/>
    <w:rsid w:val="005E34F3"/>
    <w:rsid w:val="005E38B0"/>
    <w:rsid w:val="005E7AE1"/>
    <w:rsid w:val="005F0A2F"/>
    <w:rsid w:val="005F1348"/>
    <w:rsid w:val="005F162C"/>
    <w:rsid w:val="005F1EB0"/>
    <w:rsid w:val="005F2BE0"/>
    <w:rsid w:val="005F3466"/>
    <w:rsid w:val="005F36A6"/>
    <w:rsid w:val="005F3776"/>
    <w:rsid w:val="005F3F5D"/>
    <w:rsid w:val="005F3F61"/>
    <w:rsid w:val="005F431C"/>
    <w:rsid w:val="005F4A1D"/>
    <w:rsid w:val="005F5696"/>
    <w:rsid w:val="005F631E"/>
    <w:rsid w:val="005F6695"/>
    <w:rsid w:val="005F678B"/>
    <w:rsid w:val="005F759E"/>
    <w:rsid w:val="005F7735"/>
    <w:rsid w:val="005F77C7"/>
    <w:rsid w:val="00600BA0"/>
    <w:rsid w:val="00600C11"/>
    <w:rsid w:val="006018C0"/>
    <w:rsid w:val="0060218D"/>
    <w:rsid w:val="006022FB"/>
    <w:rsid w:val="00602633"/>
    <w:rsid w:val="00602E93"/>
    <w:rsid w:val="0060334D"/>
    <w:rsid w:val="0060363F"/>
    <w:rsid w:val="00604266"/>
    <w:rsid w:val="00605C3E"/>
    <w:rsid w:val="0060617F"/>
    <w:rsid w:val="00606360"/>
    <w:rsid w:val="00606AB3"/>
    <w:rsid w:val="00606D28"/>
    <w:rsid w:val="0060733B"/>
    <w:rsid w:val="00607C4A"/>
    <w:rsid w:val="00607CDC"/>
    <w:rsid w:val="006101BD"/>
    <w:rsid w:val="006105FC"/>
    <w:rsid w:val="00610B53"/>
    <w:rsid w:val="0061162B"/>
    <w:rsid w:val="00612227"/>
    <w:rsid w:val="0061265A"/>
    <w:rsid w:val="00612942"/>
    <w:rsid w:val="0061388B"/>
    <w:rsid w:val="00615139"/>
    <w:rsid w:val="006154B9"/>
    <w:rsid w:val="00615D3F"/>
    <w:rsid w:val="0061612D"/>
    <w:rsid w:val="00616C64"/>
    <w:rsid w:val="00616F53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CAD"/>
    <w:rsid w:val="00621D6F"/>
    <w:rsid w:val="00622082"/>
    <w:rsid w:val="006221D4"/>
    <w:rsid w:val="00623229"/>
    <w:rsid w:val="0062341E"/>
    <w:rsid w:val="006239A4"/>
    <w:rsid w:val="00624F19"/>
    <w:rsid w:val="00625100"/>
    <w:rsid w:val="0062527D"/>
    <w:rsid w:val="006253E3"/>
    <w:rsid w:val="0062570F"/>
    <w:rsid w:val="00626B53"/>
    <w:rsid w:val="00626C71"/>
    <w:rsid w:val="00627435"/>
    <w:rsid w:val="006279BE"/>
    <w:rsid w:val="00630013"/>
    <w:rsid w:val="006301E0"/>
    <w:rsid w:val="00630758"/>
    <w:rsid w:val="00630FF4"/>
    <w:rsid w:val="00631046"/>
    <w:rsid w:val="00631A59"/>
    <w:rsid w:val="00632194"/>
    <w:rsid w:val="0063241C"/>
    <w:rsid w:val="0063306B"/>
    <w:rsid w:val="00633FFF"/>
    <w:rsid w:val="00634618"/>
    <w:rsid w:val="006348E7"/>
    <w:rsid w:val="00634A88"/>
    <w:rsid w:val="00634FE2"/>
    <w:rsid w:val="00636FAD"/>
    <w:rsid w:val="00637571"/>
    <w:rsid w:val="006405BC"/>
    <w:rsid w:val="006412EA"/>
    <w:rsid w:val="0064144B"/>
    <w:rsid w:val="006414DD"/>
    <w:rsid w:val="006429F0"/>
    <w:rsid w:val="00643080"/>
    <w:rsid w:val="006432DE"/>
    <w:rsid w:val="00643321"/>
    <w:rsid w:val="00643431"/>
    <w:rsid w:val="00643AFF"/>
    <w:rsid w:val="00643EFF"/>
    <w:rsid w:val="006446C2"/>
    <w:rsid w:val="00644BB0"/>
    <w:rsid w:val="00644F7F"/>
    <w:rsid w:val="0064504F"/>
    <w:rsid w:val="00645107"/>
    <w:rsid w:val="006451BA"/>
    <w:rsid w:val="00645F91"/>
    <w:rsid w:val="00646B5F"/>
    <w:rsid w:val="00646D68"/>
    <w:rsid w:val="00647397"/>
    <w:rsid w:val="00647859"/>
    <w:rsid w:val="00647A47"/>
    <w:rsid w:val="00647D6B"/>
    <w:rsid w:val="00650A87"/>
    <w:rsid w:val="006516A2"/>
    <w:rsid w:val="00651A1A"/>
    <w:rsid w:val="006521E1"/>
    <w:rsid w:val="00652C90"/>
    <w:rsid w:val="00653077"/>
    <w:rsid w:val="006541A0"/>
    <w:rsid w:val="00654896"/>
    <w:rsid w:val="00654ECA"/>
    <w:rsid w:val="00654F73"/>
    <w:rsid w:val="006551FE"/>
    <w:rsid w:val="00660291"/>
    <w:rsid w:val="00660BFD"/>
    <w:rsid w:val="00660E5F"/>
    <w:rsid w:val="00662008"/>
    <w:rsid w:val="0066244D"/>
    <w:rsid w:val="00662C1F"/>
    <w:rsid w:val="00662E4D"/>
    <w:rsid w:val="00663091"/>
    <w:rsid w:val="00663467"/>
    <w:rsid w:val="0066388C"/>
    <w:rsid w:val="00663A66"/>
    <w:rsid w:val="00663DF4"/>
    <w:rsid w:val="0066450D"/>
    <w:rsid w:val="00664960"/>
    <w:rsid w:val="00664A17"/>
    <w:rsid w:val="00664CC0"/>
    <w:rsid w:val="00665291"/>
    <w:rsid w:val="006653CE"/>
    <w:rsid w:val="00665E13"/>
    <w:rsid w:val="00666EE6"/>
    <w:rsid w:val="00667241"/>
    <w:rsid w:val="006678D6"/>
    <w:rsid w:val="00667C58"/>
    <w:rsid w:val="00670039"/>
    <w:rsid w:val="00670218"/>
    <w:rsid w:val="00670511"/>
    <w:rsid w:val="00670527"/>
    <w:rsid w:val="006707B9"/>
    <w:rsid w:val="00670840"/>
    <w:rsid w:val="00670B62"/>
    <w:rsid w:val="0067106D"/>
    <w:rsid w:val="006715BD"/>
    <w:rsid w:val="00672135"/>
    <w:rsid w:val="00672384"/>
    <w:rsid w:val="0067265E"/>
    <w:rsid w:val="0067312B"/>
    <w:rsid w:val="0067333E"/>
    <w:rsid w:val="0067365C"/>
    <w:rsid w:val="006737FF"/>
    <w:rsid w:val="006738DE"/>
    <w:rsid w:val="00673DA7"/>
    <w:rsid w:val="006743FC"/>
    <w:rsid w:val="0067481D"/>
    <w:rsid w:val="00674A18"/>
    <w:rsid w:val="00674FF5"/>
    <w:rsid w:val="006753AE"/>
    <w:rsid w:val="00675A9C"/>
    <w:rsid w:val="0067625F"/>
    <w:rsid w:val="0067719E"/>
    <w:rsid w:val="006779AD"/>
    <w:rsid w:val="00677C2E"/>
    <w:rsid w:val="00680C45"/>
    <w:rsid w:val="006818D1"/>
    <w:rsid w:val="006822AD"/>
    <w:rsid w:val="00682C25"/>
    <w:rsid w:val="00682DD2"/>
    <w:rsid w:val="0068421D"/>
    <w:rsid w:val="0068516D"/>
    <w:rsid w:val="006855A7"/>
    <w:rsid w:val="006855D0"/>
    <w:rsid w:val="006868E1"/>
    <w:rsid w:val="0068788A"/>
    <w:rsid w:val="00687A0F"/>
    <w:rsid w:val="00690214"/>
    <w:rsid w:val="0069101E"/>
    <w:rsid w:val="00691107"/>
    <w:rsid w:val="0069110E"/>
    <w:rsid w:val="0069146E"/>
    <w:rsid w:val="006915C5"/>
    <w:rsid w:val="00694044"/>
    <w:rsid w:val="00695096"/>
    <w:rsid w:val="0069560F"/>
    <w:rsid w:val="00695D4A"/>
    <w:rsid w:val="00695E9D"/>
    <w:rsid w:val="006962A6"/>
    <w:rsid w:val="00696AD1"/>
    <w:rsid w:val="006975B9"/>
    <w:rsid w:val="006A1245"/>
    <w:rsid w:val="006A1490"/>
    <w:rsid w:val="006A17D5"/>
    <w:rsid w:val="006A188A"/>
    <w:rsid w:val="006A2C9B"/>
    <w:rsid w:val="006A438F"/>
    <w:rsid w:val="006A4F47"/>
    <w:rsid w:val="006A62EB"/>
    <w:rsid w:val="006A6D74"/>
    <w:rsid w:val="006A7761"/>
    <w:rsid w:val="006A7B46"/>
    <w:rsid w:val="006B01FF"/>
    <w:rsid w:val="006B171D"/>
    <w:rsid w:val="006B1B38"/>
    <w:rsid w:val="006B1E88"/>
    <w:rsid w:val="006B45E3"/>
    <w:rsid w:val="006B469A"/>
    <w:rsid w:val="006B4723"/>
    <w:rsid w:val="006B4737"/>
    <w:rsid w:val="006B5260"/>
    <w:rsid w:val="006B53BD"/>
    <w:rsid w:val="006B5403"/>
    <w:rsid w:val="006B72A5"/>
    <w:rsid w:val="006B7559"/>
    <w:rsid w:val="006B7A40"/>
    <w:rsid w:val="006B7FA6"/>
    <w:rsid w:val="006C08A4"/>
    <w:rsid w:val="006C09AF"/>
    <w:rsid w:val="006C13AB"/>
    <w:rsid w:val="006C24C3"/>
    <w:rsid w:val="006C279B"/>
    <w:rsid w:val="006C3E8C"/>
    <w:rsid w:val="006C3EDF"/>
    <w:rsid w:val="006C45F4"/>
    <w:rsid w:val="006C54B6"/>
    <w:rsid w:val="006C5AEF"/>
    <w:rsid w:val="006C5FD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B0C"/>
    <w:rsid w:val="006D3B54"/>
    <w:rsid w:val="006D3F80"/>
    <w:rsid w:val="006D47B9"/>
    <w:rsid w:val="006D6123"/>
    <w:rsid w:val="006D6152"/>
    <w:rsid w:val="006D6EF5"/>
    <w:rsid w:val="006D6FA8"/>
    <w:rsid w:val="006D771E"/>
    <w:rsid w:val="006D7D6A"/>
    <w:rsid w:val="006E0533"/>
    <w:rsid w:val="006E1286"/>
    <w:rsid w:val="006E2A8D"/>
    <w:rsid w:val="006E30E3"/>
    <w:rsid w:val="006E3135"/>
    <w:rsid w:val="006E32A1"/>
    <w:rsid w:val="006E38FB"/>
    <w:rsid w:val="006E3B0B"/>
    <w:rsid w:val="006E3BD6"/>
    <w:rsid w:val="006E3C28"/>
    <w:rsid w:val="006E4762"/>
    <w:rsid w:val="006E560D"/>
    <w:rsid w:val="006E5D4E"/>
    <w:rsid w:val="006E5D6C"/>
    <w:rsid w:val="006E5ECA"/>
    <w:rsid w:val="006E6759"/>
    <w:rsid w:val="006E6C7D"/>
    <w:rsid w:val="006E6D70"/>
    <w:rsid w:val="006E7473"/>
    <w:rsid w:val="006E7EC9"/>
    <w:rsid w:val="006F0C9C"/>
    <w:rsid w:val="006F0DAD"/>
    <w:rsid w:val="006F122B"/>
    <w:rsid w:val="006F1345"/>
    <w:rsid w:val="006F1DB4"/>
    <w:rsid w:val="006F26FA"/>
    <w:rsid w:val="006F3EE9"/>
    <w:rsid w:val="006F4406"/>
    <w:rsid w:val="006F44C4"/>
    <w:rsid w:val="006F49ED"/>
    <w:rsid w:val="006F57D4"/>
    <w:rsid w:val="006F5D43"/>
    <w:rsid w:val="006F5D81"/>
    <w:rsid w:val="006F5F39"/>
    <w:rsid w:val="006F6193"/>
    <w:rsid w:val="006F67F0"/>
    <w:rsid w:val="006F6BB6"/>
    <w:rsid w:val="006F75ED"/>
    <w:rsid w:val="006F7B75"/>
    <w:rsid w:val="006F7C2C"/>
    <w:rsid w:val="006F7C87"/>
    <w:rsid w:val="007015A1"/>
    <w:rsid w:val="0070175A"/>
    <w:rsid w:val="00702211"/>
    <w:rsid w:val="00702BBE"/>
    <w:rsid w:val="00702EFC"/>
    <w:rsid w:val="00703171"/>
    <w:rsid w:val="00703714"/>
    <w:rsid w:val="00704119"/>
    <w:rsid w:val="0070414C"/>
    <w:rsid w:val="0070440F"/>
    <w:rsid w:val="00704725"/>
    <w:rsid w:val="0070473D"/>
    <w:rsid w:val="007049F1"/>
    <w:rsid w:val="00704BF8"/>
    <w:rsid w:val="0070500F"/>
    <w:rsid w:val="00705D8E"/>
    <w:rsid w:val="0070641D"/>
    <w:rsid w:val="00707037"/>
    <w:rsid w:val="007078A0"/>
    <w:rsid w:val="00710401"/>
    <w:rsid w:val="007106E9"/>
    <w:rsid w:val="00710B7C"/>
    <w:rsid w:val="007112DE"/>
    <w:rsid w:val="0071186B"/>
    <w:rsid w:val="00711971"/>
    <w:rsid w:val="00711D26"/>
    <w:rsid w:val="00711F6B"/>
    <w:rsid w:val="007134D4"/>
    <w:rsid w:val="00713505"/>
    <w:rsid w:val="00713AC5"/>
    <w:rsid w:val="0071428D"/>
    <w:rsid w:val="00714804"/>
    <w:rsid w:val="0071480A"/>
    <w:rsid w:val="00714E3D"/>
    <w:rsid w:val="007151E7"/>
    <w:rsid w:val="00715428"/>
    <w:rsid w:val="007158DC"/>
    <w:rsid w:val="0071605B"/>
    <w:rsid w:val="007165C4"/>
    <w:rsid w:val="007172C3"/>
    <w:rsid w:val="00717DEA"/>
    <w:rsid w:val="00717E6A"/>
    <w:rsid w:val="00720B23"/>
    <w:rsid w:val="00721A23"/>
    <w:rsid w:val="0072214C"/>
    <w:rsid w:val="00722A27"/>
    <w:rsid w:val="0072338C"/>
    <w:rsid w:val="00724F8D"/>
    <w:rsid w:val="00725DE2"/>
    <w:rsid w:val="0072622E"/>
    <w:rsid w:val="00726C86"/>
    <w:rsid w:val="00726FA9"/>
    <w:rsid w:val="00727081"/>
    <w:rsid w:val="00727493"/>
    <w:rsid w:val="00727CBF"/>
    <w:rsid w:val="00730442"/>
    <w:rsid w:val="00730460"/>
    <w:rsid w:val="0073052D"/>
    <w:rsid w:val="00730EA9"/>
    <w:rsid w:val="007324D7"/>
    <w:rsid w:val="00732636"/>
    <w:rsid w:val="007327C9"/>
    <w:rsid w:val="00732BE5"/>
    <w:rsid w:val="007333B4"/>
    <w:rsid w:val="00733A3E"/>
    <w:rsid w:val="00733BD0"/>
    <w:rsid w:val="00733E67"/>
    <w:rsid w:val="00733F73"/>
    <w:rsid w:val="00734B8A"/>
    <w:rsid w:val="007360E6"/>
    <w:rsid w:val="0073670D"/>
    <w:rsid w:val="007376BF"/>
    <w:rsid w:val="00740F3C"/>
    <w:rsid w:val="007411C2"/>
    <w:rsid w:val="00741270"/>
    <w:rsid w:val="00741CCF"/>
    <w:rsid w:val="00741E5E"/>
    <w:rsid w:val="00742138"/>
    <w:rsid w:val="007421B2"/>
    <w:rsid w:val="007426E1"/>
    <w:rsid w:val="00742C76"/>
    <w:rsid w:val="007430F3"/>
    <w:rsid w:val="00743222"/>
    <w:rsid w:val="0074337F"/>
    <w:rsid w:val="00743C35"/>
    <w:rsid w:val="00744136"/>
    <w:rsid w:val="00744408"/>
    <w:rsid w:val="007446E7"/>
    <w:rsid w:val="00744C57"/>
    <w:rsid w:val="00745003"/>
    <w:rsid w:val="007453D1"/>
    <w:rsid w:val="00746AC6"/>
    <w:rsid w:val="00747373"/>
    <w:rsid w:val="00747D41"/>
    <w:rsid w:val="00750A80"/>
    <w:rsid w:val="00751600"/>
    <w:rsid w:val="00751E24"/>
    <w:rsid w:val="00753C05"/>
    <w:rsid w:val="00753F44"/>
    <w:rsid w:val="00754363"/>
    <w:rsid w:val="007552D6"/>
    <w:rsid w:val="00755736"/>
    <w:rsid w:val="00755918"/>
    <w:rsid w:val="00756AE0"/>
    <w:rsid w:val="00756AF5"/>
    <w:rsid w:val="007579DA"/>
    <w:rsid w:val="00760039"/>
    <w:rsid w:val="00760994"/>
    <w:rsid w:val="00761AD2"/>
    <w:rsid w:val="007622BD"/>
    <w:rsid w:val="007635C3"/>
    <w:rsid w:val="00763F18"/>
    <w:rsid w:val="00764507"/>
    <w:rsid w:val="00764963"/>
    <w:rsid w:val="00764BF1"/>
    <w:rsid w:val="00765A10"/>
    <w:rsid w:val="007665C5"/>
    <w:rsid w:val="00766B98"/>
    <w:rsid w:val="007671E4"/>
    <w:rsid w:val="007671E8"/>
    <w:rsid w:val="007679E9"/>
    <w:rsid w:val="007702B3"/>
    <w:rsid w:val="00770D6E"/>
    <w:rsid w:val="00771609"/>
    <w:rsid w:val="007720AD"/>
    <w:rsid w:val="007726A4"/>
    <w:rsid w:val="0077272A"/>
    <w:rsid w:val="00772CF2"/>
    <w:rsid w:val="007740C7"/>
    <w:rsid w:val="00774822"/>
    <w:rsid w:val="00774B05"/>
    <w:rsid w:val="00774CB8"/>
    <w:rsid w:val="00775141"/>
    <w:rsid w:val="00776510"/>
    <w:rsid w:val="00776D04"/>
    <w:rsid w:val="00777DA3"/>
    <w:rsid w:val="00780ADA"/>
    <w:rsid w:val="0078188C"/>
    <w:rsid w:val="0078197E"/>
    <w:rsid w:val="00781B56"/>
    <w:rsid w:val="0078236D"/>
    <w:rsid w:val="007825D1"/>
    <w:rsid w:val="00782A2D"/>
    <w:rsid w:val="00782A30"/>
    <w:rsid w:val="00782F87"/>
    <w:rsid w:val="007831CA"/>
    <w:rsid w:val="00783295"/>
    <w:rsid w:val="007834B7"/>
    <w:rsid w:val="00783CC8"/>
    <w:rsid w:val="0078416C"/>
    <w:rsid w:val="00785302"/>
    <w:rsid w:val="00785C3D"/>
    <w:rsid w:val="00786AAE"/>
    <w:rsid w:val="00786CA9"/>
    <w:rsid w:val="0078720B"/>
    <w:rsid w:val="00787376"/>
    <w:rsid w:val="007877B7"/>
    <w:rsid w:val="00787DAF"/>
    <w:rsid w:val="00790C00"/>
    <w:rsid w:val="007914B8"/>
    <w:rsid w:val="00791767"/>
    <w:rsid w:val="00792EB3"/>
    <w:rsid w:val="007931C3"/>
    <w:rsid w:val="00794528"/>
    <w:rsid w:val="0079467B"/>
    <w:rsid w:val="007949A7"/>
    <w:rsid w:val="00794FD5"/>
    <w:rsid w:val="007953D1"/>
    <w:rsid w:val="0079552F"/>
    <w:rsid w:val="0079642D"/>
    <w:rsid w:val="0079671D"/>
    <w:rsid w:val="007969C6"/>
    <w:rsid w:val="00796E15"/>
    <w:rsid w:val="00797394"/>
    <w:rsid w:val="00797DAF"/>
    <w:rsid w:val="007A017B"/>
    <w:rsid w:val="007A0404"/>
    <w:rsid w:val="007A08B6"/>
    <w:rsid w:val="007A11CC"/>
    <w:rsid w:val="007A129E"/>
    <w:rsid w:val="007A1740"/>
    <w:rsid w:val="007A2266"/>
    <w:rsid w:val="007A22FD"/>
    <w:rsid w:val="007A2355"/>
    <w:rsid w:val="007A2874"/>
    <w:rsid w:val="007A2995"/>
    <w:rsid w:val="007A29DE"/>
    <w:rsid w:val="007A2B61"/>
    <w:rsid w:val="007A2EB4"/>
    <w:rsid w:val="007A3546"/>
    <w:rsid w:val="007A3859"/>
    <w:rsid w:val="007A3A26"/>
    <w:rsid w:val="007A4B3C"/>
    <w:rsid w:val="007A507E"/>
    <w:rsid w:val="007A515A"/>
    <w:rsid w:val="007A52BE"/>
    <w:rsid w:val="007A5621"/>
    <w:rsid w:val="007A586F"/>
    <w:rsid w:val="007A5932"/>
    <w:rsid w:val="007A5D07"/>
    <w:rsid w:val="007A62C4"/>
    <w:rsid w:val="007A75FA"/>
    <w:rsid w:val="007A7755"/>
    <w:rsid w:val="007A78A7"/>
    <w:rsid w:val="007A7DFE"/>
    <w:rsid w:val="007B0283"/>
    <w:rsid w:val="007B0800"/>
    <w:rsid w:val="007B0D94"/>
    <w:rsid w:val="007B150E"/>
    <w:rsid w:val="007B1EFA"/>
    <w:rsid w:val="007B24F1"/>
    <w:rsid w:val="007B3103"/>
    <w:rsid w:val="007B34C8"/>
    <w:rsid w:val="007B3887"/>
    <w:rsid w:val="007B40C4"/>
    <w:rsid w:val="007B4AD9"/>
    <w:rsid w:val="007B5521"/>
    <w:rsid w:val="007B5B02"/>
    <w:rsid w:val="007B5D02"/>
    <w:rsid w:val="007B5D83"/>
    <w:rsid w:val="007B5F8A"/>
    <w:rsid w:val="007B60DC"/>
    <w:rsid w:val="007B62B2"/>
    <w:rsid w:val="007B7757"/>
    <w:rsid w:val="007B7908"/>
    <w:rsid w:val="007B796F"/>
    <w:rsid w:val="007B798C"/>
    <w:rsid w:val="007C034E"/>
    <w:rsid w:val="007C0A67"/>
    <w:rsid w:val="007C0B23"/>
    <w:rsid w:val="007C12F3"/>
    <w:rsid w:val="007C1F49"/>
    <w:rsid w:val="007C1FAB"/>
    <w:rsid w:val="007C270D"/>
    <w:rsid w:val="007C341B"/>
    <w:rsid w:val="007C35C7"/>
    <w:rsid w:val="007C45D6"/>
    <w:rsid w:val="007C4A4E"/>
    <w:rsid w:val="007C5449"/>
    <w:rsid w:val="007C55D6"/>
    <w:rsid w:val="007C5936"/>
    <w:rsid w:val="007C60A6"/>
    <w:rsid w:val="007C7637"/>
    <w:rsid w:val="007C774A"/>
    <w:rsid w:val="007C7860"/>
    <w:rsid w:val="007C7978"/>
    <w:rsid w:val="007D03A6"/>
    <w:rsid w:val="007D08C6"/>
    <w:rsid w:val="007D0EDD"/>
    <w:rsid w:val="007D1093"/>
    <w:rsid w:val="007D19CE"/>
    <w:rsid w:val="007D1B1A"/>
    <w:rsid w:val="007D2CDA"/>
    <w:rsid w:val="007D2E14"/>
    <w:rsid w:val="007D3873"/>
    <w:rsid w:val="007D3E33"/>
    <w:rsid w:val="007D52B0"/>
    <w:rsid w:val="007D56C0"/>
    <w:rsid w:val="007D5743"/>
    <w:rsid w:val="007D5920"/>
    <w:rsid w:val="007D5E3E"/>
    <w:rsid w:val="007D5F90"/>
    <w:rsid w:val="007D69EA"/>
    <w:rsid w:val="007D6E33"/>
    <w:rsid w:val="007D7327"/>
    <w:rsid w:val="007D7CF3"/>
    <w:rsid w:val="007E0A14"/>
    <w:rsid w:val="007E0A72"/>
    <w:rsid w:val="007E109B"/>
    <w:rsid w:val="007E1787"/>
    <w:rsid w:val="007E17D3"/>
    <w:rsid w:val="007E198D"/>
    <w:rsid w:val="007E1A9B"/>
    <w:rsid w:val="007E302D"/>
    <w:rsid w:val="007E3051"/>
    <w:rsid w:val="007E334C"/>
    <w:rsid w:val="007E34B9"/>
    <w:rsid w:val="007E3547"/>
    <w:rsid w:val="007E3AA4"/>
    <w:rsid w:val="007E3D92"/>
    <w:rsid w:val="007E46D3"/>
    <w:rsid w:val="007E59AF"/>
    <w:rsid w:val="007E5DB3"/>
    <w:rsid w:val="007E5F19"/>
    <w:rsid w:val="007E5F9F"/>
    <w:rsid w:val="007E6BF5"/>
    <w:rsid w:val="007E6F78"/>
    <w:rsid w:val="007E7300"/>
    <w:rsid w:val="007E7C00"/>
    <w:rsid w:val="007F0238"/>
    <w:rsid w:val="007F0989"/>
    <w:rsid w:val="007F0E1A"/>
    <w:rsid w:val="007F16BA"/>
    <w:rsid w:val="007F18DC"/>
    <w:rsid w:val="007F1A93"/>
    <w:rsid w:val="007F2039"/>
    <w:rsid w:val="007F21B2"/>
    <w:rsid w:val="007F22F6"/>
    <w:rsid w:val="007F28E2"/>
    <w:rsid w:val="007F2DA5"/>
    <w:rsid w:val="007F2DE3"/>
    <w:rsid w:val="007F33A6"/>
    <w:rsid w:val="007F3BB6"/>
    <w:rsid w:val="007F4249"/>
    <w:rsid w:val="007F4299"/>
    <w:rsid w:val="007F4AD4"/>
    <w:rsid w:val="007F5693"/>
    <w:rsid w:val="007F750E"/>
    <w:rsid w:val="007F7CFF"/>
    <w:rsid w:val="0080030B"/>
    <w:rsid w:val="0080056C"/>
    <w:rsid w:val="00800961"/>
    <w:rsid w:val="00801064"/>
    <w:rsid w:val="00801E3C"/>
    <w:rsid w:val="008021F8"/>
    <w:rsid w:val="008029CF"/>
    <w:rsid w:val="00803B1D"/>
    <w:rsid w:val="00803FE0"/>
    <w:rsid w:val="0080442E"/>
    <w:rsid w:val="00804E24"/>
    <w:rsid w:val="0080551B"/>
    <w:rsid w:val="00805DF7"/>
    <w:rsid w:val="00807894"/>
    <w:rsid w:val="008078A0"/>
    <w:rsid w:val="00807C80"/>
    <w:rsid w:val="008102A8"/>
    <w:rsid w:val="008104D7"/>
    <w:rsid w:val="008105DD"/>
    <w:rsid w:val="00810796"/>
    <w:rsid w:val="0081084F"/>
    <w:rsid w:val="00810FC2"/>
    <w:rsid w:val="00811462"/>
    <w:rsid w:val="00811E93"/>
    <w:rsid w:val="00813B08"/>
    <w:rsid w:val="00813B09"/>
    <w:rsid w:val="00813D5A"/>
    <w:rsid w:val="00814391"/>
    <w:rsid w:val="008143FB"/>
    <w:rsid w:val="008144DE"/>
    <w:rsid w:val="00814D9D"/>
    <w:rsid w:val="00814E53"/>
    <w:rsid w:val="0081574E"/>
    <w:rsid w:val="0081577D"/>
    <w:rsid w:val="00816042"/>
    <w:rsid w:val="00816674"/>
    <w:rsid w:val="008166E5"/>
    <w:rsid w:val="0081671C"/>
    <w:rsid w:val="00816AD7"/>
    <w:rsid w:val="0081745C"/>
    <w:rsid w:val="00820EDA"/>
    <w:rsid w:val="00821391"/>
    <w:rsid w:val="008225A8"/>
    <w:rsid w:val="0082276E"/>
    <w:rsid w:val="008227FA"/>
    <w:rsid w:val="00822C1F"/>
    <w:rsid w:val="0082348C"/>
    <w:rsid w:val="00824C8F"/>
    <w:rsid w:val="00824EE5"/>
    <w:rsid w:val="008265F7"/>
    <w:rsid w:val="00826618"/>
    <w:rsid w:val="00826884"/>
    <w:rsid w:val="00826BE6"/>
    <w:rsid w:val="00827F64"/>
    <w:rsid w:val="008303C1"/>
    <w:rsid w:val="008304D7"/>
    <w:rsid w:val="00830529"/>
    <w:rsid w:val="0083183F"/>
    <w:rsid w:val="0083193F"/>
    <w:rsid w:val="00832AA8"/>
    <w:rsid w:val="00832B67"/>
    <w:rsid w:val="00833B57"/>
    <w:rsid w:val="00833D87"/>
    <w:rsid w:val="008343B5"/>
    <w:rsid w:val="008347C1"/>
    <w:rsid w:val="00834C6E"/>
    <w:rsid w:val="00834D4F"/>
    <w:rsid w:val="0083660A"/>
    <w:rsid w:val="008366FE"/>
    <w:rsid w:val="008367F6"/>
    <w:rsid w:val="00836A16"/>
    <w:rsid w:val="00836AE3"/>
    <w:rsid w:val="00836B5C"/>
    <w:rsid w:val="008374FD"/>
    <w:rsid w:val="008377FD"/>
    <w:rsid w:val="00837AC0"/>
    <w:rsid w:val="008408CA"/>
    <w:rsid w:val="00840B63"/>
    <w:rsid w:val="0084196D"/>
    <w:rsid w:val="008427AA"/>
    <w:rsid w:val="00842A1C"/>
    <w:rsid w:val="00842ADE"/>
    <w:rsid w:val="00842C79"/>
    <w:rsid w:val="00842ED4"/>
    <w:rsid w:val="008436C9"/>
    <w:rsid w:val="00843ED9"/>
    <w:rsid w:val="00843FD8"/>
    <w:rsid w:val="008444B0"/>
    <w:rsid w:val="008446F9"/>
    <w:rsid w:val="00844CF2"/>
    <w:rsid w:val="00845899"/>
    <w:rsid w:val="00846EB9"/>
    <w:rsid w:val="0084713C"/>
    <w:rsid w:val="0085012C"/>
    <w:rsid w:val="0085073F"/>
    <w:rsid w:val="00851060"/>
    <w:rsid w:val="008511E2"/>
    <w:rsid w:val="00851857"/>
    <w:rsid w:val="00851858"/>
    <w:rsid w:val="00852635"/>
    <w:rsid w:val="00852A47"/>
    <w:rsid w:val="00852C44"/>
    <w:rsid w:val="00852FDD"/>
    <w:rsid w:val="008530C5"/>
    <w:rsid w:val="0085356B"/>
    <w:rsid w:val="00853FD7"/>
    <w:rsid w:val="008542D5"/>
    <w:rsid w:val="0085515B"/>
    <w:rsid w:val="0085584D"/>
    <w:rsid w:val="0085663E"/>
    <w:rsid w:val="00856651"/>
    <w:rsid w:val="00856B7E"/>
    <w:rsid w:val="0085727E"/>
    <w:rsid w:val="0085798F"/>
    <w:rsid w:val="00857A3C"/>
    <w:rsid w:val="00857CDF"/>
    <w:rsid w:val="008602D2"/>
    <w:rsid w:val="00861B1E"/>
    <w:rsid w:val="00862A3E"/>
    <w:rsid w:val="00862D99"/>
    <w:rsid w:val="00862F08"/>
    <w:rsid w:val="0086317C"/>
    <w:rsid w:val="008634D9"/>
    <w:rsid w:val="00863ABD"/>
    <w:rsid w:val="0086521E"/>
    <w:rsid w:val="008652D6"/>
    <w:rsid w:val="00865504"/>
    <w:rsid w:val="008700E5"/>
    <w:rsid w:val="0087075F"/>
    <w:rsid w:val="00870EE9"/>
    <w:rsid w:val="008719E0"/>
    <w:rsid w:val="00872540"/>
    <w:rsid w:val="00872703"/>
    <w:rsid w:val="00873147"/>
    <w:rsid w:val="0087344C"/>
    <w:rsid w:val="00873619"/>
    <w:rsid w:val="0087388D"/>
    <w:rsid w:val="008738C9"/>
    <w:rsid w:val="00873D40"/>
    <w:rsid w:val="008747C0"/>
    <w:rsid w:val="00875D4C"/>
    <w:rsid w:val="00876F16"/>
    <w:rsid w:val="00877FDE"/>
    <w:rsid w:val="0088040D"/>
    <w:rsid w:val="008807DE"/>
    <w:rsid w:val="00880C8A"/>
    <w:rsid w:val="00881D70"/>
    <w:rsid w:val="008820BD"/>
    <w:rsid w:val="008821C8"/>
    <w:rsid w:val="0088280C"/>
    <w:rsid w:val="00885F9C"/>
    <w:rsid w:val="00886418"/>
    <w:rsid w:val="00886583"/>
    <w:rsid w:val="00886990"/>
    <w:rsid w:val="00886EF7"/>
    <w:rsid w:val="00886F97"/>
    <w:rsid w:val="008877E3"/>
    <w:rsid w:val="008879D0"/>
    <w:rsid w:val="00887AFA"/>
    <w:rsid w:val="00887B2C"/>
    <w:rsid w:val="008903CE"/>
    <w:rsid w:val="0089047D"/>
    <w:rsid w:val="00890B4D"/>
    <w:rsid w:val="00890CB8"/>
    <w:rsid w:val="0089107E"/>
    <w:rsid w:val="00891269"/>
    <w:rsid w:val="00891343"/>
    <w:rsid w:val="00892F75"/>
    <w:rsid w:val="00893DE5"/>
    <w:rsid w:val="00894A03"/>
    <w:rsid w:val="00894D5D"/>
    <w:rsid w:val="00894DC4"/>
    <w:rsid w:val="0089566D"/>
    <w:rsid w:val="008960FB"/>
    <w:rsid w:val="008965E3"/>
    <w:rsid w:val="008969E1"/>
    <w:rsid w:val="00896AA0"/>
    <w:rsid w:val="00896D4A"/>
    <w:rsid w:val="0089747E"/>
    <w:rsid w:val="0089799F"/>
    <w:rsid w:val="00897A40"/>
    <w:rsid w:val="00897E3E"/>
    <w:rsid w:val="008A017A"/>
    <w:rsid w:val="008A0232"/>
    <w:rsid w:val="008A1650"/>
    <w:rsid w:val="008A1C67"/>
    <w:rsid w:val="008A20CF"/>
    <w:rsid w:val="008A31D7"/>
    <w:rsid w:val="008A4451"/>
    <w:rsid w:val="008A470C"/>
    <w:rsid w:val="008A4863"/>
    <w:rsid w:val="008A5F73"/>
    <w:rsid w:val="008A6E3A"/>
    <w:rsid w:val="008A74F4"/>
    <w:rsid w:val="008A76C7"/>
    <w:rsid w:val="008A7957"/>
    <w:rsid w:val="008A7B19"/>
    <w:rsid w:val="008B021E"/>
    <w:rsid w:val="008B03F9"/>
    <w:rsid w:val="008B0528"/>
    <w:rsid w:val="008B07AE"/>
    <w:rsid w:val="008B13A2"/>
    <w:rsid w:val="008B1596"/>
    <w:rsid w:val="008B1731"/>
    <w:rsid w:val="008B2074"/>
    <w:rsid w:val="008B2399"/>
    <w:rsid w:val="008B23E3"/>
    <w:rsid w:val="008B27EA"/>
    <w:rsid w:val="008B39C1"/>
    <w:rsid w:val="008B3A07"/>
    <w:rsid w:val="008B413A"/>
    <w:rsid w:val="008B4350"/>
    <w:rsid w:val="008B4A99"/>
    <w:rsid w:val="008B5F3E"/>
    <w:rsid w:val="008C00D2"/>
    <w:rsid w:val="008C0D00"/>
    <w:rsid w:val="008C0EC8"/>
    <w:rsid w:val="008C2682"/>
    <w:rsid w:val="008C30E0"/>
    <w:rsid w:val="008C3636"/>
    <w:rsid w:val="008C3953"/>
    <w:rsid w:val="008C3A98"/>
    <w:rsid w:val="008C3DBF"/>
    <w:rsid w:val="008C431E"/>
    <w:rsid w:val="008C449E"/>
    <w:rsid w:val="008C49CC"/>
    <w:rsid w:val="008C4DF4"/>
    <w:rsid w:val="008C5324"/>
    <w:rsid w:val="008C59C5"/>
    <w:rsid w:val="008C5E2D"/>
    <w:rsid w:val="008C5E7E"/>
    <w:rsid w:val="008C5F89"/>
    <w:rsid w:val="008C74C6"/>
    <w:rsid w:val="008C764D"/>
    <w:rsid w:val="008C766C"/>
    <w:rsid w:val="008D1604"/>
    <w:rsid w:val="008D1640"/>
    <w:rsid w:val="008D173D"/>
    <w:rsid w:val="008D1E18"/>
    <w:rsid w:val="008D2519"/>
    <w:rsid w:val="008D2631"/>
    <w:rsid w:val="008D2F7B"/>
    <w:rsid w:val="008D3C1A"/>
    <w:rsid w:val="008D406A"/>
    <w:rsid w:val="008D4A2D"/>
    <w:rsid w:val="008D4E92"/>
    <w:rsid w:val="008D5F2E"/>
    <w:rsid w:val="008D6565"/>
    <w:rsid w:val="008D688B"/>
    <w:rsid w:val="008D7562"/>
    <w:rsid w:val="008D758E"/>
    <w:rsid w:val="008D7806"/>
    <w:rsid w:val="008E00D1"/>
    <w:rsid w:val="008E010D"/>
    <w:rsid w:val="008E0127"/>
    <w:rsid w:val="008E01F8"/>
    <w:rsid w:val="008E1520"/>
    <w:rsid w:val="008E1617"/>
    <w:rsid w:val="008E1E21"/>
    <w:rsid w:val="008E2618"/>
    <w:rsid w:val="008E27BB"/>
    <w:rsid w:val="008E2A76"/>
    <w:rsid w:val="008E3815"/>
    <w:rsid w:val="008E3903"/>
    <w:rsid w:val="008E3A69"/>
    <w:rsid w:val="008E4002"/>
    <w:rsid w:val="008E5155"/>
    <w:rsid w:val="008E5F5D"/>
    <w:rsid w:val="008F0032"/>
    <w:rsid w:val="008F036A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369D"/>
    <w:rsid w:val="008F3B3A"/>
    <w:rsid w:val="008F531D"/>
    <w:rsid w:val="008F6CCE"/>
    <w:rsid w:val="008F7459"/>
    <w:rsid w:val="008F78A3"/>
    <w:rsid w:val="008F7A14"/>
    <w:rsid w:val="008F7B51"/>
    <w:rsid w:val="008F7D09"/>
    <w:rsid w:val="008F7DE3"/>
    <w:rsid w:val="00900134"/>
    <w:rsid w:val="009001ED"/>
    <w:rsid w:val="00900313"/>
    <w:rsid w:val="00900494"/>
    <w:rsid w:val="00900ECE"/>
    <w:rsid w:val="00901783"/>
    <w:rsid w:val="009020A5"/>
    <w:rsid w:val="009032D3"/>
    <w:rsid w:val="00903707"/>
    <w:rsid w:val="00903874"/>
    <w:rsid w:val="009048B1"/>
    <w:rsid w:val="009048F2"/>
    <w:rsid w:val="00904CF4"/>
    <w:rsid w:val="00904DB2"/>
    <w:rsid w:val="00905A50"/>
    <w:rsid w:val="00906E69"/>
    <w:rsid w:val="009076ED"/>
    <w:rsid w:val="00910554"/>
    <w:rsid w:val="00911969"/>
    <w:rsid w:val="00911BC1"/>
    <w:rsid w:val="00911F85"/>
    <w:rsid w:val="009125E1"/>
    <w:rsid w:val="00912894"/>
    <w:rsid w:val="00912CA4"/>
    <w:rsid w:val="00912F59"/>
    <w:rsid w:val="0091360B"/>
    <w:rsid w:val="009136A4"/>
    <w:rsid w:val="009136F0"/>
    <w:rsid w:val="00914245"/>
    <w:rsid w:val="00914E67"/>
    <w:rsid w:val="00916C0C"/>
    <w:rsid w:val="00917013"/>
    <w:rsid w:val="00917555"/>
    <w:rsid w:val="009178A4"/>
    <w:rsid w:val="00917B03"/>
    <w:rsid w:val="00917DF1"/>
    <w:rsid w:val="00917FA3"/>
    <w:rsid w:val="00921494"/>
    <w:rsid w:val="00921C3B"/>
    <w:rsid w:val="00922A93"/>
    <w:rsid w:val="009230FA"/>
    <w:rsid w:val="009232AD"/>
    <w:rsid w:val="00923339"/>
    <w:rsid w:val="00923D7E"/>
    <w:rsid w:val="00923FBD"/>
    <w:rsid w:val="00924709"/>
    <w:rsid w:val="009250A9"/>
    <w:rsid w:val="009257C8"/>
    <w:rsid w:val="009263F5"/>
    <w:rsid w:val="00926735"/>
    <w:rsid w:val="0092682F"/>
    <w:rsid w:val="00927D7D"/>
    <w:rsid w:val="00930215"/>
    <w:rsid w:val="009302BF"/>
    <w:rsid w:val="00930D8A"/>
    <w:rsid w:val="0093117D"/>
    <w:rsid w:val="009311DA"/>
    <w:rsid w:val="00931282"/>
    <w:rsid w:val="009316ED"/>
    <w:rsid w:val="0093203F"/>
    <w:rsid w:val="009324D0"/>
    <w:rsid w:val="00932E3C"/>
    <w:rsid w:val="00933A87"/>
    <w:rsid w:val="0093408F"/>
    <w:rsid w:val="0093454A"/>
    <w:rsid w:val="0093488A"/>
    <w:rsid w:val="00934BAD"/>
    <w:rsid w:val="00935120"/>
    <w:rsid w:val="00935266"/>
    <w:rsid w:val="009359F2"/>
    <w:rsid w:val="00937514"/>
    <w:rsid w:val="00937ABE"/>
    <w:rsid w:val="00940512"/>
    <w:rsid w:val="00940B88"/>
    <w:rsid w:val="009416CE"/>
    <w:rsid w:val="00941ACE"/>
    <w:rsid w:val="00941D90"/>
    <w:rsid w:val="00941EC0"/>
    <w:rsid w:val="0094209F"/>
    <w:rsid w:val="00942624"/>
    <w:rsid w:val="009427A6"/>
    <w:rsid w:val="00942A44"/>
    <w:rsid w:val="00942BB2"/>
    <w:rsid w:val="00942F04"/>
    <w:rsid w:val="00943B3E"/>
    <w:rsid w:val="009443FD"/>
    <w:rsid w:val="009449B6"/>
    <w:rsid w:val="00945162"/>
    <w:rsid w:val="009452B7"/>
    <w:rsid w:val="0094593D"/>
    <w:rsid w:val="00945F28"/>
    <w:rsid w:val="00946331"/>
    <w:rsid w:val="0094639C"/>
    <w:rsid w:val="00946925"/>
    <w:rsid w:val="00946A6D"/>
    <w:rsid w:val="00946C7E"/>
    <w:rsid w:val="00946F94"/>
    <w:rsid w:val="00947130"/>
    <w:rsid w:val="009471F9"/>
    <w:rsid w:val="009473F6"/>
    <w:rsid w:val="00947436"/>
    <w:rsid w:val="009500F7"/>
    <w:rsid w:val="0095034E"/>
    <w:rsid w:val="0095039A"/>
    <w:rsid w:val="00950C56"/>
    <w:rsid w:val="009515C3"/>
    <w:rsid w:val="009519FC"/>
    <w:rsid w:val="00952F3C"/>
    <w:rsid w:val="00952FF3"/>
    <w:rsid w:val="00953FF9"/>
    <w:rsid w:val="009540D8"/>
    <w:rsid w:val="0095431F"/>
    <w:rsid w:val="00955A59"/>
    <w:rsid w:val="0095611A"/>
    <w:rsid w:val="00956688"/>
    <w:rsid w:val="009567CA"/>
    <w:rsid w:val="00956A0D"/>
    <w:rsid w:val="00956B60"/>
    <w:rsid w:val="00956F5F"/>
    <w:rsid w:val="00957703"/>
    <w:rsid w:val="00957DBA"/>
    <w:rsid w:val="00961586"/>
    <w:rsid w:val="009619A4"/>
    <w:rsid w:val="00961BB5"/>
    <w:rsid w:val="00961FFE"/>
    <w:rsid w:val="009626B8"/>
    <w:rsid w:val="00962836"/>
    <w:rsid w:val="00963BEE"/>
    <w:rsid w:val="00963F7A"/>
    <w:rsid w:val="00964228"/>
    <w:rsid w:val="00964374"/>
    <w:rsid w:val="009643A4"/>
    <w:rsid w:val="00964CF8"/>
    <w:rsid w:val="00964EA0"/>
    <w:rsid w:val="00965100"/>
    <w:rsid w:val="009652CC"/>
    <w:rsid w:val="009653BC"/>
    <w:rsid w:val="009657A4"/>
    <w:rsid w:val="00965C40"/>
    <w:rsid w:val="00965EED"/>
    <w:rsid w:val="00967B3A"/>
    <w:rsid w:val="00970763"/>
    <w:rsid w:val="009709B3"/>
    <w:rsid w:val="00970B31"/>
    <w:rsid w:val="00972C3A"/>
    <w:rsid w:val="00973036"/>
    <w:rsid w:val="009735C5"/>
    <w:rsid w:val="009739C2"/>
    <w:rsid w:val="0097418F"/>
    <w:rsid w:val="00974C0F"/>
    <w:rsid w:val="00975429"/>
    <w:rsid w:val="00977C3B"/>
    <w:rsid w:val="00980374"/>
    <w:rsid w:val="00980D98"/>
    <w:rsid w:val="009814E9"/>
    <w:rsid w:val="009817A2"/>
    <w:rsid w:val="00982485"/>
    <w:rsid w:val="00982E78"/>
    <w:rsid w:val="00984505"/>
    <w:rsid w:val="00984D40"/>
    <w:rsid w:val="00984DE2"/>
    <w:rsid w:val="00985069"/>
    <w:rsid w:val="00985484"/>
    <w:rsid w:val="00987314"/>
    <w:rsid w:val="009873A9"/>
    <w:rsid w:val="009878D9"/>
    <w:rsid w:val="00987D7C"/>
    <w:rsid w:val="00987E48"/>
    <w:rsid w:val="00987F53"/>
    <w:rsid w:val="00990203"/>
    <w:rsid w:val="00990D1C"/>
    <w:rsid w:val="00990F8E"/>
    <w:rsid w:val="0099131C"/>
    <w:rsid w:val="009915F7"/>
    <w:rsid w:val="00991D25"/>
    <w:rsid w:val="00991F15"/>
    <w:rsid w:val="00992496"/>
    <w:rsid w:val="00992B68"/>
    <w:rsid w:val="00993473"/>
    <w:rsid w:val="00993BE6"/>
    <w:rsid w:val="00994461"/>
    <w:rsid w:val="009952DB"/>
    <w:rsid w:val="00995CB6"/>
    <w:rsid w:val="0099689D"/>
    <w:rsid w:val="009968AE"/>
    <w:rsid w:val="009968C0"/>
    <w:rsid w:val="00996C68"/>
    <w:rsid w:val="009971D8"/>
    <w:rsid w:val="00997E15"/>
    <w:rsid w:val="009A0262"/>
    <w:rsid w:val="009A08C7"/>
    <w:rsid w:val="009A0A55"/>
    <w:rsid w:val="009A135A"/>
    <w:rsid w:val="009A1471"/>
    <w:rsid w:val="009A1BE5"/>
    <w:rsid w:val="009A1F00"/>
    <w:rsid w:val="009A25E7"/>
    <w:rsid w:val="009A2EEB"/>
    <w:rsid w:val="009A3A74"/>
    <w:rsid w:val="009A4E04"/>
    <w:rsid w:val="009A5332"/>
    <w:rsid w:val="009A5B54"/>
    <w:rsid w:val="009A5B8E"/>
    <w:rsid w:val="009A5BA9"/>
    <w:rsid w:val="009A65CF"/>
    <w:rsid w:val="009A6E4A"/>
    <w:rsid w:val="009A7362"/>
    <w:rsid w:val="009A7810"/>
    <w:rsid w:val="009A7C42"/>
    <w:rsid w:val="009A7FAB"/>
    <w:rsid w:val="009B0231"/>
    <w:rsid w:val="009B16D5"/>
    <w:rsid w:val="009B1876"/>
    <w:rsid w:val="009B25BB"/>
    <w:rsid w:val="009B25FA"/>
    <w:rsid w:val="009B2895"/>
    <w:rsid w:val="009B2E0D"/>
    <w:rsid w:val="009B3E9A"/>
    <w:rsid w:val="009B3FF9"/>
    <w:rsid w:val="009B401F"/>
    <w:rsid w:val="009B4B55"/>
    <w:rsid w:val="009B502C"/>
    <w:rsid w:val="009B5242"/>
    <w:rsid w:val="009B54C0"/>
    <w:rsid w:val="009B56A9"/>
    <w:rsid w:val="009B6460"/>
    <w:rsid w:val="009B649A"/>
    <w:rsid w:val="009B655B"/>
    <w:rsid w:val="009B72B8"/>
    <w:rsid w:val="009B74C0"/>
    <w:rsid w:val="009B7D77"/>
    <w:rsid w:val="009C0608"/>
    <w:rsid w:val="009C0828"/>
    <w:rsid w:val="009C0FD8"/>
    <w:rsid w:val="009C16CF"/>
    <w:rsid w:val="009C18FA"/>
    <w:rsid w:val="009C19DF"/>
    <w:rsid w:val="009C1B44"/>
    <w:rsid w:val="009C38FB"/>
    <w:rsid w:val="009C4457"/>
    <w:rsid w:val="009C461F"/>
    <w:rsid w:val="009C59C6"/>
    <w:rsid w:val="009C66D0"/>
    <w:rsid w:val="009C7153"/>
    <w:rsid w:val="009C7486"/>
    <w:rsid w:val="009C753F"/>
    <w:rsid w:val="009C7B9F"/>
    <w:rsid w:val="009C7DB0"/>
    <w:rsid w:val="009D1616"/>
    <w:rsid w:val="009D16E4"/>
    <w:rsid w:val="009D23CF"/>
    <w:rsid w:val="009D2D5A"/>
    <w:rsid w:val="009D2F10"/>
    <w:rsid w:val="009D4773"/>
    <w:rsid w:val="009D5512"/>
    <w:rsid w:val="009D55DC"/>
    <w:rsid w:val="009D56AA"/>
    <w:rsid w:val="009D6A5B"/>
    <w:rsid w:val="009D6D89"/>
    <w:rsid w:val="009D735B"/>
    <w:rsid w:val="009D7A3F"/>
    <w:rsid w:val="009E01CB"/>
    <w:rsid w:val="009E0927"/>
    <w:rsid w:val="009E0A24"/>
    <w:rsid w:val="009E0B5E"/>
    <w:rsid w:val="009E0B63"/>
    <w:rsid w:val="009E0BF5"/>
    <w:rsid w:val="009E0DA0"/>
    <w:rsid w:val="009E17F4"/>
    <w:rsid w:val="009E242A"/>
    <w:rsid w:val="009E288F"/>
    <w:rsid w:val="009E2C69"/>
    <w:rsid w:val="009E365C"/>
    <w:rsid w:val="009E50C8"/>
    <w:rsid w:val="009E51B2"/>
    <w:rsid w:val="009E5591"/>
    <w:rsid w:val="009E76C6"/>
    <w:rsid w:val="009E7713"/>
    <w:rsid w:val="009E77EC"/>
    <w:rsid w:val="009F01AB"/>
    <w:rsid w:val="009F100C"/>
    <w:rsid w:val="009F2013"/>
    <w:rsid w:val="009F24C5"/>
    <w:rsid w:val="009F2570"/>
    <w:rsid w:val="009F286E"/>
    <w:rsid w:val="009F3670"/>
    <w:rsid w:val="009F4008"/>
    <w:rsid w:val="009F422B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3D9E"/>
    <w:rsid w:val="00A03EAC"/>
    <w:rsid w:val="00A04062"/>
    <w:rsid w:val="00A0441E"/>
    <w:rsid w:val="00A0445B"/>
    <w:rsid w:val="00A04C8A"/>
    <w:rsid w:val="00A04ED5"/>
    <w:rsid w:val="00A06684"/>
    <w:rsid w:val="00A076B3"/>
    <w:rsid w:val="00A103E0"/>
    <w:rsid w:val="00A10606"/>
    <w:rsid w:val="00A10615"/>
    <w:rsid w:val="00A10D14"/>
    <w:rsid w:val="00A11587"/>
    <w:rsid w:val="00A11FE2"/>
    <w:rsid w:val="00A124A6"/>
    <w:rsid w:val="00A127E5"/>
    <w:rsid w:val="00A13DC8"/>
    <w:rsid w:val="00A14F5D"/>
    <w:rsid w:val="00A15ECF"/>
    <w:rsid w:val="00A162C1"/>
    <w:rsid w:val="00A164B0"/>
    <w:rsid w:val="00A164BB"/>
    <w:rsid w:val="00A1692D"/>
    <w:rsid w:val="00A16937"/>
    <w:rsid w:val="00A17C98"/>
    <w:rsid w:val="00A17FD8"/>
    <w:rsid w:val="00A2014C"/>
    <w:rsid w:val="00A2035E"/>
    <w:rsid w:val="00A2258B"/>
    <w:rsid w:val="00A226A4"/>
    <w:rsid w:val="00A22A78"/>
    <w:rsid w:val="00A23693"/>
    <w:rsid w:val="00A2374A"/>
    <w:rsid w:val="00A23FAA"/>
    <w:rsid w:val="00A241C9"/>
    <w:rsid w:val="00A25F48"/>
    <w:rsid w:val="00A26489"/>
    <w:rsid w:val="00A265AA"/>
    <w:rsid w:val="00A270D5"/>
    <w:rsid w:val="00A27555"/>
    <w:rsid w:val="00A3011C"/>
    <w:rsid w:val="00A305C5"/>
    <w:rsid w:val="00A306E3"/>
    <w:rsid w:val="00A30A0F"/>
    <w:rsid w:val="00A30CBA"/>
    <w:rsid w:val="00A3105F"/>
    <w:rsid w:val="00A3116D"/>
    <w:rsid w:val="00A3134F"/>
    <w:rsid w:val="00A31DB7"/>
    <w:rsid w:val="00A3260F"/>
    <w:rsid w:val="00A32975"/>
    <w:rsid w:val="00A3382D"/>
    <w:rsid w:val="00A33C45"/>
    <w:rsid w:val="00A340A6"/>
    <w:rsid w:val="00A3570A"/>
    <w:rsid w:val="00A3579F"/>
    <w:rsid w:val="00A35832"/>
    <w:rsid w:val="00A358D8"/>
    <w:rsid w:val="00A362FD"/>
    <w:rsid w:val="00A369DD"/>
    <w:rsid w:val="00A37340"/>
    <w:rsid w:val="00A37871"/>
    <w:rsid w:val="00A37C1A"/>
    <w:rsid w:val="00A408DC"/>
    <w:rsid w:val="00A40FFD"/>
    <w:rsid w:val="00A416BC"/>
    <w:rsid w:val="00A4225B"/>
    <w:rsid w:val="00A43043"/>
    <w:rsid w:val="00A43914"/>
    <w:rsid w:val="00A44064"/>
    <w:rsid w:val="00A446AE"/>
    <w:rsid w:val="00A45DF7"/>
    <w:rsid w:val="00A46154"/>
    <w:rsid w:val="00A461C4"/>
    <w:rsid w:val="00A46736"/>
    <w:rsid w:val="00A46BD9"/>
    <w:rsid w:val="00A46DBE"/>
    <w:rsid w:val="00A47773"/>
    <w:rsid w:val="00A50EA7"/>
    <w:rsid w:val="00A513D7"/>
    <w:rsid w:val="00A51A7F"/>
    <w:rsid w:val="00A51E28"/>
    <w:rsid w:val="00A52E78"/>
    <w:rsid w:val="00A54126"/>
    <w:rsid w:val="00A547B8"/>
    <w:rsid w:val="00A5490E"/>
    <w:rsid w:val="00A54BAE"/>
    <w:rsid w:val="00A54DB3"/>
    <w:rsid w:val="00A54FD3"/>
    <w:rsid w:val="00A550D9"/>
    <w:rsid w:val="00A55422"/>
    <w:rsid w:val="00A565E3"/>
    <w:rsid w:val="00A571EA"/>
    <w:rsid w:val="00A5726E"/>
    <w:rsid w:val="00A579DF"/>
    <w:rsid w:val="00A57E25"/>
    <w:rsid w:val="00A60F0E"/>
    <w:rsid w:val="00A612CF"/>
    <w:rsid w:val="00A61C4A"/>
    <w:rsid w:val="00A62226"/>
    <w:rsid w:val="00A62305"/>
    <w:rsid w:val="00A62A5F"/>
    <w:rsid w:val="00A63492"/>
    <w:rsid w:val="00A643E3"/>
    <w:rsid w:val="00A64AF4"/>
    <w:rsid w:val="00A64FAA"/>
    <w:rsid w:val="00A65762"/>
    <w:rsid w:val="00A673F5"/>
    <w:rsid w:val="00A6745E"/>
    <w:rsid w:val="00A676B3"/>
    <w:rsid w:val="00A67D35"/>
    <w:rsid w:val="00A70E8C"/>
    <w:rsid w:val="00A70EA5"/>
    <w:rsid w:val="00A70F33"/>
    <w:rsid w:val="00A71412"/>
    <w:rsid w:val="00A71963"/>
    <w:rsid w:val="00A720CC"/>
    <w:rsid w:val="00A721CA"/>
    <w:rsid w:val="00A72463"/>
    <w:rsid w:val="00A7256C"/>
    <w:rsid w:val="00A734CD"/>
    <w:rsid w:val="00A74310"/>
    <w:rsid w:val="00A746E0"/>
    <w:rsid w:val="00A7475B"/>
    <w:rsid w:val="00A750BD"/>
    <w:rsid w:val="00A750EB"/>
    <w:rsid w:val="00A7534A"/>
    <w:rsid w:val="00A7560A"/>
    <w:rsid w:val="00A75CE8"/>
    <w:rsid w:val="00A75FE6"/>
    <w:rsid w:val="00A764CB"/>
    <w:rsid w:val="00A77666"/>
    <w:rsid w:val="00A804B5"/>
    <w:rsid w:val="00A806A2"/>
    <w:rsid w:val="00A808AF"/>
    <w:rsid w:val="00A81487"/>
    <w:rsid w:val="00A829F4"/>
    <w:rsid w:val="00A82F58"/>
    <w:rsid w:val="00A8313B"/>
    <w:rsid w:val="00A8383A"/>
    <w:rsid w:val="00A83D9A"/>
    <w:rsid w:val="00A83E50"/>
    <w:rsid w:val="00A8528E"/>
    <w:rsid w:val="00A8564D"/>
    <w:rsid w:val="00A8600E"/>
    <w:rsid w:val="00A87596"/>
    <w:rsid w:val="00A87A51"/>
    <w:rsid w:val="00A87AFF"/>
    <w:rsid w:val="00A87D5C"/>
    <w:rsid w:val="00A87EDA"/>
    <w:rsid w:val="00A903A1"/>
    <w:rsid w:val="00A903ED"/>
    <w:rsid w:val="00A907A0"/>
    <w:rsid w:val="00A90A71"/>
    <w:rsid w:val="00A90AB0"/>
    <w:rsid w:val="00A90C2E"/>
    <w:rsid w:val="00A9272D"/>
    <w:rsid w:val="00A9280A"/>
    <w:rsid w:val="00A92850"/>
    <w:rsid w:val="00A92F70"/>
    <w:rsid w:val="00A939E0"/>
    <w:rsid w:val="00A93E1C"/>
    <w:rsid w:val="00A94335"/>
    <w:rsid w:val="00A94485"/>
    <w:rsid w:val="00A945FE"/>
    <w:rsid w:val="00A94704"/>
    <w:rsid w:val="00A94980"/>
    <w:rsid w:val="00A94A91"/>
    <w:rsid w:val="00A94B0F"/>
    <w:rsid w:val="00A94D67"/>
    <w:rsid w:val="00A94F17"/>
    <w:rsid w:val="00A94F1D"/>
    <w:rsid w:val="00A957CB"/>
    <w:rsid w:val="00A95930"/>
    <w:rsid w:val="00A97059"/>
    <w:rsid w:val="00A97C37"/>
    <w:rsid w:val="00A97DD9"/>
    <w:rsid w:val="00AA0F45"/>
    <w:rsid w:val="00AA114A"/>
    <w:rsid w:val="00AA2B25"/>
    <w:rsid w:val="00AA2EF1"/>
    <w:rsid w:val="00AA3159"/>
    <w:rsid w:val="00AA376D"/>
    <w:rsid w:val="00AA395F"/>
    <w:rsid w:val="00AA414C"/>
    <w:rsid w:val="00AA5416"/>
    <w:rsid w:val="00AA68B8"/>
    <w:rsid w:val="00AA738A"/>
    <w:rsid w:val="00AB00BA"/>
    <w:rsid w:val="00AB0D24"/>
    <w:rsid w:val="00AB0F99"/>
    <w:rsid w:val="00AB1265"/>
    <w:rsid w:val="00AB167C"/>
    <w:rsid w:val="00AB1D9A"/>
    <w:rsid w:val="00AB1F0B"/>
    <w:rsid w:val="00AB297A"/>
    <w:rsid w:val="00AB3395"/>
    <w:rsid w:val="00AB3B41"/>
    <w:rsid w:val="00AB3DD5"/>
    <w:rsid w:val="00AB4507"/>
    <w:rsid w:val="00AB49DE"/>
    <w:rsid w:val="00AB4AC4"/>
    <w:rsid w:val="00AB5614"/>
    <w:rsid w:val="00AB58A0"/>
    <w:rsid w:val="00AB5C88"/>
    <w:rsid w:val="00AB6D18"/>
    <w:rsid w:val="00AB7201"/>
    <w:rsid w:val="00AB727F"/>
    <w:rsid w:val="00AB7646"/>
    <w:rsid w:val="00AC026E"/>
    <w:rsid w:val="00AC0397"/>
    <w:rsid w:val="00AC03E4"/>
    <w:rsid w:val="00AC04BB"/>
    <w:rsid w:val="00AC0EF3"/>
    <w:rsid w:val="00AC1477"/>
    <w:rsid w:val="00AC1E5E"/>
    <w:rsid w:val="00AC30CB"/>
    <w:rsid w:val="00AC3624"/>
    <w:rsid w:val="00AC3C8C"/>
    <w:rsid w:val="00AC3FE2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C7545"/>
    <w:rsid w:val="00AD0208"/>
    <w:rsid w:val="00AD06C0"/>
    <w:rsid w:val="00AD087D"/>
    <w:rsid w:val="00AD0FE6"/>
    <w:rsid w:val="00AD129D"/>
    <w:rsid w:val="00AD133A"/>
    <w:rsid w:val="00AD36FB"/>
    <w:rsid w:val="00AD3777"/>
    <w:rsid w:val="00AD3C2A"/>
    <w:rsid w:val="00AD409F"/>
    <w:rsid w:val="00AD48D1"/>
    <w:rsid w:val="00AD4B8D"/>
    <w:rsid w:val="00AD56B2"/>
    <w:rsid w:val="00AD59F9"/>
    <w:rsid w:val="00AD6BE7"/>
    <w:rsid w:val="00AD7175"/>
    <w:rsid w:val="00AD72F7"/>
    <w:rsid w:val="00AD7B78"/>
    <w:rsid w:val="00AE0123"/>
    <w:rsid w:val="00AE03DF"/>
    <w:rsid w:val="00AE04FC"/>
    <w:rsid w:val="00AE058A"/>
    <w:rsid w:val="00AE0A32"/>
    <w:rsid w:val="00AE0CDD"/>
    <w:rsid w:val="00AE0DE3"/>
    <w:rsid w:val="00AE10B4"/>
    <w:rsid w:val="00AE10DC"/>
    <w:rsid w:val="00AE1B7B"/>
    <w:rsid w:val="00AE1F12"/>
    <w:rsid w:val="00AE2D92"/>
    <w:rsid w:val="00AE2DD1"/>
    <w:rsid w:val="00AE37F1"/>
    <w:rsid w:val="00AE51C7"/>
    <w:rsid w:val="00AE5316"/>
    <w:rsid w:val="00AE58EB"/>
    <w:rsid w:val="00AE62EA"/>
    <w:rsid w:val="00AE6EFE"/>
    <w:rsid w:val="00AE76FC"/>
    <w:rsid w:val="00AE7F09"/>
    <w:rsid w:val="00AE7F87"/>
    <w:rsid w:val="00AF005E"/>
    <w:rsid w:val="00AF0484"/>
    <w:rsid w:val="00AF17AB"/>
    <w:rsid w:val="00AF1CCD"/>
    <w:rsid w:val="00AF304E"/>
    <w:rsid w:val="00AF3374"/>
    <w:rsid w:val="00AF3568"/>
    <w:rsid w:val="00AF397A"/>
    <w:rsid w:val="00AF400B"/>
    <w:rsid w:val="00AF450F"/>
    <w:rsid w:val="00AF4A1C"/>
    <w:rsid w:val="00AF4EF6"/>
    <w:rsid w:val="00AF555C"/>
    <w:rsid w:val="00AF569A"/>
    <w:rsid w:val="00AF5E16"/>
    <w:rsid w:val="00AF635A"/>
    <w:rsid w:val="00B00B87"/>
    <w:rsid w:val="00B00C37"/>
    <w:rsid w:val="00B01346"/>
    <w:rsid w:val="00B01423"/>
    <w:rsid w:val="00B01EDE"/>
    <w:rsid w:val="00B028A3"/>
    <w:rsid w:val="00B0290A"/>
    <w:rsid w:val="00B03DAE"/>
    <w:rsid w:val="00B045D2"/>
    <w:rsid w:val="00B05152"/>
    <w:rsid w:val="00B05DF5"/>
    <w:rsid w:val="00B06362"/>
    <w:rsid w:val="00B06771"/>
    <w:rsid w:val="00B0736F"/>
    <w:rsid w:val="00B076FF"/>
    <w:rsid w:val="00B078C5"/>
    <w:rsid w:val="00B102EE"/>
    <w:rsid w:val="00B10879"/>
    <w:rsid w:val="00B10995"/>
    <w:rsid w:val="00B115B7"/>
    <w:rsid w:val="00B11DB3"/>
    <w:rsid w:val="00B123A1"/>
    <w:rsid w:val="00B12822"/>
    <w:rsid w:val="00B1296C"/>
    <w:rsid w:val="00B1318E"/>
    <w:rsid w:val="00B14BB3"/>
    <w:rsid w:val="00B14FBC"/>
    <w:rsid w:val="00B15148"/>
    <w:rsid w:val="00B158A1"/>
    <w:rsid w:val="00B161BF"/>
    <w:rsid w:val="00B16BE7"/>
    <w:rsid w:val="00B17835"/>
    <w:rsid w:val="00B2014D"/>
    <w:rsid w:val="00B21098"/>
    <w:rsid w:val="00B2122A"/>
    <w:rsid w:val="00B223E7"/>
    <w:rsid w:val="00B231B2"/>
    <w:rsid w:val="00B238B1"/>
    <w:rsid w:val="00B23C16"/>
    <w:rsid w:val="00B24129"/>
    <w:rsid w:val="00B24408"/>
    <w:rsid w:val="00B24690"/>
    <w:rsid w:val="00B24F22"/>
    <w:rsid w:val="00B2504A"/>
    <w:rsid w:val="00B25F9D"/>
    <w:rsid w:val="00B262E3"/>
    <w:rsid w:val="00B266F4"/>
    <w:rsid w:val="00B2670D"/>
    <w:rsid w:val="00B26D44"/>
    <w:rsid w:val="00B26F7E"/>
    <w:rsid w:val="00B26FF7"/>
    <w:rsid w:val="00B27246"/>
    <w:rsid w:val="00B27A76"/>
    <w:rsid w:val="00B302C4"/>
    <w:rsid w:val="00B302F4"/>
    <w:rsid w:val="00B30836"/>
    <w:rsid w:val="00B31392"/>
    <w:rsid w:val="00B31E94"/>
    <w:rsid w:val="00B32472"/>
    <w:rsid w:val="00B32666"/>
    <w:rsid w:val="00B32752"/>
    <w:rsid w:val="00B32DDD"/>
    <w:rsid w:val="00B3380D"/>
    <w:rsid w:val="00B33B45"/>
    <w:rsid w:val="00B33E82"/>
    <w:rsid w:val="00B3442B"/>
    <w:rsid w:val="00B34632"/>
    <w:rsid w:val="00B34BB8"/>
    <w:rsid w:val="00B3556A"/>
    <w:rsid w:val="00B35A75"/>
    <w:rsid w:val="00B36156"/>
    <w:rsid w:val="00B3647D"/>
    <w:rsid w:val="00B36604"/>
    <w:rsid w:val="00B372AE"/>
    <w:rsid w:val="00B40242"/>
    <w:rsid w:val="00B40E30"/>
    <w:rsid w:val="00B41968"/>
    <w:rsid w:val="00B4261B"/>
    <w:rsid w:val="00B426BC"/>
    <w:rsid w:val="00B42762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52E"/>
    <w:rsid w:val="00B4698A"/>
    <w:rsid w:val="00B46C00"/>
    <w:rsid w:val="00B47233"/>
    <w:rsid w:val="00B47B4F"/>
    <w:rsid w:val="00B5048C"/>
    <w:rsid w:val="00B5072C"/>
    <w:rsid w:val="00B50CA9"/>
    <w:rsid w:val="00B516A8"/>
    <w:rsid w:val="00B51834"/>
    <w:rsid w:val="00B51D17"/>
    <w:rsid w:val="00B525CF"/>
    <w:rsid w:val="00B52671"/>
    <w:rsid w:val="00B52961"/>
    <w:rsid w:val="00B54EEF"/>
    <w:rsid w:val="00B550AF"/>
    <w:rsid w:val="00B55465"/>
    <w:rsid w:val="00B55641"/>
    <w:rsid w:val="00B55680"/>
    <w:rsid w:val="00B55C74"/>
    <w:rsid w:val="00B574B3"/>
    <w:rsid w:val="00B600A6"/>
    <w:rsid w:val="00B604B1"/>
    <w:rsid w:val="00B61610"/>
    <w:rsid w:val="00B617D1"/>
    <w:rsid w:val="00B61C64"/>
    <w:rsid w:val="00B61FD9"/>
    <w:rsid w:val="00B62169"/>
    <w:rsid w:val="00B63757"/>
    <w:rsid w:val="00B63C0D"/>
    <w:rsid w:val="00B63E86"/>
    <w:rsid w:val="00B649D4"/>
    <w:rsid w:val="00B649D7"/>
    <w:rsid w:val="00B64F7F"/>
    <w:rsid w:val="00B65276"/>
    <w:rsid w:val="00B65EF4"/>
    <w:rsid w:val="00B663F2"/>
    <w:rsid w:val="00B66F53"/>
    <w:rsid w:val="00B7015F"/>
    <w:rsid w:val="00B71826"/>
    <w:rsid w:val="00B72882"/>
    <w:rsid w:val="00B72994"/>
    <w:rsid w:val="00B72A08"/>
    <w:rsid w:val="00B735FD"/>
    <w:rsid w:val="00B73BCA"/>
    <w:rsid w:val="00B73CA3"/>
    <w:rsid w:val="00B73E68"/>
    <w:rsid w:val="00B74239"/>
    <w:rsid w:val="00B74431"/>
    <w:rsid w:val="00B74953"/>
    <w:rsid w:val="00B756EF"/>
    <w:rsid w:val="00B766E1"/>
    <w:rsid w:val="00B76BEA"/>
    <w:rsid w:val="00B776F7"/>
    <w:rsid w:val="00B80648"/>
    <w:rsid w:val="00B80860"/>
    <w:rsid w:val="00B80BF7"/>
    <w:rsid w:val="00B81160"/>
    <w:rsid w:val="00B8127C"/>
    <w:rsid w:val="00B81619"/>
    <w:rsid w:val="00B818A5"/>
    <w:rsid w:val="00B81A5D"/>
    <w:rsid w:val="00B81AA2"/>
    <w:rsid w:val="00B82913"/>
    <w:rsid w:val="00B82DC5"/>
    <w:rsid w:val="00B839BC"/>
    <w:rsid w:val="00B84290"/>
    <w:rsid w:val="00B84467"/>
    <w:rsid w:val="00B8463E"/>
    <w:rsid w:val="00B858F9"/>
    <w:rsid w:val="00B85FC6"/>
    <w:rsid w:val="00B861B6"/>
    <w:rsid w:val="00B86340"/>
    <w:rsid w:val="00B8671A"/>
    <w:rsid w:val="00B868D5"/>
    <w:rsid w:val="00B869F3"/>
    <w:rsid w:val="00B900C4"/>
    <w:rsid w:val="00B902A3"/>
    <w:rsid w:val="00B90EF1"/>
    <w:rsid w:val="00B91645"/>
    <w:rsid w:val="00B916C6"/>
    <w:rsid w:val="00B9188D"/>
    <w:rsid w:val="00B921ED"/>
    <w:rsid w:val="00B9256B"/>
    <w:rsid w:val="00B92C05"/>
    <w:rsid w:val="00B934AB"/>
    <w:rsid w:val="00B93B19"/>
    <w:rsid w:val="00B93BF7"/>
    <w:rsid w:val="00B93C9C"/>
    <w:rsid w:val="00B93EC8"/>
    <w:rsid w:val="00B94214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25"/>
    <w:rsid w:val="00BA357D"/>
    <w:rsid w:val="00BA3C34"/>
    <w:rsid w:val="00BA3FA7"/>
    <w:rsid w:val="00BA48D6"/>
    <w:rsid w:val="00BA4C5A"/>
    <w:rsid w:val="00BA588E"/>
    <w:rsid w:val="00BA6532"/>
    <w:rsid w:val="00BA6630"/>
    <w:rsid w:val="00BA6BA7"/>
    <w:rsid w:val="00BA71E5"/>
    <w:rsid w:val="00BA78C8"/>
    <w:rsid w:val="00BA7F3B"/>
    <w:rsid w:val="00BB1443"/>
    <w:rsid w:val="00BB1A0C"/>
    <w:rsid w:val="00BB2B30"/>
    <w:rsid w:val="00BB2C9C"/>
    <w:rsid w:val="00BB2E1F"/>
    <w:rsid w:val="00BB2EC4"/>
    <w:rsid w:val="00BB30AE"/>
    <w:rsid w:val="00BB352B"/>
    <w:rsid w:val="00BB36A9"/>
    <w:rsid w:val="00BB3D4E"/>
    <w:rsid w:val="00BB42FF"/>
    <w:rsid w:val="00BB5A51"/>
    <w:rsid w:val="00BB6324"/>
    <w:rsid w:val="00BB68FD"/>
    <w:rsid w:val="00BB70B3"/>
    <w:rsid w:val="00BB7CCC"/>
    <w:rsid w:val="00BC02D9"/>
    <w:rsid w:val="00BC0697"/>
    <w:rsid w:val="00BC19E8"/>
    <w:rsid w:val="00BC1FB5"/>
    <w:rsid w:val="00BC3EC6"/>
    <w:rsid w:val="00BC4834"/>
    <w:rsid w:val="00BC4FC5"/>
    <w:rsid w:val="00BC5547"/>
    <w:rsid w:val="00BC5693"/>
    <w:rsid w:val="00BC5A35"/>
    <w:rsid w:val="00BC63E1"/>
    <w:rsid w:val="00BC6BCD"/>
    <w:rsid w:val="00BC715C"/>
    <w:rsid w:val="00BC742B"/>
    <w:rsid w:val="00BC7732"/>
    <w:rsid w:val="00BC7A3D"/>
    <w:rsid w:val="00BD0CB9"/>
    <w:rsid w:val="00BD0D7A"/>
    <w:rsid w:val="00BD0F5E"/>
    <w:rsid w:val="00BD135A"/>
    <w:rsid w:val="00BD1498"/>
    <w:rsid w:val="00BD19FD"/>
    <w:rsid w:val="00BD1AF3"/>
    <w:rsid w:val="00BD1B20"/>
    <w:rsid w:val="00BD2068"/>
    <w:rsid w:val="00BD3F15"/>
    <w:rsid w:val="00BD419F"/>
    <w:rsid w:val="00BD4B35"/>
    <w:rsid w:val="00BD4F5E"/>
    <w:rsid w:val="00BD50D2"/>
    <w:rsid w:val="00BD5E70"/>
    <w:rsid w:val="00BD6CAB"/>
    <w:rsid w:val="00BD77C1"/>
    <w:rsid w:val="00BD7934"/>
    <w:rsid w:val="00BD7D83"/>
    <w:rsid w:val="00BE0025"/>
    <w:rsid w:val="00BE06EE"/>
    <w:rsid w:val="00BE0E81"/>
    <w:rsid w:val="00BE131F"/>
    <w:rsid w:val="00BE1573"/>
    <w:rsid w:val="00BE21CD"/>
    <w:rsid w:val="00BE255B"/>
    <w:rsid w:val="00BE2D30"/>
    <w:rsid w:val="00BE3125"/>
    <w:rsid w:val="00BE3343"/>
    <w:rsid w:val="00BE3435"/>
    <w:rsid w:val="00BE383F"/>
    <w:rsid w:val="00BE386E"/>
    <w:rsid w:val="00BE3FA5"/>
    <w:rsid w:val="00BE431B"/>
    <w:rsid w:val="00BE46BF"/>
    <w:rsid w:val="00BE49C9"/>
    <w:rsid w:val="00BE4D2A"/>
    <w:rsid w:val="00BE5485"/>
    <w:rsid w:val="00BE5984"/>
    <w:rsid w:val="00BE5CBD"/>
    <w:rsid w:val="00BE5EE6"/>
    <w:rsid w:val="00BE6343"/>
    <w:rsid w:val="00BE6BFD"/>
    <w:rsid w:val="00BF01EF"/>
    <w:rsid w:val="00BF0CE7"/>
    <w:rsid w:val="00BF0ECB"/>
    <w:rsid w:val="00BF20AE"/>
    <w:rsid w:val="00BF2307"/>
    <w:rsid w:val="00BF2B02"/>
    <w:rsid w:val="00BF2BAB"/>
    <w:rsid w:val="00BF3370"/>
    <w:rsid w:val="00BF381D"/>
    <w:rsid w:val="00BF3CEF"/>
    <w:rsid w:val="00BF405F"/>
    <w:rsid w:val="00BF4FA2"/>
    <w:rsid w:val="00BF62C1"/>
    <w:rsid w:val="00BF6836"/>
    <w:rsid w:val="00BF6F03"/>
    <w:rsid w:val="00BF7014"/>
    <w:rsid w:val="00BF7A7D"/>
    <w:rsid w:val="00BF7E1E"/>
    <w:rsid w:val="00C017D0"/>
    <w:rsid w:val="00C01AFF"/>
    <w:rsid w:val="00C0231A"/>
    <w:rsid w:val="00C0278C"/>
    <w:rsid w:val="00C0280E"/>
    <w:rsid w:val="00C02896"/>
    <w:rsid w:val="00C02DB0"/>
    <w:rsid w:val="00C03AB8"/>
    <w:rsid w:val="00C0425F"/>
    <w:rsid w:val="00C04505"/>
    <w:rsid w:val="00C0488D"/>
    <w:rsid w:val="00C048FA"/>
    <w:rsid w:val="00C04A4E"/>
    <w:rsid w:val="00C05633"/>
    <w:rsid w:val="00C056F6"/>
    <w:rsid w:val="00C059C1"/>
    <w:rsid w:val="00C05D37"/>
    <w:rsid w:val="00C06650"/>
    <w:rsid w:val="00C07677"/>
    <w:rsid w:val="00C07926"/>
    <w:rsid w:val="00C0796E"/>
    <w:rsid w:val="00C1042D"/>
    <w:rsid w:val="00C10BE8"/>
    <w:rsid w:val="00C10C0E"/>
    <w:rsid w:val="00C118D0"/>
    <w:rsid w:val="00C11EE2"/>
    <w:rsid w:val="00C121F4"/>
    <w:rsid w:val="00C1246E"/>
    <w:rsid w:val="00C13175"/>
    <w:rsid w:val="00C13223"/>
    <w:rsid w:val="00C13457"/>
    <w:rsid w:val="00C13748"/>
    <w:rsid w:val="00C16D4D"/>
    <w:rsid w:val="00C17462"/>
    <w:rsid w:val="00C1770E"/>
    <w:rsid w:val="00C17E82"/>
    <w:rsid w:val="00C20A90"/>
    <w:rsid w:val="00C21050"/>
    <w:rsid w:val="00C21F31"/>
    <w:rsid w:val="00C22A39"/>
    <w:rsid w:val="00C2310D"/>
    <w:rsid w:val="00C233C3"/>
    <w:rsid w:val="00C24017"/>
    <w:rsid w:val="00C244B3"/>
    <w:rsid w:val="00C249D5"/>
    <w:rsid w:val="00C2698C"/>
    <w:rsid w:val="00C26CF5"/>
    <w:rsid w:val="00C27495"/>
    <w:rsid w:val="00C30812"/>
    <w:rsid w:val="00C3149D"/>
    <w:rsid w:val="00C31615"/>
    <w:rsid w:val="00C328E3"/>
    <w:rsid w:val="00C33270"/>
    <w:rsid w:val="00C342D0"/>
    <w:rsid w:val="00C34D3F"/>
    <w:rsid w:val="00C34E65"/>
    <w:rsid w:val="00C34EFB"/>
    <w:rsid w:val="00C35813"/>
    <w:rsid w:val="00C35872"/>
    <w:rsid w:val="00C3661F"/>
    <w:rsid w:val="00C369BE"/>
    <w:rsid w:val="00C373E7"/>
    <w:rsid w:val="00C40C2E"/>
    <w:rsid w:val="00C4165E"/>
    <w:rsid w:val="00C41D7B"/>
    <w:rsid w:val="00C42A93"/>
    <w:rsid w:val="00C4341B"/>
    <w:rsid w:val="00C43C46"/>
    <w:rsid w:val="00C4415C"/>
    <w:rsid w:val="00C441DE"/>
    <w:rsid w:val="00C44F25"/>
    <w:rsid w:val="00C4568E"/>
    <w:rsid w:val="00C4603E"/>
    <w:rsid w:val="00C46C3D"/>
    <w:rsid w:val="00C473DD"/>
    <w:rsid w:val="00C5054C"/>
    <w:rsid w:val="00C51850"/>
    <w:rsid w:val="00C52084"/>
    <w:rsid w:val="00C52248"/>
    <w:rsid w:val="00C5245A"/>
    <w:rsid w:val="00C52CB0"/>
    <w:rsid w:val="00C52E6A"/>
    <w:rsid w:val="00C531B1"/>
    <w:rsid w:val="00C531CB"/>
    <w:rsid w:val="00C53402"/>
    <w:rsid w:val="00C53654"/>
    <w:rsid w:val="00C537D6"/>
    <w:rsid w:val="00C53AAC"/>
    <w:rsid w:val="00C53B85"/>
    <w:rsid w:val="00C54290"/>
    <w:rsid w:val="00C54B42"/>
    <w:rsid w:val="00C54F79"/>
    <w:rsid w:val="00C5538F"/>
    <w:rsid w:val="00C5575B"/>
    <w:rsid w:val="00C565F7"/>
    <w:rsid w:val="00C56FFA"/>
    <w:rsid w:val="00C57260"/>
    <w:rsid w:val="00C57AC3"/>
    <w:rsid w:val="00C57F8F"/>
    <w:rsid w:val="00C603C5"/>
    <w:rsid w:val="00C60A35"/>
    <w:rsid w:val="00C60E11"/>
    <w:rsid w:val="00C61D94"/>
    <w:rsid w:val="00C63330"/>
    <w:rsid w:val="00C640BA"/>
    <w:rsid w:val="00C64950"/>
    <w:rsid w:val="00C64A01"/>
    <w:rsid w:val="00C66134"/>
    <w:rsid w:val="00C67067"/>
    <w:rsid w:val="00C6721F"/>
    <w:rsid w:val="00C679D5"/>
    <w:rsid w:val="00C67AE8"/>
    <w:rsid w:val="00C70BCC"/>
    <w:rsid w:val="00C70FC4"/>
    <w:rsid w:val="00C71C37"/>
    <w:rsid w:val="00C72982"/>
    <w:rsid w:val="00C72AE9"/>
    <w:rsid w:val="00C72C67"/>
    <w:rsid w:val="00C73CE8"/>
    <w:rsid w:val="00C73E86"/>
    <w:rsid w:val="00C73EE4"/>
    <w:rsid w:val="00C74BA7"/>
    <w:rsid w:val="00C74C32"/>
    <w:rsid w:val="00C74C7D"/>
    <w:rsid w:val="00C75980"/>
    <w:rsid w:val="00C7598E"/>
    <w:rsid w:val="00C76C05"/>
    <w:rsid w:val="00C7719A"/>
    <w:rsid w:val="00C776DC"/>
    <w:rsid w:val="00C7776E"/>
    <w:rsid w:val="00C778F8"/>
    <w:rsid w:val="00C77A31"/>
    <w:rsid w:val="00C80068"/>
    <w:rsid w:val="00C80363"/>
    <w:rsid w:val="00C80676"/>
    <w:rsid w:val="00C807D4"/>
    <w:rsid w:val="00C81C1E"/>
    <w:rsid w:val="00C8229D"/>
    <w:rsid w:val="00C82B2D"/>
    <w:rsid w:val="00C82D8D"/>
    <w:rsid w:val="00C82FAA"/>
    <w:rsid w:val="00C82FC3"/>
    <w:rsid w:val="00C8364C"/>
    <w:rsid w:val="00C83907"/>
    <w:rsid w:val="00C83926"/>
    <w:rsid w:val="00C83CA4"/>
    <w:rsid w:val="00C83E6F"/>
    <w:rsid w:val="00C84987"/>
    <w:rsid w:val="00C84DB0"/>
    <w:rsid w:val="00C868DC"/>
    <w:rsid w:val="00C8696D"/>
    <w:rsid w:val="00C87CEF"/>
    <w:rsid w:val="00C90383"/>
    <w:rsid w:val="00C91330"/>
    <w:rsid w:val="00C91388"/>
    <w:rsid w:val="00C91A31"/>
    <w:rsid w:val="00C91DA7"/>
    <w:rsid w:val="00C921C5"/>
    <w:rsid w:val="00C92940"/>
    <w:rsid w:val="00C93458"/>
    <w:rsid w:val="00C93D9D"/>
    <w:rsid w:val="00C9509C"/>
    <w:rsid w:val="00C9555A"/>
    <w:rsid w:val="00C95BDD"/>
    <w:rsid w:val="00C9638D"/>
    <w:rsid w:val="00C968E0"/>
    <w:rsid w:val="00C9724C"/>
    <w:rsid w:val="00C975BE"/>
    <w:rsid w:val="00CA0B58"/>
    <w:rsid w:val="00CA0E99"/>
    <w:rsid w:val="00CA1364"/>
    <w:rsid w:val="00CA186B"/>
    <w:rsid w:val="00CA1DF6"/>
    <w:rsid w:val="00CA1EAD"/>
    <w:rsid w:val="00CA238F"/>
    <w:rsid w:val="00CA2BE6"/>
    <w:rsid w:val="00CA3604"/>
    <w:rsid w:val="00CA4C71"/>
    <w:rsid w:val="00CA530C"/>
    <w:rsid w:val="00CA55C0"/>
    <w:rsid w:val="00CA641D"/>
    <w:rsid w:val="00CA68B8"/>
    <w:rsid w:val="00CA6F5C"/>
    <w:rsid w:val="00CA7269"/>
    <w:rsid w:val="00CA7546"/>
    <w:rsid w:val="00CA7C97"/>
    <w:rsid w:val="00CA7F63"/>
    <w:rsid w:val="00CB0240"/>
    <w:rsid w:val="00CB0531"/>
    <w:rsid w:val="00CB082A"/>
    <w:rsid w:val="00CB0FE5"/>
    <w:rsid w:val="00CB10A7"/>
    <w:rsid w:val="00CB1E93"/>
    <w:rsid w:val="00CB25F6"/>
    <w:rsid w:val="00CB2A78"/>
    <w:rsid w:val="00CB3307"/>
    <w:rsid w:val="00CB332F"/>
    <w:rsid w:val="00CB38EF"/>
    <w:rsid w:val="00CB3BA5"/>
    <w:rsid w:val="00CB469C"/>
    <w:rsid w:val="00CB539A"/>
    <w:rsid w:val="00CB576C"/>
    <w:rsid w:val="00CB65A2"/>
    <w:rsid w:val="00CB7A7C"/>
    <w:rsid w:val="00CB7CAF"/>
    <w:rsid w:val="00CC0544"/>
    <w:rsid w:val="00CC084A"/>
    <w:rsid w:val="00CC15C1"/>
    <w:rsid w:val="00CC1CC4"/>
    <w:rsid w:val="00CC2C58"/>
    <w:rsid w:val="00CC3FEA"/>
    <w:rsid w:val="00CC41EA"/>
    <w:rsid w:val="00CC4B87"/>
    <w:rsid w:val="00CC5415"/>
    <w:rsid w:val="00CC5526"/>
    <w:rsid w:val="00CC6D72"/>
    <w:rsid w:val="00CC70BB"/>
    <w:rsid w:val="00CC7897"/>
    <w:rsid w:val="00CC7D3D"/>
    <w:rsid w:val="00CD0B5A"/>
    <w:rsid w:val="00CD13A0"/>
    <w:rsid w:val="00CD1B6A"/>
    <w:rsid w:val="00CD2066"/>
    <w:rsid w:val="00CD22DD"/>
    <w:rsid w:val="00CD285E"/>
    <w:rsid w:val="00CD2C5D"/>
    <w:rsid w:val="00CD2F53"/>
    <w:rsid w:val="00CD3A24"/>
    <w:rsid w:val="00CD4663"/>
    <w:rsid w:val="00CD557B"/>
    <w:rsid w:val="00CD69D7"/>
    <w:rsid w:val="00CD6A3E"/>
    <w:rsid w:val="00CD6B1A"/>
    <w:rsid w:val="00CD6ED4"/>
    <w:rsid w:val="00CD79FE"/>
    <w:rsid w:val="00CD7C9C"/>
    <w:rsid w:val="00CD7D1A"/>
    <w:rsid w:val="00CD7D31"/>
    <w:rsid w:val="00CE0B91"/>
    <w:rsid w:val="00CE0C9F"/>
    <w:rsid w:val="00CE0E0F"/>
    <w:rsid w:val="00CE119A"/>
    <w:rsid w:val="00CE29D3"/>
    <w:rsid w:val="00CE2A54"/>
    <w:rsid w:val="00CE2A7C"/>
    <w:rsid w:val="00CE3003"/>
    <w:rsid w:val="00CE3AF1"/>
    <w:rsid w:val="00CE4800"/>
    <w:rsid w:val="00CE4E3E"/>
    <w:rsid w:val="00CE5DDB"/>
    <w:rsid w:val="00CE5EC8"/>
    <w:rsid w:val="00CE7368"/>
    <w:rsid w:val="00CE7403"/>
    <w:rsid w:val="00CE7E2B"/>
    <w:rsid w:val="00CF0188"/>
    <w:rsid w:val="00CF0817"/>
    <w:rsid w:val="00CF0BD2"/>
    <w:rsid w:val="00CF0FD1"/>
    <w:rsid w:val="00CF1331"/>
    <w:rsid w:val="00CF15A3"/>
    <w:rsid w:val="00CF1F5D"/>
    <w:rsid w:val="00CF23A8"/>
    <w:rsid w:val="00CF2B20"/>
    <w:rsid w:val="00CF2D85"/>
    <w:rsid w:val="00CF3157"/>
    <w:rsid w:val="00CF326C"/>
    <w:rsid w:val="00CF382F"/>
    <w:rsid w:val="00CF4329"/>
    <w:rsid w:val="00CF4F3E"/>
    <w:rsid w:val="00CF520F"/>
    <w:rsid w:val="00CF52F7"/>
    <w:rsid w:val="00CF5886"/>
    <w:rsid w:val="00CF6B40"/>
    <w:rsid w:val="00CF7EBC"/>
    <w:rsid w:val="00D004DF"/>
    <w:rsid w:val="00D009E3"/>
    <w:rsid w:val="00D017CF"/>
    <w:rsid w:val="00D02EA5"/>
    <w:rsid w:val="00D02EA7"/>
    <w:rsid w:val="00D02F06"/>
    <w:rsid w:val="00D02F73"/>
    <w:rsid w:val="00D04083"/>
    <w:rsid w:val="00D043B3"/>
    <w:rsid w:val="00D0464F"/>
    <w:rsid w:val="00D0476D"/>
    <w:rsid w:val="00D05284"/>
    <w:rsid w:val="00D0550E"/>
    <w:rsid w:val="00D05883"/>
    <w:rsid w:val="00D06281"/>
    <w:rsid w:val="00D0691F"/>
    <w:rsid w:val="00D06AE1"/>
    <w:rsid w:val="00D074C5"/>
    <w:rsid w:val="00D07AA1"/>
    <w:rsid w:val="00D10FA7"/>
    <w:rsid w:val="00D11403"/>
    <w:rsid w:val="00D115F4"/>
    <w:rsid w:val="00D11AC4"/>
    <w:rsid w:val="00D11D52"/>
    <w:rsid w:val="00D12F8E"/>
    <w:rsid w:val="00D13088"/>
    <w:rsid w:val="00D13842"/>
    <w:rsid w:val="00D13C5F"/>
    <w:rsid w:val="00D14775"/>
    <w:rsid w:val="00D154EC"/>
    <w:rsid w:val="00D1763E"/>
    <w:rsid w:val="00D1767D"/>
    <w:rsid w:val="00D176D9"/>
    <w:rsid w:val="00D201AC"/>
    <w:rsid w:val="00D217D6"/>
    <w:rsid w:val="00D21D2D"/>
    <w:rsid w:val="00D21F8E"/>
    <w:rsid w:val="00D22DD1"/>
    <w:rsid w:val="00D22FF3"/>
    <w:rsid w:val="00D23D59"/>
    <w:rsid w:val="00D242A6"/>
    <w:rsid w:val="00D24AB7"/>
    <w:rsid w:val="00D24DF2"/>
    <w:rsid w:val="00D24DF4"/>
    <w:rsid w:val="00D24E6B"/>
    <w:rsid w:val="00D2500C"/>
    <w:rsid w:val="00D25ED4"/>
    <w:rsid w:val="00D264A2"/>
    <w:rsid w:val="00D27E71"/>
    <w:rsid w:val="00D27EE5"/>
    <w:rsid w:val="00D27F50"/>
    <w:rsid w:val="00D3022F"/>
    <w:rsid w:val="00D3229E"/>
    <w:rsid w:val="00D32359"/>
    <w:rsid w:val="00D32CC1"/>
    <w:rsid w:val="00D32F65"/>
    <w:rsid w:val="00D33781"/>
    <w:rsid w:val="00D33AD4"/>
    <w:rsid w:val="00D33CF0"/>
    <w:rsid w:val="00D343E0"/>
    <w:rsid w:val="00D343F8"/>
    <w:rsid w:val="00D362C7"/>
    <w:rsid w:val="00D3651C"/>
    <w:rsid w:val="00D36D17"/>
    <w:rsid w:val="00D36F38"/>
    <w:rsid w:val="00D37BCD"/>
    <w:rsid w:val="00D37DD5"/>
    <w:rsid w:val="00D40AF0"/>
    <w:rsid w:val="00D41296"/>
    <w:rsid w:val="00D4189C"/>
    <w:rsid w:val="00D41CB1"/>
    <w:rsid w:val="00D42EC6"/>
    <w:rsid w:val="00D42F14"/>
    <w:rsid w:val="00D431C7"/>
    <w:rsid w:val="00D4354E"/>
    <w:rsid w:val="00D4395F"/>
    <w:rsid w:val="00D43B38"/>
    <w:rsid w:val="00D43EEF"/>
    <w:rsid w:val="00D4504D"/>
    <w:rsid w:val="00D453FD"/>
    <w:rsid w:val="00D45EA4"/>
    <w:rsid w:val="00D45EEB"/>
    <w:rsid w:val="00D46B7E"/>
    <w:rsid w:val="00D500B5"/>
    <w:rsid w:val="00D51CE1"/>
    <w:rsid w:val="00D52266"/>
    <w:rsid w:val="00D525A5"/>
    <w:rsid w:val="00D52F01"/>
    <w:rsid w:val="00D539C9"/>
    <w:rsid w:val="00D53D07"/>
    <w:rsid w:val="00D53D3E"/>
    <w:rsid w:val="00D543C9"/>
    <w:rsid w:val="00D54BC1"/>
    <w:rsid w:val="00D557F1"/>
    <w:rsid w:val="00D56280"/>
    <w:rsid w:val="00D56C63"/>
    <w:rsid w:val="00D56C92"/>
    <w:rsid w:val="00D56E13"/>
    <w:rsid w:val="00D5706D"/>
    <w:rsid w:val="00D57315"/>
    <w:rsid w:val="00D574F7"/>
    <w:rsid w:val="00D5751F"/>
    <w:rsid w:val="00D608CF"/>
    <w:rsid w:val="00D60EA9"/>
    <w:rsid w:val="00D627C6"/>
    <w:rsid w:val="00D62C5A"/>
    <w:rsid w:val="00D63088"/>
    <w:rsid w:val="00D63180"/>
    <w:rsid w:val="00D6368A"/>
    <w:rsid w:val="00D63E5F"/>
    <w:rsid w:val="00D64475"/>
    <w:rsid w:val="00D64622"/>
    <w:rsid w:val="00D64C57"/>
    <w:rsid w:val="00D65253"/>
    <w:rsid w:val="00D655EE"/>
    <w:rsid w:val="00D658B6"/>
    <w:rsid w:val="00D6650A"/>
    <w:rsid w:val="00D66558"/>
    <w:rsid w:val="00D66B82"/>
    <w:rsid w:val="00D677EA"/>
    <w:rsid w:val="00D67C26"/>
    <w:rsid w:val="00D67DAD"/>
    <w:rsid w:val="00D71B98"/>
    <w:rsid w:val="00D71CE9"/>
    <w:rsid w:val="00D7209A"/>
    <w:rsid w:val="00D72ABF"/>
    <w:rsid w:val="00D73014"/>
    <w:rsid w:val="00D73512"/>
    <w:rsid w:val="00D73FA7"/>
    <w:rsid w:val="00D7414B"/>
    <w:rsid w:val="00D745F8"/>
    <w:rsid w:val="00D75050"/>
    <w:rsid w:val="00D75138"/>
    <w:rsid w:val="00D75C0B"/>
    <w:rsid w:val="00D75CAD"/>
    <w:rsid w:val="00D75F39"/>
    <w:rsid w:val="00D769F3"/>
    <w:rsid w:val="00D774FA"/>
    <w:rsid w:val="00D77567"/>
    <w:rsid w:val="00D777C3"/>
    <w:rsid w:val="00D80450"/>
    <w:rsid w:val="00D8078A"/>
    <w:rsid w:val="00D807C3"/>
    <w:rsid w:val="00D808C7"/>
    <w:rsid w:val="00D81483"/>
    <w:rsid w:val="00D817FD"/>
    <w:rsid w:val="00D825FB"/>
    <w:rsid w:val="00D8287A"/>
    <w:rsid w:val="00D82A77"/>
    <w:rsid w:val="00D8317C"/>
    <w:rsid w:val="00D83201"/>
    <w:rsid w:val="00D83F99"/>
    <w:rsid w:val="00D844F0"/>
    <w:rsid w:val="00D84C73"/>
    <w:rsid w:val="00D8554F"/>
    <w:rsid w:val="00D8574E"/>
    <w:rsid w:val="00D85B97"/>
    <w:rsid w:val="00D860B5"/>
    <w:rsid w:val="00D8661C"/>
    <w:rsid w:val="00D86EBF"/>
    <w:rsid w:val="00D87779"/>
    <w:rsid w:val="00D87E44"/>
    <w:rsid w:val="00D9086F"/>
    <w:rsid w:val="00D918C4"/>
    <w:rsid w:val="00D919A0"/>
    <w:rsid w:val="00D921BD"/>
    <w:rsid w:val="00D9264D"/>
    <w:rsid w:val="00D938F7"/>
    <w:rsid w:val="00D94F78"/>
    <w:rsid w:val="00D9589F"/>
    <w:rsid w:val="00D9719A"/>
    <w:rsid w:val="00D9796C"/>
    <w:rsid w:val="00D97AD4"/>
    <w:rsid w:val="00D97AFF"/>
    <w:rsid w:val="00DA0134"/>
    <w:rsid w:val="00DA08D3"/>
    <w:rsid w:val="00DA114F"/>
    <w:rsid w:val="00DA1374"/>
    <w:rsid w:val="00DA173D"/>
    <w:rsid w:val="00DA1938"/>
    <w:rsid w:val="00DA1CFB"/>
    <w:rsid w:val="00DA1D42"/>
    <w:rsid w:val="00DA1F81"/>
    <w:rsid w:val="00DA2ACC"/>
    <w:rsid w:val="00DA2F6A"/>
    <w:rsid w:val="00DA311E"/>
    <w:rsid w:val="00DA34B4"/>
    <w:rsid w:val="00DA3CF8"/>
    <w:rsid w:val="00DA3F2B"/>
    <w:rsid w:val="00DA4A10"/>
    <w:rsid w:val="00DA75B7"/>
    <w:rsid w:val="00DA7AC2"/>
    <w:rsid w:val="00DB009A"/>
    <w:rsid w:val="00DB01B8"/>
    <w:rsid w:val="00DB0333"/>
    <w:rsid w:val="00DB0528"/>
    <w:rsid w:val="00DB0C7C"/>
    <w:rsid w:val="00DB0F27"/>
    <w:rsid w:val="00DB1549"/>
    <w:rsid w:val="00DB1ADF"/>
    <w:rsid w:val="00DB23EF"/>
    <w:rsid w:val="00DB2CDB"/>
    <w:rsid w:val="00DB46E1"/>
    <w:rsid w:val="00DB4FA3"/>
    <w:rsid w:val="00DB5018"/>
    <w:rsid w:val="00DB5559"/>
    <w:rsid w:val="00DB6049"/>
    <w:rsid w:val="00DB6136"/>
    <w:rsid w:val="00DB61AB"/>
    <w:rsid w:val="00DB629F"/>
    <w:rsid w:val="00DB663A"/>
    <w:rsid w:val="00DB6929"/>
    <w:rsid w:val="00DB69D8"/>
    <w:rsid w:val="00DB7228"/>
    <w:rsid w:val="00DC08E5"/>
    <w:rsid w:val="00DC15F0"/>
    <w:rsid w:val="00DC16A9"/>
    <w:rsid w:val="00DC1DDD"/>
    <w:rsid w:val="00DC254C"/>
    <w:rsid w:val="00DC2576"/>
    <w:rsid w:val="00DC26A2"/>
    <w:rsid w:val="00DC36F0"/>
    <w:rsid w:val="00DC3A26"/>
    <w:rsid w:val="00DC3C20"/>
    <w:rsid w:val="00DC53C5"/>
    <w:rsid w:val="00DC6320"/>
    <w:rsid w:val="00DC6747"/>
    <w:rsid w:val="00DC74D2"/>
    <w:rsid w:val="00DC78E6"/>
    <w:rsid w:val="00DC7CCE"/>
    <w:rsid w:val="00DD1427"/>
    <w:rsid w:val="00DD1FFA"/>
    <w:rsid w:val="00DD206C"/>
    <w:rsid w:val="00DD2AEB"/>
    <w:rsid w:val="00DD3857"/>
    <w:rsid w:val="00DD455D"/>
    <w:rsid w:val="00DD495A"/>
    <w:rsid w:val="00DD599E"/>
    <w:rsid w:val="00DD59B5"/>
    <w:rsid w:val="00DD6219"/>
    <w:rsid w:val="00DD7025"/>
    <w:rsid w:val="00DD7B1C"/>
    <w:rsid w:val="00DE011C"/>
    <w:rsid w:val="00DE1032"/>
    <w:rsid w:val="00DE1102"/>
    <w:rsid w:val="00DE1121"/>
    <w:rsid w:val="00DE1855"/>
    <w:rsid w:val="00DE18FB"/>
    <w:rsid w:val="00DE28F9"/>
    <w:rsid w:val="00DE2D34"/>
    <w:rsid w:val="00DE3206"/>
    <w:rsid w:val="00DE38B4"/>
    <w:rsid w:val="00DE58BA"/>
    <w:rsid w:val="00DE6BE5"/>
    <w:rsid w:val="00DE722E"/>
    <w:rsid w:val="00DE7A15"/>
    <w:rsid w:val="00DF0128"/>
    <w:rsid w:val="00DF0BE7"/>
    <w:rsid w:val="00DF2A17"/>
    <w:rsid w:val="00DF2F5C"/>
    <w:rsid w:val="00DF3643"/>
    <w:rsid w:val="00DF3819"/>
    <w:rsid w:val="00DF4389"/>
    <w:rsid w:val="00DF4500"/>
    <w:rsid w:val="00DF454F"/>
    <w:rsid w:val="00DF4BE3"/>
    <w:rsid w:val="00DF5479"/>
    <w:rsid w:val="00DF5901"/>
    <w:rsid w:val="00DF595D"/>
    <w:rsid w:val="00DF5ADE"/>
    <w:rsid w:val="00DF607D"/>
    <w:rsid w:val="00DF6C73"/>
    <w:rsid w:val="00DF718E"/>
    <w:rsid w:val="00DF7205"/>
    <w:rsid w:val="00DF7539"/>
    <w:rsid w:val="00DF7F69"/>
    <w:rsid w:val="00E000FE"/>
    <w:rsid w:val="00E00308"/>
    <w:rsid w:val="00E00502"/>
    <w:rsid w:val="00E007B3"/>
    <w:rsid w:val="00E0128C"/>
    <w:rsid w:val="00E015F7"/>
    <w:rsid w:val="00E01B21"/>
    <w:rsid w:val="00E01EC6"/>
    <w:rsid w:val="00E02300"/>
    <w:rsid w:val="00E02646"/>
    <w:rsid w:val="00E0366C"/>
    <w:rsid w:val="00E036C1"/>
    <w:rsid w:val="00E03ECE"/>
    <w:rsid w:val="00E0402D"/>
    <w:rsid w:val="00E04264"/>
    <w:rsid w:val="00E043FA"/>
    <w:rsid w:val="00E04C48"/>
    <w:rsid w:val="00E056B6"/>
    <w:rsid w:val="00E068A0"/>
    <w:rsid w:val="00E06C14"/>
    <w:rsid w:val="00E06CBD"/>
    <w:rsid w:val="00E06F61"/>
    <w:rsid w:val="00E07531"/>
    <w:rsid w:val="00E104CC"/>
    <w:rsid w:val="00E10E5E"/>
    <w:rsid w:val="00E118FE"/>
    <w:rsid w:val="00E12064"/>
    <w:rsid w:val="00E125C7"/>
    <w:rsid w:val="00E12D20"/>
    <w:rsid w:val="00E1322C"/>
    <w:rsid w:val="00E136CD"/>
    <w:rsid w:val="00E13C70"/>
    <w:rsid w:val="00E15382"/>
    <w:rsid w:val="00E1591D"/>
    <w:rsid w:val="00E16BE7"/>
    <w:rsid w:val="00E1784E"/>
    <w:rsid w:val="00E17FA6"/>
    <w:rsid w:val="00E200CD"/>
    <w:rsid w:val="00E205FE"/>
    <w:rsid w:val="00E20653"/>
    <w:rsid w:val="00E2074A"/>
    <w:rsid w:val="00E21C49"/>
    <w:rsid w:val="00E21FD5"/>
    <w:rsid w:val="00E224C5"/>
    <w:rsid w:val="00E22707"/>
    <w:rsid w:val="00E22A2D"/>
    <w:rsid w:val="00E22A3C"/>
    <w:rsid w:val="00E22CED"/>
    <w:rsid w:val="00E2391D"/>
    <w:rsid w:val="00E23B03"/>
    <w:rsid w:val="00E23BD6"/>
    <w:rsid w:val="00E24385"/>
    <w:rsid w:val="00E250D3"/>
    <w:rsid w:val="00E252CB"/>
    <w:rsid w:val="00E259AB"/>
    <w:rsid w:val="00E25CDF"/>
    <w:rsid w:val="00E2640A"/>
    <w:rsid w:val="00E2643D"/>
    <w:rsid w:val="00E267ED"/>
    <w:rsid w:val="00E26C04"/>
    <w:rsid w:val="00E26C1F"/>
    <w:rsid w:val="00E26D1D"/>
    <w:rsid w:val="00E26DE0"/>
    <w:rsid w:val="00E26FE3"/>
    <w:rsid w:val="00E27DF4"/>
    <w:rsid w:val="00E30984"/>
    <w:rsid w:val="00E30996"/>
    <w:rsid w:val="00E30D3A"/>
    <w:rsid w:val="00E31623"/>
    <w:rsid w:val="00E31778"/>
    <w:rsid w:val="00E3187E"/>
    <w:rsid w:val="00E31AC5"/>
    <w:rsid w:val="00E31FD9"/>
    <w:rsid w:val="00E32119"/>
    <w:rsid w:val="00E3231B"/>
    <w:rsid w:val="00E327F7"/>
    <w:rsid w:val="00E32EFA"/>
    <w:rsid w:val="00E336F8"/>
    <w:rsid w:val="00E33744"/>
    <w:rsid w:val="00E33BFD"/>
    <w:rsid w:val="00E34C60"/>
    <w:rsid w:val="00E34E5F"/>
    <w:rsid w:val="00E356B5"/>
    <w:rsid w:val="00E3583D"/>
    <w:rsid w:val="00E35A8F"/>
    <w:rsid w:val="00E36007"/>
    <w:rsid w:val="00E3606C"/>
    <w:rsid w:val="00E36871"/>
    <w:rsid w:val="00E36B03"/>
    <w:rsid w:val="00E36F08"/>
    <w:rsid w:val="00E37C70"/>
    <w:rsid w:val="00E37FD7"/>
    <w:rsid w:val="00E40F19"/>
    <w:rsid w:val="00E4137E"/>
    <w:rsid w:val="00E41D30"/>
    <w:rsid w:val="00E42328"/>
    <w:rsid w:val="00E426EE"/>
    <w:rsid w:val="00E42813"/>
    <w:rsid w:val="00E4303C"/>
    <w:rsid w:val="00E433FC"/>
    <w:rsid w:val="00E4359F"/>
    <w:rsid w:val="00E43990"/>
    <w:rsid w:val="00E44D47"/>
    <w:rsid w:val="00E44EAE"/>
    <w:rsid w:val="00E46B21"/>
    <w:rsid w:val="00E478C7"/>
    <w:rsid w:val="00E506A5"/>
    <w:rsid w:val="00E51119"/>
    <w:rsid w:val="00E51E7E"/>
    <w:rsid w:val="00E521C2"/>
    <w:rsid w:val="00E52730"/>
    <w:rsid w:val="00E52EB1"/>
    <w:rsid w:val="00E53B53"/>
    <w:rsid w:val="00E547F5"/>
    <w:rsid w:val="00E549EA"/>
    <w:rsid w:val="00E5558A"/>
    <w:rsid w:val="00E557EF"/>
    <w:rsid w:val="00E56004"/>
    <w:rsid w:val="00E56583"/>
    <w:rsid w:val="00E56686"/>
    <w:rsid w:val="00E57CA1"/>
    <w:rsid w:val="00E608C5"/>
    <w:rsid w:val="00E60B84"/>
    <w:rsid w:val="00E61590"/>
    <w:rsid w:val="00E61827"/>
    <w:rsid w:val="00E619E6"/>
    <w:rsid w:val="00E633EA"/>
    <w:rsid w:val="00E63D46"/>
    <w:rsid w:val="00E64782"/>
    <w:rsid w:val="00E65C63"/>
    <w:rsid w:val="00E65DAA"/>
    <w:rsid w:val="00E675CE"/>
    <w:rsid w:val="00E676E7"/>
    <w:rsid w:val="00E70722"/>
    <w:rsid w:val="00E70FFD"/>
    <w:rsid w:val="00E71447"/>
    <w:rsid w:val="00E7146B"/>
    <w:rsid w:val="00E71F36"/>
    <w:rsid w:val="00E72BB2"/>
    <w:rsid w:val="00E72DE6"/>
    <w:rsid w:val="00E72E41"/>
    <w:rsid w:val="00E72FAA"/>
    <w:rsid w:val="00E73628"/>
    <w:rsid w:val="00E738C1"/>
    <w:rsid w:val="00E74CAC"/>
    <w:rsid w:val="00E74D9B"/>
    <w:rsid w:val="00E75460"/>
    <w:rsid w:val="00E76FAC"/>
    <w:rsid w:val="00E77A0E"/>
    <w:rsid w:val="00E77D1A"/>
    <w:rsid w:val="00E8058D"/>
    <w:rsid w:val="00E80F89"/>
    <w:rsid w:val="00E81874"/>
    <w:rsid w:val="00E81913"/>
    <w:rsid w:val="00E819D9"/>
    <w:rsid w:val="00E821DC"/>
    <w:rsid w:val="00E822FB"/>
    <w:rsid w:val="00E827C2"/>
    <w:rsid w:val="00E82CE7"/>
    <w:rsid w:val="00E846D5"/>
    <w:rsid w:val="00E84B80"/>
    <w:rsid w:val="00E8535E"/>
    <w:rsid w:val="00E85EFC"/>
    <w:rsid w:val="00E874C4"/>
    <w:rsid w:val="00E87CC4"/>
    <w:rsid w:val="00E87DEA"/>
    <w:rsid w:val="00E87EFB"/>
    <w:rsid w:val="00E906C0"/>
    <w:rsid w:val="00E90F33"/>
    <w:rsid w:val="00E91612"/>
    <w:rsid w:val="00E9255C"/>
    <w:rsid w:val="00E928D0"/>
    <w:rsid w:val="00E92BDC"/>
    <w:rsid w:val="00E93A86"/>
    <w:rsid w:val="00E944D8"/>
    <w:rsid w:val="00E94BB6"/>
    <w:rsid w:val="00E94C27"/>
    <w:rsid w:val="00E9558B"/>
    <w:rsid w:val="00E95718"/>
    <w:rsid w:val="00E95BAB"/>
    <w:rsid w:val="00E95F85"/>
    <w:rsid w:val="00E96717"/>
    <w:rsid w:val="00E96C15"/>
    <w:rsid w:val="00E96F9E"/>
    <w:rsid w:val="00E974C5"/>
    <w:rsid w:val="00E97E2D"/>
    <w:rsid w:val="00E97E54"/>
    <w:rsid w:val="00EA007A"/>
    <w:rsid w:val="00EA0926"/>
    <w:rsid w:val="00EA27A6"/>
    <w:rsid w:val="00EA38F4"/>
    <w:rsid w:val="00EA40D2"/>
    <w:rsid w:val="00EA427F"/>
    <w:rsid w:val="00EA482D"/>
    <w:rsid w:val="00EA48F5"/>
    <w:rsid w:val="00EA4C98"/>
    <w:rsid w:val="00EA4FAB"/>
    <w:rsid w:val="00EA6192"/>
    <w:rsid w:val="00EA63F2"/>
    <w:rsid w:val="00EA6831"/>
    <w:rsid w:val="00EA68F0"/>
    <w:rsid w:val="00EA6F88"/>
    <w:rsid w:val="00EA7A77"/>
    <w:rsid w:val="00EA7F16"/>
    <w:rsid w:val="00EA7F1E"/>
    <w:rsid w:val="00EB1C40"/>
    <w:rsid w:val="00EB1F05"/>
    <w:rsid w:val="00EB335D"/>
    <w:rsid w:val="00EB3A26"/>
    <w:rsid w:val="00EB5024"/>
    <w:rsid w:val="00EB57A1"/>
    <w:rsid w:val="00EB5F82"/>
    <w:rsid w:val="00EB6315"/>
    <w:rsid w:val="00EB66AF"/>
    <w:rsid w:val="00EB6DFB"/>
    <w:rsid w:val="00EB6F06"/>
    <w:rsid w:val="00EC0451"/>
    <w:rsid w:val="00EC04DC"/>
    <w:rsid w:val="00EC0571"/>
    <w:rsid w:val="00EC0654"/>
    <w:rsid w:val="00EC06BB"/>
    <w:rsid w:val="00EC08CF"/>
    <w:rsid w:val="00EC0CDB"/>
    <w:rsid w:val="00EC0F0E"/>
    <w:rsid w:val="00EC11D5"/>
    <w:rsid w:val="00EC11E4"/>
    <w:rsid w:val="00EC1A31"/>
    <w:rsid w:val="00EC1F89"/>
    <w:rsid w:val="00EC22B5"/>
    <w:rsid w:val="00EC26E0"/>
    <w:rsid w:val="00EC2B85"/>
    <w:rsid w:val="00EC36E0"/>
    <w:rsid w:val="00EC45D3"/>
    <w:rsid w:val="00EC4A93"/>
    <w:rsid w:val="00EC4EF1"/>
    <w:rsid w:val="00EC520F"/>
    <w:rsid w:val="00EC55A8"/>
    <w:rsid w:val="00EC55C0"/>
    <w:rsid w:val="00EC5943"/>
    <w:rsid w:val="00EC5B35"/>
    <w:rsid w:val="00EC5DE7"/>
    <w:rsid w:val="00EC6768"/>
    <w:rsid w:val="00EC6DFC"/>
    <w:rsid w:val="00EC75AF"/>
    <w:rsid w:val="00EC7752"/>
    <w:rsid w:val="00ED0CB5"/>
    <w:rsid w:val="00ED1414"/>
    <w:rsid w:val="00ED22D6"/>
    <w:rsid w:val="00ED22FE"/>
    <w:rsid w:val="00ED34DA"/>
    <w:rsid w:val="00ED35BE"/>
    <w:rsid w:val="00ED43B2"/>
    <w:rsid w:val="00ED57FB"/>
    <w:rsid w:val="00ED6386"/>
    <w:rsid w:val="00ED6421"/>
    <w:rsid w:val="00ED6E16"/>
    <w:rsid w:val="00ED708D"/>
    <w:rsid w:val="00ED76A4"/>
    <w:rsid w:val="00ED7900"/>
    <w:rsid w:val="00EE018D"/>
    <w:rsid w:val="00EE030A"/>
    <w:rsid w:val="00EE0E43"/>
    <w:rsid w:val="00EE28B3"/>
    <w:rsid w:val="00EE2A34"/>
    <w:rsid w:val="00EE2DDD"/>
    <w:rsid w:val="00EE3665"/>
    <w:rsid w:val="00EE38D5"/>
    <w:rsid w:val="00EE3FE4"/>
    <w:rsid w:val="00EE5DA4"/>
    <w:rsid w:val="00EE680C"/>
    <w:rsid w:val="00EE6BD5"/>
    <w:rsid w:val="00EE6FAA"/>
    <w:rsid w:val="00EE7A82"/>
    <w:rsid w:val="00EE7E7E"/>
    <w:rsid w:val="00EF00D1"/>
    <w:rsid w:val="00EF01D1"/>
    <w:rsid w:val="00EF1636"/>
    <w:rsid w:val="00EF170D"/>
    <w:rsid w:val="00EF1B7A"/>
    <w:rsid w:val="00EF1BE4"/>
    <w:rsid w:val="00EF1E2D"/>
    <w:rsid w:val="00EF21A5"/>
    <w:rsid w:val="00EF2AED"/>
    <w:rsid w:val="00EF2C94"/>
    <w:rsid w:val="00EF2D0B"/>
    <w:rsid w:val="00EF4058"/>
    <w:rsid w:val="00EF4703"/>
    <w:rsid w:val="00EF4931"/>
    <w:rsid w:val="00EF5301"/>
    <w:rsid w:val="00F0002B"/>
    <w:rsid w:val="00F0018D"/>
    <w:rsid w:val="00F014B9"/>
    <w:rsid w:val="00F0233B"/>
    <w:rsid w:val="00F032F0"/>
    <w:rsid w:val="00F03D2A"/>
    <w:rsid w:val="00F0550D"/>
    <w:rsid w:val="00F05BED"/>
    <w:rsid w:val="00F069AD"/>
    <w:rsid w:val="00F07168"/>
    <w:rsid w:val="00F079F4"/>
    <w:rsid w:val="00F07DB9"/>
    <w:rsid w:val="00F1031B"/>
    <w:rsid w:val="00F10FEC"/>
    <w:rsid w:val="00F11228"/>
    <w:rsid w:val="00F11513"/>
    <w:rsid w:val="00F118AD"/>
    <w:rsid w:val="00F118C4"/>
    <w:rsid w:val="00F1289B"/>
    <w:rsid w:val="00F14857"/>
    <w:rsid w:val="00F14C0A"/>
    <w:rsid w:val="00F15038"/>
    <w:rsid w:val="00F15435"/>
    <w:rsid w:val="00F1548C"/>
    <w:rsid w:val="00F15ACE"/>
    <w:rsid w:val="00F15F01"/>
    <w:rsid w:val="00F166D1"/>
    <w:rsid w:val="00F1682A"/>
    <w:rsid w:val="00F168EF"/>
    <w:rsid w:val="00F16B11"/>
    <w:rsid w:val="00F1703C"/>
    <w:rsid w:val="00F1709C"/>
    <w:rsid w:val="00F177F3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83D"/>
    <w:rsid w:val="00F23FC5"/>
    <w:rsid w:val="00F243A8"/>
    <w:rsid w:val="00F246D2"/>
    <w:rsid w:val="00F2472E"/>
    <w:rsid w:val="00F247EF"/>
    <w:rsid w:val="00F248BA"/>
    <w:rsid w:val="00F251E8"/>
    <w:rsid w:val="00F26CB7"/>
    <w:rsid w:val="00F30B25"/>
    <w:rsid w:val="00F312CC"/>
    <w:rsid w:val="00F31408"/>
    <w:rsid w:val="00F3253A"/>
    <w:rsid w:val="00F32A01"/>
    <w:rsid w:val="00F3339F"/>
    <w:rsid w:val="00F33513"/>
    <w:rsid w:val="00F3365A"/>
    <w:rsid w:val="00F33D58"/>
    <w:rsid w:val="00F33F2F"/>
    <w:rsid w:val="00F33F46"/>
    <w:rsid w:val="00F342E2"/>
    <w:rsid w:val="00F34427"/>
    <w:rsid w:val="00F34E36"/>
    <w:rsid w:val="00F3601C"/>
    <w:rsid w:val="00F36716"/>
    <w:rsid w:val="00F3685C"/>
    <w:rsid w:val="00F3748B"/>
    <w:rsid w:val="00F37B4E"/>
    <w:rsid w:val="00F37CB8"/>
    <w:rsid w:val="00F37E72"/>
    <w:rsid w:val="00F4072A"/>
    <w:rsid w:val="00F41410"/>
    <w:rsid w:val="00F420E5"/>
    <w:rsid w:val="00F42105"/>
    <w:rsid w:val="00F42687"/>
    <w:rsid w:val="00F4390F"/>
    <w:rsid w:val="00F44F3D"/>
    <w:rsid w:val="00F45AD6"/>
    <w:rsid w:val="00F45BBC"/>
    <w:rsid w:val="00F46381"/>
    <w:rsid w:val="00F46B2D"/>
    <w:rsid w:val="00F4792B"/>
    <w:rsid w:val="00F50093"/>
    <w:rsid w:val="00F5168B"/>
    <w:rsid w:val="00F516B9"/>
    <w:rsid w:val="00F518E4"/>
    <w:rsid w:val="00F519FC"/>
    <w:rsid w:val="00F52036"/>
    <w:rsid w:val="00F524A6"/>
    <w:rsid w:val="00F5269B"/>
    <w:rsid w:val="00F52A77"/>
    <w:rsid w:val="00F52AFE"/>
    <w:rsid w:val="00F52DFF"/>
    <w:rsid w:val="00F531D1"/>
    <w:rsid w:val="00F53D82"/>
    <w:rsid w:val="00F54187"/>
    <w:rsid w:val="00F545BF"/>
    <w:rsid w:val="00F54BFC"/>
    <w:rsid w:val="00F55055"/>
    <w:rsid w:val="00F550D2"/>
    <w:rsid w:val="00F56959"/>
    <w:rsid w:val="00F578FB"/>
    <w:rsid w:val="00F57A5E"/>
    <w:rsid w:val="00F60478"/>
    <w:rsid w:val="00F61157"/>
    <w:rsid w:val="00F61A66"/>
    <w:rsid w:val="00F6222D"/>
    <w:rsid w:val="00F6224D"/>
    <w:rsid w:val="00F63A05"/>
    <w:rsid w:val="00F63E1C"/>
    <w:rsid w:val="00F63E9F"/>
    <w:rsid w:val="00F6424B"/>
    <w:rsid w:val="00F64DE3"/>
    <w:rsid w:val="00F64EE3"/>
    <w:rsid w:val="00F6589A"/>
    <w:rsid w:val="00F65B33"/>
    <w:rsid w:val="00F66438"/>
    <w:rsid w:val="00F67428"/>
    <w:rsid w:val="00F676DC"/>
    <w:rsid w:val="00F67B41"/>
    <w:rsid w:val="00F7017A"/>
    <w:rsid w:val="00F70930"/>
    <w:rsid w:val="00F70CC2"/>
    <w:rsid w:val="00F70F6E"/>
    <w:rsid w:val="00F7111A"/>
    <w:rsid w:val="00F711BF"/>
    <w:rsid w:val="00F72013"/>
    <w:rsid w:val="00F725B6"/>
    <w:rsid w:val="00F72619"/>
    <w:rsid w:val="00F72A28"/>
    <w:rsid w:val="00F72A9A"/>
    <w:rsid w:val="00F72DAD"/>
    <w:rsid w:val="00F73739"/>
    <w:rsid w:val="00F738D0"/>
    <w:rsid w:val="00F73A19"/>
    <w:rsid w:val="00F73C2C"/>
    <w:rsid w:val="00F74131"/>
    <w:rsid w:val="00F74442"/>
    <w:rsid w:val="00F74659"/>
    <w:rsid w:val="00F74875"/>
    <w:rsid w:val="00F7594D"/>
    <w:rsid w:val="00F76B40"/>
    <w:rsid w:val="00F76B79"/>
    <w:rsid w:val="00F77278"/>
    <w:rsid w:val="00F774A7"/>
    <w:rsid w:val="00F7766B"/>
    <w:rsid w:val="00F8036E"/>
    <w:rsid w:val="00F80D0F"/>
    <w:rsid w:val="00F80FA7"/>
    <w:rsid w:val="00F815AF"/>
    <w:rsid w:val="00F822BC"/>
    <w:rsid w:val="00F82358"/>
    <w:rsid w:val="00F823E7"/>
    <w:rsid w:val="00F825C0"/>
    <w:rsid w:val="00F83ED5"/>
    <w:rsid w:val="00F84ED2"/>
    <w:rsid w:val="00F8502B"/>
    <w:rsid w:val="00F856D6"/>
    <w:rsid w:val="00F86B22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333F"/>
    <w:rsid w:val="00F94769"/>
    <w:rsid w:val="00F94852"/>
    <w:rsid w:val="00F94BB8"/>
    <w:rsid w:val="00F9538C"/>
    <w:rsid w:val="00F957BC"/>
    <w:rsid w:val="00F95991"/>
    <w:rsid w:val="00F97033"/>
    <w:rsid w:val="00F9746F"/>
    <w:rsid w:val="00FA05A5"/>
    <w:rsid w:val="00FA0F86"/>
    <w:rsid w:val="00FA2517"/>
    <w:rsid w:val="00FA29B8"/>
    <w:rsid w:val="00FA2E94"/>
    <w:rsid w:val="00FA2F31"/>
    <w:rsid w:val="00FA335F"/>
    <w:rsid w:val="00FA3899"/>
    <w:rsid w:val="00FA38CB"/>
    <w:rsid w:val="00FA3A83"/>
    <w:rsid w:val="00FA3CB4"/>
    <w:rsid w:val="00FA3F67"/>
    <w:rsid w:val="00FA4011"/>
    <w:rsid w:val="00FA4203"/>
    <w:rsid w:val="00FA4259"/>
    <w:rsid w:val="00FA4DB6"/>
    <w:rsid w:val="00FA6269"/>
    <w:rsid w:val="00FA629A"/>
    <w:rsid w:val="00FA6796"/>
    <w:rsid w:val="00FA6885"/>
    <w:rsid w:val="00FA7856"/>
    <w:rsid w:val="00FB00D6"/>
    <w:rsid w:val="00FB02D2"/>
    <w:rsid w:val="00FB03AE"/>
    <w:rsid w:val="00FB0899"/>
    <w:rsid w:val="00FB1439"/>
    <w:rsid w:val="00FB2397"/>
    <w:rsid w:val="00FB2601"/>
    <w:rsid w:val="00FB2B0B"/>
    <w:rsid w:val="00FB3A0B"/>
    <w:rsid w:val="00FB3BCD"/>
    <w:rsid w:val="00FB4479"/>
    <w:rsid w:val="00FB47A1"/>
    <w:rsid w:val="00FB4F61"/>
    <w:rsid w:val="00FB5F13"/>
    <w:rsid w:val="00FB61C6"/>
    <w:rsid w:val="00FB66EF"/>
    <w:rsid w:val="00FB6D3A"/>
    <w:rsid w:val="00FB6F7E"/>
    <w:rsid w:val="00FB7879"/>
    <w:rsid w:val="00FB7930"/>
    <w:rsid w:val="00FC01F6"/>
    <w:rsid w:val="00FC0507"/>
    <w:rsid w:val="00FC08D9"/>
    <w:rsid w:val="00FC0FB0"/>
    <w:rsid w:val="00FC1E07"/>
    <w:rsid w:val="00FC201D"/>
    <w:rsid w:val="00FC2031"/>
    <w:rsid w:val="00FC253E"/>
    <w:rsid w:val="00FC4483"/>
    <w:rsid w:val="00FC5066"/>
    <w:rsid w:val="00FC53D0"/>
    <w:rsid w:val="00FC61B0"/>
    <w:rsid w:val="00FC674F"/>
    <w:rsid w:val="00FC6E8E"/>
    <w:rsid w:val="00FC748F"/>
    <w:rsid w:val="00FC74C9"/>
    <w:rsid w:val="00FC7D59"/>
    <w:rsid w:val="00FD042B"/>
    <w:rsid w:val="00FD0A2B"/>
    <w:rsid w:val="00FD1094"/>
    <w:rsid w:val="00FD1168"/>
    <w:rsid w:val="00FD132F"/>
    <w:rsid w:val="00FD1C24"/>
    <w:rsid w:val="00FD269D"/>
    <w:rsid w:val="00FD2C23"/>
    <w:rsid w:val="00FD2D53"/>
    <w:rsid w:val="00FD3092"/>
    <w:rsid w:val="00FD3442"/>
    <w:rsid w:val="00FD3CF9"/>
    <w:rsid w:val="00FD6748"/>
    <w:rsid w:val="00FD69A0"/>
    <w:rsid w:val="00FD7D35"/>
    <w:rsid w:val="00FD7DD8"/>
    <w:rsid w:val="00FD7FAC"/>
    <w:rsid w:val="00FE07CD"/>
    <w:rsid w:val="00FE0B41"/>
    <w:rsid w:val="00FE178A"/>
    <w:rsid w:val="00FE181C"/>
    <w:rsid w:val="00FE2326"/>
    <w:rsid w:val="00FE2B57"/>
    <w:rsid w:val="00FE2D46"/>
    <w:rsid w:val="00FE3649"/>
    <w:rsid w:val="00FE47A3"/>
    <w:rsid w:val="00FE48A5"/>
    <w:rsid w:val="00FE4A93"/>
    <w:rsid w:val="00FE4A9B"/>
    <w:rsid w:val="00FE4CA0"/>
    <w:rsid w:val="00FE4E01"/>
    <w:rsid w:val="00FE4E02"/>
    <w:rsid w:val="00FE543B"/>
    <w:rsid w:val="00FE5A80"/>
    <w:rsid w:val="00FE6112"/>
    <w:rsid w:val="00FE7129"/>
    <w:rsid w:val="00FE7466"/>
    <w:rsid w:val="00FE746D"/>
    <w:rsid w:val="00FE7FCF"/>
    <w:rsid w:val="00FF1126"/>
    <w:rsid w:val="00FF1421"/>
    <w:rsid w:val="00FF231A"/>
    <w:rsid w:val="00FF28A6"/>
    <w:rsid w:val="00FF2C5C"/>
    <w:rsid w:val="00FF30F5"/>
    <w:rsid w:val="00FF34A4"/>
    <w:rsid w:val="00FF3C31"/>
    <w:rsid w:val="00FF4B59"/>
    <w:rsid w:val="00FF564C"/>
    <w:rsid w:val="00FF5994"/>
    <w:rsid w:val="00FF5FF9"/>
    <w:rsid w:val="00FF6115"/>
    <w:rsid w:val="00FF64D3"/>
    <w:rsid w:val="00FF6878"/>
    <w:rsid w:val="00FF6E74"/>
    <w:rsid w:val="00FF73DF"/>
    <w:rsid w:val="00FF761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7F09861-713B-4F70-A80E-73957EA56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qFormat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qFormat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F45BBC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AA414C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3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0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09607-1310-49D6-8835-4F25E1723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</Pages>
  <Words>694</Words>
  <Characters>3960</Characters>
  <Application>Microsoft Office Word</Application>
  <DocSecurity>0</DocSecurity>
  <Lines>33</Lines>
  <Paragraphs>9</Paragraphs>
  <ScaleCrop>false</ScaleCrop>
  <Company/>
  <LinksUpToDate>false</LinksUpToDate>
  <CharactersWithSpaces>4645</CharactersWithSpaces>
  <SharedDoc>false</SharedDoc>
  <HLinks>
    <vt:vector size="126" baseType="variant">
      <vt:variant>
        <vt:i4>1179710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_Toc181980646</vt:lpwstr>
      </vt:variant>
      <vt:variant>
        <vt:i4>1179710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_Toc181980645</vt:lpwstr>
      </vt:variant>
      <vt:variant>
        <vt:i4>1179710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_Toc181980644</vt:lpwstr>
      </vt:variant>
      <vt:variant>
        <vt:i4>1179710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_Toc181980643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_Toc181980642</vt:lpwstr>
      </vt:variant>
      <vt:variant>
        <vt:i4>1179710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_Toc181980641</vt:lpwstr>
      </vt:variant>
      <vt:variant>
        <vt:i4>1179710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_Toc181980640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_Toc181980639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_Toc181980638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_Toc181980637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_Toc181980636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_Toc181980635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_Toc181980634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_Toc181980633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_Toc181980632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_Toc181980631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_Toc181980630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_Toc181980629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_Toc181980628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_Toc181980627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_Toc181980626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2024-11-11T03:22:00Z</cp:lastPrinted>
  <dcterms:created xsi:type="dcterms:W3CDTF">2024-11-14T03:18:00Z</dcterms:created>
  <dcterms:modified xsi:type="dcterms:W3CDTF">2024-11-14T03:18:00Z</dcterms:modified>
</cp:coreProperties>
</file>