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9E8" w:rsidRPr="00235369" w:rsidRDefault="002955E8" w:rsidP="004A49E8">
      <w:pPr>
        <w:pStyle w:val="ac"/>
        <w:rPr>
          <w:color w:val="000000"/>
        </w:rPr>
      </w:pPr>
      <w:bookmarkStart w:id="0" w:name="_GoBack"/>
      <w:bookmarkEnd w:id="0"/>
      <w:r>
        <w:rPr>
          <w:rFonts w:hint="eastAsia"/>
          <w:snapToGrid/>
          <w:color w:val="000000"/>
        </w:rPr>
        <w:t>經濟作業</w:t>
      </w:r>
      <w:r w:rsidR="005B2403" w:rsidRPr="00235369">
        <w:rPr>
          <w:rFonts w:hint="eastAsia"/>
          <w:snapToGrid/>
          <w:color w:val="000000"/>
        </w:rPr>
        <w:t>基金</w:t>
      </w:r>
      <w:r w:rsidR="004A49E8" w:rsidRPr="00235369">
        <w:rPr>
          <w:rFonts w:hint="eastAsia"/>
          <w:color w:val="000000"/>
        </w:rPr>
        <w:t>11</w:t>
      </w:r>
      <w:r w:rsidR="00B6337A">
        <w:rPr>
          <w:rFonts w:hint="eastAsia"/>
          <w:color w:val="000000"/>
        </w:rPr>
        <w:t>4</w:t>
      </w:r>
      <w:r w:rsidR="004A49E8" w:rsidRPr="00235369">
        <w:rPr>
          <w:rFonts w:hint="eastAsia"/>
          <w:color w:val="000000"/>
        </w:rPr>
        <w:t>年度預算評估報告</w:t>
      </w:r>
    </w:p>
    <w:p w:rsidR="00741A35" w:rsidRDefault="00573E0F" w:rsidP="00741A35">
      <w:pPr>
        <w:pStyle w:val="14"/>
        <w:ind w:left="567" w:hanging="567"/>
      </w:pPr>
      <w:bookmarkStart w:id="1" w:name="_Toc88639468"/>
      <w:bookmarkStart w:id="2" w:name="_Toc148549210"/>
      <w:bookmarkStart w:id="3" w:name="_Toc182322671"/>
      <w:r>
        <w:rPr>
          <w:rFonts w:hint="eastAsia"/>
        </w:rPr>
        <w:t>三、</w:t>
      </w:r>
      <w:r w:rsidRPr="000514BC">
        <w:rPr>
          <w:rFonts w:hint="eastAsia"/>
        </w:rPr>
        <w:t>辦理楠梓科技產業園區</w:t>
      </w:r>
      <w:r w:rsidR="006E3032">
        <w:rPr>
          <w:rFonts w:hint="eastAsia"/>
        </w:rPr>
        <w:t>新</w:t>
      </w:r>
      <w:r w:rsidRPr="000514BC">
        <w:rPr>
          <w:rFonts w:hint="eastAsia"/>
        </w:rPr>
        <w:t>作業單位服務大樓</w:t>
      </w:r>
      <w:r w:rsidR="006E3032">
        <w:rPr>
          <w:rFonts w:hint="eastAsia"/>
        </w:rPr>
        <w:t>工程案</w:t>
      </w:r>
      <w:r>
        <w:rPr>
          <w:rFonts w:hint="eastAsia"/>
        </w:rPr>
        <w:t>，惟</w:t>
      </w:r>
      <w:r w:rsidRPr="000514BC">
        <w:rPr>
          <w:rFonts w:hint="eastAsia"/>
        </w:rPr>
        <w:t>土地使用效能尚有強化空間</w:t>
      </w:r>
      <w:r>
        <w:rPr>
          <w:rFonts w:hAnsi="標楷體" w:hint="eastAsia"/>
        </w:rPr>
        <w:t>，</w:t>
      </w:r>
      <w:r>
        <w:rPr>
          <w:rFonts w:hint="eastAsia"/>
        </w:rPr>
        <w:t>允宜通盤考量園區土地使用現況，以提升園區土地利用率</w:t>
      </w:r>
      <w:bookmarkEnd w:id="2"/>
      <w:bookmarkEnd w:id="3"/>
    </w:p>
    <w:p w:rsidR="00741A35" w:rsidRDefault="007C33A7" w:rsidP="00741A35">
      <w:pPr>
        <w:ind w:left="566" w:firstLine="566"/>
      </w:pPr>
      <w:r w:rsidRPr="007C33A7">
        <w:rPr>
          <w:rFonts w:hint="eastAsia"/>
        </w:rPr>
        <w:t>科技產業園區基金114年度預算案於固定資產建設改良擴充計畫「一般建築及設備」之分年性項目</w:t>
      </w:r>
      <w:r w:rsidR="005603C1">
        <w:rPr>
          <w:rFonts w:hint="eastAsia"/>
        </w:rPr>
        <w:t>賡續</w:t>
      </w:r>
      <w:r w:rsidRPr="007C33A7">
        <w:rPr>
          <w:rFonts w:hint="eastAsia"/>
        </w:rPr>
        <w:t>編列房屋及建築7,994萬元，辦理</w:t>
      </w:r>
      <w:r w:rsidR="00453DDA">
        <w:rPr>
          <w:rFonts w:hAnsi="標楷體" w:hint="eastAsia"/>
        </w:rPr>
        <w:t>「</w:t>
      </w:r>
      <w:r w:rsidRPr="007C33A7">
        <w:rPr>
          <w:rFonts w:hint="eastAsia"/>
        </w:rPr>
        <w:t>楠梓科技產業園區</w:t>
      </w:r>
      <w:r w:rsidR="00453DDA">
        <w:rPr>
          <w:rFonts w:hint="eastAsia"/>
        </w:rPr>
        <w:t>新</w:t>
      </w:r>
      <w:r w:rsidRPr="007C33A7">
        <w:rPr>
          <w:rFonts w:hint="eastAsia"/>
        </w:rPr>
        <w:t>作業單位服務大樓計畫</w:t>
      </w:r>
      <w:r w:rsidR="00453DDA" w:rsidRPr="00453DDA">
        <w:rPr>
          <w:rFonts w:hint="eastAsia"/>
        </w:rPr>
        <w:t>工程案</w:t>
      </w:r>
      <w:r w:rsidR="00453DDA">
        <w:rPr>
          <w:rFonts w:hAnsi="標楷體" w:hint="eastAsia"/>
        </w:rPr>
        <w:t>」</w:t>
      </w:r>
      <w:r w:rsidR="00741A35">
        <w:rPr>
          <w:rFonts w:hint="eastAsia"/>
        </w:rPr>
        <w:t>。經查：</w:t>
      </w:r>
    </w:p>
    <w:p w:rsidR="005603C1" w:rsidRDefault="00741A35" w:rsidP="009E56AA">
      <w:pPr>
        <w:pStyle w:val="a6"/>
        <w:ind w:left="849" w:hanging="283"/>
        <w:rPr>
          <w:b/>
        </w:rPr>
      </w:pPr>
      <w:r w:rsidRPr="00F139B3">
        <w:rPr>
          <w:rFonts w:hint="eastAsia"/>
          <w:b/>
        </w:rPr>
        <w:t>(一)</w:t>
      </w:r>
      <w:r w:rsidR="005603C1" w:rsidRPr="005603C1">
        <w:rPr>
          <w:rFonts w:hint="eastAsia"/>
          <w:b/>
        </w:rPr>
        <w:t>計畫內容</w:t>
      </w:r>
      <w:r w:rsidR="005603C1">
        <w:rPr>
          <w:rFonts w:hint="eastAsia"/>
          <w:b/>
        </w:rPr>
        <w:t>及</w:t>
      </w:r>
      <w:r w:rsidR="00326713" w:rsidRPr="00326713">
        <w:rPr>
          <w:rFonts w:hint="eastAsia"/>
          <w:b/>
        </w:rPr>
        <w:t>及辦理期程與總經費</w:t>
      </w:r>
    </w:p>
    <w:p w:rsidR="009E56AA" w:rsidRPr="005603C1" w:rsidRDefault="005603C1" w:rsidP="005603C1">
      <w:pPr>
        <w:pStyle w:val="123"/>
        <w:ind w:left="1133" w:hanging="283"/>
        <w:rPr>
          <w:b/>
        </w:rPr>
      </w:pPr>
      <w:r w:rsidRPr="005603C1">
        <w:rPr>
          <w:rFonts w:hint="eastAsia"/>
          <w:b/>
        </w:rPr>
        <w:t>1.計畫內容</w:t>
      </w:r>
    </w:p>
    <w:p w:rsidR="00741A35" w:rsidRDefault="00741A35" w:rsidP="005603C1">
      <w:pPr>
        <w:pStyle w:val="123"/>
        <w:ind w:leftChars="400" w:left="1133" w:firstLineChars="193" w:firstLine="547"/>
      </w:pPr>
      <w:r>
        <w:rPr>
          <w:rFonts w:hint="eastAsia"/>
        </w:rPr>
        <w:t>本案係配合再生水推動政策及高雄楠梓科技產業園區再生水處理廠設置評估案，於楠</w:t>
      </w:r>
      <w:r w:rsidR="009E56AA">
        <w:rPr>
          <w:rFonts w:hint="eastAsia"/>
        </w:rPr>
        <w:t>梓科技產業園區揚水站生物處理池上方空間，</w:t>
      </w:r>
      <w:r>
        <w:rPr>
          <w:rFonts w:hint="eastAsia"/>
        </w:rPr>
        <w:t>設</w:t>
      </w:r>
      <w:r w:rsidR="009E56AA">
        <w:rPr>
          <w:rFonts w:hint="eastAsia"/>
        </w:rPr>
        <w:t>置</w:t>
      </w:r>
      <w:r>
        <w:rPr>
          <w:rFonts w:hint="eastAsia"/>
        </w:rPr>
        <w:t>作業單位服務大樓(簡稱新環保大樓)，並同時規劃拆除現有作業服務單位(簡稱舊環保大樓)，將舊環保大樓騰空之土地結合緊鄰之廠商遷廠歸還土地，</w:t>
      </w:r>
      <w:r w:rsidR="009E56AA">
        <w:rPr>
          <w:rFonts w:hint="eastAsia"/>
        </w:rPr>
        <w:t>以</w:t>
      </w:r>
      <w:r>
        <w:rPr>
          <w:rFonts w:hint="eastAsia"/>
        </w:rPr>
        <w:t>興建楠梓科技產業園區再生水處理廠及廠商投資興建廠房使用。</w:t>
      </w:r>
    </w:p>
    <w:p w:rsidR="00453DDA" w:rsidRDefault="005603C1" w:rsidP="005603C1">
      <w:pPr>
        <w:pStyle w:val="123"/>
        <w:ind w:left="1133" w:hanging="283"/>
        <w:rPr>
          <w:b/>
        </w:rPr>
      </w:pPr>
      <w:r w:rsidRPr="005603C1">
        <w:rPr>
          <w:rFonts w:hint="eastAsia"/>
          <w:b/>
        </w:rPr>
        <w:t>2.辦理期程與總經費</w:t>
      </w:r>
    </w:p>
    <w:p w:rsidR="005603C1" w:rsidRDefault="005603C1" w:rsidP="00453DDA">
      <w:pPr>
        <w:pStyle w:val="123"/>
        <w:ind w:leftChars="400" w:left="1133" w:firstLineChars="188" w:firstLine="532"/>
      </w:pPr>
      <w:r>
        <w:rPr>
          <w:rFonts w:hint="eastAsia"/>
        </w:rPr>
        <w:t>新環保大樓預計</w:t>
      </w:r>
      <w:r w:rsidR="00453DDA" w:rsidRPr="00453DDA">
        <w:rPr>
          <w:rFonts w:hint="eastAsia"/>
        </w:rPr>
        <w:t>總</w:t>
      </w:r>
      <w:r>
        <w:rPr>
          <w:rFonts w:hint="eastAsia"/>
        </w:rPr>
        <w:t>建造經費</w:t>
      </w:r>
      <w:r w:rsidR="00453DDA">
        <w:rPr>
          <w:rFonts w:hint="eastAsia"/>
        </w:rPr>
        <w:t>為</w:t>
      </w:r>
      <w:r>
        <w:rPr>
          <w:rFonts w:hint="eastAsia"/>
        </w:rPr>
        <w:t>9</w:t>
      </w:r>
      <w:r>
        <w:t>,994</w:t>
      </w:r>
      <w:r>
        <w:rPr>
          <w:rFonts w:hint="eastAsia"/>
        </w:rPr>
        <w:t>萬元，計畫期間自113至114年度，資金將由科技產業園區作業</w:t>
      </w:r>
      <w:r w:rsidR="00453DDA">
        <w:rPr>
          <w:rFonts w:hint="eastAsia"/>
        </w:rPr>
        <w:t>基</w:t>
      </w:r>
      <w:r>
        <w:rPr>
          <w:rFonts w:hint="eastAsia"/>
        </w:rPr>
        <w:t>金自籌支應。</w:t>
      </w:r>
    </w:p>
    <w:p w:rsidR="005603C1" w:rsidRDefault="005603C1" w:rsidP="00741A35">
      <w:pPr>
        <w:pStyle w:val="a6"/>
        <w:ind w:left="849" w:hanging="283"/>
        <w:rPr>
          <w:b/>
        </w:rPr>
      </w:pPr>
      <w:r>
        <w:rPr>
          <w:rFonts w:hint="eastAsia"/>
          <w:b/>
        </w:rPr>
        <w:t>(二)計畫執行情形</w:t>
      </w:r>
    </w:p>
    <w:p w:rsidR="005603C1" w:rsidRDefault="005603C1" w:rsidP="00893B7C">
      <w:pPr>
        <w:pStyle w:val="22"/>
        <w:ind w:left="850" w:firstLine="566"/>
        <w:rPr>
          <w:rFonts w:hint="eastAsia"/>
        </w:rPr>
      </w:pPr>
      <w:r w:rsidRPr="005603C1">
        <w:rPr>
          <w:rFonts w:hint="eastAsia"/>
        </w:rPr>
        <w:t>楠梓科技產業園區</w:t>
      </w:r>
      <w:r w:rsidR="005B2A36">
        <w:rPr>
          <w:rFonts w:hint="eastAsia"/>
        </w:rPr>
        <w:t>新作業</w:t>
      </w:r>
      <w:r w:rsidRPr="005603C1">
        <w:rPr>
          <w:rFonts w:hint="eastAsia"/>
        </w:rPr>
        <w:t>單位服務大樓</w:t>
      </w:r>
      <w:r w:rsidR="00453DDA" w:rsidRPr="00453DDA">
        <w:rPr>
          <w:rFonts w:hint="eastAsia"/>
        </w:rPr>
        <w:t>工程案</w:t>
      </w:r>
      <w:r>
        <w:rPr>
          <w:rFonts w:hint="eastAsia"/>
        </w:rPr>
        <w:t>113年度</w:t>
      </w:r>
      <w:r w:rsidR="00453DDA">
        <w:rPr>
          <w:rFonts w:hint="eastAsia"/>
        </w:rPr>
        <w:t>編列</w:t>
      </w:r>
      <w:r w:rsidRPr="005603C1">
        <w:rPr>
          <w:rFonts w:hint="eastAsia"/>
        </w:rPr>
        <w:t>預算2,000萬</w:t>
      </w:r>
      <w:r>
        <w:rPr>
          <w:rFonts w:hint="eastAsia"/>
        </w:rPr>
        <w:t>元，</w:t>
      </w:r>
      <w:r w:rsidRPr="005603C1">
        <w:rPr>
          <w:rFonts w:hint="eastAsia"/>
        </w:rPr>
        <w:t>截至113年8月</w:t>
      </w:r>
      <w:r>
        <w:rPr>
          <w:rFonts w:hint="eastAsia"/>
        </w:rPr>
        <w:t>底</w:t>
      </w:r>
      <w:r w:rsidRPr="005603C1">
        <w:rPr>
          <w:rFonts w:hint="eastAsia"/>
        </w:rPr>
        <w:t>執行數62</w:t>
      </w:r>
      <w:r>
        <w:rPr>
          <w:rFonts w:hint="eastAsia"/>
        </w:rPr>
        <w:t>萬7千</w:t>
      </w:r>
      <w:r w:rsidRPr="005603C1">
        <w:rPr>
          <w:rFonts w:hint="eastAsia"/>
        </w:rPr>
        <w:t>元，</w:t>
      </w:r>
      <w:r>
        <w:rPr>
          <w:rFonts w:hint="eastAsia"/>
        </w:rPr>
        <w:t>占</w:t>
      </w:r>
      <w:r w:rsidRPr="005603C1">
        <w:rPr>
          <w:rFonts w:hint="eastAsia"/>
        </w:rPr>
        <w:t>累計8月</w:t>
      </w:r>
      <w:r>
        <w:rPr>
          <w:rFonts w:hint="eastAsia"/>
        </w:rPr>
        <w:t>底</w:t>
      </w:r>
      <w:r w:rsidRPr="005603C1">
        <w:rPr>
          <w:rFonts w:hint="eastAsia"/>
        </w:rPr>
        <w:t>分配數63</w:t>
      </w:r>
      <w:r>
        <w:rPr>
          <w:rFonts w:hint="eastAsia"/>
        </w:rPr>
        <w:t>萬</w:t>
      </w:r>
      <w:r w:rsidRPr="005603C1">
        <w:rPr>
          <w:rFonts w:hint="eastAsia"/>
        </w:rPr>
        <w:t>元</w:t>
      </w:r>
      <w:r>
        <w:rPr>
          <w:rFonts w:hint="eastAsia"/>
        </w:rPr>
        <w:t>之比</w:t>
      </w:r>
      <w:r w:rsidRPr="005603C1">
        <w:rPr>
          <w:rFonts w:hint="eastAsia"/>
        </w:rPr>
        <w:t>率</w:t>
      </w:r>
      <w:r>
        <w:rPr>
          <w:rFonts w:hint="eastAsia"/>
        </w:rPr>
        <w:t>為</w:t>
      </w:r>
      <w:r w:rsidRPr="005603C1">
        <w:rPr>
          <w:rFonts w:hint="eastAsia"/>
        </w:rPr>
        <w:t>99.</w:t>
      </w:r>
      <w:r>
        <w:rPr>
          <w:rFonts w:hint="eastAsia"/>
        </w:rPr>
        <w:t>52</w:t>
      </w:r>
      <w:r w:rsidRPr="005603C1">
        <w:rPr>
          <w:rFonts w:hint="eastAsia"/>
        </w:rPr>
        <w:t>%</w:t>
      </w:r>
      <w:r w:rsidR="00893B7C">
        <w:rPr>
          <w:rFonts w:hAnsi="標楷體" w:hint="eastAsia"/>
        </w:rPr>
        <w:t>，據</w:t>
      </w:r>
      <w:r w:rsidR="00893B7C" w:rsidRPr="00893B7C">
        <w:rPr>
          <w:rFonts w:hAnsi="標楷體" w:hint="eastAsia"/>
        </w:rPr>
        <w:t>科技產業園區基金</w:t>
      </w:r>
      <w:r w:rsidR="00893B7C">
        <w:rPr>
          <w:rFonts w:hAnsi="標楷體" w:hint="eastAsia"/>
        </w:rPr>
        <w:t>說明</w:t>
      </w:r>
      <w:r w:rsidR="00893B7C" w:rsidRPr="00893B7C">
        <w:rPr>
          <w:rFonts w:hAnsi="標楷體" w:hint="eastAsia"/>
        </w:rPr>
        <w:t>辦理情形：截至113年8月底</w:t>
      </w:r>
      <w:r w:rsidR="00893B7C">
        <w:rPr>
          <w:rFonts w:hAnsi="標楷體" w:hint="eastAsia"/>
        </w:rPr>
        <w:t>已委由</w:t>
      </w:r>
      <w:r w:rsidR="00893B7C" w:rsidRPr="00893B7C">
        <w:rPr>
          <w:rFonts w:hAnsi="標楷體" w:hint="eastAsia"/>
        </w:rPr>
        <w:t>專業管理公司辦理完成本項規劃工作說明書工項及工程初步諮詢等事宜，</w:t>
      </w:r>
      <w:r w:rsidR="00893B7C">
        <w:rPr>
          <w:rFonts w:hAnsi="標楷體" w:hint="eastAsia"/>
        </w:rPr>
        <w:t>並</w:t>
      </w:r>
      <w:r w:rsidR="00893B7C" w:rsidRPr="00893B7C">
        <w:rPr>
          <w:rFonts w:hAnsi="標楷體" w:hint="eastAsia"/>
        </w:rPr>
        <w:t>依契約付款</w:t>
      </w:r>
      <w:r w:rsidR="00893B7C">
        <w:rPr>
          <w:rFonts w:hAnsi="標楷體" w:hint="eastAsia"/>
        </w:rPr>
        <w:t>，</w:t>
      </w:r>
      <w:r w:rsidR="00893B7C" w:rsidRPr="00893B7C">
        <w:rPr>
          <w:rFonts w:hAnsi="標楷體" w:hint="eastAsia"/>
        </w:rPr>
        <w:t>後續再依工程實施進度辦理相關工程估驗</w:t>
      </w:r>
      <w:r w:rsidR="00893B7C">
        <w:rPr>
          <w:rFonts w:hAnsi="標楷體" w:hint="eastAsia"/>
        </w:rPr>
        <w:t>作業</w:t>
      </w:r>
      <w:r w:rsidR="00893B7C" w:rsidRPr="00893B7C">
        <w:rPr>
          <w:rFonts w:hAnsi="標楷體" w:hint="eastAsia"/>
        </w:rPr>
        <w:t>。</w:t>
      </w:r>
    </w:p>
    <w:p w:rsidR="00741A35" w:rsidRPr="007730CB" w:rsidRDefault="00741A35" w:rsidP="00741A35">
      <w:pPr>
        <w:pStyle w:val="a6"/>
        <w:ind w:left="849" w:hanging="283"/>
        <w:rPr>
          <w:b/>
        </w:rPr>
      </w:pPr>
      <w:r w:rsidRPr="007730CB">
        <w:rPr>
          <w:rFonts w:hint="eastAsia"/>
          <w:b/>
        </w:rPr>
        <w:lastRenderedPageBreak/>
        <w:t>(</w:t>
      </w:r>
      <w:r w:rsidR="00326713">
        <w:rPr>
          <w:rFonts w:hint="eastAsia"/>
          <w:b/>
        </w:rPr>
        <w:t>三</w:t>
      </w:r>
      <w:r w:rsidRPr="007730CB">
        <w:rPr>
          <w:rFonts w:hint="eastAsia"/>
          <w:b/>
        </w:rPr>
        <w:t>)</w:t>
      </w:r>
      <w:r>
        <w:rPr>
          <w:rFonts w:hint="eastAsia"/>
          <w:b/>
        </w:rPr>
        <w:t>楠梓科技產業園區土地使用比率</w:t>
      </w:r>
      <w:r w:rsidR="000514BC">
        <w:rPr>
          <w:rFonts w:hint="eastAsia"/>
          <w:b/>
        </w:rPr>
        <w:t>為</w:t>
      </w:r>
      <w:r w:rsidR="000514BC" w:rsidRPr="000514BC">
        <w:rPr>
          <w:b/>
        </w:rPr>
        <w:t>84.62%</w:t>
      </w:r>
      <w:r>
        <w:rPr>
          <w:rFonts w:hint="eastAsia"/>
          <w:b/>
        </w:rPr>
        <w:t>，</w:t>
      </w:r>
      <w:r w:rsidR="000514BC" w:rsidRPr="000514BC">
        <w:rPr>
          <w:rFonts w:hint="eastAsia"/>
          <w:b/>
        </w:rPr>
        <w:t>土地使用效能尚有強化空間</w:t>
      </w:r>
    </w:p>
    <w:p w:rsidR="00741A35" w:rsidRDefault="00741A35" w:rsidP="00741A35">
      <w:pPr>
        <w:pStyle w:val="22"/>
        <w:ind w:left="850" w:firstLine="566"/>
      </w:pPr>
      <w:r>
        <w:rPr>
          <w:rFonts w:hint="eastAsia"/>
        </w:rPr>
        <w:t>依</w:t>
      </w:r>
      <w:r w:rsidRPr="00FA17CF">
        <w:rPr>
          <w:rFonts w:hint="eastAsia"/>
        </w:rPr>
        <w:t>科技產業園區管理局說明，本計畫係為增加園區土地利用率，新建環保大樓占地面積742平方公尺，舊環保大樓占地942.72平方公尺</w:t>
      </w:r>
      <w:r>
        <w:rPr>
          <w:rFonts w:hint="eastAsia"/>
        </w:rPr>
        <w:t>，舊環保大樓</w:t>
      </w:r>
      <w:r w:rsidRPr="00FA17CF">
        <w:rPr>
          <w:rFonts w:hint="eastAsia"/>
        </w:rPr>
        <w:t>拆遷騰空後</w:t>
      </w:r>
      <w:r>
        <w:rPr>
          <w:rFonts w:hint="eastAsia"/>
        </w:rPr>
        <w:t>之土地</w:t>
      </w:r>
      <w:r w:rsidRPr="00FA17CF">
        <w:rPr>
          <w:rFonts w:hint="eastAsia"/>
        </w:rPr>
        <w:t>，</w:t>
      </w:r>
      <w:r>
        <w:rPr>
          <w:rFonts w:hint="eastAsia"/>
        </w:rPr>
        <w:t>於結合周邊緊鄰廠商歸還之土地後，</w:t>
      </w:r>
      <w:r w:rsidRPr="00FA17CF">
        <w:rPr>
          <w:rFonts w:hint="eastAsia"/>
        </w:rPr>
        <w:t>除</w:t>
      </w:r>
      <w:r>
        <w:rPr>
          <w:rFonts w:hint="eastAsia"/>
        </w:rPr>
        <w:t>部分</w:t>
      </w:r>
      <w:r w:rsidRPr="00FA17CF">
        <w:rPr>
          <w:rFonts w:hint="eastAsia"/>
        </w:rPr>
        <w:t>規劃供</w:t>
      </w:r>
      <w:r>
        <w:rPr>
          <w:rFonts w:hint="eastAsia"/>
        </w:rPr>
        <w:t>興建</w:t>
      </w:r>
      <w:r w:rsidRPr="00FA17CF">
        <w:rPr>
          <w:rFonts w:hint="eastAsia"/>
        </w:rPr>
        <w:t>楠梓科技產業園區再生水處理廠用地外，</w:t>
      </w:r>
      <w:r>
        <w:rPr>
          <w:rFonts w:hint="eastAsia"/>
        </w:rPr>
        <w:t>尚</w:t>
      </w:r>
      <w:r w:rsidRPr="00FA17CF">
        <w:rPr>
          <w:rFonts w:hint="eastAsia"/>
        </w:rPr>
        <w:t>餘約0.1619公頃土地可供事業</w:t>
      </w:r>
      <w:r>
        <w:rPr>
          <w:rFonts w:hint="eastAsia"/>
        </w:rPr>
        <w:t>建廠</w:t>
      </w:r>
      <w:r w:rsidRPr="00FA17CF">
        <w:rPr>
          <w:rFonts w:hint="eastAsia"/>
        </w:rPr>
        <w:t>使用，預估可增加園區廠商年度營業額6.92億元，</w:t>
      </w:r>
      <w:r>
        <w:rPr>
          <w:rFonts w:hint="eastAsia"/>
        </w:rPr>
        <w:t>進而提升</w:t>
      </w:r>
      <w:r w:rsidRPr="00FA17CF">
        <w:rPr>
          <w:rFonts w:hint="eastAsia"/>
        </w:rPr>
        <w:t>園區管理費及土地租金等相關收入。</w:t>
      </w:r>
    </w:p>
    <w:p w:rsidR="00741A35" w:rsidRDefault="00741A35" w:rsidP="00741A35">
      <w:pPr>
        <w:pStyle w:val="22"/>
        <w:ind w:left="850" w:firstLine="566"/>
      </w:pPr>
      <w:r>
        <w:rPr>
          <w:rFonts w:hint="eastAsia"/>
        </w:rPr>
        <w:t>惟另據該局提供資料，</w:t>
      </w:r>
      <w:r w:rsidR="007C33A7" w:rsidRPr="007C33A7">
        <w:rPr>
          <w:rFonts w:hint="eastAsia"/>
        </w:rPr>
        <w:t>截至113年8月底止</w:t>
      </w:r>
      <w:r w:rsidR="00453DDA">
        <w:rPr>
          <w:rFonts w:hAnsi="標楷體" w:hint="eastAsia"/>
        </w:rPr>
        <w:t>，</w:t>
      </w:r>
      <w:r w:rsidR="007C33A7" w:rsidRPr="007C33A7">
        <w:rPr>
          <w:rFonts w:hint="eastAsia"/>
        </w:rPr>
        <w:t>楠梓科技產業園區土地現況容積率為253.85%，</w:t>
      </w:r>
      <w:r w:rsidR="00453DDA">
        <w:rPr>
          <w:rFonts w:hint="eastAsia"/>
        </w:rPr>
        <w:t>僅達</w:t>
      </w:r>
      <w:r w:rsidR="007C33A7" w:rsidRPr="007C33A7">
        <w:rPr>
          <w:rFonts w:hint="eastAsia"/>
        </w:rPr>
        <w:t>法定容積率300%</w:t>
      </w:r>
      <w:r w:rsidR="00453DDA">
        <w:rPr>
          <w:rFonts w:hint="eastAsia"/>
        </w:rPr>
        <w:t>的</w:t>
      </w:r>
      <w:r w:rsidR="007C33A7" w:rsidRPr="007C33A7">
        <w:rPr>
          <w:rFonts w:hint="eastAsia"/>
        </w:rPr>
        <w:t>84.62%</w:t>
      </w:r>
      <w:r>
        <w:rPr>
          <w:rFonts w:hint="eastAsia"/>
        </w:rPr>
        <w:t>，顯示該園區土地使用效能尚有強化空間。爰此，本案相關規劃，允宜通盤考量園區土地使用現況，強化提升土地使用率之規劃，俾提升園區土地使用效能。</w:t>
      </w:r>
    </w:p>
    <w:p w:rsidR="00741A35" w:rsidRDefault="00741A35" w:rsidP="00741A35">
      <w:pPr>
        <w:ind w:left="566" w:firstLine="566"/>
      </w:pPr>
      <w:r>
        <w:rPr>
          <w:rFonts w:hint="eastAsia"/>
        </w:rPr>
        <w:t>綜上，科技產業園區基金</w:t>
      </w:r>
      <w:r w:rsidR="007C33A7">
        <w:rPr>
          <w:rFonts w:hint="eastAsia"/>
        </w:rPr>
        <w:t>114</w:t>
      </w:r>
      <w:r>
        <w:rPr>
          <w:rFonts w:hint="eastAsia"/>
        </w:rPr>
        <w:t>年度預算案</w:t>
      </w:r>
      <w:r w:rsidR="00453DDA">
        <w:rPr>
          <w:rFonts w:hint="eastAsia"/>
        </w:rPr>
        <w:t>賡續</w:t>
      </w:r>
      <w:r>
        <w:rPr>
          <w:rFonts w:hint="eastAsia"/>
        </w:rPr>
        <w:t>編列</w:t>
      </w:r>
      <w:r w:rsidR="007C33A7" w:rsidRPr="007C33A7">
        <w:rPr>
          <w:rFonts w:hint="eastAsia"/>
        </w:rPr>
        <w:t>7,994萬元</w:t>
      </w:r>
      <w:r>
        <w:rPr>
          <w:rFonts w:hint="eastAsia"/>
        </w:rPr>
        <w:t>辦理</w:t>
      </w:r>
      <w:r w:rsidR="005B2A36">
        <w:rPr>
          <w:rFonts w:hAnsi="標楷體" w:hint="eastAsia"/>
        </w:rPr>
        <w:t>「</w:t>
      </w:r>
      <w:r>
        <w:rPr>
          <w:rFonts w:hint="eastAsia"/>
        </w:rPr>
        <w:t>楠梓科技產業園區</w:t>
      </w:r>
      <w:r w:rsidR="005B2A36">
        <w:rPr>
          <w:rFonts w:hint="eastAsia"/>
        </w:rPr>
        <w:t>新作業</w:t>
      </w:r>
      <w:r>
        <w:rPr>
          <w:rFonts w:hint="eastAsia"/>
        </w:rPr>
        <w:t>單位服務大樓</w:t>
      </w:r>
      <w:r w:rsidR="00453DDA" w:rsidRPr="00453DDA">
        <w:rPr>
          <w:rFonts w:hint="eastAsia"/>
        </w:rPr>
        <w:t>工程案</w:t>
      </w:r>
      <w:r w:rsidR="005B2A36">
        <w:rPr>
          <w:rFonts w:hAnsi="標楷體" w:hint="eastAsia"/>
        </w:rPr>
        <w:t>」</w:t>
      </w:r>
      <w:r>
        <w:rPr>
          <w:rFonts w:hint="eastAsia"/>
        </w:rPr>
        <w:t>，並同步騰出舊環保大樓土地一案，</w:t>
      </w:r>
      <w:r w:rsidR="009E56AA" w:rsidRPr="009E56AA">
        <w:rPr>
          <w:rFonts w:hint="eastAsia"/>
        </w:rPr>
        <w:t>惟</w:t>
      </w:r>
      <w:r w:rsidR="00453DDA">
        <w:rPr>
          <w:rFonts w:hint="eastAsia"/>
        </w:rPr>
        <w:t>該園區</w:t>
      </w:r>
      <w:r w:rsidR="009E56AA" w:rsidRPr="009E56AA">
        <w:rPr>
          <w:rFonts w:hint="eastAsia"/>
        </w:rPr>
        <w:t>土地使用效能尚有強化空間，允宜通盤考量園區土地使用現況，以提升園區土地利用率</w:t>
      </w:r>
      <w:r>
        <w:rPr>
          <w:rFonts w:hint="eastAsia"/>
        </w:rPr>
        <w:t>。</w:t>
      </w:r>
    </w:p>
    <w:bookmarkEnd w:id="1"/>
    <w:sectPr w:rsidR="00741A35" w:rsidSect="004902E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E1C" w:rsidRDefault="004E3E1C" w:rsidP="00D760F2">
      <w:pPr>
        <w:spacing w:line="240" w:lineRule="auto"/>
        <w:ind w:left="560" w:firstLine="560"/>
      </w:pPr>
      <w:r>
        <w:separator/>
      </w:r>
    </w:p>
  </w:endnote>
  <w:endnote w:type="continuationSeparator" w:id="0">
    <w:p w:rsidR="004E3E1C" w:rsidRDefault="004E3E1C"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785576">
    <w:pPr>
      <w:pStyle w:val="af3"/>
      <w:ind w:leftChars="0" w:left="566" w:firstLineChars="0" w:firstLine="406"/>
      <w:jc w:val="center"/>
    </w:pPr>
    <w:r>
      <w:fldChar w:fldCharType="begin"/>
    </w:r>
    <w:r>
      <w:instrText>PAGE   \* MERGEFORMAT</w:instrText>
    </w:r>
    <w:r>
      <w:fldChar w:fldCharType="separate"/>
    </w:r>
    <w:r w:rsidR="003F6522" w:rsidRPr="003F6522">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E1C" w:rsidRDefault="004E3E1C" w:rsidP="00D760F2">
      <w:pPr>
        <w:spacing w:line="240" w:lineRule="auto"/>
        <w:ind w:left="560" w:firstLine="560"/>
      </w:pPr>
      <w:r>
        <w:separator/>
      </w:r>
    </w:p>
  </w:footnote>
  <w:footnote w:type="continuationSeparator" w:id="0">
    <w:p w:rsidR="004E3E1C" w:rsidRDefault="004E3E1C" w:rsidP="00D760F2">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688C13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AB20E22"/>
    <w:multiLevelType w:val="hybridMultilevel"/>
    <w:tmpl w:val="3A9CD4F8"/>
    <w:lvl w:ilvl="0" w:tplc="1188D5D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140E010C"/>
    <w:multiLevelType w:val="multilevel"/>
    <w:tmpl w:val="222A03CA"/>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D9463C5"/>
    <w:multiLevelType w:val="hybridMultilevel"/>
    <w:tmpl w:val="B178DA72"/>
    <w:lvl w:ilvl="0" w:tplc="C5943088">
      <w:start w:val="1"/>
      <w:numFmt w:val="decimal"/>
      <w:lvlText w:val="%1."/>
      <w:lvlJc w:val="left"/>
      <w:pPr>
        <w:ind w:left="1210" w:hanging="360"/>
      </w:pPr>
      <w:rPr>
        <w:rFonts w:hint="default"/>
        <w:lang w:val="x-none"/>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F2D7EDF"/>
    <w:multiLevelType w:val="hybridMultilevel"/>
    <w:tmpl w:val="E17630E8"/>
    <w:lvl w:ilvl="0" w:tplc="B4E2B69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134518F"/>
    <w:multiLevelType w:val="hybridMultilevel"/>
    <w:tmpl w:val="A766A3D2"/>
    <w:lvl w:ilvl="0" w:tplc="1458CF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7576134A"/>
    <w:multiLevelType w:val="hybridMultilevel"/>
    <w:tmpl w:val="69B6EB64"/>
    <w:lvl w:ilvl="0" w:tplc="04090001">
      <w:start w:val="1"/>
      <w:numFmt w:val="bullet"/>
      <w:lvlText w:val=""/>
      <w:lvlJc w:val="left"/>
      <w:pPr>
        <w:ind w:left="1877" w:hanging="480"/>
      </w:pPr>
      <w:rPr>
        <w:rFonts w:ascii="Wingdings" w:hAnsi="Wingdings" w:hint="default"/>
      </w:rPr>
    </w:lvl>
    <w:lvl w:ilvl="1" w:tplc="04090003" w:tentative="1">
      <w:start w:val="1"/>
      <w:numFmt w:val="bullet"/>
      <w:lvlText w:val=""/>
      <w:lvlJc w:val="left"/>
      <w:pPr>
        <w:ind w:left="2357" w:hanging="480"/>
      </w:pPr>
      <w:rPr>
        <w:rFonts w:ascii="Wingdings" w:hAnsi="Wingdings" w:hint="default"/>
      </w:rPr>
    </w:lvl>
    <w:lvl w:ilvl="2" w:tplc="04090005" w:tentative="1">
      <w:start w:val="1"/>
      <w:numFmt w:val="bullet"/>
      <w:lvlText w:val=""/>
      <w:lvlJc w:val="left"/>
      <w:pPr>
        <w:ind w:left="2837" w:hanging="480"/>
      </w:pPr>
      <w:rPr>
        <w:rFonts w:ascii="Wingdings" w:hAnsi="Wingdings" w:hint="default"/>
      </w:rPr>
    </w:lvl>
    <w:lvl w:ilvl="3" w:tplc="04090001" w:tentative="1">
      <w:start w:val="1"/>
      <w:numFmt w:val="bullet"/>
      <w:lvlText w:val=""/>
      <w:lvlJc w:val="left"/>
      <w:pPr>
        <w:ind w:left="3317" w:hanging="480"/>
      </w:pPr>
      <w:rPr>
        <w:rFonts w:ascii="Wingdings" w:hAnsi="Wingdings" w:hint="default"/>
      </w:rPr>
    </w:lvl>
    <w:lvl w:ilvl="4" w:tplc="04090003" w:tentative="1">
      <w:start w:val="1"/>
      <w:numFmt w:val="bullet"/>
      <w:lvlText w:val=""/>
      <w:lvlJc w:val="left"/>
      <w:pPr>
        <w:ind w:left="3797" w:hanging="480"/>
      </w:pPr>
      <w:rPr>
        <w:rFonts w:ascii="Wingdings" w:hAnsi="Wingdings" w:hint="default"/>
      </w:rPr>
    </w:lvl>
    <w:lvl w:ilvl="5" w:tplc="04090005" w:tentative="1">
      <w:start w:val="1"/>
      <w:numFmt w:val="bullet"/>
      <w:lvlText w:val=""/>
      <w:lvlJc w:val="left"/>
      <w:pPr>
        <w:ind w:left="4277" w:hanging="480"/>
      </w:pPr>
      <w:rPr>
        <w:rFonts w:ascii="Wingdings" w:hAnsi="Wingdings" w:hint="default"/>
      </w:rPr>
    </w:lvl>
    <w:lvl w:ilvl="6" w:tplc="04090001" w:tentative="1">
      <w:start w:val="1"/>
      <w:numFmt w:val="bullet"/>
      <w:lvlText w:val=""/>
      <w:lvlJc w:val="left"/>
      <w:pPr>
        <w:ind w:left="4757" w:hanging="480"/>
      </w:pPr>
      <w:rPr>
        <w:rFonts w:ascii="Wingdings" w:hAnsi="Wingdings" w:hint="default"/>
      </w:rPr>
    </w:lvl>
    <w:lvl w:ilvl="7" w:tplc="04090003" w:tentative="1">
      <w:start w:val="1"/>
      <w:numFmt w:val="bullet"/>
      <w:lvlText w:val=""/>
      <w:lvlJc w:val="left"/>
      <w:pPr>
        <w:ind w:left="5237" w:hanging="480"/>
      </w:pPr>
      <w:rPr>
        <w:rFonts w:ascii="Wingdings" w:hAnsi="Wingdings" w:hint="default"/>
      </w:rPr>
    </w:lvl>
    <w:lvl w:ilvl="8" w:tplc="04090005" w:tentative="1">
      <w:start w:val="1"/>
      <w:numFmt w:val="bullet"/>
      <w:lvlText w:val=""/>
      <w:lvlJc w:val="left"/>
      <w:pPr>
        <w:ind w:left="5717" w:hanging="480"/>
      </w:pPr>
      <w:rPr>
        <w:rFonts w:ascii="Wingdings" w:hAnsi="Wingdings" w:hint="default"/>
      </w:rPr>
    </w:lvl>
  </w:abstractNum>
  <w:abstractNum w:abstractNumId="7" w15:restartNumberingAfterBreak="0">
    <w:nsid w:val="760D3216"/>
    <w:multiLevelType w:val="hybridMultilevel"/>
    <w:tmpl w:val="40B279C4"/>
    <w:lvl w:ilvl="0" w:tplc="0409000F">
      <w:start w:val="1"/>
      <w:numFmt w:val="decimal"/>
      <w:lvlText w:val="%1."/>
      <w:lvlJc w:val="left"/>
      <w:pPr>
        <w:ind w:left="2039"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B1117CB"/>
    <w:multiLevelType w:val="hybridMultilevel"/>
    <w:tmpl w:val="8DEE5456"/>
    <w:lvl w:ilvl="0" w:tplc="DBB2DA6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3"/>
  </w:num>
  <w:num w:numId="2">
    <w:abstractNumId w:val="2"/>
  </w:num>
  <w:num w:numId="3">
    <w:abstractNumId w:val="7"/>
  </w:num>
  <w:num w:numId="4">
    <w:abstractNumId w:val="6"/>
  </w:num>
  <w:num w:numId="5">
    <w:abstractNumId w:val="4"/>
  </w:num>
  <w:num w:numId="6">
    <w:abstractNumId w:val="0"/>
  </w:num>
  <w:num w:numId="7">
    <w:abstractNumId w:val="1"/>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605F2"/>
    <w:rsid w:val="00000C0E"/>
    <w:rsid w:val="00002D86"/>
    <w:rsid w:val="0000301B"/>
    <w:rsid w:val="00006909"/>
    <w:rsid w:val="00010857"/>
    <w:rsid w:val="00017FD4"/>
    <w:rsid w:val="000326F1"/>
    <w:rsid w:val="00032DCC"/>
    <w:rsid w:val="00036388"/>
    <w:rsid w:val="00041C44"/>
    <w:rsid w:val="000440E1"/>
    <w:rsid w:val="000441FD"/>
    <w:rsid w:val="00044EBE"/>
    <w:rsid w:val="00045477"/>
    <w:rsid w:val="000454C6"/>
    <w:rsid w:val="000455AC"/>
    <w:rsid w:val="00046AD4"/>
    <w:rsid w:val="000514BC"/>
    <w:rsid w:val="00055FD0"/>
    <w:rsid w:val="00064261"/>
    <w:rsid w:val="00065F25"/>
    <w:rsid w:val="00070B1F"/>
    <w:rsid w:val="000714E3"/>
    <w:rsid w:val="00071F37"/>
    <w:rsid w:val="0007389D"/>
    <w:rsid w:val="000748D3"/>
    <w:rsid w:val="0007522A"/>
    <w:rsid w:val="000830EF"/>
    <w:rsid w:val="000908E8"/>
    <w:rsid w:val="000910DF"/>
    <w:rsid w:val="000A009C"/>
    <w:rsid w:val="000A05E2"/>
    <w:rsid w:val="000A0DFC"/>
    <w:rsid w:val="000A4A43"/>
    <w:rsid w:val="000A69E3"/>
    <w:rsid w:val="000A70F7"/>
    <w:rsid w:val="000B4258"/>
    <w:rsid w:val="000C0A3B"/>
    <w:rsid w:val="000C3F33"/>
    <w:rsid w:val="000C641D"/>
    <w:rsid w:val="000C6520"/>
    <w:rsid w:val="000C6CDC"/>
    <w:rsid w:val="000D1D15"/>
    <w:rsid w:val="000D5BC8"/>
    <w:rsid w:val="000E1034"/>
    <w:rsid w:val="000E1DB4"/>
    <w:rsid w:val="000F48C5"/>
    <w:rsid w:val="000F48F4"/>
    <w:rsid w:val="00101CB1"/>
    <w:rsid w:val="00105252"/>
    <w:rsid w:val="00105E2B"/>
    <w:rsid w:val="00106B6D"/>
    <w:rsid w:val="00114984"/>
    <w:rsid w:val="00117685"/>
    <w:rsid w:val="00121A0F"/>
    <w:rsid w:val="00123FEF"/>
    <w:rsid w:val="0012418E"/>
    <w:rsid w:val="00125B6D"/>
    <w:rsid w:val="00134178"/>
    <w:rsid w:val="00155081"/>
    <w:rsid w:val="001610C7"/>
    <w:rsid w:val="0016625C"/>
    <w:rsid w:val="00167C8E"/>
    <w:rsid w:val="00172726"/>
    <w:rsid w:val="001922E0"/>
    <w:rsid w:val="001A19E6"/>
    <w:rsid w:val="001A1C05"/>
    <w:rsid w:val="001A204B"/>
    <w:rsid w:val="001A21F6"/>
    <w:rsid w:val="001A27B4"/>
    <w:rsid w:val="001A45FD"/>
    <w:rsid w:val="001A4AE1"/>
    <w:rsid w:val="001B1DF7"/>
    <w:rsid w:val="001C1806"/>
    <w:rsid w:val="001C3154"/>
    <w:rsid w:val="001C33A4"/>
    <w:rsid w:val="001C3826"/>
    <w:rsid w:val="001C3E36"/>
    <w:rsid w:val="001C5431"/>
    <w:rsid w:val="001C55C4"/>
    <w:rsid w:val="001F11AB"/>
    <w:rsid w:val="00206A0A"/>
    <w:rsid w:val="00224F04"/>
    <w:rsid w:val="00235369"/>
    <w:rsid w:val="00250D66"/>
    <w:rsid w:val="00251486"/>
    <w:rsid w:val="00255709"/>
    <w:rsid w:val="00256776"/>
    <w:rsid w:val="0026123F"/>
    <w:rsid w:val="00264DD5"/>
    <w:rsid w:val="00281222"/>
    <w:rsid w:val="00290F91"/>
    <w:rsid w:val="002955E8"/>
    <w:rsid w:val="0029666E"/>
    <w:rsid w:val="002A250F"/>
    <w:rsid w:val="002A5759"/>
    <w:rsid w:val="002A7F65"/>
    <w:rsid w:val="002B177C"/>
    <w:rsid w:val="002C0E9A"/>
    <w:rsid w:val="002D2DF8"/>
    <w:rsid w:val="002E198D"/>
    <w:rsid w:val="002E47A7"/>
    <w:rsid w:val="002F35A1"/>
    <w:rsid w:val="00302328"/>
    <w:rsid w:val="00307D10"/>
    <w:rsid w:val="00310807"/>
    <w:rsid w:val="00313BEF"/>
    <w:rsid w:val="00326713"/>
    <w:rsid w:val="00335A4C"/>
    <w:rsid w:val="003459D2"/>
    <w:rsid w:val="00352015"/>
    <w:rsid w:val="0036014C"/>
    <w:rsid w:val="0036219D"/>
    <w:rsid w:val="00362A1F"/>
    <w:rsid w:val="00364961"/>
    <w:rsid w:val="003818D2"/>
    <w:rsid w:val="00383D29"/>
    <w:rsid w:val="0039046F"/>
    <w:rsid w:val="00394EDD"/>
    <w:rsid w:val="00396480"/>
    <w:rsid w:val="003B02CC"/>
    <w:rsid w:val="003C1BD2"/>
    <w:rsid w:val="003C4F9E"/>
    <w:rsid w:val="003D05D4"/>
    <w:rsid w:val="003D2DA7"/>
    <w:rsid w:val="003F066E"/>
    <w:rsid w:val="003F6522"/>
    <w:rsid w:val="0040031E"/>
    <w:rsid w:val="004026C8"/>
    <w:rsid w:val="00405164"/>
    <w:rsid w:val="00411CD9"/>
    <w:rsid w:val="0042135A"/>
    <w:rsid w:val="00423FE3"/>
    <w:rsid w:val="00430AE1"/>
    <w:rsid w:val="00431A9E"/>
    <w:rsid w:val="004331C7"/>
    <w:rsid w:val="0044029A"/>
    <w:rsid w:val="00440E62"/>
    <w:rsid w:val="00444EA7"/>
    <w:rsid w:val="00453DDA"/>
    <w:rsid w:val="0045437B"/>
    <w:rsid w:val="0045520C"/>
    <w:rsid w:val="004556A6"/>
    <w:rsid w:val="00460D1F"/>
    <w:rsid w:val="004625E6"/>
    <w:rsid w:val="00465C8B"/>
    <w:rsid w:val="00467D35"/>
    <w:rsid w:val="004707A4"/>
    <w:rsid w:val="00470AAD"/>
    <w:rsid w:val="00474704"/>
    <w:rsid w:val="004850AC"/>
    <w:rsid w:val="004902E1"/>
    <w:rsid w:val="00494726"/>
    <w:rsid w:val="00496424"/>
    <w:rsid w:val="00496C5B"/>
    <w:rsid w:val="004A49E8"/>
    <w:rsid w:val="004C24C6"/>
    <w:rsid w:val="004D638C"/>
    <w:rsid w:val="004E1294"/>
    <w:rsid w:val="004E3E1C"/>
    <w:rsid w:val="004E6896"/>
    <w:rsid w:val="004F0FE2"/>
    <w:rsid w:val="004F2FB3"/>
    <w:rsid w:val="004F64DD"/>
    <w:rsid w:val="004F718B"/>
    <w:rsid w:val="00500C8C"/>
    <w:rsid w:val="0050112D"/>
    <w:rsid w:val="005051AD"/>
    <w:rsid w:val="00510745"/>
    <w:rsid w:val="00516919"/>
    <w:rsid w:val="00524A6B"/>
    <w:rsid w:val="0052613D"/>
    <w:rsid w:val="005263BA"/>
    <w:rsid w:val="00527704"/>
    <w:rsid w:val="00531286"/>
    <w:rsid w:val="005432F3"/>
    <w:rsid w:val="0055085D"/>
    <w:rsid w:val="00552494"/>
    <w:rsid w:val="00554D77"/>
    <w:rsid w:val="005603C1"/>
    <w:rsid w:val="00565AEC"/>
    <w:rsid w:val="00573E0F"/>
    <w:rsid w:val="00583A2C"/>
    <w:rsid w:val="00590021"/>
    <w:rsid w:val="00596185"/>
    <w:rsid w:val="005A6DBE"/>
    <w:rsid w:val="005A7933"/>
    <w:rsid w:val="005B2403"/>
    <w:rsid w:val="005B2A36"/>
    <w:rsid w:val="005B447C"/>
    <w:rsid w:val="005B47F3"/>
    <w:rsid w:val="005B7FD4"/>
    <w:rsid w:val="005C7793"/>
    <w:rsid w:val="005C7FBD"/>
    <w:rsid w:val="005D4D3C"/>
    <w:rsid w:val="005D5A4E"/>
    <w:rsid w:val="005E0CDE"/>
    <w:rsid w:val="005F2089"/>
    <w:rsid w:val="005F5206"/>
    <w:rsid w:val="006004D7"/>
    <w:rsid w:val="0060341B"/>
    <w:rsid w:val="0060533B"/>
    <w:rsid w:val="00610880"/>
    <w:rsid w:val="00610D6B"/>
    <w:rsid w:val="00622051"/>
    <w:rsid w:val="00622FCF"/>
    <w:rsid w:val="00623708"/>
    <w:rsid w:val="006277E4"/>
    <w:rsid w:val="0063072A"/>
    <w:rsid w:val="00635A1A"/>
    <w:rsid w:val="00636382"/>
    <w:rsid w:val="006368F6"/>
    <w:rsid w:val="00637C6F"/>
    <w:rsid w:val="00647B4B"/>
    <w:rsid w:val="00654B35"/>
    <w:rsid w:val="006558CF"/>
    <w:rsid w:val="006558FF"/>
    <w:rsid w:val="00656EBC"/>
    <w:rsid w:val="00665504"/>
    <w:rsid w:val="00670403"/>
    <w:rsid w:val="00674D27"/>
    <w:rsid w:val="0068030C"/>
    <w:rsid w:val="00684A4F"/>
    <w:rsid w:val="006854E2"/>
    <w:rsid w:val="006926C0"/>
    <w:rsid w:val="00693131"/>
    <w:rsid w:val="00693407"/>
    <w:rsid w:val="006A0826"/>
    <w:rsid w:val="006A50C3"/>
    <w:rsid w:val="006B0E6E"/>
    <w:rsid w:val="006B15DD"/>
    <w:rsid w:val="006B17EB"/>
    <w:rsid w:val="006B2A46"/>
    <w:rsid w:val="006B5ADC"/>
    <w:rsid w:val="006B5E89"/>
    <w:rsid w:val="006C30C6"/>
    <w:rsid w:val="006D048F"/>
    <w:rsid w:val="006D35DE"/>
    <w:rsid w:val="006D6AE8"/>
    <w:rsid w:val="006E3032"/>
    <w:rsid w:val="006F738D"/>
    <w:rsid w:val="006F74CE"/>
    <w:rsid w:val="007015A1"/>
    <w:rsid w:val="007039F0"/>
    <w:rsid w:val="0071018D"/>
    <w:rsid w:val="00712AA6"/>
    <w:rsid w:val="00720F60"/>
    <w:rsid w:val="007217F0"/>
    <w:rsid w:val="00721DBA"/>
    <w:rsid w:val="0073072C"/>
    <w:rsid w:val="007310AD"/>
    <w:rsid w:val="00731DD1"/>
    <w:rsid w:val="00740D8F"/>
    <w:rsid w:val="00741A35"/>
    <w:rsid w:val="00744408"/>
    <w:rsid w:val="00744BD2"/>
    <w:rsid w:val="00745E5E"/>
    <w:rsid w:val="00763244"/>
    <w:rsid w:val="00764906"/>
    <w:rsid w:val="00765B72"/>
    <w:rsid w:val="00774A0C"/>
    <w:rsid w:val="00782105"/>
    <w:rsid w:val="00785576"/>
    <w:rsid w:val="00787D2B"/>
    <w:rsid w:val="00792275"/>
    <w:rsid w:val="00792482"/>
    <w:rsid w:val="007945ED"/>
    <w:rsid w:val="00794AED"/>
    <w:rsid w:val="007A1327"/>
    <w:rsid w:val="007A1C7C"/>
    <w:rsid w:val="007B0861"/>
    <w:rsid w:val="007B13A6"/>
    <w:rsid w:val="007B242E"/>
    <w:rsid w:val="007B3CD7"/>
    <w:rsid w:val="007B71A8"/>
    <w:rsid w:val="007B7D8C"/>
    <w:rsid w:val="007C05B7"/>
    <w:rsid w:val="007C0AB9"/>
    <w:rsid w:val="007C33A7"/>
    <w:rsid w:val="007D1E6B"/>
    <w:rsid w:val="007D443F"/>
    <w:rsid w:val="007D4C35"/>
    <w:rsid w:val="007E0020"/>
    <w:rsid w:val="007E7565"/>
    <w:rsid w:val="007E79E1"/>
    <w:rsid w:val="007F0C50"/>
    <w:rsid w:val="007F6942"/>
    <w:rsid w:val="008031C7"/>
    <w:rsid w:val="00805225"/>
    <w:rsid w:val="00807F0E"/>
    <w:rsid w:val="00812ED9"/>
    <w:rsid w:val="008216AF"/>
    <w:rsid w:val="00821C33"/>
    <w:rsid w:val="00823AA4"/>
    <w:rsid w:val="00835CFF"/>
    <w:rsid w:val="00840528"/>
    <w:rsid w:val="00844942"/>
    <w:rsid w:val="008457F7"/>
    <w:rsid w:val="00853606"/>
    <w:rsid w:val="00857979"/>
    <w:rsid w:val="00863529"/>
    <w:rsid w:val="00864C36"/>
    <w:rsid w:val="0086525C"/>
    <w:rsid w:val="00870803"/>
    <w:rsid w:val="00881529"/>
    <w:rsid w:val="00883896"/>
    <w:rsid w:val="00887252"/>
    <w:rsid w:val="008875B6"/>
    <w:rsid w:val="008910E2"/>
    <w:rsid w:val="00893B7C"/>
    <w:rsid w:val="0089619D"/>
    <w:rsid w:val="008A02EF"/>
    <w:rsid w:val="008A1B2B"/>
    <w:rsid w:val="008A613D"/>
    <w:rsid w:val="008A7C4C"/>
    <w:rsid w:val="008B04F1"/>
    <w:rsid w:val="008B0E96"/>
    <w:rsid w:val="008B207F"/>
    <w:rsid w:val="008C4A74"/>
    <w:rsid w:val="008C6957"/>
    <w:rsid w:val="008D0FBD"/>
    <w:rsid w:val="008D1F05"/>
    <w:rsid w:val="008D621C"/>
    <w:rsid w:val="008D7BE8"/>
    <w:rsid w:val="008E15B7"/>
    <w:rsid w:val="008E24F8"/>
    <w:rsid w:val="008E290F"/>
    <w:rsid w:val="008F1F9E"/>
    <w:rsid w:val="008F78DC"/>
    <w:rsid w:val="009037E0"/>
    <w:rsid w:val="00903998"/>
    <w:rsid w:val="009112C3"/>
    <w:rsid w:val="00911CE1"/>
    <w:rsid w:val="00922896"/>
    <w:rsid w:val="00933247"/>
    <w:rsid w:val="00942B25"/>
    <w:rsid w:val="00943F51"/>
    <w:rsid w:val="0094482A"/>
    <w:rsid w:val="00945EC6"/>
    <w:rsid w:val="00951382"/>
    <w:rsid w:val="0095411A"/>
    <w:rsid w:val="00954D8C"/>
    <w:rsid w:val="00955AB9"/>
    <w:rsid w:val="00956D23"/>
    <w:rsid w:val="00960C67"/>
    <w:rsid w:val="009619DB"/>
    <w:rsid w:val="00962A71"/>
    <w:rsid w:val="00964BE0"/>
    <w:rsid w:val="009719DC"/>
    <w:rsid w:val="00974080"/>
    <w:rsid w:val="009753B0"/>
    <w:rsid w:val="009770EE"/>
    <w:rsid w:val="009778CB"/>
    <w:rsid w:val="00981147"/>
    <w:rsid w:val="00983212"/>
    <w:rsid w:val="009858DB"/>
    <w:rsid w:val="0098590E"/>
    <w:rsid w:val="00986ECB"/>
    <w:rsid w:val="00991311"/>
    <w:rsid w:val="00994432"/>
    <w:rsid w:val="009964E3"/>
    <w:rsid w:val="009A67A8"/>
    <w:rsid w:val="009B5099"/>
    <w:rsid w:val="009B618C"/>
    <w:rsid w:val="009B7BE3"/>
    <w:rsid w:val="009C07E5"/>
    <w:rsid w:val="009C694F"/>
    <w:rsid w:val="009C6FE6"/>
    <w:rsid w:val="009D03DE"/>
    <w:rsid w:val="009D434C"/>
    <w:rsid w:val="009E56AA"/>
    <w:rsid w:val="009F1130"/>
    <w:rsid w:val="00A049ED"/>
    <w:rsid w:val="00A13991"/>
    <w:rsid w:val="00A15FB8"/>
    <w:rsid w:val="00A24F84"/>
    <w:rsid w:val="00A25619"/>
    <w:rsid w:val="00A26552"/>
    <w:rsid w:val="00A3310E"/>
    <w:rsid w:val="00A33334"/>
    <w:rsid w:val="00A36D84"/>
    <w:rsid w:val="00A37962"/>
    <w:rsid w:val="00A409EF"/>
    <w:rsid w:val="00A40FBA"/>
    <w:rsid w:val="00A4274D"/>
    <w:rsid w:val="00A4513B"/>
    <w:rsid w:val="00A4599A"/>
    <w:rsid w:val="00A46751"/>
    <w:rsid w:val="00A47725"/>
    <w:rsid w:val="00A47DB8"/>
    <w:rsid w:val="00A54DD3"/>
    <w:rsid w:val="00A5513B"/>
    <w:rsid w:val="00A55CA9"/>
    <w:rsid w:val="00A608AA"/>
    <w:rsid w:val="00A63AC0"/>
    <w:rsid w:val="00A66CF3"/>
    <w:rsid w:val="00A72811"/>
    <w:rsid w:val="00A77129"/>
    <w:rsid w:val="00A83C66"/>
    <w:rsid w:val="00A9158E"/>
    <w:rsid w:val="00A94C0C"/>
    <w:rsid w:val="00A950F6"/>
    <w:rsid w:val="00AA4C79"/>
    <w:rsid w:val="00AB373B"/>
    <w:rsid w:val="00AB6019"/>
    <w:rsid w:val="00AC34D1"/>
    <w:rsid w:val="00AD371F"/>
    <w:rsid w:val="00AE073A"/>
    <w:rsid w:val="00AF041C"/>
    <w:rsid w:val="00AF3CB2"/>
    <w:rsid w:val="00AF70B8"/>
    <w:rsid w:val="00B00BC4"/>
    <w:rsid w:val="00B078C3"/>
    <w:rsid w:val="00B14125"/>
    <w:rsid w:val="00B1777C"/>
    <w:rsid w:val="00B3324D"/>
    <w:rsid w:val="00B3659C"/>
    <w:rsid w:val="00B3779A"/>
    <w:rsid w:val="00B47130"/>
    <w:rsid w:val="00B530C5"/>
    <w:rsid w:val="00B62CA2"/>
    <w:rsid w:val="00B6337A"/>
    <w:rsid w:val="00B7507A"/>
    <w:rsid w:val="00B84890"/>
    <w:rsid w:val="00B857A1"/>
    <w:rsid w:val="00B8693C"/>
    <w:rsid w:val="00B91199"/>
    <w:rsid w:val="00B94B56"/>
    <w:rsid w:val="00B94F8D"/>
    <w:rsid w:val="00B9587D"/>
    <w:rsid w:val="00B95BA4"/>
    <w:rsid w:val="00B9771E"/>
    <w:rsid w:val="00BB0F17"/>
    <w:rsid w:val="00BB1DEE"/>
    <w:rsid w:val="00BB2C32"/>
    <w:rsid w:val="00BC3ECA"/>
    <w:rsid w:val="00BD0391"/>
    <w:rsid w:val="00BE0559"/>
    <w:rsid w:val="00BF10AE"/>
    <w:rsid w:val="00C072D0"/>
    <w:rsid w:val="00C12537"/>
    <w:rsid w:val="00C12731"/>
    <w:rsid w:val="00C16682"/>
    <w:rsid w:val="00C23BC2"/>
    <w:rsid w:val="00C277D6"/>
    <w:rsid w:val="00C32CC5"/>
    <w:rsid w:val="00C37888"/>
    <w:rsid w:val="00C37966"/>
    <w:rsid w:val="00C47B01"/>
    <w:rsid w:val="00C52252"/>
    <w:rsid w:val="00C523DB"/>
    <w:rsid w:val="00C55C64"/>
    <w:rsid w:val="00C568FD"/>
    <w:rsid w:val="00C61A5B"/>
    <w:rsid w:val="00C61B4B"/>
    <w:rsid w:val="00C72B7A"/>
    <w:rsid w:val="00C84155"/>
    <w:rsid w:val="00C84477"/>
    <w:rsid w:val="00C85526"/>
    <w:rsid w:val="00C86C8A"/>
    <w:rsid w:val="00C87A58"/>
    <w:rsid w:val="00C90B7B"/>
    <w:rsid w:val="00C90E4D"/>
    <w:rsid w:val="00C95399"/>
    <w:rsid w:val="00CA2C68"/>
    <w:rsid w:val="00CA46C7"/>
    <w:rsid w:val="00CA7E92"/>
    <w:rsid w:val="00CB0681"/>
    <w:rsid w:val="00CB0909"/>
    <w:rsid w:val="00CB09C6"/>
    <w:rsid w:val="00CB440E"/>
    <w:rsid w:val="00CB5198"/>
    <w:rsid w:val="00CB690F"/>
    <w:rsid w:val="00CC2543"/>
    <w:rsid w:val="00CE0290"/>
    <w:rsid w:val="00CE1328"/>
    <w:rsid w:val="00CE1F04"/>
    <w:rsid w:val="00CE277D"/>
    <w:rsid w:val="00CE5486"/>
    <w:rsid w:val="00CF24B2"/>
    <w:rsid w:val="00CF7E63"/>
    <w:rsid w:val="00D10286"/>
    <w:rsid w:val="00D14BF6"/>
    <w:rsid w:val="00D201CF"/>
    <w:rsid w:val="00D32184"/>
    <w:rsid w:val="00D335E2"/>
    <w:rsid w:val="00D532E3"/>
    <w:rsid w:val="00D53812"/>
    <w:rsid w:val="00D55344"/>
    <w:rsid w:val="00D63F82"/>
    <w:rsid w:val="00D6731D"/>
    <w:rsid w:val="00D67D30"/>
    <w:rsid w:val="00D71B67"/>
    <w:rsid w:val="00D757BA"/>
    <w:rsid w:val="00D760F2"/>
    <w:rsid w:val="00D8198C"/>
    <w:rsid w:val="00D8290C"/>
    <w:rsid w:val="00D84BB1"/>
    <w:rsid w:val="00D86106"/>
    <w:rsid w:val="00D9184F"/>
    <w:rsid w:val="00D949C7"/>
    <w:rsid w:val="00DB2228"/>
    <w:rsid w:val="00DB430D"/>
    <w:rsid w:val="00DC4B17"/>
    <w:rsid w:val="00DD5991"/>
    <w:rsid w:val="00DE508F"/>
    <w:rsid w:val="00DE721D"/>
    <w:rsid w:val="00DF1A79"/>
    <w:rsid w:val="00E0003B"/>
    <w:rsid w:val="00E02B1C"/>
    <w:rsid w:val="00E033A1"/>
    <w:rsid w:val="00E04E92"/>
    <w:rsid w:val="00E0543A"/>
    <w:rsid w:val="00E1062D"/>
    <w:rsid w:val="00E117FC"/>
    <w:rsid w:val="00E12796"/>
    <w:rsid w:val="00E129A2"/>
    <w:rsid w:val="00E1370B"/>
    <w:rsid w:val="00E174B9"/>
    <w:rsid w:val="00E23A5A"/>
    <w:rsid w:val="00E25FF4"/>
    <w:rsid w:val="00E2718B"/>
    <w:rsid w:val="00E32EFB"/>
    <w:rsid w:val="00E370AD"/>
    <w:rsid w:val="00E41731"/>
    <w:rsid w:val="00E42E5E"/>
    <w:rsid w:val="00E505F1"/>
    <w:rsid w:val="00E5098C"/>
    <w:rsid w:val="00E52148"/>
    <w:rsid w:val="00E54799"/>
    <w:rsid w:val="00E650B2"/>
    <w:rsid w:val="00E71BA5"/>
    <w:rsid w:val="00E72610"/>
    <w:rsid w:val="00E761BF"/>
    <w:rsid w:val="00E80D40"/>
    <w:rsid w:val="00E8247E"/>
    <w:rsid w:val="00E8558B"/>
    <w:rsid w:val="00E909B8"/>
    <w:rsid w:val="00E915A8"/>
    <w:rsid w:val="00EA2E3E"/>
    <w:rsid w:val="00EB0537"/>
    <w:rsid w:val="00EB0A9D"/>
    <w:rsid w:val="00EB1106"/>
    <w:rsid w:val="00EB25CE"/>
    <w:rsid w:val="00EC18D1"/>
    <w:rsid w:val="00EC7C7E"/>
    <w:rsid w:val="00ED15CC"/>
    <w:rsid w:val="00ED556B"/>
    <w:rsid w:val="00EE25F9"/>
    <w:rsid w:val="00EE3B40"/>
    <w:rsid w:val="00EE4C40"/>
    <w:rsid w:val="00EE5E75"/>
    <w:rsid w:val="00F11271"/>
    <w:rsid w:val="00F14583"/>
    <w:rsid w:val="00F14C11"/>
    <w:rsid w:val="00F150A9"/>
    <w:rsid w:val="00F170E5"/>
    <w:rsid w:val="00F207D2"/>
    <w:rsid w:val="00F264BB"/>
    <w:rsid w:val="00F30BDC"/>
    <w:rsid w:val="00F43475"/>
    <w:rsid w:val="00F547E2"/>
    <w:rsid w:val="00F548ED"/>
    <w:rsid w:val="00F605F2"/>
    <w:rsid w:val="00F63DBE"/>
    <w:rsid w:val="00F671BB"/>
    <w:rsid w:val="00F75864"/>
    <w:rsid w:val="00F81B10"/>
    <w:rsid w:val="00F85484"/>
    <w:rsid w:val="00F94A35"/>
    <w:rsid w:val="00FA2B4C"/>
    <w:rsid w:val="00FA666A"/>
    <w:rsid w:val="00FB0ECD"/>
    <w:rsid w:val="00FB1E2F"/>
    <w:rsid w:val="00FB3954"/>
    <w:rsid w:val="00FC1076"/>
    <w:rsid w:val="00FC15F1"/>
    <w:rsid w:val="00FC272B"/>
    <w:rsid w:val="00FC3A35"/>
    <w:rsid w:val="00FD7B7F"/>
    <w:rsid w:val="00FE0824"/>
    <w:rsid w:val="00FE3C0F"/>
    <w:rsid w:val="00FF0A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3"/>
      </o:rules>
    </o:shapelayout>
  </w:shapeDefaults>
  <w:decimalSymbol w:val="."/>
  <w:listSeparator w:val=","/>
  <w15:chartTrackingRefBased/>
  <w15:docId w15:val="{87BDB1F0-8581-4719-93F6-989D7432E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6337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78557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0"/>
    <w:next w:val="a0"/>
    <w:link w:val="20"/>
    <w:unhideWhenUsed/>
    <w:qFormat/>
    <w:rsid w:val="00785576"/>
    <w:pPr>
      <w:keepNext/>
      <w:spacing w:line="720" w:lineRule="atLeast"/>
      <w:outlineLvl w:val="1"/>
    </w:pPr>
    <w:rPr>
      <w:rFonts w:ascii="Calibri Light" w:eastAsia="新細明體" w:hAnsi="Calibri Light"/>
      <w:b/>
      <w:bCs/>
      <w:sz w:val="48"/>
      <w:szCs w:val="48"/>
    </w:rPr>
  </w:style>
  <w:style w:type="paragraph" w:styleId="3">
    <w:name w:val="heading 3"/>
    <w:basedOn w:val="a0"/>
    <w:next w:val="a0"/>
    <w:link w:val="30"/>
    <w:unhideWhenUsed/>
    <w:qFormat/>
    <w:rsid w:val="00785576"/>
    <w:pPr>
      <w:keepNext/>
      <w:spacing w:line="720" w:lineRule="atLeast"/>
      <w:outlineLvl w:val="2"/>
    </w:pPr>
    <w:rPr>
      <w:rFonts w:ascii="Calibri Light" w:eastAsia="新細明體" w:hAnsi="Calibri Light"/>
      <w:b/>
      <w:bCs/>
      <w:sz w:val="36"/>
      <w:szCs w:val="36"/>
    </w:rPr>
  </w:style>
  <w:style w:type="paragraph" w:styleId="4">
    <w:name w:val="heading 4"/>
    <w:basedOn w:val="a0"/>
    <w:link w:val="40"/>
    <w:qFormat/>
    <w:rsid w:val="00A26552"/>
    <w:pPr>
      <w:spacing w:line="240" w:lineRule="auto"/>
      <w:ind w:leftChars="0" w:left="1741" w:firstLineChars="0" w:hanging="698"/>
      <w:outlineLvl w:val="3"/>
    </w:pPr>
    <w:rPr>
      <w:rFonts w:hAnsi="Arial"/>
      <w:snapToGrid/>
      <w:sz w:val="32"/>
      <w:szCs w:val="36"/>
    </w:rPr>
  </w:style>
  <w:style w:type="paragraph" w:styleId="5">
    <w:name w:val="heading 5"/>
    <w:basedOn w:val="a0"/>
    <w:link w:val="50"/>
    <w:qFormat/>
    <w:rsid w:val="00A26552"/>
    <w:pPr>
      <w:spacing w:line="240" w:lineRule="auto"/>
      <w:ind w:leftChars="0" w:left="2095" w:firstLineChars="0" w:hanging="700"/>
      <w:outlineLvl w:val="4"/>
    </w:pPr>
    <w:rPr>
      <w:rFonts w:hAnsi="Arial"/>
      <w:bCs/>
      <w:snapToGrid/>
      <w:sz w:val="32"/>
      <w:szCs w:val="36"/>
    </w:rPr>
  </w:style>
  <w:style w:type="paragraph" w:styleId="6">
    <w:name w:val="heading 6"/>
    <w:basedOn w:val="a0"/>
    <w:link w:val="60"/>
    <w:qFormat/>
    <w:rsid w:val="00A26552"/>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A26552"/>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A26552"/>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pPr>
      <w:ind w:left="300" w:hangingChars="100" w:hanging="100"/>
    </w:pPr>
  </w:style>
  <w:style w:type="paragraph" w:customStyle="1" w:styleId="a7">
    <w:name w:val="(一)下內文"/>
    <w:basedOn w:val="a6"/>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uiPriority w:val="99"/>
    <w:pPr>
      <w:spacing w:line="400" w:lineRule="exact"/>
    </w:pPr>
  </w:style>
  <w:style w:type="paragraph" w:styleId="af1">
    <w:name w:val="header"/>
    <w:basedOn w:val="a0"/>
    <w:link w:val="af2"/>
    <w:uiPriority w:val="99"/>
    <w:unhideWhenUsed/>
    <w:rsid w:val="00D71B6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785576"/>
    <w:pPr>
      <w:tabs>
        <w:tab w:val="right" w:leader="hyphen" w:pos="8490"/>
      </w:tabs>
      <w:ind w:leftChars="0" w:left="567" w:hangingChars="200" w:hanging="567"/>
    </w:pPr>
    <w:rPr>
      <w:b/>
      <w:noProof/>
      <w:sz w:val="24"/>
    </w:rPr>
  </w:style>
  <w:style w:type="paragraph" w:styleId="24">
    <w:name w:val="toc 2"/>
    <w:basedOn w:val="a0"/>
    <w:next w:val="a0"/>
    <w:autoRedefine/>
    <w:uiPriority w:val="39"/>
    <w:rsid w:val="00785576"/>
    <w:pPr>
      <w:tabs>
        <w:tab w:val="right" w:leader="hyphen" w:pos="8490"/>
      </w:tabs>
      <w:ind w:leftChars="0" w:left="486" w:rightChars="100" w:right="283" w:hangingChars="200" w:hanging="486"/>
    </w:pPr>
    <w:rPr>
      <w:noProof/>
      <w:sz w:val="24"/>
    </w:rPr>
  </w:style>
  <w:style w:type="character" w:customStyle="1" w:styleId="af2">
    <w:name w:val="頁首 字元"/>
    <w:link w:val="af1"/>
    <w:uiPriority w:val="99"/>
    <w:rsid w:val="00D71B67"/>
    <w:rPr>
      <w:rFonts w:ascii="標楷體" w:eastAsia="標楷體"/>
      <w:snapToGrid w:val="0"/>
      <w:kern w:val="2"/>
    </w:rPr>
  </w:style>
  <w:style w:type="paragraph" w:styleId="af3">
    <w:name w:val="footer"/>
    <w:basedOn w:val="a0"/>
    <w:link w:val="af4"/>
    <w:uiPriority w:val="99"/>
    <w:unhideWhenUsed/>
    <w:rsid w:val="00D71B67"/>
    <w:pPr>
      <w:tabs>
        <w:tab w:val="center" w:pos="4153"/>
        <w:tab w:val="right" w:pos="8306"/>
      </w:tabs>
      <w:snapToGrid w:val="0"/>
    </w:pPr>
    <w:rPr>
      <w:sz w:val="20"/>
      <w:szCs w:val="20"/>
    </w:rPr>
  </w:style>
  <w:style w:type="character" w:customStyle="1" w:styleId="af4">
    <w:name w:val="頁尾 字元"/>
    <w:link w:val="af3"/>
    <w:uiPriority w:val="99"/>
    <w:rsid w:val="00D71B67"/>
    <w:rPr>
      <w:rFonts w:ascii="標楷體" w:eastAsia="標楷體"/>
      <w:snapToGrid w:val="0"/>
      <w:kern w:val="2"/>
    </w:rPr>
  </w:style>
  <w:style w:type="table" w:styleId="af5">
    <w:name w:val="Table Grid"/>
    <w:basedOn w:val="a2"/>
    <w:uiPriority w:val="39"/>
    <w:rsid w:val="00F605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footnote reference"/>
    <w:aliases w:val="FR,Ref,de nota al pie,註腳內容,Error-Fußnotenzeichen5,Error-Fußnotenzeichen6,Error-Fußnotenzeichen3"/>
    <w:unhideWhenUsed/>
    <w:rsid w:val="00F605F2"/>
    <w:rPr>
      <w:vertAlign w:val="superscript"/>
    </w:rPr>
  </w:style>
  <w:style w:type="character" w:customStyle="1" w:styleId="140">
    <w:name w:val="第二層(14號字) 字元"/>
    <w:link w:val="14"/>
    <w:rsid w:val="00F605F2"/>
    <w:rPr>
      <w:rFonts w:ascii="標楷體" w:eastAsia="標楷體"/>
      <w:b/>
      <w:snapToGrid w:val="0"/>
      <w:kern w:val="2"/>
      <w:sz w:val="28"/>
    </w:rPr>
  </w:style>
  <w:style w:type="character" w:customStyle="1" w:styleId="23">
    <w:name w:val="(一)下內文縮2 字元"/>
    <w:link w:val="22"/>
    <w:rsid w:val="00F605F2"/>
    <w:rPr>
      <w:rFonts w:ascii="標楷體" w:eastAsia="標楷體"/>
      <w:snapToGrid w:val="0"/>
      <w:kern w:val="2"/>
      <w:sz w:val="28"/>
      <w:szCs w:val="28"/>
    </w:rPr>
  </w:style>
  <w:style w:type="character" w:customStyle="1" w:styleId="21">
    <w:name w:val="(一)(二)(三) 字元2"/>
    <w:link w:val="a6"/>
    <w:rsid w:val="00F605F2"/>
    <w:rPr>
      <w:rFonts w:ascii="標楷體" w:eastAsia="標楷體"/>
      <w:snapToGrid w:val="0"/>
      <w:kern w:val="2"/>
      <w:sz w:val="28"/>
      <w:szCs w:val="28"/>
    </w:rPr>
  </w:style>
  <w:style w:type="character" w:customStyle="1" w:styleId="143">
    <w:name w:val="表格內文(14行高) 字元"/>
    <w:link w:val="142"/>
    <w:qFormat/>
    <w:rsid w:val="00F605F2"/>
    <w:rPr>
      <w:rFonts w:ascii="標楷體" w:eastAsia="標楷體"/>
      <w:snapToGrid w:val="0"/>
      <w:kern w:val="2"/>
      <w:sz w:val="24"/>
      <w:szCs w:val="28"/>
    </w:rPr>
  </w:style>
  <w:style w:type="character" w:customStyle="1" w:styleId="145">
    <w:name w:val="第一層(14號字) 字元"/>
    <w:link w:val="144"/>
    <w:rsid w:val="004A49E8"/>
    <w:rPr>
      <w:rFonts w:ascii="標楷體" w:eastAsia="標楷體"/>
      <w:b/>
      <w:snapToGrid w:val="0"/>
      <w:kern w:val="2"/>
      <w:sz w:val="2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0"/>
    <w:link w:val="af8"/>
    <w:uiPriority w:val="99"/>
    <w:unhideWhenUsed/>
    <w:rsid w:val="00840528"/>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840528"/>
    <w:rPr>
      <w:rFonts w:ascii="標楷體" w:eastAsia="標楷體"/>
      <w:snapToGrid w:val="0"/>
      <w:kern w:val="2"/>
    </w:rPr>
  </w:style>
  <w:style w:type="character" w:customStyle="1" w:styleId="10">
    <w:name w:val="標題 1 字元"/>
    <w:link w:val="1"/>
    <w:uiPriority w:val="9"/>
    <w:rsid w:val="00785576"/>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785576"/>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785576"/>
    <w:rPr>
      <w:rFonts w:ascii="Calibri Light" w:eastAsia="新細明體" w:hAnsi="Calibri Light" w:cs="Times New Roman"/>
      <w:b/>
      <w:bCs/>
      <w:snapToGrid w:val="0"/>
      <w:kern w:val="2"/>
      <w:sz w:val="36"/>
      <w:szCs w:val="36"/>
    </w:rPr>
  </w:style>
  <w:style w:type="character" w:styleId="af9">
    <w:name w:val="Hyperlink"/>
    <w:uiPriority w:val="99"/>
    <w:unhideWhenUsed/>
    <w:rsid w:val="00785576"/>
    <w:rPr>
      <w:color w:val="0563C1"/>
      <w:u w:val="single"/>
    </w:rPr>
  </w:style>
  <w:style w:type="paragraph" w:styleId="afa">
    <w:name w:val="Balloon Text"/>
    <w:basedOn w:val="a0"/>
    <w:link w:val="afb"/>
    <w:semiHidden/>
    <w:unhideWhenUsed/>
    <w:rsid w:val="000D5BC8"/>
    <w:pPr>
      <w:spacing w:line="240" w:lineRule="auto"/>
    </w:pPr>
    <w:rPr>
      <w:rFonts w:ascii="Calibri Light" w:eastAsia="新細明體" w:hAnsi="Calibri Light"/>
      <w:sz w:val="18"/>
      <w:szCs w:val="18"/>
    </w:rPr>
  </w:style>
  <w:style w:type="character" w:customStyle="1" w:styleId="afb">
    <w:name w:val="註解方塊文字 字元"/>
    <w:link w:val="afa"/>
    <w:uiPriority w:val="99"/>
    <w:semiHidden/>
    <w:rsid w:val="000D5BC8"/>
    <w:rPr>
      <w:rFonts w:ascii="Calibri Light" w:eastAsia="新細明體" w:hAnsi="Calibri Light" w:cs="Times New Roman"/>
      <w:snapToGrid w:val="0"/>
      <w:kern w:val="2"/>
      <w:sz w:val="18"/>
      <w:szCs w:val="18"/>
    </w:rPr>
  </w:style>
  <w:style w:type="character" w:customStyle="1" w:styleId="40">
    <w:name w:val="標題 4 字元"/>
    <w:link w:val="4"/>
    <w:rsid w:val="00A26552"/>
    <w:rPr>
      <w:rFonts w:ascii="標楷體" w:eastAsia="標楷體" w:hAnsi="Arial"/>
      <w:kern w:val="2"/>
      <w:sz w:val="32"/>
      <w:szCs w:val="36"/>
    </w:rPr>
  </w:style>
  <w:style w:type="character" w:customStyle="1" w:styleId="50">
    <w:name w:val="標題 5 字元"/>
    <w:link w:val="5"/>
    <w:rsid w:val="00A26552"/>
    <w:rPr>
      <w:rFonts w:ascii="標楷體" w:eastAsia="標楷體" w:hAnsi="Arial"/>
      <w:bCs/>
      <w:kern w:val="2"/>
      <w:sz w:val="32"/>
      <w:szCs w:val="36"/>
    </w:rPr>
  </w:style>
  <w:style w:type="character" w:customStyle="1" w:styleId="60">
    <w:name w:val="標題 6 字元"/>
    <w:link w:val="6"/>
    <w:rsid w:val="00A26552"/>
    <w:rPr>
      <w:rFonts w:ascii="標楷體" w:eastAsia="標楷體" w:hAnsi="Arial"/>
      <w:kern w:val="2"/>
      <w:sz w:val="32"/>
      <w:szCs w:val="36"/>
    </w:rPr>
  </w:style>
  <w:style w:type="character" w:customStyle="1" w:styleId="70">
    <w:name w:val="標題 7 字元"/>
    <w:link w:val="7"/>
    <w:rsid w:val="00A26552"/>
    <w:rPr>
      <w:rFonts w:ascii="標楷體" w:eastAsia="標楷體" w:hAnsi="Arial"/>
      <w:bCs/>
      <w:kern w:val="2"/>
      <w:sz w:val="32"/>
      <w:szCs w:val="36"/>
    </w:rPr>
  </w:style>
  <w:style w:type="character" w:customStyle="1" w:styleId="80">
    <w:name w:val="標題 8 字元"/>
    <w:link w:val="8"/>
    <w:rsid w:val="00A26552"/>
    <w:rPr>
      <w:rFonts w:ascii="標楷體" w:eastAsia="標楷體" w:hAnsi="Arial"/>
      <w:kern w:val="2"/>
      <w:sz w:val="32"/>
      <w:szCs w:val="36"/>
    </w:rPr>
  </w:style>
  <w:style w:type="character" w:customStyle="1" w:styleId="1410">
    <w:name w:val="第二層(14號字) 字元1"/>
    <w:rsid w:val="00A26552"/>
    <w:rPr>
      <w:rFonts w:ascii="標楷體" w:eastAsia="標楷體"/>
      <w:b/>
      <w:snapToGrid w:val="0"/>
      <w:kern w:val="2"/>
      <w:sz w:val="28"/>
      <w:lang w:bidi="ar-SA"/>
    </w:rPr>
  </w:style>
  <w:style w:type="character" w:customStyle="1" w:styleId="a5">
    <w:name w:val="預備金及追加預算標題 字元"/>
    <w:link w:val="a4"/>
    <w:rsid w:val="00A26552"/>
    <w:rPr>
      <w:rFonts w:ascii="標楷體" w:eastAsia="標楷體"/>
      <w:b/>
      <w:snapToGrid w:val="0"/>
      <w:kern w:val="2"/>
      <w:sz w:val="28"/>
    </w:rPr>
  </w:style>
  <w:style w:type="character" w:customStyle="1" w:styleId="afc">
    <w:name w:val="(一)(二)(三) 字元"/>
    <w:rsid w:val="00A26552"/>
    <w:rPr>
      <w:rFonts w:ascii="標楷體" w:eastAsia="標楷體"/>
      <w:snapToGrid w:val="0"/>
      <w:kern w:val="2"/>
      <w:sz w:val="28"/>
      <w:szCs w:val="28"/>
      <w:lang w:val="en-US" w:eastAsia="zh-TW" w:bidi="ar-SA"/>
    </w:rPr>
  </w:style>
  <w:style w:type="character" w:customStyle="1" w:styleId="a8">
    <w:name w:val="(一)下內文 字元"/>
    <w:link w:val="a7"/>
    <w:rsid w:val="00A26552"/>
    <w:rPr>
      <w:rFonts w:ascii="標楷體" w:eastAsia="標楷體"/>
      <w:snapToGrid w:val="0"/>
      <w:kern w:val="2"/>
      <w:sz w:val="28"/>
      <w:szCs w:val="28"/>
      <w:lang w:val="en-US" w:eastAsia="zh-TW" w:bidi="ar-SA"/>
    </w:rPr>
  </w:style>
  <w:style w:type="character" w:customStyle="1" w:styleId="1230">
    <w:name w:val="1.2.3. 字元"/>
    <w:link w:val="123"/>
    <w:rsid w:val="00A26552"/>
    <w:rPr>
      <w:rFonts w:ascii="標楷體" w:eastAsia="標楷體"/>
      <w:snapToGrid w:val="0"/>
      <w:kern w:val="2"/>
      <w:sz w:val="28"/>
      <w:szCs w:val="28"/>
    </w:rPr>
  </w:style>
  <w:style w:type="character" w:customStyle="1" w:styleId="ae">
    <w:name w:val="姓名及分機 字元"/>
    <w:link w:val="ad"/>
    <w:rsid w:val="00A26552"/>
    <w:rPr>
      <w:rFonts w:ascii="標楷體" w:eastAsia="標楷體"/>
      <w:snapToGrid w:val="0"/>
      <w:kern w:val="2"/>
      <w:sz w:val="24"/>
      <w:szCs w:val="28"/>
    </w:rPr>
  </w:style>
  <w:style w:type="character" w:customStyle="1" w:styleId="af0">
    <w:name w:val="前言(一)(二)(三) 字元"/>
    <w:link w:val="af"/>
    <w:rsid w:val="00A26552"/>
    <w:rPr>
      <w:rFonts w:ascii="標楷體" w:eastAsia="標楷體"/>
      <w:snapToGrid w:val="0"/>
      <w:kern w:val="2"/>
      <w:sz w:val="28"/>
      <w:szCs w:val="28"/>
    </w:rPr>
  </w:style>
  <w:style w:type="character" w:customStyle="1" w:styleId="201">
    <w:name w:val="表格內文(20行高) 字元"/>
    <w:link w:val="200"/>
    <w:uiPriority w:val="99"/>
    <w:rsid w:val="00A26552"/>
    <w:rPr>
      <w:rFonts w:ascii="標楷體" w:eastAsia="標楷體"/>
      <w:snapToGrid w:val="0"/>
      <w:kern w:val="2"/>
      <w:sz w:val="24"/>
      <w:szCs w:val="28"/>
    </w:rPr>
  </w:style>
  <w:style w:type="paragraph" w:styleId="61">
    <w:name w:val="toc 6"/>
    <w:basedOn w:val="a0"/>
    <w:next w:val="a0"/>
    <w:autoRedefine/>
    <w:semiHidden/>
    <w:rsid w:val="00A26552"/>
    <w:pPr>
      <w:spacing w:line="480" w:lineRule="exact"/>
      <w:ind w:left="2400"/>
    </w:pPr>
    <w:rPr>
      <w:rFonts w:ascii="Times New Roman"/>
    </w:rPr>
  </w:style>
  <w:style w:type="paragraph" w:styleId="9">
    <w:name w:val="toc 9"/>
    <w:basedOn w:val="a0"/>
    <w:next w:val="a0"/>
    <w:autoRedefine/>
    <w:semiHidden/>
    <w:rsid w:val="00A26552"/>
    <w:pPr>
      <w:spacing w:line="240" w:lineRule="auto"/>
      <w:ind w:leftChars="1600" w:left="3840" w:firstLineChars="0" w:firstLine="0"/>
      <w:jc w:val="left"/>
    </w:pPr>
    <w:rPr>
      <w:rFonts w:ascii="Times New Roman" w:eastAsia="新細明體"/>
      <w:snapToGrid/>
      <w:sz w:val="24"/>
      <w:szCs w:val="24"/>
    </w:rPr>
  </w:style>
  <w:style w:type="paragraph" w:styleId="31">
    <w:name w:val="toc 3"/>
    <w:basedOn w:val="a0"/>
    <w:next w:val="a0"/>
    <w:autoRedefine/>
    <w:semiHidden/>
    <w:rsid w:val="00A26552"/>
    <w:pPr>
      <w:spacing w:line="240" w:lineRule="auto"/>
      <w:ind w:leftChars="400" w:left="960" w:firstLineChars="0" w:firstLine="0"/>
      <w:jc w:val="left"/>
    </w:pPr>
    <w:rPr>
      <w:rFonts w:ascii="Times New Roman" w:eastAsia="新細明體"/>
      <w:snapToGrid/>
      <w:sz w:val="24"/>
      <w:szCs w:val="24"/>
    </w:rPr>
  </w:style>
  <w:style w:type="paragraph" w:styleId="41">
    <w:name w:val="toc 4"/>
    <w:basedOn w:val="a0"/>
    <w:next w:val="a0"/>
    <w:autoRedefine/>
    <w:semiHidden/>
    <w:rsid w:val="00A26552"/>
    <w:pPr>
      <w:spacing w:line="240" w:lineRule="auto"/>
      <w:ind w:leftChars="600" w:left="1440" w:firstLineChars="0" w:firstLine="0"/>
      <w:jc w:val="left"/>
    </w:pPr>
    <w:rPr>
      <w:rFonts w:ascii="Times New Roman" w:eastAsia="新細明體"/>
      <w:snapToGrid/>
      <w:sz w:val="24"/>
      <w:szCs w:val="24"/>
    </w:rPr>
  </w:style>
  <w:style w:type="paragraph" w:styleId="71">
    <w:name w:val="toc 7"/>
    <w:basedOn w:val="a0"/>
    <w:next w:val="a0"/>
    <w:autoRedefine/>
    <w:semiHidden/>
    <w:rsid w:val="00A26552"/>
    <w:pPr>
      <w:spacing w:line="240" w:lineRule="auto"/>
      <w:ind w:leftChars="1200" w:left="2880" w:firstLineChars="0" w:firstLine="0"/>
      <w:jc w:val="left"/>
    </w:pPr>
    <w:rPr>
      <w:rFonts w:ascii="Times New Roman" w:eastAsia="新細明體"/>
      <w:snapToGrid/>
      <w:sz w:val="24"/>
      <w:szCs w:val="24"/>
    </w:rPr>
  </w:style>
  <w:style w:type="paragraph" w:styleId="51">
    <w:name w:val="toc 5"/>
    <w:basedOn w:val="a0"/>
    <w:next w:val="a0"/>
    <w:autoRedefine/>
    <w:semiHidden/>
    <w:rsid w:val="00A26552"/>
    <w:pPr>
      <w:spacing w:line="240" w:lineRule="auto"/>
      <w:ind w:leftChars="800" w:left="1920" w:firstLineChars="0" w:firstLine="0"/>
      <w:jc w:val="left"/>
    </w:pPr>
    <w:rPr>
      <w:rFonts w:ascii="Times New Roman" w:eastAsia="新細明體"/>
      <w:snapToGrid/>
      <w:sz w:val="24"/>
      <w:szCs w:val="24"/>
    </w:rPr>
  </w:style>
  <w:style w:type="paragraph" w:customStyle="1" w:styleId="12">
    <w:name w:val="樣式1"/>
    <w:basedOn w:val="11"/>
    <w:rsid w:val="00A26552"/>
    <w:pPr>
      <w:ind w:left="487" w:rightChars="100" w:right="100" w:hanging="487"/>
    </w:pPr>
    <w:rPr>
      <w:szCs w:val="24"/>
    </w:rPr>
  </w:style>
  <w:style w:type="paragraph" w:customStyle="1" w:styleId="25">
    <w:name w:val="樣式2"/>
    <w:basedOn w:val="11"/>
    <w:rsid w:val="00A26552"/>
    <w:pPr>
      <w:ind w:left="487" w:rightChars="100" w:right="283" w:hanging="487"/>
    </w:pPr>
    <w:rPr>
      <w:rFonts w:hAnsi="標楷體"/>
      <w:b w:val="0"/>
      <w:noProof w:val="0"/>
      <w:szCs w:val="24"/>
    </w:rPr>
  </w:style>
  <w:style w:type="paragraph" w:styleId="13">
    <w:name w:val="index 1"/>
    <w:basedOn w:val="a0"/>
    <w:next w:val="a0"/>
    <w:autoRedefine/>
    <w:semiHidden/>
    <w:rsid w:val="00A26552"/>
    <w:pPr>
      <w:ind w:left="0" w:firstLine="0"/>
    </w:pPr>
  </w:style>
  <w:style w:type="paragraph" w:customStyle="1" w:styleId="Logo">
    <w:name w:val="Logo"/>
    <w:basedOn w:val="a0"/>
    <w:rsid w:val="00A26552"/>
    <w:pPr>
      <w:widowControl/>
      <w:spacing w:line="240" w:lineRule="auto"/>
      <w:ind w:leftChars="0" w:left="0" w:firstLineChars="0" w:firstLine="0"/>
      <w:jc w:val="left"/>
    </w:pPr>
    <w:rPr>
      <w:rFonts w:ascii="Times New Roman" w:eastAsia="Times New Roman"/>
      <w:snapToGrid/>
      <w:spacing w:val="-5"/>
      <w:kern w:val="0"/>
      <w:sz w:val="18"/>
      <w:szCs w:val="20"/>
    </w:rPr>
  </w:style>
  <w:style w:type="table" w:customStyle="1" w:styleId="15">
    <w:name w:val="表格格線1"/>
    <w:basedOn w:val="a2"/>
    <w:next w:val="af5"/>
    <w:uiPriority w:val="39"/>
    <w:rsid w:val="00A2655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字元 字元5 字元"/>
    <w:basedOn w:val="a0"/>
    <w:semiHidden/>
    <w:rsid w:val="00A265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字元 字元 字元"/>
    <w:basedOn w:val="a0"/>
    <w:semiHidden/>
    <w:rsid w:val="00A2655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7">
    <w:name w:val="字元 字元1"/>
    <w:basedOn w:val="a0"/>
    <w:rsid w:val="00A2655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e">
    <w:name w:val="Body Text Indent"/>
    <w:basedOn w:val="a0"/>
    <w:link w:val="aff"/>
    <w:rsid w:val="00A26552"/>
    <w:pPr>
      <w:spacing w:line="360" w:lineRule="exact"/>
      <w:ind w:leftChars="220" w:left="1333" w:firstLineChars="0" w:hanging="709"/>
    </w:pPr>
    <w:rPr>
      <w:rFonts w:hAnsi="標楷體"/>
      <w:sz w:val="24"/>
      <w:lang w:val="x-none" w:eastAsia="x-none"/>
    </w:rPr>
  </w:style>
  <w:style w:type="character" w:customStyle="1" w:styleId="aff">
    <w:name w:val="本文縮排 字元"/>
    <w:link w:val="afe"/>
    <w:rsid w:val="00A26552"/>
    <w:rPr>
      <w:rFonts w:ascii="標楷體" w:eastAsia="標楷體" w:hAnsi="標楷體"/>
      <w:snapToGrid w:val="0"/>
      <w:kern w:val="2"/>
      <w:sz w:val="24"/>
      <w:szCs w:val="28"/>
      <w:lang w:val="x-none" w:eastAsia="x-none"/>
    </w:rPr>
  </w:style>
  <w:style w:type="paragraph" w:customStyle="1" w:styleId="26">
    <w:name w:val="字元 字元2"/>
    <w:basedOn w:val="a0"/>
    <w:rsid w:val="00A2655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10">
    <w:name w:val="表格格線11"/>
    <w:basedOn w:val="a2"/>
    <w:next w:val="af5"/>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ody Text"/>
    <w:basedOn w:val="a0"/>
    <w:link w:val="aff1"/>
    <w:uiPriority w:val="99"/>
    <w:unhideWhenUsed/>
    <w:rsid w:val="00A26552"/>
    <w:pPr>
      <w:spacing w:after="120"/>
    </w:pPr>
    <w:rPr>
      <w:lang w:val="x-none" w:eastAsia="x-none"/>
    </w:rPr>
  </w:style>
  <w:style w:type="character" w:customStyle="1" w:styleId="aff1">
    <w:name w:val="本文 字元"/>
    <w:link w:val="aff0"/>
    <w:uiPriority w:val="99"/>
    <w:rsid w:val="00A26552"/>
    <w:rPr>
      <w:rFonts w:ascii="標楷體" w:eastAsia="標楷體"/>
      <w:snapToGrid w:val="0"/>
      <w:kern w:val="2"/>
      <w:sz w:val="28"/>
      <w:szCs w:val="28"/>
      <w:lang w:val="x-none" w:eastAsia="x-none"/>
    </w:rPr>
  </w:style>
  <w:style w:type="table" w:customStyle="1" w:styleId="27">
    <w:name w:val="表格格線2"/>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2"/>
    <w:next w:val="af5"/>
    <w:uiPriority w:val="59"/>
    <w:rsid w:val="00A26552"/>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FollowedHyperlink"/>
    <w:uiPriority w:val="99"/>
    <w:semiHidden/>
    <w:unhideWhenUsed/>
    <w:rsid w:val="00A26552"/>
    <w:rPr>
      <w:color w:val="800080"/>
      <w:u w:val="single"/>
    </w:rPr>
  </w:style>
  <w:style w:type="paragraph" w:styleId="aff3">
    <w:name w:val="Salutation"/>
    <w:basedOn w:val="a0"/>
    <w:next w:val="a0"/>
    <w:link w:val="aff4"/>
    <w:uiPriority w:val="99"/>
    <w:unhideWhenUsed/>
    <w:rsid w:val="00A26552"/>
    <w:rPr>
      <w:rFonts w:hAnsi="標楷體"/>
      <w:sz w:val="24"/>
      <w:lang w:val="x-none" w:eastAsia="x-none"/>
    </w:rPr>
  </w:style>
  <w:style w:type="character" w:customStyle="1" w:styleId="aff4">
    <w:name w:val="問候 字元"/>
    <w:link w:val="aff3"/>
    <w:uiPriority w:val="99"/>
    <w:rsid w:val="00A26552"/>
    <w:rPr>
      <w:rFonts w:ascii="標楷體" w:eastAsia="標楷體" w:hAnsi="標楷體"/>
      <w:snapToGrid w:val="0"/>
      <w:kern w:val="2"/>
      <w:sz w:val="24"/>
      <w:szCs w:val="28"/>
      <w:lang w:val="x-none" w:eastAsia="x-none"/>
    </w:rPr>
  </w:style>
  <w:style w:type="paragraph" w:styleId="aff5">
    <w:name w:val="Closing"/>
    <w:basedOn w:val="a0"/>
    <w:link w:val="aff6"/>
    <w:uiPriority w:val="99"/>
    <w:unhideWhenUsed/>
    <w:rsid w:val="00A26552"/>
    <w:pPr>
      <w:ind w:leftChars="1800" w:left="100"/>
    </w:pPr>
    <w:rPr>
      <w:rFonts w:hAnsi="標楷體"/>
      <w:sz w:val="24"/>
      <w:lang w:val="x-none" w:eastAsia="x-none"/>
    </w:rPr>
  </w:style>
  <w:style w:type="character" w:customStyle="1" w:styleId="aff6">
    <w:name w:val="結語 字元"/>
    <w:link w:val="aff5"/>
    <w:uiPriority w:val="99"/>
    <w:rsid w:val="00A26552"/>
    <w:rPr>
      <w:rFonts w:ascii="標楷體" w:eastAsia="標楷體" w:hAnsi="標楷體"/>
      <w:snapToGrid w:val="0"/>
      <w:kern w:val="2"/>
      <w:sz w:val="24"/>
      <w:szCs w:val="28"/>
      <w:lang w:val="x-none" w:eastAsia="x-none"/>
    </w:rPr>
  </w:style>
  <w:style w:type="table" w:customStyle="1" w:styleId="42">
    <w:name w:val="表格格線4"/>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26552"/>
    <w:pPr>
      <w:widowControl w:val="0"/>
      <w:autoSpaceDE w:val="0"/>
      <w:autoSpaceDN w:val="0"/>
      <w:adjustRightInd w:val="0"/>
    </w:pPr>
    <w:rPr>
      <w:rFonts w:ascii="標楷體" w:eastAsia="標楷體" w:cs="標楷體"/>
      <w:color w:val="000000"/>
      <w:sz w:val="24"/>
      <w:szCs w:val="24"/>
    </w:rPr>
  </w:style>
  <w:style w:type="paragraph" w:styleId="aff7">
    <w:name w:val="List Paragraph"/>
    <w:aliases w:val="1.1.1.1清單段落,列點,(二),List Paragraph,Recommendation,Footnote Sam,List Paragraph (numbered (a)),Text,Noise heading,RUS List,Rec para,Dot pt,F5 List Paragraph,No Spacing1,List Paragraph Char Char Char,Indicator Text,Numbered Para 1,標1,圖標號,標題一,標題 (4),卑南壹"/>
    <w:basedOn w:val="a0"/>
    <w:link w:val="aff8"/>
    <w:uiPriority w:val="34"/>
    <w:qFormat/>
    <w:rsid w:val="00A26552"/>
    <w:pPr>
      <w:spacing w:line="240" w:lineRule="auto"/>
      <w:ind w:left="480" w:firstLineChars="0" w:firstLine="0"/>
      <w:jc w:val="left"/>
    </w:pPr>
    <w:rPr>
      <w:rFonts w:ascii="Calibri" w:eastAsia="新細明體" w:hAnsi="Calibri"/>
      <w:snapToGrid/>
      <w:sz w:val="24"/>
      <w:szCs w:val="22"/>
    </w:rPr>
  </w:style>
  <w:style w:type="character" w:customStyle="1" w:styleId="aff8">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
    <w:link w:val="aff7"/>
    <w:uiPriority w:val="34"/>
    <w:qFormat/>
    <w:locked/>
    <w:rsid w:val="00A26552"/>
    <w:rPr>
      <w:rFonts w:ascii="Calibri" w:hAnsi="Calibri"/>
      <w:kern w:val="2"/>
      <w:sz w:val="24"/>
      <w:szCs w:val="22"/>
    </w:rPr>
  </w:style>
  <w:style w:type="character" w:styleId="aff9">
    <w:name w:val="Subtle Reference"/>
    <w:uiPriority w:val="31"/>
    <w:qFormat/>
    <w:rsid w:val="00A26552"/>
    <w:rPr>
      <w:smallCaps/>
      <w:color w:val="5A5A5A"/>
    </w:rPr>
  </w:style>
  <w:style w:type="character" w:customStyle="1" w:styleId="apple-style-span">
    <w:name w:val="apple-style-span"/>
    <w:rsid w:val="00A26552"/>
  </w:style>
  <w:style w:type="paragraph" w:styleId="a">
    <w:name w:val="List Bullet"/>
    <w:basedOn w:val="a0"/>
    <w:uiPriority w:val="99"/>
    <w:unhideWhenUsed/>
    <w:rsid w:val="00635A1A"/>
    <w:pPr>
      <w:numPr>
        <w:numId w:val="6"/>
      </w:numPr>
      <w:contextualSpacing/>
    </w:pPr>
  </w:style>
  <w:style w:type="paragraph" w:customStyle="1" w:styleId="TableParagraph">
    <w:name w:val="Table Paragraph"/>
    <w:basedOn w:val="a0"/>
    <w:uiPriority w:val="1"/>
    <w:qFormat/>
    <w:rsid w:val="00307D10"/>
    <w:pPr>
      <w:spacing w:line="276" w:lineRule="exact"/>
      <w:ind w:leftChars="0" w:left="0" w:firstLineChars="0" w:firstLine="0"/>
      <w:jc w:val="right"/>
    </w:pPr>
    <w:rPr>
      <w:rFonts w:hAnsi="標楷體" w:cs="標楷體"/>
      <w:snapToGrid/>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77085">
      <w:bodyDiv w:val="1"/>
      <w:marLeft w:val="0"/>
      <w:marRight w:val="0"/>
      <w:marTop w:val="0"/>
      <w:marBottom w:val="0"/>
      <w:divBdr>
        <w:top w:val="none" w:sz="0" w:space="0" w:color="auto"/>
        <w:left w:val="none" w:sz="0" w:space="0" w:color="auto"/>
        <w:bottom w:val="none" w:sz="0" w:space="0" w:color="auto"/>
        <w:right w:val="none" w:sz="0" w:space="0" w:color="auto"/>
      </w:divBdr>
    </w:div>
    <w:div w:id="170073137">
      <w:bodyDiv w:val="1"/>
      <w:marLeft w:val="0"/>
      <w:marRight w:val="0"/>
      <w:marTop w:val="0"/>
      <w:marBottom w:val="0"/>
      <w:divBdr>
        <w:top w:val="none" w:sz="0" w:space="0" w:color="auto"/>
        <w:left w:val="none" w:sz="0" w:space="0" w:color="auto"/>
        <w:bottom w:val="none" w:sz="0" w:space="0" w:color="auto"/>
        <w:right w:val="none" w:sz="0" w:space="0" w:color="auto"/>
      </w:divBdr>
    </w:div>
    <w:div w:id="170878086">
      <w:bodyDiv w:val="1"/>
      <w:marLeft w:val="0"/>
      <w:marRight w:val="0"/>
      <w:marTop w:val="0"/>
      <w:marBottom w:val="0"/>
      <w:divBdr>
        <w:top w:val="none" w:sz="0" w:space="0" w:color="auto"/>
        <w:left w:val="none" w:sz="0" w:space="0" w:color="auto"/>
        <w:bottom w:val="none" w:sz="0" w:space="0" w:color="auto"/>
        <w:right w:val="none" w:sz="0" w:space="0" w:color="auto"/>
      </w:divBdr>
    </w:div>
    <w:div w:id="225575114">
      <w:bodyDiv w:val="1"/>
      <w:marLeft w:val="0"/>
      <w:marRight w:val="0"/>
      <w:marTop w:val="0"/>
      <w:marBottom w:val="0"/>
      <w:divBdr>
        <w:top w:val="none" w:sz="0" w:space="0" w:color="auto"/>
        <w:left w:val="none" w:sz="0" w:space="0" w:color="auto"/>
        <w:bottom w:val="none" w:sz="0" w:space="0" w:color="auto"/>
        <w:right w:val="none" w:sz="0" w:space="0" w:color="auto"/>
      </w:divBdr>
    </w:div>
    <w:div w:id="321813475">
      <w:bodyDiv w:val="1"/>
      <w:marLeft w:val="0"/>
      <w:marRight w:val="0"/>
      <w:marTop w:val="0"/>
      <w:marBottom w:val="0"/>
      <w:divBdr>
        <w:top w:val="none" w:sz="0" w:space="0" w:color="auto"/>
        <w:left w:val="none" w:sz="0" w:space="0" w:color="auto"/>
        <w:bottom w:val="none" w:sz="0" w:space="0" w:color="auto"/>
        <w:right w:val="none" w:sz="0" w:space="0" w:color="auto"/>
      </w:divBdr>
    </w:div>
    <w:div w:id="413405352">
      <w:bodyDiv w:val="1"/>
      <w:marLeft w:val="0"/>
      <w:marRight w:val="0"/>
      <w:marTop w:val="0"/>
      <w:marBottom w:val="0"/>
      <w:divBdr>
        <w:top w:val="none" w:sz="0" w:space="0" w:color="auto"/>
        <w:left w:val="none" w:sz="0" w:space="0" w:color="auto"/>
        <w:bottom w:val="none" w:sz="0" w:space="0" w:color="auto"/>
        <w:right w:val="none" w:sz="0" w:space="0" w:color="auto"/>
      </w:divBdr>
    </w:div>
    <w:div w:id="442188126">
      <w:bodyDiv w:val="1"/>
      <w:marLeft w:val="0"/>
      <w:marRight w:val="0"/>
      <w:marTop w:val="0"/>
      <w:marBottom w:val="0"/>
      <w:divBdr>
        <w:top w:val="none" w:sz="0" w:space="0" w:color="auto"/>
        <w:left w:val="none" w:sz="0" w:space="0" w:color="auto"/>
        <w:bottom w:val="none" w:sz="0" w:space="0" w:color="auto"/>
        <w:right w:val="none" w:sz="0" w:space="0" w:color="auto"/>
      </w:divBdr>
    </w:div>
    <w:div w:id="443889450">
      <w:bodyDiv w:val="1"/>
      <w:marLeft w:val="0"/>
      <w:marRight w:val="0"/>
      <w:marTop w:val="0"/>
      <w:marBottom w:val="0"/>
      <w:divBdr>
        <w:top w:val="none" w:sz="0" w:space="0" w:color="auto"/>
        <w:left w:val="none" w:sz="0" w:space="0" w:color="auto"/>
        <w:bottom w:val="none" w:sz="0" w:space="0" w:color="auto"/>
        <w:right w:val="none" w:sz="0" w:space="0" w:color="auto"/>
      </w:divBdr>
    </w:div>
    <w:div w:id="586963095">
      <w:bodyDiv w:val="1"/>
      <w:marLeft w:val="0"/>
      <w:marRight w:val="0"/>
      <w:marTop w:val="0"/>
      <w:marBottom w:val="0"/>
      <w:divBdr>
        <w:top w:val="none" w:sz="0" w:space="0" w:color="auto"/>
        <w:left w:val="none" w:sz="0" w:space="0" w:color="auto"/>
        <w:bottom w:val="none" w:sz="0" w:space="0" w:color="auto"/>
        <w:right w:val="none" w:sz="0" w:space="0" w:color="auto"/>
      </w:divBdr>
    </w:div>
    <w:div w:id="612058429">
      <w:bodyDiv w:val="1"/>
      <w:marLeft w:val="0"/>
      <w:marRight w:val="0"/>
      <w:marTop w:val="0"/>
      <w:marBottom w:val="0"/>
      <w:divBdr>
        <w:top w:val="none" w:sz="0" w:space="0" w:color="auto"/>
        <w:left w:val="none" w:sz="0" w:space="0" w:color="auto"/>
        <w:bottom w:val="none" w:sz="0" w:space="0" w:color="auto"/>
        <w:right w:val="none" w:sz="0" w:space="0" w:color="auto"/>
      </w:divBdr>
    </w:div>
    <w:div w:id="808668183">
      <w:bodyDiv w:val="1"/>
      <w:marLeft w:val="0"/>
      <w:marRight w:val="0"/>
      <w:marTop w:val="0"/>
      <w:marBottom w:val="0"/>
      <w:divBdr>
        <w:top w:val="none" w:sz="0" w:space="0" w:color="auto"/>
        <w:left w:val="none" w:sz="0" w:space="0" w:color="auto"/>
        <w:bottom w:val="none" w:sz="0" w:space="0" w:color="auto"/>
        <w:right w:val="none" w:sz="0" w:space="0" w:color="auto"/>
      </w:divBdr>
    </w:div>
    <w:div w:id="911937695">
      <w:bodyDiv w:val="1"/>
      <w:marLeft w:val="0"/>
      <w:marRight w:val="0"/>
      <w:marTop w:val="0"/>
      <w:marBottom w:val="0"/>
      <w:divBdr>
        <w:top w:val="none" w:sz="0" w:space="0" w:color="auto"/>
        <w:left w:val="none" w:sz="0" w:space="0" w:color="auto"/>
        <w:bottom w:val="none" w:sz="0" w:space="0" w:color="auto"/>
        <w:right w:val="none" w:sz="0" w:space="0" w:color="auto"/>
      </w:divBdr>
    </w:div>
    <w:div w:id="1087457982">
      <w:bodyDiv w:val="1"/>
      <w:marLeft w:val="0"/>
      <w:marRight w:val="0"/>
      <w:marTop w:val="0"/>
      <w:marBottom w:val="0"/>
      <w:divBdr>
        <w:top w:val="none" w:sz="0" w:space="0" w:color="auto"/>
        <w:left w:val="none" w:sz="0" w:space="0" w:color="auto"/>
        <w:bottom w:val="none" w:sz="0" w:space="0" w:color="auto"/>
        <w:right w:val="none" w:sz="0" w:space="0" w:color="auto"/>
      </w:divBdr>
    </w:div>
    <w:div w:id="1167868465">
      <w:bodyDiv w:val="1"/>
      <w:marLeft w:val="0"/>
      <w:marRight w:val="0"/>
      <w:marTop w:val="0"/>
      <w:marBottom w:val="0"/>
      <w:divBdr>
        <w:top w:val="none" w:sz="0" w:space="0" w:color="auto"/>
        <w:left w:val="none" w:sz="0" w:space="0" w:color="auto"/>
        <w:bottom w:val="none" w:sz="0" w:space="0" w:color="auto"/>
        <w:right w:val="none" w:sz="0" w:space="0" w:color="auto"/>
      </w:divBdr>
    </w:div>
    <w:div w:id="1742097342">
      <w:bodyDiv w:val="1"/>
      <w:marLeft w:val="0"/>
      <w:marRight w:val="0"/>
      <w:marTop w:val="0"/>
      <w:marBottom w:val="0"/>
      <w:divBdr>
        <w:top w:val="none" w:sz="0" w:space="0" w:color="auto"/>
        <w:left w:val="none" w:sz="0" w:space="0" w:color="auto"/>
        <w:bottom w:val="none" w:sz="0" w:space="0" w:color="auto"/>
        <w:right w:val="none" w:sz="0" w:space="0" w:color="auto"/>
      </w:divBdr>
    </w:div>
    <w:div w:id="1856992392">
      <w:bodyDiv w:val="1"/>
      <w:marLeft w:val="0"/>
      <w:marRight w:val="0"/>
      <w:marTop w:val="0"/>
      <w:marBottom w:val="0"/>
      <w:divBdr>
        <w:top w:val="none" w:sz="0" w:space="0" w:color="auto"/>
        <w:left w:val="none" w:sz="0" w:space="0" w:color="auto"/>
        <w:bottom w:val="none" w:sz="0" w:space="0" w:color="auto"/>
        <w:right w:val="none" w:sz="0" w:space="0" w:color="auto"/>
      </w:divBdr>
    </w:div>
    <w:div w:id="1897471031">
      <w:bodyDiv w:val="1"/>
      <w:marLeft w:val="0"/>
      <w:marRight w:val="0"/>
      <w:marTop w:val="0"/>
      <w:marBottom w:val="0"/>
      <w:divBdr>
        <w:top w:val="none" w:sz="0" w:space="0" w:color="auto"/>
        <w:left w:val="none" w:sz="0" w:space="0" w:color="auto"/>
        <w:bottom w:val="none" w:sz="0" w:space="0" w:color="auto"/>
        <w:right w:val="none" w:sz="0" w:space="0" w:color="auto"/>
      </w:divBdr>
    </w:div>
    <w:div w:id="1915238597">
      <w:bodyDiv w:val="1"/>
      <w:marLeft w:val="0"/>
      <w:marRight w:val="0"/>
      <w:marTop w:val="0"/>
      <w:marBottom w:val="0"/>
      <w:divBdr>
        <w:top w:val="none" w:sz="0" w:space="0" w:color="auto"/>
        <w:left w:val="none" w:sz="0" w:space="0" w:color="auto"/>
        <w:bottom w:val="none" w:sz="0" w:space="0" w:color="auto"/>
        <w:right w:val="none" w:sz="0" w:space="0" w:color="auto"/>
      </w:divBdr>
    </w:div>
    <w:div w:id="1967539406">
      <w:bodyDiv w:val="1"/>
      <w:marLeft w:val="0"/>
      <w:marRight w:val="0"/>
      <w:marTop w:val="0"/>
      <w:marBottom w:val="0"/>
      <w:divBdr>
        <w:top w:val="none" w:sz="0" w:space="0" w:color="auto"/>
        <w:left w:val="none" w:sz="0" w:space="0" w:color="auto"/>
        <w:bottom w:val="none" w:sz="0" w:space="0" w:color="auto"/>
        <w:right w:val="none" w:sz="0" w:space="0" w:color="auto"/>
      </w:divBdr>
    </w:div>
    <w:div w:id="1997414053">
      <w:bodyDiv w:val="1"/>
      <w:marLeft w:val="0"/>
      <w:marRight w:val="0"/>
      <w:marTop w:val="0"/>
      <w:marBottom w:val="0"/>
      <w:divBdr>
        <w:top w:val="none" w:sz="0" w:space="0" w:color="auto"/>
        <w:left w:val="none" w:sz="0" w:space="0" w:color="auto"/>
        <w:bottom w:val="none" w:sz="0" w:space="0" w:color="auto"/>
        <w:right w:val="none" w:sz="0" w:space="0" w:color="auto"/>
      </w:divBdr>
    </w:div>
    <w:div w:id="2074083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6A051-BE2F-4B72-8C86-A59C4D160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2</Pages>
  <Words>160</Words>
  <Characters>912</Characters>
  <Application>Microsoft Office Word</Application>
  <DocSecurity>0</DocSecurity>
  <Lines>7</Lines>
  <Paragraphs>2</Paragraphs>
  <ScaleCrop>false</ScaleCrop>
  <Company>HOME</Company>
  <LinksUpToDate>false</LinksUpToDate>
  <CharactersWithSpaces>1070</CharactersWithSpaces>
  <SharedDoc>false</SharedDoc>
  <HLinks>
    <vt:vector size="66" baseType="variant">
      <vt:variant>
        <vt:i4>1638455</vt:i4>
      </vt:variant>
      <vt:variant>
        <vt:i4>62</vt:i4>
      </vt:variant>
      <vt:variant>
        <vt:i4>0</vt:i4>
      </vt:variant>
      <vt:variant>
        <vt:i4>5</vt:i4>
      </vt:variant>
      <vt:variant>
        <vt:lpwstr/>
      </vt:variant>
      <vt:variant>
        <vt:lpwstr>_Toc182322678</vt:lpwstr>
      </vt:variant>
      <vt:variant>
        <vt:i4>1638455</vt:i4>
      </vt:variant>
      <vt:variant>
        <vt:i4>56</vt:i4>
      </vt:variant>
      <vt:variant>
        <vt:i4>0</vt:i4>
      </vt:variant>
      <vt:variant>
        <vt:i4>5</vt:i4>
      </vt:variant>
      <vt:variant>
        <vt:lpwstr/>
      </vt:variant>
      <vt:variant>
        <vt:lpwstr>_Toc182322677</vt:lpwstr>
      </vt:variant>
      <vt:variant>
        <vt:i4>1638455</vt:i4>
      </vt:variant>
      <vt:variant>
        <vt:i4>50</vt:i4>
      </vt:variant>
      <vt:variant>
        <vt:i4>0</vt:i4>
      </vt:variant>
      <vt:variant>
        <vt:i4>5</vt:i4>
      </vt:variant>
      <vt:variant>
        <vt:lpwstr/>
      </vt:variant>
      <vt:variant>
        <vt:lpwstr>_Toc182322676</vt:lpwstr>
      </vt:variant>
      <vt:variant>
        <vt:i4>1638455</vt:i4>
      </vt:variant>
      <vt:variant>
        <vt:i4>44</vt:i4>
      </vt:variant>
      <vt:variant>
        <vt:i4>0</vt:i4>
      </vt:variant>
      <vt:variant>
        <vt:i4>5</vt:i4>
      </vt:variant>
      <vt:variant>
        <vt:lpwstr/>
      </vt:variant>
      <vt:variant>
        <vt:lpwstr>_Toc182322675</vt:lpwstr>
      </vt:variant>
      <vt:variant>
        <vt:i4>1638455</vt:i4>
      </vt:variant>
      <vt:variant>
        <vt:i4>38</vt:i4>
      </vt:variant>
      <vt:variant>
        <vt:i4>0</vt:i4>
      </vt:variant>
      <vt:variant>
        <vt:i4>5</vt:i4>
      </vt:variant>
      <vt:variant>
        <vt:lpwstr/>
      </vt:variant>
      <vt:variant>
        <vt:lpwstr>_Toc182322674</vt:lpwstr>
      </vt:variant>
      <vt:variant>
        <vt:i4>1638455</vt:i4>
      </vt:variant>
      <vt:variant>
        <vt:i4>32</vt:i4>
      </vt:variant>
      <vt:variant>
        <vt:i4>0</vt:i4>
      </vt:variant>
      <vt:variant>
        <vt:i4>5</vt:i4>
      </vt:variant>
      <vt:variant>
        <vt:lpwstr/>
      </vt:variant>
      <vt:variant>
        <vt:lpwstr>_Toc182322673</vt:lpwstr>
      </vt:variant>
      <vt:variant>
        <vt:i4>1638455</vt:i4>
      </vt:variant>
      <vt:variant>
        <vt:i4>26</vt:i4>
      </vt:variant>
      <vt:variant>
        <vt:i4>0</vt:i4>
      </vt:variant>
      <vt:variant>
        <vt:i4>5</vt:i4>
      </vt:variant>
      <vt:variant>
        <vt:lpwstr/>
      </vt:variant>
      <vt:variant>
        <vt:lpwstr>_Toc182322672</vt:lpwstr>
      </vt:variant>
      <vt:variant>
        <vt:i4>1638455</vt:i4>
      </vt:variant>
      <vt:variant>
        <vt:i4>20</vt:i4>
      </vt:variant>
      <vt:variant>
        <vt:i4>0</vt:i4>
      </vt:variant>
      <vt:variant>
        <vt:i4>5</vt:i4>
      </vt:variant>
      <vt:variant>
        <vt:lpwstr/>
      </vt:variant>
      <vt:variant>
        <vt:lpwstr>_Toc182322671</vt:lpwstr>
      </vt:variant>
      <vt:variant>
        <vt:i4>1638455</vt:i4>
      </vt:variant>
      <vt:variant>
        <vt:i4>14</vt:i4>
      </vt:variant>
      <vt:variant>
        <vt:i4>0</vt:i4>
      </vt:variant>
      <vt:variant>
        <vt:i4>5</vt:i4>
      </vt:variant>
      <vt:variant>
        <vt:lpwstr/>
      </vt:variant>
      <vt:variant>
        <vt:lpwstr>_Toc182322670</vt:lpwstr>
      </vt:variant>
      <vt:variant>
        <vt:i4>1572919</vt:i4>
      </vt:variant>
      <vt:variant>
        <vt:i4>8</vt:i4>
      </vt:variant>
      <vt:variant>
        <vt:i4>0</vt:i4>
      </vt:variant>
      <vt:variant>
        <vt:i4>5</vt:i4>
      </vt:variant>
      <vt:variant>
        <vt:lpwstr/>
      </vt:variant>
      <vt:variant>
        <vt:lpwstr>_Toc182322669</vt:lpwstr>
      </vt:variant>
      <vt:variant>
        <vt:i4>1572919</vt:i4>
      </vt:variant>
      <vt:variant>
        <vt:i4>2</vt:i4>
      </vt:variant>
      <vt:variant>
        <vt:i4>0</vt:i4>
      </vt:variant>
      <vt:variant>
        <vt:i4>5</vt:i4>
      </vt:variant>
      <vt:variant>
        <vt:lpwstr/>
      </vt:variant>
      <vt:variant>
        <vt:lpwstr>_Toc182322668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2024-11-13T01:01:00Z</cp:lastPrinted>
  <dcterms:created xsi:type="dcterms:W3CDTF">2024-11-14T07:34:00Z</dcterms:created>
  <dcterms:modified xsi:type="dcterms:W3CDTF">2024-11-14T07:34:00Z</dcterms:modified>
</cp:coreProperties>
</file>