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36014C" w:rsidRPr="0036014C" w:rsidRDefault="00573E0F" w:rsidP="0036014C">
      <w:pPr>
        <w:pStyle w:val="14"/>
        <w:ind w:left="567" w:hanging="567"/>
      </w:pPr>
      <w:bookmarkStart w:id="0" w:name="_Toc56304656"/>
      <w:bookmarkStart w:id="1" w:name="_Toc56316711"/>
      <w:bookmarkStart w:id="2" w:name="_Toc56427092"/>
      <w:bookmarkStart w:id="3" w:name="OLE_LINK1"/>
      <w:bookmarkStart w:id="4" w:name="_Toc182322678"/>
      <w:r>
        <w:rPr>
          <w:rFonts w:hint="eastAsia"/>
        </w:rPr>
        <w:t>九</w:t>
      </w:r>
      <w:r w:rsidR="0036014C" w:rsidRPr="0036014C">
        <w:rPr>
          <w:rFonts w:hint="eastAsia"/>
        </w:rPr>
        <w:t>、產業園區基金113年度</w:t>
      </w:r>
      <w:r w:rsidR="00531286">
        <w:rPr>
          <w:rFonts w:hint="eastAsia"/>
        </w:rPr>
        <w:t>沖銷呆帳占業務收入之比率</w:t>
      </w:r>
      <w:r w:rsidR="0036014C" w:rsidRPr="0036014C">
        <w:rPr>
          <w:rFonts w:hint="eastAsia"/>
        </w:rPr>
        <w:t>較112年度</w:t>
      </w:r>
      <w:r w:rsidR="0071018D">
        <w:rPr>
          <w:rFonts w:hint="eastAsia"/>
        </w:rPr>
        <w:t>升</w:t>
      </w:r>
      <w:r w:rsidR="0036014C" w:rsidRPr="0036014C">
        <w:rPr>
          <w:rFonts w:hint="eastAsia"/>
        </w:rPr>
        <w:t>高，允宜積極辦理稽催作業，以維基金權益</w:t>
      </w:r>
      <w:bookmarkEnd w:id="4"/>
    </w:p>
    <w:p w:rsidR="0036014C" w:rsidRPr="0036014C" w:rsidRDefault="0036014C" w:rsidP="0036014C">
      <w:pPr>
        <w:ind w:left="566" w:firstLine="566"/>
        <w:rPr>
          <w:rFonts w:hAnsi="標楷體"/>
          <w:snapToGrid/>
        </w:rPr>
      </w:pPr>
      <w:r w:rsidRPr="0036014C">
        <w:rPr>
          <w:rFonts w:hAnsi="標楷體" w:hint="eastAsia"/>
        </w:rPr>
        <w:t>產業園區基金114年度預算案「</w:t>
      </w:r>
      <w:r w:rsidR="00396480">
        <w:rPr>
          <w:rFonts w:hAnsi="標楷體" w:hint="eastAsia"/>
        </w:rPr>
        <w:t>預計平衡</w:t>
      </w:r>
      <w:r w:rsidRPr="0036014C">
        <w:rPr>
          <w:rFonts w:hAnsi="標楷體" w:hint="eastAsia"/>
        </w:rPr>
        <w:t>表」</w:t>
      </w:r>
      <w:r w:rsidR="0071018D">
        <w:rPr>
          <w:rFonts w:hAnsi="標楷體" w:hint="eastAsia"/>
        </w:rPr>
        <w:t>編列</w:t>
      </w:r>
      <w:r w:rsidRPr="0036014C">
        <w:rPr>
          <w:rFonts w:hAnsi="標楷體" w:hint="eastAsia"/>
        </w:rPr>
        <w:t>催收款項淨額1億9</w:t>
      </w:r>
      <w:r w:rsidRPr="0036014C">
        <w:rPr>
          <w:rFonts w:hAnsi="標楷體"/>
        </w:rPr>
        <w:t>,</w:t>
      </w:r>
      <w:r w:rsidRPr="0036014C">
        <w:rPr>
          <w:rFonts w:hAnsi="標楷體" w:hint="eastAsia"/>
        </w:rPr>
        <w:t>842萬9千元。</w:t>
      </w:r>
      <w:r w:rsidRPr="0036014C">
        <w:rPr>
          <w:rFonts w:hAnsi="標楷體" w:hint="eastAsia"/>
          <w:snapToGrid/>
        </w:rPr>
        <w:t>經查：</w:t>
      </w:r>
    </w:p>
    <w:p w:rsidR="0036014C" w:rsidRPr="0036014C" w:rsidRDefault="0036014C" w:rsidP="0036014C">
      <w:pPr>
        <w:ind w:left="849" w:hangingChars="100" w:hanging="283"/>
        <w:rPr>
          <w:b/>
          <w:snapToGrid/>
        </w:rPr>
      </w:pPr>
      <w:r w:rsidRPr="0036014C">
        <w:rPr>
          <w:rFonts w:hint="eastAsia"/>
          <w:b/>
          <w:snapToGrid/>
        </w:rPr>
        <w:t>(一)產業園區基金截至113年度8月底止尚有「催收款項」餘額逾9,000萬元</w:t>
      </w:r>
    </w:p>
    <w:p w:rsidR="0036014C" w:rsidRPr="0036014C" w:rsidRDefault="0036014C" w:rsidP="0036014C">
      <w:pPr>
        <w:adjustRightInd w:val="0"/>
        <w:ind w:leftChars="300" w:left="850" w:firstLine="566"/>
        <w:rPr>
          <w:rFonts w:hAnsi="標楷體"/>
        </w:rPr>
      </w:pPr>
      <w:r w:rsidRPr="0036014C">
        <w:rPr>
          <w:rFonts w:hAnsi="標楷體" w:hint="eastAsia"/>
        </w:rPr>
        <w:t>產業園區基金截至</w:t>
      </w:r>
      <w:r w:rsidRPr="0036014C">
        <w:rPr>
          <w:rFonts w:hAnsi="標楷體"/>
        </w:rPr>
        <w:t>11</w:t>
      </w:r>
      <w:r w:rsidRPr="0036014C">
        <w:rPr>
          <w:rFonts w:hAnsi="標楷體" w:hint="eastAsia"/>
        </w:rPr>
        <w:t>3年度8月底止，帳上「催收款項」科目餘額9,059萬4,315元(詳表</w:t>
      </w:r>
      <w:r w:rsidRPr="0036014C">
        <w:rPr>
          <w:rFonts w:hAnsi="標楷體"/>
        </w:rPr>
        <w:t>1</w:t>
      </w:r>
      <w:r w:rsidRPr="0036014C">
        <w:rPr>
          <w:rFonts w:hAnsi="標楷體" w:hint="eastAsia"/>
        </w:rPr>
        <w:t>)，主要係彰濱產業園區</w:t>
      </w:r>
      <w:r w:rsidR="00E174B9">
        <w:rPr>
          <w:rFonts w:hAnsi="標楷體" w:hint="eastAsia"/>
        </w:rPr>
        <w:t>土地租金優惠調整措施(</w:t>
      </w:r>
      <w:r w:rsidRPr="0036014C">
        <w:rPr>
          <w:rFonts w:hAnsi="標楷體" w:hint="eastAsia"/>
        </w:rPr>
        <w:t>0</w:t>
      </w:r>
      <w:r w:rsidRPr="0036014C">
        <w:rPr>
          <w:rFonts w:hAnsi="標楷體"/>
        </w:rPr>
        <w:t>06688</w:t>
      </w:r>
      <w:r w:rsidR="00E174B9">
        <w:rPr>
          <w:rFonts w:hAnsi="標楷體" w:hint="eastAsia"/>
        </w:rPr>
        <w:t>措施</w:t>
      </w:r>
      <w:r w:rsidR="00E174B9">
        <w:rPr>
          <w:rFonts w:hAnsi="標楷體"/>
        </w:rPr>
        <w:t>)</w:t>
      </w:r>
      <w:r w:rsidRPr="0036014C">
        <w:rPr>
          <w:rFonts w:hAnsi="標楷體" w:hint="eastAsia"/>
        </w:rPr>
        <w:t>承租廠商宣告破產積欠租金所致;其餘係公辦民營污水廠權利金及違反水污染防治法之罰款、重大違約罰款及違約金之遲延利息、屏南產業園區污水處理設施建設費用、產業園區廠商經營不善積欠維護費及污水費，及中壢產業園區路燈撞毀損害賠償金等應收未收之款項，由應收帳款轉列為催收款項。除屏南產業園區污水處理設施建設費用，因非產業創新條例第53條第1項所明文規定得收取之費用</w:t>
      </w:r>
      <w:r w:rsidR="0071018D">
        <w:rPr>
          <w:rFonts w:hAnsi="標楷體" w:hint="eastAsia"/>
        </w:rPr>
        <w:t>而</w:t>
      </w:r>
      <w:r w:rsidRPr="0036014C">
        <w:rPr>
          <w:rFonts w:hAnsi="標楷體" w:hint="eastAsia"/>
        </w:rPr>
        <w:t>無法強制執行，</w:t>
      </w:r>
      <w:r w:rsidR="0071018D">
        <w:rPr>
          <w:rFonts w:hAnsi="標楷體" w:hint="eastAsia"/>
        </w:rPr>
        <w:t>僅得</w:t>
      </w:r>
      <w:r w:rsidRPr="0036014C">
        <w:rPr>
          <w:rFonts w:hAnsi="標楷體" w:hint="eastAsia"/>
        </w:rPr>
        <w:t>於每月發函廠商催繳外，其餘大部分屬於已移送法院強制執行或已取得債權(執行)憑證尚未註銷之案件。</w:t>
      </w:r>
    </w:p>
    <w:p w:rsidR="0036014C" w:rsidRPr="00A55CA9" w:rsidRDefault="0036014C" w:rsidP="00A55CA9">
      <w:pPr>
        <w:pStyle w:val="a6"/>
        <w:ind w:left="849" w:hanging="283"/>
        <w:rPr>
          <w:b/>
        </w:rPr>
      </w:pPr>
      <w:r w:rsidRPr="00A55CA9">
        <w:rPr>
          <w:b/>
        </w:rPr>
        <w:t>(</w:t>
      </w:r>
      <w:r w:rsidRPr="00A55CA9">
        <w:rPr>
          <w:rFonts w:hint="eastAsia"/>
          <w:b/>
        </w:rPr>
        <w:t>二</w:t>
      </w:r>
      <w:r w:rsidRPr="00A55CA9">
        <w:rPr>
          <w:b/>
        </w:rPr>
        <w:t>)</w:t>
      </w:r>
      <w:r w:rsidRPr="00A55CA9">
        <w:rPr>
          <w:rFonts w:hint="eastAsia"/>
          <w:b/>
        </w:rPr>
        <w:t>為加強催收作業，訂有「</w:t>
      </w:r>
      <w:r w:rsidR="00396480">
        <w:rPr>
          <w:rFonts w:hint="eastAsia"/>
          <w:b/>
        </w:rPr>
        <w:t>產業園區</w:t>
      </w:r>
      <w:r w:rsidRPr="00A55CA9">
        <w:rPr>
          <w:rFonts w:hint="eastAsia"/>
          <w:b/>
        </w:rPr>
        <w:t>管理機構一般公共設施維護費及污水處理系統使用費徵（催）收標準作業流程」</w:t>
      </w:r>
    </w:p>
    <w:p w:rsidR="0036014C" w:rsidRPr="0036014C" w:rsidRDefault="0036014C" w:rsidP="00A55CA9">
      <w:pPr>
        <w:pStyle w:val="22"/>
        <w:ind w:left="850" w:firstLine="566"/>
      </w:pPr>
      <w:r w:rsidRPr="0036014C">
        <w:rPr>
          <w:rFonts w:cs="標楷體" w:hint="eastAsia"/>
        </w:rPr>
        <w:t>為</w:t>
      </w:r>
      <w:r w:rsidRPr="0036014C">
        <w:rPr>
          <w:rFonts w:cs="AdobeFanHeitiStd-Bold" w:hint="eastAsia"/>
        </w:rPr>
        <w:t>加強</w:t>
      </w:r>
      <w:r w:rsidRPr="0036014C">
        <w:rPr>
          <w:rFonts w:cs="標楷體" w:hint="eastAsia"/>
        </w:rPr>
        <w:t>催收作業，訂有「</w:t>
      </w:r>
      <w:r w:rsidR="00396480">
        <w:rPr>
          <w:rFonts w:cs="標楷體" w:hint="eastAsia"/>
        </w:rPr>
        <w:t>產業園區</w:t>
      </w:r>
      <w:r w:rsidRPr="0036014C">
        <w:rPr>
          <w:rFonts w:cs="標楷體" w:hint="eastAsia"/>
        </w:rPr>
        <w:t>管理機構一般公共設施維護費及污水處理系統使用費徵（催）收標準作業流程」，以利徵(催)收業務執行</w:t>
      </w:r>
      <w:r w:rsidRPr="0036014C">
        <w:rPr>
          <w:rFonts w:hint="eastAsia"/>
        </w:rPr>
        <w:t>，各產業園區管理機構每月就維護費等逾期欠款分別經第</w:t>
      </w:r>
      <w:r w:rsidRPr="0036014C">
        <w:t>1</w:t>
      </w:r>
      <w:r w:rsidRPr="0036014C">
        <w:rPr>
          <w:rFonts w:hint="eastAsia"/>
        </w:rPr>
        <w:t>次及第</w:t>
      </w:r>
      <w:r w:rsidRPr="0036014C">
        <w:t>2</w:t>
      </w:r>
      <w:r w:rsidRPr="0036014C">
        <w:rPr>
          <w:rFonts w:hint="eastAsia"/>
        </w:rPr>
        <w:t>次催繳後仍未繳納者，即刻進行行政執行或民事執行相關移送作業</w:t>
      </w:r>
      <w:r w:rsidRPr="0036014C">
        <w:rPr>
          <w:rFonts w:cs="標楷體" w:hint="eastAsia"/>
        </w:rPr>
        <w:t>，允宜</w:t>
      </w:r>
      <w:r w:rsidRPr="0036014C">
        <w:rPr>
          <w:rFonts w:hint="eastAsia"/>
        </w:rPr>
        <w:t>積極辦理稽催作業。</w:t>
      </w:r>
    </w:p>
    <w:p w:rsidR="0036014C" w:rsidRPr="0036014C" w:rsidRDefault="0036014C" w:rsidP="0036014C">
      <w:pPr>
        <w:ind w:left="849" w:hangingChars="100" w:hanging="283"/>
        <w:rPr>
          <w:b/>
        </w:rPr>
      </w:pPr>
      <w:r w:rsidRPr="0036014C">
        <w:rPr>
          <w:b/>
        </w:rPr>
        <w:lastRenderedPageBreak/>
        <w:t>(</w:t>
      </w:r>
      <w:r w:rsidRPr="0036014C">
        <w:rPr>
          <w:rFonts w:hint="eastAsia"/>
          <w:b/>
        </w:rPr>
        <w:t>三</w:t>
      </w:r>
      <w:r w:rsidRPr="0036014C">
        <w:rPr>
          <w:b/>
        </w:rPr>
        <w:t>)</w:t>
      </w:r>
      <w:r w:rsidRPr="0036014C">
        <w:rPr>
          <w:rFonts w:hint="eastAsia"/>
          <w:b/>
        </w:rPr>
        <w:t>截至113年8月底</w:t>
      </w:r>
      <w:r w:rsidR="0071018D">
        <w:rPr>
          <w:rFonts w:hAnsi="標楷體" w:hint="eastAsia"/>
          <w:b/>
        </w:rPr>
        <w:t>，</w:t>
      </w:r>
      <w:r w:rsidR="009D434C" w:rsidRPr="009D434C">
        <w:rPr>
          <w:rFonts w:hint="eastAsia"/>
          <w:b/>
        </w:rPr>
        <w:t>沖銷呆帳占業務收入之比率為</w:t>
      </w:r>
      <w:r w:rsidRPr="0036014C">
        <w:rPr>
          <w:rFonts w:hint="eastAsia"/>
          <w:b/>
        </w:rPr>
        <w:t>0.64%</w:t>
      </w:r>
      <w:r w:rsidRPr="0036014C">
        <w:rPr>
          <w:rFonts w:hAnsi="標楷體" w:hint="eastAsia"/>
          <w:b/>
        </w:rPr>
        <w:t>，允宜積極追償，以維基金權益</w:t>
      </w:r>
    </w:p>
    <w:p w:rsidR="0036014C" w:rsidRPr="0036014C" w:rsidRDefault="0036014C" w:rsidP="0036014C">
      <w:pPr>
        <w:adjustRightInd w:val="0"/>
        <w:ind w:leftChars="300" w:left="850" w:firstLine="566"/>
      </w:pPr>
      <w:r w:rsidRPr="0036014C">
        <w:rPr>
          <w:rFonts w:hint="eastAsia"/>
        </w:rPr>
        <w:t>據產業園區基金說明</w:t>
      </w:r>
      <w:r w:rsidRPr="0036014C">
        <w:rPr>
          <w:rFonts w:hAnsi="標楷體" w:hint="eastAsia"/>
        </w:rPr>
        <w:t>，</w:t>
      </w:r>
      <w:r w:rsidRPr="0036014C">
        <w:rPr>
          <w:rFonts w:hint="eastAsia"/>
        </w:rPr>
        <w:t>部分廠商因資金周轉不靈，經營困難停工倒閉，債務人不知去向，造成積欠款項無法收訖情事，服務中心將應催收而無法收取相關維護費或</w:t>
      </w:r>
      <w:r w:rsidR="00E174B9" w:rsidRPr="00E174B9">
        <w:rPr>
          <w:rFonts w:hint="eastAsia"/>
        </w:rPr>
        <w:t>土地租金優惠調整</w:t>
      </w:r>
      <w:r w:rsidR="00E174B9">
        <w:rPr>
          <w:rFonts w:hint="eastAsia"/>
        </w:rPr>
        <w:t>(</w:t>
      </w:r>
      <w:r w:rsidR="00E174B9" w:rsidRPr="00E174B9">
        <w:t>006688</w:t>
      </w:r>
      <w:r w:rsidR="00E174B9">
        <w:rPr>
          <w:rFonts w:hint="eastAsia"/>
        </w:rPr>
        <w:t>)</w:t>
      </w:r>
      <w:r w:rsidRPr="0036014C">
        <w:rPr>
          <w:rFonts w:hint="eastAsia"/>
        </w:rPr>
        <w:t>措施租金等款項，經行政執行分署裁定行政執行終結或地方法院民事執行處裁定民事執行終結，取得債權憑證後，每年彙整報經審計部同意沖銷呆帳</w:t>
      </w:r>
      <w:r w:rsidRPr="0036014C">
        <w:rPr>
          <w:rFonts w:hAnsi="標楷體" w:hint="eastAsia"/>
        </w:rPr>
        <w:t>，</w:t>
      </w:r>
      <w:r w:rsidRPr="0036014C">
        <w:rPr>
          <w:rFonts w:hint="eastAsia"/>
        </w:rPr>
        <w:t>11</w:t>
      </w:r>
      <w:r w:rsidR="0071018D">
        <w:rPr>
          <w:rFonts w:hint="eastAsia"/>
        </w:rPr>
        <w:t>3</w:t>
      </w:r>
      <w:r w:rsidRPr="0036014C">
        <w:rPr>
          <w:rFonts w:hint="eastAsia"/>
        </w:rPr>
        <w:t>年度</w:t>
      </w:r>
      <w:r w:rsidR="0071018D">
        <w:rPr>
          <w:rFonts w:hint="eastAsia"/>
        </w:rPr>
        <w:t>迄8月底沖銷呆帳</w:t>
      </w:r>
      <w:r w:rsidRPr="0036014C">
        <w:rPr>
          <w:rFonts w:hint="eastAsia"/>
        </w:rPr>
        <w:t>金額3</w:t>
      </w:r>
      <w:r w:rsidRPr="0036014C">
        <w:t>,</w:t>
      </w:r>
      <w:r w:rsidRPr="0036014C">
        <w:rPr>
          <w:rFonts w:hint="eastAsia"/>
        </w:rPr>
        <w:t>540萬8千元</w:t>
      </w:r>
      <w:r w:rsidRPr="0036014C">
        <w:rPr>
          <w:rFonts w:hAnsi="標楷體" w:hint="eastAsia"/>
        </w:rPr>
        <w:t>，占業務收入55億6</w:t>
      </w:r>
      <w:r w:rsidRPr="0036014C">
        <w:rPr>
          <w:rFonts w:hAnsi="標楷體"/>
        </w:rPr>
        <w:t>,</w:t>
      </w:r>
      <w:r w:rsidRPr="0036014C">
        <w:rPr>
          <w:rFonts w:hAnsi="標楷體" w:hint="eastAsia"/>
        </w:rPr>
        <w:t>462</w:t>
      </w:r>
      <w:r w:rsidRPr="0036014C">
        <w:rPr>
          <w:rFonts w:hAnsi="標楷體"/>
        </w:rPr>
        <w:t>萬</w:t>
      </w:r>
      <w:r w:rsidRPr="0036014C">
        <w:rPr>
          <w:rFonts w:hAnsi="標楷體" w:hint="eastAsia"/>
        </w:rPr>
        <w:t>4千元</w:t>
      </w:r>
      <w:r w:rsidR="009D434C" w:rsidRPr="009D434C">
        <w:rPr>
          <w:rFonts w:hAnsi="標楷體" w:hint="eastAsia"/>
        </w:rPr>
        <w:t>之比率為</w:t>
      </w:r>
      <w:r w:rsidRPr="0036014C">
        <w:rPr>
          <w:rFonts w:hAnsi="標楷體" w:hint="eastAsia"/>
        </w:rPr>
        <w:t>0.64%</w:t>
      </w:r>
      <w:r w:rsidR="00EE3B40">
        <w:rPr>
          <w:rFonts w:hAnsi="標楷體" w:hint="eastAsia"/>
        </w:rPr>
        <w:t>，較112年度0.02%升高</w:t>
      </w:r>
      <w:r w:rsidRPr="0036014C">
        <w:rPr>
          <w:rFonts w:hAnsi="標楷體" w:hint="eastAsia"/>
        </w:rPr>
        <w:t>(詳表2)</w:t>
      </w:r>
      <w:r w:rsidRPr="0036014C">
        <w:rPr>
          <w:rFonts w:hint="eastAsia"/>
        </w:rPr>
        <w:t>。轉銷呆帳後已收回之金額</w:t>
      </w:r>
      <w:r w:rsidR="00EE3B40">
        <w:rPr>
          <w:rFonts w:hint="eastAsia"/>
        </w:rPr>
        <w:t>112年度132萬1千元</w:t>
      </w:r>
      <w:r w:rsidR="00D757BA">
        <w:rPr>
          <w:rFonts w:hAnsi="標楷體" w:hint="eastAsia"/>
        </w:rPr>
        <w:t>，</w:t>
      </w:r>
      <w:r w:rsidR="00EE3B40">
        <w:rPr>
          <w:rFonts w:hint="eastAsia"/>
        </w:rPr>
        <w:t>113年度迄8月底尚無收回數</w:t>
      </w:r>
      <w:r w:rsidRPr="0036014C">
        <w:rPr>
          <w:rFonts w:hint="eastAsia"/>
        </w:rPr>
        <w:t>，</w:t>
      </w:r>
      <w:r w:rsidR="00EE3B40">
        <w:rPr>
          <w:rFonts w:hint="eastAsia"/>
        </w:rPr>
        <w:t>收回情形仍待檢討加強</w:t>
      </w:r>
      <w:r w:rsidR="00EE3B40">
        <w:rPr>
          <w:rFonts w:hAnsi="標楷體" w:hint="eastAsia"/>
        </w:rPr>
        <w:t>。</w:t>
      </w:r>
      <w:r w:rsidRPr="0036014C">
        <w:rPr>
          <w:rFonts w:hint="eastAsia"/>
        </w:rPr>
        <w:t>主要係管理機構依規定就轉銷呆帳之欠款案件，繼續追查債務人財產及所得情形，於發現有可供執行之財產及所得時依法追償，並依地方法院民事執行處債權次序表，參與分配債權金額，因受限於分配順位及債務人財產所得，致影響收回之金額。</w:t>
      </w:r>
      <w:r w:rsidR="00DD5991">
        <w:rPr>
          <w:rFonts w:hint="eastAsia"/>
        </w:rPr>
        <w:t>允宜</w:t>
      </w:r>
      <w:r w:rsidRPr="0036014C">
        <w:rPr>
          <w:rFonts w:hint="eastAsia"/>
        </w:rPr>
        <w:t>持續追查債務人財產及所得情形，倘發現有可供執行之財產及所得時，即依法追償，以維基金權益。</w:t>
      </w:r>
    </w:p>
    <w:p w:rsidR="0036014C" w:rsidRPr="0036014C" w:rsidRDefault="0036014C" w:rsidP="0036014C">
      <w:pPr>
        <w:ind w:left="566" w:firstLine="566"/>
      </w:pPr>
      <w:r w:rsidRPr="0036014C">
        <w:t>綜上</w:t>
      </w:r>
      <w:r w:rsidRPr="0036014C">
        <w:rPr>
          <w:rFonts w:hint="eastAsia"/>
        </w:rPr>
        <w:t>，產業園區基金截至113年度8月底止尚有「催收款項」餘額逾9,000萬元，且</w:t>
      </w:r>
      <w:r w:rsidR="009D434C" w:rsidRPr="009D434C">
        <w:rPr>
          <w:rFonts w:hint="eastAsia"/>
        </w:rPr>
        <w:t>沖銷呆帳占業務收入</w:t>
      </w:r>
      <w:r w:rsidR="009D434C">
        <w:rPr>
          <w:rFonts w:hint="eastAsia"/>
        </w:rPr>
        <w:t>之比率為</w:t>
      </w:r>
      <w:r w:rsidRPr="0036014C">
        <w:rPr>
          <w:rFonts w:hint="eastAsia"/>
        </w:rPr>
        <w:t>0.64%，較112年度之0.02%</w:t>
      </w:r>
      <w:r w:rsidR="00EE3B40">
        <w:rPr>
          <w:rFonts w:hint="eastAsia"/>
        </w:rPr>
        <w:t>升</w:t>
      </w:r>
      <w:r w:rsidRPr="0036014C">
        <w:rPr>
          <w:rFonts w:hint="eastAsia"/>
        </w:rPr>
        <w:t>高，允宜積極辦理稽催作業，以維基金權益。</w:t>
      </w:r>
    </w:p>
    <w:p w:rsidR="0036014C" w:rsidRPr="0036014C" w:rsidRDefault="0036014C" w:rsidP="00573E0F">
      <w:pPr>
        <w:adjustRightInd w:val="0"/>
        <w:ind w:leftChars="207" w:left="1383" w:rightChars="-2" w:right="-6" w:hangingChars="281" w:hanging="797"/>
        <w:jc w:val="right"/>
        <w:rPr>
          <w:rFonts w:hAnsi="標楷體"/>
          <w:b/>
        </w:rPr>
      </w:pPr>
      <w:r w:rsidRPr="0036014C">
        <w:rPr>
          <w:rFonts w:hAnsi="標楷體"/>
          <w:b/>
        </w:rPr>
        <w:t xml:space="preserve">表1  </w:t>
      </w:r>
      <w:r w:rsidRPr="0036014C">
        <w:rPr>
          <w:rFonts w:hAnsi="標楷體" w:hint="eastAsia"/>
          <w:b/>
        </w:rPr>
        <w:t xml:space="preserve">產業園區基金截至113年度8月底止尚有「催收款項」餘額                                    </w:t>
      </w:r>
      <w:r w:rsidR="00573E0F">
        <w:rPr>
          <w:rFonts w:hAnsi="標楷體" w:hint="eastAsia"/>
          <w:b/>
        </w:rPr>
        <w:t xml:space="preserve"> </w:t>
      </w:r>
      <w:r w:rsidRPr="0036014C">
        <w:rPr>
          <w:rFonts w:hAnsi="標楷體" w:hint="eastAsia"/>
          <w:sz w:val="24"/>
          <w:szCs w:val="24"/>
        </w:rPr>
        <w:t>單位:新臺幣元</w:t>
      </w:r>
    </w:p>
    <w:tbl>
      <w:tblPr>
        <w:tblW w:w="8007" w:type="dxa"/>
        <w:tblInd w:w="6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336"/>
        <w:gridCol w:w="3671"/>
      </w:tblGrid>
      <w:tr w:rsidR="0036014C" w:rsidRPr="0036014C" w:rsidTr="005B447C">
        <w:trPr>
          <w:trHeight w:val="258"/>
          <w:tblHeader/>
        </w:trPr>
        <w:tc>
          <w:tcPr>
            <w:tcW w:w="4336" w:type="dxa"/>
            <w:shd w:val="clear" w:color="auto" w:fill="auto"/>
            <w:vAlign w:val="center"/>
          </w:tcPr>
          <w:p w:rsidR="0036014C" w:rsidRPr="0036014C" w:rsidRDefault="0036014C" w:rsidP="0036014C">
            <w:pPr>
              <w:pStyle w:val="142"/>
              <w:jc w:val="center"/>
              <w:rPr>
                <w:b/>
              </w:rPr>
            </w:pPr>
            <w:r w:rsidRPr="0036014C">
              <w:rPr>
                <w:rFonts w:hint="eastAsia"/>
                <w:b/>
              </w:rPr>
              <w:t>項目</w:t>
            </w:r>
          </w:p>
        </w:tc>
        <w:tc>
          <w:tcPr>
            <w:tcW w:w="3671" w:type="dxa"/>
            <w:vAlign w:val="center"/>
          </w:tcPr>
          <w:p w:rsidR="0036014C" w:rsidRPr="0036014C" w:rsidRDefault="0036014C" w:rsidP="0036014C">
            <w:pPr>
              <w:pStyle w:val="142"/>
              <w:jc w:val="center"/>
              <w:rPr>
                <w:b/>
              </w:rPr>
            </w:pPr>
            <w:r w:rsidRPr="0036014C">
              <w:rPr>
                <w:rFonts w:hint="eastAsia"/>
                <w:b/>
              </w:rPr>
              <w:t>催收款項餘額</w:t>
            </w:r>
          </w:p>
        </w:tc>
      </w:tr>
      <w:tr w:rsidR="0036014C" w:rsidRPr="0036014C" w:rsidTr="00573E0F">
        <w:trPr>
          <w:trHeight w:val="339"/>
        </w:trPr>
        <w:tc>
          <w:tcPr>
            <w:tcW w:w="4336" w:type="dxa"/>
            <w:shd w:val="clear" w:color="auto" w:fill="auto"/>
            <w:vAlign w:val="center"/>
          </w:tcPr>
          <w:p w:rsidR="0036014C" w:rsidRPr="0036014C" w:rsidRDefault="0036014C" w:rsidP="0036014C">
            <w:pPr>
              <w:pStyle w:val="142"/>
            </w:pPr>
            <w:r w:rsidRPr="0036014C">
              <w:rPr>
                <w:rFonts w:hint="eastAsia"/>
              </w:rPr>
              <w:t>維護費及污水費</w:t>
            </w:r>
          </w:p>
        </w:tc>
        <w:tc>
          <w:tcPr>
            <w:tcW w:w="3671" w:type="dxa"/>
            <w:vAlign w:val="center"/>
          </w:tcPr>
          <w:p w:rsidR="0036014C" w:rsidRPr="0036014C" w:rsidRDefault="0036014C" w:rsidP="0036014C">
            <w:pPr>
              <w:pStyle w:val="142"/>
              <w:jc w:val="right"/>
              <w:rPr>
                <w:rFonts w:cs="新細明體"/>
              </w:rPr>
            </w:pPr>
            <w:r w:rsidRPr="0036014C">
              <w:rPr>
                <w:rFonts w:cs="新細明體"/>
              </w:rPr>
              <w:t>1</w:t>
            </w:r>
            <w:r w:rsidRPr="0036014C">
              <w:rPr>
                <w:rFonts w:cs="新細明體" w:hint="eastAsia"/>
              </w:rPr>
              <w:t>,228,730</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006688措施租金等</w:t>
            </w:r>
          </w:p>
        </w:tc>
        <w:tc>
          <w:tcPr>
            <w:tcW w:w="3671" w:type="dxa"/>
            <w:vAlign w:val="center"/>
          </w:tcPr>
          <w:p w:rsidR="0036014C" w:rsidRPr="0036014C" w:rsidRDefault="0036014C" w:rsidP="0036014C">
            <w:pPr>
              <w:pStyle w:val="142"/>
              <w:jc w:val="right"/>
              <w:rPr>
                <w:rFonts w:cs="新細明體"/>
              </w:rPr>
            </w:pPr>
            <w:r w:rsidRPr="0036014C">
              <w:rPr>
                <w:rFonts w:cs="新細明體" w:hint="eastAsia"/>
              </w:rPr>
              <w:t>73,341,916</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屏南產業園區污水處理設施建設費用</w:t>
            </w:r>
          </w:p>
        </w:tc>
        <w:tc>
          <w:tcPr>
            <w:tcW w:w="3671" w:type="dxa"/>
            <w:vAlign w:val="center"/>
          </w:tcPr>
          <w:p w:rsidR="0036014C" w:rsidRPr="0036014C" w:rsidRDefault="0036014C" w:rsidP="0036014C">
            <w:pPr>
              <w:pStyle w:val="142"/>
              <w:jc w:val="right"/>
              <w:rPr>
                <w:rFonts w:cs="新細明體"/>
              </w:rPr>
            </w:pPr>
            <w:r w:rsidRPr="0036014C">
              <w:rPr>
                <w:rFonts w:cs="新細明體"/>
              </w:rPr>
              <w:t>2</w:t>
            </w:r>
            <w:r w:rsidRPr="0036014C">
              <w:rPr>
                <w:rFonts w:cs="新細明體" w:hint="eastAsia"/>
              </w:rPr>
              <w:t>,</w:t>
            </w:r>
            <w:r w:rsidRPr="0036014C">
              <w:rPr>
                <w:rFonts w:cs="新細明體"/>
              </w:rPr>
              <w:t>411</w:t>
            </w:r>
            <w:r w:rsidRPr="0036014C">
              <w:rPr>
                <w:rFonts w:cs="新細明體" w:hint="eastAsia"/>
              </w:rPr>
              <w:t>,</w:t>
            </w:r>
            <w:r w:rsidRPr="0036014C">
              <w:rPr>
                <w:rFonts w:cs="新細明體"/>
              </w:rPr>
              <w:t>283</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一般土地租金</w:t>
            </w:r>
          </w:p>
        </w:tc>
        <w:tc>
          <w:tcPr>
            <w:tcW w:w="3671" w:type="dxa"/>
            <w:vAlign w:val="center"/>
          </w:tcPr>
          <w:p w:rsidR="0036014C" w:rsidRPr="0036014C" w:rsidRDefault="0036014C" w:rsidP="0036014C">
            <w:pPr>
              <w:pStyle w:val="142"/>
              <w:jc w:val="right"/>
              <w:rPr>
                <w:rFonts w:cs="新細明體"/>
              </w:rPr>
            </w:pPr>
            <w:r w:rsidRPr="0036014C">
              <w:rPr>
                <w:rFonts w:cs="新細明體" w:hint="eastAsia"/>
              </w:rPr>
              <w:t>0</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違約金、賠償金及沒收保證金</w:t>
            </w:r>
          </w:p>
        </w:tc>
        <w:tc>
          <w:tcPr>
            <w:tcW w:w="3671" w:type="dxa"/>
            <w:vAlign w:val="center"/>
          </w:tcPr>
          <w:p w:rsidR="0036014C" w:rsidRPr="0036014C" w:rsidRDefault="0036014C" w:rsidP="0036014C">
            <w:pPr>
              <w:pStyle w:val="142"/>
              <w:jc w:val="right"/>
              <w:rPr>
                <w:rFonts w:cs="新細明體"/>
              </w:rPr>
            </w:pPr>
            <w:r w:rsidRPr="0036014C">
              <w:rPr>
                <w:rFonts w:cs="新細明體" w:hint="eastAsia"/>
              </w:rPr>
              <w:t>1,917,237</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lastRenderedPageBreak/>
              <w:t>其他(權利金等)</w:t>
            </w:r>
          </w:p>
        </w:tc>
        <w:tc>
          <w:tcPr>
            <w:tcW w:w="3671" w:type="dxa"/>
            <w:vAlign w:val="center"/>
          </w:tcPr>
          <w:p w:rsidR="0036014C" w:rsidRPr="0036014C" w:rsidRDefault="0036014C" w:rsidP="0036014C">
            <w:pPr>
              <w:pStyle w:val="142"/>
              <w:jc w:val="right"/>
              <w:rPr>
                <w:rFonts w:cs="新細明體"/>
              </w:rPr>
            </w:pPr>
            <w:r w:rsidRPr="0036014C">
              <w:rPr>
                <w:rFonts w:cs="新細明體"/>
              </w:rPr>
              <w:t>11</w:t>
            </w:r>
            <w:r w:rsidRPr="0036014C">
              <w:rPr>
                <w:rFonts w:cs="新細明體" w:hint="eastAsia"/>
              </w:rPr>
              <w:t>,</w:t>
            </w:r>
            <w:r w:rsidRPr="0036014C">
              <w:rPr>
                <w:rFonts w:cs="新細明體"/>
              </w:rPr>
              <w:t>695</w:t>
            </w:r>
            <w:r w:rsidRPr="0036014C">
              <w:rPr>
                <w:rFonts w:cs="新細明體" w:hint="eastAsia"/>
              </w:rPr>
              <w:t>,</w:t>
            </w:r>
            <w:r w:rsidRPr="0036014C">
              <w:rPr>
                <w:rFonts w:cs="新細明體"/>
              </w:rPr>
              <w:t>149</w:t>
            </w:r>
          </w:p>
        </w:tc>
      </w:tr>
      <w:tr w:rsidR="0036014C" w:rsidRPr="0036014C" w:rsidTr="0094482A">
        <w:trPr>
          <w:trHeight w:val="42"/>
        </w:trPr>
        <w:tc>
          <w:tcPr>
            <w:tcW w:w="4336" w:type="dxa"/>
            <w:shd w:val="clear" w:color="auto" w:fill="auto"/>
            <w:vAlign w:val="center"/>
          </w:tcPr>
          <w:p w:rsidR="0036014C" w:rsidRPr="0094482A" w:rsidRDefault="0036014C" w:rsidP="0036014C">
            <w:pPr>
              <w:pStyle w:val="142"/>
              <w:rPr>
                <w:b/>
              </w:rPr>
            </w:pPr>
            <w:r w:rsidRPr="0094482A">
              <w:rPr>
                <w:rFonts w:hint="eastAsia"/>
                <w:b/>
              </w:rPr>
              <w:t>合 計</w:t>
            </w:r>
          </w:p>
        </w:tc>
        <w:tc>
          <w:tcPr>
            <w:tcW w:w="3671" w:type="dxa"/>
            <w:vAlign w:val="center"/>
          </w:tcPr>
          <w:p w:rsidR="0036014C" w:rsidRPr="0094482A" w:rsidRDefault="0036014C" w:rsidP="0036014C">
            <w:pPr>
              <w:pStyle w:val="142"/>
              <w:jc w:val="right"/>
              <w:rPr>
                <w:rFonts w:cs="新細明體"/>
                <w:b/>
              </w:rPr>
            </w:pPr>
            <w:r w:rsidRPr="0094482A">
              <w:rPr>
                <w:rFonts w:cs="新細明體" w:hint="eastAsia"/>
                <w:b/>
              </w:rPr>
              <w:t>90,594,315</w:t>
            </w:r>
          </w:p>
        </w:tc>
      </w:tr>
    </w:tbl>
    <w:p w:rsidR="0036014C" w:rsidRDefault="0036014C" w:rsidP="00573E0F">
      <w:pPr>
        <w:spacing w:line="340" w:lineRule="exact"/>
        <w:ind w:leftChars="19" w:left="54" w:firstLineChars="162" w:firstLine="394"/>
        <w:rPr>
          <w:rFonts w:hAnsi="標楷體"/>
          <w:sz w:val="24"/>
        </w:rPr>
      </w:pPr>
      <w:r w:rsidRPr="004902E1">
        <w:rPr>
          <w:rFonts w:hAnsi="標楷體" w:hint="eastAsia"/>
          <w:sz w:val="24"/>
        </w:rPr>
        <w:t>資料來源：產業園區管理局提供。</w:t>
      </w:r>
    </w:p>
    <w:p w:rsidR="00E505F1" w:rsidRDefault="00E505F1" w:rsidP="00573E0F">
      <w:pPr>
        <w:adjustRightInd w:val="0"/>
        <w:ind w:leftChars="151" w:left="850" w:hangingChars="149" w:hanging="422"/>
        <w:jc w:val="left"/>
        <w:rPr>
          <w:rFonts w:hAnsi="標楷體"/>
          <w:b/>
        </w:rPr>
      </w:pPr>
    </w:p>
    <w:p w:rsidR="00E505F1" w:rsidRDefault="00E505F1" w:rsidP="00573E0F">
      <w:pPr>
        <w:adjustRightInd w:val="0"/>
        <w:ind w:leftChars="151" w:left="850" w:hangingChars="149" w:hanging="422"/>
        <w:jc w:val="left"/>
        <w:rPr>
          <w:rFonts w:hAnsi="標楷體"/>
          <w:b/>
        </w:rPr>
      </w:pPr>
    </w:p>
    <w:p w:rsidR="0036014C" w:rsidRPr="0036014C" w:rsidRDefault="0036014C" w:rsidP="00573E0F">
      <w:pPr>
        <w:adjustRightInd w:val="0"/>
        <w:ind w:leftChars="151" w:left="850" w:hangingChars="149" w:hanging="422"/>
        <w:jc w:val="left"/>
        <w:rPr>
          <w:snapToGrid/>
        </w:rPr>
      </w:pPr>
      <w:r w:rsidRPr="0036014C">
        <w:rPr>
          <w:rFonts w:hAnsi="標楷體"/>
          <w:b/>
        </w:rPr>
        <w:t>表</w:t>
      </w:r>
      <w:r w:rsidRPr="0036014C">
        <w:rPr>
          <w:rFonts w:hAnsi="標楷體" w:hint="eastAsia"/>
          <w:b/>
        </w:rPr>
        <w:t>2</w:t>
      </w:r>
      <w:r w:rsidRPr="0036014C">
        <w:rPr>
          <w:rFonts w:hAnsi="標楷體"/>
          <w:b/>
        </w:rPr>
        <w:t xml:space="preserve">  </w:t>
      </w:r>
      <w:r w:rsidRPr="0036014C">
        <w:rPr>
          <w:rFonts w:hAnsi="標楷體" w:hint="eastAsia"/>
          <w:b/>
        </w:rPr>
        <w:t xml:space="preserve">產業園區基金提列呆帳情形表          </w:t>
      </w:r>
      <w:r w:rsidR="00573E0F">
        <w:rPr>
          <w:rFonts w:hAnsi="標楷體" w:hint="eastAsia"/>
          <w:b/>
        </w:rPr>
        <w:t xml:space="preserve">   </w:t>
      </w:r>
      <w:r w:rsidRPr="0036014C">
        <w:rPr>
          <w:rFonts w:hAnsi="標楷體" w:hint="eastAsia"/>
          <w:sz w:val="24"/>
          <w:szCs w:val="24"/>
        </w:rPr>
        <w:t>單位:新臺幣千元</w:t>
      </w:r>
    </w:p>
    <w:tbl>
      <w:tblPr>
        <w:tblW w:w="8077" w:type="dxa"/>
        <w:tblInd w:w="4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69"/>
        <w:gridCol w:w="439"/>
        <w:gridCol w:w="2626"/>
        <w:gridCol w:w="1443"/>
        <w:gridCol w:w="2100"/>
      </w:tblGrid>
      <w:tr w:rsidR="0036014C" w:rsidRPr="0036014C" w:rsidTr="00E174B9">
        <w:trPr>
          <w:trHeight w:val="341"/>
          <w:tblHeader/>
        </w:trPr>
        <w:tc>
          <w:tcPr>
            <w:tcW w:w="4534" w:type="dxa"/>
            <w:gridSpan w:val="3"/>
            <w:shd w:val="clear" w:color="auto" w:fill="auto"/>
            <w:noWrap/>
            <w:vAlign w:val="center"/>
          </w:tcPr>
          <w:p w:rsidR="0036014C" w:rsidRPr="0036014C" w:rsidRDefault="0036014C" w:rsidP="0036014C">
            <w:pPr>
              <w:pStyle w:val="142"/>
              <w:jc w:val="center"/>
              <w:rPr>
                <w:b/>
              </w:rPr>
            </w:pPr>
            <w:r w:rsidRPr="0036014C">
              <w:rPr>
                <w:rFonts w:hint="eastAsia"/>
                <w:b/>
              </w:rPr>
              <w:t>年 度</w:t>
            </w:r>
          </w:p>
        </w:tc>
        <w:tc>
          <w:tcPr>
            <w:tcW w:w="1443" w:type="dxa"/>
            <w:shd w:val="clear" w:color="auto" w:fill="auto"/>
            <w:noWrap/>
            <w:vAlign w:val="center"/>
          </w:tcPr>
          <w:p w:rsidR="0036014C" w:rsidRPr="0036014C" w:rsidRDefault="0036014C" w:rsidP="0036014C">
            <w:pPr>
              <w:pStyle w:val="142"/>
              <w:jc w:val="center"/>
              <w:rPr>
                <w:b/>
              </w:rPr>
            </w:pPr>
            <w:r w:rsidRPr="0036014C">
              <w:rPr>
                <w:b/>
              </w:rPr>
              <w:t>11</w:t>
            </w:r>
            <w:r w:rsidRPr="0036014C">
              <w:rPr>
                <w:rFonts w:hint="eastAsia"/>
                <w:b/>
              </w:rPr>
              <w:t>2</w:t>
            </w:r>
            <w:r w:rsidR="0055085D">
              <w:rPr>
                <w:rFonts w:hint="eastAsia"/>
                <w:b/>
              </w:rPr>
              <w:t>年度</w:t>
            </w:r>
          </w:p>
        </w:tc>
        <w:tc>
          <w:tcPr>
            <w:tcW w:w="2100" w:type="dxa"/>
            <w:vAlign w:val="center"/>
          </w:tcPr>
          <w:p w:rsidR="0036014C" w:rsidRPr="0036014C" w:rsidRDefault="0036014C" w:rsidP="0036014C">
            <w:pPr>
              <w:pStyle w:val="142"/>
              <w:jc w:val="center"/>
              <w:rPr>
                <w:b/>
              </w:rPr>
            </w:pPr>
            <w:r w:rsidRPr="0036014C">
              <w:rPr>
                <w:b/>
              </w:rPr>
              <w:t>11</w:t>
            </w:r>
            <w:r w:rsidRPr="0036014C">
              <w:rPr>
                <w:rFonts w:hint="eastAsia"/>
                <w:b/>
              </w:rPr>
              <w:t>3</w:t>
            </w:r>
            <w:r w:rsidR="0055085D">
              <w:rPr>
                <w:rFonts w:hint="eastAsia"/>
                <w:b/>
              </w:rPr>
              <w:t>年度截至</w:t>
            </w:r>
            <w:r w:rsidRPr="0036014C">
              <w:rPr>
                <w:rFonts w:hint="eastAsia"/>
                <w:b/>
              </w:rPr>
              <w:t>8月</w:t>
            </w:r>
          </w:p>
        </w:tc>
      </w:tr>
      <w:tr w:rsidR="0036014C" w:rsidRPr="0036014C" w:rsidTr="00E174B9">
        <w:trPr>
          <w:trHeight w:val="341"/>
        </w:trPr>
        <w:tc>
          <w:tcPr>
            <w:tcW w:w="4534" w:type="dxa"/>
            <w:gridSpan w:val="3"/>
            <w:shd w:val="clear" w:color="auto" w:fill="auto"/>
            <w:vAlign w:val="center"/>
          </w:tcPr>
          <w:p w:rsidR="0036014C" w:rsidRPr="0036014C" w:rsidRDefault="0036014C" w:rsidP="0036014C">
            <w:pPr>
              <w:pStyle w:val="142"/>
            </w:pPr>
            <w:r w:rsidRPr="0036014C">
              <w:rPr>
                <w:rFonts w:hint="eastAsia"/>
              </w:rPr>
              <w:t>提列呆帳金額</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年底提列</w:t>
            </w:r>
          </w:p>
        </w:tc>
      </w:tr>
      <w:tr w:rsidR="0036014C" w:rsidRPr="0036014C" w:rsidTr="00E174B9">
        <w:trPr>
          <w:trHeight w:val="341"/>
        </w:trPr>
        <w:tc>
          <w:tcPr>
            <w:tcW w:w="1908" w:type="dxa"/>
            <w:gridSpan w:val="2"/>
            <w:vMerge w:val="restart"/>
            <w:shd w:val="clear" w:color="auto" w:fill="auto"/>
            <w:vAlign w:val="center"/>
          </w:tcPr>
          <w:p w:rsidR="0036014C" w:rsidRPr="0036014C" w:rsidRDefault="0036014C" w:rsidP="0036014C">
            <w:pPr>
              <w:pStyle w:val="142"/>
            </w:pPr>
            <w:r w:rsidRPr="0036014C">
              <w:rPr>
                <w:rFonts w:hint="eastAsia"/>
              </w:rPr>
              <w:t>實際沖銷呆帳</w:t>
            </w:r>
          </w:p>
        </w:tc>
        <w:tc>
          <w:tcPr>
            <w:tcW w:w="2626" w:type="dxa"/>
            <w:shd w:val="clear" w:color="auto" w:fill="auto"/>
            <w:vAlign w:val="center"/>
          </w:tcPr>
          <w:p w:rsidR="0036014C" w:rsidRPr="0036014C" w:rsidRDefault="0036014C" w:rsidP="0036014C">
            <w:pPr>
              <w:pStyle w:val="142"/>
            </w:pPr>
            <w:r w:rsidRPr="0036014C">
              <w:rPr>
                <w:rFonts w:hint="eastAsia"/>
                <w:spacing w:val="-10"/>
              </w:rPr>
              <w:t>維護費等</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1,319</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23</w:t>
            </w:r>
          </w:p>
        </w:tc>
      </w:tr>
      <w:tr w:rsidR="0036014C" w:rsidRPr="0036014C" w:rsidTr="00E174B9">
        <w:trPr>
          <w:trHeight w:val="341"/>
        </w:trPr>
        <w:tc>
          <w:tcPr>
            <w:tcW w:w="1908" w:type="dxa"/>
            <w:gridSpan w:val="2"/>
            <w:vMerge/>
            <w:shd w:val="clear" w:color="auto" w:fill="auto"/>
            <w:vAlign w:val="center"/>
          </w:tcPr>
          <w:p w:rsidR="0036014C" w:rsidRPr="0036014C" w:rsidRDefault="0036014C" w:rsidP="0036014C">
            <w:pPr>
              <w:pStyle w:val="142"/>
            </w:pPr>
          </w:p>
        </w:tc>
        <w:tc>
          <w:tcPr>
            <w:tcW w:w="2626" w:type="dxa"/>
            <w:shd w:val="clear" w:color="auto" w:fill="auto"/>
            <w:vAlign w:val="center"/>
          </w:tcPr>
          <w:p w:rsidR="0036014C" w:rsidRPr="0036014C" w:rsidRDefault="0036014C" w:rsidP="0036014C">
            <w:pPr>
              <w:pStyle w:val="142"/>
            </w:pPr>
            <w:r w:rsidRPr="0036014C">
              <w:rPr>
                <w:rFonts w:hint="eastAsia"/>
                <w:spacing w:val="-10"/>
              </w:rPr>
              <w:t>土地或建物租金等</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0</w:t>
            </w:r>
          </w:p>
        </w:tc>
        <w:tc>
          <w:tcPr>
            <w:tcW w:w="2100" w:type="dxa"/>
            <w:vAlign w:val="center"/>
          </w:tcPr>
          <w:p w:rsidR="0036014C" w:rsidRPr="0036014C" w:rsidRDefault="0036014C" w:rsidP="0036014C">
            <w:pPr>
              <w:pStyle w:val="142"/>
              <w:jc w:val="right"/>
              <w:rPr>
                <w:rFonts w:cs="Arial Unicode MS"/>
              </w:rPr>
            </w:pPr>
            <w:r w:rsidRPr="0036014C">
              <w:rPr>
                <w:rFonts w:cs="Arial Unicode MS"/>
              </w:rPr>
              <w:t>0</w:t>
            </w:r>
          </w:p>
        </w:tc>
      </w:tr>
      <w:tr w:rsidR="0036014C" w:rsidRPr="0036014C" w:rsidTr="00E174B9">
        <w:trPr>
          <w:trHeight w:val="341"/>
        </w:trPr>
        <w:tc>
          <w:tcPr>
            <w:tcW w:w="1908" w:type="dxa"/>
            <w:gridSpan w:val="2"/>
            <w:vMerge/>
            <w:shd w:val="clear" w:color="auto" w:fill="auto"/>
            <w:vAlign w:val="center"/>
          </w:tcPr>
          <w:p w:rsidR="0036014C" w:rsidRPr="0036014C" w:rsidRDefault="0036014C" w:rsidP="0036014C">
            <w:pPr>
              <w:pStyle w:val="142"/>
            </w:pPr>
          </w:p>
        </w:tc>
        <w:tc>
          <w:tcPr>
            <w:tcW w:w="2626" w:type="dxa"/>
            <w:shd w:val="clear" w:color="auto" w:fill="auto"/>
            <w:vAlign w:val="center"/>
          </w:tcPr>
          <w:p w:rsidR="0036014C" w:rsidRPr="0036014C" w:rsidRDefault="0036014C" w:rsidP="0036014C">
            <w:pPr>
              <w:pStyle w:val="142"/>
              <w:rPr>
                <w:spacing w:val="-10"/>
              </w:rPr>
            </w:pPr>
            <w:r w:rsidRPr="0036014C">
              <w:rPr>
                <w:rFonts w:hint="eastAsia"/>
                <w:spacing w:val="-10"/>
              </w:rPr>
              <w:t>違約金、賠償金及沒收保證金</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2</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35,385</w:t>
            </w:r>
          </w:p>
        </w:tc>
      </w:tr>
      <w:tr w:rsidR="0036014C" w:rsidRPr="0036014C" w:rsidTr="00E174B9">
        <w:trPr>
          <w:trHeight w:val="341"/>
        </w:trPr>
        <w:tc>
          <w:tcPr>
            <w:tcW w:w="1908" w:type="dxa"/>
            <w:gridSpan w:val="2"/>
            <w:vMerge/>
            <w:shd w:val="clear" w:color="auto" w:fill="auto"/>
            <w:vAlign w:val="center"/>
          </w:tcPr>
          <w:p w:rsidR="0036014C" w:rsidRPr="0036014C" w:rsidRDefault="0036014C" w:rsidP="0036014C">
            <w:pPr>
              <w:pStyle w:val="142"/>
            </w:pPr>
          </w:p>
        </w:tc>
        <w:tc>
          <w:tcPr>
            <w:tcW w:w="2626" w:type="dxa"/>
            <w:shd w:val="clear" w:color="auto" w:fill="auto"/>
            <w:vAlign w:val="center"/>
          </w:tcPr>
          <w:p w:rsidR="0036014C" w:rsidRPr="0036014C" w:rsidRDefault="0036014C" w:rsidP="0036014C">
            <w:pPr>
              <w:pStyle w:val="142"/>
              <w:rPr>
                <w:spacing w:val="-10"/>
              </w:rPr>
            </w:pPr>
            <w:r w:rsidRPr="0036014C">
              <w:rPr>
                <w:rFonts w:hint="eastAsia"/>
                <w:spacing w:val="-10"/>
              </w:rPr>
              <w:t>合計</w:t>
            </w:r>
            <w:r w:rsidRPr="0036014C">
              <w:rPr>
                <w:rFonts w:hint="eastAsia"/>
              </w:rPr>
              <w:t>(審計部核准數)</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w:t>
            </w:r>
            <w:r w:rsidRPr="0036014C">
              <w:rPr>
                <w:rFonts w:cs="Arial Unicode MS"/>
              </w:rPr>
              <w:t>,</w:t>
            </w:r>
            <w:r w:rsidRPr="0036014C">
              <w:rPr>
                <w:rFonts w:cs="Arial Unicode MS" w:hint="eastAsia"/>
              </w:rPr>
              <w:t>321</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r>
      <w:tr w:rsidR="0036014C" w:rsidRPr="0036014C" w:rsidTr="00E174B9">
        <w:trPr>
          <w:trHeight w:val="341"/>
        </w:trPr>
        <w:tc>
          <w:tcPr>
            <w:tcW w:w="4534" w:type="dxa"/>
            <w:gridSpan w:val="3"/>
            <w:shd w:val="clear" w:color="auto" w:fill="auto"/>
            <w:vAlign w:val="center"/>
          </w:tcPr>
          <w:p w:rsidR="0036014C" w:rsidRPr="0036014C" w:rsidRDefault="0036014C" w:rsidP="0036014C">
            <w:pPr>
              <w:pStyle w:val="142"/>
              <w:rPr>
                <w:spacing w:val="-10"/>
              </w:rPr>
            </w:pPr>
            <w:r w:rsidRPr="0036014C">
              <w:rPr>
                <w:rFonts w:hint="eastAsia"/>
                <w:spacing w:val="-10"/>
              </w:rPr>
              <w:t>年底備抵呆帳餘額</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0</w:t>
            </w:r>
          </w:p>
        </w:tc>
      </w:tr>
      <w:tr w:rsidR="0036014C" w:rsidRPr="0036014C" w:rsidTr="00E174B9">
        <w:trPr>
          <w:trHeight w:val="341"/>
        </w:trPr>
        <w:tc>
          <w:tcPr>
            <w:tcW w:w="4534" w:type="dxa"/>
            <w:gridSpan w:val="3"/>
            <w:shd w:val="clear" w:color="auto" w:fill="auto"/>
            <w:vAlign w:val="center"/>
          </w:tcPr>
          <w:p w:rsidR="0036014C" w:rsidRPr="0036014C" w:rsidRDefault="0036014C" w:rsidP="0036014C">
            <w:pPr>
              <w:pStyle w:val="142"/>
              <w:rPr>
                <w:spacing w:val="-10"/>
              </w:rPr>
            </w:pPr>
            <w:r w:rsidRPr="0036014C">
              <w:rPr>
                <w:rFonts w:hint="eastAsia"/>
                <w:spacing w:val="-10"/>
              </w:rPr>
              <w:t>轉銷呆帳後已收回之金額</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19</w:t>
            </w:r>
          </w:p>
        </w:tc>
        <w:tc>
          <w:tcPr>
            <w:tcW w:w="2100" w:type="dxa"/>
            <w:vAlign w:val="center"/>
          </w:tcPr>
          <w:p w:rsidR="0036014C" w:rsidRPr="0036014C" w:rsidRDefault="0036014C" w:rsidP="0036014C">
            <w:pPr>
              <w:pStyle w:val="142"/>
              <w:jc w:val="right"/>
              <w:rPr>
                <w:rFonts w:cs="Arial Unicode MS"/>
              </w:rPr>
            </w:pPr>
            <w:r w:rsidRPr="0036014C">
              <w:rPr>
                <w:rFonts w:cs="Arial Unicode MS"/>
              </w:rPr>
              <w:t>0</w:t>
            </w:r>
          </w:p>
        </w:tc>
      </w:tr>
      <w:tr w:rsidR="0036014C" w:rsidRPr="0036014C" w:rsidTr="00E174B9">
        <w:trPr>
          <w:trHeight w:val="341"/>
        </w:trPr>
        <w:tc>
          <w:tcPr>
            <w:tcW w:w="1469" w:type="dxa"/>
            <w:vMerge w:val="restart"/>
            <w:shd w:val="clear" w:color="auto" w:fill="auto"/>
            <w:vAlign w:val="center"/>
          </w:tcPr>
          <w:p w:rsidR="0036014C" w:rsidRPr="0036014C" w:rsidRDefault="0036014C" w:rsidP="0036014C">
            <w:pPr>
              <w:pStyle w:val="142"/>
            </w:pPr>
            <w:r w:rsidRPr="0036014C">
              <w:rPr>
                <w:rFonts w:hint="eastAsia"/>
              </w:rPr>
              <w:t>呆帳比率</w:t>
            </w:r>
          </w:p>
        </w:tc>
        <w:tc>
          <w:tcPr>
            <w:tcW w:w="3065" w:type="dxa"/>
            <w:gridSpan w:val="2"/>
            <w:shd w:val="clear" w:color="auto" w:fill="auto"/>
            <w:vAlign w:val="center"/>
          </w:tcPr>
          <w:p w:rsidR="0036014C" w:rsidRPr="0036014C" w:rsidRDefault="0036014C" w:rsidP="0036014C">
            <w:pPr>
              <w:pStyle w:val="142"/>
              <w:rPr>
                <w:spacing w:val="-10"/>
              </w:rPr>
            </w:pPr>
            <w:r w:rsidRPr="0036014C">
              <w:rPr>
                <w:rFonts w:hint="eastAsia"/>
                <w:spacing w:val="-10"/>
              </w:rPr>
              <w:t>沖銷呆帳占業務收入(A)/(B)</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0.02%</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0.64%</w:t>
            </w:r>
          </w:p>
        </w:tc>
      </w:tr>
      <w:tr w:rsidR="0036014C" w:rsidRPr="0036014C" w:rsidTr="00E174B9">
        <w:trPr>
          <w:trHeight w:val="341"/>
        </w:trPr>
        <w:tc>
          <w:tcPr>
            <w:tcW w:w="1469" w:type="dxa"/>
            <w:vMerge/>
            <w:shd w:val="clear" w:color="auto" w:fill="auto"/>
            <w:vAlign w:val="center"/>
          </w:tcPr>
          <w:p w:rsidR="0036014C" w:rsidRPr="0036014C" w:rsidRDefault="0036014C" w:rsidP="0036014C">
            <w:pPr>
              <w:pStyle w:val="142"/>
              <w:rPr>
                <w:rFonts w:hAnsi="標楷體" w:cs="新細明體"/>
                <w:spacing w:val="-10"/>
                <w:szCs w:val="24"/>
              </w:rPr>
            </w:pPr>
          </w:p>
        </w:tc>
        <w:tc>
          <w:tcPr>
            <w:tcW w:w="3065" w:type="dxa"/>
            <w:gridSpan w:val="2"/>
            <w:shd w:val="clear" w:color="auto" w:fill="auto"/>
            <w:vAlign w:val="center"/>
          </w:tcPr>
          <w:p w:rsidR="0036014C" w:rsidRPr="0036014C" w:rsidRDefault="0036014C" w:rsidP="0055085D">
            <w:pPr>
              <w:pStyle w:val="142"/>
              <w:rPr>
                <w:spacing w:val="-10"/>
              </w:rPr>
            </w:pPr>
            <w:r w:rsidRPr="0036014C">
              <w:rPr>
                <w:rFonts w:hint="eastAsia"/>
                <w:spacing w:val="-10"/>
              </w:rPr>
              <w:t>沖銷呆帳金額(A)</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w:t>
            </w:r>
            <w:r w:rsidRPr="0036014C">
              <w:rPr>
                <w:rFonts w:cs="Arial Unicode MS"/>
              </w:rPr>
              <w:t>,</w:t>
            </w:r>
            <w:r w:rsidRPr="0036014C">
              <w:rPr>
                <w:rFonts w:cs="Arial Unicode MS" w:hint="eastAsia"/>
              </w:rPr>
              <w:t>321</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r>
      <w:tr w:rsidR="0036014C" w:rsidRPr="0036014C" w:rsidTr="00E174B9">
        <w:trPr>
          <w:trHeight w:val="341"/>
        </w:trPr>
        <w:tc>
          <w:tcPr>
            <w:tcW w:w="1469" w:type="dxa"/>
            <w:vMerge/>
            <w:shd w:val="clear" w:color="auto" w:fill="auto"/>
            <w:vAlign w:val="center"/>
          </w:tcPr>
          <w:p w:rsidR="0036014C" w:rsidRPr="0036014C" w:rsidRDefault="0036014C" w:rsidP="0036014C">
            <w:pPr>
              <w:pStyle w:val="142"/>
              <w:rPr>
                <w:rFonts w:hAnsi="標楷體" w:cs="新細明體"/>
                <w:spacing w:val="-10"/>
                <w:szCs w:val="24"/>
              </w:rPr>
            </w:pPr>
          </w:p>
        </w:tc>
        <w:tc>
          <w:tcPr>
            <w:tcW w:w="3065" w:type="dxa"/>
            <w:gridSpan w:val="2"/>
            <w:shd w:val="clear" w:color="auto" w:fill="auto"/>
            <w:vAlign w:val="center"/>
          </w:tcPr>
          <w:p w:rsidR="0036014C" w:rsidRPr="0036014C" w:rsidRDefault="0036014C" w:rsidP="0055085D">
            <w:pPr>
              <w:pStyle w:val="142"/>
              <w:rPr>
                <w:spacing w:val="-10"/>
              </w:rPr>
            </w:pPr>
            <w:r w:rsidRPr="0036014C">
              <w:rPr>
                <w:rFonts w:hint="eastAsia"/>
                <w:spacing w:val="-10"/>
              </w:rPr>
              <w:t>業務收入(B)</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6,660,981</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5,564,624</w:t>
            </w:r>
          </w:p>
        </w:tc>
      </w:tr>
    </w:tbl>
    <w:bookmarkEnd w:id="0"/>
    <w:bookmarkEnd w:id="1"/>
    <w:bookmarkEnd w:id="2"/>
    <w:bookmarkEnd w:id="3"/>
    <w:p w:rsidR="0036014C" w:rsidRPr="0036014C" w:rsidRDefault="0036014C" w:rsidP="00573E0F">
      <w:pPr>
        <w:spacing w:line="340" w:lineRule="exact"/>
        <w:ind w:leftChars="19" w:left="54" w:firstLineChars="144" w:firstLine="350"/>
        <w:rPr>
          <w:rFonts w:hAnsi="標楷體"/>
          <w:sz w:val="24"/>
          <w:lang w:eastAsia="x-none"/>
        </w:rPr>
      </w:pPr>
      <w:r w:rsidRPr="004902E1">
        <w:rPr>
          <w:rFonts w:hAnsi="標楷體" w:hint="eastAsia"/>
          <w:sz w:val="24"/>
        </w:rPr>
        <w:t>資料來源：產業園區管理局提供。</w:t>
      </w:r>
    </w:p>
    <w:p w:rsidR="00A26552" w:rsidRDefault="0036014C" w:rsidP="00A26552">
      <w:pPr>
        <w:ind w:leftChars="0" w:left="567" w:firstLineChars="0" w:firstLine="0"/>
        <w:jc w:val="right"/>
        <w:rPr>
          <w:rFonts w:hAnsi="標楷體"/>
          <w:sz w:val="24"/>
          <w:lang w:val="x-none" w:eastAsia="x-none"/>
        </w:rPr>
      </w:pPr>
      <w:r w:rsidRPr="009F1130">
        <w:rPr>
          <w:rFonts w:hAnsi="標楷體" w:hint="eastAsia"/>
          <w:sz w:val="24"/>
          <w:lang w:val="x-none" w:eastAsia="x-none"/>
        </w:rPr>
        <w:t xml:space="preserve"> </w:t>
      </w:r>
      <w:r w:rsidR="00A26552" w:rsidRPr="009F1130">
        <w:rPr>
          <w:rFonts w:hAnsi="標楷體" w:hint="eastAsia"/>
          <w:sz w:val="24"/>
          <w:lang w:val="x-none" w:eastAsia="x-none"/>
        </w:rPr>
        <w:t>(分機：191</w:t>
      </w:r>
      <w:r w:rsidR="00167C8E">
        <w:rPr>
          <w:rFonts w:hAnsi="標楷體" w:hint="eastAsia"/>
          <w:sz w:val="24"/>
          <w:lang w:val="x-none"/>
        </w:rPr>
        <w:t>8</w:t>
      </w:r>
      <w:r w:rsidR="00A26552" w:rsidRPr="009F1130">
        <w:rPr>
          <w:rFonts w:hAnsi="標楷體" w:hint="eastAsia"/>
          <w:sz w:val="24"/>
          <w:lang w:val="x-none" w:eastAsia="x-none"/>
        </w:rPr>
        <w:t xml:space="preserve"> </w:t>
      </w:r>
      <w:r w:rsidR="00167C8E">
        <w:rPr>
          <w:rFonts w:hAnsi="標楷體" w:hint="eastAsia"/>
          <w:sz w:val="24"/>
          <w:lang w:val="x-none"/>
        </w:rPr>
        <w:t>魏安國</w:t>
      </w:r>
      <w:r w:rsidR="00A26552" w:rsidRPr="009F1130">
        <w:rPr>
          <w:rFonts w:hAnsi="標楷體" w:hint="eastAsia"/>
          <w:sz w:val="24"/>
          <w:lang w:val="x-none" w:eastAsia="x-none"/>
        </w:rPr>
        <w:t>)</w:t>
      </w:r>
      <w:bookmarkStart w:id="5" w:name="_GoBack"/>
      <w:bookmarkEnd w:id="5"/>
    </w:p>
    <w:sectPr w:rsidR="00A26552"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dobeFanHeitiStd-Bold">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9C3654" w:rsidRPr="009C365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3654"/>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08055ABE-6135-4CC2-BEDF-81DD83DFA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16EE3-14A4-4678-9F87-D53390E47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267</Words>
  <Characters>1528</Characters>
  <Application>Microsoft Office Word</Application>
  <DocSecurity>0</DocSecurity>
  <Lines>12</Lines>
  <Paragraphs>3</Paragraphs>
  <ScaleCrop>false</ScaleCrop>
  <Company>HOME</Company>
  <LinksUpToDate>false</LinksUpToDate>
  <CharactersWithSpaces>1792</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