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773253" w:rsidRDefault="005D0A03" w:rsidP="00D32950">
      <w:pPr>
        <w:pStyle w:val="14"/>
        <w:ind w:left="567" w:hanging="567"/>
      </w:pPr>
      <w:bookmarkStart w:id="1" w:name="_Toc110417729"/>
      <w:bookmarkStart w:id="2" w:name="_Toc116814769"/>
      <w:bookmarkStart w:id="3" w:name="_Toc150268389"/>
      <w:bookmarkStart w:id="4" w:name="_Toc182507180"/>
      <w:r>
        <w:rPr>
          <w:rFonts w:hint="eastAsia"/>
        </w:rPr>
        <w:t>五</w:t>
      </w:r>
      <w:r w:rsidR="00773253" w:rsidRPr="006B164E">
        <w:rPr>
          <w:rFonts w:hint="eastAsia"/>
        </w:rPr>
        <w:t>、</w:t>
      </w:r>
      <w:r w:rsidR="00090EFB" w:rsidRPr="00090EFB">
        <w:rPr>
          <w:rFonts w:hint="eastAsia"/>
        </w:rPr>
        <w:t>農業科技園區作業基金</w:t>
      </w:r>
      <w:r w:rsidR="00773253">
        <w:rPr>
          <w:rFonts w:hint="eastAsia"/>
        </w:rPr>
        <w:t>「</w:t>
      </w:r>
      <w:r w:rsidR="00773253" w:rsidRPr="002630A2">
        <w:rPr>
          <w:rFonts w:hint="eastAsia"/>
        </w:rPr>
        <w:t>水資源處理場第3、4期擴建工程</w:t>
      </w:r>
      <w:r w:rsidR="00773253">
        <w:rPr>
          <w:rFonts w:hint="eastAsia"/>
        </w:rPr>
        <w:t>」補辦預算作業未盡周延，允宜檢討改善</w:t>
      </w:r>
      <w:bookmarkEnd w:id="3"/>
      <w:r w:rsidR="00090EFB">
        <w:rPr>
          <w:rFonts w:hAnsi="標楷體" w:hint="eastAsia"/>
        </w:rPr>
        <w:t>，</w:t>
      </w:r>
      <w:r w:rsidR="00090EFB">
        <w:rPr>
          <w:rFonts w:hint="eastAsia"/>
        </w:rPr>
        <w:t>並加強工程進度控管</w:t>
      </w:r>
      <w:r w:rsidR="00090EFB">
        <w:rPr>
          <w:rFonts w:hAnsi="標楷體" w:hint="eastAsia"/>
        </w:rPr>
        <w:t>，以利如期完工</w:t>
      </w:r>
      <w:bookmarkEnd w:id="4"/>
    </w:p>
    <w:p w:rsidR="00773253" w:rsidRDefault="00773253" w:rsidP="00773253">
      <w:pPr>
        <w:ind w:left="566" w:firstLine="566"/>
      </w:pPr>
      <w:r>
        <w:rPr>
          <w:rFonts w:hint="eastAsia"/>
        </w:rPr>
        <w:t>農業科技園區作業基金1</w:t>
      </w:r>
      <w:r>
        <w:t>1</w:t>
      </w:r>
      <w:r>
        <w:rPr>
          <w:rFonts w:hint="eastAsia"/>
        </w:rPr>
        <w:t>4年度預算案編列補辦預算4</w:t>
      </w:r>
      <w:r>
        <w:t>,</w:t>
      </w:r>
      <w:r>
        <w:rPr>
          <w:rFonts w:hint="eastAsia"/>
        </w:rPr>
        <w:t>158萬2千元，係辦理固定資產建設改良擴充專案計畫「</w:t>
      </w:r>
      <w:r w:rsidRPr="002630A2">
        <w:rPr>
          <w:rFonts w:hint="eastAsia"/>
        </w:rPr>
        <w:t>水資源處理場第3、4期擴建工程</w:t>
      </w:r>
      <w:r>
        <w:rPr>
          <w:rFonts w:hint="eastAsia"/>
        </w:rPr>
        <w:t>」，於1</w:t>
      </w:r>
      <w:r>
        <w:t>1</w:t>
      </w:r>
      <w:r>
        <w:rPr>
          <w:rFonts w:hint="eastAsia"/>
        </w:rPr>
        <w:t>3年度先行辦理，並於1</w:t>
      </w:r>
      <w:r>
        <w:t>1</w:t>
      </w:r>
      <w:r>
        <w:rPr>
          <w:rFonts w:hint="eastAsia"/>
        </w:rPr>
        <w:t>4年度補辦預算。經查：</w:t>
      </w:r>
    </w:p>
    <w:p w:rsidR="00773253" w:rsidRPr="001A1460" w:rsidRDefault="00773253" w:rsidP="00773253">
      <w:pPr>
        <w:pStyle w:val="a4"/>
        <w:ind w:left="849" w:hanging="283"/>
        <w:rPr>
          <w:b/>
        </w:rPr>
      </w:pPr>
      <w:r w:rsidRPr="001A1460">
        <w:rPr>
          <w:rFonts w:hint="eastAsia"/>
          <w:b/>
        </w:rPr>
        <w:t>(一)桃園農業物流園區建設計畫概述</w:t>
      </w:r>
    </w:p>
    <w:p w:rsidR="00773253" w:rsidRDefault="00773253" w:rsidP="00773253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「農業生物科技園區水資源處理場第3、4期擴建計畫」總經費2億7,062萬元，計畫期程自111年1月至114年6月，主要係為發展農業科技，引進農業科技人才，營造農業科技聚落，促進農業產業轉型。農業部屏東農業生物技術園區管理中心自92年起執行農業生物科技園區計畫(期程92年度至98年度)，並於95年底正式營運，且為因應農業加值產業未來發展需要及新增用地需求，自103年起辦理「農業生物科技園區擴充計畫」，依擴充園區污水量推估值，加上既有園區現有污水量，推估未來全園區平均日污水量約8,000CMD(公噸/每天)，最大日污水量約9,000CMD。對照現有設施計處理量4,000CMD，爰規劃於既有園區污水廠旁再擴建4,000CMD之處理設施，以利統一控管污水排放總量及水質，提供區內廠商完整服務，增加進駐誘因，並確保排放水水質符合標準，降低環境衝擊。</w:t>
      </w:r>
    </w:p>
    <w:p w:rsidR="00773253" w:rsidRDefault="00773253" w:rsidP="00773253">
      <w:pPr>
        <w:pStyle w:val="a4"/>
        <w:ind w:left="849" w:hanging="283"/>
        <w:rPr>
          <w:b/>
        </w:rPr>
      </w:pPr>
      <w:r w:rsidRPr="001A1460">
        <w:rPr>
          <w:rFonts w:hint="eastAsia"/>
          <w:b/>
        </w:rPr>
        <w:t>(二)</w:t>
      </w:r>
      <w:r>
        <w:rPr>
          <w:rFonts w:hAnsi="標楷體" w:hint="eastAsia"/>
          <w:b/>
        </w:rPr>
        <w:t>「</w:t>
      </w:r>
      <w:r w:rsidRPr="00894DB9">
        <w:rPr>
          <w:rFonts w:hint="eastAsia"/>
          <w:b/>
        </w:rPr>
        <w:t>水資源處理場第3、4期擴建計畫」</w:t>
      </w:r>
      <w:r>
        <w:rPr>
          <w:rFonts w:hint="eastAsia"/>
          <w:b/>
        </w:rPr>
        <w:t>執行情形</w:t>
      </w:r>
    </w:p>
    <w:p w:rsidR="00773253" w:rsidRDefault="00773253" w:rsidP="00773253">
      <w:pPr>
        <w:pStyle w:val="2"/>
        <w:ind w:left="850" w:firstLine="566"/>
      </w:pPr>
      <w:r w:rsidRPr="00894DB9">
        <w:rPr>
          <w:rFonts w:hint="eastAsia"/>
        </w:rPr>
        <w:t>「水資源處理場第3、4期擴建計畫」</w:t>
      </w:r>
      <w:r w:rsidRPr="00446C76">
        <w:rPr>
          <w:rFonts w:hint="eastAsia"/>
        </w:rPr>
        <w:t>112年度預算編列1億3,000萬元，執行數1億2,071萬</w:t>
      </w:r>
      <w:r>
        <w:rPr>
          <w:rFonts w:hint="eastAsia"/>
        </w:rPr>
        <w:t>8千</w:t>
      </w:r>
      <w:r w:rsidRPr="00446C76">
        <w:rPr>
          <w:rFonts w:hint="eastAsia"/>
        </w:rPr>
        <w:t>元</w:t>
      </w:r>
      <w:r>
        <w:rPr>
          <w:rFonts w:hAnsi="標楷體" w:hint="eastAsia"/>
        </w:rPr>
        <w:t>，</w:t>
      </w:r>
      <w:r>
        <w:rPr>
          <w:rFonts w:hint="eastAsia"/>
        </w:rPr>
        <w:t>執行率92.86%</w:t>
      </w:r>
      <w:r w:rsidRPr="00446C76">
        <w:rPr>
          <w:rFonts w:hint="eastAsia"/>
        </w:rPr>
        <w:t>，</w:t>
      </w:r>
      <w:r w:rsidRPr="00446C76">
        <w:rPr>
          <w:rFonts w:hint="eastAsia"/>
        </w:rPr>
        <w:lastRenderedPageBreak/>
        <w:t>保留數733萬</w:t>
      </w:r>
      <w:r>
        <w:rPr>
          <w:rFonts w:hint="eastAsia"/>
        </w:rPr>
        <w:t>5千</w:t>
      </w:r>
      <w:r w:rsidRPr="00446C76">
        <w:rPr>
          <w:rFonts w:hint="eastAsia"/>
        </w:rPr>
        <w:t>元</w:t>
      </w:r>
      <w:r>
        <w:rPr>
          <w:rFonts w:hAnsi="標楷體" w:hint="eastAsia"/>
        </w:rPr>
        <w:t>，</w:t>
      </w:r>
      <w:r>
        <w:rPr>
          <w:rFonts w:hint="eastAsia"/>
        </w:rPr>
        <w:t>保留比率5.64%</w:t>
      </w:r>
      <w:r>
        <w:rPr>
          <w:rFonts w:hAnsi="標楷體" w:hint="eastAsia"/>
        </w:rPr>
        <w:t>，賸餘數194萬7千元</w:t>
      </w:r>
      <w:r w:rsidRPr="00446C76">
        <w:rPr>
          <w:rFonts w:hint="eastAsia"/>
        </w:rPr>
        <w:t>。</w:t>
      </w:r>
      <w:r>
        <w:rPr>
          <w:rFonts w:hint="eastAsia"/>
        </w:rPr>
        <w:t>113年度預算數9</w:t>
      </w:r>
      <w:r>
        <w:t>,</w:t>
      </w:r>
      <w:r>
        <w:rPr>
          <w:rFonts w:hint="eastAsia"/>
        </w:rPr>
        <w:t>000萬元</w:t>
      </w:r>
      <w:r w:rsidR="00C312BB">
        <w:rPr>
          <w:rFonts w:hAnsi="標楷體" w:hint="eastAsia"/>
        </w:rPr>
        <w:t>，</w:t>
      </w:r>
      <w:r>
        <w:rPr>
          <w:rFonts w:hint="eastAsia"/>
        </w:rPr>
        <w:t>截至8月底止</w:t>
      </w:r>
      <w:r>
        <w:rPr>
          <w:rFonts w:hAnsi="標楷體" w:hint="eastAsia"/>
        </w:rPr>
        <w:t>，</w:t>
      </w:r>
      <w:r w:rsidR="00C312BB">
        <w:rPr>
          <w:rFonts w:hAnsi="標楷體" w:hint="eastAsia"/>
        </w:rPr>
        <w:t>執行數6</w:t>
      </w:r>
      <w:r w:rsidR="00C312BB">
        <w:rPr>
          <w:rFonts w:hAnsi="標楷體"/>
        </w:rPr>
        <w:t>,</w:t>
      </w:r>
      <w:r w:rsidR="00C312BB">
        <w:rPr>
          <w:rFonts w:hAnsi="標楷體" w:hint="eastAsia"/>
        </w:rPr>
        <w:t>655萬5千元，執行率73.95%。</w:t>
      </w:r>
      <w:r w:rsidRPr="00446C76">
        <w:rPr>
          <w:rFonts w:hint="eastAsia"/>
        </w:rPr>
        <w:t>本案已於112年3月21日開工，工期540日曆天，於112年第2季至113年第2季期間辦理工程施作(含試運轉)及工程監造，本案於113年10月完工進入試運轉，試運轉90日曆天，預定於114年5月取得水污染防治措施許可證後即可正式營運。</w:t>
      </w:r>
    </w:p>
    <w:p w:rsidR="00773253" w:rsidRPr="00A8415F" w:rsidRDefault="00773253" w:rsidP="00773253">
      <w:pPr>
        <w:pStyle w:val="a4"/>
        <w:ind w:left="849" w:hanging="283"/>
        <w:rPr>
          <w:b/>
        </w:rPr>
      </w:pPr>
      <w:r w:rsidRPr="00A8415F">
        <w:rPr>
          <w:rFonts w:hint="eastAsia"/>
          <w:b/>
        </w:rPr>
        <w:t>(三)1</w:t>
      </w:r>
      <w:r w:rsidRPr="00A8415F">
        <w:rPr>
          <w:b/>
        </w:rPr>
        <w:t>13</w:t>
      </w:r>
      <w:r w:rsidRPr="00A8415F">
        <w:rPr>
          <w:rFonts w:hint="eastAsia"/>
          <w:b/>
        </w:rPr>
        <w:t>年度未循預算程序辦理，報經行政院先行動支並於1</w:t>
      </w:r>
      <w:r w:rsidRPr="00A8415F">
        <w:rPr>
          <w:b/>
        </w:rPr>
        <w:t>14</w:t>
      </w:r>
      <w:r w:rsidRPr="00A8415F">
        <w:rPr>
          <w:rFonts w:hint="eastAsia"/>
          <w:b/>
        </w:rPr>
        <w:t>年度補辦預算，相關預算編製作業未盡周延</w:t>
      </w:r>
    </w:p>
    <w:p w:rsidR="00773253" w:rsidRPr="00B60ECF" w:rsidRDefault="00773253" w:rsidP="00773253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據1</w:t>
      </w:r>
      <w:r>
        <w:t>1</w:t>
      </w:r>
      <w:r>
        <w:rPr>
          <w:rFonts w:hint="eastAsia"/>
        </w:rPr>
        <w:t>4年度中央政府總預算附屬單位預算編製應行注意事項第一、(三)點落實計畫預算制度規定，「當年度必須辦理之計畫，均應配合年度預算編製時程核實估列所需經費，納入年度預算。」第一、(十六)點規定，「各基金應核實編列預算，避免補辦預算。如確屬經營環境發生重大變遷或正常業務之確實需要，且具急迫性及必要性，無法循年度預算程序辦理之重大案件，</w:t>
      </w:r>
      <w:r w:rsidRPr="00432354">
        <w:rPr>
          <w:rFonts w:hAnsi="標楷體"/>
        </w:rPr>
        <w:t>…</w:t>
      </w:r>
      <w:r>
        <w:rPr>
          <w:rFonts w:hint="eastAsia"/>
        </w:rPr>
        <w:t>依預算法第8</w:t>
      </w:r>
      <w:r>
        <w:t>8</w:t>
      </w:r>
      <w:r>
        <w:rPr>
          <w:rFonts w:hint="eastAsia"/>
        </w:rPr>
        <w:t>條規定，報經核准者，始得先行辦理，並補辦預算。」</w:t>
      </w:r>
      <w:r w:rsidRPr="00A8415F">
        <w:rPr>
          <w:rFonts w:hint="eastAsia"/>
        </w:rPr>
        <w:t>農業科技園區作業基金</w:t>
      </w:r>
      <w:r>
        <w:rPr>
          <w:rFonts w:hint="eastAsia"/>
        </w:rPr>
        <w:t>於籌編預算案時即應按當年度預算籌編時程及相關作業規範，核實估列所需經費，納入年度預算，循預算程序辦理。惟該基金</w:t>
      </w:r>
      <w:r w:rsidRPr="00A8415F">
        <w:rPr>
          <w:rFonts w:hint="eastAsia"/>
        </w:rPr>
        <w:t>為農業科技園區業務所需，辦理水資源處理場第 3、4 期擴建工程</w:t>
      </w:r>
      <w:r>
        <w:rPr>
          <w:rFonts w:hint="eastAsia"/>
        </w:rPr>
        <w:t>籌編1</w:t>
      </w:r>
      <w:r>
        <w:t>1</w:t>
      </w:r>
      <w:r>
        <w:rPr>
          <w:rFonts w:hint="eastAsia"/>
        </w:rPr>
        <w:t>3年度預算時，</w:t>
      </w:r>
      <w:r w:rsidR="00ED26FC" w:rsidRPr="00ED26FC">
        <w:rPr>
          <w:rFonts w:hint="eastAsia"/>
        </w:rPr>
        <w:t>整體水資場擴建工程(包含120日功能試運轉)</w:t>
      </w:r>
      <w:r w:rsidR="00ED26FC">
        <w:rPr>
          <w:rFonts w:hint="eastAsia"/>
        </w:rPr>
        <w:t>預計於114</w:t>
      </w:r>
      <w:r w:rsidR="00ED26FC" w:rsidRPr="00ED26FC">
        <w:rPr>
          <w:rFonts w:hint="eastAsia"/>
        </w:rPr>
        <w:t>年4月執行完畢，</w:t>
      </w:r>
      <w:r w:rsidR="00ED26FC">
        <w:rPr>
          <w:rFonts w:hint="eastAsia"/>
        </w:rPr>
        <w:t>惟</w:t>
      </w:r>
      <w:r w:rsidR="00ED26FC" w:rsidRPr="00ED26FC">
        <w:rPr>
          <w:rFonts w:hint="eastAsia"/>
        </w:rPr>
        <w:t>因主體工程</w:t>
      </w:r>
      <w:r w:rsidR="00090EFB">
        <w:rPr>
          <w:rFonts w:hint="eastAsia"/>
        </w:rPr>
        <w:t>將於113</w:t>
      </w:r>
      <w:r w:rsidR="00ED26FC" w:rsidRPr="00ED26FC">
        <w:rPr>
          <w:rFonts w:hint="eastAsia"/>
        </w:rPr>
        <w:t>年底完成</w:t>
      </w:r>
      <w:r w:rsidR="00ED26FC">
        <w:rPr>
          <w:rFonts w:hAnsi="標楷體" w:hint="eastAsia"/>
        </w:rPr>
        <w:t>，</w:t>
      </w:r>
      <w:r>
        <w:rPr>
          <w:rFonts w:hint="eastAsia"/>
        </w:rPr>
        <w:t>原編列預算不足支應，經行政院113年5月16日院授農會字第 1130219766號函同意於113年度先行辦理，並補辦 114 年度預算4,158萬2千元，相關預算編製作業未盡周延，允宜檢討改善。</w:t>
      </w:r>
    </w:p>
    <w:p w:rsidR="00773253" w:rsidRDefault="00773253" w:rsidP="00773253">
      <w:pPr>
        <w:ind w:left="566" w:firstLine="566"/>
      </w:pPr>
      <w:r w:rsidRPr="009D3589">
        <w:rPr>
          <w:rFonts w:hint="eastAsia"/>
        </w:rPr>
        <w:lastRenderedPageBreak/>
        <w:t>綜上，</w:t>
      </w:r>
      <w:r w:rsidRPr="00FD09C9">
        <w:rPr>
          <w:rFonts w:hint="eastAsia"/>
        </w:rPr>
        <w:t>農業科技園區作業基金</w:t>
      </w:r>
      <w:r w:rsidRPr="00D341CB">
        <w:rPr>
          <w:rFonts w:hint="eastAsia"/>
        </w:rPr>
        <w:t>11</w:t>
      </w:r>
      <w:r>
        <w:t>3</w:t>
      </w:r>
      <w:r w:rsidRPr="00D341CB">
        <w:rPr>
          <w:rFonts w:hint="eastAsia"/>
        </w:rPr>
        <w:t>年度未循預算程序辦理</w:t>
      </w:r>
      <w:r>
        <w:rPr>
          <w:rFonts w:hint="eastAsia"/>
        </w:rPr>
        <w:t>新興購建固定資產之預算籌編</w:t>
      </w:r>
      <w:r w:rsidRPr="00D341CB">
        <w:rPr>
          <w:rFonts w:hint="eastAsia"/>
        </w:rPr>
        <w:t>，</w:t>
      </w:r>
      <w:r>
        <w:rPr>
          <w:rFonts w:hint="eastAsia"/>
        </w:rPr>
        <w:t>而申請先行辦理並於</w:t>
      </w:r>
      <w:r w:rsidRPr="00FD09C9">
        <w:rPr>
          <w:rFonts w:hint="eastAsia"/>
        </w:rPr>
        <w:t>11</w:t>
      </w:r>
      <w:r>
        <w:t>4</w:t>
      </w:r>
      <w:r w:rsidRPr="00FD09C9">
        <w:rPr>
          <w:rFonts w:hint="eastAsia"/>
        </w:rPr>
        <w:t>年度預算案補辦預算</w:t>
      </w:r>
      <w:r w:rsidRPr="00CF1ABC">
        <w:rPr>
          <w:rFonts w:hint="eastAsia"/>
        </w:rPr>
        <w:t>4,158萬2千元</w:t>
      </w:r>
      <w:r>
        <w:rPr>
          <w:rFonts w:hint="eastAsia"/>
        </w:rPr>
        <w:t>，</w:t>
      </w:r>
      <w:r w:rsidRPr="00D341CB">
        <w:rPr>
          <w:rFonts w:hint="eastAsia"/>
        </w:rPr>
        <w:t>相關預算編製作業未盡周延，</w:t>
      </w:r>
      <w:r>
        <w:rPr>
          <w:rFonts w:hint="eastAsia"/>
        </w:rPr>
        <w:t>允宜</w:t>
      </w:r>
      <w:r w:rsidRPr="00555407">
        <w:rPr>
          <w:rFonts w:hint="eastAsia"/>
        </w:rPr>
        <w:t>檢討改進</w:t>
      </w:r>
      <w:r>
        <w:rPr>
          <w:rFonts w:hint="eastAsia"/>
        </w:rPr>
        <w:t>預算編製作業，並控管</w:t>
      </w:r>
      <w:r w:rsidRPr="00CF1ABC">
        <w:rPr>
          <w:rFonts w:hint="eastAsia"/>
        </w:rPr>
        <w:t>水資源處理場第3、4期擴建工程</w:t>
      </w:r>
      <w:r>
        <w:rPr>
          <w:rFonts w:hint="eastAsia"/>
        </w:rPr>
        <w:t>進度，以利如期完工</w:t>
      </w:r>
      <w:r w:rsidRPr="00555407">
        <w:rPr>
          <w:rFonts w:hint="eastAsia"/>
        </w:rPr>
        <w:t>。</w:t>
      </w:r>
    </w:p>
    <w:p w:rsidR="00ED26FC" w:rsidRDefault="00ED26FC" w:rsidP="00ED26FC">
      <w:pPr>
        <w:ind w:leftChars="164" w:left="566" w:hangingChars="36" w:hanging="102"/>
        <w:rPr>
          <w:b/>
        </w:rPr>
      </w:pPr>
      <w:r>
        <w:rPr>
          <w:rFonts w:hAnsi="標楷體" w:hint="eastAsia"/>
          <w:b/>
        </w:rPr>
        <w:t>表1  「</w:t>
      </w:r>
      <w:r w:rsidRPr="00894DB9">
        <w:rPr>
          <w:rFonts w:hint="eastAsia"/>
          <w:b/>
        </w:rPr>
        <w:t>水資源處理場第3、4期擴建計畫」</w:t>
      </w:r>
      <w:r>
        <w:rPr>
          <w:rFonts w:hint="eastAsia"/>
          <w:b/>
        </w:rPr>
        <w:t>預決算執行情形表</w:t>
      </w:r>
    </w:p>
    <w:p w:rsidR="00ED26FC" w:rsidRPr="00ED26FC" w:rsidRDefault="00ED26FC" w:rsidP="00ED26FC">
      <w:pPr>
        <w:ind w:leftChars="164" w:left="552" w:hangingChars="36" w:hanging="88"/>
        <w:jc w:val="right"/>
        <w:rPr>
          <w:rFonts w:hint="eastAsia"/>
          <w:sz w:val="24"/>
          <w:szCs w:val="24"/>
        </w:rPr>
      </w:pPr>
      <w:r w:rsidRPr="00ED26FC">
        <w:rPr>
          <w:rFonts w:hAnsi="標楷體" w:hint="eastAsia"/>
          <w:sz w:val="24"/>
          <w:szCs w:val="24"/>
        </w:rPr>
        <w:t>單位：</w:t>
      </w:r>
      <w:r w:rsidR="008F0454">
        <w:rPr>
          <w:rFonts w:hAnsi="標楷體" w:hint="eastAsia"/>
          <w:sz w:val="24"/>
          <w:szCs w:val="24"/>
        </w:rPr>
        <w:t>新臺幣</w:t>
      </w:r>
      <w:r w:rsidRPr="00ED26FC">
        <w:rPr>
          <w:rFonts w:hAnsi="標楷體" w:hint="eastAsia"/>
          <w:sz w:val="24"/>
          <w:szCs w:val="24"/>
        </w:rPr>
        <w:t>千元；%</w:t>
      </w:r>
    </w:p>
    <w:tbl>
      <w:tblPr>
        <w:tblW w:w="0" w:type="auto"/>
        <w:tblInd w:w="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2051"/>
        <w:gridCol w:w="2051"/>
        <w:gridCol w:w="2041"/>
      </w:tblGrid>
      <w:tr w:rsidR="00ED26FC" w:rsidTr="00A63DB7">
        <w:trPr>
          <w:tblHeader/>
        </w:trPr>
        <w:tc>
          <w:tcPr>
            <w:tcW w:w="2010" w:type="dxa"/>
            <w:shd w:val="clear" w:color="auto" w:fill="auto"/>
          </w:tcPr>
          <w:p w:rsidR="00ED26FC" w:rsidRPr="00A63DB7" w:rsidRDefault="00ED26FC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年度</w:t>
            </w:r>
          </w:p>
        </w:tc>
        <w:tc>
          <w:tcPr>
            <w:tcW w:w="2051" w:type="dxa"/>
            <w:shd w:val="clear" w:color="auto" w:fill="auto"/>
          </w:tcPr>
          <w:p w:rsidR="00ED26FC" w:rsidRPr="00A63DB7" w:rsidRDefault="00ED26FC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預算數</w:t>
            </w:r>
          </w:p>
        </w:tc>
        <w:tc>
          <w:tcPr>
            <w:tcW w:w="2051" w:type="dxa"/>
            <w:shd w:val="clear" w:color="auto" w:fill="auto"/>
          </w:tcPr>
          <w:p w:rsidR="00ED26FC" w:rsidRPr="00A63DB7" w:rsidRDefault="00ED26FC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決算數</w:t>
            </w:r>
          </w:p>
        </w:tc>
        <w:tc>
          <w:tcPr>
            <w:tcW w:w="2041" w:type="dxa"/>
            <w:shd w:val="clear" w:color="auto" w:fill="auto"/>
          </w:tcPr>
          <w:p w:rsidR="00ED26FC" w:rsidRPr="00A63DB7" w:rsidRDefault="00ED26FC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執行率</w:t>
            </w:r>
          </w:p>
        </w:tc>
      </w:tr>
      <w:tr w:rsidR="00ED26FC" w:rsidTr="00A63DB7">
        <w:tc>
          <w:tcPr>
            <w:tcW w:w="2010" w:type="dxa"/>
            <w:shd w:val="clear" w:color="auto" w:fill="auto"/>
          </w:tcPr>
          <w:p w:rsidR="00ED26FC" w:rsidRDefault="00ED26FC" w:rsidP="00ED26FC">
            <w:pPr>
              <w:pStyle w:val="142"/>
            </w:pPr>
            <w:r>
              <w:rPr>
                <w:rFonts w:hint="eastAsia"/>
              </w:rPr>
              <w:t>111</w:t>
            </w:r>
          </w:p>
        </w:tc>
        <w:tc>
          <w:tcPr>
            <w:tcW w:w="2051" w:type="dxa"/>
            <w:shd w:val="clear" w:color="auto" w:fill="auto"/>
          </w:tcPr>
          <w:p w:rsidR="00ED26FC" w:rsidRDefault="00ED26FC" w:rsidP="00A63DB7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,</w:t>
            </w:r>
            <w:r>
              <w:rPr>
                <w:rFonts w:hint="eastAsia"/>
              </w:rPr>
              <w:t>038</w:t>
            </w:r>
          </w:p>
        </w:tc>
        <w:tc>
          <w:tcPr>
            <w:tcW w:w="2051" w:type="dxa"/>
            <w:shd w:val="clear" w:color="auto" w:fill="auto"/>
          </w:tcPr>
          <w:p w:rsidR="00ED26FC" w:rsidRDefault="00ED26FC" w:rsidP="00A63DB7">
            <w:pPr>
              <w:pStyle w:val="142"/>
              <w:jc w:val="right"/>
            </w:pPr>
            <w:r w:rsidRPr="00ED26FC">
              <w:t>9,038</w:t>
            </w:r>
          </w:p>
        </w:tc>
        <w:tc>
          <w:tcPr>
            <w:tcW w:w="2041" w:type="dxa"/>
            <w:shd w:val="clear" w:color="auto" w:fill="auto"/>
          </w:tcPr>
          <w:p w:rsidR="00ED26FC" w:rsidRDefault="00ED26FC" w:rsidP="00A63DB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ED26FC" w:rsidTr="00A63DB7">
        <w:tc>
          <w:tcPr>
            <w:tcW w:w="2010" w:type="dxa"/>
            <w:shd w:val="clear" w:color="auto" w:fill="auto"/>
          </w:tcPr>
          <w:p w:rsidR="00ED26FC" w:rsidRDefault="00ED26FC" w:rsidP="00ED26FC">
            <w:pPr>
              <w:pStyle w:val="142"/>
            </w:pPr>
            <w:r>
              <w:rPr>
                <w:rFonts w:hint="eastAsia"/>
              </w:rPr>
              <w:t>112</w:t>
            </w:r>
          </w:p>
        </w:tc>
        <w:tc>
          <w:tcPr>
            <w:tcW w:w="2051" w:type="dxa"/>
            <w:shd w:val="clear" w:color="auto" w:fill="auto"/>
          </w:tcPr>
          <w:p w:rsidR="00ED26FC" w:rsidRDefault="00ED26FC" w:rsidP="00A63DB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30,000</w:t>
            </w:r>
          </w:p>
        </w:tc>
        <w:tc>
          <w:tcPr>
            <w:tcW w:w="2051" w:type="dxa"/>
            <w:shd w:val="clear" w:color="auto" w:fill="auto"/>
          </w:tcPr>
          <w:p w:rsidR="00ED26FC" w:rsidRDefault="00ED26FC" w:rsidP="00A63DB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20,718</w:t>
            </w:r>
          </w:p>
        </w:tc>
        <w:tc>
          <w:tcPr>
            <w:tcW w:w="2041" w:type="dxa"/>
            <w:shd w:val="clear" w:color="auto" w:fill="auto"/>
          </w:tcPr>
          <w:p w:rsidR="00ED26FC" w:rsidRDefault="00ED26FC" w:rsidP="00A63DB7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2.86</w:t>
            </w:r>
          </w:p>
        </w:tc>
      </w:tr>
      <w:tr w:rsidR="00ED26FC" w:rsidTr="00A63DB7">
        <w:tc>
          <w:tcPr>
            <w:tcW w:w="2010" w:type="dxa"/>
            <w:shd w:val="clear" w:color="auto" w:fill="auto"/>
          </w:tcPr>
          <w:p w:rsidR="00ED26FC" w:rsidRDefault="00ED26FC" w:rsidP="00ED26FC">
            <w:pPr>
              <w:pStyle w:val="142"/>
            </w:pPr>
            <w:r>
              <w:rPr>
                <w:rFonts w:hint="eastAsia"/>
              </w:rPr>
              <w:t>113</w:t>
            </w:r>
          </w:p>
        </w:tc>
        <w:tc>
          <w:tcPr>
            <w:tcW w:w="2051" w:type="dxa"/>
            <w:shd w:val="clear" w:color="auto" w:fill="auto"/>
          </w:tcPr>
          <w:p w:rsidR="00ED26FC" w:rsidRDefault="00ED26FC" w:rsidP="00A63DB7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0,000</w:t>
            </w:r>
          </w:p>
        </w:tc>
        <w:tc>
          <w:tcPr>
            <w:tcW w:w="2051" w:type="dxa"/>
            <w:shd w:val="clear" w:color="auto" w:fill="auto"/>
          </w:tcPr>
          <w:p w:rsidR="00ED26FC" w:rsidRDefault="00ED26FC" w:rsidP="00A63DB7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6,555</w:t>
            </w:r>
          </w:p>
        </w:tc>
        <w:tc>
          <w:tcPr>
            <w:tcW w:w="2041" w:type="dxa"/>
            <w:shd w:val="clear" w:color="auto" w:fill="auto"/>
          </w:tcPr>
          <w:p w:rsidR="00ED26FC" w:rsidRDefault="00ED26FC" w:rsidP="00A63DB7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3.95</w:t>
            </w:r>
          </w:p>
        </w:tc>
      </w:tr>
    </w:tbl>
    <w:p w:rsidR="00090EFB" w:rsidRDefault="00090EFB" w:rsidP="00ED26FC">
      <w:pPr>
        <w:pStyle w:val="142"/>
        <w:ind w:left="560" w:right="972" w:hanging="182"/>
      </w:pPr>
      <w:r>
        <w:rPr>
          <w:rFonts w:hint="eastAsia"/>
        </w:rPr>
        <w:t>說    明</w:t>
      </w:r>
      <w:r>
        <w:rPr>
          <w:rFonts w:hAnsi="標楷體" w:hint="eastAsia"/>
        </w:rPr>
        <w:t>：</w:t>
      </w:r>
      <w:r>
        <w:rPr>
          <w:rFonts w:hint="eastAsia"/>
        </w:rPr>
        <w:t>113年度決算數係迄8月底</w:t>
      </w:r>
      <w:r>
        <w:rPr>
          <w:rFonts w:hAnsi="標楷體" w:hint="eastAsia"/>
        </w:rPr>
        <w:t>。</w:t>
      </w:r>
    </w:p>
    <w:p w:rsidR="00ED26FC" w:rsidRDefault="00ED26FC" w:rsidP="00ED26FC">
      <w:pPr>
        <w:pStyle w:val="142"/>
        <w:ind w:left="560" w:right="972" w:hanging="182"/>
      </w:pPr>
      <w:r>
        <w:rPr>
          <w:rFonts w:hint="eastAsia"/>
        </w:rPr>
        <w:t>資料來源：</w:t>
      </w:r>
      <w:r w:rsidRPr="006C4619">
        <w:rPr>
          <w:rFonts w:hint="eastAsia"/>
        </w:rPr>
        <w:t>農業生物科技園區作業基金</w:t>
      </w:r>
      <w:r>
        <w:rPr>
          <w:rFonts w:hint="eastAsia"/>
        </w:rPr>
        <w:t>提供。</w:t>
      </w:r>
    </w:p>
    <w:bookmarkEnd w:id="2"/>
    <w:bookmarkEnd w:id="1"/>
    <w:sectPr w:rsidR="00ED26FC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A01C47" w:rsidRPr="00A01C47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1C47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BE86AD1-DADC-4B84-8CDB-F5E6CAEB3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434CF-7602-45F4-AA9F-7F331A602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249</Words>
  <Characters>1423</Characters>
  <Application>Microsoft Office Word</Application>
  <DocSecurity>0</DocSecurity>
  <Lines>11</Lines>
  <Paragraphs>3</Paragraphs>
  <ScaleCrop>false</ScaleCrop>
  <Company>HOME</Company>
  <LinksUpToDate>false</LinksUpToDate>
  <CharactersWithSpaces>1669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