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0B62A3" w:rsidRPr="005E2D3D" w:rsidRDefault="00A43C00" w:rsidP="00A43C00">
      <w:pPr>
        <w:pStyle w:val="14"/>
        <w:ind w:left="567" w:hanging="567"/>
        <w:rPr>
          <w:rFonts w:hint="eastAsia"/>
        </w:rPr>
      </w:pPr>
      <w:bookmarkStart w:id="22" w:name="_Toc90262988"/>
      <w:bookmarkStart w:id="23" w:name="_Toc117687825"/>
      <w:bookmarkStart w:id="24" w:name="_Toc193193672"/>
      <w:bookmarkStart w:id="25" w:name="_Toc211833269"/>
      <w:bookmarkStart w:id="26" w:name="_Toc212377651"/>
      <w:bookmarkStart w:id="27" w:name="_Toc529372096"/>
      <w:bookmarkStart w:id="28" w:name="_Toc401939637"/>
      <w:bookmarkStart w:id="29" w:name="_Toc371675199"/>
      <w:bookmarkStart w:id="30" w:name="_Toc175065762"/>
      <w:bookmarkStart w:id="31" w:name="_Toc182486019"/>
      <w:r w:rsidRPr="005E2D3D">
        <w:rPr>
          <w:rFonts w:hint="eastAsia"/>
        </w:rPr>
        <w:t>六、國發基金推動創業拔萃方案及臺灣矽谷科技基金投資計畫</w:t>
      </w:r>
      <w:r w:rsidRPr="005E2D3D">
        <w:rPr>
          <w:rFonts w:hint="eastAsia"/>
          <w:snapToGrid/>
        </w:rPr>
        <w:t>，部分創投事業投資決策未盡配合計畫目標，致實際投入政策重點新創事業資金有限，影響計畫推動成效，允宜檢討改正</w:t>
      </w:r>
      <w:bookmarkEnd w:id="30"/>
      <w:bookmarkEnd w:id="31"/>
    </w:p>
    <w:p w:rsidR="000B62A3" w:rsidRPr="005E2D3D" w:rsidRDefault="000B62A3" w:rsidP="000B62A3">
      <w:pPr>
        <w:ind w:left="567" w:firstLine="567"/>
        <w:rPr>
          <w:rFonts w:hAnsi="標楷體" w:cs="Arial" w:hint="eastAsia"/>
        </w:rPr>
      </w:pPr>
      <w:r w:rsidRPr="005E2D3D">
        <w:rPr>
          <w:rFonts w:hAnsi="標楷體" w:cs="Arial" w:hint="eastAsia"/>
        </w:rPr>
        <w:t>為引進國際資金、投資能量與專業知識，並強化市場機能，於</w:t>
      </w:r>
      <w:r w:rsidRPr="005E2D3D">
        <w:rPr>
          <w:rFonts w:hAnsi="標楷體" w:cs="Arial"/>
        </w:rPr>
        <w:t>103</w:t>
      </w:r>
      <w:r w:rsidRPr="005E2D3D">
        <w:rPr>
          <w:rFonts w:hAnsi="標楷體" w:cs="Arial" w:hint="eastAsia"/>
        </w:rPr>
        <w:t>年9</w:t>
      </w:r>
      <w:r w:rsidR="004865C4">
        <w:rPr>
          <w:rFonts w:hAnsi="標楷體" w:cs="Arial" w:hint="eastAsia"/>
        </w:rPr>
        <w:t>月國發基金管理會</w:t>
      </w:r>
      <w:r w:rsidRPr="005E2D3D">
        <w:rPr>
          <w:rFonts w:hAnsi="標楷體" w:cs="Arial" w:hint="eastAsia"/>
        </w:rPr>
        <w:t>同意「推動創業拔萃方案投資計畫」；另於104年成立臺灣矽谷科技基金，促成國外公司和國內大廠多樣合作，及投資具有創新科技或商業模式之新創事業，以強化與矽谷間之連結。經查：</w:t>
      </w:r>
    </w:p>
    <w:p w:rsidR="000B62A3" w:rsidRPr="005E2D3D" w:rsidRDefault="000B62A3" w:rsidP="000B62A3">
      <w:pPr>
        <w:ind w:left="851" w:hangingChars="100" w:hanging="284"/>
        <w:rPr>
          <w:rFonts w:hAnsi="標楷體" w:cs="Arial" w:hint="eastAsia"/>
          <w:b/>
        </w:rPr>
      </w:pPr>
      <w:r w:rsidRPr="005E2D3D">
        <w:rPr>
          <w:rFonts w:hAnsi="標楷體" w:cs="Arial" w:hint="eastAsia"/>
          <w:b/>
        </w:rPr>
        <w:t>(一)創業拔萃方案及臺灣矽谷科技基金投資計畫內容</w:t>
      </w:r>
    </w:p>
    <w:p w:rsidR="000B62A3" w:rsidRPr="005E2D3D" w:rsidRDefault="000B62A3" w:rsidP="002906B2">
      <w:pPr>
        <w:ind w:leftChars="300" w:left="1134" w:hangingChars="100" w:hanging="284"/>
        <w:rPr>
          <w:rFonts w:hAnsi="標楷體" w:cs="新細明體"/>
          <w:snapToGrid/>
        </w:rPr>
      </w:pPr>
      <w:r w:rsidRPr="004865C4">
        <w:rPr>
          <w:rFonts w:hAnsi="標楷體" w:cs="Arial" w:hint="eastAsia"/>
          <w:b/>
          <w:snapToGrid/>
        </w:rPr>
        <w:t>1.</w:t>
      </w:r>
      <w:r w:rsidR="004865C4" w:rsidRPr="004865C4">
        <w:rPr>
          <w:rFonts w:hAnsi="標楷體" w:cs="Arial" w:hint="eastAsia"/>
          <w:b/>
          <w:snapToGrid/>
        </w:rPr>
        <w:t>創業拔萃方案</w:t>
      </w:r>
      <w:r w:rsidR="004865C4">
        <w:rPr>
          <w:rFonts w:hAnsi="標楷體" w:cs="Arial" w:hint="eastAsia"/>
          <w:b/>
          <w:snapToGrid/>
        </w:rPr>
        <w:t>投資計畫</w:t>
      </w:r>
      <w:r w:rsidR="004865C4" w:rsidRPr="004865C4">
        <w:rPr>
          <w:rFonts w:hAnsi="標楷體" w:cs="Arial" w:hint="eastAsia"/>
          <w:b/>
          <w:snapToGrid/>
        </w:rPr>
        <w:t>：</w:t>
      </w:r>
      <w:r w:rsidRPr="005E2D3D">
        <w:rPr>
          <w:rFonts w:hAnsi="標楷體" w:cs="新細明體" w:hint="eastAsia"/>
          <w:snapToGrid/>
        </w:rPr>
        <w:t>國發基金配合國發會推動</w:t>
      </w:r>
      <w:r w:rsidR="004865C4">
        <w:rPr>
          <w:rFonts w:hAnsi="標楷體" w:cs="新細明體" w:hint="eastAsia"/>
          <w:snapToGrid/>
        </w:rPr>
        <w:t>創業拔萃方案</w:t>
      </w:r>
      <w:r w:rsidR="002906B2" w:rsidRPr="005E2D3D">
        <w:rPr>
          <w:rFonts w:hAnsi="標楷體" w:cs="新細明體" w:hint="eastAsia"/>
          <w:snapToGrid/>
        </w:rPr>
        <w:t>，擬促成國內外創投合作、及運用創新誘因機制，引導資金投資我國早期新創</w:t>
      </w:r>
      <w:r w:rsidR="00052C09">
        <w:rPr>
          <w:rFonts w:hAnsi="標楷體" w:cs="新細明體" w:hint="eastAsia"/>
          <w:snapToGrid/>
        </w:rPr>
        <w:t>事業等方式，期協助引進國際創投專業知識，帶動我國新創事業投資，</w:t>
      </w:r>
      <w:r w:rsidR="002906B2" w:rsidRPr="005E2D3D">
        <w:rPr>
          <w:rFonts w:hAnsi="標楷體" w:cs="新細明體" w:hint="eastAsia"/>
          <w:snapToGrid/>
        </w:rPr>
        <w:t>加速新創事業發展</w:t>
      </w:r>
      <w:r w:rsidRPr="005E2D3D">
        <w:rPr>
          <w:rFonts w:hAnsi="標楷體" w:cs="新細明體" w:hint="eastAsia"/>
          <w:snapToGrid/>
        </w:rPr>
        <w:t>，</w:t>
      </w:r>
      <w:r w:rsidR="002906B2" w:rsidRPr="005E2D3D">
        <w:rPr>
          <w:rFonts w:hAnsi="標楷體" w:cs="新細明體" w:hint="eastAsia"/>
          <w:snapToGrid/>
        </w:rPr>
        <w:t>並</w:t>
      </w:r>
      <w:r w:rsidRPr="005E2D3D">
        <w:rPr>
          <w:rFonts w:hAnsi="標楷體" w:cs="新細明體" w:hint="eastAsia"/>
          <w:snapToGrid/>
        </w:rPr>
        <w:t>於</w:t>
      </w:r>
      <w:r w:rsidRPr="005E2D3D">
        <w:rPr>
          <w:rFonts w:hAnsi="標楷體" w:cs="新細明體"/>
          <w:snapToGrid/>
        </w:rPr>
        <w:t>103</w:t>
      </w:r>
      <w:r w:rsidRPr="005E2D3D">
        <w:rPr>
          <w:rFonts w:hAnsi="標楷體" w:cs="新細明體" w:hint="eastAsia"/>
          <w:snapToGrid/>
        </w:rPr>
        <w:t>年</w:t>
      </w:r>
      <w:r w:rsidR="002906B2" w:rsidRPr="005E2D3D">
        <w:rPr>
          <w:rFonts w:hAnsi="標楷體" w:cs="新細明體" w:hint="eastAsia"/>
          <w:snapToGrid/>
        </w:rPr>
        <w:t>9</w:t>
      </w:r>
      <w:r w:rsidRPr="005E2D3D">
        <w:rPr>
          <w:rFonts w:hAnsi="標楷體" w:cs="新細明體" w:hint="eastAsia"/>
          <w:snapToGrid/>
        </w:rPr>
        <w:t>月</w:t>
      </w:r>
      <w:r w:rsidR="002906B2" w:rsidRPr="005E2D3D">
        <w:rPr>
          <w:rFonts w:hAnsi="標楷體" w:cs="新細明體" w:hint="eastAsia"/>
          <w:snapToGrid/>
        </w:rPr>
        <w:t>訂定「行政院國家發展基金推動</w:t>
      </w:r>
      <w:r w:rsidRPr="005E2D3D">
        <w:rPr>
          <w:rFonts w:hAnsi="標楷體" w:cs="新細明體" w:hint="eastAsia"/>
          <w:snapToGrid/>
        </w:rPr>
        <w:t>創業拔萃方案投資計畫之審查</w:t>
      </w:r>
      <w:r w:rsidR="002906B2" w:rsidRPr="005E2D3D">
        <w:rPr>
          <w:rFonts w:hAnsi="標楷體" w:cs="新細明體" w:hint="eastAsia"/>
          <w:snapToGrid/>
        </w:rPr>
        <w:t>及</w:t>
      </w:r>
      <w:r w:rsidRPr="005E2D3D">
        <w:rPr>
          <w:rFonts w:hAnsi="標楷體" w:cs="新細明體" w:hint="eastAsia"/>
          <w:snapToGrid/>
        </w:rPr>
        <w:t>管理要點</w:t>
      </w:r>
      <w:r w:rsidR="002906B2" w:rsidRPr="005E2D3D">
        <w:rPr>
          <w:rFonts w:hAnsi="標楷體" w:cs="新細明體" w:hint="eastAsia"/>
          <w:snapToGrid/>
        </w:rPr>
        <w:t>」</w:t>
      </w:r>
      <w:r w:rsidRPr="005E2D3D">
        <w:rPr>
          <w:rFonts w:hAnsi="標楷體" w:cs="新細明體" w:hint="eastAsia"/>
          <w:snapToGrid/>
        </w:rPr>
        <w:t>，受理國內、外創投事業申請</w:t>
      </w:r>
      <w:r w:rsidR="004865C4">
        <w:rPr>
          <w:rFonts w:hAnsi="標楷體" w:cs="新細明體" w:hint="eastAsia"/>
          <w:snapToGrid/>
        </w:rPr>
        <w:t>，執行期間3年</w:t>
      </w:r>
      <w:r w:rsidRPr="005E2D3D">
        <w:rPr>
          <w:rFonts w:hAnsi="標楷體" w:cs="新細明體" w:hint="eastAsia"/>
          <w:snapToGrid/>
        </w:rPr>
        <w:t>。</w:t>
      </w:r>
    </w:p>
    <w:p w:rsidR="000B62A3" w:rsidRPr="005E2D3D" w:rsidRDefault="000B62A3" w:rsidP="000B62A3">
      <w:pPr>
        <w:ind w:leftChars="300" w:left="1134" w:hangingChars="100" w:hanging="284"/>
        <w:rPr>
          <w:rFonts w:hAnsi="標楷體" w:cs="Arial" w:hint="eastAsia"/>
          <w:snapToGrid/>
        </w:rPr>
      </w:pPr>
      <w:r w:rsidRPr="004865C4">
        <w:rPr>
          <w:rFonts w:hAnsi="標楷體" w:cs="新細明體" w:hint="eastAsia"/>
          <w:b/>
          <w:snapToGrid/>
        </w:rPr>
        <w:t>2.</w:t>
      </w:r>
      <w:r w:rsidR="004865C4" w:rsidRPr="004865C4">
        <w:rPr>
          <w:rFonts w:hAnsi="標楷體" w:cs="新細明體" w:hint="eastAsia"/>
          <w:b/>
          <w:snapToGrid/>
        </w:rPr>
        <w:t>臺灣矽谷科技基金投資計畫：</w:t>
      </w:r>
      <w:r w:rsidRPr="005E2D3D">
        <w:rPr>
          <w:rFonts w:hAnsi="標楷體" w:cs="新細明體" w:hint="eastAsia"/>
          <w:snapToGrid/>
        </w:rPr>
        <w:t>國發基金配合國家科學及技術委員會推動臺灣矽谷科技基金專案，於</w:t>
      </w:r>
      <w:r w:rsidRPr="005E2D3D">
        <w:rPr>
          <w:rFonts w:hAnsi="標楷體" w:cs="新細明體"/>
          <w:snapToGrid/>
        </w:rPr>
        <w:t>104</w:t>
      </w:r>
      <w:r w:rsidRPr="005E2D3D">
        <w:rPr>
          <w:rFonts w:hAnsi="標楷體" w:cs="新細明體" w:hint="eastAsia"/>
          <w:snapToGrid/>
        </w:rPr>
        <w:t>年</w:t>
      </w:r>
      <w:r w:rsidRPr="005E2D3D">
        <w:rPr>
          <w:rFonts w:hAnsi="標楷體" w:cs="新細明體"/>
          <w:snapToGrid/>
        </w:rPr>
        <w:t>5</w:t>
      </w:r>
      <w:r w:rsidRPr="005E2D3D">
        <w:rPr>
          <w:rFonts w:hAnsi="標楷體" w:cs="新細明體" w:hint="eastAsia"/>
          <w:snapToGrid/>
        </w:rPr>
        <w:t>月通過臺灣矽谷科技基金投資計畫及訂定國發基金推動臺灣矽谷科技基金投資計畫作業要點，匡列</w:t>
      </w:r>
      <w:r w:rsidRPr="005E2D3D">
        <w:rPr>
          <w:rFonts w:hAnsi="標楷體" w:cs="新細明體"/>
          <w:snapToGrid/>
        </w:rPr>
        <w:t>18</w:t>
      </w:r>
      <w:r w:rsidRPr="005E2D3D">
        <w:rPr>
          <w:rFonts w:hAnsi="標楷體" w:cs="新細明體" w:hint="eastAsia"/>
          <w:snapToGrid/>
        </w:rPr>
        <w:t>億元投資臺灣與美國矽谷創投事業</w:t>
      </w:r>
      <w:r w:rsidR="004865C4" w:rsidRPr="004865C4">
        <w:rPr>
          <w:rFonts w:hAnsi="標楷體" w:cs="新細明體" w:hint="eastAsia"/>
          <w:snapToGrid/>
        </w:rPr>
        <w:t>，執行期間3年</w:t>
      </w:r>
      <w:r w:rsidRPr="005E2D3D">
        <w:rPr>
          <w:rFonts w:hAnsi="標楷體" w:cs="新細明體" w:hint="eastAsia"/>
          <w:snapToGrid/>
        </w:rPr>
        <w:t>，期引導創投事業投資臺矽兩地新創事業，以促進我國與美國矽谷間人才、技術及資金之鏈結。</w:t>
      </w:r>
    </w:p>
    <w:p w:rsidR="000B62A3" w:rsidRPr="005E2D3D" w:rsidRDefault="000B62A3" w:rsidP="000B62A3">
      <w:pPr>
        <w:ind w:left="851" w:hangingChars="100" w:hanging="284"/>
        <w:rPr>
          <w:rFonts w:hAnsi="標楷體" w:cs="Arial"/>
          <w:b/>
        </w:rPr>
      </w:pPr>
      <w:r w:rsidRPr="005E2D3D">
        <w:rPr>
          <w:rFonts w:hAnsi="標楷體" w:cs="Arial" w:hint="eastAsia"/>
          <w:b/>
        </w:rPr>
        <w:t>(二)部分創投事業投資決策未盡配合計畫目標，致實際投入政策重點新創事業資金有限，影響計畫推動成效</w:t>
      </w:r>
    </w:p>
    <w:p w:rsidR="002704F5" w:rsidRPr="005E2D3D" w:rsidRDefault="000B62A3" w:rsidP="000B62A3">
      <w:pPr>
        <w:adjustRightInd w:val="0"/>
        <w:ind w:leftChars="300" w:left="850" w:firstLine="567"/>
        <w:rPr>
          <w:rFonts w:hAnsi="標楷體" w:cs="Arial"/>
          <w:snapToGrid/>
          <w:kern w:val="3"/>
        </w:rPr>
      </w:pPr>
      <w:r w:rsidRPr="005E2D3D">
        <w:rPr>
          <w:rFonts w:hAnsi="標楷體" w:cs="Arial" w:hint="eastAsia"/>
          <w:snapToGrid/>
          <w:kern w:val="3"/>
        </w:rPr>
        <w:lastRenderedPageBreak/>
        <w:t>依審計部112</w:t>
      </w:r>
      <w:r w:rsidR="00052C09">
        <w:rPr>
          <w:rFonts w:hAnsi="標楷體" w:cs="Arial" w:hint="eastAsia"/>
          <w:snapToGrid/>
          <w:kern w:val="3"/>
        </w:rPr>
        <w:t>年度決算審核報告</w:t>
      </w:r>
      <w:r w:rsidRPr="005E2D3D">
        <w:rPr>
          <w:rFonts w:hAnsi="標楷體" w:cs="Arial" w:hint="eastAsia"/>
          <w:snapToGrid/>
          <w:kern w:val="3"/>
        </w:rPr>
        <w:t>提具</w:t>
      </w:r>
      <w:r w:rsidR="00052C09">
        <w:rPr>
          <w:rFonts w:hAnsi="標楷體" w:cs="Arial" w:hint="eastAsia"/>
          <w:snapToGrid/>
          <w:kern w:val="3"/>
        </w:rPr>
        <w:t>審核意見：</w:t>
      </w:r>
      <w:r w:rsidRPr="005E2D3D">
        <w:rPr>
          <w:rFonts w:hAnsi="標楷體" w:cs="Arial" w:hint="eastAsia"/>
          <w:snapToGrid/>
          <w:kern w:val="3"/>
        </w:rPr>
        <w:t>「國發基金推動創業拔萃方案及臺灣矽谷科技基金投資計畫，引導民間資金挹注政府重點發展新創事業，惟部分創投事業投資決策未盡配合計畫目標，致實際投入政策重點新創事業資金有限，影響計畫推動成效。」</w:t>
      </w:r>
      <w:r w:rsidR="00BA2BF4" w:rsidRPr="005E2D3D">
        <w:rPr>
          <w:rFonts w:hAnsi="標楷體" w:cs="Arial" w:hint="eastAsia"/>
          <w:snapToGrid/>
          <w:kern w:val="3"/>
        </w:rPr>
        <w:t>經查截至113年7月底止，</w:t>
      </w:r>
      <w:r w:rsidR="000F09B5" w:rsidRPr="005E2D3D">
        <w:rPr>
          <w:rFonts w:hAnsi="標楷體" w:cs="Arial" w:hint="eastAsia"/>
          <w:snapToGrid/>
          <w:kern w:val="3"/>
        </w:rPr>
        <w:t>創業拔萃方案投資計畫</w:t>
      </w:r>
      <w:r w:rsidR="002704F5" w:rsidRPr="005E2D3D">
        <w:rPr>
          <w:rFonts w:hAnsi="標楷體" w:cs="Arial" w:hint="eastAsia"/>
          <w:snapToGrid/>
          <w:kern w:val="3"/>
        </w:rPr>
        <w:t>共通過投資5家創投事業，累計投資金額28億4,775萬</w:t>
      </w:r>
      <w:r w:rsidR="001B1BEB">
        <w:rPr>
          <w:rFonts w:hAnsi="標楷體" w:cs="Arial" w:hint="eastAsia"/>
          <w:snapToGrid/>
          <w:kern w:val="3"/>
        </w:rPr>
        <w:t>8</w:t>
      </w:r>
      <w:r w:rsidR="002704F5" w:rsidRPr="005E2D3D">
        <w:rPr>
          <w:rFonts w:hAnsi="標楷體" w:cs="Arial" w:hint="eastAsia"/>
          <w:snapToGrid/>
          <w:kern w:val="3"/>
        </w:rPr>
        <w:t>千元</w:t>
      </w:r>
      <w:r w:rsidR="006244F9" w:rsidRPr="005E2D3D">
        <w:rPr>
          <w:rFonts w:hAnsi="標楷體" w:cs="Arial" w:hint="eastAsia"/>
          <w:snapToGrid/>
          <w:kern w:val="3"/>
        </w:rPr>
        <w:t>(詳表1)，</w:t>
      </w:r>
      <w:r w:rsidR="002704F5" w:rsidRPr="005E2D3D">
        <w:rPr>
          <w:rFonts w:hAnsi="標楷體" w:cs="Arial" w:hint="eastAsia"/>
          <w:snapToGrid/>
          <w:kern w:val="3"/>
        </w:rPr>
        <w:t>惟</w:t>
      </w:r>
      <w:r w:rsidR="006244F9" w:rsidRPr="005E2D3D">
        <w:rPr>
          <w:rFonts w:hAnsi="標楷體" w:cs="Arial" w:hint="eastAsia"/>
          <w:snapToGrid/>
          <w:kern w:val="3"/>
        </w:rPr>
        <w:t>其中</w:t>
      </w:r>
      <w:r w:rsidR="002704F5" w:rsidRPr="005E2D3D">
        <w:rPr>
          <w:rFonts w:hAnsi="標楷體" w:cs="Arial" w:hint="eastAsia"/>
          <w:snapToGrid/>
          <w:kern w:val="3"/>
        </w:rPr>
        <w:t>僅</w:t>
      </w:r>
      <w:r w:rsidR="006244F9" w:rsidRPr="005E2D3D">
        <w:rPr>
          <w:rFonts w:hAnsi="標楷體" w:cs="Arial" w:hint="eastAsia"/>
          <w:snapToGrid/>
          <w:kern w:val="3"/>
        </w:rPr>
        <w:t>1家</w:t>
      </w:r>
      <w:r w:rsidR="002704F5" w:rsidRPr="005E2D3D">
        <w:rPr>
          <w:rFonts w:hAnsi="標楷體" w:cs="Arial" w:hint="eastAsia"/>
          <w:snapToGrid/>
          <w:kern w:val="3"/>
        </w:rPr>
        <w:t>達獲利分享門檻取得分享獲利資格</w:t>
      </w:r>
      <w:r w:rsidR="000F09B5" w:rsidRPr="005E2D3D">
        <w:rPr>
          <w:vertAlign w:val="superscript"/>
        </w:rPr>
        <w:footnoteReference w:id="1"/>
      </w:r>
      <w:r w:rsidR="000F09B5" w:rsidRPr="005E2D3D">
        <w:rPr>
          <w:rFonts w:hAnsi="標楷體" w:cs="Arial" w:hint="eastAsia"/>
          <w:snapToGrid/>
          <w:kern w:val="3"/>
        </w:rPr>
        <w:t>(</w:t>
      </w:r>
      <w:r w:rsidR="007E05C8" w:rsidRPr="005E2D3D">
        <w:rPr>
          <w:rFonts w:hAnsi="標楷體" w:cs="Arial" w:hint="eastAsia"/>
          <w:snapToGrid/>
          <w:kern w:val="3"/>
        </w:rPr>
        <w:t>投資我國相關早期企業</w:t>
      </w:r>
      <w:r w:rsidR="000638C4">
        <w:rPr>
          <w:rFonts w:hAnsi="標楷體" w:cs="Arial" w:hint="eastAsia"/>
          <w:snapToGrid/>
          <w:kern w:val="3"/>
        </w:rPr>
        <w:t>之比率</w:t>
      </w:r>
      <w:r w:rsidR="007E05C8" w:rsidRPr="005E2D3D">
        <w:rPr>
          <w:rFonts w:hAnsi="標楷體" w:cs="Arial" w:hint="eastAsia"/>
          <w:snapToGrid/>
          <w:kern w:val="3"/>
        </w:rPr>
        <w:t>達30%，且對第1</w:t>
      </w:r>
      <w:r w:rsidR="000638C4">
        <w:rPr>
          <w:rFonts w:hAnsi="標楷體" w:cs="Arial" w:hint="eastAsia"/>
          <w:snapToGrid/>
          <w:kern w:val="3"/>
        </w:rPr>
        <w:t>類國內公司之</w:t>
      </w:r>
      <w:r w:rsidR="007E05C8" w:rsidRPr="005E2D3D">
        <w:rPr>
          <w:rFonts w:hAnsi="標楷體" w:cs="Arial" w:hint="eastAsia"/>
          <w:snapToGrid/>
          <w:kern w:val="3"/>
        </w:rPr>
        <w:t>比率達15%</w:t>
      </w:r>
      <w:r w:rsidR="000F09B5" w:rsidRPr="005E2D3D">
        <w:rPr>
          <w:rFonts w:hAnsi="標楷體" w:cs="Arial" w:hint="eastAsia"/>
          <w:snapToGrid/>
          <w:kern w:val="3"/>
        </w:rPr>
        <w:t>)</w:t>
      </w:r>
      <w:r w:rsidR="002704F5" w:rsidRPr="005E2D3D">
        <w:rPr>
          <w:rFonts w:hAnsi="標楷體" w:cs="Arial" w:hint="eastAsia"/>
          <w:snapToGrid/>
          <w:kern w:val="3"/>
        </w:rPr>
        <w:t>；其餘4家中，</w:t>
      </w:r>
      <w:r w:rsidR="000F09B5" w:rsidRPr="005E2D3D">
        <w:rPr>
          <w:rFonts w:hAnsi="標楷體" w:cs="Arial" w:hint="eastAsia"/>
          <w:snapToGrid/>
          <w:kern w:val="3"/>
        </w:rPr>
        <w:t>有投資我國相關早期企業</w:t>
      </w:r>
      <w:r w:rsidR="002704F5" w:rsidRPr="005E2D3D">
        <w:rPr>
          <w:rFonts w:hAnsi="標楷體" w:cs="Arial" w:hint="eastAsia"/>
          <w:snapToGrid/>
          <w:kern w:val="3"/>
        </w:rPr>
        <w:t>僅</w:t>
      </w:r>
      <w:r w:rsidR="000F09B5" w:rsidRPr="005E2D3D">
        <w:rPr>
          <w:rFonts w:hAnsi="標楷體" w:cs="Arial" w:hint="eastAsia"/>
          <w:snapToGrid/>
          <w:kern w:val="3"/>
        </w:rPr>
        <w:t>3.21</w:t>
      </w:r>
      <w:r w:rsidR="002704F5" w:rsidRPr="005E2D3D">
        <w:rPr>
          <w:rFonts w:hAnsi="標楷體" w:cs="Arial" w:hint="eastAsia"/>
          <w:snapToGrid/>
          <w:kern w:val="3"/>
        </w:rPr>
        <w:t>%，明顯低於獲利分享門檻所訂之30%，</w:t>
      </w:r>
      <w:r w:rsidR="000F09B5" w:rsidRPr="005E2D3D">
        <w:rPr>
          <w:rFonts w:hAnsi="標楷體" w:cs="Arial" w:hint="eastAsia"/>
          <w:snapToGrid/>
          <w:kern w:val="3"/>
        </w:rPr>
        <w:t>或</w:t>
      </w:r>
      <w:r w:rsidR="002704F5" w:rsidRPr="005E2D3D">
        <w:rPr>
          <w:rFonts w:hAnsi="標楷體" w:cs="Arial" w:hint="eastAsia"/>
          <w:snapToGrid/>
          <w:kern w:val="3"/>
        </w:rPr>
        <w:t>投資標的偏重外國公司，</w:t>
      </w:r>
      <w:r w:rsidR="000F09B5" w:rsidRPr="005E2D3D">
        <w:rPr>
          <w:rFonts w:hAnsi="標楷體" w:cs="Arial" w:hint="eastAsia"/>
          <w:snapToGrid/>
          <w:kern w:val="3"/>
        </w:rPr>
        <w:t>投資第1類國內公司</w:t>
      </w:r>
      <w:r w:rsidR="00BB61E6">
        <w:rPr>
          <w:rFonts w:hAnsi="標楷體" w:cs="Arial" w:hint="eastAsia"/>
          <w:snapToGrid/>
          <w:kern w:val="3"/>
        </w:rPr>
        <w:t>比率偏低，甚</w:t>
      </w:r>
      <w:r w:rsidR="002704F5" w:rsidRPr="005E2D3D">
        <w:rPr>
          <w:rFonts w:hAnsi="標楷體" w:cs="Arial" w:hint="eastAsia"/>
          <w:snapToGrid/>
          <w:kern w:val="3"/>
        </w:rPr>
        <w:t>未有投資</w:t>
      </w:r>
      <w:r w:rsidR="000F09B5" w:rsidRPr="005E2D3D">
        <w:rPr>
          <w:rFonts w:hAnsi="標楷體" w:cs="Arial" w:hint="eastAsia"/>
          <w:snapToGrid/>
          <w:kern w:val="3"/>
        </w:rPr>
        <w:t>之情形</w:t>
      </w:r>
      <w:r w:rsidR="002704F5" w:rsidRPr="005E2D3D">
        <w:rPr>
          <w:rFonts w:hAnsi="標楷體" w:cs="Arial" w:hint="eastAsia"/>
          <w:snapToGrid/>
          <w:kern w:val="3"/>
        </w:rPr>
        <w:t>，對帶動資金投資國內新創事業之助益有限</w:t>
      </w:r>
      <w:r w:rsidR="00BA2BF4" w:rsidRPr="005E2D3D">
        <w:rPr>
          <w:rFonts w:hAnsi="標楷體" w:cs="Arial" w:hint="eastAsia"/>
          <w:snapToGrid/>
          <w:kern w:val="3"/>
        </w:rPr>
        <w:t>。</w:t>
      </w:r>
    </w:p>
    <w:p w:rsidR="00683B50" w:rsidRPr="005E2D3D" w:rsidRDefault="00683B50" w:rsidP="00683B50">
      <w:pPr>
        <w:adjustRightInd w:val="0"/>
        <w:ind w:leftChars="300" w:left="850" w:firstLine="567"/>
        <w:rPr>
          <w:rFonts w:hAnsi="標楷體" w:cs="Arial" w:hint="eastAsia"/>
          <w:snapToGrid/>
          <w:kern w:val="3"/>
        </w:rPr>
      </w:pPr>
      <w:r w:rsidRPr="005E2D3D">
        <w:rPr>
          <w:rFonts w:hAnsi="標楷體" w:cs="Arial" w:hint="eastAsia"/>
          <w:snapToGrid/>
          <w:kern w:val="3"/>
        </w:rPr>
        <w:t>截至11</w:t>
      </w:r>
      <w:r w:rsidR="006244F9" w:rsidRPr="005E2D3D">
        <w:rPr>
          <w:rFonts w:hAnsi="標楷體" w:cs="Arial" w:hint="eastAsia"/>
          <w:snapToGrid/>
          <w:kern w:val="3"/>
        </w:rPr>
        <w:t>3</w:t>
      </w:r>
      <w:r w:rsidRPr="005E2D3D">
        <w:rPr>
          <w:rFonts w:hAnsi="標楷體" w:cs="Arial" w:hint="eastAsia"/>
          <w:snapToGrid/>
          <w:kern w:val="3"/>
        </w:rPr>
        <w:t>年</w:t>
      </w:r>
      <w:r w:rsidR="006244F9" w:rsidRPr="005E2D3D">
        <w:rPr>
          <w:rFonts w:hAnsi="標楷體" w:cs="Arial" w:hint="eastAsia"/>
          <w:snapToGrid/>
          <w:kern w:val="3"/>
        </w:rPr>
        <w:t>7月</w:t>
      </w:r>
      <w:r w:rsidRPr="005E2D3D">
        <w:rPr>
          <w:rFonts w:hAnsi="標楷體" w:cs="Arial" w:hint="eastAsia"/>
          <w:snapToGrid/>
          <w:kern w:val="3"/>
        </w:rPr>
        <w:t>底止，</w:t>
      </w:r>
      <w:r w:rsidR="006244F9" w:rsidRPr="005E2D3D">
        <w:rPr>
          <w:rFonts w:hAnsi="標楷體" w:cs="Arial" w:hint="eastAsia"/>
          <w:snapToGrid/>
          <w:kern w:val="3"/>
        </w:rPr>
        <w:t>臺灣矽谷科技基金投資計畫</w:t>
      </w:r>
      <w:r w:rsidRPr="005E2D3D">
        <w:rPr>
          <w:rFonts w:hAnsi="標楷體" w:cs="Arial" w:hint="eastAsia"/>
          <w:snapToGrid/>
          <w:kern w:val="3"/>
        </w:rPr>
        <w:t>共通過投資Vivo Panda、WI Harper VIII、TransLink IV等3家創投事業，累計投資金額16億282萬8千元(詳表2)。依該投資計畫作業要點所訂獲利分享機制，創投事業對符合特定產業類別及設立(營運)條件</w:t>
      </w:r>
      <w:r w:rsidRPr="005E2D3D">
        <w:rPr>
          <w:vertAlign w:val="superscript"/>
        </w:rPr>
        <w:footnoteReference w:id="2"/>
      </w:r>
      <w:r w:rsidRPr="005E2D3D">
        <w:rPr>
          <w:rFonts w:hAnsi="標楷體" w:cs="Arial" w:hint="eastAsia"/>
          <w:snapToGrid/>
          <w:kern w:val="3"/>
        </w:rPr>
        <w:t>之公司，加權投資總金額占國發基金與行政院國家科學技術發展基金投資該創投事業總金額之比率達30</w:t>
      </w:r>
      <w:r w:rsidR="00A563AC" w:rsidRPr="005E2D3D">
        <w:rPr>
          <w:rFonts w:hAnsi="標楷體" w:cs="Arial" w:hint="eastAsia"/>
          <w:snapToGrid/>
          <w:kern w:val="3"/>
        </w:rPr>
        <w:t>%</w:t>
      </w:r>
      <w:r w:rsidRPr="005E2D3D">
        <w:rPr>
          <w:rFonts w:hAnsi="標楷體" w:cs="Arial" w:hint="eastAsia"/>
          <w:snapToGrid/>
          <w:kern w:val="3"/>
        </w:rPr>
        <w:t>者，即可參與國發基金提供之獲利分享。查前揭獲利分享誘因機制運作結果，帶動WI Harper VIII、TransLink IV等2家創</w:t>
      </w:r>
      <w:r w:rsidRPr="005E2D3D">
        <w:rPr>
          <w:rFonts w:hAnsi="標楷體" w:cs="Arial" w:hint="eastAsia"/>
          <w:snapToGrid/>
          <w:kern w:val="3"/>
        </w:rPr>
        <w:lastRenderedPageBreak/>
        <w:t>投事業投資於第</w:t>
      </w:r>
      <w:r w:rsidR="001B1BEB">
        <w:rPr>
          <w:rFonts w:hAnsi="標楷體" w:cs="Arial" w:hint="eastAsia"/>
          <w:snapToGrid/>
          <w:kern w:val="3"/>
        </w:rPr>
        <w:t>1</w:t>
      </w:r>
      <w:r w:rsidRPr="005E2D3D">
        <w:rPr>
          <w:rFonts w:hAnsi="標楷體" w:cs="Arial" w:hint="eastAsia"/>
          <w:snapToGrid/>
          <w:kern w:val="3"/>
        </w:rPr>
        <w:t>類至第</w:t>
      </w:r>
      <w:r w:rsidR="001B1BEB">
        <w:rPr>
          <w:rFonts w:hAnsi="標楷體" w:cs="Arial" w:hint="eastAsia"/>
          <w:snapToGrid/>
          <w:kern w:val="3"/>
        </w:rPr>
        <w:t>4</w:t>
      </w:r>
      <w:r w:rsidRPr="005E2D3D">
        <w:rPr>
          <w:rFonts w:hAnsi="標楷體" w:cs="Arial" w:hint="eastAsia"/>
          <w:snapToGrid/>
          <w:kern w:val="3"/>
        </w:rPr>
        <w:t>類臺灣、美國矽谷相關新創事業已達相當比率，惟Vivo Panda並未投資於該計畫預期重點挹注之第</w:t>
      </w:r>
      <w:r w:rsidR="001B1BEB">
        <w:rPr>
          <w:rFonts w:hAnsi="標楷體" w:cs="Arial" w:hint="eastAsia"/>
          <w:snapToGrid/>
          <w:kern w:val="3"/>
        </w:rPr>
        <w:t>1</w:t>
      </w:r>
      <w:r w:rsidRPr="005E2D3D">
        <w:rPr>
          <w:rFonts w:hAnsi="標楷體" w:cs="Arial" w:hint="eastAsia"/>
          <w:snapToGrid/>
          <w:kern w:val="3"/>
        </w:rPr>
        <w:t>類至第</w:t>
      </w:r>
      <w:r w:rsidR="001B1BEB">
        <w:rPr>
          <w:rFonts w:hAnsi="標楷體" w:cs="Arial" w:hint="eastAsia"/>
          <w:snapToGrid/>
          <w:kern w:val="3"/>
        </w:rPr>
        <w:t>4</w:t>
      </w:r>
      <w:r w:rsidRPr="005E2D3D">
        <w:rPr>
          <w:rFonts w:hAnsi="標楷體" w:cs="Arial" w:hint="eastAsia"/>
          <w:snapToGrid/>
          <w:kern w:val="3"/>
        </w:rPr>
        <w:t>類公司。</w:t>
      </w:r>
    </w:p>
    <w:p w:rsidR="00BA2BF4" w:rsidRPr="005E2D3D" w:rsidRDefault="00BA2BF4" w:rsidP="000B62A3">
      <w:pPr>
        <w:adjustRightInd w:val="0"/>
        <w:ind w:leftChars="300" w:left="850" w:firstLine="567"/>
        <w:rPr>
          <w:rFonts w:hAnsi="標楷體" w:cs="Arial"/>
          <w:snapToGrid/>
          <w:kern w:val="3"/>
        </w:rPr>
      </w:pPr>
      <w:r w:rsidRPr="005E2D3D">
        <w:rPr>
          <w:rFonts w:hAnsi="標楷體" w:cs="Arial" w:hint="eastAsia"/>
          <w:snapToGrid/>
          <w:kern w:val="3"/>
        </w:rPr>
        <w:t>詢據國發會說明，上揭兩方案期藉由創新之獲利分享機制，引導創投事業資金依投資計畫目的挹注政府政策重點新創事業，惟部分創投事業因應產業趨勢或投資環境調整布局等，實際執行結果未如規劃</w:t>
      </w:r>
      <w:r w:rsidR="006244F9" w:rsidRPr="005E2D3D">
        <w:rPr>
          <w:rFonts w:hAnsi="標楷體" w:cs="Arial" w:hint="eastAsia"/>
          <w:snapToGrid/>
          <w:kern w:val="3"/>
        </w:rPr>
        <w:t>；</w:t>
      </w:r>
      <w:r w:rsidRPr="005E2D3D">
        <w:rPr>
          <w:rFonts w:hAnsi="標楷體" w:cs="Arial" w:hint="eastAsia"/>
          <w:snapToGrid/>
          <w:kern w:val="3"/>
        </w:rPr>
        <w:t>未來國發基金仍將滾動檢討相關機制，期透過與創投業者合作，進一步投資於國內或海外新興事業，以擴大國發基金投資動能，期帶動國內新創事業發展。</w:t>
      </w:r>
    </w:p>
    <w:p w:rsidR="00DE4D12" w:rsidRPr="005E2D3D" w:rsidRDefault="00DE4D12" w:rsidP="006B3041">
      <w:pPr>
        <w:snapToGrid w:val="0"/>
        <w:spacing w:line="460" w:lineRule="exact"/>
        <w:ind w:leftChars="0" w:left="0" w:firstLineChars="0" w:firstLine="0"/>
        <w:rPr>
          <w:b/>
          <w:snapToGrid/>
          <w:spacing w:val="-10"/>
        </w:rPr>
      </w:pPr>
      <w:r w:rsidRPr="005E2D3D">
        <w:rPr>
          <w:rFonts w:hint="eastAsia"/>
          <w:b/>
          <w:snapToGrid/>
        </w:rPr>
        <w:t>表1  創業拔萃方案投資計畫截至113年7月底止執行情形表</w:t>
      </w:r>
    </w:p>
    <w:p w:rsidR="00DE4D12" w:rsidRPr="005E2D3D" w:rsidRDefault="00DE4D12" w:rsidP="005E3F0D">
      <w:pPr>
        <w:snapToGrid w:val="0"/>
        <w:spacing w:line="320" w:lineRule="exact"/>
        <w:ind w:leftChars="0" w:left="0" w:firstLineChars="0" w:firstLine="0"/>
        <w:jc w:val="right"/>
        <w:rPr>
          <w:rFonts w:hAnsi="標楷體"/>
          <w:snapToGrid/>
          <w:sz w:val="24"/>
          <w:szCs w:val="24"/>
        </w:rPr>
      </w:pPr>
      <w:r w:rsidRPr="005E2D3D">
        <w:rPr>
          <w:rFonts w:hAnsi="標楷體" w:hint="eastAsia"/>
          <w:snapToGrid/>
          <w:sz w:val="24"/>
          <w:szCs w:val="24"/>
        </w:rPr>
        <w:t>單位:新臺幣千元；%</w:t>
      </w:r>
    </w:p>
    <w:tbl>
      <w:tblPr>
        <w:tblW w:w="8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4"/>
        <w:gridCol w:w="1663"/>
        <w:gridCol w:w="993"/>
        <w:gridCol w:w="992"/>
        <w:gridCol w:w="709"/>
        <w:gridCol w:w="1134"/>
        <w:gridCol w:w="992"/>
        <w:gridCol w:w="921"/>
        <w:gridCol w:w="922"/>
      </w:tblGrid>
      <w:tr w:rsidR="0055250A" w:rsidRPr="005E2D3D" w:rsidTr="0036534D">
        <w:trPr>
          <w:trHeight w:val="727"/>
          <w:tblHeader/>
          <w:jc w:val="center"/>
        </w:trPr>
        <w:tc>
          <w:tcPr>
            <w:tcW w:w="284" w:type="dxa"/>
            <w:vMerge w:val="restart"/>
            <w:tcBorders>
              <w:top w:val="single" w:sz="12" w:space="0" w:color="auto"/>
              <w:left w:val="single" w:sz="12" w:space="0" w:color="auto"/>
            </w:tcBorders>
            <w:vAlign w:val="center"/>
          </w:tcPr>
          <w:p w:rsidR="00BA2BF4" w:rsidRPr="005E2D3D" w:rsidRDefault="00BA2BF4" w:rsidP="00BA2BF4">
            <w:pPr>
              <w:pStyle w:val="142"/>
              <w:jc w:val="center"/>
              <w:rPr>
                <w:rFonts w:hAnsi="標楷體"/>
                <w:b/>
                <w:snapToGrid/>
                <w:sz w:val="22"/>
                <w:szCs w:val="22"/>
              </w:rPr>
            </w:pPr>
            <w:r w:rsidRPr="005E2D3D">
              <w:rPr>
                <w:rFonts w:hAnsi="標楷體" w:hint="eastAsia"/>
                <w:b/>
                <w:snapToGrid/>
                <w:sz w:val="22"/>
                <w:szCs w:val="22"/>
              </w:rPr>
              <w:t>項次</w:t>
            </w:r>
          </w:p>
        </w:tc>
        <w:tc>
          <w:tcPr>
            <w:tcW w:w="1663" w:type="dxa"/>
            <w:vMerge w:val="restart"/>
            <w:tcBorders>
              <w:top w:val="single" w:sz="12" w:space="0" w:color="auto"/>
            </w:tcBorders>
            <w:shd w:val="clear" w:color="auto" w:fill="auto"/>
            <w:noWrap/>
            <w:vAlign w:val="center"/>
            <w:hideMark/>
          </w:tcPr>
          <w:p w:rsidR="00BA2BF4" w:rsidRPr="005E2D3D" w:rsidRDefault="00BA2BF4" w:rsidP="00BA2BF4">
            <w:pPr>
              <w:pStyle w:val="142"/>
              <w:jc w:val="center"/>
              <w:rPr>
                <w:rFonts w:hAnsi="標楷體" w:cs="標楷體"/>
                <w:b/>
                <w:bCs/>
                <w:snapToGrid/>
                <w:sz w:val="22"/>
                <w:szCs w:val="22"/>
              </w:rPr>
            </w:pPr>
            <w:r w:rsidRPr="005E2D3D">
              <w:rPr>
                <w:rFonts w:hAnsi="標楷體" w:hint="eastAsia"/>
                <w:b/>
                <w:snapToGrid/>
                <w:sz w:val="22"/>
                <w:szCs w:val="22"/>
              </w:rPr>
              <w:t>創投事業名稱</w:t>
            </w:r>
          </w:p>
        </w:tc>
        <w:tc>
          <w:tcPr>
            <w:tcW w:w="2694" w:type="dxa"/>
            <w:gridSpan w:val="3"/>
            <w:tcBorders>
              <w:top w:val="single" w:sz="12" w:space="0" w:color="auto"/>
            </w:tcBorders>
            <w:shd w:val="clear" w:color="auto" w:fill="auto"/>
            <w:noWrap/>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國發基金投資</w:t>
            </w:r>
          </w:p>
        </w:tc>
        <w:tc>
          <w:tcPr>
            <w:tcW w:w="2126" w:type="dxa"/>
            <w:gridSpan w:val="2"/>
            <w:tcBorders>
              <w:top w:val="single" w:sz="12" w:space="0" w:color="auto"/>
            </w:tcBorders>
            <w:shd w:val="clear" w:color="auto" w:fill="auto"/>
            <w:vAlign w:val="center"/>
            <w:hideMark/>
          </w:tcPr>
          <w:p w:rsidR="00BA2BF4" w:rsidRPr="005E2D3D" w:rsidRDefault="007E05C8"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投資我國相關早期企業【第1類國內及第2類外國</w:t>
            </w:r>
            <w:r w:rsidR="00BA2BF4" w:rsidRPr="005E2D3D">
              <w:rPr>
                <w:rFonts w:hAnsi="標楷體" w:hint="eastAsia"/>
                <w:b/>
                <w:snapToGrid/>
                <w:spacing w:val="-20"/>
                <w:sz w:val="22"/>
                <w:szCs w:val="22"/>
              </w:rPr>
              <w:t>公司】</w:t>
            </w:r>
          </w:p>
        </w:tc>
        <w:tc>
          <w:tcPr>
            <w:tcW w:w="1843" w:type="dxa"/>
            <w:gridSpan w:val="2"/>
            <w:tcBorders>
              <w:top w:val="single" w:sz="12" w:space="0" w:color="auto"/>
              <w:right w:val="single" w:sz="12" w:space="0" w:color="auto"/>
            </w:tcBorders>
            <w:shd w:val="clear" w:color="auto" w:fill="auto"/>
            <w:vAlign w:val="center"/>
          </w:tcPr>
          <w:p w:rsidR="00BA2BF4" w:rsidRPr="005E2D3D" w:rsidRDefault="007E05C8"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投資第1類國內</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公司</w:t>
            </w:r>
          </w:p>
        </w:tc>
      </w:tr>
      <w:tr w:rsidR="0055250A" w:rsidRPr="005E2D3D" w:rsidTr="0036534D">
        <w:trPr>
          <w:trHeight w:val="431"/>
          <w:tblHeader/>
          <w:jc w:val="center"/>
        </w:trPr>
        <w:tc>
          <w:tcPr>
            <w:tcW w:w="284" w:type="dxa"/>
            <w:vMerge/>
            <w:tcBorders>
              <w:left w:val="single" w:sz="12" w:space="0" w:color="auto"/>
            </w:tcBorders>
            <w:vAlign w:val="center"/>
          </w:tcPr>
          <w:p w:rsidR="00BA2BF4" w:rsidRPr="005E2D3D" w:rsidRDefault="00BA2BF4" w:rsidP="00BA2BF4">
            <w:pPr>
              <w:pStyle w:val="142"/>
              <w:jc w:val="center"/>
              <w:rPr>
                <w:rFonts w:hAnsi="標楷體"/>
                <w:b/>
                <w:snapToGrid/>
                <w:sz w:val="22"/>
                <w:szCs w:val="22"/>
              </w:rPr>
            </w:pPr>
          </w:p>
        </w:tc>
        <w:tc>
          <w:tcPr>
            <w:tcW w:w="1663" w:type="dxa"/>
            <w:vMerge/>
            <w:shd w:val="clear" w:color="auto" w:fill="auto"/>
            <w:noWrap/>
            <w:vAlign w:val="center"/>
          </w:tcPr>
          <w:p w:rsidR="00BA2BF4" w:rsidRPr="005E2D3D" w:rsidRDefault="00BA2BF4" w:rsidP="00BA2BF4">
            <w:pPr>
              <w:pStyle w:val="142"/>
              <w:jc w:val="center"/>
              <w:rPr>
                <w:rFonts w:hAnsi="標楷體"/>
                <w:b/>
                <w:snapToGrid/>
                <w:sz w:val="22"/>
                <w:szCs w:val="22"/>
              </w:rPr>
            </w:pPr>
          </w:p>
        </w:tc>
        <w:tc>
          <w:tcPr>
            <w:tcW w:w="993" w:type="dxa"/>
            <w:shd w:val="clear" w:color="auto" w:fill="auto"/>
            <w:noWrap/>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日期</w:t>
            </w:r>
          </w:p>
        </w:tc>
        <w:tc>
          <w:tcPr>
            <w:tcW w:w="992" w:type="dxa"/>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金額(A)</w:t>
            </w:r>
          </w:p>
        </w:tc>
        <w:tc>
          <w:tcPr>
            <w:tcW w:w="709" w:type="dxa"/>
            <w:tcBorders>
              <w:bottom w:val="single" w:sz="4" w:space="0" w:color="auto"/>
            </w:tcBorders>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持股</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比率</w:t>
            </w:r>
          </w:p>
        </w:tc>
        <w:tc>
          <w:tcPr>
            <w:tcW w:w="1134"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加權投資</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金額(</w:t>
            </w:r>
            <w:r w:rsidRPr="005E2D3D">
              <w:rPr>
                <w:rFonts w:hAnsi="標楷體"/>
                <w:b/>
                <w:snapToGrid/>
                <w:spacing w:val="-20"/>
                <w:sz w:val="22"/>
                <w:szCs w:val="22"/>
              </w:rPr>
              <w:t>B</w:t>
            </w:r>
            <w:r w:rsidRPr="005E2D3D">
              <w:rPr>
                <w:rFonts w:hAnsi="標楷體" w:hint="eastAsia"/>
                <w:b/>
                <w:snapToGrid/>
                <w:spacing w:val="-20"/>
                <w:sz w:val="22"/>
                <w:szCs w:val="22"/>
              </w:rPr>
              <w:t>)</w:t>
            </w:r>
          </w:p>
        </w:tc>
        <w:tc>
          <w:tcPr>
            <w:tcW w:w="992"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投資比率</w:t>
            </w:r>
          </w:p>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(B/A</w:t>
            </w:r>
            <w:r w:rsidRPr="005E2D3D">
              <w:rPr>
                <w:rFonts w:hAnsi="標楷體"/>
                <w:b/>
                <w:snapToGrid/>
                <w:spacing w:val="-20"/>
                <w:sz w:val="22"/>
                <w:szCs w:val="22"/>
              </w:rPr>
              <w:t>×100</w:t>
            </w:r>
            <w:r w:rsidRPr="005E2D3D">
              <w:rPr>
                <w:rFonts w:hAnsi="標楷體" w:hint="eastAsia"/>
                <w:b/>
                <w:snapToGrid/>
                <w:spacing w:val="-20"/>
                <w:sz w:val="22"/>
                <w:szCs w:val="22"/>
              </w:rPr>
              <w:t>)</w:t>
            </w:r>
          </w:p>
        </w:tc>
        <w:tc>
          <w:tcPr>
            <w:tcW w:w="921" w:type="dxa"/>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加權投資金額(C)</w:t>
            </w:r>
          </w:p>
        </w:tc>
        <w:tc>
          <w:tcPr>
            <w:tcW w:w="922" w:type="dxa"/>
            <w:tcBorders>
              <w:right w:val="single" w:sz="12" w:space="0" w:color="auto"/>
            </w:tcBorders>
            <w:shd w:val="clear" w:color="auto" w:fill="auto"/>
            <w:vAlign w:val="center"/>
          </w:tcPr>
          <w:p w:rsidR="00BA2BF4" w:rsidRPr="005E2D3D" w:rsidRDefault="00BA2BF4" w:rsidP="0036534D">
            <w:pPr>
              <w:pStyle w:val="142"/>
              <w:spacing w:line="240" w:lineRule="exact"/>
              <w:jc w:val="center"/>
              <w:rPr>
                <w:rFonts w:hAnsi="標楷體"/>
                <w:b/>
                <w:snapToGrid/>
                <w:spacing w:val="-20"/>
                <w:sz w:val="22"/>
                <w:szCs w:val="22"/>
              </w:rPr>
            </w:pPr>
            <w:r w:rsidRPr="005E2D3D">
              <w:rPr>
                <w:rFonts w:hAnsi="標楷體" w:hint="eastAsia"/>
                <w:b/>
                <w:snapToGrid/>
                <w:spacing w:val="-20"/>
                <w:sz w:val="22"/>
                <w:szCs w:val="22"/>
              </w:rPr>
              <w:t>投資比率(C/A</w:t>
            </w:r>
            <w:r w:rsidRPr="005E2D3D">
              <w:rPr>
                <w:rFonts w:hAnsi="標楷體" w:cs="標楷體"/>
                <w:b/>
                <w:bCs/>
                <w:snapToGrid/>
                <w:spacing w:val="-20"/>
                <w:sz w:val="22"/>
                <w:szCs w:val="22"/>
              </w:rPr>
              <w:t>×100</w:t>
            </w:r>
            <w:r w:rsidRPr="005E2D3D">
              <w:rPr>
                <w:rFonts w:hAnsi="標楷體" w:cs="標楷體" w:hint="eastAsia"/>
                <w:b/>
                <w:bCs/>
                <w:snapToGrid/>
                <w:spacing w:val="-20"/>
                <w:sz w:val="22"/>
                <w:szCs w:val="22"/>
              </w:rPr>
              <w:t>)</w:t>
            </w:r>
          </w:p>
        </w:tc>
      </w:tr>
      <w:tr w:rsidR="0055250A" w:rsidRPr="005E2D3D" w:rsidTr="00BA2BF4">
        <w:trPr>
          <w:trHeight w:val="397"/>
          <w:jc w:val="center"/>
        </w:trPr>
        <w:tc>
          <w:tcPr>
            <w:tcW w:w="2940" w:type="dxa"/>
            <w:gridSpan w:val="3"/>
            <w:tcBorders>
              <w:left w:val="single" w:sz="12" w:space="0" w:color="auto"/>
            </w:tcBorders>
            <w:vAlign w:val="center"/>
          </w:tcPr>
          <w:p w:rsidR="00BA2BF4" w:rsidRPr="005E2D3D" w:rsidRDefault="00BA2BF4" w:rsidP="00BA2BF4">
            <w:pPr>
              <w:pStyle w:val="142"/>
              <w:jc w:val="center"/>
              <w:rPr>
                <w:rFonts w:hAnsi="標楷體"/>
                <w:b/>
                <w:snapToGrid/>
                <w:spacing w:val="-10"/>
                <w:sz w:val="22"/>
                <w:szCs w:val="22"/>
              </w:rPr>
            </w:pPr>
            <w:r w:rsidRPr="005E2D3D">
              <w:rPr>
                <w:rFonts w:hAnsi="標楷體" w:hint="eastAsia"/>
                <w:b/>
                <w:snapToGrid/>
                <w:spacing w:val="-10"/>
                <w:sz w:val="22"/>
                <w:szCs w:val="22"/>
              </w:rPr>
              <w:t xml:space="preserve">合 </w:t>
            </w:r>
            <w:r w:rsidRPr="005E2D3D">
              <w:rPr>
                <w:rFonts w:hAnsi="標楷體"/>
                <w:b/>
                <w:snapToGrid/>
                <w:spacing w:val="-10"/>
                <w:sz w:val="22"/>
                <w:szCs w:val="22"/>
              </w:rPr>
              <w:t xml:space="preserve">     </w:t>
            </w:r>
            <w:r w:rsidRPr="005E2D3D">
              <w:rPr>
                <w:rFonts w:hAnsi="標楷體" w:hint="eastAsia"/>
                <w:b/>
                <w:snapToGrid/>
                <w:spacing w:val="-10"/>
                <w:sz w:val="22"/>
                <w:szCs w:val="22"/>
              </w:rPr>
              <w:t>計</w:t>
            </w:r>
          </w:p>
        </w:tc>
        <w:tc>
          <w:tcPr>
            <w:tcW w:w="992" w:type="dxa"/>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2,847,75</w:t>
            </w:r>
            <w:r w:rsidR="001B1BEB">
              <w:rPr>
                <w:rFonts w:hAnsi="標楷體" w:hint="eastAsia"/>
                <w:b/>
                <w:snapToGrid/>
                <w:spacing w:val="-10"/>
                <w:sz w:val="22"/>
                <w:szCs w:val="22"/>
              </w:rPr>
              <w:t>8</w:t>
            </w:r>
          </w:p>
        </w:tc>
        <w:tc>
          <w:tcPr>
            <w:tcW w:w="709" w:type="dxa"/>
            <w:tcBorders>
              <w:tl2br w:val="single" w:sz="4" w:space="0" w:color="auto"/>
            </w:tcBorders>
            <w:vAlign w:val="center"/>
          </w:tcPr>
          <w:p w:rsidR="00BA2BF4" w:rsidRPr="005E2D3D" w:rsidRDefault="00BA2BF4" w:rsidP="00BA2BF4">
            <w:pPr>
              <w:pStyle w:val="142"/>
              <w:jc w:val="right"/>
              <w:rPr>
                <w:rFonts w:hAnsi="標楷體"/>
                <w:b/>
                <w:snapToGrid/>
                <w:spacing w:val="-10"/>
                <w:sz w:val="22"/>
                <w:szCs w:val="22"/>
              </w:rPr>
            </w:pPr>
          </w:p>
        </w:tc>
        <w:tc>
          <w:tcPr>
            <w:tcW w:w="1134"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1,613,241</w:t>
            </w:r>
          </w:p>
        </w:tc>
        <w:tc>
          <w:tcPr>
            <w:tcW w:w="992"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56.65</w:t>
            </w:r>
          </w:p>
        </w:tc>
        <w:tc>
          <w:tcPr>
            <w:tcW w:w="921" w:type="dxa"/>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236,006</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b/>
                <w:snapToGrid/>
                <w:spacing w:val="-10"/>
                <w:sz w:val="22"/>
                <w:szCs w:val="22"/>
              </w:rPr>
            </w:pPr>
            <w:r w:rsidRPr="005E2D3D">
              <w:rPr>
                <w:rFonts w:hAnsi="標楷體"/>
                <w:b/>
                <w:snapToGrid/>
                <w:spacing w:val="-10"/>
                <w:sz w:val="22"/>
                <w:szCs w:val="22"/>
              </w:rPr>
              <w:t>8.29</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1</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8"/>
                <w:sz w:val="22"/>
                <w:szCs w:val="22"/>
              </w:rPr>
            </w:pPr>
            <w:r w:rsidRPr="005E2D3D">
              <w:rPr>
                <w:rFonts w:hAnsi="標楷體"/>
                <w:snapToGrid/>
                <w:spacing w:val="-18"/>
                <w:sz w:val="22"/>
                <w:szCs w:val="22"/>
              </w:rPr>
              <w:t>TransLink Capital Partners III, L.P.</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12</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631,944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1</w:t>
            </w:r>
            <w:r w:rsidRPr="005E2D3D">
              <w:rPr>
                <w:rFonts w:hAnsi="標楷體"/>
                <w:snapToGrid/>
                <w:spacing w:val="-10"/>
                <w:sz w:val="22"/>
                <w:szCs w:val="22"/>
              </w:rPr>
              <w:t>5.71</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278,602</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44.09</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2</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2"/>
                <w:sz w:val="22"/>
                <w:szCs w:val="22"/>
              </w:rPr>
            </w:pPr>
            <w:r w:rsidRPr="005E2D3D">
              <w:rPr>
                <w:rFonts w:hAnsi="標楷體"/>
                <w:snapToGrid/>
                <w:spacing w:val="-12"/>
                <w:sz w:val="22"/>
                <w:szCs w:val="22"/>
              </w:rPr>
              <w:t>500 Startups III</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3</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473,040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1</w:t>
            </w:r>
            <w:r w:rsidRPr="005E2D3D">
              <w:rPr>
                <w:rFonts w:hAnsi="標楷體"/>
                <w:snapToGrid/>
                <w:spacing w:val="-10"/>
                <w:sz w:val="22"/>
                <w:szCs w:val="22"/>
              </w:rPr>
              <w:t>7.46</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15,197</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3.21</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3</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2"/>
                <w:sz w:val="22"/>
                <w:szCs w:val="22"/>
              </w:rPr>
            </w:pPr>
            <w:r w:rsidRPr="005E2D3D">
              <w:rPr>
                <w:rFonts w:hAnsi="標楷體" w:hint="eastAsia"/>
                <w:snapToGrid/>
                <w:spacing w:val="-12"/>
                <w:sz w:val="22"/>
                <w:szCs w:val="22"/>
              </w:rPr>
              <w:t>本誠創業投資</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104</w:t>
            </w:r>
            <w:r w:rsidRPr="005E2D3D">
              <w:rPr>
                <w:rFonts w:hAnsi="標楷體" w:hint="eastAsia"/>
                <w:snapToGrid/>
                <w:spacing w:val="-20"/>
                <w:sz w:val="22"/>
                <w:szCs w:val="22"/>
              </w:rPr>
              <w:t>年</w:t>
            </w:r>
            <w:r w:rsidRPr="005E2D3D">
              <w:rPr>
                <w:rFonts w:hAnsi="標楷體"/>
                <w:snapToGrid/>
                <w:spacing w:val="-20"/>
                <w:sz w:val="22"/>
                <w:szCs w:val="22"/>
              </w:rPr>
              <w:t>8</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306,000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2</w:t>
            </w:r>
            <w:r w:rsidRPr="005E2D3D">
              <w:rPr>
                <w:rFonts w:hAnsi="標楷體"/>
                <w:snapToGrid/>
                <w:spacing w:val="-10"/>
                <w:sz w:val="22"/>
                <w:szCs w:val="22"/>
              </w:rPr>
              <w:t>2.67</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437,938</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143.12</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6,230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2.03</w:t>
            </w:r>
          </w:p>
        </w:tc>
      </w:tr>
      <w:tr w:rsidR="0055250A" w:rsidRPr="005E2D3D" w:rsidTr="00BA2BF4">
        <w:trPr>
          <w:trHeight w:val="397"/>
          <w:jc w:val="center"/>
        </w:trPr>
        <w:tc>
          <w:tcPr>
            <w:tcW w:w="284" w:type="dxa"/>
            <w:tcBorders>
              <w:left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4</w:t>
            </w:r>
          </w:p>
        </w:tc>
        <w:tc>
          <w:tcPr>
            <w:tcW w:w="1663" w:type="dxa"/>
            <w:shd w:val="clear" w:color="auto" w:fill="auto"/>
            <w:vAlign w:val="center"/>
            <w:hideMark/>
          </w:tcPr>
          <w:p w:rsidR="00BA2BF4" w:rsidRPr="005E2D3D" w:rsidRDefault="00BA2BF4" w:rsidP="005E3F0D">
            <w:pPr>
              <w:pStyle w:val="142"/>
              <w:spacing w:line="260" w:lineRule="exact"/>
              <w:rPr>
                <w:rFonts w:hAnsi="標楷體"/>
                <w:snapToGrid/>
                <w:spacing w:val="-18"/>
                <w:sz w:val="22"/>
                <w:szCs w:val="22"/>
              </w:rPr>
            </w:pPr>
            <w:r w:rsidRPr="005E2D3D">
              <w:rPr>
                <w:rFonts w:hAnsi="標楷體"/>
                <w:snapToGrid/>
                <w:spacing w:val="-18"/>
                <w:sz w:val="22"/>
                <w:szCs w:val="22"/>
              </w:rPr>
              <w:t>Infinity e.ventures Asia III</w:t>
            </w:r>
          </w:p>
        </w:tc>
        <w:tc>
          <w:tcPr>
            <w:tcW w:w="993" w:type="dxa"/>
            <w:shd w:val="clear" w:color="auto" w:fill="auto"/>
            <w:noWrap/>
            <w:vAlign w:val="center"/>
          </w:tcPr>
          <w:p w:rsidR="00BA2BF4" w:rsidRPr="005E2D3D" w:rsidRDefault="00BA2BF4" w:rsidP="00BA2BF4">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7</w:t>
            </w:r>
            <w:r w:rsidRPr="005E2D3D">
              <w:rPr>
                <w:rFonts w:hAnsi="標楷體" w:hint="eastAsia"/>
                <w:snapToGrid/>
                <w:spacing w:val="-20"/>
                <w:sz w:val="22"/>
                <w:szCs w:val="22"/>
              </w:rPr>
              <w:t>月</w:t>
            </w:r>
          </w:p>
        </w:tc>
        <w:tc>
          <w:tcPr>
            <w:tcW w:w="992" w:type="dxa"/>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 xml:space="preserve">593,836 </w:t>
            </w:r>
          </w:p>
        </w:tc>
        <w:tc>
          <w:tcPr>
            <w:tcW w:w="709"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hint="eastAsia"/>
                <w:snapToGrid/>
                <w:spacing w:val="-10"/>
                <w:sz w:val="22"/>
                <w:szCs w:val="22"/>
              </w:rPr>
              <w:t>2</w:t>
            </w:r>
            <w:r w:rsidRPr="005E2D3D">
              <w:rPr>
                <w:rFonts w:hAnsi="標楷體"/>
                <w:snapToGrid/>
                <w:spacing w:val="-10"/>
                <w:sz w:val="22"/>
                <w:szCs w:val="22"/>
              </w:rPr>
              <w:t>5.06</w:t>
            </w:r>
          </w:p>
        </w:tc>
        <w:tc>
          <w:tcPr>
            <w:tcW w:w="1134"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378,285</w:t>
            </w:r>
          </w:p>
        </w:tc>
        <w:tc>
          <w:tcPr>
            <w:tcW w:w="992"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63.70</w:t>
            </w:r>
          </w:p>
        </w:tc>
        <w:tc>
          <w:tcPr>
            <w:tcW w:w="921" w:type="dxa"/>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c>
          <w:tcPr>
            <w:tcW w:w="922" w:type="dxa"/>
            <w:tcBorders>
              <w:right w:val="single" w:sz="12" w:space="0" w:color="auto"/>
            </w:tcBorders>
            <w:shd w:val="clear" w:color="auto" w:fill="auto"/>
            <w:noWrap/>
            <w:vAlign w:val="center"/>
          </w:tcPr>
          <w:p w:rsidR="00BA2BF4" w:rsidRPr="005E2D3D" w:rsidRDefault="00BA2BF4" w:rsidP="00BA2BF4">
            <w:pPr>
              <w:pStyle w:val="142"/>
              <w:jc w:val="right"/>
              <w:rPr>
                <w:rFonts w:hAnsi="標楷體"/>
                <w:snapToGrid/>
                <w:spacing w:val="-10"/>
                <w:sz w:val="22"/>
                <w:szCs w:val="22"/>
              </w:rPr>
            </w:pPr>
            <w:r w:rsidRPr="005E2D3D">
              <w:rPr>
                <w:rFonts w:hAnsi="標楷體"/>
                <w:snapToGrid/>
                <w:spacing w:val="-10"/>
                <w:sz w:val="22"/>
                <w:szCs w:val="22"/>
              </w:rPr>
              <w:t>0</w:t>
            </w:r>
          </w:p>
        </w:tc>
      </w:tr>
      <w:tr w:rsidR="0055250A" w:rsidRPr="005E2D3D" w:rsidTr="00BA2BF4">
        <w:trPr>
          <w:trHeight w:val="397"/>
          <w:jc w:val="center"/>
        </w:trPr>
        <w:tc>
          <w:tcPr>
            <w:tcW w:w="284" w:type="dxa"/>
            <w:tcBorders>
              <w:left w:val="single" w:sz="12" w:space="0" w:color="auto"/>
              <w:bottom w:val="single" w:sz="12" w:space="0" w:color="auto"/>
            </w:tcBorders>
            <w:vAlign w:val="center"/>
          </w:tcPr>
          <w:p w:rsidR="00BA2BF4" w:rsidRPr="005E2D3D" w:rsidRDefault="00BA2BF4" w:rsidP="00BA2BF4">
            <w:pPr>
              <w:pStyle w:val="142"/>
              <w:jc w:val="center"/>
              <w:rPr>
                <w:rFonts w:hAnsi="標楷體"/>
                <w:snapToGrid/>
                <w:sz w:val="22"/>
                <w:szCs w:val="22"/>
              </w:rPr>
            </w:pPr>
            <w:r w:rsidRPr="005E2D3D">
              <w:rPr>
                <w:rFonts w:hAnsi="標楷體" w:hint="eastAsia"/>
                <w:snapToGrid/>
                <w:sz w:val="22"/>
                <w:szCs w:val="22"/>
              </w:rPr>
              <w:t>5</w:t>
            </w:r>
          </w:p>
        </w:tc>
        <w:tc>
          <w:tcPr>
            <w:tcW w:w="1663" w:type="dxa"/>
            <w:tcBorders>
              <w:bottom w:val="single" w:sz="12" w:space="0" w:color="auto"/>
            </w:tcBorders>
            <w:shd w:val="clear" w:color="auto" w:fill="auto"/>
            <w:vAlign w:val="center"/>
            <w:hideMark/>
          </w:tcPr>
          <w:p w:rsidR="00BA2BF4" w:rsidRPr="00B35594" w:rsidRDefault="00BA2BF4" w:rsidP="005E3F0D">
            <w:pPr>
              <w:pStyle w:val="142"/>
              <w:spacing w:line="260" w:lineRule="exact"/>
              <w:rPr>
                <w:rFonts w:hAnsi="標楷體"/>
                <w:b/>
                <w:snapToGrid/>
                <w:spacing w:val="-16"/>
                <w:sz w:val="22"/>
                <w:szCs w:val="22"/>
              </w:rPr>
            </w:pPr>
            <w:r w:rsidRPr="00B35594">
              <w:rPr>
                <w:rFonts w:hAnsi="標楷體"/>
                <w:b/>
                <w:snapToGrid/>
                <w:spacing w:val="-16"/>
                <w:sz w:val="22"/>
                <w:szCs w:val="22"/>
              </w:rPr>
              <w:t>Trans-Pacific Technology Fund, L.P.</w:t>
            </w:r>
          </w:p>
        </w:tc>
        <w:tc>
          <w:tcPr>
            <w:tcW w:w="993" w:type="dxa"/>
            <w:tcBorders>
              <w:bottom w:val="single" w:sz="12" w:space="0" w:color="auto"/>
            </w:tcBorders>
            <w:shd w:val="clear" w:color="auto" w:fill="auto"/>
            <w:noWrap/>
            <w:vAlign w:val="center"/>
          </w:tcPr>
          <w:p w:rsidR="00BA2BF4" w:rsidRPr="00B35594" w:rsidRDefault="00BA2BF4" w:rsidP="00BA2BF4">
            <w:pPr>
              <w:pStyle w:val="142"/>
              <w:jc w:val="center"/>
              <w:rPr>
                <w:rFonts w:hAnsi="標楷體"/>
                <w:snapToGrid/>
                <w:spacing w:val="-20"/>
                <w:sz w:val="22"/>
                <w:szCs w:val="22"/>
              </w:rPr>
            </w:pPr>
            <w:r w:rsidRPr="00B35594">
              <w:rPr>
                <w:rFonts w:hAnsi="標楷體"/>
                <w:snapToGrid/>
                <w:spacing w:val="-20"/>
                <w:sz w:val="22"/>
                <w:szCs w:val="22"/>
              </w:rPr>
              <w:t>104</w:t>
            </w:r>
            <w:r w:rsidRPr="00B35594">
              <w:rPr>
                <w:rFonts w:hAnsi="標楷體" w:hint="eastAsia"/>
                <w:snapToGrid/>
                <w:spacing w:val="-20"/>
                <w:sz w:val="22"/>
                <w:szCs w:val="22"/>
              </w:rPr>
              <w:t>年</w:t>
            </w:r>
            <w:r w:rsidRPr="00B35594">
              <w:rPr>
                <w:rFonts w:hAnsi="標楷體"/>
                <w:snapToGrid/>
                <w:spacing w:val="-20"/>
                <w:sz w:val="22"/>
                <w:szCs w:val="22"/>
              </w:rPr>
              <w:t>8</w:t>
            </w:r>
            <w:r w:rsidRPr="00B35594">
              <w:rPr>
                <w:rFonts w:hAnsi="標楷體" w:hint="eastAsia"/>
                <w:snapToGrid/>
                <w:spacing w:val="-20"/>
                <w:sz w:val="22"/>
                <w:szCs w:val="22"/>
              </w:rPr>
              <w:t>月</w:t>
            </w:r>
          </w:p>
        </w:tc>
        <w:tc>
          <w:tcPr>
            <w:tcW w:w="992" w:type="dxa"/>
            <w:tcBorders>
              <w:bottom w:val="single" w:sz="12" w:space="0" w:color="auto"/>
            </w:tcBorders>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 xml:space="preserve">842,938 </w:t>
            </w:r>
          </w:p>
        </w:tc>
        <w:tc>
          <w:tcPr>
            <w:tcW w:w="709"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hint="eastAsia"/>
                <w:snapToGrid/>
                <w:spacing w:val="-10"/>
                <w:sz w:val="22"/>
                <w:szCs w:val="22"/>
              </w:rPr>
              <w:t>3</w:t>
            </w:r>
            <w:r w:rsidRPr="00B35594">
              <w:rPr>
                <w:rFonts w:hAnsi="標楷體"/>
                <w:snapToGrid/>
                <w:spacing w:val="-10"/>
                <w:sz w:val="22"/>
                <w:szCs w:val="22"/>
              </w:rPr>
              <w:t>0.00</w:t>
            </w:r>
          </w:p>
        </w:tc>
        <w:tc>
          <w:tcPr>
            <w:tcW w:w="1134"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503,219</w:t>
            </w:r>
          </w:p>
        </w:tc>
        <w:tc>
          <w:tcPr>
            <w:tcW w:w="992"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b/>
                <w:snapToGrid/>
                <w:spacing w:val="-10"/>
                <w:sz w:val="22"/>
                <w:szCs w:val="22"/>
              </w:rPr>
            </w:pPr>
            <w:r w:rsidRPr="00B35594">
              <w:rPr>
                <w:rFonts w:hAnsi="標楷體"/>
                <w:b/>
                <w:snapToGrid/>
                <w:spacing w:val="-10"/>
                <w:sz w:val="22"/>
                <w:szCs w:val="22"/>
              </w:rPr>
              <w:t>59.70</w:t>
            </w:r>
          </w:p>
        </w:tc>
        <w:tc>
          <w:tcPr>
            <w:tcW w:w="921" w:type="dxa"/>
            <w:tcBorders>
              <w:bottom w:val="single" w:sz="12" w:space="0" w:color="auto"/>
            </w:tcBorders>
            <w:shd w:val="clear" w:color="auto" w:fill="auto"/>
            <w:noWrap/>
            <w:vAlign w:val="center"/>
          </w:tcPr>
          <w:p w:rsidR="00BA2BF4" w:rsidRPr="00B35594" w:rsidRDefault="00BA2BF4" w:rsidP="00BA2BF4">
            <w:pPr>
              <w:pStyle w:val="142"/>
              <w:jc w:val="right"/>
              <w:rPr>
                <w:rFonts w:hAnsi="標楷體"/>
                <w:snapToGrid/>
                <w:spacing w:val="-10"/>
                <w:sz w:val="22"/>
                <w:szCs w:val="22"/>
              </w:rPr>
            </w:pPr>
            <w:r w:rsidRPr="00B35594">
              <w:rPr>
                <w:rFonts w:hAnsi="標楷體"/>
                <w:snapToGrid/>
                <w:spacing w:val="-10"/>
                <w:sz w:val="22"/>
                <w:szCs w:val="22"/>
              </w:rPr>
              <w:t>229,776</w:t>
            </w:r>
          </w:p>
        </w:tc>
        <w:tc>
          <w:tcPr>
            <w:tcW w:w="922" w:type="dxa"/>
            <w:tcBorders>
              <w:bottom w:val="single" w:sz="12" w:space="0" w:color="auto"/>
              <w:right w:val="single" w:sz="12" w:space="0" w:color="auto"/>
            </w:tcBorders>
            <w:shd w:val="clear" w:color="auto" w:fill="auto"/>
            <w:noWrap/>
            <w:vAlign w:val="center"/>
          </w:tcPr>
          <w:p w:rsidR="00BA2BF4" w:rsidRPr="00B35594" w:rsidRDefault="00BA2BF4" w:rsidP="00BA2BF4">
            <w:pPr>
              <w:pStyle w:val="142"/>
              <w:jc w:val="right"/>
              <w:rPr>
                <w:rFonts w:hAnsi="標楷體"/>
                <w:b/>
                <w:snapToGrid/>
                <w:spacing w:val="-10"/>
                <w:sz w:val="22"/>
                <w:szCs w:val="22"/>
              </w:rPr>
            </w:pPr>
            <w:r w:rsidRPr="00B35594">
              <w:rPr>
                <w:rFonts w:hAnsi="標楷體"/>
                <w:b/>
                <w:snapToGrid/>
                <w:spacing w:val="-10"/>
                <w:sz w:val="22"/>
                <w:szCs w:val="22"/>
              </w:rPr>
              <w:t>27.26</w:t>
            </w:r>
          </w:p>
        </w:tc>
      </w:tr>
    </w:tbl>
    <w:p w:rsidR="007E05C8" w:rsidRPr="005E2D3D" w:rsidRDefault="007E05C8" w:rsidP="00562488">
      <w:pPr>
        <w:spacing w:line="280" w:lineRule="exact"/>
        <w:ind w:leftChars="0" w:left="1461" w:hangingChars="600" w:hanging="1461"/>
        <w:rPr>
          <w:rFonts w:hAnsi="標楷體" w:cs="Arial"/>
          <w:sz w:val="24"/>
        </w:rPr>
      </w:pPr>
      <w:r w:rsidRPr="005E2D3D">
        <w:rPr>
          <w:rFonts w:hAnsi="標楷體" w:hint="eastAsia"/>
          <w:sz w:val="24"/>
        </w:rPr>
        <w:t>說    明：</w:t>
      </w:r>
      <w:r w:rsidR="000F09B5" w:rsidRPr="005E2D3D">
        <w:rPr>
          <w:rFonts w:hAnsi="標楷體" w:hint="eastAsia"/>
          <w:sz w:val="24"/>
        </w:rPr>
        <w:t>1.</w:t>
      </w:r>
      <w:r w:rsidR="000F09B5" w:rsidRPr="005E2D3D">
        <w:rPr>
          <w:rFonts w:hAnsi="標楷體" w:cs="Arial" w:hint="eastAsia"/>
          <w:sz w:val="24"/>
        </w:rPr>
        <w:t>第1</w:t>
      </w:r>
      <w:r w:rsidRPr="005E2D3D">
        <w:rPr>
          <w:rFonts w:hAnsi="標楷體" w:cs="Arial" w:hint="eastAsia"/>
          <w:sz w:val="24"/>
        </w:rPr>
        <w:t>類</w:t>
      </w:r>
      <w:r w:rsidR="000F09B5" w:rsidRPr="005E2D3D">
        <w:rPr>
          <w:rFonts w:hAnsi="標楷體" w:cs="Arial" w:hint="eastAsia"/>
          <w:sz w:val="24"/>
        </w:rPr>
        <w:t>國內</w:t>
      </w:r>
      <w:r w:rsidRPr="005E2D3D">
        <w:rPr>
          <w:rFonts w:hAnsi="標楷體" w:cs="Arial" w:hint="eastAsia"/>
          <w:sz w:val="24"/>
        </w:rPr>
        <w:t>公司</w:t>
      </w:r>
      <w:r w:rsidR="000F09B5" w:rsidRPr="005E2D3D">
        <w:rPr>
          <w:rFonts w:hAnsi="標楷體" w:cs="Arial" w:hint="eastAsia"/>
          <w:sz w:val="24"/>
        </w:rPr>
        <w:t>：於我國登記設立未逾5年且以前年度均無營業利益之公司。</w:t>
      </w:r>
    </w:p>
    <w:p w:rsidR="000F09B5" w:rsidRPr="005E2D3D" w:rsidRDefault="000F09B5" w:rsidP="00562488">
      <w:pPr>
        <w:spacing w:line="280" w:lineRule="exact"/>
        <w:ind w:leftChars="0" w:left="1461" w:hangingChars="600" w:hanging="1461"/>
        <w:rPr>
          <w:rFonts w:hAnsi="標楷體" w:cs="Arial" w:hint="eastAsia"/>
          <w:sz w:val="24"/>
        </w:rPr>
      </w:pPr>
      <w:r w:rsidRPr="005E2D3D">
        <w:rPr>
          <w:rFonts w:hAnsi="標楷體" w:cs="Arial" w:hint="eastAsia"/>
          <w:sz w:val="24"/>
        </w:rPr>
        <w:t xml:space="preserve">          2.第2類國外公司：(1)在我國已設立子公司或分公司之外國公司，或於創業投資事業投資後1年內在我國設立子公司或分公司之外國公司。且創業投資事業係參與該外國公司首輪募資或其先前階段之投資。(2)大陸地區登記設立之公司或大陸地區人民來臺投資許可辦法所規定</w:t>
      </w:r>
      <w:r w:rsidR="000638C4">
        <w:rPr>
          <w:rFonts w:hAnsi="標楷體" w:cs="Arial" w:hint="eastAsia"/>
          <w:sz w:val="24"/>
        </w:rPr>
        <w:t>大陸地區人民、法人、團體或其他機構於第三地區投資之公司，非屬第2</w:t>
      </w:r>
      <w:r w:rsidRPr="005E2D3D">
        <w:rPr>
          <w:rFonts w:hAnsi="標楷體" w:cs="Arial" w:hint="eastAsia"/>
          <w:sz w:val="24"/>
        </w:rPr>
        <w:t>類公司。</w:t>
      </w:r>
    </w:p>
    <w:p w:rsidR="00BA2BF4" w:rsidRPr="005E2D3D" w:rsidRDefault="00D81E2D" w:rsidP="00562488">
      <w:pPr>
        <w:spacing w:line="280" w:lineRule="exact"/>
        <w:ind w:leftChars="0" w:left="1135" w:hangingChars="466" w:hanging="1135"/>
        <w:rPr>
          <w:rFonts w:hAnsi="標楷體" w:cs="Arial"/>
          <w:sz w:val="24"/>
        </w:rPr>
      </w:pPr>
      <w:r w:rsidRPr="005E2D3D">
        <w:rPr>
          <w:rFonts w:hAnsi="標楷體" w:cs="Arial" w:hint="eastAsia"/>
          <w:sz w:val="24"/>
        </w:rPr>
        <w:t>資料來源：</w:t>
      </w:r>
      <w:r w:rsidR="00BA2BF4" w:rsidRPr="005E2D3D">
        <w:rPr>
          <w:rFonts w:hAnsi="標楷體" w:cs="Arial" w:hint="eastAsia"/>
          <w:sz w:val="24"/>
        </w:rPr>
        <w:t>國發會提供。</w:t>
      </w:r>
    </w:p>
    <w:p w:rsidR="00D81E2D" w:rsidRPr="005E2D3D" w:rsidRDefault="00D81E2D" w:rsidP="006B3041">
      <w:pPr>
        <w:snapToGrid w:val="0"/>
        <w:spacing w:line="460" w:lineRule="exact"/>
        <w:ind w:leftChars="0" w:left="0" w:firstLineChars="0" w:firstLine="0"/>
        <w:rPr>
          <w:rFonts w:hint="eastAsia"/>
          <w:sz w:val="24"/>
          <w:szCs w:val="24"/>
        </w:rPr>
      </w:pPr>
      <w:r w:rsidRPr="005E2D3D">
        <w:rPr>
          <w:rFonts w:hint="eastAsia"/>
          <w:b/>
          <w:snapToGrid/>
        </w:rPr>
        <w:t>表2  臺灣矽谷科技基金投資計畫截至113年7月底止執行情形表</w:t>
      </w:r>
    </w:p>
    <w:p w:rsidR="00D81E2D" w:rsidRPr="005E2D3D" w:rsidRDefault="00D81E2D" w:rsidP="005E3F0D">
      <w:pPr>
        <w:snapToGrid w:val="0"/>
        <w:spacing w:line="320" w:lineRule="exact"/>
        <w:ind w:leftChars="0" w:left="0" w:firstLineChars="0" w:firstLine="0"/>
        <w:jc w:val="right"/>
        <w:rPr>
          <w:sz w:val="24"/>
          <w:szCs w:val="24"/>
        </w:rPr>
      </w:pPr>
      <w:r w:rsidRPr="005E2D3D">
        <w:rPr>
          <w:rFonts w:hint="eastAsia"/>
          <w:sz w:val="24"/>
          <w:szCs w:val="24"/>
        </w:rPr>
        <w:t>單位：新臺幣千元</w:t>
      </w:r>
      <w:r w:rsidR="001B1BEB" w:rsidRPr="001B1BEB">
        <w:rPr>
          <w:rFonts w:hint="eastAsia"/>
          <w:sz w:val="24"/>
          <w:szCs w:val="24"/>
        </w:rPr>
        <w:t>；</w:t>
      </w:r>
      <w:r w:rsidRPr="005E2D3D">
        <w:rPr>
          <w:rFonts w:hint="eastAsia"/>
          <w:sz w:val="24"/>
          <w:szCs w:val="24"/>
        </w:rPr>
        <w:t>美金千元</w:t>
      </w:r>
      <w:r w:rsidR="001B1BEB" w:rsidRPr="001B1BEB">
        <w:rPr>
          <w:rFonts w:hint="eastAsia"/>
          <w:sz w:val="24"/>
          <w:szCs w:val="24"/>
        </w:rPr>
        <w:t>；</w:t>
      </w:r>
      <w:r w:rsidRPr="005E2D3D">
        <w:rPr>
          <w:rFonts w:hint="eastAsia"/>
          <w:sz w:val="24"/>
          <w:szCs w:val="24"/>
        </w:rPr>
        <w:t>%</w:t>
      </w:r>
    </w:p>
    <w:tbl>
      <w:tblPr>
        <w:tblW w:w="8505" w:type="dxa"/>
        <w:tblInd w:w="28" w:type="dxa"/>
        <w:tblLayout w:type="fixed"/>
        <w:tblCellMar>
          <w:left w:w="28" w:type="dxa"/>
          <w:right w:w="28" w:type="dxa"/>
        </w:tblCellMar>
        <w:tblLook w:val="04A0" w:firstRow="1" w:lastRow="0" w:firstColumn="1" w:lastColumn="0" w:noHBand="0" w:noVBand="1"/>
      </w:tblPr>
      <w:tblGrid>
        <w:gridCol w:w="284"/>
        <w:gridCol w:w="1559"/>
        <w:gridCol w:w="992"/>
        <w:gridCol w:w="1134"/>
        <w:gridCol w:w="1276"/>
        <w:gridCol w:w="851"/>
        <w:gridCol w:w="1559"/>
        <w:gridCol w:w="850"/>
      </w:tblGrid>
      <w:tr w:rsidR="00D81E2D" w:rsidRPr="005E2D3D" w:rsidTr="006244F9">
        <w:trPr>
          <w:trHeight w:val="300"/>
          <w:tblHeader/>
        </w:trPr>
        <w:tc>
          <w:tcPr>
            <w:tcW w:w="284" w:type="dxa"/>
            <w:vMerge w:val="restart"/>
            <w:tcBorders>
              <w:top w:val="single" w:sz="12" w:space="0" w:color="auto"/>
              <w:left w:val="single" w:sz="12" w:space="0" w:color="auto"/>
              <w:right w:val="single" w:sz="4" w:space="0" w:color="auto"/>
            </w:tcBorders>
            <w:vAlign w:val="center"/>
          </w:tcPr>
          <w:p w:rsidR="00D81E2D" w:rsidRPr="005E2D3D" w:rsidRDefault="00D81E2D" w:rsidP="00D81E2D">
            <w:pPr>
              <w:pStyle w:val="142"/>
              <w:jc w:val="center"/>
              <w:rPr>
                <w:rFonts w:cs="標楷體"/>
                <w:b/>
                <w:bCs/>
                <w:snapToGrid/>
                <w:sz w:val="22"/>
                <w:szCs w:val="22"/>
              </w:rPr>
            </w:pPr>
            <w:r w:rsidRPr="005E2D3D">
              <w:rPr>
                <w:rFonts w:hint="eastAsia"/>
                <w:b/>
                <w:snapToGrid/>
                <w:sz w:val="22"/>
                <w:szCs w:val="22"/>
              </w:rPr>
              <w:lastRenderedPageBreak/>
              <w:t>項次</w:t>
            </w:r>
          </w:p>
        </w:tc>
        <w:tc>
          <w:tcPr>
            <w:tcW w:w="1559" w:type="dxa"/>
            <w:vMerge w:val="restart"/>
            <w:tcBorders>
              <w:top w:val="single" w:sz="12" w:space="0" w:color="auto"/>
              <w:left w:val="single" w:sz="4" w:space="0" w:color="auto"/>
              <w:right w:val="single" w:sz="4" w:space="0" w:color="auto"/>
            </w:tcBorders>
            <w:shd w:val="clear" w:color="auto" w:fill="auto"/>
            <w:vAlign w:val="center"/>
            <w:hideMark/>
          </w:tcPr>
          <w:p w:rsidR="00D81E2D" w:rsidRPr="005E2D3D" w:rsidRDefault="00D81E2D" w:rsidP="00D81E2D">
            <w:pPr>
              <w:pStyle w:val="142"/>
              <w:jc w:val="center"/>
              <w:rPr>
                <w:rFonts w:cs="標楷體"/>
                <w:b/>
                <w:bCs/>
                <w:snapToGrid/>
                <w:sz w:val="22"/>
                <w:szCs w:val="22"/>
              </w:rPr>
            </w:pPr>
            <w:r w:rsidRPr="005E2D3D">
              <w:rPr>
                <w:rFonts w:hint="eastAsia"/>
                <w:b/>
                <w:snapToGrid/>
                <w:sz w:val="22"/>
                <w:szCs w:val="22"/>
              </w:rPr>
              <w:t>創投事業名稱</w:t>
            </w:r>
          </w:p>
        </w:tc>
        <w:tc>
          <w:tcPr>
            <w:tcW w:w="4253" w:type="dxa"/>
            <w:gridSpan w:val="4"/>
            <w:tcBorders>
              <w:top w:val="single" w:sz="12"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國發基金投資</w:t>
            </w:r>
          </w:p>
        </w:tc>
        <w:tc>
          <w:tcPr>
            <w:tcW w:w="1559" w:type="dxa"/>
            <w:vMerge w:val="restart"/>
            <w:tcBorders>
              <w:top w:val="single" w:sz="12" w:space="0" w:color="auto"/>
              <w:left w:val="single" w:sz="4" w:space="0" w:color="auto"/>
              <w:right w:val="single" w:sz="4" w:space="0" w:color="auto"/>
            </w:tcBorders>
            <w:shd w:val="clear" w:color="auto" w:fill="auto"/>
            <w:vAlign w:val="center"/>
          </w:tcPr>
          <w:p w:rsidR="00D81E2D" w:rsidRPr="005E2D3D" w:rsidRDefault="001B1BEB" w:rsidP="00D81E2D">
            <w:pPr>
              <w:pStyle w:val="142"/>
              <w:jc w:val="center"/>
              <w:rPr>
                <w:rFonts w:hAnsi="標楷體"/>
                <w:b/>
                <w:snapToGrid/>
                <w:spacing w:val="-20"/>
                <w:sz w:val="22"/>
                <w:szCs w:val="22"/>
              </w:rPr>
            </w:pPr>
            <w:r>
              <w:rPr>
                <w:rFonts w:hAnsi="標楷體" w:hint="eastAsia"/>
                <w:b/>
                <w:snapToGrid/>
                <w:spacing w:val="-20"/>
                <w:sz w:val="22"/>
                <w:szCs w:val="22"/>
              </w:rPr>
              <w:t>投資第1至4</w:t>
            </w:r>
            <w:r w:rsidR="00D81E2D" w:rsidRPr="005E2D3D">
              <w:rPr>
                <w:rFonts w:hAnsi="標楷體" w:hint="eastAsia"/>
                <w:b/>
                <w:snapToGrid/>
                <w:spacing w:val="-20"/>
                <w:sz w:val="22"/>
                <w:szCs w:val="22"/>
              </w:rPr>
              <w:t>類公司金額(B)</w:t>
            </w:r>
          </w:p>
        </w:tc>
        <w:tc>
          <w:tcPr>
            <w:tcW w:w="850" w:type="dxa"/>
            <w:vMerge w:val="restart"/>
            <w:tcBorders>
              <w:top w:val="single" w:sz="12" w:space="0" w:color="auto"/>
              <w:left w:val="single" w:sz="4" w:space="0" w:color="auto"/>
              <w:right w:val="single" w:sz="12"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投資比率</w:t>
            </w:r>
          </w:p>
          <w:p w:rsidR="00D81E2D" w:rsidRPr="005E2D3D" w:rsidRDefault="00D81E2D" w:rsidP="00D81E2D">
            <w:pPr>
              <w:pStyle w:val="142"/>
              <w:jc w:val="center"/>
              <w:rPr>
                <w:rFonts w:hAnsi="標楷體"/>
                <w:b/>
                <w:snapToGrid/>
                <w:spacing w:val="-20"/>
                <w:sz w:val="22"/>
                <w:szCs w:val="22"/>
              </w:rPr>
            </w:pPr>
            <w:r w:rsidRPr="005E2D3D">
              <w:rPr>
                <w:rFonts w:hAnsi="標楷體"/>
                <w:b/>
                <w:snapToGrid/>
                <w:spacing w:val="-20"/>
                <w:sz w:val="22"/>
                <w:szCs w:val="22"/>
              </w:rPr>
              <w:t>[B/(A×2)×100]</w:t>
            </w:r>
          </w:p>
        </w:tc>
      </w:tr>
      <w:tr w:rsidR="00D81E2D" w:rsidRPr="005E2D3D" w:rsidTr="006244F9">
        <w:trPr>
          <w:trHeight w:val="300"/>
          <w:tblHeader/>
        </w:trPr>
        <w:tc>
          <w:tcPr>
            <w:tcW w:w="284" w:type="dxa"/>
            <w:vMerge/>
            <w:tcBorders>
              <w:top w:val="single" w:sz="4" w:space="0" w:color="auto"/>
              <w:left w:val="single" w:sz="12" w:space="0" w:color="auto"/>
              <w:right w:val="single" w:sz="4" w:space="0" w:color="auto"/>
            </w:tcBorders>
            <w:vAlign w:val="center"/>
          </w:tcPr>
          <w:p w:rsidR="00D81E2D" w:rsidRPr="005E2D3D" w:rsidRDefault="00D81E2D" w:rsidP="00D81E2D">
            <w:pPr>
              <w:pStyle w:val="142"/>
              <w:jc w:val="center"/>
              <w:rPr>
                <w:b/>
                <w:snapToGrid/>
                <w:sz w:val="22"/>
                <w:szCs w:val="22"/>
              </w:rPr>
            </w:pPr>
          </w:p>
        </w:tc>
        <w:tc>
          <w:tcPr>
            <w:tcW w:w="1559" w:type="dxa"/>
            <w:vMerge/>
            <w:tcBorders>
              <w:top w:val="single" w:sz="4" w:space="0" w:color="auto"/>
              <w:left w:val="single" w:sz="4" w:space="0" w:color="auto"/>
              <w:right w:val="single" w:sz="4" w:space="0" w:color="auto"/>
            </w:tcBorders>
            <w:shd w:val="clear" w:color="auto" w:fill="auto"/>
            <w:vAlign w:val="center"/>
          </w:tcPr>
          <w:p w:rsidR="00D81E2D" w:rsidRPr="005E2D3D" w:rsidRDefault="00D81E2D" w:rsidP="00D81E2D">
            <w:pPr>
              <w:pStyle w:val="142"/>
              <w:rPr>
                <w:b/>
                <w:snapToGrid/>
                <w:sz w:val="22"/>
                <w:szCs w:val="22"/>
              </w:rPr>
            </w:pPr>
          </w:p>
        </w:tc>
        <w:tc>
          <w:tcPr>
            <w:tcW w:w="992" w:type="dxa"/>
            <w:vMerge w:val="restart"/>
            <w:tcBorders>
              <w:top w:val="single" w:sz="4" w:space="0" w:color="auto"/>
              <w:left w:val="nil"/>
              <w:right w:val="single" w:sz="4" w:space="0" w:color="auto"/>
            </w:tcBorders>
            <w:vAlign w:val="center"/>
          </w:tcPr>
          <w:p w:rsidR="00D81E2D" w:rsidRPr="005E2D3D" w:rsidRDefault="00D81E2D" w:rsidP="00D81E2D">
            <w:pPr>
              <w:pStyle w:val="142"/>
              <w:jc w:val="center"/>
              <w:rPr>
                <w:b/>
                <w:snapToGrid/>
                <w:sz w:val="22"/>
                <w:szCs w:val="22"/>
              </w:rPr>
            </w:pPr>
            <w:r w:rsidRPr="005E2D3D">
              <w:rPr>
                <w:rFonts w:hint="eastAsia"/>
                <w:b/>
                <w:snapToGrid/>
                <w:sz w:val="22"/>
                <w:szCs w:val="22"/>
              </w:rPr>
              <w:t>日期</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金額</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持股</w:t>
            </w:r>
          </w:p>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比率</w:t>
            </w:r>
          </w:p>
        </w:tc>
        <w:tc>
          <w:tcPr>
            <w:tcW w:w="1559" w:type="dxa"/>
            <w:vMerge/>
            <w:tcBorders>
              <w:left w:val="single" w:sz="4" w:space="0" w:color="auto"/>
              <w:bottom w:val="single" w:sz="4" w:space="0" w:color="auto"/>
              <w:right w:val="single" w:sz="4" w:space="0" w:color="auto"/>
            </w:tcBorders>
            <w:shd w:val="clear" w:color="auto" w:fill="auto"/>
            <w:vAlign w:val="center"/>
          </w:tcPr>
          <w:p w:rsidR="00D81E2D" w:rsidRPr="005E2D3D" w:rsidRDefault="00D81E2D" w:rsidP="00D81E2D">
            <w:pPr>
              <w:pStyle w:val="142"/>
              <w:jc w:val="center"/>
              <w:rPr>
                <w:rFonts w:hAnsi="標楷體"/>
                <w:b/>
                <w:snapToGrid/>
                <w:spacing w:val="-20"/>
                <w:sz w:val="22"/>
                <w:szCs w:val="22"/>
              </w:rPr>
            </w:pPr>
          </w:p>
        </w:tc>
        <w:tc>
          <w:tcPr>
            <w:tcW w:w="850" w:type="dxa"/>
            <w:vMerge/>
            <w:tcBorders>
              <w:top w:val="single" w:sz="4" w:space="0" w:color="auto"/>
              <w:left w:val="single" w:sz="4" w:space="0" w:color="auto"/>
              <w:right w:val="single" w:sz="12" w:space="0" w:color="auto"/>
            </w:tcBorders>
            <w:shd w:val="clear" w:color="auto" w:fill="auto"/>
            <w:vAlign w:val="center"/>
          </w:tcPr>
          <w:p w:rsidR="00D81E2D" w:rsidRPr="005E2D3D" w:rsidRDefault="00D81E2D" w:rsidP="00D81E2D">
            <w:pPr>
              <w:pStyle w:val="142"/>
              <w:rPr>
                <w:snapToGrid/>
                <w:sz w:val="22"/>
                <w:szCs w:val="22"/>
              </w:rPr>
            </w:pPr>
          </w:p>
        </w:tc>
      </w:tr>
      <w:tr w:rsidR="00D81E2D" w:rsidRPr="005E2D3D" w:rsidTr="006244F9">
        <w:trPr>
          <w:trHeight w:val="300"/>
          <w:tblHeader/>
        </w:trPr>
        <w:tc>
          <w:tcPr>
            <w:tcW w:w="284" w:type="dxa"/>
            <w:vMerge/>
            <w:tcBorders>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p>
        </w:tc>
        <w:tc>
          <w:tcPr>
            <w:tcW w:w="1559" w:type="dxa"/>
            <w:vMerge/>
            <w:tcBorders>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rPr>
                <w:rFonts w:cs="標楷體"/>
                <w:snapToGrid/>
                <w:sz w:val="22"/>
                <w:szCs w:val="22"/>
              </w:rPr>
            </w:pPr>
          </w:p>
        </w:tc>
        <w:tc>
          <w:tcPr>
            <w:tcW w:w="992" w:type="dxa"/>
            <w:vMerge/>
            <w:tcBorders>
              <w:left w:val="nil"/>
              <w:bottom w:val="single" w:sz="4" w:space="0" w:color="auto"/>
              <w:right w:val="single" w:sz="4" w:space="0" w:color="auto"/>
            </w:tcBorders>
          </w:tcPr>
          <w:p w:rsidR="00D81E2D" w:rsidRPr="005E2D3D" w:rsidRDefault="00D81E2D" w:rsidP="00D81E2D">
            <w:pPr>
              <w:pStyle w:val="142"/>
              <w:jc w:val="center"/>
              <w:rPr>
                <w:snapToGrid/>
                <w:spacing w:val="-1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新臺幣</w:t>
            </w:r>
          </w:p>
        </w:tc>
        <w:tc>
          <w:tcPr>
            <w:tcW w:w="1276" w:type="dxa"/>
            <w:tcBorders>
              <w:top w:val="nil"/>
              <w:left w:val="nil"/>
              <w:bottom w:val="single" w:sz="4" w:space="0" w:color="auto"/>
              <w:right w:val="single" w:sz="4" w:space="0" w:color="auto"/>
            </w:tcBorders>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美金(</w:t>
            </w:r>
            <w:r w:rsidRPr="005E2D3D">
              <w:rPr>
                <w:rFonts w:hAnsi="標楷體"/>
                <w:b/>
                <w:snapToGrid/>
                <w:spacing w:val="-20"/>
                <w:sz w:val="22"/>
                <w:szCs w:val="22"/>
              </w:rPr>
              <w:t>A</w:t>
            </w:r>
            <w:r w:rsidRPr="005E2D3D">
              <w:rPr>
                <w:rFonts w:hAnsi="標楷體" w:hint="eastAsia"/>
                <w:b/>
                <w:snapToGrid/>
                <w:spacing w:val="-20"/>
                <w:sz w:val="22"/>
                <w:szCs w:val="22"/>
              </w:rPr>
              <w:t>)</w:t>
            </w:r>
          </w:p>
        </w:tc>
        <w:tc>
          <w:tcPr>
            <w:tcW w:w="851" w:type="dxa"/>
            <w:vMerge/>
            <w:tcBorders>
              <w:left w:val="single" w:sz="4" w:space="0" w:color="auto"/>
              <w:bottom w:val="single" w:sz="4" w:space="0" w:color="auto"/>
              <w:right w:val="single" w:sz="4" w:space="0" w:color="auto"/>
            </w:tcBorders>
          </w:tcPr>
          <w:p w:rsidR="00D81E2D" w:rsidRPr="005E2D3D" w:rsidRDefault="00D81E2D" w:rsidP="00D81E2D">
            <w:pPr>
              <w:pStyle w:val="142"/>
              <w:jc w:val="center"/>
              <w:rPr>
                <w:rFonts w:hAnsi="標楷體"/>
                <w:b/>
                <w:snapToGrid/>
                <w:spacing w:val="-20"/>
                <w:sz w:val="22"/>
                <w:szCs w:val="22"/>
              </w:rPr>
            </w:pP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center"/>
              <w:rPr>
                <w:rFonts w:hAnsi="標楷體"/>
                <w:b/>
                <w:snapToGrid/>
                <w:spacing w:val="-20"/>
                <w:sz w:val="22"/>
                <w:szCs w:val="22"/>
              </w:rPr>
            </w:pPr>
            <w:r w:rsidRPr="005E2D3D">
              <w:rPr>
                <w:rFonts w:hAnsi="標楷體" w:hint="eastAsia"/>
                <w:b/>
                <w:snapToGrid/>
                <w:spacing w:val="-20"/>
                <w:sz w:val="22"/>
                <w:szCs w:val="22"/>
              </w:rPr>
              <w:t>美金(U</w:t>
            </w:r>
            <w:r w:rsidRPr="005E2D3D">
              <w:rPr>
                <w:rFonts w:hAnsi="標楷體"/>
                <w:b/>
                <w:snapToGrid/>
                <w:spacing w:val="-20"/>
                <w:sz w:val="22"/>
                <w:szCs w:val="22"/>
              </w:rPr>
              <w:t>SD)</w:t>
            </w:r>
          </w:p>
        </w:tc>
        <w:tc>
          <w:tcPr>
            <w:tcW w:w="850" w:type="dxa"/>
            <w:vMerge/>
            <w:tcBorders>
              <w:left w:val="single" w:sz="4" w:space="0" w:color="auto"/>
              <w:bottom w:val="single" w:sz="4" w:space="0" w:color="auto"/>
              <w:right w:val="single" w:sz="12" w:space="0" w:color="auto"/>
            </w:tcBorders>
            <w:shd w:val="clear" w:color="auto" w:fill="auto"/>
            <w:noWrap/>
            <w:vAlign w:val="center"/>
          </w:tcPr>
          <w:p w:rsidR="00D81E2D" w:rsidRPr="005E2D3D" w:rsidRDefault="00D81E2D" w:rsidP="00D81E2D">
            <w:pPr>
              <w:pStyle w:val="142"/>
              <w:rPr>
                <w:snapToGrid/>
                <w:sz w:val="22"/>
                <w:szCs w:val="22"/>
              </w:rPr>
            </w:pPr>
          </w:p>
        </w:tc>
      </w:tr>
      <w:tr w:rsidR="00D81E2D" w:rsidRPr="005E2D3D" w:rsidTr="00D81E2D">
        <w:trPr>
          <w:trHeight w:val="369"/>
        </w:trPr>
        <w:tc>
          <w:tcPr>
            <w:tcW w:w="2835" w:type="dxa"/>
            <w:gridSpan w:val="3"/>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b/>
                <w:snapToGrid/>
                <w:spacing w:val="-10"/>
                <w:sz w:val="22"/>
                <w:szCs w:val="22"/>
              </w:rPr>
            </w:pPr>
            <w:r w:rsidRPr="005E2D3D">
              <w:rPr>
                <w:rFonts w:hint="eastAsia"/>
                <w:b/>
                <w:snapToGrid/>
                <w:spacing w:val="-10"/>
                <w:sz w:val="22"/>
                <w:szCs w:val="22"/>
              </w:rPr>
              <w:t xml:space="preserve">合 </w:t>
            </w:r>
            <w:r w:rsidRPr="005E2D3D">
              <w:rPr>
                <w:b/>
                <w:snapToGrid/>
                <w:spacing w:val="-10"/>
                <w:sz w:val="22"/>
                <w:szCs w:val="22"/>
              </w:rPr>
              <w:t xml:space="preserve">     </w:t>
            </w:r>
            <w:r w:rsidRPr="005E2D3D">
              <w:rPr>
                <w:rFonts w:hint="eastAsia"/>
                <w:b/>
                <w:snapToGrid/>
                <w:spacing w:val="-10"/>
                <w:sz w:val="22"/>
                <w:szCs w:val="22"/>
              </w:rPr>
              <w:t>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cs="標楷體"/>
                <w:b/>
                <w:snapToGrid/>
                <w:sz w:val="22"/>
                <w:szCs w:val="22"/>
              </w:rPr>
            </w:pPr>
            <w:r w:rsidRPr="005E2D3D">
              <w:rPr>
                <w:rFonts w:hAnsi="標楷體" w:cs="標楷體"/>
                <w:b/>
                <w:snapToGrid/>
                <w:sz w:val="22"/>
                <w:szCs w:val="22"/>
              </w:rPr>
              <w:t>1,602,828</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b/>
                <w:snapToGrid/>
                <w:sz w:val="22"/>
                <w:szCs w:val="22"/>
              </w:rPr>
            </w:pPr>
            <w:r w:rsidRPr="005E2D3D">
              <w:rPr>
                <w:rFonts w:hAnsi="標楷體" w:cs="標楷體"/>
                <w:b/>
                <w:snapToGrid/>
                <w:sz w:val="22"/>
                <w:szCs w:val="22"/>
              </w:rPr>
              <w:t>52,143.42</w:t>
            </w:r>
          </w:p>
        </w:tc>
        <w:tc>
          <w:tcPr>
            <w:tcW w:w="851" w:type="dxa"/>
            <w:tcBorders>
              <w:top w:val="single" w:sz="4" w:space="0" w:color="auto"/>
              <w:left w:val="single" w:sz="4" w:space="0" w:color="auto"/>
              <w:bottom w:val="single" w:sz="4" w:space="0" w:color="auto"/>
              <w:right w:val="single" w:sz="4" w:space="0" w:color="auto"/>
              <w:tl2br w:val="single" w:sz="4" w:space="0" w:color="auto"/>
            </w:tcBorders>
          </w:tcPr>
          <w:p w:rsidR="00D81E2D" w:rsidRPr="005E2D3D" w:rsidRDefault="00D81E2D" w:rsidP="00D81E2D">
            <w:pPr>
              <w:pStyle w:val="142"/>
              <w:jc w:val="right"/>
              <w:rPr>
                <w:rFonts w:hAnsi="標楷體" w:cs="標楷體"/>
                <w:b/>
                <w:snapToGrid/>
                <w:sz w:val="22"/>
                <w:szCs w:val="22"/>
              </w:rPr>
            </w:pP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b/>
                <w:snapToGrid/>
                <w:sz w:val="22"/>
                <w:szCs w:val="22"/>
              </w:rPr>
            </w:pPr>
            <w:r w:rsidRPr="005E2D3D">
              <w:rPr>
                <w:rFonts w:hAnsi="標楷體"/>
                <w:b/>
                <w:snapToGrid/>
                <w:sz w:val="22"/>
                <w:szCs w:val="22"/>
              </w:rPr>
              <w:t>77,051.26</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b/>
                <w:snapToGrid/>
                <w:sz w:val="22"/>
                <w:szCs w:val="22"/>
              </w:rPr>
            </w:pPr>
            <w:r w:rsidRPr="005E2D3D">
              <w:rPr>
                <w:rFonts w:hAnsi="標楷體"/>
                <w:b/>
                <w:snapToGrid/>
                <w:sz w:val="22"/>
                <w:szCs w:val="22"/>
              </w:rPr>
              <w:t>73.88</w:t>
            </w:r>
          </w:p>
        </w:tc>
      </w:tr>
      <w:tr w:rsidR="00D81E2D" w:rsidRPr="005E2D3D" w:rsidTr="00D81E2D">
        <w:trPr>
          <w:trHeight w:val="397"/>
        </w:trPr>
        <w:tc>
          <w:tcPr>
            <w:tcW w:w="284" w:type="dxa"/>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Vivo Panda Fund L.P.</w:t>
            </w:r>
          </w:p>
        </w:tc>
        <w:tc>
          <w:tcPr>
            <w:tcW w:w="992"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6</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551,280 </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18,154.42 </w:t>
            </w:r>
          </w:p>
        </w:tc>
        <w:tc>
          <w:tcPr>
            <w:tcW w:w="851" w:type="dxa"/>
            <w:tcBorders>
              <w:top w:val="nil"/>
              <w:left w:val="single" w:sz="4" w:space="0" w:color="auto"/>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1</w:t>
            </w:r>
            <w:r w:rsidRPr="005E2D3D">
              <w:rPr>
                <w:rFonts w:hAnsi="標楷體" w:cs="標楷體"/>
                <w:snapToGrid/>
                <w:sz w:val="22"/>
                <w:szCs w:val="22"/>
              </w:rPr>
              <w:t>9.94</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0</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0</w:t>
            </w:r>
          </w:p>
        </w:tc>
      </w:tr>
      <w:tr w:rsidR="00D81E2D" w:rsidRPr="005E2D3D" w:rsidTr="00D81E2D">
        <w:trPr>
          <w:trHeight w:val="397"/>
        </w:trPr>
        <w:tc>
          <w:tcPr>
            <w:tcW w:w="284" w:type="dxa"/>
            <w:tcBorders>
              <w:top w:val="nil"/>
              <w:left w:val="single" w:sz="12" w:space="0" w:color="auto"/>
              <w:bottom w:val="single" w:sz="4"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2</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WI Harper Fund VIII L.P.</w:t>
            </w:r>
          </w:p>
        </w:tc>
        <w:tc>
          <w:tcPr>
            <w:tcW w:w="992"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105</w:t>
            </w:r>
            <w:r w:rsidRPr="005E2D3D">
              <w:rPr>
                <w:rFonts w:hAnsi="標楷體" w:hint="eastAsia"/>
                <w:snapToGrid/>
                <w:spacing w:val="-20"/>
                <w:sz w:val="22"/>
                <w:szCs w:val="22"/>
              </w:rPr>
              <w:t>年</w:t>
            </w:r>
            <w:r w:rsidRPr="005E2D3D">
              <w:rPr>
                <w:rFonts w:hAnsi="標楷體"/>
                <w:snapToGrid/>
                <w:spacing w:val="-20"/>
                <w:sz w:val="22"/>
                <w:szCs w:val="22"/>
              </w:rPr>
              <w:t>5</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612,529 </w:t>
            </w:r>
          </w:p>
        </w:tc>
        <w:tc>
          <w:tcPr>
            <w:tcW w:w="1276" w:type="dxa"/>
            <w:tcBorders>
              <w:top w:val="single" w:sz="4" w:space="0" w:color="auto"/>
              <w:left w:val="nil"/>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19,589.00 </w:t>
            </w:r>
          </w:p>
        </w:tc>
        <w:tc>
          <w:tcPr>
            <w:tcW w:w="851" w:type="dxa"/>
            <w:tcBorders>
              <w:top w:val="nil"/>
              <w:left w:val="single" w:sz="4" w:space="0" w:color="auto"/>
              <w:bottom w:val="single" w:sz="4"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1</w:t>
            </w:r>
            <w:r w:rsidRPr="005E2D3D">
              <w:rPr>
                <w:rFonts w:hAnsi="標楷體" w:cs="標楷體"/>
                <w:snapToGrid/>
                <w:sz w:val="22"/>
                <w:szCs w:val="22"/>
              </w:rPr>
              <w:t>1.48</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20,598.60</w:t>
            </w:r>
          </w:p>
        </w:tc>
        <w:tc>
          <w:tcPr>
            <w:tcW w:w="850" w:type="dxa"/>
            <w:tcBorders>
              <w:top w:val="nil"/>
              <w:left w:val="nil"/>
              <w:bottom w:val="single" w:sz="4" w:space="0" w:color="auto"/>
              <w:right w:val="single" w:sz="12"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52.58</w:t>
            </w:r>
          </w:p>
        </w:tc>
      </w:tr>
      <w:tr w:rsidR="00D81E2D" w:rsidRPr="005E2D3D" w:rsidTr="005E3F0D">
        <w:trPr>
          <w:trHeight w:val="306"/>
        </w:trPr>
        <w:tc>
          <w:tcPr>
            <w:tcW w:w="284" w:type="dxa"/>
            <w:tcBorders>
              <w:top w:val="nil"/>
              <w:left w:val="single" w:sz="12" w:space="0" w:color="auto"/>
              <w:bottom w:val="single" w:sz="12" w:space="0" w:color="auto"/>
              <w:right w:val="single" w:sz="4" w:space="0" w:color="auto"/>
            </w:tcBorders>
            <w:vAlign w:val="center"/>
          </w:tcPr>
          <w:p w:rsidR="00D81E2D" w:rsidRPr="005E2D3D" w:rsidRDefault="00D81E2D" w:rsidP="00D81E2D">
            <w:pPr>
              <w:pStyle w:val="142"/>
              <w:jc w:val="center"/>
              <w:rPr>
                <w:snapToGrid/>
                <w:sz w:val="22"/>
                <w:szCs w:val="22"/>
              </w:rPr>
            </w:pPr>
            <w:r w:rsidRPr="005E2D3D">
              <w:rPr>
                <w:rFonts w:hint="eastAsia"/>
                <w:snapToGrid/>
                <w:sz w:val="22"/>
                <w:szCs w:val="22"/>
              </w:rPr>
              <w:t>3</w:t>
            </w:r>
          </w:p>
        </w:tc>
        <w:tc>
          <w:tcPr>
            <w:tcW w:w="1559" w:type="dxa"/>
            <w:tcBorders>
              <w:top w:val="nil"/>
              <w:left w:val="single" w:sz="4" w:space="0" w:color="auto"/>
              <w:bottom w:val="single" w:sz="12" w:space="0" w:color="auto"/>
              <w:right w:val="single" w:sz="4" w:space="0" w:color="auto"/>
            </w:tcBorders>
            <w:shd w:val="clear" w:color="auto" w:fill="auto"/>
            <w:noWrap/>
            <w:vAlign w:val="center"/>
            <w:hideMark/>
          </w:tcPr>
          <w:p w:rsidR="00D81E2D" w:rsidRPr="005E2D3D" w:rsidRDefault="00D81E2D" w:rsidP="005E3F0D">
            <w:pPr>
              <w:pStyle w:val="142"/>
              <w:spacing w:line="260" w:lineRule="exact"/>
              <w:rPr>
                <w:rFonts w:hAnsi="標楷體"/>
                <w:snapToGrid/>
                <w:spacing w:val="-18"/>
                <w:sz w:val="22"/>
                <w:szCs w:val="22"/>
              </w:rPr>
            </w:pPr>
            <w:r w:rsidRPr="005E2D3D">
              <w:rPr>
                <w:rFonts w:hAnsi="標楷體"/>
                <w:snapToGrid/>
                <w:spacing w:val="-18"/>
                <w:sz w:val="22"/>
                <w:szCs w:val="22"/>
              </w:rPr>
              <w:t>TransLink Capital Partners IV, L.P.</w:t>
            </w:r>
          </w:p>
        </w:tc>
        <w:tc>
          <w:tcPr>
            <w:tcW w:w="992" w:type="dxa"/>
            <w:tcBorders>
              <w:top w:val="single" w:sz="4" w:space="0" w:color="auto"/>
              <w:left w:val="nil"/>
              <w:bottom w:val="single" w:sz="12" w:space="0" w:color="auto"/>
              <w:right w:val="single" w:sz="4" w:space="0" w:color="auto"/>
            </w:tcBorders>
            <w:vAlign w:val="center"/>
          </w:tcPr>
          <w:p w:rsidR="00D81E2D" w:rsidRPr="005E2D3D" w:rsidRDefault="00D81E2D" w:rsidP="00D81E2D">
            <w:pPr>
              <w:pStyle w:val="142"/>
              <w:jc w:val="center"/>
              <w:rPr>
                <w:rFonts w:hAnsi="標楷體"/>
                <w:snapToGrid/>
                <w:spacing w:val="-20"/>
                <w:sz w:val="22"/>
                <w:szCs w:val="22"/>
              </w:rPr>
            </w:pPr>
            <w:r w:rsidRPr="005E2D3D">
              <w:rPr>
                <w:rFonts w:hAnsi="標楷體"/>
                <w:snapToGrid/>
                <w:spacing w:val="-20"/>
                <w:sz w:val="22"/>
                <w:szCs w:val="22"/>
              </w:rPr>
              <w:t>108</w:t>
            </w:r>
            <w:r w:rsidRPr="005E2D3D">
              <w:rPr>
                <w:rFonts w:hAnsi="標楷體" w:hint="eastAsia"/>
                <w:snapToGrid/>
                <w:spacing w:val="-20"/>
                <w:sz w:val="22"/>
                <w:szCs w:val="22"/>
              </w:rPr>
              <w:t>年</w:t>
            </w:r>
            <w:r w:rsidRPr="005E2D3D">
              <w:rPr>
                <w:rFonts w:hAnsi="標楷體"/>
                <w:snapToGrid/>
                <w:spacing w:val="-20"/>
                <w:sz w:val="22"/>
                <w:szCs w:val="22"/>
              </w:rPr>
              <w:t>8</w:t>
            </w:r>
            <w:r w:rsidRPr="005E2D3D">
              <w:rPr>
                <w:rFonts w:hAnsi="標楷體" w:hint="eastAsia"/>
                <w:snapToGrid/>
                <w:spacing w:val="-20"/>
                <w:sz w:val="22"/>
                <w:szCs w:val="22"/>
              </w:rPr>
              <w:t>月</w:t>
            </w: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439,019 </w:t>
            </w:r>
          </w:p>
        </w:tc>
        <w:tc>
          <w:tcPr>
            <w:tcW w:w="1276" w:type="dxa"/>
            <w:tcBorders>
              <w:top w:val="single" w:sz="4" w:space="0" w:color="auto"/>
              <w:left w:val="nil"/>
              <w:bottom w:val="single" w:sz="12"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snapToGrid/>
                <w:sz w:val="22"/>
                <w:szCs w:val="22"/>
              </w:rPr>
              <w:t xml:space="preserve">14,400.00 </w:t>
            </w:r>
          </w:p>
        </w:tc>
        <w:tc>
          <w:tcPr>
            <w:tcW w:w="851" w:type="dxa"/>
            <w:tcBorders>
              <w:top w:val="nil"/>
              <w:left w:val="single" w:sz="4" w:space="0" w:color="auto"/>
              <w:bottom w:val="single" w:sz="12" w:space="0" w:color="auto"/>
              <w:right w:val="single" w:sz="4" w:space="0" w:color="auto"/>
            </w:tcBorders>
            <w:vAlign w:val="center"/>
          </w:tcPr>
          <w:p w:rsidR="00D81E2D" w:rsidRPr="005E2D3D" w:rsidRDefault="00D81E2D" w:rsidP="00D81E2D">
            <w:pPr>
              <w:pStyle w:val="142"/>
              <w:jc w:val="right"/>
              <w:rPr>
                <w:rFonts w:hAnsi="標楷體" w:cs="標楷體"/>
                <w:snapToGrid/>
                <w:sz w:val="22"/>
                <w:szCs w:val="22"/>
              </w:rPr>
            </w:pPr>
            <w:r w:rsidRPr="005E2D3D">
              <w:rPr>
                <w:rFonts w:hAnsi="標楷體" w:cs="標楷體" w:hint="eastAsia"/>
                <w:snapToGrid/>
                <w:sz w:val="22"/>
                <w:szCs w:val="22"/>
              </w:rPr>
              <w:t>8</w:t>
            </w:r>
            <w:r w:rsidRPr="005E2D3D">
              <w:rPr>
                <w:rFonts w:hAnsi="標楷體" w:cs="標楷體"/>
                <w:snapToGrid/>
                <w:sz w:val="22"/>
                <w:szCs w:val="22"/>
              </w:rPr>
              <w:t>.87</w:t>
            </w:r>
          </w:p>
        </w:tc>
        <w:tc>
          <w:tcPr>
            <w:tcW w:w="1559" w:type="dxa"/>
            <w:tcBorders>
              <w:top w:val="nil"/>
              <w:left w:val="single" w:sz="4" w:space="0" w:color="auto"/>
              <w:bottom w:val="single" w:sz="12" w:space="0" w:color="auto"/>
              <w:right w:val="single" w:sz="4" w:space="0" w:color="auto"/>
            </w:tcBorders>
            <w:shd w:val="clear" w:color="auto" w:fill="auto"/>
            <w:noWrap/>
            <w:vAlign w:val="center"/>
          </w:tcPr>
          <w:p w:rsidR="00D81E2D" w:rsidRPr="005E2D3D" w:rsidRDefault="00D81E2D" w:rsidP="00D81E2D">
            <w:pPr>
              <w:pStyle w:val="142"/>
              <w:jc w:val="right"/>
              <w:rPr>
                <w:rFonts w:hAnsi="標楷體"/>
                <w:snapToGrid/>
                <w:sz w:val="22"/>
                <w:szCs w:val="22"/>
              </w:rPr>
            </w:pPr>
            <w:r w:rsidRPr="005E2D3D">
              <w:rPr>
                <w:rFonts w:hAnsi="標楷體"/>
                <w:snapToGrid/>
                <w:sz w:val="22"/>
                <w:szCs w:val="22"/>
              </w:rPr>
              <w:t>56,452.66</w:t>
            </w:r>
          </w:p>
        </w:tc>
        <w:tc>
          <w:tcPr>
            <w:tcW w:w="850" w:type="dxa"/>
            <w:tcBorders>
              <w:top w:val="nil"/>
              <w:left w:val="nil"/>
              <w:bottom w:val="single" w:sz="12" w:space="0" w:color="auto"/>
              <w:right w:val="single" w:sz="12" w:space="0" w:color="auto"/>
            </w:tcBorders>
            <w:shd w:val="clear" w:color="auto" w:fill="auto"/>
            <w:noWrap/>
            <w:vAlign w:val="center"/>
          </w:tcPr>
          <w:p w:rsidR="00D81E2D" w:rsidRPr="005E2D3D" w:rsidRDefault="00D81E2D" w:rsidP="000638C4">
            <w:pPr>
              <w:pStyle w:val="142"/>
              <w:jc w:val="right"/>
              <w:rPr>
                <w:rFonts w:hAnsi="標楷體"/>
                <w:snapToGrid/>
                <w:sz w:val="22"/>
                <w:szCs w:val="22"/>
              </w:rPr>
            </w:pPr>
            <w:r w:rsidRPr="005E2D3D">
              <w:rPr>
                <w:rFonts w:hAnsi="標楷體"/>
                <w:snapToGrid/>
                <w:sz w:val="22"/>
                <w:szCs w:val="22"/>
              </w:rPr>
              <w:t>1</w:t>
            </w:r>
            <w:r w:rsidR="000638C4">
              <w:rPr>
                <w:rFonts w:hAnsi="標楷體" w:hint="eastAsia"/>
                <w:snapToGrid/>
                <w:sz w:val="22"/>
                <w:szCs w:val="22"/>
              </w:rPr>
              <w:t>96</w:t>
            </w:r>
            <w:r w:rsidRPr="005E2D3D">
              <w:rPr>
                <w:rFonts w:hAnsi="標楷體"/>
                <w:snapToGrid/>
                <w:sz w:val="22"/>
                <w:szCs w:val="22"/>
              </w:rPr>
              <w:t>.0</w:t>
            </w:r>
            <w:r w:rsidR="000638C4">
              <w:rPr>
                <w:rFonts w:hAnsi="標楷體" w:hint="eastAsia"/>
                <w:snapToGrid/>
                <w:sz w:val="22"/>
                <w:szCs w:val="22"/>
              </w:rPr>
              <w:t>2</w:t>
            </w:r>
          </w:p>
        </w:tc>
      </w:tr>
    </w:tbl>
    <w:p w:rsidR="00D81E2D" w:rsidRPr="005E2D3D" w:rsidRDefault="00D81E2D" w:rsidP="00D81E2D">
      <w:pPr>
        <w:spacing w:line="280" w:lineRule="exact"/>
        <w:ind w:leftChars="0" w:left="1217" w:hangingChars="500" w:hanging="1217"/>
        <w:jc w:val="left"/>
        <w:rPr>
          <w:rFonts w:hAnsi="標楷體"/>
          <w:sz w:val="24"/>
        </w:rPr>
      </w:pPr>
      <w:r w:rsidRPr="005E2D3D">
        <w:rPr>
          <w:rFonts w:hAnsi="標楷體" w:hint="eastAsia"/>
          <w:sz w:val="24"/>
        </w:rPr>
        <w:t>說    明：行政院國家發展基金與行政院國家科學技術發展基金等額投資，故分母乘以2。</w:t>
      </w:r>
    </w:p>
    <w:p w:rsidR="00D81E2D" w:rsidRPr="005E2D3D" w:rsidRDefault="00D81E2D" w:rsidP="00D81E2D">
      <w:pPr>
        <w:spacing w:line="300" w:lineRule="exact"/>
        <w:ind w:leftChars="0" w:left="1135" w:hangingChars="466" w:hanging="1135"/>
        <w:rPr>
          <w:rFonts w:hAnsi="標楷體" w:cs="Arial" w:hint="eastAsia"/>
          <w:sz w:val="24"/>
        </w:rPr>
      </w:pPr>
      <w:r w:rsidRPr="005E2D3D">
        <w:rPr>
          <w:rFonts w:hAnsi="標楷體" w:cs="Arial" w:hint="eastAsia"/>
          <w:sz w:val="24"/>
        </w:rPr>
        <w:t>資料來源：國發會提供。</w:t>
      </w:r>
    </w:p>
    <w:p w:rsidR="000B62A3" w:rsidRPr="005E2D3D" w:rsidRDefault="000B62A3" w:rsidP="000B62A3">
      <w:pPr>
        <w:ind w:left="567" w:firstLine="567"/>
        <w:rPr>
          <w:rFonts w:hAnsi="標楷體" w:cs="Arial"/>
          <w:snapToGrid/>
          <w:kern w:val="3"/>
        </w:rPr>
      </w:pPr>
      <w:r w:rsidRPr="005E2D3D">
        <w:rPr>
          <w:rFonts w:hAnsi="標楷體" w:cs="Arial" w:hint="eastAsia"/>
          <w:snapToGrid/>
          <w:kern w:val="3"/>
        </w:rPr>
        <w:t>綜上，國發基金推動創業拔萃方案及臺灣</w:t>
      </w:r>
      <w:r w:rsidR="00052C09">
        <w:rPr>
          <w:rFonts w:hAnsi="標楷體" w:cs="Arial" w:hint="eastAsia"/>
          <w:snapToGrid/>
          <w:kern w:val="3"/>
        </w:rPr>
        <w:t>矽谷科技基金投資計畫，惟部分創投事業投資決策未盡配合計畫目標，</w:t>
      </w:r>
      <w:r w:rsidRPr="005E2D3D">
        <w:rPr>
          <w:rFonts w:hAnsi="標楷體" w:cs="Arial" w:hint="eastAsia"/>
          <w:snapToGrid/>
          <w:kern w:val="3"/>
        </w:rPr>
        <w:t>實際投入政策重點新創事業</w:t>
      </w:r>
      <w:r w:rsidR="00F368F5">
        <w:rPr>
          <w:rFonts w:hAnsi="標楷體" w:cs="Arial" w:hint="eastAsia"/>
          <w:snapToGrid/>
          <w:kern w:val="3"/>
        </w:rPr>
        <w:t>之</w:t>
      </w:r>
      <w:r w:rsidRPr="005E2D3D">
        <w:rPr>
          <w:rFonts w:hAnsi="標楷體" w:cs="Arial" w:hint="eastAsia"/>
          <w:snapToGrid/>
          <w:kern w:val="3"/>
        </w:rPr>
        <w:t>資金有</w:t>
      </w:r>
      <w:r w:rsidR="000638C4">
        <w:rPr>
          <w:rFonts w:hAnsi="標楷體" w:cs="Arial" w:hint="eastAsia"/>
          <w:snapToGrid/>
          <w:kern w:val="3"/>
        </w:rPr>
        <w:t>限，影響計畫推動成效，允宜檢討創投事業投資方案之推動方式，持續妥</w:t>
      </w:r>
      <w:r w:rsidRPr="005E2D3D">
        <w:rPr>
          <w:rFonts w:hAnsi="標楷體" w:cs="Arial" w:hint="eastAsia"/>
          <w:snapToGrid/>
          <w:kern w:val="3"/>
        </w:rPr>
        <w:t>謀</w:t>
      </w:r>
      <w:r w:rsidR="000638C4">
        <w:rPr>
          <w:rFonts w:hAnsi="標楷體" w:cs="Arial" w:hint="eastAsia"/>
          <w:snapToGrid/>
          <w:kern w:val="3"/>
        </w:rPr>
        <w:t>善策並</w:t>
      </w:r>
      <w:r w:rsidRPr="005E2D3D">
        <w:rPr>
          <w:rFonts w:hAnsi="標楷體" w:cs="Arial" w:hint="eastAsia"/>
          <w:snapToGrid/>
          <w:kern w:val="3"/>
        </w:rPr>
        <w:t>強化監督管理，俾帶動國內新創事業發展。</w:t>
      </w:r>
    </w:p>
    <w:bookmarkEnd w:id="28"/>
    <w:bookmarkEnd w:id="29"/>
    <w:bookmarkEnd w:id="27"/>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0B62A3"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8547B7" w:rsidRPr="008547B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922C84" w:rsidRPr="005E2D3D" w:rsidRDefault="00922C84" w:rsidP="000F09B5">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國發基金為鼓勵參與該投資計畫之創投事業投資我國相關早期企業，及對於在我國設立登記之第1類公司配置一定比率資金，於該審查管理要點訂有獲利分享之誘因機制，規範創投事業如達獲利分享門檻(投資第1類國內及第2類外國公司之加權投資總金額占國發基金投資該創投事業金額之比率達30%，且對第一類國內公司之加權投資比率達15%)，國發基金將提供獲利之一部分予該創投事業之其他投資人、管理顧問公司或一般合夥人。</w:t>
      </w:r>
    </w:p>
  </w:footnote>
  <w:footnote w:id="2">
    <w:p w:rsidR="00922C84" w:rsidRPr="00711804" w:rsidRDefault="00922C84" w:rsidP="00683B50">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按本國及外國公司別、設立登記時間、創業投資事業已投資期間、進駐國家科學及技術發展委員會認定之加速器或於矽</w:t>
      </w:r>
      <w:r w:rsidR="000638C4">
        <w:rPr>
          <w:rFonts w:hAnsi="標楷體" w:hint="eastAsia"/>
        </w:rPr>
        <w:t>谷設立商業據點、於臺灣上市上櫃或營運總部在臺與否等條件，分為第1類至第4</w:t>
      </w:r>
      <w:r w:rsidRPr="005E2D3D">
        <w:rPr>
          <w:rFonts w:hAnsi="標楷體" w:hint="eastAsia"/>
        </w:rPr>
        <w:t>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7B7"/>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0C4742-4A48-4DAC-9478-47A2D537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A7564-F1F0-482A-94C3-60F870B72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426</Words>
  <Characters>2429</Characters>
  <Application>Microsoft Office Word</Application>
  <DocSecurity>0</DocSecurity>
  <Lines>20</Lines>
  <Paragraphs>5</Paragraphs>
  <ScaleCrop>false</ScaleCrop>
  <Company/>
  <LinksUpToDate>false</LinksUpToDate>
  <CharactersWithSpaces>2850</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