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237CDE" w:rsidRDefault="00302A7A" w:rsidP="00141957">
      <w:pPr>
        <w:pStyle w:val="a9"/>
        <w:rPr>
          <w:snapToGrid/>
          <w:spacing w:val="-4"/>
        </w:rPr>
      </w:pPr>
      <w:bookmarkStart w:id="0" w:name="_GoBack"/>
      <w:bookmarkEnd w:id="0"/>
      <w:r w:rsidRPr="00237CDE">
        <w:rPr>
          <w:rFonts w:hint="eastAsia"/>
          <w:snapToGrid/>
          <w:spacing w:val="-4"/>
        </w:rPr>
        <w:t>中央存款保險股份有限公司11</w:t>
      </w:r>
      <w:r w:rsidR="004D23CC">
        <w:rPr>
          <w:rFonts w:hint="eastAsia"/>
          <w:snapToGrid/>
          <w:spacing w:val="-4"/>
        </w:rPr>
        <w:t>4</w:t>
      </w:r>
      <w:r w:rsidRPr="00237CDE">
        <w:rPr>
          <w:rFonts w:hint="eastAsia"/>
          <w:snapToGrid/>
          <w:spacing w:val="-4"/>
        </w:rPr>
        <w:t>年度營業預算評估報告</w:t>
      </w:r>
    </w:p>
    <w:p w:rsidR="00365D68" w:rsidRPr="00237CDE" w:rsidRDefault="00365D68" w:rsidP="00365D68">
      <w:pPr>
        <w:tabs>
          <w:tab w:val="left" w:pos="279"/>
        </w:tabs>
        <w:adjustRightInd w:val="0"/>
        <w:spacing w:beforeLines="10" w:before="50"/>
        <w:ind w:leftChars="0" w:left="0" w:firstLine="566"/>
      </w:pPr>
      <w:r w:rsidRPr="00237CDE">
        <w:t>中央存款保險</w:t>
      </w:r>
      <w:r w:rsidRPr="00237CDE">
        <w:rPr>
          <w:rFonts w:hint="eastAsia"/>
        </w:rPr>
        <w:t>股份有限</w:t>
      </w:r>
      <w:r w:rsidRPr="00237CDE">
        <w:t>公司</w:t>
      </w:r>
      <w:r w:rsidRPr="00237CDE">
        <w:rPr>
          <w:rFonts w:hint="eastAsia"/>
        </w:rPr>
        <w:t>(以下簡稱存保公司)於74年9月依存款保險條例設立，成立宗旨在</w:t>
      </w:r>
      <w:r w:rsidRPr="00237CDE">
        <w:t>保障金融機構存款人權益</w:t>
      </w:r>
      <w:r w:rsidRPr="00237CDE">
        <w:rPr>
          <w:rFonts w:hint="eastAsia"/>
        </w:rPr>
        <w:t>、</w:t>
      </w:r>
      <w:r w:rsidRPr="00237CDE">
        <w:t>維護信用秩序</w:t>
      </w:r>
      <w:r w:rsidRPr="00237CDE">
        <w:rPr>
          <w:rFonts w:hint="eastAsia"/>
        </w:rPr>
        <w:t>及</w:t>
      </w:r>
      <w:r w:rsidRPr="00237CDE">
        <w:t>促進金融業務健全發展</w:t>
      </w:r>
      <w:r w:rsidRPr="00237CDE">
        <w:rPr>
          <w:rFonts w:hint="eastAsia"/>
        </w:rPr>
        <w:t>，</w:t>
      </w:r>
      <w:r w:rsidRPr="00237CDE">
        <w:t>主管機關為金融監督管理委員會</w:t>
      </w:r>
      <w:r w:rsidRPr="00237CDE">
        <w:rPr>
          <w:rFonts w:hint="eastAsia"/>
        </w:rPr>
        <w:t>(以下簡稱金管會)。其主要業務包括：辦理存款保險、要保機構承保風險管理、對要保機構辦理特別查核，及</w:t>
      </w:r>
      <w:r w:rsidR="007D2141" w:rsidRPr="00237CDE">
        <w:rPr>
          <w:rFonts w:hint="eastAsia"/>
        </w:rPr>
        <w:t>接續辦理</w:t>
      </w:r>
      <w:r w:rsidRPr="00237CDE">
        <w:rPr>
          <w:rFonts w:hint="eastAsia"/>
        </w:rPr>
        <w:t>行政院金融重建基金(以下簡稱金融重建基金)結束後經營不善金融機構之</w:t>
      </w:r>
      <w:r w:rsidR="007D2141" w:rsidRPr="00237CDE">
        <w:rPr>
          <w:rFonts w:hint="eastAsia"/>
        </w:rPr>
        <w:t>清理(算)、</w:t>
      </w:r>
      <w:r w:rsidRPr="00237CDE">
        <w:rPr>
          <w:rFonts w:hint="eastAsia"/>
        </w:rPr>
        <w:t>保留資產</w:t>
      </w:r>
      <w:r w:rsidR="007D2141" w:rsidRPr="00237CDE">
        <w:rPr>
          <w:rFonts w:hint="eastAsia"/>
        </w:rPr>
        <w:t>、負債、訴訟之處理及</w:t>
      </w:r>
      <w:r w:rsidRPr="00237CDE">
        <w:rPr>
          <w:rFonts w:hint="eastAsia"/>
        </w:rPr>
        <w:t>不法案件追償等事宜。</w:t>
      </w:r>
    </w:p>
    <w:p w:rsidR="00365D68" w:rsidRDefault="00365D68" w:rsidP="00365D68">
      <w:pPr>
        <w:pStyle w:val="a7"/>
        <w:ind w:firstLine="566"/>
      </w:pPr>
      <w:r w:rsidRPr="00237CDE">
        <w:rPr>
          <w:rFonts w:hint="eastAsia"/>
        </w:rPr>
        <w:t>存保公司11</w:t>
      </w:r>
      <w:r w:rsidR="00FF464A">
        <w:rPr>
          <w:rFonts w:hint="eastAsia"/>
        </w:rPr>
        <w:t>4</w:t>
      </w:r>
      <w:r w:rsidRPr="00237CDE">
        <w:rPr>
          <w:rFonts w:hint="eastAsia"/>
        </w:rPr>
        <w:t>年度預算案編列營業總收入1</w:t>
      </w:r>
      <w:r w:rsidR="008032D5">
        <w:rPr>
          <w:rFonts w:hint="eastAsia"/>
        </w:rPr>
        <w:t>35</w:t>
      </w:r>
      <w:r w:rsidRPr="00237CDE">
        <w:rPr>
          <w:rFonts w:hint="eastAsia"/>
        </w:rPr>
        <w:t>億</w:t>
      </w:r>
      <w:r w:rsidR="008032D5">
        <w:rPr>
          <w:rFonts w:hint="eastAsia"/>
        </w:rPr>
        <w:t>6</w:t>
      </w:r>
      <w:r w:rsidRPr="00237CDE">
        <w:t>,</w:t>
      </w:r>
      <w:r w:rsidR="008032D5">
        <w:rPr>
          <w:rFonts w:hint="eastAsia"/>
        </w:rPr>
        <w:t>885</w:t>
      </w:r>
      <w:r w:rsidRPr="00237CDE">
        <w:rPr>
          <w:rFonts w:hint="eastAsia"/>
        </w:rPr>
        <w:t>萬</w:t>
      </w:r>
      <w:r w:rsidR="001F72C1" w:rsidRPr="00237CDE">
        <w:rPr>
          <w:rFonts w:hint="eastAsia"/>
        </w:rPr>
        <w:t>8</w:t>
      </w:r>
      <w:r w:rsidRPr="00237CDE">
        <w:rPr>
          <w:rFonts w:hint="eastAsia"/>
        </w:rPr>
        <w:t>千元、營業成本1</w:t>
      </w:r>
      <w:r w:rsidR="008032D5">
        <w:rPr>
          <w:rFonts w:hint="eastAsia"/>
        </w:rPr>
        <w:t>24</w:t>
      </w:r>
      <w:r w:rsidRPr="00237CDE">
        <w:rPr>
          <w:rFonts w:hint="eastAsia"/>
        </w:rPr>
        <w:t>億</w:t>
      </w:r>
      <w:r w:rsidR="008032D5">
        <w:rPr>
          <w:rFonts w:hint="eastAsia"/>
        </w:rPr>
        <w:t>5</w:t>
      </w:r>
      <w:r w:rsidR="001F72C1" w:rsidRPr="00237CDE">
        <w:t>,</w:t>
      </w:r>
      <w:r w:rsidR="008032D5">
        <w:rPr>
          <w:rFonts w:hint="eastAsia"/>
        </w:rPr>
        <w:t>044</w:t>
      </w:r>
      <w:r w:rsidRPr="00237CDE">
        <w:rPr>
          <w:rFonts w:hint="eastAsia"/>
        </w:rPr>
        <w:t>萬</w:t>
      </w:r>
      <w:r w:rsidR="008032D5">
        <w:rPr>
          <w:rFonts w:hint="eastAsia"/>
        </w:rPr>
        <w:t>5</w:t>
      </w:r>
      <w:r w:rsidR="00F861C0" w:rsidRPr="00237CDE">
        <w:rPr>
          <w:rFonts w:hint="eastAsia"/>
        </w:rPr>
        <w:t>千</w:t>
      </w:r>
      <w:r w:rsidRPr="00237CDE">
        <w:rPr>
          <w:rFonts w:hint="eastAsia"/>
        </w:rPr>
        <w:t>元、營業費用</w:t>
      </w:r>
      <w:r w:rsidRPr="00237CDE">
        <w:t>1</w:t>
      </w:r>
      <w:r w:rsidR="008032D5">
        <w:rPr>
          <w:rFonts w:hint="eastAsia"/>
        </w:rPr>
        <w:t>1</w:t>
      </w:r>
      <w:r w:rsidRPr="00237CDE">
        <w:rPr>
          <w:rFonts w:hint="eastAsia"/>
        </w:rPr>
        <w:t>億</w:t>
      </w:r>
      <w:r w:rsidR="008032D5">
        <w:rPr>
          <w:rFonts w:hint="eastAsia"/>
        </w:rPr>
        <w:t>1</w:t>
      </w:r>
      <w:r w:rsidR="001F72C1" w:rsidRPr="00237CDE">
        <w:t>,</w:t>
      </w:r>
      <w:r w:rsidR="008032D5">
        <w:rPr>
          <w:rFonts w:hint="eastAsia"/>
        </w:rPr>
        <w:t>190</w:t>
      </w:r>
      <w:r w:rsidRPr="00237CDE">
        <w:rPr>
          <w:rFonts w:hint="eastAsia"/>
        </w:rPr>
        <w:t>萬</w:t>
      </w:r>
      <w:r w:rsidR="008032D5">
        <w:rPr>
          <w:rFonts w:hint="eastAsia"/>
        </w:rPr>
        <w:t>7</w:t>
      </w:r>
      <w:r w:rsidRPr="00237CDE">
        <w:rPr>
          <w:rFonts w:hint="eastAsia"/>
        </w:rPr>
        <w:t>千元及營業外費用</w:t>
      </w:r>
      <w:r w:rsidR="00D278A7" w:rsidRPr="00237CDE">
        <w:t>6</w:t>
      </w:r>
      <w:r w:rsidR="00563E0E">
        <w:rPr>
          <w:rFonts w:hint="eastAsia"/>
        </w:rPr>
        <w:t>50</w:t>
      </w:r>
      <w:r w:rsidRPr="00237CDE">
        <w:rPr>
          <w:rFonts w:hint="eastAsia"/>
        </w:rPr>
        <w:t>萬</w:t>
      </w:r>
      <w:r w:rsidR="00563E0E">
        <w:rPr>
          <w:rFonts w:hint="eastAsia"/>
        </w:rPr>
        <w:t>6</w:t>
      </w:r>
      <w:r w:rsidRPr="00237CDE">
        <w:rPr>
          <w:rFonts w:hint="eastAsia"/>
        </w:rPr>
        <w:t>千元，營業總支出合計</w:t>
      </w:r>
      <w:r w:rsidR="00D278A7" w:rsidRPr="00237CDE">
        <w:rPr>
          <w:rFonts w:hint="eastAsia"/>
        </w:rPr>
        <w:t>1</w:t>
      </w:r>
      <w:r w:rsidR="00563E0E">
        <w:rPr>
          <w:rFonts w:hint="eastAsia"/>
        </w:rPr>
        <w:t>35</w:t>
      </w:r>
      <w:r w:rsidRPr="00237CDE">
        <w:rPr>
          <w:rFonts w:hint="eastAsia"/>
        </w:rPr>
        <w:t>億</w:t>
      </w:r>
      <w:r w:rsidR="00563E0E">
        <w:rPr>
          <w:rFonts w:hint="eastAsia"/>
        </w:rPr>
        <w:t>6</w:t>
      </w:r>
      <w:r w:rsidR="00563E0E" w:rsidRPr="00237CDE">
        <w:t>,</w:t>
      </w:r>
      <w:r w:rsidR="00563E0E">
        <w:rPr>
          <w:rFonts w:hint="eastAsia"/>
        </w:rPr>
        <w:t>885</w:t>
      </w:r>
      <w:r w:rsidRPr="00237CDE">
        <w:rPr>
          <w:rFonts w:hint="eastAsia"/>
        </w:rPr>
        <w:t>萬</w:t>
      </w:r>
      <w:r w:rsidR="00D278A7" w:rsidRPr="00237CDE">
        <w:rPr>
          <w:rFonts w:hint="eastAsia"/>
        </w:rPr>
        <w:t>8</w:t>
      </w:r>
      <w:r w:rsidRPr="00237CDE">
        <w:rPr>
          <w:rFonts w:hint="eastAsia"/>
        </w:rPr>
        <w:t>千元，收支相抵後，稅前淨利0元</w:t>
      </w:r>
      <w:r w:rsidR="00A638E9" w:rsidRPr="00237CDE">
        <w:rPr>
          <w:rFonts w:hint="eastAsia"/>
        </w:rPr>
        <w:t>；該公司</w:t>
      </w:r>
      <w:r w:rsidRPr="00237CDE">
        <w:rPr>
          <w:rFonts w:hint="eastAsia"/>
        </w:rPr>
        <w:t>每年度收入總額減除各項成本費用及損失後之餘額，</w:t>
      </w:r>
      <w:r w:rsidR="004127C2" w:rsidRPr="00237CDE">
        <w:rPr>
          <w:rFonts w:hint="eastAsia"/>
        </w:rPr>
        <w:t>應</w:t>
      </w:r>
      <w:r w:rsidRPr="00237CDE">
        <w:rPr>
          <w:rFonts w:hint="eastAsia"/>
        </w:rPr>
        <w:t>全數提存保險賠款特別準備金</w:t>
      </w:r>
      <w:r w:rsidR="006414DC">
        <w:rPr>
          <w:rStyle w:val="af1"/>
        </w:rPr>
        <w:footnoteReference w:id="1"/>
      </w:r>
      <w:r w:rsidRPr="00237CDE">
        <w:rPr>
          <w:rFonts w:hint="eastAsia"/>
        </w:rPr>
        <w:t>，故盈餘無列數。</w:t>
      </w:r>
      <w:r w:rsidR="00541BEC" w:rsidRPr="00494324">
        <w:rPr>
          <w:rFonts w:hint="eastAsia"/>
        </w:rPr>
        <w:t>茲就</w:t>
      </w:r>
      <w:r w:rsidR="00541BEC" w:rsidRPr="00237CDE">
        <w:rPr>
          <w:rFonts w:hint="eastAsia"/>
        </w:rPr>
        <w:t>存保公司11</w:t>
      </w:r>
      <w:r w:rsidR="00541BEC">
        <w:rPr>
          <w:rFonts w:hint="eastAsia"/>
        </w:rPr>
        <w:t>4</w:t>
      </w:r>
      <w:r w:rsidR="00541BEC" w:rsidRPr="00237CDE">
        <w:rPr>
          <w:rFonts w:hint="eastAsia"/>
        </w:rPr>
        <w:t>年度</w:t>
      </w:r>
      <w:r w:rsidR="00541BEC" w:rsidRPr="00494324">
        <w:rPr>
          <w:rFonts w:hint="eastAsia"/>
        </w:rPr>
        <w:t>營業預算案評估如下：</w:t>
      </w:r>
    </w:p>
    <w:p w:rsidR="0032465D" w:rsidRDefault="004127C2" w:rsidP="004127C2">
      <w:pPr>
        <w:pStyle w:val="14"/>
      </w:pPr>
      <w:bookmarkStart w:id="1" w:name="_Toc370287333"/>
      <w:bookmarkStart w:id="2" w:name="_Toc530058369"/>
      <w:bookmarkStart w:id="3" w:name="_Toc116043265"/>
      <w:bookmarkStart w:id="4" w:name="_Toc182410404"/>
      <w:r w:rsidRPr="00237CDE">
        <w:rPr>
          <w:rFonts w:hint="eastAsia"/>
        </w:rPr>
        <w:t>一、</w:t>
      </w:r>
      <w:r w:rsidR="00126335">
        <w:rPr>
          <w:rFonts w:hint="eastAsia"/>
        </w:rPr>
        <w:t>為穩定存款人信心及金融秩序，允宜持續厚植</w:t>
      </w:r>
      <w:r w:rsidR="0059720C" w:rsidRPr="00237CDE">
        <w:rPr>
          <w:rFonts w:hint="eastAsia"/>
        </w:rPr>
        <w:t>保險賠款特別</w:t>
      </w:r>
      <w:r w:rsidR="00314D83">
        <w:rPr>
          <w:rFonts w:hint="eastAsia"/>
        </w:rPr>
        <w:t>準備金，以強化履行存款保險責任能力</w:t>
      </w:r>
      <w:bookmarkEnd w:id="4"/>
    </w:p>
    <w:bookmarkEnd w:id="3"/>
    <w:p w:rsidR="004127C2" w:rsidRDefault="004127C2" w:rsidP="004127C2">
      <w:pPr>
        <w:ind w:left="566" w:firstLine="566"/>
      </w:pPr>
      <w:r w:rsidRPr="00237CDE">
        <w:rPr>
          <w:rFonts w:hint="eastAsia"/>
        </w:rPr>
        <w:t>存保公司11</w:t>
      </w:r>
      <w:r w:rsidR="00711AD6">
        <w:rPr>
          <w:rFonts w:hint="eastAsia"/>
        </w:rPr>
        <w:t>4</w:t>
      </w:r>
      <w:r w:rsidRPr="00237CDE">
        <w:rPr>
          <w:rFonts w:hint="eastAsia"/>
        </w:rPr>
        <w:t>年度預算案</w:t>
      </w:r>
      <w:r w:rsidR="00AD38D3" w:rsidRPr="00237CDE">
        <w:rPr>
          <w:rFonts w:hint="eastAsia"/>
        </w:rPr>
        <w:t>編列</w:t>
      </w:r>
      <w:r w:rsidR="002F0AA2" w:rsidRPr="00237CDE">
        <w:rPr>
          <w:rFonts w:hint="eastAsia"/>
        </w:rPr>
        <w:t>「</w:t>
      </w:r>
      <w:r w:rsidR="00A569A6">
        <w:rPr>
          <w:rFonts w:hint="eastAsia"/>
        </w:rPr>
        <w:t>營業成本-</w:t>
      </w:r>
      <w:r w:rsidR="00E333D0">
        <w:rPr>
          <w:rFonts w:hint="eastAsia"/>
        </w:rPr>
        <w:t>提存特別準備</w:t>
      </w:r>
      <w:r w:rsidR="002F0AA2" w:rsidRPr="00237CDE">
        <w:rPr>
          <w:rFonts w:hint="eastAsia"/>
        </w:rPr>
        <w:t>」</w:t>
      </w:r>
      <w:r w:rsidRPr="00237CDE">
        <w:rPr>
          <w:rFonts w:hint="eastAsia"/>
        </w:rPr>
        <w:t>1</w:t>
      </w:r>
      <w:r w:rsidR="00E333D0">
        <w:rPr>
          <w:rFonts w:hint="eastAsia"/>
        </w:rPr>
        <w:t>24</w:t>
      </w:r>
      <w:r w:rsidRPr="00237CDE">
        <w:rPr>
          <w:rFonts w:hint="eastAsia"/>
        </w:rPr>
        <w:t>億</w:t>
      </w:r>
      <w:r w:rsidR="00E333D0">
        <w:rPr>
          <w:rFonts w:hint="eastAsia"/>
        </w:rPr>
        <w:t>3</w:t>
      </w:r>
      <w:r w:rsidRPr="00237CDE">
        <w:rPr>
          <w:rFonts w:hint="eastAsia"/>
        </w:rPr>
        <w:t>,</w:t>
      </w:r>
      <w:r w:rsidR="00E333D0">
        <w:rPr>
          <w:rFonts w:hint="eastAsia"/>
        </w:rPr>
        <w:t>392</w:t>
      </w:r>
      <w:r w:rsidRPr="00237CDE">
        <w:rPr>
          <w:rFonts w:hint="eastAsia"/>
        </w:rPr>
        <w:t>萬</w:t>
      </w:r>
      <w:r w:rsidR="00E333D0">
        <w:rPr>
          <w:rFonts w:hint="eastAsia"/>
        </w:rPr>
        <w:t>6</w:t>
      </w:r>
      <w:r w:rsidRPr="00237CDE">
        <w:rPr>
          <w:rFonts w:hint="eastAsia"/>
        </w:rPr>
        <w:t>千元，較11</w:t>
      </w:r>
      <w:r w:rsidR="00147E9E">
        <w:rPr>
          <w:rFonts w:hint="eastAsia"/>
        </w:rPr>
        <w:t>3</w:t>
      </w:r>
      <w:r w:rsidRPr="00237CDE">
        <w:rPr>
          <w:rFonts w:hint="eastAsia"/>
        </w:rPr>
        <w:t>年度之</w:t>
      </w:r>
      <w:r w:rsidR="00A569A6">
        <w:rPr>
          <w:rFonts w:hint="eastAsia"/>
        </w:rPr>
        <w:t>117</w:t>
      </w:r>
      <w:r w:rsidRPr="00237CDE">
        <w:rPr>
          <w:rFonts w:hint="eastAsia"/>
        </w:rPr>
        <w:t>億</w:t>
      </w:r>
      <w:r w:rsidR="00A569A6">
        <w:rPr>
          <w:rFonts w:hint="eastAsia"/>
        </w:rPr>
        <w:t>3</w:t>
      </w:r>
      <w:r w:rsidRPr="00237CDE">
        <w:rPr>
          <w:rFonts w:hint="eastAsia"/>
        </w:rPr>
        <w:t>,</w:t>
      </w:r>
      <w:r w:rsidR="00A569A6">
        <w:rPr>
          <w:rFonts w:hint="eastAsia"/>
        </w:rPr>
        <w:t>242</w:t>
      </w:r>
      <w:r w:rsidRPr="00237CDE">
        <w:rPr>
          <w:rFonts w:hint="eastAsia"/>
        </w:rPr>
        <w:t>萬</w:t>
      </w:r>
      <w:r w:rsidR="00A569A6">
        <w:rPr>
          <w:rFonts w:hint="eastAsia"/>
        </w:rPr>
        <w:t>7</w:t>
      </w:r>
      <w:r w:rsidRPr="00237CDE">
        <w:rPr>
          <w:rFonts w:hint="eastAsia"/>
        </w:rPr>
        <w:t>千元增加</w:t>
      </w:r>
      <w:r w:rsidR="00147E9E">
        <w:rPr>
          <w:rFonts w:hint="eastAsia"/>
        </w:rPr>
        <w:t>7</w:t>
      </w:r>
      <w:r w:rsidRPr="00237CDE">
        <w:rPr>
          <w:rFonts w:hint="eastAsia"/>
        </w:rPr>
        <w:t>億</w:t>
      </w:r>
      <w:r w:rsidR="00A569A6">
        <w:rPr>
          <w:rFonts w:hint="eastAsia"/>
        </w:rPr>
        <w:t>149</w:t>
      </w:r>
      <w:r w:rsidRPr="00237CDE">
        <w:rPr>
          <w:rFonts w:hint="eastAsia"/>
        </w:rPr>
        <w:t>萬</w:t>
      </w:r>
      <w:r w:rsidR="00A569A6">
        <w:rPr>
          <w:rFonts w:hint="eastAsia"/>
        </w:rPr>
        <w:t>9千</w:t>
      </w:r>
      <w:r w:rsidRPr="00237CDE">
        <w:rPr>
          <w:rFonts w:hint="eastAsia"/>
        </w:rPr>
        <w:t>元(增幅</w:t>
      </w:r>
      <w:r w:rsidR="007C2F13" w:rsidRPr="00237CDE">
        <w:rPr>
          <w:rFonts w:hint="eastAsia"/>
        </w:rPr>
        <w:t>5</w:t>
      </w:r>
      <w:r w:rsidRPr="00237CDE">
        <w:rPr>
          <w:rFonts w:hint="eastAsia"/>
        </w:rPr>
        <w:t>.</w:t>
      </w:r>
      <w:r w:rsidR="00A569A6">
        <w:rPr>
          <w:rFonts w:hint="eastAsia"/>
        </w:rPr>
        <w:t>98</w:t>
      </w:r>
      <w:r w:rsidRPr="00237CDE">
        <w:rPr>
          <w:rFonts w:hint="eastAsia"/>
        </w:rPr>
        <w:t>%)</w:t>
      </w:r>
      <w:r w:rsidR="00872894" w:rsidRPr="00237CDE">
        <w:rPr>
          <w:rFonts w:hint="eastAsia"/>
        </w:rPr>
        <w:t>。</w:t>
      </w:r>
      <w:r w:rsidR="00147E9E">
        <w:rPr>
          <w:rFonts w:hint="eastAsia"/>
        </w:rPr>
        <w:t>經查</w:t>
      </w:r>
      <w:r w:rsidRPr="00237CDE">
        <w:rPr>
          <w:rFonts w:hint="eastAsia"/>
        </w:rPr>
        <w:t>：</w:t>
      </w:r>
    </w:p>
    <w:p w:rsidR="00147E9E" w:rsidRPr="00650A14" w:rsidRDefault="00B03B52" w:rsidP="00B03B52">
      <w:pPr>
        <w:pStyle w:val="a4"/>
        <w:ind w:left="849" w:hanging="283"/>
        <w:rPr>
          <w:b/>
          <w:bCs/>
        </w:rPr>
      </w:pPr>
      <w:r w:rsidRPr="00650A14">
        <w:rPr>
          <w:rFonts w:hint="eastAsia"/>
          <w:b/>
          <w:bCs/>
        </w:rPr>
        <w:t>(一)</w:t>
      </w:r>
      <w:r w:rsidR="00650A14" w:rsidRPr="00650A14">
        <w:rPr>
          <w:rFonts w:hint="eastAsia"/>
          <w:b/>
          <w:bCs/>
        </w:rPr>
        <w:t>截至</w:t>
      </w:r>
      <w:r w:rsidR="00131553" w:rsidRPr="00650A14">
        <w:rPr>
          <w:rFonts w:hint="eastAsia"/>
          <w:b/>
          <w:bCs/>
        </w:rPr>
        <w:t>112年</w:t>
      </w:r>
      <w:r w:rsidR="00650A14" w:rsidRPr="00650A14">
        <w:rPr>
          <w:rFonts w:hint="eastAsia"/>
          <w:b/>
          <w:bCs/>
        </w:rPr>
        <w:t>底止，保險賠款準備金累積</w:t>
      </w:r>
      <w:r w:rsidR="00F52679">
        <w:rPr>
          <w:rFonts w:hint="eastAsia"/>
          <w:b/>
          <w:bCs/>
        </w:rPr>
        <w:t>餘額為</w:t>
      </w:r>
      <w:r w:rsidR="00650A14" w:rsidRPr="00650A14">
        <w:rPr>
          <w:rFonts w:hint="eastAsia"/>
          <w:b/>
          <w:bCs/>
        </w:rPr>
        <w:t>1</w:t>
      </w:r>
      <w:r w:rsidR="00F52679">
        <w:rPr>
          <w:b/>
          <w:bCs/>
        </w:rPr>
        <w:t>,</w:t>
      </w:r>
      <w:r w:rsidR="00650A14" w:rsidRPr="00650A14">
        <w:rPr>
          <w:rFonts w:hint="eastAsia"/>
          <w:b/>
          <w:bCs/>
        </w:rPr>
        <w:t>51</w:t>
      </w:r>
      <w:r w:rsidR="00F52679">
        <w:rPr>
          <w:rFonts w:hint="eastAsia"/>
          <w:b/>
          <w:bCs/>
        </w:rPr>
        <w:t>2.54</w:t>
      </w:r>
      <w:r w:rsidR="00650A14" w:rsidRPr="00650A14">
        <w:rPr>
          <w:rFonts w:hint="eastAsia"/>
          <w:b/>
          <w:bCs/>
        </w:rPr>
        <w:t>億元</w:t>
      </w:r>
    </w:p>
    <w:p w:rsidR="00F52679" w:rsidRDefault="00B03B52" w:rsidP="00927A01">
      <w:pPr>
        <w:pStyle w:val="21"/>
        <w:ind w:left="850" w:firstLine="566"/>
      </w:pPr>
      <w:r>
        <w:rPr>
          <w:rFonts w:hint="eastAsia"/>
        </w:rPr>
        <w:t>存保公司設立目的非以營利為目標，年度盈餘</w:t>
      </w:r>
      <w:r w:rsidR="00463609">
        <w:rPr>
          <w:rStyle w:val="af1"/>
        </w:rPr>
        <w:footnoteReference w:id="2"/>
      </w:r>
      <w:r>
        <w:rPr>
          <w:rFonts w:hint="eastAsia"/>
        </w:rPr>
        <w:t>須</w:t>
      </w:r>
      <w:r w:rsidR="003C06A6">
        <w:rPr>
          <w:rFonts w:hint="eastAsia"/>
        </w:rPr>
        <w:t>依法</w:t>
      </w:r>
      <w:r>
        <w:rPr>
          <w:rFonts w:hint="eastAsia"/>
        </w:rPr>
        <w:t>全數提存保險賠款特別準備金</w:t>
      </w:r>
      <w:r w:rsidR="003C06A6">
        <w:rPr>
          <w:rFonts w:hint="eastAsia"/>
        </w:rPr>
        <w:t>；</w:t>
      </w:r>
      <w:r w:rsidR="00F52679">
        <w:rPr>
          <w:rFonts w:hint="eastAsia"/>
        </w:rPr>
        <w:t>依據</w:t>
      </w:r>
      <w:r w:rsidR="009D3EC8" w:rsidRPr="006414DC">
        <w:rPr>
          <w:rFonts w:hint="eastAsia"/>
        </w:rPr>
        <w:t>存款保險條例</w:t>
      </w:r>
      <w:r w:rsidR="00F52679">
        <w:rPr>
          <w:rFonts w:hint="eastAsia"/>
        </w:rPr>
        <w:t>第6、7條規定</w:t>
      </w:r>
      <w:r w:rsidR="00432884">
        <w:rPr>
          <w:rStyle w:val="af1"/>
        </w:rPr>
        <w:footnoteReference w:id="3"/>
      </w:r>
      <w:r w:rsidR="00F52679">
        <w:rPr>
          <w:rFonts w:hint="eastAsia"/>
        </w:rPr>
        <w:t>略</w:t>
      </w:r>
      <w:r w:rsidR="00F52679">
        <w:rPr>
          <w:rFonts w:hint="eastAsia"/>
        </w:rPr>
        <w:lastRenderedPageBreak/>
        <w:t>以，賠款特別準備</w:t>
      </w:r>
      <w:r w:rsidR="00AC6369">
        <w:rPr>
          <w:rFonts w:hint="eastAsia"/>
        </w:rPr>
        <w:t>金</w:t>
      </w:r>
      <w:r w:rsidR="00F52679">
        <w:rPr>
          <w:rFonts w:hint="eastAsia"/>
        </w:rPr>
        <w:t>應按一般金融保險賠款特別準備</w:t>
      </w:r>
      <w:r w:rsidR="00AC6369">
        <w:rPr>
          <w:rFonts w:hint="eastAsia"/>
        </w:rPr>
        <w:t>金</w:t>
      </w:r>
      <w:r w:rsidR="00F52679">
        <w:rPr>
          <w:rFonts w:hint="eastAsia"/>
        </w:rPr>
        <w:t>及農業金融保險特別準備</w:t>
      </w:r>
      <w:r w:rsidR="00AC6369">
        <w:rPr>
          <w:rFonts w:hint="eastAsia"/>
        </w:rPr>
        <w:t>金</w:t>
      </w:r>
      <w:r w:rsidR="00F52679">
        <w:rPr>
          <w:rFonts w:hint="eastAsia"/>
        </w:rPr>
        <w:t>分別</w:t>
      </w:r>
      <w:r w:rsidR="006555EE">
        <w:rPr>
          <w:rFonts w:hint="eastAsia"/>
        </w:rPr>
        <w:t>記</w:t>
      </w:r>
      <w:r w:rsidR="00F52679">
        <w:rPr>
          <w:rFonts w:hint="eastAsia"/>
        </w:rPr>
        <w:t>帳</w:t>
      </w:r>
      <w:r w:rsidR="00F42F2B">
        <w:rPr>
          <w:rFonts w:hint="eastAsia"/>
        </w:rPr>
        <w:t>及列計</w:t>
      </w:r>
      <w:r w:rsidR="00F52679">
        <w:rPr>
          <w:rFonts w:hint="eastAsia"/>
        </w:rPr>
        <w:t>。</w:t>
      </w:r>
      <w:r w:rsidR="006555EE">
        <w:rPr>
          <w:rFonts w:hint="eastAsia"/>
        </w:rPr>
        <w:t>另</w:t>
      </w:r>
      <w:r w:rsidR="00B07E97">
        <w:rPr>
          <w:rFonts w:hint="eastAsia"/>
        </w:rPr>
        <w:t>因</w:t>
      </w:r>
      <w:r w:rsidR="00B07E97" w:rsidRPr="00B07E97">
        <w:rPr>
          <w:rFonts w:hint="eastAsia"/>
        </w:rPr>
        <w:t>加值型及非加值型營業稅法</w:t>
      </w:r>
      <w:r w:rsidR="00B07E97">
        <w:rPr>
          <w:rFonts w:hint="eastAsia"/>
        </w:rPr>
        <w:t>之修正，</w:t>
      </w:r>
      <w:r w:rsidR="00AC6369">
        <w:rPr>
          <w:rFonts w:hint="eastAsia"/>
        </w:rPr>
        <w:t>自</w:t>
      </w:r>
      <w:r w:rsidR="00AC6369" w:rsidRPr="00237CDE">
        <w:rPr>
          <w:rFonts w:hint="eastAsia"/>
        </w:rPr>
        <w:t>103年7月1日起，原銀行業之2%營業稅稅款不再撥供</w:t>
      </w:r>
      <w:r w:rsidR="00943CD8" w:rsidRPr="009725FB">
        <w:rPr>
          <w:rFonts w:hint="eastAsia"/>
        </w:rPr>
        <w:t>保險賠款特別準備金</w:t>
      </w:r>
      <w:r w:rsidR="00943CD8">
        <w:rPr>
          <w:rFonts w:hint="eastAsia"/>
        </w:rPr>
        <w:t>，改</w:t>
      </w:r>
      <w:r w:rsidR="00943CD8" w:rsidRPr="009725FB">
        <w:rPr>
          <w:rFonts w:hint="eastAsia"/>
        </w:rPr>
        <w:t>撥入金融業特別準備金</w:t>
      </w:r>
      <w:r w:rsidR="00B07E97">
        <w:rPr>
          <w:rStyle w:val="af1"/>
        </w:rPr>
        <w:footnoteReference w:id="4"/>
      </w:r>
      <w:r w:rsidR="00943CD8">
        <w:rPr>
          <w:rFonts w:hint="eastAsia"/>
        </w:rPr>
        <w:t>，爰自該時起，</w:t>
      </w:r>
      <w:r w:rsidR="006555EE">
        <w:rPr>
          <w:rFonts w:hint="eastAsia"/>
        </w:rPr>
        <w:t>保險</w:t>
      </w:r>
      <w:r w:rsidR="00943CD8">
        <w:rPr>
          <w:rFonts w:hint="eastAsia"/>
        </w:rPr>
        <w:t>賠款特別準備金之來源主要係</w:t>
      </w:r>
      <w:r w:rsidR="007E2062" w:rsidRPr="00B03B52">
        <w:rPr>
          <w:rFonts w:hint="eastAsia"/>
        </w:rPr>
        <w:t>存保公司</w:t>
      </w:r>
      <w:r w:rsidR="0018543B">
        <w:rPr>
          <w:rFonts w:hint="eastAsia"/>
        </w:rPr>
        <w:t>各</w:t>
      </w:r>
      <w:r w:rsidR="007E2062" w:rsidRPr="00B03B52">
        <w:rPr>
          <w:rFonts w:hint="eastAsia"/>
        </w:rPr>
        <w:t>年度收入總額減除各項成本費用及損失後之餘額</w:t>
      </w:r>
      <w:r w:rsidR="006555EE">
        <w:rPr>
          <w:rStyle w:val="af1"/>
        </w:rPr>
        <w:footnoteReference w:id="5"/>
      </w:r>
      <w:r w:rsidR="007E2062">
        <w:rPr>
          <w:rFonts w:hint="eastAsia"/>
        </w:rPr>
        <w:t>。</w:t>
      </w:r>
      <w:r w:rsidR="00927A01">
        <w:rPr>
          <w:rFonts w:hint="eastAsia"/>
        </w:rPr>
        <w:t>存保公司112年度提存保險賠款特別準備金134.01億元，</w:t>
      </w:r>
      <w:r w:rsidR="0018543B">
        <w:rPr>
          <w:rFonts w:hint="eastAsia"/>
        </w:rPr>
        <w:t>且</w:t>
      </w:r>
      <w:r w:rsidR="00927A01">
        <w:rPr>
          <w:rFonts w:hint="eastAsia"/>
        </w:rPr>
        <w:t>截至該年底止，一般金融保險賠款特別準備金餘額為1,444.44億元，農業金融保險賠款特別準備金餘額為68.10億元，</w:t>
      </w:r>
      <w:r w:rsidR="00927A01" w:rsidRPr="00927A01">
        <w:rPr>
          <w:rFonts w:hint="eastAsia"/>
        </w:rPr>
        <w:t>保險賠款準備金累積餘額為1,512.54億元</w:t>
      </w:r>
      <w:r w:rsidR="007970E3">
        <w:rPr>
          <w:rFonts w:hint="eastAsia"/>
        </w:rPr>
        <w:t>。</w:t>
      </w:r>
    </w:p>
    <w:p w:rsidR="004127C2" w:rsidRPr="00183510" w:rsidRDefault="004127C2" w:rsidP="00183510">
      <w:pPr>
        <w:pStyle w:val="a4"/>
        <w:ind w:left="849" w:hanging="283"/>
        <w:rPr>
          <w:b/>
          <w:bCs/>
        </w:rPr>
      </w:pPr>
      <w:r w:rsidRPr="00183510">
        <w:rPr>
          <w:rFonts w:hint="eastAsia"/>
          <w:b/>
          <w:bCs/>
        </w:rPr>
        <w:t>(</w:t>
      </w:r>
      <w:r w:rsidR="00247EE4" w:rsidRPr="00183510">
        <w:rPr>
          <w:rFonts w:hint="eastAsia"/>
          <w:b/>
          <w:bCs/>
        </w:rPr>
        <w:t>二</w:t>
      </w:r>
      <w:r w:rsidRPr="00183510">
        <w:rPr>
          <w:rFonts w:hint="eastAsia"/>
          <w:b/>
          <w:bCs/>
        </w:rPr>
        <w:t>)</w:t>
      </w:r>
      <w:r w:rsidR="00183510" w:rsidRPr="00183510">
        <w:rPr>
          <w:rFonts w:hint="eastAsia"/>
          <w:b/>
          <w:bCs/>
        </w:rPr>
        <w:t>一般金融及農業金融</w:t>
      </w:r>
      <w:r w:rsidR="0018543B" w:rsidRPr="00183510">
        <w:rPr>
          <w:rFonts w:hint="eastAsia"/>
          <w:b/>
          <w:bCs/>
        </w:rPr>
        <w:t>賠款特別準備金</w:t>
      </w:r>
      <w:r w:rsidR="00326A00" w:rsidRPr="00B73B62">
        <w:rPr>
          <w:rFonts w:hint="eastAsia"/>
          <w:b/>
          <w:bCs/>
        </w:rPr>
        <w:t>占</w:t>
      </w:r>
      <w:r w:rsidR="00EE2A62" w:rsidRPr="00B73B62">
        <w:rPr>
          <w:rFonts w:hint="eastAsia"/>
          <w:b/>
          <w:bCs/>
        </w:rPr>
        <w:t>要保機構</w:t>
      </w:r>
      <w:r w:rsidR="00326A00" w:rsidRPr="00B73B62">
        <w:rPr>
          <w:rFonts w:hint="eastAsia"/>
          <w:b/>
          <w:bCs/>
        </w:rPr>
        <w:t>保額內存款之比率</w:t>
      </w:r>
      <w:r w:rsidR="00183510" w:rsidRPr="00B73B62">
        <w:rPr>
          <w:rFonts w:hint="eastAsia"/>
          <w:b/>
          <w:bCs/>
        </w:rPr>
        <w:t>雖有微幅成長，惟</w:t>
      </w:r>
      <w:r w:rsidR="00863C38" w:rsidRPr="00B73B62">
        <w:rPr>
          <w:rFonts w:hint="eastAsia"/>
          <w:b/>
          <w:bCs/>
        </w:rPr>
        <w:t>與</w:t>
      </w:r>
      <w:r w:rsidR="00247EE4" w:rsidRPr="00B73B62">
        <w:rPr>
          <w:rFonts w:hint="eastAsia"/>
          <w:b/>
          <w:bCs/>
        </w:rPr>
        <w:t>法定目標2%</w:t>
      </w:r>
      <w:r w:rsidR="00B73B62" w:rsidRPr="00B73B62">
        <w:rPr>
          <w:rFonts w:hint="eastAsia"/>
          <w:b/>
          <w:bCs/>
        </w:rPr>
        <w:t>之</w:t>
      </w:r>
      <w:r w:rsidR="00863C38" w:rsidRPr="00183510">
        <w:rPr>
          <w:rFonts w:hint="eastAsia"/>
          <w:b/>
          <w:bCs/>
        </w:rPr>
        <w:t>差距</w:t>
      </w:r>
      <w:r w:rsidR="00E32913">
        <w:rPr>
          <w:rFonts w:hint="eastAsia"/>
          <w:b/>
          <w:bCs/>
        </w:rPr>
        <w:t>仍</w:t>
      </w:r>
      <w:r w:rsidR="00B73B62">
        <w:rPr>
          <w:rFonts w:hint="eastAsia"/>
          <w:b/>
          <w:bCs/>
        </w:rPr>
        <w:t>逾4千億元</w:t>
      </w:r>
    </w:p>
    <w:p w:rsidR="00E32913" w:rsidRDefault="007970E3" w:rsidP="0024235A">
      <w:pPr>
        <w:pStyle w:val="21"/>
        <w:ind w:left="850" w:firstLine="566"/>
      </w:pPr>
      <w:r w:rsidRPr="009725FB">
        <w:rPr>
          <w:rFonts w:hint="eastAsia"/>
        </w:rPr>
        <w:t>存款保險條例第</w:t>
      </w:r>
      <w:r>
        <w:rPr>
          <w:rFonts w:hint="eastAsia"/>
        </w:rPr>
        <w:t>16</w:t>
      </w:r>
      <w:r w:rsidRPr="009725FB">
        <w:rPr>
          <w:rFonts w:hint="eastAsia"/>
        </w:rPr>
        <w:t>條</w:t>
      </w:r>
      <w:r w:rsidR="00E32913">
        <w:rPr>
          <w:rFonts w:hint="eastAsia"/>
        </w:rPr>
        <w:t>第1項</w:t>
      </w:r>
      <w:r>
        <w:rPr>
          <w:rFonts w:hint="eastAsia"/>
        </w:rPr>
        <w:t>規定：「</w:t>
      </w:r>
      <w:r w:rsidRPr="007970E3">
        <w:rPr>
          <w:rFonts w:hint="eastAsia"/>
        </w:rPr>
        <w:t>存保公司之各保險賠款特別準備金餘額占保額內存款之目標比率為百分之二。</w:t>
      </w:r>
      <w:r>
        <w:rPr>
          <w:rFonts w:hint="eastAsia"/>
        </w:rPr>
        <w:t>」</w:t>
      </w:r>
      <w:r w:rsidR="00786453">
        <w:rPr>
          <w:rFonts w:hint="eastAsia"/>
        </w:rPr>
        <w:t>揆諸</w:t>
      </w:r>
      <w:r w:rsidR="00023D28">
        <w:rPr>
          <w:rFonts w:hint="eastAsia"/>
        </w:rPr>
        <w:t>近年</w:t>
      </w:r>
      <w:r w:rsidR="00023D28" w:rsidRPr="00663596">
        <w:rPr>
          <w:rFonts w:hint="eastAsia"/>
        </w:rPr>
        <w:t>保險賠款特別準備金</w:t>
      </w:r>
      <w:r w:rsidR="00023D28">
        <w:rPr>
          <w:rFonts w:hint="eastAsia"/>
        </w:rPr>
        <w:t>帳戶概況，</w:t>
      </w:r>
      <w:r w:rsidR="00870271">
        <w:rPr>
          <w:rFonts w:hint="eastAsia"/>
        </w:rPr>
        <w:t>其中</w:t>
      </w:r>
      <w:r w:rsidR="00870271" w:rsidRPr="00432884">
        <w:rPr>
          <w:rFonts w:hint="eastAsia"/>
        </w:rPr>
        <w:t>一般金融保險賠款特別準備金</w:t>
      </w:r>
      <w:r w:rsidR="00870271">
        <w:rPr>
          <w:rFonts w:hint="eastAsia"/>
        </w:rPr>
        <w:t>部分(詳表1)，112年</w:t>
      </w:r>
      <w:r w:rsidR="008E3584">
        <w:rPr>
          <w:rFonts w:hint="eastAsia"/>
        </w:rPr>
        <w:t>度</w:t>
      </w:r>
      <w:r w:rsidR="00786453">
        <w:rPr>
          <w:rFonts w:hint="eastAsia"/>
        </w:rPr>
        <w:t>要保機構為91家，較111年度減少1家，主要係因要保機構</w:t>
      </w:r>
      <w:r w:rsidR="00870271">
        <w:rPr>
          <w:rFonts w:hint="eastAsia"/>
        </w:rPr>
        <w:t>合併</w:t>
      </w:r>
      <w:r w:rsidR="00786453">
        <w:rPr>
          <w:rFonts w:hint="eastAsia"/>
        </w:rPr>
        <w:t>之故</w:t>
      </w:r>
      <w:r w:rsidR="002D0F18">
        <w:rPr>
          <w:rFonts w:hint="eastAsia"/>
        </w:rPr>
        <w:t>；</w:t>
      </w:r>
      <w:r w:rsidR="00786453">
        <w:rPr>
          <w:rFonts w:hint="eastAsia"/>
        </w:rPr>
        <w:t>又</w:t>
      </w:r>
      <w:r w:rsidR="00460ED5">
        <w:rPr>
          <w:rFonts w:hint="eastAsia"/>
        </w:rPr>
        <w:t>該年底</w:t>
      </w:r>
      <w:r w:rsidR="00E32913">
        <w:rPr>
          <w:rFonts w:hint="eastAsia"/>
        </w:rPr>
        <w:t>該類</w:t>
      </w:r>
      <w:r w:rsidR="00460ED5" w:rsidRPr="00432884">
        <w:rPr>
          <w:rFonts w:hint="eastAsia"/>
        </w:rPr>
        <w:t>保</w:t>
      </w:r>
      <w:r w:rsidR="00460ED5" w:rsidRPr="00432884">
        <w:rPr>
          <w:rFonts w:hint="eastAsia"/>
        </w:rPr>
        <w:lastRenderedPageBreak/>
        <w:t>險賠款特別準備金</w:t>
      </w:r>
      <w:r w:rsidR="00460ED5">
        <w:rPr>
          <w:rFonts w:hint="eastAsia"/>
        </w:rPr>
        <w:t>占</w:t>
      </w:r>
      <w:r w:rsidR="00460ED5" w:rsidRPr="00237CDE">
        <w:rPr>
          <w:rFonts w:hint="eastAsia"/>
        </w:rPr>
        <w:t>保額內存款比率</w:t>
      </w:r>
      <w:r w:rsidR="00460ED5">
        <w:rPr>
          <w:rFonts w:hint="eastAsia"/>
        </w:rPr>
        <w:t>為0.55%，</w:t>
      </w:r>
      <w:r w:rsidR="00E32913">
        <w:rPr>
          <w:rFonts w:hint="eastAsia"/>
        </w:rPr>
        <w:t>另農業</w:t>
      </w:r>
      <w:r w:rsidR="00E32913" w:rsidRPr="00432884">
        <w:rPr>
          <w:rFonts w:hint="eastAsia"/>
        </w:rPr>
        <w:t>金融保險賠款特別準備金</w:t>
      </w:r>
      <w:r w:rsidR="00E32913">
        <w:rPr>
          <w:rFonts w:hint="eastAsia"/>
        </w:rPr>
        <w:t>部分(詳表2)，近年要保機構家數並無變化，均維持312家；112年底該類</w:t>
      </w:r>
      <w:r w:rsidR="00E32913" w:rsidRPr="00432884">
        <w:rPr>
          <w:rFonts w:hint="eastAsia"/>
        </w:rPr>
        <w:t>保險賠款特別準備金</w:t>
      </w:r>
      <w:r w:rsidR="00E32913">
        <w:rPr>
          <w:rFonts w:hint="eastAsia"/>
        </w:rPr>
        <w:t>占</w:t>
      </w:r>
      <w:r w:rsidR="00E32913" w:rsidRPr="00237CDE">
        <w:rPr>
          <w:rFonts w:hint="eastAsia"/>
        </w:rPr>
        <w:t>保額內存款比率</w:t>
      </w:r>
      <w:r w:rsidR="00E32913">
        <w:rPr>
          <w:rFonts w:hint="eastAsia"/>
        </w:rPr>
        <w:t>為0.44%。前揭2類</w:t>
      </w:r>
      <w:r w:rsidR="00E32913" w:rsidRPr="00432884">
        <w:rPr>
          <w:rFonts w:hint="eastAsia"/>
        </w:rPr>
        <w:t>保險賠款特別準備金</w:t>
      </w:r>
      <w:r w:rsidR="00E32913">
        <w:rPr>
          <w:rFonts w:hint="eastAsia"/>
        </w:rPr>
        <w:t>占</w:t>
      </w:r>
      <w:r w:rsidR="00E32913" w:rsidRPr="00237CDE">
        <w:rPr>
          <w:rFonts w:hint="eastAsia"/>
        </w:rPr>
        <w:t>保額內存款比率</w:t>
      </w:r>
      <w:r w:rsidR="00E32913">
        <w:rPr>
          <w:rFonts w:hint="eastAsia"/>
        </w:rPr>
        <w:t>雖呈穩定微幅增加趨勢，至113年6月底止，分別為0.5</w:t>
      </w:r>
      <w:r w:rsidR="00974C44">
        <w:rPr>
          <w:rFonts w:hint="eastAsia"/>
        </w:rPr>
        <w:t>6%及0.46%惟較法定目標尚不足3</w:t>
      </w:r>
      <w:r w:rsidR="00974C44">
        <w:t>,</w:t>
      </w:r>
      <w:r w:rsidR="00974C44">
        <w:rPr>
          <w:rFonts w:hint="eastAsia"/>
        </w:rPr>
        <w:t>858.16億元及237.20億元，合計4</w:t>
      </w:r>
      <w:r w:rsidR="00974C44">
        <w:t>,</w:t>
      </w:r>
      <w:r w:rsidR="00974C44">
        <w:rPr>
          <w:rFonts w:hint="eastAsia"/>
        </w:rPr>
        <w:t>095.36億元。據存保</w:t>
      </w:r>
      <w:r w:rsidR="00974C44" w:rsidRPr="00237CDE">
        <w:rPr>
          <w:rFonts w:hint="eastAsia"/>
        </w:rPr>
        <w:t>公司預估，</w:t>
      </w:r>
      <w:r w:rsidR="00974C44">
        <w:rPr>
          <w:rFonts w:hint="eastAsia"/>
        </w:rPr>
        <w:t>在未來無理賠案件之前提下，</w:t>
      </w:r>
      <w:r w:rsidR="00974C44" w:rsidRPr="00237CDE">
        <w:rPr>
          <w:rFonts w:hint="eastAsia"/>
        </w:rPr>
        <w:t>須</w:t>
      </w:r>
      <w:r w:rsidR="00974C44">
        <w:rPr>
          <w:rFonts w:hint="eastAsia"/>
        </w:rPr>
        <w:t>分別</w:t>
      </w:r>
      <w:r w:rsidR="00974C44" w:rsidRPr="00237CDE">
        <w:rPr>
          <w:rFonts w:hint="eastAsia"/>
        </w:rPr>
        <w:t>至140年</w:t>
      </w:r>
      <w:r w:rsidR="00974C44">
        <w:rPr>
          <w:rFonts w:hint="eastAsia"/>
        </w:rPr>
        <w:t>及175年</w:t>
      </w:r>
      <w:r w:rsidR="00974C44" w:rsidRPr="00237CDE">
        <w:rPr>
          <w:rFonts w:hint="eastAsia"/>
        </w:rPr>
        <w:t>始可達成2%法定目標比率</w:t>
      </w:r>
      <w:r w:rsidR="00974C44" w:rsidRPr="00237CDE">
        <w:rPr>
          <w:rStyle w:val="af1"/>
        </w:rPr>
        <w:footnoteReference w:id="6"/>
      </w:r>
      <w:r w:rsidR="00974C44">
        <w:rPr>
          <w:rFonts w:hint="eastAsia"/>
        </w:rPr>
        <w:t>，仍待賡續</w:t>
      </w:r>
      <w:r w:rsidR="00974C44" w:rsidRPr="008E3584">
        <w:rPr>
          <w:rFonts w:hint="eastAsia"/>
        </w:rPr>
        <w:t>充實保險賠款特別準備金</w:t>
      </w:r>
      <w:r w:rsidR="00974C44" w:rsidRPr="00237CDE">
        <w:rPr>
          <w:rFonts w:hint="eastAsia"/>
        </w:rPr>
        <w:t>。</w:t>
      </w:r>
    </w:p>
    <w:p w:rsidR="003D3BCE" w:rsidRPr="00663596" w:rsidRDefault="003D3BCE" w:rsidP="003D3BCE">
      <w:pPr>
        <w:pStyle w:val="200"/>
      </w:pPr>
      <w:r w:rsidRPr="00663596">
        <w:rPr>
          <w:rFonts w:hint="eastAsia"/>
        </w:rPr>
        <w:t>表</w:t>
      </w:r>
      <w:r w:rsidRPr="00663596">
        <w:t>1</w:t>
      </w:r>
      <w:r w:rsidRPr="00663596">
        <w:rPr>
          <w:rFonts w:hint="eastAsia"/>
        </w:rPr>
        <w:t xml:space="preserve">  110至114年度</w:t>
      </w:r>
      <w:r w:rsidR="00023D28" w:rsidRPr="00432884">
        <w:rPr>
          <w:rFonts w:hint="eastAsia"/>
        </w:rPr>
        <w:t>一般金融保險賠款特別準備金</w:t>
      </w:r>
      <w:r w:rsidRPr="00663596">
        <w:rPr>
          <w:rFonts w:hint="eastAsia"/>
        </w:rPr>
        <w:t>概況表</w:t>
      </w:r>
    </w:p>
    <w:p w:rsidR="003D3BCE" w:rsidRPr="00663596" w:rsidRDefault="003D3BCE" w:rsidP="003D3BCE">
      <w:pPr>
        <w:pStyle w:val="142"/>
        <w:jc w:val="right"/>
        <w:rPr>
          <w:rFonts w:hAnsi="標楷體"/>
          <w:spacing w:val="-10"/>
        </w:rPr>
      </w:pPr>
      <w:r w:rsidRPr="00663596">
        <w:rPr>
          <w:rFonts w:hAnsi="標楷體"/>
        </w:rPr>
        <w:t>單位</w:t>
      </w:r>
      <w:r w:rsidRPr="00663596">
        <w:rPr>
          <w:rFonts w:hAnsi="標楷體"/>
          <w:spacing w:val="-10"/>
        </w:rPr>
        <w:t>：</w:t>
      </w:r>
      <w:r w:rsidRPr="00663596">
        <w:rPr>
          <w:rFonts w:hAnsi="標楷體" w:hint="eastAsia"/>
        </w:rPr>
        <w:t>新臺幣</w:t>
      </w:r>
      <w:r w:rsidRPr="00663596">
        <w:rPr>
          <w:rFonts w:hAnsi="標楷體" w:hint="eastAsia"/>
          <w:spacing w:val="-10"/>
        </w:rPr>
        <w:t>百萬</w:t>
      </w:r>
      <w:r w:rsidRPr="00663596">
        <w:rPr>
          <w:rFonts w:hAnsi="標楷體"/>
          <w:spacing w:val="-10"/>
        </w:rPr>
        <w:t>元</w:t>
      </w:r>
    </w:p>
    <w:tbl>
      <w:tblPr>
        <w:tblW w:w="8504"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37"/>
        <w:gridCol w:w="1077"/>
        <w:gridCol w:w="1701"/>
        <w:gridCol w:w="1871"/>
        <w:gridCol w:w="1417"/>
        <w:gridCol w:w="1701"/>
      </w:tblGrid>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年度</w:t>
            </w:r>
          </w:p>
        </w:tc>
        <w:tc>
          <w:tcPr>
            <w:tcW w:w="107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要保機構家數</w:t>
            </w:r>
          </w:p>
        </w:tc>
        <w:tc>
          <w:tcPr>
            <w:tcW w:w="1701"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保險賠款特別準備金(1)</w:t>
            </w:r>
          </w:p>
        </w:tc>
        <w:tc>
          <w:tcPr>
            <w:tcW w:w="1871"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要保機構</w:t>
            </w:r>
            <w:r w:rsidRPr="009B0CEB">
              <w:rPr>
                <w:rFonts w:hAnsi="標楷體"/>
              </w:rPr>
              <w:br/>
            </w:r>
            <w:r w:rsidRPr="009B0CEB">
              <w:rPr>
                <w:rFonts w:hAnsi="標楷體" w:hint="eastAsia"/>
              </w:rPr>
              <w:t>保額內存款(2)</w:t>
            </w:r>
          </w:p>
        </w:tc>
        <w:tc>
          <w:tcPr>
            <w:tcW w:w="141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準備金占比</w:t>
            </w:r>
            <w:r w:rsidRPr="009B0CEB">
              <w:rPr>
                <w:rFonts w:hAnsi="標楷體"/>
              </w:rPr>
              <w:br/>
            </w:r>
            <w:r w:rsidRPr="009B0CEB">
              <w:rPr>
                <w:rFonts w:hAnsi="標楷體" w:hint="eastAsia"/>
              </w:rPr>
              <w:t>(1)/(2)</w:t>
            </w:r>
          </w:p>
        </w:tc>
        <w:tc>
          <w:tcPr>
            <w:tcW w:w="1701"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準備金不足數</w:t>
            </w:r>
          </w:p>
          <w:p w:rsidR="003D3BCE" w:rsidRPr="009B0CEB" w:rsidRDefault="003D3BCE" w:rsidP="009B0CEB">
            <w:pPr>
              <w:pStyle w:val="142"/>
              <w:jc w:val="center"/>
              <w:rPr>
                <w:rFonts w:hAnsi="標楷體"/>
              </w:rPr>
            </w:pPr>
            <w:r w:rsidRPr="009B0CEB">
              <w:rPr>
                <w:rFonts w:hAnsi="標楷體"/>
              </w:rPr>
              <w:t>=(2)*2%-(1)</w:t>
            </w:r>
          </w:p>
        </w:tc>
      </w:tr>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110</w:t>
            </w:r>
          </w:p>
        </w:tc>
        <w:tc>
          <w:tcPr>
            <w:tcW w:w="1077" w:type="dxa"/>
            <w:shd w:val="clear" w:color="auto" w:fill="auto"/>
          </w:tcPr>
          <w:p w:rsidR="003D3BCE" w:rsidRPr="009B0CEB" w:rsidRDefault="003D3BCE" w:rsidP="009B0CEB">
            <w:pPr>
              <w:pStyle w:val="142"/>
              <w:jc w:val="right"/>
              <w:rPr>
                <w:rFonts w:hAnsi="標楷體"/>
              </w:rPr>
            </w:pPr>
            <w:r w:rsidRPr="009B0CEB">
              <w:rPr>
                <w:rFonts w:hAnsi="標楷體" w:hint="eastAsia"/>
              </w:rPr>
              <w:t>9</w:t>
            </w:r>
            <w:r w:rsidRPr="009B0CEB">
              <w:rPr>
                <w:rFonts w:hAnsi="標楷體"/>
              </w:rPr>
              <w:t>0</w:t>
            </w:r>
          </w:p>
        </w:tc>
        <w:tc>
          <w:tcPr>
            <w:tcW w:w="1701" w:type="dxa"/>
            <w:shd w:val="clear" w:color="auto" w:fill="auto"/>
            <w:vAlign w:val="center"/>
          </w:tcPr>
          <w:p w:rsidR="003D3BCE" w:rsidRPr="009B0CEB" w:rsidRDefault="003D3BCE" w:rsidP="009B0CEB">
            <w:pPr>
              <w:pStyle w:val="142"/>
              <w:jc w:val="right"/>
              <w:rPr>
                <w:rFonts w:hAnsi="標楷體"/>
              </w:rPr>
            </w:pPr>
            <w:r w:rsidRPr="009B0CEB">
              <w:rPr>
                <w:rFonts w:hAnsi="標楷體"/>
              </w:rPr>
              <w:t>119,280</w:t>
            </w:r>
          </w:p>
        </w:tc>
        <w:tc>
          <w:tcPr>
            <w:tcW w:w="1871" w:type="dxa"/>
            <w:shd w:val="clear" w:color="auto" w:fill="auto"/>
            <w:vAlign w:val="center"/>
          </w:tcPr>
          <w:p w:rsidR="003D3BCE" w:rsidRPr="009B0CEB" w:rsidRDefault="003D3BCE" w:rsidP="009B0CEB">
            <w:pPr>
              <w:pStyle w:val="142"/>
              <w:jc w:val="right"/>
              <w:rPr>
                <w:rFonts w:hAnsi="標楷體"/>
              </w:rPr>
            </w:pPr>
            <w:r w:rsidRPr="009B0CEB">
              <w:rPr>
                <w:rFonts w:hAnsi="標楷體"/>
              </w:rPr>
              <w:t>23,728,166</w:t>
            </w:r>
          </w:p>
        </w:tc>
        <w:tc>
          <w:tcPr>
            <w:tcW w:w="1417" w:type="dxa"/>
            <w:shd w:val="clear" w:color="auto" w:fill="auto"/>
            <w:vAlign w:val="center"/>
          </w:tcPr>
          <w:p w:rsidR="003D3BCE" w:rsidRPr="009B0CEB" w:rsidRDefault="003D3BCE" w:rsidP="009B0CEB">
            <w:pPr>
              <w:pStyle w:val="142"/>
              <w:jc w:val="right"/>
              <w:rPr>
                <w:rFonts w:hAnsi="標楷體"/>
              </w:rPr>
            </w:pPr>
            <w:r w:rsidRPr="009B0CEB">
              <w:rPr>
                <w:rFonts w:hAnsi="標楷體"/>
              </w:rPr>
              <w:t>0.50%</w:t>
            </w:r>
          </w:p>
        </w:tc>
        <w:tc>
          <w:tcPr>
            <w:tcW w:w="1701" w:type="dxa"/>
            <w:shd w:val="clear" w:color="auto" w:fill="auto"/>
            <w:vAlign w:val="center"/>
          </w:tcPr>
          <w:p w:rsidR="003D3BCE" w:rsidRPr="009B0CEB" w:rsidRDefault="003D3BCE" w:rsidP="009B0CEB">
            <w:pPr>
              <w:pStyle w:val="142"/>
              <w:jc w:val="right"/>
              <w:rPr>
                <w:rFonts w:hAnsi="標楷體"/>
              </w:rPr>
            </w:pPr>
            <w:r w:rsidRPr="009B0CEB">
              <w:rPr>
                <w:rFonts w:hAnsi="標楷體"/>
              </w:rPr>
              <w:t>355,28</w:t>
            </w:r>
            <w:r w:rsidRPr="009B0CEB">
              <w:rPr>
                <w:rFonts w:hAnsi="標楷體" w:hint="eastAsia"/>
              </w:rPr>
              <w:t>3</w:t>
            </w:r>
          </w:p>
        </w:tc>
      </w:tr>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111</w:t>
            </w:r>
          </w:p>
        </w:tc>
        <w:tc>
          <w:tcPr>
            <w:tcW w:w="1077" w:type="dxa"/>
            <w:shd w:val="clear" w:color="auto" w:fill="auto"/>
          </w:tcPr>
          <w:p w:rsidR="003D3BCE" w:rsidRPr="009B0CEB" w:rsidRDefault="003D3BCE" w:rsidP="009B0CEB">
            <w:pPr>
              <w:pStyle w:val="142"/>
              <w:jc w:val="right"/>
              <w:rPr>
                <w:rFonts w:hAnsi="標楷體"/>
              </w:rPr>
            </w:pPr>
            <w:r w:rsidRPr="009B0CEB">
              <w:rPr>
                <w:rFonts w:hAnsi="標楷體"/>
              </w:rPr>
              <w:t>92</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rPr>
              <w:t>131,199</w:t>
            </w:r>
          </w:p>
        </w:tc>
        <w:tc>
          <w:tcPr>
            <w:tcW w:w="1871" w:type="dxa"/>
            <w:shd w:val="clear" w:color="auto" w:fill="auto"/>
          </w:tcPr>
          <w:p w:rsidR="003D3BCE" w:rsidRPr="009B0CEB" w:rsidRDefault="003D3BCE" w:rsidP="009B0CEB">
            <w:pPr>
              <w:pStyle w:val="142"/>
              <w:jc w:val="right"/>
              <w:rPr>
                <w:rFonts w:hAnsi="標楷體"/>
              </w:rPr>
            </w:pPr>
            <w:r w:rsidRPr="009B0CEB">
              <w:rPr>
                <w:rFonts w:hAnsi="標楷體"/>
              </w:rPr>
              <w:t>24,966,572</w:t>
            </w:r>
          </w:p>
        </w:tc>
        <w:tc>
          <w:tcPr>
            <w:tcW w:w="1417" w:type="dxa"/>
            <w:shd w:val="clear" w:color="auto" w:fill="auto"/>
          </w:tcPr>
          <w:p w:rsidR="003D3BCE" w:rsidRPr="009B0CEB" w:rsidRDefault="003D3BCE" w:rsidP="009B0CEB">
            <w:pPr>
              <w:pStyle w:val="142"/>
              <w:jc w:val="right"/>
              <w:rPr>
                <w:rFonts w:hAnsi="標楷體"/>
              </w:rPr>
            </w:pPr>
            <w:r w:rsidRPr="009B0CEB">
              <w:rPr>
                <w:rFonts w:hAnsi="標楷體"/>
              </w:rPr>
              <w:t>0.53%</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rPr>
              <w:t>368,132</w:t>
            </w:r>
          </w:p>
        </w:tc>
      </w:tr>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112</w:t>
            </w:r>
          </w:p>
        </w:tc>
        <w:tc>
          <w:tcPr>
            <w:tcW w:w="1077" w:type="dxa"/>
            <w:shd w:val="clear" w:color="auto" w:fill="auto"/>
            <w:vAlign w:val="center"/>
          </w:tcPr>
          <w:p w:rsidR="003D3BCE" w:rsidRPr="009B0CEB" w:rsidRDefault="003D3BCE" w:rsidP="009B0CEB">
            <w:pPr>
              <w:pStyle w:val="142"/>
              <w:jc w:val="right"/>
              <w:rPr>
                <w:rFonts w:hAnsi="標楷體"/>
              </w:rPr>
            </w:pPr>
            <w:r w:rsidRPr="009B0CEB">
              <w:rPr>
                <w:rFonts w:hAnsi="標楷體"/>
              </w:rPr>
              <w:t>91</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hint="eastAsia"/>
              </w:rPr>
              <w:t>1</w:t>
            </w:r>
            <w:r w:rsidRPr="009B0CEB">
              <w:rPr>
                <w:rFonts w:hAnsi="標楷體"/>
              </w:rPr>
              <w:t>44,444</w:t>
            </w:r>
          </w:p>
        </w:tc>
        <w:tc>
          <w:tcPr>
            <w:tcW w:w="1871" w:type="dxa"/>
            <w:shd w:val="clear" w:color="auto" w:fill="auto"/>
          </w:tcPr>
          <w:p w:rsidR="003D3BCE" w:rsidRPr="009B0CEB" w:rsidRDefault="003D3BCE" w:rsidP="009B0CEB">
            <w:pPr>
              <w:pStyle w:val="142"/>
              <w:jc w:val="right"/>
              <w:rPr>
                <w:rFonts w:hAnsi="標楷體"/>
              </w:rPr>
            </w:pPr>
            <w:r w:rsidRPr="009B0CEB">
              <w:rPr>
                <w:rFonts w:hAnsi="標楷體"/>
              </w:rPr>
              <w:t>26,379,509</w:t>
            </w:r>
          </w:p>
        </w:tc>
        <w:tc>
          <w:tcPr>
            <w:tcW w:w="1417" w:type="dxa"/>
            <w:shd w:val="clear" w:color="auto" w:fill="auto"/>
          </w:tcPr>
          <w:p w:rsidR="003D3BCE" w:rsidRPr="009B0CEB" w:rsidRDefault="003D3BCE" w:rsidP="009B0CEB">
            <w:pPr>
              <w:pStyle w:val="142"/>
              <w:jc w:val="right"/>
              <w:rPr>
                <w:rFonts w:hAnsi="標楷體"/>
              </w:rPr>
            </w:pPr>
            <w:r w:rsidRPr="009B0CEB">
              <w:rPr>
                <w:rFonts w:hAnsi="標楷體" w:hint="eastAsia"/>
              </w:rPr>
              <w:t>0</w:t>
            </w:r>
            <w:r w:rsidRPr="009B0CEB">
              <w:rPr>
                <w:rFonts w:hAnsi="標楷體"/>
              </w:rPr>
              <w:t>.55%</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hint="eastAsia"/>
              </w:rPr>
              <w:t>3</w:t>
            </w:r>
            <w:r w:rsidRPr="009B0CEB">
              <w:rPr>
                <w:rFonts w:hAnsi="標楷體"/>
              </w:rPr>
              <w:t>83,146</w:t>
            </w:r>
          </w:p>
        </w:tc>
      </w:tr>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113</w:t>
            </w:r>
          </w:p>
        </w:tc>
        <w:tc>
          <w:tcPr>
            <w:tcW w:w="1077" w:type="dxa"/>
            <w:shd w:val="clear" w:color="auto" w:fill="auto"/>
          </w:tcPr>
          <w:p w:rsidR="003D3BCE" w:rsidRPr="009B0CEB" w:rsidRDefault="003D3BCE" w:rsidP="009B0CEB">
            <w:pPr>
              <w:pStyle w:val="142"/>
              <w:jc w:val="right"/>
              <w:rPr>
                <w:rFonts w:hAnsi="標楷體"/>
              </w:rPr>
            </w:pPr>
            <w:r w:rsidRPr="009B0CEB">
              <w:rPr>
                <w:rFonts w:hAnsi="標楷體" w:hint="eastAsia"/>
              </w:rPr>
              <w:t>9</w:t>
            </w:r>
            <w:r w:rsidRPr="009B0CEB">
              <w:rPr>
                <w:rFonts w:hAnsi="標楷體"/>
              </w:rPr>
              <w:t>1</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rPr>
              <w:t>151,298</w:t>
            </w:r>
          </w:p>
        </w:tc>
        <w:tc>
          <w:tcPr>
            <w:tcW w:w="1871" w:type="dxa"/>
            <w:shd w:val="clear" w:color="auto" w:fill="auto"/>
          </w:tcPr>
          <w:p w:rsidR="003D3BCE" w:rsidRPr="009B0CEB" w:rsidRDefault="003D3BCE" w:rsidP="009B0CEB">
            <w:pPr>
              <w:pStyle w:val="142"/>
              <w:jc w:val="right"/>
              <w:rPr>
                <w:rFonts w:hAnsi="標楷體"/>
              </w:rPr>
            </w:pPr>
            <w:r w:rsidRPr="009B0CEB">
              <w:rPr>
                <w:rFonts w:hAnsi="標楷體"/>
              </w:rPr>
              <w:t>26,855,698</w:t>
            </w:r>
          </w:p>
        </w:tc>
        <w:tc>
          <w:tcPr>
            <w:tcW w:w="1417" w:type="dxa"/>
            <w:shd w:val="clear" w:color="auto" w:fill="auto"/>
          </w:tcPr>
          <w:p w:rsidR="003D3BCE" w:rsidRPr="009B0CEB" w:rsidRDefault="003D3BCE" w:rsidP="009B0CEB">
            <w:pPr>
              <w:pStyle w:val="142"/>
              <w:jc w:val="right"/>
              <w:rPr>
                <w:rFonts w:hAnsi="標楷體"/>
              </w:rPr>
            </w:pPr>
            <w:r w:rsidRPr="009B0CEB">
              <w:rPr>
                <w:rFonts w:hAnsi="標楷體" w:hint="eastAsia"/>
              </w:rPr>
              <w:t>0</w:t>
            </w:r>
            <w:r w:rsidRPr="009B0CEB">
              <w:rPr>
                <w:rFonts w:hAnsi="標楷體"/>
              </w:rPr>
              <w:t>.56%</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hint="eastAsia"/>
              </w:rPr>
              <w:t>3</w:t>
            </w:r>
            <w:r w:rsidRPr="009B0CEB">
              <w:rPr>
                <w:rFonts w:hAnsi="標楷體"/>
              </w:rPr>
              <w:t>85,816</w:t>
            </w:r>
          </w:p>
        </w:tc>
      </w:tr>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114</w:t>
            </w:r>
          </w:p>
        </w:tc>
        <w:tc>
          <w:tcPr>
            <w:tcW w:w="1077" w:type="dxa"/>
            <w:shd w:val="clear" w:color="auto" w:fill="auto"/>
          </w:tcPr>
          <w:p w:rsidR="003D3BCE" w:rsidRPr="009B0CEB" w:rsidRDefault="003D3BCE" w:rsidP="009B0CEB">
            <w:pPr>
              <w:pStyle w:val="142"/>
              <w:jc w:val="right"/>
              <w:rPr>
                <w:rFonts w:hAnsi="標楷體"/>
              </w:rPr>
            </w:pPr>
            <w:r w:rsidRPr="009B0CEB">
              <w:rPr>
                <w:rFonts w:hAnsi="標楷體" w:hint="eastAsia"/>
              </w:rPr>
              <w:t>91</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hint="eastAsia"/>
              </w:rPr>
              <w:t>1</w:t>
            </w:r>
            <w:r w:rsidRPr="009B0CEB">
              <w:rPr>
                <w:rFonts w:hAnsi="標楷體"/>
              </w:rPr>
              <w:t>47,788</w:t>
            </w:r>
          </w:p>
        </w:tc>
        <w:tc>
          <w:tcPr>
            <w:tcW w:w="1871" w:type="dxa"/>
            <w:shd w:val="clear" w:color="auto" w:fill="auto"/>
          </w:tcPr>
          <w:p w:rsidR="003D3BCE" w:rsidRPr="009B0CEB" w:rsidRDefault="003D3BCE" w:rsidP="009B0CEB">
            <w:pPr>
              <w:pStyle w:val="142"/>
              <w:jc w:val="right"/>
              <w:rPr>
                <w:rFonts w:hAnsi="標楷體"/>
              </w:rPr>
            </w:pPr>
            <w:r w:rsidRPr="009B0CEB">
              <w:rPr>
                <w:rFonts w:hAnsi="標楷體" w:hint="eastAsia"/>
              </w:rPr>
              <w:t>-</w:t>
            </w:r>
          </w:p>
        </w:tc>
        <w:tc>
          <w:tcPr>
            <w:tcW w:w="1417" w:type="dxa"/>
            <w:shd w:val="clear" w:color="auto" w:fill="auto"/>
          </w:tcPr>
          <w:p w:rsidR="003D3BCE" w:rsidRPr="009B0CEB" w:rsidRDefault="003D3BCE" w:rsidP="009B0CEB">
            <w:pPr>
              <w:pStyle w:val="142"/>
              <w:jc w:val="right"/>
              <w:rPr>
                <w:rFonts w:hAnsi="標楷體"/>
              </w:rPr>
            </w:pPr>
            <w:r w:rsidRPr="009B0CEB">
              <w:rPr>
                <w:rFonts w:hAnsi="標楷體" w:hint="eastAsia"/>
              </w:rPr>
              <w:t>-</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hint="eastAsia"/>
              </w:rPr>
              <w:t>-</w:t>
            </w:r>
          </w:p>
        </w:tc>
      </w:tr>
    </w:tbl>
    <w:p w:rsidR="003D3BCE" w:rsidRDefault="003D3BCE" w:rsidP="00406B09">
      <w:pPr>
        <w:pStyle w:val="142"/>
        <w:ind w:leftChars="1" w:left="1219" w:hangingChars="500" w:hanging="1216"/>
        <w:rPr>
          <w:rFonts w:hAnsi="標楷體"/>
        </w:rPr>
      </w:pPr>
      <w:r w:rsidRPr="00663596">
        <w:rPr>
          <w:rFonts w:hAnsi="標楷體" w:hint="eastAsia"/>
        </w:rPr>
        <w:t>說</w:t>
      </w:r>
      <w:r w:rsidR="00406B09">
        <w:rPr>
          <w:rFonts w:hAnsi="標楷體" w:hint="eastAsia"/>
        </w:rPr>
        <w:t xml:space="preserve"> </w:t>
      </w:r>
      <w:r w:rsidR="00406B09">
        <w:rPr>
          <w:rFonts w:hAnsi="標楷體"/>
        </w:rPr>
        <w:t xml:space="preserve">   </w:t>
      </w:r>
      <w:r w:rsidRPr="00663596">
        <w:rPr>
          <w:rFonts w:hAnsi="標楷體" w:hint="eastAsia"/>
        </w:rPr>
        <w:t>明：存款保險條例施行細則第6條規定：「</w:t>
      </w:r>
      <w:r w:rsidRPr="00663596">
        <w:rPr>
          <w:rFonts w:hAnsi="標楷體"/>
        </w:rPr>
        <w:t>…</w:t>
      </w:r>
      <w:r w:rsidRPr="00663596">
        <w:rPr>
          <w:rFonts w:hAnsi="標楷體" w:hint="eastAsia"/>
        </w:rPr>
        <w:t>；所定目標比率，以每年6月30日及12月31日為計算基準日。」</w:t>
      </w:r>
      <w:r w:rsidRPr="007E3ABF">
        <w:rPr>
          <w:rFonts w:hAnsi="標楷體" w:hint="eastAsia"/>
        </w:rPr>
        <w:t>表內113年度資料基準日為6月30日</w:t>
      </w:r>
      <w:r w:rsidR="00616918">
        <w:rPr>
          <w:rFonts w:hAnsi="標楷體" w:hint="eastAsia"/>
        </w:rPr>
        <w:t>、</w:t>
      </w:r>
      <w:r w:rsidRPr="00663596">
        <w:rPr>
          <w:rFonts w:hAnsi="標楷體" w:hint="eastAsia"/>
        </w:rPr>
        <w:t>114年度為預算案數，</w:t>
      </w:r>
      <w:r w:rsidR="00616918">
        <w:rPr>
          <w:rFonts w:hAnsi="標楷體" w:hint="eastAsia"/>
        </w:rPr>
        <w:t>其餘年度</w:t>
      </w:r>
      <w:r w:rsidRPr="00663596">
        <w:rPr>
          <w:rFonts w:hAnsi="標楷體" w:hint="eastAsia"/>
        </w:rPr>
        <w:t>為審定決算數。</w:t>
      </w:r>
    </w:p>
    <w:p w:rsidR="00406B09" w:rsidRDefault="00406B09" w:rsidP="00406B09">
      <w:pPr>
        <w:pStyle w:val="142"/>
        <w:spacing w:line="260" w:lineRule="exact"/>
        <w:ind w:leftChars="1" w:left="1097" w:hangingChars="450" w:hanging="1094"/>
        <w:rPr>
          <w:rFonts w:hAnsi="標楷體"/>
        </w:rPr>
      </w:pPr>
      <w:r>
        <w:rPr>
          <w:rFonts w:hAnsi="標楷體" w:hint="eastAsia"/>
        </w:rPr>
        <w:t>資料來源：存保公司提供。</w:t>
      </w:r>
    </w:p>
    <w:p w:rsidR="003D3BCE" w:rsidRPr="00663596" w:rsidRDefault="003D3BCE" w:rsidP="003D3BCE">
      <w:pPr>
        <w:pStyle w:val="200"/>
      </w:pPr>
      <w:r w:rsidRPr="00663596">
        <w:rPr>
          <w:rFonts w:hint="eastAsia"/>
        </w:rPr>
        <w:t>表</w:t>
      </w:r>
      <w:r w:rsidRPr="00663596">
        <w:t>2</w:t>
      </w:r>
      <w:r w:rsidRPr="00663596">
        <w:rPr>
          <w:rFonts w:hint="eastAsia"/>
        </w:rPr>
        <w:t xml:space="preserve">  110至114年度</w:t>
      </w:r>
      <w:r w:rsidR="00023D28" w:rsidRPr="00663596">
        <w:rPr>
          <w:rFonts w:hint="eastAsia"/>
        </w:rPr>
        <w:t>農業金融</w:t>
      </w:r>
      <w:r w:rsidRPr="00663596">
        <w:rPr>
          <w:rFonts w:hint="eastAsia"/>
        </w:rPr>
        <w:t>保險賠款特別準備金概況表</w:t>
      </w:r>
    </w:p>
    <w:p w:rsidR="003D3BCE" w:rsidRPr="00663596" w:rsidRDefault="003D3BCE" w:rsidP="003D3BCE">
      <w:pPr>
        <w:pStyle w:val="142"/>
        <w:jc w:val="right"/>
        <w:rPr>
          <w:rFonts w:hAnsi="標楷體"/>
          <w:spacing w:val="-10"/>
        </w:rPr>
      </w:pPr>
      <w:r w:rsidRPr="00663596">
        <w:rPr>
          <w:rFonts w:hAnsi="標楷體"/>
        </w:rPr>
        <w:t>單位</w:t>
      </w:r>
      <w:r w:rsidRPr="00663596">
        <w:rPr>
          <w:rFonts w:hAnsi="標楷體"/>
          <w:spacing w:val="-10"/>
        </w:rPr>
        <w:t>：</w:t>
      </w:r>
      <w:r w:rsidRPr="00663596">
        <w:rPr>
          <w:rFonts w:hAnsi="標楷體" w:hint="eastAsia"/>
        </w:rPr>
        <w:t>新臺幣</w:t>
      </w:r>
      <w:r w:rsidRPr="00663596">
        <w:rPr>
          <w:rFonts w:hAnsi="標楷體" w:hint="eastAsia"/>
          <w:spacing w:val="-10"/>
        </w:rPr>
        <w:t>百萬</w:t>
      </w:r>
      <w:r w:rsidRPr="00663596">
        <w:rPr>
          <w:rFonts w:hAnsi="標楷體"/>
          <w:spacing w:val="-10"/>
        </w:rPr>
        <w:t>元</w:t>
      </w:r>
    </w:p>
    <w:tbl>
      <w:tblPr>
        <w:tblW w:w="8504"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37"/>
        <w:gridCol w:w="1077"/>
        <w:gridCol w:w="1701"/>
        <w:gridCol w:w="1871"/>
        <w:gridCol w:w="1417"/>
        <w:gridCol w:w="1701"/>
      </w:tblGrid>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年度</w:t>
            </w:r>
          </w:p>
        </w:tc>
        <w:tc>
          <w:tcPr>
            <w:tcW w:w="107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要保機構家數</w:t>
            </w:r>
          </w:p>
        </w:tc>
        <w:tc>
          <w:tcPr>
            <w:tcW w:w="1701"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保險賠款特別準備金(1)</w:t>
            </w:r>
          </w:p>
        </w:tc>
        <w:tc>
          <w:tcPr>
            <w:tcW w:w="1871"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要保機構</w:t>
            </w:r>
            <w:r w:rsidRPr="009B0CEB">
              <w:rPr>
                <w:rFonts w:hAnsi="標楷體"/>
              </w:rPr>
              <w:br/>
            </w:r>
            <w:r w:rsidRPr="009B0CEB">
              <w:rPr>
                <w:rFonts w:hAnsi="標楷體" w:hint="eastAsia"/>
              </w:rPr>
              <w:t>保額內存款(2)</w:t>
            </w:r>
          </w:p>
        </w:tc>
        <w:tc>
          <w:tcPr>
            <w:tcW w:w="141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準備金占比</w:t>
            </w:r>
            <w:r w:rsidRPr="009B0CEB">
              <w:rPr>
                <w:rFonts w:hAnsi="標楷體"/>
              </w:rPr>
              <w:br/>
            </w:r>
            <w:r w:rsidRPr="009B0CEB">
              <w:rPr>
                <w:rFonts w:hAnsi="標楷體" w:hint="eastAsia"/>
              </w:rPr>
              <w:t>(1)/(2)</w:t>
            </w:r>
          </w:p>
        </w:tc>
        <w:tc>
          <w:tcPr>
            <w:tcW w:w="1701"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準備金不足數</w:t>
            </w:r>
          </w:p>
          <w:p w:rsidR="003D3BCE" w:rsidRPr="009B0CEB" w:rsidRDefault="003D3BCE" w:rsidP="009B0CEB">
            <w:pPr>
              <w:pStyle w:val="142"/>
              <w:jc w:val="center"/>
              <w:rPr>
                <w:rFonts w:hAnsi="標楷體"/>
              </w:rPr>
            </w:pPr>
            <w:r w:rsidRPr="009B0CEB">
              <w:rPr>
                <w:rFonts w:hAnsi="標楷體"/>
              </w:rPr>
              <w:t>=(2)*2%-(1)</w:t>
            </w:r>
          </w:p>
        </w:tc>
      </w:tr>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110</w:t>
            </w:r>
          </w:p>
        </w:tc>
        <w:tc>
          <w:tcPr>
            <w:tcW w:w="1077" w:type="dxa"/>
            <w:shd w:val="clear" w:color="auto" w:fill="auto"/>
          </w:tcPr>
          <w:p w:rsidR="003D3BCE" w:rsidRPr="009B0CEB" w:rsidRDefault="003D3BCE" w:rsidP="009B0CEB">
            <w:pPr>
              <w:pStyle w:val="142"/>
              <w:jc w:val="right"/>
              <w:rPr>
                <w:rFonts w:hAnsi="標楷體"/>
              </w:rPr>
            </w:pPr>
            <w:r w:rsidRPr="009B0CEB">
              <w:rPr>
                <w:rFonts w:hAnsi="標楷體"/>
              </w:rPr>
              <w:t>312</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rPr>
              <w:t>6,047</w:t>
            </w:r>
          </w:p>
        </w:tc>
        <w:tc>
          <w:tcPr>
            <w:tcW w:w="1871" w:type="dxa"/>
            <w:shd w:val="clear" w:color="auto" w:fill="auto"/>
          </w:tcPr>
          <w:p w:rsidR="003D3BCE" w:rsidRPr="009B0CEB" w:rsidRDefault="003D3BCE" w:rsidP="009B0CEB">
            <w:pPr>
              <w:pStyle w:val="142"/>
              <w:jc w:val="right"/>
              <w:rPr>
                <w:rFonts w:hAnsi="標楷體"/>
              </w:rPr>
            </w:pPr>
            <w:r w:rsidRPr="009B0CEB">
              <w:rPr>
                <w:rFonts w:hAnsi="標楷體"/>
              </w:rPr>
              <w:t>1,506,581</w:t>
            </w:r>
          </w:p>
        </w:tc>
        <w:tc>
          <w:tcPr>
            <w:tcW w:w="1417" w:type="dxa"/>
            <w:shd w:val="clear" w:color="auto" w:fill="auto"/>
          </w:tcPr>
          <w:p w:rsidR="003D3BCE" w:rsidRPr="009B0CEB" w:rsidRDefault="003D3BCE" w:rsidP="009B0CEB">
            <w:pPr>
              <w:pStyle w:val="142"/>
              <w:jc w:val="right"/>
              <w:rPr>
                <w:rFonts w:hAnsi="標楷體"/>
              </w:rPr>
            </w:pPr>
            <w:r w:rsidRPr="009B0CEB">
              <w:rPr>
                <w:rFonts w:hAnsi="標楷體"/>
              </w:rPr>
              <w:t>0.4</w:t>
            </w:r>
            <w:r w:rsidRPr="009B0CEB">
              <w:rPr>
                <w:rFonts w:hAnsi="標楷體" w:hint="eastAsia"/>
              </w:rPr>
              <w:t>0</w:t>
            </w:r>
            <w:r w:rsidRPr="009B0CEB">
              <w:rPr>
                <w:rFonts w:hAnsi="標楷體"/>
              </w:rPr>
              <w:t>%</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rPr>
              <w:t>24,085</w:t>
            </w:r>
          </w:p>
        </w:tc>
      </w:tr>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111</w:t>
            </w:r>
          </w:p>
        </w:tc>
        <w:tc>
          <w:tcPr>
            <w:tcW w:w="1077" w:type="dxa"/>
            <w:shd w:val="clear" w:color="auto" w:fill="auto"/>
          </w:tcPr>
          <w:p w:rsidR="003D3BCE" w:rsidRPr="009B0CEB" w:rsidRDefault="003D3BCE" w:rsidP="009B0CEB">
            <w:pPr>
              <w:pStyle w:val="142"/>
              <w:jc w:val="right"/>
              <w:rPr>
                <w:rFonts w:hAnsi="標楷體"/>
              </w:rPr>
            </w:pPr>
            <w:r w:rsidRPr="009B0CEB">
              <w:rPr>
                <w:rFonts w:hAnsi="標楷體"/>
              </w:rPr>
              <w:t>312</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rPr>
              <w:t>6,424</w:t>
            </w:r>
          </w:p>
        </w:tc>
        <w:tc>
          <w:tcPr>
            <w:tcW w:w="1871" w:type="dxa"/>
            <w:shd w:val="clear" w:color="auto" w:fill="auto"/>
          </w:tcPr>
          <w:p w:rsidR="003D3BCE" w:rsidRPr="009B0CEB" w:rsidRDefault="003D3BCE" w:rsidP="009B0CEB">
            <w:pPr>
              <w:pStyle w:val="142"/>
              <w:jc w:val="right"/>
              <w:rPr>
                <w:rFonts w:hAnsi="標楷體"/>
              </w:rPr>
            </w:pPr>
            <w:r w:rsidRPr="009B0CEB">
              <w:rPr>
                <w:rFonts w:hAnsi="標楷體"/>
              </w:rPr>
              <w:t>1,528,691</w:t>
            </w:r>
          </w:p>
        </w:tc>
        <w:tc>
          <w:tcPr>
            <w:tcW w:w="1417" w:type="dxa"/>
            <w:shd w:val="clear" w:color="auto" w:fill="auto"/>
          </w:tcPr>
          <w:p w:rsidR="003D3BCE" w:rsidRPr="009B0CEB" w:rsidRDefault="003D3BCE" w:rsidP="009B0CEB">
            <w:pPr>
              <w:pStyle w:val="142"/>
              <w:jc w:val="right"/>
              <w:rPr>
                <w:rFonts w:hAnsi="標楷體"/>
              </w:rPr>
            </w:pPr>
            <w:r w:rsidRPr="009B0CEB">
              <w:rPr>
                <w:rFonts w:hAnsi="標楷體"/>
              </w:rPr>
              <w:t>0.42%</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rPr>
              <w:t>24,150</w:t>
            </w:r>
          </w:p>
        </w:tc>
      </w:tr>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112</w:t>
            </w:r>
          </w:p>
        </w:tc>
        <w:tc>
          <w:tcPr>
            <w:tcW w:w="1077" w:type="dxa"/>
            <w:shd w:val="clear" w:color="auto" w:fill="auto"/>
            <w:vAlign w:val="center"/>
          </w:tcPr>
          <w:p w:rsidR="003D3BCE" w:rsidRPr="009B0CEB" w:rsidRDefault="003D3BCE" w:rsidP="009B0CEB">
            <w:pPr>
              <w:pStyle w:val="142"/>
              <w:jc w:val="right"/>
              <w:rPr>
                <w:rFonts w:hAnsi="標楷體"/>
              </w:rPr>
            </w:pPr>
            <w:r w:rsidRPr="009B0CEB">
              <w:rPr>
                <w:rFonts w:hAnsi="標楷體"/>
              </w:rPr>
              <w:t>312</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hint="eastAsia"/>
              </w:rPr>
              <w:t>6</w:t>
            </w:r>
            <w:r w:rsidRPr="009B0CEB">
              <w:rPr>
                <w:rFonts w:hAnsi="標楷體"/>
              </w:rPr>
              <w:t>,810</w:t>
            </w:r>
          </w:p>
        </w:tc>
        <w:tc>
          <w:tcPr>
            <w:tcW w:w="1871" w:type="dxa"/>
            <w:shd w:val="clear" w:color="auto" w:fill="auto"/>
          </w:tcPr>
          <w:p w:rsidR="003D3BCE" w:rsidRPr="009B0CEB" w:rsidRDefault="003D3BCE" w:rsidP="009B0CEB">
            <w:pPr>
              <w:pStyle w:val="142"/>
              <w:jc w:val="right"/>
              <w:rPr>
                <w:rFonts w:hAnsi="標楷體"/>
              </w:rPr>
            </w:pPr>
            <w:r w:rsidRPr="009B0CEB">
              <w:rPr>
                <w:rFonts w:hAnsi="標楷體" w:hint="eastAsia"/>
              </w:rPr>
              <w:t>1</w:t>
            </w:r>
            <w:r w:rsidRPr="009B0CEB">
              <w:rPr>
                <w:rFonts w:hAnsi="標楷體"/>
              </w:rPr>
              <w:t>,542,449</w:t>
            </w:r>
          </w:p>
        </w:tc>
        <w:tc>
          <w:tcPr>
            <w:tcW w:w="1417" w:type="dxa"/>
            <w:shd w:val="clear" w:color="auto" w:fill="auto"/>
          </w:tcPr>
          <w:p w:rsidR="003D3BCE" w:rsidRPr="009B0CEB" w:rsidRDefault="003D3BCE" w:rsidP="009B0CEB">
            <w:pPr>
              <w:pStyle w:val="142"/>
              <w:jc w:val="right"/>
              <w:rPr>
                <w:rFonts w:hAnsi="標楷體"/>
              </w:rPr>
            </w:pPr>
            <w:r w:rsidRPr="009B0CEB">
              <w:rPr>
                <w:rFonts w:hAnsi="標楷體" w:hint="eastAsia"/>
              </w:rPr>
              <w:t>0</w:t>
            </w:r>
            <w:r w:rsidRPr="009B0CEB">
              <w:rPr>
                <w:rFonts w:hAnsi="標楷體"/>
              </w:rPr>
              <w:t>.44%</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hint="eastAsia"/>
              </w:rPr>
              <w:t>2</w:t>
            </w:r>
            <w:r w:rsidRPr="009B0CEB">
              <w:rPr>
                <w:rFonts w:hAnsi="標楷體"/>
              </w:rPr>
              <w:t>4,039</w:t>
            </w:r>
          </w:p>
        </w:tc>
      </w:tr>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113</w:t>
            </w:r>
          </w:p>
        </w:tc>
        <w:tc>
          <w:tcPr>
            <w:tcW w:w="1077" w:type="dxa"/>
            <w:shd w:val="clear" w:color="auto" w:fill="auto"/>
          </w:tcPr>
          <w:p w:rsidR="003D3BCE" w:rsidRPr="009B0CEB" w:rsidRDefault="003D3BCE" w:rsidP="009B0CEB">
            <w:pPr>
              <w:pStyle w:val="142"/>
              <w:jc w:val="right"/>
              <w:rPr>
                <w:rFonts w:hAnsi="標楷體"/>
              </w:rPr>
            </w:pPr>
            <w:r w:rsidRPr="009B0CEB">
              <w:rPr>
                <w:rFonts w:hAnsi="標楷體" w:hint="eastAsia"/>
              </w:rPr>
              <w:t>3</w:t>
            </w:r>
            <w:r w:rsidRPr="009B0CEB">
              <w:rPr>
                <w:rFonts w:hAnsi="標楷體"/>
              </w:rPr>
              <w:t>12</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rPr>
              <w:t>6,999</w:t>
            </w:r>
          </w:p>
        </w:tc>
        <w:tc>
          <w:tcPr>
            <w:tcW w:w="1871" w:type="dxa"/>
            <w:shd w:val="clear" w:color="auto" w:fill="auto"/>
          </w:tcPr>
          <w:p w:rsidR="003D3BCE" w:rsidRPr="009B0CEB" w:rsidRDefault="003D3BCE" w:rsidP="009B0CEB">
            <w:pPr>
              <w:pStyle w:val="142"/>
              <w:jc w:val="right"/>
              <w:rPr>
                <w:rFonts w:hAnsi="標楷體"/>
              </w:rPr>
            </w:pPr>
            <w:r w:rsidRPr="009B0CEB">
              <w:rPr>
                <w:rFonts w:hAnsi="標楷體" w:hint="eastAsia"/>
              </w:rPr>
              <w:t>1</w:t>
            </w:r>
            <w:r w:rsidRPr="009B0CEB">
              <w:rPr>
                <w:rFonts w:hAnsi="標楷體"/>
              </w:rPr>
              <w:t>,535,941</w:t>
            </w:r>
          </w:p>
        </w:tc>
        <w:tc>
          <w:tcPr>
            <w:tcW w:w="1417" w:type="dxa"/>
            <w:shd w:val="clear" w:color="auto" w:fill="auto"/>
          </w:tcPr>
          <w:p w:rsidR="003D3BCE" w:rsidRPr="009B0CEB" w:rsidRDefault="003D3BCE" w:rsidP="009B0CEB">
            <w:pPr>
              <w:pStyle w:val="142"/>
              <w:jc w:val="right"/>
              <w:rPr>
                <w:rFonts w:hAnsi="標楷體"/>
              </w:rPr>
            </w:pPr>
            <w:r w:rsidRPr="009B0CEB">
              <w:rPr>
                <w:rFonts w:hAnsi="標楷體" w:hint="eastAsia"/>
              </w:rPr>
              <w:t>0</w:t>
            </w:r>
            <w:r w:rsidRPr="009B0CEB">
              <w:rPr>
                <w:rFonts w:hAnsi="標楷體"/>
              </w:rPr>
              <w:t>.46%</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hint="eastAsia"/>
              </w:rPr>
              <w:t>2</w:t>
            </w:r>
            <w:r w:rsidRPr="009B0CEB">
              <w:rPr>
                <w:rFonts w:hAnsi="標楷體"/>
              </w:rPr>
              <w:t>3,720</w:t>
            </w:r>
          </w:p>
        </w:tc>
      </w:tr>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114</w:t>
            </w:r>
          </w:p>
        </w:tc>
        <w:tc>
          <w:tcPr>
            <w:tcW w:w="1077" w:type="dxa"/>
            <w:shd w:val="clear" w:color="auto" w:fill="auto"/>
          </w:tcPr>
          <w:p w:rsidR="003D3BCE" w:rsidRPr="009B0CEB" w:rsidRDefault="003D3BCE" w:rsidP="009B0CEB">
            <w:pPr>
              <w:pStyle w:val="142"/>
              <w:jc w:val="right"/>
              <w:rPr>
                <w:rFonts w:hAnsi="標楷體"/>
              </w:rPr>
            </w:pPr>
            <w:r w:rsidRPr="009B0CEB">
              <w:rPr>
                <w:rFonts w:hAnsi="標楷體" w:hint="eastAsia"/>
              </w:rPr>
              <w:t>312</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hint="eastAsia"/>
              </w:rPr>
              <w:t>7</w:t>
            </w:r>
            <w:r w:rsidRPr="009B0CEB">
              <w:rPr>
                <w:rFonts w:hAnsi="標楷體"/>
              </w:rPr>
              <w:t>,547</w:t>
            </w:r>
          </w:p>
        </w:tc>
        <w:tc>
          <w:tcPr>
            <w:tcW w:w="1871" w:type="dxa"/>
            <w:shd w:val="clear" w:color="auto" w:fill="auto"/>
          </w:tcPr>
          <w:p w:rsidR="003D3BCE" w:rsidRPr="009B0CEB" w:rsidRDefault="003D3BCE" w:rsidP="009B0CEB">
            <w:pPr>
              <w:pStyle w:val="142"/>
              <w:jc w:val="right"/>
              <w:rPr>
                <w:rFonts w:hAnsi="標楷體"/>
              </w:rPr>
            </w:pPr>
            <w:r w:rsidRPr="009B0CEB">
              <w:rPr>
                <w:rFonts w:hAnsi="標楷體" w:hint="eastAsia"/>
              </w:rPr>
              <w:t>-</w:t>
            </w:r>
          </w:p>
        </w:tc>
        <w:tc>
          <w:tcPr>
            <w:tcW w:w="1417" w:type="dxa"/>
            <w:shd w:val="clear" w:color="auto" w:fill="auto"/>
          </w:tcPr>
          <w:p w:rsidR="003D3BCE" w:rsidRPr="009B0CEB" w:rsidRDefault="003D3BCE" w:rsidP="009B0CEB">
            <w:pPr>
              <w:pStyle w:val="142"/>
              <w:jc w:val="right"/>
              <w:rPr>
                <w:rFonts w:hAnsi="標楷體"/>
              </w:rPr>
            </w:pPr>
            <w:r w:rsidRPr="009B0CEB">
              <w:rPr>
                <w:rFonts w:hAnsi="標楷體" w:hint="eastAsia"/>
              </w:rPr>
              <w:t>-</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hint="eastAsia"/>
              </w:rPr>
              <w:t>-</w:t>
            </w:r>
          </w:p>
        </w:tc>
      </w:tr>
    </w:tbl>
    <w:p w:rsidR="00406B09" w:rsidRDefault="00406B09" w:rsidP="00406B09">
      <w:pPr>
        <w:pStyle w:val="142"/>
        <w:ind w:leftChars="1" w:left="1219" w:hangingChars="500" w:hanging="1216"/>
        <w:rPr>
          <w:rFonts w:hAnsi="標楷體"/>
        </w:rPr>
      </w:pPr>
      <w:r w:rsidRPr="00663596">
        <w:rPr>
          <w:rFonts w:hAnsi="標楷體" w:hint="eastAsia"/>
        </w:rPr>
        <w:t>說</w:t>
      </w:r>
      <w:r>
        <w:rPr>
          <w:rFonts w:hAnsi="標楷體" w:hint="eastAsia"/>
        </w:rPr>
        <w:t xml:space="preserve"> </w:t>
      </w:r>
      <w:r>
        <w:rPr>
          <w:rFonts w:hAnsi="標楷體"/>
        </w:rPr>
        <w:t xml:space="preserve">   </w:t>
      </w:r>
      <w:r w:rsidRPr="00663596">
        <w:rPr>
          <w:rFonts w:hAnsi="標楷體" w:hint="eastAsia"/>
        </w:rPr>
        <w:t>明：存款保險條例施行細則第6條規定：「</w:t>
      </w:r>
      <w:r w:rsidRPr="00663596">
        <w:rPr>
          <w:rFonts w:hAnsi="標楷體"/>
        </w:rPr>
        <w:t>…</w:t>
      </w:r>
      <w:r w:rsidRPr="00663596">
        <w:rPr>
          <w:rFonts w:hAnsi="標楷體" w:hint="eastAsia"/>
        </w:rPr>
        <w:t>所定目標比率，以每年6月30日及12月31日為計算基準日。」</w:t>
      </w:r>
      <w:r w:rsidRPr="007E3ABF">
        <w:rPr>
          <w:rFonts w:hAnsi="標楷體" w:hint="eastAsia"/>
        </w:rPr>
        <w:t>表內113年度資料基準日為6月30日</w:t>
      </w:r>
      <w:r w:rsidR="00A74BFE" w:rsidRPr="00663596">
        <w:rPr>
          <w:rFonts w:hAnsi="標楷體" w:hint="eastAsia"/>
        </w:rPr>
        <w:t>，</w:t>
      </w:r>
      <w:r w:rsidRPr="00663596">
        <w:rPr>
          <w:rFonts w:hAnsi="標楷體" w:hint="eastAsia"/>
        </w:rPr>
        <w:t>114年度為預算案數，</w:t>
      </w:r>
      <w:r w:rsidR="00616918">
        <w:rPr>
          <w:rFonts w:hAnsi="標楷體" w:hint="eastAsia"/>
        </w:rPr>
        <w:t>其餘年度</w:t>
      </w:r>
      <w:r w:rsidRPr="00663596">
        <w:rPr>
          <w:rFonts w:hAnsi="標楷體" w:hint="eastAsia"/>
        </w:rPr>
        <w:t>為審定決算數。</w:t>
      </w:r>
    </w:p>
    <w:p w:rsidR="00406B09" w:rsidRPr="00663596" w:rsidRDefault="00406B09" w:rsidP="00406B09">
      <w:pPr>
        <w:pStyle w:val="142"/>
        <w:spacing w:line="260" w:lineRule="exact"/>
        <w:ind w:leftChars="1" w:left="1097" w:hangingChars="450" w:hanging="1094"/>
        <w:rPr>
          <w:rFonts w:hAnsi="標楷體" w:hint="eastAsia"/>
        </w:rPr>
      </w:pPr>
      <w:r>
        <w:rPr>
          <w:rFonts w:hAnsi="標楷體" w:hint="eastAsia"/>
        </w:rPr>
        <w:t>資料來源：存保公司提供。</w:t>
      </w:r>
    </w:p>
    <w:p w:rsidR="00D42EB8" w:rsidRDefault="00E04518" w:rsidP="00D42EB8">
      <w:pPr>
        <w:ind w:left="566" w:firstLine="566"/>
      </w:pPr>
      <w:r w:rsidRPr="00237CDE">
        <w:rPr>
          <w:rFonts w:hint="eastAsia"/>
        </w:rPr>
        <w:lastRenderedPageBreak/>
        <w:t>綜上，</w:t>
      </w:r>
      <w:r w:rsidR="002D0F18" w:rsidRPr="002D0F18">
        <w:rPr>
          <w:rFonts w:hint="eastAsia"/>
        </w:rPr>
        <w:t>保險賠款特別準備金</w:t>
      </w:r>
      <w:r w:rsidR="002D0F18">
        <w:rPr>
          <w:rFonts w:hint="eastAsia"/>
        </w:rPr>
        <w:t>之</w:t>
      </w:r>
      <w:r w:rsidR="002D0F18" w:rsidRPr="002D0F18">
        <w:rPr>
          <w:rFonts w:hint="eastAsia"/>
        </w:rPr>
        <w:t>充實與否，攸關存</w:t>
      </w:r>
      <w:r w:rsidR="00994397">
        <w:rPr>
          <w:rFonts w:hint="eastAsia"/>
        </w:rPr>
        <w:t>款保險</w:t>
      </w:r>
      <w:r w:rsidR="002D0F18" w:rsidRPr="002D0F18">
        <w:rPr>
          <w:rFonts w:hint="eastAsia"/>
        </w:rPr>
        <w:t>制度之運作</w:t>
      </w:r>
      <w:r w:rsidRPr="00237CDE">
        <w:rPr>
          <w:rFonts w:hint="eastAsia"/>
        </w:rPr>
        <w:t>，</w:t>
      </w:r>
      <w:r w:rsidR="00DA5C35">
        <w:rPr>
          <w:rFonts w:hint="eastAsia"/>
        </w:rPr>
        <w:t>及穩定金融秩序之能力，</w:t>
      </w:r>
      <w:r w:rsidR="00994397">
        <w:rPr>
          <w:rFonts w:hint="eastAsia"/>
        </w:rPr>
        <w:t>爰存款保險條例</w:t>
      </w:r>
      <w:r w:rsidR="00994397" w:rsidRPr="00994397">
        <w:rPr>
          <w:rFonts w:hint="eastAsia"/>
        </w:rPr>
        <w:t>訂定</w:t>
      </w:r>
      <w:r w:rsidR="00994397">
        <w:rPr>
          <w:rFonts w:hint="eastAsia"/>
        </w:rPr>
        <w:t>2%之</w:t>
      </w:r>
      <w:r w:rsidR="00994397" w:rsidRPr="00994397">
        <w:rPr>
          <w:rFonts w:hint="eastAsia"/>
        </w:rPr>
        <w:t>目標比率</w:t>
      </w:r>
      <w:r w:rsidR="00B03AB1">
        <w:rPr>
          <w:rFonts w:hint="eastAsia"/>
        </w:rPr>
        <w:t>作為</w:t>
      </w:r>
      <w:r w:rsidR="00994397" w:rsidRPr="00994397">
        <w:rPr>
          <w:rFonts w:hint="eastAsia"/>
        </w:rPr>
        <w:t>保險賠款特別準備金</w:t>
      </w:r>
      <w:r w:rsidR="004E7875">
        <w:rPr>
          <w:rFonts w:hint="eastAsia"/>
        </w:rPr>
        <w:t>之</w:t>
      </w:r>
      <w:r w:rsidR="00994397" w:rsidRPr="00994397">
        <w:rPr>
          <w:rFonts w:hint="eastAsia"/>
        </w:rPr>
        <w:t>安全存量</w:t>
      </w:r>
      <w:r w:rsidR="00994397">
        <w:rPr>
          <w:rFonts w:hint="eastAsia"/>
        </w:rPr>
        <w:t>。</w:t>
      </w:r>
      <w:r w:rsidRPr="00237CDE">
        <w:rPr>
          <w:rFonts w:hint="eastAsia"/>
        </w:rPr>
        <w:t>截至11</w:t>
      </w:r>
      <w:r w:rsidR="00994397">
        <w:rPr>
          <w:rFonts w:hint="eastAsia"/>
        </w:rPr>
        <w:t>3</w:t>
      </w:r>
      <w:r w:rsidRPr="00237CDE">
        <w:rPr>
          <w:rFonts w:hint="eastAsia"/>
        </w:rPr>
        <w:t>年6月底</w:t>
      </w:r>
      <w:r w:rsidRPr="00237CDE">
        <w:rPr>
          <w:rFonts w:hint="eastAsia"/>
          <w:lang w:eastAsia="zh-HK"/>
        </w:rPr>
        <w:t>止</w:t>
      </w:r>
      <w:r w:rsidRPr="00237CDE">
        <w:rPr>
          <w:rFonts w:hint="eastAsia"/>
        </w:rPr>
        <w:t>，</w:t>
      </w:r>
      <w:r w:rsidR="00994397">
        <w:rPr>
          <w:rFonts w:hint="eastAsia"/>
        </w:rPr>
        <w:t>一般金融及</w:t>
      </w:r>
      <w:r w:rsidR="00994397" w:rsidRPr="00663596">
        <w:rPr>
          <w:rFonts w:hint="eastAsia"/>
        </w:rPr>
        <w:t>農業金融保險賠款特別準備金</w:t>
      </w:r>
      <w:r w:rsidRPr="00237CDE">
        <w:rPr>
          <w:rFonts w:hint="eastAsia"/>
        </w:rPr>
        <w:t>存保準備金占保額內存款比率</w:t>
      </w:r>
      <w:r w:rsidR="00E4075E">
        <w:rPr>
          <w:rFonts w:hint="eastAsia"/>
        </w:rPr>
        <w:t>各為0.56%及</w:t>
      </w:r>
      <w:r w:rsidRPr="00237CDE">
        <w:rPr>
          <w:rFonts w:hint="eastAsia"/>
        </w:rPr>
        <w:t>僅0.</w:t>
      </w:r>
      <w:r w:rsidR="00E4075E">
        <w:rPr>
          <w:rFonts w:hint="eastAsia"/>
        </w:rPr>
        <w:t>46</w:t>
      </w:r>
      <w:r w:rsidRPr="00237CDE">
        <w:rPr>
          <w:rFonts w:hint="eastAsia"/>
        </w:rPr>
        <w:t>%，</w:t>
      </w:r>
      <w:r w:rsidRPr="00237CDE">
        <w:rPr>
          <w:rFonts w:hint="eastAsia"/>
          <w:lang w:eastAsia="zh-HK"/>
        </w:rPr>
        <w:t>且</w:t>
      </w:r>
      <w:r w:rsidR="00D7250B" w:rsidRPr="00237CDE">
        <w:rPr>
          <w:rFonts w:hint="eastAsia"/>
        </w:rPr>
        <w:t>據</w:t>
      </w:r>
      <w:r w:rsidRPr="00237CDE">
        <w:rPr>
          <w:rFonts w:hint="eastAsia"/>
        </w:rPr>
        <w:t>該公司推估</w:t>
      </w:r>
      <w:r w:rsidR="00B03AB1">
        <w:rPr>
          <w:rFonts w:hint="eastAsia"/>
        </w:rPr>
        <w:t>，</w:t>
      </w:r>
      <w:r w:rsidRPr="00237CDE">
        <w:rPr>
          <w:rFonts w:hint="eastAsia"/>
        </w:rPr>
        <w:t>最快</w:t>
      </w:r>
      <w:r w:rsidR="00E4075E">
        <w:rPr>
          <w:rFonts w:hint="eastAsia"/>
        </w:rPr>
        <w:t>分別</w:t>
      </w:r>
      <w:r w:rsidRPr="00237CDE">
        <w:rPr>
          <w:rFonts w:hint="eastAsia"/>
        </w:rPr>
        <w:t>於140年</w:t>
      </w:r>
      <w:r w:rsidR="00E4075E">
        <w:rPr>
          <w:rFonts w:hint="eastAsia"/>
        </w:rPr>
        <w:t>及175年</w:t>
      </w:r>
      <w:r w:rsidRPr="00237CDE">
        <w:rPr>
          <w:rFonts w:hint="eastAsia"/>
        </w:rPr>
        <w:t>始能達成2%</w:t>
      </w:r>
      <w:r w:rsidRPr="00237CDE">
        <w:rPr>
          <w:rFonts w:hint="eastAsia"/>
          <w:lang w:eastAsia="zh-HK"/>
        </w:rPr>
        <w:t>之</w:t>
      </w:r>
      <w:r w:rsidRPr="00237CDE">
        <w:rPr>
          <w:rFonts w:hint="eastAsia"/>
        </w:rPr>
        <w:t>法定目標</w:t>
      </w:r>
      <w:r w:rsidR="00E4075E">
        <w:rPr>
          <w:rFonts w:hint="eastAsia"/>
        </w:rPr>
        <w:t>，</w:t>
      </w:r>
      <w:r w:rsidR="00D42EB8">
        <w:rPr>
          <w:rFonts w:hint="eastAsia"/>
        </w:rPr>
        <w:t>存保公司</w:t>
      </w:r>
      <w:r w:rsidR="00E4075E">
        <w:rPr>
          <w:rFonts w:hint="eastAsia"/>
        </w:rPr>
        <w:t>允宜持續厚植</w:t>
      </w:r>
      <w:r w:rsidR="00E4075E" w:rsidRPr="00237CDE">
        <w:rPr>
          <w:rFonts w:hint="eastAsia"/>
        </w:rPr>
        <w:t>保險賠款特別</w:t>
      </w:r>
      <w:r w:rsidR="00E4075E">
        <w:rPr>
          <w:rFonts w:hint="eastAsia"/>
        </w:rPr>
        <w:t>準備金</w:t>
      </w:r>
      <w:r w:rsidR="00D42EB8">
        <w:rPr>
          <w:rFonts w:hint="eastAsia"/>
        </w:rPr>
        <w:t>，俾</w:t>
      </w:r>
      <w:r w:rsidR="00DA5C35" w:rsidRPr="00DA5C35">
        <w:rPr>
          <w:rFonts w:hint="eastAsia"/>
        </w:rPr>
        <w:t>提升民眾對存款保險之信</w:t>
      </w:r>
      <w:r w:rsidR="00DA5C35">
        <w:rPr>
          <w:rFonts w:hint="eastAsia"/>
        </w:rPr>
        <w:t>心，及強化</w:t>
      </w:r>
      <w:r w:rsidR="00E4075E">
        <w:rPr>
          <w:rFonts w:hint="eastAsia"/>
        </w:rPr>
        <w:t>履行存款保險責任</w:t>
      </w:r>
      <w:r w:rsidR="004E7875">
        <w:rPr>
          <w:rFonts w:hint="eastAsia"/>
        </w:rPr>
        <w:t>之</w:t>
      </w:r>
      <w:r w:rsidR="00E4075E">
        <w:rPr>
          <w:rFonts w:hint="eastAsia"/>
        </w:rPr>
        <w:t>能力</w:t>
      </w:r>
      <w:r w:rsidR="00D42EB8">
        <w:rPr>
          <w:rFonts w:hint="eastAsia"/>
        </w:rPr>
        <w:t>。</w:t>
      </w:r>
    </w:p>
    <w:bookmarkEnd w:id="1"/>
    <w:bookmarkEnd w:id="2"/>
    <w:sectPr w:rsidR="00D42EB8"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430" w:rsidRDefault="00CB4430" w:rsidP="009402BF">
      <w:pPr>
        <w:spacing w:line="240" w:lineRule="auto"/>
        <w:ind w:left="560" w:firstLine="560"/>
      </w:pPr>
      <w:r>
        <w:separator/>
      </w:r>
    </w:p>
  </w:endnote>
  <w:endnote w:type="continuationSeparator" w:id="0">
    <w:p w:rsidR="00CB4430" w:rsidRDefault="00CB4430"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c"/>
      <w:jc w:val="center"/>
    </w:pPr>
    <w:r>
      <w:rPr>
        <w:rFonts w:ascii="標楷體" w:eastAsia="標楷體" w:hAnsi="標楷體"/>
        <w:sz w:val="20"/>
        <w:szCs w:val="20"/>
        <w:lang w:val="zh-TW"/>
      </w:rPr>
      <w:fldChar w:fldCharType="begin"/>
    </w:r>
    <w:r>
      <w:rPr>
        <w:rFonts w:ascii="標楷體" w:eastAsia="標楷體" w:hAnsi="標楷體"/>
        <w:sz w:val="20"/>
        <w:szCs w:val="20"/>
        <w:lang w:val="zh-TW"/>
      </w:rPr>
      <w:instrText xml:space="preserve"> PAGE </w:instrText>
    </w:r>
    <w:r>
      <w:rPr>
        <w:rFonts w:ascii="標楷體" w:eastAsia="標楷體" w:hAnsi="標楷體"/>
        <w:sz w:val="20"/>
        <w:szCs w:val="20"/>
        <w:lang w:val="zh-TW"/>
      </w:rPr>
      <w:fldChar w:fldCharType="separate"/>
    </w:r>
    <w:r w:rsidR="00715317">
      <w:rPr>
        <w:rFonts w:ascii="標楷體" w:eastAsia="標楷體" w:hAnsi="標楷體"/>
        <w:noProof/>
        <w:sz w:val="20"/>
        <w:szCs w:val="20"/>
        <w:lang w:val="zh-TW"/>
      </w:rPr>
      <w:t>3</w:t>
    </w:r>
    <w:r>
      <w:rPr>
        <w:rFonts w:ascii="標楷體" w:eastAsia="標楷體" w:hAnsi="標楷體"/>
        <w:sz w:val="20"/>
        <w:szCs w:val="20"/>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430" w:rsidRDefault="00CB4430" w:rsidP="009402BF">
      <w:pPr>
        <w:spacing w:line="240" w:lineRule="auto"/>
        <w:ind w:left="560" w:firstLine="560"/>
      </w:pPr>
      <w:r>
        <w:separator/>
      </w:r>
    </w:p>
  </w:footnote>
  <w:footnote w:type="continuationSeparator" w:id="0">
    <w:p w:rsidR="00CB4430" w:rsidRDefault="00CB4430" w:rsidP="009402BF">
      <w:pPr>
        <w:spacing w:line="240" w:lineRule="auto"/>
        <w:ind w:left="560" w:firstLine="560"/>
      </w:pPr>
      <w:r>
        <w:continuationSeparator/>
      </w:r>
    </w:p>
  </w:footnote>
  <w:footnote w:id="1">
    <w:p w:rsidR="006414DC" w:rsidRPr="006414DC" w:rsidRDefault="006414DC" w:rsidP="00603D9E">
      <w:pPr>
        <w:pStyle w:val="142"/>
        <w:ind w:left="170" w:hangingChars="70" w:hanging="170"/>
        <w:jc w:val="both"/>
        <w:rPr>
          <w:rFonts w:hint="eastAsia"/>
        </w:rPr>
      </w:pPr>
      <w:r>
        <w:rPr>
          <w:rStyle w:val="af1"/>
        </w:rPr>
        <w:footnoteRef/>
      </w:r>
      <w:r>
        <w:t xml:space="preserve"> </w:t>
      </w:r>
      <w:r w:rsidRPr="006414DC">
        <w:rPr>
          <w:rFonts w:hint="eastAsia"/>
        </w:rPr>
        <w:t>存款保險條例第5條規定：「存保公司每年度收入總額減除各項成本費用及損失後之餘額，應全數提存保險賠款特別準備金。」</w:t>
      </w:r>
    </w:p>
  </w:footnote>
  <w:footnote w:id="2">
    <w:p w:rsidR="00463609" w:rsidRPr="00463609" w:rsidRDefault="00463609" w:rsidP="00603D9E">
      <w:pPr>
        <w:pStyle w:val="142"/>
        <w:ind w:left="170" w:hangingChars="70" w:hanging="170"/>
        <w:jc w:val="both"/>
        <w:rPr>
          <w:rFonts w:hint="eastAsia"/>
        </w:rPr>
      </w:pPr>
      <w:r>
        <w:rPr>
          <w:rStyle w:val="af1"/>
        </w:rPr>
        <w:footnoteRef/>
      </w:r>
      <w:r>
        <w:t xml:space="preserve"> </w:t>
      </w:r>
      <w:r w:rsidRPr="00463609">
        <w:rPr>
          <w:rFonts w:hint="eastAsia"/>
        </w:rPr>
        <w:t>依據「</w:t>
      </w:r>
      <w:r>
        <w:rPr>
          <w:rFonts w:hint="eastAsia"/>
        </w:rPr>
        <w:t>國</w:t>
      </w:r>
      <w:r w:rsidRPr="00463609">
        <w:rPr>
          <w:rFonts w:hint="eastAsia"/>
        </w:rPr>
        <w:t>營事業年度工作考成作業要點」第10條第3項規定略以，年度盈餘於中央存款保險公司係指每年度提存之保險賠款特別準備金。</w:t>
      </w:r>
    </w:p>
  </w:footnote>
  <w:footnote w:id="3">
    <w:p w:rsidR="00432884" w:rsidRPr="00432884" w:rsidRDefault="00432884" w:rsidP="008E3584">
      <w:pPr>
        <w:pStyle w:val="142"/>
        <w:ind w:left="170" w:hangingChars="70" w:hanging="170"/>
        <w:jc w:val="both"/>
        <w:rPr>
          <w:rFonts w:hint="eastAsia"/>
        </w:rPr>
      </w:pPr>
      <w:r>
        <w:rPr>
          <w:rStyle w:val="af1"/>
        </w:rPr>
        <w:footnoteRef/>
      </w:r>
      <w:r>
        <w:t xml:space="preserve"> </w:t>
      </w:r>
      <w:r w:rsidRPr="009725FB">
        <w:rPr>
          <w:rFonts w:hint="eastAsia"/>
        </w:rPr>
        <w:t>存款保險條例第6條</w:t>
      </w:r>
      <w:r>
        <w:rPr>
          <w:rFonts w:hint="eastAsia"/>
        </w:rPr>
        <w:t>規定：「</w:t>
      </w:r>
      <w:r w:rsidRPr="00432884">
        <w:rPr>
          <w:rFonts w:hint="eastAsia"/>
        </w:rPr>
        <w:t>存保公司辦理銀行、信用合作社、郵政儲金匯兌機構之存款保險事宜，應設置一般金融保險賠款特別準備金處理。存保公司依農業金融法第八條規定辦理農業金融機構之存款保險事宜，應另設置農業金融保險賠款特別準備金處理。前二項保險賠款特別準備金帳戶，應分別記帳。</w:t>
      </w:r>
      <w:r w:rsidR="00927A01">
        <w:rPr>
          <w:rFonts w:hint="eastAsia"/>
        </w:rPr>
        <w:t>」</w:t>
      </w:r>
      <w:r w:rsidR="00545E50">
        <w:rPr>
          <w:rFonts w:hint="eastAsia"/>
        </w:rPr>
        <w:t>同</w:t>
      </w:r>
      <w:r w:rsidR="00927A01">
        <w:rPr>
          <w:rFonts w:hint="eastAsia"/>
        </w:rPr>
        <w:t>條例第7條規定：「</w:t>
      </w:r>
      <w:r w:rsidR="00927A01" w:rsidRPr="00927A01">
        <w:rPr>
          <w:rFonts w:hint="eastAsia"/>
        </w:rPr>
        <w:t>前條第一項及第二項所定保險賠款特別準備金每年之提存金額，應按一般金融要保機構及農業金融要保機構所繳交保費之比例分別列計之。</w:t>
      </w:r>
      <w:r w:rsidR="00927A01">
        <w:rPr>
          <w:rFonts w:hint="eastAsia"/>
        </w:rPr>
        <w:t>…」</w:t>
      </w:r>
    </w:p>
  </w:footnote>
  <w:footnote w:id="4">
    <w:p w:rsidR="00B07E97" w:rsidRPr="00B07E97" w:rsidRDefault="00B07E97" w:rsidP="008E3584">
      <w:pPr>
        <w:pStyle w:val="142"/>
        <w:ind w:left="170" w:hangingChars="70" w:hanging="170"/>
        <w:jc w:val="both"/>
        <w:rPr>
          <w:rFonts w:hint="eastAsia"/>
        </w:rPr>
      </w:pPr>
      <w:r>
        <w:rPr>
          <w:rStyle w:val="af1"/>
        </w:rPr>
        <w:footnoteRef/>
      </w:r>
      <w:r w:rsidR="004E6710">
        <w:rPr>
          <w:rFonts w:hint="eastAsia"/>
        </w:rPr>
        <w:t xml:space="preserve"> </w:t>
      </w:r>
      <w:r w:rsidR="00786453" w:rsidRPr="00B07E97">
        <w:rPr>
          <w:rFonts w:hint="eastAsia"/>
        </w:rPr>
        <w:t>加值型及非加值型營業稅法</w:t>
      </w:r>
      <w:r w:rsidRPr="009725FB">
        <w:rPr>
          <w:rFonts w:hint="eastAsia"/>
        </w:rPr>
        <w:t>第11條規定：「</w:t>
      </w:r>
      <w:r w:rsidR="00C7450B" w:rsidRPr="00C7450B">
        <w:rPr>
          <w:rFonts w:hint="eastAsia"/>
        </w:rPr>
        <w:t>銀行業、保險業、信託投資業、證券業、期貨業、票券業及典當業之營業稅稅率如下：一、經營非專屬本業之銷售額適用第十條規定之稅率。二、銀行業、保險業經營銀行、保險本業銷售額之稅率為百分之五；其中保險業之本業銷售額應扣除財產保險自留賠款。但保險業之再保費收入之稅率為百分之一。三、前二款以外之銷售額稅率為百分之二。</w:t>
      </w:r>
      <w:r w:rsidR="00C7450B">
        <w:rPr>
          <w:rFonts w:hint="eastAsia"/>
        </w:rPr>
        <w:t>…</w:t>
      </w:r>
      <w:r w:rsidR="00C7450B" w:rsidRPr="00C7450B">
        <w:rPr>
          <w:rFonts w:hint="eastAsia"/>
        </w:rPr>
        <w:t>本法中華民國一百零三年五月十六日修正之條文施行之日起，至一百十三年十二月三十一日止，第一項第一款、第三款及第二款稅率百分之二以內之稅款，撥入金融業特別準備金</w:t>
      </w:r>
      <w:r w:rsidR="00C7450B">
        <w:rPr>
          <w:rFonts w:hint="eastAsia"/>
        </w:rPr>
        <w:t>…</w:t>
      </w:r>
      <w:r w:rsidR="00C7450B" w:rsidRPr="00C7450B">
        <w:rPr>
          <w:rFonts w:hint="eastAsia"/>
        </w:rPr>
        <w:t>。</w:t>
      </w:r>
      <w:r w:rsidRPr="009725FB">
        <w:rPr>
          <w:rFonts w:hint="eastAsia"/>
        </w:rPr>
        <w:t>」</w:t>
      </w:r>
    </w:p>
  </w:footnote>
  <w:footnote w:id="5">
    <w:p w:rsidR="006555EE" w:rsidRPr="007E2062" w:rsidRDefault="006555EE" w:rsidP="006555EE">
      <w:pPr>
        <w:pStyle w:val="142"/>
        <w:ind w:left="170" w:hangingChars="70" w:hanging="170"/>
        <w:jc w:val="both"/>
        <w:rPr>
          <w:rFonts w:hint="eastAsia"/>
        </w:rPr>
      </w:pPr>
      <w:r>
        <w:rPr>
          <w:rStyle w:val="af1"/>
        </w:rPr>
        <w:footnoteRef/>
      </w:r>
      <w:r>
        <w:t xml:space="preserve"> </w:t>
      </w:r>
      <w:r>
        <w:rPr>
          <w:rFonts w:hint="eastAsia"/>
        </w:rPr>
        <w:t>另一部分來源為淨回收款，該款項係依行政院核定之金融重建基金結束規劃方案，存保公司接續處理該基金未結事項，處理期間原屬該基金負擔之賠付款及費用，由該公司代為分攤，而回</w:t>
      </w:r>
      <w:r w:rsidR="004E6710">
        <w:rPr>
          <w:rFonts w:hint="eastAsia"/>
        </w:rPr>
        <w:t>收</w:t>
      </w:r>
      <w:r>
        <w:rPr>
          <w:rFonts w:hint="eastAsia"/>
        </w:rPr>
        <w:t>款則依原存保準備金與該基金合併運用分攤比率分配後，屬該基金應分配部分，優先償還該公司該分攤款，倘有賸餘再移轉國庫。</w:t>
      </w:r>
    </w:p>
  </w:footnote>
  <w:footnote w:id="6">
    <w:p w:rsidR="00974C44" w:rsidRPr="009725FB" w:rsidRDefault="00974C44" w:rsidP="00974C44">
      <w:pPr>
        <w:pStyle w:val="142"/>
        <w:ind w:left="170" w:hangingChars="70" w:hanging="170"/>
        <w:jc w:val="both"/>
        <w:rPr>
          <w:rFonts w:hint="eastAsia"/>
        </w:rPr>
      </w:pPr>
      <w:r w:rsidRPr="009725FB">
        <w:rPr>
          <w:rStyle w:val="af1"/>
        </w:rPr>
        <w:footnoteRef/>
      </w:r>
      <w:r w:rsidRPr="009725FB">
        <w:rPr>
          <w:rFonts w:hint="eastAsia"/>
        </w:rPr>
        <w:t xml:space="preserve"> </w:t>
      </w:r>
      <w:r>
        <w:rPr>
          <w:rFonts w:hint="eastAsia"/>
        </w:rPr>
        <w:t>參見</w:t>
      </w:r>
      <w:r w:rsidRPr="009725FB">
        <w:rPr>
          <w:rFonts w:hint="eastAsia"/>
        </w:rPr>
        <w:t>存保公司11</w:t>
      </w:r>
      <w:r>
        <w:rPr>
          <w:rFonts w:hint="eastAsia"/>
        </w:rPr>
        <w:t>4</w:t>
      </w:r>
      <w:r w:rsidRPr="009725FB">
        <w:rPr>
          <w:rFonts w:hint="eastAsia"/>
        </w:rPr>
        <w:t>年度預算案之資產負債預計表說明</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f1"/>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f1"/>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f1"/>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8"/>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0651"/>
    <w:rsid w:val="000018F0"/>
    <w:rsid w:val="00001948"/>
    <w:rsid w:val="00001D59"/>
    <w:rsid w:val="00001F3F"/>
    <w:rsid w:val="00001FBA"/>
    <w:rsid w:val="00002B20"/>
    <w:rsid w:val="00003754"/>
    <w:rsid w:val="00003C91"/>
    <w:rsid w:val="000058A1"/>
    <w:rsid w:val="00006497"/>
    <w:rsid w:val="000068A3"/>
    <w:rsid w:val="00010E9D"/>
    <w:rsid w:val="000115BC"/>
    <w:rsid w:val="00011792"/>
    <w:rsid w:val="0001292C"/>
    <w:rsid w:val="00013E85"/>
    <w:rsid w:val="00013E9E"/>
    <w:rsid w:val="00014A36"/>
    <w:rsid w:val="00014A6F"/>
    <w:rsid w:val="0001519A"/>
    <w:rsid w:val="0001620B"/>
    <w:rsid w:val="0001691A"/>
    <w:rsid w:val="0001725A"/>
    <w:rsid w:val="000176DF"/>
    <w:rsid w:val="00022B1A"/>
    <w:rsid w:val="00023C31"/>
    <w:rsid w:val="00023D28"/>
    <w:rsid w:val="00023E78"/>
    <w:rsid w:val="00025287"/>
    <w:rsid w:val="00025528"/>
    <w:rsid w:val="00026A00"/>
    <w:rsid w:val="00026DA5"/>
    <w:rsid w:val="00026F5E"/>
    <w:rsid w:val="00027631"/>
    <w:rsid w:val="000302B9"/>
    <w:rsid w:val="00033113"/>
    <w:rsid w:val="00035CA3"/>
    <w:rsid w:val="000360B5"/>
    <w:rsid w:val="000369A3"/>
    <w:rsid w:val="00040170"/>
    <w:rsid w:val="00040E33"/>
    <w:rsid w:val="000422E1"/>
    <w:rsid w:val="000423A2"/>
    <w:rsid w:val="00042FF4"/>
    <w:rsid w:val="0004407C"/>
    <w:rsid w:val="0004412A"/>
    <w:rsid w:val="000447DD"/>
    <w:rsid w:val="000453D9"/>
    <w:rsid w:val="00046763"/>
    <w:rsid w:val="00046D12"/>
    <w:rsid w:val="00051A5B"/>
    <w:rsid w:val="0005243D"/>
    <w:rsid w:val="00052814"/>
    <w:rsid w:val="000528B3"/>
    <w:rsid w:val="00052F56"/>
    <w:rsid w:val="000531FB"/>
    <w:rsid w:val="0005393F"/>
    <w:rsid w:val="00053C1A"/>
    <w:rsid w:val="00053C67"/>
    <w:rsid w:val="0005478F"/>
    <w:rsid w:val="00055610"/>
    <w:rsid w:val="00055E95"/>
    <w:rsid w:val="000570B0"/>
    <w:rsid w:val="00057A10"/>
    <w:rsid w:val="00060857"/>
    <w:rsid w:val="00060DEC"/>
    <w:rsid w:val="00061CDA"/>
    <w:rsid w:val="00062F77"/>
    <w:rsid w:val="00063561"/>
    <w:rsid w:val="00064F3C"/>
    <w:rsid w:val="00065BE5"/>
    <w:rsid w:val="0006649B"/>
    <w:rsid w:val="00066A83"/>
    <w:rsid w:val="00066AE6"/>
    <w:rsid w:val="00066D54"/>
    <w:rsid w:val="0007010C"/>
    <w:rsid w:val="0007140C"/>
    <w:rsid w:val="00072277"/>
    <w:rsid w:val="000723EF"/>
    <w:rsid w:val="000723F3"/>
    <w:rsid w:val="00072859"/>
    <w:rsid w:val="00074636"/>
    <w:rsid w:val="0007622C"/>
    <w:rsid w:val="00076C95"/>
    <w:rsid w:val="00077ADA"/>
    <w:rsid w:val="00080044"/>
    <w:rsid w:val="0008034A"/>
    <w:rsid w:val="000817F2"/>
    <w:rsid w:val="00082388"/>
    <w:rsid w:val="00084B66"/>
    <w:rsid w:val="000855EC"/>
    <w:rsid w:val="0009017C"/>
    <w:rsid w:val="000908F9"/>
    <w:rsid w:val="00090977"/>
    <w:rsid w:val="00092469"/>
    <w:rsid w:val="00092853"/>
    <w:rsid w:val="00092C57"/>
    <w:rsid w:val="00095788"/>
    <w:rsid w:val="00096BBF"/>
    <w:rsid w:val="00097550"/>
    <w:rsid w:val="00097EC4"/>
    <w:rsid w:val="000A127D"/>
    <w:rsid w:val="000A18EF"/>
    <w:rsid w:val="000A2943"/>
    <w:rsid w:val="000A3278"/>
    <w:rsid w:val="000A32CB"/>
    <w:rsid w:val="000A399C"/>
    <w:rsid w:val="000A6443"/>
    <w:rsid w:val="000A6536"/>
    <w:rsid w:val="000A6DFE"/>
    <w:rsid w:val="000A754F"/>
    <w:rsid w:val="000A77F4"/>
    <w:rsid w:val="000B2A74"/>
    <w:rsid w:val="000B3147"/>
    <w:rsid w:val="000B63B4"/>
    <w:rsid w:val="000C0271"/>
    <w:rsid w:val="000C1AAF"/>
    <w:rsid w:val="000C2814"/>
    <w:rsid w:val="000C2B36"/>
    <w:rsid w:val="000C3A6C"/>
    <w:rsid w:val="000C551A"/>
    <w:rsid w:val="000C667A"/>
    <w:rsid w:val="000C7108"/>
    <w:rsid w:val="000C73EF"/>
    <w:rsid w:val="000C7936"/>
    <w:rsid w:val="000C7AA7"/>
    <w:rsid w:val="000C7B09"/>
    <w:rsid w:val="000D0D7E"/>
    <w:rsid w:val="000D2560"/>
    <w:rsid w:val="000D2EF4"/>
    <w:rsid w:val="000D3C26"/>
    <w:rsid w:val="000D4FE3"/>
    <w:rsid w:val="000D56EC"/>
    <w:rsid w:val="000D7E13"/>
    <w:rsid w:val="000D7E7A"/>
    <w:rsid w:val="000E0410"/>
    <w:rsid w:val="000E055E"/>
    <w:rsid w:val="000E082B"/>
    <w:rsid w:val="000E0F10"/>
    <w:rsid w:val="000E1261"/>
    <w:rsid w:val="000E1F1A"/>
    <w:rsid w:val="000E31B5"/>
    <w:rsid w:val="000E3F1B"/>
    <w:rsid w:val="000E6B0E"/>
    <w:rsid w:val="000E712B"/>
    <w:rsid w:val="000F0793"/>
    <w:rsid w:val="000F0968"/>
    <w:rsid w:val="000F1780"/>
    <w:rsid w:val="000F1D44"/>
    <w:rsid w:val="000F3075"/>
    <w:rsid w:val="000F43CF"/>
    <w:rsid w:val="000F4D40"/>
    <w:rsid w:val="000F51F2"/>
    <w:rsid w:val="000F5C96"/>
    <w:rsid w:val="000F67E1"/>
    <w:rsid w:val="000F71CB"/>
    <w:rsid w:val="000F7398"/>
    <w:rsid w:val="00100A45"/>
    <w:rsid w:val="001011CE"/>
    <w:rsid w:val="0010149C"/>
    <w:rsid w:val="00101CB2"/>
    <w:rsid w:val="001039C5"/>
    <w:rsid w:val="00104BF0"/>
    <w:rsid w:val="00106F7F"/>
    <w:rsid w:val="00110B0E"/>
    <w:rsid w:val="001114D5"/>
    <w:rsid w:val="00111F80"/>
    <w:rsid w:val="00112578"/>
    <w:rsid w:val="00112D21"/>
    <w:rsid w:val="0011315E"/>
    <w:rsid w:val="00113DF4"/>
    <w:rsid w:val="00114910"/>
    <w:rsid w:val="00115BDA"/>
    <w:rsid w:val="001161D9"/>
    <w:rsid w:val="0012038A"/>
    <w:rsid w:val="00120914"/>
    <w:rsid w:val="00120A30"/>
    <w:rsid w:val="00121D07"/>
    <w:rsid w:val="00122511"/>
    <w:rsid w:val="00123406"/>
    <w:rsid w:val="00123D05"/>
    <w:rsid w:val="00126335"/>
    <w:rsid w:val="0013037C"/>
    <w:rsid w:val="001307AF"/>
    <w:rsid w:val="00131553"/>
    <w:rsid w:val="0013233F"/>
    <w:rsid w:val="0013361A"/>
    <w:rsid w:val="00135D0D"/>
    <w:rsid w:val="00136A9F"/>
    <w:rsid w:val="00140EC9"/>
    <w:rsid w:val="001414DA"/>
    <w:rsid w:val="00141957"/>
    <w:rsid w:val="001419ED"/>
    <w:rsid w:val="00141A0C"/>
    <w:rsid w:val="0014238E"/>
    <w:rsid w:val="001429DE"/>
    <w:rsid w:val="00143F52"/>
    <w:rsid w:val="001460B2"/>
    <w:rsid w:val="001463D2"/>
    <w:rsid w:val="00146D0E"/>
    <w:rsid w:val="0014771C"/>
    <w:rsid w:val="00147E9E"/>
    <w:rsid w:val="0015038E"/>
    <w:rsid w:val="001517FB"/>
    <w:rsid w:val="001530D4"/>
    <w:rsid w:val="00153266"/>
    <w:rsid w:val="00153331"/>
    <w:rsid w:val="001534E8"/>
    <w:rsid w:val="00153FCB"/>
    <w:rsid w:val="00154FDB"/>
    <w:rsid w:val="00156077"/>
    <w:rsid w:val="001573E2"/>
    <w:rsid w:val="00157678"/>
    <w:rsid w:val="00157701"/>
    <w:rsid w:val="00160424"/>
    <w:rsid w:val="00160AFC"/>
    <w:rsid w:val="00162987"/>
    <w:rsid w:val="0016459A"/>
    <w:rsid w:val="001646DC"/>
    <w:rsid w:val="0016488C"/>
    <w:rsid w:val="001650D5"/>
    <w:rsid w:val="00165597"/>
    <w:rsid w:val="00165C67"/>
    <w:rsid w:val="00166B61"/>
    <w:rsid w:val="00166D12"/>
    <w:rsid w:val="00170174"/>
    <w:rsid w:val="001707FC"/>
    <w:rsid w:val="001714C9"/>
    <w:rsid w:val="001727EA"/>
    <w:rsid w:val="00174D36"/>
    <w:rsid w:val="00174D94"/>
    <w:rsid w:val="001768EC"/>
    <w:rsid w:val="00176DA7"/>
    <w:rsid w:val="001777B0"/>
    <w:rsid w:val="00177C7D"/>
    <w:rsid w:val="00181448"/>
    <w:rsid w:val="00182200"/>
    <w:rsid w:val="0018254B"/>
    <w:rsid w:val="001827A8"/>
    <w:rsid w:val="00183374"/>
    <w:rsid w:val="001834F6"/>
    <w:rsid w:val="00183510"/>
    <w:rsid w:val="00183E6B"/>
    <w:rsid w:val="001844D9"/>
    <w:rsid w:val="0018543B"/>
    <w:rsid w:val="0018599F"/>
    <w:rsid w:val="0018727F"/>
    <w:rsid w:val="0018741D"/>
    <w:rsid w:val="00190AD6"/>
    <w:rsid w:val="00190FF1"/>
    <w:rsid w:val="00191B34"/>
    <w:rsid w:val="00191D5E"/>
    <w:rsid w:val="00193ADE"/>
    <w:rsid w:val="0019556F"/>
    <w:rsid w:val="001967DD"/>
    <w:rsid w:val="001A1929"/>
    <w:rsid w:val="001A225D"/>
    <w:rsid w:val="001A4191"/>
    <w:rsid w:val="001A75A1"/>
    <w:rsid w:val="001A7EE6"/>
    <w:rsid w:val="001B0C78"/>
    <w:rsid w:val="001B174A"/>
    <w:rsid w:val="001B23D8"/>
    <w:rsid w:val="001B268B"/>
    <w:rsid w:val="001B381F"/>
    <w:rsid w:val="001B45BA"/>
    <w:rsid w:val="001B5410"/>
    <w:rsid w:val="001B5CF3"/>
    <w:rsid w:val="001B62C9"/>
    <w:rsid w:val="001B6DF6"/>
    <w:rsid w:val="001B70C6"/>
    <w:rsid w:val="001B7F03"/>
    <w:rsid w:val="001C25AD"/>
    <w:rsid w:val="001C3113"/>
    <w:rsid w:val="001C34BB"/>
    <w:rsid w:val="001C4579"/>
    <w:rsid w:val="001C4B61"/>
    <w:rsid w:val="001C4EDD"/>
    <w:rsid w:val="001C5220"/>
    <w:rsid w:val="001C579D"/>
    <w:rsid w:val="001C58F6"/>
    <w:rsid w:val="001C5F40"/>
    <w:rsid w:val="001C5FCA"/>
    <w:rsid w:val="001C6AA4"/>
    <w:rsid w:val="001C6CC9"/>
    <w:rsid w:val="001C6E94"/>
    <w:rsid w:val="001C703B"/>
    <w:rsid w:val="001D06DE"/>
    <w:rsid w:val="001D0A43"/>
    <w:rsid w:val="001D1103"/>
    <w:rsid w:val="001D16CF"/>
    <w:rsid w:val="001D1AAA"/>
    <w:rsid w:val="001D3209"/>
    <w:rsid w:val="001D38FF"/>
    <w:rsid w:val="001D4BCE"/>
    <w:rsid w:val="001D5727"/>
    <w:rsid w:val="001D5B3D"/>
    <w:rsid w:val="001D72F2"/>
    <w:rsid w:val="001E073F"/>
    <w:rsid w:val="001E1A43"/>
    <w:rsid w:val="001E2633"/>
    <w:rsid w:val="001E31D9"/>
    <w:rsid w:val="001E3BAA"/>
    <w:rsid w:val="001E3E46"/>
    <w:rsid w:val="001E5124"/>
    <w:rsid w:val="001E551F"/>
    <w:rsid w:val="001E61DE"/>
    <w:rsid w:val="001F0EBB"/>
    <w:rsid w:val="001F31E5"/>
    <w:rsid w:val="001F383F"/>
    <w:rsid w:val="001F6D98"/>
    <w:rsid w:val="001F72C1"/>
    <w:rsid w:val="001F7C7C"/>
    <w:rsid w:val="00201F42"/>
    <w:rsid w:val="00202169"/>
    <w:rsid w:val="0020224A"/>
    <w:rsid w:val="00202CE9"/>
    <w:rsid w:val="0020377B"/>
    <w:rsid w:val="002045AF"/>
    <w:rsid w:val="00204B15"/>
    <w:rsid w:val="00204B9F"/>
    <w:rsid w:val="002054D9"/>
    <w:rsid w:val="0020573C"/>
    <w:rsid w:val="00205B49"/>
    <w:rsid w:val="00206A8C"/>
    <w:rsid w:val="0020780B"/>
    <w:rsid w:val="00207C3A"/>
    <w:rsid w:val="00210B9B"/>
    <w:rsid w:val="00214453"/>
    <w:rsid w:val="002157DA"/>
    <w:rsid w:val="00217046"/>
    <w:rsid w:val="0022060F"/>
    <w:rsid w:val="002206FC"/>
    <w:rsid w:val="00220977"/>
    <w:rsid w:val="00221B4C"/>
    <w:rsid w:val="00221DD7"/>
    <w:rsid w:val="00222239"/>
    <w:rsid w:val="00222BA9"/>
    <w:rsid w:val="0022301B"/>
    <w:rsid w:val="00223601"/>
    <w:rsid w:val="00223EC1"/>
    <w:rsid w:val="0022444F"/>
    <w:rsid w:val="00227C1C"/>
    <w:rsid w:val="00227D6C"/>
    <w:rsid w:val="0023064E"/>
    <w:rsid w:val="0023087B"/>
    <w:rsid w:val="0023172C"/>
    <w:rsid w:val="00231F60"/>
    <w:rsid w:val="00232037"/>
    <w:rsid w:val="00232541"/>
    <w:rsid w:val="0023291D"/>
    <w:rsid w:val="00233A12"/>
    <w:rsid w:val="00234542"/>
    <w:rsid w:val="0023550B"/>
    <w:rsid w:val="00235E8B"/>
    <w:rsid w:val="0023706F"/>
    <w:rsid w:val="00237CDE"/>
    <w:rsid w:val="00237F80"/>
    <w:rsid w:val="002400B6"/>
    <w:rsid w:val="00240A4C"/>
    <w:rsid w:val="00240DFE"/>
    <w:rsid w:val="0024235A"/>
    <w:rsid w:val="00244277"/>
    <w:rsid w:val="002442F9"/>
    <w:rsid w:val="00247041"/>
    <w:rsid w:val="0024738A"/>
    <w:rsid w:val="0024738D"/>
    <w:rsid w:val="002476B8"/>
    <w:rsid w:val="002478ED"/>
    <w:rsid w:val="00247EE4"/>
    <w:rsid w:val="00252171"/>
    <w:rsid w:val="0025249A"/>
    <w:rsid w:val="00252F26"/>
    <w:rsid w:val="0025453F"/>
    <w:rsid w:val="002545EE"/>
    <w:rsid w:val="002546C2"/>
    <w:rsid w:val="00255039"/>
    <w:rsid w:val="002565C8"/>
    <w:rsid w:val="0025664E"/>
    <w:rsid w:val="00256C42"/>
    <w:rsid w:val="00260558"/>
    <w:rsid w:val="00260813"/>
    <w:rsid w:val="00260FED"/>
    <w:rsid w:val="002623E6"/>
    <w:rsid w:val="00263D92"/>
    <w:rsid w:val="00264B8C"/>
    <w:rsid w:val="00265D21"/>
    <w:rsid w:val="00270092"/>
    <w:rsid w:val="00270D1B"/>
    <w:rsid w:val="00271E53"/>
    <w:rsid w:val="00272670"/>
    <w:rsid w:val="0027317C"/>
    <w:rsid w:val="00273786"/>
    <w:rsid w:val="00273AEC"/>
    <w:rsid w:val="00273CE8"/>
    <w:rsid w:val="002749D4"/>
    <w:rsid w:val="00274A9F"/>
    <w:rsid w:val="00274CB8"/>
    <w:rsid w:val="00275C72"/>
    <w:rsid w:val="00275F24"/>
    <w:rsid w:val="002770F1"/>
    <w:rsid w:val="00280E25"/>
    <w:rsid w:val="00283226"/>
    <w:rsid w:val="00284246"/>
    <w:rsid w:val="00284E0B"/>
    <w:rsid w:val="00285235"/>
    <w:rsid w:val="0028613E"/>
    <w:rsid w:val="00286196"/>
    <w:rsid w:val="0028672F"/>
    <w:rsid w:val="00287945"/>
    <w:rsid w:val="00290E53"/>
    <w:rsid w:val="00291953"/>
    <w:rsid w:val="00291F2E"/>
    <w:rsid w:val="0029380C"/>
    <w:rsid w:val="002943C0"/>
    <w:rsid w:val="00294E2A"/>
    <w:rsid w:val="00295148"/>
    <w:rsid w:val="00295B15"/>
    <w:rsid w:val="002961D1"/>
    <w:rsid w:val="00296765"/>
    <w:rsid w:val="002974D3"/>
    <w:rsid w:val="00297D3A"/>
    <w:rsid w:val="002A08F6"/>
    <w:rsid w:val="002A0FDE"/>
    <w:rsid w:val="002A10C1"/>
    <w:rsid w:val="002A2F9F"/>
    <w:rsid w:val="002A3369"/>
    <w:rsid w:val="002A4FD4"/>
    <w:rsid w:val="002A538E"/>
    <w:rsid w:val="002A66E2"/>
    <w:rsid w:val="002A7502"/>
    <w:rsid w:val="002B0335"/>
    <w:rsid w:val="002B12E5"/>
    <w:rsid w:val="002B161E"/>
    <w:rsid w:val="002B3716"/>
    <w:rsid w:val="002B466D"/>
    <w:rsid w:val="002B5A25"/>
    <w:rsid w:val="002B5FC8"/>
    <w:rsid w:val="002B625B"/>
    <w:rsid w:val="002B6AD9"/>
    <w:rsid w:val="002B7FB7"/>
    <w:rsid w:val="002C0141"/>
    <w:rsid w:val="002C1CCE"/>
    <w:rsid w:val="002C3D9B"/>
    <w:rsid w:val="002C48CD"/>
    <w:rsid w:val="002C501C"/>
    <w:rsid w:val="002C65CC"/>
    <w:rsid w:val="002C6AB3"/>
    <w:rsid w:val="002D0D88"/>
    <w:rsid w:val="002D0F18"/>
    <w:rsid w:val="002D1126"/>
    <w:rsid w:val="002D197C"/>
    <w:rsid w:val="002D1A2A"/>
    <w:rsid w:val="002D2B9A"/>
    <w:rsid w:val="002D3CEC"/>
    <w:rsid w:val="002D5480"/>
    <w:rsid w:val="002D7FF3"/>
    <w:rsid w:val="002E0014"/>
    <w:rsid w:val="002E075B"/>
    <w:rsid w:val="002E0B0C"/>
    <w:rsid w:val="002E1729"/>
    <w:rsid w:val="002E1FF3"/>
    <w:rsid w:val="002E2719"/>
    <w:rsid w:val="002E284C"/>
    <w:rsid w:val="002E312C"/>
    <w:rsid w:val="002E4039"/>
    <w:rsid w:val="002E4448"/>
    <w:rsid w:val="002E489B"/>
    <w:rsid w:val="002E5009"/>
    <w:rsid w:val="002E6543"/>
    <w:rsid w:val="002E6A98"/>
    <w:rsid w:val="002F0873"/>
    <w:rsid w:val="002F0AA2"/>
    <w:rsid w:val="002F0B09"/>
    <w:rsid w:val="002F1EA2"/>
    <w:rsid w:val="002F28C9"/>
    <w:rsid w:val="002F355C"/>
    <w:rsid w:val="002F3BC8"/>
    <w:rsid w:val="002F3FAE"/>
    <w:rsid w:val="002F40E8"/>
    <w:rsid w:val="002F50A7"/>
    <w:rsid w:val="002F6769"/>
    <w:rsid w:val="002F74EC"/>
    <w:rsid w:val="002F75F4"/>
    <w:rsid w:val="002F7EC2"/>
    <w:rsid w:val="003015AE"/>
    <w:rsid w:val="00302A7A"/>
    <w:rsid w:val="00302D5E"/>
    <w:rsid w:val="00304C4B"/>
    <w:rsid w:val="00310763"/>
    <w:rsid w:val="00310ECB"/>
    <w:rsid w:val="003113F0"/>
    <w:rsid w:val="00311C56"/>
    <w:rsid w:val="003139E7"/>
    <w:rsid w:val="00314AE9"/>
    <w:rsid w:val="00314D83"/>
    <w:rsid w:val="00314F9D"/>
    <w:rsid w:val="00315B95"/>
    <w:rsid w:val="00316166"/>
    <w:rsid w:val="00317251"/>
    <w:rsid w:val="00320828"/>
    <w:rsid w:val="00321A2C"/>
    <w:rsid w:val="00321D1C"/>
    <w:rsid w:val="00322E2D"/>
    <w:rsid w:val="00322E86"/>
    <w:rsid w:val="00323326"/>
    <w:rsid w:val="003235DC"/>
    <w:rsid w:val="0032465D"/>
    <w:rsid w:val="00325500"/>
    <w:rsid w:val="003261F6"/>
    <w:rsid w:val="00326A00"/>
    <w:rsid w:val="00327CAF"/>
    <w:rsid w:val="00331088"/>
    <w:rsid w:val="0033191B"/>
    <w:rsid w:val="00332DA9"/>
    <w:rsid w:val="00332FB6"/>
    <w:rsid w:val="0033328B"/>
    <w:rsid w:val="00333F35"/>
    <w:rsid w:val="0033714E"/>
    <w:rsid w:val="003375CC"/>
    <w:rsid w:val="00340AF6"/>
    <w:rsid w:val="00340BEA"/>
    <w:rsid w:val="00341708"/>
    <w:rsid w:val="003422A3"/>
    <w:rsid w:val="003423D3"/>
    <w:rsid w:val="00343EF1"/>
    <w:rsid w:val="00343EF9"/>
    <w:rsid w:val="00344844"/>
    <w:rsid w:val="0034514E"/>
    <w:rsid w:val="00346624"/>
    <w:rsid w:val="003473A7"/>
    <w:rsid w:val="00350685"/>
    <w:rsid w:val="00350B5E"/>
    <w:rsid w:val="00350E0A"/>
    <w:rsid w:val="00351742"/>
    <w:rsid w:val="00351B09"/>
    <w:rsid w:val="00352FE5"/>
    <w:rsid w:val="003539C3"/>
    <w:rsid w:val="00353E81"/>
    <w:rsid w:val="003550E9"/>
    <w:rsid w:val="00355354"/>
    <w:rsid w:val="00356294"/>
    <w:rsid w:val="003563B0"/>
    <w:rsid w:val="00356602"/>
    <w:rsid w:val="003613FF"/>
    <w:rsid w:val="00361A03"/>
    <w:rsid w:val="00361E82"/>
    <w:rsid w:val="00362881"/>
    <w:rsid w:val="00364009"/>
    <w:rsid w:val="00364348"/>
    <w:rsid w:val="003646FB"/>
    <w:rsid w:val="003659FF"/>
    <w:rsid w:val="00365D68"/>
    <w:rsid w:val="0036707F"/>
    <w:rsid w:val="00367175"/>
    <w:rsid w:val="00371966"/>
    <w:rsid w:val="0037287D"/>
    <w:rsid w:val="00372E58"/>
    <w:rsid w:val="003738B3"/>
    <w:rsid w:val="003740F1"/>
    <w:rsid w:val="00374194"/>
    <w:rsid w:val="0037458F"/>
    <w:rsid w:val="00375642"/>
    <w:rsid w:val="00376833"/>
    <w:rsid w:val="00377C59"/>
    <w:rsid w:val="00380B7D"/>
    <w:rsid w:val="003818DF"/>
    <w:rsid w:val="0038209F"/>
    <w:rsid w:val="00382F52"/>
    <w:rsid w:val="00385318"/>
    <w:rsid w:val="003872AB"/>
    <w:rsid w:val="003876E1"/>
    <w:rsid w:val="00387A94"/>
    <w:rsid w:val="00387EAC"/>
    <w:rsid w:val="003910F6"/>
    <w:rsid w:val="00393E7A"/>
    <w:rsid w:val="003942B2"/>
    <w:rsid w:val="00395BE1"/>
    <w:rsid w:val="00396E79"/>
    <w:rsid w:val="00397CAB"/>
    <w:rsid w:val="00397D36"/>
    <w:rsid w:val="003A01B6"/>
    <w:rsid w:val="003A0A7F"/>
    <w:rsid w:val="003A0D6F"/>
    <w:rsid w:val="003A11E5"/>
    <w:rsid w:val="003A159A"/>
    <w:rsid w:val="003A29F0"/>
    <w:rsid w:val="003A34EF"/>
    <w:rsid w:val="003A3931"/>
    <w:rsid w:val="003A3974"/>
    <w:rsid w:val="003A3AFF"/>
    <w:rsid w:val="003A56AD"/>
    <w:rsid w:val="003A626C"/>
    <w:rsid w:val="003A7750"/>
    <w:rsid w:val="003B0032"/>
    <w:rsid w:val="003B22BE"/>
    <w:rsid w:val="003B27EC"/>
    <w:rsid w:val="003B4939"/>
    <w:rsid w:val="003B54AF"/>
    <w:rsid w:val="003B6055"/>
    <w:rsid w:val="003B62B2"/>
    <w:rsid w:val="003B6904"/>
    <w:rsid w:val="003C00D7"/>
    <w:rsid w:val="003C06A6"/>
    <w:rsid w:val="003C0F53"/>
    <w:rsid w:val="003C0FF0"/>
    <w:rsid w:val="003C13E3"/>
    <w:rsid w:val="003C26F0"/>
    <w:rsid w:val="003C2F1E"/>
    <w:rsid w:val="003C6652"/>
    <w:rsid w:val="003D0A61"/>
    <w:rsid w:val="003D0CE2"/>
    <w:rsid w:val="003D1922"/>
    <w:rsid w:val="003D3A15"/>
    <w:rsid w:val="003D3BCE"/>
    <w:rsid w:val="003D4706"/>
    <w:rsid w:val="003D48BA"/>
    <w:rsid w:val="003D6CE2"/>
    <w:rsid w:val="003E06EA"/>
    <w:rsid w:val="003E13CB"/>
    <w:rsid w:val="003E3CE8"/>
    <w:rsid w:val="003E49F8"/>
    <w:rsid w:val="003E4EC8"/>
    <w:rsid w:val="003E56B6"/>
    <w:rsid w:val="003F0BCB"/>
    <w:rsid w:val="003F16BC"/>
    <w:rsid w:val="003F1B1E"/>
    <w:rsid w:val="003F282E"/>
    <w:rsid w:val="003F3703"/>
    <w:rsid w:val="003F4A5B"/>
    <w:rsid w:val="003F599F"/>
    <w:rsid w:val="003F64F0"/>
    <w:rsid w:val="003F6628"/>
    <w:rsid w:val="003F681C"/>
    <w:rsid w:val="003F6E9B"/>
    <w:rsid w:val="003F776E"/>
    <w:rsid w:val="003F77D9"/>
    <w:rsid w:val="003F7DB5"/>
    <w:rsid w:val="00400366"/>
    <w:rsid w:val="004008DD"/>
    <w:rsid w:val="004017B8"/>
    <w:rsid w:val="004024B1"/>
    <w:rsid w:val="00402925"/>
    <w:rsid w:val="0040364D"/>
    <w:rsid w:val="00404226"/>
    <w:rsid w:val="00404916"/>
    <w:rsid w:val="004051E7"/>
    <w:rsid w:val="00406B09"/>
    <w:rsid w:val="00406B55"/>
    <w:rsid w:val="00407939"/>
    <w:rsid w:val="00411CCF"/>
    <w:rsid w:val="004127C2"/>
    <w:rsid w:val="00412EF2"/>
    <w:rsid w:val="0041307F"/>
    <w:rsid w:val="004155F2"/>
    <w:rsid w:val="0041574C"/>
    <w:rsid w:val="00415AA3"/>
    <w:rsid w:val="004165D3"/>
    <w:rsid w:val="00417230"/>
    <w:rsid w:val="004203A3"/>
    <w:rsid w:val="00420AFE"/>
    <w:rsid w:val="00420D0D"/>
    <w:rsid w:val="00423DEA"/>
    <w:rsid w:val="004243E3"/>
    <w:rsid w:val="004263EA"/>
    <w:rsid w:val="004307C8"/>
    <w:rsid w:val="00430994"/>
    <w:rsid w:val="004310B5"/>
    <w:rsid w:val="00431866"/>
    <w:rsid w:val="00432884"/>
    <w:rsid w:val="00432DC7"/>
    <w:rsid w:val="0043336B"/>
    <w:rsid w:val="00433456"/>
    <w:rsid w:val="004359D6"/>
    <w:rsid w:val="004374FB"/>
    <w:rsid w:val="00437983"/>
    <w:rsid w:val="004416B5"/>
    <w:rsid w:val="004422D2"/>
    <w:rsid w:val="00442C95"/>
    <w:rsid w:val="004433A4"/>
    <w:rsid w:val="00443650"/>
    <w:rsid w:val="004436F8"/>
    <w:rsid w:val="00443911"/>
    <w:rsid w:val="00443DAD"/>
    <w:rsid w:val="0044632E"/>
    <w:rsid w:val="0044714B"/>
    <w:rsid w:val="004515E6"/>
    <w:rsid w:val="004520D1"/>
    <w:rsid w:val="0045284E"/>
    <w:rsid w:val="00455714"/>
    <w:rsid w:val="00456AB9"/>
    <w:rsid w:val="00456E01"/>
    <w:rsid w:val="00457D3E"/>
    <w:rsid w:val="004606A0"/>
    <w:rsid w:val="00460A9E"/>
    <w:rsid w:val="00460ED5"/>
    <w:rsid w:val="004629C5"/>
    <w:rsid w:val="00462CAA"/>
    <w:rsid w:val="00463609"/>
    <w:rsid w:val="00464404"/>
    <w:rsid w:val="00464949"/>
    <w:rsid w:val="00464B97"/>
    <w:rsid w:val="00464DB1"/>
    <w:rsid w:val="00465A56"/>
    <w:rsid w:val="00466B64"/>
    <w:rsid w:val="00466FB6"/>
    <w:rsid w:val="004677B2"/>
    <w:rsid w:val="00467E90"/>
    <w:rsid w:val="0047051D"/>
    <w:rsid w:val="00470A87"/>
    <w:rsid w:val="0047214B"/>
    <w:rsid w:val="0047372D"/>
    <w:rsid w:val="004741AB"/>
    <w:rsid w:val="0047559E"/>
    <w:rsid w:val="004761EA"/>
    <w:rsid w:val="00480C2C"/>
    <w:rsid w:val="00480C66"/>
    <w:rsid w:val="00481D3E"/>
    <w:rsid w:val="0048226E"/>
    <w:rsid w:val="00482396"/>
    <w:rsid w:val="004839A9"/>
    <w:rsid w:val="0048414B"/>
    <w:rsid w:val="00484303"/>
    <w:rsid w:val="00484BA3"/>
    <w:rsid w:val="00485DC4"/>
    <w:rsid w:val="00487ECB"/>
    <w:rsid w:val="00490173"/>
    <w:rsid w:val="004911C5"/>
    <w:rsid w:val="004923D6"/>
    <w:rsid w:val="00492A4D"/>
    <w:rsid w:val="00492D47"/>
    <w:rsid w:val="00493189"/>
    <w:rsid w:val="004933CB"/>
    <w:rsid w:val="004945A9"/>
    <w:rsid w:val="004948D5"/>
    <w:rsid w:val="0049587E"/>
    <w:rsid w:val="00495DC5"/>
    <w:rsid w:val="00496649"/>
    <w:rsid w:val="00497577"/>
    <w:rsid w:val="00497634"/>
    <w:rsid w:val="00497DE5"/>
    <w:rsid w:val="004A1EF1"/>
    <w:rsid w:val="004A1F0C"/>
    <w:rsid w:val="004A1F8F"/>
    <w:rsid w:val="004A2587"/>
    <w:rsid w:val="004A37ED"/>
    <w:rsid w:val="004A7A44"/>
    <w:rsid w:val="004B52C3"/>
    <w:rsid w:val="004B560E"/>
    <w:rsid w:val="004B5DBC"/>
    <w:rsid w:val="004B609E"/>
    <w:rsid w:val="004B6DAD"/>
    <w:rsid w:val="004B769E"/>
    <w:rsid w:val="004C0662"/>
    <w:rsid w:val="004C06B3"/>
    <w:rsid w:val="004C1E2E"/>
    <w:rsid w:val="004C2179"/>
    <w:rsid w:val="004C2302"/>
    <w:rsid w:val="004C2618"/>
    <w:rsid w:val="004C389E"/>
    <w:rsid w:val="004C3DCD"/>
    <w:rsid w:val="004C72D0"/>
    <w:rsid w:val="004D00C3"/>
    <w:rsid w:val="004D0144"/>
    <w:rsid w:val="004D0281"/>
    <w:rsid w:val="004D2319"/>
    <w:rsid w:val="004D23CC"/>
    <w:rsid w:val="004D5ACE"/>
    <w:rsid w:val="004D73C0"/>
    <w:rsid w:val="004D77CE"/>
    <w:rsid w:val="004D7B35"/>
    <w:rsid w:val="004D7CCF"/>
    <w:rsid w:val="004E23AC"/>
    <w:rsid w:val="004E37A3"/>
    <w:rsid w:val="004E3838"/>
    <w:rsid w:val="004E4484"/>
    <w:rsid w:val="004E5235"/>
    <w:rsid w:val="004E534D"/>
    <w:rsid w:val="004E5595"/>
    <w:rsid w:val="004E59DF"/>
    <w:rsid w:val="004E6070"/>
    <w:rsid w:val="004E6710"/>
    <w:rsid w:val="004E6980"/>
    <w:rsid w:val="004E6C87"/>
    <w:rsid w:val="004E7684"/>
    <w:rsid w:val="004E7875"/>
    <w:rsid w:val="004F177E"/>
    <w:rsid w:val="004F1982"/>
    <w:rsid w:val="004F2372"/>
    <w:rsid w:val="004F23F3"/>
    <w:rsid w:val="004F2BED"/>
    <w:rsid w:val="004F3D41"/>
    <w:rsid w:val="004F5E35"/>
    <w:rsid w:val="004F6917"/>
    <w:rsid w:val="004F7705"/>
    <w:rsid w:val="00500B2B"/>
    <w:rsid w:val="00500D87"/>
    <w:rsid w:val="00501596"/>
    <w:rsid w:val="00502334"/>
    <w:rsid w:val="005036E8"/>
    <w:rsid w:val="00503A0D"/>
    <w:rsid w:val="00505C73"/>
    <w:rsid w:val="00506BAB"/>
    <w:rsid w:val="00506D1E"/>
    <w:rsid w:val="005076AA"/>
    <w:rsid w:val="00507738"/>
    <w:rsid w:val="00507A8F"/>
    <w:rsid w:val="0051194F"/>
    <w:rsid w:val="00512ED7"/>
    <w:rsid w:val="00514542"/>
    <w:rsid w:val="00515685"/>
    <w:rsid w:val="00516A9D"/>
    <w:rsid w:val="00517F49"/>
    <w:rsid w:val="005201B2"/>
    <w:rsid w:val="00520262"/>
    <w:rsid w:val="00520796"/>
    <w:rsid w:val="0052326E"/>
    <w:rsid w:val="005232FE"/>
    <w:rsid w:val="00526918"/>
    <w:rsid w:val="00526FB8"/>
    <w:rsid w:val="0053068F"/>
    <w:rsid w:val="00531DAD"/>
    <w:rsid w:val="00532D71"/>
    <w:rsid w:val="00533807"/>
    <w:rsid w:val="00535CEA"/>
    <w:rsid w:val="0053764A"/>
    <w:rsid w:val="00540D8C"/>
    <w:rsid w:val="00541954"/>
    <w:rsid w:val="00541BEC"/>
    <w:rsid w:val="00541F0F"/>
    <w:rsid w:val="00543FD2"/>
    <w:rsid w:val="0054403D"/>
    <w:rsid w:val="00545241"/>
    <w:rsid w:val="0054566E"/>
    <w:rsid w:val="00545E50"/>
    <w:rsid w:val="0054650C"/>
    <w:rsid w:val="00552FBF"/>
    <w:rsid w:val="00553608"/>
    <w:rsid w:val="0055393E"/>
    <w:rsid w:val="00553E7E"/>
    <w:rsid w:val="0055574A"/>
    <w:rsid w:val="00555ADB"/>
    <w:rsid w:val="00555F1F"/>
    <w:rsid w:val="0055620C"/>
    <w:rsid w:val="00560B52"/>
    <w:rsid w:val="005611C3"/>
    <w:rsid w:val="00561521"/>
    <w:rsid w:val="00562BC8"/>
    <w:rsid w:val="00562D5A"/>
    <w:rsid w:val="00562DC9"/>
    <w:rsid w:val="00563E0E"/>
    <w:rsid w:val="00567839"/>
    <w:rsid w:val="00567A39"/>
    <w:rsid w:val="0057093A"/>
    <w:rsid w:val="005711CB"/>
    <w:rsid w:val="00571207"/>
    <w:rsid w:val="00571219"/>
    <w:rsid w:val="005715B2"/>
    <w:rsid w:val="00571BDA"/>
    <w:rsid w:val="00571D1B"/>
    <w:rsid w:val="00571E2A"/>
    <w:rsid w:val="00572698"/>
    <w:rsid w:val="00572933"/>
    <w:rsid w:val="00572CDA"/>
    <w:rsid w:val="005731E7"/>
    <w:rsid w:val="005732D2"/>
    <w:rsid w:val="0057464F"/>
    <w:rsid w:val="00575382"/>
    <w:rsid w:val="005763DA"/>
    <w:rsid w:val="005765EF"/>
    <w:rsid w:val="0057712C"/>
    <w:rsid w:val="00577965"/>
    <w:rsid w:val="005779E4"/>
    <w:rsid w:val="005800A6"/>
    <w:rsid w:val="005801BA"/>
    <w:rsid w:val="005806A1"/>
    <w:rsid w:val="0058169E"/>
    <w:rsid w:val="005824FA"/>
    <w:rsid w:val="005834BB"/>
    <w:rsid w:val="00583D63"/>
    <w:rsid w:val="005848B9"/>
    <w:rsid w:val="00584A24"/>
    <w:rsid w:val="00584FB1"/>
    <w:rsid w:val="005856A0"/>
    <w:rsid w:val="0058650A"/>
    <w:rsid w:val="005869AC"/>
    <w:rsid w:val="00587C20"/>
    <w:rsid w:val="00590379"/>
    <w:rsid w:val="00590D57"/>
    <w:rsid w:val="00594CC3"/>
    <w:rsid w:val="005955BF"/>
    <w:rsid w:val="00595802"/>
    <w:rsid w:val="00595928"/>
    <w:rsid w:val="0059720C"/>
    <w:rsid w:val="005A0718"/>
    <w:rsid w:val="005A0BAA"/>
    <w:rsid w:val="005A0C60"/>
    <w:rsid w:val="005A1473"/>
    <w:rsid w:val="005A230D"/>
    <w:rsid w:val="005A259F"/>
    <w:rsid w:val="005A36CC"/>
    <w:rsid w:val="005A4A12"/>
    <w:rsid w:val="005A4CE8"/>
    <w:rsid w:val="005A5212"/>
    <w:rsid w:val="005A5C16"/>
    <w:rsid w:val="005A642F"/>
    <w:rsid w:val="005B04C2"/>
    <w:rsid w:val="005B0AA5"/>
    <w:rsid w:val="005B0EF6"/>
    <w:rsid w:val="005B11DE"/>
    <w:rsid w:val="005B1328"/>
    <w:rsid w:val="005B24AE"/>
    <w:rsid w:val="005B2E16"/>
    <w:rsid w:val="005B5A21"/>
    <w:rsid w:val="005B6070"/>
    <w:rsid w:val="005B622F"/>
    <w:rsid w:val="005B684B"/>
    <w:rsid w:val="005C3490"/>
    <w:rsid w:val="005C4D97"/>
    <w:rsid w:val="005C57B3"/>
    <w:rsid w:val="005C734F"/>
    <w:rsid w:val="005D077B"/>
    <w:rsid w:val="005D12A0"/>
    <w:rsid w:val="005D2710"/>
    <w:rsid w:val="005D2A16"/>
    <w:rsid w:val="005D4F43"/>
    <w:rsid w:val="005D514B"/>
    <w:rsid w:val="005E069B"/>
    <w:rsid w:val="005E0A53"/>
    <w:rsid w:val="005E1986"/>
    <w:rsid w:val="005E2571"/>
    <w:rsid w:val="005E2664"/>
    <w:rsid w:val="005E2717"/>
    <w:rsid w:val="005E333E"/>
    <w:rsid w:val="005E40B7"/>
    <w:rsid w:val="005E47F1"/>
    <w:rsid w:val="005E4A60"/>
    <w:rsid w:val="005E5331"/>
    <w:rsid w:val="005E5D4C"/>
    <w:rsid w:val="005E723D"/>
    <w:rsid w:val="005F1090"/>
    <w:rsid w:val="005F112E"/>
    <w:rsid w:val="005F192C"/>
    <w:rsid w:val="005F59DA"/>
    <w:rsid w:val="005F7D79"/>
    <w:rsid w:val="00600F93"/>
    <w:rsid w:val="00601BB5"/>
    <w:rsid w:val="00601EA4"/>
    <w:rsid w:val="00602723"/>
    <w:rsid w:val="00603D9E"/>
    <w:rsid w:val="006076C3"/>
    <w:rsid w:val="00610CC4"/>
    <w:rsid w:val="00610F81"/>
    <w:rsid w:val="00612C57"/>
    <w:rsid w:val="00612D1F"/>
    <w:rsid w:val="00614559"/>
    <w:rsid w:val="006159B5"/>
    <w:rsid w:val="00616918"/>
    <w:rsid w:val="0061697D"/>
    <w:rsid w:val="006170E1"/>
    <w:rsid w:val="00617828"/>
    <w:rsid w:val="0062243E"/>
    <w:rsid w:val="00622442"/>
    <w:rsid w:val="00622DDD"/>
    <w:rsid w:val="006233C5"/>
    <w:rsid w:val="00623B1C"/>
    <w:rsid w:val="00624AD0"/>
    <w:rsid w:val="0062574E"/>
    <w:rsid w:val="00626C9E"/>
    <w:rsid w:val="00626EB1"/>
    <w:rsid w:val="006273D7"/>
    <w:rsid w:val="00627A39"/>
    <w:rsid w:val="00631077"/>
    <w:rsid w:val="006314C8"/>
    <w:rsid w:val="0063267F"/>
    <w:rsid w:val="006332A8"/>
    <w:rsid w:val="006364B7"/>
    <w:rsid w:val="006366A9"/>
    <w:rsid w:val="006366B8"/>
    <w:rsid w:val="0063749A"/>
    <w:rsid w:val="00637B90"/>
    <w:rsid w:val="00640AB8"/>
    <w:rsid w:val="006411E8"/>
    <w:rsid w:val="006412C7"/>
    <w:rsid w:val="006414DC"/>
    <w:rsid w:val="0064229C"/>
    <w:rsid w:val="006423C8"/>
    <w:rsid w:val="006423D4"/>
    <w:rsid w:val="00642B1B"/>
    <w:rsid w:val="00642EE8"/>
    <w:rsid w:val="0064302F"/>
    <w:rsid w:val="00643429"/>
    <w:rsid w:val="006434DE"/>
    <w:rsid w:val="006439C0"/>
    <w:rsid w:val="00643A91"/>
    <w:rsid w:val="00644836"/>
    <w:rsid w:val="00644A22"/>
    <w:rsid w:val="006453C2"/>
    <w:rsid w:val="00645402"/>
    <w:rsid w:val="00647EC0"/>
    <w:rsid w:val="006507F3"/>
    <w:rsid w:val="00650A14"/>
    <w:rsid w:val="00650C73"/>
    <w:rsid w:val="006515A8"/>
    <w:rsid w:val="0065214A"/>
    <w:rsid w:val="00653436"/>
    <w:rsid w:val="00653799"/>
    <w:rsid w:val="00653E11"/>
    <w:rsid w:val="00653FB4"/>
    <w:rsid w:val="0065446A"/>
    <w:rsid w:val="006555EE"/>
    <w:rsid w:val="00655EDA"/>
    <w:rsid w:val="006570B0"/>
    <w:rsid w:val="0065786F"/>
    <w:rsid w:val="00657B25"/>
    <w:rsid w:val="00660538"/>
    <w:rsid w:val="0066082D"/>
    <w:rsid w:val="00660F59"/>
    <w:rsid w:val="00661991"/>
    <w:rsid w:val="0066272C"/>
    <w:rsid w:val="00667F7B"/>
    <w:rsid w:val="006707A9"/>
    <w:rsid w:val="006709F5"/>
    <w:rsid w:val="00671652"/>
    <w:rsid w:val="006726AD"/>
    <w:rsid w:val="00672710"/>
    <w:rsid w:val="00673236"/>
    <w:rsid w:val="0067459D"/>
    <w:rsid w:val="006747C9"/>
    <w:rsid w:val="0067571C"/>
    <w:rsid w:val="006760AC"/>
    <w:rsid w:val="00676601"/>
    <w:rsid w:val="00677287"/>
    <w:rsid w:val="00677B9E"/>
    <w:rsid w:val="00680D33"/>
    <w:rsid w:val="00681957"/>
    <w:rsid w:val="006837E5"/>
    <w:rsid w:val="006914F2"/>
    <w:rsid w:val="00691574"/>
    <w:rsid w:val="006929AD"/>
    <w:rsid w:val="00692F1C"/>
    <w:rsid w:val="00693D53"/>
    <w:rsid w:val="0069721E"/>
    <w:rsid w:val="006974D9"/>
    <w:rsid w:val="006978C4"/>
    <w:rsid w:val="006A0752"/>
    <w:rsid w:val="006A1AF7"/>
    <w:rsid w:val="006A2319"/>
    <w:rsid w:val="006A45D6"/>
    <w:rsid w:val="006A46AC"/>
    <w:rsid w:val="006A4ABF"/>
    <w:rsid w:val="006A7F13"/>
    <w:rsid w:val="006B01A5"/>
    <w:rsid w:val="006B03C4"/>
    <w:rsid w:val="006B04BA"/>
    <w:rsid w:val="006B1708"/>
    <w:rsid w:val="006B1AF6"/>
    <w:rsid w:val="006B2CE7"/>
    <w:rsid w:val="006B3D73"/>
    <w:rsid w:val="006B4BA9"/>
    <w:rsid w:val="006B64FC"/>
    <w:rsid w:val="006B6D35"/>
    <w:rsid w:val="006C02B5"/>
    <w:rsid w:val="006C0446"/>
    <w:rsid w:val="006C1399"/>
    <w:rsid w:val="006C17F1"/>
    <w:rsid w:val="006C1B12"/>
    <w:rsid w:val="006C25B7"/>
    <w:rsid w:val="006C2650"/>
    <w:rsid w:val="006C4173"/>
    <w:rsid w:val="006C4629"/>
    <w:rsid w:val="006C4A77"/>
    <w:rsid w:val="006C5301"/>
    <w:rsid w:val="006C58B0"/>
    <w:rsid w:val="006C5E4D"/>
    <w:rsid w:val="006C63BA"/>
    <w:rsid w:val="006C6C1B"/>
    <w:rsid w:val="006C7BB2"/>
    <w:rsid w:val="006C7EB7"/>
    <w:rsid w:val="006C7FEF"/>
    <w:rsid w:val="006D0322"/>
    <w:rsid w:val="006D06B4"/>
    <w:rsid w:val="006D0A06"/>
    <w:rsid w:val="006D0DD8"/>
    <w:rsid w:val="006D0E9A"/>
    <w:rsid w:val="006D1C1D"/>
    <w:rsid w:val="006D26C7"/>
    <w:rsid w:val="006D2B95"/>
    <w:rsid w:val="006D2FA0"/>
    <w:rsid w:val="006D629B"/>
    <w:rsid w:val="006D6AD8"/>
    <w:rsid w:val="006D7CDE"/>
    <w:rsid w:val="006D7DB4"/>
    <w:rsid w:val="006E1411"/>
    <w:rsid w:val="006E1AC1"/>
    <w:rsid w:val="006E332A"/>
    <w:rsid w:val="006E337E"/>
    <w:rsid w:val="006E5565"/>
    <w:rsid w:val="006E6A46"/>
    <w:rsid w:val="006E6DCC"/>
    <w:rsid w:val="006F07B1"/>
    <w:rsid w:val="006F0D3D"/>
    <w:rsid w:val="006F347D"/>
    <w:rsid w:val="006F374C"/>
    <w:rsid w:val="006F3EB8"/>
    <w:rsid w:val="006F61C6"/>
    <w:rsid w:val="006F699A"/>
    <w:rsid w:val="006F736A"/>
    <w:rsid w:val="006F76E6"/>
    <w:rsid w:val="006F7794"/>
    <w:rsid w:val="00700524"/>
    <w:rsid w:val="007007DF"/>
    <w:rsid w:val="007015A1"/>
    <w:rsid w:val="00703099"/>
    <w:rsid w:val="0070316D"/>
    <w:rsid w:val="00705C49"/>
    <w:rsid w:val="00705C7B"/>
    <w:rsid w:val="00706315"/>
    <w:rsid w:val="007070B0"/>
    <w:rsid w:val="007074DE"/>
    <w:rsid w:val="0071013A"/>
    <w:rsid w:val="00710B2D"/>
    <w:rsid w:val="00711AD6"/>
    <w:rsid w:val="007126A5"/>
    <w:rsid w:val="007126E7"/>
    <w:rsid w:val="00713B07"/>
    <w:rsid w:val="0071408E"/>
    <w:rsid w:val="0071424C"/>
    <w:rsid w:val="0071451C"/>
    <w:rsid w:val="00715317"/>
    <w:rsid w:val="00715CC3"/>
    <w:rsid w:val="00716911"/>
    <w:rsid w:val="00716AD6"/>
    <w:rsid w:val="00716C75"/>
    <w:rsid w:val="00716DB3"/>
    <w:rsid w:val="007171A6"/>
    <w:rsid w:val="007172B6"/>
    <w:rsid w:val="007177B6"/>
    <w:rsid w:val="007177C9"/>
    <w:rsid w:val="00717B5E"/>
    <w:rsid w:val="00720093"/>
    <w:rsid w:val="00720744"/>
    <w:rsid w:val="0072271D"/>
    <w:rsid w:val="00723B80"/>
    <w:rsid w:val="00724C94"/>
    <w:rsid w:val="00724F20"/>
    <w:rsid w:val="00726772"/>
    <w:rsid w:val="007267A4"/>
    <w:rsid w:val="007267C6"/>
    <w:rsid w:val="0072762E"/>
    <w:rsid w:val="00727DDE"/>
    <w:rsid w:val="007306A3"/>
    <w:rsid w:val="007308ED"/>
    <w:rsid w:val="00731B4D"/>
    <w:rsid w:val="0073302A"/>
    <w:rsid w:val="00734129"/>
    <w:rsid w:val="00735DBF"/>
    <w:rsid w:val="007366BD"/>
    <w:rsid w:val="00737985"/>
    <w:rsid w:val="00740627"/>
    <w:rsid w:val="0074094A"/>
    <w:rsid w:val="00740E5A"/>
    <w:rsid w:val="0074124D"/>
    <w:rsid w:val="007412CD"/>
    <w:rsid w:val="00742323"/>
    <w:rsid w:val="00742A39"/>
    <w:rsid w:val="00742BE2"/>
    <w:rsid w:val="00744067"/>
    <w:rsid w:val="00744408"/>
    <w:rsid w:val="00745C02"/>
    <w:rsid w:val="007461A8"/>
    <w:rsid w:val="00746AED"/>
    <w:rsid w:val="00747D3F"/>
    <w:rsid w:val="00750A97"/>
    <w:rsid w:val="0075212E"/>
    <w:rsid w:val="007524A5"/>
    <w:rsid w:val="00753B83"/>
    <w:rsid w:val="00753CA9"/>
    <w:rsid w:val="00753E9B"/>
    <w:rsid w:val="00754619"/>
    <w:rsid w:val="00754C02"/>
    <w:rsid w:val="00756A3A"/>
    <w:rsid w:val="00756E83"/>
    <w:rsid w:val="00760A45"/>
    <w:rsid w:val="0076188B"/>
    <w:rsid w:val="00761C1B"/>
    <w:rsid w:val="0076289B"/>
    <w:rsid w:val="0076426F"/>
    <w:rsid w:val="00764A49"/>
    <w:rsid w:val="00765327"/>
    <w:rsid w:val="00766753"/>
    <w:rsid w:val="00767085"/>
    <w:rsid w:val="007673B6"/>
    <w:rsid w:val="00767DEF"/>
    <w:rsid w:val="007701A4"/>
    <w:rsid w:val="0077104E"/>
    <w:rsid w:val="007710BC"/>
    <w:rsid w:val="00771317"/>
    <w:rsid w:val="007719C0"/>
    <w:rsid w:val="00771A25"/>
    <w:rsid w:val="00771C5D"/>
    <w:rsid w:val="0077214C"/>
    <w:rsid w:val="00772416"/>
    <w:rsid w:val="00772ABD"/>
    <w:rsid w:val="00774916"/>
    <w:rsid w:val="0077566A"/>
    <w:rsid w:val="00776F2F"/>
    <w:rsid w:val="00777577"/>
    <w:rsid w:val="00777C63"/>
    <w:rsid w:val="007802A0"/>
    <w:rsid w:val="00780F8C"/>
    <w:rsid w:val="007815E4"/>
    <w:rsid w:val="007819F8"/>
    <w:rsid w:val="00781B57"/>
    <w:rsid w:val="007820BD"/>
    <w:rsid w:val="007821CA"/>
    <w:rsid w:val="007821FE"/>
    <w:rsid w:val="00782340"/>
    <w:rsid w:val="0078274A"/>
    <w:rsid w:val="007839F8"/>
    <w:rsid w:val="007843D5"/>
    <w:rsid w:val="0078458C"/>
    <w:rsid w:val="00784BCD"/>
    <w:rsid w:val="0078540E"/>
    <w:rsid w:val="00786453"/>
    <w:rsid w:val="0079221A"/>
    <w:rsid w:val="00792D14"/>
    <w:rsid w:val="00792D28"/>
    <w:rsid w:val="00793F04"/>
    <w:rsid w:val="00794249"/>
    <w:rsid w:val="007970E3"/>
    <w:rsid w:val="00797175"/>
    <w:rsid w:val="007A1E03"/>
    <w:rsid w:val="007A2DAB"/>
    <w:rsid w:val="007A3005"/>
    <w:rsid w:val="007A450A"/>
    <w:rsid w:val="007A5B85"/>
    <w:rsid w:val="007A5F6F"/>
    <w:rsid w:val="007A6660"/>
    <w:rsid w:val="007A6B0B"/>
    <w:rsid w:val="007A6C5C"/>
    <w:rsid w:val="007A7790"/>
    <w:rsid w:val="007B08C3"/>
    <w:rsid w:val="007B19E2"/>
    <w:rsid w:val="007B279F"/>
    <w:rsid w:val="007B28E6"/>
    <w:rsid w:val="007B30A3"/>
    <w:rsid w:val="007B4530"/>
    <w:rsid w:val="007B4E8F"/>
    <w:rsid w:val="007B7410"/>
    <w:rsid w:val="007C0110"/>
    <w:rsid w:val="007C044C"/>
    <w:rsid w:val="007C0E82"/>
    <w:rsid w:val="007C2295"/>
    <w:rsid w:val="007C2F06"/>
    <w:rsid w:val="007C2F13"/>
    <w:rsid w:val="007C326E"/>
    <w:rsid w:val="007C36C5"/>
    <w:rsid w:val="007C4ED7"/>
    <w:rsid w:val="007C5035"/>
    <w:rsid w:val="007C593E"/>
    <w:rsid w:val="007C71FC"/>
    <w:rsid w:val="007C7565"/>
    <w:rsid w:val="007C768A"/>
    <w:rsid w:val="007C7AE2"/>
    <w:rsid w:val="007D033E"/>
    <w:rsid w:val="007D2042"/>
    <w:rsid w:val="007D2141"/>
    <w:rsid w:val="007D3277"/>
    <w:rsid w:val="007D3C79"/>
    <w:rsid w:val="007D53C6"/>
    <w:rsid w:val="007D5BED"/>
    <w:rsid w:val="007D5DAB"/>
    <w:rsid w:val="007D6859"/>
    <w:rsid w:val="007D6A36"/>
    <w:rsid w:val="007D6C26"/>
    <w:rsid w:val="007D6EA4"/>
    <w:rsid w:val="007D7DE9"/>
    <w:rsid w:val="007E0D44"/>
    <w:rsid w:val="007E1AB3"/>
    <w:rsid w:val="007E2062"/>
    <w:rsid w:val="007E31F0"/>
    <w:rsid w:val="007E35D5"/>
    <w:rsid w:val="007E4AC9"/>
    <w:rsid w:val="007E58E6"/>
    <w:rsid w:val="007E66D1"/>
    <w:rsid w:val="007F0FF0"/>
    <w:rsid w:val="007F1A56"/>
    <w:rsid w:val="007F3120"/>
    <w:rsid w:val="007F423E"/>
    <w:rsid w:val="007F4872"/>
    <w:rsid w:val="007F4B99"/>
    <w:rsid w:val="007F6E18"/>
    <w:rsid w:val="007F72B8"/>
    <w:rsid w:val="0080072E"/>
    <w:rsid w:val="0080098F"/>
    <w:rsid w:val="008009F6"/>
    <w:rsid w:val="008014D4"/>
    <w:rsid w:val="00801D32"/>
    <w:rsid w:val="0080213C"/>
    <w:rsid w:val="008027A1"/>
    <w:rsid w:val="008032D5"/>
    <w:rsid w:val="008037C1"/>
    <w:rsid w:val="00804161"/>
    <w:rsid w:val="00804AF2"/>
    <w:rsid w:val="00804EBF"/>
    <w:rsid w:val="00806407"/>
    <w:rsid w:val="0080790B"/>
    <w:rsid w:val="00807D0E"/>
    <w:rsid w:val="00807FD0"/>
    <w:rsid w:val="00810666"/>
    <w:rsid w:val="00810E88"/>
    <w:rsid w:val="00812272"/>
    <w:rsid w:val="00813290"/>
    <w:rsid w:val="00815013"/>
    <w:rsid w:val="008162FB"/>
    <w:rsid w:val="00817605"/>
    <w:rsid w:val="008218C7"/>
    <w:rsid w:val="00822256"/>
    <w:rsid w:val="00822B15"/>
    <w:rsid w:val="00823384"/>
    <w:rsid w:val="008252E7"/>
    <w:rsid w:val="0082638B"/>
    <w:rsid w:val="00826629"/>
    <w:rsid w:val="00826C37"/>
    <w:rsid w:val="00826CD5"/>
    <w:rsid w:val="008270E2"/>
    <w:rsid w:val="008273D7"/>
    <w:rsid w:val="008304A1"/>
    <w:rsid w:val="0083453E"/>
    <w:rsid w:val="008345DC"/>
    <w:rsid w:val="00834785"/>
    <w:rsid w:val="00835031"/>
    <w:rsid w:val="00835173"/>
    <w:rsid w:val="00835A43"/>
    <w:rsid w:val="00835A67"/>
    <w:rsid w:val="00835E0B"/>
    <w:rsid w:val="008367E4"/>
    <w:rsid w:val="008370A6"/>
    <w:rsid w:val="008379B3"/>
    <w:rsid w:val="008427A4"/>
    <w:rsid w:val="00842929"/>
    <w:rsid w:val="00843462"/>
    <w:rsid w:val="008437BB"/>
    <w:rsid w:val="00843A2B"/>
    <w:rsid w:val="00843B17"/>
    <w:rsid w:val="00844B66"/>
    <w:rsid w:val="008454A5"/>
    <w:rsid w:val="008476B7"/>
    <w:rsid w:val="008477FA"/>
    <w:rsid w:val="00847BC9"/>
    <w:rsid w:val="00847C23"/>
    <w:rsid w:val="00850CEB"/>
    <w:rsid w:val="00851672"/>
    <w:rsid w:val="00851B73"/>
    <w:rsid w:val="00852315"/>
    <w:rsid w:val="00852F46"/>
    <w:rsid w:val="0085357A"/>
    <w:rsid w:val="00853F7B"/>
    <w:rsid w:val="00855763"/>
    <w:rsid w:val="00856869"/>
    <w:rsid w:val="00856C87"/>
    <w:rsid w:val="00860D5E"/>
    <w:rsid w:val="00861638"/>
    <w:rsid w:val="00862004"/>
    <w:rsid w:val="008626D5"/>
    <w:rsid w:val="00862F9C"/>
    <w:rsid w:val="00863999"/>
    <w:rsid w:val="00863A51"/>
    <w:rsid w:val="00863C38"/>
    <w:rsid w:val="008644EA"/>
    <w:rsid w:val="00865538"/>
    <w:rsid w:val="008675BE"/>
    <w:rsid w:val="008679AD"/>
    <w:rsid w:val="00867F34"/>
    <w:rsid w:val="00870133"/>
    <w:rsid w:val="00870271"/>
    <w:rsid w:val="00870C0A"/>
    <w:rsid w:val="00870D09"/>
    <w:rsid w:val="008721EB"/>
    <w:rsid w:val="00872894"/>
    <w:rsid w:val="008741D1"/>
    <w:rsid w:val="008742C0"/>
    <w:rsid w:val="008759E6"/>
    <w:rsid w:val="00875D38"/>
    <w:rsid w:val="00876EDF"/>
    <w:rsid w:val="0088244E"/>
    <w:rsid w:val="008829C6"/>
    <w:rsid w:val="00882FB5"/>
    <w:rsid w:val="00885551"/>
    <w:rsid w:val="008879C3"/>
    <w:rsid w:val="00890CC1"/>
    <w:rsid w:val="0089293F"/>
    <w:rsid w:val="00892B73"/>
    <w:rsid w:val="008931FC"/>
    <w:rsid w:val="00894081"/>
    <w:rsid w:val="00895B58"/>
    <w:rsid w:val="00896478"/>
    <w:rsid w:val="00896714"/>
    <w:rsid w:val="008973F5"/>
    <w:rsid w:val="0089778D"/>
    <w:rsid w:val="008A0370"/>
    <w:rsid w:val="008A0866"/>
    <w:rsid w:val="008A25DE"/>
    <w:rsid w:val="008A2663"/>
    <w:rsid w:val="008A44D8"/>
    <w:rsid w:val="008A77F3"/>
    <w:rsid w:val="008B06BC"/>
    <w:rsid w:val="008B1458"/>
    <w:rsid w:val="008B1833"/>
    <w:rsid w:val="008B24CA"/>
    <w:rsid w:val="008B2DA0"/>
    <w:rsid w:val="008B3E37"/>
    <w:rsid w:val="008B40AF"/>
    <w:rsid w:val="008B4244"/>
    <w:rsid w:val="008B45E5"/>
    <w:rsid w:val="008B5387"/>
    <w:rsid w:val="008B58A0"/>
    <w:rsid w:val="008B60A4"/>
    <w:rsid w:val="008C0B09"/>
    <w:rsid w:val="008C0E63"/>
    <w:rsid w:val="008C2190"/>
    <w:rsid w:val="008C45EC"/>
    <w:rsid w:val="008C4E65"/>
    <w:rsid w:val="008C55CE"/>
    <w:rsid w:val="008C6E39"/>
    <w:rsid w:val="008C7541"/>
    <w:rsid w:val="008D2A43"/>
    <w:rsid w:val="008D352C"/>
    <w:rsid w:val="008D37FB"/>
    <w:rsid w:val="008D390A"/>
    <w:rsid w:val="008D4990"/>
    <w:rsid w:val="008D49A8"/>
    <w:rsid w:val="008D5AB6"/>
    <w:rsid w:val="008D5E6C"/>
    <w:rsid w:val="008D793D"/>
    <w:rsid w:val="008E00E2"/>
    <w:rsid w:val="008E1EE1"/>
    <w:rsid w:val="008E2068"/>
    <w:rsid w:val="008E3078"/>
    <w:rsid w:val="008E30C8"/>
    <w:rsid w:val="008E314C"/>
    <w:rsid w:val="008E3584"/>
    <w:rsid w:val="008E6C47"/>
    <w:rsid w:val="008E6F2C"/>
    <w:rsid w:val="008F00DF"/>
    <w:rsid w:val="008F0EAA"/>
    <w:rsid w:val="008F2317"/>
    <w:rsid w:val="008F268D"/>
    <w:rsid w:val="008F4CEB"/>
    <w:rsid w:val="008F685E"/>
    <w:rsid w:val="008F7625"/>
    <w:rsid w:val="00900950"/>
    <w:rsid w:val="00900A8B"/>
    <w:rsid w:val="00900E07"/>
    <w:rsid w:val="00900FDA"/>
    <w:rsid w:val="00903FD6"/>
    <w:rsid w:val="00904351"/>
    <w:rsid w:val="00905662"/>
    <w:rsid w:val="00905EBD"/>
    <w:rsid w:val="00906524"/>
    <w:rsid w:val="00906A2D"/>
    <w:rsid w:val="009073C4"/>
    <w:rsid w:val="009076E4"/>
    <w:rsid w:val="0091013E"/>
    <w:rsid w:val="0091207A"/>
    <w:rsid w:val="009147C0"/>
    <w:rsid w:val="00917741"/>
    <w:rsid w:val="009201E7"/>
    <w:rsid w:val="009204BB"/>
    <w:rsid w:val="00920BF0"/>
    <w:rsid w:val="00921905"/>
    <w:rsid w:val="00921E5B"/>
    <w:rsid w:val="00922C25"/>
    <w:rsid w:val="009231C3"/>
    <w:rsid w:val="00923E01"/>
    <w:rsid w:val="00924203"/>
    <w:rsid w:val="009246DB"/>
    <w:rsid w:val="00926374"/>
    <w:rsid w:val="00927221"/>
    <w:rsid w:val="009274D5"/>
    <w:rsid w:val="0092767A"/>
    <w:rsid w:val="00927A01"/>
    <w:rsid w:val="00930665"/>
    <w:rsid w:val="00930B32"/>
    <w:rsid w:val="00932BB8"/>
    <w:rsid w:val="00934333"/>
    <w:rsid w:val="0093726A"/>
    <w:rsid w:val="00937DEF"/>
    <w:rsid w:val="009402BF"/>
    <w:rsid w:val="00942899"/>
    <w:rsid w:val="009429F7"/>
    <w:rsid w:val="0094333C"/>
    <w:rsid w:val="009435F0"/>
    <w:rsid w:val="00943C13"/>
    <w:rsid w:val="00943CD8"/>
    <w:rsid w:val="00945B58"/>
    <w:rsid w:val="009469B4"/>
    <w:rsid w:val="0094719F"/>
    <w:rsid w:val="00947598"/>
    <w:rsid w:val="0095051F"/>
    <w:rsid w:val="00951AFB"/>
    <w:rsid w:val="009523BC"/>
    <w:rsid w:val="009531EC"/>
    <w:rsid w:val="00953CB8"/>
    <w:rsid w:val="009541CC"/>
    <w:rsid w:val="009547D9"/>
    <w:rsid w:val="0095487B"/>
    <w:rsid w:val="00954DB5"/>
    <w:rsid w:val="009559B6"/>
    <w:rsid w:val="009559E4"/>
    <w:rsid w:val="00955D30"/>
    <w:rsid w:val="0095613D"/>
    <w:rsid w:val="0095627B"/>
    <w:rsid w:val="00956ED4"/>
    <w:rsid w:val="00956F89"/>
    <w:rsid w:val="00957370"/>
    <w:rsid w:val="00957D87"/>
    <w:rsid w:val="00962812"/>
    <w:rsid w:val="009640A1"/>
    <w:rsid w:val="00965293"/>
    <w:rsid w:val="00966F01"/>
    <w:rsid w:val="0096711A"/>
    <w:rsid w:val="00967169"/>
    <w:rsid w:val="0096739D"/>
    <w:rsid w:val="00967FA0"/>
    <w:rsid w:val="00971531"/>
    <w:rsid w:val="009720A3"/>
    <w:rsid w:val="00972497"/>
    <w:rsid w:val="009725FB"/>
    <w:rsid w:val="009738B1"/>
    <w:rsid w:val="00973A3F"/>
    <w:rsid w:val="00973CE5"/>
    <w:rsid w:val="00973F13"/>
    <w:rsid w:val="0097458E"/>
    <w:rsid w:val="00974C44"/>
    <w:rsid w:val="00975624"/>
    <w:rsid w:val="00975C52"/>
    <w:rsid w:val="0097727A"/>
    <w:rsid w:val="009772C7"/>
    <w:rsid w:val="00980B04"/>
    <w:rsid w:val="009816F0"/>
    <w:rsid w:val="00981A1D"/>
    <w:rsid w:val="00982338"/>
    <w:rsid w:val="009827EA"/>
    <w:rsid w:val="00982C75"/>
    <w:rsid w:val="009835C5"/>
    <w:rsid w:val="00984AB0"/>
    <w:rsid w:val="009876BC"/>
    <w:rsid w:val="00987BAF"/>
    <w:rsid w:val="00987D94"/>
    <w:rsid w:val="00987E02"/>
    <w:rsid w:val="0099206B"/>
    <w:rsid w:val="009922DC"/>
    <w:rsid w:val="009928DC"/>
    <w:rsid w:val="00993EAA"/>
    <w:rsid w:val="00994397"/>
    <w:rsid w:val="00995DC8"/>
    <w:rsid w:val="009962F8"/>
    <w:rsid w:val="009A387A"/>
    <w:rsid w:val="009A44E2"/>
    <w:rsid w:val="009A4F17"/>
    <w:rsid w:val="009A5459"/>
    <w:rsid w:val="009A6745"/>
    <w:rsid w:val="009A6EE4"/>
    <w:rsid w:val="009A70E0"/>
    <w:rsid w:val="009A730A"/>
    <w:rsid w:val="009A75EC"/>
    <w:rsid w:val="009B0CEB"/>
    <w:rsid w:val="009B1762"/>
    <w:rsid w:val="009B7236"/>
    <w:rsid w:val="009B7A79"/>
    <w:rsid w:val="009B7C6C"/>
    <w:rsid w:val="009C1117"/>
    <w:rsid w:val="009C3189"/>
    <w:rsid w:val="009C39E4"/>
    <w:rsid w:val="009C4569"/>
    <w:rsid w:val="009C48E4"/>
    <w:rsid w:val="009C6CC3"/>
    <w:rsid w:val="009C72FA"/>
    <w:rsid w:val="009C769F"/>
    <w:rsid w:val="009D0123"/>
    <w:rsid w:val="009D01AA"/>
    <w:rsid w:val="009D0857"/>
    <w:rsid w:val="009D3EC8"/>
    <w:rsid w:val="009D5178"/>
    <w:rsid w:val="009D61D2"/>
    <w:rsid w:val="009D6F6B"/>
    <w:rsid w:val="009D7208"/>
    <w:rsid w:val="009E002D"/>
    <w:rsid w:val="009E065A"/>
    <w:rsid w:val="009E0B23"/>
    <w:rsid w:val="009E1294"/>
    <w:rsid w:val="009E132C"/>
    <w:rsid w:val="009E15F2"/>
    <w:rsid w:val="009E37FF"/>
    <w:rsid w:val="009E3C1F"/>
    <w:rsid w:val="009E45E8"/>
    <w:rsid w:val="009E4911"/>
    <w:rsid w:val="009E5745"/>
    <w:rsid w:val="009F0E21"/>
    <w:rsid w:val="009F0E3C"/>
    <w:rsid w:val="009F31C4"/>
    <w:rsid w:val="009F5F74"/>
    <w:rsid w:val="009F6837"/>
    <w:rsid w:val="009F6CBB"/>
    <w:rsid w:val="009F705B"/>
    <w:rsid w:val="009F7333"/>
    <w:rsid w:val="00A003F5"/>
    <w:rsid w:val="00A01E99"/>
    <w:rsid w:val="00A02F3E"/>
    <w:rsid w:val="00A02FEA"/>
    <w:rsid w:val="00A031D2"/>
    <w:rsid w:val="00A061AB"/>
    <w:rsid w:val="00A07272"/>
    <w:rsid w:val="00A07511"/>
    <w:rsid w:val="00A10647"/>
    <w:rsid w:val="00A1078F"/>
    <w:rsid w:val="00A10E1A"/>
    <w:rsid w:val="00A12A77"/>
    <w:rsid w:val="00A1311F"/>
    <w:rsid w:val="00A14D77"/>
    <w:rsid w:val="00A15D7C"/>
    <w:rsid w:val="00A203F8"/>
    <w:rsid w:val="00A21914"/>
    <w:rsid w:val="00A2235D"/>
    <w:rsid w:val="00A23727"/>
    <w:rsid w:val="00A2387F"/>
    <w:rsid w:val="00A245B9"/>
    <w:rsid w:val="00A24F0E"/>
    <w:rsid w:val="00A26074"/>
    <w:rsid w:val="00A263A1"/>
    <w:rsid w:val="00A26FBC"/>
    <w:rsid w:val="00A31E59"/>
    <w:rsid w:val="00A34A19"/>
    <w:rsid w:val="00A3533C"/>
    <w:rsid w:val="00A35356"/>
    <w:rsid w:val="00A40E7E"/>
    <w:rsid w:val="00A41A20"/>
    <w:rsid w:val="00A41FBB"/>
    <w:rsid w:val="00A42294"/>
    <w:rsid w:val="00A422CB"/>
    <w:rsid w:val="00A4295C"/>
    <w:rsid w:val="00A42B8D"/>
    <w:rsid w:val="00A42D08"/>
    <w:rsid w:val="00A438EF"/>
    <w:rsid w:val="00A43A61"/>
    <w:rsid w:val="00A460E2"/>
    <w:rsid w:val="00A46170"/>
    <w:rsid w:val="00A46CCE"/>
    <w:rsid w:val="00A46E71"/>
    <w:rsid w:val="00A4728D"/>
    <w:rsid w:val="00A47879"/>
    <w:rsid w:val="00A47DA0"/>
    <w:rsid w:val="00A5156C"/>
    <w:rsid w:val="00A51635"/>
    <w:rsid w:val="00A51F98"/>
    <w:rsid w:val="00A569A6"/>
    <w:rsid w:val="00A613A5"/>
    <w:rsid w:val="00A615DE"/>
    <w:rsid w:val="00A61EC9"/>
    <w:rsid w:val="00A62673"/>
    <w:rsid w:val="00A63199"/>
    <w:rsid w:val="00A633D6"/>
    <w:rsid w:val="00A638E9"/>
    <w:rsid w:val="00A63F02"/>
    <w:rsid w:val="00A63FAF"/>
    <w:rsid w:val="00A653CD"/>
    <w:rsid w:val="00A65D5A"/>
    <w:rsid w:val="00A67936"/>
    <w:rsid w:val="00A67A4A"/>
    <w:rsid w:val="00A703B5"/>
    <w:rsid w:val="00A72820"/>
    <w:rsid w:val="00A74BFE"/>
    <w:rsid w:val="00A76A92"/>
    <w:rsid w:val="00A804E3"/>
    <w:rsid w:val="00A819CD"/>
    <w:rsid w:val="00A830C0"/>
    <w:rsid w:val="00A83288"/>
    <w:rsid w:val="00A83BEA"/>
    <w:rsid w:val="00A8457D"/>
    <w:rsid w:val="00A84927"/>
    <w:rsid w:val="00A84974"/>
    <w:rsid w:val="00A85CFF"/>
    <w:rsid w:val="00A85E7E"/>
    <w:rsid w:val="00A86987"/>
    <w:rsid w:val="00A87C1C"/>
    <w:rsid w:val="00A87EF2"/>
    <w:rsid w:val="00A902E5"/>
    <w:rsid w:val="00A90885"/>
    <w:rsid w:val="00A918AF"/>
    <w:rsid w:val="00A95F31"/>
    <w:rsid w:val="00A964EC"/>
    <w:rsid w:val="00A96A7B"/>
    <w:rsid w:val="00A971AC"/>
    <w:rsid w:val="00AA1847"/>
    <w:rsid w:val="00AA18D0"/>
    <w:rsid w:val="00AA1EB7"/>
    <w:rsid w:val="00AA2F6F"/>
    <w:rsid w:val="00AA3016"/>
    <w:rsid w:val="00AA4280"/>
    <w:rsid w:val="00AA4B80"/>
    <w:rsid w:val="00AA649C"/>
    <w:rsid w:val="00AA6872"/>
    <w:rsid w:val="00AA7777"/>
    <w:rsid w:val="00AA78D6"/>
    <w:rsid w:val="00AB18C1"/>
    <w:rsid w:val="00AB1B9A"/>
    <w:rsid w:val="00AB30D8"/>
    <w:rsid w:val="00AB36DB"/>
    <w:rsid w:val="00AB5141"/>
    <w:rsid w:val="00AB5A22"/>
    <w:rsid w:val="00AB5CB4"/>
    <w:rsid w:val="00AB6226"/>
    <w:rsid w:val="00AB7301"/>
    <w:rsid w:val="00AB7976"/>
    <w:rsid w:val="00AB7F5D"/>
    <w:rsid w:val="00AC00BE"/>
    <w:rsid w:val="00AC0FE9"/>
    <w:rsid w:val="00AC1595"/>
    <w:rsid w:val="00AC1E96"/>
    <w:rsid w:val="00AC307D"/>
    <w:rsid w:val="00AC30D1"/>
    <w:rsid w:val="00AC350F"/>
    <w:rsid w:val="00AC3513"/>
    <w:rsid w:val="00AC39FD"/>
    <w:rsid w:val="00AC43FC"/>
    <w:rsid w:val="00AC4854"/>
    <w:rsid w:val="00AC6233"/>
    <w:rsid w:val="00AC6369"/>
    <w:rsid w:val="00AC6428"/>
    <w:rsid w:val="00AC7E58"/>
    <w:rsid w:val="00AD2E5C"/>
    <w:rsid w:val="00AD38D3"/>
    <w:rsid w:val="00AD4B75"/>
    <w:rsid w:val="00AD61D8"/>
    <w:rsid w:val="00AD733F"/>
    <w:rsid w:val="00AE013D"/>
    <w:rsid w:val="00AE0324"/>
    <w:rsid w:val="00AE2405"/>
    <w:rsid w:val="00AE24AB"/>
    <w:rsid w:val="00AE3B62"/>
    <w:rsid w:val="00AE5C40"/>
    <w:rsid w:val="00AE6BE0"/>
    <w:rsid w:val="00AE6E8A"/>
    <w:rsid w:val="00AE78B3"/>
    <w:rsid w:val="00AE7E38"/>
    <w:rsid w:val="00AF0DE5"/>
    <w:rsid w:val="00AF1AE5"/>
    <w:rsid w:val="00AF487E"/>
    <w:rsid w:val="00AF4B42"/>
    <w:rsid w:val="00AF4DF7"/>
    <w:rsid w:val="00AF770B"/>
    <w:rsid w:val="00B005EE"/>
    <w:rsid w:val="00B00ED8"/>
    <w:rsid w:val="00B0161B"/>
    <w:rsid w:val="00B025C5"/>
    <w:rsid w:val="00B02D39"/>
    <w:rsid w:val="00B0386C"/>
    <w:rsid w:val="00B03AB1"/>
    <w:rsid w:val="00B03B52"/>
    <w:rsid w:val="00B04765"/>
    <w:rsid w:val="00B04F2A"/>
    <w:rsid w:val="00B05570"/>
    <w:rsid w:val="00B05858"/>
    <w:rsid w:val="00B061D8"/>
    <w:rsid w:val="00B06520"/>
    <w:rsid w:val="00B06A28"/>
    <w:rsid w:val="00B06CA4"/>
    <w:rsid w:val="00B0703C"/>
    <w:rsid w:val="00B07625"/>
    <w:rsid w:val="00B07E97"/>
    <w:rsid w:val="00B10376"/>
    <w:rsid w:val="00B1275A"/>
    <w:rsid w:val="00B13220"/>
    <w:rsid w:val="00B1494E"/>
    <w:rsid w:val="00B15ECF"/>
    <w:rsid w:val="00B16C3A"/>
    <w:rsid w:val="00B172C3"/>
    <w:rsid w:val="00B20CDC"/>
    <w:rsid w:val="00B2158D"/>
    <w:rsid w:val="00B21820"/>
    <w:rsid w:val="00B22E24"/>
    <w:rsid w:val="00B24CA4"/>
    <w:rsid w:val="00B25181"/>
    <w:rsid w:val="00B26C5B"/>
    <w:rsid w:val="00B2731E"/>
    <w:rsid w:val="00B274F9"/>
    <w:rsid w:val="00B30B76"/>
    <w:rsid w:val="00B32554"/>
    <w:rsid w:val="00B3298A"/>
    <w:rsid w:val="00B36061"/>
    <w:rsid w:val="00B36167"/>
    <w:rsid w:val="00B368CC"/>
    <w:rsid w:val="00B376A8"/>
    <w:rsid w:val="00B40D75"/>
    <w:rsid w:val="00B415CD"/>
    <w:rsid w:val="00B44CA9"/>
    <w:rsid w:val="00B458B7"/>
    <w:rsid w:val="00B45FCF"/>
    <w:rsid w:val="00B46E0F"/>
    <w:rsid w:val="00B50ABB"/>
    <w:rsid w:val="00B50AD6"/>
    <w:rsid w:val="00B50D82"/>
    <w:rsid w:val="00B510A6"/>
    <w:rsid w:val="00B51310"/>
    <w:rsid w:val="00B51473"/>
    <w:rsid w:val="00B51C92"/>
    <w:rsid w:val="00B52EDD"/>
    <w:rsid w:val="00B53735"/>
    <w:rsid w:val="00B53B4D"/>
    <w:rsid w:val="00B61932"/>
    <w:rsid w:val="00B61F48"/>
    <w:rsid w:val="00B628D1"/>
    <w:rsid w:val="00B62C49"/>
    <w:rsid w:val="00B63B94"/>
    <w:rsid w:val="00B64C08"/>
    <w:rsid w:val="00B64D61"/>
    <w:rsid w:val="00B64E55"/>
    <w:rsid w:val="00B651D8"/>
    <w:rsid w:val="00B66C64"/>
    <w:rsid w:val="00B675F1"/>
    <w:rsid w:val="00B67EA2"/>
    <w:rsid w:val="00B70699"/>
    <w:rsid w:val="00B70DEA"/>
    <w:rsid w:val="00B71BC2"/>
    <w:rsid w:val="00B71F89"/>
    <w:rsid w:val="00B727F1"/>
    <w:rsid w:val="00B72CC0"/>
    <w:rsid w:val="00B72CD7"/>
    <w:rsid w:val="00B7328A"/>
    <w:rsid w:val="00B73519"/>
    <w:rsid w:val="00B73604"/>
    <w:rsid w:val="00B73B62"/>
    <w:rsid w:val="00B73ED9"/>
    <w:rsid w:val="00B741D1"/>
    <w:rsid w:val="00B75F56"/>
    <w:rsid w:val="00B77B1D"/>
    <w:rsid w:val="00B802B1"/>
    <w:rsid w:val="00B805B1"/>
    <w:rsid w:val="00B80641"/>
    <w:rsid w:val="00B8163C"/>
    <w:rsid w:val="00B823D6"/>
    <w:rsid w:val="00B82911"/>
    <w:rsid w:val="00B82E26"/>
    <w:rsid w:val="00B83683"/>
    <w:rsid w:val="00B8395C"/>
    <w:rsid w:val="00B83C96"/>
    <w:rsid w:val="00B84E3D"/>
    <w:rsid w:val="00B84FC5"/>
    <w:rsid w:val="00B85D3D"/>
    <w:rsid w:val="00B87EEB"/>
    <w:rsid w:val="00B9236B"/>
    <w:rsid w:val="00B92F07"/>
    <w:rsid w:val="00B9361C"/>
    <w:rsid w:val="00B938BA"/>
    <w:rsid w:val="00B93D93"/>
    <w:rsid w:val="00B93EF8"/>
    <w:rsid w:val="00B94A87"/>
    <w:rsid w:val="00B95336"/>
    <w:rsid w:val="00B95EE5"/>
    <w:rsid w:val="00B96035"/>
    <w:rsid w:val="00B96C88"/>
    <w:rsid w:val="00B97C17"/>
    <w:rsid w:val="00BA00AC"/>
    <w:rsid w:val="00BA05D1"/>
    <w:rsid w:val="00BA0BC1"/>
    <w:rsid w:val="00BA3644"/>
    <w:rsid w:val="00BA3D2E"/>
    <w:rsid w:val="00BA402E"/>
    <w:rsid w:val="00BA471E"/>
    <w:rsid w:val="00BA476C"/>
    <w:rsid w:val="00BA4ACF"/>
    <w:rsid w:val="00BA6217"/>
    <w:rsid w:val="00BA68BC"/>
    <w:rsid w:val="00BA6CEE"/>
    <w:rsid w:val="00BB0633"/>
    <w:rsid w:val="00BB0BE0"/>
    <w:rsid w:val="00BB0D3B"/>
    <w:rsid w:val="00BB1696"/>
    <w:rsid w:val="00BB1A15"/>
    <w:rsid w:val="00BB21C4"/>
    <w:rsid w:val="00BB35BA"/>
    <w:rsid w:val="00BB6048"/>
    <w:rsid w:val="00BB69A0"/>
    <w:rsid w:val="00BB76B8"/>
    <w:rsid w:val="00BC1235"/>
    <w:rsid w:val="00BC1C33"/>
    <w:rsid w:val="00BC2577"/>
    <w:rsid w:val="00BC2BBE"/>
    <w:rsid w:val="00BC2C35"/>
    <w:rsid w:val="00BC33C4"/>
    <w:rsid w:val="00BC3786"/>
    <w:rsid w:val="00BC65F6"/>
    <w:rsid w:val="00BC6C4F"/>
    <w:rsid w:val="00BC6FC8"/>
    <w:rsid w:val="00BC7390"/>
    <w:rsid w:val="00BD06F4"/>
    <w:rsid w:val="00BD15C6"/>
    <w:rsid w:val="00BD18CE"/>
    <w:rsid w:val="00BD2CF3"/>
    <w:rsid w:val="00BD3A5D"/>
    <w:rsid w:val="00BD4FEA"/>
    <w:rsid w:val="00BD5D87"/>
    <w:rsid w:val="00BD7A88"/>
    <w:rsid w:val="00BE01E2"/>
    <w:rsid w:val="00BE50F2"/>
    <w:rsid w:val="00BE5182"/>
    <w:rsid w:val="00BE5C4C"/>
    <w:rsid w:val="00BE5E07"/>
    <w:rsid w:val="00BE7371"/>
    <w:rsid w:val="00BE7BB5"/>
    <w:rsid w:val="00BE7D14"/>
    <w:rsid w:val="00BF2B74"/>
    <w:rsid w:val="00BF30E7"/>
    <w:rsid w:val="00BF31F4"/>
    <w:rsid w:val="00BF3765"/>
    <w:rsid w:val="00BF377D"/>
    <w:rsid w:val="00BF381F"/>
    <w:rsid w:val="00BF54F2"/>
    <w:rsid w:val="00BF589A"/>
    <w:rsid w:val="00BF6ADE"/>
    <w:rsid w:val="00C00E49"/>
    <w:rsid w:val="00C01344"/>
    <w:rsid w:val="00C02395"/>
    <w:rsid w:val="00C03723"/>
    <w:rsid w:val="00C03D8A"/>
    <w:rsid w:val="00C041AF"/>
    <w:rsid w:val="00C045B8"/>
    <w:rsid w:val="00C04603"/>
    <w:rsid w:val="00C07C3F"/>
    <w:rsid w:val="00C10782"/>
    <w:rsid w:val="00C11B19"/>
    <w:rsid w:val="00C13DF4"/>
    <w:rsid w:val="00C14800"/>
    <w:rsid w:val="00C1582D"/>
    <w:rsid w:val="00C1769E"/>
    <w:rsid w:val="00C212FE"/>
    <w:rsid w:val="00C21871"/>
    <w:rsid w:val="00C24F63"/>
    <w:rsid w:val="00C26A96"/>
    <w:rsid w:val="00C26BA3"/>
    <w:rsid w:val="00C26F73"/>
    <w:rsid w:val="00C2781D"/>
    <w:rsid w:val="00C31941"/>
    <w:rsid w:val="00C31995"/>
    <w:rsid w:val="00C339CE"/>
    <w:rsid w:val="00C33A6F"/>
    <w:rsid w:val="00C33C38"/>
    <w:rsid w:val="00C35A4D"/>
    <w:rsid w:val="00C35E99"/>
    <w:rsid w:val="00C3637B"/>
    <w:rsid w:val="00C411E1"/>
    <w:rsid w:val="00C4124B"/>
    <w:rsid w:val="00C42498"/>
    <w:rsid w:val="00C42A39"/>
    <w:rsid w:val="00C430A6"/>
    <w:rsid w:val="00C43457"/>
    <w:rsid w:val="00C43F8A"/>
    <w:rsid w:val="00C454D5"/>
    <w:rsid w:val="00C46BDC"/>
    <w:rsid w:val="00C50AD8"/>
    <w:rsid w:val="00C50FE8"/>
    <w:rsid w:val="00C510F4"/>
    <w:rsid w:val="00C51207"/>
    <w:rsid w:val="00C523E1"/>
    <w:rsid w:val="00C56D0F"/>
    <w:rsid w:val="00C57C9A"/>
    <w:rsid w:val="00C60195"/>
    <w:rsid w:val="00C625D8"/>
    <w:rsid w:val="00C627C9"/>
    <w:rsid w:val="00C64B57"/>
    <w:rsid w:val="00C65453"/>
    <w:rsid w:val="00C65F35"/>
    <w:rsid w:val="00C667A2"/>
    <w:rsid w:val="00C67869"/>
    <w:rsid w:val="00C700F8"/>
    <w:rsid w:val="00C7128E"/>
    <w:rsid w:val="00C72671"/>
    <w:rsid w:val="00C731DD"/>
    <w:rsid w:val="00C7450B"/>
    <w:rsid w:val="00C749B2"/>
    <w:rsid w:val="00C762CB"/>
    <w:rsid w:val="00C80598"/>
    <w:rsid w:val="00C820BC"/>
    <w:rsid w:val="00C84AE8"/>
    <w:rsid w:val="00C851E0"/>
    <w:rsid w:val="00C86400"/>
    <w:rsid w:val="00C90138"/>
    <w:rsid w:val="00C90457"/>
    <w:rsid w:val="00C905B2"/>
    <w:rsid w:val="00C90748"/>
    <w:rsid w:val="00C91D06"/>
    <w:rsid w:val="00C920DF"/>
    <w:rsid w:val="00C927A0"/>
    <w:rsid w:val="00C92DA4"/>
    <w:rsid w:val="00C93BF1"/>
    <w:rsid w:val="00C93F21"/>
    <w:rsid w:val="00C94785"/>
    <w:rsid w:val="00C95889"/>
    <w:rsid w:val="00C95E43"/>
    <w:rsid w:val="00C961BC"/>
    <w:rsid w:val="00C96B72"/>
    <w:rsid w:val="00C978B4"/>
    <w:rsid w:val="00CA0044"/>
    <w:rsid w:val="00CA1EB7"/>
    <w:rsid w:val="00CA1F1A"/>
    <w:rsid w:val="00CA2834"/>
    <w:rsid w:val="00CA2977"/>
    <w:rsid w:val="00CA31CE"/>
    <w:rsid w:val="00CA3CEB"/>
    <w:rsid w:val="00CA59F0"/>
    <w:rsid w:val="00CA6A11"/>
    <w:rsid w:val="00CA708F"/>
    <w:rsid w:val="00CB164B"/>
    <w:rsid w:val="00CB2D98"/>
    <w:rsid w:val="00CB32DC"/>
    <w:rsid w:val="00CB3431"/>
    <w:rsid w:val="00CB4430"/>
    <w:rsid w:val="00CB5C7E"/>
    <w:rsid w:val="00CB7567"/>
    <w:rsid w:val="00CC22D0"/>
    <w:rsid w:val="00CC24C9"/>
    <w:rsid w:val="00CC2C47"/>
    <w:rsid w:val="00CC34B3"/>
    <w:rsid w:val="00CC3BD8"/>
    <w:rsid w:val="00CC3E0C"/>
    <w:rsid w:val="00CC464C"/>
    <w:rsid w:val="00CC4C76"/>
    <w:rsid w:val="00CC4D02"/>
    <w:rsid w:val="00CC5E08"/>
    <w:rsid w:val="00CC670A"/>
    <w:rsid w:val="00CC7A35"/>
    <w:rsid w:val="00CD0212"/>
    <w:rsid w:val="00CD10D7"/>
    <w:rsid w:val="00CD1493"/>
    <w:rsid w:val="00CD226D"/>
    <w:rsid w:val="00CD2630"/>
    <w:rsid w:val="00CD332E"/>
    <w:rsid w:val="00CD3401"/>
    <w:rsid w:val="00CD369C"/>
    <w:rsid w:val="00CD39AB"/>
    <w:rsid w:val="00CD46C9"/>
    <w:rsid w:val="00CD5E48"/>
    <w:rsid w:val="00CD627F"/>
    <w:rsid w:val="00CD75FF"/>
    <w:rsid w:val="00CD7E69"/>
    <w:rsid w:val="00CE1A8E"/>
    <w:rsid w:val="00CE2DDA"/>
    <w:rsid w:val="00CE3861"/>
    <w:rsid w:val="00CE3974"/>
    <w:rsid w:val="00CE4359"/>
    <w:rsid w:val="00CE4AEE"/>
    <w:rsid w:val="00CE50EB"/>
    <w:rsid w:val="00CE5E35"/>
    <w:rsid w:val="00CE5E71"/>
    <w:rsid w:val="00CE65A5"/>
    <w:rsid w:val="00CF0E11"/>
    <w:rsid w:val="00CF1149"/>
    <w:rsid w:val="00CF11FF"/>
    <w:rsid w:val="00CF1F52"/>
    <w:rsid w:val="00CF2062"/>
    <w:rsid w:val="00CF21BA"/>
    <w:rsid w:val="00CF276A"/>
    <w:rsid w:val="00CF27A7"/>
    <w:rsid w:val="00CF34E9"/>
    <w:rsid w:val="00CF44A2"/>
    <w:rsid w:val="00CF48E6"/>
    <w:rsid w:val="00CF534F"/>
    <w:rsid w:val="00CF5C23"/>
    <w:rsid w:val="00CF721B"/>
    <w:rsid w:val="00CF73B1"/>
    <w:rsid w:val="00CF7A5E"/>
    <w:rsid w:val="00D016D4"/>
    <w:rsid w:val="00D029AA"/>
    <w:rsid w:val="00D038B8"/>
    <w:rsid w:val="00D043C2"/>
    <w:rsid w:val="00D04B10"/>
    <w:rsid w:val="00D06D68"/>
    <w:rsid w:val="00D06F81"/>
    <w:rsid w:val="00D07011"/>
    <w:rsid w:val="00D075E5"/>
    <w:rsid w:val="00D0765D"/>
    <w:rsid w:val="00D10606"/>
    <w:rsid w:val="00D16E2C"/>
    <w:rsid w:val="00D17164"/>
    <w:rsid w:val="00D204A7"/>
    <w:rsid w:val="00D211FD"/>
    <w:rsid w:val="00D22953"/>
    <w:rsid w:val="00D23677"/>
    <w:rsid w:val="00D242A3"/>
    <w:rsid w:val="00D254AF"/>
    <w:rsid w:val="00D269DA"/>
    <w:rsid w:val="00D26CB7"/>
    <w:rsid w:val="00D2702C"/>
    <w:rsid w:val="00D278A7"/>
    <w:rsid w:val="00D27B68"/>
    <w:rsid w:val="00D30094"/>
    <w:rsid w:val="00D31249"/>
    <w:rsid w:val="00D3162E"/>
    <w:rsid w:val="00D31785"/>
    <w:rsid w:val="00D319A4"/>
    <w:rsid w:val="00D32247"/>
    <w:rsid w:val="00D324F8"/>
    <w:rsid w:val="00D33E2F"/>
    <w:rsid w:val="00D348D2"/>
    <w:rsid w:val="00D367FB"/>
    <w:rsid w:val="00D36A6F"/>
    <w:rsid w:val="00D378FA"/>
    <w:rsid w:val="00D405B1"/>
    <w:rsid w:val="00D42EB8"/>
    <w:rsid w:val="00D43C2E"/>
    <w:rsid w:val="00D442D6"/>
    <w:rsid w:val="00D45C72"/>
    <w:rsid w:val="00D45C8D"/>
    <w:rsid w:val="00D45D06"/>
    <w:rsid w:val="00D47150"/>
    <w:rsid w:val="00D47270"/>
    <w:rsid w:val="00D51528"/>
    <w:rsid w:val="00D51F48"/>
    <w:rsid w:val="00D520CD"/>
    <w:rsid w:val="00D52794"/>
    <w:rsid w:val="00D52B35"/>
    <w:rsid w:val="00D537EC"/>
    <w:rsid w:val="00D545B4"/>
    <w:rsid w:val="00D54B3D"/>
    <w:rsid w:val="00D555B4"/>
    <w:rsid w:val="00D558A2"/>
    <w:rsid w:val="00D5618A"/>
    <w:rsid w:val="00D56D67"/>
    <w:rsid w:val="00D572FB"/>
    <w:rsid w:val="00D5766A"/>
    <w:rsid w:val="00D57E29"/>
    <w:rsid w:val="00D600B7"/>
    <w:rsid w:val="00D60923"/>
    <w:rsid w:val="00D616AA"/>
    <w:rsid w:val="00D6207E"/>
    <w:rsid w:val="00D62189"/>
    <w:rsid w:val="00D628F2"/>
    <w:rsid w:val="00D628FA"/>
    <w:rsid w:val="00D6303F"/>
    <w:rsid w:val="00D630FD"/>
    <w:rsid w:val="00D64050"/>
    <w:rsid w:val="00D6465B"/>
    <w:rsid w:val="00D64D42"/>
    <w:rsid w:val="00D66C01"/>
    <w:rsid w:val="00D70D2D"/>
    <w:rsid w:val="00D72330"/>
    <w:rsid w:val="00D7250B"/>
    <w:rsid w:val="00D743AE"/>
    <w:rsid w:val="00D75EF7"/>
    <w:rsid w:val="00D77000"/>
    <w:rsid w:val="00D80C56"/>
    <w:rsid w:val="00D80DFA"/>
    <w:rsid w:val="00D81186"/>
    <w:rsid w:val="00D83243"/>
    <w:rsid w:val="00D83761"/>
    <w:rsid w:val="00D84149"/>
    <w:rsid w:val="00D85306"/>
    <w:rsid w:val="00D85388"/>
    <w:rsid w:val="00D858D4"/>
    <w:rsid w:val="00D864BB"/>
    <w:rsid w:val="00D877AA"/>
    <w:rsid w:val="00D879EA"/>
    <w:rsid w:val="00D90619"/>
    <w:rsid w:val="00D90635"/>
    <w:rsid w:val="00D90814"/>
    <w:rsid w:val="00D91779"/>
    <w:rsid w:val="00D91BA9"/>
    <w:rsid w:val="00D9331F"/>
    <w:rsid w:val="00D93DF4"/>
    <w:rsid w:val="00D9675E"/>
    <w:rsid w:val="00D96D82"/>
    <w:rsid w:val="00D97965"/>
    <w:rsid w:val="00DA0337"/>
    <w:rsid w:val="00DA0BBB"/>
    <w:rsid w:val="00DA3429"/>
    <w:rsid w:val="00DA3C32"/>
    <w:rsid w:val="00DA422B"/>
    <w:rsid w:val="00DA5C35"/>
    <w:rsid w:val="00DA5C58"/>
    <w:rsid w:val="00DA5FB3"/>
    <w:rsid w:val="00DA67A2"/>
    <w:rsid w:val="00DB277B"/>
    <w:rsid w:val="00DB2CB8"/>
    <w:rsid w:val="00DB4287"/>
    <w:rsid w:val="00DB4BDC"/>
    <w:rsid w:val="00DB4C99"/>
    <w:rsid w:val="00DB54AA"/>
    <w:rsid w:val="00DB62C7"/>
    <w:rsid w:val="00DB6A01"/>
    <w:rsid w:val="00DB755B"/>
    <w:rsid w:val="00DB764C"/>
    <w:rsid w:val="00DB7CA0"/>
    <w:rsid w:val="00DC068C"/>
    <w:rsid w:val="00DC1477"/>
    <w:rsid w:val="00DC1704"/>
    <w:rsid w:val="00DC17E7"/>
    <w:rsid w:val="00DC1C97"/>
    <w:rsid w:val="00DC2090"/>
    <w:rsid w:val="00DC2945"/>
    <w:rsid w:val="00DC2ED2"/>
    <w:rsid w:val="00DC3C4F"/>
    <w:rsid w:val="00DC4A13"/>
    <w:rsid w:val="00DC55F6"/>
    <w:rsid w:val="00DC70FC"/>
    <w:rsid w:val="00DC78C6"/>
    <w:rsid w:val="00DD0AF3"/>
    <w:rsid w:val="00DD1254"/>
    <w:rsid w:val="00DD2CA9"/>
    <w:rsid w:val="00DD31D9"/>
    <w:rsid w:val="00DD6813"/>
    <w:rsid w:val="00DD6F92"/>
    <w:rsid w:val="00DE081B"/>
    <w:rsid w:val="00DE0D00"/>
    <w:rsid w:val="00DE2003"/>
    <w:rsid w:val="00DE24A7"/>
    <w:rsid w:val="00DE2DAF"/>
    <w:rsid w:val="00DE2E21"/>
    <w:rsid w:val="00DE323A"/>
    <w:rsid w:val="00DE488D"/>
    <w:rsid w:val="00DF08E5"/>
    <w:rsid w:val="00DF0BFB"/>
    <w:rsid w:val="00DF1EFD"/>
    <w:rsid w:val="00DF2697"/>
    <w:rsid w:val="00DF2763"/>
    <w:rsid w:val="00DF31EE"/>
    <w:rsid w:val="00DF4E43"/>
    <w:rsid w:val="00DF5CB7"/>
    <w:rsid w:val="00DF7383"/>
    <w:rsid w:val="00E00030"/>
    <w:rsid w:val="00E00E7E"/>
    <w:rsid w:val="00E016C0"/>
    <w:rsid w:val="00E01CE1"/>
    <w:rsid w:val="00E02214"/>
    <w:rsid w:val="00E02B0D"/>
    <w:rsid w:val="00E04518"/>
    <w:rsid w:val="00E046A5"/>
    <w:rsid w:val="00E05ADD"/>
    <w:rsid w:val="00E0713E"/>
    <w:rsid w:val="00E072C4"/>
    <w:rsid w:val="00E07418"/>
    <w:rsid w:val="00E07501"/>
    <w:rsid w:val="00E07F43"/>
    <w:rsid w:val="00E12B9B"/>
    <w:rsid w:val="00E12F72"/>
    <w:rsid w:val="00E13025"/>
    <w:rsid w:val="00E13B49"/>
    <w:rsid w:val="00E15144"/>
    <w:rsid w:val="00E153B7"/>
    <w:rsid w:val="00E155A8"/>
    <w:rsid w:val="00E15BD0"/>
    <w:rsid w:val="00E160C6"/>
    <w:rsid w:val="00E163FA"/>
    <w:rsid w:val="00E16552"/>
    <w:rsid w:val="00E16670"/>
    <w:rsid w:val="00E16F55"/>
    <w:rsid w:val="00E175FA"/>
    <w:rsid w:val="00E2007A"/>
    <w:rsid w:val="00E20A5F"/>
    <w:rsid w:val="00E211D9"/>
    <w:rsid w:val="00E213FE"/>
    <w:rsid w:val="00E218AB"/>
    <w:rsid w:val="00E23804"/>
    <w:rsid w:val="00E243B7"/>
    <w:rsid w:val="00E24962"/>
    <w:rsid w:val="00E25B71"/>
    <w:rsid w:val="00E264AB"/>
    <w:rsid w:val="00E27AD6"/>
    <w:rsid w:val="00E27DC1"/>
    <w:rsid w:val="00E3138B"/>
    <w:rsid w:val="00E3244A"/>
    <w:rsid w:val="00E32913"/>
    <w:rsid w:val="00E32931"/>
    <w:rsid w:val="00E333D0"/>
    <w:rsid w:val="00E3516B"/>
    <w:rsid w:val="00E3539F"/>
    <w:rsid w:val="00E36E68"/>
    <w:rsid w:val="00E37EE5"/>
    <w:rsid w:val="00E4075E"/>
    <w:rsid w:val="00E41A76"/>
    <w:rsid w:val="00E4386C"/>
    <w:rsid w:val="00E447C2"/>
    <w:rsid w:val="00E44AC8"/>
    <w:rsid w:val="00E457EE"/>
    <w:rsid w:val="00E46401"/>
    <w:rsid w:val="00E46B5E"/>
    <w:rsid w:val="00E46BFE"/>
    <w:rsid w:val="00E4702C"/>
    <w:rsid w:val="00E508E7"/>
    <w:rsid w:val="00E50CEE"/>
    <w:rsid w:val="00E5176A"/>
    <w:rsid w:val="00E51E95"/>
    <w:rsid w:val="00E5262F"/>
    <w:rsid w:val="00E526E6"/>
    <w:rsid w:val="00E55739"/>
    <w:rsid w:val="00E569B2"/>
    <w:rsid w:val="00E56D1C"/>
    <w:rsid w:val="00E6056F"/>
    <w:rsid w:val="00E61124"/>
    <w:rsid w:val="00E63493"/>
    <w:rsid w:val="00E63E85"/>
    <w:rsid w:val="00E654BF"/>
    <w:rsid w:val="00E657AE"/>
    <w:rsid w:val="00E65BC0"/>
    <w:rsid w:val="00E65D23"/>
    <w:rsid w:val="00E67369"/>
    <w:rsid w:val="00E67C17"/>
    <w:rsid w:val="00E67FBD"/>
    <w:rsid w:val="00E70654"/>
    <w:rsid w:val="00E70E4D"/>
    <w:rsid w:val="00E72A5C"/>
    <w:rsid w:val="00E7466F"/>
    <w:rsid w:val="00E74FDC"/>
    <w:rsid w:val="00E751A0"/>
    <w:rsid w:val="00E75514"/>
    <w:rsid w:val="00E75A45"/>
    <w:rsid w:val="00E76156"/>
    <w:rsid w:val="00E768F6"/>
    <w:rsid w:val="00E7706A"/>
    <w:rsid w:val="00E77089"/>
    <w:rsid w:val="00E77E5B"/>
    <w:rsid w:val="00E81ABC"/>
    <w:rsid w:val="00E8260C"/>
    <w:rsid w:val="00E82770"/>
    <w:rsid w:val="00E831F3"/>
    <w:rsid w:val="00E855E5"/>
    <w:rsid w:val="00E85679"/>
    <w:rsid w:val="00E85A7B"/>
    <w:rsid w:val="00E866A9"/>
    <w:rsid w:val="00E91AAC"/>
    <w:rsid w:val="00E92743"/>
    <w:rsid w:val="00E929EC"/>
    <w:rsid w:val="00E946DA"/>
    <w:rsid w:val="00E9483F"/>
    <w:rsid w:val="00E9548F"/>
    <w:rsid w:val="00E960BE"/>
    <w:rsid w:val="00EA1052"/>
    <w:rsid w:val="00EA1E02"/>
    <w:rsid w:val="00EA25C3"/>
    <w:rsid w:val="00EA40E6"/>
    <w:rsid w:val="00EA4318"/>
    <w:rsid w:val="00EA52AD"/>
    <w:rsid w:val="00EA5F18"/>
    <w:rsid w:val="00EA75EE"/>
    <w:rsid w:val="00EB0008"/>
    <w:rsid w:val="00EB08A4"/>
    <w:rsid w:val="00EB1583"/>
    <w:rsid w:val="00EB2015"/>
    <w:rsid w:val="00EB2B5F"/>
    <w:rsid w:val="00EB2BC3"/>
    <w:rsid w:val="00EB33B5"/>
    <w:rsid w:val="00EB3FF1"/>
    <w:rsid w:val="00EB4891"/>
    <w:rsid w:val="00EB4F28"/>
    <w:rsid w:val="00EB4F98"/>
    <w:rsid w:val="00EB6247"/>
    <w:rsid w:val="00EB73F4"/>
    <w:rsid w:val="00EB7D28"/>
    <w:rsid w:val="00EC0608"/>
    <w:rsid w:val="00EC112F"/>
    <w:rsid w:val="00EC1316"/>
    <w:rsid w:val="00EC153E"/>
    <w:rsid w:val="00EC15F7"/>
    <w:rsid w:val="00EC2BB5"/>
    <w:rsid w:val="00EC3271"/>
    <w:rsid w:val="00EC34C0"/>
    <w:rsid w:val="00EC40A5"/>
    <w:rsid w:val="00EC411C"/>
    <w:rsid w:val="00EC42BA"/>
    <w:rsid w:val="00EC5064"/>
    <w:rsid w:val="00EC5DB6"/>
    <w:rsid w:val="00EC6DC5"/>
    <w:rsid w:val="00ED0521"/>
    <w:rsid w:val="00ED073B"/>
    <w:rsid w:val="00ED0C88"/>
    <w:rsid w:val="00ED0ECE"/>
    <w:rsid w:val="00ED1AC0"/>
    <w:rsid w:val="00ED2DEA"/>
    <w:rsid w:val="00ED2FDD"/>
    <w:rsid w:val="00ED6BAA"/>
    <w:rsid w:val="00ED76DF"/>
    <w:rsid w:val="00EE09D5"/>
    <w:rsid w:val="00EE1B9B"/>
    <w:rsid w:val="00EE236A"/>
    <w:rsid w:val="00EE28B6"/>
    <w:rsid w:val="00EE2A62"/>
    <w:rsid w:val="00EE36FA"/>
    <w:rsid w:val="00EE6929"/>
    <w:rsid w:val="00EE77CC"/>
    <w:rsid w:val="00EF171B"/>
    <w:rsid w:val="00EF3FC6"/>
    <w:rsid w:val="00EF4377"/>
    <w:rsid w:val="00EF60E3"/>
    <w:rsid w:val="00EF631F"/>
    <w:rsid w:val="00EF64B6"/>
    <w:rsid w:val="00EF6D7B"/>
    <w:rsid w:val="00EF74E9"/>
    <w:rsid w:val="00EF757B"/>
    <w:rsid w:val="00F0070A"/>
    <w:rsid w:val="00F00A35"/>
    <w:rsid w:val="00F0155F"/>
    <w:rsid w:val="00F027F1"/>
    <w:rsid w:val="00F0293B"/>
    <w:rsid w:val="00F029F1"/>
    <w:rsid w:val="00F030B6"/>
    <w:rsid w:val="00F04C0D"/>
    <w:rsid w:val="00F04CE1"/>
    <w:rsid w:val="00F053DB"/>
    <w:rsid w:val="00F05E56"/>
    <w:rsid w:val="00F074DC"/>
    <w:rsid w:val="00F101CE"/>
    <w:rsid w:val="00F1169E"/>
    <w:rsid w:val="00F119C9"/>
    <w:rsid w:val="00F125E0"/>
    <w:rsid w:val="00F1327D"/>
    <w:rsid w:val="00F13D00"/>
    <w:rsid w:val="00F1533D"/>
    <w:rsid w:val="00F167D8"/>
    <w:rsid w:val="00F174AA"/>
    <w:rsid w:val="00F178E8"/>
    <w:rsid w:val="00F20D81"/>
    <w:rsid w:val="00F20E8F"/>
    <w:rsid w:val="00F22CF3"/>
    <w:rsid w:val="00F2410D"/>
    <w:rsid w:val="00F24D1C"/>
    <w:rsid w:val="00F2581D"/>
    <w:rsid w:val="00F25938"/>
    <w:rsid w:val="00F2629A"/>
    <w:rsid w:val="00F272F3"/>
    <w:rsid w:val="00F30456"/>
    <w:rsid w:val="00F305BD"/>
    <w:rsid w:val="00F30844"/>
    <w:rsid w:val="00F30AE0"/>
    <w:rsid w:val="00F3179C"/>
    <w:rsid w:val="00F31B78"/>
    <w:rsid w:val="00F32578"/>
    <w:rsid w:val="00F327CB"/>
    <w:rsid w:val="00F32D57"/>
    <w:rsid w:val="00F332BC"/>
    <w:rsid w:val="00F35998"/>
    <w:rsid w:val="00F403B0"/>
    <w:rsid w:val="00F40529"/>
    <w:rsid w:val="00F417FA"/>
    <w:rsid w:val="00F42F2B"/>
    <w:rsid w:val="00F438FB"/>
    <w:rsid w:val="00F44362"/>
    <w:rsid w:val="00F4471B"/>
    <w:rsid w:val="00F459F0"/>
    <w:rsid w:val="00F46E7A"/>
    <w:rsid w:val="00F471A4"/>
    <w:rsid w:val="00F471B0"/>
    <w:rsid w:val="00F47A7B"/>
    <w:rsid w:val="00F47CDC"/>
    <w:rsid w:val="00F50392"/>
    <w:rsid w:val="00F51709"/>
    <w:rsid w:val="00F519D0"/>
    <w:rsid w:val="00F51C18"/>
    <w:rsid w:val="00F52679"/>
    <w:rsid w:val="00F52CE4"/>
    <w:rsid w:val="00F52D74"/>
    <w:rsid w:val="00F5401F"/>
    <w:rsid w:val="00F54D14"/>
    <w:rsid w:val="00F55945"/>
    <w:rsid w:val="00F56517"/>
    <w:rsid w:val="00F57239"/>
    <w:rsid w:val="00F57790"/>
    <w:rsid w:val="00F60B77"/>
    <w:rsid w:val="00F62A43"/>
    <w:rsid w:val="00F62F1D"/>
    <w:rsid w:val="00F633BB"/>
    <w:rsid w:val="00F66CB5"/>
    <w:rsid w:val="00F674EB"/>
    <w:rsid w:val="00F702A9"/>
    <w:rsid w:val="00F71B0D"/>
    <w:rsid w:val="00F73D83"/>
    <w:rsid w:val="00F74F9F"/>
    <w:rsid w:val="00F7797C"/>
    <w:rsid w:val="00F77AF7"/>
    <w:rsid w:val="00F80583"/>
    <w:rsid w:val="00F80C43"/>
    <w:rsid w:val="00F81667"/>
    <w:rsid w:val="00F82977"/>
    <w:rsid w:val="00F835E1"/>
    <w:rsid w:val="00F859BF"/>
    <w:rsid w:val="00F85C27"/>
    <w:rsid w:val="00F861C0"/>
    <w:rsid w:val="00F86214"/>
    <w:rsid w:val="00F862F7"/>
    <w:rsid w:val="00F869D3"/>
    <w:rsid w:val="00F91526"/>
    <w:rsid w:val="00F91987"/>
    <w:rsid w:val="00F91CDC"/>
    <w:rsid w:val="00F93323"/>
    <w:rsid w:val="00F93C9B"/>
    <w:rsid w:val="00F95B0B"/>
    <w:rsid w:val="00F9693E"/>
    <w:rsid w:val="00F96B5C"/>
    <w:rsid w:val="00FA0346"/>
    <w:rsid w:val="00FA0F79"/>
    <w:rsid w:val="00FA1D5C"/>
    <w:rsid w:val="00FA3A49"/>
    <w:rsid w:val="00FA3B1E"/>
    <w:rsid w:val="00FA44EF"/>
    <w:rsid w:val="00FA51B1"/>
    <w:rsid w:val="00FA6A82"/>
    <w:rsid w:val="00FA7640"/>
    <w:rsid w:val="00FA7CE0"/>
    <w:rsid w:val="00FB1559"/>
    <w:rsid w:val="00FB261F"/>
    <w:rsid w:val="00FB45C0"/>
    <w:rsid w:val="00FB53BA"/>
    <w:rsid w:val="00FB65B2"/>
    <w:rsid w:val="00FB6EA6"/>
    <w:rsid w:val="00FB7D1A"/>
    <w:rsid w:val="00FB7F8D"/>
    <w:rsid w:val="00FC0659"/>
    <w:rsid w:val="00FC0DE9"/>
    <w:rsid w:val="00FC0E9F"/>
    <w:rsid w:val="00FC2393"/>
    <w:rsid w:val="00FC312B"/>
    <w:rsid w:val="00FC3586"/>
    <w:rsid w:val="00FC3721"/>
    <w:rsid w:val="00FC3B7E"/>
    <w:rsid w:val="00FC4ADF"/>
    <w:rsid w:val="00FC5083"/>
    <w:rsid w:val="00FC56D2"/>
    <w:rsid w:val="00FC7195"/>
    <w:rsid w:val="00FC76DA"/>
    <w:rsid w:val="00FC7D0D"/>
    <w:rsid w:val="00FC7DE2"/>
    <w:rsid w:val="00FD0350"/>
    <w:rsid w:val="00FD2CF6"/>
    <w:rsid w:val="00FD3338"/>
    <w:rsid w:val="00FD4BDB"/>
    <w:rsid w:val="00FD7918"/>
    <w:rsid w:val="00FD7FCC"/>
    <w:rsid w:val="00FE0B32"/>
    <w:rsid w:val="00FE0C2C"/>
    <w:rsid w:val="00FE11A7"/>
    <w:rsid w:val="00FE1CC5"/>
    <w:rsid w:val="00FE2FA6"/>
    <w:rsid w:val="00FE47E1"/>
    <w:rsid w:val="00FE48ED"/>
    <w:rsid w:val="00FE5B02"/>
    <w:rsid w:val="00FE5F64"/>
    <w:rsid w:val="00FE62A4"/>
    <w:rsid w:val="00FE669E"/>
    <w:rsid w:val="00FE739F"/>
    <w:rsid w:val="00FE7D52"/>
    <w:rsid w:val="00FF0C2F"/>
    <w:rsid w:val="00FF0EED"/>
    <w:rsid w:val="00FF1262"/>
    <w:rsid w:val="00FF2A90"/>
    <w:rsid w:val="00FF333D"/>
    <w:rsid w:val="00FF4209"/>
    <w:rsid w:val="00FF464A"/>
    <w:rsid w:val="00FF5F74"/>
    <w:rsid w:val="00FF75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7797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1E551F"/>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qFormat/>
    <w:rsid w:val="000E712B"/>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EB3FF1"/>
    <w:pPr>
      <w:spacing w:line="5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18599F"/>
    <w:pPr>
      <w:tabs>
        <w:tab w:val="right" w:leader="hyphen" w:pos="8490"/>
      </w:tabs>
      <w:ind w:leftChars="1" w:left="489" w:rightChars="80" w:right="227" w:hangingChars="200" w:hanging="486"/>
    </w:pPr>
    <w:rPr>
      <w:noProof/>
      <w:sz w:val="24"/>
    </w:rPr>
  </w:style>
  <w:style w:type="paragraph" w:styleId="23">
    <w:name w:val="toc 2"/>
    <w:basedOn w:val="a"/>
    <w:next w:val="a"/>
    <w:autoRedefine/>
    <w:pPr>
      <w:tabs>
        <w:tab w:val="right" w:leader="hyphen" w:pos="8490"/>
      </w:tabs>
      <w:ind w:leftChars="0" w:left="566" w:hangingChars="200" w:hanging="566"/>
    </w:p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2">
    <w:name w:val="無清單1"/>
    <w:next w:val="a2"/>
    <w:uiPriority w:val="99"/>
    <w:semiHidden/>
    <w:unhideWhenUsed/>
    <w:rsid w:val="00141957"/>
  </w:style>
  <w:style w:type="character" w:customStyle="1" w:styleId="ac">
    <w:name w:val="(一)(二)(三) 字元"/>
    <w:rsid w:val="00141957"/>
    <w:rPr>
      <w:rFonts w:ascii="華康楷書體W5外字集" w:eastAsia="標楷體" w:hAnsi="華康楷書體W5外字集" w:cs="細明體_HKSCS"/>
      <w:kern w:val="3"/>
      <w:sz w:val="28"/>
      <w:szCs w:val="28"/>
    </w:rPr>
  </w:style>
  <w:style w:type="table" w:styleId="ad">
    <w:name w:val="Table Grid"/>
    <w:basedOn w:val="a1"/>
    <w:uiPriority w:val="5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aliases w:val="註腳文字 字元 字元"/>
    <w:basedOn w:val="a"/>
    <w:link w:val="af"/>
    <w:uiPriority w:val="99"/>
    <w:unhideWhenUsed/>
    <w:rsid w:val="00BE5E07"/>
    <w:pPr>
      <w:snapToGrid w:val="0"/>
      <w:jc w:val="left"/>
    </w:pPr>
    <w:rPr>
      <w:sz w:val="20"/>
      <w:szCs w:val="20"/>
    </w:rPr>
  </w:style>
  <w:style w:type="character" w:customStyle="1" w:styleId="af">
    <w:name w:val="註腳文字 字元"/>
    <w:link w:val="ae"/>
    <w:uiPriority w:val="99"/>
    <w:rsid w:val="00BE5E07"/>
    <w:rPr>
      <w:rFonts w:ascii="標楷體" w:eastAsia="標楷體"/>
      <w:snapToGrid w:val="0"/>
      <w:kern w:val="2"/>
    </w:rPr>
  </w:style>
  <w:style w:type="character" w:customStyle="1" w:styleId="143">
    <w:name w:val="表格內文(14行高) 字元"/>
    <w:link w:val="142"/>
    <w:qFormat/>
    <w:locked/>
    <w:rsid w:val="00BF2B74"/>
    <w:rPr>
      <w:rFonts w:ascii="標楷體" w:eastAsia="標楷體"/>
      <w:snapToGrid w:val="0"/>
      <w:kern w:val="2"/>
      <w:sz w:val="24"/>
      <w:szCs w:val="28"/>
    </w:rPr>
  </w:style>
  <w:style w:type="character" w:styleId="af0">
    <w:name w:val="Hyperlink"/>
    <w:uiPriority w:val="99"/>
    <w:rsid w:val="00141957"/>
    <w:rPr>
      <w:color w:val="0000FF"/>
      <w:u w:val="single"/>
    </w:rPr>
  </w:style>
  <w:style w:type="character" w:customStyle="1" w:styleId="201">
    <w:name w:val="表格內文(20行高) 字元"/>
    <w:link w:val="200"/>
    <w:rsid w:val="00EB3FF1"/>
    <w:rPr>
      <w:rFonts w:ascii="標楷體" w:eastAsia="標楷體"/>
      <w:b/>
      <w:snapToGrid w:val="0"/>
      <w:kern w:val="2"/>
      <w:sz w:val="28"/>
      <w:szCs w:val="28"/>
    </w:rPr>
  </w:style>
  <w:style w:type="paragraph" w:customStyle="1" w:styleId="13">
    <w:name w:val="樣式1"/>
    <w:basedOn w:val="a"/>
    <w:link w:val="15"/>
    <w:qFormat/>
    <w:rsid w:val="0085357A"/>
    <w:pPr>
      <w:spacing w:line="480" w:lineRule="exact"/>
      <w:ind w:leftChars="0" w:hangingChars="200" w:hanging="200"/>
    </w:pPr>
    <w:rPr>
      <w:rFonts w:hAnsi="標楷體"/>
      <w:snapToGrid/>
    </w:rPr>
  </w:style>
  <w:style w:type="character" w:styleId="af1">
    <w:name w:val="footnote reference"/>
    <w:aliases w:val="FR,Ref,de nota al pie,註腳內容,Error-Fußnotenzeichen5,Error-Fußnotenzeichen6,Error-Fußnotenzeichen3"/>
    <w:rsid w:val="00141957"/>
    <w:rPr>
      <w:position w:val="0"/>
      <w:vertAlign w:val="superscript"/>
    </w:rPr>
  </w:style>
  <w:style w:type="character" w:customStyle="1" w:styleId="15">
    <w:name w:val="樣式1 字元"/>
    <w:link w:val="13"/>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2">
    <w:name w:val="annotation reference"/>
    <w:rsid w:val="00141957"/>
    <w:rPr>
      <w:sz w:val="18"/>
      <w:szCs w:val="18"/>
    </w:rPr>
  </w:style>
  <w:style w:type="paragraph" w:styleId="af3">
    <w:name w:val="Balloon Text"/>
    <w:basedOn w:val="a"/>
    <w:link w:val="af4"/>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4">
    <w:name w:val="註解方塊文字 字元"/>
    <w:link w:val="af3"/>
    <w:rsid w:val="00141957"/>
    <w:rPr>
      <w:rFonts w:ascii="Cambria" w:hAnsi="Cambria"/>
      <w:kern w:val="3"/>
      <w:sz w:val="18"/>
      <w:szCs w:val="18"/>
    </w:rPr>
  </w:style>
  <w:style w:type="character" w:customStyle="1" w:styleId="140">
    <w:name w:val="第二層(14號字) 字元"/>
    <w:link w:val="14"/>
    <w:rsid w:val="004127C2"/>
    <w:rPr>
      <w:rFonts w:ascii="標楷體" w:eastAsia="標楷體"/>
      <w:b/>
      <w:snapToGrid w:val="0"/>
      <w:kern w:val="2"/>
      <w:sz w:val="28"/>
    </w:rPr>
  </w:style>
  <w:style w:type="character" w:customStyle="1" w:styleId="22">
    <w:name w:val="(一)下內文縮2 字元"/>
    <w:link w:val="21"/>
    <w:rsid w:val="004127C2"/>
    <w:rPr>
      <w:rFonts w:ascii="標楷體" w:eastAsia="標楷體"/>
      <w:snapToGrid w:val="0"/>
      <w:kern w:val="2"/>
      <w:sz w:val="28"/>
      <w:szCs w:val="28"/>
    </w:rPr>
  </w:style>
  <w:style w:type="character" w:styleId="af5">
    <w:name w:val="Emphasis"/>
    <w:uiPriority w:val="20"/>
    <w:qFormat/>
    <w:rsid w:val="00232037"/>
    <w:rPr>
      <w:i/>
      <w:iCs/>
    </w:rPr>
  </w:style>
  <w:style w:type="paragraph" w:styleId="af6">
    <w:name w:val="endnote text"/>
    <w:basedOn w:val="a"/>
    <w:link w:val="af7"/>
    <w:uiPriority w:val="99"/>
    <w:semiHidden/>
    <w:unhideWhenUsed/>
    <w:rsid w:val="00457D3E"/>
    <w:pPr>
      <w:snapToGrid w:val="0"/>
      <w:jc w:val="left"/>
    </w:pPr>
  </w:style>
  <w:style w:type="character" w:customStyle="1" w:styleId="af7">
    <w:name w:val="章節附註文字 字元"/>
    <w:link w:val="af6"/>
    <w:uiPriority w:val="99"/>
    <w:semiHidden/>
    <w:rsid w:val="00457D3E"/>
    <w:rPr>
      <w:rFonts w:ascii="標楷體" w:eastAsia="標楷體"/>
      <w:snapToGrid w:val="0"/>
      <w:kern w:val="2"/>
      <w:sz w:val="28"/>
      <w:szCs w:val="28"/>
    </w:rPr>
  </w:style>
  <w:style w:type="paragraph" w:styleId="af8">
    <w:name w:val="Body Text"/>
    <w:basedOn w:val="a"/>
    <w:link w:val="af9"/>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9">
    <w:name w:val="本文 字元"/>
    <w:link w:val="af8"/>
    <w:rsid w:val="00141957"/>
    <w:rPr>
      <w:rFonts w:eastAsia="標楷體"/>
      <w:kern w:val="3"/>
      <w:sz w:val="32"/>
    </w:rPr>
  </w:style>
  <w:style w:type="paragraph" w:styleId="afa">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character" w:styleId="afb">
    <w:name w:val="endnote reference"/>
    <w:uiPriority w:val="99"/>
    <w:semiHidden/>
    <w:unhideWhenUsed/>
    <w:rsid w:val="00457D3E"/>
    <w:rPr>
      <w:vertAlign w:val="superscript"/>
    </w:rPr>
  </w:style>
  <w:style w:type="paragraph" w:styleId="afc">
    <w:name w:val="footer"/>
    <w:basedOn w:val="a"/>
    <w:link w:val="afd"/>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d">
    <w:name w:val="頁尾 字元"/>
    <w:link w:val="afc"/>
    <w:uiPriority w:val="99"/>
    <w:rsid w:val="00141957"/>
    <w:rPr>
      <w:rFonts w:ascii="Calibri" w:eastAsia="Calibri" w:hAnsi="Calibri"/>
      <w:sz w:val="21"/>
      <w:szCs w:val="21"/>
    </w:rPr>
  </w:style>
  <w:style w:type="character" w:customStyle="1" w:styleId="afe">
    <w:name w:val="未解析的提及"/>
    <w:uiPriority w:val="99"/>
    <w:semiHidden/>
    <w:unhideWhenUsed/>
    <w:rsid w:val="007A5F6F"/>
    <w:rPr>
      <w:color w:val="605E5C"/>
      <w:shd w:val="clear" w:color="auto" w:fill="E1DFDD"/>
    </w:rPr>
  </w:style>
  <w:style w:type="paragraph" w:styleId="aff">
    <w:name w:val="Date"/>
    <w:basedOn w:val="a"/>
    <w:next w:val="a"/>
    <w:link w:val="aff0"/>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f0">
    <w:name w:val="日期 字元"/>
    <w:link w:val="aff"/>
    <w:rsid w:val="00141957"/>
    <w:rPr>
      <w:rFonts w:eastAsia="標楷體"/>
      <w:b/>
      <w:bCs/>
      <w:kern w:val="3"/>
      <w:sz w:val="36"/>
      <w:szCs w:val="24"/>
    </w:rPr>
  </w:style>
  <w:style w:type="paragraph" w:styleId="aff1">
    <w:name w:val="header"/>
    <w:basedOn w:val="a"/>
    <w:link w:val="aff2"/>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f2">
    <w:name w:val="頁首 字元"/>
    <w:link w:val="aff1"/>
    <w:uiPriority w:val="99"/>
    <w:rsid w:val="00141957"/>
    <w:rPr>
      <w:rFonts w:ascii="標楷體" w:eastAsia="標楷體" w:hAnsi="標楷體"/>
      <w:kern w:val="3"/>
    </w:rPr>
  </w:style>
  <w:style w:type="paragraph" w:customStyle="1" w:styleId="aff3">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annotation text"/>
    <w:basedOn w:val="a"/>
    <w:link w:val="aff5"/>
    <w:uiPriority w:val="99"/>
    <w:semiHidden/>
    <w:unhideWhenUsed/>
    <w:rsid w:val="00FE739F"/>
    <w:pPr>
      <w:jc w:val="left"/>
    </w:pPr>
  </w:style>
  <w:style w:type="character" w:customStyle="1" w:styleId="aff5">
    <w:name w:val="註解文字 字元"/>
    <w:link w:val="aff4"/>
    <w:uiPriority w:val="99"/>
    <w:semiHidden/>
    <w:rsid w:val="00FE739F"/>
    <w:rPr>
      <w:rFonts w:ascii="標楷體" w:eastAsia="標楷體"/>
      <w:snapToGrid w:val="0"/>
      <w:kern w:val="2"/>
      <w:sz w:val="28"/>
      <w:szCs w:val="28"/>
    </w:rPr>
  </w:style>
  <w:style w:type="paragraph" w:styleId="aff6">
    <w:name w:val="annotation subject"/>
    <w:basedOn w:val="aff4"/>
    <w:next w:val="aff4"/>
    <w:link w:val="aff7"/>
    <w:uiPriority w:val="99"/>
    <w:semiHidden/>
    <w:unhideWhenUsed/>
    <w:rsid w:val="00FE739F"/>
    <w:rPr>
      <w:b/>
      <w:bCs/>
    </w:rPr>
  </w:style>
  <w:style w:type="character" w:customStyle="1" w:styleId="aff7">
    <w:name w:val="註解主旨 字元"/>
    <w:link w:val="aff6"/>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16432">
      <w:bodyDiv w:val="1"/>
      <w:marLeft w:val="0"/>
      <w:marRight w:val="0"/>
      <w:marTop w:val="0"/>
      <w:marBottom w:val="0"/>
      <w:divBdr>
        <w:top w:val="none" w:sz="0" w:space="0" w:color="auto"/>
        <w:left w:val="none" w:sz="0" w:space="0" w:color="auto"/>
        <w:bottom w:val="none" w:sz="0" w:space="0" w:color="auto"/>
        <w:right w:val="none" w:sz="0" w:space="0" w:color="auto"/>
      </w:divBdr>
    </w:div>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339281984">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672688251">
      <w:bodyDiv w:val="1"/>
      <w:marLeft w:val="0"/>
      <w:marRight w:val="0"/>
      <w:marTop w:val="0"/>
      <w:marBottom w:val="0"/>
      <w:divBdr>
        <w:top w:val="none" w:sz="0" w:space="0" w:color="auto"/>
        <w:left w:val="none" w:sz="0" w:space="0" w:color="auto"/>
        <w:bottom w:val="none" w:sz="0" w:space="0" w:color="auto"/>
        <w:right w:val="none" w:sz="0" w:space="0" w:color="auto"/>
      </w:divBdr>
    </w:div>
    <w:div w:id="690497194">
      <w:bodyDiv w:val="1"/>
      <w:marLeft w:val="0"/>
      <w:marRight w:val="0"/>
      <w:marTop w:val="0"/>
      <w:marBottom w:val="0"/>
      <w:divBdr>
        <w:top w:val="none" w:sz="0" w:space="0" w:color="auto"/>
        <w:left w:val="none" w:sz="0" w:space="0" w:color="auto"/>
        <w:bottom w:val="none" w:sz="0" w:space="0" w:color="auto"/>
        <w:right w:val="none" w:sz="0" w:space="0" w:color="auto"/>
      </w:divBdr>
    </w:div>
    <w:div w:id="706833719">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199685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805926080">
      <w:bodyDiv w:val="1"/>
      <w:marLeft w:val="0"/>
      <w:marRight w:val="0"/>
      <w:marTop w:val="0"/>
      <w:marBottom w:val="0"/>
      <w:divBdr>
        <w:top w:val="none" w:sz="0" w:space="0" w:color="auto"/>
        <w:left w:val="none" w:sz="0" w:space="0" w:color="auto"/>
        <w:bottom w:val="none" w:sz="0" w:space="0" w:color="auto"/>
        <w:right w:val="none" w:sz="0" w:space="0" w:color="auto"/>
      </w:divBdr>
    </w:div>
    <w:div w:id="1008369133">
      <w:bodyDiv w:val="1"/>
      <w:marLeft w:val="0"/>
      <w:marRight w:val="0"/>
      <w:marTop w:val="0"/>
      <w:marBottom w:val="0"/>
      <w:divBdr>
        <w:top w:val="none" w:sz="0" w:space="0" w:color="auto"/>
        <w:left w:val="none" w:sz="0" w:space="0" w:color="auto"/>
        <w:bottom w:val="none" w:sz="0" w:space="0" w:color="auto"/>
        <w:right w:val="none" w:sz="0" w:space="0" w:color="auto"/>
      </w:divBdr>
      <w:divsChild>
        <w:div w:id="611548737">
          <w:marLeft w:val="0"/>
          <w:marRight w:val="0"/>
          <w:marTop w:val="0"/>
          <w:marBottom w:val="0"/>
          <w:divBdr>
            <w:top w:val="none" w:sz="0" w:space="0" w:color="auto"/>
            <w:left w:val="none" w:sz="0" w:space="0" w:color="auto"/>
            <w:bottom w:val="none" w:sz="0" w:space="0" w:color="auto"/>
            <w:right w:val="none" w:sz="0" w:space="0" w:color="auto"/>
          </w:divBdr>
        </w:div>
      </w:divsChild>
    </w:div>
    <w:div w:id="1040285496">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077634484">
      <w:bodyDiv w:val="1"/>
      <w:marLeft w:val="0"/>
      <w:marRight w:val="0"/>
      <w:marTop w:val="0"/>
      <w:marBottom w:val="0"/>
      <w:divBdr>
        <w:top w:val="none" w:sz="0" w:space="0" w:color="auto"/>
        <w:left w:val="none" w:sz="0" w:space="0" w:color="auto"/>
        <w:bottom w:val="none" w:sz="0" w:space="0" w:color="auto"/>
        <w:right w:val="none" w:sz="0" w:space="0" w:color="auto"/>
      </w:divBdr>
    </w:div>
    <w:div w:id="1178540825">
      <w:bodyDiv w:val="1"/>
      <w:marLeft w:val="0"/>
      <w:marRight w:val="0"/>
      <w:marTop w:val="0"/>
      <w:marBottom w:val="0"/>
      <w:divBdr>
        <w:top w:val="none" w:sz="0" w:space="0" w:color="auto"/>
        <w:left w:val="none" w:sz="0" w:space="0" w:color="auto"/>
        <w:bottom w:val="none" w:sz="0" w:space="0" w:color="auto"/>
        <w:right w:val="none" w:sz="0" w:space="0" w:color="auto"/>
      </w:divBdr>
    </w:div>
    <w:div w:id="1182940899">
      <w:bodyDiv w:val="1"/>
      <w:marLeft w:val="0"/>
      <w:marRight w:val="0"/>
      <w:marTop w:val="0"/>
      <w:marBottom w:val="0"/>
      <w:divBdr>
        <w:top w:val="none" w:sz="0" w:space="0" w:color="auto"/>
        <w:left w:val="none" w:sz="0" w:space="0" w:color="auto"/>
        <w:bottom w:val="none" w:sz="0" w:space="0" w:color="auto"/>
        <w:right w:val="none" w:sz="0" w:space="0" w:color="auto"/>
      </w:divBdr>
      <w:divsChild>
        <w:div w:id="51543799">
          <w:marLeft w:val="480"/>
          <w:marRight w:val="0"/>
          <w:marTop w:val="0"/>
          <w:marBottom w:val="120"/>
          <w:divBdr>
            <w:top w:val="none" w:sz="0" w:space="0" w:color="auto"/>
            <w:left w:val="none" w:sz="0" w:space="0" w:color="auto"/>
            <w:bottom w:val="none" w:sz="0" w:space="0" w:color="auto"/>
            <w:right w:val="none" w:sz="0" w:space="0" w:color="auto"/>
          </w:divBdr>
        </w:div>
        <w:div w:id="186914172">
          <w:marLeft w:val="0"/>
          <w:marRight w:val="0"/>
          <w:marTop w:val="0"/>
          <w:marBottom w:val="120"/>
          <w:divBdr>
            <w:top w:val="none" w:sz="0" w:space="0" w:color="auto"/>
            <w:left w:val="none" w:sz="0" w:space="0" w:color="auto"/>
            <w:bottom w:val="none" w:sz="0" w:space="0" w:color="auto"/>
            <w:right w:val="none" w:sz="0" w:space="0" w:color="auto"/>
          </w:divBdr>
        </w:div>
        <w:div w:id="1010106581">
          <w:marLeft w:val="480"/>
          <w:marRight w:val="0"/>
          <w:marTop w:val="0"/>
          <w:marBottom w:val="120"/>
          <w:divBdr>
            <w:top w:val="none" w:sz="0" w:space="0" w:color="auto"/>
            <w:left w:val="none" w:sz="0" w:space="0" w:color="auto"/>
            <w:bottom w:val="none" w:sz="0" w:space="0" w:color="auto"/>
            <w:right w:val="none" w:sz="0" w:space="0" w:color="auto"/>
          </w:divBdr>
        </w:div>
        <w:div w:id="1710958006">
          <w:marLeft w:val="480"/>
          <w:marRight w:val="0"/>
          <w:marTop w:val="0"/>
          <w:marBottom w:val="120"/>
          <w:divBdr>
            <w:top w:val="none" w:sz="0" w:space="0" w:color="auto"/>
            <w:left w:val="none" w:sz="0" w:space="0" w:color="auto"/>
            <w:bottom w:val="none" w:sz="0" w:space="0" w:color="auto"/>
            <w:right w:val="none" w:sz="0" w:space="0" w:color="auto"/>
          </w:divBdr>
        </w:div>
        <w:div w:id="1711495133">
          <w:marLeft w:val="480"/>
          <w:marRight w:val="0"/>
          <w:marTop w:val="0"/>
          <w:marBottom w:val="120"/>
          <w:divBdr>
            <w:top w:val="none" w:sz="0" w:space="0" w:color="auto"/>
            <w:left w:val="none" w:sz="0" w:space="0" w:color="auto"/>
            <w:bottom w:val="none" w:sz="0" w:space="0" w:color="auto"/>
            <w:right w:val="none" w:sz="0" w:space="0" w:color="auto"/>
          </w:divBdr>
        </w:div>
      </w:divsChild>
    </w:div>
    <w:div w:id="1202522097">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254706549">
      <w:bodyDiv w:val="1"/>
      <w:marLeft w:val="0"/>
      <w:marRight w:val="0"/>
      <w:marTop w:val="0"/>
      <w:marBottom w:val="0"/>
      <w:divBdr>
        <w:top w:val="none" w:sz="0" w:space="0" w:color="auto"/>
        <w:left w:val="none" w:sz="0" w:space="0" w:color="auto"/>
        <w:bottom w:val="none" w:sz="0" w:space="0" w:color="auto"/>
        <w:right w:val="none" w:sz="0" w:space="0" w:color="auto"/>
      </w:divBdr>
    </w:div>
    <w:div w:id="1275945114">
      <w:bodyDiv w:val="1"/>
      <w:marLeft w:val="0"/>
      <w:marRight w:val="0"/>
      <w:marTop w:val="0"/>
      <w:marBottom w:val="0"/>
      <w:divBdr>
        <w:top w:val="none" w:sz="0" w:space="0" w:color="auto"/>
        <w:left w:val="none" w:sz="0" w:space="0" w:color="auto"/>
        <w:bottom w:val="none" w:sz="0" w:space="0" w:color="auto"/>
        <w:right w:val="none" w:sz="0" w:space="0" w:color="auto"/>
      </w:divBdr>
    </w:div>
    <w:div w:id="1322076076">
      <w:bodyDiv w:val="1"/>
      <w:marLeft w:val="0"/>
      <w:marRight w:val="0"/>
      <w:marTop w:val="0"/>
      <w:marBottom w:val="0"/>
      <w:divBdr>
        <w:top w:val="none" w:sz="0" w:space="0" w:color="auto"/>
        <w:left w:val="none" w:sz="0" w:space="0" w:color="auto"/>
        <w:bottom w:val="none" w:sz="0" w:space="0" w:color="auto"/>
        <w:right w:val="none" w:sz="0" w:space="0" w:color="auto"/>
      </w:divBdr>
    </w:div>
    <w:div w:id="1426149011">
      <w:bodyDiv w:val="1"/>
      <w:marLeft w:val="0"/>
      <w:marRight w:val="0"/>
      <w:marTop w:val="0"/>
      <w:marBottom w:val="0"/>
      <w:divBdr>
        <w:top w:val="none" w:sz="0" w:space="0" w:color="auto"/>
        <w:left w:val="none" w:sz="0" w:space="0" w:color="auto"/>
        <w:bottom w:val="none" w:sz="0" w:space="0" w:color="auto"/>
        <w:right w:val="none" w:sz="0" w:space="0" w:color="auto"/>
      </w:divBdr>
    </w:div>
    <w:div w:id="1479878750">
      <w:bodyDiv w:val="1"/>
      <w:marLeft w:val="0"/>
      <w:marRight w:val="0"/>
      <w:marTop w:val="0"/>
      <w:marBottom w:val="0"/>
      <w:divBdr>
        <w:top w:val="none" w:sz="0" w:space="0" w:color="auto"/>
        <w:left w:val="none" w:sz="0" w:space="0" w:color="auto"/>
        <w:bottom w:val="none" w:sz="0" w:space="0" w:color="auto"/>
        <w:right w:val="none" w:sz="0" w:space="0" w:color="auto"/>
      </w:divBdr>
    </w:div>
    <w:div w:id="1510103260">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18386419">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F44787-35FA-47A0-8411-DDFAB994D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355</Words>
  <Characters>2028</Characters>
  <Application>Microsoft Office Word</Application>
  <DocSecurity>0</DocSecurity>
  <Lines>16</Lines>
  <Paragraphs>4</Paragraphs>
  <ScaleCrop>false</ScaleCrop>
  <LinksUpToDate>false</LinksUpToDate>
  <CharactersWithSpaces>2379</CharactersWithSpaces>
  <SharedDoc>false</SharedDoc>
  <HLinks>
    <vt:vector size="48" baseType="variant">
      <vt:variant>
        <vt:i4>1703990</vt:i4>
      </vt:variant>
      <vt:variant>
        <vt:i4>44</vt:i4>
      </vt:variant>
      <vt:variant>
        <vt:i4>0</vt:i4>
      </vt:variant>
      <vt:variant>
        <vt:i4>5</vt:i4>
      </vt:variant>
      <vt:variant>
        <vt:lpwstr/>
      </vt:variant>
      <vt:variant>
        <vt:lpwstr>_Toc182410411</vt:lpwstr>
      </vt:variant>
      <vt:variant>
        <vt:i4>1703990</vt:i4>
      </vt:variant>
      <vt:variant>
        <vt:i4>38</vt:i4>
      </vt:variant>
      <vt:variant>
        <vt:i4>0</vt:i4>
      </vt:variant>
      <vt:variant>
        <vt:i4>5</vt:i4>
      </vt:variant>
      <vt:variant>
        <vt:lpwstr/>
      </vt:variant>
      <vt:variant>
        <vt:lpwstr>_Toc182410410</vt:lpwstr>
      </vt:variant>
      <vt:variant>
        <vt:i4>1769526</vt:i4>
      </vt:variant>
      <vt:variant>
        <vt:i4>32</vt:i4>
      </vt:variant>
      <vt:variant>
        <vt:i4>0</vt:i4>
      </vt:variant>
      <vt:variant>
        <vt:i4>5</vt:i4>
      </vt:variant>
      <vt:variant>
        <vt:lpwstr/>
      </vt:variant>
      <vt:variant>
        <vt:lpwstr>_Toc182410409</vt:lpwstr>
      </vt:variant>
      <vt:variant>
        <vt:i4>1769526</vt:i4>
      </vt:variant>
      <vt:variant>
        <vt:i4>26</vt:i4>
      </vt:variant>
      <vt:variant>
        <vt:i4>0</vt:i4>
      </vt:variant>
      <vt:variant>
        <vt:i4>5</vt:i4>
      </vt:variant>
      <vt:variant>
        <vt:lpwstr/>
      </vt:variant>
      <vt:variant>
        <vt:lpwstr>_Toc182410408</vt:lpwstr>
      </vt:variant>
      <vt:variant>
        <vt:i4>1769526</vt:i4>
      </vt:variant>
      <vt:variant>
        <vt:i4>20</vt:i4>
      </vt:variant>
      <vt:variant>
        <vt:i4>0</vt:i4>
      </vt:variant>
      <vt:variant>
        <vt:i4>5</vt:i4>
      </vt:variant>
      <vt:variant>
        <vt:lpwstr/>
      </vt:variant>
      <vt:variant>
        <vt:lpwstr>_Toc182410407</vt:lpwstr>
      </vt:variant>
      <vt:variant>
        <vt:i4>1769526</vt:i4>
      </vt:variant>
      <vt:variant>
        <vt:i4>14</vt:i4>
      </vt:variant>
      <vt:variant>
        <vt:i4>0</vt:i4>
      </vt:variant>
      <vt:variant>
        <vt:i4>5</vt:i4>
      </vt:variant>
      <vt:variant>
        <vt:lpwstr/>
      </vt:variant>
      <vt:variant>
        <vt:lpwstr>_Toc182410406</vt:lpwstr>
      </vt:variant>
      <vt:variant>
        <vt:i4>1769526</vt:i4>
      </vt:variant>
      <vt:variant>
        <vt:i4>8</vt:i4>
      </vt:variant>
      <vt:variant>
        <vt:i4>0</vt:i4>
      </vt:variant>
      <vt:variant>
        <vt:i4>5</vt:i4>
      </vt:variant>
      <vt:variant>
        <vt:lpwstr/>
      </vt:variant>
      <vt:variant>
        <vt:lpwstr>_Toc182410405</vt:lpwstr>
      </vt:variant>
      <vt:variant>
        <vt:i4>1769526</vt:i4>
      </vt:variant>
      <vt:variant>
        <vt:i4>2</vt:i4>
      </vt:variant>
      <vt:variant>
        <vt:i4>0</vt:i4>
      </vt:variant>
      <vt:variant>
        <vt:i4>5</vt:i4>
      </vt:variant>
      <vt:variant>
        <vt:lpwstr/>
      </vt:variant>
      <vt:variant>
        <vt:lpwstr>_Toc182410404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2024-11-18T03:06:00Z</dcterms:created>
  <dcterms:modified xsi:type="dcterms:W3CDTF">2024-11-18T03:06:00Z</dcterms:modified>
</cp:coreProperties>
</file>