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76C" w:rsidRPr="00E10844" w:rsidRDefault="0070376C" w:rsidP="0070376C">
      <w:pPr>
        <w:ind w:leftChars="0" w:left="0" w:firstLineChars="0" w:firstLine="0"/>
        <w:rPr>
          <w:rFonts w:hAnsi="標楷體"/>
          <w:b/>
          <w:sz w:val="36"/>
          <w:szCs w:val="36"/>
        </w:rPr>
      </w:pPr>
      <w:bookmarkStart w:id="0" w:name="_GoBack"/>
      <w:bookmarkEnd w:id="0"/>
      <w:r w:rsidRPr="00E10844">
        <w:rPr>
          <w:rFonts w:hAnsi="標楷體"/>
          <w:b/>
          <w:sz w:val="36"/>
          <w:szCs w:val="36"/>
        </w:rPr>
        <w:t>臺銀綜合證券股份有限公司</w:t>
      </w:r>
      <w:r w:rsidR="00904607" w:rsidRPr="00E10844">
        <w:rPr>
          <w:rFonts w:hAnsi="標楷體"/>
          <w:b/>
          <w:sz w:val="36"/>
          <w:szCs w:val="36"/>
        </w:rPr>
        <w:t>11</w:t>
      </w:r>
      <w:r w:rsidR="00E12FDF">
        <w:rPr>
          <w:rFonts w:hAnsi="標楷體" w:hint="eastAsia"/>
          <w:b/>
          <w:sz w:val="36"/>
          <w:szCs w:val="36"/>
        </w:rPr>
        <w:t>4</w:t>
      </w:r>
      <w:r w:rsidR="00904607" w:rsidRPr="00E10844">
        <w:rPr>
          <w:rFonts w:hAnsi="標楷體"/>
          <w:b/>
          <w:sz w:val="36"/>
          <w:szCs w:val="36"/>
        </w:rPr>
        <w:t>年度</w:t>
      </w:r>
      <w:r w:rsidRPr="00E10844">
        <w:rPr>
          <w:rFonts w:hAnsi="標楷體"/>
          <w:b/>
          <w:sz w:val="36"/>
          <w:szCs w:val="36"/>
        </w:rPr>
        <w:t>營業預算評估報告</w:t>
      </w:r>
    </w:p>
    <w:p w:rsidR="00AE0C91" w:rsidRPr="00E10844" w:rsidRDefault="00AE0C91" w:rsidP="00AE0C91">
      <w:pPr>
        <w:adjustRightInd w:val="0"/>
        <w:ind w:leftChars="0" w:left="0" w:firstLine="560"/>
        <w:rPr>
          <w:rFonts w:hAnsi="標楷體"/>
          <w:kern w:val="0"/>
        </w:rPr>
      </w:pPr>
      <w:bookmarkStart w:id="1" w:name="_Toc103066466"/>
      <w:r w:rsidRPr="00E10844">
        <w:rPr>
          <w:rFonts w:hAnsi="標楷體"/>
        </w:rPr>
        <w:t>臺銀綜合證券股份有限公司(</w:t>
      </w:r>
      <w:r w:rsidR="004F6906" w:rsidRPr="00E10844">
        <w:rPr>
          <w:rFonts w:hAnsi="標楷體"/>
        </w:rPr>
        <w:t>下稱臺銀證券</w:t>
      </w:r>
      <w:r w:rsidRPr="00E10844">
        <w:rPr>
          <w:rFonts w:hAnsi="標楷體"/>
        </w:rPr>
        <w:t>)前身為臺灣銀行信託部，配合89年7月公布施行之信託業法，臺灣銀行另籌設證券部，於91年1月正式</w:t>
      </w:r>
      <w:r w:rsidR="009E5E01" w:rsidRPr="00E10844">
        <w:rPr>
          <w:rFonts w:hAnsi="標楷體"/>
        </w:rPr>
        <w:t>營運</w:t>
      </w:r>
      <w:r w:rsidRPr="00E10844">
        <w:rPr>
          <w:rFonts w:hAnsi="標楷體"/>
        </w:rPr>
        <w:t>，經營證券經紀</w:t>
      </w:r>
      <w:r w:rsidR="00A1392D">
        <w:rPr>
          <w:rFonts w:hAnsi="標楷體" w:hint="eastAsia"/>
        </w:rPr>
        <w:t>(</w:t>
      </w:r>
      <w:r w:rsidRPr="00E10844">
        <w:rPr>
          <w:rFonts w:hAnsi="標楷體"/>
        </w:rPr>
        <w:t>含自辦資券</w:t>
      </w:r>
      <w:r w:rsidR="00A1392D">
        <w:rPr>
          <w:rFonts w:hAnsi="標楷體" w:hint="eastAsia"/>
        </w:rPr>
        <w:t>)</w:t>
      </w:r>
      <w:r w:rsidRPr="00E10844">
        <w:rPr>
          <w:rFonts w:hAnsi="標楷體"/>
        </w:rPr>
        <w:t>、自行買賣政府債券及承銷有價證券等業務。臺灣銀行與中央信託局於96年7月合併，兩行局證券業務皆為兼營，97</w:t>
      </w:r>
      <w:r w:rsidRPr="00E10844">
        <w:rPr>
          <w:rFonts w:hAnsi="標楷體"/>
          <w:kern w:val="0"/>
        </w:rPr>
        <w:t>年1月1日臺灣金控成立後，臺灣銀行證券部門於97年1月2日正式分割成立</w:t>
      </w:r>
      <w:r w:rsidR="004F6906" w:rsidRPr="00E10844">
        <w:rPr>
          <w:rFonts w:hAnsi="標楷體"/>
          <w:kern w:val="0"/>
        </w:rPr>
        <w:t>臺銀證券</w:t>
      </w:r>
      <w:r w:rsidRPr="00E10844">
        <w:rPr>
          <w:rFonts w:hAnsi="標楷體"/>
          <w:kern w:val="0"/>
        </w:rPr>
        <w:t>。</w:t>
      </w:r>
    </w:p>
    <w:p w:rsidR="00AE0C91" w:rsidRPr="00E10844" w:rsidRDefault="004F6906" w:rsidP="00AE0C91">
      <w:pPr>
        <w:adjustRightInd w:val="0"/>
        <w:ind w:leftChars="0" w:left="0" w:firstLine="560"/>
        <w:rPr>
          <w:rFonts w:hAnsi="標楷體"/>
        </w:rPr>
      </w:pPr>
      <w:r w:rsidRPr="00E10844">
        <w:rPr>
          <w:rFonts w:hAnsi="標楷體"/>
        </w:rPr>
        <w:t>臺銀證券</w:t>
      </w:r>
      <w:r w:rsidR="003E62F8">
        <w:rPr>
          <w:rFonts w:hAnsi="標楷體"/>
        </w:rPr>
        <w:t>11</w:t>
      </w:r>
      <w:r w:rsidR="00E12FDF">
        <w:rPr>
          <w:rFonts w:hAnsi="標楷體" w:hint="eastAsia"/>
        </w:rPr>
        <w:t>4</w:t>
      </w:r>
      <w:r w:rsidR="00904607" w:rsidRPr="00E10844">
        <w:rPr>
          <w:rFonts w:hAnsi="標楷體"/>
        </w:rPr>
        <w:t>年度</w:t>
      </w:r>
      <w:r w:rsidR="00AE0C91" w:rsidRPr="00E10844">
        <w:rPr>
          <w:rFonts w:hAnsi="標楷體"/>
        </w:rPr>
        <w:t>營業收支預算編列如下：營業收入</w:t>
      </w:r>
      <w:r w:rsidR="00E12FDF">
        <w:rPr>
          <w:rFonts w:hAnsi="標楷體" w:hint="eastAsia"/>
        </w:rPr>
        <w:t>10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2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088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AE0C91" w:rsidRPr="00E10844">
        <w:rPr>
          <w:rFonts w:hAnsi="標楷體"/>
        </w:rPr>
        <w:t>千元，營業成本</w:t>
      </w:r>
      <w:r w:rsidR="00611702">
        <w:rPr>
          <w:rFonts w:hAnsi="標楷體" w:hint="eastAsia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3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041</w:t>
      </w:r>
      <w:r w:rsidR="00AE0C91" w:rsidRPr="00E10844">
        <w:rPr>
          <w:rFonts w:hAnsi="標楷體"/>
        </w:rPr>
        <w:t>萬元，營業費用</w:t>
      </w:r>
      <w:r w:rsidR="004151E1" w:rsidRPr="00E10844">
        <w:rPr>
          <w:rFonts w:hAnsi="標楷體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6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7</w:t>
      </w:r>
      <w:r w:rsidR="00E12FDF">
        <w:rPr>
          <w:rFonts w:hAnsi="標楷體" w:hint="eastAsia"/>
        </w:rPr>
        <w:t>55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8</w:t>
      </w:r>
      <w:r w:rsidR="002714EE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元，營業外收入</w:t>
      </w:r>
      <w:r w:rsidR="00A42E4C" w:rsidRPr="00E10844">
        <w:rPr>
          <w:rFonts w:hAnsi="標楷體"/>
        </w:rPr>
        <w:t>1,</w:t>
      </w:r>
      <w:r w:rsidR="00611702">
        <w:rPr>
          <w:rFonts w:hAnsi="標楷體" w:hint="eastAsia"/>
        </w:rPr>
        <w:t>5</w:t>
      </w:r>
      <w:r w:rsidR="00E12FDF">
        <w:rPr>
          <w:rFonts w:hAnsi="標楷體" w:hint="eastAsia"/>
        </w:rPr>
        <w:t>65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574D17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805</w:t>
      </w:r>
      <w:r w:rsidR="004151E1" w:rsidRPr="00E10844">
        <w:rPr>
          <w:rFonts w:hAnsi="標楷體"/>
        </w:rPr>
        <w:t>萬元</w:t>
      </w:r>
      <w:r w:rsidR="00AE0C91" w:rsidRPr="00E10844">
        <w:rPr>
          <w:rFonts w:hAnsi="標楷體"/>
        </w:rPr>
        <w:t>及所得稅費用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63</w:t>
      </w:r>
      <w:r w:rsidR="00E12FDF">
        <w:rPr>
          <w:rFonts w:hAnsi="標楷體" w:hint="eastAsia"/>
        </w:rPr>
        <w:t>3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9</w:t>
      </w:r>
      <w:r w:rsidR="00AE0C91" w:rsidRPr="00E10844">
        <w:rPr>
          <w:rFonts w:hAnsi="標楷體"/>
        </w:rPr>
        <w:t>千元，</w:t>
      </w:r>
      <w:r w:rsidR="00B465DF">
        <w:rPr>
          <w:rFonts w:hAnsi="標楷體" w:hint="eastAsia"/>
        </w:rPr>
        <w:t>收支相抵後</w:t>
      </w:r>
      <w:r w:rsidR="00AE0C91" w:rsidRPr="00E10844">
        <w:rPr>
          <w:rFonts w:hAnsi="標楷體"/>
        </w:rPr>
        <w:t>本期</w:t>
      </w:r>
      <w:r w:rsidR="009E5E01" w:rsidRPr="00E10844">
        <w:rPr>
          <w:rFonts w:hAnsi="標楷體"/>
        </w:rPr>
        <w:t>稅後</w:t>
      </w:r>
      <w:r w:rsidR="00AE0C91" w:rsidRPr="00E10844">
        <w:rPr>
          <w:rFonts w:hAnsi="標楷體"/>
        </w:rPr>
        <w:t>淨利</w:t>
      </w:r>
      <w:r w:rsidR="00611702">
        <w:rPr>
          <w:rFonts w:hAnsi="標楷體" w:hint="eastAsia"/>
        </w:rPr>
        <w:t>2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4</w:t>
      </w:r>
      <w:r w:rsidR="00E12FDF">
        <w:rPr>
          <w:rFonts w:hAnsi="標楷體"/>
        </w:rPr>
        <w:t>,418</w:t>
      </w:r>
      <w:r w:rsidR="00AE0C91" w:rsidRPr="00E10844">
        <w:rPr>
          <w:rFonts w:hAnsi="標楷體"/>
        </w:rPr>
        <w:t>萬</w:t>
      </w:r>
      <w:r w:rsidR="00E12FDF">
        <w:rPr>
          <w:rFonts w:hAnsi="標楷體"/>
        </w:rPr>
        <w:t>3</w:t>
      </w:r>
      <w:r w:rsidR="00AE0C91" w:rsidRPr="00E10844">
        <w:rPr>
          <w:rFonts w:hAnsi="標楷體"/>
        </w:rPr>
        <w:t>千元。茲就</w:t>
      </w:r>
      <w:r w:rsidR="00904607" w:rsidRPr="00E10844">
        <w:rPr>
          <w:rFonts w:hAnsi="標楷體"/>
        </w:rPr>
        <w:t>11</w:t>
      </w:r>
      <w:r w:rsidR="00E12FDF">
        <w:rPr>
          <w:rFonts w:hAnsi="標楷體"/>
        </w:rPr>
        <w:t>4</w:t>
      </w:r>
      <w:r w:rsidR="00904607" w:rsidRPr="00E10844">
        <w:rPr>
          <w:rFonts w:hAnsi="標楷體"/>
        </w:rPr>
        <w:t>年度</w:t>
      </w:r>
      <w:r w:rsidR="007C0ADB" w:rsidRPr="00E10844">
        <w:rPr>
          <w:rFonts w:hAnsi="標楷體"/>
        </w:rPr>
        <w:t>該</w:t>
      </w:r>
      <w:r w:rsidR="00AE0C91" w:rsidRPr="00E10844">
        <w:rPr>
          <w:rFonts w:hAnsi="標楷體"/>
        </w:rPr>
        <w:t>公司營業</w:t>
      </w:r>
      <w:r w:rsidR="00A1392D" w:rsidRPr="00C96B69">
        <w:rPr>
          <w:rFonts w:hint="eastAsia"/>
        </w:rPr>
        <w:t>預算案評估如下</w:t>
      </w:r>
      <w:r w:rsidR="00AE0C91" w:rsidRPr="00E10844">
        <w:rPr>
          <w:rFonts w:hAnsi="標楷體"/>
        </w:rPr>
        <w:t>：</w:t>
      </w:r>
    </w:p>
    <w:p w:rsidR="00904607" w:rsidRPr="00E10844" w:rsidRDefault="00487951" w:rsidP="00487951">
      <w:pPr>
        <w:pStyle w:val="14"/>
        <w:ind w:left="561" w:hanging="561"/>
        <w:rPr>
          <w:rFonts w:hAnsi="標楷體"/>
        </w:rPr>
      </w:pPr>
      <w:bookmarkStart w:id="2" w:name="_Toc181900903"/>
      <w:bookmarkStart w:id="3" w:name="_Toc530664607"/>
      <w:bookmarkStart w:id="4" w:name="_Toc530668367"/>
      <w:bookmarkStart w:id="5" w:name="_Toc38711395"/>
      <w:bookmarkStart w:id="6" w:name="_Toc39034046"/>
      <w:bookmarkStart w:id="7" w:name="_Toc103066469"/>
      <w:bookmarkStart w:id="8" w:name="_Toc169601362"/>
      <w:bookmarkStart w:id="9" w:name="_Toc97547710"/>
      <w:bookmarkStart w:id="10" w:name="_Toc38344785"/>
      <w:bookmarkStart w:id="11" w:name="_Toc97040681"/>
      <w:bookmarkStart w:id="12" w:name="_Toc96427250"/>
      <w:bookmarkStart w:id="13" w:name="_Toc95386107"/>
      <w:bookmarkStart w:id="14" w:name="_Toc95226345"/>
      <w:bookmarkStart w:id="15" w:name="_Toc95221480"/>
      <w:bookmarkStart w:id="16" w:name="_Toc60191645"/>
      <w:bookmarkStart w:id="17" w:name="_Toc35748567"/>
      <w:bookmarkStart w:id="18" w:name="_Toc433701938"/>
      <w:bookmarkStart w:id="19" w:name="_Toc499545170"/>
      <w:bookmarkStart w:id="20" w:name="_Toc530664604"/>
      <w:bookmarkStart w:id="21" w:name="_Toc530664610"/>
      <w:bookmarkStart w:id="22" w:name="_Toc530666211"/>
      <w:bookmarkEnd w:id="1"/>
      <w:r w:rsidRPr="00E10844">
        <w:rPr>
          <w:rFonts w:hAnsi="標楷體"/>
        </w:rPr>
        <w:t>一、</w:t>
      </w:r>
      <w:r w:rsidR="008A2F40">
        <w:rPr>
          <w:rFonts w:hAnsi="標楷體" w:hint="eastAsia"/>
        </w:rPr>
        <w:t>近</w:t>
      </w:r>
      <w:r w:rsidR="00D377B4">
        <w:rPr>
          <w:rFonts w:hAnsi="標楷體" w:hint="eastAsia"/>
        </w:rPr>
        <w:t>5</w:t>
      </w:r>
      <w:r w:rsidR="008A2F40">
        <w:rPr>
          <w:rFonts w:hAnsi="標楷體" w:hint="eastAsia"/>
        </w:rPr>
        <w:t>年度</w:t>
      </w:r>
      <w:r w:rsidR="003E62F8">
        <w:rPr>
          <w:rFonts w:hAnsi="標楷體" w:hint="eastAsia"/>
        </w:rPr>
        <w:t>證券經紀</w:t>
      </w:r>
      <w:r w:rsidR="001B1DE3">
        <w:rPr>
          <w:rFonts w:hAnsi="標楷體" w:hint="eastAsia"/>
        </w:rPr>
        <w:t>業務市占率</w:t>
      </w:r>
      <w:r w:rsidR="00D377B4">
        <w:rPr>
          <w:rFonts w:hAnsi="標楷體" w:hint="eastAsia"/>
        </w:rPr>
        <w:t>概呈</w:t>
      </w:r>
      <w:r w:rsidR="00B465DF">
        <w:rPr>
          <w:rFonts w:hAnsi="標楷體" w:hint="eastAsia"/>
        </w:rPr>
        <w:t>下</w:t>
      </w:r>
      <w:r w:rsidR="00D377B4">
        <w:rPr>
          <w:rFonts w:hAnsi="標楷體" w:hint="eastAsia"/>
        </w:rPr>
        <w:t>滑</w:t>
      </w:r>
      <w:r w:rsidR="001B1DE3">
        <w:rPr>
          <w:rFonts w:hAnsi="標楷體" w:hint="eastAsia"/>
        </w:rPr>
        <w:t>，</w:t>
      </w:r>
      <w:r w:rsidR="007D2709">
        <w:rPr>
          <w:rFonts w:hAnsi="標楷體" w:hint="eastAsia"/>
        </w:rPr>
        <w:t>市場排名亦呈落後，</w:t>
      </w:r>
      <w:r w:rsidR="001B1DE3">
        <w:rPr>
          <w:rFonts w:hAnsi="標楷體" w:hint="eastAsia"/>
        </w:rPr>
        <w:t>允宜</w:t>
      </w:r>
      <w:r w:rsidR="007D2709">
        <w:rPr>
          <w:rFonts w:hAnsi="標楷體" w:hint="eastAsia"/>
        </w:rPr>
        <w:t>持續檢討</w:t>
      </w:r>
      <w:r w:rsidR="001B1DE3">
        <w:rPr>
          <w:rFonts w:hAnsi="標楷體" w:hint="eastAsia"/>
        </w:rPr>
        <w:t>改</w:t>
      </w:r>
      <w:r w:rsidR="007D2709">
        <w:rPr>
          <w:rFonts w:hAnsi="標楷體" w:hint="eastAsia"/>
        </w:rPr>
        <w:t>進</w:t>
      </w:r>
      <w:bookmarkEnd w:id="2"/>
    </w:p>
    <w:p w:rsidR="00904607" w:rsidRPr="00E10844" w:rsidRDefault="004F6906" w:rsidP="00904607">
      <w:pPr>
        <w:ind w:left="560" w:firstLine="560"/>
        <w:rPr>
          <w:rFonts w:hAnsi="標楷體"/>
        </w:rPr>
      </w:pPr>
      <w:r w:rsidRPr="00E10844">
        <w:rPr>
          <w:rFonts w:hAnsi="標楷體"/>
        </w:rPr>
        <w:t>臺銀證券</w:t>
      </w:r>
      <w:r w:rsidR="001B1DE3">
        <w:rPr>
          <w:rFonts w:hAnsi="標楷體"/>
        </w:rPr>
        <w:t>11</w:t>
      </w:r>
      <w:r w:rsidR="00C87694">
        <w:rPr>
          <w:rFonts w:hAnsi="標楷體"/>
        </w:rPr>
        <w:t>4</w:t>
      </w:r>
      <w:r w:rsidR="00904607" w:rsidRPr="00E10844">
        <w:rPr>
          <w:rFonts w:hAnsi="標楷體"/>
        </w:rPr>
        <w:t>年度預算案於</w:t>
      </w:r>
      <w:r w:rsidR="00775CDE">
        <w:rPr>
          <w:rFonts w:hAnsi="標楷體" w:hint="eastAsia"/>
        </w:rPr>
        <w:t>「</w:t>
      </w:r>
      <w:r w:rsidR="00775CDE" w:rsidRPr="00E10844">
        <w:rPr>
          <w:rFonts w:hAnsi="標楷體"/>
        </w:rPr>
        <w:t>營業收入</w:t>
      </w:r>
      <w:r w:rsidR="00775CDE">
        <w:rPr>
          <w:rFonts w:hAnsi="標楷體" w:hint="eastAsia"/>
        </w:rPr>
        <w:t>-</w:t>
      </w:r>
      <w:r w:rsidR="00775CDE" w:rsidRPr="00E10844">
        <w:rPr>
          <w:rFonts w:hAnsi="標楷體"/>
        </w:rPr>
        <w:t>金融保險收入</w:t>
      </w:r>
      <w:r w:rsidR="00775CDE">
        <w:rPr>
          <w:rFonts w:hAnsi="標楷體" w:hint="eastAsia"/>
        </w:rPr>
        <w:t>」</w:t>
      </w:r>
      <w:r w:rsidR="00775CDE" w:rsidRPr="00E10844">
        <w:rPr>
          <w:rFonts w:hAnsi="標楷體"/>
        </w:rPr>
        <w:t>項下編列「證券經紀及承銷收入」</w:t>
      </w:r>
      <w:r w:rsidR="001B1DE3">
        <w:rPr>
          <w:rFonts w:hAnsi="標楷體" w:hint="eastAsia"/>
        </w:rPr>
        <w:t>6</w:t>
      </w:r>
      <w:r w:rsidR="00904607" w:rsidRPr="00E10844">
        <w:rPr>
          <w:rFonts w:hAnsi="標楷體"/>
        </w:rPr>
        <w:t>億</w:t>
      </w:r>
      <w:r w:rsidR="00C87694">
        <w:rPr>
          <w:rFonts w:hAnsi="標楷體" w:hint="eastAsia"/>
        </w:rPr>
        <w:t>9</w:t>
      </w:r>
      <w:r w:rsidR="00F37FC3" w:rsidRPr="00E10844">
        <w:rPr>
          <w:rFonts w:hAnsi="標楷體"/>
        </w:rPr>
        <w:t>,</w:t>
      </w:r>
      <w:r w:rsidR="001B1DE3">
        <w:rPr>
          <w:rFonts w:hAnsi="標楷體" w:hint="eastAsia"/>
        </w:rPr>
        <w:t>0</w:t>
      </w:r>
      <w:r w:rsidR="00C87694">
        <w:rPr>
          <w:rFonts w:hAnsi="標楷體"/>
        </w:rPr>
        <w:t>44</w:t>
      </w:r>
      <w:r w:rsidR="00904607" w:rsidRPr="00E10844">
        <w:rPr>
          <w:rFonts w:hAnsi="標楷體"/>
        </w:rPr>
        <w:t>萬元，</w:t>
      </w:r>
      <w:r w:rsidR="00775CDE">
        <w:rPr>
          <w:rFonts w:hAnsi="標楷體" w:hint="eastAsia"/>
        </w:rPr>
        <w:t>其中「</w:t>
      </w:r>
      <w:r w:rsidR="001B1DE3">
        <w:rPr>
          <w:rFonts w:hAnsi="標楷體" w:hint="eastAsia"/>
        </w:rPr>
        <w:t>證券經紀收入</w:t>
      </w:r>
      <w:r w:rsidR="00775CDE">
        <w:rPr>
          <w:rFonts w:hAnsi="標楷體" w:hint="eastAsia"/>
        </w:rPr>
        <w:t>」為</w:t>
      </w:r>
      <w:r w:rsidR="001B1DE3">
        <w:rPr>
          <w:rFonts w:hAnsi="標楷體" w:hint="eastAsia"/>
        </w:rPr>
        <w:t>6</w:t>
      </w:r>
      <w:r w:rsidR="001B1DE3" w:rsidRPr="00E10844">
        <w:rPr>
          <w:rFonts w:hAnsi="標楷體"/>
        </w:rPr>
        <w:t>億</w:t>
      </w:r>
      <w:r w:rsidR="00C87694">
        <w:rPr>
          <w:rFonts w:hAnsi="標楷體" w:hint="eastAsia"/>
        </w:rPr>
        <w:t>7</w:t>
      </w:r>
      <w:r w:rsidR="00C87694">
        <w:rPr>
          <w:rFonts w:hAnsi="標楷體"/>
        </w:rPr>
        <w:t>,574</w:t>
      </w:r>
      <w:r w:rsidR="001B1DE3" w:rsidRPr="00E10844">
        <w:rPr>
          <w:rFonts w:hAnsi="標楷體"/>
        </w:rPr>
        <w:t>萬元</w:t>
      </w:r>
      <w:r w:rsidR="00775CDE">
        <w:rPr>
          <w:rFonts w:hAnsi="標楷體" w:hint="eastAsia"/>
        </w:rPr>
        <w:t>，較11</w:t>
      </w:r>
      <w:r w:rsidR="00C87694">
        <w:rPr>
          <w:rFonts w:hAnsi="標楷體"/>
        </w:rPr>
        <w:t>3</w:t>
      </w:r>
      <w:r w:rsidR="00775CDE">
        <w:rPr>
          <w:rFonts w:hAnsi="標楷體" w:hint="eastAsia"/>
        </w:rPr>
        <w:t>年預算數</w:t>
      </w:r>
      <w:r w:rsidR="00C87694">
        <w:rPr>
          <w:rFonts w:hAnsi="標楷體" w:hint="eastAsia"/>
        </w:rPr>
        <w:t>增加</w:t>
      </w:r>
      <w:r w:rsidR="001C3BF2">
        <w:rPr>
          <w:rFonts w:hAnsi="標楷體" w:hint="eastAsia"/>
        </w:rPr>
        <w:t>6</w:t>
      </w:r>
      <w:r w:rsidR="00775CDE">
        <w:rPr>
          <w:rFonts w:hAnsi="標楷體"/>
        </w:rPr>
        <w:t>,</w:t>
      </w:r>
      <w:r w:rsidR="001C3BF2">
        <w:rPr>
          <w:rFonts w:hAnsi="標楷體" w:hint="eastAsia"/>
        </w:rPr>
        <w:t>704</w:t>
      </w:r>
      <w:r w:rsidR="00775CDE">
        <w:rPr>
          <w:rFonts w:hAnsi="標楷體" w:hint="eastAsia"/>
        </w:rPr>
        <w:t>萬</w:t>
      </w:r>
      <w:r w:rsidR="001C3BF2">
        <w:rPr>
          <w:rFonts w:hAnsi="標楷體" w:hint="eastAsia"/>
        </w:rPr>
        <w:t>6</w:t>
      </w:r>
      <w:r w:rsidR="00775CDE">
        <w:rPr>
          <w:rFonts w:hAnsi="標楷體" w:hint="eastAsia"/>
        </w:rPr>
        <w:t>千元(</w:t>
      </w:r>
      <w:r w:rsidR="001C3BF2">
        <w:rPr>
          <w:rFonts w:hAnsi="標楷體" w:hint="eastAsia"/>
        </w:rPr>
        <w:t>增</w:t>
      </w:r>
      <w:r w:rsidR="00775CDE">
        <w:rPr>
          <w:rFonts w:hAnsi="標楷體" w:hint="eastAsia"/>
        </w:rPr>
        <w:t>幅1</w:t>
      </w:r>
      <w:r w:rsidR="001C3BF2">
        <w:rPr>
          <w:rFonts w:hAnsi="標楷體" w:hint="eastAsia"/>
        </w:rPr>
        <w:t>1.0</w:t>
      </w:r>
      <w:r w:rsidR="00775CDE">
        <w:rPr>
          <w:rFonts w:hAnsi="標楷體" w:hint="eastAsia"/>
        </w:rPr>
        <w:t>%)</w:t>
      </w:r>
      <w:r w:rsidR="00904607" w:rsidRPr="00E10844">
        <w:rPr>
          <w:rFonts w:hAnsi="標楷體"/>
        </w:rPr>
        <w:t>。經查：</w:t>
      </w:r>
    </w:p>
    <w:p w:rsidR="00904607" w:rsidRPr="00E10844" w:rsidRDefault="00904607" w:rsidP="00A06914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(一)</w:t>
      </w:r>
      <w:r w:rsidR="0038773F">
        <w:rPr>
          <w:rFonts w:hAnsi="標楷體" w:hint="eastAsia"/>
          <w:b/>
        </w:rPr>
        <w:t>11</w:t>
      </w:r>
      <w:r w:rsidR="001C3BF2">
        <w:rPr>
          <w:rFonts w:hAnsi="標楷體" w:hint="eastAsia"/>
          <w:b/>
        </w:rPr>
        <w:t>4</w:t>
      </w:r>
      <w:r w:rsidR="0038773F">
        <w:rPr>
          <w:rFonts w:hAnsi="標楷體" w:hint="eastAsia"/>
          <w:b/>
        </w:rPr>
        <w:t>年度</w:t>
      </w:r>
      <w:r w:rsidR="0038773F" w:rsidRPr="0038773F">
        <w:rPr>
          <w:rFonts w:hAnsi="標楷體" w:hint="eastAsia"/>
          <w:b/>
        </w:rPr>
        <w:t>證券經紀業務</w:t>
      </w:r>
      <w:r w:rsidR="0038773F">
        <w:rPr>
          <w:rFonts w:hAnsi="標楷體" w:hint="eastAsia"/>
          <w:b/>
        </w:rPr>
        <w:t>收入</w:t>
      </w:r>
      <w:r w:rsidR="00F41D01">
        <w:rPr>
          <w:rFonts w:hAnsi="標楷體" w:hint="eastAsia"/>
          <w:b/>
        </w:rPr>
        <w:t>編列數</w:t>
      </w:r>
      <w:r w:rsidR="001C3BF2">
        <w:rPr>
          <w:rFonts w:hAnsi="標楷體" w:hint="eastAsia"/>
          <w:b/>
        </w:rPr>
        <w:t>雖較113年度為高</w:t>
      </w:r>
      <w:r w:rsidR="0038773F">
        <w:rPr>
          <w:rFonts w:hAnsi="標楷體" w:hint="eastAsia"/>
          <w:b/>
        </w:rPr>
        <w:t>，</w:t>
      </w:r>
      <w:r w:rsidR="001C3BF2">
        <w:rPr>
          <w:rFonts w:hAnsi="標楷體" w:hint="eastAsia"/>
          <w:b/>
        </w:rPr>
        <w:t>惟低於112</w:t>
      </w:r>
      <w:r w:rsidR="0038773F">
        <w:rPr>
          <w:rFonts w:hAnsi="標楷體" w:hint="eastAsia"/>
          <w:b/>
        </w:rPr>
        <w:t>年</w:t>
      </w:r>
      <w:r w:rsidR="001C3BF2">
        <w:rPr>
          <w:rFonts w:hAnsi="標楷體" w:hint="eastAsia"/>
          <w:b/>
        </w:rPr>
        <w:t>度決算數</w:t>
      </w:r>
    </w:p>
    <w:p w:rsidR="00195BE7" w:rsidRDefault="009A6B89" w:rsidP="007F272F">
      <w:pPr>
        <w:pStyle w:val="21"/>
        <w:ind w:left="840" w:firstLine="560"/>
        <w:rPr>
          <w:rFonts w:hAnsi="標楷體"/>
        </w:rPr>
      </w:pPr>
      <w:r>
        <w:rPr>
          <w:rFonts w:hAnsi="標楷體" w:hint="eastAsia"/>
        </w:rPr>
        <w:t>據</w:t>
      </w:r>
      <w:r w:rsidRPr="00E10844">
        <w:rPr>
          <w:rFonts w:hAnsi="標楷體"/>
        </w:rPr>
        <w:t>臺銀證券</w:t>
      </w:r>
      <w:r w:rsidR="001C3BF2">
        <w:rPr>
          <w:rFonts w:hAnsi="標楷體" w:hint="eastAsia"/>
        </w:rPr>
        <w:t>114</w:t>
      </w:r>
      <w:r>
        <w:rPr>
          <w:rFonts w:hAnsi="標楷體" w:hint="eastAsia"/>
        </w:rPr>
        <w:t>年度預算書所載，業務範圍係</w:t>
      </w:r>
      <w:r w:rsidRPr="009A6B89">
        <w:rPr>
          <w:rFonts w:hAnsi="標楷體" w:hint="eastAsia"/>
        </w:rPr>
        <w:t>依證券交易法、期貨交易法等證券管理法令規定辦理證券經紀業務、自營業務、承銷業務、期貨交易輔助人等，以及其他經主管機關核准之證券相關業務。</w:t>
      </w:r>
      <w:r w:rsidR="001C3BF2">
        <w:rPr>
          <w:rFonts w:hAnsi="標楷體" w:hint="eastAsia"/>
        </w:rPr>
        <w:t>114</w:t>
      </w:r>
      <w:r>
        <w:rPr>
          <w:rFonts w:hAnsi="標楷體" w:hint="eastAsia"/>
        </w:rPr>
        <w:t>年度</w:t>
      </w:r>
      <w:r w:rsidR="009E7591">
        <w:rPr>
          <w:rFonts w:hAnsi="標楷體" w:hint="eastAsia"/>
        </w:rPr>
        <w:t>預算案</w:t>
      </w:r>
      <w:r>
        <w:rPr>
          <w:rFonts w:hAnsi="標楷體" w:hint="eastAsia"/>
        </w:rPr>
        <w:t>編列</w:t>
      </w:r>
      <w:r w:rsidRPr="00E10844">
        <w:rPr>
          <w:rFonts w:hAnsi="標楷體"/>
        </w:rPr>
        <w:t>「證券經紀及承銷</w:t>
      </w:r>
      <w:r>
        <w:rPr>
          <w:rFonts w:hAnsi="標楷體" w:hint="eastAsia"/>
        </w:rPr>
        <w:t>收入</w:t>
      </w:r>
      <w:r w:rsidRPr="00E10844">
        <w:rPr>
          <w:rFonts w:hAnsi="標楷體"/>
        </w:rPr>
        <w:t>」</w:t>
      </w:r>
      <w:r>
        <w:rPr>
          <w:rFonts w:hAnsi="標楷體" w:hint="eastAsia"/>
        </w:rPr>
        <w:t>6</w:t>
      </w:r>
      <w:r w:rsidRPr="00E10844">
        <w:rPr>
          <w:rFonts w:hAnsi="標楷體"/>
        </w:rPr>
        <w:t>億</w:t>
      </w:r>
      <w:r w:rsidR="001C3BF2">
        <w:rPr>
          <w:rFonts w:hAnsi="標楷體" w:hint="eastAsia"/>
        </w:rPr>
        <w:t>9</w:t>
      </w:r>
      <w:r w:rsidR="001C3BF2" w:rsidRPr="00E10844">
        <w:rPr>
          <w:rFonts w:hAnsi="標楷體"/>
        </w:rPr>
        <w:t>,</w:t>
      </w:r>
      <w:r w:rsidR="001C3BF2">
        <w:rPr>
          <w:rFonts w:hAnsi="標楷體" w:hint="eastAsia"/>
        </w:rPr>
        <w:t>0</w:t>
      </w:r>
      <w:r w:rsidR="001C3BF2">
        <w:rPr>
          <w:rFonts w:hAnsi="標楷體"/>
        </w:rPr>
        <w:t>44</w:t>
      </w:r>
      <w:r w:rsidRPr="00E10844">
        <w:rPr>
          <w:rFonts w:hAnsi="標楷體"/>
        </w:rPr>
        <w:t>萬元</w:t>
      </w:r>
      <w:r>
        <w:rPr>
          <w:rFonts w:hAnsi="標楷體" w:hint="eastAsia"/>
        </w:rPr>
        <w:t>，</w:t>
      </w:r>
      <w:r w:rsidR="00FE6578">
        <w:rPr>
          <w:rFonts w:hAnsi="標楷體" w:hint="eastAsia"/>
        </w:rPr>
        <w:t>其中</w:t>
      </w:r>
      <w:r w:rsidR="002B721A">
        <w:rPr>
          <w:rFonts w:hAnsi="標楷體" w:hint="eastAsia"/>
        </w:rPr>
        <w:t>該年度</w:t>
      </w:r>
      <w:r w:rsidRPr="00E10844">
        <w:rPr>
          <w:rFonts w:hAnsi="標楷體"/>
        </w:rPr>
        <w:t>「證券經紀</w:t>
      </w:r>
      <w:r>
        <w:rPr>
          <w:rFonts w:hAnsi="標楷體" w:hint="eastAsia"/>
        </w:rPr>
        <w:t>業務</w:t>
      </w:r>
      <w:r w:rsidRPr="00E10844">
        <w:rPr>
          <w:rFonts w:hAnsi="標楷體"/>
        </w:rPr>
        <w:t>」</w:t>
      </w:r>
      <w:r w:rsidR="00FE6578">
        <w:rPr>
          <w:rFonts w:hAnsi="標楷體" w:hint="eastAsia"/>
        </w:rPr>
        <w:t>預估營運量為1</w:t>
      </w:r>
      <w:r w:rsidR="00FE6578">
        <w:rPr>
          <w:rFonts w:hAnsi="標楷體" w:hint="eastAsia"/>
        </w:rPr>
        <w:lastRenderedPageBreak/>
        <w:t>兆</w:t>
      </w:r>
      <w:r w:rsidR="001C3BF2">
        <w:rPr>
          <w:rFonts w:hAnsi="標楷體" w:hint="eastAsia"/>
        </w:rPr>
        <w:t>3</w:t>
      </w:r>
      <w:r w:rsidR="00FE6578">
        <w:rPr>
          <w:rFonts w:hAnsi="標楷體"/>
        </w:rPr>
        <w:t>,</w:t>
      </w:r>
      <w:r w:rsidR="001C3BF2">
        <w:rPr>
          <w:rFonts w:hAnsi="標楷體" w:hint="eastAsia"/>
        </w:rPr>
        <w:t>000</w:t>
      </w:r>
      <w:r w:rsidR="00FE6578">
        <w:rPr>
          <w:rFonts w:hAnsi="標楷體" w:hint="eastAsia"/>
        </w:rPr>
        <w:t>億元，以平均費率約0.05%估計</w:t>
      </w:r>
      <w:r w:rsidR="00FE6578" w:rsidRPr="00E10844">
        <w:rPr>
          <w:rFonts w:hAnsi="標楷體"/>
        </w:rPr>
        <w:t>「證券經紀</w:t>
      </w:r>
      <w:r w:rsidR="00FE6578">
        <w:rPr>
          <w:rFonts w:hAnsi="標楷體" w:hint="eastAsia"/>
        </w:rPr>
        <w:t>業務收入</w:t>
      </w:r>
      <w:r w:rsidR="00FE6578" w:rsidRPr="00E10844">
        <w:rPr>
          <w:rFonts w:hAnsi="標楷體"/>
        </w:rPr>
        <w:t>」</w:t>
      </w:r>
      <w:r w:rsidR="003B1EFF">
        <w:rPr>
          <w:rFonts w:hAnsi="標楷體" w:hint="eastAsia"/>
        </w:rPr>
        <w:t>為</w:t>
      </w:r>
      <w:r>
        <w:rPr>
          <w:rFonts w:hAnsi="標楷體" w:hint="eastAsia"/>
        </w:rPr>
        <w:t>6</w:t>
      </w:r>
      <w:r w:rsidRPr="00E10844">
        <w:rPr>
          <w:rFonts w:hAnsi="標楷體"/>
        </w:rPr>
        <w:t>億</w:t>
      </w:r>
      <w:r w:rsidR="001C3BF2">
        <w:rPr>
          <w:rFonts w:hAnsi="標楷體" w:hint="eastAsia"/>
        </w:rPr>
        <w:t>7</w:t>
      </w:r>
      <w:r w:rsidR="001C3BF2">
        <w:rPr>
          <w:rFonts w:hAnsi="標楷體"/>
        </w:rPr>
        <w:t>,574</w:t>
      </w:r>
      <w:r w:rsidRPr="00E10844">
        <w:rPr>
          <w:rFonts w:hAnsi="標楷體"/>
        </w:rPr>
        <w:t>萬元</w:t>
      </w:r>
      <w:r>
        <w:rPr>
          <w:rFonts w:hAnsi="標楷體" w:hint="eastAsia"/>
        </w:rPr>
        <w:t>，</w:t>
      </w:r>
      <w:r w:rsidR="001712CC">
        <w:rPr>
          <w:rFonts w:hAnsi="標楷體" w:hint="eastAsia"/>
        </w:rPr>
        <w:t>分別占</w:t>
      </w:r>
      <w:r w:rsidR="001712CC" w:rsidRPr="00E10844">
        <w:rPr>
          <w:rFonts w:hAnsi="標楷體"/>
        </w:rPr>
        <w:t>「證券經紀及承銷</w:t>
      </w:r>
      <w:r w:rsidR="001712CC">
        <w:rPr>
          <w:rFonts w:hAnsi="標楷體" w:hint="eastAsia"/>
        </w:rPr>
        <w:t>收入</w:t>
      </w:r>
      <w:r w:rsidR="001712CC" w:rsidRPr="00E10844">
        <w:rPr>
          <w:rFonts w:hAnsi="標楷體"/>
        </w:rPr>
        <w:t>」</w:t>
      </w:r>
      <w:r w:rsidR="001712CC">
        <w:rPr>
          <w:rFonts w:hAnsi="標楷體" w:hint="eastAsia"/>
        </w:rPr>
        <w:t>及「營業收入」之</w:t>
      </w:r>
      <w:r w:rsidR="001C3BF2">
        <w:rPr>
          <w:rFonts w:hAnsi="標楷體" w:hint="eastAsia"/>
        </w:rPr>
        <w:t>97.</w:t>
      </w:r>
      <w:r w:rsidR="001C3BF2">
        <w:rPr>
          <w:rFonts w:hAnsi="標楷體"/>
        </w:rPr>
        <w:t>9</w:t>
      </w:r>
      <w:r w:rsidR="001712CC">
        <w:rPr>
          <w:rFonts w:hAnsi="標楷體" w:hint="eastAsia"/>
        </w:rPr>
        <w:t>%、6</w:t>
      </w:r>
      <w:r w:rsidR="001C3BF2">
        <w:rPr>
          <w:rFonts w:hAnsi="標楷體" w:hint="eastAsia"/>
        </w:rPr>
        <w:t>6.2</w:t>
      </w:r>
      <w:r w:rsidR="001712CC">
        <w:rPr>
          <w:rFonts w:hAnsi="標楷體" w:hint="eastAsia"/>
        </w:rPr>
        <w:t>%，為</w:t>
      </w:r>
      <w:r w:rsidR="00FE6578">
        <w:rPr>
          <w:rFonts w:hAnsi="標楷體" w:hint="eastAsia"/>
        </w:rPr>
        <w:t>該公司主要</w:t>
      </w:r>
      <w:r w:rsidR="00B465DF">
        <w:rPr>
          <w:rFonts w:hAnsi="標楷體" w:hint="eastAsia"/>
        </w:rPr>
        <w:t>收入</w:t>
      </w:r>
      <w:r w:rsidR="00FE6578">
        <w:rPr>
          <w:rFonts w:hAnsi="標楷體" w:hint="eastAsia"/>
        </w:rPr>
        <w:t>來源</w:t>
      </w:r>
      <w:r w:rsidR="001712CC">
        <w:rPr>
          <w:rFonts w:hAnsi="標楷體" w:hint="eastAsia"/>
        </w:rPr>
        <w:t>。</w:t>
      </w:r>
      <w:r w:rsidR="0038773F">
        <w:rPr>
          <w:rFonts w:hAnsi="標楷體" w:hint="eastAsia"/>
        </w:rPr>
        <w:t>惟</w:t>
      </w:r>
      <w:r w:rsidR="001712CC" w:rsidRPr="00E10844">
        <w:rPr>
          <w:rFonts w:hAnsi="標楷體"/>
        </w:rPr>
        <w:t>證券經紀</w:t>
      </w:r>
      <w:r w:rsidR="001712CC">
        <w:rPr>
          <w:rFonts w:hAnsi="標楷體" w:hint="eastAsia"/>
        </w:rPr>
        <w:t>業務收入</w:t>
      </w:r>
      <w:r w:rsidR="001C3BF2">
        <w:rPr>
          <w:rFonts w:hAnsi="標楷體" w:hint="eastAsia"/>
        </w:rPr>
        <w:t>114</w:t>
      </w:r>
      <w:r w:rsidR="0021122E">
        <w:rPr>
          <w:rFonts w:hAnsi="標楷體" w:hint="eastAsia"/>
        </w:rPr>
        <w:t>年度</w:t>
      </w:r>
      <w:r w:rsidR="009E7591">
        <w:rPr>
          <w:rFonts w:hAnsi="標楷體" w:hint="eastAsia"/>
        </w:rPr>
        <w:t>預算案</w:t>
      </w:r>
      <w:r w:rsidR="0021122E">
        <w:rPr>
          <w:rFonts w:hAnsi="標楷體" w:hint="eastAsia"/>
        </w:rPr>
        <w:t>編列數</w:t>
      </w:r>
      <w:r w:rsidR="001C3BF2">
        <w:rPr>
          <w:rFonts w:hAnsi="標楷體" w:hint="eastAsia"/>
        </w:rPr>
        <w:t>雖</w:t>
      </w:r>
      <w:r w:rsidR="0038773F">
        <w:rPr>
          <w:rFonts w:hAnsi="標楷體" w:hint="eastAsia"/>
        </w:rPr>
        <w:t>較</w:t>
      </w:r>
      <w:r w:rsidR="0038773F" w:rsidRPr="0038773F">
        <w:rPr>
          <w:rFonts w:hAnsi="標楷體" w:hint="eastAsia"/>
        </w:rPr>
        <w:t>11</w:t>
      </w:r>
      <w:r w:rsidR="001C3BF2">
        <w:rPr>
          <w:rFonts w:hAnsi="標楷體" w:hint="eastAsia"/>
        </w:rPr>
        <w:t>3</w:t>
      </w:r>
      <w:r w:rsidR="0038773F" w:rsidRPr="0038773F">
        <w:rPr>
          <w:rFonts w:hAnsi="標楷體" w:hint="eastAsia"/>
        </w:rPr>
        <w:t>年度</w:t>
      </w:r>
      <w:r w:rsidR="0038773F">
        <w:rPr>
          <w:rFonts w:hAnsi="標楷體" w:hint="eastAsia"/>
        </w:rPr>
        <w:t>之</w:t>
      </w:r>
      <w:r w:rsidR="001C3BF2">
        <w:rPr>
          <w:rFonts w:hAnsi="標楷體" w:hint="eastAsia"/>
        </w:rPr>
        <w:t>6</w:t>
      </w:r>
      <w:r w:rsidR="0038773F">
        <w:rPr>
          <w:rFonts w:hAnsi="標楷體" w:hint="eastAsia"/>
        </w:rPr>
        <w:t>億</w:t>
      </w:r>
      <w:r w:rsidR="001C3BF2">
        <w:rPr>
          <w:rFonts w:hAnsi="標楷體" w:hint="eastAsia"/>
        </w:rPr>
        <w:t>869</w:t>
      </w:r>
      <w:r w:rsidR="0038773F">
        <w:rPr>
          <w:rFonts w:hAnsi="標楷體" w:hint="eastAsia"/>
        </w:rPr>
        <w:t>萬</w:t>
      </w:r>
      <w:r w:rsidR="001C3BF2">
        <w:rPr>
          <w:rFonts w:hAnsi="標楷體" w:hint="eastAsia"/>
        </w:rPr>
        <w:t>4</w:t>
      </w:r>
      <w:r w:rsidR="0038773F">
        <w:rPr>
          <w:rFonts w:hAnsi="標楷體" w:hint="eastAsia"/>
        </w:rPr>
        <w:t>千元為</w:t>
      </w:r>
      <w:r w:rsidR="001C3BF2">
        <w:rPr>
          <w:rFonts w:hAnsi="標楷體" w:hint="eastAsia"/>
        </w:rPr>
        <w:t>高</w:t>
      </w:r>
      <w:r w:rsidR="0038773F">
        <w:rPr>
          <w:rFonts w:hAnsi="標楷體" w:hint="eastAsia"/>
        </w:rPr>
        <w:t>，</w:t>
      </w:r>
      <w:r w:rsidR="001C3BF2">
        <w:rPr>
          <w:rFonts w:hAnsi="標楷體" w:hint="eastAsia"/>
        </w:rPr>
        <w:t>惟較</w:t>
      </w:r>
      <w:r w:rsidR="001C3BF2" w:rsidRPr="001C3BF2">
        <w:rPr>
          <w:rFonts w:hAnsi="標楷體" w:hint="eastAsia"/>
        </w:rPr>
        <w:t>112年度決算數</w:t>
      </w:r>
      <w:r w:rsidR="001C3BF2">
        <w:rPr>
          <w:rFonts w:hAnsi="標楷體" w:hint="eastAsia"/>
        </w:rPr>
        <w:t>減少6</w:t>
      </w:r>
      <w:r w:rsidR="001C3BF2">
        <w:rPr>
          <w:rFonts w:hAnsi="標楷體"/>
        </w:rPr>
        <w:t>,516</w:t>
      </w:r>
      <w:r w:rsidR="001C3BF2">
        <w:rPr>
          <w:rFonts w:hAnsi="標楷體" w:hint="eastAsia"/>
        </w:rPr>
        <w:t>萬1千元，減幅8.8%</w:t>
      </w:r>
      <w:r w:rsidR="0038773F">
        <w:rPr>
          <w:rFonts w:hAnsi="標楷體" w:hint="eastAsia"/>
        </w:rPr>
        <w:t>。</w:t>
      </w:r>
    </w:p>
    <w:p w:rsidR="00904607" w:rsidRPr="00E10844" w:rsidRDefault="00904607" w:rsidP="007F272F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(二)</w:t>
      </w:r>
      <w:r w:rsidR="007D2709">
        <w:rPr>
          <w:rFonts w:hAnsi="標楷體" w:hint="eastAsia"/>
          <w:b/>
        </w:rPr>
        <w:t>近</w:t>
      </w:r>
      <w:r w:rsidR="00697483">
        <w:rPr>
          <w:rFonts w:hAnsi="標楷體" w:hint="eastAsia"/>
          <w:b/>
        </w:rPr>
        <w:t>5</w:t>
      </w:r>
      <w:r w:rsidR="007D2709">
        <w:rPr>
          <w:rFonts w:hAnsi="標楷體" w:hint="eastAsia"/>
          <w:b/>
        </w:rPr>
        <w:t>年度</w:t>
      </w:r>
      <w:r w:rsidR="00FE6578">
        <w:rPr>
          <w:rFonts w:hAnsi="標楷體" w:hint="eastAsia"/>
          <w:b/>
        </w:rPr>
        <w:t>證券經紀</w:t>
      </w:r>
      <w:r w:rsidR="0021122E">
        <w:rPr>
          <w:rFonts w:hAnsi="標楷體" w:hint="eastAsia"/>
          <w:b/>
        </w:rPr>
        <w:t>營運量市占率</w:t>
      </w:r>
      <w:r w:rsidR="00CC5E7E">
        <w:rPr>
          <w:rFonts w:hAnsi="標楷體" w:hint="eastAsia"/>
          <w:b/>
        </w:rPr>
        <w:t>逐年</w:t>
      </w:r>
      <w:r w:rsidR="00B465DF">
        <w:rPr>
          <w:rFonts w:hAnsi="標楷體" w:hint="eastAsia"/>
          <w:b/>
        </w:rPr>
        <w:t>下降</w:t>
      </w:r>
      <w:r w:rsidR="00CC5E7E">
        <w:rPr>
          <w:rFonts w:hAnsi="標楷體" w:hint="eastAsia"/>
          <w:b/>
        </w:rPr>
        <w:t>，市場排名亦呈</w:t>
      </w:r>
      <w:r w:rsidR="007D2709">
        <w:rPr>
          <w:rFonts w:hAnsi="標楷體" w:hint="eastAsia"/>
          <w:b/>
        </w:rPr>
        <w:t>落後</w:t>
      </w:r>
      <w:r w:rsidR="00FE6578">
        <w:rPr>
          <w:rFonts w:hAnsi="標楷體" w:hint="eastAsia"/>
          <w:b/>
        </w:rPr>
        <w:t>，允宜</w:t>
      </w:r>
      <w:r w:rsidR="00314527">
        <w:rPr>
          <w:rFonts w:hAnsi="標楷體" w:hint="eastAsia"/>
          <w:b/>
        </w:rPr>
        <w:t>積極</w:t>
      </w:r>
      <w:r w:rsidR="00FE6578">
        <w:rPr>
          <w:rFonts w:hAnsi="標楷體" w:hint="eastAsia"/>
          <w:b/>
        </w:rPr>
        <w:t>研謀改善</w:t>
      </w:r>
    </w:p>
    <w:p w:rsidR="002F243A" w:rsidRDefault="002F243A" w:rsidP="002F243A">
      <w:pPr>
        <w:pStyle w:val="123"/>
        <w:ind w:left="1120" w:hanging="280"/>
      </w:pPr>
      <w:r>
        <w:rPr>
          <w:rFonts w:hint="eastAsia"/>
        </w:rPr>
        <w:t>1.</w:t>
      </w:r>
      <w:r w:rsidR="00FE6578">
        <w:rPr>
          <w:rFonts w:hint="eastAsia"/>
        </w:rPr>
        <w:t>從</w:t>
      </w:r>
      <w:r w:rsidR="005E508B" w:rsidRPr="00E10844">
        <w:t>臺銀證券</w:t>
      </w:r>
      <w:r w:rsidR="008A2F40">
        <w:rPr>
          <w:rFonts w:hint="eastAsia"/>
        </w:rPr>
        <w:t>近</w:t>
      </w:r>
      <w:r w:rsidR="00697483">
        <w:rPr>
          <w:rFonts w:hint="eastAsia"/>
        </w:rPr>
        <w:t>5</w:t>
      </w:r>
      <w:r w:rsidR="008A2F40">
        <w:rPr>
          <w:rFonts w:hint="eastAsia"/>
        </w:rPr>
        <w:t>年度(</w:t>
      </w:r>
      <w:r w:rsidR="00697483">
        <w:rPr>
          <w:rFonts w:hint="eastAsia"/>
        </w:rPr>
        <w:t>10</w:t>
      </w:r>
      <w:r w:rsidR="00697483">
        <w:t>8</w:t>
      </w:r>
      <w:r w:rsidR="00FE6578">
        <w:rPr>
          <w:rFonts w:hint="eastAsia"/>
        </w:rPr>
        <w:t>至</w:t>
      </w:r>
      <w:r w:rsidR="005E508B" w:rsidRPr="00E10844">
        <w:t>11</w:t>
      </w:r>
      <w:r w:rsidR="00CC5E7E">
        <w:rPr>
          <w:rFonts w:hint="eastAsia"/>
        </w:rPr>
        <w:t>2</w:t>
      </w:r>
      <w:r w:rsidR="005E508B" w:rsidRPr="00E10844">
        <w:t>年度</w:t>
      </w:r>
      <w:r w:rsidR="008A2F40">
        <w:rPr>
          <w:rFonts w:hint="eastAsia"/>
        </w:rPr>
        <w:t>，以下同)</w:t>
      </w:r>
      <w:r w:rsidR="00FE6578" w:rsidRPr="00FE6578">
        <w:rPr>
          <w:rFonts w:hint="eastAsia"/>
        </w:rPr>
        <w:t>證券經紀營運量及在全體證券商排名</w:t>
      </w:r>
      <w:r w:rsidR="00FE6578">
        <w:rPr>
          <w:rFonts w:hint="eastAsia"/>
        </w:rPr>
        <w:t>等以觀</w:t>
      </w:r>
      <w:r w:rsidR="005E508B" w:rsidRPr="00E10844">
        <w:t>，</w:t>
      </w:r>
      <w:r w:rsidR="00D31A41">
        <w:rPr>
          <w:rFonts w:hint="eastAsia"/>
        </w:rPr>
        <w:t>該</w:t>
      </w:r>
      <w:r w:rsidR="00FE6578">
        <w:rPr>
          <w:rFonts w:hint="eastAsia"/>
        </w:rPr>
        <w:t>期間營運量</w:t>
      </w:r>
      <w:r w:rsidR="00697483">
        <w:rPr>
          <w:rFonts w:hint="eastAsia"/>
        </w:rPr>
        <w:t>除108年度未達1兆元外，其餘年度</w:t>
      </w:r>
      <w:r w:rsidR="0021122E">
        <w:rPr>
          <w:rFonts w:hint="eastAsia"/>
        </w:rPr>
        <w:t>介於1兆3,009億</w:t>
      </w:r>
      <w:r w:rsidR="00D31A41">
        <w:rPr>
          <w:rFonts w:hint="eastAsia"/>
        </w:rPr>
        <w:t>餘</w:t>
      </w:r>
      <w:r w:rsidR="0021122E">
        <w:rPr>
          <w:rFonts w:hint="eastAsia"/>
        </w:rPr>
        <w:t>元至</w:t>
      </w:r>
      <w:r w:rsidR="00FE6578">
        <w:rPr>
          <w:rFonts w:hint="eastAsia"/>
        </w:rPr>
        <w:t>2兆2</w:t>
      </w:r>
      <w:r w:rsidR="00FE6578">
        <w:t>,</w:t>
      </w:r>
      <w:r>
        <w:t>18</w:t>
      </w:r>
      <w:r w:rsidR="0021122E">
        <w:rPr>
          <w:rFonts w:hint="eastAsia"/>
        </w:rPr>
        <w:t>0</w:t>
      </w:r>
      <w:r>
        <w:rPr>
          <w:rFonts w:hint="eastAsia"/>
        </w:rPr>
        <w:t>億</w:t>
      </w:r>
      <w:r w:rsidR="00D31A41">
        <w:rPr>
          <w:rFonts w:hint="eastAsia"/>
        </w:rPr>
        <w:t>餘</w:t>
      </w:r>
      <w:r w:rsidR="00697483">
        <w:rPr>
          <w:rFonts w:hint="eastAsia"/>
        </w:rPr>
        <w:t>元</w:t>
      </w:r>
      <w:r w:rsidR="0021122E">
        <w:rPr>
          <w:rFonts w:hint="eastAsia"/>
        </w:rPr>
        <w:t>間</w:t>
      </w:r>
      <w:r>
        <w:rPr>
          <w:rFonts w:hint="eastAsia"/>
        </w:rPr>
        <w:t>，</w:t>
      </w:r>
      <w:r w:rsidR="00697483">
        <w:rPr>
          <w:rFonts w:hint="eastAsia"/>
        </w:rPr>
        <w:t>市占率</w:t>
      </w:r>
      <w:r w:rsidR="00D377B4">
        <w:rPr>
          <w:rFonts w:hint="eastAsia"/>
        </w:rPr>
        <w:t>除108及109年度逾1%外，110至112年度</w:t>
      </w:r>
      <w:r>
        <w:rPr>
          <w:rFonts w:hint="eastAsia"/>
        </w:rPr>
        <w:t>分別</w:t>
      </w:r>
      <w:r w:rsidRPr="002F243A">
        <w:rPr>
          <w:rFonts w:hint="eastAsia"/>
        </w:rPr>
        <w:t>為</w:t>
      </w:r>
      <w:r>
        <w:rPr>
          <w:rFonts w:hint="eastAsia"/>
        </w:rPr>
        <w:t>0.95%</w:t>
      </w:r>
      <w:r w:rsidR="00CC5E7E">
        <w:rPr>
          <w:rFonts w:hint="eastAsia"/>
        </w:rPr>
        <w:t>、</w:t>
      </w:r>
      <w:r>
        <w:rPr>
          <w:rFonts w:hint="eastAsia"/>
        </w:rPr>
        <w:t>0.86%</w:t>
      </w:r>
      <w:r w:rsidR="00CC5E7E">
        <w:rPr>
          <w:rFonts w:hint="eastAsia"/>
        </w:rPr>
        <w:t>及0.83%，</w:t>
      </w:r>
      <w:r w:rsidR="00D377B4">
        <w:rPr>
          <w:rFonts w:hint="eastAsia"/>
        </w:rPr>
        <w:t>呈現</w:t>
      </w:r>
      <w:r w:rsidR="00CC5E7E">
        <w:rPr>
          <w:rFonts w:hint="eastAsia"/>
        </w:rPr>
        <w:t>逐年下降</w:t>
      </w:r>
      <w:r>
        <w:rPr>
          <w:rFonts w:hint="eastAsia"/>
        </w:rPr>
        <w:t>；同期間</w:t>
      </w:r>
      <w:r w:rsidRPr="002F243A">
        <w:rPr>
          <w:rFonts w:hint="eastAsia"/>
        </w:rPr>
        <w:t>在全體證券商排名</w:t>
      </w:r>
      <w:r w:rsidR="00D377B4">
        <w:rPr>
          <w:rFonts w:hint="eastAsia"/>
        </w:rPr>
        <w:t>介於</w:t>
      </w:r>
      <w:r>
        <w:rPr>
          <w:rFonts w:hint="eastAsia"/>
        </w:rPr>
        <w:t>第24名</w:t>
      </w:r>
      <w:r w:rsidR="00D377B4">
        <w:rPr>
          <w:rFonts w:hint="eastAsia"/>
        </w:rPr>
        <w:t>至</w:t>
      </w:r>
      <w:r w:rsidRPr="002F243A">
        <w:rPr>
          <w:rFonts w:hint="eastAsia"/>
        </w:rPr>
        <w:t>第28名</w:t>
      </w:r>
      <w:r w:rsidR="00D377B4">
        <w:rPr>
          <w:rFonts w:hint="eastAsia"/>
        </w:rPr>
        <w:t>間</w:t>
      </w:r>
      <w:r w:rsidR="005A5466">
        <w:rPr>
          <w:rFonts w:hint="eastAsia"/>
        </w:rPr>
        <w:t>，</w:t>
      </w:r>
      <w:r w:rsidR="007D2709">
        <w:rPr>
          <w:rFonts w:hint="eastAsia"/>
        </w:rPr>
        <w:t>市場</w:t>
      </w:r>
      <w:r w:rsidR="002B721A">
        <w:rPr>
          <w:rFonts w:hint="eastAsia"/>
        </w:rPr>
        <w:t>排名</w:t>
      </w:r>
      <w:r w:rsidR="00CC5E7E" w:rsidRPr="00CC5E7E">
        <w:rPr>
          <w:rFonts w:hint="eastAsia"/>
        </w:rPr>
        <w:t>亦呈</w:t>
      </w:r>
      <w:r w:rsidR="007D2709">
        <w:rPr>
          <w:rFonts w:hint="eastAsia"/>
        </w:rPr>
        <w:t>落後</w:t>
      </w:r>
      <w:r w:rsidR="00D31A41">
        <w:rPr>
          <w:rFonts w:hint="eastAsia"/>
        </w:rPr>
        <w:t>(詳表1)</w:t>
      </w:r>
      <w:r>
        <w:rPr>
          <w:rFonts w:hint="eastAsia"/>
        </w:rPr>
        <w:t>。</w:t>
      </w:r>
    </w:p>
    <w:p w:rsidR="00904607" w:rsidRDefault="002F243A" w:rsidP="002F243A">
      <w:pPr>
        <w:pStyle w:val="123"/>
        <w:ind w:left="1120" w:hanging="280"/>
      </w:pPr>
      <w:r>
        <w:rPr>
          <w:rFonts w:hint="eastAsia"/>
        </w:rPr>
        <w:t>2.臺銀證券表示，</w:t>
      </w:r>
      <w:r w:rsidR="007D2709">
        <w:rPr>
          <w:rFonts w:hint="eastAsia"/>
        </w:rPr>
        <w:t>112</w:t>
      </w:r>
      <w:r w:rsidRPr="002F243A">
        <w:rPr>
          <w:rFonts w:hint="eastAsia"/>
        </w:rPr>
        <w:t>年</w:t>
      </w:r>
      <w:r w:rsidR="00CC5E7E" w:rsidRPr="00CC5E7E">
        <w:rPr>
          <w:rFonts w:hint="eastAsia"/>
        </w:rPr>
        <w:t>主管機關</w:t>
      </w:r>
      <w:r w:rsidR="007979D8">
        <w:rPr>
          <w:rFonts w:hint="eastAsia"/>
        </w:rPr>
        <w:t>除</w:t>
      </w:r>
      <w:r w:rsidR="00CC5E7E" w:rsidRPr="00CC5E7E">
        <w:rPr>
          <w:rFonts w:hint="eastAsia"/>
        </w:rPr>
        <w:t>實施當沖交易稅減半</w:t>
      </w:r>
      <w:r w:rsidR="000911BD">
        <w:rPr>
          <w:rFonts w:hint="eastAsia"/>
        </w:rPr>
        <w:t>課徵外，另推出</w:t>
      </w:r>
      <w:r w:rsidR="00CC5E7E" w:rsidRPr="00CC5E7E">
        <w:rPr>
          <w:rFonts w:hint="eastAsia"/>
        </w:rPr>
        <w:t>縮短盤中零股試算行情資訊揭露間隔</w:t>
      </w:r>
      <w:r w:rsidR="007979D8">
        <w:rPr>
          <w:rFonts w:hint="eastAsia"/>
        </w:rPr>
        <w:t>及權證避險交易稅率降至千分之一</w:t>
      </w:r>
      <w:r w:rsidR="00CC5E7E">
        <w:rPr>
          <w:rFonts w:hint="eastAsia"/>
        </w:rPr>
        <w:t>等</w:t>
      </w:r>
      <w:r w:rsidR="000911BD">
        <w:rPr>
          <w:rFonts w:hint="eastAsia"/>
        </w:rPr>
        <w:t>措施</w:t>
      </w:r>
      <w:r w:rsidR="00CC5E7E">
        <w:rPr>
          <w:rFonts w:hint="eastAsia"/>
        </w:rPr>
        <w:t>，帶動</w:t>
      </w:r>
      <w:r w:rsidR="007D2709">
        <w:rPr>
          <w:rFonts w:hint="eastAsia"/>
        </w:rPr>
        <w:t>市場</w:t>
      </w:r>
      <w:r w:rsidR="00CC5E7E">
        <w:rPr>
          <w:rFonts w:hint="eastAsia"/>
        </w:rPr>
        <w:t>成交量能增加。</w:t>
      </w:r>
      <w:r w:rsidR="008A2F40">
        <w:rPr>
          <w:rFonts w:hint="eastAsia"/>
        </w:rPr>
        <w:t>11</w:t>
      </w:r>
      <w:r w:rsidR="007D2709">
        <w:rPr>
          <w:rFonts w:hint="eastAsia"/>
        </w:rPr>
        <w:t>2</w:t>
      </w:r>
      <w:r w:rsidR="00CC5E7E" w:rsidRPr="00CC5E7E">
        <w:rPr>
          <w:rFonts w:hint="eastAsia"/>
        </w:rPr>
        <w:t>年底臺灣加權股價指數收盤為1</w:t>
      </w:r>
      <w:r w:rsidR="00CC5E7E">
        <w:rPr>
          <w:rFonts w:hint="eastAsia"/>
        </w:rPr>
        <w:t>萬</w:t>
      </w:r>
      <w:r w:rsidR="00CC5E7E" w:rsidRPr="00CC5E7E">
        <w:rPr>
          <w:rFonts w:hint="eastAsia"/>
        </w:rPr>
        <w:t>7,930.81點，</w:t>
      </w:r>
      <w:r w:rsidR="009E7591">
        <w:rPr>
          <w:rFonts w:hint="eastAsia"/>
        </w:rPr>
        <w:t>較111年底之收盤指數1萬4</w:t>
      </w:r>
      <w:r w:rsidR="009E7591">
        <w:t>,137.69</w:t>
      </w:r>
      <w:r w:rsidR="009E7591">
        <w:rPr>
          <w:rFonts w:hint="eastAsia"/>
        </w:rPr>
        <w:t>點，</w:t>
      </w:r>
      <w:r w:rsidR="00CC5E7E" w:rsidRPr="00CC5E7E">
        <w:rPr>
          <w:rFonts w:hint="eastAsia"/>
        </w:rPr>
        <w:t>漲幅達26.8%，市場日均量由</w:t>
      </w:r>
      <w:r w:rsidR="00CC5E7E">
        <w:rPr>
          <w:rFonts w:hint="eastAsia"/>
        </w:rPr>
        <w:t>111</w:t>
      </w:r>
      <w:r w:rsidR="00CC5E7E" w:rsidRPr="00CC5E7E">
        <w:rPr>
          <w:rFonts w:hint="eastAsia"/>
        </w:rPr>
        <w:t>年度3,051.73億元增加至112年度3,590.41億元，增加17.</w:t>
      </w:r>
      <w:r w:rsidR="007D2709">
        <w:rPr>
          <w:rFonts w:hint="eastAsia"/>
        </w:rPr>
        <w:t>7</w:t>
      </w:r>
      <w:r w:rsidR="00CC5E7E" w:rsidRPr="00CC5E7E">
        <w:rPr>
          <w:rFonts w:hint="eastAsia"/>
        </w:rPr>
        <w:t>%。</w:t>
      </w:r>
      <w:r w:rsidR="008A2F40">
        <w:rPr>
          <w:rFonts w:hint="eastAsia"/>
        </w:rPr>
        <w:t>惟</w:t>
      </w:r>
      <w:r>
        <w:rPr>
          <w:rFonts w:hint="eastAsia"/>
        </w:rPr>
        <w:t>該</w:t>
      </w:r>
      <w:r w:rsidRPr="002F243A">
        <w:rPr>
          <w:rFonts w:hint="eastAsia"/>
        </w:rPr>
        <w:t>公司客戶相對保守，當沖交易比重相較整體市場</w:t>
      </w:r>
      <w:r w:rsidR="00B9694A">
        <w:rPr>
          <w:rFonts w:hint="eastAsia"/>
        </w:rPr>
        <w:t>為</w:t>
      </w:r>
      <w:r w:rsidRPr="002F243A">
        <w:rPr>
          <w:rFonts w:hint="eastAsia"/>
        </w:rPr>
        <w:t>低</w:t>
      </w:r>
      <w:r w:rsidR="00B465DF">
        <w:rPr>
          <w:rFonts w:hint="eastAsia"/>
        </w:rPr>
        <w:t>，</w:t>
      </w:r>
      <w:r>
        <w:rPr>
          <w:rFonts w:hint="eastAsia"/>
        </w:rPr>
        <w:t>致</w:t>
      </w:r>
      <w:r w:rsidR="008A2F40">
        <w:rPr>
          <w:rFonts w:hint="eastAsia"/>
        </w:rPr>
        <w:t>臺銀證券</w:t>
      </w:r>
      <w:r w:rsidR="008A2F40" w:rsidRPr="008A2F40">
        <w:rPr>
          <w:rFonts w:hint="eastAsia"/>
        </w:rPr>
        <w:t>112年度經紀營運量雖較111 年度成長10.2%，惟</w:t>
      </w:r>
      <w:r w:rsidR="007D2709">
        <w:rPr>
          <w:rFonts w:hint="eastAsia"/>
        </w:rPr>
        <w:t>該</w:t>
      </w:r>
      <w:r w:rsidR="008A2F40" w:rsidRPr="008A2F40">
        <w:rPr>
          <w:rFonts w:hint="eastAsia"/>
        </w:rPr>
        <w:t>年度市占</w:t>
      </w:r>
      <w:r w:rsidR="008A2F40">
        <w:rPr>
          <w:rFonts w:hint="eastAsia"/>
        </w:rPr>
        <w:t>率較111年度減少0.0313個百分點</w:t>
      </w:r>
      <w:r w:rsidR="002B721A">
        <w:rPr>
          <w:rFonts w:hint="eastAsia"/>
        </w:rPr>
        <w:t>，</w:t>
      </w:r>
      <w:r w:rsidR="00B465DF">
        <w:rPr>
          <w:rFonts w:hint="eastAsia"/>
        </w:rPr>
        <w:t>爰研謀</w:t>
      </w:r>
      <w:r w:rsidR="002B721A">
        <w:rPr>
          <w:rFonts w:hint="eastAsia"/>
        </w:rPr>
        <w:t>扭轉市占率下滑趨勢，</w:t>
      </w:r>
      <w:r>
        <w:rPr>
          <w:rFonts w:hint="eastAsia"/>
        </w:rPr>
        <w:t>為該公司現階段必須積極面對之</w:t>
      </w:r>
      <w:r w:rsidRPr="002F243A">
        <w:rPr>
          <w:rFonts w:hint="eastAsia"/>
        </w:rPr>
        <w:t>課題</w:t>
      </w:r>
      <w:r w:rsidR="00B465DF">
        <w:rPr>
          <w:rFonts w:hint="eastAsia"/>
        </w:rPr>
        <w:t>，</w:t>
      </w:r>
      <w:r>
        <w:rPr>
          <w:rFonts w:hint="eastAsia"/>
        </w:rPr>
        <w:t>允宜</w:t>
      </w:r>
      <w:r w:rsidR="002B721A">
        <w:rPr>
          <w:rFonts w:hint="eastAsia"/>
        </w:rPr>
        <w:t>積極</w:t>
      </w:r>
      <w:r w:rsidRPr="002F243A">
        <w:rPr>
          <w:rFonts w:hint="eastAsia"/>
        </w:rPr>
        <w:t>改善</w:t>
      </w:r>
      <w:r>
        <w:rPr>
          <w:rFonts w:hint="eastAsia"/>
        </w:rPr>
        <w:t>。</w:t>
      </w:r>
    </w:p>
    <w:p w:rsidR="009E7591" w:rsidRDefault="009E7591" w:rsidP="002F243A">
      <w:pPr>
        <w:pStyle w:val="123"/>
        <w:ind w:left="1120" w:hanging="280"/>
      </w:pPr>
    </w:p>
    <w:p w:rsidR="009E7591" w:rsidRPr="00E10844" w:rsidRDefault="009E7591" w:rsidP="009E7591">
      <w:pPr>
        <w:pStyle w:val="142"/>
        <w:spacing w:line="460" w:lineRule="exact"/>
        <w:ind w:leftChars="50" w:left="897" w:hangingChars="270" w:hanging="757"/>
        <w:rPr>
          <w:rFonts w:hAnsi="標楷體"/>
          <w:b/>
          <w:sz w:val="28"/>
        </w:rPr>
      </w:pPr>
      <w:r w:rsidRPr="00E10844">
        <w:rPr>
          <w:rFonts w:hAnsi="標楷體"/>
          <w:b/>
          <w:sz w:val="28"/>
        </w:rPr>
        <w:lastRenderedPageBreak/>
        <w:t>表1  臺銀證券</w:t>
      </w:r>
      <w:r>
        <w:rPr>
          <w:rFonts w:hAnsi="標楷體"/>
          <w:b/>
          <w:sz w:val="28"/>
        </w:rPr>
        <w:t>10</w:t>
      </w:r>
      <w:r>
        <w:rPr>
          <w:rFonts w:hAnsi="標楷體" w:hint="eastAsia"/>
          <w:b/>
          <w:sz w:val="28"/>
        </w:rPr>
        <w:t>8</w:t>
      </w:r>
      <w:r w:rsidRPr="00E10844">
        <w:rPr>
          <w:rFonts w:hAnsi="標楷體"/>
          <w:b/>
          <w:sz w:val="28"/>
        </w:rPr>
        <w:t>至</w:t>
      </w:r>
      <w:r>
        <w:rPr>
          <w:rFonts w:hAnsi="標楷體"/>
          <w:b/>
          <w:sz w:val="28"/>
        </w:rPr>
        <w:t>114</w:t>
      </w:r>
      <w:r w:rsidRPr="00E10844">
        <w:rPr>
          <w:rFonts w:hAnsi="標楷體"/>
          <w:b/>
          <w:sz w:val="28"/>
        </w:rPr>
        <w:t>年</w:t>
      </w:r>
      <w:r>
        <w:rPr>
          <w:rFonts w:hAnsi="標楷體" w:hint="eastAsia"/>
          <w:b/>
          <w:sz w:val="28"/>
        </w:rPr>
        <w:t>證券經紀業務營運量值相關統計表</w:t>
      </w:r>
    </w:p>
    <w:p w:rsidR="009E7591" w:rsidRPr="00E10844" w:rsidRDefault="009E7591" w:rsidP="009E7591">
      <w:pPr>
        <w:pStyle w:val="142"/>
        <w:ind w:leftChars="50" w:left="788" w:hangingChars="270" w:hanging="648"/>
        <w:jc w:val="right"/>
        <w:rPr>
          <w:rFonts w:hAnsi="標楷體"/>
          <w:b/>
          <w:sz w:val="28"/>
        </w:rPr>
      </w:pPr>
      <w:r w:rsidRPr="00E10844">
        <w:rPr>
          <w:rFonts w:hAnsi="標楷體"/>
          <w:szCs w:val="24"/>
        </w:rPr>
        <w:t>單位：新臺幣</w:t>
      </w:r>
      <w:r>
        <w:rPr>
          <w:rFonts w:hAnsi="標楷體" w:hint="eastAsia"/>
          <w:szCs w:val="24"/>
        </w:rPr>
        <w:t>千</w:t>
      </w:r>
      <w:r w:rsidRPr="00E10844">
        <w:rPr>
          <w:rFonts w:hAnsi="標楷體"/>
          <w:szCs w:val="24"/>
        </w:rPr>
        <w:t>元</w:t>
      </w:r>
    </w:p>
    <w:tbl>
      <w:tblPr>
        <w:tblW w:w="8330" w:type="dxa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14"/>
        <w:gridCol w:w="1666"/>
        <w:gridCol w:w="1666"/>
        <w:gridCol w:w="1666"/>
      </w:tblGrid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F41D01" w:rsidRDefault="009E7591" w:rsidP="0092210A">
            <w:pPr>
              <w:pStyle w:val="142"/>
              <w:jc w:val="center"/>
              <w:rPr>
                <w:rFonts w:hAnsi="標楷體"/>
                <w:b/>
              </w:rPr>
            </w:pPr>
            <w:r w:rsidRPr="00F41D01">
              <w:rPr>
                <w:rFonts w:hAnsi="標楷體"/>
                <w:b/>
              </w:rPr>
              <w:t>年度</w:t>
            </w:r>
          </w:p>
        </w:tc>
        <w:tc>
          <w:tcPr>
            <w:tcW w:w="1914" w:type="dxa"/>
            <w:vAlign w:val="center"/>
          </w:tcPr>
          <w:p w:rsidR="009E7591" w:rsidRPr="00F41D01" w:rsidRDefault="009E7591" w:rsidP="0092210A">
            <w:pPr>
              <w:pStyle w:val="142"/>
              <w:jc w:val="center"/>
              <w:rPr>
                <w:rFonts w:hAnsi="標楷體"/>
                <w:b/>
              </w:rPr>
            </w:pPr>
            <w:r w:rsidRPr="00F41D01">
              <w:rPr>
                <w:rFonts w:hAnsi="標楷體" w:hint="eastAsia"/>
                <w:b/>
              </w:rPr>
              <w:t>營運量</w:t>
            </w:r>
          </w:p>
        </w:tc>
        <w:tc>
          <w:tcPr>
            <w:tcW w:w="1666" w:type="dxa"/>
            <w:vAlign w:val="center"/>
          </w:tcPr>
          <w:p w:rsidR="009E7591" w:rsidRPr="00F41D01" w:rsidRDefault="009E7591" w:rsidP="0092210A">
            <w:pPr>
              <w:pStyle w:val="142"/>
              <w:jc w:val="center"/>
              <w:rPr>
                <w:rFonts w:hAnsi="標楷體"/>
                <w:b/>
              </w:rPr>
            </w:pPr>
            <w:r w:rsidRPr="00F41D01">
              <w:rPr>
                <w:rFonts w:hAnsi="標楷體" w:hint="eastAsia"/>
                <w:b/>
              </w:rPr>
              <w:t>營運值</w:t>
            </w:r>
          </w:p>
        </w:tc>
        <w:tc>
          <w:tcPr>
            <w:tcW w:w="1666" w:type="dxa"/>
            <w:vAlign w:val="center"/>
          </w:tcPr>
          <w:p w:rsidR="009E7591" w:rsidRPr="00F41D01" w:rsidRDefault="009E7591" w:rsidP="0092210A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市占率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F41D01" w:rsidRDefault="009E7591" w:rsidP="0092210A">
            <w:pPr>
              <w:pStyle w:val="142"/>
              <w:jc w:val="center"/>
              <w:rPr>
                <w:rFonts w:hAnsi="標楷體"/>
                <w:b/>
              </w:rPr>
            </w:pPr>
            <w:r w:rsidRPr="00F41D01">
              <w:rPr>
                <w:rFonts w:hAnsi="標楷體" w:hint="eastAsia"/>
                <w:b/>
              </w:rPr>
              <w:t>市占率排名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697483" w:rsidRDefault="009E7591" w:rsidP="0092210A">
            <w:pPr>
              <w:pStyle w:val="142"/>
              <w:jc w:val="center"/>
              <w:rPr>
                <w:rFonts w:hAnsi="標楷體"/>
              </w:rPr>
            </w:pPr>
            <w:r w:rsidRPr="00697483">
              <w:rPr>
                <w:rFonts w:hAnsi="標楷體" w:hint="eastAsia"/>
              </w:rPr>
              <w:t>108</w:t>
            </w:r>
          </w:p>
        </w:tc>
        <w:tc>
          <w:tcPr>
            <w:tcW w:w="1914" w:type="dxa"/>
            <w:vAlign w:val="center"/>
          </w:tcPr>
          <w:p w:rsidR="009E7591" w:rsidRPr="00697483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775</w:t>
            </w:r>
            <w:r>
              <w:rPr>
                <w:rFonts w:hAnsi="標楷體"/>
              </w:rPr>
              <w:t>,493,840</w:t>
            </w:r>
          </w:p>
        </w:tc>
        <w:tc>
          <w:tcPr>
            <w:tcW w:w="1666" w:type="dxa"/>
            <w:vAlign w:val="center"/>
          </w:tcPr>
          <w:p w:rsidR="009E7591" w:rsidRPr="00697483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</w:t>
            </w:r>
            <w:r>
              <w:rPr>
                <w:rFonts w:hAnsi="標楷體"/>
              </w:rPr>
              <w:t>16,074</w:t>
            </w:r>
          </w:p>
        </w:tc>
        <w:tc>
          <w:tcPr>
            <w:tcW w:w="1666" w:type="dxa"/>
            <w:vAlign w:val="center"/>
          </w:tcPr>
          <w:p w:rsidR="009E7591" w:rsidRPr="00697483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1.02%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697483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25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109</w:t>
            </w:r>
          </w:p>
        </w:tc>
        <w:tc>
          <w:tcPr>
            <w:tcW w:w="1914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,313,822,233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00,757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1.05%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24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110</w:t>
            </w:r>
          </w:p>
        </w:tc>
        <w:tc>
          <w:tcPr>
            <w:tcW w:w="1914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,218,095,177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,159,916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0.95%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26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111</w:t>
            </w:r>
          </w:p>
        </w:tc>
        <w:tc>
          <w:tcPr>
            <w:tcW w:w="1914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,300,910,581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74,974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0.86%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28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112</w:t>
            </w:r>
          </w:p>
        </w:tc>
        <w:tc>
          <w:tcPr>
            <w:tcW w:w="1914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,433,928,552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7</w:t>
            </w:r>
            <w:r>
              <w:rPr>
                <w:rFonts w:hAnsi="標楷體"/>
              </w:rPr>
              <w:t>40,901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0.83%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26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113</w:t>
            </w:r>
          </w:p>
        </w:tc>
        <w:tc>
          <w:tcPr>
            <w:tcW w:w="1914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,170,565,200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08,694</w:t>
            </w:r>
          </w:p>
        </w:tc>
        <w:tc>
          <w:tcPr>
            <w:tcW w:w="1666" w:type="dxa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Pr="00E10844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  <w:tr w:rsidR="009E7591" w:rsidRPr="00E10844" w:rsidTr="0092210A">
        <w:tc>
          <w:tcPr>
            <w:tcW w:w="1418" w:type="dxa"/>
            <w:shd w:val="clear" w:color="auto" w:fill="auto"/>
            <w:vAlign w:val="center"/>
          </w:tcPr>
          <w:p w:rsidR="009E7591" w:rsidRDefault="009E7591" w:rsidP="0092210A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14</w:t>
            </w:r>
          </w:p>
        </w:tc>
        <w:tc>
          <w:tcPr>
            <w:tcW w:w="1914" w:type="dxa"/>
            <w:vAlign w:val="center"/>
          </w:tcPr>
          <w:p w:rsidR="009E7591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,300,000,000</w:t>
            </w:r>
          </w:p>
        </w:tc>
        <w:tc>
          <w:tcPr>
            <w:tcW w:w="1666" w:type="dxa"/>
            <w:vAlign w:val="center"/>
          </w:tcPr>
          <w:p w:rsidR="009E7591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75,740</w:t>
            </w:r>
          </w:p>
        </w:tc>
        <w:tc>
          <w:tcPr>
            <w:tcW w:w="1666" w:type="dxa"/>
            <w:vAlign w:val="center"/>
          </w:tcPr>
          <w:p w:rsidR="009E7591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E7591" w:rsidRDefault="009E7591" w:rsidP="0092210A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</w:tbl>
    <w:p w:rsidR="009E7591" w:rsidRDefault="009E7591" w:rsidP="009E7591">
      <w:pPr>
        <w:pStyle w:val="142"/>
        <w:ind w:firstLineChars="59" w:firstLine="142"/>
        <w:rPr>
          <w:rFonts w:hAnsi="標楷體"/>
        </w:rPr>
      </w:pPr>
      <w:r w:rsidRPr="00E10844">
        <w:rPr>
          <w:rFonts w:hAnsi="標楷體"/>
        </w:rPr>
        <w:t>說    明：</w:t>
      </w:r>
      <w:r>
        <w:rPr>
          <w:rFonts w:hAnsi="標楷體" w:hint="eastAsia"/>
        </w:rPr>
        <w:t>1.108-11</w:t>
      </w:r>
      <w:r>
        <w:rPr>
          <w:rFonts w:hAnsi="標楷體"/>
        </w:rPr>
        <w:t>2</w:t>
      </w:r>
      <w:r>
        <w:rPr>
          <w:rFonts w:hAnsi="標楷體" w:hint="eastAsia"/>
        </w:rPr>
        <w:t>年度為決算數、</w:t>
      </w:r>
      <w:r w:rsidRPr="00E10844">
        <w:rPr>
          <w:rFonts w:hAnsi="標楷體"/>
        </w:rPr>
        <w:t>11</w:t>
      </w:r>
      <w:r>
        <w:rPr>
          <w:rFonts w:hAnsi="標楷體"/>
        </w:rPr>
        <w:t>3</w:t>
      </w:r>
      <w:r>
        <w:rPr>
          <w:rFonts w:hAnsi="標楷體" w:hint="eastAsia"/>
        </w:rPr>
        <w:t>及114年度為預算案數</w:t>
      </w:r>
      <w:r w:rsidRPr="00E10844">
        <w:rPr>
          <w:rFonts w:hAnsi="標楷體"/>
        </w:rPr>
        <w:t>。</w:t>
      </w:r>
    </w:p>
    <w:p w:rsidR="009E7591" w:rsidRPr="00E10844" w:rsidRDefault="009E7591" w:rsidP="009E7591">
      <w:pPr>
        <w:pStyle w:val="142"/>
        <w:ind w:firstLineChars="59" w:firstLine="142"/>
        <w:rPr>
          <w:rFonts w:hAnsi="標楷體"/>
        </w:rPr>
      </w:pPr>
      <w:r>
        <w:rPr>
          <w:rFonts w:hAnsi="標楷體" w:hint="eastAsia"/>
        </w:rPr>
        <w:t xml:space="preserve">          2.市占率為</w:t>
      </w:r>
      <w:r w:rsidRPr="00D377B4">
        <w:rPr>
          <w:rFonts w:hAnsi="標楷體" w:hint="eastAsia"/>
        </w:rPr>
        <w:t>營運量</w:t>
      </w:r>
      <w:r>
        <w:rPr>
          <w:rFonts w:hAnsi="標楷體" w:hint="eastAsia"/>
        </w:rPr>
        <w:t>占</w:t>
      </w:r>
      <w:r w:rsidRPr="00D377B4">
        <w:rPr>
          <w:rFonts w:hAnsi="標楷體" w:hint="eastAsia"/>
        </w:rPr>
        <w:t>整體市場</w:t>
      </w:r>
      <w:r>
        <w:rPr>
          <w:rFonts w:hAnsi="標楷體" w:hint="eastAsia"/>
        </w:rPr>
        <w:t>之</w:t>
      </w:r>
      <w:r w:rsidRPr="00D377B4">
        <w:rPr>
          <w:rFonts w:hAnsi="標楷體" w:hint="eastAsia"/>
        </w:rPr>
        <w:t>比率</w:t>
      </w:r>
      <w:r>
        <w:rPr>
          <w:rFonts w:hAnsi="標楷體" w:hint="eastAsia"/>
        </w:rPr>
        <w:t>。</w:t>
      </w:r>
    </w:p>
    <w:p w:rsidR="009E7591" w:rsidRPr="00E10844" w:rsidRDefault="009E7591" w:rsidP="009E7591">
      <w:pPr>
        <w:pStyle w:val="142"/>
        <w:ind w:firstLineChars="59" w:firstLine="142"/>
      </w:pPr>
      <w:r w:rsidRPr="00E10844">
        <w:rPr>
          <w:rFonts w:hAnsi="標楷體"/>
        </w:rPr>
        <w:t>資料來源：臺銀證券</w:t>
      </w:r>
      <w:r>
        <w:rPr>
          <w:rFonts w:hAnsi="標楷體" w:hint="eastAsia"/>
        </w:rPr>
        <w:t>各年度預算書及年報。</w:t>
      </w:r>
    </w:p>
    <w:p w:rsidR="00904607" w:rsidRPr="00E10844" w:rsidRDefault="00904607" w:rsidP="007F272F">
      <w:pPr>
        <w:ind w:left="560" w:firstLine="560"/>
        <w:rPr>
          <w:rFonts w:hAnsi="標楷體"/>
        </w:rPr>
      </w:pPr>
      <w:r w:rsidRPr="00E10844">
        <w:rPr>
          <w:rFonts w:hAnsi="標楷體"/>
          <w:color w:val="000000"/>
        </w:rPr>
        <w:t>綜上，</w:t>
      </w:r>
      <w:r w:rsidR="004F6906" w:rsidRPr="00E10844">
        <w:rPr>
          <w:rFonts w:hAnsi="標楷體"/>
          <w:color w:val="000000"/>
        </w:rPr>
        <w:t>臺銀證券</w:t>
      </w:r>
      <w:r w:rsidR="00F41D01">
        <w:rPr>
          <w:rFonts w:hAnsi="標楷體" w:hint="eastAsia"/>
        </w:rPr>
        <w:t>主要</w:t>
      </w:r>
      <w:r w:rsidR="00B465DF">
        <w:rPr>
          <w:rFonts w:hAnsi="標楷體" w:hint="eastAsia"/>
        </w:rPr>
        <w:t>營收</w:t>
      </w:r>
      <w:r w:rsidR="00F41D01">
        <w:rPr>
          <w:rFonts w:hAnsi="標楷體" w:hint="eastAsia"/>
        </w:rPr>
        <w:t>來自於證券經紀業務，</w:t>
      </w:r>
      <w:r w:rsidR="007D2709">
        <w:rPr>
          <w:rFonts w:hAnsi="標楷體" w:hint="eastAsia"/>
        </w:rPr>
        <w:t>114年度</w:t>
      </w:r>
      <w:r w:rsidR="009E7591">
        <w:rPr>
          <w:rFonts w:hAnsi="標楷體" w:hint="eastAsia"/>
        </w:rPr>
        <w:t>預算案</w:t>
      </w:r>
      <w:r w:rsidR="007D2709">
        <w:rPr>
          <w:rFonts w:hAnsi="標楷體" w:hint="eastAsia"/>
        </w:rPr>
        <w:t>證券經紀業務收入編列數</w:t>
      </w:r>
      <w:r w:rsidR="007D2709" w:rsidRPr="007D2709">
        <w:rPr>
          <w:rFonts w:hAnsi="標楷體" w:hint="eastAsia"/>
        </w:rPr>
        <w:t>雖較113年度為高，惟低於112年度決算數</w:t>
      </w:r>
      <w:r w:rsidR="007D2709">
        <w:rPr>
          <w:rFonts w:hAnsi="標楷體" w:hint="eastAsia"/>
        </w:rPr>
        <w:t>，且該公司</w:t>
      </w:r>
      <w:r w:rsidR="00F41D01">
        <w:rPr>
          <w:rFonts w:hAnsi="標楷體" w:hint="eastAsia"/>
          <w:color w:val="000000"/>
        </w:rPr>
        <w:t>109至</w:t>
      </w:r>
      <w:r w:rsidR="008A2F40">
        <w:rPr>
          <w:rFonts w:hAnsi="標楷體" w:hint="eastAsia"/>
          <w:color w:val="000000"/>
        </w:rPr>
        <w:t>112</w:t>
      </w:r>
      <w:r w:rsidR="00F41D01">
        <w:rPr>
          <w:rFonts w:hAnsi="標楷體" w:hint="eastAsia"/>
          <w:color w:val="000000"/>
        </w:rPr>
        <w:t>年度證券經紀</w:t>
      </w:r>
      <w:r w:rsidR="007D2709">
        <w:rPr>
          <w:rFonts w:hAnsi="標楷體" w:hint="eastAsia"/>
          <w:color w:val="000000"/>
        </w:rPr>
        <w:t>業務市占率</w:t>
      </w:r>
      <w:r w:rsidR="00B465DF">
        <w:rPr>
          <w:rFonts w:hAnsi="標楷體" w:hint="eastAsia"/>
          <w:color w:val="000000"/>
        </w:rPr>
        <w:t>逐年</w:t>
      </w:r>
      <w:r w:rsidR="008A2F40">
        <w:rPr>
          <w:rFonts w:hAnsi="標楷體" w:hint="eastAsia"/>
          <w:color w:val="000000"/>
        </w:rPr>
        <w:t>下降，市場排名亦呈落後</w:t>
      </w:r>
      <w:r w:rsidRPr="00E10844">
        <w:rPr>
          <w:rFonts w:hAnsi="標楷體"/>
        </w:rPr>
        <w:t>，</w:t>
      </w:r>
      <w:r w:rsidR="00F41D01">
        <w:rPr>
          <w:rFonts w:hAnsi="標楷體" w:hint="eastAsia"/>
        </w:rPr>
        <w:t>允宜</w:t>
      </w:r>
      <w:r w:rsidR="007D2709">
        <w:rPr>
          <w:rFonts w:hAnsi="標楷體" w:hint="eastAsia"/>
        </w:rPr>
        <w:t>持續檢討改進</w:t>
      </w:r>
      <w:r w:rsidR="00551818" w:rsidRPr="00E10844">
        <w:rPr>
          <w:rFonts w:hAnsi="標楷體"/>
        </w:rPr>
        <w:t>，俾</w:t>
      </w:r>
      <w:r w:rsidR="00F41D01">
        <w:rPr>
          <w:rFonts w:hAnsi="標楷體" w:hint="eastAsia"/>
        </w:rPr>
        <w:t>增裕收入及</w:t>
      </w:r>
      <w:r w:rsidR="00551818" w:rsidRPr="00E10844">
        <w:rPr>
          <w:rFonts w:hAnsi="標楷體"/>
        </w:rPr>
        <w:t>提升市場競爭力。</w:t>
      </w: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sectPr w:rsidR="00904607" w:rsidRPr="00E10844" w:rsidSect="00700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738" w:rsidRDefault="00DB7738" w:rsidP="003A22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6A3BB0" w:rsidRDefault="006A3BB0" w:rsidP="0081398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Pr="00202B6C" w:rsidRDefault="006A3BB0" w:rsidP="00FC40F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202B6C">
      <w:rPr>
        <w:sz w:val="20"/>
        <w:szCs w:val="20"/>
      </w:rPr>
      <w:fldChar w:fldCharType="begin"/>
    </w:r>
    <w:r w:rsidRPr="00202B6C">
      <w:rPr>
        <w:sz w:val="20"/>
        <w:szCs w:val="20"/>
      </w:rPr>
      <w:instrText xml:space="preserve">PAGE  </w:instrText>
    </w:r>
    <w:r w:rsidRPr="00202B6C">
      <w:rPr>
        <w:sz w:val="20"/>
        <w:szCs w:val="20"/>
      </w:rPr>
      <w:fldChar w:fldCharType="separate"/>
    </w:r>
    <w:r w:rsidR="00BC5614">
      <w:rPr>
        <w:noProof/>
        <w:sz w:val="20"/>
        <w:szCs w:val="20"/>
      </w:rPr>
      <w:t>3</w:t>
    </w:r>
    <w:r w:rsidRPr="00202B6C">
      <w:rPr>
        <w:sz w:val="20"/>
        <w:szCs w:val="20"/>
      </w:rPr>
      <w:fldChar w:fldCharType="end"/>
    </w:r>
  </w:p>
  <w:p w:rsidR="006A3BB0" w:rsidRPr="00202B6C" w:rsidRDefault="006A3BB0" w:rsidP="00201E08">
    <w:pPr>
      <w:ind w:leftChars="0" w:left="0" w:firstLineChars="0" w:firstLine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738" w:rsidRDefault="00DB7738" w:rsidP="00B640E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6987"/>
    <w:multiLevelType w:val="hybridMultilevel"/>
    <w:tmpl w:val="C92AC508"/>
    <w:lvl w:ilvl="0" w:tplc="BDC4B39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0DE71335"/>
    <w:multiLevelType w:val="hybridMultilevel"/>
    <w:tmpl w:val="FEEA10A4"/>
    <w:lvl w:ilvl="0" w:tplc="20B06D3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C62C0E"/>
    <w:multiLevelType w:val="hybridMultilevel"/>
    <w:tmpl w:val="0CA46D8E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40D9054E"/>
    <w:multiLevelType w:val="hybridMultilevel"/>
    <w:tmpl w:val="864456D4"/>
    <w:lvl w:ilvl="0" w:tplc="D5A472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4CC30EDF"/>
    <w:multiLevelType w:val="hybridMultilevel"/>
    <w:tmpl w:val="F03CD092"/>
    <w:lvl w:ilvl="0" w:tplc="22D25832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5" w15:restartNumberingAfterBreak="0">
    <w:nsid w:val="56D917B3"/>
    <w:multiLevelType w:val="hybridMultilevel"/>
    <w:tmpl w:val="017099C4"/>
    <w:lvl w:ilvl="0" w:tplc="A2D425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6C1525C7"/>
    <w:multiLevelType w:val="hybridMultilevel"/>
    <w:tmpl w:val="F34C75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952DC9"/>
    <w:multiLevelType w:val="hybridMultilevel"/>
    <w:tmpl w:val="04A6C03A"/>
    <w:lvl w:ilvl="0" w:tplc="115687E6">
      <w:start w:val="1"/>
      <w:numFmt w:val="taiwaneseCountingThousand"/>
      <w:lvlText w:val="(%1)"/>
      <w:lvlJc w:val="left"/>
      <w:pPr>
        <w:ind w:left="1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8" w15:restartNumberingAfterBreak="0">
    <w:nsid w:val="6E225C28"/>
    <w:multiLevelType w:val="hybridMultilevel"/>
    <w:tmpl w:val="57085D02"/>
    <w:lvl w:ilvl="0" w:tplc="E9C6DED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78DC6300"/>
    <w:multiLevelType w:val="hybridMultilevel"/>
    <w:tmpl w:val="12A0CA64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B4265"/>
    <w:rsid w:val="000028EE"/>
    <w:rsid w:val="00004E52"/>
    <w:rsid w:val="00005536"/>
    <w:rsid w:val="00007633"/>
    <w:rsid w:val="00007E43"/>
    <w:rsid w:val="000106B6"/>
    <w:rsid w:val="000109A6"/>
    <w:rsid w:val="000112EA"/>
    <w:rsid w:val="00011CEF"/>
    <w:rsid w:val="00012BF5"/>
    <w:rsid w:val="00014653"/>
    <w:rsid w:val="00014C9F"/>
    <w:rsid w:val="00020DC3"/>
    <w:rsid w:val="0002271A"/>
    <w:rsid w:val="00023250"/>
    <w:rsid w:val="000264C3"/>
    <w:rsid w:val="00027892"/>
    <w:rsid w:val="00031E21"/>
    <w:rsid w:val="00031F21"/>
    <w:rsid w:val="0003352B"/>
    <w:rsid w:val="0003494E"/>
    <w:rsid w:val="00035A39"/>
    <w:rsid w:val="00035EFD"/>
    <w:rsid w:val="00036750"/>
    <w:rsid w:val="00037BAC"/>
    <w:rsid w:val="00042697"/>
    <w:rsid w:val="00042925"/>
    <w:rsid w:val="00043C98"/>
    <w:rsid w:val="00045C7D"/>
    <w:rsid w:val="00046043"/>
    <w:rsid w:val="00046B9C"/>
    <w:rsid w:val="0005191C"/>
    <w:rsid w:val="00053FDB"/>
    <w:rsid w:val="00056244"/>
    <w:rsid w:val="00061D73"/>
    <w:rsid w:val="00061D97"/>
    <w:rsid w:val="0006211B"/>
    <w:rsid w:val="0006480C"/>
    <w:rsid w:val="00065271"/>
    <w:rsid w:val="00066D69"/>
    <w:rsid w:val="00071A7F"/>
    <w:rsid w:val="00071ECF"/>
    <w:rsid w:val="00072D54"/>
    <w:rsid w:val="000731F1"/>
    <w:rsid w:val="000738CF"/>
    <w:rsid w:val="00073BE9"/>
    <w:rsid w:val="000748DD"/>
    <w:rsid w:val="0007566D"/>
    <w:rsid w:val="0007795E"/>
    <w:rsid w:val="00081853"/>
    <w:rsid w:val="00082428"/>
    <w:rsid w:val="00084E22"/>
    <w:rsid w:val="0008564F"/>
    <w:rsid w:val="00086738"/>
    <w:rsid w:val="00087D0F"/>
    <w:rsid w:val="000910A0"/>
    <w:rsid w:val="000911BD"/>
    <w:rsid w:val="00092A8F"/>
    <w:rsid w:val="00094006"/>
    <w:rsid w:val="0009411C"/>
    <w:rsid w:val="00094BA0"/>
    <w:rsid w:val="000A2A0C"/>
    <w:rsid w:val="000A4ABB"/>
    <w:rsid w:val="000A6188"/>
    <w:rsid w:val="000A6780"/>
    <w:rsid w:val="000A7C82"/>
    <w:rsid w:val="000B0545"/>
    <w:rsid w:val="000B0BF7"/>
    <w:rsid w:val="000B13BC"/>
    <w:rsid w:val="000B1C78"/>
    <w:rsid w:val="000B3BF4"/>
    <w:rsid w:val="000B4A01"/>
    <w:rsid w:val="000B4FEA"/>
    <w:rsid w:val="000B7FA5"/>
    <w:rsid w:val="000C0499"/>
    <w:rsid w:val="000C09C7"/>
    <w:rsid w:val="000C22CD"/>
    <w:rsid w:val="000C2524"/>
    <w:rsid w:val="000C413C"/>
    <w:rsid w:val="000C59F0"/>
    <w:rsid w:val="000D4A02"/>
    <w:rsid w:val="000D7E24"/>
    <w:rsid w:val="000E106A"/>
    <w:rsid w:val="000E11F7"/>
    <w:rsid w:val="000E1D1D"/>
    <w:rsid w:val="000E2380"/>
    <w:rsid w:val="000E299B"/>
    <w:rsid w:val="000E37A3"/>
    <w:rsid w:val="000E4305"/>
    <w:rsid w:val="000E4986"/>
    <w:rsid w:val="000E4C50"/>
    <w:rsid w:val="000E6727"/>
    <w:rsid w:val="000E6C81"/>
    <w:rsid w:val="000F02B8"/>
    <w:rsid w:val="000F214E"/>
    <w:rsid w:val="000F3254"/>
    <w:rsid w:val="000F3EC1"/>
    <w:rsid w:val="000F5648"/>
    <w:rsid w:val="000F77E4"/>
    <w:rsid w:val="00101DCA"/>
    <w:rsid w:val="00101DEE"/>
    <w:rsid w:val="00103928"/>
    <w:rsid w:val="001060A0"/>
    <w:rsid w:val="0010749F"/>
    <w:rsid w:val="00107ACF"/>
    <w:rsid w:val="00111733"/>
    <w:rsid w:val="001119C7"/>
    <w:rsid w:val="00113AD5"/>
    <w:rsid w:val="00113DD2"/>
    <w:rsid w:val="00113EF7"/>
    <w:rsid w:val="00116229"/>
    <w:rsid w:val="00116463"/>
    <w:rsid w:val="0012208F"/>
    <w:rsid w:val="00126322"/>
    <w:rsid w:val="00130700"/>
    <w:rsid w:val="001322B6"/>
    <w:rsid w:val="001339A8"/>
    <w:rsid w:val="00134259"/>
    <w:rsid w:val="001400FC"/>
    <w:rsid w:val="0014255F"/>
    <w:rsid w:val="00142D3E"/>
    <w:rsid w:val="00144AB3"/>
    <w:rsid w:val="0014583A"/>
    <w:rsid w:val="0014754A"/>
    <w:rsid w:val="001500D7"/>
    <w:rsid w:val="00150FF2"/>
    <w:rsid w:val="00153CE0"/>
    <w:rsid w:val="00153EE3"/>
    <w:rsid w:val="00154521"/>
    <w:rsid w:val="00154FC6"/>
    <w:rsid w:val="00155C53"/>
    <w:rsid w:val="00155DC4"/>
    <w:rsid w:val="001560AF"/>
    <w:rsid w:val="00156DEE"/>
    <w:rsid w:val="001608DC"/>
    <w:rsid w:val="00163814"/>
    <w:rsid w:val="00170445"/>
    <w:rsid w:val="001712CC"/>
    <w:rsid w:val="00172595"/>
    <w:rsid w:val="001726E5"/>
    <w:rsid w:val="00173984"/>
    <w:rsid w:val="001740DC"/>
    <w:rsid w:val="00175810"/>
    <w:rsid w:val="001759FC"/>
    <w:rsid w:val="00176A82"/>
    <w:rsid w:val="0018140D"/>
    <w:rsid w:val="001842E6"/>
    <w:rsid w:val="00184427"/>
    <w:rsid w:val="00185C13"/>
    <w:rsid w:val="00186D19"/>
    <w:rsid w:val="0019081E"/>
    <w:rsid w:val="001938AC"/>
    <w:rsid w:val="001954E5"/>
    <w:rsid w:val="00195BE7"/>
    <w:rsid w:val="0019645F"/>
    <w:rsid w:val="00196961"/>
    <w:rsid w:val="001970E4"/>
    <w:rsid w:val="001A2898"/>
    <w:rsid w:val="001A3745"/>
    <w:rsid w:val="001A4020"/>
    <w:rsid w:val="001A42FD"/>
    <w:rsid w:val="001A628F"/>
    <w:rsid w:val="001A68EF"/>
    <w:rsid w:val="001A69BA"/>
    <w:rsid w:val="001A7D33"/>
    <w:rsid w:val="001B06AB"/>
    <w:rsid w:val="001B1DE3"/>
    <w:rsid w:val="001B708A"/>
    <w:rsid w:val="001B76AC"/>
    <w:rsid w:val="001C0407"/>
    <w:rsid w:val="001C3BF2"/>
    <w:rsid w:val="001C4614"/>
    <w:rsid w:val="001C7800"/>
    <w:rsid w:val="001D064D"/>
    <w:rsid w:val="001D0B78"/>
    <w:rsid w:val="001D0DDE"/>
    <w:rsid w:val="001D1CEB"/>
    <w:rsid w:val="001D4AE3"/>
    <w:rsid w:val="001D4D98"/>
    <w:rsid w:val="001D7845"/>
    <w:rsid w:val="001D79BF"/>
    <w:rsid w:val="001D7B8B"/>
    <w:rsid w:val="001E1F70"/>
    <w:rsid w:val="001E772C"/>
    <w:rsid w:val="001F03DE"/>
    <w:rsid w:val="001F1232"/>
    <w:rsid w:val="001F600F"/>
    <w:rsid w:val="001F67C5"/>
    <w:rsid w:val="001F7268"/>
    <w:rsid w:val="001F7753"/>
    <w:rsid w:val="001F7AA1"/>
    <w:rsid w:val="001F7D53"/>
    <w:rsid w:val="00201E08"/>
    <w:rsid w:val="00202212"/>
    <w:rsid w:val="00202B6C"/>
    <w:rsid w:val="00203018"/>
    <w:rsid w:val="00204A5A"/>
    <w:rsid w:val="00204BE8"/>
    <w:rsid w:val="002057A0"/>
    <w:rsid w:val="0020761B"/>
    <w:rsid w:val="00210292"/>
    <w:rsid w:val="002107C6"/>
    <w:rsid w:val="00210D4F"/>
    <w:rsid w:val="00210FA9"/>
    <w:rsid w:val="0021122E"/>
    <w:rsid w:val="00211820"/>
    <w:rsid w:val="00213E62"/>
    <w:rsid w:val="0021713F"/>
    <w:rsid w:val="0022091B"/>
    <w:rsid w:val="00224910"/>
    <w:rsid w:val="002251D5"/>
    <w:rsid w:val="002276F0"/>
    <w:rsid w:val="00230892"/>
    <w:rsid w:val="00230B75"/>
    <w:rsid w:val="00230F51"/>
    <w:rsid w:val="0023214B"/>
    <w:rsid w:val="00233330"/>
    <w:rsid w:val="00233396"/>
    <w:rsid w:val="00234226"/>
    <w:rsid w:val="002378DB"/>
    <w:rsid w:val="00240D1F"/>
    <w:rsid w:val="002434AF"/>
    <w:rsid w:val="00243837"/>
    <w:rsid w:val="00246908"/>
    <w:rsid w:val="00250DBC"/>
    <w:rsid w:val="00251B2F"/>
    <w:rsid w:val="00255F16"/>
    <w:rsid w:val="00256DC6"/>
    <w:rsid w:val="00263470"/>
    <w:rsid w:val="00265E3D"/>
    <w:rsid w:val="00265F87"/>
    <w:rsid w:val="00266FBE"/>
    <w:rsid w:val="00267B30"/>
    <w:rsid w:val="00267E90"/>
    <w:rsid w:val="00270C1B"/>
    <w:rsid w:val="002710E9"/>
    <w:rsid w:val="002714EE"/>
    <w:rsid w:val="00273B2F"/>
    <w:rsid w:val="00274C97"/>
    <w:rsid w:val="00275C41"/>
    <w:rsid w:val="00277729"/>
    <w:rsid w:val="0028003C"/>
    <w:rsid w:val="002802A6"/>
    <w:rsid w:val="0028047E"/>
    <w:rsid w:val="00280D31"/>
    <w:rsid w:val="00280E45"/>
    <w:rsid w:val="00284232"/>
    <w:rsid w:val="0028650B"/>
    <w:rsid w:val="00290AD8"/>
    <w:rsid w:val="002930F7"/>
    <w:rsid w:val="00297BC6"/>
    <w:rsid w:val="002A19FF"/>
    <w:rsid w:val="002A411D"/>
    <w:rsid w:val="002A4496"/>
    <w:rsid w:val="002A59E0"/>
    <w:rsid w:val="002B0ECE"/>
    <w:rsid w:val="002B24EA"/>
    <w:rsid w:val="002B3E67"/>
    <w:rsid w:val="002B435E"/>
    <w:rsid w:val="002B4AE9"/>
    <w:rsid w:val="002B66D9"/>
    <w:rsid w:val="002B721A"/>
    <w:rsid w:val="002B737E"/>
    <w:rsid w:val="002B78BB"/>
    <w:rsid w:val="002C1932"/>
    <w:rsid w:val="002C4104"/>
    <w:rsid w:val="002C4853"/>
    <w:rsid w:val="002C50D9"/>
    <w:rsid w:val="002C7DC0"/>
    <w:rsid w:val="002D0891"/>
    <w:rsid w:val="002D1BE5"/>
    <w:rsid w:val="002D266C"/>
    <w:rsid w:val="002D2904"/>
    <w:rsid w:val="002D2B91"/>
    <w:rsid w:val="002D3FB0"/>
    <w:rsid w:val="002D5419"/>
    <w:rsid w:val="002D7197"/>
    <w:rsid w:val="002D71E6"/>
    <w:rsid w:val="002E091C"/>
    <w:rsid w:val="002E26B0"/>
    <w:rsid w:val="002E4AC2"/>
    <w:rsid w:val="002E4B58"/>
    <w:rsid w:val="002E61DD"/>
    <w:rsid w:val="002E7654"/>
    <w:rsid w:val="002E7C3D"/>
    <w:rsid w:val="002F05A0"/>
    <w:rsid w:val="002F111F"/>
    <w:rsid w:val="002F209F"/>
    <w:rsid w:val="002F2174"/>
    <w:rsid w:val="002F243A"/>
    <w:rsid w:val="002F2CEF"/>
    <w:rsid w:val="002F2FE9"/>
    <w:rsid w:val="002F51F1"/>
    <w:rsid w:val="003002FB"/>
    <w:rsid w:val="00301CF4"/>
    <w:rsid w:val="00305BBC"/>
    <w:rsid w:val="00306786"/>
    <w:rsid w:val="00306847"/>
    <w:rsid w:val="00311630"/>
    <w:rsid w:val="00314527"/>
    <w:rsid w:val="00314F7E"/>
    <w:rsid w:val="00315963"/>
    <w:rsid w:val="003175F4"/>
    <w:rsid w:val="00320DA9"/>
    <w:rsid w:val="00320E1F"/>
    <w:rsid w:val="00321427"/>
    <w:rsid w:val="00322FC8"/>
    <w:rsid w:val="00323237"/>
    <w:rsid w:val="00323BD1"/>
    <w:rsid w:val="003259E3"/>
    <w:rsid w:val="0032636B"/>
    <w:rsid w:val="00326CC2"/>
    <w:rsid w:val="0033208A"/>
    <w:rsid w:val="003353C4"/>
    <w:rsid w:val="00335DDD"/>
    <w:rsid w:val="00340F12"/>
    <w:rsid w:val="00341831"/>
    <w:rsid w:val="0034195D"/>
    <w:rsid w:val="003423B7"/>
    <w:rsid w:val="00342F81"/>
    <w:rsid w:val="00344CCD"/>
    <w:rsid w:val="003462F1"/>
    <w:rsid w:val="00346DD5"/>
    <w:rsid w:val="003473C4"/>
    <w:rsid w:val="00347640"/>
    <w:rsid w:val="00347B39"/>
    <w:rsid w:val="00353D68"/>
    <w:rsid w:val="00354401"/>
    <w:rsid w:val="00354C01"/>
    <w:rsid w:val="00357020"/>
    <w:rsid w:val="003611EC"/>
    <w:rsid w:val="00364DE0"/>
    <w:rsid w:val="003660D1"/>
    <w:rsid w:val="00366382"/>
    <w:rsid w:val="0036709D"/>
    <w:rsid w:val="00370CBC"/>
    <w:rsid w:val="00373930"/>
    <w:rsid w:val="00375CFD"/>
    <w:rsid w:val="00376C53"/>
    <w:rsid w:val="003776CC"/>
    <w:rsid w:val="00380458"/>
    <w:rsid w:val="00382D39"/>
    <w:rsid w:val="0038574B"/>
    <w:rsid w:val="00385E84"/>
    <w:rsid w:val="0038773F"/>
    <w:rsid w:val="003877C9"/>
    <w:rsid w:val="00390B1E"/>
    <w:rsid w:val="003920D9"/>
    <w:rsid w:val="0039335F"/>
    <w:rsid w:val="003935CF"/>
    <w:rsid w:val="003943AA"/>
    <w:rsid w:val="00395A68"/>
    <w:rsid w:val="003A07DB"/>
    <w:rsid w:val="003A20A5"/>
    <w:rsid w:val="003A22D1"/>
    <w:rsid w:val="003A33F1"/>
    <w:rsid w:val="003A4487"/>
    <w:rsid w:val="003A4A9B"/>
    <w:rsid w:val="003A5026"/>
    <w:rsid w:val="003A5ACD"/>
    <w:rsid w:val="003A5FEB"/>
    <w:rsid w:val="003A768F"/>
    <w:rsid w:val="003A7FBF"/>
    <w:rsid w:val="003B08FC"/>
    <w:rsid w:val="003B0E16"/>
    <w:rsid w:val="003B1A4E"/>
    <w:rsid w:val="003B1EFF"/>
    <w:rsid w:val="003B5B05"/>
    <w:rsid w:val="003B75F7"/>
    <w:rsid w:val="003B7FC1"/>
    <w:rsid w:val="003C072C"/>
    <w:rsid w:val="003C0EF1"/>
    <w:rsid w:val="003C0FF3"/>
    <w:rsid w:val="003C39EC"/>
    <w:rsid w:val="003C4306"/>
    <w:rsid w:val="003C5452"/>
    <w:rsid w:val="003C6582"/>
    <w:rsid w:val="003C65AE"/>
    <w:rsid w:val="003C713D"/>
    <w:rsid w:val="003C749B"/>
    <w:rsid w:val="003D4055"/>
    <w:rsid w:val="003D4458"/>
    <w:rsid w:val="003D623A"/>
    <w:rsid w:val="003E0573"/>
    <w:rsid w:val="003E0604"/>
    <w:rsid w:val="003E08B2"/>
    <w:rsid w:val="003E1C45"/>
    <w:rsid w:val="003E3B72"/>
    <w:rsid w:val="003E4B67"/>
    <w:rsid w:val="003E563D"/>
    <w:rsid w:val="003E60FA"/>
    <w:rsid w:val="003E62F8"/>
    <w:rsid w:val="003E69CA"/>
    <w:rsid w:val="003F0C78"/>
    <w:rsid w:val="003F28A5"/>
    <w:rsid w:val="003F39AD"/>
    <w:rsid w:val="003F4ED6"/>
    <w:rsid w:val="003F5583"/>
    <w:rsid w:val="003F6EFD"/>
    <w:rsid w:val="00400C49"/>
    <w:rsid w:val="0040108C"/>
    <w:rsid w:val="00404A3F"/>
    <w:rsid w:val="00404F8B"/>
    <w:rsid w:val="00407086"/>
    <w:rsid w:val="00410DF0"/>
    <w:rsid w:val="00412B3E"/>
    <w:rsid w:val="00413B11"/>
    <w:rsid w:val="004151E1"/>
    <w:rsid w:val="00422AA6"/>
    <w:rsid w:val="00423584"/>
    <w:rsid w:val="00423915"/>
    <w:rsid w:val="004253B9"/>
    <w:rsid w:val="00426569"/>
    <w:rsid w:val="004314F8"/>
    <w:rsid w:val="0043345A"/>
    <w:rsid w:val="00433C1C"/>
    <w:rsid w:val="00435E27"/>
    <w:rsid w:val="0043601B"/>
    <w:rsid w:val="00436A98"/>
    <w:rsid w:val="00436D5A"/>
    <w:rsid w:val="004374EF"/>
    <w:rsid w:val="00437762"/>
    <w:rsid w:val="004418BA"/>
    <w:rsid w:val="0044323B"/>
    <w:rsid w:val="004432A7"/>
    <w:rsid w:val="0044621C"/>
    <w:rsid w:val="004462F1"/>
    <w:rsid w:val="004512ED"/>
    <w:rsid w:val="004519CE"/>
    <w:rsid w:val="004532A1"/>
    <w:rsid w:val="00454410"/>
    <w:rsid w:val="0045452B"/>
    <w:rsid w:val="004565A2"/>
    <w:rsid w:val="00457938"/>
    <w:rsid w:val="00457AFC"/>
    <w:rsid w:val="00457C91"/>
    <w:rsid w:val="00457DE8"/>
    <w:rsid w:val="0046076C"/>
    <w:rsid w:val="00460864"/>
    <w:rsid w:val="0046202E"/>
    <w:rsid w:val="00463B96"/>
    <w:rsid w:val="00464659"/>
    <w:rsid w:val="00467CAD"/>
    <w:rsid w:val="00467E92"/>
    <w:rsid w:val="004706FD"/>
    <w:rsid w:val="004766E2"/>
    <w:rsid w:val="00477E60"/>
    <w:rsid w:val="0048102D"/>
    <w:rsid w:val="00482B62"/>
    <w:rsid w:val="00483351"/>
    <w:rsid w:val="0048465C"/>
    <w:rsid w:val="00485248"/>
    <w:rsid w:val="00485516"/>
    <w:rsid w:val="00485D1D"/>
    <w:rsid w:val="00486074"/>
    <w:rsid w:val="00486426"/>
    <w:rsid w:val="00486835"/>
    <w:rsid w:val="00487713"/>
    <w:rsid w:val="00487951"/>
    <w:rsid w:val="004910D2"/>
    <w:rsid w:val="00491E27"/>
    <w:rsid w:val="00491EFD"/>
    <w:rsid w:val="004948F3"/>
    <w:rsid w:val="00495015"/>
    <w:rsid w:val="00497C05"/>
    <w:rsid w:val="004A011E"/>
    <w:rsid w:val="004A03FE"/>
    <w:rsid w:val="004A0794"/>
    <w:rsid w:val="004A1D9F"/>
    <w:rsid w:val="004A2212"/>
    <w:rsid w:val="004A2776"/>
    <w:rsid w:val="004A4D9B"/>
    <w:rsid w:val="004A555B"/>
    <w:rsid w:val="004A6D06"/>
    <w:rsid w:val="004A7F22"/>
    <w:rsid w:val="004B0157"/>
    <w:rsid w:val="004B102D"/>
    <w:rsid w:val="004B2551"/>
    <w:rsid w:val="004B6595"/>
    <w:rsid w:val="004B6866"/>
    <w:rsid w:val="004B7412"/>
    <w:rsid w:val="004C074F"/>
    <w:rsid w:val="004C2E10"/>
    <w:rsid w:val="004C3529"/>
    <w:rsid w:val="004C6F2B"/>
    <w:rsid w:val="004C73A6"/>
    <w:rsid w:val="004D023E"/>
    <w:rsid w:val="004D172B"/>
    <w:rsid w:val="004D3754"/>
    <w:rsid w:val="004D555D"/>
    <w:rsid w:val="004D7102"/>
    <w:rsid w:val="004E1130"/>
    <w:rsid w:val="004E3047"/>
    <w:rsid w:val="004E34C1"/>
    <w:rsid w:val="004E7899"/>
    <w:rsid w:val="004E7FAD"/>
    <w:rsid w:val="004F016A"/>
    <w:rsid w:val="004F1C28"/>
    <w:rsid w:val="004F1CAA"/>
    <w:rsid w:val="004F41DA"/>
    <w:rsid w:val="004F4521"/>
    <w:rsid w:val="004F57E4"/>
    <w:rsid w:val="004F6906"/>
    <w:rsid w:val="00502B58"/>
    <w:rsid w:val="00502C5B"/>
    <w:rsid w:val="00504894"/>
    <w:rsid w:val="00505015"/>
    <w:rsid w:val="00505767"/>
    <w:rsid w:val="005066BB"/>
    <w:rsid w:val="0050671D"/>
    <w:rsid w:val="00506E30"/>
    <w:rsid w:val="005078A9"/>
    <w:rsid w:val="00510088"/>
    <w:rsid w:val="00511B11"/>
    <w:rsid w:val="00512CAB"/>
    <w:rsid w:val="00512F9E"/>
    <w:rsid w:val="00513392"/>
    <w:rsid w:val="00514377"/>
    <w:rsid w:val="005148DE"/>
    <w:rsid w:val="00515F49"/>
    <w:rsid w:val="00516464"/>
    <w:rsid w:val="00516970"/>
    <w:rsid w:val="00517E2C"/>
    <w:rsid w:val="005202B6"/>
    <w:rsid w:val="0052157F"/>
    <w:rsid w:val="00522D14"/>
    <w:rsid w:val="00523500"/>
    <w:rsid w:val="00523938"/>
    <w:rsid w:val="00527093"/>
    <w:rsid w:val="005270F2"/>
    <w:rsid w:val="00527905"/>
    <w:rsid w:val="00530AD3"/>
    <w:rsid w:val="00532537"/>
    <w:rsid w:val="00532A7C"/>
    <w:rsid w:val="00532E06"/>
    <w:rsid w:val="00533155"/>
    <w:rsid w:val="00533E3F"/>
    <w:rsid w:val="00534279"/>
    <w:rsid w:val="00536069"/>
    <w:rsid w:val="00540CCF"/>
    <w:rsid w:val="00541022"/>
    <w:rsid w:val="0054137F"/>
    <w:rsid w:val="005431D2"/>
    <w:rsid w:val="0054408B"/>
    <w:rsid w:val="00544D78"/>
    <w:rsid w:val="00544E15"/>
    <w:rsid w:val="00545752"/>
    <w:rsid w:val="00545E10"/>
    <w:rsid w:val="00545FF7"/>
    <w:rsid w:val="00546695"/>
    <w:rsid w:val="00551818"/>
    <w:rsid w:val="00555BE8"/>
    <w:rsid w:val="00560905"/>
    <w:rsid w:val="00560AC5"/>
    <w:rsid w:val="00562CA2"/>
    <w:rsid w:val="00562D0F"/>
    <w:rsid w:val="0056327D"/>
    <w:rsid w:val="005644EC"/>
    <w:rsid w:val="00565515"/>
    <w:rsid w:val="00565D0E"/>
    <w:rsid w:val="00566918"/>
    <w:rsid w:val="00571A99"/>
    <w:rsid w:val="0057275B"/>
    <w:rsid w:val="00574D17"/>
    <w:rsid w:val="00576579"/>
    <w:rsid w:val="00577057"/>
    <w:rsid w:val="00577FEC"/>
    <w:rsid w:val="00585B2F"/>
    <w:rsid w:val="005877F8"/>
    <w:rsid w:val="00591FC5"/>
    <w:rsid w:val="0059298F"/>
    <w:rsid w:val="0059345A"/>
    <w:rsid w:val="005948DE"/>
    <w:rsid w:val="00596B38"/>
    <w:rsid w:val="00596E42"/>
    <w:rsid w:val="005A04A6"/>
    <w:rsid w:val="005A1641"/>
    <w:rsid w:val="005A5466"/>
    <w:rsid w:val="005A5E3C"/>
    <w:rsid w:val="005A61AA"/>
    <w:rsid w:val="005A61DD"/>
    <w:rsid w:val="005B1A9B"/>
    <w:rsid w:val="005B2893"/>
    <w:rsid w:val="005B3372"/>
    <w:rsid w:val="005B3679"/>
    <w:rsid w:val="005B3E2D"/>
    <w:rsid w:val="005B4514"/>
    <w:rsid w:val="005B57BE"/>
    <w:rsid w:val="005B6262"/>
    <w:rsid w:val="005B6719"/>
    <w:rsid w:val="005B6CF2"/>
    <w:rsid w:val="005C0C04"/>
    <w:rsid w:val="005C1C90"/>
    <w:rsid w:val="005C1D7F"/>
    <w:rsid w:val="005C2308"/>
    <w:rsid w:val="005C25B3"/>
    <w:rsid w:val="005C2D37"/>
    <w:rsid w:val="005C53D3"/>
    <w:rsid w:val="005C5A0D"/>
    <w:rsid w:val="005C607A"/>
    <w:rsid w:val="005C6767"/>
    <w:rsid w:val="005C6CB2"/>
    <w:rsid w:val="005C7EC3"/>
    <w:rsid w:val="005D7F10"/>
    <w:rsid w:val="005E17AC"/>
    <w:rsid w:val="005E4E3C"/>
    <w:rsid w:val="005E508B"/>
    <w:rsid w:val="005E551F"/>
    <w:rsid w:val="005E66C3"/>
    <w:rsid w:val="005F018F"/>
    <w:rsid w:val="005F2AA8"/>
    <w:rsid w:val="005F2F03"/>
    <w:rsid w:val="005F3D70"/>
    <w:rsid w:val="005F3EC2"/>
    <w:rsid w:val="005F4607"/>
    <w:rsid w:val="005F5440"/>
    <w:rsid w:val="005F566D"/>
    <w:rsid w:val="005F777E"/>
    <w:rsid w:val="005F7D7E"/>
    <w:rsid w:val="00602589"/>
    <w:rsid w:val="006027DF"/>
    <w:rsid w:val="00602932"/>
    <w:rsid w:val="00602D80"/>
    <w:rsid w:val="006048DE"/>
    <w:rsid w:val="00605363"/>
    <w:rsid w:val="00606A73"/>
    <w:rsid w:val="00607C71"/>
    <w:rsid w:val="0061023E"/>
    <w:rsid w:val="00610757"/>
    <w:rsid w:val="00610C5E"/>
    <w:rsid w:val="00611702"/>
    <w:rsid w:val="00614B05"/>
    <w:rsid w:val="00614D44"/>
    <w:rsid w:val="006176A2"/>
    <w:rsid w:val="00621990"/>
    <w:rsid w:val="006220A6"/>
    <w:rsid w:val="006221EF"/>
    <w:rsid w:val="0062320F"/>
    <w:rsid w:val="00626812"/>
    <w:rsid w:val="00626A3D"/>
    <w:rsid w:val="00626D24"/>
    <w:rsid w:val="00631B6A"/>
    <w:rsid w:val="00632C14"/>
    <w:rsid w:val="00634005"/>
    <w:rsid w:val="00636F3E"/>
    <w:rsid w:val="00636F8D"/>
    <w:rsid w:val="006405BB"/>
    <w:rsid w:val="00640CB9"/>
    <w:rsid w:val="00640DF4"/>
    <w:rsid w:val="0064390E"/>
    <w:rsid w:val="00645D56"/>
    <w:rsid w:val="00651B7E"/>
    <w:rsid w:val="00651E63"/>
    <w:rsid w:val="00655363"/>
    <w:rsid w:val="00660AF4"/>
    <w:rsid w:val="00661149"/>
    <w:rsid w:val="00663F97"/>
    <w:rsid w:val="00663FA7"/>
    <w:rsid w:val="00666EAF"/>
    <w:rsid w:val="0066754C"/>
    <w:rsid w:val="00667759"/>
    <w:rsid w:val="00667878"/>
    <w:rsid w:val="006704AB"/>
    <w:rsid w:val="006706ED"/>
    <w:rsid w:val="00670913"/>
    <w:rsid w:val="00670958"/>
    <w:rsid w:val="006713DA"/>
    <w:rsid w:val="0067181E"/>
    <w:rsid w:val="006725DD"/>
    <w:rsid w:val="0067302F"/>
    <w:rsid w:val="00675402"/>
    <w:rsid w:val="00675AB1"/>
    <w:rsid w:val="00675FC7"/>
    <w:rsid w:val="00676912"/>
    <w:rsid w:val="00677F74"/>
    <w:rsid w:val="00680D36"/>
    <w:rsid w:val="00681DC7"/>
    <w:rsid w:val="00682437"/>
    <w:rsid w:val="006827C2"/>
    <w:rsid w:val="00684F35"/>
    <w:rsid w:val="0068779F"/>
    <w:rsid w:val="00687EA4"/>
    <w:rsid w:val="00693310"/>
    <w:rsid w:val="00693ABD"/>
    <w:rsid w:val="00693BE6"/>
    <w:rsid w:val="00695299"/>
    <w:rsid w:val="00695B1A"/>
    <w:rsid w:val="00696053"/>
    <w:rsid w:val="00697483"/>
    <w:rsid w:val="006A11CC"/>
    <w:rsid w:val="006A3BB0"/>
    <w:rsid w:val="006A478C"/>
    <w:rsid w:val="006B07F5"/>
    <w:rsid w:val="006B23EB"/>
    <w:rsid w:val="006B3E66"/>
    <w:rsid w:val="006B4374"/>
    <w:rsid w:val="006B518D"/>
    <w:rsid w:val="006B5CD8"/>
    <w:rsid w:val="006B659F"/>
    <w:rsid w:val="006C25B1"/>
    <w:rsid w:val="006C2784"/>
    <w:rsid w:val="006C4086"/>
    <w:rsid w:val="006C41D6"/>
    <w:rsid w:val="006C452A"/>
    <w:rsid w:val="006C5A2C"/>
    <w:rsid w:val="006C60E2"/>
    <w:rsid w:val="006D0E67"/>
    <w:rsid w:val="006D0F70"/>
    <w:rsid w:val="006D2E64"/>
    <w:rsid w:val="006D3148"/>
    <w:rsid w:val="006D5E21"/>
    <w:rsid w:val="006D699B"/>
    <w:rsid w:val="006D6FE3"/>
    <w:rsid w:val="006E0122"/>
    <w:rsid w:val="006E018D"/>
    <w:rsid w:val="006E01E3"/>
    <w:rsid w:val="006E0C15"/>
    <w:rsid w:val="006E0D91"/>
    <w:rsid w:val="006E21D1"/>
    <w:rsid w:val="006E39F6"/>
    <w:rsid w:val="006E431E"/>
    <w:rsid w:val="006E5C51"/>
    <w:rsid w:val="006E6526"/>
    <w:rsid w:val="006F02D6"/>
    <w:rsid w:val="006F1655"/>
    <w:rsid w:val="006F268C"/>
    <w:rsid w:val="006F296F"/>
    <w:rsid w:val="006F48C3"/>
    <w:rsid w:val="006F66DB"/>
    <w:rsid w:val="006F748B"/>
    <w:rsid w:val="007002F7"/>
    <w:rsid w:val="007015A1"/>
    <w:rsid w:val="00702C84"/>
    <w:rsid w:val="00702EB9"/>
    <w:rsid w:val="0070306C"/>
    <w:rsid w:val="0070376C"/>
    <w:rsid w:val="00704264"/>
    <w:rsid w:val="007047D3"/>
    <w:rsid w:val="007070A6"/>
    <w:rsid w:val="007105F0"/>
    <w:rsid w:val="00710888"/>
    <w:rsid w:val="00710DD4"/>
    <w:rsid w:val="00711140"/>
    <w:rsid w:val="007116DA"/>
    <w:rsid w:val="0071267B"/>
    <w:rsid w:val="0071287D"/>
    <w:rsid w:val="00712E69"/>
    <w:rsid w:val="00713A69"/>
    <w:rsid w:val="00713A78"/>
    <w:rsid w:val="00714A77"/>
    <w:rsid w:val="0071588E"/>
    <w:rsid w:val="00720118"/>
    <w:rsid w:val="007219C3"/>
    <w:rsid w:val="00721A10"/>
    <w:rsid w:val="00721CE0"/>
    <w:rsid w:val="00725509"/>
    <w:rsid w:val="0073090E"/>
    <w:rsid w:val="00731217"/>
    <w:rsid w:val="00731B87"/>
    <w:rsid w:val="00732227"/>
    <w:rsid w:val="007322FF"/>
    <w:rsid w:val="00732C88"/>
    <w:rsid w:val="007334DB"/>
    <w:rsid w:val="0073705F"/>
    <w:rsid w:val="0074070E"/>
    <w:rsid w:val="007412AB"/>
    <w:rsid w:val="00741C7A"/>
    <w:rsid w:val="00741E27"/>
    <w:rsid w:val="00742A6A"/>
    <w:rsid w:val="00743236"/>
    <w:rsid w:val="00744200"/>
    <w:rsid w:val="00744408"/>
    <w:rsid w:val="0074564A"/>
    <w:rsid w:val="007469A9"/>
    <w:rsid w:val="00746A70"/>
    <w:rsid w:val="007472DC"/>
    <w:rsid w:val="00750E2D"/>
    <w:rsid w:val="00752057"/>
    <w:rsid w:val="00753285"/>
    <w:rsid w:val="00753EE4"/>
    <w:rsid w:val="00753F81"/>
    <w:rsid w:val="007541E7"/>
    <w:rsid w:val="00754355"/>
    <w:rsid w:val="007545E2"/>
    <w:rsid w:val="00754693"/>
    <w:rsid w:val="00760D0C"/>
    <w:rsid w:val="007610CF"/>
    <w:rsid w:val="00762F90"/>
    <w:rsid w:val="0076653E"/>
    <w:rsid w:val="0077029A"/>
    <w:rsid w:val="00771498"/>
    <w:rsid w:val="0077206F"/>
    <w:rsid w:val="00772A34"/>
    <w:rsid w:val="00773F84"/>
    <w:rsid w:val="00775210"/>
    <w:rsid w:val="00775CDE"/>
    <w:rsid w:val="00781F78"/>
    <w:rsid w:val="00782B8A"/>
    <w:rsid w:val="00782F44"/>
    <w:rsid w:val="00783CF8"/>
    <w:rsid w:val="00784B61"/>
    <w:rsid w:val="0078500C"/>
    <w:rsid w:val="00785F66"/>
    <w:rsid w:val="007872C4"/>
    <w:rsid w:val="00790054"/>
    <w:rsid w:val="00790878"/>
    <w:rsid w:val="0079463C"/>
    <w:rsid w:val="00796368"/>
    <w:rsid w:val="007964A3"/>
    <w:rsid w:val="00796C93"/>
    <w:rsid w:val="00797879"/>
    <w:rsid w:val="007979D8"/>
    <w:rsid w:val="007A0265"/>
    <w:rsid w:val="007A177D"/>
    <w:rsid w:val="007A2A74"/>
    <w:rsid w:val="007A3BC3"/>
    <w:rsid w:val="007A5D34"/>
    <w:rsid w:val="007A5E44"/>
    <w:rsid w:val="007A6615"/>
    <w:rsid w:val="007A66A8"/>
    <w:rsid w:val="007B06A0"/>
    <w:rsid w:val="007B0CB5"/>
    <w:rsid w:val="007B136C"/>
    <w:rsid w:val="007B1D99"/>
    <w:rsid w:val="007B1DFE"/>
    <w:rsid w:val="007B4265"/>
    <w:rsid w:val="007B4D94"/>
    <w:rsid w:val="007B584E"/>
    <w:rsid w:val="007B5919"/>
    <w:rsid w:val="007B5CA5"/>
    <w:rsid w:val="007B7FF6"/>
    <w:rsid w:val="007C0ADB"/>
    <w:rsid w:val="007C4A58"/>
    <w:rsid w:val="007C61F6"/>
    <w:rsid w:val="007C7DCD"/>
    <w:rsid w:val="007D2565"/>
    <w:rsid w:val="007D2709"/>
    <w:rsid w:val="007D30A6"/>
    <w:rsid w:val="007D4065"/>
    <w:rsid w:val="007E07E8"/>
    <w:rsid w:val="007E4FEB"/>
    <w:rsid w:val="007E723F"/>
    <w:rsid w:val="007F272F"/>
    <w:rsid w:val="007F5F1B"/>
    <w:rsid w:val="00804DAE"/>
    <w:rsid w:val="008108B3"/>
    <w:rsid w:val="008122A2"/>
    <w:rsid w:val="00813985"/>
    <w:rsid w:val="008146DC"/>
    <w:rsid w:val="00816002"/>
    <w:rsid w:val="008227CA"/>
    <w:rsid w:val="00823E12"/>
    <w:rsid w:val="008252E8"/>
    <w:rsid w:val="00826005"/>
    <w:rsid w:val="00826213"/>
    <w:rsid w:val="00830175"/>
    <w:rsid w:val="008305FF"/>
    <w:rsid w:val="00832729"/>
    <w:rsid w:val="00832BDD"/>
    <w:rsid w:val="00833C76"/>
    <w:rsid w:val="00834819"/>
    <w:rsid w:val="00834945"/>
    <w:rsid w:val="00835A18"/>
    <w:rsid w:val="008406A0"/>
    <w:rsid w:val="008406C9"/>
    <w:rsid w:val="00841988"/>
    <w:rsid w:val="0084358A"/>
    <w:rsid w:val="008463BB"/>
    <w:rsid w:val="00846441"/>
    <w:rsid w:val="00846943"/>
    <w:rsid w:val="008472F4"/>
    <w:rsid w:val="00850548"/>
    <w:rsid w:val="008518FC"/>
    <w:rsid w:val="00851901"/>
    <w:rsid w:val="00854073"/>
    <w:rsid w:val="00855D6C"/>
    <w:rsid w:val="00856AA3"/>
    <w:rsid w:val="00857EEF"/>
    <w:rsid w:val="00857F87"/>
    <w:rsid w:val="008602A2"/>
    <w:rsid w:val="00861BC5"/>
    <w:rsid w:val="008633C7"/>
    <w:rsid w:val="00863DC4"/>
    <w:rsid w:val="00864BE0"/>
    <w:rsid w:val="00864DEE"/>
    <w:rsid w:val="0086549E"/>
    <w:rsid w:val="008667FC"/>
    <w:rsid w:val="00867ED3"/>
    <w:rsid w:val="00871C65"/>
    <w:rsid w:val="0087284A"/>
    <w:rsid w:val="00872DAD"/>
    <w:rsid w:val="008766DC"/>
    <w:rsid w:val="00877D93"/>
    <w:rsid w:val="00880770"/>
    <w:rsid w:val="00880D1D"/>
    <w:rsid w:val="00881664"/>
    <w:rsid w:val="0088256B"/>
    <w:rsid w:val="008830E9"/>
    <w:rsid w:val="00883492"/>
    <w:rsid w:val="00883683"/>
    <w:rsid w:val="00885800"/>
    <w:rsid w:val="0088620E"/>
    <w:rsid w:val="00886BDD"/>
    <w:rsid w:val="00886CA8"/>
    <w:rsid w:val="008870E5"/>
    <w:rsid w:val="00891D8D"/>
    <w:rsid w:val="008942EE"/>
    <w:rsid w:val="00894D2B"/>
    <w:rsid w:val="00895C72"/>
    <w:rsid w:val="008979FC"/>
    <w:rsid w:val="00897C9A"/>
    <w:rsid w:val="008A0186"/>
    <w:rsid w:val="008A09B6"/>
    <w:rsid w:val="008A1DC4"/>
    <w:rsid w:val="008A20B2"/>
    <w:rsid w:val="008A223B"/>
    <w:rsid w:val="008A2959"/>
    <w:rsid w:val="008A2F40"/>
    <w:rsid w:val="008A48DF"/>
    <w:rsid w:val="008A4F38"/>
    <w:rsid w:val="008A503A"/>
    <w:rsid w:val="008A6103"/>
    <w:rsid w:val="008A683C"/>
    <w:rsid w:val="008A6F82"/>
    <w:rsid w:val="008B06D8"/>
    <w:rsid w:val="008B0CC7"/>
    <w:rsid w:val="008B37C1"/>
    <w:rsid w:val="008B3E00"/>
    <w:rsid w:val="008B5C6A"/>
    <w:rsid w:val="008B5EC3"/>
    <w:rsid w:val="008C1490"/>
    <w:rsid w:val="008C1A2E"/>
    <w:rsid w:val="008C4A1D"/>
    <w:rsid w:val="008D1547"/>
    <w:rsid w:val="008D3120"/>
    <w:rsid w:val="008D359B"/>
    <w:rsid w:val="008D52B8"/>
    <w:rsid w:val="008D6506"/>
    <w:rsid w:val="008D6807"/>
    <w:rsid w:val="008D687A"/>
    <w:rsid w:val="008E0421"/>
    <w:rsid w:val="008E08E3"/>
    <w:rsid w:val="008E0EF0"/>
    <w:rsid w:val="008E12D5"/>
    <w:rsid w:val="008E21E6"/>
    <w:rsid w:val="008E2595"/>
    <w:rsid w:val="008E265D"/>
    <w:rsid w:val="008E2E23"/>
    <w:rsid w:val="008E335F"/>
    <w:rsid w:val="008E3AF6"/>
    <w:rsid w:val="008E5B63"/>
    <w:rsid w:val="008E5C99"/>
    <w:rsid w:val="008E601D"/>
    <w:rsid w:val="008F3046"/>
    <w:rsid w:val="008F5C7C"/>
    <w:rsid w:val="009005D9"/>
    <w:rsid w:val="0090202D"/>
    <w:rsid w:val="00904607"/>
    <w:rsid w:val="00904CEC"/>
    <w:rsid w:val="00905C25"/>
    <w:rsid w:val="00910425"/>
    <w:rsid w:val="00910769"/>
    <w:rsid w:val="00911FDF"/>
    <w:rsid w:val="0091437F"/>
    <w:rsid w:val="0091514C"/>
    <w:rsid w:val="009153B0"/>
    <w:rsid w:val="00921D07"/>
    <w:rsid w:val="00921F71"/>
    <w:rsid w:val="0092270D"/>
    <w:rsid w:val="0093092D"/>
    <w:rsid w:val="0093172F"/>
    <w:rsid w:val="009325ED"/>
    <w:rsid w:val="0093598A"/>
    <w:rsid w:val="0093685C"/>
    <w:rsid w:val="009369E9"/>
    <w:rsid w:val="00937097"/>
    <w:rsid w:val="0093721E"/>
    <w:rsid w:val="00940DA6"/>
    <w:rsid w:val="00941585"/>
    <w:rsid w:val="009444CB"/>
    <w:rsid w:val="00946135"/>
    <w:rsid w:val="00947C08"/>
    <w:rsid w:val="00952D30"/>
    <w:rsid w:val="00954B02"/>
    <w:rsid w:val="00955118"/>
    <w:rsid w:val="00955421"/>
    <w:rsid w:val="00955542"/>
    <w:rsid w:val="0095565D"/>
    <w:rsid w:val="00955F65"/>
    <w:rsid w:val="00956C16"/>
    <w:rsid w:val="009570F5"/>
    <w:rsid w:val="00961768"/>
    <w:rsid w:val="0096353C"/>
    <w:rsid w:val="0096572B"/>
    <w:rsid w:val="009665FA"/>
    <w:rsid w:val="0097013A"/>
    <w:rsid w:val="009707D8"/>
    <w:rsid w:val="00971FD2"/>
    <w:rsid w:val="0097383A"/>
    <w:rsid w:val="00974126"/>
    <w:rsid w:val="009748F4"/>
    <w:rsid w:val="00975877"/>
    <w:rsid w:val="00975C73"/>
    <w:rsid w:val="009762CA"/>
    <w:rsid w:val="009800DD"/>
    <w:rsid w:val="009806FE"/>
    <w:rsid w:val="009815B9"/>
    <w:rsid w:val="00982280"/>
    <w:rsid w:val="009833D0"/>
    <w:rsid w:val="00986550"/>
    <w:rsid w:val="00986F99"/>
    <w:rsid w:val="009900C8"/>
    <w:rsid w:val="009922DA"/>
    <w:rsid w:val="00993BB5"/>
    <w:rsid w:val="00993E7C"/>
    <w:rsid w:val="00993F28"/>
    <w:rsid w:val="00995EC9"/>
    <w:rsid w:val="00997E5A"/>
    <w:rsid w:val="009A0EA9"/>
    <w:rsid w:val="009A16B2"/>
    <w:rsid w:val="009A1DB5"/>
    <w:rsid w:val="009A22B0"/>
    <w:rsid w:val="009A41DF"/>
    <w:rsid w:val="009A6B89"/>
    <w:rsid w:val="009B2ED2"/>
    <w:rsid w:val="009B3193"/>
    <w:rsid w:val="009B39AD"/>
    <w:rsid w:val="009B401F"/>
    <w:rsid w:val="009B47BA"/>
    <w:rsid w:val="009B4BF9"/>
    <w:rsid w:val="009B4D5C"/>
    <w:rsid w:val="009B506D"/>
    <w:rsid w:val="009B70C4"/>
    <w:rsid w:val="009B7967"/>
    <w:rsid w:val="009C091A"/>
    <w:rsid w:val="009C255B"/>
    <w:rsid w:val="009C41D8"/>
    <w:rsid w:val="009C4AFA"/>
    <w:rsid w:val="009C4B13"/>
    <w:rsid w:val="009C50B9"/>
    <w:rsid w:val="009C570B"/>
    <w:rsid w:val="009C6205"/>
    <w:rsid w:val="009C78FF"/>
    <w:rsid w:val="009C7ABA"/>
    <w:rsid w:val="009C7B72"/>
    <w:rsid w:val="009D01CA"/>
    <w:rsid w:val="009D10BF"/>
    <w:rsid w:val="009D1AED"/>
    <w:rsid w:val="009D24A1"/>
    <w:rsid w:val="009D284B"/>
    <w:rsid w:val="009D2950"/>
    <w:rsid w:val="009D2AD9"/>
    <w:rsid w:val="009D4951"/>
    <w:rsid w:val="009D61AD"/>
    <w:rsid w:val="009D67D1"/>
    <w:rsid w:val="009D7970"/>
    <w:rsid w:val="009E0845"/>
    <w:rsid w:val="009E1BB8"/>
    <w:rsid w:val="009E20FB"/>
    <w:rsid w:val="009E4041"/>
    <w:rsid w:val="009E4D89"/>
    <w:rsid w:val="009E5E01"/>
    <w:rsid w:val="009E7591"/>
    <w:rsid w:val="009F4AFB"/>
    <w:rsid w:val="009F6397"/>
    <w:rsid w:val="009F74AD"/>
    <w:rsid w:val="009F78F7"/>
    <w:rsid w:val="00A01610"/>
    <w:rsid w:val="00A01E13"/>
    <w:rsid w:val="00A046A6"/>
    <w:rsid w:val="00A04ED7"/>
    <w:rsid w:val="00A05302"/>
    <w:rsid w:val="00A06914"/>
    <w:rsid w:val="00A07BAE"/>
    <w:rsid w:val="00A07CFC"/>
    <w:rsid w:val="00A12DBA"/>
    <w:rsid w:val="00A1392D"/>
    <w:rsid w:val="00A17DC3"/>
    <w:rsid w:val="00A21ABF"/>
    <w:rsid w:val="00A22C4E"/>
    <w:rsid w:val="00A30A78"/>
    <w:rsid w:val="00A31879"/>
    <w:rsid w:val="00A32E28"/>
    <w:rsid w:val="00A33C53"/>
    <w:rsid w:val="00A355C8"/>
    <w:rsid w:val="00A359B4"/>
    <w:rsid w:val="00A36861"/>
    <w:rsid w:val="00A42E4C"/>
    <w:rsid w:val="00A461CA"/>
    <w:rsid w:val="00A47024"/>
    <w:rsid w:val="00A47341"/>
    <w:rsid w:val="00A517E3"/>
    <w:rsid w:val="00A52225"/>
    <w:rsid w:val="00A5392B"/>
    <w:rsid w:val="00A556E9"/>
    <w:rsid w:val="00A56FB4"/>
    <w:rsid w:val="00A577E5"/>
    <w:rsid w:val="00A578A5"/>
    <w:rsid w:val="00A578BC"/>
    <w:rsid w:val="00A604E3"/>
    <w:rsid w:val="00A60BBA"/>
    <w:rsid w:val="00A616DA"/>
    <w:rsid w:val="00A62774"/>
    <w:rsid w:val="00A62C41"/>
    <w:rsid w:val="00A641F1"/>
    <w:rsid w:val="00A660C1"/>
    <w:rsid w:val="00A67B59"/>
    <w:rsid w:val="00A70BE6"/>
    <w:rsid w:val="00A717EA"/>
    <w:rsid w:val="00A72273"/>
    <w:rsid w:val="00A73656"/>
    <w:rsid w:val="00A73976"/>
    <w:rsid w:val="00A73EF9"/>
    <w:rsid w:val="00A81C64"/>
    <w:rsid w:val="00A8359E"/>
    <w:rsid w:val="00A8677C"/>
    <w:rsid w:val="00A86A10"/>
    <w:rsid w:val="00A8789D"/>
    <w:rsid w:val="00A93DFE"/>
    <w:rsid w:val="00A93FD4"/>
    <w:rsid w:val="00A9420B"/>
    <w:rsid w:val="00A94C83"/>
    <w:rsid w:val="00A959A0"/>
    <w:rsid w:val="00A96660"/>
    <w:rsid w:val="00A969AE"/>
    <w:rsid w:val="00A9776F"/>
    <w:rsid w:val="00AA13B4"/>
    <w:rsid w:val="00AA5237"/>
    <w:rsid w:val="00AA5512"/>
    <w:rsid w:val="00AA5847"/>
    <w:rsid w:val="00AA5CF2"/>
    <w:rsid w:val="00AA6953"/>
    <w:rsid w:val="00AA72DB"/>
    <w:rsid w:val="00AA75A4"/>
    <w:rsid w:val="00AB150C"/>
    <w:rsid w:val="00AB1EB1"/>
    <w:rsid w:val="00AB408A"/>
    <w:rsid w:val="00AB650C"/>
    <w:rsid w:val="00AB6CA3"/>
    <w:rsid w:val="00AC0FD3"/>
    <w:rsid w:val="00AC1A4F"/>
    <w:rsid w:val="00AC1FA5"/>
    <w:rsid w:val="00AC2122"/>
    <w:rsid w:val="00AC22E5"/>
    <w:rsid w:val="00AC3110"/>
    <w:rsid w:val="00AC38D3"/>
    <w:rsid w:val="00AC489D"/>
    <w:rsid w:val="00AC6C7C"/>
    <w:rsid w:val="00AD0114"/>
    <w:rsid w:val="00AD02CE"/>
    <w:rsid w:val="00AD080C"/>
    <w:rsid w:val="00AD0E75"/>
    <w:rsid w:val="00AD4DCD"/>
    <w:rsid w:val="00AD5F97"/>
    <w:rsid w:val="00AD6100"/>
    <w:rsid w:val="00AD75C5"/>
    <w:rsid w:val="00AD75D7"/>
    <w:rsid w:val="00AD7DCD"/>
    <w:rsid w:val="00AE0C91"/>
    <w:rsid w:val="00AE2034"/>
    <w:rsid w:val="00AE2341"/>
    <w:rsid w:val="00AE2D13"/>
    <w:rsid w:val="00AE3444"/>
    <w:rsid w:val="00AE3FBE"/>
    <w:rsid w:val="00AE5455"/>
    <w:rsid w:val="00AE563B"/>
    <w:rsid w:val="00AE5A72"/>
    <w:rsid w:val="00AE6A93"/>
    <w:rsid w:val="00AF328D"/>
    <w:rsid w:val="00AF3605"/>
    <w:rsid w:val="00AF4E4D"/>
    <w:rsid w:val="00AF566E"/>
    <w:rsid w:val="00AF56E4"/>
    <w:rsid w:val="00AF6973"/>
    <w:rsid w:val="00AF6A7A"/>
    <w:rsid w:val="00B00032"/>
    <w:rsid w:val="00B0336B"/>
    <w:rsid w:val="00B04AEE"/>
    <w:rsid w:val="00B04B2C"/>
    <w:rsid w:val="00B0616F"/>
    <w:rsid w:val="00B063D7"/>
    <w:rsid w:val="00B07390"/>
    <w:rsid w:val="00B07899"/>
    <w:rsid w:val="00B108F2"/>
    <w:rsid w:val="00B10CE1"/>
    <w:rsid w:val="00B11312"/>
    <w:rsid w:val="00B12C07"/>
    <w:rsid w:val="00B15244"/>
    <w:rsid w:val="00B169E5"/>
    <w:rsid w:val="00B16B01"/>
    <w:rsid w:val="00B1707A"/>
    <w:rsid w:val="00B17922"/>
    <w:rsid w:val="00B2060A"/>
    <w:rsid w:val="00B20D0A"/>
    <w:rsid w:val="00B2108D"/>
    <w:rsid w:val="00B21240"/>
    <w:rsid w:val="00B2147A"/>
    <w:rsid w:val="00B22115"/>
    <w:rsid w:val="00B2691F"/>
    <w:rsid w:val="00B31C5B"/>
    <w:rsid w:val="00B326AB"/>
    <w:rsid w:val="00B34288"/>
    <w:rsid w:val="00B34D82"/>
    <w:rsid w:val="00B3723B"/>
    <w:rsid w:val="00B37A42"/>
    <w:rsid w:val="00B425DD"/>
    <w:rsid w:val="00B439D5"/>
    <w:rsid w:val="00B449C3"/>
    <w:rsid w:val="00B44E86"/>
    <w:rsid w:val="00B450D0"/>
    <w:rsid w:val="00B465DF"/>
    <w:rsid w:val="00B46829"/>
    <w:rsid w:val="00B5150D"/>
    <w:rsid w:val="00B52378"/>
    <w:rsid w:val="00B55846"/>
    <w:rsid w:val="00B56DED"/>
    <w:rsid w:val="00B60AF3"/>
    <w:rsid w:val="00B640E4"/>
    <w:rsid w:val="00B67889"/>
    <w:rsid w:val="00B679FC"/>
    <w:rsid w:val="00B7063C"/>
    <w:rsid w:val="00B707A8"/>
    <w:rsid w:val="00B715AA"/>
    <w:rsid w:val="00B72DF3"/>
    <w:rsid w:val="00B749A3"/>
    <w:rsid w:val="00B749A8"/>
    <w:rsid w:val="00B76AD6"/>
    <w:rsid w:val="00B77A26"/>
    <w:rsid w:val="00B77E2D"/>
    <w:rsid w:val="00B81FFC"/>
    <w:rsid w:val="00B82C99"/>
    <w:rsid w:val="00B85180"/>
    <w:rsid w:val="00B851E7"/>
    <w:rsid w:val="00B8753B"/>
    <w:rsid w:val="00B9467A"/>
    <w:rsid w:val="00B95824"/>
    <w:rsid w:val="00B9687A"/>
    <w:rsid w:val="00B9694A"/>
    <w:rsid w:val="00BA15F1"/>
    <w:rsid w:val="00BA2620"/>
    <w:rsid w:val="00BA2D87"/>
    <w:rsid w:val="00BA2F25"/>
    <w:rsid w:val="00BA2FE4"/>
    <w:rsid w:val="00BA4EB3"/>
    <w:rsid w:val="00BA503C"/>
    <w:rsid w:val="00BA62F6"/>
    <w:rsid w:val="00BA6AE0"/>
    <w:rsid w:val="00BA7D56"/>
    <w:rsid w:val="00BB2258"/>
    <w:rsid w:val="00BB2707"/>
    <w:rsid w:val="00BB4095"/>
    <w:rsid w:val="00BB4A16"/>
    <w:rsid w:val="00BB4E67"/>
    <w:rsid w:val="00BB5088"/>
    <w:rsid w:val="00BB5381"/>
    <w:rsid w:val="00BB5A84"/>
    <w:rsid w:val="00BB61A4"/>
    <w:rsid w:val="00BB69EF"/>
    <w:rsid w:val="00BB7B4C"/>
    <w:rsid w:val="00BC0056"/>
    <w:rsid w:val="00BC04B9"/>
    <w:rsid w:val="00BC11C7"/>
    <w:rsid w:val="00BC32E7"/>
    <w:rsid w:val="00BC39D3"/>
    <w:rsid w:val="00BC4010"/>
    <w:rsid w:val="00BC5595"/>
    <w:rsid w:val="00BC5614"/>
    <w:rsid w:val="00BC680D"/>
    <w:rsid w:val="00BC7740"/>
    <w:rsid w:val="00BD0D54"/>
    <w:rsid w:val="00BD3B5A"/>
    <w:rsid w:val="00BD53CD"/>
    <w:rsid w:val="00BD5CDF"/>
    <w:rsid w:val="00BD5F3E"/>
    <w:rsid w:val="00BD6268"/>
    <w:rsid w:val="00BE0157"/>
    <w:rsid w:val="00BE33AE"/>
    <w:rsid w:val="00BE5994"/>
    <w:rsid w:val="00BE79BB"/>
    <w:rsid w:val="00BF0091"/>
    <w:rsid w:val="00BF060B"/>
    <w:rsid w:val="00BF10F7"/>
    <w:rsid w:val="00BF2796"/>
    <w:rsid w:val="00BF3ABC"/>
    <w:rsid w:val="00BF41D2"/>
    <w:rsid w:val="00BF4383"/>
    <w:rsid w:val="00BF6DBD"/>
    <w:rsid w:val="00C00746"/>
    <w:rsid w:val="00C0126D"/>
    <w:rsid w:val="00C0317F"/>
    <w:rsid w:val="00C04894"/>
    <w:rsid w:val="00C05DFE"/>
    <w:rsid w:val="00C067E6"/>
    <w:rsid w:val="00C06E02"/>
    <w:rsid w:val="00C07C54"/>
    <w:rsid w:val="00C1069D"/>
    <w:rsid w:val="00C1094D"/>
    <w:rsid w:val="00C11E4B"/>
    <w:rsid w:val="00C13772"/>
    <w:rsid w:val="00C1388B"/>
    <w:rsid w:val="00C14742"/>
    <w:rsid w:val="00C1485C"/>
    <w:rsid w:val="00C20929"/>
    <w:rsid w:val="00C213DC"/>
    <w:rsid w:val="00C22734"/>
    <w:rsid w:val="00C27B4C"/>
    <w:rsid w:val="00C32CFF"/>
    <w:rsid w:val="00C33445"/>
    <w:rsid w:val="00C3708E"/>
    <w:rsid w:val="00C370A6"/>
    <w:rsid w:val="00C40596"/>
    <w:rsid w:val="00C40BA7"/>
    <w:rsid w:val="00C43174"/>
    <w:rsid w:val="00C434A3"/>
    <w:rsid w:val="00C443C9"/>
    <w:rsid w:val="00C452A0"/>
    <w:rsid w:val="00C4552B"/>
    <w:rsid w:val="00C47B46"/>
    <w:rsid w:val="00C53B7D"/>
    <w:rsid w:val="00C55A45"/>
    <w:rsid w:val="00C55D12"/>
    <w:rsid w:val="00C56C32"/>
    <w:rsid w:val="00C5716B"/>
    <w:rsid w:val="00C576DE"/>
    <w:rsid w:val="00C640B2"/>
    <w:rsid w:val="00C6518A"/>
    <w:rsid w:val="00C70E70"/>
    <w:rsid w:val="00C71546"/>
    <w:rsid w:val="00C74D20"/>
    <w:rsid w:val="00C7519B"/>
    <w:rsid w:val="00C75929"/>
    <w:rsid w:val="00C764D7"/>
    <w:rsid w:val="00C7692B"/>
    <w:rsid w:val="00C769BD"/>
    <w:rsid w:val="00C77B8C"/>
    <w:rsid w:val="00C84D22"/>
    <w:rsid w:val="00C85323"/>
    <w:rsid w:val="00C87694"/>
    <w:rsid w:val="00C90AF6"/>
    <w:rsid w:val="00C91413"/>
    <w:rsid w:val="00C91495"/>
    <w:rsid w:val="00C92B8D"/>
    <w:rsid w:val="00C936A7"/>
    <w:rsid w:val="00C93E9D"/>
    <w:rsid w:val="00C94CD4"/>
    <w:rsid w:val="00C95906"/>
    <w:rsid w:val="00CA15BE"/>
    <w:rsid w:val="00CA2123"/>
    <w:rsid w:val="00CA3808"/>
    <w:rsid w:val="00CA5C38"/>
    <w:rsid w:val="00CA5CD2"/>
    <w:rsid w:val="00CB1963"/>
    <w:rsid w:val="00CB25D1"/>
    <w:rsid w:val="00CB3E38"/>
    <w:rsid w:val="00CB4E59"/>
    <w:rsid w:val="00CB7299"/>
    <w:rsid w:val="00CB7E7C"/>
    <w:rsid w:val="00CC5025"/>
    <w:rsid w:val="00CC577A"/>
    <w:rsid w:val="00CC5E7E"/>
    <w:rsid w:val="00CD028C"/>
    <w:rsid w:val="00CD298D"/>
    <w:rsid w:val="00CD6A66"/>
    <w:rsid w:val="00CD7BAE"/>
    <w:rsid w:val="00CE17FA"/>
    <w:rsid w:val="00CE3F3C"/>
    <w:rsid w:val="00CE43C1"/>
    <w:rsid w:val="00CE5640"/>
    <w:rsid w:val="00CE7BF1"/>
    <w:rsid w:val="00CF2DD8"/>
    <w:rsid w:val="00CF4D6D"/>
    <w:rsid w:val="00CF5394"/>
    <w:rsid w:val="00D00A18"/>
    <w:rsid w:val="00D00E59"/>
    <w:rsid w:val="00D013AA"/>
    <w:rsid w:val="00D0203E"/>
    <w:rsid w:val="00D02E02"/>
    <w:rsid w:val="00D05358"/>
    <w:rsid w:val="00D05CCF"/>
    <w:rsid w:val="00D06A5A"/>
    <w:rsid w:val="00D07463"/>
    <w:rsid w:val="00D1140D"/>
    <w:rsid w:val="00D1248B"/>
    <w:rsid w:val="00D137C7"/>
    <w:rsid w:val="00D158B1"/>
    <w:rsid w:val="00D177BF"/>
    <w:rsid w:val="00D207BD"/>
    <w:rsid w:val="00D23734"/>
    <w:rsid w:val="00D27D34"/>
    <w:rsid w:val="00D3056D"/>
    <w:rsid w:val="00D31A41"/>
    <w:rsid w:val="00D31D9B"/>
    <w:rsid w:val="00D31DD7"/>
    <w:rsid w:val="00D32287"/>
    <w:rsid w:val="00D36700"/>
    <w:rsid w:val="00D377B4"/>
    <w:rsid w:val="00D40275"/>
    <w:rsid w:val="00D4064D"/>
    <w:rsid w:val="00D40B1D"/>
    <w:rsid w:val="00D4385B"/>
    <w:rsid w:val="00D46309"/>
    <w:rsid w:val="00D47DD8"/>
    <w:rsid w:val="00D5108B"/>
    <w:rsid w:val="00D510F7"/>
    <w:rsid w:val="00D51CEC"/>
    <w:rsid w:val="00D5595C"/>
    <w:rsid w:val="00D568B8"/>
    <w:rsid w:val="00D56E7B"/>
    <w:rsid w:val="00D575EA"/>
    <w:rsid w:val="00D57901"/>
    <w:rsid w:val="00D57AD8"/>
    <w:rsid w:val="00D608EE"/>
    <w:rsid w:val="00D60C3C"/>
    <w:rsid w:val="00D623F1"/>
    <w:rsid w:val="00D66635"/>
    <w:rsid w:val="00D66790"/>
    <w:rsid w:val="00D66E59"/>
    <w:rsid w:val="00D679E8"/>
    <w:rsid w:val="00D71647"/>
    <w:rsid w:val="00D728B4"/>
    <w:rsid w:val="00D740FC"/>
    <w:rsid w:val="00D744F3"/>
    <w:rsid w:val="00D74F94"/>
    <w:rsid w:val="00D751E6"/>
    <w:rsid w:val="00D814BF"/>
    <w:rsid w:val="00D815CD"/>
    <w:rsid w:val="00D82AB0"/>
    <w:rsid w:val="00D82EDE"/>
    <w:rsid w:val="00D83DC4"/>
    <w:rsid w:val="00D83EB3"/>
    <w:rsid w:val="00D84058"/>
    <w:rsid w:val="00D8506F"/>
    <w:rsid w:val="00D86016"/>
    <w:rsid w:val="00D900C3"/>
    <w:rsid w:val="00D9071D"/>
    <w:rsid w:val="00D909D1"/>
    <w:rsid w:val="00D9380A"/>
    <w:rsid w:val="00D95835"/>
    <w:rsid w:val="00D95CFA"/>
    <w:rsid w:val="00D96912"/>
    <w:rsid w:val="00D977B3"/>
    <w:rsid w:val="00DA0FFF"/>
    <w:rsid w:val="00DA195E"/>
    <w:rsid w:val="00DA1B72"/>
    <w:rsid w:val="00DA4C5F"/>
    <w:rsid w:val="00DA4D10"/>
    <w:rsid w:val="00DB1013"/>
    <w:rsid w:val="00DB39D9"/>
    <w:rsid w:val="00DB4120"/>
    <w:rsid w:val="00DB4509"/>
    <w:rsid w:val="00DB49C4"/>
    <w:rsid w:val="00DB59B3"/>
    <w:rsid w:val="00DB5CB9"/>
    <w:rsid w:val="00DB7738"/>
    <w:rsid w:val="00DC1B45"/>
    <w:rsid w:val="00DC29D4"/>
    <w:rsid w:val="00DC4ED7"/>
    <w:rsid w:val="00DD0C37"/>
    <w:rsid w:val="00DD0FE0"/>
    <w:rsid w:val="00DD11E7"/>
    <w:rsid w:val="00DD22CB"/>
    <w:rsid w:val="00DD2826"/>
    <w:rsid w:val="00DD480A"/>
    <w:rsid w:val="00DE2813"/>
    <w:rsid w:val="00DE2883"/>
    <w:rsid w:val="00DE4ADE"/>
    <w:rsid w:val="00DE716F"/>
    <w:rsid w:val="00DF1E5D"/>
    <w:rsid w:val="00DF3951"/>
    <w:rsid w:val="00DF47C6"/>
    <w:rsid w:val="00DF6A04"/>
    <w:rsid w:val="00DF7B4E"/>
    <w:rsid w:val="00E00D9D"/>
    <w:rsid w:val="00E02752"/>
    <w:rsid w:val="00E02A8B"/>
    <w:rsid w:val="00E03E7E"/>
    <w:rsid w:val="00E10844"/>
    <w:rsid w:val="00E12AF5"/>
    <w:rsid w:val="00E12FDF"/>
    <w:rsid w:val="00E17EA9"/>
    <w:rsid w:val="00E226B8"/>
    <w:rsid w:val="00E23A22"/>
    <w:rsid w:val="00E253A6"/>
    <w:rsid w:val="00E26530"/>
    <w:rsid w:val="00E26C4E"/>
    <w:rsid w:val="00E270AB"/>
    <w:rsid w:val="00E2782B"/>
    <w:rsid w:val="00E27A32"/>
    <w:rsid w:val="00E300A4"/>
    <w:rsid w:val="00E308C8"/>
    <w:rsid w:val="00E309CA"/>
    <w:rsid w:val="00E32FF8"/>
    <w:rsid w:val="00E3301D"/>
    <w:rsid w:val="00E339D6"/>
    <w:rsid w:val="00E3507C"/>
    <w:rsid w:val="00E35E10"/>
    <w:rsid w:val="00E4055F"/>
    <w:rsid w:val="00E41356"/>
    <w:rsid w:val="00E442DB"/>
    <w:rsid w:val="00E44B5C"/>
    <w:rsid w:val="00E44F71"/>
    <w:rsid w:val="00E47E82"/>
    <w:rsid w:val="00E51263"/>
    <w:rsid w:val="00E5244E"/>
    <w:rsid w:val="00E52EAC"/>
    <w:rsid w:val="00E64023"/>
    <w:rsid w:val="00E6480E"/>
    <w:rsid w:val="00E6538F"/>
    <w:rsid w:val="00E6608A"/>
    <w:rsid w:val="00E664C0"/>
    <w:rsid w:val="00E739B9"/>
    <w:rsid w:val="00E74E38"/>
    <w:rsid w:val="00E8233C"/>
    <w:rsid w:val="00E83D21"/>
    <w:rsid w:val="00E83DF7"/>
    <w:rsid w:val="00E8424C"/>
    <w:rsid w:val="00E87E6B"/>
    <w:rsid w:val="00E908A6"/>
    <w:rsid w:val="00E90F53"/>
    <w:rsid w:val="00E91540"/>
    <w:rsid w:val="00E91A4C"/>
    <w:rsid w:val="00E939CF"/>
    <w:rsid w:val="00E94976"/>
    <w:rsid w:val="00E95727"/>
    <w:rsid w:val="00E97BAE"/>
    <w:rsid w:val="00EA0394"/>
    <w:rsid w:val="00EA3A43"/>
    <w:rsid w:val="00EA5995"/>
    <w:rsid w:val="00EA5E88"/>
    <w:rsid w:val="00EA6970"/>
    <w:rsid w:val="00EB1592"/>
    <w:rsid w:val="00EB360F"/>
    <w:rsid w:val="00EB5181"/>
    <w:rsid w:val="00EB5961"/>
    <w:rsid w:val="00EB647C"/>
    <w:rsid w:val="00EB6804"/>
    <w:rsid w:val="00EB6828"/>
    <w:rsid w:val="00EB7537"/>
    <w:rsid w:val="00ED09AC"/>
    <w:rsid w:val="00ED10AD"/>
    <w:rsid w:val="00ED2C3F"/>
    <w:rsid w:val="00ED3DA2"/>
    <w:rsid w:val="00ED584C"/>
    <w:rsid w:val="00ED58D0"/>
    <w:rsid w:val="00EE563F"/>
    <w:rsid w:val="00EF3D27"/>
    <w:rsid w:val="00EF461E"/>
    <w:rsid w:val="00EF560E"/>
    <w:rsid w:val="00EF7497"/>
    <w:rsid w:val="00F01709"/>
    <w:rsid w:val="00F027A9"/>
    <w:rsid w:val="00F02804"/>
    <w:rsid w:val="00F066F0"/>
    <w:rsid w:val="00F11C1E"/>
    <w:rsid w:val="00F1233A"/>
    <w:rsid w:val="00F139CE"/>
    <w:rsid w:val="00F16CDB"/>
    <w:rsid w:val="00F17412"/>
    <w:rsid w:val="00F17B2A"/>
    <w:rsid w:val="00F23792"/>
    <w:rsid w:val="00F2444A"/>
    <w:rsid w:val="00F25A47"/>
    <w:rsid w:val="00F26E29"/>
    <w:rsid w:val="00F30CA6"/>
    <w:rsid w:val="00F3590C"/>
    <w:rsid w:val="00F36C06"/>
    <w:rsid w:val="00F3762F"/>
    <w:rsid w:val="00F37FC3"/>
    <w:rsid w:val="00F40E51"/>
    <w:rsid w:val="00F41213"/>
    <w:rsid w:val="00F41D01"/>
    <w:rsid w:val="00F43D6E"/>
    <w:rsid w:val="00F4610C"/>
    <w:rsid w:val="00F4741A"/>
    <w:rsid w:val="00F507FF"/>
    <w:rsid w:val="00F5131E"/>
    <w:rsid w:val="00F531F1"/>
    <w:rsid w:val="00F566D9"/>
    <w:rsid w:val="00F57913"/>
    <w:rsid w:val="00F61730"/>
    <w:rsid w:val="00F639C4"/>
    <w:rsid w:val="00F65DC4"/>
    <w:rsid w:val="00F65FFC"/>
    <w:rsid w:val="00F67E05"/>
    <w:rsid w:val="00F70473"/>
    <w:rsid w:val="00F71230"/>
    <w:rsid w:val="00F713A9"/>
    <w:rsid w:val="00F71C82"/>
    <w:rsid w:val="00F75680"/>
    <w:rsid w:val="00F75BB9"/>
    <w:rsid w:val="00F76C08"/>
    <w:rsid w:val="00F81DFB"/>
    <w:rsid w:val="00F83061"/>
    <w:rsid w:val="00F841FB"/>
    <w:rsid w:val="00F84727"/>
    <w:rsid w:val="00F867DE"/>
    <w:rsid w:val="00F87012"/>
    <w:rsid w:val="00F879EC"/>
    <w:rsid w:val="00F92236"/>
    <w:rsid w:val="00F927AC"/>
    <w:rsid w:val="00F9292D"/>
    <w:rsid w:val="00F930F7"/>
    <w:rsid w:val="00F950D5"/>
    <w:rsid w:val="00F959AB"/>
    <w:rsid w:val="00FA06AE"/>
    <w:rsid w:val="00FA2802"/>
    <w:rsid w:val="00FA3901"/>
    <w:rsid w:val="00FA4C03"/>
    <w:rsid w:val="00FB17FA"/>
    <w:rsid w:val="00FB2A83"/>
    <w:rsid w:val="00FB2D15"/>
    <w:rsid w:val="00FB3194"/>
    <w:rsid w:val="00FB3F76"/>
    <w:rsid w:val="00FB6C03"/>
    <w:rsid w:val="00FB6E68"/>
    <w:rsid w:val="00FB7B41"/>
    <w:rsid w:val="00FC2498"/>
    <w:rsid w:val="00FC32EB"/>
    <w:rsid w:val="00FC40FA"/>
    <w:rsid w:val="00FC60F7"/>
    <w:rsid w:val="00FC7E6A"/>
    <w:rsid w:val="00FC7E88"/>
    <w:rsid w:val="00FD1065"/>
    <w:rsid w:val="00FD2041"/>
    <w:rsid w:val="00FD2D46"/>
    <w:rsid w:val="00FD4CAA"/>
    <w:rsid w:val="00FD5958"/>
    <w:rsid w:val="00FD59F6"/>
    <w:rsid w:val="00FD5EC8"/>
    <w:rsid w:val="00FD60EF"/>
    <w:rsid w:val="00FE10A4"/>
    <w:rsid w:val="00FE2333"/>
    <w:rsid w:val="00FE3737"/>
    <w:rsid w:val="00FE3F69"/>
    <w:rsid w:val="00FE42C2"/>
    <w:rsid w:val="00FE6578"/>
    <w:rsid w:val="00FE6A80"/>
    <w:rsid w:val="00FE6DD9"/>
    <w:rsid w:val="00FF056E"/>
    <w:rsid w:val="00FF0911"/>
    <w:rsid w:val="00FF2D14"/>
    <w:rsid w:val="00FF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76EDFB5-56C5-415E-96F9-6E8DAF88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091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A8359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A8359E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A8359E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693"/>
    <w:pPr>
      <w:keepNext/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A8359E"/>
    <w:pPr>
      <w:tabs>
        <w:tab w:val="right" w:leader="hyphen" w:pos="8490"/>
      </w:tabs>
      <w:ind w:leftChars="0" w:left="487" w:hangingChars="200" w:hanging="487"/>
    </w:pPr>
    <w:rPr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7013A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  <w:szCs w:val="24"/>
    </w:rPr>
  </w:style>
  <w:style w:type="character" w:customStyle="1" w:styleId="af">
    <w:name w:val="頁首 字元"/>
    <w:link w:val="ae"/>
    <w:rsid w:val="005C6767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7B426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230">
    <w:name w:val="1.2.3. 字元"/>
    <w:link w:val="123"/>
    <w:rsid w:val="007B4265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7B4265"/>
    <w:pPr>
      <w:ind w:leftChars="400" w:left="960"/>
    </w:pPr>
  </w:style>
  <w:style w:type="paragraph" w:styleId="41">
    <w:name w:val="toc 4"/>
    <w:basedOn w:val="a"/>
    <w:next w:val="a"/>
    <w:autoRedefine/>
    <w:semiHidden/>
    <w:rsid w:val="007B4265"/>
    <w:pPr>
      <w:ind w:leftChars="600" w:left="1440"/>
    </w:pPr>
  </w:style>
  <w:style w:type="paragraph" w:styleId="5">
    <w:name w:val="toc 5"/>
    <w:basedOn w:val="a"/>
    <w:next w:val="a"/>
    <w:autoRedefine/>
    <w:semiHidden/>
    <w:rsid w:val="007B4265"/>
    <w:pPr>
      <w:ind w:leftChars="800" w:left="1920"/>
    </w:pPr>
  </w:style>
  <w:style w:type="paragraph" w:styleId="6">
    <w:name w:val="toc 6"/>
    <w:basedOn w:val="a"/>
    <w:next w:val="a"/>
    <w:autoRedefine/>
    <w:semiHidden/>
    <w:rsid w:val="007B4265"/>
    <w:pPr>
      <w:ind w:leftChars="1000" w:left="2400"/>
    </w:pPr>
  </w:style>
  <w:style w:type="paragraph" w:styleId="7">
    <w:name w:val="toc 7"/>
    <w:basedOn w:val="a"/>
    <w:next w:val="a"/>
    <w:autoRedefine/>
    <w:semiHidden/>
    <w:rsid w:val="007B4265"/>
    <w:pPr>
      <w:ind w:leftChars="1200" w:left="2880"/>
    </w:pPr>
  </w:style>
  <w:style w:type="paragraph" w:styleId="8">
    <w:name w:val="toc 8"/>
    <w:basedOn w:val="a"/>
    <w:next w:val="a"/>
    <w:autoRedefine/>
    <w:semiHidden/>
    <w:rsid w:val="007B4265"/>
    <w:pPr>
      <w:ind w:leftChars="1400" w:left="3360"/>
    </w:pPr>
  </w:style>
  <w:style w:type="paragraph" w:styleId="9">
    <w:name w:val="toc 9"/>
    <w:basedOn w:val="a"/>
    <w:next w:val="a"/>
    <w:autoRedefine/>
    <w:semiHidden/>
    <w:rsid w:val="007B4265"/>
    <w:pPr>
      <w:ind w:leftChars="1600" w:left="3840"/>
    </w:pPr>
  </w:style>
  <w:style w:type="paragraph" w:styleId="af2">
    <w:name w:val="Balloon Text"/>
    <w:basedOn w:val="a"/>
    <w:link w:val="af3"/>
    <w:semiHidden/>
    <w:rsid w:val="007B4265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semiHidden/>
    <w:rsid w:val="007B4265"/>
    <w:rPr>
      <w:rFonts w:ascii="Arial" w:hAnsi="Arial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7B426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7B4265"/>
    <w:rPr>
      <w:color w:val="0000FF"/>
      <w:u w:val="single"/>
    </w:rPr>
  </w:style>
  <w:style w:type="character" w:customStyle="1" w:styleId="af6">
    <w:name w:val="(一)(二)(三) 字元 字元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 字元 字元 字元 字元 字元 字元 字元 字元 字元 字元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8">
    <w:name w:val="page number"/>
    <w:rsid w:val="007B4265"/>
  </w:style>
  <w:style w:type="paragraph" w:customStyle="1" w:styleId="24">
    <w:name w:val="字元 字元2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c">
    <w:name w:val="姓名及分機 字元"/>
    <w:link w:val="ab"/>
    <w:rsid w:val="007B4265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字元 字元"/>
    <w:basedOn w:val="a"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nhideWhenUsed/>
    <w:rsid w:val="007B4265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rsid w:val="007B4265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"/>
    <w:uiPriority w:val="99"/>
    <w:unhideWhenUsed/>
    <w:rsid w:val="007B4265"/>
    <w:rPr>
      <w:vertAlign w:val="superscript"/>
    </w:rPr>
  </w:style>
  <w:style w:type="character" w:customStyle="1" w:styleId="25">
    <w:name w:val="(一)(二)(三) 字元2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2">
    <w:name w:val="字元 字元4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7B4265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標題 1 字元"/>
    <w:link w:val="1"/>
    <w:rsid w:val="00A8359E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A8359E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A8359E"/>
    <w:rPr>
      <w:rFonts w:ascii="Arial" w:hAnsi="Arial"/>
      <w:b/>
      <w:bCs/>
      <w:snapToGrid w:val="0"/>
      <w:kern w:val="2"/>
      <w:sz w:val="36"/>
      <w:szCs w:val="36"/>
    </w:rPr>
  </w:style>
  <w:style w:type="character" w:styleId="afd">
    <w:name w:val="line number"/>
    <w:rsid w:val="00A8359E"/>
  </w:style>
  <w:style w:type="paragraph" w:styleId="afe">
    <w:name w:val="Body Text"/>
    <w:basedOn w:val="a"/>
    <w:link w:val="aff"/>
    <w:rsid w:val="00A8359E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f">
    <w:name w:val="本文 字元"/>
    <w:link w:val="afe"/>
    <w:rsid w:val="00A8359E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A835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A8359E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A8359E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3">
    <w:name w:val="字元 字元1"/>
    <w:basedOn w:val="a"/>
    <w:rsid w:val="00A8359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A835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customStyle="1" w:styleId="15">
    <w:name w:val="表格格線1"/>
    <w:basedOn w:val="a1"/>
    <w:next w:val="af4"/>
    <w:uiPriority w:val="59"/>
    <w:rsid w:val="00A83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4"/>
    <w:uiPriority w:val="59"/>
    <w:rsid w:val="000F0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字元"/>
    <w:basedOn w:val="a"/>
    <w:semiHidden/>
    <w:rsid w:val="003A448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1">
    <w:name w:val="No Spacing"/>
    <w:link w:val="aff2"/>
    <w:uiPriority w:val="1"/>
    <w:qFormat/>
    <w:rsid w:val="0070376C"/>
    <w:rPr>
      <w:rFonts w:ascii="Calibri" w:hAnsi="Calibri"/>
      <w:sz w:val="22"/>
      <w:szCs w:val="22"/>
    </w:rPr>
  </w:style>
  <w:style w:type="character" w:customStyle="1" w:styleId="aff2">
    <w:name w:val="無間距 字元"/>
    <w:link w:val="aff1"/>
    <w:uiPriority w:val="1"/>
    <w:rsid w:val="0070376C"/>
    <w:rPr>
      <w:rFonts w:ascii="Calibri" w:hAnsi="Calibri"/>
      <w:sz w:val="22"/>
      <w:szCs w:val="22"/>
    </w:rPr>
  </w:style>
  <w:style w:type="paragraph" w:customStyle="1" w:styleId="147">
    <w:name w:val="註腳(表格內文14行高左右齊)"/>
    <w:basedOn w:val="142"/>
    <w:qFormat/>
    <w:rsid w:val="00904607"/>
    <w:pPr>
      <w:wordWrap w:val="0"/>
      <w:ind w:leftChars="-15" w:left="153" w:hangingChars="80" w:hanging="195"/>
      <w:jc w:val="both"/>
    </w:pPr>
  </w:style>
  <w:style w:type="character" w:styleId="aff3">
    <w:name w:val="Emphasis"/>
    <w:uiPriority w:val="20"/>
    <w:qFormat/>
    <w:rsid w:val="008A48DF"/>
    <w:rPr>
      <w:i/>
      <w:iCs/>
    </w:rPr>
  </w:style>
  <w:style w:type="character" w:customStyle="1" w:styleId="40">
    <w:name w:val="標題 4 字元"/>
    <w:basedOn w:val="a0"/>
    <w:link w:val="4"/>
    <w:uiPriority w:val="9"/>
    <w:semiHidden/>
    <w:rsid w:val="00754693"/>
    <w:rPr>
      <w:rFonts w:asciiTheme="majorHAnsi" w:eastAsiaTheme="majorEastAsia" w:hAnsiTheme="majorHAnsi" w:cstheme="majorBidi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DE319-A865-41CD-9211-EB3DD6DC8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Links>
    <vt:vector size="30" baseType="variant">
      <vt:variant>
        <vt:i4>1310776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_Toc149738380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_Toc149738379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_Toc149738378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_Toc149738377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_Toc149738376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2024-11-19T01:47:00Z</dcterms:created>
  <dcterms:modified xsi:type="dcterms:W3CDTF">2024-11-19T01:47:00Z</dcterms:modified>
</cp:coreProperties>
</file>