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76C" w:rsidRPr="00E10844" w:rsidRDefault="0070376C" w:rsidP="0070376C">
      <w:pPr>
        <w:ind w:leftChars="0" w:left="0" w:firstLineChars="0" w:firstLine="0"/>
        <w:rPr>
          <w:rFonts w:hAnsi="標楷體"/>
          <w:b/>
          <w:sz w:val="36"/>
          <w:szCs w:val="36"/>
        </w:rPr>
      </w:pPr>
      <w:bookmarkStart w:id="0" w:name="_GoBack"/>
      <w:bookmarkEnd w:id="0"/>
      <w:r w:rsidRPr="00E10844">
        <w:rPr>
          <w:rFonts w:hAnsi="標楷體"/>
          <w:b/>
          <w:sz w:val="36"/>
          <w:szCs w:val="36"/>
        </w:rPr>
        <w:t>臺銀綜合證券股份有限公司</w:t>
      </w:r>
      <w:r w:rsidR="00904607" w:rsidRPr="00E10844">
        <w:rPr>
          <w:rFonts w:hAnsi="標楷體"/>
          <w:b/>
          <w:sz w:val="36"/>
          <w:szCs w:val="36"/>
        </w:rPr>
        <w:t>11</w:t>
      </w:r>
      <w:r w:rsidR="00E12FDF">
        <w:rPr>
          <w:rFonts w:hAnsi="標楷體" w:hint="eastAsia"/>
          <w:b/>
          <w:sz w:val="36"/>
          <w:szCs w:val="36"/>
        </w:rPr>
        <w:t>4</w:t>
      </w:r>
      <w:r w:rsidR="00904607" w:rsidRPr="00E10844">
        <w:rPr>
          <w:rFonts w:hAnsi="標楷體"/>
          <w:b/>
          <w:sz w:val="36"/>
          <w:szCs w:val="36"/>
        </w:rPr>
        <w:t>年度</w:t>
      </w:r>
      <w:r w:rsidRPr="00E10844">
        <w:rPr>
          <w:rFonts w:hAnsi="標楷體"/>
          <w:b/>
          <w:sz w:val="36"/>
          <w:szCs w:val="36"/>
        </w:rPr>
        <w:t>營業預算評估報告</w:t>
      </w:r>
    </w:p>
    <w:p w:rsidR="00AE0C91" w:rsidRPr="00E10844" w:rsidRDefault="00AE0C91" w:rsidP="00AE0C91">
      <w:pPr>
        <w:adjustRightInd w:val="0"/>
        <w:ind w:leftChars="0" w:left="0" w:firstLine="560"/>
        <w:rPr>
          <w:rFonts w:hAnsi="標楷體"/>
          <w:kern w:val="0"/>
        </w:rPr>
      </w:pPr>
      <w:bookmarkStart w:id="1" w:name="_Toc103066466"/>
      <w:r w:rsidRPr="00E10844">
        <w:rPr>
          <w:rFonts w:hAnsi="標楷體"/>
        </w:rPr>
        <w:t>臺銀綜合證券股份有限公司(</w:t>
      </w:r>
      <w:r w:rsidR="004F6906" w:rsidRPr="00E10844">
        <w:rPr>
          <w:rFonts w:hAnsi="標楷體"/>
        </w:rPr>
        <w:t>下稱臺銀證券</w:t>
      </w:r>
      <w:r w:rsidRPr="00E10844">
        <w:rPr>
          <w:rFonts w:hAnsi="標楷體"/>
        </w:rPr>
        <w:t>)前身為臺灣銀行信託部，配合89年7月公布施行之信託業法，臺灣銀行另籌設證券部，於91年1月正式</w:t>
      </w:r>
      <w:r w:rsidR="009E5E01" w:rsidRPr="00E10844">
        <w:rPr>
          <w:rFonts w:hAnsi="標楷體"/>
        </w:rPr>
        <w:t>營運</w:t>
      </w:r>
      <w:r w:rsidRPr="00E10844">
        <w:rPr>
          <w:rFonts w:hAnsi="標楷體"/>
        </w:rPr>
        <w:t>，經營證券經紀</w:t>
      </w:r>
      <w:r w:rsidR="00A1392D">
        <w:rPr>
          <w:rFonts w:hAnsi="標楷體" w:hint="eastAsia"/>
        </w:rPr>
        <w:t>(</w:t>
      </w:r>
      <w:r w:rsidRPr="00E10844">
        <w:rPr>
          <w:rFonts w:hAnsi="標楷體"/>
        </w:rPr>
        <w:t>含自辦資券</w:t>
      </w:r>
      <w:r w:rsidR="00A1392D">
        <w:rPr>
          <w:rFonts w:hAnsi="標楷體" w:hint="eastAsia"/>
        </w:rPr>
        <w:t>)</w:t>
      </w:r>
      <w:r w:rsidRPr="00E10844">
        <w:rPr>
          <w:rFonts w:hAnsi="標楷體"/>
        </w:rPr>
        <w:t>、自行買賣政府債券及承銷有價證券等業務。臺灣銀行與中央信託局於96年7月合併，兩行局證券業務皆為兼營，97</w:t>
      </w:r>
      <w:r w:rsidRPr="00E10844">
        <w:rPr>
          <w:rFonts w:hAnsi="標楷體"/>
          <w:kern w:val="0"/>
        </w:rPr>
        <w:t>年1月1日臺灣金控成立後，臺灣銀行證券部門於97年1月2日正式分割成立</w:t>
      </w:r>
      <w:r w:rsidR="004F6906" w:rsidRPr="00E10844">
        <w:rPr>
          <w:rFonts w:hAnsi="標楷體"/>
          <w:kern w:val="0"/>
        </w:rPr>
        <w:t>臺銀證券</w:t>
      </w:r>
      <w:r w:rsidRPr="00E10844">
        <w:rPr>
          <w:rFonts w:hAnsi="標楷體"/>
          <w:kern w:val="0"/>
        </w:rPr>
        <w:t>。</w:t>
      </w:r>
    </w:p>
    <w:p w:rsidR="00AE0C91" w:rsidRPr="00E10844" w:rsidRDefault="004F6906" w:rsidP="00AE0C91">
      <w:pPr>
        <w:adjustRightInd w:val="0"/>
        <w:ind w:leftChars="0" w:left="0" w:firstLine="560"/>
        <w:rPr>
          <w:rFonts w:hAnsi="標楷體"/>
        </w:rPr>
      </w:pPr>
      <w:r w:rsidRPr="00E10844">
        <w:rPr>
          <w:rFonts w:hAnsi="標楷體"/>
        </w:rPr>
        <w:t>臺銀證券</w:t>
      </w:r>
      <w:r w:rsidR="003E62F8">
        <w:rPr>
          <w:rFonts w:hAnsi="標楷體"/>
        </w:rPr>
        <w:t>11</w:t>
      </w:r>
      <w:r w:rsidR="00E12FDF">
        <w:rPr>
          <w:rFonts w:hAnsi="標楷體" w:hint="eastAsia"/>
        </w:rPr>
        <w:t>4</w:t>
      </w:r>
      <w:r w:rsidR="00904607" w:rsidRPr="00E10844">
        <w:rPr>
          <w:rFonts w:hAnsi="標楷體"/>
        </w:rPr>
        <w:t>年度</w:t>
      </w:r>
      <w:r w:rsidR="00AE0C91" w:rsidRPr="00E10844">
        <w:rPr>
          <w:rFonts w:hAnsi="標楷體"/>
        </w:rPr>
        <w:t>營業收支預算編列如下：營業收入</w:t>
      </w:r>
      <w:r w:rsidR="00E12FDF">
        <w:rPr>
          <w:rFonts w:hAnsi="標楷體" w:hint="eastAsia"/>
        </w:rPr>
        <w:t>10</w:t>
      </w:r>
      <w:r w:rsidR="00AE0C91" w:rsidRPr="00E10844">
        <w:rPr>
          <w:rFonts w:hAnsi="標楷體"/>
        </w:rPr>
        <w:t>億</w:t>
      </w:r>
      <w:r w:rsidR="00E12FDF">
        <w:rPr>
          <w:rFonts w:hAnsi="標楷體" w:hint="eastAsia"/>
        </w:rPr>
        <w:t>2</w:t>
      </w:r>
      <w:r w:rsidR="00A42E4C" w:rsidRPr="00E10844">
        <w:rPr>
          <w:rFonts w:hAnsi="標楷體"/>
        </w:rPr>
        <w:t>,</w:t>
      </w:r>
      <w:r w:rsidR="00E12FDF">
        <w:rPr>
          <w:rFonts w:hAnsi="標楷體" w:hint="eastAsia"/>
        </w:rPr>
        <w:t>088</w:t>
      </w:r>
      <w:r w:rsidR="00AE0C91" w:rsidRPr="00E10844">
        <w:rPr>
          <w:rFonts w:hAnsi="標楷體"/>
        </w:rPr>
        <w:t>萬</w:t>
      </w:r>
      <w:r w:rsidR="00E12FDF">
        <w:rPr>
          <w:rFonts w:hAnsi="標楷體" w:hint="eastAsia"/>
        </w:rPr>
        <w:t>5</w:t>
      </w:r>
      <w:r w:rsidR="00AE0C91" w:rsidRPr="00E10844">
        <w:rPr>
          <w:rFonts w:hAnsi="標楷體"/>
        </w:rPr>
        <w:t>千元，營業成本</w:t>
      </w:r>
      <w:r w:rsidR="00611702">
        <w:rPr>
          <w:rFonts w:hAnsi="標楷體" w:hint="eastAsia"/>
        </w:rPr>
        <w:t>3</w:t>
      </w:r>
      <w:r w:rsidR="00AE0C91" w:rsidRPr="00E10844">
        <w:rPr>
          <w:rFonts w:hAnsi="標楷體"/>
        </w:rPr>
        <w:t>億</w:t>
      </w:r>
      <w:r w:rsidR="00E12FDF">
        <w:rPr>
          <w:rFonts w:hAnsi="標楷體" w:hint="eastAsia"/>
        </w:rPr>
        <w:t>3</w:t>
      </w:r>
      <w:r w:rsidR="00A42E4C" w:rsidRPr="00E10844">
        <w:rPr>
          <w:rFonts w:hAnsi="標楷體"/>
        </w:rPr>
        <w:t>,</w:t>
      </w:r>
      <w:r w:rsidR="00E12FDF">
        <w:rPr>
          <w:rFonts w:hAnsi="標楷體" w:hint="eastAsia"/>
        </w:rPr>
        <w:t>041</w:t>
      </w:r>
      <w:r w:rsidR="00AE0C91" w:rsidRPr="00E10844">
        <w:rPr>
          <w:rFonts w:hAnsi="標楷體"/>
        </w:rPr>
        <w:t>萬元，營業費用</w:t>
      </w:r>
      <w:r w:rsidR="004151E1" w:rsidRPr="00E10844">
        <w:rPr>
          <w:rFonts w:hAnsi="標楷體"/>
        </w:rPr>
        <w:t>3</w:t>
      </w:r>
      <w:r w:rsidR="00AE0C91" w:rsidRPr="00E10844">
        <w:rPr>
          <w:rFonts w:hAnsi="標楷體"/>
        </w:rPr>
        <w:t>億</w:t>
      </w:r>
      <w:r w:rsidR="00E12FDF">
        <w:rPr>
          <w:rFonts w:hAnsi="標楷體" w:hint="eastAsia"/>
        </w:rPr>
        <w:t>6</w:t>
      </w:r>
      <w:r w:rsidR="00A42E4C" w:rsidRPr="00E10844">
        <w:rPr>
          <w:rFonts w:hAnsi="標楷體"/>
        </w:rPr>
        <w:t>,</w:t>
      </w:r>
      <w:r w:rsidR="00611702">
        <w:rPr>
          <w:rFonts w:hAnsi="標楷體" w:hint="eastAsia"/>
        </w:rPr>
        <w:t>7</w:t>
      </w:r>
      <w:r w:rsidR="00E12FDF">
        <w:rPr>
          <w:rFonts w:hAnsi="標楷體" w:hint="eastAsia"/>
        </w:rPr>
        <w:t>55</w:t>
      </w:r>
      <w:r w:rsidR="00AE0C91" w:rsidRPr="00E10844">
        <w:rPr>
          <w:rFonts w:hAnsi="標楷體"/>
        </w:rPr>
        <w:t>萬</w:t>
      </w:r>
      <w:r w:rsidR="00E12FDF">
        <w:rPr>
          <w:rFonts w:hAnsi="標楷體" w:hint="eastAsia"/>
        </w:rPr>
        <w:t>8</w:t>
      </w:r>
      <w:r w:rsidR="002714EE" w:rsidRPr="00E10844">
        <w:rPr>
          <w:rFonts w:hAnsi="標楷體"/>
        </w:rPr>
        <w:t>千</w:t>
      </w:r>
      <w:r w:rsidR="00AE0C91" w:rsidRPr="00E10844">
        <w:rPr>
          <w:rFonts w:hAnsi="標楷體"/>
        </w:rPr>
        <w:t>元，營業外收入</w:t>
      </w:r>
      <w:r w:rsidR="00A42E4C" w:rsidRPr="00E10844">
        <w:rPr>
          <w:rFonts w:hAnsi="標楷體"/>
        </w:rPr>
        <w:t>1,</w:t>
      </w:r>
      <w:r w:rsidR="00611702">
        <w:rPr>
          <w:rFonts w:hAnsi="標楷體" w:hint="eastAsia"/>
        </w:rPr>
        <w:t>5</w:t>
      </w:r>
      <w:r w:rsidR="00E12FDF">
        <w:rPr>
          <w:rFonts w:hAnsi="標楷體" w:hint="eastAsia"/>
        </w:rPr>
        <w:t>65</w:t>
      </w:r>
      <w:r w:rsidR="00AE0C91" w:rsidRPr="00E10844">
        <w:rPr>
          <w:rFonts w:hAnsi="標楷體"/>
        </w:rPr>
        <w:t>萬</w:t>
      </w:r>
      <w:r w:rsidR="00E12FDF">
        <w:rPr>
          <w:rFonts w:hAnsi="標楷體" w:hint="eastAsia"/>
        </w:rPr>
        <w:t>5</w:t>
      </w:r>
      <w:r w:rsidR="00574D17" w:rsidRPr="00E10844">
        <w:rPr>
          <w:rFonts w:hAnsi="標楷體"/>
        </w:rPr>
        <w:t>千</w:t>
      </w:r>
      <w:r w:rsidR="00AE0C91" w:rsidRPr="00E10844">
        <w:rPr>
          <w:rFonts w:hAnsi="標楷體"/>
        </w:rPr>
        <w:t>元，營業外費用</w:t>
      </w:r>
      <w:r w:rsidR="00E12FDF">
        <w:rPr>
          <w:rFonts w:hAnsi="標楷體" w:hint="eastAsia"/>
        </w:rPr>
        <w:t>4</w:t>
      </w:r>
      <w:r w:rsidR="00A42E4C" w:rsidRPr="00E10844">
        <w:rPr>
          <w:rFonts w:hAnsi="標楷體"/>
        </w:rPr>
        <w:t>,</w:t>
      </w:r>
      <w:r w:rsidR="00E12FDF">
        <w:rPr>
          <w:rFonts w:hAnsi="標楷體" w:hint="eastAsia"/>
        </w:rPr>
        <w:t>805</w:t>
      </w:r>
      <w:r w:rsidR="004151E1" w:rsidRPr="00E10844">
        <w:rPr>
          <w:rFonts w:hAnsi="標楷體"/>
        </w:rPr>
        <w:t>萬元</w:t>
      </w:r>
      <w:r w:rsidR="00AE0C91" w:rsidRPr="00E10844">
        <w:rPr>
          <w:rFonts w:hAnsi="標楷體"/>
        </w:rPr>
        <w:t>及所得稅費用</w:t>
      </w:r>
      <w:r w:rsidR="00E12FDF">
        <w:rPr>
          <w:rFonts w:hAnsi="標楷體" w:hint="eastAsia"/>
        </w:rPr>
        <w:t>4</w:t>
      </w:r>
      <w:r w:rsidR="00A42E4C" w:rsidRPr="00E10844">
        <w:rPr>
          <w:rFonts w:hAnsi="標楷體"/>
        </w:rPr>
        <w:t>,</w:t>
      </w:r>
      <w:r w:rsidR="00611702">
        <w:rPr>
          <w:rFonts w:hAnsi="標楷體" w:hint="eastAsia"/>
        </w:rPr>
        <w:t>63</w:t>
      </w:r>
      <w:r w:rsidR="00E12FDF">
        <w:rPr>
          <w:rFonts w:hAnsi="標楷體" w:hint="eastAsia"/>
        </w:rPr>
        <w:t>3</w:t>
      </w:r>
      <w:r w:rsidR="00AE0C91" w:rsidRPr="00E10844">
        <w:rPr>
          <w:rFonts w:hAnsi="標楷體"/>
        </w:rPr>
        <w:t>萬</w:t>
      </w:r>
      <w:r w:rsidR="00E12FDF">
        <w:rPr>
          <w:rFonts w:hAnsi="標楷體" w:hint="eastAsia"/>
        </w:rPr>
        <w:t>9</w:t>
      </w:r>
      <w:r w:rsidR="00AE0C91" w:rsidRPr="00E10844">
        <w:rPr>
          <w:rFonts w:hAnsi="標楷體"/>
        </w:rPr>
        <w:t>千元，</w:t>
      </w:r>
      <w:r w:rsidR="00B465DF">
        <w:rPr>
          <w:rFonts w:hAnsi="標楷體" w:hint="eastAsia"/>
        </w:rPr>
        <w:t>收支相抵後</w:t>
      </w:r>
      <w:r w:rsidR="00AE0C91" w:rsidRPr="00E10844">
        <w:rPr>
          <w:rFonts w:hAnsi="標楷體"/>
        </w:rPr>
        <w:t>本期</w:t>
      </w:r>
      <w:r w:rsidR="009E5E01" w:rsidRPr="00E10844">
        <w:rPr>
          <w:rFonts w:hAnsi="標楷體"/>
        </w:rPr>
        <w:t>稅後</w:t>
      </w:r>
      <w:r w:rsidR="00AE0C91" w:rsidRPr="00E10844">
        <w:rPr>
          <w:rFonts w:hAnsi="標楷體"/>
        </w:rPr>
        <w:t>淨利</w:t>
      </w:r>
      <w:r w:rsidR="00611702">
        <w:rPr>
          <w:rFonts w:hAnsi="標楷體" w:hint="eastAsia"/>
        </w:rPr>
        <w:t>2</w:t>
      </w:r>
      <w:r w:rsidR="00AE0C91" w:rsidRPr="00E10844">
        <w:rPr>
          <w:rFonts w:hAnsi="標楷體"/>
        </w:rPr>
        <w:t>億</w:t>
      </w:r>
      <w:r w:rsidR="00E12FDF">
        <w:rPr>
          <w:rFonts w:hAnsi="標楷體" w:hint="eastAsia"/>
        </w:rPr>
        <w:t>4</w:t>
      </w:r>
      <w:r w:rsidR="00E12FDF">
        <w:rPr>
          <w:rFonts w:hAnsi="標楷體"/>
        </w:rPr>
        <w:t>,418</w:t>
      </w:r>
      <w:r w:rsidR="00AE0C91" w:rsidRPr="00E10844">
        <w:rPr>
          <w:rFonts w:hAnsi="標楷體"/>
        </w:rPr>
        <w:t>萬</w:t>
      </w:r>
      <w:r w:rsidR="00E12FDF">
        <w:rPr>
          <w:rFonts w:hAnsi="標楷體"/>
        </w:rPr>
        <w:t>3</w:t>
      </w:r>
      <w:r w:rsidR="00AE0C91" w:rsidRPr="00E10844">
        <w:rPr>
          <w:rFonts w:hAnsi="標楷體"/>
        </w:rPr>
        <w:t>千元。茲就</w:t>
      </w:r>
      <w:r w:rsidR="00904607" w:rsidRPr="00E10844">
        <w:rPr>
          <w:rFonts w:hAnsi="標楷體"/>
        </w:rPr>
        <w:t>11</w:t>
      </w:r>
      <w:r w:rsidR="00E12FDF">
        <w:rPr>
          <w:rFonts w:hAnsi="標楷體"/>
        </w:rPr>
        <w:t>4</w:t>
      </w:r>
      <w:r w:rsidR="00904607" w:rsidRPr="00E10844">
        <w:rPr>
          <w:rFonts w:hAnsi="標楷體"/>
        </w:rPr>
        <w:t>年度</w:t>
      </w:r>
      <w:r w:rsidR="007C0ADB" w:rsidRPr="00E10844">
        <w:rPr>
          <w:rFonts w:hAnsi="標楷體"/>
        </w:rPr>
        <w:t>該</w:t>
      </w:r>
      <w:r w:rsidR="00AE0C91" w:rsidRPr="00E10844">
        <w:rPr>
          <w:rFonts w:hAnsi="標楷體"/>
        </w:rPr>
        <w:t>公司營業</w:t>
      </w:r>
      <w:r w:rsidR="00A1392D" w:rsidRPr="00C96B69">
        <w:rPr>
          <w:rFonts w:hint="eastAsia"/>
        </w:rPr>
        <w:t>預算案評估如下</w:t>
      </w:r>
      <w:r w:rsidR="00AE0C91" w:rsidRPr="00E10844">
        <w:rPr>
          <w:rFonts w:hAnsi="標楷體"/>
        </w:rPr>
        <w:t>：</w:t>
      </w:r>
    </w:p>
    <w:p w:rsidR="00B169E5" w:rsidRPr="006A3BB0" w:rsidRDefault="00AD75D7" w:rsidP="00E44F71">
      <w:pPr>
        <w:pStyle w:val="14"/>
        <w:ind w:left="561" w:hanging="561"/>
        <w:rPr>
          <w:rFonts w:hAnsi="標楷體"/>
        </w:rPr>
      </w:pPr>
      <w:bookmarkStart w:id="2" w:name="_Toc215371195"/>
      <w:bookmarkStart w:id="3" w:name="_Toc306953461"/>
      <w:bookmarkStart w:id="4" w:name="_Toc181900906"/>
      <w:bookmarkEnd w:id="1"/>
      <w:r>
        <w:rPr>
          <w:rFonts w:hAnsi="標楷體" w:hint="eastAsia"/>
        </w:rPr>
        <w:t>四、</w:t>
      </w:r>
      <w:r w:rsidR="006D0F70" w:rsidRPr="006D0F70">
        <w:rPr>
          <w:rFonts w:hAnsi="標楷體" w:hint="eastAsia"/>
        </w:rPr>
        <w:t>未入選證交所評比之11</w:t>
      </w:r>
      <w:r w:rsidR="006D0F70">
        <w:rPr>
          <w:rFonts w:hAnsi="標楷體" w:hint="eastAsia"/>
        </w:rPr>
        <w:t>2</w:t>
      </w:r>
      <w:r w:rsidR="006D0F70" w:rsidRPr="006D0F70">
        <w:rPr>
          <w:rFonts w:hAnsi="標楷體" w:hint="eastAsia"/>
        </w:rPr>
        <w:t>年機構投資人盡職治理資訊揭露較佳名單，允宜配合</w:t>
      </w:r>
      <w:r w:rsidR="009E7591">
        <w:rPr>
          <w:rFonts w:hAnsi="標楷體" w:hint="eastAsia"/>
        </w:rPr>
        <w:t>主辦機關</w:t>
      </w:r>
      <w:r w:rsidR="006D0F70" w:rsidRPr="006D0F70">
        <w:rPr>
          <w:rFonts w:hAnsi="標楷體" w:hint="eastAsia"/>
        </w:rPr>
        <w:t>113年修正</w:t>
      </w:r>
      <w:r w:rsidR="009E7591">
        <w:rPr>
          <w:rFonts w:hAnsi="標楷體" w:hint="eastAsia"/>
        </w:rPr>
        <w:t>之評比</w:t>
      </w:r>
      <w:r w:rsidR="006D0F70" w:rsidRPr="006D0F70">
        <w:rPr>
          <w:rFonts w:hAnsi="標楷體" w:hint="eastAsia"/>
        </w:rPr>
        <w:t>標準檢討改善，以提升相關資訊揭露品質</w:t>
      </w:r>
      <w:bookmarkEnd w:id="4"/>
    </w:p>
    <w:p w:rsidR="00610757" w:rsidRDefault="00610757" w:rsidP="00D27D34">
      <w:pPr>
        <w:ind w:left="560" w:firstLine="560"/>
        <w:rPr>
          <w:rFonts w:hAnsi="標楷體"/>
        </w:rPr>
      </w:pPr>
      <w:r w:rsidRPr="00E10844">
        <w:rPr>
          <w:rFonts w:hAnsi="標楷體"/>
        </w:rPr>
        <w:t>臺銀證券</w:t>
      </w:r>
      <w:r>
        <w:rPr>
          <w:rFonts w:hAnsi="標楷體"/>
        </w:rPr>
        <w:t>11</w:t>
      </w:r>
      <w:r>
        <w:rPr>
          <w:rFonts w:hAnsi="標楷體" w:hint="eastAsia"/>
        </w:rPr>
        <w:t>4</w:t>
      </w:r>
      <w:r w:rsidRPr="00E10844">
        <w:rPr>
          <w:rFonts w:hAnsi="標楷體"/>
        </w:rPr>
        <w:t>年度預算案於</w:t>
      </w:r>
      <w:r>
        <w:rPr>
          <w:rFonts w:hAnsi="標楷體" w:hint="eastAsia"/>
        </w:rPr>
        <w:t>「</w:t>
      </w:r>
      <w:r>
        <w:rPr>
          <w:rFonts w:hAnsi="標楷體"/>
        </w:rPr>
        <w:t>營業</w:t>
      </w:r>
      <w:r>
        <w:rPr>
          <w:rFonts w:hAnsi="標楷體" w:hint="eastAsia"/>
        </w:rPr>
        <w:t>成本-</w:t>
      </w:r>
      <w:r w:rsidRPr="00E10844">
        <w:rPr>
          <w:rFonts w:hAnsi="標楷體"/>
        </w:rPr>
        <w:t>金融保險</w:t>
      </w:r>
      <w:r>
        <w:rPr>
          <w:rFonts w:hAnsi="標楷體" w:hint="eastAsia"/>
        </w:rPr>
        <w:t>成本」</w:t>
      </w:r>
      <w:r w:rsidRPr="00E10844">
        <w:rPr>
          <w:rFonts w:hAnsi="標楷體"/>
        </w:rPr>
        <w:t>項下編列「證券</w:t>
      </w:r>
      <w:r>
        <w:rPr>
          <w:rFonts w:hAnsi="標楷體" w:hint="eastAsia"/>
        </w:rPr>
        <w:t>自營費用</w:t>
      </w:r>
      <w:r w:rsidRPr="00E10844">
        <w:rPr>
          <w:rFonts w:hAnsi="標楷體"/>
        </w:rPr>
        <w:t>」</w:t>
      </w:r>
      <w:r>
        <w:rPr>
          <w:rFonts w:hAnsi="標楷體" w:hint="eastAsia"/>
        </w:rPr>
        <w:t>731</w:t>
      </w:r>
      <w:r w:rsidRPr="00E10844">
        <w:rPr>
          <w:rFonts w:hAnsi="標楷體"/>
        </w:rPr>
        <w:t>萬</w:t>
      </w:r>
      <w:r>
        <w:rPr>
          <w:rFonts w:hAnsi="標楷體" w:hint="eastAsia"/>
        </w:rPr>
        <w:t>2千</w:t>
      </w:r>
      <w:r w:rsidRPr="00E10844">
        <w:rPr>
          <w:rFonts w:hAnsi="標楷體"/>
        </w:rPr>
        <w:t>元，較11</w:t>
      </w:r>
      <w:r>
        <w:rPr>
          <w:rFonts w:hAnsi="標楷體" w:hint="eastAsia"/>
        </w:rPr>
        <w:t>3</w:t>
      </w:r>
      <w:r w:rsidRPr="00E10844">
        <w:rPr>
          <w:rFonts w:hAnsi="標楷體"/>
        </w:rPr>
        <w:t>年度</w:t>
      </w:r>
      <w:r>
        <w:rPr>
          <w:rFonts w:hAnsi="標楷體" w:hint="eastAsia"/>
        </w:rPr>
        <w:t>減少73</w:t>
      </w:r>
      <w:r w:rsidRPr="00E10844">
        <w:rPr>
          <w:rFonts w:hAnsi="標楷體"/>
        </w:rPr>
        <w:t>萬</w:t>
      </w:r>
      <w:r>
        <w:rPr>
          <w:rFonts w:hAnsi="標楷體" w:hint="eastAsia"/>
        </w:rPr>
        <w:t>8</w:t>
      </w:r>
      <w:r w:rsidRPr="00E10844">
        <w:rPr>
          <w:rFonts w:hAnsi="標楷體"/>
        </w:rPr>
        <w:t>千元(</w:t>
      </w:r>
      <w:r>
        <w:rPr>
          <w:rFonts w:hAnsi="標楷體" w:hint="eastAsia"/>
        </w:rPr>
        <w:t>減</w:t>
      </w:r>
      <w:r w:rsidRPr="00E10844">
        <w:rPr>
          <w:rFonts w:hAnsi="標楷體"/>
        </w:rPr>
        <w:t>幅</w:t>
      </w:r>
      <w:r>
        <w:rPr>
          <w:rFonts w:hAnsi="標楷體" w:hint="eastAsia"/>
        </w:rPr>
        <w:t>9.2</w:t>
      </w:r>
      <w:r w:rsidRPr="00E10844">
        <w:rPr>
          <w:rFonts w:hAnsi="標楷體"/>
        </w:rPr>
        <w:t>%)</w:t>
      </w:r>
      <w:r>
        <w:rPr>
          <w:rFonts w:hAnsi="標楷體" w:hint="eastAsia"/>
        </w:rPr>
        <w:t>，主要為辦理證券自營業務之所需經費。經查：</w:t>
      </w:r>
    </w:p>
    <w:p w:rsidR="00610757" w:rsidRDefault="00610757" w:rsidP="00610757">
      <w:pPr>
        <w:pStyle w:val="a4"/>
        <w:ind w:left="840" w:hanging="280"/>
        <w:rPr>
          <w:b/>
        </w:rPr>
      </w:pPr>
      <w:r>
        <w:rPr>
          <w:rFonts w:hint="eastAsia"/>
          <w:b/>
        </w:rPr>
        <w:t>(一)盡職治理可</w:t>
      </w:r>
      <w:r w:rsidR="00857EEF">
        <w:rPr>
          <w:rFonts w:hint="eastAsia"/>
          <w:b/>
        </w:rPr>
        <w:t>督促機構投資人</w:t>
      </w:r>
      <w:r w:rsidR="00857EEF" w:rsidRPr="00857EEF">
        <w:rPr>
          <w:rFonts w:hint="eastAsia"/>
          <w:b/>
        </w:rPr>
        <w:t>善盡資產擁有人或管理人責任</w:t>
      </w:r>
      <w:r w:rsidR="00857EEF">
        <w:rPr>
          <w:rFonts w:hint="eastAsia"/>
          <w:b/>
        </w:rPr>
        <w:t>，提升</w:t>
      </w:r>
      <w:r>
        <w:rPr>
          <w:rFonts w:hint="eastAsia"/>
          <w:b/>
        </w:rPr>
        <w:t>公司治理</w:t>
      </w:r>
      <w:r w:rsidR="00857EEF">
        <w:rPr>
          <w:rFonts w:hint="eastAsia"/>
          <w:b/>
        </w:rPr>
        <w:t>之品質</w:t>
      </w:r>
    </w:p>
    <w:p w:rsidR="00610757" w:rsidRDefault="00610757" w:rsidP="00610757">
      <w:pPr>
        <w:pStyle w:val="21"/>
        <w:ind w:left="840" w:firstLine="560"/>
      </w:pPr>
      <w:r w:rsidRPr="00610757">
        <w:rPr>
          <w:rFonts w:hint="eastAsia"/>
        </w:rPr>
        <w:t>為持續推動公司治理改革，</w:t>
      </w:r>
      <w:r w:rsidR="008D52B8">
        <w:rPr>
          <w:rFonts w:hint="eastAsia"/>
        </w:rPr>
        <w:t>金融監督管理委員會(下稱</w:t>
      </w:r>
      <w:r w:rsidRPr="00610757">
        <w:rPr>
          <w:rFonts w:hint="eastAsia"/>
        </w:rPr>
        <w:t>金管會</w:t>
      </w:r>
      <w:r w:rsidR="008D52B8">
        <w:rPr>
          <w:rFonts w:hint="eastAsia"/>
        </w:rPr>
        <w:t>)</w:t>
      </w:r>
      <w:r w:rsidRPr="00610757">
        <w:rPr>
          <w:rFonts w:hint="eastAsia"/>
        </w:rPr>
        <w:t>於109年8月25</w:t>
      </w:r>
      <w:r>
        <w:rPr>
          <w:rFonts w:hint="eastAsia"/>
        </w:rPr>
        <w:t>日推</w:t>
      </w:r>
      <w:r w:rsidRPr="00610757">
        <w:rPr>
          <w:rFonts w:hint="eastAsia"/>
        </w:rPr>
        <w:t>動「公司治理3.0-永續發展藍圖」，期望透過強化董事會職能、提高資訊透明度、強化利害關係人溝通、引導機構投資人盡職治理、深化公司永續治理文化等面向，鼓勵企業落實公司治理，提升永續發展，並營造健全</w:t>
      </w:r>
      <w:r w:rsidR="00754693">
        <w:rPr>
          <w:rFonts w:hint="eastAsia"/>
        </w:rPr>
        <w:t>ESG</w:t>
      </w:r>
      <w:r w:rsidRPr="00610757">
        <w:rPr>
          <w:rFonts w:hint="eastAsia"/>
        </w:rPr>
        <w:t>生態</w:t>
      </w:r>
      <w:r w:rsidRPr="00610757">
        <w:rPr>
          <w:rFonts w:hint="eastAsia"/>
        </w:rPr>
        <w:lastRenderedPageBreak/>
        <w:t>體系，強化資本市場國際競爭力。</w:t>
      </w:r>
    </w:p>
    <w:p w:rsidR="00B169E5" w:rsidRDefault="00610757" w:rsidP="00857EEF">
      <w:pPr>
        <w:pStyle w:val="21"/>
        <w:ind w:left="840" w:firstLine="560"/>
      </w:pPr>
      <w:r>
        <w:rPr>
          <w:rFonts w:hint="eastAsia"/>
        </w:rPr>
        <w:t>據</w:t>
      </w:r>
      <w:r w:rsidR="006A3BB0">
        <w:rPr>
          <w:rFonts w:hint="eastAsia"/>
        </w:rPr>
        <w:t>臺灣證券交易所(下稱證交所)</w:t>
      </w:r>
      <w:r w:rsidR="00857EEF">
        <w:rPr>
          <w:rFonts w:hint="eastAsia"/>
        </w:rPr>
        <w:t>發布之「</w:t>
      </w:r>
      <w:r w:rsidR="00857EEF" w:rsidRPr="00857EEF">
        <w:rPr>
          <w:rFonts w:hint="eastAsia"/>
        </w:rPr>
        <w:t>機構投資人盡職治理守則</w:t>
      </w:r>
      <w:r w:rsidR="00857EEF">
        <w:rPr>
          <w:rFonts w:hint="eastAsia"/>
        </w:rPr>
        <w:t>」</w:t>
      </w:r>
      <w:r>
        <w:rPr>
          <w:rFonts w:hint="eastAsia"/>
        </w:rPr>
        <w:t>，</w:t>
      </w:r>
      <w:r w:rsidR="00857EEF">
        <w:rPr>
          <w:rFonts w:hint="eastAsia"/>
        </w:rPr>
        <w:t>機構投資人投資或履行受託人責任時，宜基於資金提供者</w:t>
      </w:r>
      <w:r w:rsidR="00857EEF">
        <w:rPr>
          <w:rStyle w:val="afc"/>
        </w:rPr>
        <w:footnoteReference w:id="1"/>
      </w:r>
      <w:r w:rsidR="00857EEF">
        <w:rPr>
          <w:rFonts w:hint="eastAsia"/>
        </w:rPr>
        <w:t>之總體利益，關注被投資公司營運狀況，並透過出席股東會、行使投票權、適當與被投資公司之董事或經理人等經營階層對話與互動等方式參與公司治理，</w:t>
      </w:r>
      <w:r>
        <w:rPr>
          <w:rFonts w:hint="eastAsia"/>
        </w:rPr>
        <w:t>此係</w:t>
      </w:r>
      <w:r w:rsidR="00857EEF">
        <w:rPr>
          <w:rFonts w:hint="eastAsia"/>
        </w:rPr>
        <w:t>該守則所稱</w:t>
      </w:r>
      <w:r w:rsidR="000B1C78" w:rsidRPr="000B1C78">
        <w:rPr>
          <w:rFonts w:hint="eastAsia"/>
        </w:rPr>
        <w:t>機構投資人之「盡職治理」</w:t>
      </w:r>
      <w:r w:rsidR="00754693">
        <w:rPr>
          <w:rFonts w:hint="eastAsia"/>
        </w:rPr>
        <w:t>，</w:t>
      </w:r>
      <w:r w:rsidR="00857EEF">
        <w:rPr>
          <w:rFonts w:hint="eastAsia"/>
        </w:rPr>
        <w:t>透過該守則之架構與指引，</w:t>
      </w:r>
      <w:r w:rsidR="00857EEF" w:rsidRPr="00857EEF">
        <w:rPr>
          <w:rFonts w:hint="eastAsia"/>
        </w:rPr>
        <w:t>可督促機構投資人善盡資產擁有人或管理人責任，提升公司治理之品質</w:t>
      </w:r>
      <w:r w:rsidR="00857EEF">
        <w:rPr>
          <w:rFonts w:hint="eastAsia"/>
        </w:rPr>
        <w:t>。</w:t>
      </w:r>
      <w:r w:rsidR="00754693">
        <w:rPr>
          <w:rFonts w:hint="eastAsia"/>
        </w:rPr>
        <w:t>目前計28家</w:t>
      </w:r>
      <w:r w:rsidR="00754693" w:rsidRPr="00754693">
        <w:rPr>
          <w:rFonts w:hint="eastAsia"/>
        </w:rPr>
        <w:t>證券商簽署</w:t>
      </w:r>
      <w:r w:rsidR="00857EEF">
        <w:rPr>
          <w:rFonts w:hint="eastAsia"/>
        </w:rPr>
        <w:t>機構投資人</w:t>
      </w:r>
      <w:r w:rsidR="00754693" w:rsidRPr="00754693">
        <w:rPr>
          <w:rFonts w:hint="eastAsia"/>
        </w:rPr>
        <w:t>盡職治理守則遵循聲明</w:t>
      </w:r>
      <w:r w:rsidR="000B1C78" w:rsidRPr="000B1C78">
        <w:rPr>
          <w:rFonts w:hint="eastAsia"/>
        </w:rPr>
        <w:t>。</w:t>
      </w:r>
    </w:p>
    <w:p w:rsidR="00754693" w:rsidRPr="00754693" w:rsidRDefault="00754693" w:rsidP="00754693">
      <w:pPr>
        <w:pStyle w:val="a4"/>
        <w:ind w:left="840" w:hanging="280"/>
        <w:rPr>
          <w:b/>
        </w:rPr>
      </w:pPr>
      <w:r>
        <w:rPr>
          <w:rFonts w:hint="eastAsia"/>
          <w:b/>
        </w:rPr>
        <w:t>(二)</w:t>
      </w:r>
      <w:r w:rsidRPr="00754693">
        <w:rPr>
          <w:rFonts w:hint="eastAsia"/>
          <w:b/>
        </w:rPr>
        <w:t>臺銀證券</w:t>
      </w:r>
      <w:r w:rsidR="0014754A">
        <w:rPr>
          <w:rFonts w:hint="eastAsia"/>
          <w:b/>
        </w:rPr>
        <w:t>入選證交所評比之</w:t>
      </w:r>
      <w:r w:rsidR="008E601D">
        <w:rPr>
          <w:rFonts w:hint="eastAsia"/>
          <w:b/>
        </w:rPr>
        <w:t>111</w:t>
      </w:r>
      <w:r w:rsidR="008E601D" w:rsidRPr="008E601D">
        <w:rPr>
          <w:rFonts w:hint="eastAsia"/>
          <w:b/>
        </w:rPr>
        <w:t>年機構投資人盡職治理資訊揭露較佳</w:t>
      </w:r>
      <w:r w:rsidR="00255F16">
        <w:rPr>
          <w:rFonts w:hint="eastAsia"/>
          <w:b/>
        </w:rPr>
        <w:t>名單</w:t>
      </w:r>
      <w:r w:rsidR="008E601D">
        <w:rPr>
          <w:rFonts w:hint="eastAsia"/>
          <w:b/>
        </w:rPr>
        <w:t>，惟112年並未入選</w:t>
      </w:r>
      <w:r w:rsidR="0014754A">
        <w:rPr>
          <w:rFonts w:hint="eastAsia"/>
          <w:b/>
        </w:rPr>
        <w:t>，允宜</w:t>
      </w:r>
      <w:r w:rsidR="00B2691F">
        <w:rPr>
          <w:rFonts w:hint="eastAsia"/>
          <w:b/>
        </w:rPr>
        <w:t>配合</w:t>
      </w:r>
      <w:r w:rsidR="0014754A">
        <w:rPr>
          <w:rFonts w:hint="eastAsia"/>
          <w:b/>
        </w:rPr>
        <w:t>113年</w:t>
      </w:r>
      <w:r w:rsidR="00B2691F">
        <w:rPr>
          <w:rFonts w:hint="eastAsia"/>
          <w:b/>
        </w:rPr>
        <w:t>修正標準</w:t>
      </w:r>
      <w:r w:rsidR="008D52B8">
        <w:rPr>
          <w:rFonts w:hint="eastAsia"/>
          <w:b/>
        </w:rPr>
        <w:t>檢討</w:t>
      </w:r>
      <w:r w:rsidR="0014754A">
        <w:rPr>
          <w:rFonts w:hint="eastAsia"/>
          <w:b/>
        </w:rPr>
        <w:t>改善</w:t>
      </w:r>
    </w:p>
    <w:p w:rsidR="00754693" w:rsidRDefault="008E601D" w:rsidP="00610757">
      <w:pPr>
        <w:pStyle w:val="21"/>
        <w:ind w:left="840" w:firstLine="560"/>
      </w:pPr>
      <w:r>
        <w:rPr>
          <w:rFonts w:hint="eastAsia"/>
        </w:rPr>
        <w:t>為</w:t>
      </w:r>
      <w:r w:rsidRPr="00754693">
        <w:rPr>
          <w:rFonts w:hint="eastAsia"/>
        </w:rPr>
        <w:t>提升機構投資人盡職治理實務及相關資訊揭露品質，</w:t>
      </w:r>
      <w:r>
        <w:rPr>
          <w:rFonts w:hint="eastAsia"/>
        </w:rPr>
        <w:t>證交所</w:t>
      </w:r>
      <w:r w:rsidRPr="00754693">
        <w:rPr>
          <w:rFonts w:hint="eastAsia"/>
        </w:rPr>
        <w:t>組成機構投資人盡職治理守則諮詢委員會，建立公開評比機制，定期辦理盡職治理資訊揭露較佳名單</w:t>
      </w:r>
      <w:r w:rsidR="006A3BB0">
        <w:rPr>
          <w:rFonts w:hint="eastAsia"/>
        </w:rPr>
        <w:t>之</w:t>
      </w:r>
      <w:r w:rsidRPr="00754693">
        <w:rPr>
          <w:rFonts w:hint="eastAsia"/>
        </w:rPr>
        <w:t>評比</w:t>
      </w:r>
      <w:r w:rsidR="0091514C">
        <w:rPr>
          <w:rFonts w:hint="eastAsia"/>
        </w:rPr>
        <w:t>，並自110起</w:t>
      </w:r>
      <w:r>
        <w:rPr>
          <w:rFonts w:hint="eastAsia"/>
        </w:rPr>
        <w:t>公布該年度</w:t>
      </w:r>
      <w:r w:rsidRPr="00754693">
        <w:rPr>
          <w:rFonts w:hint="eastAsia"/>
        </w:rPr>
        <w:t>辦理盡職治理資訊揭露較佳名單</w:t>
      </w:r>
      <w:r>
        <w:rPr>
          <w:rFonts w:hint="eastAsia"/>
        </w:rPr>
        <w:t>。111年度包含</w:t>
      </w:r>
      <w:r w:rsidRPr="008E601D">
        <w:rPr>
          <w:rFonts w:hint="eastAsia"/>
        </w:rPr>
        <w:t>臺銀證券</w:t>
      </w:r>
      <w:r>
        <w:rPr>
          <w:rFonts w:hint="eastAsia"/>
        </w:rPr>
        <w:t>在內共9家證券商入選，惟</w:t>
      </w:r>
      <w:r w:rsidR="009E7591">
        <w:rPr>
          <w:rFonts w:hint="eastAsia"/>
        </w:rPr>
        <w:t>該公司</w:t>
      </w:r>
      <w:r>
        <w:rPr>
          <w:rFonts w:hint="eastAsia"/>
        </w:rPr>
        <w:t>112年度並未入選，主因係於</w:t>
      </w:r>
      <w:r w:rsidRPr="008E601D">
        <w:rPr>
          <w:rFonts w:hint="eastAsia"/>
        </w:rPr>
        <w:t>「ESG議題參與相關組織案例」、「重大議案結果不滿意之後續行動規劃」及「逐公司、逐議案揭露投票情形及說明反對理由」等3</w:t>
      </w:r>
      <w:r>
        <w:rPr>
          <w:rFonts w:hint="eastAsia"/>
        </w:rPr>
        <w:t>項目</w:t>
      </w:r>
      <w:r w:rsidR="006A3BB0" w:rsidRPr="0079763A">
        <w:rPr>
          <w:rFonts w:hAnsi="標楷體" w:hint="eastAsia"/>
        </w:rPr>
        <w:t>未達標</w:t>
      </w:r>
      <w:r>
        <w:rPr>
          <w:rFonts w:hint="eastAsia"/>
        </w:rPr>
        <w:t>，</w:t>
      </w:r>
      <w:r w:rsidRPr="008E601D">
        <w:rPr>
          <w:rFonts w:hint="eastAsia"/>
        </w:rPr>
        <w:t>臺銀證券</w:t>
      </w:r>
      <w:r>
        <w:rPr>
          <w:rFonts w:hint="eastAsia"/>
        </w:rPr>
        <w:t>表示113年間對於該3項目均予以加強，</w:t>
      </w:r>
      <w:r w:rsidR="0014754A">
        <w:rPr>
          <w:rFonts w:hint="eastAsia"/>
        </w:rPr>
        <w:t>並</w:t>
      </w:r>
      <w:r w:rsidRPr="00833837">
        <w:rPr>
          <w:rFonts w:hAnsi="標楷體" w:hint="eastAsia"/>
        </w:rPr>
        <w:t>參考同業及國際投票顧問服務機構ISS及Glass Lewis 2023年臺灣投票政策要點，修正「臺銀綜合證券股份有限公司行使持有股票之投票表決權方式注意事項」，</w:t>
      </w:r>
      <w:r>
        <w:rPr>
          <w:rFonts w:hAnsi="標楷體" w:hint="eastAsia"/>
        </w:rPr>
        <w:t>另</w:t>
      </w:r>
      <w:r w:rsidR="006A3BB0">
        <w:rPr>
          <w:rFonts w:hAnsi="標楷體" w:hint="eastAsia"/>
        </w:rPr>
        <w:t>截至</w:t>
      </w:r>
      <w:r>
        <w:rPr>
          <w:rFonts w:hAnsi="標楷體" w:hint="eastAsia"/>
        </w:rPr>
        <w:t>113年</w:t>
      </w:r>
      <w:r w:rsidR="006A3BB0">
        <w:rPr>
          <w:rFonts w:hAnsi="標楷體" w:hint="eastAsia"/>
        </w:rPr>
        <w:t>8月底止，</w:t>
      </w:r>
      <w:r w:rsidR="005B57BE">
        <w:rPr>
          <w:rFonts w:hAnsi="標楷體" w:hint="eastAsia"/>
        </w:rPr>
        <w:t>累</w:t>
      </w:r>
      <w:r w:rsidR="006A3BB0">
        <w:rPr>
          <w:rFonts w:hAnsi="標楷體" w:hint="eastAsia"/>
        </w:rPr>
        <w:t>計</w:t>
      </w:r>
      <w:r>
        <w:rPr>
          <w:rFonts w:hAnsi="標楷體" w:hint="eastAsia"/>
        </w:rPr>
        <w:t>參與45家股東會之投票，均明確表達該公司對於議案</w:t>
      </w:r>
      <w:r w:rsidR="0014754A">
        <w:rPr>
          <w:rFonts w:hAnsi="標楷體" w:hint="eastAsia"/>
        </w:rPr>
        <w:t>之立場。</w:t>
      </w:r>
    </w:p>
    <w:p w:rsidR="00754693" w:rsidRDefault="005B57BE" w:rsidP="00610757">
      <w:pPr>
        <w:pStyle w:val="21"/>
        <w:ind w:left="840" w:firstLine="560"/>
      </w:pPr>
      <w:r>
        <w:rPr>
          <w:rFonts w:hint="eastAsia"/>
        </w:rPr>
        <w:lastRenderedPageBreak/>
        <w:t>嗣</w:t>
      </w:r>
      <w:r w:rsidR="0014754A">
        <w:rPr>
          <w:rFonts w:hint="eastAsia"/>
        </w:rPr>
        <w:t>證交所及</w:t>
      </w:r>
      <w:r>
        <w:rPr>
          <w:rFonts w:hint="eastAsia"/>
        </w:rPr>
        <w:t>臺灣集中保管</w:t>
      </w:r>
      <w:r w:rsidR="0014754A" w:rsidRPr="0014754A">
        <w:rPr>
          <w:rFonts w:hint="eastAsia"/>
        </w:rPr>
        <w:t>結算所</w:t>
      </w:r>
      <w:r w:rsidR="0014754A">
        <w:rPr>
          <w:rFonts w:hint="eastAsia"/>
        </w:rPr>
        <w:t>於113年7月舉辦「113年度</w:t>
      </w:r>
      <w:r w:rsidR="0014754A" w:rsidRPr="0014754A">
        <w:rPr>
          <w:rFonts w:hint="eastAsia"/>
        </w:rPr>
        <w:t>機構投資人盡職治理資訊揭露評比作業宣導說明會</w:t>
      </w:r>
      <w:r w:rsidR="0014754A">
        <w:rPr>
          <w:rFonts w:hint="eastAsia"/>
        </w:rPr>
        <w:t>」，會中說明113年評比</w:t>
      </w:r>
      <w:r w:rsidR="008D52B8">
        <w:rPr>
          <w:rFonts w:hint="eastAsia"/>
        </w:rPr>
        <w:t>標準</w:t>
      </w:r>
      <w:r w:rsidR="008D52B8">
        <w:rPr>
          <w:rFonts w:hAnsi="標楷體" w:hint="eastAsia"/>
        </w:rPr>
        <w:t>，</w:t>
      </w:r>
      <w:r w:rsidR="006A3BB0">
        <w:rPr>
          <w:rFonts w:hAnsi="標楷體" w:hint="eastAsia"/>
        </w:rPr>
        <w:t>概</w:t>
      </w:r>
      <w:r w:rsidR="008D52B8" w:rsidRPr="00833837">
        <w:rPr>
          <w:rFonts w:hAnsi="標楷體" w:hint="eastAsia"/>
        </w:rPr>
        <w:t>分為構面一「政策與遵循聲明」及構面二「實務與揭露」，</w:t>
      </w:r>
      <w:r w:rsidR="006A3BB0">
        <w:rPr>
          <w:rFonts w:hAnsi="標楷體" w:hint="eastAsia"/>
        </w:rPr>
        <w:t>另</w:t>
      </w:r>
      <w:r w:rsidR="008D52B8" w:rsidRPr="00833837">
        <w:rPr>
          <w:rFonts w:hAnsi="標楷體" w:hint="eastAsia"/>
        </w:rPr>
        <w:t>新增2項</w:t>
      </w:r>
      <w:r w:rsidR="008D52B8">
        <w:rPr>
          <w:rFonts w:hAnsi="標楷體" w:hint="eastAsia"/>
        </w:rPr>
        <w:t>、</w:t>
      </w:r>
      <w:r w:rsidR="008D52B8" w:rsidRPr="00833837">
        <w:rPr>
          <w:rFonts w:hAnsi="標楷體" w:hint="eastAsia"/>
        </w:rPr>
        <w:t>修正9項</w:t>
      </w:r>
      <w:r w:rsidR="008D52B8">
        <w:rPr>
          <w:rFonts w:hAnsi="標楷體" w:hint="eastAsia"/>
        </w:rPr>
        <w:t>及合併2項</w:t>
      </w:r>
      <w:r w:rsidR="00B2691F">
        <w:rPr>
          <w:rStyle w:val="afc"/>
          <w:rFonts w:hAnsi="標楷體"/>
        </w:rPr>
        <w:footnoteReference w:id="2"/>
      </w:r>
      <w:r w:rsidR="008D52B8">
        <w:rPr>
          <w:rFonts w:hAnsi="標楷體" w:hint="eastAsia"/>
        </w:rPr>
        <w:t>，合計13項</w:t>
      </w:r>
      <w:r>
        <w:rPr>
          <w:rFonts w:hAnsi="標楷體" w:hint="eastAsia"/>
        </w:rPr>
        <w:t>評比項目</w:t>
      </w:r>
      <w:r w:rsidR="008D52B8">
        <w:rPr>
          <w:rFonts w:hAnsi="標楷體" w:hint="eastAsia"/>
        </w:rPr>
        <w:t>。是以，臺銀證券允宜遵循113年最新發布之</w:t>
      </w:r>
      <w:r w:rsidR="008D52B8" w:rsidRPr="0014754A">
        <w:rPr>
          <w:rFonts w:hint="eastAsia"/>
        </w:rPr>
        <w:t>機構投資人盡職治理資訊揭露評比</w:t>
      </w:r>
      <w:r w:rsidR="008D52B8">
        <w:rPr>
          <w:rFonts w:hint="eastAsia"/>
        </w:rPr>
        <w:t>標準</w:t>
      </w:r>
      <w:r w:rsidR="008D52B8">
        <w:rPr>
          <w:rFonts w:hAnsi="標楷體" w:hint="eastAsia"/>
        </w:rPr>
        <w:t>，據以辦理相關作業。</w:t>
      </w:r>
    </w:p>
    <w:p w:rsidR="0014754A" w:rsidRPr="006D0F70" w:rsidRDefault="008D52B8" w:rsidP="008D52B8">
      <w:pPr>
        <w:ind w:left="560" w:firstLine="560"/>
        <w:rPr>
          <w:color w:val="000000" w:themeColor="text1"/>
        </w:rPr>
      </w:pPr>
      <w:r w:rsidRPr="006D0F70">
        <w:rPr>
          <w:rFonts w:hint="eastAsia"/>
          <w:color w:val="000000" w:themeColor="text1"/>
        </w:rPr>
        <w:t>綜上，</w:t>
      </w:r>
      <w:r w:rsidR="00255F16" w:rsidRPr="006D0F70">
        <w:rPr>
          <w:rFonts w:hint="eastAsia"/>
          <w:color w:val="000000" w:themeColor="text1"/>
        </w:rPr>
        <w:t>證交所</w:t>
      </w:r>
      <w:r w:rsidRPr="006D0F70">
        <w:rPr>
          <w:rFonts w:hint="eastAsia"/>
          <w:color w:val="000000" w:themeColor="text1"/>
        </w:rPr>
        <w:t>配合金管會推動公司治理3.0永續發展藍圖</w:t>
      </w:r>
      <w:r w:rsidR="00857EEF" w:rsidRPr="006D0F70">
        <w:rPr>
          <w:rFonts w:hint="eastAsia"/>
          <w:color w:val="000000" w:themeColor="text1"/>
        </w:rPr>
        <w:t>，</w:t>
      </w:r>
      <w:r w:rsidR="006A3BB0" w:rsidRPr="006D0F70">
        <w:rPr>
          <w:rFonts w:hint="eastAsia"/>
          <w:color w:val="000000" w:themeColor="text1"/>
        </w:rPr>
        <w:t>提升機構投資人盡職治理實務及相關資訊揭露品質，定期辦理盡職治理資訊揭露較佳名單之評比，</w:t>
      </w:r>
      <w:r w:rsidRPr="006D0F70">
        <w:rPr>
          <w:rFonts w:hint="eastAsia"/>
          <w:color w:val="000000" w:themeColor="text1"/>
        </w:rPr>
        <w:t>臺銀證券入選證交所評比之111</w:t>
      </w:r>
      <w:r w:rsidR="00255F16" w:rsidRPr="006D0F70">
        <w:rPr>
          <w:rFonts w:hint="eastAsia"/>
          <w:color w:val="000000" w:themeColor="text1"/>
        </w:rPr>
        <w:t>年機構投資人盡職治理資訊揭露較佳名單</w:t>
      </w:r>
      <w:r w:rsidRPr="006D0F70">
        <w:rPr>
          <w:rFonts w:hint="eastAsia"/>
          <w:color w:val="000000" w:themeColor="text1"/>
        </w:rPr>
        <w:t>，惟112年並未入選，</w:t>
      </w:r>
      <w:r w:rsidR="00255F16" w:rsidRPr="006D0F70">
        <w:rPr>
          <w:rFonts w:hint="eastAsia"/>
          <w:color w:val="000000" w:themeColor="text1"/>
        </w:rPr>
        <w:t>允宜配合</w:t>
      </w:r>
      <w:r w:rsidR="009E7591">
        <w:rPr>
          <w:rFonts w:hint="eastAsia"/>
          <w:color w:val="000000" w:themeColor="text1"/>
        </w:rPr>
        <w:t>主辦機關</w:t>
      </w:r>
      <w:r w:rsidR="00255F16" w:rsidRPr="006D0F70">
        <w:rPr>
          <w:rFonts w:hint="eastAsia"/>
          <w:color w:val="000000" w:themeColor="text1"/>
        </w:rPr>
        <w:t>113年修正</w:t>
      </w:r>
      <w:r w:rsidR="009E7591">
        <w:rPr>
          <w:rFonts w:hint="eastAsia"/>
          <w:color w:val="000000" w:themeColor="text1"/>
        </w:rPr>
        <w:t>之評比</w:t>
      </w:r>
      <w:r w:rsidR="00255F16" w:rsidRPr="006D0F70">
        <w:rPr>
          <w:rFonts w:hint="eastAsia"/>
          <w:color w:val="000000" w:themeColor="text1"/>
        </w:rPr>
        <w:t>標準檢討改善</w:t>
      </w:r>
      <w:r w:rsidR="005B57BE" w:rsidRPr="006D0F70">
        <w:rPr>
          <w:rFonts w:hint="eastAsia"/>
          <w:color w:val="000000" w:themeColor="text1"/>
        </w:rPr>
        <w:t>，以</w:t>
      </w:r>
      <w:r w:rsidR="005B57BE" w:rsidRPr="006D0F70">
        <w:rPr>
          <w:rFonts w:hAnsi="標楷體" w:hint="eastAsia"/>
          <w:color w:val="000000" w:themeColor="text1"/>
        </w:rPr>
        <w:t>提升相關資訊揭露品質</w:t>
      </w:r>
      <w:r w:rsidR="00255F16" w:rsidRPr="006D0F70">
        <w:rPr>
          <w:rFonts w:hint="eastAsia"/>
          <w:color w:val="000000" w:themeColor="text1"/>
        </w:rPr>
        <w:t>。</w:t>
      </w:r>
    </w:p>
    <w:bookmarkEnd w:id="2"/>
    <w:bookmarkEnd w:id="3"/>
    <w:sectPr w:rsidR="0014754A" w:rsidRPr="006D0F70" w:rsidSect="007002F7">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738" w:rsidRDefault="00DB7738" w:rsidP="003A22D1">
      <w:pPr>
        <w:spacing w:line="240" w:lineRule="auto"/>
        <w:ind w:left="560" w:firstLine="560"/>
      </w:pPr>
      <w:r>
        <w:separator/>
      </w:r>
    </w:p>
  </w:endnote>
  <w:endnote w:type="continuationSeparator" w:id="0">
    <w:p w:rsidR="00DB7738" w:rsidRDefault="00DB7738" w:rsidP="003A22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framePr w:wrap="around" w:vAnchor="text" w:hAnchor="margin" w:xAlign="center" w:y="1"/>
      <w:ind w:left="560" w:firstLine="560"/>
    </w:pPr>
    <w:r>
      <w:fldChar w:fldCharType="begin"/>
    </w:r>
    <w:r>
      <w:instrText xml:space="preserve">PAGE  </w:instrText>
    </w:r>
    <w:r>
      <w:fldChar w:fldCharType="end"/>
    </w:r>
  </w:p>
  <w:p w:rsidR="006A3BB0" w:rsidRDefault="006A3BB0" w:rsidP="0081398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Pr="00202B6C" w:rsidRDefault="006A3BB0" w:rsidP="00FC40FA">
    <w:pPr>
      <w:framePr w:wrap="around" w:vAnchor="text" w:hAnchor="margin" w:xAlign="center" w:y="1"/>
      <w:ind w:leftChars="0" w:left="0" w:firstLineChars="0" w:firstLine="0"/>
      <w:jc w:val="center"/>
      <w:rPr>
        <w:sz w:val="20"/>
        <w:szCs w:val="20"/>
      </w:rPr>
    </w:pPr>
    <w:r w:rsidRPr="00202B6C">
      <w:rPr>
        <w:sz w:val="20"/>
        <w:szCs w:val="20"/>
      </w:rPr>
      <w:fldChar w:fldCharType="begin"/>
    </w:r>
    <w:r w:rsidRPr="00202B6C">
      <w:rPr>
        <w:sz w:val="20"/>
        <w:szCs w:val="20"/>
      </w:rPr>
      <w:instrText xml:space="preserve">PAGE  </w:instrText>
    </w:r>
    <w:r w:rsidRPr="00202B6C">
      <w:rPr>
        <w:sz w:val="20"/>
        <w:szCs w:val="20"/>
      </w:rPr>
      <w:fldChar w:fldCharType="separate"/>
    </w:r>
    <w:r w:rsidR="004518F6">
      <w:rPr>
        <w:noProof/>
        <w:sz w:val="20"/>
        <w:szCs w:val="20"/>
      </w:rPr>
      <w:t>3</w:t>
    </w:r>
    <w:r w:rsidRPr="00202B6C">
      <w:rPr>
        <w:sz w:val="20"/>
        <w:szCs w:val="20"/>
      </w:rPr>
      <w:fldChar w:fldCharType="end"/>
    </w:r>
  </w:p>
  <w:p w:rsidR="006A3BB0" w:rsidRPr="00202B6C" w:rsidRDefault="006A3BB0" w:rsidP="00201E08">
    <w:pPr>
      <w:ind w:leftChars="0" w:left="0" w:firstLineChars="0" w:firstLine="0"/>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738" w:rsidRDefault="00DB7738" w:rsidP="00B640E4">
      <w:pPr>
        <w:spacing w:line="240" w:lineRule="auto"/>
        <w:ind w:left="560" w:firstLine="560"/>
      </w:pPr>
      <w:r>
        <w:separator/>
      </w:r>
    </w:p>
  </w:footnote>
  <w:footnote w:type="continuationSeparator" w:id="0">
    <w:p w:rsidR="00DB7738" w:rsidRDefault="00DB7738" w:rsidP="003A22D1">
      <w:pPr>
        <w:spacing w:line="240" w:lineRule="auto"/>
        <w:ind w:left="560" w:firstLine="560"/>
      </w:pPr>
      <w:r>
        <w:continuationSeparator/>
      </w:r>
    </w:p>
  </w:footnote>
  <w:footnote w:id="1">
    <w:p w:rsidR="006A3BB0" w:rsidRPr="00857EEF" w:rsidRDefault="006A3BB0" w:rsidP="00857EEF">
      <w:pPr>
        <w:pStyle w:val="142"/>
      </w:pPr>
      <w:r>
        <w:rPr>
          <w:rStyle w:val="afc"/>
        </w:rPr>
        <w:footnoteRef/>
      </w:r>
      <w:r w:rsidRPr="00857EEF">
        <w:rPr>
          <w:rFonts w:hint="eastAsia"/>
        </w:rPr>
        <w:t>包含客戶、受益人或機構投資人本身之股東</w:t>
      </w:r>
      <w:r>
        <w:rPr>
          <w:rFonts w:hint="eastAsia"/>
        </w:rPr>
        <w:t>。</w:t>
      </w:r>
    </w:p>
  </w:footnote>
  <w:footnote w:id="2">
    <w:p w:rsidR="006A3BB0" w:rsidRPr="00B2691F" w:rsidRDefault="006A3BB0" w:rsidP="00B2691F">
      <w:pPr>
        <w:pStyle w:val="142"/>
        <w:ind w:left="84" w:hangingChars="35" w:hanging="84"/>
      </w:pPr>
      <w:r>
        <w:rPr>
          <w:rStyle w:val="afc"/>
        </w:rPr>
        <w:footnoteRef/>
      </w:r>
      <w:r>
        <w:rPr>
          <w:rFonts w:hint="eastAsia"/>
        </w:rPr>
        <w:t>新增</w:t>
      </w:r>
      <w:r w:rsidRPr="00B2691F">
        <w:rPr>
          <w:rFonts w:hint="eastAsia"/>
        </w:rPr>
        <w:t>設置里程碑及說明溝通位階</w:t>
      </w:r>
      <w:r>
        <w:rPr>
          <w:rFonts w:hint="eastAsia"/>
        </w:rPr>
        <w:t>等2項；修正4項</w:t>
      </w:r>
      <w:r w:rsidRPr="00B2691F">
        <w:rPr>
          <w:rFonts w:hint="eastAsia"/>
        </w:rPr>
        <w:t>跨資產類別</w:t>
      </w:r>
      <w:r>
        <w:rPr>
          <w:rFonts w:hint="eastAsia"/>
        </w:rPr>
        <w:t>揭露及5項微幅文字調整；合併性質相近題目2項。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987"/>
    <w:multiLevelType w:val="hybridMultilevel"/>
    <w:tmpl w:val="C92AC508"/>
    <w:lvl w:ilvl="0" w:tplc="BDC4B39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15:restartNumberingAfterBreak="0">
    <w:nsid w:val="0DE71335"/>
    <w:multiLevelType w:val="hybridMultilevel"/>
    <w:tmpl w:val="FEEA10A4"/>
    <w:lvl w:ilvl="0" w:tplc="20B06D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C62C0E"/>
    <w:multiLevelType w:val="hybridMultilevel"/>
    <w:tmpl w:val="0CA46D8E"/>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40D9054E"/>
    <w:multiLevelType w:val="hybridMultilevel"/>
    <w:tmpl w:val="864456D4"/>
    <w:lvl w:ilvl="0" w:tplc="D5A47246">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4CC30EDF"/>
    <w:multiLevelType w:val="hybridMultilevel"/>
    <w:tmpl w:val="F03CD092"/>
    <w:lvl w:ilvl="0" w:tplc="22D25832">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5" w15:restartNumberingAfterBreak="0">
    <w:nsid w:val="56D917B3"/>
    <w:multiLevelType w:val="hybridMultilevel"/>
    <w:tmpl w:val="017099C4"/>
    <w:lvl w:ilvl="0" w:tplc="A2D425A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6C1525C7"/>
    <w:multiLevelType w:val="hybridMultilevel"/>
    <w:tmpl w:val="F34C75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757"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D952DC9"/>
    <w:multiLevelType w:val="hybridMultilevel"/>
    <w:tmpl w:val="04A6C03A"/>
    <w:lvl w:ilvl="0" w:tplc="115687E6">
      <w:start w:val="1"/>
      <w:numFmt w:val="taiwaneseCountingThousand"/>
      <w:lvlText w:val="(%1)"/>
      <w:lvlJc w:val="left"/>
      <w:pPr>
        <w:ind w:left="1838" w:hanging="720"/>
      </w:pPr>
      <w:rPr>
        <w:rFonts w:hint="default"/>
      </w:rPr>
    </w:lvl>
    <w:lvl w:ilvl="1" w:tplc="04090019" w:tentative="1">
      <w:start w:val="1"/>
      <w:numFmt w:val="ideographTraditional"/>
      <w:lvlText w:val="%2、"/>
      <w:lvlJc w:val="left"/>
      <w:pPr>
        <w:ind w:left="2078" w:hanging="480"/>
      </w:pPr>
    </w:lvl>
    <w:lvl w:ilvl="2" w:tplc="0409001B" w:tentative="1">
      <w:start w:val="1"/>
      <w:numFmt w:val="lowerRoman"/>
      <w:lvlText w:val="%3."/>
      <w:lvlJc w:val="right"/>
      <w:pPr>
        <w:ind w:left="2558" w:hanging="480"/>
      </w:pPr>
    </w:lvl>
    <w:lvl w:ilvl="3" w:tplc="0409000F" w:tentative="1">
      <w:start w:val="1"/>
      <w:numFmt w:val="decimal"/>
      <w:lvlText w:val="%4."/>
      <w:lvlJc w:val="left"/>
      <w:pPr>
        <w:ind w:left="3038" w:hanging="480"/>
      </w:pPr>
    </w:lvl>
    <w:lvl w:ilvl="4" w:tplc="04090019" w:tentative="1">
      <w:start w:val="1"/>
      <w:numFmt w:val="ideographTraditional"/>
      <w:lvlText w:val="%5、"/>
      <w:lvlJc w:val="left"/>
      <w:pPr>
        <w:ind w:left="3518" w:hanging="480"/>
      </w:pPr>
    </w:lvl>
    <w:lvl w:ilvl="5" w:tplc="0409001B" w:tentative="1">
      <w:start w:val="1"/>
      <w:numFmt w:val="lowerRoman"/>
      <w:lvlText w:val="%6."/>
      <w:lvlJc w:val="right"/>
      <w:pPr>
        <w:ind w:left="3998" w:hanging="480"/>
      </w:pPr>
    </w:lvl>
    <w:lvl w:ilvl="6" w:tplc="0409000F" w:tentative="1">
      <w:start w:val="1"/>
      <w:numFmt w:val="decimal"/>
      <w:lvlText w:val="%7."/>
      <w:lvlJc w:val="left"/>
      <w:pPr>
        <w:ind w:left="4478" w:hanging="480"/>
      </w:pPr>
    </w:lvl>
    <w:lvl w:ilvl="7" w:tplc="04090019" w:tentative="1">
      <w:start w:val="1"/>
      <w:numFmt w:val="ideographTraditional"/>
      <w:lvlText w:val="%8、"/>
      <w:lvlJc w:val="left"/>
      <w:pPr>
        <w:ind w:left="4958" w:hanging="480"/>
      </w:pPr>
    </w:lvl>
    <w:lvl w:ilvl="8" w:tplc="0409001B" w:tentative="1">
      <w:start w:val="1"/>
      <w:numFmt w:val="lowerRoman"/>
      <w:lvlText w:val="%9."/>
      <w:lvlJc w:val="right"/>
      <w:pPr>
        <w:ind w:left="5438" w:hanging="480"/>
      </w:pPr>
    </w:lvl>
  </w:abstractNum>
  <w:abstractNum w:abstractNumId="8" w15:restartNumberingAfterBreak="0">
    <w:nsid w:val="6E225C28"/>
    <w:multiLevelType w:val="hybridMultilevel"/>
    <w:tmpl w:val="57085D02"/>
    <w:lvl w:ilvl="0" w:tplc="E9C6DED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78DC6300"/>
    <w:multiLevelType w:val="hybridMultilevel"/>
    <w:tmpl w:val="12A0CA64"/>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8"/>
  </w:num>
  <w:num w:numId="2">
    <w:abstractNumId w:val="5"/>
  </w:num>
  <w:num w:numId="3">
    <w:abstractNumId w:val="2"/>
  </w:num>
  <w:num w:numId="4">
    <w:abstractNumId w:val="7"/>
  </w:num>
  <w:num w:numId="5">
    <w:abstractNumId w:val="9"/>
  </w:num>
  <w:num w:numId="6">
    <w:abstractNumId w:val="4"/>
  </w:num>
  <w:num w:numId="7">
    <w:abstractNumId w:val="3"/>
  </w:num>
  <w:num w:numId="8">
    <w:abstractNumId w:val="0"/>
  </w:num>
  <w:num w:numId="9">
    <w:abstractNumId w:val="1"/>
  </w:num>
  <w:num w:numId="1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B4265"/>
    <w:rsid w:val="000028EE"/>
    <w:rsid w:val="00004E52"/>
    <w:rsid w:val="00005536"/>
    <w:rsid w:val="00007633"/>
    <w:rsid w:val="00007E43"/>
    <w:rsid w:val="000106B6"/>
    <w:rsid w:val="000109A6"/>
    <w:rsid w:val="000112EA"/>
    <w:rsid w:val="00011CEF"/>
    <w:rsid w:val="00012BF5"/>
    <w:rsid w:val="00014653"/>
    <w:rsid w:val="00014C9F"/>
    <w:rsid w:val="00020DC3"/>
    <w:rsid w:val="0002271A"/>
    <w:rsid w:val="00023250"/>
    <w:rsid w:val="000264C3"/>
    <w:rsid w:val="00027892"/>
    <w:rsid w:val="00031E21"/>
    <w:rsid w:val="00031F21"/>
    <w:rsid w:val="0003352B"/>
    <w:rsid w:val="0003494E"/>
    <w:rsid w:val="00035A39"/>
    <w:rsid w:val="00035EFD"/>
    <w:rsid w:val="00036750"/>
    <w:rsid w:val="00037BAC"/>
    <w:rsid w:val="00042697"/>
    <w:rsid w:val="00042925"/>
    <w:rsid w:val="00043C98"/>
    <w:rsid w:val="00045C7D"/>
    <w:rsid w:val="00046043"/>
    <w:rsid w:val="00046B9C"/>
    <w:rsid w:val="0005191C"/>
    <w:rsid w:val="00053FDB"/>
    <w:rsid w:val="00056244"/>
    <w:rsid w:val="00061D73"/>
    <w:rsid w:val="00061D97"/>
    <w:rsid w:val="0006211B"/>
    <w:rsid w:val="0006480C"/>
    <w:rsid w:val="00065271"/>
    <w:rsid w:val="00066D69"/>
    <w:rsid w:val="00071A7F"/>
    <w:rsid w:val="00071ECF"/>
    <w:rsid w:val="00072D54"/>
    <w:rsid w:val="000731F1"/>
    <w:rsid w:val="000738CF"/>
    <w:rsid w:val="00073BE9"/>
    <w:rsid w:val="000748DD"/>
    <w:rsid w:val="0007566D"/>
    <w:rsid w:val="0007795E"/>
    <w:rsid w:val="00081853"/>
    <w:rsid w:val="00082428"/>
    <w:rsid w:val="00084E22"/>
    <w:rsid w:val="0008564F"/>
    <w:rsid w:val="00086738"/>
    <w:rsid w:val="00087D0F"/>
    <w:rsid w:val="000910A0"/>
    <w:rsid w:val="000911BD"/>
    <w:rsid w:val="00092A8F"/>
    <w:rsid w:val="00094006"/>
    <w:rsid w:val="0009411C"/>
    <w:rsid w:val="00094BA0"/>
    <w:rsid w:val="000A2A0C"/>
    <w:rsid w:val="000A4ABB"/>
    <w:rsid w:val="000A6188"/>
    <w:rsid w:val="000A6780"/>
    <w:rsid w:val="000A7C82"/>
    <w:rsid w:val="000B0545"/>
    <w:rsid w:val="000B0BF7"/>
    <w:rsid w:val="000B13BC"/>
    <w:rsid w:val="000B1C78"/>
    <w:rsid w:val="000B3BF4"/>
    <w:rsid w:val="000B4A01"/>
    <w:rsid w:val="000B4FEA"/>
    <w:rsid w:val="000B7FA5"/>
    <w:rsid w:val="000C0499"/>
    <w:rsid w:val="000C09C7"/>
    <w:rsid w:val="000C22CD"/>
    <w:rsid w:val="000C2524"/>
    <w:rsid w:val="000C413C"/>
    <w:rsid w:val="000C59F0"/>
    <w:rsid w:val="000D4A02"/>
    <w:rsid w:val="000D7E24"/>
    <w:rsid w:val="000E106A"/>
    <w:rsid w:val="000E11F7"/>
    <w:rsid w:val="000E1D1D"/>
    <w:rsid w:val="000E2380"/>
    <w:rsid w:val="000E299B"/>
    <w:rsid w:val="000E37A3"/>
    <w:rsid w:val="000E4305"/>
    <w:rsid w:val="000E4986"/>
    <w:rsid w:val="000E4C50"/>
    <w:rsid w:val="000E6727"/>
    <w:rsid w:val="000E6C81"/>
    <w:rsid w:val="000F02B8"/>
    <w:rsid w:val="000F214E"/>
    <w:rsid w:val="000F3254"/>
    <w:rsid w:val="000F3EC1"/>
    <w:rsid w:val="000F5648"/>
    <w:rsid w:val="000F77E4"/>
    <w:rsid w:val="00101DCA"/>
    <w:rsid w:val="00101DEE"/>
    <w:rsid w:val="00103928"/>
    <w:rsid w:val="001060A0"/>
    <w:rsid w:val="0010749F"/>
    <w:rsid w:val="00107ACF"/>
    <w:rsid w:val="00111733"/>
    <w:rsid w:val="001119C7"/>
    <w:rsid w:val="00113AD5"/>
    <w:rsid w:val="00113DD2"/>
    <w:rsid w:val="00113EF7"/>
    <w:rsid w:val="00116229"/>
    <w:rsid w:val="00116463"/>
    <w:rsid w:val="0012208F"/>
    <w:rsid w:val="00126322"/>
    <w:rsid w:val="00130700"/>
    <w:rsid w:val="001322B6"/>
    <w:rsid w:val="001339A8"/>
    <w:rsid w:val="00134259"/>
    <w:rsid w:val="001400FC"/>
    <w:rsid w:val="0014255F"/>
    <w:rsid w:val="00142D3E"/>
    <w:rsid w:val="00144AB3"/>
    <w:rsid w:val="0014583A"/>
    <w:rsid w:val="0014754A"/>
    <w:rsid w:val="001500D7"/>
    <w:rsid w:val="00150FF2"/>
    <w:rsid w:val="00153CE0"/>
    <w:rsid w:val="00153EE3"/>
    <w:rsid w:val="00154521"/>
    <w:rsid w:val="00154FC6"/>
    <w:rsid w:val="00155C53"/>
    <w:rsid w:val="00155DC4"/>
    <w:rsid w:val="001560AF"/>
    <w:rsid w:val="00156DEE"/>
    <w:rsid w:val="001608DC"/>
    <w:rsid w:val="00163814"/>
    <w:rsid w:val="00170445"/>
    <w:rsid w:val="001712CC"/>
    <w:rsid w:val="00172595"/>
    <w:rsid w:val="001726E5"/>
    <w:rsid w:val="00173984"/>
    <w:rsid w:val="001740DC"/>
    <w:rsid w:val="00175810"/>
    <w:rsid w:val="001759FC"/>
    <w:rsid w:val="00176A82"/>
    <w:rsid w:val="0018140D"/>
    <w:rsid w:val="001842E6"/>
    <w:rsid w:val="00184427"/>
    <w:rsid w:val="00185C13"/>
    <w:rsid w:val="00186D19"/>
    <w:rsid w:val="0019081E"/>
    <w:rsid w:val="001938AC"/>
    <w:rsid w:val="001954E5"/>
    <w:rsid w:val="00195BE7"/>
    <w:rsid w:val="0019645F"/>
    <w:rsid w:val="00196961"/>
    <w:rsid w:val="001970E4"/>
    <w:rsid w:val="001A2898"/>
    <w:rsid w:val="001A3745"/>
    <w:rsid w:val="001A4020"/>
    <w:rsid w:val="001A42FD"/>
    <w:rsid w:val="001A628F"/>
    <w:rsid w:val="001A68EF"/>
    <w:rsid w:val="001A69BA"/>
    <w:rsid w:val="001A7D33"/>
    <w:rsid w:val="001B06AB"/>
    <w:rsid w:val="001B1DE3"/>
    <w:rsid w:val="001B708A"/>
    <w:rsid w:val="001B76AC"/>
    <w:rsid w:val="001C0407"/>
    <w:rsid w:val="001C3BF2"/>
    <w:rsid w:val="001C4614"/>
    <w:rsid w:val="001C7800"/>
    <w:rsid w:val="001D064D"/>
    <w:rsid w:val="001D0B78"/>
    <w:rsid w:val="001D0DDE"/>
    <w:rsid w:val="001D1CEB"/>
    <w:rsid w:val="001D4AE3"/>
    <w:rsid w:val="001D4D98"/>
    <w:rsid w:val="001D7845"/>
    <w:rsid w:val="001D79BF"/>
    <w:rsid w:val="001D7B8B"/>
    <w:rsid w:val="001E1F70"/>
    <w:rsid w:val="001E772C"/>
    <w:rsid w:val="001F03DE"/>
    <w:rsid w:val="001F1232"/>
    <w:rsid w:val="001F600F"/>
    <w:rsid w:val="001F67C5"/>
    <w:rsid w:val="001F7268"/>
    <w:rsid w:val="001F7753"/>
    <w:rsid w:val="001F7AA1"/>
    <w:rsid w:val="001F7D53"/>
    <w:rsid w:val="00201E08"/>
    <w:rsid w:val="00202212"/>
    <w:rsid w:val="00202B6C"/>
    <w:rsid w:val="00203018"/>
    <w:rsid w:val="00204A5A"/>
    <w:rsid w:val="00204BE8"/>
    <w:rsid w:val="002057A0"/>
    <w:rsid w:val="0020761B"/>
    <w:rsid w:val="00210292"/>
    <w:rsid w:val="002107C6"/>
    <w:rsid w:val="00210D4F"/>
    <w:rsid w:val="00210FA9"/>
    <w:rsid w:val="0021122E"/>
    <w:rsid w:val="00211820"/>
    <w:rsid w:val="00213E62"/>
    <w:rsid w:val="0021713F"/>
    <w:rsid w:val="0022091B"/>
    <w:rsid w:val="00224910"/>
    <w:rsid w:val="002251D5"/>
    <w:rsid w:val="002276F0"/>
    <w:rsid w:val="00230892"/>
    <w:rsid w:val="00230B75"/>
    <w:rsid w:val="00230F51"/>
    <w:rsid w:val="0023214B"/>
    <w:rsid w:val="00233330"/>
    <w:rsid w:val="00233396"/>
    <w:rsid w:val="00234226"/>
    <w:rsid w:val="002378DB"/>
    <w:rsid w:val="00240D1F"/>
    <w:rsid w:val="002434AF"/>
    <w:rsid w:val="00243837"/>
    <w:rsid w:val="00246908"/>
    <w:rsid w:val="00250DBC"/>
    <w:rsid w:val="00251B2F"/>
    <w:rsid w:val="00255F16"/>
    <w:rsid w:val="00256DC6"/>
    <w:rsid w:val="00263470"/>
    <w:rsid w:val="00265E3D"/>
    <w:rsid w:val="00265F87"/>
    <w:rsid w:val="00266FBE"/>
    <w:rsid w:val="00267B30"/>
    <w:rsid w:val="00267E90"/>
    <w:rsid w:val="00270C1B"/>
    <w:rsid w:val="002710E9"/>
    <w:rsid w:val="002714EE"/>
    <w:rsid w:val="00273B2F"/>
    <w:rsid w:val="00274C97"/>
    <w:rsid w:val="00275C41"/>
    <w:rsid w:val="00277729"/>
    <w:rsid w:val="0028003C"/>
    <w:rsid w:val="002802A6"/>
    <w:rsid w:val="0028047E"/>
    <w:rsid w:val="00280D31"/>
    <w:rsid w:val="00280E45"/>
    <w:rsid w:val="00284232"/>
    <w:rsid w:val="0028650B"/>
    <w:rsid w:val="00290AD8"/>
    <w:rsid w:val="002930F7"/>
    <w:rsid w:val="00297BC6"/>
    <w:rsid w:val="002A19FF"/>
    <w:rsid w:val="002A411D"/>
    <w:rsid w:val="002A4496"/>
    <w:rsid w:val="002A59E0"/>
    <w:rsid w:val="002B0ECE"/>
    <w:rsid w:val="002B24EA"/>
    <w:rsid w:val="002B3E67"/>
    <w:rsid w:val="002B435E"/>
    <w:rsid w:val="002B4AE9"/>
    <w:rsid w:val="002B66D9"/>
    <w:rsid w:val="002B721A"/>
    <w:rsid w:val="002B737E"/>
    <w:rsid w:val="002B78BB"/>
    <w:rsid w:val="002C1932"/>
    <w:rsid w:val="002C4104"/>
    <w:rsid w:val="002C4853"/>
    <w:rsid w:val="002C50D9"/>
    <w:rsid w:val="002C7DC0"/>
    <w:rsid w:val="002D0891"/>
    <w:rsid w:val="002D1BE5"/>
    <w:rsid w:val="002D266C"/>
    <w:rsid w:val="002D2904"/>
    <w:rsid w:val="002D2B91"/>
    <w:rsid w:val="002D3FB0"/>
    <w:rsid w:val="002D5419"/>
    <w:rsid w:val="002D7197"/>
    <w:rsid w:val="002D71E6"/>
    <w:rsid w:val="002E091C"/>
    <w:rsid w:val="002E26B0"/>
    <w:rsid w:val="002E4AC2"/>
    <w:rsid w:val="002E4B58"/>
    <w:rsid w:val="002E61DD"/>
    <w:rsid w:val="002E7654"/>
    <w:rsid w:val="002E7C3D"/>
    <w:rsid w:val="002F05A0"/>
    <w:rsid w:val="002F111F"/>
    <w:rsid w:val="002F209F"/>
    <w:rsid w:val="002F2174"/>
    <w:rsid w:val="002F243A"/>
    <w:rsid w:val="002F2CEF"/>
    <w:rsid w:val="002F2FE9"/>
    <w:rsid w:val="002F51F1"/>
    <w:rsid w:val="003002FB"/>
    <w:rsid w:val="00301CF4"/>
    <w:rsid w:val="00305BBC"/>
    <w:rsid w:val="00306786"/>
    <w:rsid w:val="00306847"/>
    <w:rsid w:val="00311630"/>
    <w:rsid w:val="00314527"/>
    <w:rsid w:val="00314F7E"/>
    <w:rsid w:val="00315963"/>
    <w:rsid w:val="003175F4"/>
    <w:rsid w:val="00320DA9"/>
    <w:rsid w:val="00320E1F"/>
    <w:rsid w:val="00321427"/>
    <w:rsid w:val="00322FC8"/>
    <w:rsid w:val="00323237"/>
    <w:rsid w:val="00323BD1"/>
    <w:rsid w:val="003259E3"/>
    <w:rsid w:val="0032636B"/>
    <w:rsid w:val="00326CC2"/>
    <w:rsid w:val="0033208A"/>
    <w:rsid w:val="003353C4"/>
    <w:rsid w:val="00335DDD"/>
    <w:rsid w:val="00340F12"/>
    <w:rsid w:val="00341831"/>
    <w:rsid w:val="0034195D"/>
    <w:rsid w:val="003423B7"/>
    <w:rsid w:val="00342F81"/>
    <w:rsid w:val="00344CCD"/>
    <w:rsid w:val="003462F1"/>
    <w:rsid w:val="00346DD5"/>
    <w:rsid w:val="003473C4"/>
    <w:rsid w:val="00347640"/>
    <w:rsid w:val="00347B39"/>
    <w:rsid w:val="00353D68"/>
    <w:rsid w:val="00354401"/>
    <w:rsid w:val="00354C01"/>
    <w:rsid w:val="00357020"/>
    <w:rsid w:val="003611EC"/>
    <w:rsid w:val="00364DE0"/>
    <w:rsid w:val="003660D1"/>
    <w:rsid w:val="00366382"/>
    <w:rsid w:val="0036709D"/>
    <w:rsid w:val="00370CBC"/>
    <w:rsid w:val="00373930"/>
    <w:rsid w:val="00375CFD"/>
    <w:rsid w:val="00376C53"/>
    <w:rsid w:val="003776CC"/>
    <w:rsid w:val="00380458"/>
    <w:rsid w:val="00382D39"/>
    <w:rsid w:val="0038574B"/>
    <w:rsid w:val="00385E84"/>
    <w:rsid w:val="0038773F"/>
    <w:rsid w:val="003877C9"/>
    <w:rsid w:val="00390B1E"/>
    <w:rsid w:val="003920D9"/>
    <w:rsid w:val="0039335F"/>
    <w:rsid w:val="003935CF"/>
    <w:rsid w:val="003943AA"/>
    <w:rsid w:val="00395A68"/>
    <w:rsid w:val="003A07DB"/>
    <w:rsid w:val="003A20A5"/>
    <w:rsid w:val="003A22D1"/>
    <w:rsid w:val="003A33F1"/>
    <w:rsid w:val="003A4487"/>
    <w:rsid w:val="003A4A9B"/>
    <w:rsid w:val="003A5026"/>
    <w:rsid w:val="003A5ACD"/>
    <w:rsid w:val="003A5FEB"/>
    <w:rsid w:val="003A768F"/>
    <w:rsid w:val="003A7FBF"/>
    <w:rsid w:val="003B08FC"/>
    <w:rsid w:val="003B0E16"/>
    <w:rsid w:val="003B1A4E"/>
    <w:rsid w:val="003B1EFF"/>
    <w:rsid w:val="003B5B05"/>
    <w:rsid w:val="003B75F7"/>
    <w:rsid w:val="003B7FC1"/>
    <w:rsid w:val="003C072C"/>
    <w:rsid w:val="003C0EF1"/>
    <w:rsid w:val="003C0FF3"/>
    <w:rsid w:val="003C39EC"/>
    <w:rsid w:val="003C4306"/>
    <w:rsid w:val="003C5452"/>
    <w:rsid w:val="003C6582"/>
    <w:rsid w:val="003C65AE"/>
    <w:rsid w:val="003C713D"/>
    <w:rsid w:val="003C749B"/>
    <w:rsid w:val="003D4055"/>
    <w:rsid w:val="003D4458"/>
    <w:rsid w:val="003D623A"/>
    <w:rsid w:val="003E0573"/>
    <w:rsid w:val="003E0604"/>
    <w:rsid w:val="003E08B2"/>
    <w:rsid w:val="003E1C45"/>
    <w:rsid w:val="003E3B72"/>
    <w:rsid w:val="003E4B67"/>
    <w:rsid w:val="003E563D"/>
    <w:rsid w:val="003E60FA"/>
    <w:rsid w:val="003E62F8"/>
    <w:rsid w:val="003E69CA"/>
    <w:rsid w:val="003F0C78"/>
    <w:rsid w:val="003F28A5"/>
    <w:rsid w:val="003F39AD"/>
    <w:rsid w:val="003F4ED6"/>
    <w:rsid w:val="003F5583"/>
    <w:rsid w:val="003F6EFD"/>
    <w:rsid w:val="00400C49"/>
    <w:rsid w:val="0040108C"/>
    <w:rsid w:val="00404A3F"/>
    <w:rsid w:val="00404F8B"/>
    <w:rsid w:val="00407086"/>
    <w:rsid w:val="00410DF0"/>
    <w:rsid w:val="00412B3E"/>
    <w:rsid w:val="00413B11"/>
    <w:rsid w:val="004151E1"/>
    <w:rsid w:val="00422AA6"/>
    <w:rsid w:val="00423584"/>
    <w:rsid w:val="00423915"/>
    <w:rsid w:val="004253B9"/>
    <w:rsid w:val="00426569"/>
    <w:rsid w:val="004314F8"/>
    <w:rsid w:val="0043345A"/>
    <w:rsid w:val="00433C1C"/>
    <w:rsid w:val="00435E27"/>
    <w:rsid w:val="0043601B"/>
    <w:rsid w:val="00436A98"/>
    <w:rsid w:val="00436D5A"/>
    <w:rsid w:val="004374EF"/>
    <w:rsid w:val="00437762"/>
    <w:rsid w:val="004418BA"/>
    <w:rsid w:val="0044323B"/>
    <w:rsid w:val="004432A7"/>
    <w:rsid w:val="0044621C"/>
    <w:rsid w:val="004462F1"/>
    <w:rsid w:val="004512ED"/>
    <w:rsid w:val="004518F6"/>
    <w:rsid w:val="004519CE"/>
    <w:rsid w:val="004532A1"/>
    <w:rsid w:val="00454410"/>
    <w:rsid w:val="0045452B"/>
    <w:rsid w:val="004565A2"/>
    <w:rsid w:val="00457938"/>
    <w:rsid w:val="00457AFC"/>
    <w:rsid w:val="00457C91"/>
    <w:rsid w:val="00457DE8"/>
    <w:rsid w:val="0046076C"/>
    <w:rsid w:val="00460864"/>
    <w:rsid w:val="0046202E"/>
    <w:rsid w:val="00463B96"/>
    <w:rsid w:val="00464659"/>
    <w:rsid w:val="00467CAD"/>
    <w:rsid w:val="00467E92"/>
    <w:rsid w:val="004706FD"/>
    <w:rsid w:val="004766E2"/>
    <w:rsid w:val="00477E60"/>
    <w:rsid w:val="0048102D"/>
    <w:rsid w:val="00482B62"/>
    <w:rsid w:val="00483351"/>
    <w:rsid w:val="0048465C"/>
    <w:rsid w:val="00485248"/>
    <w:rsid w:val="00485516"/>
    <w:rsid w:val="00485D1D"/>
    <w:rsid w:val="00486074"/>
    <w:rsid w:val="00486426"/>
    <w:rsid w:val="00486835"/>
    <w:rsid w:val="00487713"/>
    <w:rsid w:val="00487951"/>
    <w:rsid w:val="004910D2"/>
    <w:rsid w:val="00491E27"/>
    <w:rsid w:val="00491EFD"/>
    <w:rsid w:val="004948F3"/>
    <w:rsid w:val="00495015"/>
    <w:rsid w:val="00497C05"/>
    <w:rsid w:val="004A011E"/>
    <w:rsid w:val="004A03FE"/>
    <w:rsid w:val="004A0794"/>
    <w:rsid w:val="004A1D9F"/>
    <w:rsid w:val="004A2212"/>
    <w:rsid w:val="004A2776"/>
    <w:rsid w:val="004A4D9B"/>
    <w:rsid w:val="004A555B"/>
    <w:rsid w:val="004A6D06"/>
    <w:rsid w:val="004A7F22"/>
    <w:rsid w:val="004B0157"/>
    <w:rsid w:val="004B102D"/>
    <w:rsid w:val="004B2551"/>
    <w:rsid w:val="004B6595"/>
    <w:rsid w:val="004B6866"/>
    <w:rsid w:val="004B7412"/>
    <w:rsid w:val="004C074F"/>
    <w:rsid w:val="004C2E10"/>
    <w:rsid w:val="004C3529"/>
    <w:rsid w:val="004C6F2B"/>
    <w:rsid w:val="004C73A6"/>
    <w:rsid w:val="004D023E"/>
    <w:rsid w:val="004D172B"/>
    <w:rsid w:val="004D3754"/>
    <w:rsid w:val="004D555D"/>
    <w:rsid w:val="004D7102"/>
    <w:rsid w:val="004E1130"/>
    <w:rsid w:val="004E3047"/>
    <w:rsid w:val="004E34C1"/>
    <w:rsid w:val="004E7899"/>
    <w:rsid w:val="004E7FAD"/>
    <w:rsid w:val="004F016A"/>
    <w:rsid w:val="004F1C28"/>
    <w:rsid w:val="004F1CAA"/>
    <w:rsid w:val="004F41DA"/>
    <w:rsid w:val="004F4521"/>
    <w:rsid w:val="004F57E4"/>
    <w:rsid w:val="004F6906"/>
    <w:rsid w:val="00502B58"/>
    <w:rsid w:val="00502C5B"/>
    <w:rsid w:val="00504894"/>
    <w:rsid w:val="00505015"/>
    <w:rsid w:val="00505767"/>
    <w:rsid w:val="005066BB"/>
    <w:rsid w:val="0050671D"/>
    <w:rsid w:val="00506E30"/>
    <w:rsid w:val="005078A9"/>
    <w:rsid w:val="00510088"/>
    <w:rsid w:val="00511B11"/>
    <w:rsid w:val="00512CAB"/>
    <w:rsid w:val="00512F9E"/>
    <w:rsid w:val="00513392"/>
    <w:rsid w:val="00514377"/>
    <w:rsid w:val="005148DE"/>
    <w:rsid w:val="00515F49"/>
    <w:rsid w:val="00516464"/>
    <w:rsid w:val="00516970"/>
    <w:rsid w:val="00517E2C"/>
    <w:rsid w:val="005202B6"/>
    <w:rsid w:val="0052157F"/>
    <w:rsid w:val="00522D14"/>
    <w:rsid w:val="00523500"/>
    <w:rsid w:val="00523938"/>
    <w:rsid w:val="00527093"/>
    <w:rsid w:val="005270F2"/>
    <w:rsid w:val="00527905"/>
    <w:rsid w:val="00530AD3"/>
    <w:rsid w:val="00532537"/>
    <w:rsid w:val="00532A7C"/>
    <w:rsid w:val="00532E06"/>
    <w:rsid w:val="00533155"/>
    <w:rsid w:val="00533E3F"/>
    <w:rsid w:val="00534279"/>
    <w:rsid w:val="00536069"/>
    <w:rsid w:val="00540CCF"/>
    <w:rsid w:val="00541022"/>
    <w:rsid w:val="0054137F"/>
    <w:rsid w:val="005431D2"/>
    <w:rsid w:val="0054408B"/>
    <w:rsid w:val="00544D78"/>
    <w:rsid w:val="00544E15"/>
    <w:rsid w:val="00545752"/>
    <w:rsid w:val="00545E10"/>
    <w:rsid w:val="00545FF7"/>
    <w:rsid w:val="00546695"/>
    <w:rsid w:val="00551818"/>
    <w:rsid w:val="00555BE8"/>
    <w:rsid w:val="00560905"/>
    <w:rsid w:val="00560AC5"/>
    <w:rsid w:val="00562CA2"/>
    <w:rsid w:val="00562D0F"/>
    <w:rsid w:val="0056327D"/>
    <w:rsid w:val="005644EC"/>
    <w:rsid w:val="00565515"/>
    <w:rsid w:val="00565D0E"/>
    <w:rsid w:val="00566918"/>
    <w:rsid w:val="00571A99"/>
    <w:rsid w:val="0057275B"/>
    <w:rsid w:val="00574D17"/>
    <w:rsid w:val="00576579"/>
    <w:rsid w:val="00577057"/>
    <w:rsid w:val="00577FEC"/>
    <w:rsid w:val="00585B2F"/>
    <w:rsid w:val="005877F8"/>
    <w:rsid w:val="00591FC5"/>
    <w:rsid w:val="0059298F"/>
    <w:rsid w:val="0059345A"/>
    <w:rsid w:val="005948DE"/>
    <w:rsid w:val="00596B38"/>
    <w:rsid w:val="00596E42"/>
    <w:rsid w:val="005A04A6"/>
    <w:rsid w:val="005A1641"/>
    <w:rsid w:val="005A5466"/>
    <w:rsid w:val="005A5E3C"/>
    <w:rsid w:val="005A61AA"/>
    <w:rsid w:val="005A61DD"/>
    <w:rsid w:val="005B1A9B"/>
    <w:rsid w:val="005B2893"/>
    <w:rsid w:val="005B3372"/>
    <w:rsid w:val="005B3679"/>
    <w:rsid w:val="005B3E2D"/>
    <w:rsid w:val="005B4514"/>
    <w:rsid w:val="005B57BE"/>
    <w:rsid w:val="005B6262"/>
    <w:rsid w:val="005B6719"/>
    <w:rsid w:val="005B6CF2"/>
    <w:rsid w:val="005C0C04"/>
    <w:rsid w:val="005C1C90"/>
    <w:rsid w:val="005C1D7F"/>
    <w:rsid w:val="005C2308"/>
    <w:rsid w:val="005C25B3"/>
    <w:rsid w:val="005C2D37"/>
    <w:rsid w:val="005C53D3"/>
    <w:rsid w:val="005C5A0D"/>
    <w:rsid w:val="005C607A"/>
    <w:rsid w:val="005C6767"/>
    <w:rsid w:val="005C6CB2"/>
    <w:rsid w:val="005C7EC3"/>
    <w:rsid w:val="005D7F10"/>
    <w:rsid w:val="005E17AC"/>
    <w:rsid w:val="005E4E3C"/>
    <w:rsid w:val="005E508B"/>
    <w:rsid w:val="005E551F"/>
    <w:rsid w:val="005E66C3"/>
    <w:rsid w:val="005F018F"/>
    <w:rsid w:val="005F2AA8"/>
    <w:rsid w:val="005F2F03"/>
    <w:rsid w:val="005F3D70"/>
    <w:rsid w:val="005F3EC2"/>
    <w:rsid w:val="005F4607"/>
    <w:rsid w:val="005F5440"/>
    <w:rsid w:val="005F566D"/>
    <w:rsid w:val="005F777E"/>
    <w:rsid w:val="005F7D7E"/>
    <w:rsid w:val="00602589"/>
    <w:rsid w:val="006027DF"/>
    <w:rsid w:val="00602932"/>
    <w:rsid w:val="00602D80"/>
    <w:rsid w:val="006048DE"/>
    <w:rsid w:val="00605363"/>
    <w:rsid w:val="00606A73"/>
    <w:rsid w:val="00607C71"/>
    <w:rsid w:val="0061023E"/>
    <w:rsid w:val="00610757"/>
    <w:rsid w:val="00610C5E"/>
    <w:rsid w:val="00611702"/>
    <w:rsid w:val="00614B05"/>
    <w:rsid w:val="00614D44"/>
    <w:rsid w:val="006176A2"/>
    <w:rsid w:val="00621990"/>
    <w:rsid w:val="006220A6"/>
    <w:rsid w:val="006221EF"/>
    <w:rsid w:val="0062320F"/>
    <w:rsid w:val="00626812"/>
    <w:rsid w:val="00626A3D"/>
    <w:rsid w:val="00626D24"/>
    <w:rsid w:val="00631B6A"/>
    <w:rsid w:val="00632C14"/>
    <w:rsid w:val="00634005"/>
    <w:rsid w:val="00636F3E"/>
    <w:rsid w:val="00636F8D"/>
    <w:rsid w:val="006405BB"/>
    <w:rsid w:val="00640CB9"/>
    <w:rsid w:val="00640DF4"/>
    <w:rsid w:val="0064390E"/>
    <w:rsid w:val="00645D56"/>
    <w:rsid w:val="00651B7E"/>
    <w:rsid w:val="00651E63"/>
    <w:rsid w:val="00655363"/>
    <w:rsid w:val="00660AF4"/>
    <w:rsid w:val="00661149"/>
    <w:rsid w:val="00663F97"/>
    <w:rsid w:val="00663FA7"/>
    <w:rsid w:val="00666EAF"/>
    <w:rsid w:val="0066754C"/>
    <w:rsid w:val="00667759"/>
    <w:rsid w:val="00667878"/>
    <w:rsid w:val="006704AB"/>
    <w:rsid w:val="006706ED"/>
    <w:rsid w:val="00670913"/>
    <w:rsid w:val="00670958"/>
    <w:rsid w:val="006713DA"/>
    <w:rsid w:val="0067181E"/>
    <w:rsid w:val="006725DD"/>
    <w:rsid w:val="0067302F"/>
    <w:rsid w:val="00675402"/>
    <w:rsid w:val="00675AB1"/>
    <w:rsid w:val="00675FC7"/>
    <w:rsid w:val="00676912"/>
    <w:rsid w:val="00677F74"/>
    <w:rsid w:val="00680D36"/>
    <w:rsid w:val="00681DC7"/>
    <w:rsid w:val="00682437"/>
    <w:rsid w:val="006827C2"/>
    <w:rsid w:val="00684F35"/>
    <w:rsid w:val="0068779F"/>
    <w:rsid w:val="00687EA4"/>
    <w:rsid w:val="00693310"/>
    <w:rsid w:val="00693ABD"/>
    <w:rsid w:val="00693BE6"/>
    <w:rsid w:val="00695299"/>
    <w:rsid w:val="00695B1A"/>
    <w:rsid w:val="00696053"/>
    <w:rsid w:val="00697483"/>
    <w:rsid w:val="006A11CC"/>
    <w:rsid w:val="006A3BB0"/>
    <w:rsid w:val="006A478C"/>
    <w:rsid w:val="006B07F5"/>
    <w:rsid w:val="006B23EB"/>
    <w:rsid w:val="006B3E66"/>
    <w:rsid w:val="006B4374"/>
    <w:rsid w:val="006B518D"/>
    <w:rsid w:val="006B5CD8"/>
    <w:rsid w:val="006B659F"/>
    <w:rsid w:val="006C25B1"/>
    <w:rsid w:val="006C2784"/>
    <w:rsid w:val="006C4086"/>
    <w:rsid w:val="006C41D6"/>
    <w:rsid w:val="006C452A"/>
    <w:rsid w:val="006C5A2C"/>
    <w:rsid w:val="006C60E2"/>
    <w:rsid w:val="006D0E67"/>
    <w:rsid w:val="006D0F70"/>
    <w:rsid w:val="006D2E64"/>
    <w:rsid w:val="006D3148"/>
    <w:rsid w:val="006D5E21"/>
    <w:rsid w:val="006D699B"/>
    <w:rsid w:val="006D6FE3"/>
    <w:rsid w:val="006E0122"/>
    <w:rsid w:val="006E018D"/>
    <w:rsid w:val="006E01E3"/>
    <w:rsid w:val="006E0C15"/>
    <w:rsid w:val="006E0D91"/>
    <w:rsid w:val="006E21D1"/>
    <w:rsid w:val="006E39F6"/>
    <w:rsid w:val="006E431E"/>
    <w:rsid w:val="006E5C51"/>
    <w:rsid w:val="006E6526"/>
    <w:rsid w:val="006F02D6"/>
    <w:rsid w:val="006F1655"/>
    <w:rsid w:val="006F268C"/>
    <w:rsid w:val="006F296F"/>
    <w:rsid w:val="006F48C3"/>
    <w:rsid w:val="006F66DB"/>
    <w:rsid w:val="006F748B"/>
    <w:rsid w:val="007002F7"/>
    <w:rsid w:val="007015A1"/>
    <w:rsid w:val="00702C84"/>
    <w:rsid w:val="00702EB9"/>
    <w:rsid w:val="0070306C"/>
    <w:rsid w:val="0070376C"/>
    <w:rsid w:val="00704264"/>
    <w:rsid w:val="007047D3"/>
    <w:rsid w:val="007070A6"/>
    <w:rsid w:val="007105F0"/>
    <w:rsid w:val="00710888"/>
    <w:rsid w:val="00710DD4"/>
    <w:rsid w:val="00711140"/>
    <w:rsid w:val="007116DA"/>
    <w:rsid w:val="0071267B"/>
    <w:rsid w:val="0071287D"/>
    <w:rsid w:val="00712E69"/>
    <w:rsid w:val="00713A69"/>
    <w:rsid w:val="00713A78"/>
    <w:rsid w:val="00714A77"/>
    <w:rsid w:val="0071588E"/>
    <w:rsid w:val="00720118"/>
    <w:rsid w:val="007219C3"/>
    <w:rsid w:val="00721A10"/>
    <w:rsid w:val="00721CE0"/>
    <w:rsid w:val="00725509"/>
    <w:rsid w:val="0073090E"/>
    <w:rsid w:val="00731217"/>
    <w:rsid w:val="00731B87"/>
    <w:rsid w:val="00732227"/>
    <w:rsid w:val="007322FF"/>
    <w:rsid w:val="00732C88"/>
    <w:rsid w:val="007334DB"/>
    <w:rsid w:val="0073705F"/>
    <w:rsid w:val="0074070E"/>
    <w:rsid w:val="007412AB"/>
    <w:rsid w:val="00741C7A"/>
    <w:rsid w:val="00741E27"/>
    <w:rsid w:val="00742A6A"/>
    <w:rsid w:val="00743236"/>
    <w:rsid w:val="00744200"/>
    <w:rsid w:val="00744408"/>
    <w:rsid w:val="0074564A"/>
    <w:rsid w:val="007469A9"/>
    <w:rsid w:val="00746A70"/>
    <w:rsid w:val="007472DC"/>
    <w:rsid w:val="00750E2D"/>
    <w:rsid w:val="00752057"/>
    <w:rsid w:val="00753285"/>
    <w:rsid w:val="00753EE4"/>
    <w:rsid w:val="00753F81"/>
    <w:rsid w:val="007541E7"/>
    <w:rsid w:val="00754355"/>
    <w:rsid w:val="007545E2"/>
    <w:rsid w:val="00754693"/>
    <w:rsid w:val="00760D0C"/>
    <w:rsid w:val="007610CF"/>
    <w:rsid w:val="00762F90"/>
    <w:rsid w:val="0076653E"/>
    <w:rsid w:val="0077029A"/>
    <w:rsid w:val="00771498"/>
    <w:rsid w:val="0077206F"/>
    <w:rsid w:val="00772A34"/>
    <w:rsid w:val="00773F84"/>
    <w:rsid w:val="00775210"/>
    <w:rsid w:val="00775CDE"/>
    <w:rsid w:val="00781F78"/>
    <w:rsid w:val="00782B8A"/>
    <w:rsid w:val="00782F44"/>
    <w:rsid w:val="00783CF8"/>
    <w:rsid w:val="00784B61"/>
    <w:rsid w:val="0078500C"/>
    <w:rsid w:val="00785F66"/>
    <w:rsid w:val="007872C4"/>
    <w:rsid w:val="00790054"/>
    <w:rsid w:val="00790878"/>
    <w:rsid w:val="0079463C"/>
    <w:rsid w:val="00796368"/>
    <w:rsid w:val="007964A3"/>
    <w:rsid w:val="00796C93"/>
    <w:rsid w:val="00797879"/>
    <w:rsid w:val="007979D8"/>
    <w:rsid w:val="007A0265"/>
    <w:rsid w:val="007A177D"/>
    <w:rsid w:val="007A2A74"/>
    <w:rsid w:val="007A3BC3"/>
    <w:rsid w:val="007A5D34"/>
    <w:rsid w:val="007A5E44"/>
    <w:rsid w:val="007A6615"/>
    <w:rsid w:val="007A66A8"/>
    <w:rsid w:val="007B06A0"/>
    <w:rsid w:val="007B0CB5"/>
    <w:rsid w:val="007B136C"/>
    <w:rsid w:val="007B1D99"/>
    <w:rsid w:val="007B1DFE"/>
    <w:rsid w:val="007B4265"/>
    <w:rsid w:val="007B4D94"/>
    <w:rsid w:val="007B584E"/>
    <w:rsid w:val="007B5919"/>
    <w:rsid w:val="007B5CA5"/>
    <w:rsid w:val="007B7FF6"/>
    <w:rsid w:val="007C0ADB"/>
    <w:rsid w:val="007C4A58"/>
    <w:rsid w:val="007C61F6"/>
    <w:rsid w:val="007C7DCD"/>
    <w:rsid w:val="007D2565"/>
    <w:rsid w:val="007D2709"/>
    <w:rsid w:val="007D30A6"/>
    <w:rsid w:val="007D4065"/>
    <w:rsid w:val="007E07E8"/>
    <w:rsid w:val="007E4FEB"/>
    <w:rsid w:val="007E723F"/>
    <w:rsid w:val="007F272F"/>
    <w:rsid w:val="007F5F1B"/>
    <w:rsid w:val="00804DAE"/>
    <w:rsid w:val="008108B3"/>
    <w:rsid w:val="008122A2"/>
    <w:rsid w:val="00813985"/>
    <w:rsid w:val="008146DC"/>
    <w:rsid w:val="00816002"/>
    <w:rsid w:val="008227CA"/>
    <w:rsid w:val="00823E12"/>
    <w:rsid w:val="008252E8"/>
    <w:rsid w:val="00826005"/>
    <w:rsid w:val="00826213"/>
    <w:rsid w:val="00830175"/>
    <w:rsid w:val="008305FF"/>
    <w:rsid w:val="00832729"/>
    <w:rsid w:val="00832BDD"/>
    <w:rsid w:val="00833C76"/>
    <w:rsid w:val="00834819"/>
    <w:rsid w:val="00834945"/>
    <w:rsid w:val="00835A18"/>
    <w:rsid w:val="008406A0"/>
    <w:rsid w:val="008406C9"/>
    <w:rsid w:val="00841988"/>
    <w:rsid w:val="0084358A"/>
    <w:rsid w:val="008463BB"/>
    <w:rsid w:val="00846441"/>
    <w:rsid w:val="00846943"/>
    <w:rsid w:val="008472F4"/>
    <w:rsid w:val="00850548"/>
    <w:rsid w:val="008518FC"/>
    <w:rsid w:val="00851901"/>
    <w:rsid w:val="00854073"/>
    <w:rsid w:val="00855D6C"/>
    <w:rsid w:val="00856AA3"/>
    <w:rsid w:val="00857EEF"/>
    <w:rsid w:val="00857F87"/>
    <w:rsid w:val="008602A2"/>
    <w:rsid w:val="00861BC5"/>
    <w:rsid w:val="008633C7"/>
    <w:rsid w:val="00863DC4"/>
    <w:rsid w:val="00864BE0"/>
    <w:rsid w:val="00864DEE"/>
    <w:rsid w:val="0086549E"/>
    <w:rsid w:val="008667FC"/>
    <w:rsid w:val="00867ED3"/>
    <w:rsid w:val="00871C65"/>
    <w:rsid w:val="0087284A"/>
    <w:rsid w:val="00872DAD"/>
    <w:rsid w:val="008766DC"/>
    <w:rsid w:val="00877D93"/>
    <w:rsid w:val="00880770"/>
    <w:rsid w:val="00880D1D"/>
    <w:rsid w:val="00881664"/>
    <w:rsid w:val="0088256B"/>
    <w:rsid w:val="008830E9"/>
    <w:rsid w:val="00883492"/>
    <w:rsid w:val="00883683"/>
    <w:rsid w:val="00885800"/>
    <w:rsid w:val="0088620E"/>
    <w:rsid w:val="00886BDD"/>
    <w:rsid w:val="00886CA8"/>
    <w:rsid w:val="008870E5"/>
    <w:rsid w:val="00891D8D"/>
    <w:rsid w:val="008942EE"/>
    <w:rsid w:val="00894D2B"/>
    <w:rsid w:val="00895C72"/>
    <w:rsid w:val="008979FC"/>
    <w:rsid w:val="00897C9A"/>
    <w:rsid w:val="008A0186"/>
    <w:rsid w:val="008A09B6"/>
    <w:rsid w:val="008A1DC4"/>
    <w:rsid w:val="008A20B2"/>
    <w:rsid w:val="008A223B"/>
    <w:rsid w:val="008A2959"/>
    <w:rsid w:val="008A2F40"/>
    <w:rsid w:val="008A48DF"/>
    <w:rsid w:val="008A4F38"/>
    <w:rsid w:val="008A503A"/>
    <w:rsid w:val="008A6103"/>
    <w:rsid w:val="008A683C"/>
    <w:rsid w:val="008A6F82"/>
    <w:rsid w:val="008B06D8"/>
    <w:rsid w:val="008B0CC7"/>
    <w:rsid w:val="008B37C1"/>
    <w:rsid w:val="008B3E00"/>
    <w:rsid w:val="008B5C6A"/>
    <w:rsid w:val="008B5EC3"/>
    <w:rsid w:val="008C1490"/>
    <w:rsid w:val="008C1A2E"/>
    <w:rsid w:val="008C4A1D"/>
    <w:rsid w:val="008D1547"/>
    <w:rsid w:val="008D3120"/>
    <w:rsid w:val="008D359B"/>
    <w:rsid w:val="008D52B8"/>
    <w:rsid w:val="008D6506"/>
    <w:rsid w:val="008D6807"/>
    <w:rsid w:val="008D687A"/>
    <w:rsid w:val="008E0421"/>
    <w:rsid w:val="008E08E3"/>
    <w:rsid w:val="008E0EF0"/>
    <w:rsid w:val="008E12D5"/>
    <w:rsid w:val="008E21E6"/>
    <w:rsid w:val="008E2595"/>
    <w:rsid w:val="008E265D"/>
    <w:rsid w:val="008E2E23"/>
    <w:rsid w:val="008E335F"/>
    <w:rsid w:val="008E3AF6"/>
    <w:rsid w:val="008E5B63"/>
    <w:rsid w:val="008E5C99"/>
    <w:rsid w:val="008E601D"/>
    <w:rsid w:val="008F3046"/>
    <w:rsid w:val="008F5C7C"/>
    <w:rsid w:val="009005D9"/>
    <w:rsid w:val="0090202D"/>
    <w:rsid w:val="00904607"/>
    <w:rsid w:val="00904CEC"/>
    <w:rsid w:val="00905C25"/>
    <w:rsid w:val="00910425"/>
    <w:rsid w:val="00910769"/>
    <w:rsid w:val="00911FDF"/>
    <w:rsid w:val="0091437F"/>
    <w:rsid w:val="0091514C"/>
    <w:rsid w:val="009153B0"/>
    <w:rsid w:val="00921D07"/>
    <w:rsid w:val="00921F71"/>
    <w:rsid w:val="0092270D"/>
    <w:rsid w:val="0093092D"/>
    <w:rsid w:val="0093172F"/>
    <w:rsid w:val="009325ED"/>
    <w:rsid w:val="0093598A"/>
    <w:rsid w:val="0093685C"/>
    <w:rsid w:val="009369E9"/>
    <w:rsid w:val="00937097"/>
    <w:rsid w:val="0093721E"/>
    <w:rsid w:val="00940DA6"/>
    <w:rsid w:val="00941585"/>
    <w:rsid w:val="009444CB"/>
    <w:rsid w:val="00946135"/>
    <w:rsid w:val="00947C08"/>
    <w:rsid w:val="00952D30"/>
    <w:rsid w:val="00954B02"/>
    <w:rsid w:val="00955118"/>
    <w:rsid w:val="00955421"/>
    <w:rsid w:val="00955542"/>
    <w:rsid w:val="0095565D"/>
    <w:rsid w:val="00955F65"/>
    <w:rsid w:val="00956C16"/>
    <w:rsid w:val="009570F5"/>
    <w:rsid w:val="00961768"/>
    <w:rsid w:val="0096353C"/>
    <w:rsid w:val="0096572B"/>
    <w:rsid w:val="009665FA"/>
    <w:rsid w:val="0097013A"/>
    <w:rsid w:val="009707D8"/>
    <w:rsid w:val="00971FD2"/>
    <w:rsid w:val="0097383A"/>
    <w:rsid w:val="00974126"/>
    <w:rsid w:val="009748F4"/>
    <w:rsid w:val="00975877"/>
    <w:rsid w:val="00975C73"/>
    <w:rsid w:val="009762CA"/>
    <w:rsid w:val="009800DD"/>
    <w:rsid w:val="009806FE"/>
    <w:rsid w:val="009815B9"/>
    <w:rsid w:val="00982280"/>
    <w:rsid w:val="009833D0"/>
    <w:rsid w:val="00986550"/>
    <w:rsid w:val="00986F99"/>
    <w:rsid w:val="009900C8"/>
    <w:rsid w:val="009922DA"/>
    <w:rsid w:val="00993BB5"/>
    <w:rsid w:val="00993E7C"/>
    <w:rsid w:val="00993F28"/>
    <w:rsid w:val="00995EC9"/>
    <w:rsid w:val="00997E5A"/>
    <w:rsid w:val="009A0EA9"/>
    <w:rsid w:val="009A16B2"/>
    <w:rsid w:val="009A1DB5"/>
    <w:rsid w:val="009A22B0"/>
    <w:rsid w:val="009A41DF"/>
    <w:rsid w:val="009A6B89"/>
    <w:rsid w:val="009B2ED2"/>
    <w:rsid w:val="009B3193"/>
    <w:rsid w:val="009B39AD"/>
    <w:rsid w:val="009B401F"/>
    <w:rsid w:val="009B47BA"/>
    <w:rsid w:val="009B4BF9"/>
    <w:rsid w:val="009B4D5C"/>
    <w:rsid w:val="009B506D"/>
    <w:rsid w:val="009B70C4"/>
    <w:rsid w:val="009B7967"/>
    <w:rsid w:val="009C091A"/>
    <w:rsid w:val="009C255B"/>
    <w:rsid w:val="009C41D8"/>
    <w:rsid w:val="009C4AFA"/>
    <w:rsid w:val="009C4B13"/>
    <w:rsid w:val="009C50B9"/>
    <w:rsid w:val="009C570B"/>
    <w:rsid w:val="009C6205"/>
    <w:rsid w:val="009C78FF"/>
    <w:rsid w:val="009C7ABA"/>
    <w:rsid w:val="009C7B72"/>
    <w:rsid w:val="009D01CA"/>
    <w:rsid w:val="009D10BF"/>
    <w:rsid w:val="009D1AED"/>
    <w:rsid w:val="009D24A1"/>
    <w:rsid w:val="009D284B"/>
    <w:rsid w:val="009D2950"/>
    <w:rsid w:val="009D2AD9"/>
    <w:rsid w:val="009D4951"/>
    <w:rsid w:val="009D61AD"/>
    <w:rsid w:val="009D67D1"/>
    <w:rsid w:val="009D7970"/>
    <w:rsid w:val="009E0845"/>
    <w:rsid w:val="009E1BB8"/>
    <w:rsid w:val="009E20FB"/>
    <w:rsid w:val="009E4041"/>
    <w:rsid w:val="009E4D89"/>
    <w:rsid w:val="009E5E01"/>
    <w:rsid w:val="009E7591"/>
    <w:rsid w:val="009F4AFB"/>
    <w:rsid w:val="009F6397"/>
    <w:rsid w:val="009F74AD"/>
    <w:rsid w:val="009F78F7"/>
    <w:rsid w:val="00A01610"/>
    <w:rsid w:val="00A01E13"/>
    <w:rsid w:val="00A046A6"/>
    <w:rsid w:val="00A04ED7"/>
    <w:rsid w:val="00A05302"/>
    <w:rsid w:val="00A06914"/>
    <w:rsid w:val="00A07BAE"/>
    <w:rsid w:val="00A07CFC"/>
    <w:rsid w:val="00A12DBA"/>
    <w:rsid w:val="00A1392D"/>
    <w:rsid w:val="00A17DC3"/>
    <w:rsid w:val="00A21ABF"/>
    <w:rsid w:val="00A22C4E"/>
    <w:rsid w:val="00A30A78"/>
    <w:rsid w:val="00A31879"/>
    <w:rsid w:val="00A32E28"/>
    <w:rsid w:val="00A33C53"/>
    <w:rsid w:val="00A355C8"/>
    <w:rsid w:val="00A359B4"/>
    <w:rsid w:val="00A36861"/>
    <w:rsid w:val="00A42E4C"/>
    <w:rsid w:val="00A461CA"/>
    <w:rsid w:val="00A47024"/>
    <w:rsid w:val="00A47341"/>
    <w:rsid w:val="00A517E3"/>
    <w:rsid w:val="00A52225"/>
    <w:rsid w:val="00A5392B"/>
    <w:rsid w:val="00A556E9"/>
    <w:rsid w:val="00A56FB4"/>
    <w:rsid w:val="00A577E5"/>
    <w:rsid w:val="00A578A5"/>
    <w:rsid w:val="00A578BC"/>
    <w:rsid w:val="00A604E3"/>
    <w:rsid w:val="00A60BBA"/>
    <w:rsid w:val="00A616DA"/>
    <w:rsid w:val="00A62774"/>
    <w:rsid w:val="00A62C41"/>
    <w:rsid w:val="00A641F1"/>
    <w:rsid w:val="00A660C1"/>
    <w:rsid w:val="00A67B59"/>
    <w:rsid w:val="00A70BE6"/>
    <w:rsid w:val="00A717EA"/>
    <w:rsid w:val="00A72273"/>
    <w:rsid w:val="00A73656"/>
    <w:rsid w:val="00A73976"/>
    <w:rsid w:val="00A73EF9"/>
    <w:rsid w:val="00A81C64"/>
    <w:rsid w:val="00A8359E"/>
    <w:rsid w:val="00A8677C"/>
    <w:rsid w:val="00A86A10"/>
    <w:rsid w:val="00A8789D"/>
    <w:rsid w:val="00A93DFE"/>
    <w:rsid w:val="00A93FD4"/>
    <w:rsid w:val="00A9420B"/>
    <w:rsid w:val="00A94C83"/>
    <w:rsid w:val="00A959A0"/>
    <w:rsid w:val="00A96660"/>
    <w:rsid w:val="00A969AE"/>
    <w:rsid w:val="00A9776F"/>
    <w:rsid w:val="00AA13B4"/>
    <w:rsid w:val="00AA5237"/>
    <w:rsid w:val="00AA5512"/>
    <w:rsid w:val="00AA5847"/>
    <w:rsid w:val="00AA5CF2"/>
    <w:rsid w:val="00AA6953"/>
    <w:rsid w:val="00AA72DB"/>
    <w:rsid w:val="00AA75A4"/>
    <w:rsid w:val="00AB150C"/>
    <w:rsid w:val="00AB1EB1"/>
    <w:rsid w:val="00AB408A"/>
    <w:rsid w:val="00AB650C"/>
    <w:rsid w:val="00AB6CA3"/>
    <w:rsid w:val="00AC0FD3"/>
    <w:rsid w:val="00AC1A4F"/>
    <w:rsid w:val="00AC1FA5"/>
    <w:rsid w:val="00AC2122"/>
    <w:rsid w:val="00AC22E5"/>
    <w:rsid w:val="00AC3110"/>
    <w:rsid w:val="00AC38D3"/>
    <w:rsid w:val="00AC489D"/>
    <w:rsid w:val="00AC6C7C"/>
    <w:rsid w:val="00AD0114"/>
    <w:rsid w:val="00AD02CE"/>
    <w:rsid w:val="00AD080C"/>
    <w:rsid w:val="00AD0E75"/>
    <w:rsid w:val="00AD4DCD"/>
    <w:rsid w:val="00AD5F97"/>
    <w:rsid w:val="00AD6100"/>
    <w:rsid w:val="00AD75C5"/>
    <w:rsid w:val="00AD75D7"/>
    <w:rsid w:val="00AD7DCD"/>
    <w:rsid w:val="00AE0C91"/>
    <w:rsid w:val="00AE2034"/>
    <w:rsid w:val="00AE2341"/>
    <w:rsid w:val="00AE2D13"/>
    <w:rsid w:val="00AE3444"/>
    <w:rsid w:val="00AE3FBE"/>
    <w:rsid w:val="00AE5455"/>
    <w:rsid w:val="00AE563B"/>
    <w:rsid w:val="00AE5A72"/>
    <w:rsid w:val="00AE6A93"/>
    <w:rsid w:val="00AF328D"/>
    <w:rsid w:val="00AF3605"/>
    <w:rsid w:val="00AF4E4D"/>
    <w:rsid w:val="00AF566E"/>
    <w:rsid w:val="00AF56E4"/>
    <w:rsid w:val="00AF6973"/>
    <w:rsid w:val="00AF6A7A"/>
    <w:rsid w:val="00B00032"/>
    <w:rsid w:val="00B0336B"/>
    <w:rsid w:val="00B04AEE"/>
    <w:rsid w:val="00B04B2C"/>
    <w:rsid w:val="00B0616F"/>
    <w:rsid w:val="00B063D7"/>
    <w:rsid w:val="00B07390"/>
    <w:rsid w:val="00B07899"/>
    <w:rsid w:val="00B108F2"/>
    <w:rsid w:val="00B10CE1"/>
    <w:rsid w:val="00B11312"/>
    <w:rsid w:val="00B12C07"/>
    <w:rsid w:val="00B15244"/>
    <w:rsid w:val="00B169E5"/>
    <w:rsid w:val="00B16B01"/>
    <w:rsid w:val="00B1707A"/>
    <w:rsid w:val="00B17922"/>
    <w:rsid w:val="00B2060A"/>
    <w:rsid w:val="00B20D0A"/>
    <w:rsid w:val="00B2108D"/>
    <w:rsid w:val="00B21240"/>
    <w:rsid w:val="00B2147A"/>
    <w:rsid w:val="00B22115"/>
    <w:rsid w:val="00B2691F"/>
    <w:rsid w:val="00B31C5B"/>
    <w:rsid w:val="00B326AB"/>
    <w:rsid w:val="00B34288"/>
    <w:rsid w:val="00B34D82"/>
    <w:rsid w:val="00B3723B"/>
    <w:rsid w:val="00B37A42"/>
    <w:rsid w:val="00B425DD"/>
    <w:rsid w:val="00B439D5"/>
    <w:rsid w:val="00B449C3"/>
    <w:rsid w:val="00B44E86"/>
    <w:rsid w:val="00B450D0"/>
    <w:rsid w:val="00B465DF"/>
    <w:rsid w:val="00B46829"/>
    <w:rsid w:val="00B5150D"/>
    <w:rsid w:val="00B52378"/>
    <w:rsid w:val="00B55846"/>
    <w:rsid w:val="00B56DED"/>
    <w:rsid w:val="00B60AF3"/>
    <w:rsid w:val="00B640E4"/>
    <w:rsid w:val="00B67889"/>
    <w:rsid w:val="00B679FC"/>
    <w:rsid w:val="00B7063C"/>
    <w:rsid w:val="00B707A8"/>
    <w:rsid w:val="00B715AA"/>
    <w:rsid w:val="00B72DF3"/>
    <w:rsid w:val="00B749A3"/>
    <w:rsid w:val="00B749A8"/>
    <w:rsid w:val="00B76AD6"/>
    <w:rsid w:val="00B77A26"/>
    <w:rsid w:val="00B77E2D"/>
    <w:rsid w:val="00B81FFC"/>
    <w:rsid w:val="00B82C99"/>
    <w:rsid w:val="00B85180"/>
    <w:rsid w:val="00B851E7"/>
    <w:rsid w:val="00B8753B"/>
    <w:rsid w:val="00B9467A"/>
    <w:rsid w:val="00B95824"/>
    <w:rsid w:val="00B9687A"/>
    <w:rsid w:val="00B9694A"/>
    <w:rsid w:val="00BA15F1"/>
    <w:rsid w:val="00BA2620"/>
    <w:rsid w:val="00BA2D87"/>
    <w:rsid w:val="00BA2F25"/>
    <w:rsid w:val="00BA2FE4"/>
    <w:rsid w:val="00BA4EB3"/>
    <w:rsid w:val="00BA503C"/>
    <w:rsid w:val="00BA62F6"/>
    <w:rsid w:val="00BA6AE0"/>
    <w:rsid w:val="00BA7D56"/>
    <w:rsid w:val="00BB2258"/>
    <w:rsid w:val="00BB2707"/>
    <w:rsid w:val="00BB4095"/>
    <w:rsid w:val="00BB4A16"/>
    <w:rsid w:val="00BB4E67"/>
    <w:rsid w:val="00BB5088"/>
    <w:rsid w:val="00BB5381"/>
    <w:rsid w:val="00BB5A84"/>
    <w:rsid w:val="00BB61A4"/>
    <w:rsid w:val="00BB69EF"/>
    <w:rsid w:val="00BB7B4C"/>
    <w:rsid w:val="00BC0056"/>
    <w:rsid w:val="00BC04B9"/>
    <w:rsid w:val="00BC11C7"/>
    <w:rsid w:val="00BC32E7"/>
    <w:rsid w:val="00BC39D3"/>
    <w:rsid w:val="00BC4010"/>
    <w:rsid w:val="00BC5595"/>
    <w:rsid w:val="00BC680D"/>
    <w:rsid w:val="00BC7740"/>
    <w:rsid w:val="00BD0D54"/>
    <w:rsid w:val="00BD3B5A"/>
    <w:rsid w:val="00BD53CD"/>
    <w:rsid w:val="00BD5CDF"/>
    <w:rsid w:val="00BD5F3E"/>
    <w:rsid w:val="00BD6268"/>
    <w:rsid w:val="00BE0157"/>
    <w:rsid w:val="00BE33AE"/>
    <w:rsid w:val="00BE5994"/>
    <w:rsid w:val="00BE79BB"/>
    <w:rsid w:val="00BF0091"/>
    <w:rsid w:val="00BF060B"/>
    <w:rsid w:val="00BF10F7"/>
    <w:rsid w:val="00BF2796"/>
    <w:rsid w:val="00BF3ABC"/>
    <w:rsid w:val="00BF41D2"/>
    <w:rsid w:val="00BF4383"/>
    <w:rsid w:val="00BF6DBD"/>
    <w:rsid w:val="00C00746"/>
    <w:rsid w:val="00C0126D"/>
    <w:rsid w:val="00C0317F"/>
    <w:rsid w:val="00C04894"/>
    <w:rsid w:val="00C05DFE"/>
    <w:rsid w:val="00C067E6"/>
    <w:rsid w:val="00C06E02"/>
    <w:rsid w:val="00C07C54"/>
    <w:rsid w:val="00C1069D"/>
    <w:rsid w:val="00C1094D"/>
    <w:rsid w:val="00C11E4B"/>
    <w:rsid w:val="00C13772"/>
    <w:rsid w:val="00C1388B"/>
    <w:rsid w:val="00C14742"/>
    <w:rsid w:val="00C1485C"/>
    <w:rsid w:val="00C20929"/>
    <w:rsid w:val="00C213DC"/>
    <w:rsid w:val="00C22734"/>
    <w:rsid w:val="00C27B4C"/>
    <w:rsid w:val="00C32CFF"/>
    <w:rsid w:val="00C33445"/>
    <w:rsid w:val="00C3708E"/>
    <w:rsid w:val="00C370A6"/>
    <w:rsid w:val="00C40596"/>
    <w:rsid w:val="00C40BA7"/>
    <w:rsid w:val="00C43174"/>
    <w:rsid w:val="00C434A3"/>
    <w:rsid w:val="00C443C9"/>
    <w:rsid w:val="00C452A0"/>
    <w:rsid w:val="00C4552B"/>
    <w:rsid w:val="00C47B46"/>
    <w:rsid w:val="00C53B7D"/>
    <w:rsid w:val="00C55A45"/>
    <w:rsid w:val="00C55D12"/>
    <w:rsid w:val="00C56C32"/>
    <w:rsid w:val="00C5716B"/>
    <w:rsid w:val="00C576DE"/>
    <w:rsid w:val="00C640B2"/>
    <w:rsid w:val="00C6518A"/>
    <w:rsid w:val="00C70E70"/>
    <w:rsid w:val="00C71546"/>
    <w:rsid w:val="00C74D20"/>
    <w:rsid w:val="00C7519B"/>
    <w:rsid w:val="00C75929"/>
    <w:rsid w:val="00C764D7"/>
    <w:rsid w:val="00C7692B"/>
    <w:rsid w:val="00C769BD"/>
    <w:rsid w:val="00C77B8C"/>
    <w:rsid w:val="00C84D22"/>
    <w:rsid w:val="00C85323"/>
    <w:rsid w:val="00C87694"/>
    <w:rsid w:val="00C90AF6"/>
    <w:rsid w:val="00C91413"/>
    <w:rsid w:val="00C91495"/>
    <w:rsid w:val="00C92B8D"/>
    <w:rsid w:val="00C936A7"/>
    <w:rsid w:val="00C93E9D"/>
    <w:rsid w:val="00C94CD4"/>
    <w:rsid w:val="00C95906"/>
    <w:rsid w:val="00CA15BE"/>
    <w:rsid w:val="00CA2123"/>
    <w:rsid w:val="00CA3808"/>
    <w:rsid w:val="00CA5C38"/>
    <w:rsid w:val="00CA5CD2"/>
    <w:rsid w:val="00CB1963"/>
    <w:rsid w:val="00CB25D1"/>
    <w:rsid w:val="00CB3E38"/>
    <w:rsid w:val="00CB4E59"/>
    <w:rsid w:val="00CB7299"/>
    <w:rsid w:val="00CB7E7C"/>
    <w:rsid w:val="00CC5025"/>
    <w:rsid w:val="00CC577A"/>
    <w:rsid w:val="00CC5E7E"/>
    <w:rsid w:val="00CD028C"/>
    <w:rsid w:val="00CD298D"/>
    <w:rsid w:val="00CD6A66"/>
    <w:rsid w:val="00CD7BAE"/>
    <w:rsid w:val="00CE17FA"/>
    <w:rsid w:val="00CE3F3C"/>
    <w:rsid w:val="00CE43C1"/>
    <w:rsid w:val="00CE5640"/>
    <w:rsid w:val="00CE7BF1"/>
    <w:rsid w:val="00CF2DD8"/>
    <w:rsid w:val="00CF4D6D"/>
    <w:rsid w:val="00CF5394"/>
    <w:rsid w:val="00D00A18"/>
    <w:rsid w:val="00D00E59"/>
    <w:rsid w:val="00D013AA"/>
    <w:rsid w:val="00D0203E"/>
    <w:rsid w:val="00D02E02"/>
    <w:rsid w:val="00D05358"/>
    <w:rsid w:val="00D05CCF"/>
    <w:rsid w:val="00D06A5A"/>
    <w:rsid w:val="00D07463"/>
    <w:rsid w:val="00D1140D"/>
    <w:rsid w:val="00D1248B"/>
    <w:rsid w:val="00D137C7"/>
    <w:rsid w:val="00D158B1"/>
    <w:rsid w:val="00D177BF"/>
    <w:rsid w:val="00D207BD"/>
    <w:rsid w:val="00D23734"/>
    <w:rsid w:val="00D27D34"/>
    <w:rsid w:val="00D3056D"/>
    <w:rsid w:val="00D31A41"/>
    <w:rsid w:val="00D31D9B"/>
    <w:rsid w:val="00D31DD7"/>
    <w:rsid w:val="00D32287"/>
    <w:rsid w:val="00D36700"/>
    <w:rsid w:val="00D377B4"/>
    <w:rsid w:val="00D40275"/>
    <w:rsid w:val="00D4064D"/>
    <w:rsid w:val="00D40B1D"/>
    <w:rsid w:val="00D4385B"/>
    <w:rsid w:val="00D46309"/>
    <w:rsid w:val="00D47DD8"/>
    <w:rsid w:val="00D5108B"/>
    <w:rsid w:val="00D510F7"/>
    <w:rsid w:val="00D51CEC"/>
    <w:rsid w:val="00D5595C"/>
    <w:rsid w:val="00D568B8"/>
    <w:rsid w:val="00D56E7B"/>
    <w:rsid w:val="00D575EA"/>
    <w:rsid w:val="00D57901"/>
    <w:rsid w:val="00D57AD8"/>
    <w:rsid w:val="00D608EE"/>
    <w:rsid w:val="00D60C3C"/>
    <w:rsid w:val="00D623F1"/>
    <w:rsid w:val="00D66635"/>
    <w:rsid w:val="00D66790"/>
    <w:rsid w:val="00D66E59"/>
    <w:rsid w:val="00D679E8"/>
    <w:rsid w:val="00D71647"/>
    <w:rsid w:val="00D728B4"/>
    <w:rsid w:val="00D740FC"/>
    <w:rsid w:val="00D744F3"/>
    <w:rsid w:val="00D74F94"/>
    <w:rsid w:val="00D751E6"/>
    <w:rsid w:val="00D814BF"/>
    <w:rsid w:val="00D815CD"/>
    <w:rsid w:val="00D82AB0"/>
    <w:rsid w:val="00D82EDE"/>
    <w:rsid w:val="00D83DC4"/>
    <w:rsid w:val="00D83EB3"/>
    <w:rsid w:val="00D84058"/>
    <w:rsid w:val="00D8506F"/>
    <w:rsid w:val="00D86016"/>
    <w:rsid w:val="00D900C3"/>
    <w:rsid w:val="00D9071D"/>
    <w:rsid w:val="00D909D1"/>
    <w:rsid w:val="00D9380A"/>
    <w:rsid w:val="00D95835"/>
    <w:rsid w:val="00D95CFA"/>
    <w:rsid w:val="00D96912"/>
    <w:rsid w:val="00D977B3"/>
    <w:rsid w:val="00DA0FFF"/>
    <w:rsid w:val="00DA195E"/>
    <w:rsid w:val="00DA1B72"/>
    <w:rsid w:val="00DA4C5F"/>
    <w:rsid w:val="00DA4D10"/>
    <w:rsid w:val="00DB1013"/>
    <w:rsid w:val="00DB39D9"/>
    <w:rsid w:val="00DB4120"/>
    <w:rsid w:val="00DB4509"/>
    <w:rsid w:val="00DB49C4"/>
    <w:rsid w:val="00DB59B3"/>
    <w:rsid w:val="00DB5CB9"/>
    <w:rsid w:val="00DB7738"/>
    <w:rsid w:val="00DC1B45"/>
    <w:rsid w:val="00DC29D4"/>
    <w:rsid w:val="00DC4ED7"/>
    <w:rsid w:val="00DD0C37"/>
    <w:rsid w:val="00DD0FE0"/>
    <w:rsid w:val="00DD11E7"/>
    <w:rsid w:val="00DD22CB"/>
    <w:rsid w:val="00DD2826"/>
    <w:rsid w:val="00DD480A"/>
    <w:rsid w:val="00DE2813"/>
    <w:rsid w:val="00DE2883"/>
    <w:rsid w:val="00DE4ADE"/>
    <w:rsid w:val="00DE716F"/>
    <w:rsid w:val="00DF1E5D"/>
    <w:rsid w:val="00DF3951"/>
    <w:rsid w:val="00DF47C6"/>
    <w:rsid w:val="00DF6A04"/>
    <w:rsid w:val="00DF7B4E"/>
    <w:rsid w:val="00E00D9D"/>
    <w:rsid w:val="00E02752"/>
    <w:rsid w:val="00E02A8B"/>
    <w:rsid w:val="00E03E7E"/>
    <w:rsid w:val="00E10844"/>
    <w:rsid w:val="00E12AF5"/>
    <w:rsid w:val="00E12FDF"/>
    <w:rsid w:val="00E17EA9"/>
    <w:rsid w:val="00E226B8"/>
    <w:rsid w:val="00E23A22"/>
    <w:rsid w:val="00E253A6"/>
    <w:rsid w:val="00E26530"/>
    <w:rsid w:val="00E26C4E"/>
    <w:rsid w:val="00E270AB"/>
    <w:rsid w:val="00E2782B"/>
    <w:rsid w:val="00E27A32"/>
    <w:rsid w:val="00E300A4"/>
    <w:rsid w:val="00E308C8"/>
    <w:rsid w:val="00E309CA"/>
    <w:rsid w:val="00E32FF8"/>
    <w:rsid w:val="00E3301D"/>
    <w:rsid w:val="00E339D6"/>
    <w:rsid w:val="00E3507C"/>
    <w:rsid w:val="00E35E10"/>
    <w:rsid w:val="00E4055F"/>
    <w:rsid w:val="00E41356"/>
    <w:rsid w:val="00E442DB"/>
    <w:rsid w:val="00E44B5C"/>
    <w:rsid w:val="00E44F71"/>
    <w:rsid w:val="00E47E82"/>
    <w:rsid w:val="00E51263"/>
    <w:rsid w:val="00E5244E"/>
    <w:rsid w:val="00E52EAC"/>
    <w:rsid w:val="00E64023"/>
    <w:rsid w:val="00E6480E"/>
    <w:rsid w:val="00E6538F"/>
    <w:rsid w:val="00E6608A"/>
    <w:rsid w:val="00E664C0"/>
    <w:rsid w:val="00E739B9"/>
    <w:rsid w:val="00E74E38"/>
    <w:rsid w:val="00E8233C"/>
    <w:rsid w:val="00E83D21"/>
    <w:rsid w:val="00E83DF7"/>
    <w:rsid w:val="00E8424C"/>
    <w:rsid w:val="00E87E6B"/>
    <w:rsid w:val="00E908A6"/>
    <w:rsid w:val="00E90F53"/>
    <w:rsid w:val="00E91540"/>
    <w:rsid w:val="00E91A4C"/>
    <w:rsid w:val="00E939CF"/>
    <w:rsid w:val="00E94976"/>
    <w:rsid w:val="00E95727"/>
    <w:rsid w:val="00E97BAE"/>
    <w:rsid w:val="00EA0394"/>
    <w:rsid w:val="00EA3A43"/>
    <w:rsid w:val="00EA5995"/>
    <w:rsid w:val="00EA5E88"/>
    <w:rsid w:val="00EA6970"/>
    <w:rsid w:val="00EB1592"/>
    <w:rsid w:val="00EB360F"/>
    <w:rsid w:val="00EB5181"/>
    <w:rsid w:val="00EB5961"/>
    <w:rsid w:val="00EB647C"/>
    <w:rsid w:val="00EB6804"/>
    <w:rsid w:val="00EB6828"/>
    <w:rsid w:val="00EB7537"/>
    <w:rsid w:val="00ED09AC"/>
    <w:rsid w:val="00ED10AD"/>
    <w:rsid w:val="00ED2C3F"/>
    <w:rsid w:val="00ED3DA2"/>
    <w:rsid w:val="00ED584C"/>
    <w:rsid w:val="00ED58D0"/>
    <w:rsid w:val="00EE563F"/>
    <w:rsid w:val="00EF3D27"/>
    <w:rsid w:val="00EF461E"/>
    <w:rsid w:val="00EF560E"/>
    <w:rsid w:val="00EF7497"/>
    <w:rsid w:val="00F01709"/>
    <w:rsid w:val="00F027A9"/>
    <w:rsid w:val="00F02804"/>
    <w:rsid w:val="00F066F0"/>
    <w:rsid w:val="00F11C1E"/>
    <w:rsid w:val="00F1233A"/>
    <w:rsid w:val="00F139CE"/>
    <w:rsid w:val="00F16CDB"/>
    <w:rsid w:val="00F17412"/>
    <w:rsid w:val="00F17B2A"/>
    <w:rsid w:val="00F23792"/>
    <w:rsid w:val="00F2444A"/>
    <w:rsid w:val="00F25A47"/>
    <w:rsid w:val="00F26E29"/>
    <w:rsid w:val="00F30CA6"/>
    <w:rsid w:val="00F3590C"/>
    <w:rsid w:val="00F36C06"/>
    <w:rsid w:val="00F3762F"/>
    <w:rsid w:val="00F37FC3"/>
    <w:rsid w:val="00F40E51"/>
    <w:rsid w:val="00F41213"/>
    <w:rsid w:val="00F41D01"/>
    <w:rsid w:val="00F43D6E"/>
    <w:rsid w:val="00F4610C"/>
    <w:rsid w:val="00F4741A"/>
    <w:rsid w:val="00F507FF"/>
    <w:rsid w:val="00F5131E"/>
    <w:rsid w:val="00F531F1"/>
    <w:rsid w:val="00F566D9"/>
    <w:rsid w:val="00F57913"/>
    <w:rsid w:val="00F61730"/>
    <w:rsid w:val="00F639C4"/>
    <w:rsid w:val="00F65DC4"/>
    <w:rsid w:val="00F65FFC"/>
    <w:rsid w:val="00F67E05"/>
    <w:rsid w:val="00F70473"/>
    <w:rsid w:val="00F71230"/>
    <w:rsid w:val="00F713A9"/>
    <w:rsid w:val="00F71C82"/>
    <w:rsid w:val="00F75680"/>
    <w:rsid w:val="00F75BB9"/>
    <w:rsid w:val="00F76C08"/>
    <w:rsid w:val="00F81DFB"/>
    <w:rsid w:val="00F83061"/>
    <w:rsid w:val="00F841FB"/>
    <w:rsid w:val="00F84727"/>
    <w:rsid w:val="00F867DE"/>
    <w:rsid w:val="00F87012"/>
    <w:rsid w:val="00F879EC"/>
    <w:rsid w:val="00F92236"/>
    <w:rsid w:val="00F927AC"/>
    <w:rsid w:val="00F9292D"/>
    <w:rsid w:val="00F930F7"/>
    <w:rsid w:val="00F950D5"/>
    <w:rsid w:val="00F959AB"/>
    <w:rsid w:val="00FA06AE"/>
    <w:rsid w:val="00FA2802"/>
    <w:rsid w:val="00FA3901"/>
    <w:rsid w:val="00FA4C03"/>
    <w:rsid w:val="00FB17FA"/>
    <w:rsid w:val="00FB2A83"/>
    <w:rsid w:val="00FB2D15"/>
    <w:rsid w:val="00FB3194"/>
    <w:rsid w:val="00FB3F76"/>
    <w:rsid w:val="00FB6C03"/>
    <w:rsid w:val="00FB6E68"/>
    <w:rsid w:val="00FB7B41"/>
    <w:rsid w:val="00FC2498"/>
    <w:rsid w:val="00FC32EB"/>
    <w:rsid w:val="00FC40FA"/>
    <w:rsid w:val="00FC60F7"/>
    <w:rsid w:val="00FC7E6A"/>
    <w:rsid w:val="00FC7E88"/>
    <w:rsid w:val="00FD1065"/>
    <w:rsid w:val="00FD2041"/>
    <w:rsid w:val="00FD2D46"/>
    <w:rsid w:val="00FD4CAA"/>
    <w:rsid w:val="00FD5958"/>
    <w:rsid w:val="00FD59F6"/>
    <w:rsid w:val="00FD5EC8"/>
    <w:rsid w:val="00FD60EF"/>
    <w:rsid w:val="00FE10A4"/>
    <w:rsid w:val="00FE2333"/>
    <w:rsid w:val="00FE3737"/>
    <w:rsid w:val="00FE3F69"/>
    <w:rsid w:val="00FE42C2"/>
    <w:rsid w:val="00FE6578"/>
    <w:rsid w:val="00FE6A80"/>
    <w:rsid w:val="00FE6DD9"/>
    <w:rsid w:val="00FF056E"/>
    <w:rsid w:val="00FF0911"/>
    <w:rsid w:val="00FF2D14"/>
    <w:rsid w:val="00FF65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376EDFB5-56C5-415E-96F9-6E8DAF887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09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A8359E"/>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A8359E"/>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A8359E"/>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754693"/>
    <w:pPr>
      <w:keepNext/>
      <w:spacing w:line="720" w:lineRule="atLeast"/>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A8359E"/>
    <w:pPr>
      <w:tabs>
        <w:tab w:val="right" w:leader="hyphen" w:pos="8490"/>
      </w:tabs>
      <w:ind w:leftChars="0" w:left="487" w:hangingChars="200" w:hanging="487"/>
    </w:pPr>
    <w:rPr>
      <w:noProof/>
      <w:sz w:val="24"/>
      <w:szCs w:val="24"/>
    </w:rPr>
  </w:style>
  <w:style w:type="paragraph" w:styleId="23">
    <w:name w:val="toc 2"/>
    <w:basedOn w:val="a"/>
    <w:next w:val="a"/>
    <w:autoRedefine/>
    <w:uiPriority w:val="39"/>
    <w:rsid w:val="0097013A"/>
    <w:pPr>
      <w:tabs>
        <w:tab w:val="right" w:leader="hyphen" w:pos="8490"/>
      </w:tabs>
      <w:ind w:leftChars="0" w:left="486" w:rightChars="100" w:right="283" w:hangingChars="200" w:hanging="486"/>
    </w:pPr>
    <w:rPr>
      <w:noProof/>
      <w:sz w:val="24"/>
      <w:szCs w:val="24"/>
    </w:rPr>
  </w:style>
  <w:style w:type="character" w:customStyle="1" w:styleId="af">
    <w:name w:val="頁首 字元"/>
    <w:link w:val="ae"/>
    <w:rsid w:val="005C6767"/>
    <w:rPr>
      <w:rFonts w:ascii="標楷體" w:eastAsia="標楷體"/>
      <w:snapToGrid w:val="0"/>
      <w:kern w:val="2"/>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45">
    <w:name w:val="第二層(14號字) 字元"/>
    <w:rsid w:val="007B4265"/>
    <w:rPr>
      <w:rFonts w:ascii="標楷體" w:eastAsia="標楷體"/>
      <w:b/>
      <w:snapToGrid w:val="0"/>
      <w:kern w:val="2"/>
      <w:sz w:val="28"/>
      <w:lang w:val="en-US" w:eastAsia="zh-TW" w:bidi="ar-SA"/>
    </w:rPr>
  </w:style>
  <w:style w:type="character" w:customStyle="1" w:styleId="1230">
    <w:name w:val="1.2.3. 字元"/>
    <w:link w:val="123"/>
    <w:rsid w:val="007B4265"/>
    <w:rPr>
      <w:rFonts w:ascii="標楷體" w:eastAsia="標楷體"/>
      <w:snapToGrid w:val="0"/>
      <w:kern w:val="2"/>
      <w:sz w:val="28"/>
      <w:szCs w:val="28"/>
    </w:rPr>
  </w:style>
  <w:style w:type="paragraph" w:styleId="31">
    <w:name w:val="toc 3"/>
    <w:basedOn w:val="a"/>
    <w:next w:val="a"/>
    <w:autoRedefine/>
    <w:semiHidden/>
    <w:rsid w:val="007B4265"/>
    <w:pPr>
      <w:ind w:leftChars="400" w:left="960"/>
    </w:pPr>
  </w:style>
  <w:style w:type="paragraph" w:styleId="41">
    <w:name w:val="toc 4"/>
    <w:basedOn w:val="a"/>
    <w:next w:val="a"/>
    <w:autoRedefine/>
    <w:semiHidden/>
    <w:rsid w:val="007B4265"/>
    <w:pPr>
      <w:ind w:leftChars="600" w:left="1440"/>
    </w:pPr>
  </w:style>
  <w:style w:type="paragraph" w:styleId="5">
    <w:name w:val="toc 5"/>
    <w:basedOn w:val="a"/>
    <w:next w:val="a"/>
    <w:autoRedefine/>
    <w:semiHidden/>
    <w:rsid w:val="007B4265"/>
    <w:pPr>
      <w:ind w:leftChars="800" w:left="1920"/>
    </w:pPr>
  </w:style>
  <w:style w:type="paragraph" w:styleId="6">
    <w:name w:val="toc 6"/>
    <w:basedOn w:val="a"/>
    <w:next w:val="a"/>
    <w:autoRedefine/>
    <w:semiHidden/>
    <w:rsid w:val="007B4265"/>
    <w:pPr>
      <w:ind w:leftChars="1000" w:left="2400"/>
    </w:pPr>
  </w:style>
  <w:style w:type="paragraph" w:styleId="7">
    <w:name w:val="toc 7"/>
    <w:basedOn w:val="a"/>
    <w:next w:val="a"/>
    <w:autoRedefine/>
    <w:semiHidden/>
    <w:rsid w:val="007B4265"/>
    <w:pPr>
      <w:ind w:leftChars="1200" w:left="2880"/>
    </w:pPr>
  </w:style>
  <w:style w:type="paragraph" w:styleId="8">
    <w:name w:val="toc 8"/>
    <w:basedOn w:val="a"/>
    <w:next w:val="a"/>
    <w:autoRedefine/>
    <w:semiHidden/>
    <w:rsid w:val="007B4265"/>
    <w:pPr>
      <w:ind w:leftChars="1400" w:left="3360"/>
    </w:pPr>
  </w:style>
  <w:style w:type="paragraph" w:styleId="9">
    <w:name w:val="toc 9"/>
    <w:basedOn w:val="a"/>
    <w:next w:val="a"/>
    <w:autoRedefine/>
    <w:semiHidden/>
    <w:rsid w:val="007B4265"/>
    <w:pPr>
      <w:ind w:leftChars="1600" w:left="3840"/>
    </w:pPr>
  </w:style>
  <w:style w:type="paragraph" w:styleId="af2">
    <w:name w:val="Balloon Text"/>
    <w:basedOn w:val="a"/>
    <w:link w:val="af3"/>
    <w:semiHidden/>
    <w:rsid w:val="007B4265"/>
    <w:rPr>
      <w:rFonts w:ascii="Arial" w:eastAsia="新細明體" w:hAnsi="Arial"/>
      <w:sz w:val="18"/>
      <w:szCs w:val="18"/>
    </w:rPr>
  </w:style>
  <w:style w:type="character" w:customStyle="1" w:styleId="af3">
    <w:name w:val="註解方塊文字 字元"/>
    <w:link w:val="af2"/>
    <w:semiHidden/>
    <w:rsid w:val="007B4265"/>
    <w:rPr>
      <w:rFonts w:ascii="Arial" w:hAnsi="Arial"/>
      <w:snapToGrid w:val="0"/>
      <w:kern w:val="2"/>
      <w:sz w:val="18"/>
      <w:szCs w:val="18"/>
    </w:rPr>
  </w:style>
  <w:style w:type="table" w:styleId="af4">
    <w:name w:val="Table Grid"/>
    <w:basedOn w:val="a1"/>
    <w:uiPriority w:val="59"/>
    <w:rsid w:val="007B42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7B4265"/>
    <w:rPr>
      <w:color w:val="0000FF"/>
      <w:u w:val="single"/>
    </w:rPr>
  </w:style>
  <w:style w:type="character" w:customStyle="1" w:styleId="af6">
    <w:name w:val="(一)(二)(三) 字元 字元"/>
    <w:rsid w:val="007B4265"/>
    <w:rPr>
      <w:rFonts w:ascii="標楷體" w:eastAsia="標楷體"/>
      <w:snapToGrid w:val="0"/>
      <w:kern w:val="2"/>
      <w:sz w:val="28"/>
      <w:szCs w:val="28"/>
      <w:lang w:val="en-US" w:eastAsia="zh-TW" w:bidi="ar-SA"/>
    </w:rPr>
  </w:style>
  <w:style w:type="paragraph" w:customStyle="1" w:styleId="af7">
    <w:name w:val="字元 字元 字元 字元 字元 字元 字元 字元 字元 字元 字元 字元 字元 字元 字元"/>
    <w:basedOn w:val="a"/>
    <w:semiHidden/>
    <w:rsid w:val="007B426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8">
    <w:name w:val="page number"/>
    <w:rsid w:val="007B4265"/>
  </w:style>
  <w:style w:type="paragraph" w:customStyle="1" w:styleId="24">
    <w:name w:val="字元 字元2 字元 字元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c">
    <w:name w:val="姓名及分機 字元"/>
    <w:link w:val="ab"/>
    <w:rsid w:val="007B4265"/>
    <w:rPr>
      <w:rFonts w:ascii="標楷體" w:eastAsia="標楷體"/>
      <w:snapToGrid w:val="0"/>
      <w:kern w:val="2"/>
      <w:sz w:val="24"/>
      <w:szCs w:val="28"/>
    </w:rPr>
  </w:style>
  <w:style w:type="paragraph" w:customStyle="1" w:styleId="af9">
    <w:name w:val="字元 字元"/>
    <w:basedOn w:val="a"/>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nhideWhenUsed/>
    <w:rsid w:val="007B4265"/>
    <w:pPr>
      <w:snapToGrid w:val="0"/>
      <w:jc w:val="left"/>
    </w:pPr>
    <w:rPr>
      <w:sz w:val="20"/>
      <w:szCs w:val="20"/>
    </w:rPr>
  </w:style>
  <w:style w:type="character" w:customStyle="1" w:styleId="afb">
    <w:name w:val="註腳文字 字元"/>
    <w:link w:val="afa"/>
    <w:rsid w:val="007B4265"/>
    <w:rPr>
      <w:rFonts w:ascii="標楷體" w:eastAsia="標楷體"/>
      <w:snapToGrid w:val="0"/>
      <w:kern w:val="2"/>
    </w:rPr>
  </w:style>
  <w:style w:type="character" w:styleId="afc">
    <w:name w:val="footnote reference"/>
    <w:aliases w:val="FR,Ref,de nota al pie,註腳內容,Error-Fußnotenzeichen5,Error-Fußnotenzeichen6,Error-Fußnotenzeichen3"/>
    <w:uiPriority w:val="99"/>
    <w:unhideWhenUsed/>
    <w:rsid w:val="007B4265"/>
    <w:rPr>
      <w:vertAlign w:val="superscript"/>
    </w:rPr>
  </w:style>
  <w:style w:type="character" w:customStyle="1" w:styleId="25">
    <w:name w:val="(一)(二)(三) 字元2"/>
    <w:rsid w:val="007B4265"/>
    <w:rPr>
      <w:rFonts w:ascii="標楷體" w:eastAsia="標楷體"/>
      <w:snapToGrid w:val="0"/>
      <w:kern w:val="2"/>
      <w:sz w:val="28"/>
      <w:szCs w:val="28"/>
      <w:lang w:val="en-US" w:eastAsia="zh-TW" w:bidi="ar-SA"/>
    </w:rPr>
  </w:style>
  <w:style w:type="paragraph" w:customStyle="1" w:styleId="50">
    <w:name w:val="字元 字元5"/>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7B4265"/>
    <w:rPr>
      <w:rFonts w:ascii="標楷體" w:eastAsia="標楷體"/>
      <w:snapToGrid w:val="0"/>
      <w:kern w:val="2"/>
      <w:sz w:val="24"/>
      <w:szCs w:val="28"/>
    </w:rPr>
  </w:style>
  <w:style w:type="character" w:customStyle="1" w:styleId="10">
    <w:name w:val="標題 1 字元"/>
    <w:link w:val="1"/>
    <w:rsid w:val="00A8359E"/>
    <w:rPr>
      <w:rFonts w:ascii="Arial" w:hAnsi="Arial"/>
      <w:b/>
      <w:bCs/>
      <w:snapToGrid w:val="0"/>
      <w:kern w:val="52"/>
      <w:sz w:val="52"/>
      <w:szCs w:val="52"/>
    </w:rPr>
  </w:style>
  <w:style w:type="character" w:customStyle="1" w:styleId="20">
    <w:name w:val="標題 2 字元"/>
    <w:link w:val="2"/>
    <w:rsid w:val="00A8359E"/>
    <w:rPr>
      <w:rFonts w:ascii="Arial" w:hAnsi="Arial"/>
      <w:b/>
      <w:bCs/>
      <w:snapToGrid w:val="0"/>
      <w:kern w:val="2"/>
      <w:sz w:val="48"/>
      <w:szCs w:val="48"/>
    </w:rPr>
  </w:style>
  <w:style w:type="character" w:customStyle="1" w:styleId="30">
    <w:name w:val="標題 3 字元"/>
    <w:link w:val="3"/>
    <w:rsid w:val="00A8359E"/>
    <w:rPr>
      <w:rFonts w:ascii="Arial" w:hAnsi="Arial"/>
      <w:b/>
      <w:bCs/>
      <w:snapToGrid w:val="0"/>
      <w:kern w:val="2"/>
      <w:sz w:val="36"/>
      <w:szCs w:val="36"/>
    </w:rPr>
  </w:style>
  <w:style w:type="character" w:styleId="afd">
    <w:name w:val="line number"/>
    <w:rsid w:val="00A8359E"/>
  </w:style>
  <w:style w:type="paragraph" w:styleId="afe">
    <w:name w:val="Body Text"/>
    <w:basedOn w:val="a"/>
    <w:link w:val="aff"/>
    <w:rsid w:val="00A8359E"/>
    <w:pPr>
      <w:adjustRightInd w:val="0"/>
      <w:spacing w:line="240" w:lineRule="auto"/>
      <w:ind w:leftChars="0" w:left="0" w:firstLineChars="0" w:firstLine="0"/>
      <w:textAlignment w:val="baseline"/>
    </w:pPr>
    <w:rPr>
      <w:rFonts w:ascii="Times New Roman"/>
      <w:snapToGrid/>
      <w:sz w:val="32"/>
      <w:szCs w:val="20"/>
    </w:rPr>
  </w:style>
  <w:style w:type="character" w:customStyle="1" w:styleId="aff">
    <w:name w:val="本文 字元"/>
    <w:link w:val="afe"/>
    <w:rsid w:val="00A8359E"/>
    <w:rPr>
      <w:rFonts w:eastAsia="標楷體"/>
      <w:kern w:val="2"/>
      <w:sz w:val="32"/>
    </w:rPr>
  </w:style>
  <w:style w:type="paragraph" w:styleId="HTML">
    <w:name w:val="HTML Preformatted"/>
    <w:basedOn w:val="a"/>
    <w:link w:val="HTML0"/>
    <w:rsid w:val="00A835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snapToGrid/>
      <w:color w:val="000000"/>
      <w:kern w:val="0"/>
      <w:sz w:val="24"/>
      <w:szCs w:val="24"/>
    </w:rPr>
  </w:style>
  <w:style w:type="character" w:customStyle="1" w:styleId="HTML0">
    <w:name w:val="HTML 預設格式 字元"/>
    <w:link w:val="HTML"/>
    <w:rsid w:val="00A8359E"/>
    <w:rPr>
      <w:rFonts w:ascii="細明體" w:eastAsia="細明體" w:hAnsi="Courier New"/>
      <w:color w:val="000000"/>
      <w:sz w:val="24"/>
      <w:szCs w:val="24"/>
    </w:rPr>
  </w:style>
  <w:style w:type="paragraph" w:customStyle="1" w:styleId="Logo">
    <w:name w:val="Logo"/>
    <w:basedOn w:val="a"/>
    <w:rsid w:val="00A8359E"/>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3">
    <w:name w:val="字元 字元1"/>
    <w:basedOn w:val="a"/>
    <w:rsid w:val="00A8359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6">
    <w:name w:val="表格內文(14行高) 字元 字元"/>
    <w:rsid w:val="00A8359E"/>
    <w:rPr>
      <w:rFonts w:ascii="標楷體" w:eastAsia="標楷體"/>
      <w:snapToGrid w:val="0"/>
      <w:kern w:val="2"/>
      <w:sz w:val="24"/>
      <w:szCs w:val="28"/>
      <w:lang w:val="en-US" w:eastAsia="zh-TW" w:bidi="ar-SA"/>
    </w:rPr>
  </w:style>
  <w:style w:type="table" w:customStyle="1" w:styleId="15">
    <w:name w:val="表格格線1"/>
    <w:basedOn w:val="a1"/>
    <w:next w:val="af4"/>
    <w:uiPriority w:val="59"/>
    <w:rsid w:val="00A83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0F0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w:basedOn w:val="a"/>
    <w:semiHidden/>
    <w:rsid w:val="003A448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1">
    <w:name w:val="No Spacing"/>
    <w:link w:val="aff2"/>
    <w:uiPriority w:val="1"/>
    <w:qFormat/>
    <w:rsid w:val="0070376C"/>
    <w:rPr>
      <w:rFonts w:ascii="Calibri" w:hAnsi="Calibri"/>
      <w:sz w:val="22"/>
      <w:szCs w:val="22"/>
    </w:rPr>
  </w:style>
  <w:style w:type="character" w:customStyle="1" w:styleId="aff2">
    <w:name w:val="無間距 字元"/>
    <w:link w:val="aff1"/>
    <w:uiPriority w:val="1"/>
    <w:rsid w:val="0070376C"/>
    <w:rPr>
      <w:rFonts w:ascii="Calibri" w:hAnsi="Calibri"/>
      <w:sz w:val="22"/>
      <w:szCs w:val="22"/>
    </w:rPr>
  </w:style>
  <w:style w:type="paragraph" w:customStyle="1" w:styleId="147">
    <w:name w:val="註腳(表格內文14行高左右齊)"/>
    <w:basedOn w:val="142"/>
    <w:qFormat/>
    <w:rsid w:val="00904607"/>
    <w:pPr>
      <w:wordWrap w:val="0"/>
      <w:ind w:leftChars="-15" w:left="153" w:hangingChars="80" w:hanging="195"/>
      <w:jc w:val="both"/>
    </w:pPr>
  </w:style>
  <w:style w:type="character" w:styleId="aff3">
    <w:name w:val="Emphasis"/>
    <w:uiPriority w:val="20"/>
    <w:qFormat/>
    <w:rsid w:val="008A48DF"/>
    <w:rPr>
      <w:i/>
      <w:iCs/>
    </w:rPr>
  </w:style>
  <w:style w:type="character" w:customStyle="1" w:styleId="40">
    <w:name w:val="標題 4 字元"/>
    <w:basedOn w:val="a0"/>
    <w:link w:val="4"/>
    <w:uiPriority w:val="9"/>
    <w:semiHidden/>
    <w:rsid w:val="00754693"/>
    <w:rPr>
      <w:rFonts w:asciiTheme="majorHAnsi" w:eastAsiaTheme="majorEastAsia" w:hAnsiTheme="majorHAnsi" w:cstheme="majorBidi"/>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8267">
      <w:bodyDiv w:val="1"/>
      <w:marLeft w:val="0"/>
      <w:marRight w:val="0"/>
      <w:marTop w:val="0"/>
      <w:marBottom w:val="0"/>
      <w:divBdr>
        <w:top w:val="none" w:sz="0" w:space="0" w:color="auto"/>
        <w:left w:val="none" w:sz="0" w:space="0" w:color="auto"/>
        <w:bottom w:val="none" w:sz="0" w:space="0" w:color="auto"/>
        <w:right w:val="none" w:sz="0" w:space="0" w:color="auto"/>
      </w:divBdr>
    </w:div>
    <w:div w:id="115177356">
      <w:bodyDiv w:val="1"/>
      <w:marLeft w:val="0"/>
      <w:marRight w:val="0"/>
      <w:marTop w:val="0"/>
      <w:marBottom w:val="0"/>
      <w:divBdr>
        <w:top w:val="none" w:sz="0" w:space="0" w:color="auto"/>
        <w:left w:val="none" w:sz="0" w:space="0" w:color="auto"/>
        <w:bottom w:val="none" w:sz="0" w:space="0" w:color="auto"/>
        <w:right w:val="none" w:sz="0" w:space="0" w:color="auto"/>
      </w:divBdr>
    </w:div>
    <w:div w:id="414326782">
      <w:bodyDiv w:val="1"/>
      <w:marLeft w:val="0"/>
      <w:marRight w:val="0"/>
      <w:marTop w:val="0"/>
      <w:marBottom w:val="0"/>
      <w:divBdr>
        <w:top w:val="none" w:sz="0" w:space="0" w:color="auto"/>
        <w:left w:val="none" w:sz="0" w:space="0" w:color="auto"/>
        <w:bottom w:val="none" w:sz="0" w:space="0" w:color="auto"/>
        <w:right w:val="none" w:sz="0" w:space="0" w:color="auto"/>
      </w:divBdr>
    </w:div>
    <w:div w:id="417216600">
      <w:bodyDiv w:val="1"/>
      <w:marLeft w:val="0"/>
      <w:marRight w:val="0"/>
      <w:marTop w:val="0"/>
      <w:marBottom w:val="0"/>
      <w:divBdr>
        <w:top w:val="none" w:sz="0" w:space="0" w:color="auto"/>
        <w:left w:val="none" w:sz="0" w:space="0" w:color="auto"/>
        <w:bottom w:val="none" w:sz="0" w:space="0" w:color="auto"/>
        <w:right w:val="none" w:sz="0" w:space="0" w:color="auto"/>
      </w:divBdr>
    </w:div>
    <w:div w:id="474109791">
      <w:bodyDiv w:val="1"/>
      <w:marLeft w:val="0"/>
      <w:marRight w:val="0"/>
      <w:marTop w:val="0"/>
      <w:marBottom w:val="0"/>
      <w:divBdr>
        <w:top w:val="none" w:sz="0" w:space="0" w:color="auto"/>
        <w:left w:val="none" w:sz="0" w:space="0" w:color="auto"/>
        <w:bottom w:val="none" w:sz="0" w:space="0" w:color="auto"/>
        <w:right w:val="none" w:sz="0" w:space="0" w:color="auto"/>
      </w:divBdr>
    </w:div>
    <w:div w:id="534540416">
      <w:bodyDiv w:val="1"/>
      <w:marLeft w:val="0"/>
      <w:marRight w:val="0"/>
      <w:marTop w:val="0"/>
      <w:marBottom w:val="0"/>
      <w:divBdr>
        <w:top w:val="none" w:sz="0" w:space="0" w:color="auto"/>
        <w:left w:val="none" w:sz="0" w:space="0" w:color="auto"/>
        <w:bottom w:val="none" w:sz="0" w:space="0" w:color="auto"/>
        <w:right w:val="none" w:sz="0" w:space="0" w:color="auto"/>
      </w:divBdr>
    </w:div>
    <w:div w:id="549616272">
      <w:bodyDiv w:val="1"/>
      <w:marLeft w:val="0"/>
      <w:marRight w:val="0"/>
      <w:marTop w:val="0"/>
      <w:marBottom w:val="0"/>
      <w:divBdr>
        <w:top w:val="none" w:sz="0" w:space="0" w:color="auto"/>
        <w:left w:val="none" w:sz="0" w:space="0" w:color="auto"/>
        <w:bottom w:val="none" w:sz="0" w:space="0" w:color="auto"/>
        <w:right w:val="none" w:sz="0" w:space="0" w:color="auto"/>
      </w:divBdr>
    </w:div>
    <w:div w:id="675882365">
      <w:bodyDiv w:val="1"/>
      <w:marLeft w:val="0"/>
      <w:marRight w:val="0"/>
      <w:marTop w:val="0"/>
      <w:marBottom w:val="0"/>
      <w:divBdr>
        <w:top w:val="none" w:sz="0" w:space="0" w:color="auto"/>
        <w:left w:val="none" w:sz="0" w:space="0" w:color="auto"/>
        <w:bottom w:val="none" w:sz="0" w:space="0" w:color="auto"/>
        <w:right w:val="none" w:sz="0" w:space="0" w:color="auto"/>
      </w:divBdr>
    </w:div>
    <w:div w:id="1058750617">
      <w:bodyDiv w:val="1"/>
      <w:marLeft w:val="0"/>
      <w:marRight w:val="0"/>
      <w:marTop w:val="0"/>
      <w:marBottom w:val="0"/>
      <w:divBdr>
        <w:top w:val="none" w:sz="0" w:space="0" w:color="auto"/>
        <w:left w:val="none" w:sz="0" w:space="0" w:color="auto"/>
        <w:bottom w:val="none" w:sz="0" w:space="0" w:color="auto"/>
        <w:right w:val="none" w:sz="0" w:space="0" w:color="auto"/>
      </w:divBdr>
    </w:div>
    <w:div w:id="1224412098">
      <w:bodyDiv w:val="1"/>
      <w:marLeft w:val="0"/>
      <w:marRight w:val="0"/>
      <w:marTop w:val="0"/>
      <w:marBottom w:val="0"/>
      <w:divBdr>
        <w:top w:val="none" w:sz="0" w:space="0" w:color="auto"/>
        <w:left w:val="none" w:sz="0" w:space="0" w:color="auto"/>
        <w:bottom w:val="none" w:sz="0" w:space="0" w:color="auto"/>
        <w:right w:val="none" w:sz="0" w:space="0" w:color="auto"/>
      </w:divBdr>
    </w:div>
    <w:div w:id="1282882828">
      <w:bodyDiv w:val="1"/>
      <w:marLeft w:val="0"/>
      <w:marRight w:val="0"/>
      <w:marTop w:val="0"/>
      <w:marBottom w:val="0"/>
      <w:divBdr>
        <w:top w:val="none" w:sz="0" w:space="0" w:color="auto"/>
        <w:left w:val="none" w:sz="0" w:space="0" w:color="auto"/>
        <w:bottom w:val="none" w:sz="0" w:space="0" w:color="auto"/>
        <w:right w:val="none" w:sz="0" w:space="0" w:color="auto"/>
      </w:divBdr>
    </w:div>
    <w:div w:id="1302153491">
      <w:bodyDiv w:val="1"/>
      <w:marLeft w:val="0"/>
      <w:marRight w:val="0"/>
      <w:marTop w:val="0"/>
      <w:marBottom w:val="0"/>
      <w:divBdr>
        <w:top w:val="none" w:sz="0" w:space="0" w:color="auto"/>
        <w:left w:val="none" w:sz="0" w:space="0" w:color="auto"/>
        <w:bottom w:val="none" w:sz="0" w:space="0" w:color="auto"/>
        <w:right w:val="none" w:sz="0" w:space="0" w:color="auto"/>
      </w:divBdr>
    </w:div>
    <w:div w:id="1393039228">
      <w:bodyDiv w:val="1"/>
      <w:marLeft w:val="0"/>
      <w:marRight w:val="0"/>
      <w:marTop w:val="0"/>
      <w:marBottom w:val="0"/>
      <w:divBdr>
        <w:top w:val="none" w:sz="0" w:space="0" w:color="auto"/>
        <w:left w:val="none" w:sz="0" w:space="0" w:color="auto"/>
        <w:bottom w:val="none" w:sz="0" w:space="0" w:color="auto"/>
        <w:right w:val="none" w:sz="0" w:space="0" w:color="auto"/>
      </w:divBdr>
    </w:div>
    <w:div w:id="1653483590">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826192697">
      <w:bodyDiv w:val="1"/>
      <w:marLeft w:val="0"/>
      <w:marRight w:val="0"/>
      <w:marTop w:val="0"/>
      <w:marBottom w:val="0"/>
      <w:divBdr>
        <w:top w:val="none" w:sz="0" w:space="0" w:color="auto"/>
        <w:left w:val="none" w:sz="0" w:space="0" w:color="auto"/>
        <w:bottom w:val="none" w:sz="0" w:space="0" w:color="auto"/>
        <w:right w:val="none" w:sz="0" w:space="0" w:color="auto"/>
      </w:divBdr>
    </w:div>
    <w:div w:id="214060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D62A-2691-43D3-896A-4B971B94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248</Words>
  <Characters>1418</Characters>
  <Application>Microsoft Office Word</Application>
  <DocSecurity>0</DocSecurity>
  <Lines>11</Lines>
  <Paragraphs>3</Paragraphs>
  <ScaleCrop>false</ScaleCrop>
  <Company/>
  <LinksUpToDate>false</LinksUpToDate>
  <CharactersWithSpaces>1663</CharactersWithSpaces>
  <SharedDoc>false</SharedDoc>
  <HLinks>
    <vt:vector size="30" baseType="variant">
      <vt:variant>
        <vt:i4>1310776</vt:i4>
      </vt:variant>
      <vt:variant>
        <vt:i4>26</vt:i4>
      </vt:variant>
      <vt:variant>
        <vt:i4>0</vt:i4>
      </vt:variant>
      <vt:variant>
        <vt:i4>5</vt:i4>
      </vt:variant>
      <vt:variant>
        <vt:lpwstr/>
      </vt:variant>
      <vt:variant>
        <vt:lpwstr>_Toc149738380</vt:lpwstr>
      </vt:variant>
      <vt:variant>
        <vt:i4>1769528</vt:i4>
      </vt:variant>
      <vt:variant>
        <vt:i4>20</vt:i4>
      </vt:variant>
      <vt:variant>
        <vt:i4>0</vt:i4>
      </vt:variant>
      <vt:variant>
        <vt:i4>5</vt:i4>
      </vt:variant>
      <vt:variant>
        <vt:lpwstr/>
      </vt:variant>
      <vt:variant>
        <vt:lpwstr>_Toc149738379</vt:lpwstr>
      </vt:variant>
      <vt:variant>
        <vt:i4>1769528</vt:i4>
      </vt:variant>
      <vt:variant>
        <vt:i4>14</vt:i4>
      </vt:variant>
      <vt:variant>
        <vt:i4>0</vt:i4>
      </vt:variant>
      <vt:variant>
        <vt:i4>5</vt:i4>
      </vt:variant>
      <vt:variant>
        <vt:lpwstr/>
      </vt:variant>
      <vt:variant>
        <vt:lpwstr>_Toc149738378</vt:lpwstr>
      </vt:variant>
      <vt:variant>
        <vt:i4>1769528</vt:i4>
      </vt:variant>
      <vt:variant>
        <vt:i4>8</vt:i4>
      </vt:variant>
      <vt:variant>
        <vt:i4>0</vt:i4>
      </vt:variant>
      <vt:variant>
        <vt:i4>5</vt:i4>
      </vt:variant>
      <vt:variant>
        <vt:lpwstr/>
      </vt:variant>
      <vt:variant>
        <vt:lpwstr>_Toc149738377</vt:lpwstr>
      </vt:variant>
      <vt:variant>
        <vt:i4>1769528</vt:i4>
      </vt:variant>
      <vt:variant>
        <vt:i4>2</vt:i4>
      </vt:variant>
      <vt:variant>
        <vt:i4>0</vt:i4>
      </vt:variant>
      <vt:variant>
        <vt:i4>5</vt:i4>
      </vt:variant>
      <vt:variant>
        <vt:lpwstr/>
      </vt:variant>
      <vt:variant>
        <vt:lpwstr>_Toc149738376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2024-11-19T01:47:00Z</dcterms:created>
  <dcterms:modified xsi:type="dcterms:W3CDTF">2024-11-19T01:47:00Z</dcterms:modified>
</cp:coreProperties>
</file>