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76C" w:rsidRPr="00E10844" w:rsidRDefault="0070376C" w:rsidP="0070376C">
      <w:pPr>
        <w:ind w:leftChars="0" w:left="0" w:firstLineChars="0" w:firstLine="0"/>
        <w:rPr>
          <w:rFonts w:hAnsi="標楷體"/>
          <w:b/>
          <w:sz w:val="36"/>
          <w:szCs w:val="36"/>
        </w:rPr>
      </w:pPr>
      <w:bookmarkStart w:id="0" w:name="_GoBack"/>
      <w:bookmarkEnd w:id="0"/>
      <w:r w:rsidRPr="00E10844">
        <w:rPr>
          <w:rFonts w:hAnsi="標楷體"/>
          <w:b/>
          <w:sz w:val="36"/>
          <w:szCs w:val="36"/>
        </w:rPr>
        <w:t>臺銀綜合證券股份有限公司</w:t>
      </w:r>
      <w:r w:rsidR="00904607" w:rsidRPr="00E10844">
        <w:rPr>
          <w:rFonts w:hAnsi="標楷體"/>
          <w:b/>
          <w:sz w:val="36"/>
          <w:szCs w:val="36"/>
        </w:rPr>
        <w:t>11</w:t>
      </w:r>
      <w:r w:rsidR="00E12FDF">
        <w:rPr>
          <w:rFonts w:hAnsi="標楷體" w:hint="eastAsia"/>
          <w:b/>
          <w:sz w:val="36"/>
          <w:szCs w:val="36"/>
        </w:rPr>
        <w:t>4</w:t>
      </w:r>
      <w:r w:rsidR="00904607" w:rsidRPr="00E10844">
        <w:rPr>
          <w:rFonts w:hAnsi="標楷體"/>
          <w:b/>
          <w:sz w:val="36"/>
          <w:szCs w:val="36"/>
        </w:rPr>
        <w:t>年度</w:t>
      </w:r>
      <w:r w:rsidRPr="00E10844">
        <w:rPr>
          <w:rFonts w:hAnsi="標楷體"/>
          <w:b/>
          <w:sz w:val="36"/>
          <w:szCs w:val="36"/>
        </w:rPr>
        <w:t>營業預算評估報告</w:t>
      </w:r>
    </w:p>
    <w:p w:rsidR="00AE0C91" w:rsidRPr="00E10844" w:rsidRDefault="00AE0C91" w:rsidP="00AE0C91">
      <w:pPr>
        <w:adjustRightInd w:val="0"/>
        <w:ind w:leftChars="0" w:left="0" w:firstLine="560"/>
        <w:rPr>
          <w:rFonts w:hAnsi="標楷體"/>
          <w:kern w:val="0"/>
        </w:rPr>
      </w:pPr>
      <w:bookmarkStart w:id="1" w:name="_Toc103066466"/>
      <w:r w:rsidRPr="00E10844">
        <w:rPr>
          <w:rFonts w:hAnsi="標楷體"/>
        </w:rPr>
        <w:t>臺銀綜合證券股份有限公司(</w:t>
      </w:r>
      <w:r w:rsidR="004F6906" w:rsidRPr="00E10844">
        <w:rPr>
          <w:rFonts w:hAnsi="標楷體"/>
        </w:rPr>
        <w:t>下稱臺銀證券</w:t>
      </w:r>
      <w:r w:rsidRPr="00E10844">
        <w:rPr>
          <w:rFonts w:hAnsi="標楷體"/>
        </w:rPr>
        <w:t>)前身為臺灣銀行信託部，配合89年7月公布施行之信託業法，臺灣銀行另籌設證券部，於91年1月正式</w:t>
      </w:r>
      <w:r w:rsidR="009E5E01" w:rsidRPr="00E10844">
        <w:rPr>
          <w:rFonts w:hAnsi="標楷體"/>
        </w:rPr>
        <w:t>營運</w:t>
      </w:r>
      <w:r w:rsidRPr="00E10844">
        <w:rPr>
          <w:rFonts w:hAnsi="標楷體"/>
        </w:rPr>
        <w:t>，經營證券經紀</w:t>
      </w:r>
      <w:r w:rsidR="00A1392D">
        <w:rPr>
          <w:rFonts w:hAnsi="標楷體" w:hint="eastAsia"/>
        </w:rPr>
        <w:t>(</w:t>
      </w:r>
      <w:r w:rsidRPr="00E10844">
        <w:rPr>
          <w:rFonts w:hAnsi="標楷體"/>
        </w:rPr>
        <w:t>含自辦資券</w:t>
      </w:r>
      <w:r w:rsidR="00A1392D">
        <w:rPr>
          <w:rFonts w:hAnsi="標楷體" w:hint="eastAsia"/>
        </w:rPr>
        <w:t>)</w:t>
      </w:r>
      <w:r w:rsidRPr="00E10844">
        <w:rPr>
          <w:rFonts w:hAnsi="標楷體"/>
        </w:rPr>
        <w:t>、自行買賣政府債券及承銷有價證券等業務。臺灣銀行與中央信託局於96年7月合併，兩行局證券業務皆為兼營，97</w:t>
      </w:r>
      <w:r w:rsidRPr="00E10844">
        <w:rPr>
          <w:rFonts w:hAnsi="標楷體"/>
          <w:kern w:val="0"/>
        </w:rPr>
        <w:t>年1月1日臺灣金控成立後，臺灣銀行證券部門於97年1月2日正式分割成立</w:t>
      </w:r>
      <w:r w:rsidR="004F6906" w:rsidRPr="00E10844">
        <w:rPr>
          <w:rFonts w:hAnsi="標楷體"/>
          <w:kern w:val="0"/>
        </w:rPr>
        <w:t>臺銀證券</w:t>
      </w:r>
      <w:r w:rsidRPr="00E10844">
        <w:rPr>
          <w:rFonts w:hAnsi="標楷體"/>
          <w:kern w:val="0"/>
        </w:rPr>
        <w:t>。</w:t>
      </w:r>
    </w:p>
    <w:p w:rsidR="00AE0C91" w:rsidRPr="00E10844" w:rsidRDefault="004F6906" w:rsidP="00AE0C91">
      <w:pPr>
        <w:adjustRightInd w:val="0"/>
        <w:ind w:leftChars="0" w:left="0" w:firstLine="560"/>
        <w:rPr>
          <w:rFonts w:hAnsi="標楷體"/>
        </w:rPr>
      </w:pPr>
      <w:r w:rsidRPr="00E10844">
        <w:rPr>
          <w:rFonts w:hAnsi="標楷體"/>
        </w:rPr>
        <w:t>臺銀證券</w:t>
      </w:r>
      <w:r w:rsidR="003E62F8">
        <w:rPr>
          <w:rFonts w:hAnsi="標楷體"/>
        </w:rPr>
        <w:t>11</w:t>
      </w:r>
      <w:r w:rsidR="00E12FDF">
        <w:rPr>
          <w:rFonts w:hAnsi="標楷體" w:hint="eastAsia"/>
        </w:rPr>
        <w:t>4</w:t>
      </w:r>
      <w:r w:rsidR="00904607" w:rsidRPr="00E10844">
        <w:rPr>
          <w:rFonts w:hAnsi="標楷體"/>
        </w:rPr>
        <w:t>年度</w:t>
      </w:r>
      <w:r w:rsidR="00AE0C91" w:rsidRPr="00E10844">
        <w:rPr>
          <w:rFonts w:hAnsi="標楷體"/>
        </w:rPr>
        <w:t>營業收支預算編列如下：營業收入</w:t>
      </w:r>
      <w:r w:rsidR="00E12FDF">
        <w:rPr>
          <w:rFonts w:hAnsi="標楷體" w:hint="eastAsia"/>
        </w:rPr>
        <w:t>10</w:t>
      </w:r>
      <w:r w:rsidR="00AE0C91" w:rsidRPr="00E10844">
        <w:rPr>
          <w:rFonts w:hAnsi="標楷體"/>
        </w:rPr>
        <w:t>億</w:t>
      </w:r>
      <w:r w:rsidR="00E12FDF">
        <w:rPr>
          <w:rFonts w:hAnsi="標楷體" w:hint="eastAsia"/>
        </w:rPr>
        <w:t>2</w:t>
      </w:r>
      <w:r w:rsidR="00A42E4C" w:rsidRPr="00E10844">
        <w:rPr>
          <w:rFonts w:hAnsi="標楷體"/>
        </w:rPr>
        <w:t>,</w:t>
      </w:r>
      <w:r w:rsidR="00E12FDF">
        <w:rPr>
          <w:rFonts w:hAnsi="標楷體" w:hint="eastAsia"/>
        </w:rPr>
        <w:t>088</w:t>
      </w:r>
      <w:r w:rsidR="00AE0C91" w:rsidRPr="00E10844">
        <w:rPr>
          <w:rFonts w:hAnsi="標楷體"/>
        </w:rPr>
        <w:t>萬</w:t>
      </w:r>
      <w:r w:rsidR="00E12FDF">
        <w:rPr>
          <w:rFonts w:hAnsi="標楷體" w:hint="eastAsia"/>
        </w:rPr>
        <w:t>5</w:t>
      </w:r>
      <w:r w:rsidR="00AE0C91" w:rsidRPr="00E10844">
        <w:rPr>
          <w:rFonts w:hAnsi="標楷體"/>
        </w:rPr>
        <w:t>千元，營業成本</w:t>
      </w:r>
      <w:r w:rsidR="00611702">
        <w:rPr>
          <w:rFonts w:hAnsi="標楷體" w:hint="eastAsia"/>
        </w:rPr>
        <w:t>3</w:t>
      </w:r>
      <w:r w:rsidR="00AE0C91" w:rsidRPr="00E10844">
        <w:rPr>
          <w:rFonts w:hAnsi="標楷體"/>
        </w:rPr>
        <w:t>億</w:t>
      </w:r>
      <w:r w:rsidR="00E12FDF">
        <w:rPr>
          <w:rFonts w:hAnsi="標楷體" w:hint="eastAsia"/>
        </w:rPr>
        <w:t>3</w:t>
      </w:r>
      <w:r w:rsidR="00A42E4C" w:rsidRPr="00E10844">
        <w:rPr>
          <w:rFonts w:hAnsi="標楷體"/>
        </w:rPr>
        <w:t>,</w:t>
      </w:r>
      <w:r w:rsidR="00E12FDF">
        <w:rPr>
          <w:rFonts w:hAnsi="標楷體" w:hint="eastAsia"/>
        </w:rPr>
        <w:t>041</w:t>
      </w:r>
      <w:r w:rsidR="00AE0C91" w:rsidRPr="00E10844">
        <w:rPr>
          <w:rFonts w:hAnsi="標楷體"/>
        </w:rPr>
        <w:t>萬元，營業費用</w:t>
      </w:r>
      <w:r w:rsidR="004151E1" w:rsidRPr="00E10844">
        <w:rPr>
          <w:rFonts w:hAnsi="標楷體"/>
        </w:rPr>
        <w:t>3</w:t>
      </w:r>
      <w:r w:rsidR="00AE0C91" w:rsidRPr="00E10844">
        <w:rPr>
          <w:rFonts w:hAnsi="標楷體"/>
        </w:rPr>
        <w:t>億</w:t>
      </w:r>
      <w:r w:rsidR="00E12FDF">
        <w:rPr>
          <w:rFonts w:hAnsi="標楷體" w:hint="eastAsia"/>
        </w:rPr>
        <w:t>6</w:t>
      </w:r>
      <w:r w:rsidR="00A42E4C" w:rsidRPr="00E10844">
        <w:rPr>
          <w:rFonts w:hAnsi="標楷體"/>
        </w:rPr>
        <w:t>,</w:t>
      </w:r>
      <w:r w:rsidR="00611702">
        <w:rPr>
          <w:rFonts w:hAnsi="標楷體" w:hint="eastAsia"/>
        </w:rPr>
        <w:t>7</w:t>
      </w:r>
      <w:r w:rsidR="00E12FDF">
        <w:rPr>
          <w:rFonts w:hAnsi="標楷體" w:hint="eastAsia"/>
        </w:rPr>
        <w:t>55</w:t>
      </w:r>
      <w:r w:rsidR="00AE0C91" w:rsidRPr="00E10844">
        <w:rPr>
          <w:rFonts w:hAnsi="標楷體"/>
        </w:rPr>
        <w:t>萬</w:t>
      </w:r>
      <w:r w:rsidR="00E12FDF">
        <w:rPr>
          <w:rFonts w:hAnsi="標楷體" w:hint="eastAsia"/>
        </w:rPr>
        <w:t>8</w:t>
      </w:r>
      <w:r w:rsidR="002714EE" w:rsidRPr="00E10844">
        <w:rPr>
          <w:rFonts w:hAnsi="標楷體"/>
        </w:rPr>
        <w:t>千</w:t>
      </w:r>
      <w:r w:rsidR="00AE0C91" w:rsidRPr="00E10844">
        <w:rPr>
          <w:rFonts w:hAnsi="標楷體"/>
        </w:rPr>
        <w:t>元，營業外收入</w:t>
      </w:r>
      <w:r w:rsidR="00A42E4C" w:rsidRPr="00E10844">
        <w:rPr>
          <w:rFonts w:hAnsi="標楷體"/>
        </w:rPr>
        <w:t>1,</w:t>
      </w:r>
      <w:r w:rsidR="00611702">
        <w:rPr>
          <w:rFonts w:hAnsi="標楷體" w:hint="eastAsia"/>
        </w:rPr>
        <w:t>5</w:t>
      </w:r>
      <w:r w:rsidR="00E12FDF">
        <w:rPr>
          <w:rFonts w:hAnsi="標楷體" w:hint="eastAsia"/>
        </w:rPr>
        <w:t>65</w:t>
      </w:r>
      <w:r w:rsidR="00AE0C91" w:rsidRPr="00E10844">
        <w:rPr>
          <w:rFonts w:hAnsi="標楷體"/>
        </w:rPr>
        <w:t>萬</w:t>
      </w:r>
      <w:r w:rsidR="00E12FDF">
        <w:rPr>
          <w:rFonts w:hAnsi="標楷體" w:hint="eastAsia"/>
        </w:rPr>
        <w:t>5</w:t>
      </w:r>
      <w:r w:rsidR="00574D17" w:rsidRPr="00E10844">
        <w:rPr>
          <w:rFonts w:hAnsi="標楷體"/>
        </w:rPr>
        <w:t>千</w:t>
      </w:r>
      <w:r w:rsidR="00AE0C91" w:rsidRPr="00E10844">
        <w:rPr>
          <w:rFonts w:hAnsi="標楷體"/>
        </w:rPr>
        <w:t>元，營業外費用</w:t>
      </w:r>
      <w:r w:rsidR="00E12FDF">
        <w:rPr>
          <w:rFonts w:hAnsi="標楷體" w:hint="eastAsia"/>
        </w:rPr>
        <w:t>4</w:t>
      </w:r>
      <w:r w:rsidR="00A42E4C" w:rsidRPr="00E10844">
        <w:rPr>
          <w:rFonts w:hAnsi="標楷體"/>
        </w:rPr>
        <w:t>,</w:t>
      </w:r>
      <w:r w:rsidR="00E12FDF">
        <w:rPr>
          <w:rFonts w:hAnsi="標楷體" w:hint="eastAsia"/>
        </w:rPr>
        <w:t>805</w:t>
      </w:r>
      <w:r w:rsidR="004151E1" w:rsidRPr="00E10844">
        <w:rPr>
          <w:rFonts w:hAnsi="標楷體"/>
        </w:rPr>
        <w:t>萬元</w:t>
      </w:r>
      <w:r w:rsidR="00AE0C91" w:rsidRPr="00E10844">
        <w:rPr>
          <w:rFonts w:hAnsi="標楷體"/>
        </w:rPr>
        <w:t>及所得稅費用</w:t>
      </w:r>
      <w:r w:rsidR="00E12FDF">
        <w:rPr>
          <w:rFonts w:hAnsi="標楷體" w:hint="eastAsia"/>
        </w:rPr>
        <w:t>4</w:t>
      </w:r>
      <w:r w:rsidR="00A42E4C" w:rsidRPr="00E10844">
        <w:rPr>
          <w:rFonts w:hAnsi="標楷體"/>
        </w:rPr>
        <w:t>,</w:t>
      </w:r>
      <w:r w:rsidR="00611702">
        <w:rPr>
          <w:rFonts w:hAnsi="標楷體" w:hint="eastAsia"/>
        </w:rPr>
        <w:t>63</w:t>
      </w:r>
      <w:r w:rsidR="00E12FDF">
        <w:rPr>
          <w:rFonts w:hAnsi="標楷體" w:hint="eastAsia"/>
        </w:rPr>
        <w:t>3</w:t>
      </w:r>
      <w:r w:rsidR="00AE0C91" w:rsidRPr="00E10844">
        <w:rPr>
          <w:rFonts w:hAnsi="標楷體"/>
        </w:rPr>
        <w:t>萬</w:t>
      </w:r>
      <w:r w:rsidR="00E12FDF">
        <w:rPr>
          <w:rFonts w:hAnsi="標楷體" w:hint="eastAsia"/>
        </w:rPr>
        <w:t>9</w:t>
      </w:r>
      <w:r w:rsidR="00AE0C91" w:rsidRPr="00E10844">
        <w:rPr>
          <w:rFonts w:hAnsi="標楷體"/>
        </w:rPr>
        <w:t>千元，</w:t>
      </w:r>
      <w:r w:rsidR="00B465DF">
        <w:rPr>
          <w:rFonts w:hAnsi="標楷體" w:hint="eastAsia"/>
        </w:rPr>
        <w:t>收支相抵後</w:t>
      </w:r>
      <w:r w:rsidR="00AE0C91" w:rsidRPr="00E10844">
        <w:rPr>
          <w:rFonts w:hAnsi="標楷體"/>
        </w:rPr>
        <w:t>本期</w:t>
      </w:r>
      <w:r w:rsidR="009E5E01" w:rsidRPr="00E10844">
        <w:rPr>
          <w:rFonts w:hAnsi="標楷體"/>
        </w:rPr>
        <w:t>稅後</w:t>
      </w:r>
      <w:r w:rsidR="00AE0C91" w:rsidRPr="00E10844">
        <w:rPr>
          <w:rFonts w:hAnsi="標楷體"/>
        </w:rPr>
        <w:t>淨利</w:t>
      </w:r>
      <w:r w:rsidR="00611702">
        <w:rPr>
          <w:rFonts w:hAnsi="標楷體" w:hint="eastAsia"/>
        </w:rPr>
        <w:t>2</w:t>
      </w:r>
      <w:r w:rsidR="00AE0C91" w:rsidRPr="00E10844">
        <w:rPr>
          <w:rFonts w:hAnsi="標楷體"/>
        </w:rPr>
        <w:t>億</w:t>
      </w:r>
      <w:r w:rsidR="00E12FDF">
        <w:rPr>
          <w:rFonts w:hAnsi="標楷體" w:hint="eastAsia"/>
        </w:rPr>
        <w:t>4</w:t>
      </w:r>
      <w:r w:rsidR="00E12FDF">
        <w:rPr>
          <w:rFonts w:hAnsi="標楷體"/>
        </w:rPr>
        <w:t>,418</w:t>
      </w:r>
      <w:r w:rsidR="00AE0C91" w:rsidRPr="00E10844">
        <w:rPr>
          <w:rFonts w:hAnsi="標楷體"/>
        </w:rPr>
        <w:t>萬</w:t>
      </w:r>
      <w:r w:rsidR="00E12FDF">
        <w:rPr>
          <w:rFonts w:hAnsi="標楷體"/>
        </w:rPr>
        <w:t>3</w:t>
      </w:r>
      <w:r w:rsidR="00AE0C91" w:rsidRPr="00E10844">
        <w:rPr>
          <w:rFonts w:hAnsi="標楷體"/>
        </w:rPr>
        <w:t>千元。茲就</w:t>
      </w:r>
      <w:r w:rsidR="00904607" w:rsidRPr="00E10844">
        <w:rPr>
          <w:rFonts w:hAnsi="標楷體"/>
        </w:rPr>
        <w:t>11</w:t>
      </w:r>
      <w:r w:rsidR="00E12FDF">
        <w:rPr>
          <w:rFonts w:hAnsi="標楷體"/>
        </w:rPr>
        <w:t>4</w:t>
      </w:r>
      <w:r w:rsidR="00904607" w:rsidRPr="00E10844">
        <w:rPr>
          <w:rFonts w:hAnsi="標楷體"/>
        </w:rPr>
        <w:t>年度</w:t>
      </w:r>
      <w:r w:rsidR="007C0ADB" w:rsidRPr="00E10844">
        <w:rPr>
          <w:rFonts w:hAnsi="標楷體"/>
        </w:rPr>
        <w:t>該</w:t>
      </w:r>
      <w:r w:rsidR="00AE0C91" w:rsidRPr="00E10844">
        <w:rPr>
          <w:rFonts w:hAnsi="標楷體"/>
        </w:rPr>
        <w:t>公司營業</w:t>
      </w:r>
      <w:r w:rsidR="00A1392D" w:rsidRPr="00C96B69">
        <w:rPr>
          <w:rFonts w:hint="eastAsia"/>
        </w:rPr>
        <w:t>預算案評估如下</w:t>
      </w:r>
      <w:r w:rsidR="00AE0C91" w:rsidRPr="00E10844">
        <w:rPr>
          <w:rFonts w:hAnsi="標楷體"/>
        </w:rPr>
        <w:t>：</w:t>
      </w:r>
    </w:p>
    <w:p w:rsidR="00C53B7D" w:rsidRPr="00E10844" w:rsidRDefault="00B169E5" w:rsidP="00EF7497">
      <w:pPr>
        <w:pStyle w:val="14"/>
        <w:ind w:left="561" w:hanging="561"/>
        <w:rPr>
          <w:rFonts w:hAnsi="標楷體"/>
        </w:rPr>
      </w:pPr>
      <w:bookmarkStart w:id="2" w:name="_Toc215371195"/>
      <w:bookmarkStart w:id="3" w:name="_Toc306953461"/>
      <w:bookmarkStart w:id="4" w:name="_Toc181900907"/>
      <w:bookmarkEnd w:id="1"/>
      <w:r>
        <w:rPr>
          <w:rFonts w:hAnsi="標楷體" w:hint="eastAsia"/>
        </w:rPr>
        <w:t>五、</w:t>
      </w:r>
      <w:r w:rsidR="006D0F70">
        <w:rPr>
          <w:rFonts w:hAnsi="標楷體" w:hint="eastAsia"/>
        </w:rPr>
        <w:t>112年</w:t>
      </w:r>
      <w:r w:rsidR="00273B2F">
        <w:rPr>
          <w:rFonts w:hAnsi="標楷體" w:hint="eastAsia"/>
        </w:rPr>
        <w:t>未列入「</w:t>
      </w:r>
      <w:r w:rsidR="00273B2F" w:rsidRPr="00E00D9D">
        <w:rPr>
          <w:rFonts w:hAnsi="標楷體" w:hint="eastAsia"/>
        </w:rPr>
        <w:t>公平待客原則</w:t>
      </w:r>
      <w:r w:rsidR="00273B2F">
        <w:rPr>
          <w:rFonts w:hAnsi="標楷體" w:hint="eastAsia"/>
        </w:rPr>
        <w:t>」評比前</w:t>
      </w:r>
      <w:r w:rsidR="00273B2F">
        <w:rPr>
          <w:rFonts w:hint="eastAsia"/>
        </w:rPr>
        <w:t>25%之</w:t>
      </w:r>
      <w:r w:rsidR="00273B2F" w:rsidRPr="00E10844">
        <w:t>證券商</w:t>
      </w:r>
      <w:r w:rsidR="00273B2F">
        <w:rPr>
          <w:rFonts w:hint="eastAsia"/>
        </w:rPr>
        <w:t>，</w:t>
      </w:r>
      <w:r w:rsidR="00D31DD7" w:rsidRPr="00D31DD7">
        <w:rPr>
          <w:rFonts w:hAnsi="標楷體" w:hint="eastAsia"/>
        </w:rPr>
        <w:t>允宜落實金管會所定114年公平待客原則評核指標及其加強評核重點</w:t>
      </w:r>
      <w:r w:rsidR="00C53B7D" w:rsidRPr="00E10844">
        <w:rPr>
          <w:rFonts w:hAnsi="標楷體"/>
        </w:rPr>
        <w:t>，</w:t>
      </w:r>
      <w:r w:rsidR="00D31DD7" w:rsidRPr="00D31DD7">
        <w:rPr>
          <w:rFonts w:hAnsi="標楷體" w:hint="eastAsia"/>
        </w:rPr>
        <w:t>以提升</w:t>
      </w:r>
      <w:r w:rsidR="00497C05" w:rsidRPr="00497C05">
        <w:rPr>
          <w:rFonts w:hAnsi="標楷體" w:hint="eastAsia"/>
        </w:rPr>
        <w:t>對金融消費者之服務品質</w:t>
      </w:r>
      <w:bookmarkEnd w:id="4"/>
    </w:p>
    <w:p w:rsidR="00C53B7D" w:rsidRPr="00E10844" w:rsidRDefault="00C53B7D" w:rsidP="00186D19">
      <w:pPr>
        <w:ind w:left="560" w:firstLine="560"/>
        <w:rPr>
          <w:rFonts w:hAnsi="標楷體"/>
        </w:rPr>
      </w:pPr>
      <w:r w:rsidRPr="00E10844">
        <w:rPr>
          <w:rFonts w:hAnsi="標楷體"/>
        </w:rPr>
        <w:t>臺銀證券</w:t>
      </w:r>
      <w:r w:rsidR="001D0B78">
        <w:rPr>
          <w:rFonts w:hAnsi="標楷體"/>
        </w:rPr>
        <w:t>11</w:t>
      </w:r>
      <w:r w:rsidR="00E00D9D">
        <w:rPr>
          <w:rFonts w:hAnsi="標楷體" w:hint="eastAsia"/>
        </w:rPr>
        <w:t>4</w:t>
      </w:r>
      <w:r w:rsidRPr="00E10844">
        <w:rPr>
          <w:rFonts w:hAnsi="標楷體"/>
        </w:rPr>
        <w:t>年度預算案於</w:t>
      </w:r>
      <w:r w:rsidR="00027892">
        <w:rPr>
          <w:rFonts w:hAnsi="標楷體" w:hint="eastAsia"/>
        </w:rPr>
        <w:t>「</w:t>
      </w:r>
      <w:r w:rsidRPr="00E10844">
        <w:rPr>
          <w:rFonts w:hAnsi="標楷體"/>
        </w:rPr>
        <w:t>營業成本</w:t>
      </w:r>
      <w:r w:rsidR="00027892">
        <w:rPr>
          <w:rFonts w:hAnsi="標楷體" w:hint="eastAsia"/>
        </w:rPr>
        <w:t>-</w:t>
      </w:r>
      <w:r w:rsidRPr="00E10844">
        <w:rPr>
          <w:rFonts w:hAnsi="標楷體"/>
        </w:rPr>
        <w:t>金融保險成本</w:t>
      </w:r>
      <w:r w:rsidR="00027892">
        <w:rPr>
          <w:rFonts w:hAnsi="標楷體" w:hint="eastAsia"/>
        </w:rPr>
        <w:t>」</w:t>
      </w:r>
      <w:r w:rsidRPr="00E10844">
        <w:rPr>
          <w:rFonts w:hAnsi="標楷體"/>
        </w:rPr>
        <w:t>項下編列「證券經紀及承銷費用」2億</w:t>
      </w:r>
      <w:r w:rsidR="005B57BE">
        <w:rPr>
          <w:rFonts w:hAnsi="標楷體" w:hint="eastAsia"/>
        </w:rPr>
        <w:t>7</w:t>
      </w:r>
      <w:r w:rsidR="001D0B78" w:rsidRPr="00E10844">
        <w:rPr>
          <w:rFonts w:hAnsi="標楷體"/>
        </w:rPr>
        <w:t>,</w:t>
      </w:r>
      <w:r w:rsidR="001D0B78">
        <w:rPr>
          <w:rFonts w:hAnsi="標楷體" w:hint="eastAsia"/>
        </w:rPr>
        <w:t>6</w:t>
      </w:r>
      <w:r w:rsidR="005B57BE">
        <w:rPr>
          <w:rFonts w:hAnsi="標楷體" w:hint="eastAsia"/>
        </w:rPr>
        <w:t>50</w:t>
      </w:r>
      <w:r w:rsidR="001D0B78" w:rsidRPr="00E10844">
        <w:rPr>
          <w:rFonts w:hAnsi="標楷體"/>
        </w:rPr>
        <w:t>萬</w:t>
      </w:r>
      <w:r w:rsidR="005B57BE">
        <w:rPr>
          <w:rFonts w:hAnsi="標楷體" w:hint="eastAsia"/>
        </w:rPr>
        <w:t>2</w:t>
      </w:r>
      <w:r w:rsidR="001D0B78" w:rsidRPr="00E10844">
        <w:rPr>
          <w:rFonts w:hAnsi="標楷體"/>
        </w:rPr>
        <w:t>千</w:t>
      </w:r>
      <w:r w:rsidRPr="00E10844">
        <w:rPr>
          <w:rFonts w:hAnsi="標楷體"/>
        </w:rPr>
        <w:t>元，較11</w:t>
      </w:r>
      <w:r w:rsidR="005B57BE">
        <w:rPr>
          <w:rFonts w:hAnsi="標楷體" w:hint="eastAsia"/>
        </w:rPr>
        <w:t>3</w:t>
      </w:r>
      <w:r w:rsidRPr="00E10844">
        <w:rPr>
          <w:rFonts w:hAnsi="標楷體"/>
        </w:rPr>
        <w:t>年度預算數</w:t>
      </w:r>
      <w:r w:rsidR="005B57BE">
        <w:rPr>
          <w:rFonts w:hAnsi="標楷體" w:hint="eastAsia"/>
        </w:rPr>
        <w:t>增加683</w:t>
      </w:r>
      <w:r w:rsidRPr="00E10844">
        <w:rPr>
          <w:rFonts w:hAnsi="標楷體"/>
        </w:rPr>
        <w:t>萬</w:t>
      </w:r>
      <w:r w:rsidR="005B57BE">
        <w:rPr>
          <w:rFonts w:hAnsi="標楷體" w:hint="eastAsia"/>
        </w:rPr>
        <w:t>7</w:t>
      </w:r>
      <w:r w:rsidRPr="00E10844">
        <w:rPr>
          <w:rFonts w:hAnsi="標楷體"/>
        </w:rPr>
        <w:t>千元(</w:t>
      </w:r>
      <w:r w:rsidR="005B57BE">
        <w:rPr>
          <w:rFonts w:hAnsi="標楷體" w:hint="eastAsia"/>
        </w:rPr>
        <w:t>增</w:t>
      </w:r>
      <w:r w:rsidR="008D359B" w:rsidRPr="00E10844">
        <w:rPr>
          <w:rFonts w:hAnsi="標楷體"/>
        </w:rPr>
        <w:t>幅</w:t>
      </w:r>
      <w:r w:rsidR="005B57BE">
        <w:rPr>
          <w:rFonts w:hAnsi="標楷體" w:hint="eastAsia"/>
        </w:rPr>
        <w:t>2.5</w:t>
      </w:r>
      <w:r w:rsidRPr="00E10844">
        <w:rPr>
          <w:rFonts w:hAnsi="標楷體"/>
        </w:rPr>
        <w:t>%)，</w:t>
      </w:r>
      <w:r w:rsidR="003D4458" w:rsidRPr="00E10844">
        <w:rPr>
          <w:rFonts w:hAnsi="標楷體"/>
        </w:rPr>
        <w:t>主要支應證券經紀及承銷業務</w:t>
      </w:r>
      <w:r w:rsidR="001726E5">
        <w:rPr>
          <w:rFonts w:hAnsi="標楷體" w:hint="eastAsia"/>
        </w:rPr>
        <w:t>之相關</w:t>
      </w:r>
      <w:r w:rsidR="001726E5">
        <w:rPr>
          <w:rFonts w:hAnsi="標楷體"/>
        </w:rPr>
        <w:t>支出</w:t>
      </w:r>
      <w:r w:rsidR="001726E5">
        <w:rPr>
          <w:rFonts w:hAnsi="標楷體" w:hint="eastAsia"/>
        </w:rPr>
        <w:t>；</w:t>
      </w:r>
      <w:r w:rsidR="003D4458" w:rsidRPr="00E10844">
        <w:rPr>
          <w:rFonts w:hAnsi="標楷體"/>
        </w:rPr>
        <w:t>其內部管理</w:t>
      </w:r>
      <w:r w:rsidRPr="00E10844">
        <w:rPr>
          <w:rFonts w:hAnsi="標楷體"/>
        </w:rPr>
        <w:t>項目</w:t>
      </w:r>
      <w:r w:rsidR="008633C7">
        <w:rPr>
          <w:rFonts w:hAnsi="標楷體"/>
        </w:rPr>
        <w:t>包括落實執行「公平待客</w:t>
      </w:r>
      <w:r w:rsidRPr="00E10844">
        <w:rPr>
          <w:rFonts w:hAnsi="標楷體"/>
        </w:rPr>
        <w:t>原則</w:t>
      </w:r>
      <w:r w:rsidR="008633C7">
        <w:rPr>
          <w:rFonts w:hAnsi="標楷體" w:hint="eastAsia"/>
        </w:rPr>
        <w:t>」</w:t>
      </w:r>
      <w:r w:rsidRPr="00E10844">
        <w:rPr>
          <w:rFonts w:hAnsi="標楷體"/>
        </w:rPr>
        <w:t>，</w:t>
      </w:r>
      <w:r w:rsidR="001726E5">
        <w:rPr>
          <w:rFonts w:hAnsi="標楷體" w:hint="eastAsia"/>
        </w:rPr>
        <w:t>預計</w:t>
      </w:r>
      <w:r w:rsidRPr="00E10844">
        <w:rPr>
          <w:rFonts w:hAnsi="標楷體"/>
        </w:rPr>
        <w:t>每年</w:t>
      </w:r>
      <w:r w:rsidR="001726E5">
        <w:rPr>
          <w:rFonts w:hAnsi="標楷體" w:hint="eastAsia"/>
        </w:rPr>
        <w:t>度</w:t>
      </w:r>
      <w:r w:rsidRPr="00E10844">
        <w:rPr>
          <w:rFonts w:hAnsi="標楷體"/>
        </w:rPr>
        <w:t>辦理自我評鑑、檢討執行成果。經查：</w:t>
      </w:r>
    </w:p>
    <w:p w:rsidR="00C53B7D" w:rsidRPr="00E10844" w:rsidRDefault="00C53B7D" w:rsidP="00D82AB0">
      <w:pPr>
        <w:pStyle w:val="a4"/>
        <w:ind w:left="840" w:hanging="280"/>
        <w:rPr>
          <w:rFonts w:hAnsi="標楷體"/>
          <w:b/>
        </w:rPr>
      </w:pPr>
      <w:r w:rsidRPr="00E10844">
        <w:rPr>
          <w:rFonts w:hAnsi="標楷體"/>
          <w:b/>
        </w:rPr>
        <w:t>(一)</w:t>
      </w:r>
      <w:r w:rsidR="007E723F">
        <w:rPr>
          <w:rFonts w:hAnsi="標楷體" w:hint="eastAsia"/>
          <w:b/>
        </w:rPr>
        <w:t>金管會</w:t>
      </w:r>
      <w:r w:rsidRPr="00E10844">
        <w:rPr>
          <w:rFonts w:hAnsi="標楷體"/>
          <w:b/>
        </w:rPr>
        <w:t>於104年底訂定「金融服務業公平待客原則」，並</w:t>
      </w:r>
      <w:r w:rsidR="00AA5237">
        <w:rPr>
          <w:rFonts w:hAnsi="標楷體" w:hint="eastAsia"/>
          <w:b/>
        </w:rPr>
        <w:t>自</w:t>
      </w:r>
      <w:r w:rsidRPr="00E10844">
        <w:rPr>
          <w:rFonts w:hAnsi="標楷體"/>
          <w:b/>
        </w:rPr>
        <w:t>108年起實施「金融服務業公平待客原則評核機制」</w:t>
      </w:r>
    </w:p>
    <w:p w:rsidR="00C53B7D" w:rsidRPr="00E10844" w:rsidRDefault="00C53B7D" w:rsidP="00C53B7D">
      <w:pPr>
        <w:pStyle w:val="21"/>
        <w:ind w:left="840" w:firstLine="560"/>
        <w:rPr>
          <w:rFonts w:hAnsi="標楷體"/>
        </w:rPr>
      </w:pPr>
      <w:r w:rsidRPr="00E10844">
        <w:rPr>
          <w:rFonts w:hAnsi="標楷體"/>
        </w:rPr>
        <w:t>為利金融服務業落實金融消費者保護，金管會於104年底訂定「金融服務業公平待客原則」，作為金融服務業推動與執行金融消費者保護之參考，且為協助業者瞭解自身落實公平待客</w:t>
      </w:r>
      <w:r w:rsidRPr="00E10844">
        <w:rPr>
          <w:rFonts w:hAnsi="標楷體"/>
        </w:rPr>
        <w:lastRenderedPageBreak/>
        <w:t>原則情形，金管會</w:t>
      </w:r>
      <w:r w:rsidR="007E723F">
        <w:rPr>
          <w:rFonts w:hAnsi="標楷體" w:hint="eastAsia"/>
        </w:rPr>
        <w:t>於108年實施</w:t>
      </w:r>
      <w:r w:rsidR="007E723F">
        <w:rPr>
          <w:rFonts w:hAnsi="標楷體"/>
        </w:rPr>
        <w:t>「金融服務業公平待客原則評核機制」</w:t>
      </w:r>
      <w:r w:rsidRPr="00E10844">
        <w:rPr>
          <w:rFonts w:hAnsi="標楷體"/>
        </w:rPr>
        <w:t>。</w:t>
      </w:r>
    </w:p>
    <w:p w:rsidR="00C53B7D" w:rsidRPr="00E10844" w:rsidRDefault="00C53B7D" w:rsidP="00C53B7D">
      <w:pPr>
        <w:pStyle w:val="21"/>
        <w:ind w:left="840" w:firstLine="560"/>
        <w:rPr>
          <w:rFonts w:hAnsi="標楷體"/>
        </w:rPr>
      </w:pPr>
      <w:r w:rsidRPr="00E10844">
        <w:rPr>
          <w:rFonts w:hAnsi="標楷體"/>
        </w:rPr>
        <w:t>針對證券商部分，金管會</w:t>
      </w:r>
      <w:r w:rsidR="009A0EA9">
        <w:rPr>
          <w:rFonts w:hAnsi="標楷體" w:hint="eastAsia"/>
        </w:rPr>
        <w:t>於108至</w:t>
      </w:r>
      <w:r w:rsidR="00373930">
        <w:rPr>
          <w:rFonts w:hAnsi="標楷體" w:hint="eastAsia"/>
        </w:rPr>
        <w:t>11</w:t>
      </w:r>
      <w:r w:rsidR="00373930">
        <w:rPr>
          <w:rFonts w:hAnsi="標楷體"/>
        </w:rPr>
        <w:t>4</w:t>
      </w:r>
      <w:r w:rsidR="009A0EA9">
        <w:rPr>
          <w:rFonts w:hAnsi="標楷體" w:hint="eastAsia"/>
        </w:rPr>
        <w:t>年度</w:t>
      </w:r>
      <w:r w:rsidRPr="00E10844">
        <w:rPr>
          <w:rFonts w:hAnsi="標楷體"/>
        </w:rPr>
        <w:t>採隔年評核機制，於</w:t>
      </w:r>
      <w:r w:rsidR="00C5716B">
        <w:rPr>
          <w:rFonts w:hAnsi="標楷體" w:hint="eastAsia"/>
        </w:rPr>
        <w:t>108、</w:t>
      </w:r>
      <w:r w:rsidR="00C5716B">
        <w:rPr>
          <w:rFonts w:hAnsi="標楷體"/>
        </w:rPr>
        <w:t>110</w:t>
      </w:r>
      <w:r w:rsidR="00373930">
        <w:rPr>
          <w:rFonts w:hAnsi="標楷體" w:hint="eastAsia"/>
        </w:rPr>
        <w:t>、</w:t>
      </w:r>
      <w:r w:rsidR="00C5716B">
        <w:rPr>
          <w:rFonts w:hAnsi="標楷體"/>
        </w:rPr>
        <w:t>112</w:t>
      </w:r>
      <w:r w:rsidR="00373930">
        <w:rPr>
          <w:rFonts w:hAnsi="標楷體" w:hint="eastAsia"/>
        </w:rPr>
        <w:t>及114</w:t>
      </w:r>
      <w:r w:rsidRPr="00E10844">
        <w:rPr>
          <w:rFonts w:hAnsi="標楷體"/>
        </w:rPr>
        <w:t>年度(分別評核</w:t>
      </w:r>
      <w:r w:rsidR="00C5716B">
        <w:rPr>
          <w:rFonts w:hAnsi="標楷體" w:hint="eastAsia"/>
        </w:rPr>
        <w:t>107、</w:t>
      </w:r>
      <w:r w:rsidR="00C5716B">
        <w:rPr>
          <w:rFonts w:hAnsi="標楷體"/>
        </w:rPr>
        <w:t>109</w:t>
      </w:r>
      <w:r w:rsidR="00373930">
        <w:rPr>
          <w:rFonts w:hAnsi="標楷體" w:hint="eastAsia"/>
        </w:rPr>
        <w:t>、</w:t>
      </w:r>
      <w:r w:rsidR="00C5716B">
        <w:rPr>
          <w:rFonts w:hAnsi="標楷體"/>
        </w:rPr>
        <w:t>111</w:t>
      </w:r>
      <w:r w:rsidR="00373930">
        <w:rPr>
          <w:rFonts w:hAnsi="標楷體" w:hint="eastAsia"/>
        </w:rPr>
        <w:t>及113</w:t>
      </w:r>
      <w:r w:rsidRPr="00E10844">
        <w:rPr>
          <w:rFonts w:hAnsi="標楷體"/>
        </w:rPr>
        <w:t>年度執行成果)評核</w:t>
      </w:r>
      <w:r w:rsidR="00373930">
        <w:rPr>
          <w:rFonts w:hAnsi="標楷體" w:hint="eastAsia"/>
        </w:rPr>
        <w:t>其他</w:t>
      </w:r>
      <w:r w:rsidRPr="00E10844">
        <w:rPr>
          <w:rFonts w:hAnsi="標楷體"/>
        </w:rPr>
        <w:t>綜合證券商；</w:t>
      </w:r>
      <w:r w:rsidR="00C5716B">
        <w:rPr>
          <w:rFonts w:hAnsi="標楷體" w:hint="eastAsia"/>
        </w:rPr>
        <w:t>109</w:t>
      </w:r>
      <w:r w:rsidR="00373930">
        <w:rPr>
          <w:rFonts w:hAnsi="標楷體" w:hint="eastAsia"/>
        </w:rPr>
        <w:t>、</w:t>
      </w:r>
      <w:r w:rsidR="00C5716B">
        <w:rPr>
          <w:rFonts w:hAnsi="標楷體"/>
        </w:rPr>
        <w:t>111</w:t>
      </w:r>
      <w:r w:rsidR="00373930">
        <w:rPr>
          <w:rFonts w:hAnsi="標楷體" w:hint="eastAsia"/>
        </w:rPr>
        <w:t>及113</w:t>
      </w:r>
      <w:r w:rsidRPr="00E10844">
        <w:rPr>
          <w:rFonts w:hAnsi="標楷體"/>
        </w:rPr>
        <w:t>年度(</w:t>
      </w:r>
      <w:r w:rsidR="00C5716B" w:rsidRPr="00E10844">
        <w:rPr>
          <w:rFonts w:hAnsi="標楷體"/>
        </w:rPr>
        <w:t>分別</w:t>
      </w:r>
      <w:r w:rsidRPr="00E10844">
        <w:rPr>
          <w:rFonts w:hAnsi="標楷體"/>
        </w:rPr>
        <w:t>評核</w:t>
      </w:r>
      <w:r w:rsidR="00C5716B">
        <w:rPr>
          <w:rFonts w:hAnsi="標楷體" w:hint="eastAsia"/>
        </w:rPr>
        <w:t>108</w:t>
      </w:r>
      <w:r w:rsidR="00373930">
        <w:rPr>
          <w:rFonts w:hAnsi="標楷體" w:hint="eastAsia"/>
        </w:rPr>
        <w:t>、</w:t>
      </w:r>
      <w:r w:rsidRPr="00E10844">
        <w:rPr>
          <w:rFonts w:hAnsi="標楷體"/>
        </w:rPr>
        <w:t>1</w:t>
      </w:r>
      <w:r w:rsidR="00C5716B">
        <w:rPr>
          <w:rFonts w:hAnsi="標楷體"/>
        </w:rPr>
        <w:t>10</w:t>
      </w:r>
      <w:r w:rsidR="00373930">
        <w:rPr>
          <w:rFonts w:hAnsi="標楷體" w:hint="eastAsia"/>
        </w:rPr>
        <w:t>及112</w:t>
      </w:r>
      <w:r w:rsidRPr="00E10844">
        <w:rPr>
          <w:rFonts w:hAnsi="標楷體"/>
        </w:rPr>
        <w:t>年度執行成果)</w:t>
      </w:r>
      <w:r w:rsidR="00373930">
        <w:rPr>
          <w:rFonts w:hAnsi="標楷體"/>
        </w:rPr>
        <w:t>評核</w:t>
      </w:r>
      <w:r w:rsidR="00373930">
        <w:rPr>
          <w:rFonts w:hAnsi="標楷體" w:hint="eastAsia"/>
        </w:rPr>
        <w:t>小型</w:t>
      </w:r>
      <w:r w:rsidRPr="00E10844">
        <w:rPr>
          <w:rFonts w:hAnsi="標楷體"/>
        </w:rPr>
        <w:t>專營證券商。</w:t>
      </w:r>
      <w:r w:rsidR="009A0EA9">
        <w:rPr>
          <w:rFonts w:hAnsi="標楷體" w:hint="eastAsia"/>
        </w:rPr>
        <w:t>另</w:t>
      </w:r>
      <w:r w:rsidR="008633C7" w:rsidRPr="008633C7">
        <w:rPr>
          <w:rFonts w:hAnsi="標楷體" w:hint="eastAsia"/>
        </w:rPr>
        <w:t>大型綜合</w:t>
      </w:r>
      <w:r w:rsidR="008633C7">
        <w:rPr>
          <w:rFonts w:hAnsi="標楷體" w:hint="eastAsia"/>
        </w:rPr>
        <w:t>證</w:t>
      </w:r>
      <w:r w:rsidR="008633C7" w:rsidRPr="008633C7">
        <w:rPr>
          <w:rFonts w:hAnsi="標楷體" w:hint="eastAsia"/>
        </w:rPr>
        <w:t>券商</w:t>
      </w:r>
      <w:r w:rsidR="008633C7">
        <w:rPr>
          <w:rStyle w:val="afc"/>
          <w:rFonts w:hAnsi="標楷體"/>
        </w:rPr>
        <w:footnoteReference w:id="1"/>
      </w:r>
      <w:r w:rsidR="008633C7" w:rsidRPr="008633C7">
        <w:rPr>
          <w:rFonts w:hAnsi="標楷體" w:hint="eastAsia"/>
        </w:rPr>
        <w:t>自112年</w:t>
      </w:r>
      <w:r w:rsidR="008633C7">
        <w:rPr>
          <w:rFonts w:hAnsi="標楷體" w:hint="eastAsia"/>
        </w:rPr>
        <w:t>度</w:t>
      </w:r>
      <w:r w:rsidR="008633C7" w:rsidRPr="008633C7">
        <w:rPr>
          <w:rFonts w:hAnsi="標楷體" w:hint="eastAsia"/>
        </w:rPr>
        <w:t>起每年均</w:t>
      </w:r>
      <w:r w:rsidR="007E723F">
        <w:rPr>
          <w:rFonts w:hAnsi="標楷體" w:hint="eastAsia"/>
        </w:rPr>
        <w:t>予以</w:t>
      </w:r>
      <w:r w:rsidR="008633C7" w:rsidRPr="008633C7">
        <w:rPr>
          <w:rFonts w:hAnsi="標楷體" w:hint="eastAsia"/>
        </w:rPr>
        <w:t>評核</w:t>
      </w:r>
      <w:r w:rsidR="009A0EA9">
        <w:rPr>
          <w:rFonts w:hAnsi="標楷體" w:hint="eastAsia"/>
        </w:rPr>
        <w:t>。</w:t>
      </w:r>
    </w:p>
    <w:p w:rsidR="00C53B7D" w:rsidRPr="00E10844" w:rsidRDefault="00C53B7D" w:rsidP="00D82AB0">
      <w:pPr>
        <w:pStyle w:val="a4"/>
        <w:ind w:left="840" w:hanging="280"/>
        <w:rPr>
          <w:rFonts w:hAnsi="標楷體"/>
          <w:b/>
        </w:rPr>
      </w:pPr>
      <w:r w:rsidRPr="00E10844">
        <w:rPr>
          <w:rFonts w:hAnsi="標楷體"/>
          <w:b/>
        </w:rPr>
        <w:t>(二)</w:t>
      </w:r>
      <w:r w:rsidR="009E7591">
        <w:rPr>
          <w:rFonts w:hAnsi="標楷體" w:hint="eastAsia"/>
          <w:b/>
        </w:rPr>
        <w:t>臺銀證券</w:t>
      </w:r>
      <w:r w:rsidR="009A0EA9">
        <w:rPr>
          <w:rFonts w:hAnsi="標楷體" w:hint="eastAsia"/>
          <w:b/>
        </w:rPr>
        <w:t>108及110年、112年</w:t>
      </w:r>
      <w:r w:rsidR="009E7591">
        <w:rPr>
          <w:rFonts w:hAnsi="標楷體" w:hint="eastAsia"/>
          <w:b/>
        </w:rPr>
        <w:t>均</w:t>
      </w:r>
      <w:r w:rsidRPr="00E10844">
        <w:rPr>
          <w:rFonts w:hAnsi="標楷體"/>
          <w:b/>
        </w:rPr>
        <w:t>未列入</w:t>
      </w:r>
      <w:r w:rsidR="00BC5595">
        <w:rPr>
          <w:rFonts w:hAnsi="標楷體" w:hint="eastAsia"/>
          <w:b/>
        </w:rPr>
        <w:t>排名</w:t>
      </w:r>
      <w:r w:rsidRPr="00E10844">
        <w:rPr>
          <w:rFonts w:hAnsi="標楷體"/>
          <w:b/>
        </w:rPr>
        <w:t>前</w:t>
      </w:r>
      <w:r w:rsidR="00B0336B">
        <w:rPr>
          <w:rFonts w:hAnsi="標楷體" w:hint="eastAsia"/>
          <w:b/>
        </w:rPr>
        <w:t>段班</w:t>
      </w:r>
      <w:r w:rsidRPr="00E10844">
        <w:rPr>
          <w:rFonts w:hAnsi="標楷體"/>
          <w:b/>
        </w:rPr>
        <w:t>之績優證券商</w:t>
      </w:r>
      <w:r w:rsidR="00863DC4" w:rsidRPr="00E10844">
        <w:rPr>
          <w:rFonts w:hAnsi="標楷體"/>
          <w:b/>
        </w:rPr>
        <w:t>，允宜</w:t>
      </w:r>
      <w:r w:rsidR="00E00D9D" w:rsidRPr="00E00D9D">
        <w:rPr>
          <w:rFonts w:hAnsi="標楷體" w:hint="eastAsia"/>
          <w:b/>
        </w:rPr>
        <w:t>落實金管會公布114年公平待客原則評核機制及其加強評核重點，</w:t>
      </w:r>
      <w:r w:rsidR="00497C05" w:rsidRPr="00497C05">
        <w:rPr>
          <w:rFonts w:hAnsi="標楷體" w:hint="eastAsia"/>
          <w:b/>
        </w:rPr>
        <w:t>以提升對金融消費者之服務品質</w:t>
      </w:r>
    </w:p>
    <w:p w:rsidR="00C53B7D" w:rsidRDefault="00C53B7D" w:rsidP="00D5595C">
      <w:pPr>
        <w:pStyle w:val="21"/>
        <w:ind w:left="840" w:firstLine="560"/>
      </w:pPr>
      <w:r w:rsidRPr="00E10844">
        <w:t>臺銀證券屬依法規辦理證券經紀、自營及承銷業務之綜合證券商，為財政部百分之百持有之國營事業，</w:t>
      </w:r>
      <w:r w:rsidR="00626D24" w:rsidRPr="00E10844">
        <w:t>相較於其他同業應有更高行為</w:t>
      </w:r>
      <w:r w:rsidR="00626D24" w:rsidRPr="00D5595C">
        <w:rPr>
          <w:rFonts w:hAnsi="標楷體"/>
        </w:rPr>
        <w:t>要求</w:t>
      </w:r>
      <w:r w:rsidR="00626D24" w:rsidRPr="00E10844">
        <w:t>，</w:t>
      </w:r>
      <w:r w:rsidRPr="00E10844">
        <w:t>應秉</w:t>
      </w:r>
      <w:r w:rsidR="00867ED3">
        <w:t>持國營事業優質服務的經營理念，落實執行</w:t>
      </w:r>
      <w:r w:rsidRPr="00E10844">
        <w:t>公平待客</w:t>
      </w:r>
      <w:r w:rsidR="00867ED3">
        <w:rPr>
          <w:rFonts w:hint="eastAsia"/>
        </w:rPr>
        <w:t>原則</w:t>
      </w:r>
      <w:r w:rsidRPr="00E10844">
        <w:t>政策，以及辦理自我評核據以檢討執行成果。惟</w:t>
      </w:r>
      <w:r w:rsidR="00867ED3" w:rsidRPr="00E10844">
        <w:t>臺銀證券</w:t>
      </w:r>
      <w:r w:rsidRPr="00E10844">
        <w:t>於108及110年金管會之</w:t>
      </w:r>
      <w:r w:rsidR="00373930">
        <w:rPr>
          <w:rFonts w:hint="eastAsia"/>
        </w:rPr>
        <w:t>其他</w:t>
      </w:r>
      <w:r w:rsidRPr="00E10844">
        <w:t>綜合證券商評核未列入排名前20%之績優證券商</w:t>
      </w:r>
      <w:r w:rsidR="009900C8">
        <w:rPr>
          <w:rFonts w:hint="eastAsia"/>
        </w:rPr>
        <w:t>，另金管會112年度</w:t>
      </w:r>
      <w:r w:rsidR="009900C8" w:rsidRPr="009900C8">
        <w:rPr>
          <w:rFonts w:hint="eastAsia"/>
        </w:rPr>
        <w:t>擴大評核結果揭露範圍</w:t>
      </w:r>
      <w:r w:rsidR="001726E5">
        <w:rPr>
          <w:rFonts w:hint="eastAsia"/>
        </w:rPr>
        <w:t>，公布</w:t>
      </w:r>
      <w:r w:rsidR="009900C8">
        <w:rPr>
          <w:rFonts w:hint="eastAsia"/>
        </w:rPr>
        <w:t>2</w:t>
      </w:r>
      <w:r w:rsidR="00660AF4">
        <w:rPr>
          <w:rFonts w:hint="eastAsia"/>
        </w:rPr>
        <w:t>個</w:t>
      </w:r>
      <w:r w:rsidR="009900C8">
        <w:rPr>
          <w:rFonts w:hint="eastAsia"/>
        </w:rPr>
        <w:t>級距，第1級距為</w:t>
      </w:r>
      <w:r w:rsidR="009A0EA9">
        <w:rPr>
          <w:rFonts w:hint="eastAsia"/>
        </w:rPr>
        <w:t>排名</w:t>
      </w:r>
      <w:r w:rsidR="009900C8">
        <w:rPr>
          <w:rFonts w:hint="eastAsia"/>
        </w:rPr>
        <w:t>前25%業者，第2級距為</w:t>
      </w:r>
      <w:r w:rsidR="009A0EA9">
        <w:rPr>
          <w:rFonts w:hint="eastAsia"/>
        </w:rPr>
        <w:t>排名</w:t>
      </w:r>
      <w:r w:rsidR="009900C8">
        <w:rPr>
          <w:rFonts w:hint="eastAsia"/>
        </w:rPr>
        <w:t>前26%-50%業者</w:t>
      </w:r>
      <w:r w:rsidR="00BB5088" w:rsidRPr="00E10844">
        <w:t>(詳表1)</w:t>
      </w:r>
      <w:r w:rsidRPr="00E10844">
        <w:t>，</w:t>
      </w:r>
      <w:r w:rsidR="009A0EA9">
        <w:rPr>
          <w:rFonts w:hint="eastAsia"/>
        </w:rPr>
        <w:t>臺銀證券位於第2級距，</w:t>
      </w:r>
      <w:r w:rsidR="00867ED3">
        <w:rPr>
          <w:rFonts w:hint="eastAsia"/>
        </w:rPr>
        <w:t>亦</w:t>
      </w:r>
      <w:r w:rsidR="009A0EA9">
        <w:rPr>
          <w:rFonts w:hint="eastAsia"/>
        </w:rPr>
        <w:t>未列入排名前25%之</w:t>
      </w:r>
      <w:r w:rsidR="009A0EA9" w:rsidRPr="00E10844">
        <w:t>績優證券商</w:t>
      </w:r>
      <w:r w:rsidR="009A0EA9">
        <w:rPr>
          <w:rFonts w:hint="eastAsia"/>
        </w:rPr>
        <w:t>，</w:t>
      </w:r>
      <w:r w:rsidR="00E00D9D">
        <w:t>恐未符國人對於國營事業之期待</w:t>
      </w:r>
      <w:r w:rsidRPr="00E10844">
        <w:t>。</w:t>
      </w:r>
    </w:p>
    <w:p w:rsidR="009A0EA9" w:rsidRDefault="00497C05" w:rsidP="00D5595C">
      <w:pPr>
        <w:pStyle w:val="21"/>
        <w:ind w:left="840" w:firstLine="560"/>
      </w:pPr>
      <w:r>
        <w:rPr>
          <w:rFonts w:hint="eastAsia"/>
        </w:rPr>
        <w:t>依據</w:t>
      </w:r>
      <w:r w:rsidR="00B34288">
        <w:rPr>
          <w:rFonts w:hint="eastAsia"/>
        </w:rPr>
        <w:t>金管會</w:t>
      </w:r>
      <w:r w:rsidR="00D5595C">
        <w:rPr>
          <w:rFonts w:hint="eastAsia"/>
        </w:rPr>
        <w:t>公布</w:t>
      </w:r>
      <w:r w:rsidR="00373930">
        <w:rPr>
          <w:rFonts w:hint="eastAsia"/>
        </w:rPr>
        <w:t>114</w:t>
      </w:r>
      <w:r w:rsidR="00D5595C" w:rsidRPr="00D5595C">
        <w:rPr>
          <w:rFonts w:hint="eastAsia"/>
        </w:rPr>
        <w:t>年公平待客原則評核機制</w:t>
      </w:r>
      <w:r w:rsidR="001726E5">
        <w:rPr>
          <w:rStyle w:val="afc"/>
        </w:rPr>
        <w:footnoteReference w:id="2"/>
      </w:r>
      <w:r w:rsidR="00D5595C">
        <w:rPr>
          <w:rFonts w:hint="eastAsia"/>
        </w:rPr>
        <w:t>，</w:t>
      </w:r>
      <w:r>
        <w:rPr>
          <w:rFonts w:hint="eastAsia"/>
        </w:rPr>
        <w:t>其中</w:t>
      </w:r>
      <w:r w:rsidR="00D31DD7">
        <w:rPr>
          <w:rFonts w:hint="eastAsia"/>
        </w:rPr>
        <w:t>評核指標共2大類，分別為</w:t>
      </w:r>
      <w:r w:rsidR="00D31DD7" w:rsidRPr="00D31DD7">
        <w:rPr>
          <w:rFonts w:hint="eastAsia"/>
        </w:rPr>
        <w:t>「公平待客原則10項原則」</w:t>
      </w:r>
      <w:r w:rsidR="00D31DD7">
        <w:rPr>
          <w:rFonts w:hint="eastAsia"/>
        </w:rPr>
        <w:t>及「董事會推動之重視及具體作為等情形」，</w:t>
      </w:r>
      <w:r>
        <w:rPr>
          <w:rFonts w:hint="eastAsia"/>
        </w:rPr>
        <w:t>又</w:t>
      </w:r>
      <w:r w:rsidR="007E723F">
        <w:rPr>
          <w:rFonts w:hint="eastAsia"/>
        </w:rPr>
        <w:t>114</w:t>
      </w:r>
      <w:r w:rsidR="00D31DD7">
        <w:rPr>
          <w:rFonts w:hint="eastAsia"/>
        </w:rPr>
        <w:t>年度</w:t>
      </w:r>
      <w:r w:rsidR="00D5595C" w:rsidRPr="00D5595C">
        <w:rPr>
          <w:rFonts w:hint="eastAsia"/>
        </w:rPr>
        <w:t>加強評核重點</w:t>
      </w:r>
      <w:r w:rsidR="00D5595C">
        <w:rPr>
          <w:rFonts w:hint="eastAsia"/>
        </w:rPr>
        <w:t>如下：</w:t>
      </w:r>
    </w:p>
    <w:p w:rsidR="00D5595C" w:rsidRDefault="00D5595C" w:rsidP="00D5595C">
      <w:pPr>
        <w:pStyle w:val="123"/>
        <w:ind w:left="1120" w:hanging="280"/>
      </w:pPr>
      <w:r>
        <w:rPr>
          <w:rFonts w:hint="eastAsia"/>
        </w:rPr>
        <w:lastRenderedPageBreak/>
        <w:t>1.</w:t>
      </w:r>
      <w:r w:rsidR="00373930" w:rsidRPr="00373930">
        <w:rPr>
          <w:rFonts w:hint="eastAsia"/>
        </w:rPr>
        <w:t>為鼓勵業者協助客戶防制詐騙，以強化金流安全，保障合法經濟，爰於「注意與忠實義務原則」新增將業者防制詐騙之措施及其成效納為加分項目</w:t>
      </w:r>
      <w:r>
        <w:rPr>
          <w:rFonts w:hint="eastAsia"/>
        </w:rPr>
        <w:t>。</w:t>
      </w:r>
    </w:p>
    <w:p w:rsidR="00E00D9D" w:rsidRDefault="00D5595C" w:rsidP="00D5595C">
      <w:pPr>
        <w:pStyle w:val="123"/>
        <w:ind w:left="1120" w:hanging="280"/>
      </w:pPr>
      <w:r>
        <w:rPr>
          <w:rFonts w:hint="eastAsia"/>
        </w:rPr>
        <w:t>2.</w:t>
      </w:r>
      <w:r w:rsidR="00373930" w:rsidRPr="00373930">
        <w:rPr>
          <w:rFonts w:hint="eastAsia"/>
        </w:rPr>
        <w:t>為妥適處理民眾申訴案件，引導業者就現行之申訴處理機制再提升，參考國際間申訴處理機制規範及作法，強化金融業對申訴案件處理之效能及效率，例如建立以風險為導向之升級陳報機制、探究申訴態樣之根本原因等，俾進一步落實對金融消費者權益之保障，爰於「申訴保障原則」新增將申訴處理機制之健全性，納為加分項目</w:t>
      </w:r>
      <w:r>
        <w:rPr>
          <w:rStyle w:val="afc"/>
        </w:rPr>
        <w:footnoteReference w:id="3"/>
      </w:r>
      <w:r>
        <w:rPr>
          <w:rFonts w:hint="eastAsia"/>
        </w:rPr>
        <w:t>。</w:t>
      </w:r>
    </w:p>
    <w:p w:rsidR="00D5595C" w:rsidRPr="00D5595C" w:rsidRDefault="00E00D9D" w:rsidP="00D5595C">
      <w:pPr>
        <w:pStyle w:val="123"/>
        <w:ind w:left="1120" w:hanging="280"/>
      </w:pPr>
      <w:r>
        <w:rPr>
          <w:rFonts w:hint="eastAsia"/>
        </w:rPr>
        <w:t>3.鑑於</w:t>
      </w:r>
      <w:r w:rsidRPr="00E10844">
        <w:t>臺銀證券</w:t>
      </w:r>
      <w:r>
        <w:rPr>
          <w:rFonts w:hint="eastAsia"/>
        </w:rPr>
        <w:t>為金管會114年公平待客原則評核之受評單位，</w:t>
      </w:r>
      <w:r w:rsidR="00D31DD7">
        <w:rPr>
          <w:rFonts w:hint="eastAsia"/>
        </w:rPr>
        <w:t>評核期間為113年度，</w:t>
      </w:r>
      <w:r w:rsidRPr="00E10844">
        <w:t>允宜</w:t>
      </w:r>
      <w:r>
        <w:rPr>
          <w:rFonts w:hAnsi="標楷體" w:hint="eastAsia"/>
        </w:rPr>
        <w:t>落實金管會</w:t>
      </w:r>
      <w:r w:rsidR="00D31DD7">
        <w:rPr>
          <w:rFonts w:hAnsi="標楷體" w:hint="eastAsia"/>
        </w:rPr>
        <w:t>所定</w:t>
      </w:r>
      <w:r>
        <w:rPr>
          <w:rFonts w:hAnsi="標楷體" w:hint="eastAsia"/>
        </w:rPr>
        <w:t>114年</w:t>
      </w:r>
      <w:r w:rsidRPr="00D5595C">
        <w:rPr>
          <w:rFonts w:hAnsi="標楷體" w:hint="eastAsia"/>
        </w:rPr>
        <w:t>公平待客原則</w:t>
      </w:r>
      <w:r w:rsidR="00D31DD7" w:rsidRPr="00D31DD7">
        <w:rPr>
          <w:rFonts w:hAnsi="標楷體" w:hint="eastAsia"/>
        </w:rPr>
        <w:t>評核指標</w:t>
      </w:r>
      <w:r>
        <w:rPr>
          <w:rFonts w:hAnsi="標楷體" w:hint="eastAsia"/>
        </w:rPr>
        <w:t>及其加強評核重點</w:t>
      </w:r>
      <w:r w:rsidRPr="00E10844">
        <w:rPr>
          <w:rFonts w:hAnsi="標楷體"/>
        </w:rPr>
        <w:t>，</w:t>
      </w:r>
      <w:r w:rsidR="00D31DD7" w:rsidRPr="00D31DD7">
        <w:rPr>
          <w:rFonts w:hAnsi="標楷體" w:hint="eastAsia"/>
        </w:rPr>
        <w:t>以提升服務品質並爭取佳績</w:t>
      </w:r>
      <w:r w:rsidR="00D31DD7">
        <w:rPr>
          <w:rFonts w:hAnsi="標楷體" w:hint="eastAsia"/>
        </w:rPr>
        <w:t>。</w:t>
      </w:r>
    </w:p>
    <w:p w:rsidR="00C53B7D" w:rsidRDefault="00C53B7D" w:rsidP="00C53B7D">
      <w:pPr>
        <w:ind w:left="560" w:firstLine="560"/>
        <w:rPr>
          <w:rFonts w:hAnsi="標楷體"/>
        </w:rPr>
      </w:pPr>
      <w:r w:rsidRPr="00E10844">
        <w:rPr>
          <w:rFonts w:hAnsi="標楷體"/>
        </w:rPr>
        <w:t>綜上，臺銀證券為</w:t>
      </w:r>
      <w:r w:rsidR="005E551F" w:rsidRPr="00E10844">
        <w:rPr>
          <w:rFonts w:hAnsi="標楷體"/>
        </w:rPr>
        <w:t>政府</w:t>
      </w:r>
      <w:r w:rsidR="00B34288">
        <w:rPr>
          <w:rFonts w:hAnsi="標楷體"/>
        </w:rPr>
        <w:t>百分之百持有之國營事業，允應落實執行「公平待客」</w:t>
      </w:r>
      <w:r w:rsidRPr="00E10844">
        <w:rPr>
          <w:rFonts w:hAnsi="標楷體"/>
        </w:rPr>
        <w:t>政策，惟於108</w:t>
      </w:r>
      <w:r w:rsidR="008633C7">
        <w:rPr>
          <w:rFonts w:hAnsi="標楷體" w:hint="eastAsia"/>
        </w:rPr>
        <w:t>及</w:t>
      </w:r>
      <w:r w:rsidRPr="00E10844">
        <w:rPr>
          <w:rFonts w:hAnsi="標楷體"/>
        </w:rPr>
        <w:t>110</w:t>
      </w:r>
      <w:r w:rsidR="00B34288">
        <w:rPr>
          <w:rFonts w:hAnsi="標楷體" w:hint="eastAsia"/>
        </w:rPr>
        <w:t>年</w:t>
      </w:r>
      <w:r w:rsidR="008633C7">
        <w:rPr>
          <w:rFonts w:hAnsi="標楷體" w:hint="eastAsia"/>
        </w:rPr>
        <w:t>、112</w:t>
      </w:r>
      <w:r w:rsidRPr="00E10844">
        <w:rPr>
          <w:rFonts w:hAnsi="標楷體"/>
        </w:rPr>
        <w:t>年未獲列入金管會之綜合證券商評核排名前20%</w:t>
      </w:r>
      <w:r w:rsidR="008633C7">
        <w:rPr>
          <w:rFonts w:hAnsi="標楷體" w:hint="eastAsia"/>
        </w:rPr>
        <w:t>、前25%</w:t>
      </w:r>
      <w:r w:rsidRPr="00E10844">
        <w:rPr>
          <w:rFonts w:hAnsi="標楷體"/>
        </w:rPr>
        <w:t>，恐未符國人對於國營事業之期待，允宜加強執行及檢討</w:t>
      </w:r>
      <w:r w:rsidR="00863DC4" w:rsidRPr="00E10844">
        <w:rPr>
          <w:rFonts w:hAnsi="標楷體"/>
        </w:rPr>
        <w:t>相關</w:t>
      </w:r>
      <w:r w:rsidRPr="00E10844">
        <w:rPr>
          <w:rFonts w:hAnsi="標楷體"/>
        </w:rPr>
        <w:t>執行成果，</w:t>
      </w:r>
      <w:r w:rsidR="008633C7">
        <w:rPr>
          <w:rFonts w:hAnsi="標楷體" w:hint="eastAsia"/>
        </w:rPr>
        <w:t>並落實金管會公布11</w:t>
      </w:r>
      <w:r w:rsidR="00373930">
        <w:rPr>
          <w:rFonts w:hAnsi="標楷體" w:hint="eastAsia"/>
        </w:rPr>
        <w:t>4</w:t>
      </w:r>
      <w:r w:rsidR="008633C7">
        <w:rPr>
          <w:rFonts w:hAnsi="標楷體" w:hint="eastAsia"/>
        </w:rPr>
        <w:t>年</w:t>
      </w:r>
      <w:r w:rsidR="008633C7" w:rsidRPr="00D5595C">
        <w:rPr>
          <w:rFonts w:hAnsi="標楷體" w:hint="eastAsia"/>
        </w:rPr>
        <w:t>公平待客原則</w:t>
      </w:r>
      <w:r w:rsidR="00D31DD7" w:rsidRPr="00D31DD7">
        <w:rPr>
          <w:rFonts w:hAnsi="標楷體" w:hint="eastAsia"/>
        </w:rPr>
        <w:t>指標</w:t>
      </w:r>
      <w:r w:rsidR="00D31DD7">
        <w:rPr>
          <w:rFonts w:hAnsi="標楷體" w:hint="eastAsia"/>
        </w:rPr>
        <w:t>及其加強評核重點</w:t>
      </w:r>
      <w:r w:rsidR="008633C7">
        <w:rPr>
          <w:rFonts w:hAnsi="標楷體" w:hint="eastAsia"/>
        </w:rPr>
        <w:t>，</w:t>
      </w:r>
      <w:r w:rsidR="00497C05">
        <w:rPr>
          <w:rFonts w:hAnsi="標楷體" w:hint="eastAsia"/>
        </w:rPr>
        <w:t>以</w:t>
      </w:r>
      <w:r w:rsidR="00497C05" w:rsidRPr="00497C05">
        <w:rPr>
          <w:rFonts w:hAnsi="標楷體" w:hint="eastAsia"/>
        </w:rPr>
        <w:t>提升對金融消費者之服務品質</w:t>
      </w:r>
      <w:r w:rsidRPr="00E10844">
        <w:rPr>
          <w:rFonts w:hAnsi="標楷體"/>
        </w:rPr>
        <w:t>。</w:t>
      </w:r>
    </w:p>
    <w:p w:rsidR="00B0336B" w:rsidRDefault="00B0336B" w:rsidP="00C53B7D">
      <w:pPr>
        <w:ind w:left="560" w:firstLine="560"/>
        <w:rPr>
          <w:rFonts w:hAnsi="標楷體"/>
        </w:rPr>
      </w:pPr>
    </w:p>
    <w:p w:rsidR="00B0336B" w:rsidRPr="00E10844" w:rsidRDefault="00B0336B" w:rsidP="00C53B7D">
      <w:pPr>
        <w:ind w:left="560" w:firstLine="560"/>
        <w:rPr>
          <w:rFonts w:hAnsi="標楷體"/>
        </w:rPr>
      </w:pPr>
    </w:p>
    <w:p w:rsidR="000C22CD" w:rsidRDefault="00C53B7D" w:rsidP="00020DC3">
      <w:pPr>
        <w:pStyle w:val="142"/>
        <w:spacing w:line="500" w:lineRule="exact"/>
        <w:ind w:left="757" w:hangingChars="270" w:hanging="757"/>
        <w:rPr>
          <w:rFonts w:hAnsi="標楷體"/>
        </w:rPr>
      </w:pPr>
      <w:r w:rsidRPr="00E10844">
        <w:rPr>
          <w:rFonts w:hAnsi="標楷體"/>
          <w:b/>
          <w:sz w:val="28"/>
        </w:rPr>
        <w:t xml:space="preserve">表1  </w:t>
      </w:r>
      <w:r w:rsidR="00C5716B" w:rsidRPr="00867ED3">
        <w:rPr>
          <w:rFonts w:hAnsi="標楷體" w:hint="eastAsia"/>
          <w:b/>
          <w:sz w:val="28"/>
        </w:rPr>
        <w:t>金管會公布</w:t>
      </w:r>
      <w:r w:rsidRPr="00867ED3">
        <w:rPr>
          <w:rFonts w:hAnsi="標楷體"/>
          <w:b/>
          <w:sz w:val="28"/>
        </w:rPr>
        <w:t>108至</w:t>
      </w:r>
      <w:r w:rsidR="00C5716B" w:rsidRPr="00867ED3">
        <w:rPr>
          <w:rFonts w:hAnsi="標楷體"/>
          <w:b/>
          <w:sz w:val="28"/>
        </w:rPr>
        <w:t>11</w:t>
      </w:r>
      <w:r w:rsidR="00020DC3">
        <w:rPr>
          <w:rFonts w:hAnsi="標楷體" w:hint="eastAsia"/>
          <w:b/>
          <w:sz w:val="28"/>
        </w:rPr>
        <w:t>2</w:t>
      </w:r>
      <w:r w:rsidRPr="00867ED3">
        <w:rPr>
          <w:rFonts w:hAnsi="標楷體"/>
          <w:b/>
          <w:sz w:val="28"/>
        </w:rPr>
        <w:t>年度</w:t>
      </w:r>
      <w:r w:rsidR="00C5716B" w:rsidRPr="00867ED3">
        <w:rPr>
          <w:rFonts w:hAnsi="標楷體" w:hint="eastAsia"/>
          <w:b/>
          <w:sz w:val="28"/>
        </w:rPr>
        <w:t>公平待客原則評核</w:t>
      </w:r>
      <w:r w:rsidR="00C5716B" w:rsidRPr="00867ED3">
        <w:rPr>
          <w:rFonts w:hAnsi="標楷體" w:hint="eastAsia"/>
          <w:b/>
          <w:color w:val="000000"/>
          <w:sz w:val="28"/>
        </w:rPr>
        <w:t>結果(</w:t>
      </w:r>
      <w:r w:rsidR="00020DC3">
        <w:rPr>
          <w:rFonts w:hAnsi="標楷體" w:hint="eastAsia"/>
          <w:b/>
          <w:color w:val="000000"/>
          <w:sz w:val="28"/>
        </w:rPr>
        <w:t>其他綜合</w:t>
      </w:r>
      <w:r w:rsidRPr="00867ED3">
        <w:rPr>
          <w:rFonts w:hAnsi="標楷體"/>
          <w:b/>
          <w:bCs/>
          <w:color w:val="333333"/>
          <w:kern w:val="0"/>
          <w:sz w:val="28"/>
        </w:rPr>
        <w:t>證券商</w:t>
      </w:r>
      <w:r w:rsidR="00C5716B" w:rsidRPr="00867ED3">
        <w:rPr>
          <w:rFonts w:hAnsi="標楷體" w:hint="eastAsia"/>
          <w:b/>
          <w:bCs/>
          <w:color w:val="333333"/>
          <w:kern w:val="0"/>
          <w:sz w:val="28"/>
        </w:rPr>
        <w:t>)</w:t>
      </w:r>
    </w:p>
    <w:tbl>
      <w:tblPr>
        <w:tblW w:w="4846" w:type="pct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5"/>
        <w:gridCol w:w="7597"/>
      </w:tblGrid>
      <w:tr w:rsidR="00020DC3" w:rsidRPr="00E10844" w:rsidTr="008E21E6">
        <w:trPr>
          <w:trHeight w:val="340"/>
          <w:tblHeader/>
        </w:trPr>
        <w:tc>
          <w:tcPr>
            <w:tcW w:w="506" w:type="pct"/>
            <w:shd w:val="clear" w:color="auto" w:fill="auto"/>
            <w:vAlign w:val="center"/>
          </w:tcPr>
          <w:p w:rsidR="00020DC3" w:rsidRPr="009900C8" w:rsidRDefault="00020DC3" w:rsidP="000C22CD">
            <w:pPr>
              <w:pStyle w:val="142"/>
              <w:jc w:val="center"/>
              <w:rPr>
                <w:rFonts w:hAnsi="標楷體"/>
                <w:b/>
                <w:color w:val="000000"/>
                <w:shd w:val="clear" w:color="auto" w:fill="FFFFFF"/>
              </w:rPr>
            </w:pPr>
            <w:r w:rsidRPr="009900C8">
              <w:rPr>
                <w:rFonts w:hAnsi="標楷體"/>
                <w:b/>
                <w:color w:val="000000"/>
                <w:shd w:val="clear" w:color="auto" w:fill="FFFFFF"/>
              </w:rPr>
              <w:t>年度</w:t>
            </w:r>
          </w:p>
        </w:tc>
        <w:tc>
          <w:tcPr>
            <w:tcW w:w="4494" w:type="pct"/>
            <w:shd w:val="clear" w:color="auto" w:fill="auto"/>
            <w:vAlign w:val="center"/>
          </w:tcPr>
          <w:p w:rsidR="00020DC3" w:rsidRPr="009900C8" w:rsidRDefault="00E00D9D" w:rsidP="000C22CD">
            <w:pPr>
              <w:pStyle w:val="142"/>
              <w:jc w:val="center"/>
              <w:rPr>
                <w:rFonts w:hAnsi="標楷體"/>
                <w:b/>
                <w:color w:val="000000"/>
                <w:shd w:val="clear" w:color="auto" w:fill="FFFFFF"/>
              </w:rPr>
            </w:pPr>
            <w:r>
              <w:rPr>
                <w:rFonts w:hAnsi="標楷體" w:hint="eastAsia"/>
                <w:b/>
                <w:szCs w:val="24"/>
              </w:rPr>
              <w:t>其他</w:t>
            </w:r>
            <w:r w:rsidR="00020DC3" w:rsidRPr="009900C8">
              <w:rPr>
                <w:rFonts w:hAnsi="標楷體"/>
                <w:b/>
                <w:szCs w:val="24"/>
              </w:rPr>
              <w:t>綜合證券商</w:t>
            </w:r>
            <w:r>
              <w:rPr>
                <w:rFonts w:hAnsi="標楷體" w:hint="eastAsia"/>
                <w:b/>
                <w:szCs w:val="24"/>
              </w:rPr>
              <w:t>評核結果</w:t>
            </w:r>
          </w:p>
        </w:tc>
      </w:tr>
      <w:tr w:rsidR="00020DC3" w:rsidRPr="00E10844" w:rsidTr="008E21E6">
        <w:trPr>
          <w:trHeight w:val="340"/>
        </w:trPr>
        <w:tc>
          <w:tcPr>
            <w:tcW w:w="506" w:type="pct"/>
            <w:shd w:val="clear" w:color="auto" w:fill="auto"/>
            <w:vAlign w:val="center"/>
          </w:tcPr>
          <w:p w:rsidR="00020DC3" w:rsidRPr="00E10844" w:rsidRDefault="00020DC3" w:rsidP="009900C8">
            <w:pPr>
              <w:pStyle w:val="142"/>
              <w:jc w:val="center"/>
              <w:rPr>
                <w:rFonts w:hAnsi="標楷體"/>
                <w:color w:val="000000"/>
                <w:shd w:val="clear" w:color="auto" w:fill="FFFFFF"/>
              </w:rPr>
            </w:pPr>
            <w:r>
              <w:rPr>
                <w:rFonts w:hAnsi="標楷體" w:hint="eastAsia"/>
                <w:color w:val="000000"/>
                <w:shd w:val="clear" w:color="auto" w:fill="FFFFFF"/>
              </w:rPr>
              <w:lastRenderedPageBreak/>
              <w:t>108</w:t>
            </w:r>
          </w:p>
        </w:tc>
        <w:tc>
          <w:tcPr>
            <w:tcW w:w="4494" w:type="pct"/>
            <w:shd w:val="clear" w:color="auto" w:fill="auto"/>
            <w:vAlign w:val="center"/>
          </w:tcPr>
          <w:p w:rsidR="00020DC3" w:rsidRPr="000C22CD" w:rsidRDefault="00020DC3" w:rsidP="00020DC3">
            <w:pPr>
              <w:pStyle w:val="142"/>
              <w:jc w:val="both"/>
              <w:rPr>
                <w:rFonts w:hAnsi="標楷體"/>
                <w:color w:val="000000"/>
                <w:shd w:val="clear" w:color="auto" w:fill="FFFFFF"/>
              </w:rPr>
            </w:pPr>
            <w:r>
              <w:rPr>
                <w:rFonts w:hAnsi="標楷體" w:hint="eastAsia"/>
                <w:color w:val="000000"/>
                <w:shd w:val="clear" w:color="auto" w:fill="FFFFFF"/>
              </w:rPr>
              <w:t>排名前20%業者：</w:t>
            </w:r>
            <w:r w:rsidRPr="00E10844">
              <w:rPr>
                <w:rFonts w:hAnsi="標楷體"/>
                <w:color w:val="000000"/>
                <w:shd w:val="clear" w:color="auto" w:fill="FFFFFF"/>
              </w:rPr>
              <w:t>中國</w:t>
            </w:r>
            <w:r>
              <w:rPr>
                <w:rFonts w:hAnsi="標楷體"/>
                <w:color w:val="000000"/>
                <w:shd w:val="clear" w:color="auto" w:fill="FFFFFF"/>
              </w:rPr>
              <w:t>信託證券、玉山證券</w:t>
            </w:r>
            <w:r>
              <w:rPr>
                <w:rFonts w:hAnsi="標楷體" w:hint="eastAsia"/>
                <w:color w:val="000000"/>
                <w:shd w:val="clear" w:color="auto" w:fill="FFFFFF"/>
              </w:rPr>
              <w:t>及</w:t>
            </w:r>
            <w:r>
              <w:rPr>
                <w:rFonts w:hAnsi="標楷體"/>
                <w:color w:val="000000"/>
                <w:shd w:val="clear" w:color="auto" w:fill="FFFFFF"/>
              </w:rPr>
              <w:t>合庫證券</w:t>
            </w:r>
            <w:r>
              <w:rPr>
                <w:rFonts w:hAnsi="標楷體" w:hint="eastAsia"/>
                <w:color w:val="000000"/>
                <w:shd w:val="clear" w:color="auto" w:fill="FFFFFF"/>
              </w:rPr>
              <w:t>。</w:t>
            </w:r>
          </w:p>
        </w:tc>
      </w:tr>
      <w:tr w:rsidR="00020DC3" w:rsidRPr="00E10844" w:rsidTr="008E21E6">
        <w:trPr>
          <w:trHeight w:val="340"/>
        </w:trPr>
        <w:tc>
          <w:tcPr>
            <w:tcW w:w="506" w:type="pct"/>
            <w:shd w:val="clear" w:color="auto" w:fill="auto"/>
            <w:vAlign w:val="center"/>
          </w:tcPr>
          <w:p w:rsidR="00020DC3" w:rsidRDefault="00020DC3" w:rsidP="009900C8">
            <w:pPr>
              <w:pStyle w:val="142"/>
              <w:jc w:val="center"/>
              <w:rPr>
                <w:rFonts w:hAnsi="標楷體"/>
                <w:color w:val="000000"/>
                <w:shd w:val="clear" w:color="auto" w:fill="FFFFFF"/>
              </w:rPr>
            </w:pPr>
            <w:r>
              <w:rPr>
                <w:rFonts w:hAnsi="標楷體" w:hint="eastAsia"/>
                <w:color w:val="000000"/>
                <w:shd w:val="clear" w:color="auto" w:fill="FFFFFF"/>
              </w:rPr>
              <w:t>109</w:t>
            </w:r>
          </w:p>
        </w:tc>
        <w:tc>
          <w:tcPr>
            <w:tcW w:w="4494" w:type="pct"/>
            <w:shd w:val="clear" w:color="auto" w:fill="auto"/>
            <w:vAlign w:val="center"/>
          </w:tcPr>
          <w:p w:rsidR="00020DC3" w:rsidRPr="000C22CD" w:rsidRDefault="00020DC3" w:rsidP="009900C8">
            <w:pPr>
              <w:pStyle w:val="142"/>
              <w:jc w:val="center"/>
              <w:rPr>
                <w:rFonts w:hAnsi="標楷體"/>
                <w:color w:val="000000"/>
                <w:shd w:val="clear" w:color="auto" w:fill="FFFFFF"/>
              </w:rPr>
            </w:pPr>
            <w:r>
              <w:rPr>
                <w:rFonts w:hAnsi="標楷體" w:hint="eastAsia"/>
                <w:color w:val="000000"/>
                <w:shd w:val="clear" w:color="auto" w:fill="FFFFFF"/>
              </w:rPr>
              <w:t>--</w:t>
            </w:r>
          </w:p>
        </w:tc>
      </w:tr>
      <w:tr w:rsidR="00020DC3" w:rsidRPr="00E10844" w:rsidTr="008E21E6">
        <w:trPr>
          <w:trHeight w:val="340"/>
        </w:trPr>
        <w:tc>
          <w:tcPr>
            <w:tcW w:w="506" w:type="pct"/>
            <w:shd w:val="clear" w:color="auto" w:fill="auto"/>
            <w:vAlign w:val="center"/>
          </w:tcPr>
          <w:p w:rsidR="00020DC3" w:rsidRDefault="00020DC3" w:rsidP="009900C8">
            <w:pPr>
              <w:pStyle w:val="142"/>
              <w:jc w:val="center"/>
              <w:rPr>
                <w:rFonts w:hAnsi="標楷體"/>
                <w:color w:val="000000"/>
                <w:shd w:val="clear" w:color="auto" w:fill="FFFFFF"/>
              </w:rPr>
            </w:pPr>
            <w:r>
              <w:rPr>
                <w:rFonts w:hAnsi="標楷體" w:hint="eastAsia"/>
                <w:color w:val="000000"/>
                <w:shd w:val="clear" w:color="auto" w:fill="FFFFFF"/>
              </w:rPr>
              <w:t>110</w:t>
            </w:r>
          </w:p>
        </w:tc>
        <w:tc>
          <w:tcPr>
            <w:tcW w:w="4494" w:type="pct"/>
            <w:shd w:val="clear" w:color="auto" w:fill="auto"/>
            <w:vAlign w:val="center"/>
          </w:tcPr>
          <w:p w:rsidR="00020DC3" w:rsidRPr="000C22CD" w:rsidRDefault="00020DC3" w:rsidP="00020DC3">
            <w:pPr>
              <w:pStyle w:val="142"/>
              <w:jc w:val="both"/>
              <w:rPr>
                <w:rFonts w:hAnsi="標楷體"/>
                <w:color w:val="000000"/>
                <w:shd w:val="clear" w:color="auto" w:fill="FFFFFF"/>
              </w:rPr>
            </w:pPr>
            <w:r>
              <w:rPr>
                <w:rFonts w:hAnsi="標楷體" w:hint="eastAsia"/>
                <w:color w:val="000000"/>
                <w:shd w:val="clear" w:color="auto" w:fill="FFFFFF"/>
              </w:rPr>
              <w:t>排名前20%業者：</w:t>
            </w:r>
            <w:r>
              <w:rPr>
                <w:rFonts w:hAnsi="標楷體"/>
                <w:color w:val="000000"/>
                <w:shd w:val="clear" w:color="auto" w:fill="FFFFFF"/>
              </w:rPr>
              <w:t>中國信託證券、玉山證券、合庫證券及第一金證券</w:t>
            </w:r>
            <w:r>
              <w:rPr>
                <w:rFonts w:hAnsi="標楷體" w:hint="eastAsia"/>
                <w:color w:val="000000"/>
                <w:shd w:val="clear" w:color="auto" w:fill="FFFFFF"/>
              </w:rPr>
              <w:t>。</w:t>
            </w:r>
          </w:p>
        </w:tc>
      </w:tr>
      <w:tr w:rsidR="00020DC3" w:rsidRPr="00E10844" w:rsidTr="008E21E6">
        <w:trPr>
          <w:trHeight w:val="340"/>
        </w:trPr>
        <w:tc>
          <w:tcPr>
            <w:tcW w:w="506" w:type="pct"/>
            <w:shd w:val="clear" w:color="auto" w:fill="auto"/>
            <w:vAlign w:val="center"/>
          </w:tcPr>
          <w:p w:rsidR="00020DC3" w:rsidRPr="000C22CD" w:rsidRDefault="00020DC3" w:rsidP="009900C8">
            <w:pPr>
              <w:pStyle w:val="142"/>
              <w:jc w:val="center"/>
              <w:rPr>
                <w:rFonts w:hAnsi="標楷體"/>
                <w:color w:val="000000"/>
                <w:shd w:val="clear" w:color="auto" w:fill="FFFFFF"/>
              </w:rPr>
            </w:pPr>
            <w:r>
              <w:rPr>
                <w:rFonts w:hAnsi="標楷體" w:hint="eastAsia"/>
                <w:color w:val="000000"/>
                <w:shd w:val="clear" w:color="auto" w:fill="FFFFFF"/>
              </w:rPr>
              <w:t>111</w:t>
            </w:r>
          </w:p>
        </w:tc>
        <w:tc>
          <w:tcPr>
            <w:tcW w:w="4494" w:type="pct"/>
            <w:shd w:val="clear" w:color="auto" w:fill="auto"/>
            <w:vAlign w:val="center"/>
          </w:tcPr>
          <w:p w:rsidR="00020DC3" w:rsidRPr="000C22CD" w:rsidRDefault="00020DC3" w:rsidP="009900C8">
            <w:pPr>
              <w:pStyle w:val="142"/>
              <w:jc w:val="center"/>
              <w:rPr>
                <w:rFonts w:hAnsi="標楷體"/>
                <w:color w:val="000000"/>
                <w:shd w:val="clear" w:color="auto" w:fill="FFFFFF"/>
              </w:rPr>
            </w:pPr>
            <w:r>
              <w:rPr>
                <w:rFonts w:hAnsi="標楷體" w:hint="eastAsia"/>
                <w:color w:val="000000"/>
                <w:shd w:val="clear" w:color="auto" w:fill="FFFFFF"/>
              </w:rPr>
              <w:t>--</w:t>
            </w:r>
          </w:p>
        </w:tc>
      </w:tr>
      <w:tr w:rsidR="00020DC3" w:rsidRPr="00E10844" w:rsidTr="008E21E6">
        <w:trPr>
          <w:trHeight w:val="1191"/>
        </w:trPr>
        <w:tc>
          <w:tcPr>
            <w:tcW w:w="506" w:type="pct"/>
            <w:shd w:val="clear" w:color="auto" w:fill="auto"/>
            <w:vAlign w:val="center"/>
          </w:tcPr>
          <w:p w:rsidR="00020DC3" w:rsidRDefault="00020DC3" w:rsidP="009900C8">
            <w:pPr>
              <w:pStyle w:val="142"/>
              <w:jc w:val="center"/>
              <w:rPr>
                <w:rFonts w:hAnsi="標楷體"/>
                <w:color w:val="000000"/>
                <w:shd w:val="clear" w:color="auto" w:fill="FFFFFF"/>
              </w:rPr>
            </w:pPr>
            <w:r>
              <w:rPr>
                <w:rFonts w:hAnsi="標楷體" w:hint="eastAsia"/>
                <w:color w:val="000000"/>
                <w:shd w:val="clear" w:color="auto" w:fill="FFFFFF"/>
              </w:rPr>
              <w:t>1</w:t>
            </w:r>
            <w:r>
              <w:rPr>
                <w:rFonts w:hAnsi="標楷體"/>
                <w:color w:val="000000"/>
                <w:shd w:val="clear" w:color="auto" w:fill="FFFFFF"/>
              </w:rPr>
              <w:t>12</w:t>
            </w:r>
          </w:p>
        </w:tc>
        <w:tc>
          <w:tcPr>
            <w:tcW w:w="4494" w:type="pct"/>
            <w:shd w:val="clear" w:color="auto" w:fill="auto"/>
            <w:vAlign w:val="center"/>
          </w:tcPr>
          <w:p w:rsidR="00020DC3" w:rsidRDefault="00020DC3" w:rsidP="009900C8">
            <w:pPr>
              <w:pStyle w:val="142"/>
              <w:ind w:left="240" w:hangingChars="100" w:hanging="240"/>
              <w:jc w:val="both"/>
              <w:rPr>
                <w:rFonts w:hAnsi="標楷體"/>
                <w:color w:val="000000"/>
                <w:shd w:val="clear" w:color="auto" w:fill="FFFFFF"/>
              </w:rPr>
            </w:pPr>
            <w:r>
              <w:rPr>
                <w:rFonts w:hAnsi="標楷體" w:hint="eastAsia"/>
                <w:color w:val="000000"/>
                <w:shd w:val="clear" w:color="auto" w:fill="FFFFFF"/>
              </w:rPr>
              <w:t>1.排名前25%業者：</w:t>
            </w:r>
            <w:r w:rsidRPr="009900C8">
              <w:rPr>
                <w:rFonts w:hAnsi="標楷體" w:hint="eastAsia"/>
                <w:color w:val="000000"/>
                <w:shd w:val="clear" w:color="auto" w:fill="FFFFFF"/>
              </w:rPr>
              <w:t>中國信託綜合證券、玉山綜合證券、台中銀證券、合作金庫證券、華南永昌綜合證券及福邦證券</w:t>
            </w:r>
            <w:r>
              <w:rPr>
                <w:rFonts w:hAnsi="標楷體" w:hint="eastAsia"/>
                <w:color w:val="000000"/>
                <w:shd w:val="clear" w:color="auto" w:fill="FFFFFF"/>
              </w:rPr>
              <w:t>。</w:t>
            </w:r>
          </w:p>
          <w:p w:rsidR="00020DC3" w:rsidRPr="009900C8" w:rsidRDefault="00020DC3" w:rsidP="009900C8">
            <w:pPr>
              <w:pStyle w:val="142"/>
              <w:ind w:left="240" w:hangingChars="100" w:hanging="240"/>
              <w:jc w:val="both"/>
              <w:rPr>
                <w:rFonts w:hAnsi="標楷體"/>
                <w:color w:val="000000"/>
                <w:shd w:val="clear" w:color="auto" w:fill="FFFFFF"/>
              </w:rPr>
            </w:pPr>
            <w:r>
              <w:rPr>
                <w:rFonts w:hAnsi="標楷體" w:hint="eastAsia"/>
                <w:color w:val="000000"/>
                <w:shd w:val="clear" w:color="auto" w:fill="FFFFFF"/>
              </w:rPr>
              <w:t>2.排名前26%-50%業者：</w:t>
            </w:r>
            <w:r w:rsidRPr="009900C8">
              <w:rPr>
                <w:rFonts w:hAnsi="標楷體" w:hint="eastAsia"/>
                <w:color w:val="000000"/>
                <w:shd w:val="clear" w:color="auto" w:fill="FFFFFF"/>
              </w:rPr>
              <w:t>大展證券、台新綜合證券、美好證券、第一金證券及臺銀綜合證券。</w:t>
            </w:r>
          </w:p>
        </w:tc>
      </w:tr>
    </w:tbl>
    <w:p w:rsidR="009A0EA9" w:rsidRDefault="009A0EA9" w:rsidP="00C5716B">
      <w:pPr>
        <w:pStyle w:val="142"/>
        <w:rPr>
          <w:rFonts w:hAnsi="標楷體"/>
        </w:rPr>
      </w:pPr>
      <w:r>
        <w:rPr>
          <w:rFonts w:hAnsi="標楷體" w:hint="eastAsia"/>
        </w:rPr>
        <w:t>說　　明：表中券商</w:t>
      </w:r>
      <w:r w:rsidRPr="009A0EA9">
        <w:rPr>
          <w:rFonts w:hAnsi="標楷體" w:hint="eastAsia"/>
        </w:rPr>
        <w:t>依機構名稱筆畫順序</w:t>
      </w:r>
      <w:r>
        <w:rPr>
          <w:rFonts w:hAnsi="標楷體" w:hint="eastAsia"/>
        </w:rPr>
        <w:t>列示。</w:t>
      </w:r>
    </w:p>
    <w:p w:rsidR="000C22CD" w:rsidRPr="00C5716B" w:rsidRDefault="00C5716B" w:rsidP="00C53B7D">
      <w:pPr>
        <w:pStyle w:val="142"/>
        <w:rPr>
          <w:rFonts w:hAnsi="標楷體"/>
          <w:szCs w:val="24"/>
        </w:rPr>
      </w:pPr>
      <w:r w:rsidRPr="00E10844">
        <w:rPr>
          <w:rFonts w:hAnsi="標楷體"/>
        </w:rPr>
        <w:t>資料來源：</w:t>
      </w:r>
      <w:r w:rsidR="00880D1D">
        <w:rPr>
          <w:rFonts w:hAnsi="標楷體" w:hint="eastAsia"/>
        </w:rPr>
        <w:t>整理自</w:t>
      </w:r>
      <w:r w:rsidRPr="00E10844">
        <w:rPr>
          <w:rFonts w:hAnsi="標楷體"/>
        </w:rPr>
        <w:t>金管會</w:t>
      </w:r>
      <w:r w:rsidR="00880D1D">
        <w:rPr>
          <w:rFonts w:hAnsi="標楷體" w:hint="eastAsia"/>
        </w:rPr>
        <w:t>網頁</w:t>
      </w:r>
      <w:r w:rsidRPr="00E10844">
        <w:rPr>
          <w:rFonts w:hAnsi="標楷體"/>
        </w:rPr>
        <w:t>。</w:t>
      </w:r>
    </w:p>
    <w:p w:rsidR="00AE0C91" w:rsidRPr="00E10844" w:rsidRDefault="00234226" w:rsidP="00F65FFC">
      <w:pPr>
        <w:pStyle w:val="ab"/>
        <w:rPr>
          <w:rFonts w:hAnsi="標楷體"/>
        </w:rPr>
      </w:pPr>
      <w:r w:rsidRPr="00E10844">
        <w:rPr>
          <w:rFonts w:hAnsi="標楷體"/>
        </w:rPr>
        <w:t>（分機：</w:t>
      </w:r>
      <w:r w:rsidR="00C5716B">
        <w:rPr>
          <w:rFonts w:hAnsi="標楷體" w:hint="eastAsia"/>
        </w:rPr>
        <w:t>8661</w:t>
      </w:r>
      <w:r w:rsidRPr="00E10844">
        <w:rPr>
          <w:rFonts w:hAnsi="標楷體"/>
        </w:rPr>
        <w:t xml:space="preserve"> </w:t>
      </w:r>
      <w:r w:rsidR="00C5716B">
        <w:rPr>
          <w:rFonts w:hAnsi="標楷體" w:hint="eastAsia"/>
        </w:rPr>
        <w:t>鄧凱文</w:t>
      </w:r>
      <w:r w:rsidRPr="00E10844">
        <w:rPr>
          <w:rFonts w:hAnsi="標楷體"/>
        </w:rPr>
        <w:t>）</w:t>
      </w:r>
      <w:bookmarkEnd w:id="2"/>
      <w:bookmarkEnd w:id="3"/>
    </w:p>
    <w:sectPr w:rsidR="00AE0C91" w:rsidRPr="00E10844" w:rsidSect="007002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738" w:rsidRDefault="00DB7738" w:rsidP="003A22D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7738" w:rsidRDefault="00DB7738" w:rsidP="003A22D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Default="006A3BB0" w:rsidP="0081398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6A3BB0" w:rsidRDefault="006A3BB0" w:rsidP="0081398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Pr="00202B6C" w:rsidRDefault="006A3BB0" w:rsidP="00FC40F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202B6C">
      <w:rPr>
        <w:sz w:val="20"/>
        <w:szCs w:val="20"/>
      </w:rPr>
      <w:fldChar w:fldCharType="begin"/>
    </w:r>
    <w:r w:rsidRPr="00202B6C">
      <w:rPr>
        <w:sz w:val="20"/>
        <w:szCs w:val="20"/>
      </w:rPr>
      <w:instrText xml:space="preserve">PAGE  </w:instrText>
    </w:r>
    <w:r w:rsidRPr="00202B6C">
      <w:rPr>
        <w:sz w:val="20"/>
        <w:szCs w:val="20"/>
      </w:rPr>
      <w:fldChar w:fldCharType="separate"/>
    </w:r>
    <w:r w:rsidR="00793179">
      <w:rPr>
        <w:noProof/>
        <w:sz w:val="20"/>
        <w:szCs w:val="20"/>
      </w:rPr>
      <w:t>3</w:t>
    </w:r>
    <w:r w:rsidRPr="00202B6C">
      <w:rPr>
        <w:sz w:val="20"/>
        <w:szCs w:val="20"/>
      </w:rPr>
      <w:fldChar w:fldCharType="end"/>
    </w:r>
  </w:p>
  <w:p w:rsidR="006A3BB0" w:rsidRPr="00202B6C" w:rsidRDefault="006A3BB0" w:rsidP="00201E08">
    <w:pPr>
      <w:ind w:leftChars="0" w:left="0" w:firstLineChars="0" w:firstLine="0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Default="006A3BB0" w:rsidP="0081398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738" w:rsidRDefault="00DB7738" w:rsidP="00B640E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7738" w:rsidRDefault="00DB7738" w:rsidP="003A22D1">
      <w:pPr>
        <w:spacing w:line="240" w:lineRule="auto"/>
        <w:ind w:left="560" w:firstLine="560"/>
      </w:pPr>
      <w:r>
        <w:continuationSeparator/>
      </w:r>
    </w:p>
  </w:footnote>
  <w:footnote w:id="1">
    <w:p w:rsidR="006A3BB0" w:rsidRDefault="006A3BB0" w:rsidP="008633C7">
      <w:pPr>
        <w:pStyle w:val="142"/>
      </w:pPr>
      <w:r>
        <w:rPr>
          <w:rStyle w:val="afc"/>
        </w:rPr>
        <w:footnoteRef/>
      </w:r>
      <w:r w:rsidRPr="008633C7">
        <w:rPr>
          <w:rFonts w:hint="eastAsia"/>
        </w:rPr>
        <w:t>實收資本額達新臺幣100億元</w:t>
      </w:r>
      <w:r>
        <w:rPr>
          <w:rFonts w:hint="eastAsia"/>
        </w:rPr>
        <w:t>。</w:t>
      </w:r>
    </w:p>
  </w:footnote>
  <w:footnote w:id="2">
    <w:p w:rsidR="006A3BB0" w:rsidRPr="001726E5" w:rsidRDefault="006A3BB0" w:rsidP="008E21E6">
      <w:pPr>
        <w:pStyle w:val="142"/>
        <w:wordWrap w:val="0"/>
        <w:ind w:left="72" w:hangingChars="30" w:hanging="72"/>
      </w:pPr>
      <w:r>
        <w:rPr>
          <w:rStyle w:val="afc"/>
        </w:rPr>
        <w:footnoteRef/>
      </w:r>
      <w:r>
        <w:rPr>
          <w:rFonts w:hint="eastAsia"/>
        </w:rPr>
        <w:t>金管會「</w:t>
      </w:r>
      <w:r w:rsidRPr="001726E5">
        <w:rPr>
          <w:rFonts w:hint="eastAsia"/>
        </w:rPr>
        <w:t>公布11</w:t>
      </w:r>
      <w:r>
        <w:rPr>
          <w:rFonts w:hint="eastAsia"/>
        </w:rPr>
        <w:t>4</w:t>
      </w:r>
      <w:r w:rsidRPr="001726E5">
        <w:rPr>
          <w:rFonts w:hint="eastAsia"/>
        </w:rPr>
        <w:t>年公平待客原則評核機制</w:t>
      </w:r>
      <w:r>
        <w:rPr>
          <w:rFonts w:hint="eastAsia"/>
        </w:rPr>
        <w:t>」新聞稿</w:t>
      </w:r>
      <w:r w:rsidR="008E21E6">
        <w:rPr>
          <w:rFonts w:hint="eastAsia"/>
        </w:rPr>
        <w:t>，2023年12月7日，</w:t>
      </w:r>
      <w:r w:rsidR="008E21E6" w:rsidRPr="008E21E6">
        <w:t>https://www.fsc.gov.tw/ch/home.jsp?id=96&amp;parentpath=0&amp;mcustomize=news_view.jsp&amp;dataserno=202312070004&amp;dtable=News</w:t>
      </w:r>
      <w:r>
        <w:rPr>
          <w:rFonts w:hint="eastAsia"/>
        </w:rPr>
        <w:t>。</w:t>
      </w:r>
    </w:p>
  </w:footnote>
  <w:footnote w:id="3">
    <w:p w:rsidR="006A3BB0" w:rsidRDefault="006A3BB0" w:rsidP="00D5595C">
      <w:pPr>
        <w:pStyle w:val="142"/>
        <w:ind w:left="72" w:hangingChars="30" w:hanging="72"/>
      </w:pPr>
      <w:r>
        <w:rPr>
          <w:rStyle w:val="afc"/>
        </w:rPr>
        <w:footnoteRef/>
      </w:r>
      <w:r>
        <w:rPr>
          <w:rFonts w:hint="eastAsia"/>
        </w:rPr>
        <w:t>金管會表示，</w:t>
      </w:r>
      <w:r w:rsidRPr="00D5595C">
        <w:rPr>
          <w:rFonts w:hint="eastAsia"/>
        </w:rPr>
        <w:t>證券商應重視年輕投資人當沖等投資風險議題、銀行應重視對於甫滿18歲成年人小額貸款業務之控管，及各業應善盡年輕客群認識客戶流程(KYC)之審核等，以落實年輕客群權益之保障。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Default="006A3BB0" w:rsidP="0081398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Default="006A3BB0" w:rsidP="00813985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Default="006A3BB0" w:rsidP="0081398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D6987"/>
    <w:multiLevelType w:val="hybridMultilevel"/>
    <w:tmpl w:val="C92AC508"/>
    <w:lvl w:ilvl="0" w:tplc="BDC4B39A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" w15:restartNumberingAfterBreak="0">
    <w:nsid w:val="0DE71335"/>
    <w:multiLevelType w:val="hybridMultilevel"/>
    <w:tmpl w:val="FEEA10A4"/>
    <w:lvl w:ilvl="0" w:tplc="20B06D3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FC62C0E"/>
    <w:multiLevelType w:val="hybridMultilevel"/>
    <w:tmpl w:val="0CA46D8E"/>
    <w:lvl w:ilvl="0" w:tplc="C2746BE0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40D9054E"/>
    <w:multiLevelType w:val="hybridMultilevel"/>
    <w:tmpl w:val="864456D4"/>
    <w:lvl w:ilvl="0" w:tplc="D5A47246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" w15:restartNumberingAfterBreak="0">
    <w:nsid w:val="4CC30EDF"/>
    <w:multiLevelType w:val="hybridMultilevel"/>
    <w:tmpl w:val="F03CD092"/>
    <w:lvl w:ilvl="0" w:tplc="22D25832">
      <w:start w:val="1"/>
      <w:numFmt w:val="taiwaneseCountingThousand"/>
      <w:lvlText w:val="(%1)"/>
      <w:lvlJc w:val="left"/>
      <w:pPr>
        <w:ind w:left="1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5" w15:restartNumberingAfterBreak="0">
    <w:nsid w:val="56D917B3"/>
    <w:multiLevelType w:val="hybridMultilevel"/>
    <w:tmpl w:val="017099C4"/>
    <w:lvl w:ilvl="0" w:tplc="A2D425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6C1525C7"/>
    <w:multiLevelType w:val="hybridMultilevel"/>
    <w:tmpl w:val="F34C75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D952DC9"/>
    <w:multiLevelType w:val="hybridMultilevel"/>
    <w:tmpl w:val="04A6C03A"/>
    <w:lvl w:ilvl="0" w:tplc="115687E6">
      <w:start w:val="1"/>
      <w:numFmt w:val="taiwaneseCountingThousand"/>
      <w:lvlText w:val="(%1)"/>
      <w:lvlJc w:val="left"/>
      <w:pPr>
        <w:ind w:left="18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8" w:hanging="480"/>
      </w:pPr>
    </w:lvl>
    <w:lvl w:ilvl="2" w:tplc="0409001B" w:tentative="1">
      <w:start w:val="1"/>
      <w:numFmt w:val="lowerRoman"/>
      <w:lvlText w:val="%3."/>
      <w:lvlJc w:val="right"/>
      <w:pPr>
        <w:ind w:left="2558" w:hanging="480"/>
      </w:pPr>
    </w:lvl>
    <w:lvl w:ilvl="3" w:tplc="0409000F" w:tentative="1">
      <w:start w:val="1"/>
      <w:numFmt w:val="decimal"/>
      <w:lvlText w:val="%4."/>
      <w:lvlJc w:val="left"/>
      <w:pPr>
        <w:ind w:left="3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8" w:hanging="480"/>
      </w:pPr>
    </w:lvl>
    <w:lvl w:ilvl="5" w:tplc="0409001B" w:tentative="1">
      <w:start w:val="1"/>
      <w:numFmt w:val="lowerRoman"/>
      <w:lvlText w:val="%6."/>
      <w:lvlJc w:val="right"/>
      <w:pPr>
        <w:ind w:left="3998" w:hanging="480"/>
      </w:pPr>
    </w:lvl>
    <w:lvl w:ilvl="6" w:tplc="0409000F" w:tentative="1">
      <w:start w:val="1"/>
      <w:numFmt w:val="decimal"/>
      <w:lvlText w:val="%7."/>
      <w:lvlJc w:val="left"/>
      <w:pPr>
        <w:ind w:left="4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8" w:hanging="480"/>
      </w:pPr>
    </w:lvl>
    <w:lvl w:ilvl="8" w:tplc="0409001B" w:tentative="1">
      <w:start w:val="1"/>
      <w:numFmt w:val="lowerRoman"/>
      <w:lvlText w:val="%9."/>
      <w:lvlJc w:val="right"/>
      <w:pPr>
        <w:ind w:left="5438" w:hanging="480"/>
      </w:pPr>
    </w:lvl>
  </w:abstractNum>
  <w:abstractNum w:abstractNumId="8" w15:restartNumberingAfterBreak="0">
    <w:nsid w:val="6E225C28"/>
    <w:multiLevelType w:val="hybridMultilevel"/>
    <w:tmpl w:val="57085D02"/>
    <w:lvl w:ilvl="0" w:tplc="E9C6DED6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78DC6300"/>
    <w:multiLevelType w:val="hybridMultilevel"/>
    <w:tmpl w:val="12A0CA64"/>
    <w:lvl w:ilvl="0" w:tplc="C2746BE0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7"/>
  </w:num>
  <w:num w:numId="5">
    <w:abstractNumId w:val="9"/>
  </w:num>
  <w:num w:numId="6">
    <w:abstractNumId w:val="4"/>
  </w:num>
  <w:num w:numId="7">
    <w:abstractNumId w:val="3"/>
  </w:num>
  <w:num w:numId="8">
    <w:abstractNumId w:val="0"/>
  </w:num>
  <w:num w:numId="9">
    <w:abstractNumId w:val="1"/>
  </w:num>
  <w:num w:numId="10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B4265"/>
    <w:rsid w:val="000028EE"/>
    <w:rsid w:val="00004E52"/>
    <w:rsid w:val="00005536"/>
    <w:rsid w:val="00007633"/>
    <w:rsid w:val="00007E43"/>
    <w:rsid w:val="000106B6"/>
    <w:rsid w:val="000109A6"/>
    <w:rsid w:val="000112EA"/>
    <w:rsid w:val="00011CEF"/>
    <w:rsid w:val="00012BF5"/>
    <w:rsid w:val="00014653"/>
    <w:rsid w:val="00014C9F"/>
    <w:rsid w:val="00020DC3"/>
    <w:rsid w:val="0002271A"/>
    <w:rsid w:val="00023250"/>
    <w:rsid w:val="000264C3"/>
    <w:rsid w:val="00027892"/>
    <w:rsid w:val="00031E21"/>
    <w:rsid w:val="00031F21"/>
    <w:rsid w:val="0003352B"/>
    <w:rsid w:val="0003494E"/>
    <w:rsid w:val="00035A39"/>
    <w:rsid w:val="00035EFD"/>
    <w:rsid w:val="00036750"/>
    <w:rsid w:val="00037BAC"/>
    <w:rsid w:val="00042697"/>
    <w:rsid w:val="00042925"/>
    <w:rsid w:val="00043C98"/>
    <w:rsid w:val="00045C7D"/>
    <w:rsid w:val="00046043"/>
    <w:rsid w:val="00046B9C"/>
    <w:rsid w:val="0005191C"/>
    <w:rsid w:val="00053FDB"/>
    <w:rsid w:val="00056244"/>
    <w:rsid w:val="00061D73"/>
    <w:rsid w:val="00061D97"/>
    <w:rsid w:val="0006211B"/>
    <w:rsid w:val="0006480C"/>
    <w:rsid w:val="00065271"/>
    <w:rsid w:val="00066D69"/>
    <w:rsid w:val="00071A7F"/>
    <w:rsid w:val="00071ECF"/>
    <w:rsid w:val="00072D54"/>
    <w:rsid w:val="000731F1"/>
    <w:rsid w:val="000738CF"/>
    <w:rsid w:val="00073BE9"/>
    <w:rsid w:val="000748DD"/>
    <w:rsid w:val="0007566D"/>
    <w:rsid w:val="0007795E"/>
    <w:rsid w:val="00081853"/>
    <w:rsid w:val="00082428"/>
    <w:rsid w:val="00084E22"/>
    <w:rsid w:val="0008564F"/>
    <w:rsid w:val="00086738"/>
    <w:rsid w:val="00087D0F"/>
    <w:rsid w:val="000910A0"/>
    <w:rsid w:val="000911BD"/>
    <w:rsid w:val="00092A8F"/>
    <w:rsid w:val="00094006"/>
    <w:rsid w:val="0009411C"/>
    <w:rsid w:val="00094BA0"/>
    <w:rsid w:val="000A2A0C"/>
    <w:rsid w:val="000A4ABB"/>
    <w:rsid w:val="000A6188"/>
    <w:rsid w:val="000A6780"/>
    <w:rsid w:val="000A7C82"/>
    <w:rsid w:val="000B0545"/>
    <w:rsid w:val="000B0BF7"/>
    <w:rsid w:val="000B13BC"/>
    <w:rsid w:val="000B1C78"/>
    <w:rsid w:val="000B3BF4"/>
    <w:rsid w:val="000B4A01"/>
    <w:rsid w:val="000B4FEA"/>
    <w:rsid w:val="000B7FA5"/>
    <w:rsid w:val="000C0499"/>
    <w:rsid w:val="000C09C7"/>
    <w:rsid w:val="000C22CD"/>
    <w:rsid w:val="000C2524"/>
    <w:rsid w:val="000C413C"/>
    <w:rsid w:val="000C59F0"/>
    <w:rsid w:val="000D4A02"/>
    <w:rsid w:val="000D7E24"/>
    <w:rsid w:val="000E106A"/>
    <w:rsid w:val="000E11F7"/>
    <w:rsid w:val="000E1D1D"/>
    <w:rsid w:val="000E2380"/>
    <w:rsid w:val="000E299B"/>
    <w:rsid w:val="000E37A3"/>
    <w:rsid w:val="000E4305"/>
    <w:rsid w:val="000E4986"/>
    <w:rsid w:val="000E4C50"/>
    <w:rsid w:val="000E6727"/>
    <w:rsid w:val="000E6C81"/>
    <w:rsid w:val="000F02B8"/>
    <w:rsid w:val="000F214E"/>
    <w:rsid w:val="000F3254"/>
    <w:rsid w:val="000F3EC1"/>
    <w:rsid w:val="000F5648"/>
    <w:rsid w:val="000F77E4"/>
    <w:rsid w:val="00101DCA"/>
    <w:rsid w:val="00101DEE"/>
    <w:rsid w:val="00103928"/>
    <w:rsid w:val="001060A0"/>
    <w:rsid w:val="0010749F"/>
    <w:rsid w:val="00107ACF"/>
    <w:rsid w:val="00111733"/>
    <w:rsid w:val="001119C7"/>
    <w:rsid w:val="00113AD5"/>
    <w:rsid w:val="00113DD2"/>
    <w:rsid w:val="00113EF7"/>
    <w:rsid w:val="00116229"/>
    <w:rsid w:val="00116463"/>
    <w:rsid w:val="0012208F"/>
    <w:rsid w:val="00126322"/>
    <w:rsid w:val="00130700"/>
    <w:rsid w:val="001322B6"/>
    <w:rsid w:val="001339A8"/>
    <w:rsid w:val="00134259"/>
    <w:rsid w:val="001400FC"/>
    <w:rsid w:val="0014255F"/>
    <w:rsid w:val="00142D3E"/>
    <w:rsid w:val="00144AB3"/>
    <w:rsid w:val="0014583A"/>
    <w:rsid w:val="0014754A"/>
    <w:rsid w:val="001500D7"/>
    <w:rsid w:val="00150FF2"/>
    <w:rsid w:val="00153CE0"/>
    <w:rsid w:val="00153EE3"/>
    <w:rsid w:val="00154521"/>
    <w:rsid w:val="00154FC6"/>
    <w:rsid w:val="00155C53"/>
    <w:rsid w:val="00155DC4"/>
    <w:rsid w:val="001560AF"/>
    <w:rsid w:val="00156DEE"/>
    <w:rsid w:val="001608DC"/>
    <w:rsid w:val="00163814"/>
    <w:rsid w:val="00170445"/>
    <w:rsid w:val="001712CC"/>
    <w:rsid w:val="00172595"/>
    <w:rsid w:val="001726E5"/>
    <w:rsid w:val="00173984"/>
    <w:rsid w:val="001740DC"/>
    <w:rsid w:val="00175810"/>
    <w:rsid w:val="001759FC"/>
    <w:rsid w:val="00176A82"/>
    <w:rsid w:val="0018140D"/>
    <w:rsid w:val="001842E6"/>
    <w:rsid w:val="00184427"/>
    <w:rsid w:val="00185C13"/>
    <w:rsid w:val="00186D19"/>
    <w:rsid w:val="0019081E"/>
    <w:rsid w:val="001938AC"/>
    <w:rsid w:val="001954E5"/>
    <w:rsid w:val="00195BE7"/>
    <w:rsid w:val="0019645F"/>
    <w:rsid w:val="00196961"/>
    <w:rsid w:val="001970E4"/>
    <w:rsid w:val="001A2898"/>
    <w:rsid w:val="001A3745"/>
    <w:rsid w:val="001A4020"/>
    <w:rsid w:val="001A42FD"/>
    <w:rsid w:val="001A628F"/>
    <w:rsid w:val="001A68EF"/>
    <w:rsid w:val="001A69BA"/>
    <w:rsid w:val="001A7D33"/>
    <w:rsid w:val="001B06AB"/>
    <w:rsid w:val="001B1DE3"/>
    <w:rsid w:val="001B708A"/>
    <w:rsid w:val="001B76AC"/>
    <w:rsid w:val="001C0407"/>
    <w:rsid w:val="001C3BF2"/>
    <w:rsid w:val="001C4614"/>
    <w:rsid w:val="001C7800"/>
    <w:rsid w:val="001D064D"/>
    <w:rsid w:val="001D0B78"/>
    <w:rsid w:val="001D0DDE"/>
    <w:rsid w:val="001D1CEB"/>
    <w:rsid w:val="001D4AE3"/>
    <w:rsid w:val="001D4D98"/>
    <w:rsid w:val="001D7845"/>
    <w:rsid w:val="001D79BF"/>
    <w:rsid w:val="001D7B8B"/>
    <w:rsid w:val="001E1F70"/>
    <w:rsid w:val="001E772C"/>
    <w:rsid w:val="001F03DE"/>
    <w:rsid w:val="001F1232"/>
    <w:rsid w:val="001F600F"/>
    <w:rsid w:val="001F67C5"/>
    <w:rsid w:val="001F7268"/>
    <w:rsid w:val="001F7753"/>
    <w:rsid w:val="001F7AA1"/>
    <w:rsid w:val="001F7D53"/>
    <w:rsid w:val="00201E08"/>
    <w:rsid w:val="00202212"/>
    <w:rsid w:val="00202B6C"/>
    <w:rsid w:val="00203018"/>
    <w:rsid w:val="00204A5A"/>
    <w:rsid w:val="00204BE8"/>
    <w:rsid w:val="002057A0"/>
    <w:rsid w:val="0020761B"/>
    <w:rsid w:val="00210292"/>
    <w:rsid w:val="002107C6"/>
    <w:rsid w:val="00210D4F"/>
    <w:rsid w:val="00210FA9"/>
    <w:rsid w:val="0021122E"/>
    <w:rsid w:val="00211820"/>
    <w:rsid w:val="00213E62"/>
    <w:rsid w:val="0021713F"/>
    <w:rsid w:val="0022091B"/>
    <w:rsid w:val="00224910"/>
    <w:rsid w:val="002251D5"/>
    <w:rsid w:val="002276F0"/>
    <w:rsid w:val="00230892"/>
    <w:rsid w:val="00230B75"/>
    <w:rsid w:val="00230F51"/>
    <w:rsid w:val="0023214B"/>
    <w:rsid w:val="00233330"/>
    <w:rsid w:val="00233396"/>
    <w:rsid w:val="00234226"/>
    <w:rsid w:val="002378DB"/>
    <w:rsid w:val="00240D1F"/>
    <w:rsid w:val="002434AF"/>
    <w:rsid w:val="00243837"/>
    <w:rsid w:val="00246908"/>
    <w:rsid w:val="00250DBC"/>
    <w:rsid w:val="00251B2F"/>
    <w:rsid w:val="00255F16"/>
    <w:rsid w:val="00256DC6"/>
    <w:rsid w:val="00263470"/>
    <w:rsid w:val="00265E3D"/>
    <w:rsid w:val="00265F87"/>
    <w:rsid w:val="00266FBE"/>
    <w:rsid w:val="00267B30"/>
    <w:rsid w:val="00267E90"/>
    <w:rsid w:val="00270C1B"/>
    <w:rsid w:val="002710E9"/>
    <w:rsid w:val="002714EE"/>
    <w:rsid w:val="00273B2F"/>
    <w:rsid w:val="00274C97"/>
    <w:rsid w:val="00275C41"/>
    <w:rsid w:val="00277729"/>
    <w:rsid w:val="0028003C"/>
    <w:rsid w:val="002802A6"/>
    <w:rsid w:val="0028047E"/>
    <w:rsid w:val="00280D31"/>
    <w:rsid w:val="00280E45"/>
    <w:rsid w:val="00284232"/>
    <w:rsid w:val="0028650B"/>
    <w:rsid w:val="00290AD8"/>
    <w:rsid w:val="002930F7"/>
    <w:rsid w:val="00297BC6"/>
    <w:rsid w:val="002A19FF"/>
    <w:rsid w:val="002A411D"/>
    <w:rsid w:val="002A4496"/>
    <w:rsid w:val="002A59E0"/>
    <w:rsid w:val="002B0ECE"/>
    <w:rsid w:val="002B24EA"/>
    <w:rsid w:val="002B3E67"/>
    <w:rsid w:val="002B435E"/>
    <w:rsid w:val="002B4AE9"/>
    <w:rsid w:val="002B66D9"/>
    <w:rsid w:val="002B721A"/>
    <w:rsid w:val="002B737E"/>
    <w:rsid w:val="002B78BB"/>
    <w:rsid w:val="002C1932"/>
    <w:rsid w:val="002C4104"/>
    <w:rsid w:val="002C4853"/>
    <w:rsid w:val="002C50D9"/>
    <w:rsid w:val="002C7DC0"/>
    <w:rsid w:val="002D0891"/>
    <w:rsid w:val="002D1BE5"/>
    <w:rsid w:val="002D266C"/>
    <w:rsid w:val="002D2904"/>
    <w:rsid w:val="002D2B91"/>
    <w:rsid w:val="002D3FB0"/>
    <w:rsid w:val="002D5419"/>
    <w:rsid w:val="002D7197"/>
    <w:rsid w:val="002D71E6"/>
    <w:rsid w:val="002E091C"/>
    <w:rsid w:val="002E26B0"/>
    <w:rsid w:val="002E4AC2"/>
    <w:rsid w:val="002E4B58"/>
    <w:rsid w:val="002E61DD"/>
    <w:rsid w:val="002E7654"/>
    <w:rsid w:val="002E7C3D"/>
    <w:rsid w:val="002F05A0"/>
    <w:rsid w:val="002F111F"/>
    <w:rsid w:val="002F209F"/>
    <w:rsid w:val="002F2174"/>
    <w:rsid w:val="002F243A"/>
    <w:rsid w:val="002F2CEF"/>
    <w:rsid w:val="002F2FE9"/>
    <w:rsid w:val="002F51F1"/>
    <w:rsid w:val="003002FB"/>
    <w:rsid w:val="00301CF4"/>
    <w:rsid w:val="00305BBC"/>
    <w:rsid w:val="00306786"/>
    <w:rsid w:val="00306847"/>
    <w:rsid w:val="00311630"/>
    <w:rsid w:val="00314527"/>
    <w:rsid w:val="00314F7E"/>
    <w:rsid w:val="00315963"/>
    <w:rsid w:val="003175F4"/>
    <w:rsid w:val="00320DA9"/>
    <w:rsid w:val="00320E1F"/>
    <w:rsid w:val="00321427"/>
    <w:rsid w:val="00322FC8"/>
    <w:rsid w:val="00323237"/>
    <w:rsid w:val="00323BD1"/>
    <w:rsid w:val="003259E3"/>
    <w:rsid w:val="0032636B"/>
    <w:rsid w:val="00326CC2"/>
    <w:rsid w:val="0033208A"/>
    <w:rsid w:val="003353C4"/>
    <w:rsid w:val="00335DDD"/>
    <w:rsid w:val="00340F12"/>
    <w:rsid w:val="00341831"/>
    <w:rsid w:val="0034195D"/>
    <w:rsid w:val="003423B7"/>
    <w:rsid w:val="00342F81"/>
    <w:rsid w:val="00344CCD"/>
    <w:rsid w:val="003462F1"/>
    <w:rsid w:val="00346DD5"/>
    <w:rsid w:val="003473C4"/>
    <w:rsid w:val="00347640"/>
    <w:rsid w:val="00347B39"/>
    <w:rsid w:val="00353D68"/>
    <w:rsid w:val="00354401"/>
    <w:rsid w:val="00354C01"/>
    <w:rsid w:val="00357020"/>
    <w:rsid w:val="003611EC"/>
    <w:rsid w:val="00364DE0"/>
    <w:rsid w:val="003660D1"/>
    <w:rsid w:val="00366382"/>
    <w:rsid w:val="0036709D"/>
    <w:rsid w:val="00370CBC"/>
    <w:rsid w:val="00373930"/>
    <w:rsid w:val="00375CFD"/>
    <w:rsid w:val="00376C53"/>
    <w:rsid w:val="003776CC"/>
    <w:rsid w:val="00380458"/>
    <w:rsid w:val="00382D39"/>
    <w:rsid w:val="0038574B"/>
    <w:rsid w:val="00385E84"/>
    <w:rsid w:val="0038773F"/>
    <w:rsid w:val="003877C9"/>
    <w:rsid w:val="00390B1E"/>
    <w:rsid w:val="003920D9"/>
    <w:rsid w:val="0039335F"/>
    <w:rsid w:val="003935CF"/>
    <w:rsid w:val="003943AA"/>
    <w:rsid w:val="00395A68"/>
    <w:rsid w:val="003A07DB"/>
    <w:rsid w:val="003A20A5"/>
    <w:rsid w:val="003A22D1"/>
    <w:rsid w:val="003A33F1"/>
    <w:rsid w:val="003A4487"/>
    <w:rsid w:val="003A4A9B"/>
    <w:rsid w:val="003A5026"/>
    <w:rsid w:val="003A5ACD"/>
    <w:rsid w:val="003A5FEB"/>
    <w:rsid w:val="003A768F"/>
    <w:rsid w:val="003A7FBF"/>
    <w:rsid w:val="003B08FC"/>
    <w:rsid w:val="003B0E16"/>
    <w:rsid w:val="003B1A4E"/>
    <w:rsid w:val="003B1EFF"/>
    <w:rsid w:val="003B5B05"/>
    <w:rsid w:val="003B75F7"/>
    <w:rsid w:val="003B7FC1"/>
    <w:rsid w:val="003C072C"/>
    <w:rsid w:val="003C0EF1"/>
    <w:rsid w:val="003C0FF3"/>
    <w:rsid w:val="003C39EC"/>
    <w:rsid w:val="003C4306"/>
    <w:rsid w:val="003C5452"/>
    <w:rsid w:val="003C6582"/>
    <w:rsid w:val="003C65AE"/>
    <w:rsid w:val="003C713D"/>
    <w:rsid w:val="003C749B"/>
    <w:rsid w:val="003D4055"/>
    <w:rsid w:val="003D4458"/>
    <w:rsid w:val="003D623A"/>
    <w:rsid w:val="003E0573"/>
    <w:rsid w:val="003E0604"/>
    <w:rsid w:val="003E08B2"/>
    <w:rsid w:val="003E1C45"/>
    <w:rsid w:val="003E3B72"/>
    <w:rsid w:val="003E4B67"/>
    <w:rsid w:val="003E563D"/>
    <w:rsid w:val="003E60FA"/>
    <w:rsid w:val="003E62F8"/>
    <w:rsid w:val="003E69CA"/>
    <w:rsid w:val="003F0C78"/>
    <w:rsid w:val="003F28A5"/>
    <w:rsid w:val="003F39AD"/>
    <w:rsid w:val="003F4ED6"/>
    <w:rsid w:val="003F5583"/>
    <w:rsid w:val="003F6EFD"/>
    <w:rsid w:val="00400C49"/>
    <w:rsid w:val="0040108C"/>
    <w:rsid w:val="00404A3F"/>
    <w:rsid w:val="00404F8B"/>
    <w:rsid w:val="00407086"/>
    <w:rsid w:val="00410DF0"/>
    <w:rsid w:val="00412B3E"/>
    <w:rsid w:val="00413B11"/>
    <w:rsid w:val="004151E1"/>
    <w:rsid w:val="00422AA6"/>
    <w:rsid w:val="00423584"/>
    <w:rsid w:val="00423915"/>
    <w:rsid w:val="004253B9"/>
    <w:rsid w:val="00426569"/>
    <w:rsid w:val="004314F8"/>
    <w:rsid w:val="0043345A"/>
    <w:rsid w:val="00433C1C"/>
    <w:rsid w:val="00435E27"/>
    <w:rsid w:val="0043601B"/>
    <w:rsid w:val="00436A98"/>
    <w:rsid w:val="00436D5A"/>
    <w:rsid w:val="004374EF"/>
    <w:rsid w:val="00437762"/>
    <w:rsid w:val="004418BA"/>
    <w:rsid w:val="0044323B"/>
    <w:rsid w:val="004432A7"/>
    <w:rsid w:val="0044621C"/>
    <w:rsid w:val="004462F1"/>
    <w:rsid w:val="004512ED"/>
    <w:rsid w:val="004519CE"/>
    <w:rsid w:val="004532A1"/>
    <w:rsid w:val="00454410"/>
    <w:rsid w:val="0045452B"/>
    <w:rsid w:val="004565A2"/>
    <w:rsid w:val="00457938"/>
    <w:rsid w:val="00457AFC"/>
    <w:rsid w:val="00457C91"/>
    <w:rsid w:val="00457DE8"/>
    <w:rsid w:val="0046076C"/>
    <w:rsid w:val="00460864"/>
    <w:rsid w:val="0046202E"/>
    <w:rsid w:val="00463B96"/>
    <w:rsid w:val="00464659"/>
    <w:rsid w:val="00467CAD"/>
    <w:rsid w:val="00467E92"/>
    <w:rsid w:val="004706FD"/>
    <w:rsid w:val="004766E2"/>
    <w:rsid w:val="00477E60"/>
    <w:rsid w:val="0048102D"/>
    <w:rsid w:val="00482B62"/>
    <w:rsid w:val="00483351"/>
    <w:rsid w:val="0048465C"/>
    <w:rsid w:val="00485248"/>
    <w:rsid w:val="00485516"/>
    <w:rsid w:val="00485D1D"/>
    <w:rsid w:val="00486074"/>
    <w:rsid w:val="00486426"/>
    <w:rsid w:val="00486835"/>
    <w:rsid w:val="00487713"/>
    <w:rsid w:val="00487951"/>
    <w:rsid w:val="004910D2"/>
    <w:rsid w:val="00491E27"/>
    <w:rsid w:val="00491EFD"/>
    <w:rsid w:val="004948F3"/>
    <w:rsid w:val="00495015"/>
    <w:rsid w:val="00497C05"/>
    <w:rsid w:val="004A011E"/>
    <w:rsid w:val="004A03FE"/>
    <w:rsid w:val="004A0794"/>
    <w:rsid w:val="004A1D9F"/>
    <w:rsid w:val="004A2212"/>
    <w:rsid w:val="004A2776"/>
    <w:rsid w:val="004A4D9B"/>
    <w:rsid w:val="004A555B"/>
    <w:rsid w:val="004A6D06"/>
    <w:rsid w:val="004A7F22"/>
    <w:rsid w:val="004B0157"/>
    <w:rsid w:val="004B102D"/>
    <w:rsid w:val="004B2551"/>
    <w:rsid w:val="004B6595"/>
    <w:rsid w:val="004B6866"/>
    <w:rsid w:val="004B7412"/>
    <w:rsid w:val="004C074F"/>
    <w:rsid w:val="004C2E10"/>
    <w:rsid w:val="004C3529"/>
    <w:rsid w:val="004C6F2B"/>
    <w:rsid w:val="004C73A6"/>
    <w:rsid w:val="004D023E"/>
    <w:rsid w:val="004D172B"/>
    <w:rsid w:val="004D3754"/>
    <w:rsid w:val="004D555D"/>
    <w:rsid w:val="004D7102"/>
    <w:rsid w:val="004E1130"/>
    <w:rsid w:val="004E3047"/>
    <w:rsid w:val="004E34C1"/>
    <w:rsid w:val="004E7899"/>
    <w:rsid w:val="004E7FAD"/>
    <w:rsid w:val="004F016A"/>
    <w:rsid w:val="004F1C28"/>
    <w:rsid w:val="004F1CAA"/>
    <w:rsid w:val="004F41DA"/>
    <w:rsid w:val="004F4521"/>
    <w:rsid w:val="004F57E4"/>
    <w:rsid w:val="004F6906"/>
    <w:rsid w:val="00502B58"/>
    <w:rsid w:val="00502C5B"/>
    <w:rsid w:val="00504894"/>
    <w:rsid w:val="00505015"/>
    <w:rsid w:val="00505767"/>
    <w:rsid w:val="005066BB"/>
    <w:rsid w:val="0050671D"/>
    <w:rsid w:val="00506E30"/>
    <w:rsid w:val="005078A9"/>
    <w:rsid w:val="00510088"/>
    <w:rsid w:val="00511B11"/>
    <w:rsid w:val="00512CAB"/>
    <w:rsid w:val="00512F9E"/>
    <w:rsid w:val="00513392"/>
    <w:rsid w:val="00514377"/>
    <w:rsid w:val="005148DE"/>
    <w:rsid w:val="00515F49"/>
    <w:rsid w:val="00516464"/>
    <w:rsid w:val="00516970"/>
    <w:rsid w:val="00517E2C"/>
    <w:rsid w:val="005202B6"/>
    <w:rsid w:val="0052157F"/>
    <w:rsid w:val="00522D14"/>
    <w:rsid w:val="00523500"/>
    <w:rsid w:val="00523938"/>
    <w:rsid w:val="00527093"/>
    <w:rsid w:val="005270F2"/>
    <w:rsid w:val="00527905"/>
    <w:rsid w:val="00530AD3"/>
    <w:rsid w:val="00532537"/>
    <w:rsid w:val="00532A7C"/>
    <w:rsid w:val="00532E06"/>
    <w:rsid w:val="00533155"/>
    <w:rsid w:val="00533E3F"/>
    <w:rsid w:val="00534279"/>
    <w:rsid w:val="00536069"/>
    <w:rsid w:val="00540CCF"/>
    <w:rsid w:val="00541022"/>
    <w:rsid w:val="0054137F"/>
    <w:rsid w:val="005431D2"/>
    <w:rsid w:val="0054408B"/>
    <w:rsid w:val="00544D78"/>
    <w:rsid w:val="00544E15"/>
    <w:rsid w:val="00545752"/>
    <w:rsid w:val="00545E10"/>
    <w:rsid w:val="00545FF7"/>
    <w:rsid w:val="00546695"/>
    <w:rsid w:val="00551818"/>
    <w:rsid w:val="00555BE8"/>
    <w:rsid w:val="00560905"/>
    <w:rsid w:val="00560AC5"/>
    <w:rsid w:val="00562CA2"/>
    <w:rsid w:val="00562D0F"/>
    <w:rsid w:val="0056327D"/>
    <w:rsid w:val="005644EC"/>
    <w:rsid w:val="00565515"/>
    <w:rsid w:val="00565D0E"/>
    <w:rsid w:val="00566918"/>
    <w:rsid w:val="00571A99"/>
    <w:rsid w:val="0057275B"/>
    <w:rsid w:val="00574D17"/>
    <w:rsid w:val="00576579"/>
    <w:rsid w:val="00577057"/>
    <w:rsid w:val="00577FEC"/>
    <w:rsid w:val="00585B2F"/>
    <w:rsid w:val="005877F8"/>
    <w:rsid w:val="00591FC5"/>
    <w:rsid w:val="0059298F"/>
    <w:rsid w:val="0059345A"/>
    <w:rsid w:val="005948DE"/>
    <w:rsid w:val="00596B38"/>
    <w:rsid w:val="00596E42"/>
    <w:rsid w:val="005A04A6"/>
    <w:rsid w:val="005A1641"/>
    <w:rsid w:val="005A5466"/>
    <w:rsid w:val="005A5E3C"/>
    <w:rsid w:val="005A61AA"/>
    <w:rsid w:val="005A61DD"/>
    <w:rsid w:val="005B1A9B"/>
    <w:rsid w:val="005B2893"/>
    <w:rsid w:val="005B3372"/>
    <w:rsid w:val="005B3679"/>
    <w:rsid w:val="005B3E2D"/>
    <w:rsid w:val="005B4514"/>
    <w:rsid w:val="005B57BE"/>
    <w:rsid w:val="005B6262"/>
    <w:rsid w:val="005B6719"/>
    <w:rsid w:val="005B6CF2"/>
    <w:rsid w:val="005C0C04"/>
    <w:rsid w:val="005C1C90"/>
    <w:rsid w:val="005C1D7F"/>
    <w:rsid w:val="005C2308"/>
    <w:rsid w:val="005C25B3"/>
    <w:rsid w:val="005C2D37"/>
    <w:rsid w:val="005C53D3"/>
    <w:rsid w:val="005C5A0D"/>
    <w:rsid w:val="005C607A"/>
    <w:rsid w:val="005C6767"/>
    <w:rsid w:val="005C6CB2"/>
    <w:rsid w:val="005C7EC3"/>
    <w:rsid w:val="005D7F10"/>
    <w:rsid w:val="005E17AC"/>
    <w:rsid w:val="005E4E3C"/>
    <w:rsid w:val="005E508B"/>
    <w:rsid w:val="005E551F"/>
    <w:rsid w:val="005E66C3"/>
    <w:rsid w:val="005F018F"/>
    <w:rsid w:val="005F2AA8"/>
    <w:rsid w:val="005F2F03"/>
    <w:rsid w:val="005F3D70"/>
    <w:rsid w:val="005F3EC2"/>
    <w:rsid w:val="005F4607"/>
    <w:rsid w:val="005F5440"/>
    <w:rsid w:val="005F566D"/>
    <w:rsid w:val="005F777E"/>
    <w:rsid w:val="005F7D7E"/>
    <w:rsid w:val="00602589"/>
    <w:rsid w:val="006027DF"/>
    <w:rsid w:val="00602932"/>
    <w:rsid w:val="00602D80"/>
    <w:rsid w:val="006048DE"/>
    <w:rsid w:val="00605363"/>
    <w:rsid w:val="00606A73"/>
    <w:rsid w:val="00607C71"/>
    <w:rsid w:val="0061023E"/>
    <w:rsid w:val="00610757"/>
    <w:rsid w:val="00610C5E"/>
    <w:rsid w:val="00611702"/>
    <w:rsid w:val="00614B05"/>
    <w:rsid w:val="00614D44"/>
    <w:rsid w:val="006176A2"/>
    <w:rsid w:val="00621990"/>
    <w:rsid w:val="006220A6"/>
    <w:rsid w:val="006221EF"/>
    <w:rsid w:val="0062320F"/>
    <w:rsid w:val="00626812"/>
    <w:rsid w:val="00626A3D"/>
    <w:rsid w:val="00626D24"/>
    <w:rsid w:val="00631B6A"/>
    <w:rsid w:val="00632C14"/>
    <w:rsid w:val="00634005"/>
    <w:rsid w:val="00636F3E"/>
    <w:rsid w:val="00636F8D"/>
    <w:rsid w:val="006405BB"/>
    <w:rsid w:val="00640CB9"/>
    <w:rsid w:val="00640DF4"/>
    <w:rsid w:val="0064390E"/>
    <w:rsid w:val="00645D56"/>
    <w:rsid w:val="00651B7E"/>
    <w:rsid w:val="00651E63"/>
    <w:rsid w:val="00655363"/>
    <w:rsid w:val="00660AF4"/>
    <w:rsid w:val="00661149"/>
    <w:rsid w:val="00663F97"/>
    <w:rsid w:val="00663FA7"/>
    <w:rsid w:val="00666EAF"/>
    <w:rsid w:val="0066754C"/>
    <w:rsid w:val="00667759"/>
    <w:rsid w:val="00667878"/>
    <w:rsid w:val="006704AB"/>
    <w:rsid w:val="006706ED"/>
    <w:rsid w:val="00670913"/>
    <w:rsid w:val="00670958"/>
    <w:rsid w:val="006713DA"/>
    <w:rsid w:val="0067181E"/>
    <w:rsid w:val="006725DD"/>
    <w:rsid w:val="0067302F"/>
    <w:rsid w:val="00675402"/>
    <w:rsid w:val="00675AB1"/>
    <w:rsid w:val="00675FC7"/>
    <w:rsid w:val="00676912"/>
    <w:rsid w:val="00677F74"/>
    <w:rsid w:val="00680D36"/>
    <w:rsid w:val="00681DC7"/>
    <w:rsid w:val="00682437"/>
    <w:rsid w:val="006827C2"/>
    <w:rsid w:val="00684F35"/>
    <w:rsid w:val="0068779F"/>
    <w:rsid w:val="00687EA4"/>
    <w:rsid w:val="00693310"/>
    <w:rsid w:val="00693ABD"/>
    <w:rsid w:val="00693BE6"/>
    <w:rsid w:val="00695299"/>
    <w:rsid w:val="00695B1A"/>
    <w:rsid w:val="00696053"/>
    <w:rsid w:val="00697483"/>
    <w:rsid w:val="006A11CC"/>
    <w:rsid w:val="006A3BB0"/>
    <w:rsid w:val="006A478C"/>
    <w:rsid w:val="006B07F5"/>
    <w:rsid w:val="006B23EB"/>
    <w:rsid w:val="006B3E66"/>
    <w:rsid w:val="006B4374"/>
    <w:rsid w:val="006B518D"/>
    <w:rsid w:val="006B5CD8"/>
    <w:rsid w:val="006B659F"/>
    <w:rsid w:val="006C25B1"/>
    <w:rsid w:val="006C2784"/>
    <w:rsid w:val="006C4086"/>
    <w:rsid w:val="006C41D6"/>
    <w:rsid w:val="006C452A"/>
    <w:rsid w:val="006C5A2C"/>
    <w:rsid w:val="006C60E2"/>
    <w:rsid w:val="006D0E67"/>
    <w:rsid w:val="006D0F70"/>
    <w:rsid w:val="006D2E64"/>
    <w:rsid w:val="006D3148"/>
    <w:rsid w:val="006D5E21"/>
    <w:rsid w:val="006D699B"/>
    <w:rsid w:val="006D6FE3"/>
    <w:rsid w:val="006E0122"/>
    <w:rsid w:val="006E018D"/>
    <w:rsid w:val="006E01E3"/>
    <w:rsid w:val="006E0C15"/>
    <w:rsid w:val="006E0D91"/>
    <w:rsid w:val="006E21D1"/>
    <w:rsid w:val="006E39F6"/>
    <w:rsid w:val="006E431E"/>
    <w:rsid w:val="006E5C51"/>
    <w:rsid w:val="006E6526"/>
    <w:rsid w:val="006F02D6"/>
    <w:rsid w:val="006F1655"/>
    <w:rsid w:val="006F268C"/>
    <w:rsid w:val="006F296F"/>
    <w:rsid w:val="006F48C3"/>
    <w:rsid w:val="006F66DB"/>
    <w:rsid w:val="006F748B"/>
    <w:rsid w:val="007002F7"/>
    <w:rsid w:val="007015A1"/>
    <w:rsid w:val="00702C84"/>
    <w:rsid w:val="00702EB9"/>
    <w:rsid w:val="0070306C"/>
    <w:rsid w:val="0070376C"/>
    <w:rsid w:val="00704264"/>
    <w:rsid w:val="007047D3"/>
    <w:rsid w:val="007070A6"/>
    <w:rsid w:val="007105F0"/>
    <w:rsid w:val="00710888"/>
    <w:rsid w:val="00710DD4"/>
    <w:rsid w:val="00711140"/>
    <w:rsid w:val="007116DA"/>
    <w:rsid w:val="0071267B"/>
    <w:rsid w:val="0071287D"/>
    <w:rsid w:val="00712E69"/>
    <w:rsid w:val="00713A69"/>
    <w:rsid w:val="00713A78"/>
    <w:rsid w:val="00714A77"/>
    <w:rsid w:val="0071588E"/>
    <w:rsid w:val="00720118"/>
    <w:rsid w:val="007219C3"/>
    <w:rsid w:val="00721A10"/>
    <w:rsid w:val="00721CE0"/>
    <w:rsid w:val="00725509"/>
    <w:rsid w:val="0073090E"/>
    <w:rsid w:val="00731217"/>
    <w:rsid w:val="00731B87"/>
    <w:rsid w:val="00732227"/>
    <w:rsid w:val="007322FF"/>
    <w:rsid w:val="00732C88"/>
    <w:rsid w:val="007334DB"/>
    <w:rsid w:val="0073705F"/>
    <w:rsid w:val="0074070E"/>
    <w:rsid w:val="007412AB"/>
    <w:rsid w:val="00741C7A"/>
    <w:rsid w:val="00741E27"/>
    <w:rsid w:val="00742A6A"/>
    <w:rsid w:val="00743236"/>
    <w:rsid w:val="00744200"/>
    <w:rsid w:val="00744408"/>
    <w:rsid w:val="0074564A"/>
    <w:rsid w:val="007469A9"/>
    <w:rsid w:val="00746A70"/>
    <w:rsid w:val="007472DC"/>
    <w:rsid w:val="00750E2D"/>
    <w:rsid w:val="00752057"/>
    <w:rsid w:val="00753285"/>
    <w:rsid w:val="00753EE4"/>
    <w:rsid w:val="00753F81"/>
    <w:rsid w:val="007541E7"/>
    <w:rsid w:val="00754355"/>
    <w:rsid w:val="007545E2"/>
    <w:rsid w:val="00754693"/>
    <w:rsid w:val="00760D0C"/>
    <w:rsid w:val="007610CF"/>
    <w:rsid w:val="00762F90"/>
    <w:rsid w:val="0076653E"/>
    <w:rsid w:val="0077029A"/>
    <w:rsid w:val="00771498"/>
    <w:rsid w:val="0077206F"/>
    <w:rsid w:val="00772A34"/>
    <w:rsid w:val="00773F84"/>
    <w:rsid w:val="00775210"/>
    <w:rsid w:val="00775CDE"/>
    <w:rsid w:val="00781F78"/>
    <w:rsid w:val="00782B8A"/>
    <w:rsid w:val="00782F44"/>
    <w:rsid w:val="00783CF8"/>
    <w:rsid w:val="00784B61"/>
    <w:rsid w:val="0078500C"/>
    <w:rsid w:val="00785F66"/>
    <w:rsid w:val="007872C4"/>
    <w:rsid w:val="00790054"/>
    <w:rsid w:val="00790878"/>
    <w:rsid w:val="00793179"/>
    <w:rsid w:val="0079463C"/>
    <w:rsid w:val="00796368"/>
    <w:rsid w:val="007964A3"/>
    <w:rsid w:val="00796C93"/>
    <w:rsid w:val="00797879"/>
    <w:rsid w:val="007979D8"/>
    <w:rsid w:val="007A0265"/>
    <w:rsid w:val="007A177D"/>
    <w:rsid w:val="007A2A74"/>
    <w:rsid w:val="007A3BC3"/>
    <w:rsid w:val="007A5D34"/>
    <w:rsid w:val="007A5E44"/>
    <w:rsid w:val="007A6615"/>
    <w:rsid w:val="007A66A8"/>
    <w:rsid w:val="007B06A0"/>
    <w:rsid w:val="007B0CB5"/>
    <w:rsid w:val="007B136C"/>
    <w:rsid w:val="007B1D99"/>
    <w:rsid w:val="007B1DFE"/>
    <w:rsid w:val="007B4265"/>
    <w:rsid w:val="007B4D94"/>
    <w:rsid w:val="007B584E"/>
    <w:rsid w:val="007B5919"/>
    <w:rsid w:val="007B5CA5"/>
    <w:rsid w:val="007B7FF6"/>
    <w:rsid w:val="007C0ADB"/>
    <w:rsid w:val="007C4A58"/>
    <w:rsid w:val="007C61F6"/>
    <w:rsid w:val="007C7DCD"/>
    <w:rsid w:val="007D2565"/>
    <w:rsid w:val="007D2709"/>
    <w:rsid w:val="007D30A6"/>
    <w:rsid w:val="007D4065"/>
    <w:rsid w:val="007E07E8"/>
    <w:rsid w:val="007E4FEB"/>
    <w:rsid w:val="007E723F"/>
    <w:rsid w:val="007F272F"/>
    <w:rsid w:val="007F5F1B"/>
    <w:rsid w:val="00804DAE"/>
    <w:rsid w:val="008108B3"/>
    <w:rsid w:val="008122A2"/>
    <w:rsid w:val="00813985"/>
    <w:rsid w:val="008146DC"/>
    <w:rsid w:val="00816002"/>
    <w:rsid w:val="008227CA"/>
    <w:rsid w:val="00823E12"/>
    <w:rsid w:val="008252E8"/>
    <w:rsid w:val="00826005"/>
    <w:rsid w:val="00826213"/>
    <w:rsid w:val="00830175"/>
    <w:rsid w:val="008305FF"/>
    <w:rsid w:val="00832729"/>
    <w:rsid w:val="00832BDD"/>
    <w:rsid w:val="00833C76"/>
    <w:rsid w:val="00834819"/>
    <w:rsid w:val="00834945"/>
    <w:rsid w:val="00835A18"/>
    <w:rsid w:val="008406A0"/>
    <w:rsid w:val="008406C9"/>
    <w:rsid w:val="00841988"/>
    <w:rsid w:val="0084358A"/>
    <w:rsid w:val="008463BB"/>
    <w:rsid w:val="00846441"/>
    <w:rsid w:val="00846943"/>
    <w:rsid w:val="008472F4"/>
    <w:rsid w:val="00850548"/>
    <w:rsid w:val="008518FC"/>
    <w:rsid w:val="00851901"/>
    <w:rsid w:val="00854073"/>
    <w:rsid w:val="00855D6C"/>
    <w:rsid w:val="00856AA3"/>
    <w:rsid w:val="00857EEF"/>
    <w:rsid w:val="00857F87"/>
    <w:rsid w:val="008602A2"/>
    <w:rsid w:val="00861BC5"/>
    <w:rsid w:val="008633C7"/>
    <w:rsid w:val="00863DC4"/>
    <w:rsid w:val="00864BE0"/>
    <w:rsid w:val="00864DEE"/>
    <w:rsid w:val="0086549E"/>
    <w:rsid w:val="008667FC"/>
    <w:rsid w:val="00867ED3"/>
    <w:rsid w:val="00871C65"/>
    <w:rsid w:val="0087284A"/>
    <w:rsid w:val="00872DAD"/>
    <w:rsid w:val="008766DC"/>
    <w:rsid w:val="00877D93"/>
    <w:rsid w:val="00880770"/>
    <w:rsid w:val="00880D1D"/>
    <w:rsid w:val="00881664"/>
    <w:rsid w:val="0088256B"/>
    <w:rsid w:val="008830E9"/>
    <w:rsid w:val="00883492"/>
    <w:rsid w:val="00883683"/>
    <w:rsid w:val="00885800"/>
    <w:rsid w:val="0088620E"/>
    <w:rsid w:val="00886BDD"/>
    <w:rsid w:val="00886CA8"/>
    <w:rsid w:val="008870E5"/>
    <w:rsid w:val="00891D8D"/>
    <w:rsid w:val="008942EE"/>
    <w:rsid w:val="00894D2B"/>
    <w:rsid w:val="00895C72"/>
    <w:rsid w:val="008979FC"/>
    <w:rsid w:val="00897C9A"/>
    <w:rsid w:val="008A0186"/>
    <w:rsid w:val="008A09B6"/>
    <w:rsid w:val="008A1DC4"/>
    <w:rsid w:val="008A20B2"/>
    <w:rsid w:val="008A223B"/>
    <w:rsid w:val="008A2959"/>
    <w:rsid w:val="008A2F40"/>
    <w:rsid w:val="008A48DF"/>
    <w:rsid w:val="008A4F38"/>
    <w:rsid w:val="008A503A"/>
    <w:rsid w:val="008A6103"/>
    <w:rsid w:val="008A683C"/>
    <w:rsid w:val="008A6F82"/>
    <w:rsid w:val="008B06D8"/>
    <w:rsid w:val="008B0CC7"/>
    <w:rsid w:val="008B37C1"/>
    <w:rsid w:val="008B3E00"/>
    <w:rsid w:val="008B5C6A"/>
    <w:rsid w:val="008B5EC3"/>
    <w:rsid w:val="008C1490"/>
    <w:rsid w:val="008C1A2E"/>
    <w:rsid w:val="008C4A1D"/>
    <w:rsid w:val="008D1547"/>
    <w:rsid w:val="008D3120"/>
    <w:rsid w:val="008D359B"/>
    <w:rsid w:val="008D52B8"/>
    <w:rsid w:val="008D6506"/>
    <w:rsid w:val="008D6807"/>
    <w:rsid w:val="008D687A"/>
    <w:rsid w:val="008E0421"/>
    <w:rsid w:val="008E08E3"/>
    <w:rsid w:val="008E0EF0"/>
    <w:rsid w:val="008E12D5"/>
    <w:rsid w:val="008E21E6"/>
    <w:rsid w:val="008E2595"/>
    <w:rsid w:val="008E265D"/>
    <w:rsid w:val="008E2E23"/>
    <w:rsid w:val="008E335F"/>
    <w:rsid w:val="008E3AF6"/>
    <w:rsid w:val="008E5B63"/>
    <w:rsid w:val="008E5C99"/>
    <w:rsid w:val="008E601D"/>
    <w:rsid w:val="008F3046"/>
    <w:rsid w:val="008F5C7C"/>
    <w:rsid w:val="009005D9"/>
    <w:rsid w:val="0090202D"/>
    <w:rsid w:val="00904607"/>
    <w:rsid w:val="00904CEC"/>
    <w:rsid w:val="00905C25"/>
    <w:rsid w:val="00910425"/>
    <w:rsid w:val="00910769"/>
    <w:rsid w:val="00911FDF"/>
    <w:rsid w:val="0091437F"/>
    <w:rsid w:val="0091514C"/>
    <w:rsid w:val="009153B0"/>
    <w:rsid w:val="00921D07"/>
    <w:rsid w:val="00921F71"/>
    <w:rsid w:val="0092270D"/>
    <w:rsid w:val="0093092D"/>
    <w:rsid w:val="0093172F"/>
    <w:rsid w:val="009325ED"/>
    <w:rsid w:val="0093598A"/>
    <w:rsid w:val="0093685C"/>
    <w:rsid w:val="009369E9"/>
    <w:rsid w:val="00937097"/>
    <w:rsid w:val="0093721E"/>
    <w:rsid w:val="00940DA6"/>
    <w:rsid w:val="00941585"/>
    <w:rsid w:val="009444CB"/>
    <w:rsid w:val="00946135"/>
    <w:rsid w:val="00947C08"/>
    <w:rsid w:val="00952D30"/>
    <w:rsid w:val="00954B02"/>
    <w:rsid w:val="00955118"/>
    <w:rsid w:val="00955421"/>
    <w:rsid w:val="00955542"/>
    <w:rsid w:val="0095565D"/>
    <w:rsid w:val="00955F65"/>
    <w:rsid w:val="00956C16"/>
    <w:rsid w:val="009570F5"/>
    <w:rsid w:val="00961768"/>
    <w:rsid w:val="0096353C"/>
    <w:rsid w:val="0096572B"/>
    <w:rsid w:val="009665FA"/>
    <w:rsid w:val="0097013A"/>
    <w:rsid w:val="009707D8"/>
    <w:rsid w:val="00971FD2"/>
    <w:rsid w:val="0097383A"/>
    <w:rsid w:val="00974126"/>
    <w:rsid w:val="009748F4"/>
    <w:rsid w:val="00975877"/>
    <w:rsid w:val="00975C73"/>
    <w:rsid w:val="009762CA"/>
    <w:rsid w:val="009800DD"/>
    <w:rsid w:val="009806FE"/>
    <w:rsid w:val="009815B9"/>
    <w:rsid w:val="00982280"/>
    <w:rsid w:val="009833D0"/>
    <w:rsid w:val="00986550"/>
    <w:rsid w:val="00986F99"/>
    <w:rsid w:val="009900C8"/>
    <w:rsid w:val="009922DA"/>
    <w:rsid w:val="00993BB5"/>
    <w:rsid w:val="00993E7C"/>
    <w:rsid w:val="00993F28"/>
    <w:rsid w:val="00995EC9"/>
    <w:rsid w:val="00997E5A"/>
    <w:rsid w:val="009A0EA9"/>
    <w:rsid w:val="009A16B2"/>
    <w:rsid w:val="009A1DB5"/>
    <w:rsid w:val="009A22B0"/>
    <w:rsid w:val="009A41DF"/>
    <w:rsid w:val="009A6B89"/>
    <w:rsid w:val="009B2ED2"/>
    <w:rsid w:val="009B3193"/>
    <w:rsid w:val="009B39AD"/>
    <w:rsid w:val="009B401F"/>
    <w:rsid w:val="009B47BA"/>
    <w:rsid w:val="009B4BF9"/>
    <w:rsid w:val="009B4D5C"/>
    <w:rsid w:val="009B506D"/>
    <w:rsid w:val="009B70C4"/>
    <w:rsid w:val="009B7967"/>
    <w:rsid w:val="009C091A"/>
    <w:rsid w:val="009C255B"/>
    <w:rsid w:val="009C41D8"/>
    <w:rsid w:val="009C4AFA"/>
    <w:rsid w:val="009C4B13"/>
    <w:rsid w:val="009C50B9"/>
    <w:rsid w:val="009C570B"/>
    <w:rsid w:val="009C6205"/>
    <w:rsid w:val="009C78FF"/>
    <w:rsid w:val="009C7ABA"/>
    <w:rsid w:val="009C7B72"/>
    <w:rsid w:val="009D01CA"/>
    <w:rsid w:val="009D10BF"/>
    <w:rsid w:val="009D1AED"/>
    <w:rsid w:val="009D24A1"/>
    <w:rsid w:val="009D284B"/>
    <w:rsid w:val="009D2950"/>
    <w:rsid w:val="009D2AD9"/>
    <w:rsid w:val="009D4951"/>
    <w:rsid w:val="009D61AD"/>
    <w:rsid w:val="009D67D1"/>
    <w:rsid w:val="009D7970"/>
    <w:rsid w:val="009E0845"/>
    <w:rsid w:val="009E1BB8"/>
    <w:rsid w:val="009E20FB"/>
    <w:rsid w:val="009E4041"/>
    <w:rsid w:val="009E4D89"/>
    <w:rsid w:val="009E5E01"/>
    <w:rsid w:val="009E7591"/>
    <w:rsid w:val="009F4AFB"/>
    <w:rsid w:val="009F6397"/>
    <w:rsid w:val="009F74AD"/>
    <w:rsid w:val="009F78F7"/>
    <w:rsid w:val="00A01610"/>
    <w:rsid w:val="00A01E13"/>
    <w:rsid w:val="00A046A6"/>
    <w:rsid w:val="00A04ED7"/>
    <w:rsid w:val="00A05302"/>
    <w:rsid w:val="00A06914"/>
    <w:rsid w:val="00A07BAE"/>
    <w:rsid w:val="00A07CFC"/>
    <w:rsid w:val="00A12DBA"/>
    <w:rsid w:val="00A1392D"/>
    <w:rsid w:val="00A17DC3"/>
    <w:rsid w:val="00A21ABF"/>
    <w:rsid w:val="00A22C4E"/>
    <w:rsid w:val="00A30A78"/>
    <w:rsid w:val="00A31879"/>
    <w:rsid w:val="00A32E28"/>
    <w:rsid w:val="00A33C53"/>
    <w:rsid w:val="00A355C8"/>
    <w:rsid w:val="00A359B4"/>
    <w:rsid w:val="00A36861"/>
    <w:rsid w:val="00A42E4C"/>
    <w:rsid w:val="00A461CA"/>
    <w:rsid w:val="00A47024"/>
    <w:rsid w:val="00A47341"/>
    <w:rsid w:val="00A517E3"/>
    <w:rsid w:val="00A52225"/>
    <w:rsid w:val="00A5392B"/>
    <w:rsid w:val="00A556E9"/>
    <w:rsid w:val="00A56FB4"/>
    <w:rsid w:val="00A577E5"/>
    <w:rsid w:val="00A578A5"/>
    <w:rsid w:val="00A578BC"/>
    <w:rsid w:val="00A604E3"/>
    <w:rsid w:val="00A60BBA"/>
    <w:rsid w:val="00A616DA"/>
    <w:rsid w:val="00A62774"/>
    <w:rsid w:val="00A62C41"/>
    <w:rsid w:val="00A641F1"/>
    <w:rsid w:val="00A660C1"/>
    <w:rsid w:val="00A67B59"/>
    <w:rsid w:val="00A70BE6"/>
    <w:rsid w:val="00A717EA"/>
    <w:rsid w:val="00A72273"/>
    <w:rsid w:val="00A73656"/>
    <w:rsid w:val="00A73976"/>
    <w:rsid w:val="00A73EF9"/>
    <w:rsid w:val="00A81C64"/>
    <w:rsid w:val="00A8359E"/>
    <w:rsid w:val="00A8677C"/>
    <w:rsid w:val="00A86A10"/>
    <w:rsid w:val="00A8789D"/>
    <w:rsid w:val="00A93DFE"/>
    <w:rsid w:val="00A93FD4"/>
    <w:rsid w:val="00A9420B"/>
    <w:rsid w:val="00A94C83"/>
    <w:rsid w:val="00A959A0"/>
    <w:rsid w:val="00A96660"/>
    <w:rsid w:val="00A969AE"/>
    <w:rsid w:val="00A9776F"/>
    <w:rsid w:val="00AA13B4"/>
    <w:rsid w:val="00AA5237"/>
    <w:rsid w:val="00AA5512"/>
    <w:rsid w:val="00AA5847"/>
    <w:rsid w:val="00AA5CF2"/>
    <w:rsid w:val="00AA6953"/>
    <w:rsid w:val="00AA72DB"/>
    <w:rsid w:val="00AA75A4"/>
    <w:rsid w:val="00AB150C"/>
    <w:rsid w:val="00AB1EB1"/>
    <w:rsid w:val="00AB408A"/>
    <w:rsid w:val="00AB650C"/>
    <w:rsid w:val="00AB6CA3"/>
    <w:rsid w:val="00AC0FD3"/>
    <w:rsid w:val="00AC1A4F"/>
    <w:rsid w:val="00AC1FA5"/>
    <w:rsid w:val="00AC2122"/>
    <w:rsid w:val="00AC22E5"/>
    <w:rsid w:val="00AC3110"/>
    <w:rsid w:val="00AC38D3"/>
    <w:rsid w:val="00AC489D"/>
    <w:rsid w:val="00AC6C7C"/>
    <w:rsid w:val="00AD0114"/>
    <w:rsid w:val="00AD02CE"/>
    <w:rsid w:val="00AD080C"/>
    <w:rsid w:val="00AD0E75"/>
    <w:rsid w:val="00AD4DCD"/>
    <w:rsid w:val="00AD5F97"/>
    <w:rsid w:val="00AD6100"/>
    <w:rsid w:val="00AD75C5"/>
    <w:rsid w:val="00AD75D7"/>
    <w:rsid w:val="00AD7DCD"/>
    <w:rsid w:val="00AE0C91"/>
    <w:rsid w:val="00AE2034"/>
    <w:rsid w:val="00AE2341"/>
    <w:rsid w:val="00AE2D13"/>
    <w:rsid w:val="00AE3444"/>
    <w:rsid w:val="00AE3FBE"/>
    <w:rsid w:val="00AE5455"/>
    <w:rsid w:val="00AE563B"/>
    <w:rsid w:val="00AE5A72"/>
    <w:rsid w:val="00AE6A93"/>
    <w:rsid w:val="00AF328D"/>
    <w:rsid w:val="00AF3605"/>
    <w:rsid w:val="00AF4E4D"/>
    <w:rsid w:val="00AF566E"/>
    <w:rsid w:val="00AF56E4"/>
    <w:rsid w:val="00AF6973"/>
    <w:rsid w:val="00AF6A7A"/>
    <w:rsid w:val="00B00032"/>
    <w:rsid w:val="00B0336B"/>
    <w:rsid w:val="00B04AEE"/>
    <w:rsid w:val="00B04B2C"/>
    <w:rsid w:val="00B0616F"/>
    <w:rsid w:val="00B063D7"/>
    <w:rsid w:val="00B07390"/>
    <w:rsid w:val="00B07899"/>
    <w:rsid w:val="00B108F2"/>
    <w:rsid w:val="00B10CE1"/>
    <w:rsid w:val="00B11312"/>
    <w:rsid w:val="00B12C07"/>
    <w:rsid w:val="00B15244"/>
    <w:rsid w:val="00B169E5"/>
    <w:rsid w:val="00B16B01"/>
    <w:rsid w:val="00B1707A"/>
    <w:rsid w:val="00B17922"/>
    <w:rsid w:val="00B2060A"/>
    <w:rsid w:val="00B20D0A"/>
    <w:rsid w:val="00B2108D"/>
    <w:rsid w:val="00B21240"/>
    <w:rsid w:val="00B2147A"/>
    <w:rsid w:val="00B22115"/>
    <w:rsid w:val="00B2691F"/>
    <w:rsid w:val="00B31C5B"/>
    <w:rsid w:val="00B326AB"/>
    <w:rsid w:val="00B34288"/>
    <w:rsid w:val="00B34D82"/>
    <w:rsid w:val="00B3723B"/>
    <w:rsid w:val="00B37A42"/>
    <w:rsid w:val="00B425DD"/>
    <w:rsid w:val="00B439D5"/>
    <w:rsid w:val="00B449C3"/>
    <w:rsid w:val="00B44E86"/>
    <w:rsid w:val="00B450D0"/>
    <w:rsid w:val="00B465DF"/>
    <w:rsid w:val="00B46829"/>
    <w:rsid w:val="00B5150D"/>
    <w:rsid w:val="00B52378"/>
    <w:rsid w:val="00B55846"/>
    <w:rsid w:val="00B56DED"/>
    <w:rsid w:val="00B60AF3"/>
    <w:rsid w:val="00B640E4"/>
    <w:rsid w:val="00B67889"/>
    <w:rsid w:val="00B679FC"/>
    <w:rsid w:val="00B7063C"/>
    <w:rsid w:val="00B707A8"/>
    <w:rsid w:val="00B715AA"/>
    <w:rsid w:val="00B72DF3"/>
    <w:rsid w:val="00B749A3"/>
    <w:rsid w:val="00B749A8"/>
    <w:rsid w:val="00B76AD6"/>
    <w:rsid w:val="00B77A26"/>
    <w:rsid w:val="00B77E2D"/>
    <w:rsid w:val="00B81FFC"/>
    <w:rsid w:val="00B82C99"/>
    <w:rsid w:val="00B85180"/>
    <w:rsid w:val="00B851E7"/>
    <w:rsid w:val="00B8753B"/>
    <w:rsid w:val="00B9467A"/>
    <w:rsid w:val="00B95824"/>
    <w:rsid w:val="00B9687A"/>
    <w:rsid w:val="00B9694A"/>
    <w:rsid w:val="00BA15F1"/>
    <w:rsid w:val="00BA2620"/>
    <w:rsid w:val="00BA2D87"/>
    <w:rsid w:val="00BA2F25"/>
    <w:rsid w:val="00BA2FE4"/>
    <w:rsid w:val="00BA4EB3"/>
    <w:rsid w:val="00BA503C"/>
    <w:rsid w:val="00BA62F6"/>
    <w:rsid w:val="00BA6AE0"/>
    <w:rsid w:val="00BA7D56"/>
    <w:rsid w:val="00BB2258"/>
    <w:rsid w:val="00BB2707"/>
    <w:rsid w:val="00BB4095"/>
    <w:rsid w:val="00BB4A16"/>
    <w:rsid w:val="00BB4E67"/>
    <w:rsid w:val="00BB5088"/>
    <w:rsid w:val="00BB5381"/>
    <w:rsid w:val="00BB5A84"/>
    <w:rsid w:val="00BB61A4"/>
    <w:rsid w:val="00BB69EF"/>
    <w:rsid w:val="00BB7B4C"/>
    <w:rsid w:val="00BC0056"/>
    <w:rsid w:val="00BC04B9"/>
    <w:rsid w:val="00BC11C7"/>
    <w:rsid w:val="00BC32E7"/>
    <w:rsid w:val="00BC39D3"/>
    <w:rsid w:val="00BC4010"/>
    <w:rsid w:val="00BC5595"/>
    <w:rsid w:val="00BC680D"/>
    <w:rsid w:val="00BC7740"/>
    <w:rsid w:val="00BD0D54"/>
    <w:rsid w:val="00BD3B5A"/>
    <w:rsid w:val="00BD53CD"/>
    <w:rsid w:val="00BD5CDF"/>
    <w:rsid w:val="00BD5F3E"/>
    <w:rsid w:val="00BD6268"/>
    <w:rsid w:val="00BE0157"/>
    <w:rsid w:val="00BE33AE"/>
    <w:rsid w:val="00BE5994"/>
    <w:rsid w:val="00BE79BB"/>
    <w:rsid w:val="00BF0091"/>
    <w:rsid w:val="00BF060B"/>
    <w:rsid w:val="00BF10F7"/>
    <w:rsid w:val="00BF2796"/>
    <w:rsid w:val="00BF3ABC"/>
    <w:rsid w:val="00BF41D2"/>
    <w:rsid w:val="00BF4383"/>
    <w:rsid w:val="00BF6DBD"/>
    <w:rsid w:val="00C00746"/>
    <w:rsid w:val="00C0126D"/>
    <w:rsid w:val="00C0317F"/>
    <w:rsid w:val="00C04894"/>
    <w:rsid w:val="00C05DFE"/>
    <w:rsid w:val="00C067E6"/>
    <w:rsid w:val="00C06E02"/>
    <w:rsid w:val="00C07C54"/>
    <w:rsid w:val="00C1069D"/>
    <w:rsid w:val="00C1094D"/>
    <w:rsid w:val="00C11E4B"/>
    <w:rsid w:val="00C13772"/>
    <w:rsid w:val="00C1388B"/>
    <w:rsid w:val="00C14742"/>
    <w:rsid w:val="00C1485C"/>
    <w:rsid w:val="00C20929"/>
    <w:rsid w:val="00C213DC"/>
    <w:rsid w:val="00C22734"/>
    <w:rsid w:val="00C27B4C"/>
    <w:rsid w:val="00C32CFF"/>
    <w:rsid w:val="00C33445"/>
    <w:rsid w:val="00C3708E"/>
    <w:rsid w:val="00C370A6"/>
    <w:rsid w:val="00C40596"/>
    <w:rsid w:val="00C40BA7"/>
    <w:rsid w:val="00C43174"/>
    <w:rsid w:val="00C434A3"/>
    <w:rsid w:val="00C443C9"/>
    <w:rsid w:val="00C452A0"/>
    <w:rsid w:val="00C4552B"/>
    <w:rsid w:val="00C47B46"/>
    <w:rsid w:val="00C53B7D"/>
    <w:rsid w:val="00C55A45"/>
    <w:rsid w:val="00C55D12"/>
    <w:rsid w:val="00C56C32"/>
    <w:rsid w:val="00C5716B"/>
    <w:rsid w:val="00C576DE"/>
    <w:rsid w:val="00C640B2"/>
    <w:rsid w:val="00C6518A"/>
    <w:rsid w:val="00C70E70"/>
    <w:rsid w:val="00C71546"/>
    <w:rsid w:val="00C74D20"/>
    <w:rsid w:val="00C7519B"/>
    <w:rsid w:val="00C75929"/>
    <w:rsid w:val="00C764D7"/>
    <w:rsid w:val="00C7692B"/>
    <w:rsid w:val="00C769BD"/>
    <w:rsid w:val="00C77B8C"/>
    <w:rsid w:val="00C84D22"/>
    <w:rsid w:val="00C85323"/>
    <w:rsid w:val="00C87694"/>
    <w:rsid w:val="00C90AF6"/>
    <w:rsid w:val="00C91413"/>
    <w:rsid w:val="00C91495"/>
    <w:rsid w:val="00C92B8D"/>
    <w:rsid w:val="00C936A7"/>
    <w:rsid w:val="00C93E9D"/>
    <w:rsid w:val="00C94CD4"/>
    <w:rsid w:val="00C95906"/>
    <w:rsid w:val="00CA15BE"/>
    <w:rsid w:val="00CA2123"/>
    <w:rsid w:val="00CA3808"/>
    <w:rsid w:val="00CA5C38"/>
    <w:rsid w:val="00CA5CD2"/>
    <w:rsid w:val="00CB1963"/>
    <w:rsid w:val="00CB25D1"/>
    <w:rsid w:val="00CB3E38"/>
    <w:rsid w:val="00CB4E59"/>
    <w:rsid w:val="00CB7299"/>
    <w:rsid w:val="00CB7E7C"/>
    <w:rsid w:val="00CC5025"/>
    <w:rsid w:val="00CC577A"/>
    <w:rsid w:val="00CC5E7E"/>
    <w:rsid w:val="00CD028C"/>
    <w:rsid w:val="00CD298D"/>
    <w:rsid w:val="00CD6A66"/>
    <w:rsid w:val="00CD7BAE"/>
    <w:rsid w:val="00CE17FA"/>
    <w:rsid w:val="00CE3F3C"/>
    <w:rsid w:val="00CE43C1"/>
    <w:rsid w:val="00CE5640"/>
    <w:rsid w:val="00CE7BF1"/>
    <w:rsid w:val="00CF2DD8"/>
    <w:rsid w:val="00CF4D6D"/>
    <w:rsid w:val="00CF5394"/>
    <w:rsid w:val="00D00A18"/>
    <w:rsid w:val="00D00E59"/>
    <w:rsid w:val="00D013AA"/>
    <w:rsid w:val="00D0203E"/>
    <w:rsid w:val="00D02E02"/>
    <w:rsid w:val="00D05358"/>
    <w:rsid w:val="00D05CCF"/>
    <w:rsid w:val="00D06A5A"/>
    <w:rsid w:val="00D07463"/>
    <w:rsid w:val="00D1140D"/>
    <w:rsid w:val="00D1248B"/>
    <w:rsid w:val="00D137C7"/>
    <w:rsid w:val="00D158B1"/>
    <w:rsid w:val="00D177BF"/>
    <w:rsid w:val="00D207BD"/>
    <w:rsid w:val="00D23734"/>
    <w:rsid w:val="00D27D34"/>
    <w:rsid w:val="00D3056D"/>
    <w:rsid w:val="00D31A41"/>
    <w:rsid w:val="00D31D9B"/>
    <w:rsid w:val="00D31DD7"/>
    <w:rsid w:val="00D32287"/>
    <w:rsid w:val="00D36700"/>
    <w:rsid w:val="00D377B4"/>
    <w:rsid w:val="00D40275"/>
    <w:rsid w:val="00D4064D"/>
    <w:rsid w:val="00D40B1D"/>
    <w:rsid w:val="00D4385B"/>
    <w:rsid w:val="00D46309"/>
    <w:rsid w:val="00D47DD8"/>
    <w:rsid w:val="00D5108B"/>
    <w:rsid w:val="00D510F7"/>
    <w:rsid w:val="00D51CEC"/>
    <w:rsid w:val="00D5595C"/>
    <w:rsid w:val="00D568B8"/>
    <w:rsid w:val="00D56E7B"/>
    <w:rsid w:val="00D575EA"/>
    <w:rsid w:val="00D57901"/>
    <w:rsid w:val="00D57AD8"/>
    <w:rsid w:val="00D608EE"/>
    <w:rsid w:val="00D60C3C"/>
    <w:rsid w:val="00D623F1"/>
    <w:rsid w:val="00D66635"/>
    <w:rsid w:val="00D66790"/>
    <w:rsid w:val="00D66E59"/>
    <w:rsid w:val="00D679E8"/>
    <w:rsid w:val="00D71647"/>
    <w:rsid w:val="00D728B4"/>
    <w:rsid w:val="00D740FC"/>
    <w:rsid w:val="00D744F3"/>
    <w:rsid w:val="00D74F94"/>
    <w:rsid w:val="00D751E6"/>
    <w:rsid w:val="00D814BF"/>
    <w:rsid w:val="00D815CD"/>
    <w:rsid w:val="00D82AB0"/>
    <w:rsid w:val="00D82EDE"/>
    <w:rsid w:val="00D83DC4"/>
    <w:rsid w:val="00D83EB3"/>
    <w:rsid w:val="00D84058"/>
    <w:rsid w:val="00D8506F"/>
    <w:rsid w:val="00D86016"/>
    <w:rsid w:val="00D900C3"/>
    <w:rsid w:val="00D9071D"/>
    <w:rsid w:val="00D909D1"/>
    <w:rsid w:val="00D9380A"/>
    <w:rsid w:val="00D95835"/>
    <w:rsid w:val="00D95CFA"/>
    <w:rsid w:val="00D96912"/>
    <w:rsid w:val="00D977B3"/>
    <w:rsid w:val="00DA0FFF"/>
    <w:rsid w:val="00DA195E"/>
    <w:rsid w:val="00DA1B72"/>
    <w:rsid w:val="00DA4C5F"/>
    <w:rsid w:val="00DA4D10"/>
    <w:rsid w:val="00DB1013"/>
    <w:rsid w:val="00DB39D9"/>
    <w:rsid w:val="00DB4120"/>
    <w:rsid w:val="00DB4509"/>
    <w:rsid w:val="00DB49C4"/>
    <w:rsid w:val="00DB59B3"/>
    <w:rsid w:val="00DB5CB9"/>
    <w:rsid w:val="00DB7738"/>
    <w:rsid w:val="00DC1B45"/>
    <w:rsid w:val="00DC29D4"/>
    <w:rsid w:val="00DC4ED7"/>
    <w:rsid w:val="00DD0C37"/>
    <w:rsid w:val="00DD0FE0"/>
    <w:rsid w:val="00DD11E7"/>
    <w:rsid w:val="00DD22CB"/>
    <w:rsid w:val="00DD2826"/>
    <w:rsid w:val="00DD480A"/>
    <w:rsid w:val="00DE2813"/>
    <w:rsid w:val="00DE2883"/>
    <w:rsid w:val="00DE4ADE"/>
    <w:rsid w:val="00DE716F"/>
    <w:rsid w:val="00DF1E5D"/>
    <w:rsid w:val="00DF3951"/>
    <w:rsid w:val="00DF47C6"/>
    <w:rsid w:val="00DF6A04"/>
    <w:rsid w:val="00DF7B4E"/>
    <w:rsid w:val="00E00D9D"/>
    <w:rsid w:val="00E02752"/>
    <w:rsid w:val="00E02A8B"/>
    <w:rsid w:val="00E03E7E"/>
    <w:rsid w:val="00E10844"/>
    <w:rsid w:val="00E12AF5"/>
    <w:rsid w:val="00E12FDF"/>
    <w:rsid w:val="00E17EA9"/>
    <w:rsid w:val="00E226B8"/>
    <w:rsid w:val="00E23A22"/>
    <w:rsid w:val="00E253A6"/>
    <w:rsid w:val="00E26530"/>
    <w:rsid w:val="00E26C4E"/>
    <w:rsid w:val="00E270AB"/>
    <w:rsid w:val="00E2782B"/>
    <w:rsid w:val="00E27A32"/>
    <w:rsid w:val="00E300A4"/>
    <w:rsid w:val="00E308C8"/>
    <w:rsid w:val="00E309CA"/>
    <w:rsid w:val="00E32FF8"/>
    <w:rsid w:val="00E3301D"/>
    <w:rsid w:val="00E339D6"/>
    <w:rsid w:val="00E3507C"/>
    <w:rsid w:val="00E35E10"/>
    <w:rsid w:val="00E4055F"/>
    <w:rsid w:val="00E41356"/>
    <w:rsid w:val="00E442DB"/>
    <w:rsid w:val="00E44B5C"/>
    <w:rsid w:val="00E44F71"/>
    <w:rsid w:val="00E47E82"/>
    <w:rsid w:val="00E51263"/>
    <w:rsid w:val="00E5244E"/>
    <w:rsid w:val="00E52EAC"/>
    <w:rsid w:val="00E64023"/>
    <w:rsid w:val="00E6480E"/>
    <w:rsid w:val="00E6538F"/>
    <w:rsid w:val="00E6608A"/>
    <w:rsid w:val="00E664C0"/>
    <w:rsid w:val="00E739B9"/>
    <w:rsid w:val="00E74E38"/>
    <w:rsid w:val="00E8233C"/>
    <w:rsid w:val="00E83D21"/>
    <w:rsid w:val="00E83DF7"/>
    <w:rsid w:val="00E8424C"/>
    <w:rsid w:val="00E87E6B"/>
    <w:rsid w:val="00E908A6"/>
    <w:rsid w:val="00E90F53"/>
    <w:rsid w:val="00E91540"/>
    <w:rsid w:val="00E91A4C"/>
    <w:rsid w:val="00E939CF"/>
    <w:rsid w:val="00E94976"/>
    <w:rsid w:val="00E95727"/>
    <w:rsid w:val="00E97BAE"/>
    <w:rsid w:val="00EA0394"/>
    <w:rsid w:val="00EA3A43"/>
    <w:rsid w:val="00EA5995"/>
    <w:rsid w:val="00EA5E88"/>
    <w:rsid w:val="00EA6970"/>
    <w:rsid w:val="00EB1592"/>
    <w:rsid w:val="00EB360F"/>
    <w:rsid w:val="00EB5181"/>
    <w:rsid w:val="00EB5961"/>
    <w:rsid w:val="00EB647C"/>
    <w:rsid w:val="00EB6804"/>
    <w:rsid w:val="00EB6828"/>
    <w:rsid w:val="00EB7537"/>
    <w:rsid w:val="00ED09AC"/>
    <w:rsid w:val="00ED10AD"/>
    <w:rsid w:val="00ED2C3F"/>
    <w:rsid w:val="00ED3DA2"/>
    <w:rsid w:val="00ED584C"/>
    <w:rsid w:val="00ED58D0"/>
    <w:rsid w:val="00EE563F"/>
    <w:rsid w:val="00EF3D27"/>
    <w:rsid w:val="00EF461E"/>
    <w:rsid w:val="00EF560E"/>
    <w:rsid w:val="00EF7497"/>
    <w:rsid w:val="00F01709"/>
    <w:rsid w:val="00F027A9"/>
    <w:rsid w:val="00F02804"/>
    <w:rsid w:val="00F066F0"/>
    <w:rsid w:val="00F11C1E"/>
    <w:rsid w:val="00F1233A"/>
    <w:rsid w:val="00F139CE"/>
    <w:rsid w:val="00F16CDB"/>
    <w:rsid w:val="00F17412"/>
    <w:rsid w:val="00F17B2A"/>
    <w:rsid w:val="00F23792"/>
    <w:rsid w:val="00F2444A"/>
    <w:rsid w:val="00F25A47"/>
    <w:rsid w:val="00F26E29"/>
    <w:rsid w:val="00F30CA6"/>
    <w:rsid w:val="00F3590C"/>
    <w:rsid w:val="00F36C06"/>
    <w:rsid w:val="00F3762F"/>
    <w:rsid w:val="00F37FC3"/>
    <w:rsid w:val="00F40E51"/>
    <w:rsid w:val="00F41213"/>
    <w:rsid w:val="00F41D01"/>
    <w:rsid w:val="00F43D6E"/>
    <w:rsid w:val="00F4610C"/>
    <w:rsid w:val="00F4741A"/>
    <w:rsid w:val="00F507FF"/>
    <w:rsid w:val="00F5131E"/>
    <w:rsid w:val="00F531F1"/>
    <w:rsid w:val="00F566D9"/>
    <w:rsid w:val="00F57913"/>
    <w:rsid w:val="00F61730"/>
    <w:rsid w:val="00F639C4"/>
    <w:rsid w:val="00F65DC4"/>
    <w:rsid w:val="00F65FFC"/>
    <w:rsid w:val="00F67E05"/>
    <w:rsid w:val="00F70473"/>
    <w:rsid w:val="00F71230"/>
    <w:rsid w:val="00F713A9"/>
    <w:rsid w:val="00F71C82"/>
    <w:rsid w:val="00F75680"/>
    <w:rsid w:val="00F75BB9"/>
    <w:rsid w:val="00F76C08"/>
    <w:rsid w:val="00F81DFB"/>
    <w:rsid w:val="00F83061"/>
    <w:rsid w:val="00F841FB"/>
    <w:rsid w:val="00F84727"/>
    <w:rsid w:val="00F867DE"/>
    <w:rsid w:val="00F87012"/>
    <w:rsid w:val="00F879EC"/>
    <w:rsid w:val="00F92236"/>
    <w:rsid w:val="00F927AC"/>
    <w:rsid w:val="00F9292D"/>
    <w:rsid w:val="00F930F7"/>
    <w:rsid w:val="00F950D5"/>
    <w:rsid w:val="00F959AB"/>
    <w:rsid w:val="00FA06AE"/>
    <w:rsid w:val="00FA2802"/>
    <w:rsid w:val="00FA3901"/>
    <w:rsid w:val="00FA4C03"/>
    <w:rsid w:val="00FB17FA"/>
    <w:rsid w:val="00FB2A83"/>
    <w:rsid w:val="00FB2D15"/>
    <w:rsid w:val="00FB3194"/>
    <w:rsid w:val="00FB3F76"/>
    <w:rsid w:val="00FB6C03"/>
    <w:rsid w:val="00FB6E68"/>
    <w:rsid w:val="00FB7B41"/>
    <w:rsid w:val="00FC2498"/>
    <w:rsid w:val="00FC32EB"/>
    <w:rsid w:val="00FC40FA"/>
    <w:rsid w:val="00FC60F7"/>
    <w:rsid w:val="00FC7E6A"/>
    <w:rsid w:val="00FC7E88"/>
    <w:rsid w:val="00FD1065"/>
    <w:rsid w:val="00FD2041"/>
    <w:rsid w:val="00FD2D46"/>
    <w:rsid w:val="00FD4CAA"/>
    <w:rsid w:val="00FD5958"/>
    <w:rsid w:val="00FD59F6"/>
    <w:rsid w:val="00FD5EC8"/>
    <w:rsid w:val="00FD60EF"/>
    <w:rsid w:val="00FE10A4"/>
    <w:rsid w:val="00FE2333"/>
    <w:rsid w:val="00FE3737"/>
    <w:rsid w:val="00FE3F69"/>
    <w:rsid w:val="00FE42C2"/>
    <w:rsid w:val="00FE6578"/>
    <w:rsid w:val="00FE6A80"/>
    <w:rsid w:val="00FE6DD9"/>
    <w:rsid w:val="00FF056E"/>
    <w:rsid w:val="00FF0911"/>
    <w:rsid w:val="00FF2D14"/>
    <w:rsid w:val="00FF6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76EDFB5-56C5-415E-96F9-6E8DAF887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7091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A8359E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A8359E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A8359E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4693"/>
    <w:pPr>
      <w:keepNext/>
      <w:spacing w:line="720" w:lineRule="atLeast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A8359E"/>
    <w:pPr>
      <w:tabs>
        <w:tab w:val="right" w:leader="hyphen" w:pos="8490"/>
      </w:tabs>
      <w:ind w:leftChars="0" w:left="487" w:hangingChars="200" w:hanging="487"/>
    </w:pPr>
    <w:rPr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7013A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  <w:szCs w:val="24"/>
    </w:rPr>
  </w:style>
  <w:style w:type="character" w:customStyle="1" w:styleId="af">
    <w:name w:val="頁首 字元"/>
    <w:link w:val="ae"/>
    <w:rsid w:val="005C6767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locked/>
    <w:rsid w:val="003A22D1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第二層(14號字) 字元"/>
    <w:rsid w:val="007B426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230">
    <w:name w:val="1.2.3. 字元"/>
    <w:link w:val="123"/>
    <w:rsid w:val="007B4265"/>
    <w:rPr>
      <w:rFonts w:ascii="標楷體" w:eastAsia="標楷體"/>
      <w:snapToGrid w:val="0"/>
      <w:kern w:val="2"/>
      <w:sz w:val="28"/>
      <w:szCs w:val="28"/>
    </w:rPr>
  </w:style>
  <w:style w:type="paragraph" w:styleId="31">
    <w:name w:val="toc 3"/>
    <w:basedOn w:val="a"/>
    <w:next w:val="a"/>
    <w:autoRedefine/>
    <w:semiHidden/>
    <w:rsid w:val="007B4265"/>
    <w:pPr>
      <w:ind w:leftChars="400" w:left="960"/>
    </w:pPr>
  </w:style>
  <w:style w:type="paragraph" w:styleId="41">
    <w:name w:val="toc 4"/>
    <w:basedOn w:val="a"/>
    <w:next w:val="a"/>
    <w:autoRedefine/>
    <w:semiHidden/>
    <w:rsid w:val="007B4265"/>
    <w:pPr>
      <w:ind w:leftChars="600" w:left="1440"/>
    </w:pPr>
  </w:style>
  <w:style w:type="paragraph" w:styleId="5">
    <w:name w:val="toc 5"/>
    <w:basedOn w:val="a"/>
    <w:next w:val="a"/>
    <w:autoRedefine/>
    <w:semiHidden/>
    <w:rsid w:val="007B4265"/>
    <w:pPr>
      <w:ind w:leftChars="800" w:left="1920"/>
    </w:pPr>
  </w:style>
  <w:style w:type="paragraph" w:styleId="6">
    <w:name w:val="toc 6"/>
    <w:basedOn w:val="a"/>
    <w:next w:val="a"/>
    <w:autoRedefine/>
    <w:semiHidden/>
    <w:rsid w:val="007B4265"/>
    <w:pPr>
      <w:ind w:leftChars="1000" w:left="2400"/>
    </w:pPr>
  </w:style>
  <w:style w:type="paragraph" w:styleId="7">
    <w:name w:val="toc 7"/>
    <w:basedOn w:val="a"/>
    <w:next w:val="a"/>
    <w:autoRedefine/>
    <w:semiHidden/>
    <w:rsid w:val="007B4265"/>
    <w:pPr>
      <w:ind w:leftChars="1200" w:left="2880"/>
    </w:pPr>
  </w:style>
  <w:style w:type="paragraph" w:styleId="8">
    <w:name w:val="toc 8"/>
    <w:basedOn w:val="a"/>
    <w:next w:val="a"/>
    <w:autoRedefine/>
    <w:semiHidden/>
    <w:rsid w:val="007B4265"/>
    <w:pPr>
      <w:ind w:leftChars="1400" w:left="3360"/>
    </w:pPr>
  </w:style>
  <w:style w:type="paragraph" w:styleId="9">
    <w:name w:val="toc 9"/>
    <w:basedOn w:val="a"/>
    <w:next w:val="a"/>
    <w:autoRedefine/>
    <w:semiHidden/>
    <w:rsid w:val="007B4265"/>
    <w:pPr>
      <w:ind w:leftChars="1600" w:left="3840"/>
    </w:pPr>
  </w:style>
  <w:style w:type="paragraph" w:styleId="af2">
    <w:name w:val="Balloon Text"/>
    <w:basedOn w:val="a"/>
    <w:link w:val="af3"/>
    <w:semiHidden/>
    <w:rsid w:val="007B4265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semiHidden/>
    <w:rsid w:val="007B4265"/>
    <w:rPr>
      <w:rFonts w:ascii="Arial" w:hAnsi="Arial"/>
      <w:snapToGrid w:val="0"/>
      <w:kern w:val="2"/>
      <w:sz w:val="18"/>
      <w:szCs w:val="18"/>
    </w:rPr>
  </w:style>
  <w:style w:type="table" w:styleId="af4">
    <w:name w:val="Table Grid"/>
    <w:basedOn w:val="a1"/>
    <w:uiPriority w:val="59"/>
    <w:rsid w:val="007B426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uiPriority w:val="99"/>
    <w:unhideWhenUsed/>
    <w:rsid w:val="007B4265"/>
    <w:rPr>
      <w:color w:val="0000FF"/>
      <w:u w:val="single"/>
    </w:rPr>
  </w:style>
  <w:style w:type="character" w:customStyle="1" w:styleId="af6">
    <w:name w:val="(一)(二)(三) 字元 字元"/>
    <w:rsid w:val="007B426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7">
    <w:name w:val="字元 字元 字元 字元 字元 字元 字元 字元 字元 字元 字元 字元 字元 字元 字元"/>
    <w:basedOn w:val="a"/>
    <w:semiHidden/>
    <w:rsid w:val="007B4265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8">
    <w:name w:val="page number"/>
    <w:rsid w:val="007B4265"/>
  </w:style>
  <w:style w:type="paragraph" w:customStyle="1" w:styleId="24">
    <w:name w:val="字元 字元2 字元 字元 字元"/>
    <w:basedOn w:val="a"/>
    <w:semiHidden/>
    <w:rsid w:val="007B426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c">
    <w:name w:val="姓名及分機 字元"/>
    <w:link w:val="ab"/>
    <w:rsid w:val="007B4265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字元 字元"/>
    <w:basedOn w:val="a"/>
    <w:rsid w:val="007B426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nhideWhenUsed/>
    <w:rsid w:val="007B4265"/>
    <w:pPr>
      <w:snapToGrid w:val="0"/>
      <w:jc w:val="left"/>
    </w:pPr>
    <w:rPr>
      <w:sz w:val="20"/>
      <w:szCs w:val="20"/>
    </w:rPr>
  </w:style>
  <w:style w:type="character" w:customStyle="1" w:styleId="afb">
    <w:name w:val="註腳文字 字元"/>
    <w:link w:val="afa"/>
    <w:rsid w:val="007B4265"/>
    <w:rPr>
      <w:rFonts w:ascii="標楷體" w:eastAsia="標楷體"/>
      <w:snapToGrid w:val="0"/>
      <w:kern w:val="2"/>
    </w:rPr>
  </w:style>
  <w:style w:type="character" w:styleId="afc">
    <w:name w:val="footnote reference"/>
    <w:aliases w:val="FR,Ref,de nota al pie,註腳內容,Error-Fußnotenzeichen5,Error-Fußnotenzeichen6,Error-Fußnotenzeichen3"/>
    <w:uiPriority w:val="99"/>
    <w:unhideWhenUsed/>
    <w:rsid w:val="007B4265"/>
    <w:rPr>
      <w:vertAlign w:val="superscript"/>
    </w:rPr>
  </w:style>
  <w:style w:type="character" w:customStyle="1" w:styleId="25">
    <w:name w:val="(一)(二)(三) 字元2"/>
    <w:rsid w:val="007B426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0">
    <w:name w:val="字元 字元5"/>
    <w:basedOn w:val="a"/>
    <w:semiHidden/>
    <w:rsid w:val="007B426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2">
    <w:name w:val="字元 字元4 字元"/>
    <w:basedOn w:val="a"/>
    <w:semiHidden/>
    <w:rsid w:val="007B426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7B4265"/>
    <w:rPr>
      <w:rFonts w:ascii="標楷體" w:eastAsia="標楷體"/>
      <w:snapToGrid w:val="0"/>
      <w:kern w:val="2"/>
      <w:sz w:val="24"/>
      <w:szCs w:val="28"/>
    </w:rPr>
  </w:style>
  <w:style w:type="character" w:customStyle="1" w:styleId="10">
    <w:name w:val="標題 1 字元"/>
    <w:link w:val="1"/>
    <w:rsid w:val="00A8359E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A8359E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A8359E"/>
    <w:rPr>
      <w:rFonts w:ascii="Arial" w:hAnsi="Arial"/>
      <w:b/>
      <w:bCs/>
      <w:snapToGrid w:val="0"/>
      <w:kern w:val="2"/>
      <w:sz w:val="36"/>
      <w:szCs w:val="36"/>
    </w:rPr>
  </w:style>
  <w:style w:type="character" w:styleId="afd">
    <w:name w:val="line number"/>
    <w:rsid w:val="00A8359E"/>
  </w:style>
  <w:style w:type="paragraph" w:styleId="afe">
    <w:name w:val="Body Text"/>
    <w:basedOn w:val="a"/>
    <w:link w:val="aff"/>
    <w:rsid w:val="00A8359E"/>
    <w:pPr>
      <w:adjustRightInd w:val="0"/>
      <w:spacing w:line="240" w:lineRule="auto"/>
      <w:ind w:leftChars="0" w:left="0" w:firstLineChars="0" w:firstLine="0"/>
      <w:textAlignment w:val="baseline"/>
    </w:pPr>
    <w:rPr>
      <w:rFonts w:ascii="Times New Roman"/>
      <w:snapToGrid/>
      <w:sz w:val="32"/>
      <w:szCs w:val="20"/>
    </w:rPr>
  </w:style>
  <w:style w:type="character" w:customStyle="1" w:styleId="aff">
    <w:name w:val="本文 字元"/>
    <w:link w:val="afe"/>
    <w:rsid w:val="00A8359E"/>
    <w:rPr>
      <w:rFonts w:eastAsia="標楷體"/>
      <w:kern w:val="2"/>
      <w:sz w:val="32"/>
    </w:rPr>
  </w:style>
  <w:style w:type="paragraph" w:styleId="HTML">
    <w:name w:val="HTML Preformatted"/>
    <w:basedOn w:val="a"/>
    <w:link w:val="HTML0"/>
    <w:rsid w:val="00A8359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rsid w:val="00A8359E"/>
    <w:rPr>
      <w:rFonts w:ascii="細明體" w:eastAsia="細明體" w:hAnsi="Courier New"/>
      <w:color w:val="000000"/>
      <w:sz w:val="24"/>
      <w:szCs w:val="24"/>
    </w:rPr>
  </w:style>
  <w:style w:type="paragraph" w:customStyle="1" w:styleId="Logo">
    <w:name w:val="Logo"/>
    <w:basedOn w:val="a"/>
    <w:rsid w:val="00A8359E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13">
    <w:name w:val="字元 字元1"/>
    <w:basedOn w:val="a"/>
    <w:rsid w:val="00A8359E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"/>
    <w:rsid w:val="00A835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customStyle="1" w:styleId="15">
    <w:name w:val="表格格線1"/>
    <w:basedOn w:val="a1"/>
    <w:next w:val="af4"/>
    <w:uiPriority w:val="59"/>
    <w:rsid w:val="00A83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4"/>
    <w:uiPriority w:val="59"/>
    <w:rsid w:val="000F02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0">
    <w:name w:val="字元"/>
    <w:basedOn w:val="a"/>
    <w:semiHidden/>
    <w:rsid w:val="003A448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1">
    <w:name w:val="No Spacing"/>
    <w:link w:val="aff2"/>
    <w:uiPriority w:val="1"/>
    <w:qFormat/>
    <w:rsid w:val="0070376C"/>
    <w:rPr>
      <w:rFonts w:ascii="Calibri" w:hAnsi="Calibri"/>
      <w:sz w:val="22"/>
      <w:szCs w:val="22"/>
    </w:rPr>
  </w:style>
  <w:style w:type="character" w:customStyle="1" w:styleId="aff2">
    <w:name w:val="無間距 字元"/>
    <w:link w:val="aff1"/>
    <w:uiPriority w:val="1"/>
    <w:rsid w:val="0070376C"/>
    <w:rPr>
      <w:rFonts w:ascii="Calibri" w:hAnsi="Calibri"/>
      <w:sz w:val="22"/>
      <w:szCs w:val="22"/>
    </w:rPr>
  </w:style>
  <w:style w:type="paragraph" w:customStyle="1" w:styleId="147">
    <w:name w:val="註腳(表格內文14行高左右齊)"/>
    <w:basedOn w:val="142"/>
    <w:qFormat/>
    <w:rsid w:val="00904607"/>
    <w:pPr>
      <w:wordWrap w:val="0"/>
      <w:ind w:leftChars="-15" w:left="153" w:hangingChars="80" w:hanging="195"/>
      <w:jc w:val="both"/>
    </w:pPr>
  </w:style>
  <w:style w:type="character" w:styleId="aff3">
    <w:name w:val="Emphasis"/>
    <w:uiPriority w:val="20"/>
    <w:qFormat/>
    <w:rsid w:val="008A48DF"/>
    <w:rPr>
      <w:i/>
      <w:iCs/>
    </w:rPr>
  </w:style>
  <w:style w:type="character" w:customStyle="1" w:styleId="40">
    <w:name w:val="標題 4 字元"/>
    <w:basedOn w:val="a0"/>
    <w:link w:val="4"/>
    <w:uiPriority w:val="9"/>
    <w:semiHidden/>
    <w:rsid w:val="00754693"/>
    <w:rPr>
      <w:rFonts w:asciiTheme="majorHAnsi" w:eastAsiaTheme="majorEastAsia" w:hAnsiTheme="majorHAnsi" w:cstheme="majorBidi"/>
      <w:snapToGrid w:val="0"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33A70-89E3-4F00-9648-0B9B40833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4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Links>
    <vt:vector size="30" baseType="variant">
      <vt:variant>
        <vt:i4>1310776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_Toc149738380</vt:lpwstr>
      </vt:variant>
      <vt:variant>
        <vt:i4>1769528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_Toc149738379</vt:lpwstr>
      </vt:variant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_Toc149738378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_Toc149738377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_Toc149738376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2024-11-07T11:41:00Z</cp:lastPrinted>
  <dcterms:created xsi:type="dcterms:W3CDTF">2024-11-19T01:47:00Z</dcterms:created>
  <dcterms:modified xsi:type="dcterms:W3CDTF">2024-11-19T01:47:00Z</dcterms:modified>
</cp:coreProperties>
</file>