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265" w:rsidRPr="00E10844" w:rsidRDefault="00A8359E" w:rsidP="00660AF4">
      <w:pPr>
        <w:pStyle w:val="aa"/>
        <w:rPr>
          <w:rFonts w:hAnsi="標楷體"/>
          <w:b w:val="0"/>
          <w:sz w:val="24"/>
          <w:szCs w:val="24"/>
        </w:rPr>
      </w:pPr>
      <w:bookmarkStart w:id="0" w:name="_GoBack"/>
      <w:bookmarkEnd w:id="0"/>
      <w:r w:rsidRPr="00E10844">
        <w:rPr>
          <w:rFonts w:hAnsi="標楷體"/>
        </w:rPr>
        <w:t>臺銀綜合證</w:t>
      </w:r>
      <w:r w:rsidR="00BC680D" w:rsidRPr="00E10844">
        <w:rPr>
          <w:rFonts w:hAnsi="標楷體"/>
        </w:rPr>
        <w:t>券</w:t>
      </w:r>
      <w:r w:rsidRPr="00E10844">
        <w:rPr>
          <w:rFonts w:hAnsi="標楷體"/>
        </w:rPr>
        <w:t>股份有限公司</w:t>
      </w:r>
      <w:r w:rsidR="005B2893">
        <w:rPr>
          <w:rFonts w:hAnsi="標楷體"/>
        </w:rPr>
        <w:t>11</w:t>
      </w:r>
      <w:r w:rsidR="00E12FDF">
        <w:rPr>
          <w:rFonts w:hAnsi="標楷體" w:hint="eastAsia"/>
        </w:rPr>
        <w:t>4</w:t>
      </w:r>
      <w:r w:rsidR="00904607" w:rsidRPr="00E10844">
        <w:rPr>
          <w:rFonts w:hAnsi="標楷體"/>
        </w:rPr>
        <w:t>年度</w:t>
      </w:r>
      <w:r w:rsidRPr="00E10844">
        <w:rPr>
          <w:rFonts w:hAnsi="標楷體"/>
        </w:rPr>
        <w:t>營業預算評估報告</w:t>
      </w:r>
      <w:r w:rsidR="007B4265" w:rsidRPr="00E10844">
        <w:rPr>
          <w:rFonts w:hAnsi="標楷體"/>
        </w:rPr>
        <w:t xml:space="preserve">目錄                          </w:t>
      </w:r>
      <w:r w:rsidR="00660AF4">
        <w:rPr>
          <w:rFonts w:hAnsi="標楷體" w:hint="eastAsia"/>
        </w:rPr>
        <w:t xml:space="preserve">   </w:t>
      </w:r>
      <w:r w:rsidR="007B4265" w:rsidRPr="00E10844">
        <w:rPr>
          <w:rFonts w:hAnsi="標楷體"/>
          <w:sz w:val="24"/>
          <w:szCs w:val="24"/>
        </w:rPr>
        <w:t xml:space="preserve">              </w:t>
      </w:r>
      <w:r w:rsidR="007B4265" w:rsidRPr="00660AF4">
        <w:rPr>
          <w:rFonts w:hAnsi="標楷體"/>
          <w:sz w:val="24"/>
          <w:szCs w:val="24"/>
        </w:rPr>
        <w:t>頁次</w:t>
      </w:r>
    </w:p>
    <w:p w:rsidR="00D5108B" w:rsidRDefault="007B4265">
      <w:pPr>
        <w:pStyle w:val="23"/>
        <w:ind w:left="487" w:hanging="487"/>
        <w:rPr>
          <w:rFonts w:asciiTheme="minorHAnsi" w:eastAsiaTheme="minorEastAsia" w:hAnsiTheme="minorHAnsi" w:cstheme="minorBidi"/>
          <w:snapToGrid/>
          <w:szCs w:val="22"/>
        </w:rPr>
      </w:pPr>
      <w:r w:rsidRPr="00E10844">
        <w:rPr>
          <w:rFonts w:hAnsi="標楷體"/>
          <w:b/>
          <w:color w:val="FF0000"/>
          <w:kern w:val="0"/>
        </w:rPr>
        <w:fldChar w:fldCharType="begin"/>
      </w:r>
      <w:r w:rsidRPr="00E10844">
        <w:rPr>
          <w:rFonts w:hAnsi="標楷體"/>
          <w:b/>
          <w:color w:val="FF0000"/>
          <w:kern w:val="0"/>
        </w:rPr>
        <w:instrText xml:space="preserve"> TOC \o "1-2" \h \z \t "第二層(14號字),2,第一層(14號字),1" </w:instrText>
      </w:r>
      <w:r w:rsidRPr="00E10844">
        <w:rPr>
          <w:rFonts w:hAnsi="標楷體"/>
          <w:b/>
          <w:color w:val="FF0000"/>
          <w:kern w:val="0"/>
        </w:rPr>
        <w:fldChar w:fldCharType="separate"/>
      </w:r>
      <w:hyperlink w:anchor="_Toc181900903" w:history="1">
        <w:r w:rsidR="00D5108B" w:rsidRPr="00E10A2F">
          <w:rPr>
            <w:rStyle w:val="af5"/>
            <w:rFonts w:hAnsi="標楷體" w:hint="eastAsia"/>
          </w:rPr>
          <w:t>一、近</w:t>
        </w:r>
        <w:r w:rsidR="00D5108B" w:rsidRPr="00E10A2F">
          <w:rPr>
            <w:rStyle w:val="af5"/>
            <w:rFonts w:hAnsi="標楷體"/>
          </w:rPr>
          <w:t>5</w:t>
        </w:r>
        <w:r w:rsidR="00D5108B" w:rsidRPr="00E10A2F">
          <w:rPr>
            <w:rStyle w:val="af5"/>
            <w:rFonts w:hAnsi="標楷體" w:hint="eastAsia"/>
          </w:rPr>
          <w:t>年度證券經紀業務市占率概呈下滑，市場排名亦呈落後，允宜持續檢討改進</w:t>
        </w:r>
        <w:r w:rsidR="00D5108B">
          <w:rPr>
            <w:webHidden/>
          </w:rPr>
          <w:tab/>
        </w:r>
        <w:r w:rsidR="00D5108B">
          <w:rPr>
            <w:webHidden/>
          </w:rPr>
          <w:fldChar w:fldCharType="begin"/>
        </w:r>
        <w:r w:rsidR="00D5108B">
          <w:rPr>
            <w:webHidden/>
          </w:rPr>
          <w:instrText xml:space="preserve"> PAGEREF _Toc181900903 \h </w:instrText>
        </w:r>
        <w:r w:rsidR="00D5108B">
          <w:rPr>
            <w:webHidden/>
          </w:rPr>
        </w:r>
        <w:r w:rsidR="00D5108B">
          <w:rPr>
            <w:webHidden/>
          </w:rPr>
          <w:fldChar w:fldCharType="separate"/>
        </w:r>
        <w:r w:rsidR="00D5108B">
          <w:rPr>
            <w:webHidden/>
          </w:rPr>
          <w:t>1</w:t>
        </w:r>
        <w:r w:rsidR="00D5108B">
          <w:rPr>
            <w:webHidden/>
          </w:rPr>
          <w:fldChar w:fldCharType="end"/>
        </w:r>
      </w:hyperlink>
    </w:p>
    <w:p w:rsidR="00D5108B" w:rsidRDefault="00291748">
      <w:pPr>
        <w:pStyle w:val="23"/>
        <w:rPr>
          <w:rFonts w:asciiTheme="minorHAnsi" w:eastAsiaTheme="minorEastAsia" w:hAnsiTheme="minorHAnsi" w:cstheme="minorBidi"/>
          <w:snapToGrid/>
          <w:szCs w:val="22"/>
        </w:rPr>
      </w:pPr>
      <w:hyperlink w:anchor="_Toc181900904" w:history="1">
        <w:r w:rsidR="00D5108B" w:rsidRPr="00E10A2F">
          <w:rPr>
            <w:rStyle w:val="af5"/>
            <w:rFonts w:hAnsi="標楷體" w:hint="eastAsia"/>
          </w:rPr>
          <w:t>二、截至</w:t>
        </w:r>
        <w:r w:rsidR="00D5108B" w:rsidRPr="00E10A2F">
          <w:rPr>
            <w:rStyle w:val="af5"/>
            <w:rFonts w:hAnsi="標楷體"/>
          </w:rPr>
          <w:t>113</w:t>
        </w:r>
        <w:r w:rsidR="00D5108B" w:rsidRPr="00E10A2F">
          <w:rPr>
            <w:rStyle w:val="af5"/>
            <w:rFonts w:hAnsi="標楷體" w:hint="eastAsia"/>
          </w:rPr>
          <w:t>年</w:t>
        </w:r>
        <w:r w:rsidR="00D5108B" w:rsidRPr="00E10A2F">
          <w:rPr>
            <w:rStyle w:val="af5"/>
            <w:rFonts w:hAnsi="標楷體"/>
          </w:rPr>
          <w:t>8</w:t>
        </w:r>
        <w:r w:rsidR="00D5108B" w:rsidRPr="00E10A2F">
          <w:rPr>
            <w:rStyle w:val="af5"/>
            <w:rFonts w:hAnsi="標楷體" w:hint="eastAsia"/>
          </w:rPr>
          <w:t>月底止，線上開戶數占整體開戶數比率不及</w:t>
        </w:r>
        <w:r w:rsidR="00D5108B" w:rsidRPr="00E10A2F">
          <w:rPr>
            <w:rStyle w:val="af5"/>
            <w:rFonts w:hAnsi="標楷體"/>
          </w:rPr>
          <w:t>5%</w:t>
        </w:r>
        <w:r w:rsidR="00D5108B" w:rsidRPr="00E10A2F">
          <w:rPr>
            <w:rStyle w:val="af5"/>
            <w:rFonts w:hAnsi="標楷體" w:hint="eastAsia"/>
          </w:rPr>
          <w:t>，允宜加強推廣，以增進該類投資者運用各類數位服務之意願，促進數位金融服務，俾提升營業收入</w:t>
        </w:r>
        <w:r w:rsidR="00D5108B">
          <w:rPr>
            <w:webHidden/>
          </w:rPr>
          <w:tab/>
        </w:r>
        <w:r w:rsidR="00D5108B">
          <w:rPr>
            <w:webHidden/>
          </w:rPr>
          <w:fldChar w:fldCharType="begin"/>
        </w:r>
        <w:r w:rsidR="00D5108B">
          <w:rPr>
            <w:webHidden/>
          </w:rPr>
          <w:instrText xml:space="preserve"> PAGEREF _Toc181900904 \h </w:instrText>
        </w:r>
        <w:r w:rsidR="00D5108B">
          <w:rPr>
            <w:webHidden/>
          </w:rPr>
        </w:r>
        <w:r w:rsidR="00D5108B">
          <w:rPr>
            <w:webHidden/>
          </w:rPr>
          <w:fldChar w:fldCharType="separate"/>
        </w:r>
        <w:r w:rsidR="00D5108B">
          <w:rPr>
            <w:webHidden/>
          </w:rPr>
          <w:t>3</w:t>
        </w:r>
        <w:r w:rsidR="00D5108B">
          <w:rPr>
            <w:webHidden/>
          </w:rPr>
          <w:fldChar w:fldCharType="end"/>
        </w:r>
      </w:hyperlink>
    </w:p>
    <w:p w:rsidR="00D5108B" w:rsidRDefault="00291748">
      <w:pPr>
        <w:pStyle w:val="23"/>
        <w:rPr>
          <w:rFonts w:asciiTheme="minorHAnsi" w:eastAsiaTheme="minorEastAsia" w:hAnsiTheme="minorHAnsi" w:cstheme="minorBidi"/>
          <w:snapToGrid/>
          <w:szCs w:val="22"/>
        </w:rPr>
      </w:pPr>
      <w:hyperlink w:anchor="_Toc181900905" w:history="1">
        <w:r w:rsidR="00D5108B" w:rsidRPr="00E10A2F">
          <w:rPr>
            <w:rStyle w:val="af5"/>
            <w:rFonts w:hAnsi="標楷體" w:hint="eastAsia"/>
          </w:rPr>
          <w:t>三、</w:t>
        </w:r>
        <w:r w:rsidR="00D5108B" w:rsidRPr="00E10A2F">
          <w:rPr>
            <w:rStyle w:val="af5"/>
            <w:rFonts w:hAnsi="標楷體"/>
          </w:rPr>
          <w:t>113</w:t>
        </w:r>
        <w:r w:rsidR="00D5108B" w:rsidRPr="00E10A2F">
          <w:rPr>
            <w:rStyle w:val="af5"/>
            <w:rFonts w:hAnsi="標楷體" w:hint="eastAsia"/>
          </w:rPr>
          <w:t>年</w:t>
        </w:r>
        <w:r w:rsidR="00D5108B" w:rsidRPr="00E10A2F">
          <w:rPr>
            <w:rStyle w:val="af5"/>
            <w:rFonts w:hAnsi="標楷體"/>
          </w:rPr>
          <w:t>1</w:t>
        </w:r>
        <w:r w:rsidR="00D5108B" w:rsidRPr="00E10A2F">
          <w:rPr>
            <w:rStyle w:val="af5"/>
            <w:rFonts w:hAnsi="標楷體" w:hint="eastAsia"/>
          </w:rPr>
          <w:t>至</w:t>
        </w:r>
        <w:r w:rsidR="00D5108B" w:rsidRPr="00E10A2F">
          <w:rPr>
            <w:rStyle w:val="af5"/>
            <w:rFonts w:hAnsi="標楷體"/>
          </w:rPr>
          <w:t>8</w:t>
        </w:r>
        <w:r w:rsidR="00D5108B" w:rsidRPr="00E10A2F">
          <w:rPr>
            <w:rStyle w:val="af5"/>
            <w:rFonts w:hAnsi="標楷體" w:hint="eastAsia"/>
          </w:rPr>
          <w:t>月間已</w:t>
        </w:r>
        <w:r w:rsidR="00D5108B" w:rsidRPr="00E10A2F">
          <w:rPr>
            <w:rStyle w:val="af5"/>
            <w:rFonts w:hAnsi="標楷體"/>
          </w:rPr>
          <w:t>2</w:t>
        </w:r>
        <w:r w:rsidR="00D5108B" w:rsidRPr="00E10A2F">
          <w:rPr>
            <w:rStyle w:val="af5"/>
            <w:rFonts w:hAnsi="標楷體" w:hint="eastAsia"/>
          </w:rPr>
          <w:t>度發生鉅額違約交割事件，合計金額逾</w:t>
        </w:r>
        <w:r w:rsidR="00D5108B" w:rsidRPr="00E10A2F">
          <w:rPr>
            <w:rStyle w:val="af5"/>
            <w:rFonts w:hAnsi="標楷體"/>
          </w:rPr>
          <w:t>1</w:t>
        </w:r>
        <w:r w:rsidR="00D5108B" w:rsidRPr="00E10A2F">
          <w:rPr>
            <w:rStyle w:val="af5"/>
            <w:rFonts w:hAnsi="標楷體" w:hint="eastAsia"/>
          </w:rPr>
          <w:t>億餘元，允宜強化客戶聯繫等風險控管措施</w:t>
        </w:r>
        <w:r w:rsidR="00D5108B">
          <w:rPr>
            <w:webHidden/>
          </w:rPr>
          <w:tab/>
        </w:r>
        <w:r w:rsidR="00D5108B">
          <w:rPr>
            <w:webHidden/>
          </w:rPr>
          <w:fldChar w:fldCharType="begin"/>
        </w:r>
        <w:r w:rsidR="00D5108B">
          <w:rPr>
            <w:webHidden/>
          </w:rPr>
          <w:instrText xml:space="preserve"> PAGEREF _Toc181900905 \h </w:instrText>
        </w:r>
        <w:r w:rsidR="00D5108B">
          <w:rPr>
            <w:webHidden/>
          </w:rPr>
        </w:r>
        <w:r w:rsidR="00D5108B">
          <w:rPr>
            <w:webHidden/>
          </w:rPr>
          <w:fldChar w:fldCharType="separate"/>
        </w:r>
        <w:r w:rsidR="00D5108B">
          <w:rPr>
            <w:webHidden/>
          </w:rPr>
          <w:t>5</w:t>
        </w:r>
        <w:r w:rsidR="00D5108B">
          <w:rPr>
            <w:webHidden/>
          </w:rPr>
          <w:fldChar w:fldCharType="end"/>
        </w:r>
      </w:hyperlink>
    </w:p>
    <w:p w:rsidR="00D5108B" w:rsidRDefault="00291748">
      <w:pPr>
        <w:pStyle w:val="23"/>
        <w:rPr>
          <w:rFonts w:asciiTheme="minorHAnsi" w:eastAsiaTheme="minorEastAsia" w:hAnsiTheme="minorHAnsi" w:cstheme="minorBidi"/>
          <w:snapToGrid/>
          <w:szCs w:val="22"/>
        </w:rPr>
      </w:pPr>
      <w:hyperlink w:anchor="_Toc181900906" w:history="1">
        <w:r w:rsidR="00D5108B" w:rsidRPr="00E10A2F">
          <w:rPr>
            <w:rStyle w:val="af5"/>
            <w:rFonts w:hAnsi="標楷體" w:hint="eastAsia"/>
          </w:rPr>
          <w:t>四、未入選證交所評比之</w:t>
        </w:r>
        <w:r w:rsidR="00D5108B" w:rsidRPr="00E10A2F">
          <w:rPr>
            <w:rStyle w:val="af5"/>
            <w:rFonts w:hAnsi="標楷體"/>
          </w:rPr>
          <w:t>112</w:t>
        </w:r>
        <w:r w:rsidR="00D5108B" w:rsidRPr="00E10A2F">
          <w:rPr>
            <w:rStyle w:val="af5"/>
            <w:rFonts w:hAnsi="標楷體" w:hint="eastAsia"/>
          </w:rPr>
          <w:t>年機構投資人盡職治理資訊揭露較佳名單，允宜配合主辦機關</w:t>
        </w:r>
        <w:r w:rsidR="00D5108B" w:rsidRPr="00E10A2F">
          <w:rPr>
            <w:rStyle w:val="af5"/>
            <w:rFonts w:hAnsi="標楷體"/>
          </w:rPr>
          <w:t>113</w:t>
        </w:r>
        <w:r w:rsidR="00D5108B" w:rsidRPr="00E10A2F">
          <w:rPr>
            <w:rStyle w:val="af5"/>
            <w:rFonts w:hAnsi="標楷體" w:hint="eastAsia"/>
          </w:rPr>
          <w:t>年修正之評比標準檢討改善，以提升相關資訊揭露品質</w:t>
        </w:r>
        <w:r w:rsidR="00D5108B">
          <w:rPr>
            <w:webHidden/>
          </w:rPr>
          <w:tab/>
        </w:r>
        <w:r w:rsidR="00D5108B">
          <w:rPr>
            <w:webHidden/>
          </w:rPr>
          <w:fldChar w:fldCharType="begin"/>
        </w:r>
        <w:r w:rsidR="00D5108B">
          <w:rPr>
            <w:webHidden/>
          </w:rPr>
          <w:instrText xml:space="preserve"> PAGEREF _Toc181900906 \h </w:instrText>
        </w:r>
        <w:r w:rsidR="00D5108B">
          <w:rPr>
            <w:webHidden/>
          </w:rPr>
        </w:r>
        <w:r w:rsidR="00D5108B">
          <w:rPr>
            <w:webHidden/>
          </w:rPr>
          <w:fldChar w:fldCharType="separate"/>
        </w:r>
        <w:r w:rsidR="00D5108B">
          <w:rPr>
            <w:webHidden/>
          </w:rPr>
          <w:t>7</w:t>
        </w:r>
        <w:r w:rsidR="00D5108B">
          <w:rPr>
            <w:webHidden/>
          </w:rPr>
          <w:fldChar w:fldCharType="end"/>
        </w:r>
      </w:hyperlink>
    </w:p>
    <w:p w:rsidR="00D5108B" w:rsidRDefault="00291748">
      <w:pPr>
        <w:pStyle w:val="23"/>
        <w:rPr>
          <w:rFonts w:asciiTheme="minorHAnsi" w:eastAsiaTheme="minorEastAsia" w:hAnsiTheme="minorHAnsi" w:cstheme="minorBidi"/>
          <w:snapToGrid/>
          <w:szCs w:val="22"/>
        </w:rPr>
      </w:pPr>
      <w:hyperlink w:anchor="_Toc181900907" w:history="1">
        <w:r w:rsidR="00D5108B" w:rsidRPr="00E10A2F">
          <w:rPr>
            <w:rStyle w:val="af5"/>
            <w:rFonts w:hAnsi="標楷體" w:hint="eastAsia"/>
          </w:rPr>
          <w:t>五、</w:t>
        </w:r>
        <w:r w:rsidR="00D5108B" w:rsidRPr="00E10A2F">
          <w:rPr>
            <w:rStyle w:val="af5"/>
            <w:rFonts w:hAnsi="標楷體"/>
          </w:rPr>
          <w:t>112</w:t>
        </w:r>
        <w:r w:rsidR="00D5108B" w:rsidRPr="00E10A2F">
          <w:rPr>
            <w:rStyle w:val="af5"/>
            <w:rFonts w:hAnsi="標楷體" w:hint="eastAsia"/>
          </w:rPr>
          <w:t>年未列入「公平待客原則」評比前</w:t>
        </w:r>
        <w:r w:rsidR="00D5108B" w:rsidRPr="00E10A2F">
          <w:rPr>
            <w:rStyle w:val="af5"/>
          </w:rPr>
          <w:t>25%</w:t>
        </w:r>
        <w:r w:rsidR="00D5108B" w:rsidRPr="00E10A2F">
          <w:rPr>
            <w:rStyle w:val="af5"/>
            <w:rFonts w:hint="eastAsia"/>
          </w:rPr>
          <w:t>之證券商，</w:t>
        </w:r>
        <w:r w:rsidR="00D5108B" w:rsidRPr="00E10A2F">
          <w:rPr>
            <w:rStyle w:val="af5"/>
            <w:rFonts w:hAnsi="標楷體" w:hint="eastAsia"/>
          </w:rPr>
          <w:t>允宜落實金管會所定</w:t>
        </w:r>
        <w:r w:rsidR="00D5108B" w:rsidRPr="00E10A2F">
          <w:rPr>
            <w:rStyle w:val="af5"/>
            <w:rFonts w:hAnsi="標楷體"/>
          </w:rPr>
          <w:t>114</w:t>
        </w:r>
        <w:r w:rsidR="00D5108B" w:rsidRPr="00E10A2F">
          <w:rPr>
            <w:rStyle w:val="af5"/>
            <w:rFonts w:hAnsi="標楷體" w:hint="eastAsia"/>
          </w:rPr>
          <w:t>年公平待客原則評核指標及其加強評核重點，以提升對金融消費者之服務品質</w:t>
        </w:r>
        <w:r w:rsidR="00D5108B">
          <w:rPr>
            <w:webHidden/>
          </w:rPr>
          <w:tab/>
        </w:r>
        <w:r w:rsidR="00D5108B">
          <w:rPr>
            <w:webHidden/>
          </w:rPr>
          <w:fldChar w:fldCharType="begin"/>
        </w:r>
        <w:r w:rsidR="00D5108B">
          <w:rPr>
            <w:webHidden/>
          </w:rPr>
          <w:instrText xml:space="preserve"> PAGEREF _Toc181900907 \h </w:instrText>
        </w:r>
        <w:r w:rsidR="00D5108B">
          <w:rPr>
            <w:webHidden/>
          </w:rPr>
        </w:r>
        <w:r w:rsidR="00D5108B">
          <w:rPr>
            <w:webHidden/>
          </w:rPr>
          <w:fldChar w:fldCharType="separate"/>
        </w:r>
        <w:r w:rsidR="00D5108B">
          <w:rPr>
            <w:webHidden/>
          </w:rPr>
          <w:t>9</w:t>
        </w:r>
        <w:r w:rsidR="00D5108B">
          <w:rPr>
            <w:webHidden/>
          </w:rPr>
          <w:fldChar w:fldCharType="end"/>
        </w:r>
      </w:hyperlink>
    </w:p>
    <w:p w:rsidR="007B4265" w:rsidRPr="00E10844" w:rsidRDefault="007B4265" w:rsidP="00BC0056">
      <w:pPr>
        <w:tabs>
          <w:tab w:val="right" w:leader="hyphen" w:pos="8490"/>
        </w:tabs>
        <w:ind w:left="566" w:rightChars="149" w:right="422" w:firstLine="487"/>
        <w:rPr>
          <w:rFonts w:hAnsi="標楷體"/>
          <w:b/>
          <w:sz w:val="36"/>
        </w:rPr>
        <w:sectPr w:rsidR="007B4265" w:rsidRPr="00E10844" w:rsidSect="0070376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10" w:charSpace="658"/>
        </w:sectPr>
      </w:pPr>
      <w:r w:rsidRPr="00E10844">
        <w:rPr>
          <w:rFonts w:hAnsi="標楷體"/>
          <w:b/>
          <w:noProof/>
          <w:kern w:val="0"/>
          <w:sz w:val="24"/>
          <w:szCs w:val="24"/>
        </w:rPr>
        <w:fldChar w:fldCharType="end"/>
      </w:r>
    </w:p>
    <w:p w:rsidR="0070376C" w:rsidRPr="00E10844" w:rsidRDefault="0070376C" w:rsidP="0070376C">
      <w:pPr>
        <w:ind w:leftChars="0" w:left="0" w:firstLineChars="0" w:firstLine="0"/>
        <w:rPr>
          <w:rFonts w:hAnsi="標楷體"/>
          <w:b/>
          <w:sz w:val="36"/>
          <w:szCs w:val="36"/>
        </w:rPr>
      </w:pPr>
      <w:r w:rsidRPr="00E10844">
        <w:rPr>
          <w:rFonts w:hAnsi="標楷體"/>
          <w:b/>
          <w:sz w:val="36"/>
          <w:szCs w:val="36"/>
        </w:rPr>
        <w:lastRenderedPageBreak/>
        <w:t>臺銀綜合證券股份有限公司</w:t>
      </w:r>
      <w:r w:rsidR="00904607" w:rsidRPr="00E10844">
        <w:rPr>
          <w:rFonts w:hAnsi="標楷體"/>
          <w:b/>
          <w:sz w:val="36"/>
          <w:szCs w:val="36"/>
        </w:rPr>
        <w:t>11</w:t>
      </w:r>
      <w:r w:rsidR="00E12FDF">
        <w:rPr>
          <w:rFonts w:hAnsi="標楷體" w:hint="eastAsia"/>
          <w:b/>
          <w:sz w:val="36"/>
          <w:szCs w:val="36"/>
        </w:rPr>
        <w:t>4</w:t>
      </w:r>
      <w:r w:rsidR="00904607" w:rsidRPr="00E10844">
        <w:rPr>
          <w:rFonts w:hAnsi="標楷體"/>
          <w:b/>
          <w:sz w:val="36"/>
          <w:szCs w:val="36"/>
        </w:rPr>
        <w:t>年度</w:t>
      </w:r>
      <w:r w:rsidRPr="00E10844">
        <w:rPr>
          <w:rFonts w:hAnsi="標楷體"/>
          <w:b/>
          <w:sz w:val="36"/>
          <w:szCs w:val="36"/>
        </w:rPr>
        <w:t>營業預算評估報告</w:t>
      </w:r>
    </w:p>
    <w:p w:rsidR="00AE0C91" w:rsidRPr="00E10844" w:rsidRDefault="00AE0C91" w:rsidP="00AE0C91">
      <w:pPr>
        <w:adjustRightInd w:val="0"/>
        <w:ind w:leftChars="0" w:left="0" w:firstLine="560"/>
        <w:rPr>
          <w:rFonts w:hAnsi="標楷體"/>
          <w:kern w:val="0"/>
        </w:rPr>
      </w:pPr>
      <w:bookmarkStart w:id="1" w:name="_Toc103066466"/>
      <w:r w:rsidRPr="00E10844">
        <w:rPr>
          <w:rFonts w:hAnsi="標楷體"/>
        </w:rPr>
        <w:t>臺銀綜合證券股份有限公司(</w:t>
      </w:r>
      <w:r w:rsidR="004F6906" w:rsidRPr="00E10844">
        <w:rPr>
          <w:rFonts w:hAnsi="標楷體"/>
        </w:rPr>
        <w:t>下稱臺銀證券</w:t>
      </w:r>
      <w:r w:rsidRPr="00E10844">
        <w:rPr>
          <w:rFonts w:hAnsi="標楷體"/>
        </w:rPr>
        <w:t>)前身為臺灣銀行信託部，配合89年7月公布施行之信託業法，臺灣銀行另籌設證券部，於91年1月正式</w:t>
      </w:r>
      <w:r w:rsidR="009E5E01" w:rsidRPr="00E10844">
        <w:rPr>
          <w:rFonts w:hAnsi="標楷體"/>
        </w:rPr>
        <w:t>營運</w:t>
      </w:r>
      <w:r w:rsidRPr="00E10844">
        <w:rPr>
          <w:rFonts w:hAnsi="標楷體"/>
        </w:rPr>
        <w:t>，經營證券經紀</w:t>
      </w:r>
      <w:r w:rsidR="00A1392D">
        <w:rPr>
          <w:rFonts w:hAnsi="標楷體" w:hint="eastAsia"/>
        </w:rPr>
        <w:t>(</w:t>
      </w:r>
      <w:r w:rsidRPr="00E10844">
        <w:rPr>
          <w:rFonts w:hAnsi="標楷體"/>
        </w:rPr>
        <w:t>含自辦資券</w:t>
      </w:r>
      <w:r w:rsidR="00A1392D">
        <w:rPr>
          <w:rFonts w:hAnsi="標楷體" w:hint="eastAsia"/>
        </w:rPr>
        <w:t>)</w:t>
      </w:r>
      <w:r w:rsidRPr="00E10844">
        <w:rPr>
          <w:rFonts w:hAnsi="標楷體"/>
        </w:rPr>
        <w:t>、自行買賣政府債券及承銷有價證券等業務。臺灣銀行與中央信託局於96年7月合併，兩行局證券業務皆為兼營，97</w:t>
      </w:r>
      <w:r w:rsidRPr="00E10844">
        <w:rPr>
          <w:rFonts w:hAnsi="標楷體"/>
          <w:kern w:val="0"/>
        </w:rPr>
        <w:t>年1月1日臺灣金控成立後，臺灣銀行證券部門於97年1月2日正式分割成立</w:t>
      </w:r>
      <w:r w:rsidR="004F6906" w:rsidRPr="00E10844">
        <w:rPr>
          <w:rFonts w:hAnsi="標楷體"/>
          <w:kern w:val="0"/>
        </w:rPr>
        <w:t>臺銀證券</w:t>
      </w:r>
      <w:r w:rsidRPr="00E10844">
        <w:rPr>
          <w:rFonts w:hAnsi="標楷體"/>
          <w:kern w:val="0"/>
        </w:rPr>
        <w:t>。</w:t>
      </w:r>
    </w:p>
    <w:p w:rsidR="00AE0C91" w:rsidRPr="00E10844" w:rsidRDefault="004F6906" w:rsidP="00AE0C91">
      <w:pPr>
        <w:adjustRightInd w:val="0"/>
        <w:ind w:leftChars="0" w:left="0" w:firstLine="560"/>
        <w:rPr>
          <w:rFonts w:hAnsi="標楷體"/>
        </w:rPr>
      </w:pPr>
      <w:r w:rsidRPr="00E10844">
        <w:rPr>
          <w:rFonts w:hAnsi="標楷體"/>
        </w:rPr>
        <w:t>臺銀證券</w:t>
      </w:r>
      <w:r w:rsidR="003E62F8">
        <w:rPr>
          <w:rFonts w:hAnsi="標楷體"/>
        </w:rPr>
        <w:t>11</w:t>
      </w:r>
      <w:r w:rsidR="00E12FDF">
        <w:rPr>
          <w:rFonts w:hAnsi="標楷體" w:hint="eastAsia"/>
        </w:rPr>
        <w:t>4</w:t>
      </w:r>
      <w:r w:rsidR="00904607" w:rsidRPr="00E10844">
        <w:rPr>
          <w:rFonts w:hAnsi="標楷體"/>
        </w:rPr>
        <w:t>年度</w:t>
      </w:r>
      <w:r w:rsidR="00AE0C91" w:rsidRPr="00E10844">
        <w:rPr>
          <w:rFonts w:hAnsi="標楷體"/>
        </w:rPr>
        <w:t>營業收支預算編列如下：營業收入</w:t>
      </w:r>
      <w:r w:rsidR="00E12FDF">
        <w:rPr>
          <w:rFonts w:hAnsi="標楷體" w:hint="eastAsia"/>
        </w:rPr>
        <w:t>10</w:t>
      </w:r>
      <w:r w:rsidR="00AE0C91" w:rsidRPr="00E10844">
        <w:rPr>
          <w:rFonts w:hAnsi="標楷體"/>
        </w:rPr>
        <w:t>億</w:t>
      </w:r>
      <w:r w:rsidR="00E12FDF">
        <w:rPr>
          <w:rFonts w:hAnsi="標楷體" w:hint="eastAsia"/>
        </w:rPr>
        <w:t>2</w:t>
      </w:r>
      <w:r w:rsidR="00A42E4C" w:rsidRPr="00E10844">
        <w:rPr>
          <w:rFonts w:hAnsi="標楷體"/>
        </w:rPr>
        <w:t>,</w:t>
      </w:r>
      <w:r w:rsidR="00E12FDF">
        <w:rPr>
          <w:rFonts w:hAnsi="標楷體" w:hint="eastAsia"/>
        </w:rPr>
        <w:t>088</w:t>
      </w:r>
      <w:r w:rsidR="00AE0C91" w:rsidRPr="00E10844">
        <w:rPr>
          <w:rFonts w:hAnsi="標楷體"/>
        </w:rPr>
        <w:t>萬</w:t>
      </w:r>
      <w:r w:rsidR="00E12FDF">
        <w:rPr>
          <w:rFonts w:hAnsi="標楷體" w:hint="eastAsia"/>
        </w:rPr>
        <w:t>5</w:t>
      </w:r>
      <w:r w:rsidR="00AE0C91" w:rsidRPr="00E10844">
        <w:rPr>
          <w:rFonts w:hAnsi="標楷體"/>
        </w:rPr>
        <w:t>千元，營業成本</w:t>
      </w:r>
      <w:r w:rsidR="00611702">
        <w:rPr>
          <w:rFonts w:hAnsi="標楷體" w:hint="eastAsia"/>
        </w:rPr>
        <w:t>3</w:t>
      </w:r>
      <w:r w:rsidR="00AE0C91" w:rsidRPr="00E10844">
        <w:rPr>
          <w:rFonts w:hAnsi="標楷體"/>
        </w:rPr>
        <w:t>億</w:t>
      </w:r>
      <w:r w:rsidR="00E12FDF">
        <w:rPr>
          <w:rFonts w:hAnsi="標楷體" w:hint="eastAsia"/>
        </w:rPr>
        <w:t>3</w:t>
      </w:r>
      <w:r w:rsidR="00A42E4C" w:rsidRPr="00E10844">
        <w:rPr>
          <w:rFonts w:hAnsi="標楷體"/>
        </w:rPr>
        <w:t>,</w:t>
      </w:r>
      <w:r w:rsidR="00E12FDF">
        <w:rPr>
          <w:rFonts w:hAnsi="標楷體" w:hint="eastAsia"/>
        </w:rPr>
        <w:t>041</w:t>
      </w:r>
      <w:r w:rsidR="00AE0C91" w:rsidRPr="00E10844">
        <w:rPr>
          <w:rFonts w:hAnsi="標楷體"/>
        </w:rPr>
        <w:t>萬元，營業費用</w:t>
      </w:r>
      <w:r w:rsidR="004151E1" w:rsidRPr="00E10844">
        <w:rPr>
          <w:rFonts w:hAnsi="標楷體"/>
        </w:rPr>
        <w:t>3</w:t>
      </w:r>
      <w:r w:rsidR="00AE0C91" w:rsidRPr="00E10844">
        <w:rPr>
          <w:rFonts w:hAnsi="標楷體"/>
        </w:rPr>
        <w:t>億</w:t>
      </w:r>
      <w:r w:rsidR="00E12FDF">
        <w:rPr>
          <w:rFonts w:hAnsi="標楷體" w:hint="eastAsia"/>
        </w:rPr>
        <w:t>6</w:t>
      </w:r>
      <w:r w:rsidR="00A42E4C" w:rsidRPr="00E10844">
        <w:rPr>
          <w:rFonts w:hAnsi="標楷體"/>
        </w:rPr>
        <w:t>,</w:t>
      </w:r>
      <w:r w:rsidR="00611702">
        <w:rPr>
          <w:rFonts w:hAnsi="標楷體" w:hint="eastAsia"/>
        </w:rPr>
        <w:t>7</w:t>
      </w:r>
      <w:r w:rsidR="00E12FDF">
        <w:rPr>
          <w:rFonts w:hAnsi="標楷體" w:hint="eastAsia"/>
        </w:rPr>
        <w:t>55</w:t>
      </w:r>
      <w:r w:rsidR="00AE0C91" w:rsidRPr="00E10844">
        <w:rPr>
          <w:rFonts w:hAnsi="標楷體"/>
        </w:rPr>
        <w:t>萬</w:t>
      </w:r>
      <w:r w:rsidR="00E12FDF">
        <w:rPr>
          <w:rFonts w:hAnsi="標楷體" w:hint="eastAsia"/>
        </w:rPr>
        <w:t>8</w:t>
      </w:r>
      <w:r w:rsidR="002714EE" w:rsidRPr="00E10844">
        <w:rPr>
          <w:rFonts w:hAnsi="標楷體"/>
        </w:rPr>
        <w:t>千</w:t>
      </w:r>
      <w:r w:rsidR="00AE0C91" w:rsidRPr="00E10844">
        <w:rPr>
          <w:rFonts w:hAnsi="標楷體"/>
        </w:rPr>
        <w:t>元，營業外收入</w:t>
      </w:r>
      <w:r w:rsidR="00A42E4C" w:rsidRPr="00E10844">
        <w:rPr>
          <w:rFonts w:hAnsi="標楷體"/>
        </w:rPr>
        <w:t>1,</w:t>
      </w:r>
      <w:r w:rsidR="00611702">
        <w:rPr>
          <w:rFonts w:hAnsi="標楷體" w:hint="eastAsia"/>
        </w:rPr>
        <w:t>5</w:t>
      </w:r>
      <w:r w:rsidR="00E12FDF">
        <w:rPr>
          <w:rFonts w:hAnsi="標楷體" w:hint="eastAsia"/>
        </w:rPr>
        <w:t>65</w:t>
      </w:r>
      <w:r w:rsidR="00AE0C91" w:rsidRPr="00E10844">
        <w:rPr>
          <w:rFonts w:hAnsi="標楷體"/>
        </w:rPr>
        <w:t>萬</w:t>
      </w:r>
      <w:r w:rsidR="00E12FDF">
        <w:rPr>
          <w:rFonts w:hAnsi="標楷體" w:hint="eastAsia"/>
        </w:rPr>
        <w:t>5</w:t>
      </w:r>
      <w:r w:rsidR="00574D17" w:rsidRPr="00E10844">
        <w:rPr>
          <w:rFonts w:hAnsi="標楷體"/>
        </w:rPr>
        <w:t>千</w:t>
      </w:r>
      <w:r w:rsidR="00AE0C91" w:rsidRPr="00E10844">
        <w:rPr>
          <w:rFonts w:hAnsi="標楷體"/>
        </w:rPr>
        <w:t>元，營業外費用</w:t>
      </w:r>
      <w:r w:rsidR="00E12FDF">
        <w:rPr>
          <w:rFonts w:hAnsi="標楷體" w:hint="eastAsia"/>
        </w:rPr>
        <w:t>4</w:t>
      </w:r>
      <w:r w:rsidR="00A42E4C" w:rsidRPr="00E10844">
        <w:rPr>
          <w:rFonts w:hAnsi="標楷體"/>
        </w:rPr>
        <w:t>,</w:t>
      </w:r>
      <w:r w:rsidR="00E12FDF">
        <w:rPr>
          <w:rFonts w:hAnsi="標楷體" w:hint="eastAsia"/>
        </w:rPr>
        <w:t>805</w:t>
      </w:r>
      <w:r w:rsidR="004151E1" w:rsidRPr="00E10844">
        <w:rPr>
          <w:rFonts w:hAnsi="標楷體"/>
        </w:rPr>
        <w:t>萬元</w:t>
      </w:r>
      <w:r w:rsidR="00AE0C91" w:rsidRPr="00E10844">
        <w:rPr>
          <w:rFonts w:hAnsi="標楷體"/>
        </w:rPr>
        <w:t>及所得稅費用</w:t>
      </w:r>
      <w:r w:rsidR="00E12FDF">
        <w:rPr>
          <w:rFonts w:hAnsi="標楷體" w:hint="eastAsia"/>
        </w:rPr>
        <w:t>4</w:t>
      </w:r>
      <w:r w:rsidR="00A42E4C" w:rsidRPr="00E10844">
        <w:rPr>
          <w:rFonts w:hAnsi="標楷體"/>
        </w:rPr>
        <w:t>,</w:t>
      </w:r>
      <w:r w:rsidR="00611702">
        <w:rPr>
          <w:rFonts w:hAnsi="標楷體" w:hint="eastAsia"/>
        </w:rPr>
        <w:t>63</w:t>
      </w:r>
      <w:r w:rsidR="00E12FDF">
        <w:rPr>
          <w:rFonts w:hAnsi="標楷體" w:hint="eastAsia"/>
        </w:rPr>
        <w:t>3</w:t>
      </w:r>
      <w:r w:rsidR="00AE0C91" w:rsidRPr="00E10844">
        <w:rPr>
          <w:rFonts w:hAnsi="標楷體"/>
        </w:rPr>
        <w:t>萬</w:t>
      </w:r>
      <w:r w:rsidR="00E12FDF">
        <w:rPr>
          <w:rFonts w:hAnsi="標楷體" w:hint="eastAsia"/>
        </w:rPr>
        <w:t>9</w:t>
      </w:r>
      <w:r w:rsidR="00AE0C91" w:rsidRPr="00E10844">
        <w:rPr>
          <w:rFonts w:hAnsi="標楷體"/>
        </w:rPr>
        <w:t>千元，</w:t>
      </w:r>
      <w:r w:rsidR="00B465DF">
        <w:rPr>
          <w:rFonts w:hAnsi="標楷體" w:hint="eastAsia"/>
        </w:rPr>
        <w:t>收支相抵後</w:t>
      </w:r>
      <w:r w:rsidR="00AE0C91" w:rsidRPr="00E10844">
        <w:rPr>
          <w:rFonts w:hAnsi="標楷體"/>
        </w:rPr>
        <w:t>本期</w:t>
      </w:r>
      <w:r w:rsidR="009E5E01" w:rsidRPr="00E10844">
        <w:rPr>
          <w:rFonts w:hAnsi="標楷體"/>
        </w:rPr>
        <w:t>稅後</w:t>
      </w:r>
      <w:r w:rsidR="00AE0C91" w:rsidRPr="00E10844">
        <w:rPr>
          <w:rFonts w:hAnsi="標楷體"/>
        </w:rPr>
        <w:t>淨利</w:t>
      </w:r>
      <w:r w:rsidR="00611702">
        <w:rPr>
          <w:rFonts w:hAnsi="標楷體" w:hint="eastAsia"/>
        </w:rPr>
        <w:t>2</w:t>
      </w:r>
      <w:r w:rsidR="00AE0C91" w:rsidRPr="00E10844">
        <w:rPr>
          <w:rFonts w:hAnsi="標楷體"/>
        </w:rPr>
        <w:t>億</w:t>
      </w:r>
      <w:r w:rsidR="00E12FDF">
        <w:rPr>
          <w:rFonts w:hAnsi="標楷體" w:hint="eastAsia"/>
        </w:rPr>
        <w:t>4</w:t>
      </w:r>
      <w:r w:rsidR="00E12FDF">
        <w:rPr>
          <w:rFonts w:hAnsi="標楷體"/>
        </w:rPr>
        <w:t>,418</w:t>
      </w:r>
      <w:r w:rsidR="00AE0C91" w:rsidRPr="00E10844">
        <w:rPr>
          <w:rFonts w:hAnsi="標楷體"/>
        </w:rPr>
        <w:t>萬</w:t>
      </w:r>
      <w:r w:rsidR="00E12FDF">
        <w:rPr>
          <w:rFonts w:hAnsi="標楷體"/>
        </w:rPr>
        <w:t>3</w:t>
      </w:r>
      <w:r w:rsidR="00AE0C91" w:rsidRPr="00E10844">
        <w:rPr>
          <w:rFonts w:hAnsi="標楷體"/>
        </w:rPr>
        <w:t>千元。茲就</w:t>
      </w:r>
      <w:r w:rsidR="00904607" w:rsidRPr="00E10844">
        <w:rPr>
          <w:rFonts w:hAnsi="標楷體"/>
        </w:rPr>
        <w:t>11</w:t>
      </w:r>
      <w:r w:rsidR="00E12FDF">
        <w:rPr>
          <w:rFonts w:hAnsi="標楷體"/>
        </w:rPr>
        <w:t>4</w:t>
      </w:r>
      <w:r w:rsidR="00904607" w:rsidRPr="00E10844">
        <w:rPr>
          <w:rFonts w:hAnsi="標楷體"/>
        </w:rPr>
        <w:t>年度</w:t>
      </w:r>
      <w:r w:rsidR="007C0ADB" w:rsidRPr="00E10844">
        <w:rPr>
          <w:rFonts w:hAnsi="標楷體"/>
        </w:rPr>
        <w:t>該</w:t>
      </w:r>
      <w:r w:rsidR="00AE0C91" w:rsidRPr="00E10844">
        <w:rPr>
          <w:rFonts w:hAnsi="標楷體"/>
        </w:rPr>
        <w:t>公司營業</w:t>
      </w:r>
      <w:r w:rsidR="00A1392D" w:rsidRPr="00C96B69">
        <w:rPr>
          <w:rFonts w:hint="eastAsia"/>
        </w:rPr>
        <w:t>預算案評估如下</w:t>
      </w:r>
      <w:r w:rsidR="00AE0C91" w:rsidRPr="00E10844">
        <w:rPr>
          <w:rFonts w:hAnsi="標楷體"/>
        </w:rPr>
        <w:t>：</w:t>
      </w:r>
    </w:p>
    <w:p w:rsidR="00904607" w:rsidRPr="00E10844" w:rsidRDefault="00487951" w:rsidP="00487951">
      <w:pPr>
        <w:pStyle w:val="14"/>
        <w:ind w:left="561" w:hanging="561"/>
        <w:rPr>
          <w:rFonts w:hAnsi="標楷體"/>
        </w:rPr>
      </w:pPr>
      <w:bookmarkStart w:id="2" w:name="_Toc181900903"/>
      <w:bookmarkStart w:id="3" w:name="_Toc530664607"/>
      <w:bookmarkStart w:id="4" w:name="_Toc530668367"/>
      <w:bookmarkStart w:id="5" w:name="_Toc38711395"/>
      <w:bookmarkStart w:id="6" w:name="_Toc39034046"/>
      <w:bookmarkStart w:id="7" w:name="_Toc103066469"/>
      <w:bookmarkStart w:id="8" w:name="_Toc169601362"/>
      <w:bookmarkStart w:id="9" w:name="_Toc97547710"/>
      <w:bookmarkStart w:id="10" w:name="_Toc38344785"/>
      <w:bookmarkStart w:id="11" w:name="_Toc97040681"/>
      <w:bookmarkStart w:id="12" w:name="_Toc96427250"/>
      <w:bookmarkStart w:id="13" w:name="_Toc95386107"/>
      <w:bookmarkStart w:id="14" w:name="_Toc95226345"/>
      <w:bookmarkStart w:id="15" w:name="_Toc95221480"/>
      <w:bookmarkStart w:id="16" w:name="_Toc60191645"/>
      <w:bookmarkStart w:id="17" w:name="_Toc35748567"/>
      <w:bookmarkStart w:id="18" w:name="_Toc433701938"/>
      <w:bookmarkStart w:id="19" w:name="_Toc499545170"/>
      <w:bookmarkStart w:id="20" w:name="_Toc530664604"/>
      <w:bookmarkStart w:id="21" w:name="_Toc530664610"/>
      <w:bookmarkStart w:id="22" w:name="_Toc530666211"/>
      <w:bookmarkEnd w:id="1"/>
      <w:r w:rsidRPr="00E10844">
        <w:rPr>
          <w:rFonts w:hAnsi="標楷體"/>
        </w:rPr>
        <w:t>一、</w:t>
      </w:r>
      <w:r w:rsidR="008A2F40">
        <w:rPr>
          <w:rFonts w:hAnsi="標楷體" w:hint="eastAsia"/>
        </w:rPr>
        <w:t>近</w:t>
      </w:r>
      <w:r w:rsidR="00D377B4">
        <w:rPr>
          <w:rFonts w:hAnsi="標楷體" w:hint="eastAsia"/>
        </w:rPr>
        <w:t>5</w:t>
      </w:r>
      <w:r w:rsidR="008A2F40">
        <w:rPr>
          <w:rFonts w:hAnsi="標楷體" w:hint="eastAsia"/>
        </w:rPr>
        <w:t>年度</w:t>
      </w:r>
      <w:r w:rsidR="003E62F8">
        <w:rPr>
          <w:rFonts w:hAnsi="標楷體" w:hint="eastAsia"/>
        </w:rPr>
        <w:t>證券經紀</w:t>
      </w:r>
      <w:r w:rsidR="001B1DE3">
        <w:rPr>
          <w:rFonts w:hAnsi="標楷體" w:hint="eastAsia"/>
        </w:rPr>
        <w:t>業務市占率</w:t>
      </w:r>
      <w:r w:rsidR="00D377B4">
        <w:rPr>
          <w:rFonts w:hAnsi="標楷體" w:hint="eastAsia"/>
        </w:rPr>
        <w:t>概呈</w:t>
      </w:r>
      <w:r w:rsidR="00B465DF">
        <w:rPr>
          <w:rFonts w:hAnsi="標楷體" w:hint="eastAsia"/>
        </w:rPr>
        <w:t>下</w:t>
      </w:r>
      <w:r w:rsidR="00D377B4">
        <w:rPr>
          <w:rFonts w:hAnsi="標楷體" w:hint="eastAsia"/>
        </w:rPr>
        <w:t>滑</w:t>
      </w:r>
      <w:r w:rsidR="001B1DE3">
        <w:rPr>
          <w:rFonts w:hAnsi="標楷體" w:hint="eastAsia"/>
        </w:rPr>
        <w:t>，</w:t>
      </w:r>
      <w:r w:rsidR="007D2709">
        <w:rPr>
          <w:rFonts w:hAnsi="標楷體" w:hint="eastAsia"/>
        </w:rPr>
        <w:t>市場排名亦呈落後，</w:t>
      </w:r>
      <w:r w:rsidR="001B1DE3">
        <w:rPr>
          <w:rFonts w:hAnsi="標楷體" w:hint="eastAsia"/>
        </w:rPr>
        <w:t>允宜</w:t>
      </w:r>
      <w:r w:rsidR="007D2709">
        <w:rPr>
          <w:rFonts w:hAnsi="標楷體" w:hint="eastAsia"/>
        </w:rPr>
        <w:t>持續檢討</w:t>
      </w:r>
      <w:r w:rsidR="001B1DE3">
        <w:rPr>
          <w:rFonts w:hAnsi="標楷體" w:hint="eastAsia"/>
        </w:rPr>
        <w:t>改</w:t>
      </w:r>
      <w:r w:rsidR="007D2709">
        <w:rPr>
          <w:rFonts w:hAnsi="標楷體" w:hint="eastAsia"/>
        </w:rPr>
        <w:t>進</w:t>
      </w:r>
      <w:bookmarkEnd w:id="2"/>
    </w:p>
    <w:p w:rsidR="00904607" w:rsidRPr="00E10844" w:rsidRDefault="004F6906" w:rsidP="00904607">
      <w:pPr>
        <w:ind w:left="560" w:firstLine="560"/>
        <w:rPr>
          <w:rFonts w:hAnsi="標楷體"/>
        </w:rPr>
      </w:pPr>
      <w:r w:rsidRPr="00E10844">
        <w:rPr>
          <w:rFonts w:hAnsi="標楷體"/>
        </w:rPr>
        <w:t>臺銀證券</w:t>
      </w:r>
      <w:r w:rsidR="001B1DE3">
        <w:rPr>
          <w:rFonts w:hAnsi="標楷體"/>
        </w:rPr>
        <w:t>11</w:t>
      </w:r>
      <w:r w:rsidR="00C87694">
        <w:rPr>
          <w:rFonts w:hAnsi="標楷體"/>
        </w:rPr>
        <w:t>4</w:t>
      </w:r>
      <w:r w:rsidR="00904607" w:rsidRPr="00E10844">
        <w:rPr>
          <w:rFonts w:hAnsi="標楷體"/>
        </w:rPr>
        <w:t>年度預算案於</w:t>
      </w:r>
      <w:r w:rsidR="00775CDE">
        <w:rPr>
          <w:rFonts w:hAnsi="標楷體" w:hint="eastAsia"/>
        </w:rPr>
        <w:t>「</w:t>
      </w:r>
      <w:r w:rsidR="00775CDE" w:rsidRPr="00E10844">
        <w:rPr>
          <w:rFonts w:hAnsi="標楷體"/>
        </w:rPr>
        <w:t>營業收入</w:t>
      </w:r>
      <w:r w:rsidR="00775CDE">
        <w:rPr>
          <w:rFonts w:hAnsi="標楷體" w:hint="eastAsia"/>
        </w:rPr>
        <w:t>-</w:t>
      </w:r>
      <w:r w:rsidR="00775CDE" w:rsidRPr="00E10844">
        <w:rPr>
          <w:rFonts w:hAnsi="標楷體"/>
        </w:rPr>
        <w:t>金融保險收入</w:t>
      </w:r>
      <w:r w:rsidR="00775CDE">
        <w:rPr>
          <w:rFonts w:hAnsi="標楷體" w:hint="eastAsia"/>
        </w:rPr>
        <w:t>」</w:t>
      </w:r>
      <w:r w:rsidR="00775CDE" w:rsidRPr="00E10844">
        <w:rPr>
          <w:rFonts w:hAnsi="標楷體"/>
        </w:rPr>
        <w:t>項下編列「證券經紀及承銷收入」</w:t>
      </w:r>
      <w:r w:rsidR="001B1DE3">
        <w:rPr>
          <w:rFonts w:hAnsi="標楷體" w:hint="eastAsia"/>
        </w:rPr>
        <w:t>6</w:t>
      </w:r>
      <w:r w:rsidR="00904607" w:rsidRPr="00E10844">
        <w:rPr>
          <w:rFonts w:hAnsi="標楷體"/>
        </w:rPr>
        <w:t>億</w:t>
      </w:r>
      <w:r w:rsidR="00C87694">
        <w:rPr>
          <w:rFonts w:hAnsi="標楷體" w:hint="eastAsia"/>
        </w:rPr>
        <w:t>9</w:t>
      </w:r>
      <w:r w:rsidR="00F37FC3" w:rsidRPr="00E10844">
        <w:rPr>
          <w:rFonts w:hAnsi="標楷體"/>
        </w:rPr>
        <w:t>,</w:t>
      </w:r>
      <w:r w:rsidR="001B1DE3">
        <w:rPr>
          <w:rFonts w:hAnsi="標楷體" w:hint="eastAsia"/>
        </w:rPr>
        <w:t>0</w:t>
      </w:r>
      <w:r w:rsidR="00C87694">
        <w:rPr>
          <w:rFonts w:hAnsi="標楷體"/>
        </w:rPr>
        <w:t>44</w:t>
      </w:r>
      <w:r w:rsidR="00904607" w:rsidRPr="00E10844">
        <w:rPr>
          <w:rFonts w:hAnsi="標楷體"/>
        </w:rPr>
        <w:t>萬元，</w:t>
      </w:r>
      <w:r w:rsidR="00775CDE">
        <w:rPr>
          <w:rFonts w:hAnsi="標楷體" w:hint="eastAsia"/>
        </w:rPr>
        <w:t>其中「</w:t>
      </w:r>
      <w:r w:rsidR="001B1DE3">
        <w:rPr>
          <w:rFonts w:hAnsi="標楷體" w:hint="eastAsia"/>
        </w:rPr>
        <w:t>證券經紀收入</w:t>
      </w:r>
      <w:r w:rsidR="00775CDE">
        <w:rPr>
          <w:rFonts w:hAnsi="標楷體" w:hint="eastAsia"/>
        </w:rPr>
        <w:t>」為</w:t>
      </w:r>
      <w:r w:rsidR="001B1DE3">
        <w:rPr>
          <w:rFonts w:hAnsi="標楷體" w:hint="eastAsia"/>
        </w:rPr>
        <w:t>6</w:t>
      </w:r>
      <w:r w:rsidR="001B1DE3" w:rsidRPr="00E10844">
        <w:rPr>
          <w:rFonts w:hAnsi="標楷體"/>
        </w:rPr>
        <w:t>億</w:t>
      </w:r>
      <w:r w:rsidR="00C87694">
        <w:rPr>
          <w:rFonts w:hAnsi="標楷體" w:hint="eastAsia"/>
        </w:rPr>
        <w:t>7</w:t>
      </w:r>
      <w:r w:rsidR="00C87694">
        <w:rPr>
          <w:rFonts w:hAnsi="標楷體"/>
        </w:rPr>
        <w:t>,574</w:t>
      </w:r>
      <w:r w:rsidR="001B1DE3" w:rsidRPr="00E10844">
        <w:rPr>
          <w:rFonts w:hAnsi="標楷體"/>
        </w:rPr>
        <w:t>萬元</w:t>
      </w:r>
      <w:r w:rsidR="00775CDE">
        <w:rPr>
          <w:rFonts w:hAnsi="標楷體" w:hint="eastAsia"/>
        </w:rPr>
        <w:t>，較11</w:t>
      </w:r>
      <w:r w:rsidR="00C87694">
        <w:rPr>
          <w:rFonts w:hAnsi="標楷體"/>
        </w:rPr>
        <w:t>3</w:t>
      </w:r>
      <w:r w:rsidR="00775CDE">
        <w:rPr>
          <w:rFonts w:hAnsi="標楷體" w:hint="eastAsia"/>
        </w:rPr>
        <w:t>年預算數</w:t>
      </w:r>
      <w:r w:rsidR="00C87694">
        <w:rPr>
          <w:rFonts w:hAnsi="標楷體" w:hint="eastAsia"/>
        </w:rPr>
        <w:t>增加</w:t>
      </w:r>
      <w:r w:rsidR="001C3BF2">
        <w:rPr>
          <w:rFonts w:hAnsi="標楷體" w:hint="eastAsia"/>
        </w:rPr>
        <w:t>6</w:t>
      </w:r>
      <w:r w:rsidR="00775CDE">
        <w:rPr>
          <w:rFonts w:hAnsi="標楷體"/>
        </w:rPr>
        <w:t>,</w:t>
      </w:r>
      <w:r w:rsidR="001C3BF2">
        <w:rPr>
          <w:rFonts w:hAnsi="標楷體" w:hint="eastAsia"/>
        </w:rPr>
        <w:t>704</w:t>
      </w:r>
      <w:r w:rsidR="00775CDE">
        <w:rPr>
          <w:rFonts w:hAnsi="標楷體" w:hint="eastAsia"/>
        </w:rPr>
        <w:t>萬</w:t>
      </w:r>
      <w:r w:rsidR="001C3BF2">
        <w:rPr>
          <w:rFonts w:hAnsi="標楷體" w:hint="eastAsia"/>
        </w:rPr>
        <w:t>6</w:t>
      </w:r>
      <w:r w:rsidR="00775CDE">
        <w:rPr>
          <w:rFonts w:hAnsi="標楷體" w:hint="eastAsia"/>
        </w:rPr>
        <w:t>千元(</w:t>
      </w:r>
      <w:r w:rsidR="001C3BF2">
        <w:rPr>
          <w:rFonts w:hAnsi="標楷體" w:hint="eastAsia"/>
        </w:rPr>
        <w:t>增</w:t>
      </w:r>
      <w:r w:rsidR="00775CDE">
        <w:rPr>
          <w:rFonts w:hAnsi="標楷體" w:hint="eastAsia"/>
        </w:rPr>
        <w:t>幅1</w:t>
      </w:r>
      <w:r w:rsidR="001C3BF2">
        <w:rPr>
          <w:rFonts w:hAnsi="標楷體" w:hint="eastAsia"/>
        </w:rPr>
        <w:t>1.0</w:t>
      </w:r>
      <w:r w:rsidR="00775CDE">
        <w:rPr>
          <w:rFonts w:hAnsi="標楷體" w:hint="eastAsia"/>
        </w:rPr>
        <w:t>%)</w:t>
      </w:r>
      <w:r w:rsidR="00904607" w:rsidRPr="00E10844">
        <w:rPr>
          <w:rFonts w:hAnsi="標楷體"/>
        </w:rPr>
        <w:t>。經查：</w:t>
      </w:r>
    </w:p>
    <w:p w:rsidR="00904607" w:rsidRPr="00E10844" w:rsidRDefault="00904607" w:rsidP="00A06914">
      <w:pPr>
        <w:pStyle w:val="a4"/>
        <w:ind w:left="840" w:hanging="280"/>
        <w:rPr>
          <w:rFonts w:hAnsi="標楷體"/>
          <w:b/>
        </w:rPr>
      </w:pPr>
      <w:r w:rsidRPr="00E10844">
        <w:rPr>
          <w:rFonts w:hAnsi="標楷體"/>
          <w:b/>
        </w:rPr>
        <w:t>(一)</w:t>
      </w:r>
      <w:r w:rsidR="0038773F">
        <w:rPr>
          <w:rFonts w:hAnsi="標楷體" w:hint="eastAsia"/>
          <w:b/>
        </w:rPr>
        <w:t>11</w:t>
      </w:r>
      <w:r w:rsidR="001C3BF2">
        <w:rPr>
          <w:rFonts w:hAnsi="標楷體" w:hint="eastAsia"/>
          <w:b/>
        </w:rPr>
        <w:t>4</w:t>
      </w:r>
      <w:r w:rsidR="0038773F">
        <w:rPr>
          <w:rFonts w:hAnsi="標楷體" w:hint="eastAsia"/>
          <w:b/>
        </w:rPr>
        <w:t>年度</w:t>
      </w:r>
      <w:r w:rsidR="0038773F" w:rsidRPr="0038773F">
        <w:rPr>
          <w:rFonts w:hAnsi="標楷體" w:hint="eastAsia"/>
          <w:b/>
        </w:rPr>
        <w:t>證券經紀業務</w:t>
      </w:r>
      <w:r w:rsidR="0038773F">
        <w:rPr>
          <w:rFonts w:hAnsi="標楷體" w:hint="eastAsia"/>
          <w:b/>
        </w:rPr>
        <w:t>收入</w:t>
      </w:r>
      <w:r w:rsidR="00F41D01">
        <w:rPr>
          <w:rFonts w:hAnsi="標楷體" w:hint="eastAsia"/>
          <w:b/>
        </w:rPr>
        <w:t>編列數</w:t>
      </w:r>
      <w:r w:rsidR="001C3BF2">
        <w:rPr>
          <w:rFonts w:hAnsi="標楷體" w:hint="eastAsia"/>
          <w:b/>
        </w:rPr>
        <w:t>雖較113年度為高</w:t>
      </w:r>
      <w:r w:rsidR="0038773F">
        <w:rPr>
          <w:rFonts w:hAnsi="標楷體" w:hint="eastAsia"/>
          <w:b/>
        </w:rPr>
        <w:t>，</w:t>
      </w:r>
      <w:r w:rsidR="001C3BF2">
        <w:rPr>
          <w:rFonts w:hAnsi="標楷體" w:hint="eastAsia"/>
          <w:b/>
        </w:rPr>
        <w:t>惟低於112</w:t>
      </w:r>
      <w:r w:rsidR="0038773F">
        <w:rPr>
          <w:rFonts w:hAnsi="標楷體" w:hint="eastAsia"/>
          <w:b/>
        </w:rPr>
        <w:t>年</w:t>
      </w:r>
      <w:r w:rsidR="001C3BF2">
        <w:rPr>
          <w:rFonts w:hAnsi="標楷體" w:hint="eastAsia"/>
          <w:b/>
        </w:rPr>
        <w:t>度決算數</w:t>
      </w:r>
    </w:p>
    <w:p w:rsidR="00195BE7" w:rsidRDefault="009A6B89" w:rsidP="007F272F">
      <w:pPr>
        <w:pStyle w:val="21"/>
        <w:ind w:left="840" w:firstLine="560"/>
        <w:rPr>
          <w:rFonts w:hAnsi="標楷體"/>
        </w:rPr>
      </w:pPr>
      <w:r>
        <w:rPr>
          <w:rFonts w:hAnsi="標楷體" w:hint="eastAsia"/>
        </w:rPr>
        <w:t>據</w:t>
      </w:r>
      <w:r w:rsidRPr="00E10844">
        <w:rPr>
          <w:rFonts w:hAnsi="標楷體"/>
        </w:rPr>
        <w:t>臺銀證券</w:t>
      </w:r>
      <w:r w:rsidR="001C3BF2">
        <w:rPr>
          <w:rFonts w:hAnsi="標楷體" w:hint="eastAsia"/>
        </w:rPr>
        <w:t>114</w:t>
      </w:r>
      <w:r>
        <w:rPr>
          <w:rFonts w:hAnsi="標楷體" w:hint="eastAsia"/>
        </w:rPr>
        <w:t>年度預算書所載，業務範圍係</w:t>
      </w:r>
      <w:r w:rsidRPr="009A6B89">
        <w:rPr>
          <w:rFonts w:hAnsi="標楷體" w:hint="eastAsia"/>
        </w:rPr>
        <w:t>依證券交易法、期貨交易法等證券管理法令規定辦理證券經紀業務、自營業務、承銷業務、期貨交易輔助人等，以及其他經主管機關核准之證券相關業務。</w:t>
      </w:r>
      <w:r w:rsidR="001C3BF2">
        <w:rPr>
          <w:rFonts w:hAnsi="標楷體" w:hint="eastAsia"/>
        </w:rPr>
        <w:t>114</w:t>
      </w:r>
      <w:r>
        <w:rPr>
          <w:rFonts w:hAnsi="標楷體" w:hint="eastAsia"/>
        </w:rPr>
        <w:t>年度</w:t>
      </w:r>
      <w:r w:rsidR="009E7591">
        <w:rPr>
          <w:rFonts w:hAnsi="標楷體" w:hint="eastAsia"/>
        </w:rPr>
        <w:t>預算案</w:t>
      </w:r>
      <w:r>
        <w:rPr>
          <w:rFonts w:hAnsi="標楷體" w:hint="eastAsia"/>
        </w:rPr>
        <w:t>編列</w:t>
      </w:r>
      <w:r w:rsidRPr="00E10844">
        <w:rPr>
          <w:rFonts w:hAnsi="標楷體"/>
        </w:rPr>
        <w:t>「證券經紀及承銷</w:t>
      </w:r>
      <w:r>
        <w:rPr>
          <w:rFonts w:hAnsi="標楷體" w:hint="eastAsia"/>
        </w:rPr>
        <w:t>收入</w:t>
      </w:r>
      <w:r w:rsidRPr="00E10844">
        <w:rPr>
          <w:rFonts w:hAnsi="標楷體"/>
        </w:rPr>
        <w:t>」</w:t>
      </w:r>
      <w:r>
        <w:rPr>
          <w:rFonts w:hAnsi="標楷體" w:hint="eastAsia"/>
        </w:rPr>
        <w:t>6</w:t>
      </w:r>
      <w:r w:rsidRPr="00E10844">
        <w:rPr>
          <w:rFonts w:hAnsi="標楷體"/>
        </w:rPr>
        <w:t>億</w:t>
      </w:r>
      <w:r w:rsidR="001C3BF2">
        <w:rPr>
          <w:rFonts w:hAnsi="標楷體" w:hint="eastAsia"/>
        </w:rPr>
        <w:t>9</w:t>
      </w:r>
      <w:r w:rsidR="001C3BF2" w:rsidRPr="00E10844">
        <w:rPr>
          <w:rFonts w:hAnsi="標楷體"/>
        </w:rPr>
        <w:t>,</w:t>
      </w:r>
      <w:r w:rsidR="001C3BF2">
        <w:rPr>
          <w:rFonts w:hAnsi="標楷體" w:hint="eastAsia"/>
        </w:rPr>
        <w:t>0</w:t>
      </w:r>
      <w:r w:rsidR="001C3BF2">
        <w:rPr>
          <w:rFonts w:hAnsi="標楷體"/>
        </w:rPr>
        <w:t>44</w:t>
      </w:r>
      <w:r w:rsidRPr="00E10844">
        <w:rPr>
          <w:rFonts w:hAnsi="標楷體"/>
        </w:rPr>
        <w:t>萬元</w:t>
      </w:r>
      <w:r>
        <w:rPr>
          <w:rFonts w:hAnsi="標楷體" w:hint="eastAsia"/>
        </w:rPr>
        <w:t>，</w:t>
      </w:r>
      <w:r w:rsidR="00FE6578">
        <w:rPr>
          <w:rFonts w:hAnsi="標楷體" w:hint="eastAsia"/>
        </w:rPr>
        <w:t>其中</w:t>
      </w:r>
      <w:r w:rsidR="002B721A">
        <w:rPr>
          <w:rFonts w:hAnsi="標楷體" w:hint="eastAsia"/>
        </w:rPr>
        <w:t>該年度</w:t>
      </w:r>
      <w:r w:rsidRPr="00E10844">
        <w:rPr>
          <w:rFonts w:hAnsi="標楷體"/>
        </w:rPr>
        <w:t>「證券經紀</w:t>
      </w:r>
      <w:r>
        <w:rPr>
          <w:rFonts w:hAnsi="標楷體" w:hint="eastAsia"/>
        </w:rPr>
        <w:t>業務</w:t>
      </w:r>
      <w:r w:rsidRPr="00E10844">
        <w:rPr>
          <w:rFonts w:hAnsi="標楷體"/>
        </w:rPr>
        <w:t>」</w:t>
      </w:r>
      <w:r w:rsidR="00FE6578">
        <w:rPr>
          <w:rFonts w:hAnsi="標楷體" w:hint="eastAsia"/>
        </w:rPr>
        <w:t>預估營運量為1</w:t>
      </w:r>
      <w:r w:rsidR="00FE6578">
        <w:rPr>
          <w:rFonts w:hAnsi="標楷體" w:hint="eastAsia"/>
        </w:rPr>
        <w:lastRenderedPageBreak/>
        <w:t>兆</w:t>
      </w:r>
      <w:r w:rsidR="001C3BF2">
        <w:rPr>
          <w:rFonts w:hAnsi="標楷體" w:hint="eastAsia"/>
        </w:rPr>
        <w:t>3</w:t>
      </w:r>
      <w:r w:rsidR="00FE6578">
        <w:rPr>
          <w:rFonts w:hAnsi="標楷體"/>
        </w:rPr>
        <w:t>,</w:t>
      </w:r>
      <w:r w:rsidR="001C3BF2">
        <w:rPr>
          <w:rFonts w:hAnsi="標楷體" w:hint="eastAsia"/>
        </w:rPr>
        <w:t>000</w:t>
      </w:r>
      <w:r w:rsidR="00FE6578">
        <w:rPr>
          <w:rFonts w:hAnsi="標楷體" w:hint="eastAsia"/>
        </w:rPr>
        <w:t>億元，以平均費率約0.05%估計</w:t>
      </w:r>
      <w:r w:rsidR="00FE6578" w:rsidRPr="00E10844">
        <w:rPr>
          <w:rFonts w:hAnsi="標楷體"/>
        </w:rPr>
        <w:t>「證券經紀</w:t>
      </w:r>
      <w:r w:rsidR="00FE6578">
        <w:rPr>
          <w:rFonts w:hAnsi="標楷體" w:hint="eastAsia"/>
        </w:rPr>
        <w:t>業務收入</w:t>
      </w:r>
      <w:r w:rsidR="00FE6578" w:rsidRPr="00E10844">
        <w:rPr>
          <w:rFonts w:hAnsi="標楷體"/>
        </w:rPr>
        <w:t>」</w:t>
      </w:r>
      <w:r w:rsidR="003B1EFF">
        <w:rPr>
          <w:rFonts w:hAnsi="標楷體" w:hint="eastAsia"/>
        </w:rPr>
        <w:t>為</w:t>
      </w:r>
      <w:r>
        <w:rPr>
          <w:rFonts w:hAnsi="標楷體" w:hint="eastAsia"/>
        </w:rPr>
        <w:t>6</w:t>
      </w:r>
      <w:r w:rsidRPr="00E10844">
        <w:rPr>
          <w:rFonts w:hAnsi="標楷體"/>
        </w:rPr>
        <w:t>億</w:t>
      </w:r>
      <w:r w:rsidR="001C3BF2">
        <w:rPr>
          <w:rFonts w:hAnsi="標楷體" w:hint="eastAsia"/>
        </w:rPr>
        <w:t>7</w:t>
      </w:r>
      <w:r w:rsidR="001C3BF2">
        <w:rPr>
          <w:rFonts w:hAnsi="標楷體"/>
        </w:rPr>
        <w:t>,574</w:t>
      </w:r>
      <w:r w:rsidRPr="00E10844">
        <w:rPr>
          <w:rFonts w:hAnsi="標楷體"/>
        </w:rPr>
        <w:t>萬元</w:t>
      </w:r>
      <w:r>
        <w:rPr>
          <w:rFonts w:hAnsi="標楷體" w:hint="eastAsia"/>
        </w:rPr>
        <w:t>，</w:t>
      </w:r>
      <w:r w:rsidR="001712CC">
        <w:rPr>
          <w:rFonts w:hAnsi="標楷體" w:hint="eastAsia"/>
        </w:rPr>
        <w:t>分別占</w:t>
      </w:r>
      <w:r w:rsidR="001712CC" w:rsidRPr="00E10844">
        <w:rPr>
          <w:rFonts w:hAnsi="標楷體"/>
        </w:rPr>
        <w:t>「證券經紀及承銷</w:t>
      </w:r>
      <w:r w:rsidR="001712CC">
        <w:rPr>
          <w:rFonts w:hAnsi="標楷體" w:hint="eastAsia"/>
        </w:rPr>
        <w:t>收入</w:t>
      </w:r>
      <w:r w:rsidR="001712CC" w:rsidRPr="00E10844">
        <w:rPr>
          <w:rFonts w:hAnsi="標楷體"/>
        </w:rPr>
        <w:t>」</w:t>
      </w:r>
      <w:r w:rsidR="001712CC">
        <w:rPr>
          <w:rFonts w:hAnsi="標楷體" w:hint="eastAsia"/>
        </w:rPr>
        <w:t>及「營業收入」之</w:t>
      </w:r>
      <w:r w:rsidR="001C3BF2">
        <w:rPr>
          <w:rFonts w:hAnsi="標楷體" w:hint="eastAsia"/>
        </w:rPr>
        <w:t>97.</w:t>
      </w:r>
      <w:r w:rsidR="001C3BF2">
        <w:rPr>
          <w:rFonts w:hAnsi="標楷體"/>
        </w:rPr>
        <w:t>9</w:t>
      </w:r>
      <w:r w:rsidR="001712CC">
        <w:rPr>
          <w:rFonts w:hAnsi="標楷體" w:hint="eastAsia"/>
        </w:rPr>
        <w:t>%、6</w:t>
      </w:r>
      <w:r w:rsidR="001C3BF2">
        <w:rPr>
          <w:rFonts w:hAnsi="標楷體" w:hint="eastAsia"/>
        </w:rPr>
        <w:t>6.2</w:t>
      </w:r>
      <w:r w:rsidR="001712CC">
        <w:rPr>
          <w:rFonts w:hAnsi="標楷體" w:hint="eastAsia"/>
        </w:rPr>
        <w:t>%，為</w:t>
      </w:r>
      <w:r w:rsidR="00FE6578">
        <w:rPr>
          <w:rFonts w:hAnsi="標楷體" w:hint="eastAsia"/>
        </w:rPr>
        <w:t>該公司主要</w:t>
      </w:r>
      <w:r w:rsidR="00B465DF">
        <w:rPr>
          <w:rFonts w:hAnsi="標楷體" w:hint="eastAsia"/>
        </w:rPr>
        <w:t>收入</w:t>
      </w:r>
      <w:r w:rsidR="00FE6578">
        <w:rPr>
          <w:rFonts w:hAnsi="標楷體" w:hint="eastAsia"/>
        </w:rPr>
        <w:t>來源</w:t>
      </w:r>
      <w:r w:rsidR="001712CC">
        <w:rPr>
          <w:rFonts w:hAnsi="標楷體" w:hint="eastAsia"/>
        </w:rPr>
        <w:t>。</w:t>
      </w:r>
      <w:r w:rsidR="0038773F">
        <w:rPr>
          <w:rFonts w:hAnsi="標楷體" w:hint="eastAsia"/>
        </w:rPr>
        <w:t>惟</w:t>
      </w:r>
      <w:r w:rsidR="001712CC" w:rsidRPr="00E10844">
        <w:rPr>
          <w:rFonts w:hAnsi="標楷體"/>
        </w:rPr>
        <w:t>證券經紀</w:t>
      </w:r>
      <w:r w:rsidR="001712CC">
        <w:rPr>
          <w:rFonts w:hAnsi="標楷體" w:hint="eastAsia"/>
        </w:rPr>
        <w:t>業務收入</w:t>
      </w:r>
      <w:r w:rsidR="001C3BF2">
        <w:rPr>
          <w:rFonts w:hAnsi="標楷體" w:hint="eastAsia"/>
        </w:rPr>
        <w:t>114</w:t>
      </w:r>
      <w:r w:rsidR="0021122E">
        <w:rPr>
          <w:rFonts w:hAnsi="標楷體" w:hint="eastAsia"/>
        </w:rPr>
        <w:t>年度</w:t>
      </w:r>
      <w:r w:rsidR="009E7591">
        <w:rPr>
          <w:rFonts w:hAnsi="標楷體" w:hint="eastAsia"/>
        </w:rPr>
        <w:t>預算案</w:t>
      </w:r>
      <w:r w:rsidR="0021122E">
        <w:rPr>
          <w:rFonts w:hAnsi="標楷體" w:hint="eastAsia"/>
        </w:rPr>
        <w:t>編列數</w:t>
      </w:r>
      <w:r w:rsidR="001C3BF2">
        <w:rPr>
          <w:rFonts w:hAnsi="標楷體" w:hint="eastAsia"/>
        </w:rPr>
        <w:t>雖</w:t>
      </w:r>
      <w:r w:rsidR="0038773F">
        <w:rPr>
          <w:rFonts w:hAnsi="標楷體" w:hint="eastAsia"/>
        </w:rPr>
        <w:t>較</w:t>
      </w:r>
      <w:r w:rsidR="0038773F" w:rsidRPr="0038773F">
        <w:rPr>
          <w:rFonts w:hAnsi="標楷體" w:hint="eastAsia"/>
        </w:rPr>
        <w:t>11</w:t>
      </w:r>
      <w:r w:rsidR="001C3BF2">
        <w:rPr>
          <w:rFonts w:hAnsi="標楷體" w:hint="eastAsia"/>
        </w:rPr>
        <w:t>3</w:t>
      </w:r>
      <w:r w:rsidR="0038773F" w:rsidRPr="0038773F">
        <w:rPr>
          <w:rFonts w:hAnsi="標楷體" w:hint="eastAsia"/>
        </w:rPr>
        <w:t>年度</w:t>
      </w:r>
      <w:r w:rsidR="0038773F">
        <w:rPr>
          <w:rFonts w:hAnsi="標楷體" w:hint="eastAsia"/>
        </w:rPr>
        <w:t>之</w:t>
      </w:r>
      <w:r w:rsidR="001C3BF2">
        <w:rPr>
          <w:rFonts w:hAnsi="標楷體" w:hint="eastAsia"/>
        </w:rPr>
        <w:t>6</w:t>
      </w:r>
      <w:r w:rsidR="0038773F">
        <w:rPr>
          <w:rFonts w:hAnsi="標楷體" w:hint="eastAsia"/>
        </w:rPr>
        <w:t>億</w:t>
      </w:r>
      <w:r w:rsidR="001C3BF2">
        <w:rPr>
          <w:rFonts w:hAnsi="標楷體" w:hint="eastAsia"/>
        </w:rPr>
        <w:t>869</w:t>
      </w:r>
      <w:r w:rsidR="0038773F">
        <w:rPr>
          <w:rFonts w:hAnsi="標楷體" w:hint="eastAsia"/>
        </w:rPr>
        <w:t>萬</w:t>
      </w:r>
      <w:r w:rsidR="001C3BF2">
        <w:rPr>
          <w:rFonts w:hAnsi="標楷體" w:hint="eastAsia"/>
        </w:rPr>
        <w:t>4</w:t>
      </w:r>
      <w:r w:rsidR="0038773F">
        <w:rPr>
          <w:rFonts w:hAnsi="標楷體" w:hint="eastAsia"/>
        </w:rPr>
        <w:t>千元為</w:t>
      </w:r>
      <w:r w:rsidR="001C3BF2">
        <w:rPr>
          <w:rFonts w:hAnsi="標楷體" w:hint="eastAsia"/>
        </w:rPr>
        <w:t>高</w:t>
      </w:r>
      <w:r w:rsidR="0038773F">
        <w:rPr>
          <w:rFonts w:hAnsi="標楷體" w:hint="eastAsia"/>
        </w:rPr>
        <w:t>，</w:t>
      </w:r>
      <w:r w:rsidR="001C3BF2">
        <w:rPr>
          <w:rFonts w:hAnsi="標楷體" w:hint="eastAsia"/>
        </w:rPr>
        <w:t>惟較</w:t>
      </w:r>
      <w:r w:rsidR="001C3BF2" w:rsidRPr="001C3BF2">
        <w:rPr>
          <w:rFonts w:hAnsi="標楷體" w:hint="eastAsia"/>
        </w:rPr>
        <w:t>112年度決算數</w:t>
      </w:r>
      <w:r w:rsidR="001C3BF2">
        <w:rPr>
          <w:rFonts w:hAnsi="標楷體" w:hint="eastAsia"/>
        </w:rPr>
        <w:t>減少6</w:t>
      </w:r>
      <w:r w:rsidR="001C3BF2">
        <w:rPr>
          <w:rFonts w:hAnsi="標楷體"/>
        </w:rPr>
        <w:t>,516</w:t>
      </w:r>
      <w:r w:rsidR="001C3BF2">
        <w:rPr>
          <w:rFonts w:hAnsi="標楷體" w:hint="eastAsia"/>
        </w:rPr>
        <w:t>萬1千元，減幅8.8%</w:t>
      </w:r>
      <w:r w:rsidR="0038773F">
        <w:rPr>
          <w:rFonts w:hAnsi="標楷體" w:hint="eastAsia"/>
        </w:rPr>
        <w:t>。</w:t>
      </w:r>
    </w:p>
    <w:p w:rsidR="00904607" w:rsidRPr="00E10844" w:rsidRDefault="00904607" w:rsidP="007F272F">
      <w:pPr>
        <w:pStyle w:val="a4"/>
        <w:ind w:left="840" w:hanging="280"/>
        <w:rPr>
          <w:rFonts w:hAnsi="標楷體"/>
          <w:b/>
        </w:rPr>
      </w:pPr>
      <w:r w:rsidRPr="00E10844">
        <w:rPr>
          <w:rFonts w:hAnsi="標楷體"/>
          <w:b/>
        </w:rPr>
        <w:t>(二)</w:t>
      </w:r>
      <w:r w:rsidR="007D2709">
        <w:rPr>
          <w:rFonts w:hAnsi="標楷體" w:hint="eastAsia"/>
          <w:b/>
        </w:rPr>
        <w:t>近</w:t>
      </w:r>
      <w:r w:rsidR="00697483">
        <w:rPr>
          <w:rFonts w:hAnsi="標楷體" w:hint="eastAsia"/>
          <w:b/>
        </w:rPr>
        <w:t>5</w:t>
      </w:r>
      <w:r w:rsidR="007D2709">
        <w:rPr>
          <w:rFonts w:hAnsi="標楷體" w:hint="eastAsia"/>
          <w:b/>
        </w:rPr>
        <w:t>年度</w:t>
      </w:r>
      <w:r w:rsidR="00FE6578">
        <w:rPr>
          <w:rFonts w:hAnsi="標楷體" w:hint="eastAsia"/>
          <w:b/>
        </w:rPr>
        <w:t>證券經紀</w:t>
      </w:r>
      <w:r w:rsidR="0021122E">
        <w:rPr>
          <w:rFonts w:hAnsi="標楷體" w:hint="eastAsia"/>
          <w:b/>
        </w:rPr>
        <w:t>營運量市占率</w:t>
      </w:r>
      <w:r w:rsidR="00CC5E7E">
        <w:rPr>
          <w:rFonts w:hAnsi="標楷體" w:hint="eastAsia"/>
          <w:b/>
        </w:rPr>
        <w:t>逐年</w:t>
      </w:r>
      <w:r w:rsidR="00B465DF">
        <w:rPr>
          <w:rFonts w:hAnsi="標楷體" w:hint="eastAsia"/>
          <w:b/>
        </w:rPr>
        <w:t>下降</w:t>
      </w:r>
      <w:r w:rsidR="00CC5E7E">
        <w:rPr>
          <w:rFonts w:hAnsi="標楷體" w:hint="eastAsia"/>
          <w:b/>
        </w:rPr>
        <w:t>，市場排名亦呈</w:t>
      </w:r>
      <w:r w:rsidR="007D2709">
        <w:rPr>
          <w:rFonts w:hAnsi="標楷體" w:hint="eastAsia"/>
          <w:b/>
        </w:rPr>
        <w:t>落後</w:t>
      </w:r>
      <w:r w:rsidR="00FE6578">
        <w:rPr>
          <w:rFonts w:hAnsi="標楷體" w:hint="eastAsia"/>
          <w:b/>
        </w:rPr>
        <w:t>，允宜</w:t>
      </w:r>
      <w:r w:rsidR="00314527">
        <w:rPr>
          <w:rFonts w:hAnsi="標楷體" w:hint="eastAsia"/>
          <w:b/>
        </w:rPr>
        <w:t>積極</w:t>
      </w:r>
      <w:r w:rsidR="00FE6578">
        <w:rPr>
          <w:rFonts w:hAnsi="標楷體" w:hint="eastAsia"/>
          <w:b/>
        </w:rPr>
        <w:t>研謀改善</w:t>
      </w:r>
    </w:p>
    <w:p w:rsidR="002F243A" w:rsidRDefault="002F243A" w:rsidP="002F243A">
      <w:pPr>
        <w:pStyle w:val="123"/>
        <w:ind w:left="1120" w:hanging="280"/>
      </w:pPr>
      <w:r>
        <w:rPr>
          <w:rFonts w:hint="eastAsia"/>
        </w:rPr>
        <w:t>1.</w:t>
      </w:r>
      <w:r w:rsidR="00FE6578">
        <w:rPr>
          <w:rFonts w:hint="eastAsia"/>
        </w:rPr>
        <w:t>從</w:t>
      </w:r>
      <w:r w:rsidR="005E508B" w:rsidRPr="00E10844">
        <w:t>臺銀證券</w:t>
      </w:r>
      <w:r w:rsidR="008A2F40">
        <w:rPr>
          <w:rFonts w:hint="eastAsia"/>
        </w:rPr>
        <w:t>近</w:t>
      </w:r>
      <w:r w:rsidR="00697483">
        <w:rPr>
          <w:rFonts w:hint="eastAsia"/>
        </w:rPr>
        <w:t>5</w:t>
      </w:r>
      <w:r w:rsidR="008A2F40">
        <w:rPr>
          <w:rFonts w:hint="eastAsia"/>
        </w:rPr>
        <w:t>年度(</w:t>
      </w:r>
      <w:r w:rsidR="00697483">
        <w:rPr>
          <w:rFonts w:hint="eastAsia"/>
        </w:rPr>
        <w:t>10</w:t>
      </w:r>
      <w:r w:rsidR="00697483">
        <w:t>8</w:t>
      </w:r>
      <w:r w:rsidR="00FE6578">
        <w:rPr>
          <w:rFonts w:hint="eastAsia"/>
        </w:rPr>
        <w:t>至</w:t>
      </w:r>
      <w:r w:rsidR="005E508B" w:rsidRPr="00E10844">
        <w:t>11</w:t>
      </w:r>
      <w:r w:rsidR="00CC5E7E">
        <w:rPr>
          <w:rFonts w:hint="eastAsia"/>
        </w:rPr>
        <w:t>2</w:t>
      </w:r>
      <w:r w:rsidR="005E508B" w:rsidRPr="00E10844">
        <w:t>年度</w:t>
      </w:r>
      <w:r w:rsidR="008A2F40">
        <w:rPr>
          <w:rFonts w:hint="eastAsia"/>
        </w:rPr>
        <w:t>，以下同)</w:t>
      </w:r>
      <w:r w:rsidR="00FE6578" w:rsidRPr="00FE6578">
        <w:rPr>
          <w:rFonts w:hint="eastAsia"/>
        </w:rPr>
        <w:t>證券經紀營運量及在全體證券商排名</w:t>
      </w:r>
      <w:r w:rsidR="00FE6578">
        <w:rPr>
          <w:rFonts w:hint="eastAsia"/>
        </w:rPr>
        <w:t>等以觀</w:t>
      </w:r>
      <w:r w:rsidR="005E508B" w:rsidRPr="00E10844">
        <w:t>，</w:t>
      </w:r>
      <w:r w:rsidR="00D31A41">
        <w:rPr>
          <w:rFonts w:hint="eastAsia"/>
        </w:rPr>
        <w:t>該</w:t>
      </w:r>
      <w:r w:rsidR="00FE6578">
        <w:rPr>
          <w:rFonts w:hint="eastAsia"/>
        </w:rPr>
        <w:t>期間營運量</w:t>
      </w:r>
      <w:r w:rsidR="00697483">
        <w:rPr>
          <w:rFonts w:hint="eastAsia"/>
        </w:rPr>
        <w:t>除108年度未達1兆元外，其餘年度</w:t>
      </w:r>
      <w:r w:rsidR="0021122E">
        <w:rPr>
          <w:rFonts w:hint="eastAsia"/>
        </w:rPr>
        <w:t>介於1兆3,009億</w:t>
      </w:r>
      <w:r w:rsidR="00D31A41">
        <w:rPr>
          <w:rFonts w:hint="eastAsia"/>
        </w:rPr>
        <w:t>餘</w:t>
      </w:r>
      <w:r w:rsidR="0021122E">
        <w:rPr>
          <w:rFonts w:hint="eastAsia"/>
        </w:rPr>
        <w:t>元至</w:t>
      </w:r>
      <w:r w:rsidR="00FE6578">
        <w:rPr>
          <w:rFonts w:hint="eastAsia"/>
        </w:rPr>
        <w:t>2兆2</w:t>
      </w:r>
      <w:r w:rsidR="00FE6578">
        <w:t>,</w:t>
      </w:r>
      <w:r>
        <w:t>18</w:t>
      </w:r>
      <w:r w:rsidR="0021122E">
        <w:rPr>
          <w:rFonts w:hint="eastAsia"/>
        </w:rPr>
        <w:t>0</w:t>
      </w:r>
      <w:r>
        <w:rPr>
          <w:rFonts w:hint="eastAsia"/>
        </w:rPr>
        <w:t>億</w:t>
      </w:r>
      <w:r w:rsidR="00D31A41">
        <w:rPr>
          <w:rFonts w:hint="eastAsia"/>
        </w:rPr>
        <w:t>餘</w:t>
      </w:r>
      <w:r w:rsidR="00697483">
        <w:rPr>
          <w:rFonts w:hint="eastAsia"/>
        </w:rPr>
        <w:t>元</w:t>
      </w:r>
      <w:r w:rsidR="0021122E">
        <w:rPr>
          <w:rFonts w:hint="eastAsia"/>
        </w:rPr>
        <w:t>間</w:t>
      </w:r>
      <w:r>
        <w:rPr>
          <w:rFonts w:hint="eastAsia"/>
        </w:rPr>
        <w:t>，</w:t>
      </w:r>
      <w:r w:rsidR="00697483">
        <w:rPr>
          <w:rFonts w:hint="eastAsia"/>
        </w:rPr>
        <w:t>市占率</w:t>
      </w:r>
      <w:r w:rsidR="00D377B4">
        <w:rPr>
          <w:rFonts w:hint="eastAsia"/>
        </w:rPr>
        <w:t>除108及109年度逾1%外，110至112年度</w:t>
      </w:r>
      <w:r>
        <w:rPr>
          <w:rFonts w:hint="eastAsia"/>
        </w:rPr>
        <w:t>分別</w:t>
      </w:r>
      <w:r w:rsidRPr="002F243A">
        <w:rPr>
          <w:rFonts w:hint="eastAsia"/>
        </w:rPr>
        <w:t>為</w:t>
      </w:r>
      <w:r>
        <w:rPr>
          <w:rFonts w:hint="eastAsia"/>
        </w:rPr>
        <w:t>0.95%</w:t>
      </w:r>
      <w:r w:rsidR="00CC5E7E">
        <w:rPr>
          <w:rFonts w:hint="eastAsia"/>
        </w:rPr>
        <w:t>、</w:t>
      </w:r>
      <w:r>
        <w:rPr>
          <w:rFonts w:hint="eastAsia"/>
        </w:rPr>
        <w:t>0.86%</w:t>
      </w:r>
      <w:r w:rsidR="00CC5E7E">
        <w:rPr>
          <w:rFonts w:hint="eastAsia"/>
        </w:rPr>
        <w:t>及0.83%，</w:t>
      </w:r>
      <w:r w:rsidR="00D377B4">
        <w:rPr>
          <w:rFonts w:hint="eastAsia"/>
        </w:rPr>
        <w:t>呈現</w:t>
      </w:r>
      <w:r w:rsidR="00CC5E7E">
        <w:rPr>
          <w:rFonts w:hint="eastAsia"/>
        </w:rPr>
        <w:t>逐年下降</w:t>
      </w:r>
      <w:r>
        <w:rPr>
          <w:rFonts w:hint="eastAsia"/>
        </w:rPr>
        <w:t>；同期間</w:t>
      </w:r>
      <w:r w:rsidRPr="002F243A">
        <w:rPr>
          <w:rFonts w:hint="eastAsia"/>
        </w:rPr>
        <w:t>在全體證券商排名</w:t>
      </w:r>
      <w:r w:rsidR="00D377B4">
        <w:rPr>
          <w:rFonts w:hint="eastAsia"/>
        </w:rPr>
        <w:t>介於</w:t>
      </w:r>
      <w:r>
        <w:rPr>
          <w:rFonts w:hint="eastAsia"/>
        </w:rPr>
        <w:t>第24名</w:t>
      </w:r>
      <w:r w:rsidR="00D377B4">
        <w:rPr>
          <w:rFonts w:hint="eastAsia"/>
        </w:rPr>
        <w:t>至</w:t>
      </w:r>
      <w:r w:rsidRPr="002F243A">
        <w:rPr>
          <w:rFonts w:hint="eastAsia"/>
        </w:rPr>
        <w:t>第28名</w:t>
      </w:r>
      <w:r w:rsidR="00D377B4">
        <w:rPr>
          <w:rFonts w:hint="eastAsia"/>
        </w:rPr>
        <w:t>間</w:t>
      </w:r>
      <w:r w:rsidR="005A5466">
        <w:rPr>
          <w:rFonts w:hint="eastAsia"/>
        </w:rPr>
        <w:t>，</w:t>
      </w:r>
      <w:r w:rsidR="007D2709">
        <w:rPr>
          <w:rFonts w:hint="eastAsia"/>
        </w:rPr>
        <w:t>市場</w:t>
      </w:r>
      <w:r w:rsidR="002B721A">
        <w:rPr>
          <w:rFonts w:hint="eastAsia"/>
        </w:rPr>
        <w:t>排名</w:t>
      </w:r>
      <w:r w:rsidR="00CC5E7E" w:rsidRPr="00CC5E7E">
        <w:rPr>
          <w:rFonts w:hint="eastAsia"/>
        </w:rPr>
        <w:t>亦呈</w:t>
      </w:r>
      <w:r w:rsidR="007D2709">
        <w:rPr>
          <w:rFonts w:hint="eastAsia"/>
        </w:rPr>
        <w:t>落後</w:t>
      </w:r>
      <w:r w:rsidR="00D31A41">
        <w:rPr>
          <w:rFonts w:hint="eastAsia"/>
        </w:rPr>
        <w:t>(詳表1)</w:t>
      </w:r>
      <w:r>
        <w:rPr>
          <w:rFonts w:hint="eastAsia"/>
        </w:rPr>
        <w:t>。</w:t>
      </w:r>
    </w:p>
    <w:p w:rsidR="00904607" w:rsidRDefault="002F243A" w:rsidP="002F243A">
      <w:pPr>
        <w:pStyle w:val="123"/>
        <w:ind w:left="1120" w:hanging="280"/>
      </w:pPr>
      <w:r>
        <w:rPr>
          <w:rFonts w:hint="eastAsia"/>
        </w:rPr>
        <w:t>2.臺銀證券表示，</w:t>
      </w:r>
      <w:r w:rsidR="007D2709">
        <w:rPr>
          <w:rFonts w:hint="eastAsia"/>
        </w:rPr>
        <w:t>112</w:t>
      </w:r>
      <w:r w:rsidRPr="002F243A">
        <w:rPr>
          <w:rFonts w:hint="eastAsia"/>
        </w:rPr>
        <w:t>年</w:t>
      </w:r>
      <w:r w:rsidR="00CC5E7E" w:rsidRPr="00CC5E7E">
        <w:rPr>
          <w:rFonts w:hint="eastAsia"/>
        </w:rPr>
        <w:t>主管機關</w:t>
      </w:r>
      <w:r w:rsidR="007979D8">
        <w:rPr>
          <w:rFonts w:hint="eastAsia"/>
        </w:rPr>
        <w:t>除</w:t>
      </w:r>
      <w:r w:rsidR="00CC5E7E" w:rsidRPr="00CC5E7E">
        <w:rPr>
          <w:rFonts w:hint="eastAsia"/>
        </w:rPr>
        <w:t>實施當沖交易稅減半</w:t>
      </w:r>
      <w:r w:rsidR="000911BD">
        <w:rPr>
          <w:rFonts w:hint="eastAsia"/>
        </w:rPr>
        <w:t>課徵外，另推出</w:t>
      </w:r>
      <w:r w:rsidR="00CC5E7E" w:rsidRPr="00CC5E7E">
        <w:rPr>
          <w:rFonts w:hint="eastAsia"/>
        </w:rPr>
        <w:t>縮短盤中零股試算行情資訊揭露間隔</w:t>
      </w:r>
      <w:r w:rsidR="007979D8">
        <w:rPr>
          <w:rFonts w:hint="eastAsia"/>
        </w:rPr>
        <w:t>及權證避險交易稅率降至千分之一</w:t>
      </w:r>
      <w:r w:rsidR="00CC5E7E">
        <w:rPr>
          <w:rFonts w:hint="eastAsia"/>
        </w:rPr>
        <w:t>等</w:t>
      </w:r>
      <w:r w:rsidR="000911BD">
        <w:rPr>
          <w:rFonts w:hint="eastAsia"/>
        </w:rPr>
        <w:t>措施</w:t>
      </w:r>
      <w:r w:rsidR="00CC5E7E">
        <w:rPr>
          <w:rFonts w:hint="eastAsia"/>
        </w:rPr>
        <w:t>，帶動</w:t>
      </w:r>
      <w:r w:rsidR="007D2709">
        <w:rPr>
          <w:rFonts w:hint="eastAsia"/>
        </w:rPr>
        <w:t>市場</w:t>
      </w:r>
      <w:r w:rsidR="00CC5E7E">
        <w:rPr>
          <w:rFonts w:hint="eastAsia"/>
        </w:rPr>
        <w:t>成交量能增加。</w:t>
      </w:r>
      <w:r w:rsidR="008A2F40">
        <w:rPr>
          <w:rFonts w:hint="eastAsia"/>
        </w:rPr>
        <w:t>11</w:t>
      </w:r>
      <w:r w:rsidR="007D2709">
        <w:rPr>
          <w:rFonts w:hint="eastAsia"/>
        </w:rPr>
        <w:t>2</w:t>
      </w:r>
      <w:r w:rsidR="00CC5E7E" w:rsidRPr="00CC5E7E">
        <w:rPr>
          <w:rFonts w:hint="eastAsia"/>
        </w:rPr>
        <w:t>年底臺灣加權股價指數收盤為1</w:t>
      </w:r>
      <w:r w:rsidR="00CC5E7E">
        <w:rPr>
          <w:rFonts w:hint="eastAsia"/>
        </w:rPr>
        <w:t>萬</w:t>
      </w:r>
      <w:r w:rsidR="00CC5E7E" w:rsidRPr="00CC5E7E">
        <w:rPr>
          <w:rFonts w:hint="eastAsia"/>
        </w:rPr>
        <w:t>7,930.81點，</w:t>
      </w:r>
      <w:r w:rsidR="009E7591">
        <w:rPr>
          <w:rFonts w:hint="eastAsia"/>
        </w:rPr>
        <w:t>較111年底之收盤指數1萬4</w:t>
      </w:r>
      <w:r w:rsidR="009E7591">
        <w:t>,137.69</w:t>
      </w:r>
      <w:r w:rsidR="009E7591">
        <w:rPr>
          <w:rFonts w:hint="eastAsia"/>
        </w:rPr>
        <w:t>點，</w:t>
      </w:r>
      <w:r w:rsidR="00CC5E7E" w:rsidRPr="00CC5E7E">
        <w:rPr>
          <w:rFonts w:hint="eastAsia"/>
        </w:rPr>
        <w:t>漲幅達26.8%，市場日均量由</w:t>
      </w:r>
      <w:r w:rsidR="00CC5E7E">
        <w:rPr>
          <w:rFonts w:hint="eastAsia"/>
        </w:rPr>
        <w:t>111</w:t>
      </w:r>
      <w:r w:rsidR="00CC5E7E" w:rsidRPr="00CC5E7E">
        <w:rPr>
          <w:rFonts w:hint="eastAsia"/>
        </w:rPr>
        <w:t>年度3,051.73億元增加至112年度3,590.41億元，增加17.</w:t>
      </w:r>
      <w:r w:rsidR="007D2709">
        <w:rPr>
          <w:rFonts w:hint="eastAsia"/>
        </w:rPr>
        <w:t>7</w:t>
      </w:r>
      <w:r w:rsidR="00CC5E7E" w:rsidRPr="00CC5E7E">
        <w:rPr>
          <w:rFonts w:hint="eastAsia"/>
        </w:rPr>
        <w:t>%。</w:t>
      </w:r>
      <w:r w:rsidR="008A2F40">
        <w:rPr>
          <w:rFonts w:hint="eastAsia"/>
        </w:rPr>
        <w:t>惟</w:t>
      </w:r>
      <w:r>
        <w:rPr>
          <w:rFonts w:hint="eastAsia"/>
        </w:rPr>
        <w:t>該</w:t>
      </w:r>
      <w:r w:rsidRPr="002F243A">
        <w:rPr>
          <w:rFonts w:hint="eastAsia"/>
        </w:rPr>
        <w:t>公司客戶相對保守，當沖交易比重相較整體市場</w:t>
      </w:r>
      <w:r w:rsidR="00B9694A">
        <w:rPr>
          <w:rFonts w:hint="eastAsia"/>
        </w:rPr>
        <w:t>為</w:t>
      </w:r>
      <w:r w:rsidRPr="002F243A">
        <w:rPr>
          <w:rFonts w:hint="eastAsia"/>
        </w:rPr>
        <w:t>低</w:t>
      </w:r>
      <w:r w:rsidR="00B465DF">
        <w:rPr>
          <w:rFonts w:hint="eastAsia"/>
        </w:rPr>
        <w:t>，</w:t>
      </w:r>
      <w:r>
        <w:rPr>
          <w:rFonts w:hint="eastAsia"/>
        </w:rPr>
        <w:t>致</w:t>
      </w:r>
      <w:r w:rsidR="008A2F40">
        <w:rPr>
          <w:rFonts w:hint="eastAsia"/>
        </w:rPr>
        <w:t>臺銀證券</w:t>
      </w:r>
      <w:r w:rsidR="008A2F40" w:rsidRPr="008A2F40">
        <w:rPr>
          <w:rFonts w:hint="eastAsia"/>
        </w:rPr>
        <w:t>112年度經紀營運量雖較111 年度成長10.2%，惟</w:t>
      </w:r>
      <w:r w:rsidR="007D2709">
        <w:rPr>
          <w:rFonts w:hint="eastAsia"/>
        </w:rPr>
        <w:t>該</w:t>
      </w:r>
      <w:r w:rsidR="008A2F40" w:rsidRPr="008A2F40">
        <w:rPr>
          <w:rFonts w:hint="eastAsia"/>
        </w:rPr>
        <w:t>年度市占</w:t>
      </w:r>
      <w:r w:rsidR="008A2F40">
        <w:rPr>
          <w:rFonts w:hint="eastAsia"/>
        </w:rPr>
        <w:t>率較111年度減少0.0313個百分點</w:t>
      </w:r>
      <w:r w:rsidR="002B721A">
        <w:rPr>
          <w:rFonts w:hint="eastAsia"/>
        </w:rPr>
        <w:t>，</w:t>
      </w:r>
      <w:r w:rsidR="00B465DF">
        <w:rPr>
          <w:rFonts w:hint="eastAsia"/>
        </w:rPr>
        <w:t>爰研謀</w:t>
      </w:r>
      <w:r w:rsidR="002B721A">
        <w:rPr>
          <w:rFonts w:hint="eastAsia"/>
        </w:rPr>
        <w:t>扭轉市占率下滑趨勢，</w:t>
      </w:r>
      <w:r>
        <w:rPr>
          <w:rFonts w:hint="eastAsia"/>
        </w:rPr>
        <w:t>為該公司現階段必須積極面對之</w:t>
      </w:r>
      <w:r w:rsidRPr="002F243A">
        <w:rPr>
          <w:rFonts w:hint="eastAsia"/>
        </w:rPr>
        <w:t>課題</w:t>
      </w:r>
      <w:r w:rsidR="00B465DF">
        <w:rPr>
          <w:rFonts w:hint="eastAsia"/>
        </w:rPr>
        <w:t>，</w:t>
      </w:r>
      <w:r>
        <w:rPr>
          <w:rFonts w:hint="eastAsia"/>
        </w:rPr>
        <w:t>允宜</w:t>
      </w:r>
      <w:r w:rsidR="002B721A">
        <w:rPr>
          <w:rFonts w:hint="eastAsia"/>
        </w:rPr>
        <w:t>積極</w:t>
      </w:r>
      <w:r w:rsidRPr="002F243A">
        <w:rPr>
          <w:rFonts w:hint="eastAsia"/>
        </w:rPr>
        <w:t>改善</w:t>
      </w:r>
      <w:r>
        <w:rPr>
          <w:rFonts w:hint="eastAsia"/>
        </w:rPr>
        <w:t>。</w:t>
      </w:r>
    </w:p>
    <w:p w:rsidR="009E7591" w:rsidRDefault="009E7591" w:rsidP="002F243A">
      <w:pPr>
        <w:pStyle w:val="123"/>
        <w:ind w:left="1120" w:hanging="280"/>
      </w:pPr>
    </w:p>
    <w:p w:rsidR="009E7591" w:rsidRPr="00E10844" w:rsidRDefault="009E7591" w:rsidP="009E7591">
      <w:pPr>
        <w:pStyle w:val="142"/>
        <w:spacing w:line="460" w:lineRule="exact"/>
        <w:ind w:leftChars="50" w:left="897" w:hangingChars="270" w:hanging="757"/>
        <w:rPr>
          <w:rFonts w:hAnsi="標楷體"/>
          <w:b/>
          <w:sz w:val="28"/>
        </w:rPr>
      </w:pPr>
      <w:r w:rsidRPr="00E10844">
        <w:rPr>
          <w:rFonts w:hAnsi="標楷體"/>
          <w:b/>
          <w:sz w:val="28"/>
        </w:rPr>
        <w:t>表1  臺銀證券</w:t>
      </w:r>
      <w:r>
        <w:rPr>
          <w:rFonts w:hAnsi="標楷體"/>
          <w:b/>
          <w:sz w:val="28"/>
        </w:rPr>
        <w:t>10</w:t>
      </w:r>
      <w:r>
        <w:rPr>
          <w:rFonts w:hAnsi="標楷體" w:hint="eastAsia"/>
          <w:b/>
          <w:sz w:val="28"/>
        </w:rPr>
        <w:t>8</w:t>
      </w:r>
      <w:r w:rsidRPr="00E10844">
        <w:rPr>
          <w:rFonts w:hAnsi="標楷體"/>
          <w:b/>
          <w:sz w:val="28"/>
        </w:rPr>
        <w:t>至</w:t>
      </w:r>
      <w:r>
        <w:rPr>
          <w:rFonts w:hAnsi="標楷體"/>
          <w:b/>
          <w:sz w:val="28"/>
        </w:rPr>
        <w:t>114</w:t>
      </w:r>
      <w:r w:rsidRPr="00E10844">
        <w:rPr>
          <w:rFonts w:hAnsi="標楷體"/>
          <w:b/>
          <w:sz w:val="28"/>
        </w:rPr>
        <w:t>年</w:t>
      </w:r>
      <w:r>
        <w:rPr>
          <w:rFonts w:hAnsi="標楷體" w:hint="eastAsia"/>
          <w:b/>
          <w:sz w:val="28"/>
        </w:rPr>
        <w:t>證券經紀業務營運量值相關統計表</w:t>
      </w:r>
    </w:p>
    <w:p w:rsidR="009E7591" w:rsidRPr="00E10844" w:rsidRDefault="009E7591" w:rsidP="009E7591">
      <w:pPr>
        <w:pStyle w:val="142"/>
        <w:ind w:leftChars="50" w:left="788" w:hangingChars="270" w:hanging="648"/>
        <w:jc w:val="right"/>
        <w:rPr>
          <w:rFonts w:hAnsi="標楷體"/>
          <w:b/>
          <w:sz w:val="28"/>
        </w:rPr>
      </w:pPr>
      <w:r w:rsidRPr="00E10844">
        <w:rPr>
          <w:rFonts w:hAnsi="標楷體"/>
          <w:szCs w:val="24"/>
        </w:rPr>
        <w:t>單位：新臺幣</w:t>
      </w:r>
      <w:r>
        <w:rPr>
          <w:rFonts w:hAnsi="標楷體" w:hint="eastAsia"/>
          <w:szCs w:val="24"/>
        </w:rPr>
        <w:t>千</w:t>
      </w:r>
      <w:r w:rsidRPr="00E10844">
        <w:rPr>
          <w:rFonts w:hAnsi="標楷體"/>
          <w:szCs w:val="24"/>
        </w:rPr>
        <w:t>元</w:t>
      </w:r>
    </w:p>
    <w:tbl>
      <w:tblPr>
        <w:tblW w:w="8330"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418"/>
        <w:gridCol w:w="1914"/>
        <w:gridCol w:w="1666"/>
        <w:gridCol w:w="1666"/>
        <w:gridCol w:w="1666"/>
      </w:tblGrid>
      <w:tr w:rsidR="009E7591" w:rsidRPr="00E10844" w:rsidTr="0092210A">
        <w:tc>
          <w:tcPr>
            <w:tcW w:w="1418" w:type="dxa"/>
            <w:shd w:val="clear" w:color="auto" w:fill="auto"/>
            <w:vAlign w:val="center"/>
          </w:tcPr>
          <w:p w:rsidR="009E7591" w:rsidRPr="00F41D01" w:rsidRDefault="009E7591" w:rsidP="0092210A">
            <w:pPr>
              <w:pStyle w:val="142"/>
              <w:jc w:val="center"/>
              <w:rPr>
                <w:rFonts w:hAnsi="標楷體"/>
                <w:b/>
              </w:rPr>
            </w:pPr>
            <w:r w:rsidRPr="00F41D01">
              <w:rPr>
                <w:rFonts w:hAnsi="標楷體"/>
                <w:b/>
              </w:rPr>
              <w:t>年度</w:t>
            </w:r>
          </w:p>
        </w:tc>
        <w:tc>
          <w:tcPr>
            <w:tcW w:w="1914" w:type="dxa"/>
            <w:vAlign w:val="center"/>
          </w:tcPr>
          <w:p w:rsidR="009E7591" w:rsidRPr="00F41D01" w:rsidRDefault="009E7591" w:rsidP="0092210A">
            <w:pPr>
              <w:pStyle w:val="142"/>
              <w:jc w:val="center"/>
              <w:rPr>
                <w:rFonts w:hAnsi="標楷體"/>
                <w:b/>
              </w:rPr>
            </w:pPr>
            <w:r w:rsidRPr="00F41D01">
              <w:rPr>
                <w:rFonts w:hAnsi="標楷體" w:hint="eastAsia"/>
                <w:b/>
              </w:rPr>
              <w:t>營運量</w:t>
            </w:r>
          </w:p>
        </w:tc>
        <w:tc>
          <w:tcPr>
            <w:tcW w:w="1666" w:type="dxa"/>
            <w:vAlign w:val="center"/>
          </w:tcPr>
          <w:p w:rsidR="009E7591" w:rsidRPr="00F41D01" w:rsidRDefault="009E7591" w:rsidP="0092210A">
            <w:pPr>
              <w:pStyle w:val="142"/>
              <w:jc w:val="center"/>
              <w:rPr>
                <w:rFonts w:hAnsi="標楷體"/>
                <w:b/>
              </w:rPr>
            </w:pPr>
            <w:r w:rsidRPr="00F41D01">
              <w:rPr>
                <w:rFonts w:hAnsi="標楷體" w:hint="eastAsia"/>
                <w:b/>
              </w:rPr>
              <w:t>營運值</w:t>
            </w:r>
          </w:p>
        </w:tc>
        <w:tc>
          <w:tcPr>
            <w:tcW w:w="1666" w:type="dxa"/>
            <w:vAlign w:val="center"/>
          </w:tcPr>
          <w:p w:rsidR="009E7591" w:rsidRPr="00F41D01" w:rsidRDefault="009E7591" w:rsidP="0092210A">
            <w:pPr>
              <w:pStyle w:val="142"/>
              <w:jc w:val="center"/>
              <w:rPr>
                <w:rFonts w:hAnsi="標楷體"/>
                <w:b/>
              </w:rPr>
            </w:pPr>
            <w:r>
              <w:rPr>
                <w:rFonts w:hint="eastAsia"/>
                <w:b/>
              </w:rPr>
              <w:t>市占率</w:t>
            </w:r>
          </w:p>
        </w:tc>
        <w:tc>
          <w:tcPr>
            <w:tcW w:w="1666" w:type="dxa"/>
            <w:shd w:val="clear" w:color="auto" w:fill="auto"/>
            <w:vAlign w:val="center"/>
          </w:tcPr>
          <w:p w:rsidR="009E7591" w:rsidRPr="00F41D01" w:rsidRDefault="009E7591" w:rsidP="0092210A">
            <w:pPr>
              <w:pStyle w:val="142"/>
              <w:jc w:val="center"/>
              <w:rPr>
                <w:rFonts w:hAnsi="標楷體"/>
                <w:b/>
              </w:rPr>
            </w:pPr>
            <w:r w:rsidRPr="00F41D01">
              <w:rPr>
                <w:rFonts w:hAnsi="標楷體" w:hint="eastAsia"/>
                <w:b/>
              </w:rPr>
              <w:t>市占率排名</w:t>
            </w:r>
          </w:p>
        </w:tc>
      </w:tr>
      <w:tr w:rsidR="009E7591" w:rsidRPr="00E10844" w:rsidTr="0092210A">
        <w:tc>
          <w:tcPr>
            <w:tcW w:w="1418" w:type="dxa"/>
            <w:shd w:val="clear" w:color="auto" w:fill="auto"/>
            <w:vAlign w:val="center"/>
          </w:tcPr>
          <w:p w:rsidR="009E7591" w:rsidRPr="00697483" w:rsidRDefault="009E7591" w:rsidP="0092210A">
            <w:pPr>
              <w:pStyle w:val="142"/>
              <w:jc w:val="center"/>
              <w:rPr>
                <w:rFonts w:hAnsi="標楷體"/>
              </w:rPr>
            </w:pPr>
            <w:r w:rsidRPr="00697483">
              <w:rPr>
                <w:rFonts w:hAnsi="標楷體" w:hint="eastAsia"/>
              </w:rPr>
              <w:t>108</w:t>
            </w:r>
          </w:p>
        </w:tc>
        <w:tc>
          <w:tcPr>
            <w:tcW w:w="1914" w:type="dxa"/>
            <w:vAlign w:val="center"/>
          </w:tcPr>
          <w:p w:rsidR="009E7591" w:rsidRPr="00697483" w:rsidRDefault="009E7591" w:rsidP="0092210A">
            <w:pPr>
              <w:pStyle w:val="142"/>
              <w:jc w:val="right"/>
              <w:rPr>
                <w:rFonts w:hAnsi="標楷體"/>
              </w:rPr>
            </w:pPr>
            <w:r>
              <w:rPr>
                <w:rFonts w:hAnsi="標楷體" w:hint="eastAsia"/>
              </w:rPr>
              <w:t>775</w:t>
            </w:r>
            <w:r>
              <w:rPr>
                <w:rFonts w:hAnsi="標楷體"/>
              </w:rPr>
              <w:t>,493,840</w:t>
            </w:r>
          </w:p>
        </w:tc>
        <w:tc>
          <w:tcPr>
            <w:tcW w:w="1666" w:type="dxa"/>
            <w:vAlign w:val="center"/>
          </w:tcPr>
          <w:p w:rsidR="009E7591" w:rsidRPr="00697483" w:rsidRDefault="009E7591" w:rsidP="0092210A">
            <w:pPr>
              <w:pStyle w:val="142"/>
              <w:jc w:val="right"/>
              <w:rPr>
                <w:rFonts w:hAnsi="標楷體"/>
              </w:rPr>
            </w:pPr>
            <w:r>
              <w:rPr>
                <w:rFonts w:hAnsi="標楷體" w:hint="eastAsia"/>
              </w:rPr>
              <w:t>4</w:t>
            </w:r>
            <w:r>
              <w:rPr>
                <w:rFonts w:hAnsi="標楷體"/>
              </w:rPr>
              <w:t>16,074</w:t>
            </w:r>
          </w:p>
        </w:tc>
        <w:tc>
          <w:tcPr>
            <w:tcW w:w="1666" w:type="dxa"/>
            <w:vAlign w:val="center"/>
          </w:tcPr>
          <w:p w:rsidR="009E7591" w:rsidRPr="00697483" w:rsidRDefault="009E7591" w:rsidP="0092210A">
            <w:pPr>
              <w:pStyle w:val="142"/>
              <w:jc w:val="right"/>
              <w:rPr>
                <w:rFonts w:hAnsi="標楷體"/>
              </w:rPr>
            </w:pPr>
            <w:r>
              <w:rPr>
                <w:rFonts w:hAnsi="標楷體" w:hint="eastAsia"/>
              </w:rPr>
              <w:t>1.02%</w:t>
            </w:r>
          </w:p>
        </w:tc>
        <w:tc>
          <w:tcPr>
            <w:tcW w:w="1666" w:type="dxa"/>
            <w:shd w:val="clear" w:color="auto" w:fill="auto"/>
            <w:vAlign w:val="center"/>
          </w:tcPr>
          <w:p w:rsidR="009E7591" w:rsidRPr="00697483" w:rsidRDefault="009E7591" w:rsidP="0092210A">
            <w:pPr>
              <w:pStyle w:val="142"/>
              <w:jc w:val="right"/>
              <w:rPr>
                <w:rFonts w:hAnsi="標楷體"/>
              </w:rPr>
            </w:pPr>
            <w:r>
              <w:rPr>
                <w:rFonts w:hAnsi="標楷體" w:hint="eastAsia"/>
              </w:rPr>
              <w:t>25</w:t>
            </w:r>
          </w:p>
        </w:tc>
      </w:tr>
      <w:tr w:rsidR="009E7591" w:rsidRPr="00E10844" w:rsidTr="0092210A">
        <w:tc>
          <w:tcPr>
            <w:tcW w:w="1418" w:type="dxa"/>
            <w:shd w:val="clear" w:color="auto" w:fill="auto"/>
            <w:vAlign w:val="center"/>
          </w:tcPr>
          <w:p w:rsidR="009E7591" w:rsidRPr="00E10844" w:rsidRDefault="009E7591" w:rsidP="0092210A">
            <w:pPr>
              <w:pStyle w:val="142"/>
              <w:jc w:val="center"/>
              <w:rPr>
                <w:rFonts w:hAnsi="標楷體"/>
              </w:rPr>
            </w:pPr>
            <w:r>
              <w:rPr>
                <w:rFonts w:hAnsi="標楷體" w:hint="eastAsia"/>
              </w:rPr>
              <w:t>109</w:t>
            </w:r>
          </w:p>
        </w:tc>
        <w:tc>
          <w:tcPr>
            <w:tcW w:w="1914" w:type="dxa"/>
            <w:vAlign w:val="center"/>
          </w:tcPr>
          <w:p w:rsidR="009E7591" w:rsidRPr="00E10844" w:rsidRDefault="009E7591" w:rsidP="0092210A">
            <w:pPr>
              <w:pStyle w:val="142"/>
              <w:jc w:val="right"/>
              <w:rPr>
                <w:rFonts w:hAnsi="標楷體"/>
              </w:rPr>
            </w:pPr>
            <w:r>
              <w:rPr>
                <w:rFonts w:hAnsi="標楷體" w:hint="eastAsia"/>
              </w:rPr>
              <w:t>1</w:t>
            </w:r>
            <w:r>
              <w:rPr>
                <w:rFonts w:hAnsi="標楷體"/>
              </w:rPr>
              <w:t>,313,822,233</w:t>
            </w:r>
          </w:p>
        </w:tc>
        <w:tc>
          <w:tcPr>
            <w:tcW w:w="1666" w:type="dxa"/>
            <w:vAlign w:val="center"/>
          </w:tcPr>
          <w:p w:rsidR="009E7591" w:rsidRPr="00E10844" w:rsidRDefault="009E7591" w:rsidP="0092210A">
            <w:pPr>
              <w:pStyle w:val="142"/>
              <w:jc w:val="right"/>
              <w:rPr>
                <w:rFonts w:hAnsi="標楷體"/>
              </w:rPr>
            </w:pPr>
            <w:r>
              <w:rPr>
                <w:rFonts w:hAnsi="標楷體" w:hint="eastAsia"/>
              </w:rPr>
              <w:t>7</w:t>
            </w:r>
            <w:r>
              <w:rPr>
                <w:rFonts w:hAnsi="標楷體"/>
              </w:rPr>
              <w:t>00,757</w:t>
            </w:r>
          </w:p>
        </w:tc>
        <w:tc>
          <w:tcPr>
            <w:tcW w:w="1666" w:type="dxa"/>
            <w:vAlign w:val="center"/>
          </w:tcPr>
          <w:p w:rsidR="009E7591" w:rsidRPr="00E10844" w:rsidRDefault="009E7591" w:rsidP="0092210A">
            <w:pPr>
              <w:pStyle w:val="142"/>
              <w:jc w:val="right"/>
              <w:rPr>
                <w:rFonts w:hAnsi="標楷體"/>
              </w:rPr>
            </w:pPr>
            <w:r>
              <w:rPr>
                <w:rFonts w:hAnsi="標楷體" w:hint="eastAsia"/>
              </w:rPr>
              <w:t>1.05%</w:t>
            </w:r>
          </w:p>
        </w:tc>
        <w:tc>
          <w:tcPr>
            <w:tcW w:w="1666" w:type="dxa"/>
            <w:shd w:val="clear" w:color="auto" w:fill="auto"/>
            <w:vAlign w:val="center"/>
          </w:tcPr>
          <w:p w:rsidR="009E7591" w:rsidRPr="00E10844" w:rsidRDefault="009E7591" w:rsidP="0092210A">
            <w:pPr>
              <w:pStyle w:val="142"/>
              <w:jc w:val="right"/>
              <w:rPr>
                <w:rFonts w:hAnsi="標楷體"/>
              </w:rPr>
            </w:pPr>
            <w:r>
              <w:rPr>
                <w:rFonts w:hAnsi="標楷體" w:hint="eastAsia"/>
              </w:rPr>
              <w:t>24</w:t>
            </w:r>
          </w:p>
        </w:tc>
      </w:tr>
      <w:tr w:rsidR="009E7591" w:rsidRPr="00E10844" w:rsidTr="0092210A">
        <w:tc>
          <w:tcPr>
            <w:tcW w:w="1418" w:type="dxa"/>
            <w:shd w:val="clear" w:color="auto" w:fill="auto"/>
            <w:vAlign w:val="center"/>
          </w:tcPr>
          <w:p w:rsidR="009E7591" w:rsidRPr="00E10844" w:rsidRDefault="009E7591" w:rsidP="0092210A">
            <w:pPr>
              <w:pStyle w:val="142"/>
              <w:jc w:val="center"/>
              <w:rPr>
                <w:rFonts w:hAnsi="標楷體"/>
              </w:rPr>
            </w:pPr>
            <w:r>
              <w:rPr>
                <w:rFonts w:hAnsi="標楷體" w:hint="eastAsia"/>
              </w:rPr>
              <w:t>110</w:t>
            </w:r>
          </w:p>
        </w:tc>
        <w:tc>
          <w:tcPr>
            <w:tcW w:w="1914" w:type="dxa"/>
            <w:vAlign w:val="center"/>
          </w:tcPr>
          <w:p w:rsidR="009E7591" w:rsidRPr="00E10844" w:rsidRDefault="009E7591" w:rsidP="0092210A">
            <w:pPr>
              <w:pStyle w:val="142"/>
              <w:jc w:val="right"/>
              <w:rPr>
                <w:rFonts w:hAnsi="標楷體"/>
              </w:rPr>
            </w:pPr>
            <w:r>
              <w:rPr>
                <w:rFonts w:hAnsi="標楷體" w:hint="eastAsia"/>
              </w:rPr>
              <w:t>2</w:t>
            </w:r>
            <w:r>
              <w:rPr>
                <w:rFonts w:hAnsi="標楷體"/>
              </w:rPr>
              <w:t>,218,095,177</w:t>
            </w:r>
          </w:p>
        </w:tc>
        <w:tc>
          <w:tcPr>
            <w:tcW w:w="1666" w:type="dxa"/>
            <w:vAlign w:val="center"/>
          </w:tcPr>
          <w:p w:rsidR="009E7591" w:rsidRPr="00E10844" w:rsidRDefault="009E7591" w:rsidP="0092210A">
            <w:pPr>
              <w:pStyle w:val="142"/>
              <w:jc w:val="right"/>
              <w:rPr>
                <w:rFonts w:hAnsi="標楷體"/>
              </w:rPr>
            </w:pPr>
            <w:r>
              <w:rPr>
                <w:rFonts w:hAnsi="標楷體" w:hint="eastAsia"/>
              </w:rPr>
              <w:t>1</w:t>
            </w:r>
            <w:r>
              <w:rPr>
                <w:rFonts w:hAnsi="標楷體"/>
              </w:rPr>
              <w:t>,159,916</w:t>
            </w:r>
          </w:p>
        </w:tc>
        <w:tc>
          <w:tcPr>
            <w:tcW w:w="1666" w:type="dxa"/>
            <w:vAlign w:val="center"/>
          </w:tcPr>
          <w:p w:rsidR="009E7591" w:rsidRPr="00E10844" w:rsidRDefault="009E7591" w:rsidP="0092210A">
            <w:pPr>
              <w:pStyle w:val="142"/>
              <w:jc w:val="right"/>
              <w:rPr>
                <w:rFonts w:hAnsi="標楷體"/>
              </w:rPr>
            </w:pPr>
            <w:r>
              <w:rPr>
                <w:rFonts w:hAnsi="標楷體" w:hint="eastAsia"/>
              </w:rPr>
              <w:t>0.95%</w:t>
            </w:r>
          </w:p>
        </w:tc>
        <w:tc>
          <w:tcPr>
            <w:tcW w:w="1666" w:type="dxa"/>
            <w:shd w:val="clear" w:color="auto" w:fill="auto"/>
            <w:vAlign w:val="center"/>
          </w:tcPr>
          <w:p w:rsidR="009E7591" w:rsidRPr="00E10844" w:rsidRDefault="009E7591" w:rsidP="0092210A">
            <w:pPr>
              <w:pStyle w:val="142"/>
              <w:jc w:val="right"/>
              <w:rPr>
                <w:rFonts w:hAnsi="標楷體"/>
              </w:rPr>
            </w:pPr>
            <w:r>
              <w:rPr>
                <w:rFonts w:hAnsi="標楷體" w:hint="eastAsia"/>
              </w:rPr>
              <w:t>26</w:t>
            </w:r>
          </w:p>
        </w:tc>
      </w:tr>
      <w:tr w:rsidR="009E7591" w:rsidRPr="00E10844" w:rsidTr="0092210A">
        <w:tc>
          <w:tcPr>
            <w:tcW w:w="1418" w:type="dxa"/>
            <w:shd w:val="clear" w:color="auto" w:fill="auto"/>
            <w:vAlign w:val="center"/>
          </w:tcPr>
          <w:p w:rsidR="009E7591" w:rsidRPr="00E10844" w:rsidRDefault="009E7591" w:rsidP="0092210A">
            <w:pPr>
              <w:pStyle w:val="142"/>
              <w:jc w:val="center"/>
              <w:rPr>
                <w:rFonts w:hAnsi="標楷體"/>
              </w:rPr>
            </w:pPr>
            <w:r>
              <w:rPr>
                <w:rFonts w:hAnsi="標楷體" w:hint="eastAsia"/>
              </w:rPr>
              <w:t>111</w:t>
            </w:r>
          </w:p>
        </w:tc>
        <w:tc>
          <w:tcPr>
            <w:tcW w:w="1914" w:type="dxa"/>
            <w:vAlign w:val="center"/>
          </w:tcPr>
          <w:p w:rsidR="009E7591" w:rsidRPr="00E10844" w:rsidRDefault="009E7591" w:rsidP="0092210A">
            <w:pPr>
              <w:pStyle w:val="142"/>
              <w:jc w:val="right"/>
              <w:rPr>
                <w:rFonts w:hAnsi="標楷體"/>
              </w:rPr>
            </w:pPr>
            <w:r>
              <w:rPr>
                <w:rFonts w:hAnsi="標楷體" w:hint="eastAsia"/>
              </w:rPr>
              <w:t>1</w:t>
            </w:r>
            <w:r>
              <w:rPr>
                <w:rFonts w:hAnsi="標楷體"/>
              </w:rPr>
              <w:t>,300,910,581</w:t>
            </w:r>
          </w:p>
        </w:tc>
        <w:tc>
          <w:tcPr>
            <w:tcW w:w="1666" w:type="dxa"/>
            <w:vAlign w:val="center"/>
          </w:tcPr>
          <w:p w:rsidR="009E7591" w:rsidRPr="00E10844" w:rsidRDefault="009E7591" w:rsidP="0092210A">
            <w:pPr>
              <w:pStyle w:val="142"/>
              <w:jc w:val="right"/>
              <w:rPr>
                <w:rFonts w:hAnsi="標楷體"/>
              </w:rPr>
            </w:pPr>
            <w:r>
              <w:rPr>
                <w:rFonts w:hAnsi="標楷體" w:hint="eastAsia"/>
              </w:rPr>
              <w:t>6</w:t>
            </w:r>
            <w:r>
              <w:rPr>
                <w:rFonts w:hAnsi="標楷體"/>
              </w:rPr>
              <w:t>74,974</w:t>
            </w:r>
          </w:p>
        </w:tc>
        <w:tc>
          <w:tcPr>
            <w:tcW w:w="1666" w:type="dxa"/>
            <w:vAlign w:val="center"/>
          </w:tcPr>
          <w:p w:rsidR="009E7591" w:rsidRPr="00E10844" w:rsidRDefault="009E7591" w:rsidP="0092210A">
            <w:pPr>
              <w:pStyle w:val="142"/>
              <w:jc w:val="right"/>
              <w:rPr>
                <w:rFonts w:hAnsi="標楷體"/>
              </w:rPr>
            </w:pPr>
            <w:r>
              <w:rPr>
                <w:rFonts w:hAnsi="標楷體" w:hint="eastAsia"/>
              </w:rPr>
              <w:t>0.86%</w:t>
            </w:r>
          </w:p>
        </w:tc>
        <w:tc>
          <w:tcPr>
            <w:tcW w:w="1666" w:type="dxa"/>
            <w:shd w:val="clear" w:color="auto" w:fill="auto"/>
            <w:vAlign w:val="center"/>
          </w:tcPr>
          <w:p w:rsidR="009E7591" w:rsidRPr="00E10844" w:rsidRDefault="009E7591" w:rsidP="0092210A">
            <w:pPr>
              <w:pStyle w:val="142"/>
              <w:jc w:val="right"/>
              <w:rPr>
                <w:rFonts w:hAnsi="標楷體"/>
              </w:rPr>
            </w:pPr>
            <w:r>
              <w:rPr>
                <w:rFonts w:hAnsi="標楷體" w:hint="eastAsia"/>
              </w:rPr>
              <w:t>28</w:t>
            </w:r>
          </w:p>
        </w:tc>
      </w:tr>
      <w:tr w:rsidR="009E7591" w:rsidRPr="00E10844" w:rsidTr="0092210A">
        <w:tc>
          <w:tcPr>
            <w:tcW w:w="1418" w:type="dxa"/>
            <w:shd w:val="clear" w:color="auto" w:fill="auto"/>
            <w:vAlign w:val="center"/>
          </w:tcPr>
          <w:p w:rsidR="009E7591" w:rsidRPr="00E10844" w:rsidRDefault="009E7591" w:rsidP="0092210A">
            <w:pPr>
              <w:pStyle w:val="142"/>
              <w:jc w:val="center"/>
              <w:rPr>
                <w:rFonts w:hAnsi="標楷體"/>
              </w:rPr>
            </w:pPr>
            <w:r>
              <w:rPr>
                <w:rFonts w:hAnsi="標楷體" w:hint="eastAsia"/>
              </w:rPr>
              <w:t>112</w:t>
            </w:r>
          </w:p>
        </w:tc>
        <w:tc>
          <w:tcPr>
            <w:tcW w:w="1914" w:type="dxa"/>
            <w:vAlign w:val="center"/>
          </w:tcPr>
          <w:p w:rsidR="009E7591" w:rsidRPr="00E10844" w:rsidRDefault="009E7591" w:rsidP="0092210A">
            <w:pPr>
              <w:pStyle w:val="142"/>
              <w:jc w:val="right"/>
              <w:rPr>
                <w:rFonts w:hAnsi="標楷體"/>
              </w:rPr>
            </w:pPr>
            <w:r>
              <w:rPr>
                <w:rFonts w:hAnsi="標楷體" w:hint="eastAsia"/>
              </w:rPr>
              <w:t>1</w:t>
            </w:r>
            <w:r>
              <w:rPr>
                <w:rFonts w:hAnsi="標楷體"/>
              </w:rPr>
              <w:t>,433,928,552</w:t>
            </w:r>
          </w:p>
        </w:tc>
        <w:tc>
          <w:tcPr>
            <w:tcW w:w="1666" w:type="dxa"/>
            <w:vAlign w:val="center"/>
          </w:tcPr>
          <w:p w:rsidR="009E7591" w:rsidRPr="00E10844" w:rsidRDefault="009E7591" w:rsidP="0092210A">
            <w:pPr>
              <w:pStyle w:val="142"/>
              <w:jc w:val="right"/>
              <w:rPr>
                <w:rFonts w:hAnsi="標楷體"/>
              </w:rPr>
            </w:pPr>
            <w:r>
              <w:rPr>
                <w:rFonts w:hAnsi="標楷體" w:hint="eastAsia"/>
              </w:rPr>
              <w:t>7</w:t>
            </w:r>
            <w:r>
              <w:rPr>
                <w:rFonts w:hAnsi="標楷體"/>
              </w:rPr>
              <w:t>40,901</w:t>
            </w:r>
          </w:p>
        </w:tc>
        <w:tc>
          <w:tcPr>
            <w:tcW w:w="1666" w:type="dxa"/>
            <w:vAlign w:val="center"/>
          </w:tcPr>
          <w:p w:rsidR="009E7591" w:rsidRPr="00E10844" w:rsidRDefault="009E7591" w:rsidP="0092210A">
            <w:pPr>
              <w:pStyle w:val="142"/>
              <w:jc w:val="right"/>
              <w:rPr>
                <w:rFonts w:hAnsi="標楷體"/>
              </w:rPr>
            </w:pPr>
            <w:r>
              <w:rPr>
                <w:rFonts w:hAnsi="標楷體" w:hint="eastAsia"/>
              </w:rPr>
              <w:t>0.83%</w:t>
            </w:r>
          </w:p>
        </w:tc>
        <w:tc>
          <w:tcPr>
            <w:tcW w:w="1666" w:type="dxa"/>
            <w:shd w:val="clear" w:color="auto" w:fill="auto"/>
            <w:vAlign w:val="center"/>
          </w:tcPr>
          <w:p w:rsidR="009E7591" w:rsidRPr="00E10844" w:rsidRDefault="009E7591" w:rsidP="0092210A">
            <w:pPr>
              <w:pStyle w:val="142"/>
              <w:jc w:val="right"/>
              <w:rPr>
                <w:rFonts w:hAnsi="標楷體"/>
              </w:rPr>
            </w:pPr>
            <w:r>
              <w:rPr>
                <w:rFonts w:hAnsi="標楷體" w:hint="eastAsia"/>
              </w:rPr>
              <w:t>26</w:t>
            </w:r>
          </w:p>
        </w:tc>
      </w:tr>
      <w:tr w:rsidR="009E7591" w:rsidRPr="00E10844" w:rsidTr="0092210A">
        <w:tc>
          <w:tcPr>
            <w:tcW w:w="1418" w:type="dxa"/>
            <w:shd w:val="clear" w:color="auto" w:fill="auto"/>
            <w:vAlign w:val="center"/>
          </w:tcPr>
          <w:p w:rsidR="009E7591" w:rsidRPr="00E10844" w:rsidRDefault="009E7591" w:rsidP="0092210A">
            <w:pPr>
              <w:pStyle w:val="142"/>
              <w:jc w:val="center"/>
              <w:rPr>
                <w:rFonts w:hAnsi="標楷體"/>
              </w:rPr>
            </w:pPr>
            <w:r>
              <w:rPr>
                <w:rFonts w:hAnsi="標楷體" w:hint="eastAsia"/>
              </w:rPr>
              <w:t>113</w:t>
            </w:r>
          </w:p>
        </w:tc>
        <w:tc>
          <w:tcPr>
            <w:tcW w:w="1914" w:type="dxa"/>
            <w:vAlign w:val="center"/>
          </w:tcPr>
          <w:p w:rsidR="009E7591" w:rsidRPr="00E10844" w:rsidRDefault="009E7591" w:rsidP="0092210A">
            <w:pPr>
              <w:pStyle w:val="142"/>
              <w:jc w:val="right"/>
              <w:rPr>
                <w:rFonts w:hAnsi="標楷體"/>
              </w:rPr>
            </w:pPr>
            <w:r>
              <w:rPr>
                <w:rFonts w:hAnsi="標楷體" w:hint="eastAsia"/>
              </w:rPr>
              <w:t>1</w:t>
            </w:r>
            <w:r>
              <w:rPr>
                <w:rFonts w:hAnsi="標楷體"/>
              </w:rPr>
              <w:t>,170,565,200</w:t>
            </w:r>
          </w:p>
        </w:tc>
        <w:tc>
          <w:tcPr>
            <w:tcW w:w="1666" w:type="dxa"/>
            <w:vAlign w:val="center"/>
          </w:tcPr>
          <w:p w:rsidR="009E7591" w:rsidRPr="00E10844" w:rsidRDefault="009E7591" w:rsidP="0092210A">
            <w:pPr>
              <w:pStyle w:val="142"/>
              <w:jc w:val="right"/>
              <w:rPr>
                <w:rFonts w:hAnsi="標楷體"/>
              </w:rPr>
            </w:pPr>
            <w:r>
              <w:rPr>
                <w:rFonts w:hAnsi="標楷體" w:hint="eastAsia"/>
              </w:rPr>
              <w:t>6</w:t>
            </w:r>
            <w:r>
              <w:rPr>
                <w:rFonts w:hAnsi="標楷體"/>
              </w:rPr>
              <w:t>08,694</w:t>
            </w:r>
          </w:p>
        </w:tc>
        <w:tc>
          <w:tcPr>
            <w:tcW w:w="1666" w:type="dxa"/>
            <w:vAlign w:val="center"/>
          </w:tcPr>
          <w:p w:rsidR="009E7591" w:rsidRPr="00E10844" w:rsidRDefault="009E7591" w:rsidP="0092210A">
            <w:pPr>
              <w:pStyle w:val="142"/>
              <w:jc w:val="right"/>
              <w:rPr>
                <w:rFonts w:hAnsi="標楷體"/>
              </w:rPr>
            </w:pPr>
            <w:r>
              <w:rPr>
                <w:rFonts w:hAnsi="標楷體" w:hint="eastAsia"/>
              </w:rPr>
              <w:t>-</w:t>
            </w:r>
          </w:p>
        </w:tc>
        <w:tc>
          <w:tcPr>
            <w:tcW w:w="1666" w:type="dxa"/>
            <w:shd w:val="clear" w:color="auto" w:fill="auto"/>
            <w:vAlign w:val="center"/>
          </w:tcPr>
          <w:p w:rsidR="009E7591" w:rsidRPr="00E10844" w:rsidRDefault="009E7591" w:rsidP="0092210A">
            <w:pPr>
              <w:pStyle w:val="142"/>
              <w:jc w:val="right"/>
              <w:rPr>
                <w:rFonts w:hAnsi="標楷體"/>
              </w:rPr>
            </w:pPr>
            <w:r>
              <w:rPr>
                <w:rFonts w:hAnsi="標楷體" w:hint="eastAsia"/>
              </w:rPr>
              <w:t>-</w:t>
            </w:r>
          </w:p>
        </w:tc>
      </w:tr>
      <w:tr w:rsidR="009E7591" w:rsidRPr="00E10844" w:rsidTr="0092210A">
        <w:tc>
          <w:tcPr>
            <w:tcW w:w="1418" w:type="dxa"/>
            <w:shd w:val="clear" w:color="auto" w:fill="auto"/>
            <w:vAlign w:val="center"/>
          </w:tcPr>
          <w:p w:rsidR="009E7591" w:rsidRDefault="009E7591" w:rsidP="0092210A">
            <w:pPr>
              <w:pStyle w:val="142"/>
              <w:jc w:val="center"/>
              <w:rPr>
                <w:rFonts w:hAnsi="標楷體"/>
              </w:rPr>
            </w:pPr>
            <w:r>
              <w:rPr>
                <w:rFonts w:hAnsi="標楷體" w:hint="eastAsia"/>
              </w:rPr>
              <w:t>1</w:t>
            </w:r>
            <w:r>
              <w:rPr>
                <w:rFonts w:hAnsi="標楷體"/>
              </w:rPr>
              <w:t>14</w:t>
            </w:r>
          </w:p>
        </w:tc>
        <w:tc>
          <w:tcPr>
            <w:tcW w:w="1914" w:type="dxa"/>
            <w:vAlign w:val="center"/>
          </w:tcPr>
          <w:p w:rsidR="009E7591" w:rsidRDefault="009E7591" w:rsidP="0092210A">
            <w:pPr>
              <w:pStyle w:val="142"/>
              <w:jc w:val="right"/>
              <w:rPr>
                <w:rFonts w:hAnsi="標楷體"/>
              </w:rPr>
            </w:pPr>
            <w:r>
              <w:rPr>
                <w:rFonts w:hAnsi="標楷體" w:hint="eastAsia"/>
              </w:rPr>
              <w:t>1</w:t>
            </w:r>
            <w:r>
              <w:rPr>
                <w:rFonts w:hAnsi="標楷體"/>
              </w:rPr>
              <w:t>,300,000,000</w:t>
            </w:r>
          </w:p>
        </w:tc>
        <w:tc>
          <w:tcPr>
            <w:tcW w:w="1666" w:type="dxa"/>
            <w:vAlign w:val="center"/>
          </w:tcPr>
          <w:p w:rsidR="009E7591" w:rsidRDefault="009E7591" w:rsidP="0092210A">
            <w:pPr>
              <w:pStyle w:val="142"/>
              <w:jc w:val="right"/>
              <w:rPr>
                <w:rFonts w:hAnsi="標楷體"/>
              </w:rPr>
            </w:pPr>
            <w:r>
              <w:rPr>
                <w:rFonts w:hAnsi="標楷體" w:hint="eastAsia"/>
              </w:rPr>
              <w:t>6</w:t>
            </w:r>
            <w:r>
              <w:rPr>
                <w:rFonts w:hAnsi="標楷體"/>
              </w:rPr>
              <w:t>75,740</w:t>
            </w:r>
          </w:p>
        </w:tc>
        <w:tc>
          <w:tcPr>
            <w:tcW w:w="1666" w:type="dxa"/>
            <w:vAlign w:val="center"/>
          </w:tcPr>
          <w:p w:rsidR="009E7591" w:rsidRDefault="009E7591" w:rsidP="0092210A">
            <w:pPr>
              <w:pStyle w:val="142"/>
              <w:jc w:val="right"/>
              <w:rPr>
                <w:rFonts w:hAnsi="標楷體"/>
              </w:rPr>
            </w:pPr>
            <w:r>
              <w:rPr>
                <w:rFonts w:hAnsi="標楷體" w:hint="eastAsia"/>
              </w:rPr>
              <w:t>-</w:t>
            </w:r>
          </w:p>
        </w:tc>
        <w:tc>
          <w:tcPr>
            <w:tcW w:w="1666" w:type="dxa"/>
            <w:shd w:val="clear" w:color="auto" w:fill="auto"/>
            <w:vAlign w:val="center"/>
          </w:tcPr>
          <w:p w:rsidR="009E7591" w:rsidRDefault="009E7591" w:rsidP="0092210A">
            <w:pPr>
              <w:pStyle w:val="142"/>
              <w:jc w:val="right"/>
              <w:rPr>
                <w:rFonts w:hAnsi="標楷體"/>
              </w:rPr>
            </w:pPr>
            <w:r>
              <w:rPr>
                <w:rFonts w:hAnsi="標楷體" w:hint="eastAsia"/>
              </w:rPr>
              <w:t>-</w:t>
            </w:r>
          </w:p>
        </w:tc>
      </w:tr>
    </w:tbl>
    <w:p w:rsidR="009E7591" w:rsidRDefault="009E7591" w:rsidP="009E7591">
      <w:pPr>
        <w:pStyle w:val="142"/>
        <w:ind w:firstLineChars="59" w:firstLine="142"/>
        <w:rPr>
          <w:rFonts w:hAnsi="標楷體"/>
        </w:rPr>
      </w:pPr>
      <w:r w:rsidRPr="00E10844">
        <w:rPr>
          <w:rFonts w:hAnsi="標楷體"/>
        </w:rPr>
        <w:t>說    明：</w:t>
      </w:r>
      <w:r>
        <w:rPr>
          <w:rFonts w:hAnsi="標楷體" w:hint="eastAsia"/>
        </w:rPr>
        <w:t>1.108-11</w:t>
      </w:r>
      <w:r>
        <w:rPr>
          <w:rFonts w:hAnsi="標楷體"/>
        </w:rPr>
        <w:t>2</w:t>
      </w:r>
      <w:r>
        <w:rPr>
          <w:rFonts w:hAnsi="標楷體" w:hint="eastAsia"/>
        </w:rPr>
        <w:t>年度為決算數、</w:t>
      </w:r>
      <w:r w:rsidRPr="00E10844">
        <w:rPr>
          <w:rFonts w:hAnsi="標楷體"/>
        </w:rPr>
        <w:t>11</w:t>
      </w:r>
      <w:r>
        <w:rPr>
          <w:rFonts w:hAnsi="標楷體"/>
        </w:rPr>
        <w:t>3</w:t>
      </w:r>
      <w:r>
        <w:rPr>
          <w:rFonts w:hAnsi="標楷體" w:hint="eastAsia"/>
        </w:rPr>
        <w:t>及114年度為預算案數</w:t>
      </w:r>
      <w:r w:rsidRPr="00E10844">
        <w:rPr>
          <w:rFonts w:hAnsi="標楷體"/>
        </w:rPr>
        <w:t>。</w:t>
      </w:r>
    </w:p>
    <w:p w:rsidR="009E7591" w:rsidRPr="00E10844" w:rsidRDefault="009E7591" w:rsidP="009E7591">
      <w:pPr>
        <w:pStyle w:val="142"/>
        <w:ind w:firstLineChars="59" w:firstLine="142"/>
        <w:rPr>
          <w:rFonts w:hAnsi="標楷體"/>
        </w:rPr>
      </w:pPr>
      <w:r>
        <w:rPr>
          <w:rFonts w:hAnsi="標楷體" w:hint="eastAsia"/>
        </w:rPr>
        <w:t xml:space="preserve">          2.市占率為</w:t>
      </w:r>
      <w:r w:rsidRPr="00D377B4">
        <w:rPr>
          <w:rFonts w:hAnsi="標楷體" w:hint="eastAsia"/>
        </w:rPr>
        <w:t>營運量</w:t>
      </w:r>
      <w:r>
        <w:rPr>
          <w:rFonts w:hAnsi="標楷體" w:hint="eastAsia"/>
        </w:rPr>
        <w:t>占</w:t>
      </w:r>
      <w:r w:rsidRPr="00D377B4">
        <w:rPr>
          <w:rFonts w:hAnsi="標楷體" w:hint="eastAsia"/>
        </w:rPr>
        <w:t>整體市場</w:t>
      </w:r>
      <w:r>
        <w:rPr>
          <w:rFonts w:hAnsi="標楷體" w:hint="eastAsia"/>
        </w:rPr>
        <w:t>之</w:t>
      </w:r>
      <w:r w:rsidRPr="00D377B4">
        <w:rPr>
          <w:rFonts w:hAnsi="標楷體" w:hint="eastAsia"/>
        </w:rPr>
        <w:t>比率</w:t>
      </w:r>
      <w:r>
        <w:rPr>
          <w:rFonts w:hAnsi="標楷體" w:hint="eastAsia"/>
        </w:rPr>
        <w:t>。</w:t>
      </w:r>
    </w:p>
    <w:p w:rsidR="009E7591" w:rsidRPr="00E10844" w:rsidRDefault="009E7591" w:rsidP="009E7591">
      <w:pPr>
        <w:pStyle w:val="142"/>
        <w:ind w:firstLineChars="59" w:firstLine="142"/>
      </w:pPr>
      <w:r w:rsidRPr="00E10844">
        <w:rPr>
          <w:rFonts w:hAnsi="標楷體"/>
        </w:rPr>
        <w:t>資料來源：臺銀證券</w:t>
      </w:r>
      <w:r>
        <w:rPr>
          <w:rFonts w:hAnsi="標楷體" w:hint="eastAsia"/>
        </w:rPr>
        <w:t>各年度預算書及年報。</w:t>
      </w:r>
    </w:p>
    <w:p w:rsidR="00904607" w:rsidRPr="00E10844" w:rsidRDefault="00904607" w:rsidP="007F272F">
      <w:pPr>
        <w:ind w:left="560" w:firstLine="560"/>
        <w:rPr>
          <w:rFonts w:hAnsi="標楷體"/>
        </w:rPr>
      </w:pPr>
      <w:r w:rsidRPr="00E10844">
        <w:rPr>
          <w:rFonts w:hAnsi="標楷體"/>
          <w:color w:val="000000"/>
        </w:rPr>
        <w:t>綜上，</w:t>
      </w:r>
      <w:r w:rsidR="004F6906" w:rsidRPr="00E10844">
        <w:rPr>
          <w:rFonts w:hAnsi="標楷體"/>
          <w:color w:val="000000"/>
        </w:rPr>
        <w:t>臺銀證券</w:t>
      </w:r>
      <w:r w:rsidR="00F41D01">
        <w:rPr>
          <w:rFonts w:hAnsi="標楷體" w:hint="eastAsia"/>
        </w:rPr>
        <w:t>主要</w:t>
      </w:r>
      <w:r w:rsidR="00B465DF">
        <w:rPr>
          <w:rFonts w:hAnsi="標楷體" w:hint="eastAsia"/>
        </w:rPr>
        <w:t>營收</w:t>
      </w:r>
      <w:r w:rsidR="00F41D01">
        <w:rPr>
          <w:rFonts w:hAnsi="標楷體" w:hint="eastAsia"/>
        </w:rPr>
        <w:t>來自於證券經紀業務，</w:t>
      </w:r>
      <w:r w:rsidR="007D2709">
        <w:rPr>
          <w:rFonts w:hAnsi="標楷體" w:hint="eastAsia"/>
        </w:rPr>
        <w:t>114年度</w:t>
      </w:r>
      <w:r w:rsidR="009E7591">
        <w:rPr>
          <w:rFonts w:hAnsi="標楷體" w:hint="eastAsia"/>
        </w:rPr>
        <w:t>預算案</w:t>
      </w:r>
      <w:r w:rsidR="007D2709">
        <w:rPr>
          <w:rFonts w:hAnsi="標楷體" w:hint="eastAsia"/>
        </w:rPr>
        <w:t>證券經紀業務收入編列數</w:t>
      </w:r>
      <w:r w:rsidR="007D2709" w:rsidRPr="007D2709">
        <w:rPr>
          <w:rFonts w:hAnsi="標楷體" w:hint="eastAsia"/>
        </w:rPr>
        <w:t>雖較113年度為高，惟低於112年度決算數</w:t>
      </w:r>
      <w:r w:rsidR="007D2709">
        <w:rPr>
          <w:rFonts w:hAnsi="標楷體" w:hint="eastAsia"/>
        </w:rPr>
        <w:t>，且該公司</w:t>
      </w:r>
      <w:r w:rsidR="00F41D01">
        <w:rPr>
          <w:rFonts w:hAnsi="標楷體" w:hint="eastAsia"/>
          <w:color w:val="000000"/>
        </w:rPr>
        <w:t>109至</w:t>
      </w:r>
      <w:r w:rsidR="008A2F40">
        <w:rPr>
          <w:rFonts w:hAnsi="標楷體" w:hint="eastAsia"/>
          <w:color w:val="000000"/>
        </w:rPr>
        <w:t>112</w:t>
      </w:r>
      <w:r w:rsidR="00F41D01">
        <w:rPr>
          <w:rFonts w:hAnsi="標楷體" w:hint="eastAsia"/>
          <w:color w:val="000000"/>
        </w:rPr>
        <w:t>年度證券經紀</w:t>
      </w:r>
      <w:r w:rsidR="007D2709">
        <w:rPr>
          <w:rFonts w:hAnsi="標楷體" w:hint="eastAsia"/>
          <w:color w:val="000000"/>
        </w:rPr>
        <w:t>業務市占率</w:t>
      </w:r>
      <w:r w:rsidR="00B465DF">
        <w:rPr>
          <w:rFonts w:hAnsi="標楷體" w:hint="eastAsia"/>
          <w:color w:val="000000"/>
        </w:rPr>
        <w:t>逐年</w:t>
      </w:r>
      <w:r w:rsidR="008A2F40">
        <w:rPr>
          <w:rFonts w:hAnsi="標楷體" w:hint="eastAsia"/>
          <w:color w:val="000000"/>
        </w:rPr>
        <w:t>下降，市場排名亦呈落後</w:t>
      </w:r>
      <w:r w:rsidRPr="00E10844">
        <w:rPr>
          <w:rFonts w:hAnsi="標楷體"/>
        </w:rPr>
        <w:t>，</w:t>
      </w:r>
      <w:r w:rsidR="00F41D01">
        <w:rPr>
          <w:rFonts w:hAnsi="標楷體" w:hint="eastAsia"/>
        </w:rPr>
        <w:t>允宜</w:t>
      </w:r>
      <w:r w:rsidR="007D2709">
        <w:rPr>
          <w:rFonts w:hAnsi="標楷體" w:hint="eastAsia"/>
        </w:rPr>
        <w:t>持續檢討改進</w:t>
      </w:r>
      <w:r w:rsidR="00551818" w:rsidRPr="00E10844">
        <w:rPr>
          <w:rFonts w:hAnsi="標楷體"/>
        </w:rPr>
        <w:t>，俾</w:t>
      </w:r>
      <w:r w:rsidR="00F41D01">
        <w:rPr>
          <w:rFonts w:hAnsi="標楷體" w:hint="eastAsia"/>
        </w:rPr>
        <w:t>增裕收入及</w:t>
      </w:r>
      <w:r w:rsidR="00551818" w:rsidRPr="00E10844">
        <w:rPr>
          <w:rFonts w:hAnsi="標楷體"/>
        </w:rPr>
        <w:t>提升市場競爭力。</w:t>
      </w:r>
    </w:p>
    <w:p w:rsidR="005C6CB2" w:rsidRPr="00F41D01" w:rsidRDefault="005C6CB2" w:rsidP="0068779F">
      <w:pPr>
        <w:ind w:left="560" w:firstLine="560"/>
        <w:rPr>
          <w:rFonts w:hAnsi="標楷體"/>
        </w:rPr>
      </w:pPr>
    </w:p>
    <w:p w:rsidR="00796368" w:rsidRDefault="00C53B7D" w:rsidP="00D06A5A">
      <w:pPr>
        <w:pStyle w:val="14"/>
        <w:ind w:left="561" w:hanging="561"/>
        <w:rPr>
          <w:rFonts w:hAnsi="標楷體"/>
        </w:rPr>
      </w:pPr>
      <w:bookmarkStart w:id="23" w:name="_Toc181900904"/>
      <w:r w:rsidRPr="00E10844">
        <w:rPr>
          <w:rFonts w:hAnsi="標楷體"/>
        </w:rPr>
        <w:t>二</w:t>
      </w:r>
      <w:r w:rsidR="00C443C9" w:rsidRPr="00E10844">
        <w:rPr>
          <w:rFonts w:hAnsi="標楷體"/>
        </w:rPr>
        <w:t>、</w:t>
      </w:r>
      <w:r w:rsidR="007B06A0">
        <w:rPr>
          <w:rFonts w:hAnsi="標楷體" w:hint="eastAsia"/>
        </w:rPr>
        <w:t>截至</w:t>
      </w:r>
      <w:r w:rsidR="00A717EA">
        <w:rPr>
          <w:rFonts w:hAnsi="標楷體" w:hint="eastAsia"/>
        </w:rPr>
        <w:t>113年8月底止，線上開戶</w:t>
      </w:r>
      <w:r w:rsidR="007B06A0">
        <w:rPr>
          <w:rFonts w:hAnsi="標楷體" w:hint="eastAsia"/>
        </w:rPr>
        <w:t>數</w:t>
      </w:r>
      <w:r w:rsidR="00A717EA">
        <w:rPr>
          <w:rFonts w:hAnsi="標楷體" w:hint="eastAsia"/>
        </w:rPr>
        <w:t>占</w:t>
      </w:r>
      <w:r w:rsidR="008406C9">
        <w:rPr>
          <w:rFonts w:hAnsi="標楷體" w:hint="eastAsia"/>
        </w:rPr>
        <w:t>整體</w:t>
      </w:r>
      <w:r w:rsidR="00A717EA">
        <w:rPr>
          <w:rFonts w:hAnsi="標楷體" w:hint="eastAsia"/>
        </w:rPr>
        <w:t>開戶數</w:t>
      </w:r>
      <w:r w:rsidR="008406C9">
        <w:rPr>
          <w:rFonts w:hAnsi="標楷體" w:hint="eastAsia"/>
        </w:rPr>
        <w:t>比率不及</w:t>
      </w:r>
      <w:r w:rsidR="00A717EA">
        <w:rPr>
          <w:rFonts w:hAnsi="標楷體" w:hint="eastAsia"/>
        </w:rPr>
        <w:t>5%，允宜加強推廣，</w:t>
      </w:r>
      <w:r w:rsidR="00880D1D">
        <w:rPr>
          <w:rFonts w:hAnsi="標楷體" w:hint="eastAsia"/>
        </w:rPr>
        <w:t>以增進該類投資者運</w:t>
      </w:r>
      <w:r w:rsidR="009F78F7">
        <w:rPr>
          <w:rFonts w:hAnsi="標楷體" w:hint="eastAsia"/>
        </w:rPr>
        <w:t>用各類數位服務之意願，</w:t>
      </w:r>
      <w:r w:rsidR="00E83D21">
        <w:rPr>
          <w:rFonts w:hAnsi="標楷體" w:hint="eastAsia"/>
        </w:rPr>
        <w:t>促進</w:t>
      </w:r>
      <w:r w:rsidR="00E83D21" w:rsidRPr="00832729">
        <w:rPr>
          <w:rFonts w:hAnsi="標楷體" w:hint="eastAsia"/>
        </w:rPr>
        <w:t>數位金融服務</w:t>
      </w:r>
      <w:r w:rsidR="009F78F7">
        <w:rPr>
          <w:rFonts w:hAnsi="標楷體" w:hint="eastAsia"/>
        </w:rPr>
        <w:t>，</w:t>
      </w:r>
      <w:r w:rsidR="000911BD">
        <w:rPr>
          <w:rFonts w:hAnsi="標楷體" w:hint="eastAsia"/>
        </w:rPr>
        <w:t>俾</w:t>
      </w:r>
      <w:r w:rsidR="009F78F7">
        <w:rPr>
          <w:rFonts w:hAnsi="標楷體" w:hint="eastAsia"/>
        </w:rPr>
        <w:t>提升營業收入</w:t>
      </w:r>
      <w:bookmarkEnd w:id="23"/>
    </w:p>
    <w:p w:rsidR="00796368" w:rsidRDefault="00CE5640" w:rsidP="002D266C">
      <w:pPr>
        <w:ind w:left="560" w:firstLine="560"/>
        <w:rPr>
          <w:rFonts w:hAnsi="標楷體"/>
        </w:rPr>
      </w:pPr>
      <w:r w:rsidRPr="00E10844">
        <w:rPr>
          <w:rFonts w:hAnsi="標楷體"/>
        </w:rPr>
        <w:t>臺銀證券</w:t>
      </w:r>
      <w:r>
        <w:rPr>
          <w:rFonts w:hAnsi="標楷體"/>
        </w:rPr>
        <w:t>114</w:t>
      </w:r>
      <w:r w:rsidRPr="00E10844">
        <w:rPr>
          <w:rFonts w:hAnsi="標楷體"/>
        </w:rPr>
        <w:t>年度預算案</w:t>
      </w:r>
      <w:r>
        <w:rPr>
          <w:rFonts w:hAnsi="標楷體" w:hint="eastAsia"/>
        </w:rPr>
        <w:t>編列</w:t>
      </w:r>
      <w:r w:rsidRPr="00E10844">
        <w:rPr>
          <w:rFonts w:hAnsi="標楷體"/>
        </w:rPr>
        <w:t>營業收入</w:t>
      </w:r>
      <w:r>
        <w:rPr>
          <w:rFonts w:hAnsi="標楷體" w:hint="eastAsia"/>
        </w:rPr>
        <w:t>10</w:t>
      </w:r>
      <w:r w:rsidRPr="00E10844">
        <w:rPr>
          <w:rFonts w:hAnsi="標楷體"/>
        </w:rPr>
        <w:t>億</w:t>
      </w:r>
      <w:r>
        <w:rPr>
          <w:rFonts w:hAnsi="標楷體" w:hint="eastAsia"/>
        </w:rPr>
        <w:t>2</w:t>
      </w:r>
      <w:r w:rsidRPr="00E10844">
        <w:rPr>
          <w:rFonts w:hAnsi="標楷體"/>
        </w:rPr>
        <w:t>,</w:t>
      </w:r>
      <w:r>
        <w:rPr>
          <w:rFonts w:hAnsi="標楷體" w:hint="eastAsia"/>
        </w:rPr>
        <w:t>088</w:t>
      </w:r>
      <w:r w:rsidRPr="00E10844">
        <w:rPr>
          <w:rFonts w:hAnsi="標楷體"/>
        </w:rPr>
        <w:t>萬</w:t>
      </w:r>
      <w:r>
        <w:rPr>
          <w:rFonts w:hAnsi="標楷體" w:hint="eastAsia"/>
        </w:rPr>
        <w:t>5千</w:t>
      </w:r>
      <w:r w:rsidRPr="00E10844">
        <w:rPr>
          <w:rFonts w:hAnsi="標楷體"/>
        </w:rPr>
        <w:t>元，</w:t>
      </w:r>
      <w:r>
        <w:rPr>
          <w:rFonts w:hAnsi="標楷體" w:hint="eastAsia"/>
        </w:rPr>
        <w:t>較11</w:t>
      </w:r>
      <w:r>
        <w:rPr>
          <w:rFonts w:hAnsi="標楷體"/>
        </w:rPr>
        <w:t>3</w:t>
      </w:r>
      <w:r>
        <w:rPr>
          <w:rFonts w:hAnsi="標楷體" w:hint="eastAsia"/>
        </w:rPr>
        <w:t>年預算數增加8</w:t>
      </w:r>
      <w:r>
        <w:rPr>
          <w:rFonts w:hAnsi="標楷體"/>
        </w:rPr>
        <w:t>,</w:t>
      </w:r>
      <w:r>
        <w:rPr>
          <w:rFonts w:hAnsi="標楷體" w:hint="eastAsia"/>
        </w:rPr>
        <w:t>619萬9千元(增幅9.2%)</w:t>
      </w:r>
      <w:r w:rsidRPr="00E10844">
        <w:rPr>
          <w:rFonts w:hAnsi="標楷體"/>
        </w:rPr>
        <w:t>。經查：</w:t>
      </w:r>
    </w:p>
    <w:p w:rsidR="002D266C" w:rsidRPr="00CE5640" w:rsidRDefault="00CE5640" w:rsidP="00CE5640">
      <w:pPr>
        <w:pStyle w:val="a4"/>
        <w:ind w:left="840" w:hanging="280"/>
        <w:rPr>
          <w:rFonts w:hAnsi="標楷體"/>
          <w:b/>
        </w:rPr>
      </w:pPr>
      <w:r>
        <w:rPr>
          <w:rFonts w:hAnsi="標楷體" w:hint="eastAsia"/>
          <w:b/>
        </w:rPr>
        <w:t>(一)金管會自104年起推動</w:t>
      </w:r>
      <w:r w:rsidRPr="00CE5640">
        <w:rPr>
          <w:rFonts w:hAnsi="標楷體" w:hint="eastAsia"/>
          <w:b/>
        </w:rPr>
        <w:t>「打造數位化金融環境3.0」</w:t>
      </w:r>
    </w:p>
    <w:p w:rsidR="00CE5640" w:rsidRDefault="009A1DB5" w:rsidP="009A1DB5">
      <w:pPr>
        <w:pStyle w:val="21"/>
        <w:ind w:left="840" w:firstLine="560"/>
        <w:rPr>
          <w:rFonts w:hAnsi="標楷體"/>
        </w:rPr>
      </w:pPr>
      <w:r>
        <w:rPr>
          <w:rFonts w:hAnsi="標楷體" w:hint="eastAsia"/>
        </w:rPr>
        <w:t>據金融監督管理委員會(下稱金管會)銀行局說明，</w:t>
      </w:r>
      <w:r w:rsidRPr="009A1DB5">
        <w:rPr>
          <w:rFonts w:hAnsi="標楷體" w:hint="eastAsia"/>
        </w:rPr>
        <w:t>為協</w:t>
      </w:r>
      <w:r>
        <w:rPr>
          <w:rFonts w:hAnsi="標楷體" w:hint="eastAsia"/>
        </w:rPr>
        <w:t>助銀行因應數位化發展之商機，並提供民眾便利之數位化金融服務，該</w:t>
      </w:r>
      <w:r w:rsidRPr="009A1DB5">
        <w:rPr>
          <w:rFonts w:hAnsi="標楷體" w:hint="eastAsia"/>
        </w:rPr>
        <w:t>會自104年起推動「打造數位化金融環境3.0」</w:t>
      </w:r>
      <w:r>
        <w:rPr>
          <w:rStyle w:val="afc"/>
          <w:rFonts w:hAnsi="標楷體"/>
        </w:rPr>
        <w:footnoteReference w:id="1"/>
      </w:r>
      <w:r>
        <w:rPr>
          <w:rFonts w:hAnsi="標楷體" w:hint="eastAsia"/>
        </w:rPr>
        <w:t>，除</w:t>
      </w:r>
      <w:r w:rsidRPr="009A1DB5">
        <w:rPr>
          <w:rFonts w:hAnsi="標楷體" w:hint="eastAsia"/>
        </w:rPr>
        <w:t>銀行既有客戶得於線上辦理存款、授信、信用卡、財富管理、共同行銷等12項服務</w:t>
      </w:r>
      <w:r>
        <w:rPr>
          <w:rFonts w:hAnsi="標楷體" w:hint="eastAsia"/>
        </w:rPr>
        <w:t>外，並</w:t>
      </w:r>
      <w:r w:rsidRPr="009A1DB5">
        <w:rPr>
          <w:rFonts w:hAnsi="標楷體" w:hint="eastAsia"/>
        </w:rPr>
        <w:t>鬆綁新臺幣活期存款、數位外匯存款帳戶、數位定期存款帳戶等多項服務</w:t>
      </w:r>
      <w:r>
        <w:rPr>
          <w:rFonts w:hAnsi="標楷體" w:hint="eastAsia"/>
        </w:rPr>
        <w:t>，</w:t>
      </w:r>
      <w:r w:rsidRPr="009A1DB5">
        <w:rPr>
          <w:rFonts w:hAnsi="標楷體" w:hint="eastAsia"/>
        </w:rPr>
        <w:t>可以透過</w:t>
      </w:r>
      <w:r>
        <w:rPr>
          <w:rFonts w:hAnsi="標楷體" w:hint="eastAsia"/>
        </w:rPr>
        <w:t>線上</w:t>
      </w:r>
      <w:r w:rsidR="00762F90">
        <w:rPr>
          <w:rFonts w:hAnsi="標楷體" w:hint="eastAsia"/>
        </w:rPr>
        <w:t>網路</w:t>
      </w:r>
      <w:r w:rsidRPr="009A1DB5">
        <w:rPr>
          <w:rFonts w:hAnsi="標楷體" w:hint="eastAsia"/>
        </w:rPr>
        <w:t>完成數位存款帳戶開戶</w:t>
      </w:r>
      <w:r>
        <w:rPr>
          <w:rFonts w:hAnsi="標楷體" w:hint="eastAsia"/>
        </w:rPr>
        <w:t>。</w:t>
      </w:r>
      <w:r w:rsidR="00F75680">
        <w:rPr>
          <w:rFonts w:hAnsi="標楷體" w:hint="eastAsia"/>
        </w:rPr>
        <w:t>從</w:t>
      </w:r>
      <w:r>
        <w:rPr>
          <w:rFonts w:hAnsi="標楷體" w:hint="eastAsia"/>
        </w:rPr>
        <w:t>臺銀證券經營願景：「</w:t>
      </w:r>
      <w:r w:rsidRPr="009A1DB5">
        <w:rPr>
          <w:rFonts w:hAnsi="標楷體" w:hint="eastAsia"/>
        </w:rPr>
        <w:t>健全企業經營管理文化，</w:t>
      </w:r>
      <w:r w:rsidR="00762F90" w:rsidRPr="009A1DB5">
        <w:rPr>
          <w:rFonts w:hAnsi="標楷體" w:hint="eastAsia"/>
        </w:rPr>
        <w:t>提升數位金融戰力</w:t>
      </w:r>
      <w:r w:rsidRPr="009A1DB5">
        <w:rPr>
          <w:rFonts w:hAnsi="標楷體" w:hint="eastAsia"/>
        </w:rPr>
        <w:t>，</w:t>
      </w:r>
      <w:r>
        <w:rPr>
          <w:rFonts w:hAnsi="標楷體"/>
        </w:rPr>
        <w:t>…</w:t>
      </w:r>
      <w:r w:rsidRPr="009A1DB5">
        <w:rPr>
          <w:rFonts w:hAnsi="標楷體" w:hint="eastAsia"/>
        </w:rPr>
        <w:t>，建構全方位優質證券商</w:t>
      </w:r>
      <w:r>
        <w:rPr>
          <w:rFonts w:hAnsi="標楷體" w:hint="eastAsia"/>
        </w:rPr>
        <w:t>。」</w:t>
      </w:r>
      <w:r w:rsidR="00762F90">
        <w:rPr>
          <w:rFonts w:hAnsi="標楷體" w:hint="eastAsia"/>
        </w:rPr>
        <w:t>可知，</w:t>
      </w:r>
      <w:r w:rsidR="00F75680" w:rsidRPr="00762F90">
        <w:rPr>
          <w:rFonts w:hAnsi="標楷體" w:hint="eastAsia"/>
        </w:rPr>
        <w:t>完善有效率</w:t>
      </w:r>
      <w:r w:rsidR="00F75680">
        <w:rPr>
          <w:rFonts w:hAnsi="標楷體" w:hint="eastAsia"/>
        </w:rPr>
        <w:t>之</w:t>
      </w:r>
      <w:r w:rsidR="00F75680" w:rsidRPr="00762F90">
        <w:rPr>
          <w:rFonts w:hAnsi="標楷體" w:hint="eastAsia"/>
        </w:rPr>
        <w:t>資本市場平台</w:t>
      </w:r>
      <w:r w:rsidR="00F75680">
        <w:rPr>
          <w:rFonts w:hAnsi="標楷體" w:hint="eastAsia"/>
        </w:rPr>
        <w:t>，</w:t>
      </w:r>
      <w:r w:rsidR="00F75680" w:rsidRPr="009A1DB5">
        <w:rPr>
          <w:rFonts w:hAnsi="標楷體" w:hint="eastAsia"/>
        </w:rPr>
        <w:t>提升</w:t>
      </w:r>
      <w:r w:rsidR="00F75680">
        <w:rPr>
          <w:rFonts w:hAnsi="標楷體" w:hint="eastAsia"/>
        </w:rPr>
        <w:t>該公司</w:t>
      </w:r>
      <w:r w:rsidR="00F75680" w:rsidRPr="009A1DB5">
        <w:rPr>
          <w:rFonts w:hAnsi="標楷體" w:hint="eastAsia"/>
        </w:rPr>
        <w:t>數位金融戰力</w:t>
      </w:r>
      <w:r w:rsidR="00F75680">
        <w:rPr>
          <w:rFonts w:hAnsi="標楷體" w:hint="eastAsia"/>
        </w:rPr>
        <w:t>，並</w:t>
      </w:r>
      <w:r w:rsidR="00762F90" w:rsidRPr="00762F90">
        <w:rPr>
          <w:rFonts w:hAnsi="標楷體" w:hint="eastAsia"/>
        </w:rPr>
        <w:t>引導</w:t>
      </w:r>
      <w:r w:rsidR="00F75680">
        <w:rPr>
          <w:rFonts w:hAnsi="標楷體" w:hint="eastAsia"/>
        </w:rPr>
        <w:t>現有臺銀存款等</w:t>
      </w:r>
      <w:r w:rsidR="00762F90" w:rsidRPr="00762F90">
        <w:rPr>
          <w:rFonts w:hAnsi="標楷體" w:hint="eastAsia"/>
        </w:rPr>
        <w:t>客戶</w:t>
      </w:r>
      <w:r w:rsidR="00F75680">
        <w:rPr>
          <w:rFonts w:hAnsi="標楷體" w:hint="eastAsia"/>
        </w:rPr>
        <w:t>利用數位金融工具</w:t>
      </w:r>
      <w:r w:rsidR="00762F90">
        <w:rPr>
          <w:rFonts w:hAnsi="標楷體" w:hint="eastAsia"/>
        </w:rPr>
        <w:t>進行</w:t>
      </w:r>
      <w:r w:rsidR="00762F90" w:rsidRPr="00762F90">
        <w:rPr>
          <w:rFonts w:hAnsi="標楷體" w:hint="eastAsia"/>
        </w:rPr>
        <w:t>投資，</w:t>
      </w:r>
      <w:r w:rsidR="00F75680">
        <w:rPr>
          <w:rFonts w:hAnsi="標楷體" w:hint="eastAsia"/>
        </w:rPr>
        <w:t>預期</w:t>
      </w:r>
      <w:r w:rsidR="00762F90">
        <w:rPr>
          <w:rFonts w:hAnsi="標楷體" w:hint="eastAsia"/>
        </w:rPr>
        <w:t>可增加</w:t>
      </w:r>
      <w:r w:rsidR="00F75680">
        <w:rPr>
          <w:rFonts w:hAnsi="標楷體" w:hint="eastAsia"/>
        </w:rPr>
        <w:t>該公司之</w:t>
      </w:r>
      <w:r w:rsidR="00762F90">
        <w:rPr>
          <w:rFonts w:hAnsi="標楷體" w:hint="eastAsia"/>
        </w:rPr>
        <w:t>營業收入。</w:t>
      </w:r>
    </w:p>
    <w:p w:rsidR="00762F90" w:rsidRDefault="00762F90" w:rsidP="00762F90">
      <w:pPr>
        <w:pStyle w:val="a4"/>
        <w:ind w:left="840" w:hanging="280"/>
        <w:rPr>
          <w:rFonts w:hAnsi="標楷體"/>
          <w:b/>
        </w:rPr>
      </w:pPr>
      <w:r>
        <w:rPr>
          <w:rFonts w:hAnsi="標楷體" w:hint="eastAsia"/>
          <w:b/>
        </w:rPr>
        <w:t>(二)</w:t>
      </w:r>
      <w:r w:rsidR="007B06A0">
        <w:rPr>
          <w:rFonts w:hAnsi="標楷體" w:hint="eastAsia"/>
          <w:b/>
        </w:rPr>
        <w:t>截</w:t>
      </w:r>
      <w:r w:rsidR="007B06A0" w:rsidRPr="007B06A0">
        <w:rPr>
          <w:rFonts w:hAnsi="標楷體" w:hint="eastAsia"/>
          <w:b/>
        </w:rPr>
        <w:t>至113年8月底止，線上開戶數占整體開戶數比率不及5%</w:t>
      </w:r>
      <w:r w:rsidR="003F6EFD">
        <w:rPr>
          <w:rFonts w:hAnsi="標楷體" w:hint="eastAsia"/>
          <w:b/>
        </w:rPr>
        <w:t>，允宜加強推廣</w:t>
      </w:r>
    </w:p>
    <w:p w:rsidR="00F70473" w:rsidRDefault="009F78F7" w:rsidP="007B06A0">
      <w:pPr>
        <w:pStyle w:val="21"/>
        <w:ind w:left="840" w:firstLine="560"/>
        <w:rPr>
          <w:rFonts w:hAnsi="標楷體"/>
        </w:rPr>
      </w:pPr>
      <w:r>
        <w:rPr>
          <w:rFonts w:hAnsi="標楷體" w:hint="eastAsia"/>
        </w:rPr>
        <w:t>證券市場於</w:t>
      </w:r>
      <w:r w:rsidR="00F70473">
        <w:rPr>
          <w:rFonts w:hAnsi="標楷體" w:hint="eastAsia"/>
        </w:rPr>
        <w:t>1</w:t>
      </w:r>
      <w:r w:rsidR="00F70473">
        <w:rPr>
          <w:rFonts w:hAnsi="標楷體"/>
        </w:rPr>
        <w:t>12</w:t>
      </w:r>
      <w:r w:rsidR="00F70473">
        <w:rPr>
          <w:rFonts w:hAnsi="標楷體" w:hint="eastAsia"/>
        </w:rPr>
        <w:t>年</w:t>
      </w:r>
      <w:r w:rsidR="009E7591">
        <w:rPr>
          <w:rFonts w:hAnsi="標楷體" w:hint="eastAsia"/>
        </w:rPr>
        <w:t>度</w:t>
      </w:r>
      <w:r w:rsidR="00F70473">
        <w:rPr>
          <w:rFonts w:hAnsi="標楷體" w:hint="eastAsia"/>
        </w:rPr>
        <w:t>、113年1至8月間新增開戶數分別為49萬3千餘戶、53萬8千餘戶，其中40歲以下者約占</w:t>
      </w:r>
      <w:r w:rsidR="00C40BA7">
        <w:rPr>
          <w:rFonts w:hAnsi="標楷體" w:hint="eastAsia"/>
        </w:rPr>
        <w:t>42.5%、36.7%；同期間臺銀證券新增開戶數分別為1萬2千餘戶、9千餘戶，40歲以下者約占55.4%、57.1%，該比率分別高於證券市場達12.9個百分點、20.4個百分點，顯示新增開戶中</w:t>
      </w:r>
      <w:r w:rsidR="00E83D21">
        <w:rPr>
          <w:rFonts w:hAnsi="標楷體" w:hint="eastAsia"/>
        </w:rPr>
        <w:t>逾5成5</w:t>
      </w:r>
      <w:r w:rsidR="000911BD">
        <w:rPr>
          <w:rFonts w:hAnsi="標楷體" w:hint="eastAsia"/>
        </w:rPr>
        <w:t>為</w:t>
      </w:r>
      <w:r w:rsidR="00C40BA7">
        <w:rPr>
          <w:rFonts w:hAnsi="標楷體" w:hint="eastAsia"/>
        </w:rPr>
        <w:t>40歲以下較年輕族群</w:t>
      </w:r>
      <w:r>
        <w:rPr>
          <w:rFonts w:hAnsi="標楷體" w:hint="eastAsia"/>
        </w:rPr>
        <w:t>(詳表1)</w:t>
      </w:r>
      <w:r w:rsidR="00C40BA7">
        <w:rPr>
          <w:rFonts w:hAnsi="標楷體" w:hint="eastAsia"/>
        </w:rPr>
        <w:t>。</w:t>
      </w:r>
    </w:p>
    <w:p w:rsidR="00762F90" w:rsidRDefault="00D377B4" w:rsidP="007B06A0">
      <w:pPr>
        <w:pStyle w:val="21"/>
        <w:ind w:left="840" w:firstLine="560"/>
        <w:rPr>
          <w:rFonts w:hAnsi="標楷體"/>
        </w:rPr>
      </w:pPr>
      <w:r>
        <w:rPr>
          <w:rFonts w:hAnsi="標楷體" w:hint="eastAsia"/>
        </w:rPr>
        <w:t>據</w:t>
      </w:r>
      <w:r w:rsidR="007B06A0">
        <w:rPr>
          <w:rFonts w:hAnsi="標楷體" w:hint="eastAsia"/>
        </w:rPr>
        <w:t>臺銀證券</w:t>
      </w:r>
      <w:r w:rsidR="00C40BA7">
        <w:rPr>
          <w:rFonts w:hAnsi="標楷體" w:hint="eastAsia"/>
        </w:rPr>
        <w:t>統計前揭於</w:t>
      </w:r>
      <w:r w:rsidR="003F6EFD">
        <w:rPr>
          <w:rFonts w:hAnsi="標楷體" w:hint="eastAsia"/>
        </w:rPr>
        <w:t>112年</w:t>
      </w:r>
      <w:r w:rsidR="009E7591">
        <w:rPr>
          <w:rFonts w:hAnsi="標楷體" w:hint="eastAsia"/>
        </w:rPr>
        <w:t>度</w:t>
      </w:r>
      <w:r w:rsidR="003F6EFD">
        <w:rPr>
          <w:rFonts w:hAnsi="標楷體" w:hint="eastAsia"/>
        </w:rPr>
        <w:t>、</w:t>
      </w:r>
      <w:r w:rsidR="007B06A0">
        <w:rPr>
          <w:rFonts w:hAnsi="標楷體" w:hint="eastAsia"/>
        </w:rPr>
        <w:t>113年1至8月間</w:t>
      </w:r>
      <w:r w:rsidR="00C40BA7">
        <w:rPr>
          <w:rFonts w:hAnsi="標楷體" w:hint="eastAsia"/>
        </w:rPr>
        <w:t>於該公司之</w:t>
      </w:r>
      <w:r w:rsidR="007B06A0">
        <w:rPr>
          <w:rFonts w:hAnsi="標楷體" w:hint="eastAsia"/>
        </w:rPr>
        <w:t>新增開戶</w:t>
      </w:r>
      <w:r w:rsidR="000911BD">
        <w:rPr>
          <w:rFonts w:hAnsi="標楷體" w:hint="eastAsia"/>
        </w:rPr>
        <w:t>者</w:t>
      </w:r>
      <w:r w:rsidR="007B06A0">
        <w:rPr>
          <w:rFonts w:hAnsi="標楷體" w:hint="eastAsia"/>
        </w:rPr>
        <w:t>，其</w:t>
      </w:r>
      <w:r w:rsidR="000911BD">
        <w:rPr>
          <w:rFonts w:hAnsi="標楷體" w:hint="eastAsia"/>
        </w:rPr>
        <w:t>中</w:t>
      </w:r>
      <w:r w:rsidR="007B06A0">
        <w:rPr>
          <w:rFonts w:hAnsi="標楷體" w:hint="eastAsia"/>
        </w:rPr>
        <w:t>線上</w:t>
      </w:r>
      <w:r w:rsidR="003F6EFD">
        <w:rPr>
          <w:rFonts w:hAnsi="標楷體" w:hint="eastAsia"/>
        </w:rPr>
        <w:t>開戶數分別為1</w:t>
      </w:r>
      <w:r w:rsidR="003F6EFD">
        <w:rPr>
          <w:rFonts w:hAnsi="標楷體"/>
        </w:rPr>
        <w:t>,483</w:t>
      </w:r>
      <w:r w:rsidR="003F6EFD">
        <w:rPr>
          <w:rFonts w:hAnsi="標楷體" w:hint="eastAsia"/>
        </w:rPr>
        <w:t>戶、2,269戶，分占約11.4%、24.9%，線上開戶比率漸呈增加。惟截至113年8月底止，</w:t>
      </w:r>
      <w:r w:rsidR="009F78F7">
        <w:rPr>
          <w:rFonts w:hAnsi="標楷體" w:hint="eastAsia"/>
        </w:rPr>
        <w:t>累計</w:t>
      </w:r>
      <w:r w:rsidR="003F6EFD">
        <w:rPr>
          <w:rFonts w:hAnsi="標楷體" w:hint="eastAsia"/>
        </w:rPr>
        <w:t>線上開戶數1萬2,447戶，占臺銀證券整體開戶數</w:t>
      </w:r>
      <w:r w:rsidR="00832729">
        <w:rPr>
          <w:rFonts w:hAnsi="標楷體" w:hint="eastAsia"/>
        </w:rPr>
        <w:t>27萬4,150戶</w:t>
      </w:r>
      <w:r w:rsidR="003F6EFD">
        <w:rPr>
          <w:rFonts w:hAnsi="標楷體" w:hint="eastAsia"/>
        </w:rPr>
        <w:t>之4.5%，該比率仍有提升空間；</w:t>
      </w:r>
      <w:r w:rsidR="00C40BA7">
        <w:rPr>
          <w:rFonts w:hAnsi="標楷體" w:hint="eastAsia"/>
        </w:rPr>
        <w:t>另</w:t>
      </w:r>
      <w:r w:rsidR="003F6EFD">
        <w:rPr>
          <w:rFonts w:hAnsi="標楷體" w:hint="eastAsia"/>
        </w:rPr>
        <w:t>線上開戶數計1萬2</w:t>
      </w:r>
      <w:r w:rsidR="003F6EFD">
        <w:rPr>
          <w:rFonts w:hAnsi="標楷體"/>
        </w:rPr>
        <w:t>,447</w:t>
      </w:r>
      <w:r w:rsidR="003F6EFD">
        <w:rPr>
          <w:rFonts w:hAnsi="標楷體" w:hint="eastAsia"/>
        </w:rPr>
        <w:t>人</w:t>
      </w:r>
      <w:r w:rsidR="00C40BA7">
        <w:rPr>
          <w:rFonts w:hAnsi="標楷體" w:hint="eastAsia"/>
        </w:rPr>
        <w:t>中</w:t>
      </w:r>
      <w:r w:rsidR="003F6EFD">
        <w:rPr>
          <w:rFonts w:hAnsi="標楷體" w:hint="eastAsia"/>
        </w:rPr>
        <w:t>，40歲以下者計6</w:t>
      </w:r>
      <w:r w:rsidR="003F6EFD">
        <w:rPr>
          <w:rFonts w:hAnsi="標楷體"/>
        </w:rPr>
        <w:t>,</w:t>
      </w:r>
      <w:r w:rsidR="003F6EFD">
        <w:rPr>
          <w:rFonts w:hAnsi="標楷體" w:hint="eastAsia"/>
        </w:rPr>
        <w:t>933人，占比55.7%，鑑於該類族群對於數位金融工具等接受度</w:t>
      </w:r>
      <w:r w:rsidR="00832729">
        <w:rPr>
          <w:rFonts w:hAnsi="標楷體" w:hint="eastAsia"/>
        </w:rPr>
        <w:t>較高</w:t>
      </w:r>
      <w:r w:rsidR="003F6EFD">
        <w:rPr>
          <w:rFonts w:hAnsi="標楷體" w:hint="eastAsia"/>
        </w:rPr>
        <w:t>，允宜加強推廣，以提升</w:t>
      </w:r>
      <w:r w:rsidR="00832729" w:rsidRPr="00832729">
        <w:rPr>
          <w:rFonts w:hAnsi="標楷體" w:hint="eastAsia"/>
        </w:rPr>
        <w:t>數位金融服務</w:t>
      </w:r>
      <w:r w:rsidR="003F6EFD">
        <w:rPr>
          <w:rFonts w:hAnsi="標楷體" w:hint="eastAsia"/>
        </w:rPr>
        <w:t>。</w:t>
      </w:r>
    </w:p>
    <w:p w:rsidR="00E44B5C" w:rsidRDefault="00832729" w:rsidP="00C40BA7">
      <w:pPr>
        <w:tabs>
          <w:tab w:val="left" w:pos="1418"/>
        </w:tabs>
        <w:ind w:leftChars="102" w:left="1127" w:rightChars="-50" w:right="-140" w:hangingChars="300" w:hanging="841"/>
        <w:jc w:val="left"/>
        <w:rPr>
          <w:rFonts w:hAnsi="標楷體"/>
          <w:b/>
        </w:rPr>
      </w:pPr>
      <w:r w:rsidRPr="00E10844">
        <w:rPr>
          <w:rFonts w:hAnsi="標楷體"/>
          <w:b/>
        </w:rPr>
        <w:t>表1 臺銀證券</w:t>
      </w:r>
      <w:r>
        <w:rPr>
          <w:rFonts w:hAnsi="標楷體" w:hint="eastAsia"/>
          <w:b/>
        </w:rPr>
        <w:t>112</w:t>
      </w:r>
      <w:r w:rsidR="009E7591">
        <w:rPr>
          <w:rFonts w:hAnsi="標楷體" w:hint="eastAsia"/>
          <w:b/>
        </w:rPr>
        <w:t>年度</w:t>
      </w:r>
      <w:r w:rsidR="00E44B5C">
        <w:rPr>
          <w:rFonts w:hAnsi="標楷體" w:hint="eastAsia"/>
          <w:b/>
        </w:rPr>
        <w:t>及</w:t>
      </w:r>
      <w:r>
        <w:rPr>
          <w:rFonts w:hAnsi="標楷體" w:hint="eastAsia"/>
          <w:b/>
        </w:rPr>
        <w:t>113年</w:t>
      </w:r>
      <w:r w:rsidR="00E44B5C">
        <w:rPr>
          <w:rFonts w:hAnsi="標楷體" w:hint="eastAsia"/>
          <w:b/>
        </w:rPr>
        <w:t>1至</w:t>
      </w:r>
      <w:r>
        <w:rPr>
          <w:rFonts w:hAnsi="標楷體" w:hint="eastAsia"/>
          <w:b/>
        </w:rPr>
        <w:t>8月開戶人數統計概況</w:t>
      </w:r>
      <w:r w:rsidRPr="00E10844">
        <w:rPr>
          <w:rFonts w:hAnsi="標楷體"/>
          <w:b/>
        </w:rPr>
        <w:t>表</w:t>
      </w:r>
    </w:p>
    <w:p w:rsidR="00832729" w:rsidRPr="00E10844" w:rsidRDefault="00832729" w:rsidP="00E44B5C">
      <w:pPr>
        <w:tabs>
          <w:tab w:val="left" w:pos="1418"/>
        </w:tabs>
        <w:spacing w:line="400" w:lineRule="exact"/>
        <w:ind w:leftChars="102" w:left="1006" w:rightChars="-50" w:right="-140" w:hangingChars="300" w:hanging="720"/>
        <w:jc w:val="right"/>
        <w:rPr>
          <w:rFonts w:hAnsi="標楷體"/>
          <w:sz w:val="24"/>
          <w:szCs w:val="24"/>
        </w:rPr>
      </w:pPr>
      <w:r w:rsidRPr="00E10844">
        <w:rPr>
          <w:rFonts w:hAnsi="標楷體"/>
          <w:sz w:val="24"/>
          <w:szCs w:val="24"/>
        </w:rPr>
        <w:t>單位：</w:t>
      </w:r>
      <w:r>
        <w:rPr>
          <w:rFonts w:hAnsi="標楷體" w:hint="eastAsia"/>
          <w:sz w:val="24"/>
          <w:szCs w:val="24"/>
        </w:rPr>
        <w:t>戶數</w:t>
      </w:r>
      <w:r w:rsidR="00C40BA7">
        <w:rPr>
          <w:rFonts w:hAnsi="標楷體" w:hint="eastAsia"/>
          <w:sz w:val="24"/>
          <w:szCs w:val="24"/>
        </w:rPr>
        <w:t>；%</w:t>
      </w:r>
    </w:p>
    <w:tbl>
      <w:tblPr>
        <w:tblW w:w="0" w:type="auto"/>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0"/>
        <w:gridCol w:w="1399"/>
        <w:gridCol w:w="1400"/>
        <w:gridCol w:w="1058"/>
        <w:gridCol w:w="1334"/>
        <w:gridCol w:w="1270"/>
        <w:gridCol w:w="1108"/>
      </w:tblGrid>
      <w:tr w:rsidR="00C40BA7" w:rsidRPr="00E10844" w:rsidTr="00DF47C6">
        <w:tc>
          <w:tcPr>
            <w:tcW w:w="769" w:type="dxa"/>
            <w:shd w:val="clear" w:color="auto" w:fill="auto"/>
            <w:vAlign w:val="center"/>
          </w:tcPr>
          <w:p w:rsidR="00C40BA7" w:rsidRPr="00532A7C" w:rsidRDefault="00C40BA7" w:rsidP="00DF47C6">
            <w:pPr>
              <w:pStyle w:val="142"/>
              <w:jc w:val="center"/>
              <w:rPr>
                <w:b/>
              </w:rPr>
            </w:pPr>
            <w:r w:rsidRPr="00532A7C">
              <w:rPr>
                <w:b/>
              </w:rPr>
              <w:t>年度</w:t>
            </w:r>
          </w:p>
        </w:tc>
        <w:tc>
          <w:tcPr>
            <w:tcW w:w="1414" w:type="dxa"/>
            <w:shd w:val="clear" w:color="auto" w:fill="auto"/>
            <w:vAlign w:val="center"/>
          </w:tcPr>
          <w:p w:rsidR="00C40BA7" w:rsidRPr="00532A7C" w:rsidRDefault="00C40BA7" w:rsidP="00DF47C6">
            <w:pPr>
              <w:pStyle w:val="142"/>
              <w:jc w:val="center"/>
              <w:rPr>
                <w:b/>
              </w:rPr>
            </w:pPr>
            <w:r>
              <w:rPr>
                <w:rFonts w:hint="eastAsia"/>
                <w:b/>
              </w:rPr>
              <w:t>證券市場新增開戶數</w:t>
            </w:r>
            <w:r w:rsidR="00E83D21">
              <w:rPr>
                <w:rFonts w:hint="eastAsia"/>
                <w:b/>
              </w:rPr>
              <w:t>(</w:t>
            </w:r>
            <w:r>
              <w:rPr>
                <w:rFonts w:hint="eastAsia"/>
                <w:b/>
              </w:rPr>
              <w:t>A</w:t>
            </w:r>
            <w:r w:rsidR="00E83D21">
              <w:rPr>
                <w:rFonts w:hint="eastAsia"/>
                <w:b/>
              </w:rPr>
              <w:t>)</w:t>
            </w:r>
          </w:p>
        </w:tc>
        <w:tc>
          <w:tcPr>
            <w:tcW w:w="1415" w:type="dxa"/>
            <w:shd w:val="clear" w:color="auto" w:fill="auto"/>
            <w:vAlign w:val="center"/>
          </w:tcPr>
          <w:p w:rsidR="00C40BA7" w:rsidRPr="00532A7C" w:rsidRDefault="00C40BA7" w:rsidP="00DF47C6">
            <w:pPr>
              <w:pStyle w:val="142"/>
              <w:jc w:val="center"/>
              <w:rPr>
                <w:b/>
              </w:rPr>
            </w:pPr>
            <w:r>
              <w:rPr>
                <w:rFonts w:hint="eastAsia"/>
                <w:b/>
              </w:rPr>
              <w:t>A</w:t>
            </w:r>
            <w:r w:rsidR="009E7591">
              <w:rPr>
                <w:rFonts w:hint="eastAsia"/>
                <w:b/>
              </w:rPr>
              <w:t>中</w:t>
            </w:r>
            <w:r>
              <w:rPr>
                <w:b/>
              </w:rPr>
              <w:t>40</w:t>
            </w:r>
            <w:r>
              <w:rPr>
                <w:rFonts w:hint="eastAsia"/>
                <w:b/>
              </w:rPr>
              <w:t>歲以下戶數</w:t>
            </w:r>
            <w:r w:rsidR="00E83D21">
              <w:rPr>
                <w:rFonts w:hint="eastAsia"/>
                <w:b/>
              </w:rPr>
              <w:t>(</w:t>
            </w:r>
            <w:r>
              <w:rPr>
                <w:rFonts w:hint="eastAsia"/>
                <w:b/>
              </w:rPr>
              <w:t>B</w:t>
            </w:r>
            <w:r w:rsidR="00E83D21">
              <w:rPr>
                <w:rFonts w:hint="eastAsia"/>
                <w:b/>
              </w:rPr>
              <w:t>)</w:t>
            </w:r>
          </w:p>
        </w:tc>
        <w:tc>
          <w:tcPr>
            <w:tcW w:w="979" w:type="dxa"/>
            <w:vAlign w:val="center"/>
          </w:tcPr>
          <w:p w:rsidR="00C40BA7" w:rsidRPr="00F70473" w:rsidRDefault="00E83D21" w:rsidP="00DF47C6">
            <w:pPr>
              <w:pStyle w:val="142"/>
              <w:jc w:val="center"/>
              <w:rPr>
                <w:b/>
              </w:rPr>
            </w:pPr>
            <w:r>
              <w:rPr>
                <w:rFonts w:hint="eastAsia"/>
                <w:b/>
              </w:rPr>
              <w:t>(</w:t>
            </w:r>
            <w:r w:rsidR="00C40BA7">
              <w:rPr>
                <w:rFonts w:hint="eastAsia"/>
                <w:b/>
              </w:rPr>
              <w:t>B</w:t>
            </w:r>
            <w:r>
              <w:rPr>
                <w:rFonts w:hint="eastAsia"/>
                <w:b/>
              </w:rPr>
              <w:t>)</w:t>
            </w:r>
            <w:r w:rsidR="00C40BA7">
              <w:rPr>
                <w:rFonts w:hint="eastAsia"/>
                <w:b/>
              </w:rPr>
              <w:t>/</w:t>
            </w:r>
            <w:r>
              <w:rPr>
                <w:rFonts w:hint="eastAsia"/>
                <w:b/>
              </w:rPr>
              <w:t>(</w:t>
            </w:r>
            <w:r w:rsidR="00C40BA7">
              <w:rPr>
                <w:rFonts w:hint="eastAsia"/>
                <w:b/>
              </w:rPr>
              <w:t>A</w:t>
            </w:r>
            <w:r>
              <w:rPr>
                <w:rFonts w:hint="eastAsia"/>
                <w:b/>
              </w:rPr>
              <w:t>)</w:t>
            </w:r>
          </w:p>
        </w:tc>
        <w:tc>
          <w:tcPr>
            <w:tcW w:w="1352" w:type="dxa"/>
            <w:vAlign w:val="center"/>
          </w:tcPr>
          <w:p w:rsidR="00C40BA7" w:rsidRPr="00532A7C" w:rsidRDefault="00C40BA7" w:rsidP="00DF47C6">
            <w:pPr>
              <w:pStyle w:val="142"/>
              <w:jc w:val="center"/>
              <w:rPr>
                <w:b/>
              </w:rPr>
            </w:pPr>
            <w:r w:rsidRPr="00F70473">
              <w:rPr>
                <w:rFonts w:hint="eastAsia"/>
                <w:b/>
              </w:rPr>
              <w:t>臺銀證券</w:t>
            </w:r>
            <w:r>
              <w:rPr>
                <w:rFonts w:hint="eastAsia"/>
                <w:b/>
              </w:rPr>
              <w:t>新增開戶</w:t>
            </w:r>
            <w:r w:rsidR="00E83D21">
              <w:rPr>
                <w:rFonts w:hint="eastAsia"/>
                <w:b/>
              </w:rPr>
              <w:t>(</w:t>
            </w:r>
            <w:r>
              <w:rPr>
                <w:rFonts w:hint="eastAsia"/>
                <w:b/>
              </w:rPr>
              <w:t>C</w:t>
            </w:r>
            <w:r w:rsidR="00E83D21">
              <w:rPr>
                <w:rFonts w:hint="eastAsia"/>
                <w:b/>
              </w:rPr>
              <w:t>)</w:t>
            </w:r>
          </w:p>
        </w:tc>
        <w:tc>
          <w:tcPr>
            <w:tcW w:w="1290" w:type="dxa"/>
            <w:vAlign w:val="center"/>
          </w:tcPr>
          <w:p w:rsidR="00C40BA7" w:rsidRPr="00532A7C" w:rsidRDefault="00C40BA7" w:rsidP="00DF47C6">
            <w:pPr>
              <w:pStyle w:val="142"/>
              <w:jc w:val="center"/>
              <w:rPr>
                <w:b/>
              </w:rPr>
            </w:pPr>
            <w:r>
              <w:rPr>
                <w:rFonts w:hint="eastAsia"/>
                <w:b/>
              </w:rPr>
              <w:t>C</w:t>
            </w:r>
            <w:r w:rsidR="009E7591">
              <w:rPr>
                <w:rFonts w:hint="eastAsia"/>
                <w:b/>
              </w:rPr>
              <w:t>中</w:t>
            </w:r>
            <w:r>
              <w:rPr>
                <w:b/>
              </w:rPr>
              <w:t>40</w:t>
            </w:r>
            <w:r>
              <w:rPr>
                <w:rFonts w:hint="eastAsia"/>
                <w:b/>
              </w:rPr>
              <w:t>歲以下戶數</w:t>
            </w:r>
            <w:r w:rsidR="00E83D21">
              <w:rPr>
                <w:rFonts w:hint="eastAsia"/>
                <w:b/>
              </w:rPr>
              <w:t>(</w:t>
            </w:r>
            <w:r>
              <w:rPr>
                <w:rFonts w:hint="eastAsia"/>
                <w:b/>
              </w:rPr>
              <w:t>D</w:t>
            </w:r>
            <w:r w:rsidR="00E83D21">
              <w:rPr>
                <w:rFonts w:hint="eastAsia"/>
                <w:b/>
              </w:rPr>
              <w:t>)</w:t>
            </w:r>
          </w:p>
        </w:tc>
        <w:tc>
          <w:tcPr>
            <w:tcW w:w="1110" w:type="dxa"/>
            <w:vAlign w:val="center"/>
          </w:tcPr>
          <w:p w:rsidR="00C40BA7" w:rsidRDefault="00E83D21" w:rsidP="00DF47C6">
            <w:pPr>
              <w:pStyle w:val="142"/>
              <w:jc w:val="center"/>
              <w:rPr>
                <w:b/>
              </w:rPr>
            </w:pPr>
            <w:r>
              <w:rPr>
                <w:rFonts w:hint="eastAsia"/>
                <w:b/>
              </w:rPr>
              <w:t>(</w:t>
            </w:r>
            <w:r w:rsidR="00C40BA7">
              <w:rPr>
                <w:rFonts w:hint="eastAsia"/>
                <w:b/>
              </w:rPr>
              <w:t>D</w:t>
            </w:r>
            <w:r>
              <w:rPr>
                <w:b/>
              </w:rPr>
              <w:t>)</w:t>
            </w:r>
            <w:r w:rsidR="00C40BA7">
              <w:rPr>
                <w:rFonts w:hint="eastAsia"/>
                <w:b/>
              </w:rPr>
              <w:t>/</w:t>
            </w:r>
            <w:r>
              <w:rPr>
                <w:b/>
              </w:rPr>
              <w:t>(</w:t>
            </w:r>
            <w:r w:rsidR="00C40BA7">
              <w:rPr>
                <w:rFonts w:hint="eastAsia"/>
                <w:b/>
              </w:rPr>
              <w:t>C</w:t>
            </w:r>
            <w:r>
              <w:rPr>
                <w:b/>
              </w:rPr>
              <w:t>)</w:t>
            </w:r>
          </w:p>
        </w:tc>
      </w:tr>
      <w:tr w:rsidR="00C40BA7" w:rsidRPr="00E10844" w:rsidTr="00C40BA7">
        <w:tc>
          <w:tcPr>
            <w:tcW w:w="769" w:type="dxa"/>
            <w:shd w:val="clear" w:color="auto" w:fill="auto"/>
            <w:vAlign w:val="center"/>
          </w:tcPr>
          <w:p w:rsidR="00C40BA7" w:rsidRPr="00532A7C" w:rsidRDefault="00C40BA7" w:rsidP="00832729">
            <w:pPr>
              <w:pStyle w:val="142"/>
              <w:jc w:val="center"/>
            </w:pPr>
            <w:r>
              <w:rPr>
                <w:rFonts w:hint="eastAsia"/>
              </w:rPr>
              <w:t>112</w:t>
            </w:r>
          </w:p>
        </w:tc>
        <w:tc>
          <w:tcPr>
            <w:tcW w:w="1414" w:type="dxa"/>
            <w:shd w:val="clear" w:color="auto" w:fill="auto"/>
          </w:tcPr>
          <w:p w:rsidR="00C40BA7" w:rsidRPr="00532A7C" w:rsidRDefault="00C40BA7" w:rsidP="00832729">
            <w:pPr>
              <w:pStyle w:val="142"/>
              <w:jc w:val="right"/>
            </w:pPr>
            <w:r>
              <w:rPr>
                <w:rFonts w:hint="eastAsia"/>
              </w:rPr>
              <w:t>493</w:t>
            </w:r>
            <w:r>
              <w:t>,</w:t>
            </w:r>
            <w:r>
              <w:rPr>
                <w:rFonts w:hint="eastAsia"/>
              </w:rPr>
              <w:t>110</w:t>
            </w:r>
          </w:p>
        </w:tc>
        <w:tc>
          <w:tcPr>
            <w:tcW w:w="1415" w:type="dxa"/>
            <w:shd w:val="clear" w:color="auto" w:fill="auto"/>
            <w:vAlign w:val="center"/>
          </w:tcPr>
          <w:p w:rsidR="00C40BA7" w:rsidRPr="00532A7C" w:rsidRDefault="00C40BA7" w:rsidP="00832729">
            <w:pPr>
              <w:pStyle w:val="142"/>
              <w:jc w:val="right"/>
            </w:pPr>
            <w:r>
              <w:rPr>
                <w:rFonts w:hint="eastAsia"/>
              </w:rPr>
              <w:t>2</w:t>
            </w:r>
            <w:r>
              <w:t>09,589</w:t>
            </w:r>
          </w:p>
        </w:tc>
        <w:tc>
          <w:tcPr>
            <w:tcW w:w="979" w:type="dxa"/>
          </w:tcPr>
          <w:p w:rsidR="00C40BA7" w:rsidRDefault="00C40BA7" w:rsidP="00832729">
            <w:pPr>
              <w:pStyle w:val="142"/>
              <w:jc w:val="right"/>
            </w:pPr>
            <w:r>
              <w:rPr>
                <w:rFonts w:hint="eastAsia"/>
              </w:rPr>
              <w:t>42.5</w:t>
            </w:r>
          </w:p>
        </w:tc>
        <w:tc>
          <w:tcPr>
            <w:tcW w:w="1352" w:type="dxa"/>
          </w:tcPr>
          <w:p w:rsidR="00C40BA7" w:rsidRPr="00532A7C" w:rsidRDefault="00C40BA7" w:rsidP="00832729">
            <w:pPr>
              <w:pStyle w:val="142"/>
              <w:jc w:val="right"/>
            </w:pPr>
            <w:r>
              <w:rPr>
                <w:rFonts w:hint="eastAsia"/>
              </w:rPr>
              <w:t>12</w:t>
            </w:r>
            <w:r>
              <w:t>,986</w:t>
            </w:r>
          </w:p>
        </w:tc>
        <w:tc>
          <w:tcPr>
            <w:tcW w:w="1290" w:type="dxa"/>
            <w:vAlign w:val="center"/>
          </w:tcPr>
          <w:p w:rsidR="00C40BA7" w:rsidRPr="00532A7C" w:rsidRDefault="00C40BA7" w:rsidP="00832729">
            <w:pPr>
              <w:pStyle w:val="142"/>
              <w:jc w:val="right"/>
            </w:pPr>
            <w:r>
              <w:rPr>
                <w:rFonts w:hint="eastAsia"/>
              </w:rPr>
              <w:t>7</w:t>
            </w:r>
            <w:r>
              <w:t>,190</w:t>
            </w:r>
          </w:p>
        </w:tc>
        <w:tc>
          <w:tcPr>
            <w:tcW w:w="1110" w:type="dxa"/>
          </w:tcPr>
          <w:p w:rsidR="00C40BA7" w:rsidRDefault="00C40BA7" w:rsidP="00832729">
            <w:pPr>
              <w:pStyle w:val="142"/>
              <w:jc w:val="right"/>
            </w:pPr>
            <w:r>
              <w:rPr>
                <w:rFonts w:hint="eastAsia"/>
              </w:rPr>
              <w:t>55.4</w:t>
            </w:r>
          </w:p>
        </w:tc>
      </w:tr>
      <w:tr w:rsidR="00C40BA7" w:rsidRPr="00E10844" w:rsidTr="00C40BA7">
        <w:tc>
          <w:tcPr>
            <w:tcW w:w="769" w:type="dxa"/>
            <w:shd w:val="clear" w:color="auto" w:fill="auto"/>
            <w:vAlign w:val="center"/>
          </w:tcPr>
          <w:p w:rsidR="00C40BA7" w:rsidRPr="00532A7C" w:rsidRDefault="00C40BA7" w:rsidP="00832729">
            <w:pPr>
              <w:pStyle w:val="142"/>
              <w:jc w:val="center"/>
            </w:pPr>
            <w:r>
              <w:rPr>
                <w:rFonts w:hint="eastAsia"/>
              </w:rPr>
              <w:t>1</w:t>
            </w:r>
            <w:r>
              <w:t>13</w:t>
            </w:r>
          </w:p>
        </w:tc>
        <w:tc>
          <w:tcPr>
            <w:tcW w:w="1414" w:type="dxa"/>
            <w:shd w:val="clear" w:color="auto" w:fill="auto"/>
          </w:tcPr>
          <w:p w:rsidR="00C40BA7" w:rsidRPr="00532A7C" w:rsidRDefault="00C40BA7" w:rsidP="00832729">
            <w:pPr>
              <w:pStyle w:val="142"/>
              <w:jc w:val="right"/>
            </w:pPr>
            <w:r>
              <w:rPr>
                <w:rFonts w:hint="eastAsia"/>
              </w:rPr>
              <w:t>5</w:t>
            </w:r>
            <w:r>
              <w:t>38,810</w:t>
            </w:r>
          </w:p>
        </w:tc>
        <w:tc>
          <w:tcPr>
            <w:tcW w:w="1415" w:type="dxa"/>
            <w:shd w:val="clear" w:color="auto" w:fill="auto"/>
            <w:vAlign w:val="center"/>
          </w:tcPr>
          <w:p w:rsidR="00C40BA7" w:rsidRPr="00532A7C" w:rsidRDefault="00C40BA7" w:rsidP="00832729">
            <w:pPr>
              <w:pStyle w:val="142"/>
              <w:jc w:val="right"/>
            </w:pPr>
            <w:r>
              <w:rPr>
                <w:rFonts w:hint="eastAsia"/>
              </w:rPr>
              <w:t>1</w:t>
            </w:r>
            <w:r>
              <w:t>97,961</w:t>
            </w:r>
          </w:p>
        </w:tc>
        <w:tc>
          <w:tcPr>
            <w:tcW w:w="979" w:type="dxa"/>
          </w:tcPr>
          <w:p w:rsidR="00C40BA7" w:rsidRDefault="00C40BA7" w:rsidP="00832729">
            <w:pPr>
              <w:pStyle w:val="142"/>
              <w:jc w:val="right"/>
            </w:pPr>
            <w:r>
              <w:rPr>
                <w:rFonts w:hint="eastAsia"/>
              </w:rPr>
              <w:t>36.7</w:t>
            </w:r>
          </w:p>
        </w:tc>
        <w:tc>
          <w:tcPr>
            <w:tcW w:w="1352" w:type="dxa"/>
          </w:tcPr>
          <w:p w:rsidR="00C40BA7" w:rsidRPr="00532A7C" w:rsidRDefault="00C40BA7" w:rsidP="00832729">
            <w:pPr>
              <w:pStyle w:val="142"/>
              <w:jc w:val="right"/>
            </w:pPr>
            <w:r>
              <w:rPr>
                <w:rFonts w:hint="eastAsia"/>
              </w:rPr>
              <w:t>9</w:t>
            </w:r>
            <w:r>
              <w:t>,119</w:t>
            </w:r>
          </w:p>
        </w:tc>
        <w:tc>
          <w:tcPr>
            <w:tcW w:w="1290" w:type="dxa"/>
            <w:vAlign w:val="center"/>
          </w:tcPr>
          <w:p w:rsidR="00C40BA7" w:rsidRPr="00532A7C" w:rsidRDefault="00C40BA7" w:rsidP="00832729">
            <w:pPr>
              <w:pStyle w:val="142"/>
              <w:jc w:val="right"/>
            </w:pPr>
            <w:r>
              <w:t>5,208</w:t>
            </w:r>
          </w:p>
        </w:tc>
        <w:tc>
          <w:tcPr>
            <w:tcW w:w="1110" w:type="dxa"/>
          </w:tcPr>
          <w:p w:rsidR="00C40BA7" w:rsidRDefault="00C40BA7" w:rsidP="00832729">
            <w:pPr>
              <w:pStyle w:val="142"/>
              <w:jc w:val="right"/>
            </w:pPr>
            <w:r>
              <w:rPr>
                <w:rFonts w:hint="eastAsia"/>
              </w:rPr>
              <w:t>57.1</w:t>
            </w:r>
          </w:p>
        </w:tc>
      </w:tr>
    </w:tbl>
    <w:p w:rsidR="00832729" w:rsidRPr="00E10844" w:rsidRDefault="00832729" w:rsidP="00C40BA7">
      <w:pPr>
        <w:pStyle w:val="142"/>
        <w:ind w:firstLineChars="118" w:firstLine="283"/>
        <w:rPr>
          <w:rFonts w:hAnsi="標楷體"/>
        </w:rPr>
      </w:pPr>
      <w:r w:rsidRPr="00E10844">
        <w:rPr>
          <w:rFonts w:hAnsi="標楷體"/>
        </w:rPr>
        <w:t>說    明：11</w:t>
      </w:r>
      <w:r>
        <w:rPr>
          <w:rFonts w:hAnsi="標楷體"/>
        </w:rPr>
        <w:t>3</w:t>
      </w:r>
      <w:r w:rsidRPr="00E10844">
        <w:rPr>
          <w:rFonts w:hAnsi="標楷體"/>
        </w:rPr>
        <w:t>年度數據係截至8月底止。</w:t>
      </w:r>
    </w:p>
    <w:p w:rsidR="00832729" w:rsidRPr="007B06A0" w:rsidRDefault="00832729" w:rsidP="00F70473">
      <w:pPr>
        <w:pStyle w:val="142"/>
        <w:ind w:firstLineChars="118" w:firstLine="283"/>
        <w:rPr>
          <w:rFonts w:hAnsi="標楷體"/>
        </w:rPr>
      </w:pPr>
      <w:r>
        <w:rPr>
          <w:rFonts w:hAnsi="標楷體"/>
        </w:rPr>
        <w:t>資料來源：臺銀證券</w:t>
      </w:r>
      <w:r w:rsidRPr="00E10844">
        <w:rPr>
          <w:rFonts w:hAnsi="標楷體"/>
        </w:rPr>
        <w:t>。</w:t>
      </w:r>
    </w:p>
    <w:p w:rsidR="007B06A0" w:rsidRDefault="00832729" w:rsidP="00832729">
      <w:pPr>
        <w:ind w:left="560" w:firstLine="560"/>
      </w:pPr>
      <w:r w:rsidRPr="00E10844">
        <w:t>綜上，臺銀證券</w:t>
      </w:r>
      <w:r w:rsidR="00880D1D">
        <w:rPr>
          <w:rFonts w:hint="eastAsia"/>
        </w:rPr>
        <w:t>113年</w:t>
      </w:r>
      <w:r w:rsidR="000911BD">
        <w:rPr>
          <w:rFonts w:hint="eastAsia"/>
        </w:rPr>
        <w:t>1至</w:t>
      </w:r>
      <w:r w:rsidR="00880D1D">
        <w:rPr>
          <w:rFonts w:hint="eastAsia"/>
        </w:rPr>
        <w:t>8月間</w:t>
      </w:r>
      <w:r w:rsidR="009F78F7">
        <w:rPr>
          <w:rFonts w:hint="eastAsia"/>
        </w:rPr>
        <w:t>之</w:t>
      </w:r>
      <w:r w:rsidR="00880D1D">
        <w:rPr>
          <w:rFonts w:hint="eastAsia"/>
        </w:rPr>
        <w:t>新增開戶數</w:t>
      </w:r>
      <w:r w:rsidR="009F78F7">
        <w:rPr>
          <w:rFonts w:hint="eastAsia"/>
        </w:rPr>
        <w:t>，其中</w:t>
      </w:r>
      <w:r w:rsidR="00E83D21">
        <w:t>40</w:t>
      </w:r>
      <w:r w:rsidR="00E83D21">
        <w:rPr>
          <w:rFonts w:hint="eastAsia"/>
        </w:rPr>
        <w:t>歲以下</w:t>
      </w:r>
      <w:r w:rsidR="00D377B4">
        <w:rPr>
          <w:rFonts w:hint="eastAsia"/>
        </w:rPr>
        <w:t>者</w:t>
      </w:r>
      <w:r w:rsidR="00E83D21">
        <w:rPr>
          <w:rFonts w:hint="eastAsia"/>
        </w:rPr>
        <w:t>逾5成</w:t>
      </w:r>
      <w:r w:rsidR="000911BD">
        <w:rPr>
          <w:rFonts w:hint="eastAsia"/>
        </w:rPr>
        <w:t>7</w:t>
      </w:r>
      <w:r w:rsidR="00E83D21">
        <w:rPr>
          <w:rFonts w:hint="eastAsia"/>
        </w:rPr>
        <w:t>，較</w:t>
      </w:r>
      <w:r w:rsidR="00D377B4">
        <w:rPr>
          <w:rFonts w:hint="eastAsia"/>
        </w:rPr>
        <w:t>整體</w:t>
      </w:r>
      <w:r w:rsidR="00E83D21">
        <w:rPr>
          <w:rFonts w:hint="eastAsia"/>
        </w:rPr>
        <w:t>證券市場</w:t>
      </w:r>
      <w:r w:rsidR="00D377B4">
        <w:rPr>
          <w:rFonts w:hint="eastAsia"/>
        </w:rPr>
        <w:t>比率</w:t>
      </w:r>
      <w:r w:rsidR="00E83D21">
        <w:rPr>
          <w:rFonts w:hint="eastAsia"/>
        </w:rPr>
        <w:t>為高，顯示新增開戶</w:t>
      </w:r>
      <w:r w:rsidR="00D377B4">
        <w:rPr>
          <w:rFonts w:hint="eastAsia"/>
        </w:rPr>
        <w:t>數</w:t>
      </w:r>
      <w:r w:rsidR="00E83D21">
        <w:rPr>
          <w:rFonts w:hint="eastAsia"/>
        </w:rPr>
        <w:t>中多屬較年輕</w:t>
      </w:r>
      <w:r w:rsidR="009F78F7">
        <w:rPr>
          <w:rFonts w:hint="eastAsia"/>
        </w:rPr>
        <w:t>族群</w:t>
      </w:r>
      <w:r w:rsidR="00E83D21">
        <w:rPr>
          <w:rFonts w:hint="eastAsia"/>
        </w:rPr>
        <w:t>，</w:t>
      </w:r>
      <w:r w:rsidR="000911BD">
        <w:rPr>
          <w:rFonts w:hint="eastAsia"/>
        </w:rPr>
        <w:t>且</w:t>
      </w:r>
      <w:r w:rsidR="00E83D21">
        <w:rPr>
          <w:rFonts w:hAnsi="標楷體" w:hint="eastAsia"/>
        </w:rPr>
        <w:t>截至113年8月底止，</w:t>
      </w:r>
      <w:r w:rsidR="000911BD">
        <w:rPr>
          <w:rFonts w:hAnsi="標楷體" w:hint="eastAsia"/>
        </w:rPr>
        <w:t>累計</w:t>
      </w:r>
      <w:r w:rsidR="00E83D21">
        <w:rPr>
          <w:rFonts w:hAnsi="標楷體" w:hint="eastAsia"/>
        </w:rPr>
        <w:t>線上開戶數</w:t>
      </w:r>
      <w:r w:rsidR="000911BD">
        <w:rPr>
          <w:rFonts w:hAnsi="標楷體" w:hint="eastAsia"/>
        </w:rPr>
        <w:t>逾1萬2千餘人，其中40歲以下者逾5成5，惟線上開戶數</w:t>
      </w:r>
      <w:r w:rsidR="00E83D21">
        <w:rPr>
          <w:rFonts w:hAnsi="標楷體" w:hint="eastAsia"/>
        </w:rPr>
        <w:t>占該公司整體開戶數比率不及5%</w:t>
      </w:r>
      <w:r w:rsidR="00880D1D">
        <w:rPr>
          <w:rFonts w:hAnsi="標楷體" w:hint="eastAsia"/>
        </w:rPr>
        <w:t>，允宜加強推廣，以增進該類投資者運用各類數位服務之意願</w:t>
      </w:r>
      <w:r w:rsidR="00E83D21">
        <w:rPr>
          <w:rFonts w:hAnsi="標楷體" w:hint="eastAsia"/>
        </w:rPr>
        <w:t>，促進</w:t>
      </w:r>
      <w:r w:rsidR="00E83D21" w:rsidRPr="00832729">
        <w:rPr>
          <w:rFonts w:hAnsi="標楷體" w:hint="eastAsia"/>
        </w:rPr>
        <w:t>數位金融服務</w:t>
      </w:r>
      <w:r w:rsidR="00872DAD">
        <w:rPr>
          <w:rFonts w:hAnsi="標楷體" w:hint="eastAsia"/>
        </w:rPr>
        <w:t>，俾</w:t>
      </w:r>
      <w:r w:rsidR="009F78F7">
        <w:rPr>
          <w:rFonts w:hAnsi="標楷體" w:hint="eastAsia"/>
        </w:rPr>
        <w:t>提升營業收入</w:t>
      </w:r>
      <w:r w:rsidR="00E83D21">
        <w:rPr>
          <w:rFonts w:hAnsi="標楷體" w:hint="eastAsia"/>
        </w:rPr>
        <w:t>。</w:t>
      </w:r>
    </w:p>
    <w:p w:rsidR="00832729" w:rsidRPr="007B06A0" w:rsidRDefault="00832729" w:rsidP="007B06A0">
      <w:pPr>
        <w:pStyle w:val="21"/>
        <w:ind w:left="840" w:firstLine="561"/>
        <w:rPr>
          <w:rFonts w:hAnsi="標楷體"/>
          <w:b/>
        </w:rPr>
      </w:pPr>
    </w:p>
    <w:p w:rsidR="001060A0" w:rsidRPr="00E10844" w:rsidRDefault="00796368" w:rsidP="00EF7497">
      <w:pPr>
        <w:pStyle w:val="14"/>
        <w:ind w:left="561" w:hanging="561"/>
        <w:rPr>
          <w:rFonts w:hAnsi="標楷體"/>
        </w:rPr>
      </w:pPr>
      <w:bookmarkStart w:id="24" w:name="_Toc181900905"/>
      <w:r>
        <w:rPr>
          <w:rFonts w:hAnsi="標楷體" w:hint="eastAsia"/>
        </w:rPr>
        <w:t>三、</w:t>
      </w:r>
      <w:bookmarkEnd w:id="3"/>
      <w:bookmarkEnd w:id="4"/>
      <w:r w:rsidR="00D4064D">
        <w:rPr>
          <w:rFonts w:hAnsi="標楷體" w:hint="eastAsia"/>
        </w:rPr>
        <w:t>11</w:t>
      </w:r>
      <w:r w:rsidR="00FF056E">
        <w:rPr>
          <w:rFonts w:hAnsi="標楷體" w:hint="eastAsia"/>
        </w:rPr>
        <w:t>3</w:t>
      </w:r>
      <w:r w:rsidR="00D4064D">
        <w:rPr>
          <w:rFonts w:hAnsi="標楷體" w:hint="eastAsia"/>
        </w:rPr>
        <w:t>年</w:t>
      </w:r>
      <w:r w:rsidR="00D27D34">
        <w:rPr>
          <w:rFonts w:hAnsi="標楷體" w:hint="eastAsia"/>
        </w:rPr>
        <w:t>1至8月間</w:t>
      </w:r>
      <w:r w:rsidR="00FF056E">
        <w:rPr>
          <w:rFonts w:hAnsi="標楷體" w:hint="eastAsia"/>
        </w:rPr>
        <w:t>已2度發生鉅額</w:t>
      </w:r>
      <w:r w:rsidR="00053FDB" w:rsidRPr="00E10844">
        <w:rPr>
          <w:rFonts w:hAnsi="標楷體"/>
        </w:rPr>
        <w:t>違約</w:t>
      </w:r>
      <w:r w:rsidR="00FF056E">
        <w:rPr>
          <w:rFonts w:hAnsi="標楷體" w:hint="eastAsia"/>
        </w:rPr>
        <w:t>交割事件，合計</w:t>
      </w:r>
      <w:r w:rsidR="00053FDB" w:rsidRPr="00E10844">
        <w:rPr>
          <w:rFonts w:hAnsi="標楷體"/>
        </w:rPr>
        <w:t>金額</w:t>
      </w:r>
      <w:r w:rsidR="000E1D1D">
        <w:rPr>
          <w:rFonts w:hAnsi="標楷體" w:hint="eastAsia"/>
        </w:rPr>
        <w:t>逾</w:t>
      </w:r>
      <w:r w:rsidR="00FF056E">
        <w:rPr>
          <w:rFonts w:hAnsi="標楷體" w:hint="eastAsia"/>
        </w:rPr>
        <w:t>1億</w:t>
      </w:r>
      <w:r w:rsidR="00D40275">
        <w:rPr>
          <w:rFonts w:hAnsi="標楷體" w:hint="eastAsia"/>
        </w:rPr>
        <w:t>餘</w:t>
      </w:r>
      <w:r w:rsidR="00FF056E">
        <w:rPr>
          <w:rFonts w:hAnsi="標楷體" w:hint="eastAsia"/>
        </w:rPr>
        <w:t>元，</w:t>
      </w:r>
      <w:r w:rsidR="001060A0" w:rsidRPr="00E10844">
        <w:rPr>
          <w:rFonts w:hAnsi="標楷體"/>
        </w:rPr>
        <w:t>允</w:t>
      </w:r>
      <w:r w:rsidR="00FB3F76" w:rsidRPr="00E10844">
        <w:rPr>
          <w:rFonts w:hAnsi="標楷體"/>
        </w:rPr>
        <w:t>宜</w:t>
      </w:r>
      <w:r w:rsidR="00314527">
        <w:rPr>
          <w:rFonts w:hAnsi="標楷體" w:hint="eastAsia"/>
        </w:rPr>
        <w:t>強化</w:t>
      </w:r>
      <w:r w:rsidR="00D40275">
        <w:rPr>
          <w:rFonts w:hAnsi="標楷體" w:hint="eastAsia"/>
        </w:rPr>
        <w:t>客戶聯繫等</w:t>
      </w:r>
      <w:r w:rsidR="00FB3F76" w:rsidRPr="00E10844">
        <w:rPr>
          <w:rFonts w:hAnsi="標楷體"/>
        </w:rPr>
        <w:t>風險</w:t>
      </w:r>
      <w:r w:rsidR="00314527">
        <w:rPr>
          <w:rFonts w:hAnsi="標楷體" w:hint="eastAsia"/>
        </w:rPr>
        <w:t>控管</w:t>
      </w:r>
      <w:r w:rsidR="00D40275">
        <w:rPr>
          <w:rFonts w:hAnsi="標楷體" w:hint="eastAsia"/>
        </w:rPr>
        <w:t>措施</w:t>
      </w:r>
      <w:bookmarkEnd w:id="24"/>
    </w:p>
    <w:p w:rsidR="00196961" w:rsidRPr="00E10844" w:rsidRDefault="00FB3F76" w:rsidP="001060A0">
      <w:pPr>
        <w:ind w:left="560" w:firstLine="560"/>
        <w:rPr>
          <w:rFonts w:hAnsi="標楷體"/>
        </w:rPr>
      </w:pPr>
      <w:r w:rsidRPr="00E10844">
        <w:rPr>
          <w:rFonts w:hAnsi="標楷體"/>
        </w:rPr>
        <w:t>臺銀證券</w:t>
      </w:r>
      <w:r w:rsidR="00D27D34">
        <w:rPr>
          <w:rFonts w:hAnsi="標楷體"/>
        </w:rPr>
        <w:t>11</w:t>
      </w:r>
      <w:r w:rsidR="00D27D34">
        <w:rPr>
          <w:rFonts w:hAnsi="標楷體" w:hint="eastAsia"/>
        </w:rPr>
        <w:t>4</w:t>
      </w:r>
      <w:r w:rsidRPr="00E10844">
        <w:rPr>
          <w:rFonts w:hAnsi="標楷體"/>
        </w:rPr>
        <w:t>年度預算案</w:t>
      </w:r>
      <w:r w:rsidR="003D4055" w:rsidRPr="00E10844">
        <w:rPr>
          <w:rFonts w:hAnsi="標楷體"/>
        </w:rPr>
        <w:t>於</w:t>
      </w:r>
      <w:r w:rsidR="003D4055">
        <w:rPr>
          <w:rFonts w:hAnsi="標楷體" w:hint="eastAsia"/>
        </w:rPr>
        <w:t>「</w:t>
      </w:r>
      <w:r w:rsidR="003D4055" w:rsidRPr="00E10844">
        <w:rPr>
          <w:rFonts w:hAnsi="標楷體"/>
        </w:rPr>
        <w:t>營業收入</w:t>
      </w:r>
      <w:r w:rsidR="003D4055">
        <w:rPr>
          <w:rFonts w:hAnsi="標楷體" w:hint="eastAsia"/>
        </w:rPr>
        <w:t>-</w:t>
      </w:r>
      <w:r w:rsidR="003D4055" w:rsidRPr="00E10844">
        <w:rPr>
          <w:rFonts w:hAnsi="標楷體"/>
        </w:rPr>
        <w:t>金融保險收入</w:t>
      </w:r>
      <w:r w:rsidR="003D4055">
        <w:rPr>
          <w:rFonts w:hAnsi="標楷體" w:hint="eastAsia"/>
        </w:rPr>
        <w:t>」</w:t>
      </w:r>
      <w:r w:rsidR="003D4055" w:rsidRPr="00E10844">
        <w:rPr>
          <w:rFonts w:hAnsi="標楷體"/>
        </w:rPr>
        <w:t>項下編列「證券經紀及承銷收入」</w:t>
      </w:r>
      <w:r w:rsidR="003D4055">
        <w:rPr>
          <w:rFonts w:hAnsi="標楷體" w:hint="eastAsia"/>
        </w:rPr>
        <w:t>6</w:t>
      </w:r>
      <w:r w:rsidR="003D4055" w:rsidRPr="00E10844">
        <w:rPr>
          <w:rFonts w:hAnsi="標楷體"/>
        </w:rPr>
        <w:t>億</w:t>
      </w:r>
      <w:r w:rsidR="00D27D34">
        <w:rPr>
          <w:rFonts w:hAnsi="標楷體" w:hint="eastAsia"/>
        </w:rPr>
        <w:t>9</w:t>
      </w:r>
      <w:r w:rsidR="003D4055" w:rsidRPr="00E10844">
        <w:rPr>
          <w:rFonts w:hAnsi="標楷體"/>
        </w:rPr>
        <w:t>,</w:t>
      </w:r>
      <w:r w:rsidR="003D4055">
        <w:rPr>
          <w:rFonts w:hAnsi="標楷體" w:hint="eastAsia"/>
        </w:rPr>
        <w:t>0</w:t>
      </w:r>
      <w:r w:rsidR="00D27D34">
        <w:rPr>
          <w:rFonts w:hAnsi="標楷體" w:hint="eastAsia"/>
        </w:rPr>
        <w:t>44</w:t>
      </w:r>
      <w:r w:rsidR="003D4055" w:rsidRPr="00E10844">
        <w:rPr>
          <w:rFonts w:hAnsi="標楷體"/>
        </w:rPr>
        <w:t>萬千元</w:t>
      </w:r>
      <w:r w:rsidRPr="00E10844">
        <w:rPr>
          <w:rFonts w:hAnsi="標楷體"/>
        </w:rPr>
        <w:t>，較11</w:t>
      </w:r>
      <w:r w:rsidR="00D27D34">
        <w:rPr>
          <w:rFonts w:hAnsi="標楷體" w:hint="eastAsia"/>
        </w:rPr>
        <w:t>3</w:t>
      </w:r>
      <w:r w:rsidRPr="00E10844">
        <w:rPr>
          <w:rFonts w:hAnsi="標楷體"/>
        </w:rPr>
        <w:t>年度</w:t>
      </w:r>
      <w:r w:rsidR="00D27D34">
        <w:rPr>
          <w:rFonts w:hAnsi="標楷體" w:hint="eastAsia"/>
        </w:rPr>
        <w:t>增加6</w:t>
      </w:r>
      <w:r w:rsidRPr="00E10844">
        <w:rPr>
          <w:rFonts w:hAnsi="標楷體"/>
        </w:rPr>
        <w:t>,</w:t>
      </w:r>
      <w:r w:rsidR="00D27D34">
        <w:rPr>
          <w:rFonts w:hAnsi="標楷體" w:hint="eastAsia"/>
        </w:rPr>
        <w:t>733</w:t>
      </w:r>
      <w:r w:rsidRPr="00E10844">
        <w:rPr>
          <w:rFonts w:hAnsi="標楷體"/>
        </w:rPr>
        <w:t>萬</w:t>
      </w:r>
      <w:r w:rsidR="00D3056D">
        <w:rPr>
          <w:rFonts w:hAnsi="標楷體" w:hint="eastAsia"/>
        </w:rPr>
        <w:t>4</w:t>
      </w:r>
      <w:r w:rsidRPr="00E10844">
        <w:rPr>
          <w:rFonts w:hAnsi="標楷體"/>
        </w:rPr>
        <w:t>千元(</w:t>
      </w:r>
      <w:r w:rsidR="00D27D34">
        <w:rPr>
          <w:rFonts w:hAnsi="標楷體" w:hint="eastAsia"/>
        </w:rPr>
        <w:t>增</w:t>
      </w:r>
      <w:r w:rsidRPr="00E10844">
        <w:rPr>
          <w:rFonts w:hAnsi="標楷體"/>
        </w:rPr>
        <w:t>幅</w:t>
      </w:r>
      <w:r w:rsidR="00D3056D">
        <w:rPr>
          <w:rFonts w:hAnsi="標楷體" w:hint="eastAsia"/>
        </w:rPr>
        <w:t>1</w:t>
      </w:r>
      <w:r w:rsidR="00D27D34">
        <w:rPr>
          <w:rFonts w:hAnsi="標楷體" w:hint="eastAsia"/>
        </w:rPr>
        <w:t>0.8</w:t>
      </w:r>
      <w:r w:rsidRPr="00E10844">
        <w:rPr>
          <w:rFonts w:hAnsi="標楷體"/>
        </w:rPr>
        <w:t>%)；</w:t>
      </w:r>
      <w:r w:rsidR="00D66635" w:rsidRPr="00E10844">
        <w:rPr>
          <w:rFonts w:hAnsi="標楷體"/>
        </w:rPr>
        <w:t>證券經紀業務</w:t>
      </w:r>
      <w:r w:rsidR="0093721E">
        <w:rPr>
          <w:rFonts w:hAnsi="標楷體" w:hint="eastAsia"/>
        </w:rPr>
        <w:t>營運</w:t>
      </w:r>
      <w:r w:rsidR="00D66635" w:rsidRPr="00E10844">
        <w:rPr>
          <w:rFonts w:hAnsi="標楷體"/>
        </w:rPr>
        <w:t>量</w:t>
      </w:r>
      <w:r w:rsidR="00D27D34">
        <w:rPr>
          <w:rFonts w:hAnsi="標楷體" w:hint="eastAsia"/>
        </w:rPr>
        <w:t>114</w:t>
      </w:r>
      <w:r w:rsidR="00C213DC">
        <w:rPr>
          <w:rFonts w:hAnsi="標楷體" w:hint="eastAsia"/>
        </w:rPr>
        <w:t>年度</w:t>
      </w:r>
      <w:r w:rsidR="0093721E">
        <w:rPr>
          <w:rFonts w:hAnsi="標楷體" w:hint="eastAsia"/>
        </w:rPr>
        <w:t>預計為</w:t>
      </w:r>
      <w:r w:rsidR="00E8233C" w:rsidRPr="00E10844">
        <w:rPr>
          <w:rFonts w:hAnsi="標楷體"/>
        </w:rPr>
        <w:t>1兆</w:t>
      </w:r>
      <w:r w:rsidR="00D27D34">
        <w:rPr>
          <w:rFonts w:hAnsi="標楷體" w:hint="eastAsia"/>
        </w:rPr>
        <w:t>3</w:t>
      </w:r>
      <w:r w:rsidR="001F600F" w:rsidRPr="00E10844">
        <w:rPr>
          <w:rFonts w:hAnsi="標楷體"/>
        </w:rPr>
        <w:t>,</w:t>
      </w:r>
      <w:r w:rsidR="00D27D34">
        <w:rPr>
          <w:rFonts w:hAnsi="標楷體" w:hint="eastAsia"/>
        </w:rPr>
        <w:t>000</w:t>
      </w:r>
      <w:r w:rsidR="00D66635" w:rsidRPr="00E10844">
        <w:rPr>
          <w:rFonts w:hAnsi="標楷體"/>
        </w:rPr>
        <w:t>億元，較</w:t>
      </w:r>
      <w:r w:rsidR="00196961" w:rsidRPr="00E10844">
        <w:rPr>
          <w:rFonts w:hAnsi="標楷體"/>
        </w:rPr>
        <w:t>11</w:t>
      </w:r>
      <w:r w:rsidR="00D27D34">
        <w:rPr>
          <w:rFonts w:hAnsi="標楷體" w:hint="eastAsia"/>
        </w:rPr>
        <w:t>3</w:t>
      </w:r>
      <w:r w:rsidR="00D27D34">
        <w:rPr>
          <w:rFonts w:hAnsi="標楷體"/>
        </w:rPr>
        <w:t>年度</w:t>
      </w:r>
      <w:r w:rsidR="00D27D34">
        <w:rPr>
          <w:rFonts w:hAnsi="標楷體" w:hint="eastAsia"/>
        </w:rPr>
        <w:t>增加1</w:t>
      </w:r>
      <w:r w:rsidR="00196961" w:rsidRPr="00E10844">
        <w:rPr>
          <w:rFonts w:hAnsi="標楷體"/>
        </w:rPr>
        <w:t>,</w:t>
      </w:r>
      <w:r w:rsidR="00D27D34">
        <w:rPr>
          <w:rFonts w:hAnsi="標楷體" w:hint="eastAsia"/>
        </w:rPr>
        <w:t>294</w:t>
      </w:r>
      <w:r w:rsidR="00196961" w:rsidRPr="00E10844">
        <w:rPr>
          <w:rFonts w:hAnsi="標楷體"/>
        </w:rPr>
        <w:t>億</w:t>
      </w:r>
      <w:r w:rsidR="00D27D34">
        <w:rPr>
          <w:rFonts w:hAnsi="標楷體" w:hint="eastAsia"/>
        </w:rPr>
        <w:t>3,</w:t>
      </w:r>
      <w:r w:rsidR="00D27D34">
        <w:rPr>
          <w:rFonts w:hAnsi="標楷體"/>
        </w:rPr>
        <w:t>480</w:t>
      </w:r>
      <w:r w:rsidR="00196961" w:rsidRPr="00E10844">
        <w:rPr>
          <w:rFonts w:hAnsi="標楷體"/>
        </w:rPr>
        <w:t>萬</w:t>
      </w:r>
      <w:r w:rsidR="00D66635" w:rsidRPr="00E10844">
        <w:rPr>
          <w:rFonts w:hAnsi="標楷體"/>
        </w:rPr>
        <w:t>元</w:t>
      </w:r>
      <w:r w:rsidR="004A2212" w:rsidRPr="00E10844">
        <w:rPr>
          <w:rFonts w:hAnsi="標楷體"/>
        </w:rPr>
        <w:t>(</w:t>
      </w:r>
      <w:r w:rsidR="00D27D34">
        <w:rPr>
          <w:rFonts w:hAnsi="標楷體" w:hint="eastAsia"/>
        </w:rPr>
        <w:t>增幅11.1</w:t>
      </w:r>
      <w:r w:rsidR="00D66635" w:rsidRPr="00E10844">
        <w:rPr>
          <w:rFonts w:hAnsi="標楷體"/>
        </w:rPr>
        <w:t>%</w:t>
      </w:r>
      <w:r w:rsidR="004A2212" w:rsidRPr="00E10844">
        <w:rPr>
          <w:rFonts w:hAnsi="標楷體"/>
        </w:rPr>
        <w:t>)</w:t>
      </w:r>
      <w:r w:rsidR="00D66635" w:rsidRPr="00E10844">
        <w:rPr>
          <w:rFonts w:hAnsi="標楷體"/>
        </w:rPr>
        <w:t>。經查：</w:t>
      </w:r>
    </w:p>
    <w:p w:rsidR="00D66635" w:rsidRPr="00E10844" w:rsidRDefault="00D66635" w:rsidP="00D66635">
      <w:pPr>
        <w:pStyle w:val="a4"/>
        <w:ind w:left="840" w:hanging="280"/>
        <w:rPr>
          <w:rFonts w:hAnsi="標楷體"/>
          <w:b/>
        </w:rPr>
      </w:pPr>
      <w:r w:rsidRPr="00E10844">
        <w:rPr>
          <w:rFonts w:hAnsi="標楷體"/>
          <w:b/>
        </w:rPr>
        <w:t>(一)</w:t>
      </w:r>
      <w:r w:rsidR="00B465DF">
        <w:rPr>
          <w:rFonts w:hAnsi="標楷體" w:hint="eastAsia"/>
          <w:b/>
        </w:rPr>
        <w:t>自103年起開放當日沖銷交易，並於</w:t>
      </w:r>
      <w:r w:rsidR="00F841FB" w:rsidRPr="00E10844">
        <w:rPr>
          <w:rFonts w:hAnsi="標楷體"/>
          <w:b/>
        </w:rPr>
        <w:t>106年4月</w:t>
      </w:r>
      <w:r w:rsidR="009F78F7">
        <w:rPr>
          <w:rFonts w:hAnsi="標楷體"/>
          <w:b/>
        </w:rPr>
        <w:t>2</w:t>
      </w:r>
      <w:r w:rsidR="009F78F7">
        <w:rPr>
          <w:rFonts w:hAnsi="標楷體" w:hint="eastAsia"/>
          <w:b/>
        </w:rPr>
        <w:t>8</w:t>
      </w:r>
      <w:r w:rsidR="00F841FB" w:rsidRPr="00E10844">
        <w:rPr>
          <w:rFonts w:hAnsi="標楷體"/>
          <w:b/>
        </w:rPr>
        <w:t>日起</w:t>
      </w:r>
      <w:r w:rsidR="009E7591">
        <w:rPr>
          <w:rFonts w:hAnsi="標楷體" w:hint="eastAsia"/>
          <w:b/>
        </w:rPr>
        <w:t>實施</w:t>
      </w:r>
      <w:r w:rsidR="00F841FB" w:rsidRPr="00E10844">
        <w:rPr>
          <w:rFonts w:hAnsi="標楷體"/>
          <w:b/>
        </w:rPr>
        <w:t>當日沖銷證券交易稅減半</w:t>
      </w:r>
      <w:r w:rsidR="00D207BD" w:rsidRPr="00E10844">
        <w:rPr>
          <w:rFonts w:hAnsi="標楷體"/>
          <w:b/>
        </w:rPr>
        <w:t>課徵</w:t>
      </w:r>
    </w:p>
    <w:p w:rsidR="002F209F" w:rsidRPr="00E10844" w:rsidRDefault="00D66635" w:rsidP="002F209F">
      <w:pPr>
        <w:pStyle w:val="21"/>
        <w:ind w:left="840" w:firstLine="560"/>
        <w:rPr>
          <w:rFonts w:hAnsi="標楷體"/>
        </w:rPr>
      </w:pPr>
      <w:r w:rsidRPr="00E10844">
        <w:rPr>
          <w:rFonts w:hAnsi="標楷體"/>
        </w:rPr>
        <w:t>當日沖銷交易係指投資人與證券經紀商約定就其同一受託買賣帳戶於同一營業日，對主管機關指定之上市(櫃)有價證券，委託現款買進與現券賣出同種類有價證券成交後，就同種類有價證券相同數量部分相抵之普通交割買賣，按買賣沖銷後差價辦理款項交割。</w:t>
      </w:r>
      <w:r w:rsidR="00F841FB" w:rsidRPr="00E10844">
        <w:rPr>
          <w:rFonts w:hAnsi="標楷體"/>
        </w:rPr>
        <w:t>我國自103年</w:t>
      </w:r>
      <w:r w:rsidR="00790878">
        <w:rPr>
          <w:rFonts w:hAnsi="標楷體" w:hint="eastAsia"/>
        </w:rPr>
        <w:t>起</w:t>
      </w:r>
      <w:r w:rsidR="00772A34" w:rsidRPr="00E10844">
        <w:rPr>
          <w:rFonts w:hAnsi="標楷體"/>
        </w:rPr>
        <w:t>開放</w:t>
      </w:r>
      <w:r w:rsidR="00F841FB" w:rsidRPr="00E10844">
        <w:rPr>
          <w:rFonts w:hAnsi="標楷體"/>
        </w:rPr>
        <w:t>先買後賣</w:t>
      </w:r>
      <w:r w:rsidR="00772A34" w:rsidRPr="00E10844">
        <w:rPr>
          <w:rFonts w:hAnsi="標楷體"/>
        </w:rPr>
        <w:t>及先賣後買</w:t>
      </w:r>
      <w:r w:rsidR="00F841FB" w:rsidRPr="00E10844">
        <w:rPr>
          <w:rFonts w:hAnsi="標楷體"/>
        </w:rPr>
        <w:t>之當日沖銷交易，</w:t>
      </w:r>
      <w:r w:rsidR="00772A34" w:rsidRPr="00E10844">
        <w:rPr>
          <w:rFonts w:hAnsi="標楷體"/>
        </w:rPr>
        <w:t>並於</w:t>
      </w:r>
      <w:r w:rsidR="00F841FB" w:rsidRPr="00E10844">
        <w:rPr>
          <w:rFonts w:hAnsi="標楷體"/>
        </w:rPr>
        <w:t>106年4月2</w:t>
      </w:r>
      <w:r w:rsidR="009F78F7">
        <w:rPr>
          <w:rFonts w:hAnsi="標楷體" w:hint="eastAsia"/>
        </w:rPr>
        <w:t>8</w:t>
      </w:r>
      <w:r w:rsidR="00F841FB" w:rsidRPr="00E10844">
        <w:rPr>
          <w:rFonts w:hAnsi="標楷體"/>
        </w:rPr>
        <w:t>日起</w:t>
      </w:r>
      <w:r w:rsidR="00772A34" w:rsidRPr="00E10844">
        <w:rPr>
          <w:rFonts w:hAnsi="標楷體"/>
        </w:rPr>
        <w:t>減半課徵</w:t>
      </w:r>
      <w:r w:rsidR="00F841FB" w:rsidRPr="00E10844">
        <w:rPr>
          <w:rFonts w:hAnsi="標楷體"/>
        </w:rPr>
        <w:t>當日沖銷證券交易稅(</w:t>
      </w:r>
      <w:r w:rsidR="00B2060A">
        <w:rPr>
          <w:rFonts w:hAnsi="標楷體" w:hint="eastAsia"/>
        </w:rPr>
        <w:t>以</w:t>
      </w:r>
      <w:r w:rsidR="00F841FB" w:rsidRPr="00E10844">
        <w:rPr>
          <w:rFonts w:hAnsi="標楷體"/>
        </w:rPr>
        <w:t>下</w:t>
      </w:r>
      <w:r w:rsidR="00B2060A">
        <w:rPr>
          <w:rFonts w:hAnsi="標楷體" w:hint="eastAsia"/>
        </w:rPr>
        <w:t>簡</w:t>
      </w:r>
      <w:r w:rsidR="00F841FB" w:rsidRPr="00E10844">
        <w:rPr>
          <w:rFonts w:hAnsi="標楷體"/>
        </w:rPr>
        <w:t>稱證交稅)</w:t>
      </w:r>
      <w:r w:rsidR="00F841FB" w:rsidRPr="00E10844">
        <w:rPr>
          <w:rFonts w:hAnsi="標楷體"/>
          <w:vertAlign w:val="superscript"/>
        </w:rPr>
        <w:footnoteReference w:id="2"/>
      </w:r>
      <w:r w:rsidR="002F209F" w:rsidRPr="00E10844">
        <w:rPr>
          <w:rFonts w:hAnsi="標楷體"/>
        </w:rPr>
        <w:t>，該措施</w:t>
      </w:r>
      <w:r w:rsidR="001F600F" w:rsidRPr="00E10844">
        <w:rPr>
          <w:rFonts w:hAnsi="標楷體"/>
        </w:rPr>
        <w:t>業</w:t>
      </w:r>
      <w:r w:rsidR="002F209F" w:rsidRPr="00E10844">
        <w:rPr>
          <w:rFonts w:hAnsi="標楷體"/>
          <w:bCs/>
        </w:rPr>
        <w:t>延長至113年12月31日</w:t>
      </w:r>
      <w:r w:rsidR="002F209F" w:rsidRPr="00E10844">
        <w:rPr>
          <w:rFonts w:hAnsi="標楷體"/>
        </w:rPr>
        <w:t>。</w:t>
      </w:r>
    </w:p>
    <w:p w:rsidR="00D66635" w:rsidRPr="00E10844" w:rsidRDefault="00D66635" w:rsidP="00D66635">
      <w:pPr>
        <w:pStyle w:val="a4"/>
        <w:ind w:left="840" w:hanging="280"/>
        <w:rPr>
          <w:rFonts w:hAnsi="標楷體"/>
          <w:b/>
        </w:rPr>
      </w:pPr>
      <w:r w:rsidRPr="00E10844">
        <w:rPr>
          <w:rFonts w:hAnsi="標楷體"/>
          <w:b/>
        </w:rPr>
        <w:t>(二)</w:t>
      </w:r>
      <w:r w:rsidR="00A8677C" w:rsidRPr="00E10844">
        <w:rPr>
          <w:rFonts w:hAnsi="標楷體"/>
          <w:b/>
        </w:rPr>
        <w:t>自</w:t>
      </w:r>
      <w:r w:rsidR="00B11312" w:rsidRPr="00E10844">
        <w:rPr>
          <w:rFonts w:hAnsi="標楷體"/>
          <w:b/>
        </w:rPr>
        <w:t>103</w:t>
      </w:r>
      <w:r w:rsidR="009E7591">
        <w:rPr>
          <w:rFonts w:hAnsi="標楷體"/>
          <w:b/>
        </w:rPr>
        <w:t>年度</w:t>
      </w:r>
      <w:r w:rsidR="009E7591">
        <w:rPr>
          <w:rFonts w:hAnsi="標楷體" w:hint="eastAsia"/>
          <w:b/>
        </w:rPr>
        <w:t>開放</w:t>
      </w:r>
      <w:r w:rsidR="00A8677C" w:rsidRPr="00E10844">
        <w:rPr>
          <w:rFonts w:hAnsi="標楷體"/>
          <w:b/>
        </w:rPr>
        <w:t>當日沖銷交易</w:t>
      </w:r>
      <w:r w:rsidR="009E7591">
        <w:rPr>
          <w:rFonts w:hAnsi="標楷體" w:hint="eastAsia"/>
          <w:b/>
        </w:rPr>
        <w:t>起，當日沖銷交易金額</w:t>
      </w:r>
      <w:r w:rsidR="00A8677C" w:rsidRPr="00E10844">
        <w:rPr>
          <w:rFonts w:hAnsi="標楷體"/>
          <w:b/>
        </w:rPr>
        <w:t>及違約交割金額均呈增加趨勢，</w:t>
      </w:r>
      <w:r w:rsidR="00F841FB" w:rsidRPr="00E10844">
        <w:rPr>
          <w:rFonts w:hAnsi="標楷體"/>
          <w:b/>
        </w:rPr>
        <w:t>允宜</w:t>
      </w:r>
      <w:r w:rsidR="00314527" w:rsidRPr="00314527">
        <w:rPr>
          <w:rFonts w:hAnsi="標楷體" w:hint="eastAsia"/>
          <w:b/>
        </w:rPr>
        <w:t>強化風險控管</w:t>
      </w:r>
      <w:r w:rsidR="00F841FB" w:rsidRPr="00E10844">
        <w:rPr>
          <w:rFonts w:hAnsi="標楷體"/>
          <w:b/>
        </w:rPr>
        <w:t>，以減少違約交割情形發生</w:t>
      </w:r>
    </w:p>
    <w:p w:rsidR="00D4064D" w:rsidRDefault="004F6906" w:rsidP="001A42FD">
      <w:pPr>
        <w:pStyle w:val="21"/>
        <w:ind w:left="840" w:firstLine="560"/>
        <w:rPr>
          <w:rFonts w:hAnsi="標楷體"/>
        </w:rPr>
      </w:pPr>
      <w:r w:rsidRPr="00E10844">
        <w:rPr>
          <w:rFonts w:hAnsi="標楷體"/>
        </w:rPr>
        <w:t>臺銀證券</w:t>
      </w:r>
      <w:r w:rsidR="00F841FB" w:rsidRPr="00E10844">
        <w:rPr>
          <w:rFonts w:hAnsi="標楷體"/>
        </w:rPr>
        <w:t>辦理</w:t>
      </w:r>
      <w:r w:rsidR="002F2FE9" w:rsidRPr="00E10844">
        <w:rPr>
          <w:rFonts w:hAnsi="標楷體"/>
        </w:rPr>
        <w:t>當日沖銷交易金額</w:t>
      </w:r>
      <w:r w:rsidR="00D66635" w:rsidRPr="00E10844">
        <w:rPr>
          <w:rFonts w:hAnsi="標楷體"/>
        </w:rPr>
        <w:t>由103年度之262億4,442萬3千元增加為</w:t>
      </w:r>
      <w:r w:rsidR="00382D39">
        <w:rPr>
          <w:rFonts w:hAnsi="標楷體"/>
        </w:rPr>
        <w:t>11</w:t>
      </w:r>
      <w:r w:rsidR="00D40275">
        <w:rPr>
          <w:rFonts w:hAnsi="標楷體"/>
        </w:rPr>
        <w:t>2</w:t>
      </w:r>
      <w:r w:rsidR="00D66635" w:rsidRPr="00E10844">
        <w:rPr>
          <w:rFonts w:hAnsi="標楷體"/>
        </w:rPr>
        <w:t>年度之</w:t>
      </w:r>
      <w:r w:rsidR="00382D39">
        <w:rPr>
          <w:rFonts w:hAnsi="標楷體" w:hint="eastAsia"/>
        </w:rPr>
        <w:t>4</w:t>
      </w:r>
      <w:r w:rsidR="00B11312" w:rsidRPr="00E10844">
        <w:rPr>
          <w:rFonts w:hAnsi="標楷體"/>
        </w:rPr>
        <w:t>,</w:t>
      </w:r>
      <w:r w:rsidR="00D40275">
        <w:rPr>
          <w:rFonts w:hAnsi="標楷體"/>
        </w:rPr>
        <w:t>345</w:t>
      </w:r>
      <w:r w:rsidR="00D66635" w:rsidRPr="00E10844">
        <w:rPr>
          <w:rFonts w:hAnsi="標楷體"/>
        </w:rPr>
        <w:t>億</w:t>
      </w:r>
      <w:r w:rsidR="00D40275">
        <w:rPr>
          <w:rFonts w:hAnsi="標楷體" w:hint="eastAsia"/>
        </w:rPr>
        <w:t>2</w:t>
      </w:r>
      <w:r w:rsidR="00A8677C" w:rsidRPr="00E10844">
        <w:rPr>
          <w:rFonts w:hAnsi="標楷體"/>
        </w:rPr>
        <w:t>,</w:t>
      </w:r>
      <w:r w:rsidR="00D40275">
        <w:rPr>
          <w:rFonts w:hAnsi="標楷體"/>
        </w:rPr>
        <w:t>914</w:t>
      </w:r>
      <w:r w:rsidR="00D66635" w:rsidRPr="00E10844">
        <w:rPr>
          <w:rFonts w:hAnsi="標楷體"/>
        </w:rPr>
        <w:t>萬</w:t>
      </w:r>
      <w:r w:rsidR="00D40275">
        <w:rPr>
          <w:rFonts w:hAnsi="標楷體" w:hint="eastAsia"/>
        </w:rPr>
        <w:t>7</w:t>
      </w:r>
      <w:r w:rsidR="00D66635" w:rsidRPr="00E10844">
        <w:rPr>
          <w:rFonts w:hAnsi="標楷體"/>
        </w:rPr>
        <w:t>千元；當日沖銷交易收入由103年度1,369萬2千元增加為</w:t>
      </w:r>
      <w:r w:rsidR="00A8677C" w:rsidRPr="00E10844">
        <w:rPr>
          <w:rFonts w:hAnsi="標楷體"/>
        </w:rPr>
        <w:t>11</w:t>
      </w:r>
      <w:r w:rsidR="00D40275">
        <w:rPr>
          <w:rFonts w:hAnsi="標楷體"/>
        </w:rPr>
        <w:t>2</w:t>
      </w:r>
      <w:r w:rsidR="00D66635" w:rsidRPr="00E10844">
        <w:rPr>
          <w:rFonts w:hAnsi="標楷體"/>
        </w:rPr>
        <w:t>年度之</w:t>
      </w:r>
      <w:r w:rsidR="00382D39">
        <w:rPr>
          <w:rFonts w:hAnsi="標楷體" w:hint="eastAsia"/>
        </w:rPr>
        <w:t>2</w:t>
      </w:r>
      <w:r w:rsidR="00D66635" w:rsidRPr="00E10844">
        <w:rPr>
          <w:rFonts w:hAnsi="標楷體"/>
        </w:rPr>
        <w:t>億</w:t>
      </w:r>
      <w:r w:rsidR="00D40275">
        <w:rPr>
          <w:rFonts w:hAnsi="標楷體" w:hint="eastAsia"/>
        </w:rPr>
        <w:t>2</w:t>
      </w:r>
      <w:r w:rsidR="00B11312" w:rsidRPr="00E10844">
        <w:rPr>
          <w:rFonts w:hAnsi="標楷體"/>
        </w:rPr>
        <w:t>,</w:t>
      </w:r>
      <w:r w:rsidR="00D40275">
        <w:rPr>
          <w:rFonts w:hAnsi="標楷體"/>
        </w:rPr>
        <w:t>062</w:t>
      </w:r>
      <w:r w:rsidR="00D66635" w:rsidRPr="00E10844">
        <w:rPr>
          <w:rFonts w:hAnsi="標楷體"/>
        </w:rPr>
        <w:t>萬</w:t>
      </w:r>
      <w:r w:rsidR="00D40275">
        <w:rPr>
          <w:rFonts w:hAnsi="標楷體" w:hint="eastAsia"/>
        </w:rPr>
        <w:t>7千</w:t>
      </w:r>
      <w:r w:rsidR="00D66635" w:rsidRPr="00E10844">
        <w:rPr>
          <w:rFonts w:hAnsi="標楷體"/>
        </w:rPr>
        <w:t>元</w:t>
      </w:r>
      <w:r w:rsidR="00D207BD" w:rsidRPr="00E10844">
        <w:rPr>
          <w:rFonts w:hAnsi="標楷體"/>
        </w:rPr>
        <w:t>。</w:t>
      </w:r>
      <w:r w:rsidR="00D66635" w:rsidRPr="00E10844">
        <w:rPr>
          <w:rFonts w:hAnsi="標楷體"/>
        </w:rPr>
        <w:t>106年4月2</w:t>
      </w:r>
      <w:r w:rsidR="006048DE">
        <w:rPr>
          <w:rFonts w:hAnsi="標楷體" w:hint="eastAsia"/>
        </w:rPr>
        <w:t>8</w:t>
      </w:r>
      <w:r w:rsidR="00D66635" w:rsidRPr="00E10844">
        <w:rPr>
          <w:rFonts w:hAnsi="標楷體"/>
        </w:rPr>
        <w:t>日起因</w:t>
      </w:r>
      <w:r w:rsidR="009E7591">
        <w:rPr>
          <w:rFonts w:hAnsi="標楷體" w:hint="eastAsia"/>
        </w:rPr>
        <w:t>實施</w:t>
      </w:r>
      <w:r w:rsidR="00D66635" w:rsidRPr="00E10844">
        <w:rPr>
          <w:rFonts w:hAnsi="標楷體"/>
        </w:rPr>
        <w:t>當日沖銷</w:t>
      </w:r>
      <w:r w:rsidR="00651E63" w:rsidRPr="00E10844">
        <w:rPr>
          <w:rFonts w:hAnsi="標楷體"/>
        </w:rPr>
        <w:t>證交稅</w:t>
      </w:r>
      <w:r w:rsidR="00D207BD" w:rsidRPr="00E10844">
        <w:rPr>
          <w:rFonts w:hAnsi="標楷體"/>
        </w:rPr>
        <w:t>稅率減半課徵</w:t>
      </w:r>
      <w:r w:rsidR="00D66635" w:rsidRPr="00E10844">
        <w:rPr>
          <w:rFonts w:hAnsi="標楷體"/>
        </w:rPr>
        <w:t>，</w:t>
      </w:r>
      <w:r w:rsidR="001A42FD" w:rsidRPr="00E10844">
        <w:rPr>
          <w:rFonts w:hAnsi="標楷體"/>
        </w:rPr>
        <w:t>當日沖銷</w:t>
      </w:r>
      <w:r w:rsidR="00D66635" w:rsidRPr="00E10844">
        <w:rPr>
          <w:rFonts w:hAnsi="標楷體"/>
        </w:rPr>
        <w:t>交易量大幅增加，致該公司繳交當日沖銷交易</w:t>
      </w:r>
      <w:r w:rsidR="009E7591">
        <w:rPr>
          <w:rFonts w:hAnsi="標楷體" w:hint="eastAsia"/>
        </w:rPr>
        <w:t>之</w:t>
      </w:r>
      <w:r w:rsidR="00D66635" w:rsidRPr="00E10844">
        <w:rPr>
          <w:rFonts w:hAnsi="標楷體"/>
        </w:rPr>
        <w:t>證交稅</w:t>
      </w:r>
      <w:r w:rsidR="009E7591">
        <w:rPr>
          <w:rFonts w:hAnsi="標楷體" w:hint="eastAsia"/>
        </w:rPr>
        <w:t>金額</w:t>
      </w:r>
      <w:r w:rsidR="00D66635" w:rsidRPr="00E10844">
        <w:rPr>
          <w:rFonts w:hAnsi="標楷體"/>
        </w:rPr>
        <w:t>由103年度3,932萬5千元，</w:t>
      </w:r>
      <w:r w:rsidR="00D4064D">
        <w:rPr>
          <w:rFonts w:hAnsi="標楷體" w:hint="eastAsia"/>
        </w:rPr>
        <w:t>概</w:t>
      </w:r>
      <w:r w:rsidR="00D66635" w:rsidRPr="00E10844">
        <w:rPr>
          <w:rFonts w:hAnsi="標楷體"/>
        </w:rPr>
        <w:t>增至</w:t>
      </w:r>
      <w:r w:rsidR="00D4064D">
        <w:rPr>
          <w:rFonts w:hAnsi="標楷體"/>
        </w:rPr>
        <w:t>11</w:t>
      </w:r>
      <w:r w:rsidR="00D40275">
        <w:rPr>
          <w:rFonts w:hAnsi="標楷體" w:hint="eastAsia"/>
        </w:rPr>
        <w:t>2</w:t>
      </w:r>
      <w:r w:rsidR="00D66635" w:rsidRPr="00E10844">
        <w:rPr>
          <w:rFonts w:hAnsi="標楷體"/>
        </w:rPr>
        <w:t>年度之</w:t>
      </w:r>
      <w:r w:rsidR="00D4064D">
        <w:rPr>
          <w:rFonts w:hAnsi="標楷體" w:hint="eastAsia"/>
        </w:rPr>
        <w:t>3</w:t>
      </w:r>
      <w:r w:rsidR="00D66635" w:rsidRPr="00E10844">
        <w:rPr>
          <w:rFonts w:hAnsi="標楷體"/>
        </w:rPr>
        <w:t>億</w:t>
      </w:r>
      <w:r w:rsidR="00D40275">
        <w:rPr>
          <w:rFonts w:hAnsi="標楷體" w:hint="eastAsia"/>
        </w:rPr>
        <w:t>4</w:t>
      </w:r>
      <w:r w:rsidR="00B11312" w:rsidRPr="00E10844">
        <w:rPr>
          <w:rFonts w:hAnsi="標楷體"/>
        </w:rPr>
        <w:t>,</w:t>
      </w:r>
      <w:r w:rsidR="00D40275">
        <w:rPr>
          <w:rFonts w:hAnsi="標楷體" w:hint="eastAsia"/>
        </w:rPr>
        <w:t>300</w:t>
      </w:r>
      <w:r w:rsidR="00D66635" w:rsidRPr="00E10844">
        <w:rPr>
          <w:rFonts w:hAnsi="標楷體"/>
        </w:rPr>
        <w:t>萬</w:t>
      </w:r>
      <w:r w:rsidR="00D4064D">
        <w:rPr>
          <w:rFonts w:hAnsi="標楷體" w:hint="eastAsia"/>
        </w:rPr>
        <w:t>7</w:t>
      </w:r>
      <w:r w:rsidR="00D66635" w:rsidRPr="00E10844">
        <w:rPr>
          <w:rFonts w:hAnsi="標楷體"/>
        </w:rPr>
        <w:t>千元(</w:t>
      </w:r>
      <w:r w:rsidR="00031F21" w:rsidRPr="00E10844">
        <w:rPr>
          <w:rFonts w:hAnsi="標楷體"/>
        </w:rPr>
        <w:t>詳</w:t>
      </w:r>
      <w:r w:rsidR="00D66635" w:rsidRPr="00E10844">
        <w:rPr>
          <w:rFonts w:hAnsi="標楷體"/>
        </w:rPr>
        <w:t>表1)。</w:t>
      </w:r>
      <w:r w:rsidR="00B11312" w:rsidRPr="00E10844">
        <w:rPr>
          <w:rFonts w:hAnsi="標楷體"/>
        </w:rPr>
        <w:t>惟</w:t>
      </w:r>
      <w:r w:rsidR="001A42FD" w:rsidRPr="00E10844">
        <w:rPr>
          <w:rFonts w:hAnsi="標楷體"/>
        </w:rPr>
        <w:t>申報</w:t>
      </w:r>
      <w:r w:rsidR="00B11312" w:rsidRPr="00E10844">
        <w:rPr>
          <w:rFonts w:hAnsi="標楷體"/>
        </w:rPr>
        <w:t>違約交割金額亦自103年度</w:t>
      </w:r>
      <w:r w:rsidR="001A42FD" w:rsidRPr="00E10844">
        <w:rPr>
          <w:rFonts w:hAnsi="標楷體"/>
        </w:rPr>
        <w:t>之1,983萬7千元，</w:t>
      </w:r>
      <w:r w:rsidR="001F600F" w:rsidRPr="00E10844">
        <w:rPr>
          <w:rFonts w:hAnsi="標楷體"/>
        </w:rPr>
        <w:t>概增</w:t>
      </w:r>
      <w:r w:rsidR="001A42FD" w:rsidRPr="00E10844">
        <w:rPr>
          <w:rFonts w:hAnsi="標楷體"/>
        </w:rPr>
        <w:t>至</w:t>
      </w:r>
      <w:r w:rsidR="00D4064D">
        <w:rPr>
          <w:rFonts w:hAnsi="標楷體"/>
        </w:rPr>
        <w:t>11</w:t>
      </w:r>
      <w:r w:rsidR="00D40275">
        <w:rPr>
          <w:rFonts w:hAnsi="標楷體" w:hint="eastAsia"/>
        </w:rPr>
        <w:t>2</w:t>
      </w:r>
      <w:r w:rsidR="001A42FD" w:rsidRPr="00E10844">
        <w:rPr>
          <w:rFonts w:hAnsi="標楷體"/>
        </w:rPr>
        <w:t>年度之</w:t>
      </w:r>
      <w:r w:rsidR="00D4064D">
        <w:rPr>
          <w:rFonts w:hAnsi="標楷體" w:hint="eastAsia"/>
        </w:rPr>
        <w:t>3</w:t>
      </w:r>
      <w:r w:rsidR="001A42FD" w:rsidRPr="00E10844">
        <w:rPr>
          <w:rFonts w:hAnsi="標楷體"/>
        </w:rPr>
        <w:t>,</w:t>
      </w:r>
      <w:r w:rsidR="00D40275">
        <w:rPr>
          <w:rFonts w:hAnsi="標楷體" w:hint="eastAsia"/>
        </w:rPr>
        <w:t>092</w:t>
      </w:r>
      <w:r w:rsidR="001A42FD" w:rsidRPr="00E10844">
        <w:rPr>
          <w:rFonts w:hAnsi="標楷體"/>
        </w:rPr>
        <w:t>萬</w:t>
      </w:r>
      <w:r w:rsidR="00D40275">
        <w:rPr>
          <w:rFonts w:hAnsi="標楷體" w:hint="eastAsia"/>
        </w:rPr>
        <w:t>2</w:t>
      </w:r>
      <w:r w:rsidR="001A42FD" w:rsidRPr="00E10844">
        <w:rPr>
          <w:rFonts w:hAnsi="標楷體"/>
        </w:rPr>
        <w:t>千元</w:t>
      </w:r>
      <w:r w:rsidR="00D4064D">
        <w:rPr>
          <w:rFonts w:hAnsi="標楷體"/>
        </w:rPr>
        <w:t>，增幅</w:t>
      </w:r>
      <w:r w:rsidR="00D40275">
        <w:rPr>
          <w:rFonts w:hAnsi="標楷體" w:hint="eastAsia"/>
        </w:rPr>
        <w:t>55.9</w:t>
      </w:r>
      <w:r w:rsidR="00F841FB" w:rsidRPr="00E10844">
        <w:rPr>
          <w:rFonts w:hAnsi="標楷體"/>
        </w:rPr>
        <w:t>%</w:t>
      </w:r>
      <w:r w:rsidR="001A42FD" w:rsidRPr="00E10844">
        <w:rPr>
          <w:rFonts w:hAnsi="標楷體"/>
        </w:rPr>
        <w:t>。</w:t>
      </w:r>
    </w:p>
    <w:p w:rsidR="00D66635" w:rsidRPr="00E10844" w:rsidRDefault="00D4064D" w:rsidP="001A42FD">
      <w:pPr>
        <w:pStyle w:val="21"/>
        <w:ind w:left="840" w:firstLine="560"/>
        <w:rPr>
          <w:rFonts w:hAnsi="標楷體"/>
        </w:rPr>
      </w:pPr>
      <w:r>
        <w:rPr>
          <w:rFonts w:hAnsi="標楷體" w:hint="eastAsia"/>
        </w:rPr>
        <w:t>嗣據臺銀證券提供資料，該公司</w:t>
      </w:r>
      <w:r w:rsidR="00B2060A">
        <w:rPr>
          <w:rFonts w:hAnsi="標楷體" w:hint="eastAsia"/>
        </w:rPr>
        <w:t>110及111年度</w:t>
      </w:r>
      <w:r>
        <w:rPr>
          <w:rFonts w:hAnsi="標楷體" w:hint="eastAsia"/>
        </w:rPr>
        <w:t>違約交割金額占市場違約交割金額</w:t>
      </w:r>
      <w:r w:rsidR="00B2060A">
        <w:rPr>
          <w:rFonts w:hAnsi="標楷體" w:hint="eastAsia"/>
        </w:rPr>
        <w:t>之</w:t>
      </w:r>
      <w:r>
        <w:rPr>
          <w:rFonts w:hAnsi="標楷體" w:hint="eastAsia"/>
        </w:rPr>
        <w:t>比率均為0.61%，惟11</w:t>
      </w:r>
      <w:r w:rsidR="00D40275">
        <w:rPr>
          <w:rFonts w:hAnsi="標楷體" w:hint="eastAsia"/>
        </w:rPr>
        <w:t>2</w:t>
      </w:r>
      <w:r>
        <w:rPr>
          <w:rFonts w:hAnsi="標楷體" w:hint="eastAsia"/>
        </w:rPr>
        <w:t>年</w:t>
      </w:r>
      <w:r w:rsidR="00D40275">
        <w:rPr>
          <w:rFonts w:hAnsi="標楷體" w:hint="eastAsia"/>
        </w:rPr>
        <w:t>度</w:t>
      </w:r>
      <w:r>
        <w:rPr>
          <w:rFonts w:hAnsi="標楷體" w:hint="eastAsia"/>
        </w:rPr>
        <w:t>該比率</w:t>
      </w:r>
      <w:r w:rsidR="00AD75D7">
        <w:rPr>
          <w:rFonts w:hAnsi="標楷體" w:hint="eastAsia"/>
        </w:rPr>
        <w:t>上升</w:t>
      </w:r>
      <w:r>
        <w:rPr>
          <w:rFonts w:hAnsi="標楷體" w:hint="eastAsia"/>
        </w:rPr>
        <w:t>為0.</w:t>
      </w:r>
      <w:r w:rsidR="00D40275">
        <w:rPr>
          <w:rFonts w:hAnsi="標楷體" w:hint="eastAsia"/>
        </w:rPr>
        <w:t>77</w:t>
      </w:r>
      <w:r>
        <w:rPr>
          <w:rFonts w:hAnsi="標楷體" w:hint="eastAsia"/>
        </w:rPr>
        <w:t>%</w:t>
      </w:r>
      <w:r w:rsidR="00D40275">
        <w:rPr>
          <w:rFonts w:hAnsi="標楷體" w:hint="eastAsia"/>
        </w:rPr>
        <w:t>，略呈增加。113年迄至8月底止，臺銀證券違約交割金額占市場違約交割金額之比率更上升至3.68%，較112</w:t>
      </w:r>
      <w:r w:rsidR="00880D1D">
        <w:rPr>
          <w:rFonts w:hAnsi="標楷體" w:hint="eastAsia"/>
        </w:rPr>
        <w:t>年底增加</w:t>
      </w:r>
      <w:r w:rsidR="00D40275">
        <w:rPr>
          <w:rFonts w:hAnsi="標楷體" w:hint="eastAsia"/>
        </w:rPr>
        <w:t>2.91個百分點，經詢該公司表示，主因係113年</w:t>
      </w:r>
      <w:r w:rsidR="00D40275" w:rsidRPr="00833837">
        <w:rPr>
          <w:rFonts w:hAnsi="標楷體" w:hint="eastAsia"/>
        </w:rPr>
        <w:t>4月及7</w:t>
      </w:r>
      <w:r w:rsidR="00D40275">
        <w:rPr>
          <w:rFonts w:hAnsi="標楷體" w:hint="eastAsia"/>
        </w:rPr>
        <w:t>月各有一筆</w:t>
      </w:r>
      <w:r w:rsidR="00D40275" w:rsidRPr="00833837">
        <w:rPr>
          <w:rFonts w:hAnsi="標楷體" w:hint="eastAsia"/>
        </w:rPr>
        <w:t>金額</w:t>
      </w:r>
      <w:r w:rsidR="00880D1D">
        <w:rPr>
          <w:rFonts w:hAnsi="標楷體" w:hint="eastAsia"/>
        </w:rPr>
        <w:t>較大</w:t>
      </w:r>
      <w:r w:rsidR="00D40275">
        <w:rPr>
          <w:rFonts w:hAnsi="標楷體" w:hint="eastAsia"/>
        </w:rPr>
        <w:t>交易</w:t>
      </w:r>
      <w:r w:rsidR="00880D1D">
        <w:rPr>
          <w:rFonts w:hAnsi="標楷體" w:hint="eastAsia"/>
        </w:rPr>
        <w:t>之</w:t>
      </w:r>
      <w:r w:rsidR="00D40275" w:rsidRPr="00833837">
        <w:rPr>
          <w:rFonts w:hAnsi="標楷體" w:hint="eastAsia"/>
        </w:rPr>
        <w:t>客戶未履行交割義務，</w:t>
      </w:r>
      <w:r w:rsidR="00D40275">
        <w:rPr>
          <w:rFonts w:hAnsi="標楷體" w:hint="eastAsia"/>
        </w:rPr>
        <w:t>金額分別為5,059萬餘元及5</w:t>
      </w:r>
      <w:r w:rsidR="00D40275">
        <w:rPr>
          <w:rFonts w:hAnsi="標楷體"/>
        </w:rPr>
        <w:t>,740</w:t>
      </w:r>
      <w:r w:rsidR="00D40275">
        <w:rPr>
          <w:rFonts w:hAnsi="標楷體" w:hint="eastAsia"/>
        </w:rPr>
        <w:t>萬元，</w:t>
      </w:r>
      <w:r w:rsidR="00D40275" w:rsidRPr="00833837">
        <w:rPr>
          <w:rFonts w:hAnsi="標楷體" w:hint="eastAsia"/>
        </w:rPr>
        <w:t>合計約1億</w:t>
      </w:r>
      <w:r w:rsidR="00D40275">
        <w:rPr>
          <w:rFonts w:hAnsi="標楷體" w:hint="eastAsia"/>
        </w:rPr>
        <w:t>餘</w:t>
      </w:r>
      <w:r w:rsidR="00D40275" w:rsidRPr="00833837">
        <w:rPr>
          <w:rFonts w:hAnsi="標楷體" w:hint="eastAsia"/>
        </w:rPr>
        <w:t>元</w:t>
      </w:r>
      <w:r w:rsidR="00D40275">
        <w:rPr>
          <w:rFonts w:hAnsi="標楷體" w:hint="eastAsia"/>
        </w:rPr>
        <w:t>，</w:t>
      </w:r>
      <w:r w:rsidR="00880D1D">
        <w:rPr>
          <w:rFonts w:hAnsi="標楷體" w:hint="eastAsia"/>
        </w:rPr>
        <w:t>惟</w:t>
      </w:r>
      <w:r w:rsidR="00D40275">
        <w:rPr>
          <w:rFonts w:hAnsi="標楷體" w:hint="eastAsia"/>
        </w:rPr>
        <w:t>該2筆交易之</w:t>
      </w:r>
      <w:r w:rsidR="00D40275" w:rsidRPr="00833837">
        <w:rPr>
          <w:rFonts w:hAnsi="標楷體" w:hint="eastAsia"/>
        </w:rPr>
        <w:t>相關債權及應收款項均已收回。</w:t>
      </w:r>
      <w:r w:rsidR="00AD75D7">
        <w:rPr>
          <w:rFonts w:hAnsi="標楷體" w:hint="eastAsia"/>
        </w:rPr>
        <w:t>鑑於</w:t>
      </w:r>
      <w:r w:rsidR="002F209F" w:rsidRPr="00E10844">
        <w:rPr>
          <w:rFonts w:hAnsi="標楷體"/>
        </w:rPr>
        <w:t>現股當沖交易證交稅稅率減半課徵之租稅優惠期間</w:t>
      </w:r>
      <w:r w:rsidR="009E7591">
        <w:rPr>
          <w:rFonts w:hAnsi="標楷體" w:hint="eastAsia"/>
        </w:rPr>
        <w:t>行政院</w:t>
      </w:r>
      <w:r w:rsidR="006048DE">
        <w:rPr>
          <w:rFonts w:hAnsi="標楷體" w:hint="eastAsia"/>
        </w:rPr>
        <w:t>擬</w:t>
      </w:r>
      <w:r w:rsidR="002F209F" w:rsidRPr="00E10844">
        <w:rPr>
          <w:rFonts w:hAnsi="標楷體"/>
        </w:rPr>
        <w:t>延長至11</w:t>
      </w:r>
      <w:r w:rsidR="006048DE">
        <w:rPr>
          <w:rFonts w:hAnsi="標楷體" w:hint="eastAsia"/>
        </w:rPr>
        <w:t>6</w:t>
      </w:r>
      <w:r w:rsidR="002F209F" w:rsidRPr="00E10844">
        <w:rPr>
          <w:rFonts w:hAnsi="標楷體"/>
        </w:rPr>
        <w:t>年</w:t>
      </w:r>
      <w:r w:rsidR="00366382" w:rsidRPr="00E10844">
        <w:rPr>
          <w:rFonts w:hAnsi="標楷體"/>
        </w:rPr>
        <w:t>12月31日</w:t>
      </w:r>
      <w:r w:rsidR="002F209F" w:rsidRPr="00E10844">
        <w:rPr>
          <w:rFonts w:hAnsi="標楷體"/>
        </w:rPr>
        <w:t>止</w:t>
      </w:r>
      <w:r w:rsidR="00880D1D">
        <w:rPr>
          <w:rStyle w:val="afc"/>
          <w:rFonts w:hAnsi="標楷體"/>
        </w:rPr>
        <w:footnoteReference w:id="3"/>
      </w:r>
      <w:r w:rsidR="002F209F" w:rsidRPr="00E10844">
        <w:rPr>
          <w:rFonts w:hAnsi="標楷體"/>
        </w:rPr>
        <w:t>，</w:t>
      </w:r>
      <w:r w:rsidR="000E1D1D" w:rsidRPr="00E10844">
        <w:rPr>
          <w:rFonts w:hAnsi="標楷體"/>
        </w:rPr>
        <w:t>允宜</w:t>
      </w:r>
      <w:r w:rsidR="000E1D1D">
        <w:rPr>
          <w:rFonts w:hAnsi="標楷體" w:hint="eastAsia"/>
        </w:rPr>
        <w:t>強化客戶聯繫等</w:t>
      </w:r>
      <w:r w:rsidR="000E1D1D" w:rsidRPr="00E10844">
        <w:rPr>
          <w:rFonts w:hAnsi="標楷體"/>
        </w:rPr>
        <w:t>風險</w:t>
      </w:r>
      <w:r w:rsidR="000E1D1D">
        <w:rPr>
          <w:rFonts w:hAnsi="標楷體" w:hint="eastAsia"/>
        </w:rPr>
        <w:t>控管措施</w:t>
      </w:r>
      <w:r w:rsidR="00F841FB" w:rsidRPr="00E10844">
        <w:rPr>
          <w:rFonts w:hAnsi="標楷體"/>
        </w:rPr>
        <w:t>，以減少違約交割情形發生，</w:t>
      </w:r>
      <w:r w:rsidR="001A42FD" w:rsidRPr="00E10844">
        <w:rPr>
          <w:rFonts w:hAnsi="標楷體"/>
        </w:rPr>
        <w:t>避免影響證券</w:t>
      </w:r>
      <w:r w:rsidR="009E7591">
        <w:rPr>
          <w:rFonts w:hAnsi="標楷體" w:hint="eastAsia"/>
        </w:rPr>
        <w:t>市場</w:t>
      </w:r>
      <w:r w:rsidR="001A42FD" w:rsidRPr="00E10844">
        <w:rPr>
          <w:rFonts w:hAnsi="標楷體"/>
        </w:rPr>
        <w:t>交易秩序。</w:t>
      </w:r>
    </w:p>
    <w:p w:rsidR="00D66635" w:rsidRDefault="00D66635" w:rsidP="00D66635">
      <w:pPr>
        <w:ind w:left="560" w:firstLine="560"/>
        <w:rPr>
          <w:rFonts w:hAnsi="標楷體"/>
        </w:rPr>
      </w:pPr>
      <w:r w:rsidRPr="00E10844">
        <w:rPr>
          <w:rFonts w:hAnsi="標楷體"/>
          <w:color w:val="000000"/>
        </w:rPr>
        <w:t>綜上，</w:t>
      </w:r>
      <w:r w:rsidR="001A42FD" w:rsidRPr="00E10844">
        <w:rPr>
          <w:rFonts w:hAnsi="標楷體"/>
          <w:color w:val="000000"/>
        </w:rPr>
        <w:t>自103年度起</w:t>
      </w:r>
      <w:r w:rsidR="004F6906" w:rsidRPr="00E10844">
        <w:rPr>
          <w:rFonts w:hAnsi="標楷體"/>
          <w:color w:val="000000"/>
        </w:rPr>
        <w:t>臺銀證券</w:t>
      </w:r>
      <w:r w:rsidR="002F2FE9" w:rsidRPr="00E10844">
        <w:rPr>
          <w:rFonts w:hAnsi="標楷體"/>
          <w:color w:val="000000"/>
        </w:rPr>
        <w:t>當日沖銷交易金額</w:t>
      </w:r>
      <w:r w:rsidR="004A2212" w:rsidRPr="00E10844">
        <w:rPr>
          <w:rFonts w:hAnsi="標楷體"/>
          <w:color w:val="000000"/>
        </w:rPr>
        <w:t>及當日沖銷交易收入均呈</w:t>
      </w:r>
      <w:r w:rsidRPr="00E10844">
        <w:rPr>
          <w:rFonts w:hAnsi="標楷體"/>
          <w:color w:val="000000"/>
        </w:rPr>
        <w:t>增加</w:t>
      </w:r>
      <w:r w:rsidR="001F600F" w:rsidRPr="00E10844">
        <w:rPr>
          <w:rFonts w:hAnsi="標楷體"/>
          <w:color w:val="000000"/>
        </w:rPr>
        <w:t>趨</w:t>
      </w:r>
      <w:r w:rsidR="004A2212" w:rsidRPr="00E10844">
        <w:rPr>
          <w:rFonts w:hAnsi="標楷體"/>
          <w:color w:val="000000"/>
        </w:rPr>
        <w:t>勢</w:t>
      </w:r>
      <w:r w:rsidRPr="00E10844">
        <w:rPr>
          <w:rFonts w:hAnsi="標楷體"/>
          <w:color w:val="000000"/>
        </w:rPr>
        <w:t>，</w:t>
      </w:r>
      <w:r w:rsidR="009E7591">
        <w:rPr>
          <w:rFonts w:hAnsi="標楷體" w:hint="eastAsia"/>
          <w:color w:val="000000"/>
        </w:rPr>
        <w:t>然</w:t>
      </w:r>
      <w:r w:rsidR="000E1D1D">
        <w:rPr>
          <w:rFonts w:hAnsi="標楷體" w:hint="eastAsia"/>
          <w:color w:val="000000"/>
        </w:rPr>
        <w:t>113年間</w:t>
      </w:r>
      <w:r w:rsidR="000E1D1D">
        <w:rPr>
          <w:rFonts w:hAnsi="標楷體" w:hint="eastAsia"/>
        </w:rPr>
        <w:t>已2度發生鉅額</w:t>
      </w:r>
      <w:r w:rsidR="000E1D1D" w:rsidRPr="00E10844">
        <w:rPr>
          <w:rFonts w:hAnsi="標楷體"/>
        </w:rPr>
        <w:t>違約</w:t>
      </w:r>
      <w:r w:rsidR="000E1D1D">
        <w:rPr>
          <w:rFonts w:hAnsi="標楷體" w:hint="eastAsia"/>
        </w:rPr>
        <w:t>交割事件，金額逾1億餘元，</w:t>
      </w:r>
      <w:r w:rsidR="000E1D1D" w:rsidRPr="00E10844">
        <w:rPr>
          <w:rFonts w:hAnsi="標楷體"/>
        </w:rPr>
        <w:t>允宜</w:t>
      </w:r>
      <w:r w:rsidR="000E1D1D">
        <w:rPr>
          <w:rFonts w:hAnsi="標楷體" w:hint="eastAsia"/>
        </w:rPr>
        <w:t>強化客戶聯繫等</w:t>
      </w:r>
      <w:r w:rsidR="000E1D1D" w:rsidRPr="00E10844">
        <w:rPr>
          <w:rFonts w:hAnsi="標楷體"/>
        </w:rPr>
        <w:t>風險</w:t>
      </w:r>
      <w:r w:rsidR="000E1D1D">
        <w:rPr>
          <w:rFonts w:hAnsi="標楷體" w:hint="eastAsia"/>
        </w:rPr>
        <w:t>控管措施</w:t>
      </w:r>
      <w:r w:rsidR="00F841FB" w:rsidRPr="00E10844">
        <w:rPr>
          <w:rFonts w:hAnsi="標楷體"/>
        </w:rPr>
        <w:t>，以減少違約交割情形發生，</w:t>
      </w:r>
      <w:r w:rsidR="002F209F" w:rsidRPr="00E10844">
        <w:rPr>
          <w:rFonts w:hAnsi="標楷體"/>
        </w:rPr>
        <w:t>俾維護證券</w:t>
      </w:r>
      <w:r w:rsidR="009E7591">
        <w:rPr>
          <w:rFonts w:hAnsi="標楷體" w:hint="eastAsia"/>
        </w:rPr>
        <w:t>市場</w:t>
      </w:r>
      <w:r w:rsidR="002F209F" w:rsidRPr="00E10844">
        <w:rPr>
          <w:rFonts w:hAnsi="標楷體"/>
        </w:rPr>
        <w:t>交易秩序</w:t>
      </w:r>
      <w:r w:rsidR="00F841FB" w:rsidRPr="00E10844">
        <w:rPr>
          <w:rFonts w:hAnsi="標楷體"/>
        </w:rPr>
        <w:t>。</w:t>
      </w:r>
    </w:p>
    <w:p w:rsidR="00D66635" w:rsidRPr="00E10844" w:rsidRDefault="00D66635" w:rsidP="007D4065">
      <w:pPr>
        <w:spacing w:line="400" w:lineRule="exact"/>
        <w:ind w:leftChars="0" w:left="1701" w:rightChars="-150" w:right="-420" w:hangingChars="607" w:hanging="1701"/>
        <w:rPr>
          <w:rFonts w:hAnsi="標楷體"/>
          <w:sz w:val="24"/>
          <w:szCs w:val="24"/>
        </w:rPr>
      </w:pPr>
      <w:r w:rsidRPr="00E10844">
        <w:rPr>
          <w:rFonts w:hAnsi="標楷體"/>
          <w:b/>
        </w:rPr>
        <w:t>表1</w:t>
      </w:r>
      <w:r w:rsidR="007C0ADB" w:rsidRPr="00E10844">
        <w:rPr>
          <w:rFonts w:hAnsi="標楷體"/>
          <w:b/>
        </w:rPr>
        <w:t xml:space="preserve">  </w:t>
      </w:r>
      <w:r w:rsidR="004F6906" w:rsidRPr="00E10844">
        <w:rPr>
          <w:rFonts w:hAnsi="標楷體"/>
          <w:b/>
        </w:rPr>
        <w:t>臺銀證券</w:t>
      </w:r>
      <w:r w:rsidRPr="00E10844">
        <w:rPr>
          <w:rFonts w:hAnsi="標楷體"/>
          <w:b/>
        </w:rPr>
        <w:t>辦理當日沖銷交易業務明細表</w:t>
      </w:r>
      <w:r w:rsidRPr="00E10844">
        <w:rPr>
          <w:rFonts w:hAnsi="標楷體"/>
          <w:sz w:val="24"/>
          <w:szCs w:val="24"/>
        </w:rPr>
        <w:t xml:space="preserve"> </w:t>
      </w:r>
      <w:r w:rsidR="007D4065" w:rsidRPr="00E10844">
        <w:rPr>
          <w:rFonts w:hAnsi="標楷體"/>
          <w:sz w:val="24"/>
          <w:szCs w:val="24"/>
        </w:rPr>
        <w:t xml:space="preserve">    </w:t>
      </w:r>
      <w:r w:rsidRPr="00E10844">
        <w:rPr>
          <w:rFonts w:hAnsi="標楷體"/>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990"/>
        <w:gridCol w:w="1841"/>
        <w:gridCol w:w="1840"/>
        <w:gridCol w:w="1841"/>
      </w:tblGrid>
      <w:tr w:rsidR="0043601B" w:rsidRPr="00E10844" w:rsidTr="007D4065">
        <w:trPr>
          <w:tblHeader/>
        </w:trPr>
        <w:tc>
          <w:tcPr>
            <w:tcW w:w="993" w:type="dxa"/>
            <w:shd w:val="clear" w:color="auto" w:fill="auto"/>
            <w:vAlign w:val="center"/>
          </w:tcPr>
          <w:p w:rsidR="0043601B" w:rsidRPr="00D4064D" w:rsidRDefault="0043601B" w:rsidP="007D4065">
            <w:pPr>
              <w:pStyle w:val="142"/>
              <w:jc w:val="center"/>
              <w:rPr>
                <w:rFonts w:hAnsi="標楷體"/>
                <w:b/>
              </w:rPr>
            </w:pPr>
            <w:r w:rsidRPr="00D4064D">
              <w:rPr>
                <w:rFonts w:hAnsi="標楷體"/>
                <w:b/>
              </w:rPr>
              <w:t>年度</w:t>
            </w:r>
          </w:p>
        </w:tc>
        <w:tc>
          <w:tcPr>
            <w:tcW w:w="1990" w:type="dxa"/>
            <w:shd w:val="clear" w:color="auto" w:fill="auto"/>
            <w:vAlign w:val="center"/>
          </w:tcPr>
          <w:p w:rsidR="007D4065" w:rsidRPr="00D4064D" w:rsidRDefault="0043601B" w:rsidP="001F600F">
            <w:pPr>
              <w:pStyle w:val="142"/>
              <w:jc w:val="center"/>
              <w:rPr>
                <w:rFonts w:hAnsi="標楷體"/>
                <w:b/>
              </w:rPr>
            </w:pPr>
            <w:r w:rsidRPr="00D4064D">
              <w:rPr>
                <w:rFonts w:hAnsi="標楷體"/>
                <w:b/>
              </w:rPr>
              <w:t>當日沖銷</w:t>
            </w:r>
          </w:p>
          <w:p w:rsidR="0043601B" w:rsidRPr="00D4064D" w:rsidRDefault="0043601B" w:rsidP="001F600F">
            <w:pPr>
              <w:pStyle w:val="142"/>
              <w:jc w:val="center"/>
              <w:rPr>
                <w:rFonts w:hAnsi="標楷體"/>
                <w:b/>
              </w:rPr>
            </w:pPr>
            <w:r w:rsidRPr="00D4064D">
              <w:rPr>
                <w:rFonts w:hAnsi="標楷體"/>
                <w:b/>
              </w:rPr>
              <w:t>交易金額</w:t>
            </w:r>
          </w:p>
        </w:tc>
        <w:tc>
          <w:tcPr>
            <w:tcW w:w="1841" w:type="dxa"/>
            <w:shd w:val="clear" w:color="auto" w:fill="auto"/>
            <w:vAlign w:val="center"/>
          </w:tcPr>
          <w:p w:rsidR="007D4065" w:rsidRPr="00D4064D" w:rsidRDefault="0043601B" w:rsidP="001F600F">
            <w:pPr>
              <w:pStyle w:val="142"/>
              <w:jc w:val="center"/>
              <w:rPr>
                <w:rFonts w:hAnsi="標楷體"/>
                <w:b/>
              </w:rPr>
            </w:pPr>
            <w:r w:rsidRPr="00D4064D">
              <w:rPr>
                <w:rFonts w:hAnsi="標楷體"/>
                <w:b/>
              </w:rPr>
              <w:t>當日沖銷</w:t>
            </w:r>
          </w:p>
          <w:p w:rsidR="0043601B" w:rsidRPr="00D4064D" w:rsidRDefault="0043601B" w:rsidP="001F600F">
            <w:pPr>
              <w:pStyle w:val="142"/>
              <w:jc w:val="center"/>
              <w:rPr>
                <w:rFonts w:hAnsi="標楷體"/>
                <w:b/>
              </w:rPr>
            </w:pPr>
            <w:r w:rsidRPr="00D4064D">
              <w:rPr>
                <w:rFonts w:hAnsi="標楷體"/>
                <w:b/>
              </w:rPr>
              <w:t>交易收入</w:t>
            </w:r>
          </w:p>
        </w:tc>
        <w:tc>
          <w:tcPr>
            <w:tcW w:w="1840" w:type="dxa"/>
            <w:shd w:val="clear" w:color="auto" w:fill="auto"/>
            <w:vAlign w:val="center"/>
          </w:tcPr>
          <w:p w:rsidR="007D4065" w:rsidRPr="00D4064D" w:rsidRDefault="0043601B" w:rsidP="001F600F">
            <w:pPr>
              <w:pStyle w:val="142"/>
              <w:jc w:val="center"/>
              <w:rPr>
                <w:rFonts w:hAnsi="標楷體"/>
                <w:b/>
              </w:rPr>
            </w:pPr>
            <w:r w:rsidRPr="00D4064D">
              <w:rPr>
                <w:rFonts w:hAnsi="標楷體"/>
                <w:b/>
              </w:rPr>
              <w:t>當日沖銷交易</w:t>
            </w:r>
          </w:p>
          <w:p w:rsidR="0043601B" w:rsidRPr="00D4064D" w:rsidRDefault="0043601B" w:rsidP="001F600F">
            <w:pPr>
              <w:pStyle w:val="142"/>
              <w:jc w:val="center"/>
              <w:rPr>
                <w:rFonts w:hAnsi="標楷體"/>
                <w:b/>
              </w:rPr>
            </w:pPr>
            <w:r w:rsidRPr="00D4064D">
              <w:rPr>
                <w:rFonts w:hAnsi="標楷體"/>
                <w:b/>
              </w:rPr>
              <w:t>證交稅金額</w:t>
            </w:r>
          </w:p>
        </w:tc>
        <w:tc>
          <w:tcPr>
            <w:tcW w:w="1841" w:type="dxa"/>
            <w:vAlign w:val="center"/>
          </w:tcPr>
          <w:p w:rsidR="0043601B" w:rsidRPr="00D4064D" w:rsidRDefault="0043601B" w:rsidP="001F600F">
            <w:pPr>
              <w:pStyle w:val="142"/>
              <w:jc w:val="center"/>
              <w:rPr>
                <w:rFonts w:hAnsi="標楷體"/>
                <w:b/>
              </w:rPr>
            </w:pPr>
            <w:r w:rsidRPr="00D4064D">
              <w:rPr>
                <w:rFonts w:hAnsi="標楷體"/>
                <w:b/>
              </w:rPr>
              <w:t>違約交割金額</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103</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26,244,423</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13,692</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39,325</w:t>
            </w:r>
          </w:p>
        </w:tc>
        <w:tc>
          <w:tcPr>
            <w:tcW w:w="1841" w:type="dxa"/>
            <w:vAlign w:val="center"/>
          </w:tcPr>
          <w:p w:rsidR="00721CE0" w:rsidRPr="00E10844" w:rsidRDefault="00721CE0" w:rsidP="001F600F">
            <w:pPr>
              <w:pStyle w:val="142"/>
              <w:jc w:val="right"/>
              <w:rPr>
                <w:rFonts w:hAnsi="標楷體"/>
              </w:rPr>
            </w:pPr>
            <w:r w:rsidRPr="00E10844">
              <w:rPr>
                <w:rFonts w:hAnsi="標楷體"/>
              </w:rPr>
              <w:t>19,837</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104</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48,799,867</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25,450</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68,731</w:t>
            </w:r>
          </w:p>
        </w:tc>
        <w:tc>
          <w:tcPr>
            <w:tcW w:w="1841" w:type="dxa"/>
            <w:vAlign w:val="center"/>
          </w:tcPr>
          <w:p w:rsidR="00721CE0" w:rsidRPr="00E10844" w:rsidRDefault="00721CE0" w:rsidP="001F600F">
            <w:pPr>
              <w:pStyle w:val="142"/>
              <w:jc w:val="right"/>
              <w:rPr>
                <w:rFonts w:hAnsi="標楷體"/>
              </w:rPr>
            </w:pPr>
            <w:r w:rsidRPr="00E10844">
              <w:rPr>
                <w:rFonts w:hAnsi="標楷體"/>
              </w:rPr>
              <w:t>45,725</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105</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58,894,706</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30,890</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82,395</w:t>
            </w:r>
          </w:p>
        </w:tc>
        <w:tc>
          <w:tcPr>
            <w:tcW w:w="1841" w:type="dxa"/>
            <w:vAlign w:val="center"/>
          </w:tcPr>
          <w:p w:rsidR="00721CE0" w:rsidRPr="00E10844" w:rsidRDefault="00721CE0" w:rsidP="001F600F">
            <w:pPr>
              <w:pStyle w:val="142"/>
              <w:jc w:val="right"/>
              <w:rPr>
                <w:rFonts w:hAnsi="標楷體"/>
              </w:rPr>
            </w:pPr>
            <w:r w:rsidRPr="00E10844">
              <w:rPr>
                <w:rFonts w:hAnsi="標楷體"/>
              </w:rPr>
              <w:t>29,342</w:t>
            </w:r>
          </w:p>
        </w:tc>
      </w:tr>
      <w:tr w:rsidR="00721CE0" w:rsidRPr="00E10844" w:rsidTr="007D4065">
        <w:trPr>
          <w:trHeight w:val="50"/>
        </w:trPr>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106</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145,621,536</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76,207</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124,764</w:t>
            </w:r>
          </w:p>
        </w:tc>
        <w:tc>
          <w:tcPr>
            <w:tcW w:w="1841" w:type="dxa"/>
            <w:vAlign w:val="center"/>
          </w:tcPr>
          <w:p w:rsidR="00721CE0" w:rsidRPr="00E10844" w:rsidRDefault="00721CE0" w:rsidP="001F600F">
            <w:pPr>
              <w:pStyle w:val="142"/>
              <w:jc w:val="right"/>
              <w:rPr>
                <w:rFonts w:hAnsi="標楷體"/>
              </w:rPr>
            </w:pPr>
            <w:r w:rsidRPr="00E10844">
              <w:rPr>
                <w:rFonts w:hAnsi="標楷體"/>
              </w:rPr>
              <w:t>59,997</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107</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238,831,135</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132,468</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192,177</w:t>
            </w:r>
          </w:p>
        </w:tc>
        <w:tc>
          <w:tcPr>
            <w:tcW w:w="1841" w:type="dxa"/>
            <w:vAlign w:val="center"/>
          </w:tcPr>
          <w:p w:rsidR="00721CE0" w:rsidRPr="00E10844" w:rsidRDefault="00721CE0" w:rsidP="001F600F">
            <w:pPr>
              <w:pStyle w:val="142"/>
              <w:jc w:val="right"/>
              <w:rPr>
                <w:rFonts w:hAnsi="標楷體"/>
              </w:rPr>
            </w:pPr>
            <w:r w:rsidRPr="00E10844">
              <w:rPr>
                <w:rFonts w:hAnsi="標楷體"/>
              </w:rPr>
              <w:t>56,233</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108</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208,816,425</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106,385</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154,894</w:t>
            </w:r>
          </w:p>
        </w:tc>
        <w:tc>
          <w:tcPr>
            <w:tcW w:w="1841" w:type="dxa"/>
            <w:vAlign w:val="center"/>
          </w:tcPr>
          <w:p w:rsidR="00721CE0" w:rsidRPr="00E10844" w:rsidRDefault="00721CE0" w:rsidP="001F600F">
            <w:pPr>
              <w:pStyle w:val="142"/>
              <w:jc w:val="right"/>
              <w:rPr>
                <w:rFonts w:hAnsi="標楷體"/>
              </w:rPr>
            </w:pPr>
            <w:r w:rsidRPr="00E10844">
              <w:rPr>
                <w:rFonts w:hAnsi="標楷體"/>
              </w:rPr>
              <w:t>31,759</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109</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369,223,045</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187,468</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271,844</w:t>
            </w:r>
          </w:p>
        </w:tc>
        <w:tc>
          <w:tcPr>
            <w:tcW w:w="1841" w:type="dxa"/>
            <w:vAlign w:val="center"/>
          </w:tcPr>
          <w:p w:rsidR="00721CE0" w:rsidRPr="00E10844" w:rsidRDefault="00721CE0" w:rsidP="001F600F">
            <w:pPr>
              <w:pStyle w:val="142"/>
              <w:jc w:val="right"/>
              <w:rPr>
                <w:rFonts w:hAnsi="標楷體"/>
              </w:rPr>
            </w:pPr>
            <w:r w:rsidRPr="00E10844">
              <w:rPr>
                <w:rFonts w:hAnsi="標楷體"/>
              </w:rPr>
              <w:t>50,499</w:t>
            </w:r>
          </w:p>
        </w:tc>
      </w:tr>
      <w:tr w:rsidR="00721CE0" w:rsidRPr="00E10844" w:rsidTr="007D4065">
        <w:tc>
          <w:tcPr>
            <w:tcW w:w="993" w:type="dxa"/>
            <w:shd w:val="clear" w:color="auto" w:fill="auto"/>
            <w:vAlign w:val="center"/>
          </w:tcPr>
          <w:p w:rsidR="00721CE0" w:rsidRPr="00E10844" w:rsidRDefault="00721CE0" w:rsidP="007D4065">
            <w:pPr>
              <w:pStyle w:val="142"/>
              <w:jc w:val="center"/>
              <w:rPr>
                <w:rFonts w:hAnsi="標楷體"/>
              </w:rPr>
            </w:pPr>
            <w:r w:rsidRPr="00E10844">
              <w:rPr>
                <w:rFonts w:hAnsi="標楷體"/>
              </w:rPr>
              <w:t>110</w:t>
            </w:r>
          </w:p>
        </w:tc>
        <w:tc>
          <w:tcPr>
            <w:tcW w:w="1990" w:type="dxa"/>
            <w:shd w:val="clear" w:color="auto" w:fill="auto"/>
            <w:vAlign w:val="center"/>
          </w:tcPr>
          <w:p w:rsidR="00721CE0" w:rsidRPr="00E10844" w:rsidRDefault="00721CE0" w:rsidP="001F600F">
            <w:pPr>
              <w:pStyle w:val="142"/>
              <w:jc w:val="right"/>
              <w:rPr>
                <w:rFonts w:hAnsi="標楷體"/>
              </w:rPr>
            </w:pPr>
            <w:r w:rsidRPr="00E10844">
              <w:rPr>
                <w:rFonts w:hAnsi="標楷體"/>
              </w:rPr>
              <w:t>748,273,563</w:t>
            </w:r>
          </w:p>
        </w:tc>
        <w:tc>
          <w:tcPr>
            <w:tcW w:w="1841" w:type="dxa"/>
            <w:shd w:val="clear" w:color="auto" w:fill="auto"/>
            <w:vAlign w:val="center"/>
          </w:tcPr>
          <w:p w:rsidR="00721CE0" w:rsidRPr="00E10844" w:rsidRDefault="00721CE0" w:rsidP="001F600F">
            <w:pPr>
              <w:pStyle w:val="142"/>
              <w:jc w:val="right"/>
              <w:rPr>
                <w:rFonts w:hAnsi="標楷體"/>
              </w:rPr>
            </w:pPr>
            <w:r w:rsidRPr="00E10844">
              <w:rPr>
                <w:rFonts w:hAnsi="標楷體"/>
              </w:rPr>
              <w:t>375,966</w:t>
            </w:r>
          </w:p>
        </w:tc>
        <w:tc>
          <w:tcPr>
            <w:tcW w:w="1840" w:type="dxa"/>
            <w:shd w:val="clear" w:color="auto" w:fill="auto"/>
            <w:vAlign w:val="center"/>
          </w:tcPr>
          <w:p w:rsidR="00721CE0" w:rsidRPr="00E10844" w:rsidRDefault="00721CE0" w:rsidP="001F600F">
            <w:pPr>
              <w:pStyle w:val="142"/>
              <w:jc w:val="right"/>
              <w:rPr>
                <w:rFonts w:hAnsi="標楷體"/>
              </w:rPr>
            </w:pPr>
            <w:r w:rsidRPr="00E10844">
              <w:rPr>
                <w:rFonts w:hAnsi="標楷體"/>
              </w:rPr>
              <w:t>557,861</w:t>
            </w:r>
          </w:p>
        </w:tc>
        <w:tc>
          <w:tcPr>
            <w:tcW w:w="1841" w:type="dxa"/>
            <w:vAlign w:val="center"/>
          </w:tcPr>
          <w:p w:rsidR="00721CE0" w:rsidRPr="00E10844" w:rsidRDefault="00721CE0" w:rsidP="001F600F">
            <w:pPr>
              <w:pStyle w:val="142"/>
              <w:jc w:val="right"/>
              <w:rPr>
                <w:rFonts w:hAnsi="標楷體"/>
              </w:rPr>
            </w:pPr>
            <w:r w:rsidRPr="00E10844">
              <w:rPr>
                <w:rFonts w:hAnsi="標楷體"/>
              </w:rPr>
              <w:t>63,569</w:t>
            </w:r>
          </w:p>
        </w:tc>
      </w:tr>
      <w:tr w:rsidR="00B9694A" w:rsidRPr="00E10844" w:rsidTr="007D4065">
        <w:tc>
          <w:tcPr>
            <w:tcW w:w="993" w:type="dxa"/>
            <w:shd w:val="clear" w:color="auto" w:fill="auto"/>
            <w:vAlign w:val="center"/>
          </w:tcPr>
          <w:p w:rsidR="00B9694A" w:rsidRPr="00E10844" w:rsidRDefault="00B9694A" w:rsidP="007D4065">
            <w:pPr>
              <w:pStyle w:val="142"/>
              <w:jc w:val="center"/>
              <w:rPr>
                <w:rFonts w:hAnsi="標楷體"/>
              </w:rPr>
            </w:pPr>
            <w:r>
              <w:rPr>
                <w:rFonts w:hAnsi="標楷體" w:hint="eastAsia"/>
              </w:rPr>
              <w:t>111</w:t>
            </w:r>
          </w:p>
        </w:tc>
        <w:tc>
          <w:tcPr>
            <w:tcW w:w="1990" w:type="dxa"/>
            <w:shd w:val="clear" w:color="auto" w:fill="auto"/>
            <w:vAlign w:val="center"/>
          </w:tcPr>
          <w:p w:rsidR="00B9694A" w:rsidRPr="00E10844" w:rsidRDefault="00B9694A" w:rsidP="001F600F">
            <w:pPr>
              <w:pStyle w:val="142"/>
              <w:jc w:val="right"/>
              <w:rPr>
                <w:rFonts w:hAnsi="標楷體"/>
              </w:rPr>
            </w:pPr>
            <w:r>
              <w:rPr>
                <w:rFonts w:hAnsi="標楷體" w:hint="eastAsia"/>
              </w:rPr>
              <w:t>420</w:t>
            </w:r>
            <w:r>
              <w:rPr>
                <w:rFonts w:hAnsi="標楷體"/>
              </w:rPr>
              <w:t>,138,351</w:t>
            </w:r>
          </w:p>
        </w:tc>
        <w:tc>
          <w:tcPr>
            <w:tcW w:w="1841" w:type="dxa"/>
            <w:shd w:val="clear" w:color="auto" w:fill="auto"/>
            <w:vAlign w:val="center"/>
          </w:tcPr>
          <w:p w:rsidR="00B9694A" w:rsidRPr="00E10844" w:rsidRDefault="00B9694A" w:rsidP="001F600F">
            <w:pPr>
              <w:pStyle w:val="142"/>
              <w:jc w:val="right"/>
              <w:rPr>
                <w:rFonts w:hAnsi="標楷體"/>
              </w:rPr>
            </w:pPr>
            <w:r>
              <w:rPr>
                <w:rFonts w:hAnsi="標楷體" w:hint="eastAsia"/>
              </w:rPr>
              <w:t>2</w:t>
            </w:r>
            <w:r>
              <w:rPr>
                <w:rFonts w:hAnsi="標楷體"/>
              </w:rPr>
              <w:t>13,320</w:t>
            </w:r>
          </w:p>
        </w:tc>
        <w:tc>
          <w:tcPr>
            <w:tcW w:w="1840" w:type="dxa"/>
            <w:shd w:val="clear" w:color="auto" w:fill="auto"/>
            <w:vAlign w:val="center"/>
          </w:tcPr>
          <w:p w:rsidR="00B9694A" w:rsidRPr="00E10844" w:rsidRDefault="00B9694A" w:rsidP="001F600F">
            <w:pPr>
              <w:pStyle w:val="142"/>
              <w:jc w:val="right"/>
              <w:rPr>
                <w:rFonts w:hAnsi="標楷體"/>
              </w:rPr>
            </w:pPr>
            <w:r>
              <w:rPr>
                <w:rFonts w:hAnsi="標楷體" w:hint="eastAsia"/>
              </w:rPr>
              <w:t>3</w:t>
            </w:r>
            <w:r>
              <w:rPr>
                <w:rFonts w:hAnsi="標楷體"/>
              </w:rPr>
              <w:t>31,647</w:t>
            </w:r>
          </w:p>
        </w:tc>
        <w:tc>
          <w:tcPr>
            <w:tcW w:w="1841" w:type="dxa"/>
            <w:vAlign w:val="center"/>
          </w:tcPr>
          <w:p w:rsidR="00B9694A" w:rsidRPr="00E10844" w:rsidRDefault="00B9694A" w:rsidP="001F600F">
            <w:pPr>
              <w:pStyle w:val="142"/>
              <w:jc w:val="right"/>
              <w:rPr>
                <w:rFonts w:hAnsi="標楷體"/>
              </w:rPr>
            </w:pPr>
            <w:r>
              <w:rPr>
                <w:rFonts w:hAnsi="標楷體" w:hint="eastAsia"/>
              </w:rPr>
              <w:t>3</w:t>
            </w:r>
            <w:r>
              <w:rPr>
                <w:rFonts w:hAnsi="標楷體"/>
              </w:rPr>
              <w:t>2,255</w:t>
            </w:r>
          </w:p>
        </w:tc>
      </w:tr>
      <w:tr w:rsidR="00721CE0" w:rsidRPr="00E10844" w:rsidTr="007D4065">
        <w:tc>
          <w:tcPr>
            <w:tcW w:w="993" w:type="dxa"/>
            <w:shd w:val="clear" w:color="auto" w:fill="auto"/>
            <w:vAlign w:val="center"/>
          </w:tcPr>
          <w:p w:rsidR="00721CE0" w:rsidRPr="00E10844" w:rsidRDefault="00B9694A" w:rsidP="007D4065">
            <w:pPr>
              <w:pStyle w:val="142"/>
              <w:jc w:val="center"/>
              <w:rPr>
                <w:rFonts w:hAnsi="標楷體"/>
              </w:rPr>
            </w:pPr>
            <w:r>
              <w:rPr>
                <w:rFonts w:hAnsi="標楷體"/>
              </w:rPr>
              <w:t>112</w:t>
            </w:r>
          </w:p>
        </w:tc>
        <w:tc>
          <w:tcPr>
            <w:tcW w:w="1990" w:type="dxa"/>
            <w:shd w:val="clear" w:color="auto" w:fill="auto"/>
            <w:vAlign w:val="center"/>
          </w:tcPr>
          <w:p w:rsidR="00721CE0" w:rsidRPr="00E10844" w:rsidRDefault="00D40275" w:rsidP="00D40275">
            <w:pPr>
              <w:pStyle w:val="142"/>
              <w:jc w:val="right"/>
              <w:rPr>
                <w:rFonts w:hAnsi="標楷體"/>
              </w:rPr>
            </w:pPr>
            <w:r>
              <w:rPr>
                <w:rFonts w:hAnsi="標楷體"/>
              </w:rPr>
              <w:t>434</w:t>
            </w:r>
            <w:r w:rsidR="00721CE0" w:rsidRPr="00E10844">
              <w:rPr>
                <w:rFonts w:hAnsi="標楷體"/>
              </w:rPr>
              <w:t>,</w:t>
            </w:r>
            <w:r>
              <w:rPr>
                <w:rFonts w:hAnsi="標楷體"/>
              </w:rPr>
              <w:t>5</w:t>
            </w:r>
            <w:r w:rsidR="00B9694A">
              <w:rPr>
                <w:rFonts w:hAnsi="標楷體"/>
              </w:rPr>
              <w:t>2</w:t>
            </w:r>
            <w:r>
              <w:rPr>
                <w:rFonts w:hAnsi="標楷體"/>
              </w:rPr>
              <w:t>9</w:t>
            </w:r>
            <w:r w:rsidR="00721CE0" w:rsidRPr="00E10844">
              <w:rPr>
                <w:rFonts w:hAnsi="標楷體"/>
              </w:rPr>
              <w:t>,</w:t>
            </w:r>
            <w:r>
              <w:rPr>
                <w:rFonts w:hAnsi="標楷體"/>
              </w:rPr>
              <w:t>147</w:t>
            </w:r>
          </w:p>
        </w:tc>
        <w:tc>
          <w:tcPr>
            <w:tcW w:w="1841" w:type="dxa"/>
            <w:shd w:val="clear" w:color="auto" w:fill="auto"/>
            <w:vAlign w:val="center"/>
          </w:tcPr>
          <w:p w:rsidR="00721CE0" w:rsidRPr="00E10844" w:rsidRDefault="00B9694A" w:rsidP="00D40275">
            <w:pPr>
              <w:pStyle w:val="142"/>
              <w:jc w:val="right"/>
              <w:rPr>
                <w:rFonts w:hAnsi="標楷體"/>
              </w:rPr>
            </w:pPr>
            <w:r>
              <w:rPr>
                <w:rFonts w:hAnsi="標楷體"/>
              </w:rPr>
              <w:t>2</w:t>
            </w:r>
            <w:r w:rsidR="00D40275">
              <w:rPr>
                <w:rFonts w:hAnsi="標楷體"/>
              </w:rPr>
              <w:t>20</w:t>
            </w:r>
            <w:r w:rsidR="00721CE0" w:rsidRPr="00E10844">
              <w:rPr>
                <w:rFonts w:hAnsi="標楷體"/>
              </w:rPr>
              <w:t>,</w:t>
            </w:r>
            <w:r w:rsidR="00D40275">
              <w:rPr>
                <w:rFonts w:hAnsi="標楷體"/>
              </w:rPr>
              <w:t>627</w:t>
            </w:r>
          </w:p>
        </w:tc>
        <w:tc>
          <w:tcPr>
            <w:tcW w:w="1840" w:type="dxa"/>
            <w:shd w:val="clear" w:color="auto" w:fill="auto"/>
            <w:vAlign w:val="center"/>
          </w:tcPr>
          <w:p w:rsidR="00721CE0" w:rsidRPr="00E10844" w:rsidRDefault="00D40275" w:rsidP="00D40275">
            <w:pPr>
              <w:pStyle w:val="142"/>
              <w:jc w:val="right"/>
              <w:rPr>
                <w:rFonts w:hAnsi="標楷體"/>
              </w:rPr>
            </w:pPr>
            <w:r>
              <w:rPr>
                <w:rFonts w:hAnsi="標楷體"/>
              </w:rPr>
              <w:t>343</w:t>
            </w:r>
            <w:r w:rsidR="00721CE0" w:rsidRPr="00E10844">
              <w:rPr>
                <w:rFonts w:hAnsi="標楷體"/>
              </w:rPr>
              <w:t>,</w:t>
            </w:r>
            <w:r>
              <w:rPr>
                <w:rFonts w:hAnsi="標楷體"/>
              </w:rPr>
              <w:t>007</w:t>
            </w:r>
          </w:p>
        </w:tc>
        <w:tc>
          <w:tcPr>
            <w:tcW w:w="1841" w:type="dxa"/>
            <w:vAlign w:val="center"/>
          </w:tcPr>
          <w:p w:rsidR="00721CE0" w:rsidRPr="00E10844" w:rsidRDefault="00D40275" w:rsidP="00D40275">
            <w:pPr>
              <w:pStyle w:val="142"/>
              <w:jc w:val="right"/>
              <w:rPr>
                <w:rFonts w:hAnsi="標楷體"/>
              </w:rPr>
            </w:pPr>
            <w:r>
              <w:rPr>
                <w:rFonts w:hAnsi="標楷體"/>
              </w:rPr>
              <w:t>30</w:t>
            </w:r>
            <w:r w:rsidR="00721CE0" w:rsidRPr="00E10844">
              <w:rPr>
                <w:rFonts w:hAnsi="標楷體"/>
              </w:rPr>
              <w:t>,</w:t>
            </w:r>
            <w:r>
              <w:rPr>
                <w:rFonts w:hAnsi="標楷體"/>
              </w:rPr>
              <w:t>922</w:t>
            </w:r>
          </w:p>
        </w:tc>
      </w:tr>
      <w:tr w:rsidR="00D40275" w:rsidRPr="00E10844" w:rsidTr="007D4065">
        <w:tc>
          <w:tcPr>
            <w:tcW w:w="993" w:type="dxa"/>
            <w:shd w:val="clear" w:color="auto" w:fill="auto"/>
            <w:vAlign w:val="center"/>
          </w:tcPr>
          <w:p w:rsidR="00D40275" w:rsidRDefault="00D40275" w:rsidP="007D4065">
            <w:pPr>
              <w:pStyle w:val="142"/>
              <w:jc w:val="center"/>
              <w:rPr>
                <w:rFonts w:hAnsi="標楷體"/>
              </w:rPr>
            </w:pPr>
            <w:r>
              <w:rPr>
                <w:rFonts w:hAnsi="標楷體" w:hint="eastAsia"/>
              </w:rPr>
              <w:t>113</w:t>
            </w:r>
          </w:p>
        </w:tc>
        <w:tc>
          <w:tcPr>
            <w:tcW w:w="1990" w:type="dxa"/>
            <w:shd w:val="clear" w:color="auto" w:fill="auto"/>
            <w:vAlign w:val="center"/>
          </w:tcPr>
          <w:p w:rsidR="00D40275" w:rsidRPr="00E10844" w:rsidRDefault="00D40275" w:rsidP="00B9694A">
            <w:pPr>
              <w:pStyle w:val="142"/>
              <w:jc w:val="right"/>
              <w:rPr>
                <w:rFonts w:hAnsi="標楷體"/>
              </w:rPr>
            </w:pPr>
            <w:r>
              <w:rPr>
                <w:rFonts w:hAnsi="標楷體" w:hint="eastAsia"/>
              </w:rPr>
              <w:t>392</w:t>
            </w:r>
            <w:r>
              <w:rPr>
                <w:rFonts w:hAnsi="標楷體"/>
              </w:rPr>
              <w:t>,686,263</w:t>
            </w:r>
          </w:p>
        </w:tc>
        <w:tc>
          <w:tcPr>
            <w:tcW w:w="1841" w:type="dxa"/>
            <w:shd w:val="clear" w:color="auto" w:fill="auto"/>
            <w:vAlign w:val="center"/>
          </w:tcPr>
          <w:p w:rsidR="00D40275" w:rsidRPr="00E10844" w:rsidRDefault="00D40275" w:rsidP="00B9694A">
            <w:pPr>
              <w:pStyle w:val="142"/>
              <w:jc w:val="right"/>
              <w:rPr>
                <w:rFonts w:hAnsi="標楷體"/>
              </w:rPr>
            </w:pPr>
            <w:r>
              <w:rPr>
                <w:rFonts w:hAnsi="標楷體" w:hint="eastAsia"/>
              </w:rPr>
              <w:t>1</w:t>
            </w:r>
            <w:r>
              <w:rPr>
                <w:rFonts w:hAnsi="標楷體"/>
              </w:rPr>
              <w:t>99,382</w:t>
            </w:r>
          </w:p>
        </w:tc>
        <w:tc>
          <w:tcPr>
            <w:tcW w:w="1840" w:type="dxa"/>
            <w:shd w:val="clear" w:color="auto" w:fill="auto"/>
            <w:vAlign w:val="center"/>
          </w:tcPr>
          <w:p w:rsidR="00D40275" w:rsidRPr="00E10844" w:rsidRDefault="00D40275" w:rsidP="00B9694A">
            <w:pPr>
              <w:pStyle w:val="142"/>
              <w:jc w:val="right"/>
              <w:rPr>
                <w:rFonts w:hAnsi="標楷體"/>
              </w:rPr>
            </w:pPr>
            <w:r>
              <w:rPr>
                <w:rFonts w:hAnsi="標楷體" w:hint="eastAsia"/>
              </w:rPr>
              <w:t>3</w:t>
            </w:r>
            <w:r>
              <w:rPr>
                <w:rFonts w:hAnsi="標楷體"/>
              </w:rPr>
              <w:t>09,977</w:t>
            </w:r>
          </w:p>
        </w:tc>
        <w:tc>
          <w:tcPr>
            <w:tcW w:w="1841" w:type="dxa"/>
            <w:vAlign w:val="center"/>
          </w:tcPr>
          <w:p w:rsidR="00D40275" w:rsidRPr="00E10844" w:rsidRDefault="00D40275" w:rsidP="00B9694A">
            <w:pPr>
              <w:pStyle w:val="142"/>
              <w:jc w:val="right"/>
              <w:rPr>
                <w:rFonts w:hAnsi="標楷體"/>
              </w:rPr>
            </w:pPr>
            <w:r>
              <w:rPr>
                <w:rFonts w:hAnsi="標楷體" w:hint="eastAsia"/>
              </w:rPr>
              <w:t>1</w:t>
            </w:r>
            <w:r>
              <w:rPr>
                <w:rFonts w:hAnsi="標楷體"/>
              </w:rPr>
              <w:t>25,747</w:t>
            </w:r>
          </w:p>
        </w:tc>
      </w:tr>
    </w:tbl>
    <w:p w:rsidR="00676912" w:rsidRPr="00E10844" w:rsidRDefault="00676912" w:rsidP="009C4AFA">
      <w:pPr>
        <w:pStyle w:val="142"/>
        <w:rPr>
          <w:rFonts w:hAnsi="標楷體"/>
        </w:rPr>
      </w:pPr>
      <w:r w:rsidRPr="00E10844">
        <w:rPr>
          <w:rFonts w:hAnsi="標楷體"/>
        </w:rPr>
        <w:t>說    明：</w:t>
      </w:r>
      <w:r w:rsidR="001F600F" w:rsidRPr="00E10844">
        <w:rPr>
          <w:rFonts w:hAnsi="標楷體"/>
        </w:rPr>
        <w:t>11</w:t>
      </w:r>
      <w:r w:rsidR="00D40275">
        <w:rPr>
          <w:rFonts w:hAnsi="標楷體"/>
        </w:rPr>
        <w:t>3</w:t>
      </w:r>
      <w:r w:rsidR="001F600F" w:rsidRPr="00E10844">
        <w:rPr>
          <w:rFonts w:hAnsi="標楷體"/>
        </w:rPr>
        <w:t>年</w:t>
      </w:r>
      <w:r w:rsidR="00511B11" w:rsidRPr="00E10844">
        <w:rPr>
          <w:rFonts w:hAnsi="標楷體"/>
        </w:rPr>
        <w:t>係</w:t>
      </w:r>
      <w:r w:rsidRPr="00E10844">
        <w:rPr>
          <w:rFonts w:hAnsi="標楷體"/>
        </w:rPr>
        <w:t>截至8月底止</w:t>
      </w:r>
      <w:r w:rsidR="00511B11" w:rsidRPr="00E10844">
        <w:rPr>
          <w:rFonts w:hAnsi="標楷體"/>
        </w:rPr>
        <w:t>資料</w:t>
      </w:r>
      <w:r w:rsidRPr="00E10844">
        <w:rPr>
          <w:rFonts w:hAnsi="標楷體"/>
        </w:rPr>
        <w:t>。</w:t>
      </w:r>
    </w:p>
    <w:p w:rsidR="00D66635" w:rsidRPr="00E10844" w:rsidRDefault="00D66635" w:rsidP="009C4AFA">
      <w:pPr>
        <w:pStyle w:val="142"/>
        <w:rPr>
          <w:rFonts w:hAnsi="標楷體"/>
        </w:rPr>
      </w:pPr>
      <w:r w:rsidRPr="00E10844">
        <w:rPr>
          <w:rFonts w:hAnsi="標楷體"/>
        </w:rPr>
        <w:t>資料來源</w:t>
      </w:r>
      <w:r w:rsidR="00536069" w:rsidRPr="00E10844">
        <w:rPr>
          <w:rFonts w:hAnsi="標楷體"/>
        </w:rPr>
        <w:t>：</w:t>
      </w:r>
      <w:r w:rsidR="004F6906" w:rsidRPr="00E10844">
        <w:rPr>
          <w:rFonts w:hAnsi="標楷體"/>
        </w:rPr>
        <w:t>臺銀證券</w:t>
      </w:r>
      <w:r w:rsidRPr="00E10844">
        <w:rPr>
          <w:rFonts w:hAnsi="標楷體"/>
        </w:rPr>
        <w:t>。</w:t>
      </w:r>
    </w:p>
    <w:p w:rsidR="00544D78" w:rsidRDefault="00544D78" w:rsidP="008E21E6">
      <w:pPr>
        <w:ind w:left="560" w:firstLine="560"/>
        <w:rPr>
          <w:rFonts w:hAnsi="標楷體"/>
        </w:rPr>
      </w:pPr>
      <w:bookmarkStart w:id="25" w:name="_Toc215371195"/>
      <w:bookmarkStart w:id="26" w:name="_Toc306953461"/>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B169E5" w:rsidRPr="006A3BB0" w:rsidRDefault="00AD75D7" w:rsidP="00E44F71">
      <w:pPr>
        <w:pStyle w:val="14"/>
        <w:ind w:left="561" w:hanging="561"/>
        <w:rPr>
          <w:rFonts w:hAnsi="標楷體"/>
        </w:rPr>
      </w:pPr>
      <w:bookmarkStart w:id="27" w:name="_Toc181900906"/>
      <w:r>
        <w:rPr>
          <w:rFonts w:hAnsi="標楷體" w:hint="eastAsia"/>
        </w:rPr>
        <w:t>四、</w:t>
      </w:r>
      <w:r w:rsidR="006D0F70" w:rsidRPr="006D0F70">
        <w:rPr>
          <w:rFonts w:hAnsi="標楷體" w:hint="eastAsia"/>
        </w:rPr>
        <w:t>未入選證交所評比之11</w:t>
      </w:r>
      <w:r w:rsidR="006D0F70">
        <w:rPr>
          <w:rFonts w:hAnsi="標楷體" w:hint="eastAsia"/>
        </w:rPr>
        <w:t>2</w:t>
      </w:r>
      <w:r w:rsidR="006D0F70" w:rsidRPr="006D0F70">
        <w:rPr>
          <w:rFonts w:hAnsi="標楷體" w:hint="eastAsia"/>
        </w:rPr>
        <w:t>年機構投資人盡職治理資訊揭露較佳名單，允宜配合</w:t>
      </w:r>
      <w:r w:rsidR="009E7591">
        <w:rPr>
          <w:rFonts w:hAnsi="標楷體" w:hint="eastAsia"/>
        </w:rPr>
        <w:t>主辦機關</w:t>
      </w:r>
      <w:r w:rsidR="006D0F70" w:rsidRPr="006D0F70">
        <w:rPr>
          <w:rFonts w:hAnsi="標楷體" w:hint="eastAsia"/>
        </w:rPr>
        <w:t>113年修正</w:t>
      </w:r>
      <w:r w:rsidR="009E7591">
        <w:rPr>
          <w:rFonts w:hAnsi="標楷體" w:hint="eastAsia"/>
        </w:rPr>
        <w:t>之評比</w:t>
      </w:r>
      <w:r w:rsidR="006D0F70" w:rsidRPr="006D0F70">
        <w:rPr>
          <w:rFonts w:hAnsi="標楷體" w:hint="eastAsia"/>
        </w:rPr>
        <w:t>標準檢討改善，以提升相關資訊揭露品質</w:t>
      </w:r>
      <w:bookmarkEnd w:id="27"/>
    </w:p>
    <w:p w:rsidR="00610757" w:rsidRDefault="00610757" w:rsidP="00D27D34">
      <w:pPr>
        <w:ind w:left="560" w:firstLine="560"/>
        <w:rPr>
          <w:rFonts w:hAnsi="標楷體"/>
        </w:rPr>
      </w:pPr>
      <w:r w:rsidRPr="00E10844">
        <w:rPr>
          <w:rFonts w:hAnsi="標楷體"/>
        </w:rPr>
        <w:t>臺銀證券</w:t>
      </w:r>
      <w:r>
        <w:rPr>
          <w:rFonts w:hAnsi="標楷體"/>
        </w:rPr>
        <w:t>11</w:t>
      </w:r>
      <w:r>
        <w:rPr>
          <w:rFonts w:hAnsi="標楷體" w:hint="eastAsia"/>
        </w:rPr>
        <w:t>4</w:t>
      </w:r>
      <w:r w:rsidRPr="00E10844">
        <w:rPr>
          <w:rFonts w:hAnsi="標楷體"/>
        </w:rPr>
        <w:t>年度預算案於</w:t>
      </w:r>
      <w:r>
        <w:rPr>
          <w:rFonts w:hAnsi="標楷體" w:hint="eastAsia"/>
        </w:rPr>
        <w:t>「</w:t>
      </w:r>
      <w:r>
        <w:rPr>
          <w:rFonts w:hAnsi="標楷體"/>
        </w:rPr>
        <w:t>營業</w:t>
      </w:r>
      <w:r>
        <w:rPr>
          <w:rFonts w:hAnsi="標楷體" w:hint="eastAsia"/>
        </w:rPr>
        <w:t>成本-</w:t>
      </w:r>
      <w:r w:rsidRPr="00E10844">
        <w:rPr>
          <w:rFonts w:hAnsi="標楷體"/>
        </w:rPr>
        <w:t>金融保險</w:t>
      </w:r>
      <w:r>
        <w:rPr>
          <w:rFonts w:hAnsi="標楷體" w:hint="eastAsia"/>
        </w:rPr>
        <w:t>成本」</w:t>
      </w:r>
      <w:r w:rsidRPr="00E10844">
        <w:rPr>
          <w:rFonts w:hAnsi="標楷體"/>
        </w:rPr>
        <w:t>項下編列「證券</w:t>
      </w:r>
      <w:r>
        <w:rPr>
          <w:rFonts w:hAnsi="標楷體" w:hint="eastAsia"/>
        </w:rPr>
        <w:t>自營費用</w:t>
      </w:r>
      <w:r w:rsidRPr="00E10844">
        <w:rPr>
          <w:rFonts w:hAnsi="標楷體"/>
        </w:rPr>
        <w:t>」</w:t>
      </w:r>
      <w:r>
        <w:rPr>
          <w:rFonts w:hAnsi="標楷體" w:hint="eastAsia"/>
        </w:rPr>
        <w:t>731</w:t>
      </w:r>
      <w:r w:rsidRPr="00E10844">
        <w:rPr>
          <w:rFonts w:hAnsi="標楷體"/>
        </w:rPr>
        <w:t>萬</w:t>
      </w:r>
      <w:r>
        <w:rPr>
          <w:rFonts w:hAnsi="標楷體" w:hint="eastAsia"/>
        </w:rPr>
        <w:t>2千</w:t>
      </w:r>
      <w:r w:rsidRPr="00E10844">
        <w:rPr>
          <w:rFonts w:hAnsi="標楷體"/>
        </w:rPr>
        <w:t>元，較11</w:t>
      </w:r>
      <w:r>
        <w:rPr>
          <w:rFonts w:hAnsi="標楷體" w:hint="eastAsia"/>
        </w:rPr>
        <w:t>3</w:t>
      </w:r>
      <w:r w:rsidRPr="00E10844">
        <w:rPr>
          <w:rFonts w:hAnsi="標楷體"/>
        </w:rPr>
        <w:t>年度</w:t>
      </w:r>
      <w:r>
        <w:rPr>
          <w:rFonts w:hAnsi="標楷體" w:hint="eastAsia"/>
        </w:rPr>
        <w:t>減少73</w:t>
      </w:r>
      <w:r w:rsidRPr="00E10844">
        <w:rPr>
          <w:rFonts w:hAnsi="標楷體"/>
        </w:rPr>
        <w:t>萬</w:t>
      </w:r>
      <w:r>
        <w:rPr>
          <w:rFonts w:hAnsi="標楷體" w:hint="eastAsia"/>
        </w:rPr>
        <w:t>8</w:t>
      </w:r>
      <w:r w:rsidRPr="00E10844">
        <w:rPr>
          <w:rFonts w:hAnsi="標楷體"/>
        </w:rPr>
        <w:t>千元(</w:t>
      </w:r>
      <w:r>
        <w:rPr>
          <w:rFonts w:hAnsi="標楷體" w:hint="eastAsia"/>
        </w:rPr>
        <w:t>減</w:t>
      </w:r>
      <w:r w:rsidRPr="00E10844">
        <w:rPr>
          <w:rFonts w:hAnsi="標楷體"/>
        </w:rPr>
        <w:t>幅</w:t>
      </w:r>
      <w:r>
        <w:rPr>
          <w:rFonts w:hAnsi="標楷體" w:hint="eastAsia"/>
        </w:rPr>
        <w:t>9.2</w:t>
      </w:r>
      <w:r w:rsidRPr="00E10844">
        <w:rPr>
          <w:rFonts w:hAnsi="標楷體"/>
        </w:rPr>
        <w:t>%)</w:t>
      </w:r>
      <w:r>
        <w:rPr>
          <w:rFonts w:hAnsi="標楷體" w:hint="eastAsia"/>
        </w:rPr>
        <w:t>，主要為辦理證券自營業務之所需經費。經查：</w:t>
      </w:r>
    </w:p>
    <w:p w:rsidR="00610757" w:rsidRDefault="00610757" w:rsidP="00610757">
      <w:pPr>
        <w:pStyle w:val="a4"/>
        <w:ind w:left="840" w:hanging="280"/>
        <w:rPr>
          <w:b/>
        </w:rPr>
      </w:pPr>
      <w:r>
        <w:rPr>
          <w:rFonts w:hint="eastAsia"/>
          <w:b/>
        </w:rPr>
        <w:t>(一)盡職治理可</w:t>
      </w:r>
      <w:r w:rsidR="00857EEF">
        <w:rPr>
          <w:rFonts w:hint="eastAsia"/>
          <w:b/>
        </w:rPr>
        <w:t>督促機構投資人</w:t>
      </w:r>
      <w:r w:rsidR="00857EEF" w:rsidRPr="00857EEF">
        <w:rPr>
          <w:rFonts w:hint="eastAsia"/>
          <w:b/>
        </w:rPr>
        <w:t>善盡資產擁有人或管理人責任</w:t>
      </w:r>
      <w:r w:rsidR="00857EEF">
        <w:rPr>
          <w:rFonts w:hint="eastAsia"/>
          <w:b/>
        </w:rPr>
        <w:t>，提升</w:t>
      </w:r>
      <w:r>
        <w:rPr>
          <w:rFonts w:hint="eastAsia"/>
          <w:b/>
        </w:rPr>
        <w:t>公司治理</w:t>
      </w:r>
      <w:r w:rsidR="00857EEF">
        <w:rPr>
          <w:rFonts w:hint="eastAsia"/>
          <w:b/>
        </w:rPr>
        <w:t>之品質</w:t>
      </w:r>
    </w:p>
    <w:p w:rsidR="00610757" w:rsidRDefault="00610757" w:rsidP="00610757">
      <w:pPr>
        <w:pStyle w:val="21"/>
        <w:ind w:left="840" w:firstLine="560"/>
      </w:pPr>
      <w:r w:rsidRPr="00610757">
        <w:rPr>
          <w:rFonts w:hint="eastAsia"/>
        </w:rPr>
        <w:t>為持續推動公司治理改革，</w:t>
      </w:r>
      <w:r w:rsidR="008D52B8">
        <w:rPr>
          <w:rFonts w:hint="eastAsia"/>
        </w:rPr>
        <w:t>金融監督管理委員會(下稱</w:t>
      </w:r>
      <w:r w:rsidRPr="00610757">
        <w:rPr>
          <w:rFonts w:hint="eastAsia"/>
        </w:rPr>
        <w:t>金管會</w:t>
      </w:r>
      <w:r w:rsidR="008D52B8">
        <w:rPr>
          <w:rFonts w:hint="eastAsia"/>
        </w:rPr>
        <w:t>)</w:t>
      </w:r>
      <w:r w:rsidRPr="00610757">
        <w:rPr>
          <w:rFonts w:hint="eastAsia"/>
        </w:rPr>
        <w:t>於109年8月25</w:t>
      </w:r>
      <w:r>
        <w:rPr>
          <w:rFonts w:hint="eastAsia"/>
        </w:rPr>
        <w:t>日推</w:t>
      </w:r>
      <w:r w:rsidRPr="00610757">
        <w:rPr>
          <w:rFonts w:hint="eastAsia"/>
        </w:rPr>
        <w:t>動「公司治理3.0-永續發展藍圖」，期望透過強化董事會職能、提高資訊透明度、強化利害關係人溝通、引導機構投資人盡職治理、深化公司永續治理文化等面向，鼓勵企業落實公司治理，提升永續發展，並營造健全</w:t>
      </w:r>
      <w:r w:rsidR="00754693">
        <w:rPr>
          <w:rFonts w:hint="eastAsia"/>
        </w:rPr>
        <w:t>ESG</w:t>
      </w:r>
      <w:r w:rsidRPr="00610757">
        <w:rPr>
          <w:rFonts w:hint="eastAsia"/>
        </w:rPr>
        <w:t>生態體系，強化資本市場國際競爭力。</w:t>
      </w:r>
    </w:p>
    <w:p w:rsidR="00B169E5" w:rsidRDefault="00610757" w:rsidP="00857EEF">
      <w:pPr>
        <w:pStyle w:val="21"/>
        <w:ind w:left="840" w:firstLine="560"/>
      </w:pPr>
      <w:r>
        <w:rPr>
          <w:rFonts w:hint="eastAsia"/>
        </w:rPr>
        <w:t>據</w:t>
      </w:r>
      <w:r w:rsidR="006A3BB0">
        <w:rPr>
          <w:rFonts w:hint="eastAsia"/>
        </w:rPr>
        <w:t>臺灣證券交易所(下稱證交所)</w:t>
      </w:r>
      <w:r w:rsidR="00857EEF">
        <w:rPr>
          <w:rFonts w:hint="eastAsia"/>
        </w:rPr>
        <w:t>發布之「</w:t>
      </w:r>
      <w:r w:rsidR="00857EEF" w:rsidRPr="00857EEF">
        <w:rPr>
          <w:rFonts w:hint="eastAsia"/>
        </w:rPr>
        <w:t>機構投資人盡職治理守則</w:t>
      </w:r>
      <w:r w:rsidR="00857EEF">
        <w:rPr>
          <w:rFonts w:hint="eastAsia"/>
        </w:rPr>
        <w:t>」</w:t>
      </w:r>
      <w:r>
        <w:rPr>
          <w:rFonts w:hint="eastAsia"/>
        </w:rPr>
        <w:t>，</w:t>
      </w:r>
      <w:r w:rsidR="00857EEF">
        <w:rPr>
          <w:rFonts w:hint="eastAsia"/>
        </w:rPr>
        <w:t>機構投資人投資或履行受託人責任時，宜基於資金提供者</w:t>
      </w:r>
      <w:r w:rsidR="00857EEF">
        <w:rPr>
          <w:rStyle w:val="afc"/>
        </w:rPr>
        <w:footnoteReference w:id="4"/>
      </w:r>
      <w:r w:rsidR="00857EEF">
        <w:rPr>
          <w:rFonts w:hint="eastAsia"/>
        </w:rPr>
        <w:t>之總體利益，關注被投資公司營運狀況，並透過出席股東會、行使投票權、適當與被投資公司之董事或經理人等經營階層對話與互動等方式參與公司治理，</w:t>
      </w:r>
      <w:r>
        <w:rPr>
          <w:rFonts w:hint="eastAsia"/>
        </w:rPr>
        <w:t>此係</w:t>
      </w:r>
      <w:r w:rsidR="00857EEF">
        <w:rPr>
          <w:rFonts w:hint="eastAsia"/>
        </w:rPr>
        <w:t>該守則所稱</w:t>
      </w:r>
      <w:r w:rsidR="000B1C78" w:rsidRPr="000B1C78">
        <w:rPr>
          <w:rFonts w:hint="eastAsia"/>
        </w:rPr>
        <w:t>機構投資人之「盡職治理」</w:t>
      </w:r>
      <w:r w:rsidR="00754693">
        <w:rPr>
          <w:rFonts w:hint="eastAsia"/>
        </w:rPr>
        <w:t>，</w:t>
      </w:r>
      <w:r w:rsidR="00857EEF">
        <w:rPr>
          <w:rFonts w:hint="eastAsia"/>
        </w:rPr>
        <w:t>透過該守則之架構與指引，</w:t>
      </w:r>
      <w:r w:rsidR="00857EEF" w:rsidRPr="00857EEF">
        <w:rPr>
          <w:rFonts w:hint="eastAsia"/>
        </w:rPr>
        <w:t>可督促機構投資人善盡資產擁有人或管理人責任，提升公司治理之品質</w:t>
      </w:r>
      <w:r w:rsidR="00857EEF">
        <w:rPr>
          <w:rFonts w:hint="eastAsia"/>
        </w:rPr>
        <w:t>。</w:t>
      </w:r>
      <w:r w:rsidR="00754693">
        <w:rPr>
          <w:rFonts w:hint="eastAsia"/>
        </w:rPr>
        <w:t>目前計28家</w:t>
      </w:r>
      <w:r w:rsidR="00754693" w:rsidRPr="00754693">
        <w:rPr>
          <w:rFonts w:hint="eastAsia"/>
        </w:rPr>
        <w:t>證券商簽署</w:t>
      </w:r>
      <w:r w:rsidR="00857EEF">
        <w:rPr>
          <w:rFonts w:hint="eastAsia"/>
        </w:rPr>
        <w:t>機構投資人</w:t>
      </w:r>
      <w:r w:rsidR="00754693" w:rsidRPr="00754693">
        <w:rPr>
          <w:rFonts w:hint="eastAsia"/>
        </w:rPr>
        <w:t>盡職治理守則遵循聲明</w:t>
      </w:r>
      <w:r w:rsidR="000B1C78" w:rsidRPr="000B1C78">
        <w:rPr>
          <w:rFonts w:hint="eastAsia"/>
        </w:rPr>
        <w:t>。</w:t>
      </w:r>
    </w:p>
    <w:p w:rsidR="00754693" w:rsidRPr="00754693" w:rsidRDefault="00754693" w:rsidP="00754693">
      <w:pPr>
        <w:pStyle w:val="a4"/>
        <w:ind w:left="840" w:hanging="280"/>
        <w:rPr>
          <w:b/>
        </w:rPr>
      </w:pPr>
      <w:r>
        <w:rPr>
          <w:rFonts w:hint="eastAsia"/>
          <w:b/>
        </w:rPr>
        <w:t>(二)</w:t>
      </w:r>
      <w:r w:rsidRPr="00754693">
        <w:rPr>
          <w:rFonts w:hint="eastAsia"/>
          <w:b/>
        </w:rPr>
        <w:t>臺銀證券</w:t>
      </w:r>
      <w:r w:rsidR="0014754A">
        <w:rPr>
          <w:rFonts w:hint="eastAsia"/>
          <w:b/>
        </w:rPr>
        <w:t>入選證交所評比之</w:t>
      </w:r>
      <w:r w:rsidR="008E601D">
        <w:rPr>
          <w:rFonts w:hint="eastAsia"/>
          <w:b/>
        </w:rPr>
        <w:t>111</w:t>
      </w:r>
      <w:r w:rsidR="008E601D" w:rsidRPr="008E601D">
        <w:rPr>
          <w:rFonts w:hint="eastAsia"/>
          <w:b/>
        </w:rPr>
        <w:t>年機構投資人盡職治理資訊揭露較佳</w:t>
      </w:r>
      <w:r w:rsidR="00255F16">
        <w:rPr>
          <w:rFonts w:hint="eastAsia"/>
          <w:b/>
        </w:rPr>
        <w:t>名單</w:t>
      </w:r>
      <w:r w:rsidR="008E601D">
        <w:rPr>
          <w:rFonts w:hint="eastAsia"/>
          <w:b/>
        </w:rPr>
        <w:t>，惟112年並未入選</w:t>
      </w:r>
      <w:r w:rsidR="0014754A">
        <w:rPr>
          <w:rFonts w:hint="eastAsia"/>
          <w:b/>
        </w:rPr>
        <w:t>，允宜</w:t>
      </w:r>
      <w:r w:rsidR="00B2691F">
        <w:rPr>
          <w:rFonts w:hint="eastAsia"/>
          <w:b/>
        </w:rPr>
        <w:t>配合</w:t>
      </w:r>
      <w:r w:rsidR="0014754A">
        <w:rPr>
          <w:rFonts w:hint="eastAsia"/>
          <w:b/>
        </w:rPr>
        <w:t>113年</w:t>
      </w:r>
      <w:r w:rsidR="00B2691F">
        <w:rPr>
          <w:rFonts w:hint="eastAsia"/>
          <w:b/>
        </w:rPr>
        <w:t>修正標準</w:t>
      </w:r>
      <w:r w:rsidR="008D52B8">
        <w:rPr>
          <w:rFonts w:hint="eastAsia"/>
          <w:b/>
        </w:rPr>
        <w:t>檢討</w:t>
      </w:r>
      <w:r w:rsidR="0014754A">
        <w:rPr>
          <w:rFonts w:hint="eastAsia"/>
          <w:b/>
        </w:rPr>
        <w:t>改善</w:t>
      </w:r>
    </w:p>
    <w:p w:rsidR="00754693" w:rsidRDefault="008E601D" w:rsidP="00610757">
      <w:pPr>
        <w:pStyle w:val="21"/>
        <w:ind w:left="840" w:firstLine="560"/>
      </w:pPr>
      <w:r>
        <w:rPr>
          <w:rFonts w:hint="eastAsia"/>
        </w:rPr>
        <w:t>為</w:t>
      </w:r>
      <w:r w:rsidRPr="00754693">
        <w:rPr>
          <w:rFonts w:hint="eastAsia"/>
        </w:rPr>
        <w:t>提升機構投資人盡職治理實務及相關資訊揭露品質，</w:t>
      </w:r>
      <w:r>
        <w:rPr>
          <w:rFonts w:hint="eastAsia"/>
        </w:rPr>
        <w:t>證交所</w:t>
      </w:r>
      <w:r w:rsidRPr="00754693">
        <w:rPr>
          <w:rFonts w:hint="eastAsia"/>
        </w:rPr>
        <w:t>組成機構投資人盡職治理守則諮詢委員會，建立公開評比機制，定期辦理盡職治理資訊揭露較佳名單</w:t>
      </w:r>
      <w:r w:rsidR="006A3BB0">
        <w:rPr>
          <w:rFonts w:hint="eastAsia"/>
        </w:rPr>
        <w:t>之</w:t>
      </w:r>
      <w:r w:rsidRPr="00754693">
        <w:rPr>
          <w:rFonts w:hint="eastAsia"/>
        </w:rPr>
        <w:t>評比</w:t>
      </w:r>
      <w:r w:rsidR="0091514C">
        <w:rPr>
          <w:rFonts w:hint="eastAsia"/>
        </w:rPr>
        <w:t>，並自110起</w:t>
      </w:r>
      <w:r>
        <w:rPr>
          <w:rFonts w:hint="eastAsia"/>
        </w:rPr>
        <w:t>公布該年度</w:t>
      </w:r>
      <w:r w:rsidRPr="00754693">
        <w:rPr>
          <w:rFonts w:hint="eastAsia"/>
        </w:rPr>
        <w:t>辦理盡職治理資訊揭露較佳名單</w:t>
      </w:r>
      <w:r>
        <w:rPr>
          <w:rFonts w:hint="eastAsia"/>
        </w:rPr>
        <w:t>。111年度包含</w:t>
      </w:r>
      <w:r w:rsidRPr="008E601D">
        <w:rPr>
          <w:rFonts w:hint="eastAsia"/>
        </w:rPr>
        <w:t>臺銀證券</w:t>
      </w:r>
      <w:r>
        <w:rPr>
          <w:rFonts w:hint="eastAsia"/>
        </w:rPr>
        <w:t>在內共9家證券商入選，惟</w:t>
      </w:r>
      <w:r w:rsidR="009E7591">
        <w:rPr>
          <w:rFonts w:hint="eastAsia"/>
        </w:rPr>
        <w:t>該公司</w:t>
      </w:r>
      <w:r>
        <w:rPr>
          <w:rFonts w:hint="eastAsia"/>
        </w:rPr>
        <w:t>112年度並未入選，主因係於</w:t>
      </w:r>
      <w:r w:rsidRPr="008E601D">
        <w:rPr>
          <w:rFonts w:hint="eastAsia"/>
        </w:rPr>
        <w:t>「ESG議題參與相關組織案例」、「重大議案結果不滿意之後續行動規劃」及「逐公司、逐議案揭露投票情形及說明反對理由」等3</w:t>
      </w:r>
      <w:r>
        <w:rPr>
          <w:rFonts w:hint="eastAsia"/>
        </w:rPr>
        <w:t>項目</w:t>
      </w:r>
      <w:r w:rsidR="006A3BB0" w:rsidRPr="0079763A">
        <w:rPr>
          <w:rFonts w:hAnsi="標楷體" w:hint="eastAsia"/>
        </w:rPr>
        <w:t>未達標</w:t>
      </w:r>
      <w:r>
        <w:rPr>
          <w:rFonts w:hint="eastAsia"/>
        </w:rPr>
        <w:t>，</w:t>
      </w:r>
      <w:r w:rsidRPr="008E601D">
        <w:rPr>
          <w:rFonts w:hint="eastAsia"/>
        </w:rPr>
        <w:t>臺銀證券</w:t>
      </w:r>
      <w:r>
        <w:rPr>
          <w:rFonts w:hint="eastAsia"/>
        </w:rPr>
        <w:t>表示113年間對於該3項目均予以加強，</w:t>
      </w:r>
      <w:r w:rsidR="0014754A">
        <w:rPr>
          <w:rFonts w:hint="eastAsia"/>
        </w:rPr>
        <w:t>並</w:t>
      </w:r>
      <w:r w:rsidRPr="00833837">
        <w:rPr>
          <w:rFonts w:hAnsi="標楷體" w:hint="eastAsia"/>
        </w:rPr>
        <w:t>參考同業及國際投票顧問服務機構ISS及Glass Lewis 2023年臺灣投票政策要點，修正「臺銀綜合證券股份有限公司行使持有股票之投票表決權方式注意事項」，</w:t>
      </w:r>
      <w:r>
        <w:rPr>
          <w:rFonts w:hAnsi="標楷體" w:hint="eastAsia"/>
        </w:rPr>
        <w:t>另</w:t>
      </w:r>
      <w:r w:rsidR="006A3BB0">
        <w:rPr>
          <w:rFonts w:hAnsi="標楷體" w:hint="eastAsia"/>
        </w:rPr>
        <w:t>截至</w:t>
      </w:r>
      <w:r>
        <w:rPr>
          <w:rFonts w:hAnsi="標楷體" w:hint="eastAsia"/>
        </w:rPr>
        <w:t>113年</w:t>
      </w:r>
      <w:r w:rsidR="006A3BB0">
        <w:rPr>
          <w:rFonts w:hAnsi="標楷體" w:hint="eastAsia"/>
        </w:rPr>
        <w:t>8月底止，</w:t>
      </w:r>
      <w:r w:rsidR="005B57BE">
        <w:rPr>
          <w:rFonts w:hAnsi="標楷體" w:hint="eastAsia"/>
        </w:rPr>
        <w:t>累</w:t>
      </w:r>
      <w:r w:rsidR="006A3BB0">
        <w:rPr>
          <w:rFonts w:hAnsi="標楷體" w:hint="eastAsia"/>
        </w:rPr>
        <w:t>計</w:t>
      </w:r>
      <w:r>
        <w:rPr>
          <w:rFonts w:hAnsi="標楷體" w:hint="eastAsia"/>
        </w:rPr>
        <w:t>參與45家股東會之投票，均明確表達該公司對於議案</w:t>
      </w:r>
      <w:r w:rsidR="0014754A">
        <w:rPr>
          <w:rFonts w:hAnsi="標楷體" w:hint="eastAsia"/>
        </w:rPr>
        <w:t>之立場。</w:t>
      </w:r>
    </w:p>
    <w:p w:rsidR="00754693" w:rsidRDefault="005B57BE" w:rsidP="00610757">
      <w:pPr>
        <w:pStyle w:val="21"/>
        <w:ind w:left="840" w:firstLine="560"/>
      </w:pPr>
      <w:r>
        <w:rPr>
          <w:rFonts w:hint="eastAsia"/>
        </w:rPr>
        <w:t>嗣</w:t>
      </w:r>
      <w:r w:rsidR="0014754A">
        <w:rPr>
          <w:rFonts w:hint="eastAsia"/>
        </w:rPr>
        <w:t>證交所及</w:t>
      </w:r>
      <w:r>
        <w:rPr>
          <w:rFonts w:hint="eastAsia"/>
        </w:rPr>
        <w:t>臺灣集中保管</w:t>
      </w:r>
      <w:r w:rsidR="0014754A" w:rsidRPr="0014754A">
        <w:rPr>
          <w:rFonts w:hint="eastAsia"/>
        </w:rPr>
        <w:t>結算所</w:t>
      </w:r>
      <w:r w:rsidR="0014754A">
        <w:rPr>
          <w:rFonts w:hint="eastAsia"/>
        </w:rPr>
        <w:t>於113年7月舉辦「113年度</w:t>
      </w:r>
      <w:r w:rsidR="0014754A" w:rsidRPr="0014754A">
        <w:rPr>
          <w:rFonts w:hint="eastAsia"/>
        </w:rPr>
        <w:t>機構投資人盡職治理資訊揭露評比作業宣導說明會</w:t>
      </w:r>
      <w:r w:rsidR="0014754A">
        <w:rPr>
          <w:rFonts w:hint="eastAsia"/>
        </w:rPr>
        <w:t>」，會中說明113年評比</w:t>
      </w:r>
      <w:r w:rsidR="008D52B8">
        <w:rPr>
          <w:rFonts w:hint="eastAsia"/>
        </w:rPr>
        <w:t>標準</w:t>
      </w:r>
      <w:r w:rsidR="008D52B8">
        <w:rPr>
          <w:rFonts w:hAnsi="標楷體" w:hint="eastAsia"/>
        </w:rPr>
        <w:t>，</w:t>
      </w:r>
      <w:r w:rsidR="006A3BB0">
        <w:rPr>
          <w:rFonts w:hAnsi="標楷體" w:hint="eastAsia"/>
        </w:rPr>
        <w:t>概</w:t>
      </w:r>
      <w:r w:rsidR="008D52B8" w:rsidRPr="00833837">
        <w:rPr>
          <w:rFonts w:hAnsi="標楷體" w:hint="eastAsia"/>
        </w:rPr>
        <w:t>分為構面一「政策與遵循聲明」及構面二「實務與揭露」，</w:t>
      </w:r>
      <w:r w:rsidR="006A3BB0">
        <w:rPr>
          <w:rFonts w:hAnsi="標楷體" w:hint="eastAsia"/>
        </w:rPr>
        <w:t>另</w:t>
      </w:r>
      <w:r w:rsidR="008D52B8" w:rsidRPr="00833837">
        <w:rPr>
          <w:rFonts w:hAnsi="標楷體" w:hint="eastAsia"/>
        </w:rPr>
        <w:t>新增2項</w:t>
      </w:r>
      <w:r w:rsidR="008D52B8">
        <w:rPr>
          <w:rFonts w:hAnsi="標楷體" w:hint="eastAsia"/>
        </w:rPr>
        <w:t>、</w:t>
      </w:r>
      <w:r w:rsidR="008D52B8" w:rsidRPr="00833837">
        <w:rPr>
          <w:rFonts w:hAnsi="標楷體" w:hint="eastAsia"/>
        </w:rPr>
        <w:t>修正9項</w:t>
      </w:r>
      <w:r w:rsidR="008D52B8">
        <w:rPr>
          <w:rFonts w:hAnsi="標楷體" w:hint="eastAsia"/>
        </w:rPr>
        <w:t>及合併2項</w:t>
      </w:r>
      <w:r w:rsidR="00B2691F">
        <w:rPr>
          <w:rStyle w:val="afc"/>
          <w:rFonts w:hAnsi="標楷體"/>
        </w:rPr>
        <w:footnoteReference w:id="5"/>
      </w:r>
      <w:r w:rsidR="008D52B8">
        <w:rPr>
          <w:rFonts w:hAnsi="標楷體" w:hint="eastAsia"/>
        </w:rPr>
        <w:t>，合計13項</w:t>
      </w:r>
      <w:r>
        <w:rPr>
          <w:rFonts w:hAnsi="標楷體" w:hint="eastAsia"/>
        </w:rPr>
        <w:t>評比項目</w:t>
      </w:r>
      <w:r w:rsidR="008D52B8">
        <w:rPr>
          <w:rFonts w:hAnsi="標楷體" w:hint="eastAsia"/>
        </w:rPr>
        <w:t>。是以，臺銀證券允宜遵循113年最新發布之</w:t>
      </w:r>
      <w:r w:rsidR="008D52B8" w:rsidRPr="0014754A">
        <w:rPr>
          <w:rFonts w:hint="eastAsia"/>
        </w:rPr>
        <w:t>機構投資人盡職治理資訊揭露評比</w:t>
      </w:r>
      <w:r w:rsidR="008D52B8">
        <w:rPr>
          <w:rFonts w:hint="eastAsia"/>
        </w:rPr>
        <w:t>標準</w:t>
      </w:r>
      <w:r w:rsidR="008D52B8">
        <w:rPr>
          <w:rFonts w:hAnsi="標楷體" w:hint="eastAsia"/>
        </w:rPr>
        <w:t>，據以辦理相關作業。</w:t>
      </w:r>
    </w:p>
    <w:p w:rsidR="0014754A" w:rsidRPr="006D0F70" w:rsidRDefault="008D52B8" w:rsidP="008D52B8">
      <w:pPr>
        <w:ind w:left="560" w:firstLine="560"/>
        <w:rPr>
          <w:color w:val="000000" w:themeColor="text1"/>
        </w:rPr>
      </w:pPr>
      <w:r w:rsidRPr="006D0F70">
        <w:rPr>
          <w:rFonts w:hint="eastAsia"/>
          <w:color w:val="000000" w:themeColor="text1"/>
        </w:rPr>
        <w:t>綜上，</w:t>
      </w:r>
      <w:r w:rsidR="00255F16" w:rsidRPr="006D0F70">
        <w:rPr>
          <w:rFonts w:hint="eastAsia"/>
          <w:color w:val="000000" w:themeColor="text1"/>
        </w:rPr>
        <w:t>證交所</w:t>
      </w:r>
      <w:r w:rsidRPr="006D0F70">
        <w:rPr>
          <w:rFonts w:hint="eastAsia"/>
          <w:color w:val="000000" w:themeColor="text1"/>
        </w:rPr>
        <w:t>配合金管會推動公司治理3.0永續發展藍圖</w:t>
      </w:r>
      <w:r w:rsidR="00857EEF" w:rsidRPr="006D0F70">
        <w:rPr>
          <w:rFonts w:hint="eastAsia"/>
          <w:color w:val="000000" w:themeColor="text1"/>
        </w:rPr>
        <w:t>，</w:t>
      </w:r>
      <w:r w:rsidR="006A3BB0" w:rsidRPr="006D0F70">
        <w:rPr>
          <w:rFonts w:hint="eastAsia"/>
          <w:color w:val="000000" w:themeColor="text1"/>
        </w:rPr>
        <w:t>提升機構投資人盡職治理實務及相關資訊揭露品質，定期辦理盡職治理資訊揭露較佳名單之評比，</w:t>
      </w:r>
      <w:r w:rsidRPr="006D0F70">
        <w:rPr>
          <w:rFonts w:hint="eastAsia"/>
          <w:color w:val="000000" w:themeColor="text1"/>
        </w:rPr>
        <w:t>臺銀證券入選證交所評比之111</w:t>
      </w:r>
      <w:r w:rsidR="00255F16" w:rsidRPr="006D0F70">
        <w:rPr>
          <w:rFonts w:hint="eastAsia"/>
          <w:color w:val="000000" w:themeColor="text1"/>
        </w:rPr>
        <w:t>年機構投資人盡職治理資訊揭露較佳名單</w:t>
      </w:r>
      <w:r w:rsidRPr="006D0F70">
        <w:rPr>
          <w:rFonts w:hint="eastAsia"/>
          <w:color w:val="000000" w:themeColor="text1"/>
        </w:rPr>
        <w:t>，惟112年並未入選，</w:t>
      </w:r>
      <w:r w:rsidR="00255F16" w:rsidRPr="006D0F70">
        <w:rPr>
          <w:rFonts w:hint="eastAsia"/>
          <w:color w:val="000000" w:themeColor="text1"/>
        </w:rPr>
        <w:t>允宜配合</w:t>
      </w:r>
      <w:r w:rsidR="009E7591">
        <w:rPr>
          <w:rFonts w:hint="eastAsia"/>
          <w:color w:val="000000" w:themeColor="text1"/>
        </w:rPr>
        <w:t>主辦機關</w:t>
      </w:r>
      <w:r w:rsidR="00255F16" w:rsidRPr="006D0F70">
        <w:rPr>
          <w:rFonts w:hint="eastAsia"/>
          <w:color w:val="000000" w:themeColor="text1"/>
        </w:rPr>
        <w:t>113年修正</w:t>
      </w:r>
      <w:r w:rsidR="009E7591">
        <w:rPr>
          <w:rFonts w:hint="eastAsia"/>
          <w:color w:val="000000" w:themeColor="text1"/>
        </w:rPr>
        <w:t>之評比</w:t>
      </w:r>
      <w:r w:rsidR="00255F16" w:rsidRPr="006D0F70">
        <w:rPr>
          <w:rFonts w:hint="eastAsia"/>
          <w:color w:val="000000" w:themeColor="text1"/>
        </w:rPr>
        <w:t>標準檢討改善</w:t>
      </w:r>
      <w:r w:rsidR="005B57BE" w:rsidRPr="006D0F70">
        <w:rPr>
          <w:rFonts w:hint="eastAsia"/>
          <w:color w:val="000000" w:themeColor="text1"/>
        </w:rPr>
        <w:t>，以</w:t>
      </w:r>
      <w:r w:rsidR="005B57BE" w:rsidRPr="006D0F70">
        <w:rPr>
          <w:rFonts w:hAnsi="標楷體" w:hint="eastAsia"/>
          <w:color w:val="000000" w:themeColor="text1"/>
        </w:rPr>
        <w:t>提升相關資訊揭露品質</w:t>
      </w:r>
      <w:r w:rsidR="00255F16" w:rsidRPr="006D0F70">
        <w:rPr>
          <w:rFonts w:hint="eastAsia"/>
          <w:color w:val="000000" w:themeColor="text1"/>
        </w:rPr>
        <w:t>。</w:t>
      </w:r>
    </w:p>
    <w:p w:rsidR="008D52B8" w:rsidRPr="00754693" w:rsidRDefault="008D52B8" w:rsidP="008D52B8">
      <w:pPr>
        <w:ind w:left="560" w:firstLine="560"/>
      </w:pPr>
    </w:p>
    <w:p w:rsidR="00C53B7D" w:rsidRPr="00E10844" w:rsidRDefault="00B169E5" w:rsidP="00EF7497">
      <w:pPr>
        <w:pStyle w:val="14"/>
        <w:ind w:left="561" w:hanging="561"/>
        <w:rPr>
          <w:rFonts w:hAnsi="標楷體"/>
        </w:rPr>
      </w:pPr>
      <w:bookmarkStart w:id="28" w:name="_Toc181900907"/>
      <w:r>
        <w:rPr>
          <w:rFonts w:hAnsi="標楷體" w:hint="eastAsia"/>
        </w:rPr>
        <w:t>五、</w:t>
      </w:r>
      <w:r w:rsidR="006D0F70">
        <w:rPr>
          <w:rFonts w:hAnsi="標楷體" w:hint="eastAsia"/>
        </w:rPr>
        <w:t>112年</w:t>
      </w:r>
      <w:r w:rsidR="00273B2F">
        <w:rPr>
          <w:rFonts w:hAnsi="標楷體" w:hint="eastAsia"/>
        </w:rPr>
        <w:t>未列入「</w:t>
      </w:r>
      <w:r w:rsidR="00273B2F" w:rsidRPr="00E00D9D">
        <w:rPr>
          <w:rFonts w:hAnsi="標楷體" w:hint="eastAsia"/>
        </w:rPr>
        <w:t>公平待客原則</w:t>
      </w:r>
      <w:r w:rsidR="00273B2F">
        <w:rPr>
          <w:rFonts w:hAnsi="標楷體" w:hint="eastAsia"/>
        </w:rPr>
        <w:t>」評比前</w:t>
      </w:r>
      <w:r w:rsidR="00273B2F">
        <w:rPr>
          <w:rFonts w:hint="eastAsia"/>
        </w:rPr>
        <w:t>25%之</w:t>
      </w:r>
      <w:r w:rsidR="00273B2F" w:rsidRPr="00E10844">
        <w:t>證券商</w:t>
      </w:r>
      <w:r w:rsidR="00273B2F">
        <w:rPr>
          <w:rFonts w:hint="eastAsia"/>
        </w:rPr>
        <w:t>，</w:t>
      </w:r>
      <w:r w:rsidR="00D31DD7" w:rsidRPr="00D31DD7">
        <w:rPr>
          <w:rFonts w:hAnsi="標楷體" w:hint="eastAsia"/>
        </w:rPr>
        <w:t>允宜落實金管會所定114年公平待客原則評核指標及其加強評核重點</w:t>
      </w:r>
      <w:r w:rsidR="00C53B7D" w:rsidRPr="00E10844">
        <w:rPr>
          <w:rFonts w:hAnsi="標楷體"/>
        </w:rPr>
        <w:t>，</w:t>
      </w:r>
      <w:r w:rsidR="00D31DD7" w:rsidRPr="00D31DD7">
        <w:rPr>
          <w:rFonts w:hAnsi="標楷體" w:hint="eastAsia"/>
        </w:rPr>
        <w:t>以提升</w:t>
      </w:r>
      <w:r w:rsidR="00497C05" w:rsidRPr="00497C05">
        <w:rPr>
          <w:rFonts w:hAnsi="標楷體" w:hint="eastAsia"/>
        </w:rPr>
        <w:t>對金融消費者之服務品質</w:t>
      </w:r>
      <w:bookmarkEnd w:id="28"/>
    </w:p>
    <w:p w:rsidR="00C53B7D" w:rsidRPr="00E10844" w:rsidRDefault="00C53B7D" w:rsidP="00186D19">
      <w:pPr>
        <w:ind w:left="560" w:firstLine="560"/>
        <w:rPr>
          <w:rFonts w:hAnsi="標楷體"/>
        </w:rPr>
      </w:pPr>
      <w:r w:rsidRPr="00E10844">
        <w:rPr>
          <w:rFonts w:hAnsi="標楷體"/>
        </w:rPr>
        <w:t>臺銀證券</w:t>
      </w:r>
      <w:r w:rsidR="001D0B78">
        <w:rPr>
          <w:rFonts w:hAnsi="標楷體"/>
        </w:rPr>
        <w:t>11</w:t>
      </w:r>
      <w:r w:rsidR="00E00D9D">
        <w:rPr>
          <w:rFonts w:hAnsi="標楷體" w:hint="eastAsia"/>
        </w:rPr>
        <w:t>4</w:t>
      </w:r>
      <w:r w:rsidRPr="00E10844">
        <w:rPr>
          <w:rFonts w:hAnsi="標楷體"/>
        </w:rPr>
        <w:t>年度預算案於</w:t>
      </w:r>
      <w:r w:rsidR="00027892">
        <w:rPr>
          <w:rFonts w:hAnsi="標楷體" w:hint="eastAsia"/>
        </w:rPr>
        <w:t>「</w:t>
      </w:r>
      <w:r w:rsidRPr="00E10844">
        <w:rPr>
          <w:rFonts w:hAnsi="標楷體"/>
        </w:rPr>
        <w:t>營業成本</w:t>
      </w:r>
      <w:r w:rsidR="00027892">
        <w:rPr>
          <w:rFonts w:hAnsi="標楷體" w:hint="eastAsia"/>
        </w:rPr>
        <w:t>-</w:t>
      </w:r>
      <w:r w:rsidRPr="00E10844">
        <w:rPr>
          <w:rFonts w:hAnsi="標楷體"/>
        </w:rPr>
        <w:t>金融保險成本</w:t>
      </w:r>
      <w:r w:rsidR="00027892">
        <w:rPr>
          <w:rFonts w:hAnsi="標楷體" w:hint="eastAsia"/>
        </w:rPr>
        <w:t>」</w:t>
      </w:r>
      <w:r w:rsidRPr="00E10844">
        <w:rPr>
          <w:rFonts w:hAnsi="標楷體"/>
        </w:rPr>
        <w:t>項下編列「證券經紀及承銷費用」2億</w:t>
      </w:r>
      <w:r w:rsidR="005B57BE">
        <w:rPr>
          <w:rFonts w:hAnsi="標楷體" w:hint="eastAsia"/>
        </w:rPr>
        <w:t>7</w:t>
      </w:r>
      <w:r w:rsidR="001D0B78" w:rsidRPr="00E10844">
        <w:rPr>
          <w:rFonts w:hAnsi="標楷體"/>
        </w:rPr>
        <w:t>,</w:t>
      </w:r>
      <w:r w:rsidR="001D0B78">
        <w:rPr>
          <w:rFonts w:hAnsi="標楷體" w:hint="eastAsia"/>
        </w:rPr>
        <w:t>6</w:t>
      </w:r>
      <w:r w:rsidR="005B57BE">
        <w:rPr>
          <w:rFonts w:hAnsi="標楷體" w:hint="eastAsia"/>
        </w:rPr>
        <w:t>50</w:t>
      </w:r>
      <w:r w:rsidR="001D0B78" w:rsidRPr="00E10844">
        <w:rPr>
          <w:rFonts w:hAnsi="標楷體"/>
        </w:rPr>
        <w:t>萬</w:t>
      </w:r>
      <w:r w:rsidR="005B57BE">
        <w:rPr>
          <w:rFonts w:hAnsi="標楷體" w:hint="eastAsia"/>
        </w:rPr>
        <w:t>2</w:t>
      </w:r>
      <w:r w:rsidR="001D0B78" w:rsidRPr="00E10844">
        <w:rPr>
          <w:rFonts w:hAnsi="標楷體"/>
        </w:rPr>
        <w:t>千</w:t>
      </w:r>
      <w:r w:rsidRPr="00E10844">
        <w:rPr>
          <w:rFonts w:hAnsi="標楷體"/>
        </w:rPr>
        <w:t>元，較11</w:t>
      </w:r>
      <w:r w:rsidR="005B57BE">
        <w:rPr>
          <w:rFonts w:hAnsi="標楷體" w:hint="eastAsia"/>
        </w:rPr>
        <w:t>3</w:t>
      </w:r>
      <w:r w:rsidRPr="00E10844">
        <w:rPr>
          <w:rFonts w:hAnsi="標楷體"/>
        </w:rPr>
        <w:t>年度預算數</w:t>
      </w:r>
      <w:r w:rsidR="005B57BE">
        <w:rPr>
          <w:rFonts w:hAnsi="標楷體" w:hint="eastAsia"/>
        </w:rPr>
        <w:t>增加683</w:t>
      </w:r>
      <w:r w:rsidRPr="00E10844">
        <w:rPr>
          <w:rFonts w:hAnsi="標楷體"/>
        </w:rPr>
        <w:t>萬</w:t>
      </w:r>
      <w:r w:rsidR="005B57BE">
        <w:rPr>
          <w:rFonts w:hAnsi="標楷體" w:hint="eastAsia"/>
        </w:rPr>
        <w:t>7</w:t>
      </w:r>
      <w:r w:rsidRPr="00E10844">
        <w:rPr>
          <w:rFonts w:hAnsi="標楷體"/>
        </w:rPr>
        <w:t>千元(</w:t>
      </w:r>
      <w:r w:rsidR="005B57BE">
        <w:rPr>
          <w:rFonts w:hAnsi="標楷體" w:hint="eastAsia"/>
        </w:rPr>
        <w:t>增</w:t>
      </w:r>
      <w:r w:rsidR="008D359B" w:rsidRPr="00E10844">
        <w:rPr>
          <w:rFonts w:hAnsi="標楷體"/>
        </w:rPr>
        <w:t>幅</w:t>
      </w:r>
      <w:r w:rsidR="005B57BE">
        <w:rPr>
          <w:rFonts w:hAnsi="標楷體" w:hint="eastAsia"/>
        </w:rPr>
        <w:t>2.5</w:t>
      </w:r>
      <w:r w:rsidRPr="00E10844">
        <w:rPr>
          <w:rFonts w:hAnsi="標楷體"/>
        </w:rPr>
        <w:t>%)，</w:t>
      </w:r>
      <w:r w:rsidR="003D4458" w:rsidRPr="00E10844">
        <w:rPr>
          <w:rFonts w:hAnsi="標楷體"/>
        </w:rPr>
        <w:t>主要支應證券經紀及承銷業務</w:t>
      </w:r>
      <w:r w:rsidR="001726E5">
        <w:rPr>
          <w:rFonts w:hAnsi="標楷體" w:hint="eastAsia"/>
        </w:rPr>
        <w:t>之相關</w:t>
      </w:r>
      <w:r w:rsidR="001726E5">
        <w:rPr>
          <w:rFonts w:hAnsi="標楷體"/>
        </w:rPr>
        <w:t>支出</w:t>
      </w:r>
      <w:r w:rsidR="001726E5">
        <w:rPr>
          <w:rFonts w:hAnsi="標楷體" w:hint="eastAsia"/>
        </w:rPr>
        <w:t>；</w:t>
      </w:r>
      <w:r w:rsidR="003D4458" w:rsidRPr="00E10844">
        <w:rPr>
          <w:rFonts w:hAnsi="標楷體"/>
        </w:rPr>
        <w:t>其內部管理</w:t>
      </w:r>
      <w:r w:rsidRPr="00E10844">
        <w:rPr>
          <w:rFonts w:hAnsi="標楷體"/>
        </w:rPr>
        <w:t>項目</w:t>
      </w:r>
      <w:r w:rsidR="008633C7">
        <w:rPr>
          <w:rFonts w:hAnsi="標楷體"/>
        </w:rPr>
        <w:t>包括落實執行「公平待客</w:t>
      </w:r>
      <w:r w:rsidRPr="00E10844">
        <w:rPr>
          <w:rFonts w:hAnsi="標楷體"/>
        </w:rPr>
        <w:t>原則</w:t>
      </w:r>
      <w:r w:rsidR="008633C7">
        <w:rPr>
          <w:rFonts w:hAnsi="標楷體" w:hint="eastAsia"/>
        </w:rPr>
        <w:t>」</w:t>
      </w:r>
      <w:r w:rsidRPr="00E10844">
        <w:rPr>
          <w:rFonts w:hAnsi="標楷體"/>
        </w:rPr>
        <w:t>，</w:t>
      </w:r>
      <w:r w:rsidR="001726E5">
        <w:rPr>
          <w:rFonts w:hAnsi="標楷體" w:hint="eastAsia"/>
        </w:rPr>
        <w:t>預計</w:t>
      </w:r>
      <w:r w:rsidRPr="00E10844">
        <w:rPr>
          <w:rFonts w:hAnsi="標楷體"/>
        </w:rPr>
        <w:t>每年</w:t>
      </w:r>
      <w:r w:rsidR="001726E5">
        <w:rPr>
          <w:rFonts w:hAnsi="標楷體" w:hint="eastAsia"/>
        </w:rPr>
        <w:t>度</w:t>
      </w:r>
      <w:r w:rsidRPr="00E10844">
        <w:rPr>
          <w:rFonts w:hAnsi="標楷體"/>
        </w:rPr>
        <w:t>辦理自我評鑑、檢討執行成果。經查：</w:t>
      </w:r>
    </w:p>
    <w:p w:rsidR="00C53B7D" w:rsidRPr="00E10844" w:rsidRDefault="00C53B7D" w:rsidP="00D82AB0">
      <w:pPr>
        <w:pStyle w:val="a4"/>
        <w:ind w:left="840" w:hanging="280"/>
        <w:rPr>
          <w:rFonts w:hAnsi="標楷體"/>
          <w:b/>
        </w:rPr>
      </w:pPr>
      <w:r w:rsidRPr="00E10844">
        <w:rPr>
          <w:rFonts w:hAnsi="標楷體"/>
          <w:b/>
        </w:rPr>
        <w:t>(一)</w:t>
      </w:r>
      <w:r w:rsidR="007E723F">
        <w:rPr>
          <w:rFonts w:hAnsi="標楷體" w:hint="eastAsia"/>
          <w:b/>
        </w:rPr>
        <w:t>金管會</w:t>
      </w:r>
      <w:r w:rsidRPr="00E10844">
        <w:rPr>
          <w:rFonts w:hAnsi="標楷體"/>
          <w:b/>
        </w:rPr>
        <w:t>於104年底訂定「金融服務業公平待客原則」，並</w:t>
      </w:r>
      <w:r w:rsidR="00AA5237">
        <w:rPr>
          <w:rFonts w:hAnsi="標楷體" w:hint="eastAsia"/>
          <w:b/>
        </w:rPr>
        <w:t>自</w:t>
      </w:r>
      <w:r w:rsidRPr="00E10844">
        <w:rPr>
          <w:rFonts w:hAnsi="標楷體"/>
          <w:b/>
        </w:rPr>
        <w:t>108年起實施「金融服務業公平待客原則評核機制」</w:t>
      </w:r>
    </w:p>
    <w:p w:rsidR="00C53B7D" w:rsidRPr="00E10844" w:rsidRDefault="00C53B7D" w:rsidP="00C53B7D">
      <w:pPr>
        <w:pStyle w:val="21"/>
        <w:ind w:left="840" w:firstLine="560"/>
        <w:rPr>
          <w:rFonts w:hAnsi="標楷體"/>
        </w:rPr>
      </w:pPr>
      <w:r w:rsidRPr="00E10844">
        <w:rPr>
          <w:rFonts w:hAnsi="標楷體"/>
        </w:rPr>
        <w:t>為利金融服務業落實金融消費者保護，金管會於104年底訂定「金融服務業公平待客原則」，作為金融服務業推動與執行金融消費者保護之參考，且為協助業者瞭解自身落實公平待客原則情形，金管會</w:t>
      </w:r>
      <w:r w:rsidR="007E723F">
        <w:rPr>
          <w:rFonts w:hAnsi="標楷體" w:hint="eastAsia"/>
        </w:rPr>
        <w:t>於108年實施</w:t>
      </w:r>
      <w:r w:rsidR="007E723F">
        <w:rPr>
          <w:rFonts w:hAnsi="標楷體"/>
        </w:rPr>
        <w:t>「金融服務業公平待客原則評核機制」</w:t>
      </w:r>
      <w:r w:rsidRPr="00E10844">
        <w:rPr>
          <w:rFonts w:hAnsi="標楷體"/>
        </w:rPr>
        <w:t>。</w:t>
      </w:r>
    </w:p>
    <w:p w:rsidR="00C53B7D" w:rsidRPr="00E10844" w:rsidRDefault="00C53B7D" w:rsidP="00C53B7D">
      <w:pPr>
        <w:pStyle w:val="21"/>
        <w:ind w:left="840" w:firstLine="560"/>
        <w:rPr>
          <w:rFonts w:hAnsi="標楷體"/>
        </w:rPr>
      </w:pPr>
      <w:r w:rsidRPr="00E10844">
        <w:rPr>
          <w:rFonts w:hAnsi="標楷體"/>
        </w:rPr>
        <w:t>針對證券商部分，金管會</w:t>
      </w:r>
      <w:r w:rsidR="009A0EA9">
        <w:rPr>
          <w:rFonts w:hAnsi="標楷體" w:hint="eastAsia"/>
        </w:rPr>
        <w:t>於108至</w:t>
      </w:r>
      <w:r w:rsidR="00373930">
        <w:rPr>
          <w:rFonts w:hAnsi="標楷體" w:hint="eastAsia"/>
        </w:rPr>
        <w:t>11</w:t>
      </w:r>
      <w:r w:rsidR="00373930">
        <w:rPr>
          <w:rFonts w:hAnsi="標楷體"/>
        </w:rPr>
        <w:t>4</w:t>
      </w:r>
      <w:r w:rsidR="009A0EA9">
        <w:rPr>
          <w:rFonts w:hAnsi="標楷體" w:hint="eastAsia"/>
        </w:rPr>
        <w:t>年度</w:t>
      </w:r>
      <w:r w:rsidRPr="00E10844">
        <w:rPr>
          <w:rFonts w:hAnsi="標楷體"/>
        </w:rPr>
        <w:t>採隔年評核機制，於</w:t>
      </w:r>
      <w:r w:rsidR="00C5716B">
        <w:rPr>
          <w:rFonts w:hAnsi="標楷體" w:hint="eastAsia"/>
        </w:rPr>
        <w:t>108、</w:t>
      </w:r>
      <w:r w:rsidR="00C5716B">
        <w:rPr>
          <w:rFonts w:hAnsi="標楷體"/>
        </w:rPr>
        <w:t>110</w:t>
      </w:r>
      <w:r w:rsidR="00373930">
        <w:rPr>
          <w:rFonts w:hAnsi="標楷體" w:hint="eastAsia"/>
        </w:rPr>
        <w:t>、</w:t>
      </w:r>
      <w:r w:rsidR="00C5716B">
        <w:rPr>
          <w:rFonts w:hAnsi="標楷體"/>
        </w:rPr>
        <w:t>112</w:t>
      </w:r>
      <w:r w:rsidR="00373930">
        <w:rPr>
          <w:rFonts w:hAnsi="標楷體" w:hint="eastAsia"/>
        </w:rPr>
        <w:t>及114</w:t>
      </w:r>
      <w:r w:rsidRPr="00E10844">
        <w:rPr>
          <w:rFonts w:hAnsi="標楷體"/>
        </w:rPr>
        <w:t>年度(分別評核</w:t>
      </w:r>
      <w:r w:rsidR="00C5716B">
        <w:rPr>
          <w:rFonts w:hAnsi="標楷體" w:hint="eastAsia"/>
        </w:rPr>
        <w:t>107、</w:t>
      </w:r>
      <w:r w:rsidR="00C5716B">
        <w:rPr>
          <w:rFonts w:hAnsi="標楷體"/>
        </w:rPr>
        <w:t>109</w:t>
      </w:r>
      <w:r w:rsidR="00373930">
        <w:rPr>
          <w:rFonts w:hAnsi="標楷體" w:hint="eastAsia"/>
        </w:rPr>
        <w:t>、</w:t>
      </w:r>
      <w:r w:rsidR="00C5716B">
        <w:rPr>
          <w:rFonts w:hAnsi="標楷體"/>
        </w:rPr>
        <w:t>111</w:t>
      </w:r>
      <w:r w:rsidR="00373930">
        <w:rPr>
          <w:rFonts w:hAnsi="標楷體" w:hint="eastAsia"/>
        </w:rPr>
        <w:t>及113</w:t>
      </w:r>
      <w:r w:rsidRPr="00E10844">
        <w:rPr>
          <w:rFonts w:hAnsi="標楷體"/>
        </w:rPr>
        <w:t>年度執行成果)評核</w:t>
      </w:r>
      <w:r w:rsidR="00373930">
        <w:rPr>
          <w:rFonts w:hAnsi="標楷體" w:hint="eastAsia"/>
        </w:rPr>
        <w:t>其他</w:t>
      </w:r>
      <w:r w:rsidRPr="00E10844">
        <w:rPr>
          <w:rFonts w:hAnsi="標楷體"/>
        </w:rPr>
        <w:t>綜合證券商；</w:t>
      </w:r>
      <w:r w:rsidR="00C5716B">
        <w:rPr>
          <w:rFonts w:hAnsi="標楷體" w:hint="eastAsia"/>
        </w:rPr>
        <w:t>109</w:t>
      </w:r>
      <w:r w:rsidR="00373930">
        <w:rPr>
          <w:rFonts w:hAnsi="標楷體" w:hint="eastAsia"/>
        </w:rPr>
        <w:t>、</w:t>
      </w:r>
      <w:r w:rsidR="00C5716B">
        <w:rPr>
          <w:rFonts w:hAnsi="標楷體"/>
        </w:rPr>
        <w:t>111</w:t>
      </w:r>
      <w:r w:rsidR="00373930">
        <w:rPr>
          <w:rFonts w:hAnsi="標楷體" w:hint="eastAsia"/>
        </w:rPr>
        <w:t>及113</w:t>
      </w:r>
      <w:r w:rsidRPr="00E10844">
        <w:rPr>
          <w:rFonts w:hAnsi="標楷體"/>
        </w:rPr>
        <w:t>年度(</w:t>
      </w:r>
      <w:r w:rsidR="00C5716B" w:rsidRPr="00E10844">
        <w:rPr>
          <w:rFonts w:hAnsi="標楷體"/>
        </w:rPr>
        <w:t>分別</w:t>
      </w:r>
      <w:r w:rsidRPr="00E10844">
        <w:rPr>
          <w:rFonts w:hAnsi="標楷體"/>
        </w:rPr>
        <w:t>評核</w:t>
      </w:r>
      <w:r w:rsidR="00C5716B">
        <w:rPr>
          <w:rFonts w:hAnsi="標楷體" w:hint="eastAsia"/>
        </w:rPr>
        <w:t>108</w:t>
      </w:r>
      <w:r w:rsidR="00373930">
        <w:rPr>
          <w:rFonts w:hAnsi="標楷體" w:hint="eastAsia"/>
        </w:rPr>
        <w:t>、</w:t>
      </w:r>
      <w:r w:rsidRPr="00E10844">
        <w:rPr>
          <w:rFonts w:hAnsi="標楷體"/>
        </w:rPr>
        <w:t>1</w:t>
      </w:r>
      <w:r w:rsidR="00C5716B">
        <w:rPr>
          <w:rFonts w:hAnsi="標楷體"/>
        </w:rPr>
        <w:t>10</w:t>
      </w:r>
      <w:r w:rsidR="00373930">
        <w:rPr>
          <w:rFonts w:hAnsi="標楷體" w:hint="eastAsia"/>
        </w:rPr>
        <w:t>及112</w:t>
      </w:r>
      <w:r w:rsidRPr="00E10844">
        <w:rPr>
          <w:rFonts w:hAnsi="標楷體"/>
        </w:rPr>
        <w:t>年度執行成果)</w:t>
      </w:r>
      <w:r w:rsidR="00373930">
        <w:rPr>
          <w:rFonts w:hAnsi="標楷體"/>
        </w:rPr>
        <w:t>評核</w:t>
      </w:r>
      <w:r w:rsidR="00373930">
        <w:rPr>
          <w:rFonts w:hAnsi="標楷體" w:hint="eastAsia"/>
        </w:rPr>
        <w:t>小型</w:t>
      </w:r>
      <w:r w:rsidRPr="00E10844">
        <w:rPr>
          <w:rFonts w:hAnsi="標楷體"/>
        </w:rPr>
        <w:t>專營證券商。</w:t>
      </w:r>
      <w:r w:rsidR="009A0EA9">
        <w:rPr>
          <w:rFonts w:hAnsi="標楷體" w:hint="eastAsia"/>
        </w:rPr>
        <w:t>另</w:t>
      </w:r>
      <w:r w:rsidR="008633C7" w:rsidRPr="008633C7">
        <w:rPr>
          <w:rFonts w:hAnsi="標楷體" w:hint="eastAsia"/>
        </w:rPr>
        <w:t>大型綜合</w:t>
      </w:r>
      <w:r w:rsidR="008633C7">
        <w:rPr>
          <w:rFonts w:hAnsi="標楷體" w:hint="eastAsia"/>
        </w:rPr>
        <w:t>證</w:t>
      </w:r>
      <w:r w:rsidR="008633C7" w:rsidRPr="008633C7">
        <w:rPr>
          <w:rFonts w:hAnsi="標楷體" w:hint="eastAsia"/>
        </w:rPr>
        <w:t>券商</w:t>
      </w:r>
      <w:r w:rsidR="008633C7">
        <w:rPr>
          <w:rStyle w:val="afc"/>
          <w:rFonts w:hAnsi="標楷體"/>
        </w:rPr>
        <w:footnoteReference w:id="6"/>
      </w:r>
      <w:r w:rsidR="008633C7" w:rsidRPr="008633C7">
        <w:rPr>
          <w:rFonts w:hAnsi="標楷體" w:hint="eastAsia"/>
        </w:rPr>
        <w:t>自112年</w:t>
      </w:r>
      <w:r w:rsidR="008633C7">
        <w:rPr>
          <w:rFonts w:hAnsi="標楷體" w:hint="eastAsia"/>
        </w:rPr>
        <w:t>度</w:t>
      </w:r>
      <w:r w:rsidR="008633C7" w:rsidRPr="008633C7">
        <w:rPr>
          <w:rFonts w:hAnsi="標楷體" w:hint="eastAsia"/>
        </w:rPr>
        <w:t>起每年均</w:t>
      </w:r>
      <w:r w:rsidR="007E723F">
        <w:rPr>
          <w:rFonts w:hAnsi="標楷體" w:hint="eastAsia"/>
        </w:rPr>
        <w:t>予以</w:t>
      </w:r>
      <w:r w:rsidR="008633C7" w:rsidRPr="008633C7">
        <w:rPr>
          <w:rFonts w:hAnsi="標楷體" w:hint="eastAsia"/>
        </w:rPr>
        <w:t>評核</w:t>
      </w:r>
      <w:r w:rsidR="009A0EA9">
        <w:rPr>
          <w:rFonts w:hAnsi="標楷體" w:hint="eastAsia"/>
        </w:rPr>
        <w:t>。</w:t>
      </w:r>
    </w:p>
    <w:p w:rsidR="00C53B7D" w:rsidRPr="00E10844" w:rsidRDefault="00C53B7D" w:rsidP="00D82AB0">
      <w:pPr>
        <w:pStyle w:val="a4"/>
        <w:ind w:left="840" w:hanging="280"/>
        <w:rPr>
          <w:rFonts w:hAnsi="標楷體"/>
          <w:b/>
        </w:rPr>
      </w:pPr>
      <w:r w:rsidRPr="00E10844">
        <w:rPr>
          <w:rFonts w:hAnsi="標楷體"/>
          <w:b/>
        </w:rPr>
        <w:t>(二)</w:t>
      </w:r>
      <w:r w:rsidR="009E7591">
        <w:rPr>
          <w:rFonts w:hAnsi="標楷體" w:hint="eastAsia"/>
          <w:b/>
        </w:rPr>
        <w:t>臺銀證券</w:t>
      </w:r>
      <w:r w:rsidR="009A0EA9">
        <w:rPr>
          <w:rFonts w:hAnsi="標楷體" w:hint="eastAsia"/>
          <w:b/>
        </w:rPr>
        <w:t>108及110年、112年</w:t>
      </w:r>
      <w:r w:rsidR="009E7591">
        <w:rPr>
          <w:rFonts w:hAnsi="標楷體" w:hint="eastAsia"/>
          <w:b/>
        </w:rPr>
        <w:t>均</w:t>
      </w:r>
      <w:r w:rsidRPr="00E10844">
        <w:rPr>
          <w:rFonts w:hAnsi="標楷體"/>
          <w:b/>
        </w:rPr>
        <w:t>未列入</w:t>
      </w:r>
      <w:r w:rsidR="00BC5595">
        <w:rPr>
          <w:rFonts w:hAnsi="標楷體" w:hint="eastAsia"/>
          <w:b/>
        </w:rPr>
        <w:t>排名</w:t>
      </w:r>
      <w:r w:rsidRPr="00E10844">
        <w:rPr>
          <w:rFonts w:hAnsi="標楷體"/>
          <w:b/>
        </w:rPr>
        <w:t>前</w:t>
      </w:r>
      <w:r w:rsidR="00B0336B">
        <w:rPr>
          <w:rFonts w:hAnsi="標楷體" w:hint="eastAsia"/>
          <w:b/>
        </w:rPr>
        <w:t>段班</w:t>
      </w:r>
      <w:r w:rsidRPr="00E10844">
        <w:rPr>
          <w:rFonts w:hAnsi="標楷體"/>
          <w:b/>
        </w:rPr>
        <w:t>之績優證券商</w:t>
      </w:r>
      <w:r w:rsidR="00863DC4" w:rsidRPr="00E10844">
        <w:rPr>
          <w:rFonts w:hAnsi="標楷體"/>
          <w:b/>
        </w:rPr>
        <w:t>，允宜</w:t>
      </w:r>
      <w:r w:rsidR="00E00D9D" w:rsidRPr="00E00D9D">
        <w:rPr>
          <w:rFonts w:hAnsi="標楷體" w:hint="eastAsia"/>
          <w:b/>
        </w:rPr>
        <w:t>落實金管會公布114年公平待客原則評核機制及其加強評核重點，</w:t>
      </w:r>
      <w:r w:rsidR="00497C05" w:rsidRPr="00497C05">
        <w:rPr>
          <w:rFonts w:hAnsi="標楷體" w:hint="eastAsia"/>
          <w:b/>
        </w:rPr>
        <w:t>以提升對金融消費者之服務品質</w:t>
      </w:r>
    </w:p>
    <w:p w:rsidR="00C53B7D" w:rsidRDefault="00C53B7D" w:rsidP="00D5595C">
      <w:pPr>
        <w:pStyle w:val="21"/>
        <w:ind w:left="840" w:firstLine="560"/>
      </w:pPr>
      <w:r w:rsidRPr="00E10844">
        <w:t>臺銀證券屬依法規辦理證券經紀、自營及承銷業務之綜合證券商，為財政部百分之百持有之國營事業，</w:t>
      </w:r>
      <w:r w:rsidR="00626D24" w:rsidRPr="00E10844">
        <w:t>相較於其他同業應有更高行為</w:t>
      </w:r>
      <w:r w:rsidR="00626D24" w:rsidRPr="00D5595C">
        <w:rPr>
          <w:rFonts w:hAnsi="標楷體"/>
        </w:rPr>
        <w:t>要求</w:t>
      </w:r>
      <w:r w:rsidR="00626D24" w:rsidRPr="00E10844">
        <w:t>，</w:t>
      </w:r>
      <w:r w:rsidRPr="00E10844">
        <w:t>應秉</w:t>
      </w:r>
      <w:r w:rsidR="00867ED3">
        <w:t>持國營事業優質服務的經營理念，落實執行</w:t>
      </w:r>
      <w:r w:rsidRPr="00E10844">
        <w:t>公平待客</w:t>
      </w:r>
      <w:r w:rsidR="00867ED3">
        <w:rPr>
          <w:rFonts w:hint="eastAsia"/>
        </w:rPr>
        <w:t>原則</w:t>
      </w:r>
      <w:r w:rsidRPr="00E10844">
        <w:t>政策，以及辦理自我評核據以檢討執行成果。惟</w:t>
      </w:r>
      <w:r w:rsidR="00867ED3" w:rsidRPr="00E10844">
        <w:t>臺銀證券</w:t>
      </w:r>
      <w:r w:rsidRPr="00E10844">
        <w:t>於108及110年金管會之</w:t>
      </w:r>
      <w:r w:rsidR="00373930">
        <w:rPr>
          <w:rFonts w:hint="eastAsia"/>
        </w:rPr>
        <w:t>其他</w:t>
      </w:r>
      <w:r w:rsidRPr="00E10844">
        <w:t>綜合證券商評核未列入排名前20%之績優證券商</w:t>
      </w:r>
      <w:r w:rsidR="009900C8">
        <w:rPr>
          <w:rFonts w:hint="eastAsia"/>
        </w:rPr>
        <w:t>，另金管會112年度</w:t>
      </w:r>
      <w:r w:rsidR="009900C8" w:rsidRPr="009900C8">
        <w:rPr>
          <w:rFonts w:hint="eastAsia"/>
        </w:rPr>
        <w:t>擴大評核結果揭露範圍</w:t>
      </w:r>
      <w:r w:rsidR="001726E5">
        <w:rPr>
          <w:rFonts w:hint="eastAsia"/>
        </w:rPr>
        <w:t>，公布</w:t>
      </w:r>
      <w:r w:rsidR="009900C8">
        <w:rPr>
          <w:rFonts w:hint="eastAsia"/>
        </w:rPr>
        <w:t>2</w:t>
      </w:r>
      <w:r w:rsidR="00660AF4">
        <w:rPr>
          <w:rFonts w:hint="eastAsia"/>
        </w:rPr>
        <w:t>個</w:t>
      </w:r>
      <w:r w:rsidR="009900C8">
        <w:rPr>
          <w:rFonts w:hint="eastAsia"/>
        </w:rPr>
        <w:t>級距，第1級距為</w:t>
      </w:r>
      <w:r w:rsidR="009A0EA9">
        <w:rPr>
          <w:rFonts w:hint="eastAsia"/>
        </w:rPr>
        <w:t>排名</w:t>
      </w:r>
      <w:r w:rsidR="009900C8">
        <w:rPr>
          <w:rFonts w:hint="eastAsia"/>
        </w:rPr>
        <w:t>前25%業者，第2級距為</w:t>
      </w:r>
      <w:r w:rsidR="009A0EA9">
        <w:rPr>
          <w:rFonts w:hint="eastAsia"/>
        </w:rPr>
        <w:t>排名</w:t>
      </w:r>
      <w:r w:rsidR="009900C8">
        <w:rPr>
          <w:rFonts w:hint="eastAsia"/>
        </w:rPr>
        <w:t>前26%-50%業者</w:t>
      </w:r>
      <w:r w:rsidR="00BB5088" w:rsidRPr="00E10844">
        <w:t>(詳表1)</w:t>
      </w:r>
      <w:r w:rsidRPr="00E10844">
        <w:t>，</w:t>
      </w:r>
      <w:r w:rsidR="009A0EA9">
        <w:rPr>
          <w:rFonts w:hint="eastAsia"/>
        </w:rPr>
        <w:t>臺銀證券位於第2級距，</w:t>
      </w:r>
      <w:r w:rsidR="00867ED3">
        <w:rPr>
          <w:rFonts w:hint="eastAsia"/>
        </w:rPr>
        <w:t>亦</w:t>
      </w:r>
      <w:r w:rsidR="009A0EA9">
        <w:rPr>
          <w:rFonts w:hint="eastAsia"/>
        </w:rPr>
        <w:t>未列入排名前25%之</w:t>
      </w:r>
      <w:r w:rsidR="009A0EA9" w:rsidRPr="00E10844">
        <w:t>績優證券商</w:t>
      </w:r>
      <w:r w:rsidR="009A0EA9">
        <w:rPr>
          <w:rFonts w:hint="eastAsia"/>
        </w:rPr>
        <w:t>，</w:t>
      </w:r>
      <w:r w:rsidR="00E00D9D">
        <w:t>恐未符國人對於國營事業之期待</w:t>
      </w:r>
      <w:r w:rsidRPr="00E10844">
        <w:t>。</w:t>
      </w:r>
    </w:p>
    <w:p w:rsidR="009A0EA9" w:rsidRDefault="00497C05" w:rsidP="00D5595C">
      <w:pPr>
        <w:pStyle w:val="21"/>
        <w:ind w:left="840" w:firstLine="560"/>
      </w:pPr>
      <w:r>
        <w:rPr>
          <w:rFonts w:hint="eastAsia"/>
        </w:rPr>
        <w:t>依據</w:t>
      </w:r>
      <w:r w:rsidR="00B34288">
        <w:rPr>
          <w:rFonts w:hint="eastAsia"/>
        </w:rPr>
        <w:t>金管會</w:t>
      </w:r>
      <w:r w:rsidR="00D5595C">
        <w:rPr>
          <w:rFonts w:hint="eastAsia"/>
        </w:rPr>
        <w:t>公布</w:t>
      </w:r>
      <w:r w:rsidR="00373930">
        <w:rPr>
          <w:rFonts w:hint="eastAsia"/>
        </w:rPr>
        <w:t>114</w:t>
      </w:r>
      <w:r w:rsidR="00D5595C" w:rsidRPr="00D5595C">
        <w:rPr>
          <w:rFonts w:hint="eastAsia"/>
        </w:rPr>
        <w:t>年公平待客原則評核機制</w:t>
      </w:r>
      <w:r w:rsidR="001726E5">
        <w:rPr>
          <w:rStyle w:val="afc"/>
        </w:rPr>
        <w:footnoteReference w:id="7"/>
      </w:r>
      <w:r w:rsidR="00D5595C">
        <w:rPr>
          <w:rFonts w:hint="eastAsia"/>
        </w:rPr>
        <w:t>，</w:t>
      </w:r>
      <w:r>
        <w:rPr>
          <w:rFonts w:hint="eastAsia"/>
        </w:rPr>
        <w:t>其中</w:t>
      </w:r>
      <w:r w:rsidR="00D31DD7">
        <w:rPr>
          <w:rFonts w:hint="eastAsia"/>
        </w:rPr>
        <w:t>評核指標共2大類，分別為</w:t>
      </w:r>
      <w:r w:rsidR="00D31DD7" w:rsidRPr="00D31DD7">
        <w:rPr>
          <w:rFonts w:hint="eastAsia"/>
        </w:rPr>
        <w:t>「公平待客原則10項原則」</w:t>
      </w:r>
      <w:r w:rsidR="00D31DD7">
        <w:rPr>
          <w:rFonts w:hint="eastAsia"/>
        </w:rPr>
        <w:t>及「董事會推動之重視及具體作為等情形」，</w:t>
      </w:r>
      <w:r>
        <w:rPr>
          <w:rFonts w:hint="eastAsia"/>
        </w:rPr>
        <w:t>又</w:t>
      </w:r>
      <w:r w:rsidR="007E723F">
        <w:rPr>
          <w:rFonts w:hint="eastAsia"/>
        </w:rPr>
        <w:t>114</w:t>
      </w:r>
      <w:r w:rsidR="00D31DD7">
        <w:rPr>
          <w:rFonts w:hint="eastAsia"/>
        </w:rPr>
        <w:t>年度</w:t>
      </w:r>
      <w:r w:rsidR="00D5595C" w:rsidRPr="00D5595C">
        <w:rPr>
          <w:rFonts w:hint="eastAsia"/>
        </w:rPr>
        <w:t>加強評核重點</w:t>
      </w:r>
      <w:r w:rsidR="00D5595C">
        <w:rPr>
          <w:rFonts w:hint="eastAsia"/>
        </w:rPr>
        <w:t>如下：</w:t>
      </w:r>
    </w:p>
    <w:p w:rsidR="00D5595C" w:rsidRDefault="00D5595C" w:rsidP="00D5595C">
      <w:pPr>
        <w:pStyle w:val="123"/>
        <w:ind w:left="1120" w:hanging="280"/>
      </w:pPr>
      <w:r>
        <w:rPr>
          <w:rFonts w:hint="eastAsia"/>
        </w:rPr>
        <w:t>1.</w:t>
      </w:r>
      <w:r w:rsidR="00373930" w:rsidRPr="00373930">
        <w:rPr>
          <w:rFonts w:hint="eastAsia"/>
        </w:rPr>
        <w:t>為鼓勵業者協助客戶防制詐騙，以強化金流安全，保障合法經濟，爰於「注意與忠實義務原則」新增將業者防制詐騙之措施及其成效納為加分項目</w:t>
      </w:r>
      <w:r>
        <w:rPr>
          <w:rFonts w:hint="eastAsia"/>
        </w:rPr>
        <w:t>。</w:t>
      </w:r>
    </w:p>
    <w:p w:rsidR="00E00D9D" w:rsidRDefault="00D5595C" w:rsidP="00D5595C">
      <w:pPr>
        <w:pStyle w:val="123"/>
        <w:ind w:left="1120" w:hanging="280"/>
      </w:pPr>
      <w:r>
        <w:rPr>
          <w:rFonts w:hint="eastAsia"/>
        </w:rPr>
        <w:t>2.</w:t>
      </w:r>
      <w:r w:rsidR="00373930" w:rsidRPr="00373930">
        <w:rPr>
          <w:rFonts w:hint="eastAsia"/>
        </w:rPr>
        <w:t>為妥適處理民眾申訴案件，引導業者就現行之申訴處理機制再提升，參考國際間申訴處理機制規範及作法，強化金融業對申訴案件處理之效能及效率，例如建立以風險為導向之升級陳報機制、探究申訴態樣之根本原因等，俾進一步落實對金融消費者權益之保障，爰於「申訴保障原則」新增將申訴處理機制之健全性，納為加分項目</w:t>
      </w:r>
      <w:r>
        <w:rPr>
          <w:rStyle w:val="afc"/>
        </w:rPr>
        <w:footnoteReference w:id="8"/>
      </w:r>
      <w:r>
        <w:rPr>
          <w:rFonts w:hint="eastAsia"/>
        </w:rPr>
        <w:t>。</w:t>
      </w:r>
    </w:p>
    <w:p w:rsidR="00D5595C" w:rsidRPr="00D5595C" w:rsidRDefault="00E00D9D" w:rsidP="00D5595C">
      <w:pPr>
        <w:pStyle w:val="123"/>
        <w:ind w:left="1120" w:hanging="280"/>
      </w:pPr>
      <w:r>
        <w:rPr>
          <w:rFonts w:hint="eastAsia"/>
        </w:rPr>
        <w:t>3.鑑於</w:t>
      </w:r>
      <w:r w:rsidRPr="00E10844">
        <w:t>臺銀證券</w:t>
      </w:r>
      <w:r>
        <w:rPr>
          <w:rFonts w:hint="eastAsia"/>
        </w:rPr>
        <w:t>為金管會114年公平待客原則評核之受評單位，</w:t>
      </w:r>
      <w:r w:rsidR="00D31DD7">
        <w:rPr>
          <w:rFonts w:hint="eastAsia"/>
        </w:rPr>
        <w:t>評核期間為113年度，</w:t>
      </w:r>
      <w:r w:rsidRPr="00E10844">
        <w:t>允宜</w:t>
      </w:r>
      <w:r>
        <w:rPr>
          <w:rFonts w:hAnsi="標楷體" w:hint="eastAsia"/>
        </w:rPr>
        <w:t>落實金管會</w:t>
      </w:r>
      <w:r w:rsidR="00D31DD7">
        <w:rPr>
          <w:rFonts w:hAnsi="標楷體" w:hint="eastAsia"/>
        </w:rPr>
        <w:t>所定</w:t>
      </w:r>
      <w:r>
        <w:rPr>
          <w:rFonts w:hAnsi="標楷體" w:hint="eastAsia"/>
        </w:rPr>
        <w:t>114年</w:t>
      </w:r>
      <w:r w:rsidRPr="00D5595C">
        <w:rPr>
          <w:rFonts w:hAnsi="標楷體" w:hint="eastAsia"/>
        </w:rPr>
        <w:t>公平待客原則</w:t>
      </w:r>
      <w:r w:rsidR="00D31DD7" w:rsidRPr="00D31DD7">
        <w:rPr>
          <w:rFonts w:hAnsi="標楷體" w:hint="eastAsia"/>
        </w:rPr>
        <w:t>評核指標</w:t>
      </w:r>
      <w:r>
        <w:rPr>
          <w:rFonts w:hAnsi="標楷體" w:hint="eastAsia"/>
        </w:rPr>
        <w:t>及其加強評核重點</w:t>
      </w:r>
      <w:r w:rsidRPr="00E10844">
        <w:rPr>
          <w:rFonts w:hAnsi="標楷體"/>
        </w:rPr>
        <w:t>，</w:t>
      </w:r>
      <w:r w:rsidR="00D31DD7" w:rsidRPr="00D31DD7">
        <w:rPr>
          <w:rFonts w:hAnsi="標楷體" w:hint="eastAsia"/>
        </w:rPr>
        <w:t>以提升服務品質並爭取佳績</w:t>
      </w:r>
      <w:r w:rsidR="00D31DD7">
        <w:rPr>
          <w:rFonts w:hAnsi="標楷體" w:hint="eastAsia"/>
        </w:rPr>
        <w:t>。</w:t>
      </w:r>
    </w:p>
    <w:p w:rsidR="00C53B7D" w:rsidRDefault="00C53B7D" w:rsidP="00C53B7D">
      <w:pPr>
        <w:ind w:left="560" w:firstLine="560"/>
        <w:rPr>
          <w:rFonts w:hAnsi="標楷體"/>
        </w:rPr>
      </w:pPr>
      <w:r w:rsidRPr="00E10844">
        <w:rPr>
          <w:rFonts w:hAnsi="標楷體"/>
        </w:rPr>
        <w:t>綜上，臺銀證券為</w:t>
      </w:r>
      <w:r w:rsidR="005E551F" w:rsidRPr="00E10844">
        <w:rPr>
          <w:rFonts w:hAnsi="標楷體"/>
        </w:rPr>
        <w:t>政府</w:t>
      </w:r>
      <w:r w:rsidR="00B34288">
        <w:rPr>
          <w:rFonts w:hAnsi="標楷體"/>
        </w:rPr>
        <w:t>百分之百持有之國營事業，允應落實執行「公平待客」</w:t>
      </w:r>
      <w:r w:rsidRPr="00E10844">
        <w:rPr>
          <w:rFonts w:hAnsi="標楷體"/>
        </w:rPr>
        <w:t>政策，惟於108</w:t>
      </w:r>
      <w:r w:rsidR="008633C7">
        <w:rPr>
          <w:rFonts w:hAnsi="標楷體" w:hint="eastAsia"/>
        </w:rPr>
        <w:t>及</w:t>
      </w:r>
      <w:r w:rsidRPr="00E10844">
        <w:rPr>
          <w:rFonts w:hAnsi="標楷體"/>
        </w:rPr>
        <w:t>110</w:t>
      </w:r>
      <w:r w:rsidR="00B34288">
        <w:rPr>
          <w:rFonts w:hAnsi="標楷體" w:hint="eastAsia"/>
        </w:rPr>
        <w:t>年</w:t>
      </w:r>
      <w:r w:rsidR="008633C7">
        <w:rPr>
          <w:rFonts w:hAnsi="標楷體" w:hint="eastAsia"/>
        </w:rPr>
        <w:t>、112</w:t>
      </w:r>
      <w:r w:rsidRPr="00E10844">
        <w:rPr>
          <w:rFonts w:hAnsi="標楷體"/>
        </w:rPr>
        <w:t>年未獲列入金管會之綜合證券商評核排名前20%</w:t>
      </w:r>
      <w:r w:rsidR="008633C7">
        <w:rPr>
          <w:rFonts w:hAnsi="標楷體" w:hint="eastAsia"/>
        </w:rPr>
        <w:t>、前25%</w:t>
      </w:r>
      <w:r w:rsidRPr="00E10844">
        <w:rPr>
          <w:rFonts w:hAnsi="標楷體"/>
        </w:rPr>
        <w:t>，恐未符國人對於國營事業之期待，允宜加強執行及檢討</w:t>
      </w:r>
      <w:r w:rsidR="00863DC4" w:rsidRPr="00E10844">
        <w:rPr>
          <w:rFonts w:hAnsi="標楷體"/>
        </w:rPr>
        <w:t>相關</w:t>
      </w:r>
      <w:r w:rsidRPr="00E10844">
        <w:rPr>
          <w:rFonts w:hAnsi="標楷體"/>
        </w:rPr>
        <w:t>執行成果，</w:t>
      </w:r>
      <w:r w:rsidR="008633C7">
        <w:rPr>
          <w:rFonts w:hAnsi="標楷體" w:hint="eastAsia"/>
        </w:rPr>
        <w:t>並落實金管會公布11</w:t>
      </w:r>
      <w:r w:rsidR="00373930">
        <w:rPr>
          <w:rFonts w:hAnsi="標楷體" w:hint="eastAsia"/>
        </w:rPr>
        <w:t>4</w:t>
      </w:r>
      <w:r w:rsidR="008633C7">
        <w:rPr>
          <w:rFonts w:hAnsi="標楷體" w:hint="eastAsia"/>
        </w:rPr>
        <w:t>年</w:t>
      </w:r>
      <w:r w:rsidR="008633C7" w:rsidRPr="00D5595C">
        <w:rPr>
          <w:rFonts w:hAnsi="標楷體" w:hint="eastAsia"/>
        </w:rPr>
        <w:t>公平待客原則</w:t>
      </w:r>
      <w:r w:rsidR="00D31DD7" w:rsidRPr="00D31DD7">
        <w:rPr>
          <w:rFonts w:hAnsi="標楷體" w:hint="eastAsia"/>
        </w:rPr>
        <w:t>指標</w:t>
      </w:r>
      <w:r w:rsidR="00D31DD7">
        <w:rPr>
          <w:rFonts w:hAnsi="標楷體" w:hint="eastAsia"/>
        </w:rPr>
        <w:t>及其加強評核重點</w:t>
      </w:r>
      <w:r w:rsidR="008633C7">
        <w:rPr>
          <w:rFonts w:hAnsi="標楷體" w:hint="eastAsia"/>
        </w:rPr>
        <w:t>，</w:t>
      </w:r>
      <w:r w:rsidR="00497C05">
        <w:rPr>
          <w:rFonts w:hAnsi="標楷體" w:hint="eastAsia"/>
        </w:rPr>
        <w:t>以</w:t>
      </w:r>
      <w:r w:rsidR="00497C05" w:rsidRPr="00497C05">
        <w:rPr>
          <w:rFonts w:hAnsi="標楷體" w:hint="eastAsia"/>
        </w:rPr>
        <w:t>提升對金融消費者之服務品質</w:t>
      </w:r>
      <w:r w:rsidRPr="00E10844">
        <w:rPr>
          <w:rFonts w:hAnsi="標楷體"/>
        </w:rPr>
        <w:t>。</w:t>
      </w:r>
    </w:p>
    <w:p w:rsidR="00B0336B" w:rsidRDefault="00B0336B" w:rsidP="00C53B7D">
      <w:pPr>
        <w:ind w:left="560" w:firstLine="560"/>
        <w:rPr>
          <w:rFonts w:hAnsi="標楷體"/>
        </w:rPr>
      </w:pPr>
    </w:p>
    <w:p w:rsidR="00B0336B" w:rsidRPr="00E10844" w:rsidRDefault="00B0336B" w:rsidP="00C53B7D">
      <w:pPr>
        <w:ind w:left="560" w:firstLine="560"/>
        <w:rPr>
          <w:rFonts w:hAnsi="標楷體"/>
        </w:rPr>
      </w:pPr>
    </w:p>
    <w:p w:rsidR="000C22CD" w:rsidRDefault="00C53B7D" w:rsidP="00020DC3">
      <w:pPr>
        <w:pStyle w:val="142"/>
        <w:spacing w:line="500" w:lineRule="exact"/>
        <w:ind w:left="757" w:hangingChars="270" w:hanging="757"/>
        <w:rPr>
          <w:rFonts w:hAnsi="標楷體"/>
        </w:rPr>
      </w:pPr>
      <w:r w:rsidRPr="00E10844">
        <w:rPr>
          <w:rFonts w:hAnsi="標楷體"/>
          <w:b/>
          <w:sz w:val="28"/>
        </w:rPr>
        <w:t xml:space="preserve">表1  </w:t>
      </w:r>
      <w:r w:rsidR="00C5716B" w:rsidRPr="00867ED3">
        <w:rPr>
          <w:rFonts w:hAnsi="標楷體" w:hint="eastAsia"/>
          <w:b/>
          <w:sz w:val="28"/>
        </w:rPr>
        <w:t>金管會公布</w:t>
      </w:r>
      <w:r w:rsidRPr="00867ED3">
        <w:rPr>
          <w:rFonts w:hAnsi="標楷體"/>
          <w:b/>
          <w:sz w:val="28"/>
        </w:rPr>
        <w:t>108至</w:t>
      </w:r>
      <w:r w:rsidR="00C5716B" w:rsidRPr="00867ED3">
        <w:rPr>
          <w:rFonts w:hAnsi="標楷體"/>
          <w:b/>
          <w:sz w:val="28"/>
        </w:rPr>
        <w:t>11</w:t>
      </w:r>
      <w:r w:rsidR="00020DC3">
        <w:rPr>
          <w:rFonts w:hAnsi="標楷體" w:hint="eastAsia"/>
          <w:b/>
          <w:sz w:val="28"/>
        </w:rPr>
        <w:t>2</w:t>
      </w:r>
      <w:r w:rsidRPr="00867ED3">
        <w:rPr>
          <w:rFonts w:hAnsi="標楷體"/>
          <w:b/>
          <w:sz w:val="28"/>
        </w:rPr>
        <w:t>年度</w:t>
      </w:r>
      <w:r w:rsidR="00C5716B" w:rsidRPr="00867ED3">
        <w:rPr>
          <w:rFonts w:hAnsi="標楷體" w:hint="eastAsia"/>
          <w:b/>
          <w:sz w:val="28"/>
        </w:rPr>
        <w:t>公平待客原則評核</w:t>
      </w:r>
      <w:r w:rsidR="00C5716B" w:rsidRPr="00867ED3">
        <w:rPr>
          <w:rFonts w:hAnsi="標楷體" w:hint="eastAsia"/>
          <w:b/>
          <w:color w:val="000000"/>
          <w:sz w:val="28"/>
        </w:rPr>
        <w:t>結果(</w:t>
      </w:r>
      <w:r w:rsidR="00020DC3">
        <w:rPr>
          <w:rFonts w:hAnsi="標楷體" w:hint="eastAsia"/>
          <w:b/>
          <w:color w:val="000000"/>
          <w:sz w:val="28"/>
        </w:rPr>
        <w:t>其他綜合</w:t>
      </w:r>
      <w:r w:rsidRPr="00867ED3">
        <w:rPr>
          <w:rFonts w:hAnsi="標楷體"/>
          <w:b/>
          <w:bCs/>
          <w:color w:val="333333"/>
          <w:kern w:val="0"/>
          <w:sz w:val="28"/>
        </w:rPr>
        <w:t>證券商</w:t>
      </w:r>
      <w:r w:rsidR="00C5716B" w:rsidRPr="00867ED3">
        <w:rPr>
          <w:rFonts w:hAnsi="標楷體" w:hint="eastAsia"/>
          <w:b/>
          <w:bCs/>
          <w:color w:val="333333"/>
          <w:kern w:val="0"/>
          <w:sz w:val="28"/>
        </w:rPr>
        <w:t>)</w:t>
      </w:r>
    </w:p>
    <w:tbl>
      <w:tblPr>
        <w:tblW w:w="484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5"/>
        <w:gridCol w:w="7597"/>
      </w:tblGrid>
      <w:tr w:rsidR="00020DC3" w:rsidRPr="00E10844" w:rsidTr="008E21E6">
        <w:trPr>
          <w:trHeight w:val="340"/>
          <w:tblHeader/>
        </w:trPr>
        <w:tc>
          <w:tcPr>
            <w:tcW w:w="506" w:type="pct"/>
            <w:shd w:val="clear" w:color="auto" w:fill="auto"/>
            <w:vAlign w:val="center"/>
          </w:tcPr>
          <w:p w:rsidR="00020DC3" w:rsidRPr="009900C8" w:rsidRDefault="00020DC3" w:rsidP="000C22CD">
            <w:pPr>
              <w:pStyle w:val="142"/>
              <w:jc w:val="center"/>
              <w:rPr>
                <w:rFonts w:hAnsi="標楷體"/>
                <w:b/>
                <w:color w:val="000000"/>
                <w:shd w:val="clear" w:color="auto" w:fill="FFFFFF"/>
              </w:rPr>
            </w:pPr>
            <w:r w:rsidRPr="009900C8">
              <w:rPr>
                <w:rFonts w:hAnsi="標楷體"/>
                <w:b/>
                <w:color w:val="000000"/>
                <w:shd w:val="clear" w:color="auto" w:fill="FFFFFF"/>
              </w:rPr>
              <w:t>年度</w:t>
            </w:r>
          </w:p>
        </w:tc>
        <w:tc>
          <w:tcPr>
            <w:tcW w:w="4494" w:type="pct"/>
            <w:shd w:val="clear" w:color="auto" w:fill="auto"/>
            <w:vAlign w:val="center"/>
          </w:tcPr>
          <w:p w:rsidR="00020DC3" w:rsidRPr="009900C8" w:rsidRDefault="00E00D9D" w:rsidP="000C22CD">
            <w:pPr>
              <w:pStyle w:val="142"/>
              <w:jc w:val="center"/>
              <w:rPr>
                <w:rFonts w:hAnsi="標楷體"/>
                <w:b/>
                <w:color w:val="000000"/>
                <w:shd w:val="clear" w:color="auto" w:fill="FFFFFF"/>
              </w:rPr>
            </w:pPr>
            <w:r>
              <w:rPr>
                <w:rFonts w:hAnsi="標楷體" w:hint="eastAsia"/>
                <w:b/>
                <w:szCs w:val="24"/>
              </w:rPr>
              <w:t>其他</w:t>
            </w:r>
            <w:r w:rsidR="00020DC3" w:rsidRPr="009900C8">
              <w:rPr>
                <w:rFonts w:hAnsi="標楷體"/>
                <w:b/>
                <w:szCs w:val="24"/>
              </w:rPr>
              <w:t>綜合證券商</w:t>
            </w:r>
            <w:r>
              <w:rPr>
                <w:rFonts w:hAnsi="標楷體" w:hint="eastAsia"/>
                <w:b/>
                <w:szCs w:val="24"/>
              </w:rPr>
              <w:t>評核結果</w:t>
            </w:r>
          </w:p>
        </w:tc>
      </w:tr>
      <w:tr w:rsidR="00020DC3" w:rsidRPr="00E10844" w:rsidTr="008E21E6">
        <w:trPr>
          <w:trHeight w:val="340"/>
        </w:trPr>
        <w:tc>
          <w:tcPr>
            <w:tcW w:w="506" w:type="pct"/>
            <w:shd w:val="clear" w:color="auto" w:fill="auto"/>
            <w:vAlign w:val="center"/>
          </w:tcPr>
          <w:p w:rsidR="00020DC3" w:rsidRPr="00E10844" w:rsidRDefault="00020DC3" w:rsidP="009900C8">
            <w:pPr>
              <w:pStyle w:val="142"/>
              <w:jc w:val="center"/>
              <w:rPr>
                <w:rFonts w:hAnsi="標楷體"/>
                <w:color w:val="000000"/>
                <w:shd w:val="clear" w:color="auto" w:fill="FFFFFF"/>
              </w:rPr>
            </w:pPr>
            <w:r>
              <w:rPr>
                <w:rFonts w:hAnsi="標楷體" w:hint="eastAsia"/>
                <w:color w:val="000000"/>
                <w:shd w:val="clear" w:color="auto" w:fill="FFFFFF"/>
              </w:rPr>
              <w:t>108</w:t>
            </w:r>
          </w:p>
        </w:tc>
        <w:tc>
          <w:tcPr>
            <w:tcW w:w="4494" w:type="pct"/>
            <w:shd w:val="clear" w:color="auto" w:fill="auto"/>
            <w:vAlign w:val="center"/>
          </w:tcPr>
          <w:p w:rsidR="00020DC3" w:rsidRPr="000C22CD" w:rsidRDefault="00020DC3" w:rsidP="00020DC3">
            <w:pPr>
              <w:pStyle w:val="142"/>
              <w:jc w:val="both"/>
              <w:rPr>
                <w:rFonts w:hAnsi="標楷體"/>
                <w:color w:val="000000"/>
                <w:shd w:val="clear" w:color="auto" w:fill="FFFFFF"/>
              </w:rPr>
            </w:pPr>
            <w:r>
              <w:rPr>
                <w:rFonts w:hAnsi="標楷體" w:hint="eastAsia"/>
                <w:color w:val="000000"/>
                <w:shd w:val="clear" w:color="auto" w:fill="FFFFFF"/>
              </w:rPr>
              <w:t>排名前20%業者：</w:t>
            </w:r>
            <w:r w:rsidRPr="00E10844">
              <w:rPr>
                <w:rFonts w:hAnsi="標楷體"/>
                <w:color w:val="000000"/>
                <w:shd w:val="clear" w:color="auto" w:fill="FFFFFF"/>
              </w:rPr>
              <w:t>中國</w:t>
            </w:r>
            <w:r>
              <w:rPr>
                <w:rFonts w:hAnsi="標楷體"/>
                <w:color w:val="000000"/>
                <w:shd w:val="clear" w:color="auto" w:fill="FFFFFF"/>
              </w:rPr>
              <w:t>信託證券、玉山證券</w:t>
            </w:r>
            <w:r>
              <w:rPr>
                <w:rFonts w:hAnsi="標楷體" w:hint="eastAsia"/>
                <w:color w:val="000000"/>
                <w:shd w:val="clear" w:color="auto" w:fill="FFFFFF"/>
              </w:rPr>
              <w:t>及</w:t>
            </w:r>
            <w:r>
              <w:rPr>
                <w:rFonts w:hAnsi="標楷體"/>
                <w:color w:val="000000"/>
                <w:shd w:val="clear" w:color="auto" w:fill="FFFFFF"/>
              </w:rPr>
              <w:t>合庫證券</w:t>
            </w:r>
            <w:r>
              <w:rPr>
                <w:rFonts w:hAnsi="標楷體" w:hint="eastAsia"/>
                <w:color w:val="000000"/>
                <w:shd w:val="clear" w:color="auto" w:fill="FFFFFF"/>
              </w:rPr>
              <w:t>。</w:t>
            </w:r>
          </w:p>
        </w:tc>
      </w:tr>
      <w:tr w:rsidR="00020DC3" w:rsidRPr="00E10844" w:rsidTr="008E21E6">
        <w:trPr>
          <w:trHeight w:val="340"/>
        </w:trPr>
        <w:tc>
          <w:tcPr>
            <w:tcW w:w="506" w:type="pct"/>
            <w:shd w:val="clear" w:color="auto" w:fill="auto"/>
            <w:vAlign w:val="center"/>
          </w:tcPr>
          <w:p w:rsidR="00020DC3" w:rsidRDefault="00020DC3" w:rsidP="009900C8">
            <w:pPr>
              <w:pStyle w:val="142"/>
              <w:jc w:val="center"/>
              <w:rPr>
                <w:rFonts w:hAnsi="標楷體"/>
                <w:color w:val="000000"/>
                <w:shd w:val="clear" w:color="auto" w:fill="FFFFFF"/>
              </w:rPr>
            </w:pPr>
            <w:r>
              <w:rPr>
                <w:rFonts w:hAnsi="標楷體" w:hint="eastAsia"/>
                <w:color w:val="000000"/>
                <w:shd w:val="clear" w:color="auto" w:fill="FFFFFF"/>
              </w:rPr>
              <w:t>109</w:t>
            </w:r>
          </w:p>
        </w:tc>
        <w:tc>
          <w:tcPr>
            <w:tcW w:w="4494" w:type="pct"/>
            <w:shd w:val="clear" w:color="auto" w:fill="auto"/>
            <w:vAlign w:val="center"/>
          </w:tcPr>
          <w:p w:rsidR="00020DC3" w:rsidRPr="000C22CD" w:rsidRDefault="00020DC3" w:rsidP="009900C8">
            <w:pPr>
              <w:pStyle w:val="142"/>
              <w:jc w:val="center"/>
              <w:rPr>
                <w:rFonts w:hAnsi="標楷體"/>
                <w:color w:val="000000"/>
                <w:shd w:val="clear" w:color="auto" w:fill="FFFFFF"/>
              </w:rPr>
            </w:pPr>
            <w:r>
              <w:rPr>
                <w:rFonts w:hAnsi="標楷體" w:hint="eastAsia"/>
                <w:color w:val="000000"/>
                <w:shd w:val="clear" w:color="auto" w:fill="FFFFFF"/>
              </w:rPr>
              <w:t>--</w:t>
            </w:r>
          </w:p>
        </w:tc>
      </w:tr>
      <w:tr w:rsidR="00020DC3" w:rsidRPr="00E10844" w:rsidTr="008E21E6">
        <w:trPr>
          <w:trHeight w:val="340"/>
        </w:trPr>
        <w:tc>
          <w:tcPr>
            <w:tcW w:w="506" w:type="pct"/>
            <w:shd w:val="clear" w:color="auto" w:fill="auto"/>
            <w:vAlign w:val="center"/>
          </w:tcPr>
          <w:p w:rsidR="00020DC3" w:rsidRDefault="00020DC3" w:rsidP="009900C8">
            <w:pPr>
              <w:pStyle w:val="142"/>
              <w:jc w:val="center"/>
              <w:rPr>
                <w:rFonts w:hAnsi="標楷體"/>
                <w:color w:val="000000"/>
                <w:shd w:val="clear" w:color="auto" w:fill="FFFFFF"/>
              </w:rPr>
            </w:pPr>
            <w:r>
              <w:rPr>
                <w:rFonts w:hAnsi="標楷體" w:hint="eastAsia"/>
                <w:color w:val="000000"/>
                <w:shd w:val="clear" w:color="auto" w:fill="FFFFFF"/>
              </w:rPr>
              <w:t>110</w:t>
            </w:r>
          </w:p>
        </w:tc>
        <w:tc>
          <w:tcPr>
            <w:tcW w:w="4494" w:type="pct"/>
            <w:shd w:val="clear" w:color="auto" w:fill="auto"/>
            <w:vAlign w:val="center"/>
          </w:tcPr>
          <w:p w:rsidR="00020DC3" w:rsidRPr="000C22CD" w:rsidRDefault="00020DC3" w:rsidP="00020DC3">
            <w:pPr>
              <w:pStyle w:val="142"/>
              <w:jc w:val="both"/>
              <w:rPr>
                <w:rFonts w:hAnsi="標楷體"/>
                <w:color w:val="000000"/>
                <w:shd w:val="clear" w:color="auto" w:fill="FFFFFF"/>
              </w:rPr>
            </w:pPr>
            <w:r>
              <w:rPr>
                <w:rFonts w:hAnsi="標楷體" w:hint="eastAsia"/>
                <w:color w:val="000000"/>
                <w:shd w:val="clear" w:color="auto" w:fill="FFFFFF"/>
              </w:rPr>
              <w:t>排名前20%業者：</w:t>
            </w:r>
            <w:r>
              <w:rPr>
                <w:rFonts w:hAnsi="標楷體"/>
                <w:color w:val="000000"/>
                <w:shd w:val="clear" w:color="auto" w:fill="FFFFFF"/>
              </w:rPr>
              <w:t>中國信託證券、玉山證券、合庫證券及第一金證券</w:t>
            </w:r>
            <w:r>
              <w:rPr>
                <w:rFonts w:hAnsi="標楷體" w:hint="eastAsia"/>
                <w:color w:val="000000"/>
                <w:shd w:val="clear" w:color="auto" w:fill="FFFFFF"/>
              </w:rPr>
              <w:t>。</w:t>
            </w:r>
          </w:p>
        </w:tc>
      </w:tr>
      <w:tr w:rsidR="00020DC3" w:rsidRPr="00E10844" w:rsidTr="008E21E6">
        <w:trPr>
          <w:trHeight w:val="340"/>
        </w:trPr>
        <w:tc>
          <w:tcPr>
            <w:tcW w:w="506" w:type="pct"/>
            <w:shd w:val="clear" w:color="auto" w:fill="auto"/>
            <w:vAlign w:val="center"/>
          </w:tcPr>
          <w:p w:rsidR="00020DC3" w:rsidRPr="000C22CD" w:rsidRDefault="00020DC3" w:rsidP="009900C8">
            <w:pPr>
              <w:pStyle w:val="142"/>
              <w:jc w:val="center"/>
              <w:rPr>
                <w:rFonts w:hAnsi="標楷體"/>
                <w:color w:val="000000"/>
                <w:shd w:val="clear" w:color="auto" w:fill="FFFFFF"/>
              </w:rPr>
            </w:pPr>
            <w:r>
              <w:rPr>
                <w:rFonts w:hAnsi="標楷體" w:hint="eastAsia"/>
                <w:color w:val="000000"/>
                <w:shd w:val="clear" w:color="auto" w:fill="FFFFFF"/>
              </w:rPr>
              <w:t>111</w:t>
            </w:r>
          </w:p>
        </w:tc>
        <w:tc>
          <w:tcPr>
            <w:tcW w:w="4494" w:type="pct"/>
            <w:shd w:val="clear" w:color="auto" w:fill="auto"/>
            <w:vAlign w:val="center"/>
          </w:tcPr>
          <w:p w:rsidR="00020DC3" w:rsidRPr="000C22CD" w:rsidRDefault="00020DC3" w:rsidP="009900C8">
            <w:pPr>
              <w:pStyle w:val="142"/>
              <w:jc w:val="center"/>
              <w:rPr>
                <w:rFonts w:hAnsi="標楷體"/>
                <w:color w:val="000000"/>
                <w:shd w:val="clear" w:color="auto" w:fill="FFFFFF"/>
              </w:rPr>
            </w:pPr>
            <w:r>
              <w:rPr>
                <w:rFonts w:hAnsi="標楷體" w:hint="eastAsia"/>
                <w:color w:val="000000"/>
                <w:shd w:val="clear" w:color="auto" w:fill="FFFFFF"/>
              </w:rPr>
              <w:t>--</w:t>
            </w:r>
          </w:p>
        </w:tc>
      </w:tr>
      <w:tr w:rsidR="00020DC3" w:rsidRPr="00E10844" w:rsidTr="008E21E6">
        <w:trPr>
          <w:trHeight w:val="1191"/>
        </w:trPr>
        <w:tc>
          <w:tcPr>
            <w:tcW w:w="506" w:type="pct"/>
            <w:shd w:val="clear" w:color="auto" w:fill="auto"/>
            <w:vAlign w:val="center"/>
          </w:tcPr>
          <w:p w:rsidR="00020DC3" w:rsidRDefault="00020DC3" w:rsidP="009900C8">
            <w:pPr>
              <w:pStyle w:val="142"/>
              <w:jc w:val="center"/>
              <w:rPr>
                <w:rFonts w:hAnsi="標楷體"/>
                <w:color w:val="000000"/>
                <w:shd w:val="clear" w:color="auto" w:fill="FFFFFF"/>
              </w:rPr>
            </w:pPr>
            <w:r>
              <w:rPr>
                <w:rFonts w:hAnsi="標楷體" w:hint="eastAsia"/>
                <w:color w:val="000000"/>
                <w:shd w:val="clear" w:color="auto" w:fill="FFFFFF"/>
              </w:rPr>
              <w:t>1</w:t>
            </w:r>
            <w:r>
              <w:rPr>
                <w:rFonts w:hAnsi="標楷體"/>
                <w:color w:val="000000"/>
                <w:shd w:val="clear" w:color="auto" w:fill="FFFFFF"/>
              </w:rPr>
              <w:t>12</w:t>
            </w:r>
          </w:p>
        </w:tc>
        <w:tc>
          <w:tcPr>
            <w:tcW w:w="4494" w:type="pct"/>
            <w:shd w:val="clear" w:color="auto" w:fill="auto"/>
            <w:vAlign w:val="center"/>
          </w:tcPr>
          <w:p w:rsidR="00020DC3" w:rsidRDefault="00020DC3" w:rsidP="009900C8">
            <w:pPr>
              <w:pStyle w:val="142"/>
              <w:ind w:left="240" w:hangingChars="100" w:hanging="240"/>
              <w:jc w:val="both"/>
              <w:rPr>
                <w:rFonts w:hAnsi="標楷體"/>
                <w:color w:val="000000"/>
                <w:shd w:val="clear" w:color="auto" w:fill="FFFFFF"/>
              </w:rPr>
            </w:pPr>
            <w:r>
              <w:rPr>
                <w:rFonts w:hAnsi="標楷體" w:hint="eastAsia"/>
                <w:color w:val="000000"/>
                <w:shd w:val="clear" w:color="auto" w:fill="FFFFFF"/>
              </w:rPr>
              <w:t>1.排名前25%業者：</w:t>
            </w:r>
            <w:r w:rsidRPr="009900C8">
              <w:rPr>
                <w:rFonts w:hAnsi="標楷體" w:hint="eastAsia"/>
                <w:color w:val="000000"/>
                <w:shd w:val="clear" w:color="auto" w:fill="FFFFFF"/>
              </w:rPr>
              <w:t>中國信託綜合證券、玉山綜合證券、台中銀證券、合作金庫證券、華南永昌綜合證券及福邦證券</w:t>
            </w:r>
            <w:r>
              <w:rPr>
                <w:rFonts w:hAnsi="標楷體" w:hint="eastAsia"/>
                <w:color w:val="000000"/>
                <w:shd w:val="clear" w:color="auto" w:fill="FFFFFF"/>
              </w:rPr>
              <w:t>。</w:t>
            </w:r>
          </w:p>
          <w:p w:rsidR="00020DC3" w:rsidRPr="009900C8" w:rsidRDefault="00020DC3" w:rsidP="009900C8">
            <w:pPr>
              <w:pStyle w:val="142"/>
              <w:ind w:left="240" w:hangingChars="100" w:hanging="240"/>
              <w:jc w:val="both"/>
              <w:rPr>
                <w:rFonts w:hAnsi="標楷體"/>
                <w:color w:val="000000"/>
                <w:shd w:val="clear" w:color="auto" w:fill="FFFFFF"/>
              </w:rPr>
            </w:pPr>
            <w:r>
              <w:rPr>
                <w:rFonts w:hAnsi="標楷體" w:hint="eastAsia"/>
                <w:color w:val="000000"/>
                <w:shd w:val="clear" w:color="auto" w:fill="FFFFFF"/>
              </w:rPr>
              <w:t>2.排名前26%-50%業者：</w:t>
            </w:r>
            <w:r w:rsidRPr="009900C8">
              <w:rPr>
                <w:rFonts w:hAnsi="標楷體" w:hint="eastAsia"/>
                <w:color w:val="000000"/>
                <w:shd w:val="clear" w:color="auto" w:fill="FFFFFF"/>
              </w:rPr>
              <w:t>大展證券、台新綜合證券、美好證券、第一金證券及臺銀綜合證券。</w:t>
            </w:r>
          </w:p>
        </w:tc>
      </w:tr>
    </w:tbl>
    <w:p w:rsidR="009A0EA9" w:rsidRDefault="009A0EA9" w:rsidP="00C5716B">
      <w:pPr>
        <w:pStyle w:val="142"/>
        <w:rPr>
          <w:rFonts w:hAnsi="標楷體"/>
        </w:rPr>
      </w:pPr>
      <w:r>
        <w:rPr>
          <w:rFonts w:hAnsi="標楷體" w:hint="eastAsia"/>
        </w:rPr>
        <w:t>說　　明：表中券商</w:t>
      </w:r>
      <w:r w:rsidRPr="009A0EA9">
        <w:rPr>
          <w:rFonts w:hAnsi="標楷體" w:hint="eastAsia"/>
        </w:rPr>
        <w:t>依機構名稱筆畫順序</w:t>
      </w:r>
      <w:r>
        <w:rPr>
          <w:rFonts w:hAnsi="標楷體" w:hint="eastAsia"/>
        </w:rPr>
        <w:t>列示。</w:t>
      </w:r>
    </w:p>
    <w:p w:rsidR="000C22CD" w:rsidRPr="00C5716B" w:rsidRDefault="00C5716B" w:rsidP="00C53B7D">
      <w:pPr>
        <w:pStyle w:val="142"/>
        <w:rPr>
          <w:rFonts w:hAnsi="標楷體"/>
          <w:szCs w:val="24"/>
        </w:rPr>
      </w:pPr>
      <w:r w:rsidRPr="00E10844">
        <w:rPr>
          <w:rFonts w:hAnsi="標楷體"/>
        </w:rPr>
        <w:t>資料來源：</w:t>
      </w:r>
      <w:r w:rsidR="00880D1D">
        <w:rPr>
          <w:rFonts w:hAnsi="標楷體" w:hint="eastAsia"/>
        </w:rPr>
        <w:t>整理自</w:t>
      </w:r>
      <w:r w:rsidRPr="00E10844">
        <w:rPr>
          <w:rFonts w:hAnsi="標楷體"/>
        </w:rPr>
        <w:t>金管會</w:t>
      </w:r>
      <w:r w:rsidR="00880D1D">
        <w:rPr>
          <w:rFonts w:hAnsi="標楷體" w:hint="eastAsia"/>
        </w:rPr>
        <w:t>網頁</w:t>
      </w:r>
      <w:r w:rsidRPr="00E10844">
        <w:rPr>
          <w:rFonts w:hAnsi="標楷體"/>
        </w:rPr>
        <w:t>。</w:t>
      </w:r>
    </w:p>
    <w:p w:rsidR="00AE0C91" w:rsidRPr="00E10844" w:rsidRDefault="00234226" w:rsidP="00F65FFC">
      <w:pPr>
        <w:pStyle w:val="ab"/>
        <w:rPr>
          <w:rFonts w:hAnsi="標楷體"/>
        </w:rPr>
      </w:pPr>
      <w:r w:rsidRPr="00E10844">
        <w:rPr>
          <w:rFonts w:hAnsi="標楷體"/>
        </w:rPr>
        <w:t>（分機：</w:t>
      </w:r>
      <w:r w:rsidR="00C5716B">
        <w:rPr>
          <w:rFonts w:hAnsi="標楷體" w:hint="eastAsia"/>
        </w:rPr>
        <w:t>8661</w:t>
      </w:r>
      <w:r w:rsidRPr="00E10844">
        <w:rPr>
          <w:rFonts w:hAnsi="標楷體"/>
        </w:rPr>
        <w:t xml:space="preserve"> </w:t>
      </w:r>
      <w:r w:rsidR="00C5716B">
        <w:rPr>
          <w:rFonts w:hAnsi="標楷體" w:hint="eastAsia"/>
        </w:rPr>
        <w:t>鄧凱文</w:t>
      </w:r>
      <w:r w:rsidRPr="00E10844">
        <w:rPr>
          <w:rFonts w:hAnsi="標楷體"/>
        </w:rPr>
        <w:t>）</w:t>
      </w:r>
      <w:bookmarkEnd w:id="25"/>
      <w:bookmarkEnd w:id="26"/>
    </w:p>
    <w:sectPr w:rsidR="00AE0C91" w:rsidRPr="00E10844" w:rsidSect="007002F7">
      <w:headerReference w:type="even" r:id="rId14"/>
      <w:headerReference w:type="default" r:id="rId15"/>
      <w:footerReference w:type="even" r:id="rId16"/>
      <w:footerReference w:type="default" r:id="rId17"/>
      <w:headerReference w:type="first" r:id="rId18"/>
      <w:footerReference w:type="first" r:id="rId19"/>
      <w:pgSz w:w="11906" w:h="16838" w:code="9"/>
      <w:pgMar w:top="1701" w:right="1700" w:bottom="1701" w:left="1701" w:header="0" w:footer="1134" w:gutter="0"/>
      <w:pgNumType w:start="1"/>
      <w:cols w:space="425"/>
      <w:docGrid w:type="linesAndChars" w:linePitch="5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738" w:rsidRDefault="00DB7738" w:rsidP="003A22D1">
      <w:pPr>
        <w:spacing w:line="240" w:lineRule="auto"/>
        <w:ind w:left="560" w:firstLine="560"/>
      </w:pPr>
      <w:r>
        <w:separator/>
      </w:r>
    </w:p>
  </w:endnote>
  <w:endnote w:type="continuationSeparator" w:id="0">
    <w:p w:rsidR="00DB7738" w:rsidRDefault="00DB7738" w:rsidP="003A22D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framePr w:wrap="around" w:vAnchor="text" w:hAnchor="margin" w:xAlign="center" w:y="1"/>
      <w:ind w:left="560" w:firstLine="560"/>
    </w:pPr>
    <w:r>
      <w:fldChar w:fldCharType="begin"/>
    </w:r>
    <w:r>
      <w:instrText xml:space="preserve">PAGE  </w:instrText>
    </w:r>
    <w:r>
      <w:fldChar w:fldCharType="end"/>
    </w:r>
  </w:p>
  <w:p w:rsidR="006A3BB0" w:rsidRDefault="006A3BB0" w:rsidP="00813985">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Pr="00202B6C" w:rsidRDefault="006A3BB0" w:rsidP="00A8359E">
    <w:pPr>
      <w:framePr w:wrap="around" w:vAnchor="text" w:hAnchor="margin" w:xAlign="center" w:y="1"/>
      <w:ind w:leftChars="0" w:left="0" w:firstLineChars="0" w:firstLine="0"/>
      <w:rPr>
        <w:sz w:val="20"/>
        <w:szCs w:val="20"/>
      </w:rPr>
    </w:pPr>
    <w:r w:rsidRPr="00202B6C">
      <w:rPr>
        <w:sz w:val="20"/>
        <w:szCs w:val="20"/>
      </w:rPr>
      <w:fldChar w:fldCharType="begin"/>
    </w:r>
    <w:r w:rsidRPr="00202B6C">
      <w:rPr>
        <w:sz w:val="20"/>
        <w:szCs w:val="20"/>
      </w:rPr>
      <w:instrText xml:space="preserve">PAGE  </w:instrText>
    </w:r>
    <w:r w:rsidRPr="00202B6C">
      <w:rPr>
        <w:sz w:val="20"/>
        <w:szCs w:val="20"/>
      </w:rPr>
      <w:fldChar w:fldCharType="separate"/>
    </w:r>
    <w:r>
      <w:rPr>
        <w:noProof/>
        <w:sz w:val="20"/>
        <w:szCs w:val="20"/>
      </w:rPr>
      <w:t>1</w:t>
    </w:r>
    <w:r w:rsidRPr="00202B6C">
      <w:rPr>
        <w:sz w:val="20"/>
        <w:szCs w:val="20"/>
      </w:rPr>
      <w:fldChar w:fldCharType="end"/>
    </w:r>
  </w:p>
  <w:p w:rsidR="006A3BB0" w:rsidRPr="00202B6C" w:rsidRDefault="006A3BB0" w:rsidP="00813985">
    <w:pPr>
      <w:ind w:left="560" w:firstLine="560"/>
      <w:rPr>
        <w:sz w:val="20"/>
        <w:szCs w:val="20"/>
      </w:rPr>
    </w:pPr>
    <w:r>
      <w:rPr>
        <w:rFonts w:hint="eastAs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framePr w:wrap="around" w:vAnchor="text" w:hAnchor="margin" w:xAlign="center" w:y="1"/>
      <w:ind w:left="560" w:firstLine="560"/>
    </w:pPr>
    <w:r>
      <w:fldChar w:fldCharType="begin"/>
    </w:r>
    <w:r>
      <w:instrText xml:space="preserve">PAGE  </w:instrText>
    </w:r>
    <w:r>
      <w:fldChar w:fldCharType="end"/>
    </w:r>
  </w:p>
  <w:p w:rsidR="006A3BB0" w:rsidRDefault="006A3BB0" w:rsidP="00813985">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Pr="00202B6C" w:rsidRDefault="006A3BB0" w:rsidP="00FC40FA">
    <w:pPr>
      <w:framePr w:wrap="around" w:vAnchor="text" w:hAnchor="margin" w:xAlign="center" w:y="1"/>
      <w:ind w:leftChars="0" w:left="0" w:firstLineChars="0" w:firstLine="0"/>
      <w:jc w:val="center"/>
      <w:rPr>
        <w:sz w:val="20"/>
        <w:szCs w:val="20"/>
      </w:rPr>
    </w:pPr>
    <w:r w:rsidRPr="00202B6C">
      <w:rPr>
        <w:sz w:val="20"/>
        <w:szCs w:val="20"/>
      </w:rPr>
      <w:fldChar w:fldCharType="begin"/>
    </w:r>
    <w:r w:rsidRPr="00202B6C">
      <w:rPr>
        <w:sz w:val="20"/>
        <w:szCs w:val="20"/>
      </w:rPr>
      <w:instrText xml:space="preserve">PAGE  </w:instrText>
    </w:r>
    <w:r w:rsidRPr="00202B6C">
      <w:rPr>
        <w:sz w:val="20"/>
        <w:szCs w:val="20"/>
      </w:rPr>
      <w:fldChar w:fldCharType="separate"/>
    </w:r>
    <w:r w:rsidR="00291748">
      <w:rPr>
        <w:noProof/>
        <w:sz w:val="20"/>
        <w:szCs w:val="20"/>
      </w:rPr>
      <w:t>1</w:t>
    </w:r>
    <w:r w:rsidRPr="00202B6C">
      <w:rPr>
        <w:sz w:val="20"/>
        <w:szCs w:val="20"/>
      </w:rPr>
      <w:fldChar w:fldCharType="end"/>
    </w:r>
  </w:p>
  <w:p w:rsidR="006A3BB0" w:rsidRPr="00202B6C" w:rsidRDefault="006A3BB0" w:rsidP="00201E08">
    <w:pPr>
      <w:ind w:leftChars="0" w:left="0" w:firstLineChars="0" w:firstLine="0"/>
      <w:jc w:val="center"/>
      <w:rPr>
        <w:sz w:val="20"/>
        <w:szCs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738" w:rsidRDefault="00DB7738" w:rsidP="00B640E4">
      <w:pPr>
        <w:spacing w:line="240" w:lineRule="auto"/>
        <w:ind w:left="560" w:firstLine="560"/>
      </w:pPr>
      <w:r>
        <w:separator/>
      </w:r>
    </w:p>
  </w:footnote>
  <w:footnote w:type="continuationSeparator" w:id="0">
    <w:p w:rsidR="00DB7738" w:rsidRDefault="00DB7738" w:rsidP="003A22D1">
      <w:pPr>
        <w:spacing w:line="240" w:lineRule="auto"/>
        <w:ind w:left="560" w:firstLine="560"/>
      </w:pPr>
      <w:r>
        <w:continuationSeparator/>
      </w:r>
    </w:p>
  </w:footnote>
  <w:footnote w:id="1">
    <w:p w:rsidR="006A3BB0" w:rsidRPr="009A1DB5" w:rsidRDefault="006A3BB0" w:rsidP="008E21E6">
      <w:pPr>
        <w:pStyle w:val="142"/>
        <w:wordWrap w:val="0"/>
        <w:ind w:left="84" w:hangingChars="35" w:hanging="84"/>
      </w:pPr>
      <w:r>
        <w:rPr>
          <w:rStyle w:val="afc"/>
        </w:rPr>
        <w:footnoteRef/>
      </w:r>
      <w:r>
        <w:rPr>
          <w:rFonts w:hint="eastAsia"/>
        </w:rPr>
        <w:t>參自金管會銀行局網站「</w:t>
      </w:r>
      <w:r w:rsidRPr="009A1DB5">
        <w:rPr>
          <w:rFonts w:hint="eastAsia"/>
        </w:rPr>
        <w:t>數位化金融環境3.0</w:t>
      </w:r>
      <w:r>
        <w:rPr>
          <w:rFonts w:hint="eastAsia"/>
        </w:rPr>
        <w:t>」專區</w:t>
      </w:r>
      <w:r w:rsidR="008E21E6">
        <w:rPr>
          <w:rFonts w:hint="eastAsia"/>
        </w:rPr>
        <w:t>(</w:t>
      </w:r>
      <w:r w:rsidR="008E21E6" w:rsidRPr="008E21E6">
        <w:t>https://www.banking.gov.tw/ch/home.jsp?id=446&amp;parentpath=0,8,124</w:t>
      </w:r>
      <w:r w:rsidR="008E21E6">
        <w:rPr>
          <w:rFonts w:hint="eastAsia"/>
        </w:rPr>
        <w:t>)</w:t>
      </w:r>
      <w:r w:rsidR="008E21E6" w:rsidRPr="002E7C15">
        <w:rPr>
          <w:rFonts w:hint="eastAsia"/>
        </w:rPr>
        <w:t>，查詢日：113年</w:t>
      </w:r>
      <w:r w:rsidR="008E21E6">
        <w:rPr>
          <w:rFonts w:hint="eastAsia"/>
        </w:rPr>
        <w:t>10</w:t>
      </w:r>
      <w:r w:rsidR="008E21E6" w:rsidRPr="002E7C15">
        <w:rPr>
          <w:rFonts w:hint="eastAsia"/>
        </w:rPr>
        <w:t>月</w:t>
      </w:r>
      <w:r w:rsidR="008E21E6">
        <w:rPr>
          <w:rFonts w:hint="eastAsia"/>
        </w:rPr>
        <w:t>30</w:t>
      </w:r>
      <w:r w:rsidR="008E21E6" w:rsidRPr="002E7C15">
        <w:rPr>
          <w:rFonts w:hint="eastAsia"/>
        </w:rPr>
        <w:t>日</w:t>
      </w:r>
      <w:r>
        <w:rPr>
          <w:rFonts w:hint="eastAsia"/>
        </w:rPr>
        <w:t>。</w:t>
      </w:r>
    </w:p>
  </w:footnote>
  <w:footnote w:id="2">
    <w:p w:rsidR="006A3BB0" w:rsidRPr="002F209F" w:rsidRDefault="006A3BB0" w:rsidP="00544D78">
      <w:pPr>
        <w:pStyle w:val="147"/>
        <w:wordWrap/>
        <w:ind w:left="30" w:hangingChars="30" w:hanging="72"/>
      </w:pPr>
      <w:r>
        <w:rPr>
          <w:rStyle w:val="afc"/>
        </w:rPr>
        <w:footnoteRef/>
      </w:r>
      <w:r w:rsidRPr="00254184">
        <w:rPr>
          <w:rFonts w:hint="eastAsia"/>
        </w:rPr>
        <w:t>證券交易稅條例第</w:t>
      </w:r>
      <w:r>
        <w:rPr>
          <w:rFonts w:hint="eastAsia"/>
        </w:rPr>
        <w:t>2</w:t>
      </w:r>
      <w:r w:rsidRPr="00254184">
        <w:rPr>
          <w:rFonts w:hint="eastAsia"/>
        </w:rPr>
        <w:t>條之</w:t>
      </w:r>
      <w:r>
        <w:rPr>
          <w:rFonts w:hint="eastAsia"/>
        </w:rPr>
        <w:t>2第1項規定：「</w:t>
      </w:r>
      <w:r w:rsidR="008E21E6" w:rsidRPr="008E21E6">
        <w:rPr>
          <w:rFonts w:hint="eastAsia"/>
        </w:rPr>
        <w:t>自中華民國一百零六年四月二十八日起至一百十三年十二月三十一日止同一證券商受託買賣或自一百零七年四月二十八日起至一百十三年十二月三十一日止證券商自行買賣，同一帳戶於同一營業日現款買進與現券賣出同種類同數量之上市或上櫃股票，於出賣時，按每次交易成交價格依千分之一點五稅率課徵證券交易稅，不適用第二條第一款規定</w:t>
      </w:r>
      <w:r>
        <w:rPr>
          <w:rFonts w:hint="eastAsia"/>
        </w:rPr>
        <w:t>。」</w:t>
      </w:r>
    </w:p>
  </w:footnote>
  <w:footnote w:id="3">
    <w:p w:rsidR="00880D1D" w:rsidRPr="00880D1D" w:rsidRDefault="00880D1D" w:rsidP="008E21E6">
      <w:pPr>
        <w:pStyle w:val="142"/>
        <w:ind w:left="84" w:hangingChars="35" w:hanging="84"/>
        <w:jc w:val="both"/>
      </w:pPr>
      <w:r>
        <w:rPr>
          <w:rStyle w:val="afc"/>
        </w:rPr>
        <w:footnoteRef/>
      </w:r>
      <w:r>
        <w:rPr>
          <w:rFonts w:hint="eastAsia"/>
        </w:rPr>
        <w:t>行政院院會113</w:t>
      </w:r>
      <w:r w:rsidR="008E21E6">
        <w:rPr>
          <w:rFonts w:hint="eastAsia"/>
        </w:rPr>
        <w:t>年</w:t>
      </w:r>
      <w:r>
        <w:rPr>
          <w:rFonts w:hint="eastAsia"/>
        </w:rPr>
        <w:t>9</w:t>
      </w:r>
      <w:r w:rsidR="008E21E6">
        <w:rPr>
          <w:rFonts w:hint="eastAsia"/>
        </w:rPr>
        <w:t>月</w:t>
      </w:r>
      <w:r>
        <w:rPr>
          <w:rFonts w:hint="eastAsia"/>
        </w:rPr>
        <w:t>12</w:t>
      </w:r>
      <w:r w:rsidR="008E21E6">
        <w:rPr>
          <w:rFonts w:hint="eastAsia"/>
        </w:rPr>
        <w:t>日</w:t>
      </w:r>
      <w:r>
        <w:rPr>
          <w:rFonts w:hint="eastAsia"/>
        </w:rPr>
        <w:t>通過</w:t>
      </w:r>
      <w:r w:rsidRPr="00880D1D">
        <w:rPr>
          <w:rFonts w:hint="eastAsia"/>
        </w:rPr>
        <w:t>財政部擬具「證券交易稅條例」第2條之2、第</w:t>
      </w:r>
      <w:r w:rsidR="00667759">
        <w:rPr>
          <w:rFonts w:hint="eastAsia"/>
        </w:rPr>
        <w:t>12</w:t>
      </w:r>
      <w:r w:rsidRPr="00880D1D">
        <w:rPr>
          <w:rFonts w:hint="eastAsia"/>
        </w:rPr>
        <w:t>條修正草案，延長當沖降稅措施3年至116</w:t>
      </w:r>
      <w:r w:rsidR="008E21E6">
        <w:rPr>
          <w:rFonts w:hint="eastAsia"/>
        </w:rPr>
        <w:t>年</w:t>
      </w:r>
      <w:r w:rsidR="00667759">
        <w:rPr>
          <w:rFonts w:hint="eastAsia"/>
        </w:rPr>
        <w:t>12</w:t>
      </w:r>
      <w:r w:rsidR="008E21E6">
        <w:rPr>
          <w:rFonts w:hint="eastAsia"/>
        </w:rPr>
        <w:t>月31日</w:t>
      </w:r>
      <w:r w:rsidRPr="00880D1D">
        <w:rPr>
          <w:rFonts w:hint="eastAsia"/>
        </w:rPr>
        <w:t>，</w:t>
      </w:r>
      <w:r w:rsidR="00667759">
        <w:rPr>
          <w:rFonts w:hint="eastAsia"/>
        </w:rPr>
        <w:t>業</w:t>
      </w:r>
      <w:r w:rsidRPr="00880D1D">
        <w:rPr>
          <w:rFonts w:hint="eastAsia"/>
        </w:rPr>
        <w:t>函請立法院審議</w:t>
      </w:r>
      <w:r w:rsidR="009E7591">
        <w:rPr>
          <w:rFonts w:hint="eastAsia"/>
        </w:rPr>
        <w:t>中</w:t>
      </w:r>
      <w:r w:rsidRPr="00880D1D">
        <w:rPr>
          <w:rFonts w:hint="eastAsia"/>
        </w:rPr>
        <w:t>。</w:t>
      </w:r>
    </w:p>
  </w:footnote>
  <w:footnote w:id="4">
    <w:p w:rsidR="006A3BB0" w:rsidRPr="00857EEF" w:rsidRDefault="006A3BB0" w:rsidP="00857EEF">
      <w:pPr>
        <w:pStyle w:val="142"/>
      </w:pPr>
      <w:r>
        <w:rPr>
          <w:rStyle w:val="afc"/>
        </w:rPr>
        <w:footnoteRef/>
      </w:r>
      <w:r w:rsidRPr="00857EEF">
        <w:rPr>
          <w:rFonts w:hint="eastAsia"/>
        </w:rPr>
        <w:t>包含客戶、受益人或機構投資人本身之股東</w:t>
      </w:r>
      <w:r>
        <w:rPr>
          <w:rFonts w:hint="eastAsia"/>
        </w:rPr>
        <w:t>。</w:t>
      </w:r>
    </w:p>
  </w:footnote>
  <w:footnote w:id="5">
    <w:p w:rsidR="006A3BB0" w:rsidRPr="00B2691F" w:rsidRDefault="006A3BB0" w:rsidP="00B2691F">
      <w:pPr>
        <w:pStyle w:val="142"/>
        <w:ind w:left="84" w:hangingChars="35" w:hanging="84"/>
      </w:pPr>
      <w:r>
        <w:rPr>
          <w:rStyle w:val="afc"/>
        </w:rPr>
        <w:footnoteRef/>
      </w:r>
      <w:r>
        <w:rPr>
          <w:rFonts w:hint="eastAsia"/>
        </w:rPr>
        <w:t>新增</w:t>
      </w:r>
      <w:r w:rsidRPr="00B2691F">
        <w:rPr>
          <w:rFonts w:hint="eastAsia"/>
        </w:rPr>
        <w:t>設置里程碑及說明溝通位階</w:t>
      </w:r>
      <w:r>
        <w:rPr>
          <w:rFonts w:hint="eastAsia"/>
        </w:rPr>
        <w:t>等2項；修正4項</w:t>
      </w:r>
      <w:r w:rsidRPr="00B2691F">
        <w:rPr>
          <w:rFonts w:hint="eastAsia"/>
        </w:rPr>
        <w:t>跨資產類別</w:t>
      </w:r>
      <w:r>
        <w:rPr>
          <w:rFonts w:hint="eastAsia"/>
        </w:rPr>
        <w:t>揭露及5項微幅文字調整；合併性質相近題目2項。</w:t>
      </w:r>
    </w:p>
  </w:footnote>
  <w:footnote w:id="6">
    <w:p w:rsidR="006A3BB0" w:rsidRDefault="006A3BB0" w:rsidP="008633C7">
      <w:pPr>
        <w:pStyle w:val="142"/>
      </w:pPr>
      <w:r>
        <w:rPr>
          <w:rStyle w:val="afc"/>
        </w:rPr>
        <w:footnoteRef/>
      </w:r>
      <w:r w:rsidRPr="008633C7">
        <w:rPr>
          <w:rFonts w:hint="eastAsia"/>
        </w:rPr>
        <w:t>實收資本額達新臺幣100億元</w:t>
      </w:r>
      <w:r>
        <w:rPr>
          <w:rFonts w:hint="eastAsia"/>
        </w:rPr>
        <w:t>。</w:t>
      </w:r>
    </w:p>
  </w:footnote>
  <w:footnote w:id="7">
    <w:p w:rsidR="006A3BB0" w:rsidRPr="001726E5" w:rsidRDefault="006A3BB0" w:rsidP="008E21E6">
      <w:pPr>
        <w:pStyle w:val="142"/>
        <w:wordWrap w:val="0"/>
        <w:ind w:left="72" w:hangingChars="30" w:hanging="72"/>
      </w:pPr>
      <w:r>
        <w:rPr>
          <w:rStyle w:val="afc"/>
        </w:rPr>
        <w:footnoteRef/>
      </w:r>
      <w:r>
        <w:rPr>
          <w:rFonts w:hint="eastAsia"/>
        </w:rPr>
        <w:t>金管會「</w:t>
      </w:r>
      <w:r w:rsidRPr="001726E5">
        <w:rPr>
          <w:rFonts w:hint="eastAsia"/>
        </w:rPr>
        <w:t>公布11</w:t>
      </w:r>
      <w:r>
        <w:rPr>
          <w:rFonts w:hint="eastAsia"/>
        </w:rPr>
        <w:t>4</w:t>
      </w:r>
      <w:r w:rsidRPr="001726E5">
        <w:rPr>
          <w:rFonts w:hint="eastAsia"/>
        </w:rPr>
        <w:t>年公平待客原則評核機制</w:t>
      </w:r>
      <w:r>
        <w:rPr>
          <w:rFonts w:hint="eastAsia"/>
        </w:rPr>
        <w:t>」新聞稿</w:t>
      </w:r>
      <w:r w:rsidR="008E21E6">
        <w:rPr>
          <w:rFonts w:hint="eastAsia"/>
        </w:rPr>
        <w:t>，2023年12月7日，</w:t>
      </w:r>
      <w:r w:rsidR="008E21E6" w:rsidRPr="008E21E6">
        <w:t>https://www.fsc.gov.tw/ch/home.jsp?id=96&amp;parentpath=0&amp;mcustomize=news_view.jsp&amp;dataserno=202312070004&amp;dtable=News</w:t>
      </w:r>
      <w:r>
        <w:rPr>
          <w:rFonts w:hint="eastAsia"/>
        </w:rPr>
        <w:t>。</w:t>
      </w:r>
    </w:p>
  </w:footnote>
  <w:footnote w:id="8">
    <w:p w:rsidR="006A3BB0" w:rsidRDefault="006A3BB0" w:rsidP="00D5595C">
      <w:pPr>
        <w:pStyle w:val="142"/>
        <w:ind w:left="72" w:hangingChars="30" w:hanging="72"/>
      </w:pPr>
      <w:r>
        <w:rPr>
          <w:rStyle w:val="afc"/>
        </w:rPr>
        <w:footnoteRef/>
      </w:r>
      <w:r>
        <w:rPr>
          <w:rFonts w:hint="eastAsia"/>
        </w:rPr>
        <w:t>金管會表示，</w:t>
      </w:r>
      <w:r w:rsidRPr="00D5595C">
        <w:rPr>
          <w:rFonts w:hint="eastAsia"/>
        </w:rPr>
        <w:t>證券商應重視年輕投資人當沖等投資風險議題、銀行應重視對於甫滿18歲成年人小額貸款業務之控管，及各業應善盡年輕客群認識客戶流程(KYC)之審核等，以落實年輕客群權益之保障。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BB0" w:rsidRDefault="006A3BB0" w:rsidP="00813985">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6987"/>
    <w:multiLevelType w:val="hybridMultilevel"/>
    <w:tmpl w:val="C92AC508"/>
    <w:lvl w:ilvl="0" w:tplc="BDC4B39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 w15:restartNumberingAfterBreak="0">
    <w:nsid w:val="0DE71335"/>
    <w:multiLevelType w:val="hybridMultilevel"/>
    <w:tmpl w:val="FEEA10A4"/>
    <w:lvl w:ilvl="0" w:tplc="20B06D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C62C0E"/>
    <w:multiLevelType w:val="hybridMultilevel"/>
    <w:tmpl w:val="0CA46D8E"/>
    <w:lvl w:ilvl="0" w:tplc="C2746B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40D9054E"/>
    <w:multiLevelType w:val="hybridMultilevel"/>
    <w:tmpl w:val="864456D4"/>
    <w:lvl w:ilvl="0" w:tplc="D5A47246">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4" w15:restartNumberingAfterBreak="0">
    <w:nsid w:val="4CC30EDF"/>
    <w:multiLevelType w:val="hybridMultilevel"/>
    <w:tmpl w:val="F03CD092"/>
    <w:lvl w:ilvl="0" w:tplc="22D25832">
      <w:start w:val="1"/>
      <w:numFmt w:val="taiwaneseCountingThousand"/>
      <w:lvlText w:val="(%1)"/>
      <w:lvlJc w:val="left"/>
      <w:pPr>
        <w:ind w:left="1840" w:hanging="720"/>
      </w:pPr>
      <w:rPr>
        <w:rFonts w:hint="default"/>
      </w:r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5" w15:restartNumberingAfterBreak="0">
    <w:nsid w:val="56D917B3"/>
    <w:multiLevelType w:val="hybridMultilevel"/>
    <w:tmpl w:val="017099C4"/>
    <w:lvl w:ilvl="0" w:tplc="A2D425A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6C1525C7"/>
    <w:multiLevelType w:val="hybridMultilevel"/>
    <w:tmpl w:val="F34C75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757"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D952DC9"/>
    <w:multiLevelType w:val="hybridMultilevel"/>
    <w:tmpl w:val="04A6C03A"/>
    <w:lvl w:ilvl="0" w:tplc="115687E6">
      <w:start w:val="1"/>
      <w:numFmt w:val="taiwaneseCountingThousand"/>
      <w:lvlText w:val="(%1)"/>
      <w:lvlJc w:val="left"/>
      <w:pPr>
        <w:ind w:left="1838" w:hanging="720"/>
      </w:pPr>
      <w:rPr>
        <w:rFonts w:hint="default"/>
      </w:rPr>
    </w:lvl>
    <w:lvl w:ilvl="1" w:tplc="04090019" w:tentative="1">
      <w:start w:val="1"/>
      <w:numFmt w:val="ideographTraditional"/>
      <w:lvlText w:val="%2、"/>
      <w:lvlJc w:val="left"/>
      <w:pPr>
        <w:ind w:left="2078" w:hanging="480"/>
      </w:pPr>
    </w:lvl>
    <w:lvl w:ilvl="2" w:tplc="0409001B" w:tentative="1">
      <w:start w:val="1"/>
      <w:numFmt w:val="lowerRoman"/>
      <w:lvlText w:val="%3."/>
      <w:lvlJc w:val="right"/>
      <w:pPr>
        <w:ind w:left="2558" w:hanging="480"/>
      </w:pPr>
    </w:lvl>
    <w:lvl w:ilvl="3" w:tplc="0409000F" w:tentative="1">
      <w:start w:val="1"/>
      <w:numFmt w:val="decimal"/>
      <w:lvlText w:val="%4."/>
      <w:lvlJc w:val="left"/>
      <w:pPr>
        <w:ind w:left="3038" w:hanging="480"/>
      </w:pPr>
    </w:lvl>
    <w:lvl w:ilvl="4" w:tplc="04090019" w:tentative="1">
      <w:start w:val="1"/>
      <w:numFmt w:val="ideographTraditional"/>
      <w:lvlText w:val="%5、"/>
      <w:lvlJc w:val="left"/>
      <w:pPr>
        <w:ind w:left="3518" w:hanging="480"/>
      </w:pPr>
    </w:lvl>
    <w:lvl w:ilvl="5" w:tplc="0409001B" w:tentative="1">
      <w:start w:val="1"/>
      <w:numFmt w:val="lowerRoman"/>
      <w:lvlText w:val="%6."/>
      <w:lvlJc w:val="right"/>
      <w:pPr>
        <w:ind w:left="3998" w:hanging="480"/>
      </w:pPr>
    </w:lvl>
    <w:lvl w:ilvl="6" w:tplc="0409000F" w:tentative="1">
      <w:start w:val="1"/>
      <w:numFmt w:val="decimal"/>
      <w:lvlText w:val="%7."/>
      <w:lvlJc w:val="left"/>
      <w:pPr>
        <w:ind w:left="4478" w:hanging="480"/>
      </w:pPr>
    </w:lvl>
    <w:lvl w:ilvl="7" w:tplc="04090019" w:tentative="1">
      <w:start w:val="1"/>
      <w:numFmt w:val="ideographTraditional"/>
      <w:lvlText w:val="%8、"/>
      <w:lvlJc w:val="left"/>
      <w:pPr>
        <w:ind w:left="4958" w:hanging="480"/>
      </w:pPr>
    </w:lvl>
    <w:lvl w:ilvl="8" w:tplc="0409001B" w:tentative="1">
      <w:start w:val="1"/>
      <w:numFmt w:val="lowerRoman"/>
      <w:lvlText w:val="%9."/>
      <w:lvlJc w:val="right"/>
      <w:pPr>
        <w:ind w:left="5438" w:hanging="480"/>
      </w:pPr>
    </w:lvl>
  </w:abstractNum>
  <w:abstractNum w:abstractNumId="8" w15:restartNumberingAfterBreak="0">
    <w:nsid w:val="6E225C28"/>
    <w:multiLevelType w:val="hybridMultilevel"/>
    <w:tmpl w:val="57085D02"/>
    <w:lvl w:ilvl="0" w:tplc="E9C6DED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78DC6300"/>
    <w:multiLevelType w:val="hybridMultilevel"/>
    <w:tmpl w:val="12A0CA64"/>
    <w:lvl w:ilvl="0" w:tplc="C2746B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8"/>
  </w:num>
  <w:num w:numId="2">
    <w:abstractNumId w:val="5"/>
  </w:num>
  <w:num w:numId="3">
    <w:abstractNumId w:val="2"/>
  </w:num>
  <w:num w:numId="4">
    <w:abstractNumId w:val="7"/>
  </w:num>
  <w:num w:numId="5">
    <w:abstractNumId w:val="9"/>
  </w:num>
  <w:num w:numId="6">
    <w:abstractNumId w:val="4"/>
  </w:num>
  <w:num w:numId="7">
    <w:abstractNumId w:val="3"/>
  </w:num>
  <w:num w:numId="8">
    <w:abstractNumId w:val="0"/>
  </w:num>
  <w:num w:numId="9">
    <w:abstractNumId w:val="1"/>
  </w:num>
  <w:num w:numId="1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B4265"/>
    <w:rsid w:val="000028EE"/>
    <w:rsid w:val="00004E52"/>
    <w:rsid w:val="00005536"/>
    <w:rsid w:val="00007633"/>
    <w:rsid w:val="00007E43"/>
    <w:rsid w:val="000106B6"/>
    <w:rsid w:val="000109A6"/>
    <w:rsid w:val="000112EA"/>
    <w:rsid w:val="00011CEF"/>
    <w:rsid w:val="00012BF5"/>
    <w:rsid w:val="00014653"/>
    <w:rsid w:val="00014C9F"/>
    <w:rsid w:val="00020DC3"/>
    <w:rsid w:val="0002271A"/>
    <w:rsid w:val="00023250"/>
    <w:rsid w:val="000264C3"/>
    <w:rsid w:val="00027892"/>
    <w:rsid w:val="00031E21"/>
    <w:rsid w:val="00031F21"/>
    <w:rsid w:val="0003352B"/>
    <w:rsid w:val="0003494E"/>
    <w:rsid w:val="00035A39"/>
    <w:rsid w:val="00035EFD"/>
    <w:rsid w:val="00036750"/>
    <w:rsid w:val="00037BAC"/>
    <w:rsid w:val="00042697"/>
    <w:rsid w:val="00042925"/>
    <w:rsid w:val="00043C98"/>
    <w:rsid w:val="00045C7D"/>
    <w:rsid w:val="00046043"/>
    <w:rsid w:val="00046B9C"/>
    <w:rsid w:val="0005191C"/>
    <w:rsid w:val="00053FDB"/>
    <w:rsid w:val="00056244"/>
    <w:rsid w:val="00061D73"/>
    <w:rsid w:val="00061D97"/>
    <w:rsid w:val="0006211B"/>
    <w:rsid w:val="0006480C"/>
    <w:rsid w:val="00065271"/>
    <w:rsid w:val="00066D69"/>
    <w:rsid w:val="00071A7F"/>
    <w:rsid w:val="00071ECF"/>
    <w:rsid w:val="00072D54"/>
    <w:rsid w:val="000731F1"/>
    <w:rsid w:val="000738CF"/>
    <w:rsid w:val="00073BE9"/>
    <w:rsid w:val="000748DD"/>
    <w:rsid w:val="0007566D"/>
    <w:rsid w:val="0007795E"/>
    <w:rsid w:val="00081853"/>
    <w:rsid w:val="00082428"/>
    <w:rsid w:val="00084E22"/>
    <w:rsid w:val="0008564F"/>
    <w:rsid w:val="00086738"/>
    <w:rsid w:val="00087D0F"/>
    <w:rsid w:val="000910A0"/>
    <w:rsid w:val="000911BD"/>
    <w:rsid w:val="00092A8F"/>
    <w:rsid w:val="00094006"/>
    <w:rsid w:val="0009411C"/>
    <w:rsid w:val="00094BA0"/>
    <w:rsid w:val="000A2A0C"/>
    <w:rsid w:val="000A4ABB"/>
    <w:rsid w:val="000A6188"/>
    <w:rsid w:val="000A6780"/>
    <w:rsid w:val="000A7C82"/>
    <w:rsid w:val="000B0545"/>
    <w:rsid w:val="000B0BF7"/>
    <w:rsid w:val="000B13BC"/>
    <w:rsid w:val="000B1C78"/>
    <w:rsid w:val="000B3BF4"/>
    <w:rsid w:val="000B4A01"/>
    <w:rsid w:val="000B4FEA"/>
    <w:rsid w:val="000B7FA5"/>
    <w:rsid w:val="000C0499"/>
    <w:rsid w:val="000C09C7"/>
    <w:rsid w:val="000C22CD"/>
    <w:rsid w:val="000C2524"/>
    <w:rsid w:val="000C413C"/>
    <w:rsid w:val="000C59F0"/>
    <w:rsid w:val="000D4A02"/>
    <w:rsid w:val="000D7E24"/>
    <w:rsid w:val="000E106A"/>
    <w:rsid w:val="000E11F7"/>
    <w:rsid w:val="000E1D1D"/>
    <w:rsid w:val="000E2380"/>
    <w:rsid w:val="000E299B"/>
    <w:rsid w:val="000E37A3"/>
    <w:rsid w:val="000E4305"/>
    <w:rsid w:val="000E4986"/>
    <w:rsid w:val="000E4C50"/>
    <w:rsid w:val="000E6727"/>
    <w:rsid w:val="000E6C81"/>
    <w:rsid w:val="000F02B8"/>
    <w:rsid w:val="000F214E"/>
    <w:rsid w:val="000F3254"/>
    <w:rsid w:val="000F3EC1"/>
    <w:rsid w:val="000F5648"/>
    <w:rsid w:val="000F77E4"/>
    <w:rsid w:val="00101DCA"/>
    <w:rsid w:val="00101DEE"/>
    <w:rsid w:val="00103928"/>
    <w:rsid w:val="001060A0"/>
    <w:rsid w:val="0010749F"/>
    <w:rsid w:val="00107ACF"/>
    <w:rsid w:val="00111733"/>
    <w:rsid w:val="001119C7"/>
    <w:rsid w:val="00113AD5"/>
    <w:rsid w:val="00113DD2"/>
    <w:rsid w:val="00113EF7"/>
    <w:rsid w:val="00116229"/>
    <w:rsid w:val="00116463"/>
    <w:rsid w:val="0012208F"/>
    <w:rsid w:val="00126322"/>
    <w:rsid w:val="00130700"/>
    <w:rsid w:val="001322B6"/>
    <w:rsid w:val="001339A8"/>
    <w:rsid w:val="00134259"/>
    <w:rsid w:val="001400FC"/>
    <w:rsid w:val="0014255F"/>
    <w:rsid w:val="00142D3E"/>
    <w:rsid w:val="00144AB3"/>
    <w:rsid w:val="0014583A"/>
    <w:rsid w:val="0014754A"/>
    <w:rsid w:val="001500D7"/>
    <w:rsid w:val="00150FF2"/>
    <w:rsid w:val="00153CE0"/>
    <w:rsid w:val="00153EE3"/>
    <w:rsid w:val="00154521"/>
    <w:rsid w:val="00154FC6"/>
    <w:rsid w:val="00155C53"/>
    <w:rsid w:val="00155DC4"/>
    <w:rsid w:val="001560AF"/>
    <w:rsid w:val="00156DEE"/>
    <w:rsid w:val="001608DC"/>
    <w:rsid w:val="00163814"/>
    <w:rsid w:val="00170445"/>
    <w:rsid w:val="001712CC"/>
    <w:rsid w:val="00172595"/>
    <w:rsid w:val="001726E5"/>
    <w:rsid w:val="00173984"/>
    <w:rsid w:val="001740DC"/>
    <w:rsid w:val="00175810"/>
    <w:rsid w:val="001759FC"/>
    <w:rsid w:val="00176A82"/>
    <w:rsid w:val="0018140D"/>
    <w:rsid w:val="001842E6"/>
    <w:rsid w:val="00184427"/>
    <w:rsid w:val="00185C13"/>
    <w:rsid w:val="00186D19"/>
    <w:rsid w:val="0019081E"/>
    <w:rsid w:val="001938AC"/>
    <w:rsid w:val="001954E5"/>
    <w:rsid w:val="00195BE7"/>
    <w:rsid w:val="0019645F"/>
    <w:rsid w:val="00196961"/>
    <w:rsid w:val="001970E4"/>
    <w:rsid w:val="001A2898"/>
    <w:rsid w:val="001A3745"/>
    <w:rsid w:val="001A4020"/>
    <w:rsid w:val="001A42FD"/>
    <w:rsid w:val="001A628F"/>
    <w:rsid w:val="001A68EF"/>
    <w:rsid w:val="001A69BA"/>
    <w:rsid w:val="001A7D33"/>
    <w:rsid w:val="001B06AB"/>
    <w:rsid w:val="001B1DE3"/>
    <w:rsid w:val="001B708A"/>
    <w:rsid w:val="001B76AC"/>
    <w:rsid w:val="001C0407"/>
    <w:rsid w:val="001C3BF2"/>
    <w:rsid w:val="001C4614"/>
    <w:rsid w:val="001C7800"/>
    <w:rsid w:val="001D064D"/>
    <w:rsid w:val="001D0B78"/>
    <w:rsid w:val="001D0DDE"/>
    <w:rsid w:val="001D1CEB"/>
    <w:rsid w:val="001D4AE3"/>
    <w:rsid w:val="001D4D98"/>
    <w:rsid w:val="001D7845"/>
    <w:rsid w:val="001D79BF"/>
    <w:rsid w:val="001D7B8B"/>
    <w:rsid w:val="001E1F70"/>
    <w:rsid w:val="001E772C"/>
    <w:rsid w:val="001F03DE"/>
    <w:rsid w:val="001F1232"/>
    <w:rsid w:val="001F600F"/>
    <w:rsid w:val="001F67C5"/>
    <w:rsid w:val="001F7268"/>
    <w:rsid w:val="001F7753"/>
    <w:rsid w:val="001F7AA1"/>
    <w:rsid w:val="001F7D53"/>
    <w:rsid w:val="00201E08"/>
    <w:rsid w:val="00202212"/>
    <w:rsid w:val="00202B6C"/>
    <w:rsid w:val="00203018"/>
    <w:rsid w:val="00204A5A"/>
    <w:rsid w:val="00204BE8"/>
    <w:rsid w:val="002057A0"/>
    <w:rsid w:val="0020761B"/>
    <w:rsid w:val="00210292"/>
    <w:rsid w:val="002107C6"/>
    <w:rsid w:val="00210D4F"/>
    <w:rsid w:val="00210FA9"/>
    <w:rsid w:val="0021122E"/>
    <w:rsid w:val="00211820"/>
    <w:rsid w:val="00213E62"/>
    <w:rsid w:val="0021713F"/>
    <w:rsid w:val="0022091B"/>
    <w:rsid w:val="00224910"/>
    <w:rsid w:val="002251D5"/>
    <w:rsid w:val="002276F0"/>
    <w:rsid w:val="00230892"/>
    <w:rsid w:val="00230B75"/>
    <w:rsid w:val="00230F51"/>
    <w:rsid w:val="0023214B"/>
    <w:rsid w:val="00233330"/>
    <w:rsid w:val="00233396"/>
    <w:rsid w:val="00234226"/>
    <w:rsid w:val="002378DB"/>
    <w:rsid w:val="00240D1F"/>
    <w:rsid w:val="002434AF"/>
    <w:rsid w:val="00243837"/>
    <w:rsid w:val="00246908"/>
    <w:rsid w:val="00250DBC"/>
    <w:rsid w:val="00251B2F"/>
    <w:rsid w:val="00255F16"/>
    <w:rsid w:val="00256DC6"/>
    <w:rsid w:val="00263470"/>
    <w:rsid w:val="00265E3D"/>
    <w:rsid w:val="00265F87"/>
    <w:rsid w:val="00266FBE"/>
    <w:rsid w:val="00267B30"/>
    <w:rsid w:val="00267E90"/>
    <w:rsid w:val="00270C1B"/>
    <w:rsid w:val="002710E9"/>
    <w:rsid w:val="002714EE"/>
    <w:rsid w:val="00273B2F"/>
    <w:rsid w:val="00274C97"/>
    <w:rsid w:val="00275C41"/>
    <w:rsid w:val="00277729"/>
    <w:rsid w:val="0028003C"/>
    <w:rsid w:val="002802A6"/>
    <w:rsid w:val="0028047E"/>
    <w:rsid w:val="00280D31"/>
    <w:rsid w:val="00280E45"/>
    <w:rsid w:val="00284232"/>
    <w:rsid w:val="0028650B"/>
    <w:rsid w:val="00290AD8"/>
    <w:rsid w:val="00291748"/>
    <w:rsid w:val="002930F7"/>
    <w:rsid w:val="00297BC6"/>
    <w:rsid w:val="002A19FF"/>
    <w:rsid w:val="002A411D"/>
    <w:rsid w:val="002A4496"/>
    <w:rsid w:val="002A59E0"/>
    <w:rsid w:val="002B0ECE"/>
    <w:rsid w:val="002B24EA"/>
    <w:rsid w:val="002B3E67"/>
    <w:rsid w:val="002B435E"/>
    <w:rsid w:val="002B4AE9"/>
    <w:rsid w:val="002B66D9"/>
    <w:rsid w:val="002B721A"/>
    <w:rsid w:val="002B737E"/>
    <w:rsid w:val="002B78BB"/>
    <w:rsid w:val="002C1932"/>
    <w:rsid w:val="002C4104"/>
    <w:rsid w:val="002C4853"/>
    <w:rsid w:val="002C50D9"/>
    <w:rsid w:val="002C7DC0"/>
    <w:rsid w:val="002D0891"/>
    <w:rsid w:val="002D1BE5"/>
    <w:rsid w:val="002D266C"/>
    <w:rsid w:val="002D2904"/>
    <w:rsid w:val="002D2B91"/>
    <w:rsid w:val="002D3FB0"/>
    <w:rsid w:val="002D5419"/>
    <w:rsid w:val="002D7197"/>
    <w:rsid w:val="002D71E6"/>
    <w:rsid w:val="002E091C"/>
    <w:rsid w:val="002E26B0"/>
    <w:rsid w:val="002E4AC2"/>
    <w:rsid w:val="002E4B58"/>
    <w:rsid w:val="002E61DD"/>
    <w:rsid w:val="002E7654"/>
    <w:rsid w:val="002E7C3D"/>
    <w:rsid w:val="002F05A0"/>
    <w:rsid w:val="002F111F"/>
    <w:rsid w:val="002F209F"/>
    <w:rsid w:val="002F2174"/>
    <w:rsid w:val="002F243A"/>
    <w:rsid w:val="002F2CEF"/>
    <w:rsid w:val="002F2FE9"/>
    <w:rsid w:val="002F51F1"/>
    <w:rsid w:val="003002FB"/>
    <w:rsid w:val="00301CF4"/>
    <w:rsid w:val="00305BBC"/>
    <w:rsid w:val="00306786"/>
    <w:rsid w:val="00306847"/>
    <w:rsid w:val="00311630"/>
    <w:rsid w:val="00314527"/>
    <w:rsid w:val="00314F7E"/>
    <w:rsid w:val="00315963"/>
    <w:rsid w:val="003175F4"/>
    <w:rsid w:val="00320DA9"/>
    <w:rsid w:val="00320E1F"/>
    <w:rsid w:val="00321427"/>
    <w:rsid w:val="00322FC8"/>
    <w:rsid w:val="00323237"/>
    <w:rsid w:val="00323BD1"/>
    <w:rsid w:val="003259E3"/>
    <w:rsid w:val="0032636B"/>
    <w:rsid w:val="00326CC2"/>
    <w:rsid w:val="0033208A"/>
    <w:rsid w:val="003353C4"/>
    <w:rsid w:val="00335DDD"/>
    <w:rsid w:val="00340F12"/>
    <w:rsid w:val="00341831"/>
    <w:rsid w:val="0034195D"/>
    <w:rsid w:val="003423B7"/>
    <w:rsid w:val="00342F81"/>
    <w:rsid w:val="00344CCD"/>
    <w:rsid w:val="003462F1"/>
    <w:rsid w:val="00346DD5"/>
    <w:rsid w:val="003473C4"/>
    <w:rsid w:val="00347640"/>
    <w:rsid w:val="00347B39"/>
    <w:rsid w:val="00353D68"/>
    <w:rsid w:val="00354401"/>
    <w:rsid w:val="00354C01"/>
    <w:rsid w:val="00357020"/>
    <w:rsid w:val="003611EC"/>
    <w:rsid w:val="00364DE0"/>
    <w:rsid w:val="003660D1"/>
    <w:rsid w:val="00366382"/>
    <w:rsid w:val="0036709D"/>
    <w:rsid w:val="00370CBC"/>
    <w:rsid w:val="00373930"/>
    <w:rsid w:val="00375CFD"/>
    <w:rsid w:val="00376C53"/>
    <w:rsid w:val="003776CC"/>
    <w:rsid w:val="00380458"/>
    <w:rsid w:val="00382D39"/>
    <w:rsid w:val="0038574B"/>
    <w:rsid w:val="00385E84"/>
    <w:rsid w:val="0038773F"/>
    <w:rsid w:val="003877C9"/>
    <w:rsid w:val="00390B1E"/>
    <w:rsid w:val="003920D9"/>
    <w:rsid w:val="0039335F"/>
    <w:rsid w:val="003935CF"/>
    <w:rsid w:val="003943AA"/>
    <w:rsid w:val="00395A68"/>
    <w:rsid w:val="003A07DB"/>
    <w:rsid w:val="003A20A5"/>
    <w:rsid w:val="003A22D1"/>
    <w:rsid w:val="003A33F1"/>
    <w:rsid w:val="003A4487"/>
    <w:rsid w:val="003A4A9B"/>
    <w:rsid w:val="003A5026"/>
    <w:rsid w:val="003A5ACD"/>
    <w:rsid w:val="003A5FEB"/>
    <w:rsid w:val="003A768F"/>
    <w:rsid w:val="003A7FBF"/>
    <w:rsid w:val="003B08FC"/>
    <w:rsid w:val="003B0E16"/>
    <w:rsid w:val="003B1A4E"/>
    <w:rsid w:val="003B1EFF"/>
    <w:rsid w:val="003B5B05"/>
    <w:rsid w:val="003B75F7"/>
    <w:rsid w:val="003B7FC1"/>
    <w:rsid w:val="003C072C"/>
    <w:rsid w:val="003C0EF1"/>
    <w:rsid w:val="003C0FF3"/>
    <w:rsid w:val="003C39EC"/>
    <w:rsid w:val="003C4306"/>
    <w:rsid w:val="003C5452"/>
    <w:rsid w:val="003C6582"/>
    <w:rsid w:val="003C65AE"/>
    <w:rsid w:val="003C713D"/>
    <w:rsid w:val="003C749B"/>
    <w:rsid w:val="003D4055"/>
    <w:rsid w:val="003D4458"/>
    <w:rsid w:val="003D623A"/>
    <w:rsid w:val="003E0573"/>
    <w:rsid w:val="003E0604"/>
    <w:rsid w:val="003E08B2"/>
    <w:rsid w:val="003E1C45"/>
    <w:rsid w:val="003E3B72"/>
    <w:rsid w:val="003E4B67"/>
    <w:rsid w:val="003E563D"/>
    <w:rsid w:val="003E60FA"/>
    <w:rsid w:val="003E62F8"/>
    <w:rsid w:val="003E69CA"/>
    <w:rsid w:val="003F0C78"/>
    <w:rsid w:val="003F28A5"/>
    <w:rsid w:val="003F39AD"/>
    <w:rsid w:val="003F4ED6"/>
    <w:rsid w:val="003F5583"/>
    <w:rsid w:val="003F6EFD"/>
    <w:rsid w:val="00400C49"/>
    <w:rsid w:val="0040108C"/>
    <w:rsid w:val="00404A3F"/>
    <w:rsid w:val="00404F8B"/>
    <w:rsid w:val="00407086"/>
    <w:rsid w:val="00410DF0"/>
    <w:rsid w:val="00412B3E"/>
    <w:rsid w:val="00413B11"/>
    <w:rsid w:val="004151E1"/>
    <w:rsid w:val="00422AA6"/>
    <w:rsid w:val="00423584"/>
    <w:rsid w:val="00423915"/>
    <w:rsid w:val="004253B9"/>
    <w:rsid w:val="00426569"/>
    <w:rsid w:val="004314F8"/>
    <w:rsid w:val="0043345A"/>
    <w:rsid w:val="00433C1C"/>
    <w:rsid w:val="00435E27"/>
    <w:rsid w:val="0043601B"/>
    <w:rsid w:val="00436A98"/>
    <w:rsid w:val="00436D5A"/>
    <w:rsid w:val="004374EF"/>
    <w:rsid w:val="00437762"/>
    <w:rsid w:val="004418BA"/>
    <w:rsid w:val="0044323B"/>
    <w:rsid w:val="004432A7"/>
    <w:rsid w:val="0044621C"/>
    <w:rsid w:val="004462F1"/>
    <w:rsid w:val="004512ED"/>
    <w:rsid w:val="004519CE"/>
    <w:rsid w:val="004532A1"/>
    <w:rsid w:val="00454410"/>
    <w:rsid w:val="0045452B"/>
    <w:rsid w:val="004565A2"/>
    <w:rsid w:val="00457938"/>
    <w:rsid w:val="00457AFC"/>
    <w:rsid w:val="00457C91"/>
    <w:rsid w:val="00457DE8"/>
    <w:rsid w:val="0046076C"/>
    <w:rsid w:val="00460864"/>
    <w:rsid w:val="0046202E"/>
    <w:rsid w:val="00463B96"/>
    <w:rsid w:val="00464659"/>
    <w:rsid w:val="00467CAD"/>
    <w:rsid w:val="00467E92"/>
    <w:rsid w:val="004706FD"/>
    <w:rsid w:val="004766E2"/>
    <w:rsid w:val="00477E60"/>
    <w:rsid w:val="0048102D"/>
    <w:rsid w:val="00482B62"/>
    <w:rsid w:val="00483351"/>
    <w:rsid w:val="0048465C"/>
    <w:rsid w:val="00485248"/>
    <w:rsid w:val="00485516"/>
    <w:rsid w:val="00485D1D"/>
    <w:rsid w:val="00486074"/>
    <w:rsid w:val="00486426"/>
    <w:rsid w:val="00486835"/>
    <w:rsid w:val="00487713"/>
    <w:rsid w:val="00487951"/>
    <w:rsid w:val="004910D2"/>
    <w:rsid w:val="00491E27"/>
    <w:rsid w:val="00491EFD"/>
    <w:rsid w:val="004948F3"/>
    <w:rsid w:val="00495015"/>
    <w:rsid w:val="00497C05"/>
    <w:rsid w:val="004A011E"/>
    <w:rsid w:val="004A03FE"/>
    <w:rsid w:val="004A0794"/>
    <w:rsid w:val="004A1D9F"/>
    <w:rsid w:val="004A2212"/>
    <w:rsid w:val="004A2776"/>
    <w:rsid w:val="004A4D9B"/>
    <w:rsid w:val="004A555B"/>
    <w:rsid w:val="004A6D06"/>
    <w:rsid w:val="004A7F22"/>
    <w:rsid w:val="004B0157"/>
    <w:rsid w:val="004B102D"/>
    <w:rsid w:val="004B2551"/>
    <w:rsid w:val="004B6595"/>
    <w:rsid w:val="004B6866"/>
    <w:rsid w:val="004B7412"/>
    <w:rsid w:val="004C074F"/>
    <w:rsid w:val="004C2E10"/>
    <w:rsid w:val="004C3529"/>
    <w:rsid w:val="004C6F2B"/>
    <w:rsid w:val="004C73A6"/>
    <w:rsid w:val="004D023E"/>
    <w:rsid w:val="004D172B"/>
    <w:rsid w:val="004D3754"/>
    <w:rsid w:val="004D555D"/>
    <w:rsid w:val="004D7102"/>
    <w:rsid w:val="004E1130"/>
    <w:rsid w:val="004E3047"/>
    <w:rsid w:val="004E34C1"/>
    <w:rsid w:val="004E7899"/>
    <w:rsid w:val="004E7FAD"/>
    <w:rsid w:val="004F016A"/>
    <w:rsid w:val="004F1C28"/>
    <w:rsid w:val="004F1CAA"/>
    <w:rsid w:val="004F41DA"/>
    <w:rsid w:val="004F4521"/>
    <w:rsid w:val="004F57E4"/>
    <w:rsid w:val="004F6906"/>
    <w:rsid w:val="00502B58"/>
    <w:rsid w:val="00502C5B"/>
    <w:rsid w:val="00504894"/>
    <w:rsid w:val="00505015"/>
    <w:rsid w:val="00505767"/>
    <w:rsid w:val="005066BB"/>
    <w:rsid w:val="0050671D"/>
    <w:rsid w:val="00506E30"/>
    <w:rsid w:val="005078A9"/>
    <w:rsid w:val="00510088"/>
    <w:rsid w:val="00511B11"/>
    <w:rsid w:val="00512CAB"/>
    <w:rsid w:val="00512F9E"/>
    <w:rsid w:val="00513392"/>
    <w:rsid w:val="00514377"/>
    <w:rsid w:val="005148DE"/>
    <w:rsid w:val="00515F49"/>
    <w:rsid w:val="00516464"/>
    <w:rsid w:val="00516970"/>
    <w:rsid w:val="00517E2C"/>
    <w:rsid w:val="005202B6"/>
    <w:rsid w:val="0052157F"/>
    <w:rsid w:val="00522D14"/>
    <w:rsid w:val="00523500"/>
    <w:rsid w:val="00523938"/>
    <w:rsid w:val="00527093"/>
    <w:rsid w:val="005270F2"/>
    <w:rsid w:val="00527905"/>
    <w:rsid w:val="00530AD3"/>
    <w:rsid w:val="00532537"/>
    <w:rsid w:val="00532A7C"/>
    <w:rsid w:val="00532E06"/>
    <w:rsid w:val="00533155"/>
    <w:rsid w:val="00533E3F"/>
    <w:rsid w:val="00534279"/>
    <w:rsid w:val="00536069"/>
    <w:rsid w:val="00540CCF"/>
    <w:rsid w:val="00541022"/>
    <w:rsid w:val="0054137F"/>
    <w:rsid w:val="005431D2"/>
    <w:rsid w:val="0054408B"/>
    <w:rsid w:val="00544D78"/>
    <w:rsid w:val="00544E15"/>
    <w:rsid w:val="00545752"/>
    <w:rsid w:val="00545E10"/>
    <w:rsid w:val="00545FF7"/>
    <w:rsid w:val="00546695"/>
    <w:rsid w:val="00551818"/>
    <w:rsid w:val="00555BE8"/>
    <w:rsid w:val="00560905"/>
    <w:rsid w:val="00560AC5"/>
    <w:rsid w:val="00562CA2"/>
    <w:rsid w:val="00562D0F"/>
    <w:rsid w:val="0056327D"/>
    <w:rsid w:val="005644EC"/>
    <w:rsid w:val="00565515"/>
    <w:rsid w:val="00565D0E"/>
    <w:rsid w:val="00566918"/>
    <w:rsid w:val="00571A99"/>
    <w:rsid w:val="0057275B"/>
    <w:rsid w:val="00574D17"/>
    <w:rsid w:val="00576579"/>
    <w:rsid w:val="00577057"/>
    <w:rsid w:val="00577FEC"/>
    <w:rsid w:val="00585B2F"/>
    <w:rsid w:val="005877F8"/>
    <w:rsid w:val="00591FC5"/>
    <w:rsid w:val="0059298F"/>
    <w:rsid w:val="0059345A"/>
    <w:rsid w:val="005948DE"/>
    <w:rsid w:val="00596B38"/>
    <w:rsid w:val="00596E42"/>
    <w:rsid w:val="005A04A6"/>
    <w:rsid w:val="005A1641"/>
    <w:rsid w:val="005A5466"/>
    <w:rsid w:val="005A5E3C"/>
    <w:rsid w:val="005A61AA"/>
    <w:rsid w:val="005A61DD"/>
    <w:rsid w:val="005B1A9B"/>
    <w:rsid w:val="005B2893"/>
    <w:rsid w:val="005B3372"/>
    <w:rsid w:val="005B3679"/>
    <w:rsid w:val="005B3E2D"/>
    <w:rsid w:val="005B4514"/>
    <w:rsid w:val="005B57BE"/>
    <w:rsid w:val="005B6262"/>
    <w:rsid w:val="005B6719"/>
    <w:rsid w:val="005B6CF2"/>
    <w:rsid w:val="005C0C04"/>
    <w:rsid w:val="005C1C90"/>
    <w:rsid w:val="005C1D7F"/>
    <w:rsid w:val="005C2308"/>
    <w:rsid w:val="005C25B3"/>
    <w:rsid w:val="005C2D37"/>
    <w:rsid w:val="005C53D3"/>
    <w:rsid w:val="005C5A0D"/>
    <w:rsid w:val="005C607A"/>
    <w:rsid w:val="005C6767"/>
    <w:rsid w:val="005C6CB2"/>
    <w:rsid w:val="005C7EC3"/>
    <w:rsid w:val="005D7F10"/>
    <w:rsid w:val="005E17AC"/>
    <w:rsid w:val="005E4E3C"/>
    <w:rsid w:val="005E508B"/>
    <w:rsid w:val="005E551F"/>
    <w:rsid w:val="005E66C3"/>
    <w:rsid w:val="005F018F"/>
    <w:rsid w:val="005F2AA8"/>
    <w:rsid w:val="005F2F03"/>
    <w:rsid w:val="005F3D70"/>
    <w:rsid w:val="005F3EC2"/>
    <w:rsid w:val="005F4607"/>
    <w:rsid w:val="005F5440"/>
    <w:rsid w:val="005F566D"/>
    <w:rsid w:val="005F777E"/>
    <w:rsid w:val="005F7D7E"/>
    <w:rsid w:val="00602589"/>
    <w:rsid w:val="006027DF"/>
    <w:rsid w:val="00602932"/>
    <w:rsid w:val="00602D80"/>
    <w:rsid w:val="006048DE"/>
    <w:rsid w:val="00605363"/>
    <w:rsid w:val="00606A73"/>
    <w:rsid w:val="00607C71"/>
    <w:rsid w:val="0061023E"/>
    <w:rsid w:val="00610757"/>
    <w:rsid w:val="00610C5E"/>
    <w:rsid w:val="00611702"/>
    <w:rsid w:val="00614B05"/>
    <w:rsid w:val="00614D44"/>
    <w:rsid w:val="006176A2"/>
    <w:rsid w:val="00621990"/>
    <w:rsid w:val="006220A6"/>
    <w:rsid w:val="006221EF"/>
    <w:rsid w:val="0062320F"/>
    <w:rsid w:val="00626812"/>
    <w:rsid w:val="00626A3D"/>
    <w:rsid w:val="00626D24"/>
    <w:rsid w:val="00631B6A"/>
    <w:rsid w:val="00632C14"/>
    <w:rsid w:val="00634005"/>
    <w:rsid w:val="00636F3E"/>
    <w:rsid w:val="00636F8D"/>
    <w:rsid w:val="006405BB"/>
    <w:rsid w:val="00640CB9"/>
    <w:rsid w:val="00640DF4"/>
    <w:rsid w:val="0064390E"/>
    <w:rsid w:val="00645D56"/>
    <w:rsid w:val="00651B7E"/>
    <w:rsid w:val="00651E63"/>
    <w:rsid w:val="00655363"/>
    <w:rsid w:val="00660AF4"/>
    <w:rsid w:val="00661149"/>
    <w:rsid w:val="00663F97"/>
    <w:rsid w:val="00663FA7"/>
    <w:rsid w:val="00666EAF"/>
    <w:rsid w:val="0066754C"/>
    <w:rsid w:val="00667759"/>
    <w:rsid w:val="00667878"/>
    <w:rsid w:val="006704AB"/>
    <w:rsid w:val="006706ED"/>
    <w:rsid w:val="00670913"/>
    <w:rsid w:val="00670958"/>
    <w:rsid w:val="006713DA"/>
    <w:rsid w:val="0067181E"/>
    <w:rsid w:val="006725DD"/>
    <w:rsid w:val="0067302F"/>
    <w:rsid w:val="00675402"/>
    <w:rsid w:val="00675AB1"/>
    <w:rsid w:val="00675FC7"/>
    <w:rsid w:val="00676912"/>
    <w:rsid w:val="00677F74"/>
    <w:rsid w:val="00680D36"/>
    <w:rsid w:val="00681DC7"/>
    <w:rsid w:val="00682437"/>
    <w:rsid w:val="006827C2"/>
    <w:rsid w:val="00684F35"/>
    <w:rsid w:val="0068779F"/>
    <w:rsid w:val="00687EA4"/>
    <w:rsid w:val="00693310"/>
    <w:rsid w:val="00693ABD"/>
    <w:rsid w:val="00693BE6"/>
    <w:rsid w:val="00695299"/>
    <w:rsid w:val="00695B1A"/>
    <w:rsid w:val="00696053"/>
    <w:rsid w:val="00697483"/>
    <w:rsid w:val="006A11CC"/>
    <w:rsid w:val="006A3BB0"/>
    <w:rsid w:val="006A478C"/>
    <w:rsid w:val="006B07F5"/>
    <w:rsid w:val="006B23EB"/>
    <w:rsid w:val="006B3E66"/>
    <w:rsid w:val="006B4374"/>
    <w:rsid w:val="006B518D"/>
    <w:rsid w:val="006B5CD8"/>
    <w:rsid w:val="006B659F"/>
    <w:rsid w:val="006C25B1"/>
    <w:rsid w:val="006C2784"/>
    <w:rsid w:val="006C4086"/>
    <w:rsid w:val="006C41D6"/>
    <w:rsid w:val="006C452A"/>
    <w:rsid w:val="006C5A2C"/>
    <w:rsid w:val="006C60E2"/>
    <w:rsid w:val="006D0E67"/>
    <w:rsid w:val="006D0F70"/>
    <w:rsid w:val="006D2E64"/>
    <w:rsid w:val="006D3148"/>
    <w:rsid w:val="006D5E21"/>
    <w:rsid w:val="006D699B"/>
    <w:rsid w:val="006D6FE3"/>
    <w:rsid w:val="006E0122"/>
    <w:rsid w:val="006E018D"/>
    <w:rsid w:val="006E01E3"/>
    <w:rsid w:val="006E0C15"/>
    <w:rsid w:val="006E0D91"/>
    <w:rsid w:val="006E21D1"/>
    <w:rsid w:val="006E39F6"/>
    <w:rsid w:val="006E431E"/>
    <w:rsid w:val="006E5C51"/>
    <w:rsid w:val="006E6526"/>
    <w:rsid w:val="006F02D6"/>
    <w:rsid w:val="006F1655"/>
    <w:rsid w:val="006F268C"/>
    <w:rsid w:val="006F296F"/>
    <w:rsid w:val="006F48C3"/>
    <w:rsid w:val="006F66DB"/>
    <w:rsid w:val="006F748B"/>
    <w:rsid w:val="007002F7"/>
    <w:rsid w:val="007015A1"/>
    <w:rsid w:val="00702C84"/>
    <w:rsid w:val="00702EB9"/>
    <w:rsid w:val="0070306C"/>
    <w:rsid w:val="0070376C"/>
    <w:rsid w:val="00704264"/>
    <w:rsid w:val="007047D3"/>
    <w:rsid w:val="007070A6"/>
    <w:rsid w:val="007105F0"/>
    <w:rsid w:val="00710888"/>
    <w:rsid w:val="00710DD4"/>
    <w:rsid w:val="00711140"/>
    <w:rsid w:val="007116DA"/>
    <w:rsid w:val="0071267B"/>
    <w:rsid w:val="0071287D"/>
    <w:rsid w:val="00712E69"/>
    <w:rsid w:val="00713A69"/>
    <w:rsid w:val="00713A78"/>
    <w:rsid w:val="00714A77"/>
    <w:rsid w:val="0071588E"/>
    <w:rsid w:val="00720118"/>
    <w:rsid w:val="007219C3"/>
    <w:rsid w:val="00721A10"/>
    <w:rsid w:val="00721CE0"/>
    <w:rsid w:val="00725509"/>
    <w:rsid w:val="0073090E"/>
    <w:rsid w:val="00731217"/>
    <w:rsid w:val="00731B87"/>
    <w:rsid w:val="00732227"/>
    <w:rsid w:val="007322FF"/>
    <w:rsid w:val="00732C88"/>
    <w:rsid w:val="007334DB"/>
    <w:rsid w:val="0073705F"/>
    <w:rsid w:val="0074070E"/>
    <w:rsid w:val="007412AB"/>
    <w:rsid w:val="00741C7A"/>
    <w:rsid w:val="00741E27"/>
    <w:rsid w:val="00742A6A"/>
    <w:rsid w:val="00743236"/>
    <w:rsid w:val="00744200"/>
    <w:rsid w:val="00744408"/>
    <w:rsid w:val="0074564A"/>
    <w:rsid w:val="007469A9"/>
    <w:rsid w:val="00746A70"/>
    <w:rsid w:val="007472DC"/>
    <w:rsid w:val="00750E2D"/>
    <w:rsid w:val="00752057"/>
    <w:rsid w:val="00753285"/>
    <w:rsid w:val="00753EE4"/>
    <w:rsid w:val="00753F81"/>
    <w:rsid w:val="007541E7"/>
    <w:rsid w:val="00754355"/>
    <w:rsid w:val="007545E2"/>
    <w:rsid w:val="00754693"/>
    <w:rsid w:val="00760D0C"/>
    <w:rsid w:val="007610CF"/>
    <w:rsid w:val="00762F90"/>
    <w:rsid w:val="0076653E"/>
    <w:rsid w:val="0077029A"/>
    <w:rsid w:val="00771498"/>
    <w:rsid w:val="0077206F"/>
    <w:rsid w:val="00772A34"/>
    <w:rsid w:val="00773F84"/>
    <w:rsid w:val="00775210"/>
    <w:rsid w:val="00775CDE"/>
    <w:rsid w:val="00781F78"/>
    <w:rsid w:val="00782B8A"/>
    <w:rsid w:val="00782F44"/>
    <w:rsid w:val="00783CF8"/>
    <w:rsid w:val="00784B61"/>
    <w:rsid w:val="0078500C"/>
    <w:rsid w:val="00785F66"/>
    <w:rsid w:val="007872C4"/>
    <w:rsid w:val="00790054"/>
    <w:rsid w:val="00790878"/>
    <w:rsid w:val="0079463C"/>
    <w:rsid w:val="00796368"/>
    <w:rsid w:val="007964A3"/>
    <w:rsid w:val="00796C93"/>
    <w:rsid w:val="00797879"/>
    <w:rsid w:val="007979D8"/>
    <w:rsid w:val="007A0265"/>
    <w:rsid w:val="007A177D"/>
    <w:rsid w:val="007A2A74"/>
    <w:rsid w:val="007A3BC3"/>
    <w:rsid w:val="007A5D34"/>
    <w:rsid w:val="007A5E44"/>
    <w:rsid w:val="007A6615"/>
    <w:rsid w:val="007A66A8"/>
    <w:rsid w:val="007B06A0"/>
    <w:rsid w:val="007B0CB5"/>
    <w:rsid w:val="007B136C"/>
    <w:rsid w:val="007B1D99"/>
    <w:rsid w:val="007B1DFE"/>
    <w:rsid w:val="007B4265"/>
    <w:rsid w:val="007B4D94"/>
    <w:rsid w:val="007B584E"/>
    <w:rsid w:val="007B5919"/>
    <w:rsid w:val="007B5CA5"/>
    <w:rsid w:val="007B7FF6"/>
    <w:rsid w:val="007C0ADB"/>
    <w:rsid w:val="007C4A58"/>
    <w:rsid w:val="007C61F6"/>
    <w:rsid w:val="007C7DCD"/>
    <w:rsid w:val="007D2565"/>
    <w:rsid w:val="007D2709"/>
    <w:rsid w:val="007D30A6"/>
    <w:rsid w:val="007D4065"/>
    <w:rsid w:val="007E07E8"/>
    <w:rsid w:val="007E4FEB"/>
    <w:rsid w:val="007E723F"/>
    <w:rsid w:val="007F272F"/>
    <w:rsid w:val="007F5F1B"/>
    <w:rsid w:val="00804DAE"/>
    <w:rsid w:val="008108B3"/>
    <w:rsid w:val="008122A2"/>
    <w:rsid w:val="00813985"/>
    <w:rsid w:val="008146DC"/>
    <w:rsid w:val="00816002"/>
    <w:rsid w:val="008227CA"/>
    <w:rsid w:val="00823E12"/>
    <w:rsid w:val="008252E8"/>
    <w:rsid w:val="00826005"/>
    <w:rsid w:val="00826213"/>
    <w:rsid w:val="00830175"/>
    <w:rsid w:val="008305FF"/>
    <w:rsid w:val="00832729"/>
    <w:rsid w:val="00832BDD"/>
    <w:rsid w:val="00833C76"/>
    <w:rsid w:val="00834819"/>
    <w:rsid w:val="00834945"/>
    <w:rsid w:val="00835A18"/>
    <w:rsid w:val="008406A0"/>
    <w:rsid w:val="008406C9"/>
    <w:rsid w:val="00841988"/>
    <w:rsid w:val="0084358A"/>
    <w:rsid w:val="008463BB"/>
    <w:rsid w:val="00846441"/>
    <w:rsid w:val="00846943"/>
    <w:rsid w:val="008472F4"/>
    <w:rsid w:val="00850548"/>
    <w:rsid w:val="008518FC"/>
    <w:rsid w:val="00851901"/>
    <w:rsid w:val="00854073"/>
    <w:rsid w:val="00855D6C"/>
    <w:rsid w:val="00856AA3"/>
    <w:rsid w:val="00857EEF"/>
    <w:rsid w:val="00857F87"/>
    <w:rsid w:val="008602A2"/>
    <w:rsid w:val="00861BC5"/>
    <w:rsid w:val="008633C7"/>
    <w:rsid w:val="00863DC4"/>
    <w:rsid w:val="00864BE0"/>
    <w:rsid w:val="00864DEE"/>
    <w:rsid w:val="0086549E"/>
    <w:rsid w:val="008667FC"/>
    <w:rsid w:val="00867ED3"/>
    <w:rsid w:val="00871C65"/>
    <w:rsid w:val="0087284A"/>
    <w:rsid w:val="00872DAD"/>
    <w:rsid w:val="008766DC"/>
    <w:rsid w:val="00877D93"/>
    <w:rsid w:val="00880770"/>
    <w:rsid w:val="00880D1D"/>
    <w:rsid w:val="00881664"/>
    <w:rsid w:val="0088256B"/>
    <w:rsid w:val="008830E9"/>
    <w:rsid w:val="00883492"/>
    <w:rsid w:val="00883683"/>
    <w:rsid w:val="00885800"/>
    <w:rsid w:val="0088620E"/>
    <w:rsid w:val="00886BDD"/>
    <w:rsid w:val="00886CA8"/>
    <w:rsid w:val="008870E5"/>
    <w:rsid w:val="00891D8D"/>
    <w:rsid w:val="008942EE"/>
    <w:rsid w:val="00894D2B"/>
    <w:rsid w:val="00895C72"/>
    <w:rsid w:val="008979FC"/>
    <w:rsid w:val="00897C9A"/>
    <w:rsid w:val="008A0186"/>
    <w:rsid w:val="008A09B6"/>
    <w:rsid w:val="008A1DC4"/>
    <w:rsid w:val="008A20B2"/>
    <w:rsid w:val="008A223B"/>
    <w:rsid w:val="008A2959"/>
    <w:rsid w:val="008A2F40"/>
    <w:rsid w:val="008A48DF"/>
    <w:rsid w:val="008A4F38"/>
    <w:rsid w:val="008A503A"/>
    <w:rsid w:val="008A6103"/>
    <w:rsid w:val="008A683C"/>
    <w:rsid w:val="008A6F82"/>
    <w:rsid w:val="008B06D8"/>
    <w:rsid w:val="008B0CC7"/>
    <w:rsid w:val="008B37C1"/>
    <w:rsid w:val="008B3E00"/>
    <w:rsid w:val="008B5C6A"/>
    <w:rsid w:val="008B5EC3"/>
    <w:rsid w:val="008C1490"/>
    <w:rsid w:val="008C1A2E"/>
    <w:rsid w:val="008C4A1D"/>
    <w:rsid w:val="008D1547"/>
    <w:rsid w:val="008D3120"/>
    <w:rsid w:val="008D359B"/>
    <w:rsid w:val="008D52B8"/>
    <w:rsid w:val="008D6506"/>
    <w:rsid w:val="008D6807"/>
    <w:rsid w:val="008D687A"/>
    <w:rsid w:val="008E0421"/>
    <w:rsid w:val="008E08E3"/>
    <w:rsid w:val="008E0EF0"/>
    <w:rsid w:val="008E12D5"/>
    <w:rsid w:val="008E21E6"/>
    <w:rsid w:val="008E2595"/>
    <w:rsid w:val="008E265D"/>
    <w:rsid w:val="008E2E23"/>
    <w:rsid w:val="008E335F"/>
    <w:rsid w:val="008E3AF6"/>
    <w:rsid w:val="008E5B63"/>
    <w:rsid w:val="008E5C99"/>
    <w:rsid w:val="008E601D"/>
    <w:rsid w:val="008F3046"/>
    <w:rsid w:val="008F5C7C"/>
    <w:rsid w:val="009005D9"/>
    <w:rsid w:val="0090202D"/>
    <w:rsid w:val="00904607"/>
    <w:rsid w:val="00904CEC"/>
    <w:rsid w:val="00905C25"/>
    <w:rsid w:val="00910425"/>
    <w:rsid w:val="00910769"/>
    <w:rsid w:val="00911FDF"/>
    <w:rsid w:val="0091437F"/>
    <w:rsid w:val="0091514C"/>
    <w:rsid w:val="009153B0"/>
    <w:rsid w:val="00921D07"/>
    <w:rsid w:val="00921F71"/>
    <w:rsid w:val="0092270D"/>
    <w:rsid w:val="0093092D"/>
    <w:rsid w:val="0093172F"/>
    <w:rsid w:val="009325ED"/>
    <w:rsid w:val="0093598A"/>
    <w:rsid w:val="0093685C"/>
    <w:rsid w:val="009369E9"/>
    <w:rsid w:val="00937097"/>
    <w:rsid w:val="0093721E"/>
    <w:rsid w:val="00940DA6"/>
    <w:rsid w:val="00941585"/>
    <w:rsid w:val="009444CB"/>
    <w:rsid w:val="00946135"/>
    <w:rsid w:val="00947C08"/>
    <w:rsid w:val="00952D30"/>
    <w:rsid w:val="00954B02"/>
    <w:rsid w:val="00955118"/>
    <w:rsid w:val="00955421"/>
    <w:rsid w:val="00955542"/>
    <w:rsid w:val="0095565D"/>
    <w:rsid w:val="00955F65"/>
    <w:rsid w:val="00956C16"/>
    <w:rsid w:val="009570F5"/>
    <w:rsid w:val="00961768"/>
    <w:rsid w:val="0096353C"/>
    <w:rsid w:val="0096572B"/>
    <w:rsid w:val="009665FA"/>
    <w:rsid w:val="0097013A"/>
    <w:rsid w:val="009707D8"/>
    <w:rsid w:val="00971FD2"/>
    <w:rsid w:val="0097383A"/>
    <w:rsid w:val="00974126"/>
    <w:rsid w:val="009748F4"/>
    <w:rsid w:val="00975877"/>
    <w:rsid w:val="00975C73"/>
    <w:rsid w:val="009762CA"/>
    <w:rsid w:val="009800DD"/>
    <w:rsid w:val="009806FE"/>
    <w:rsid w:val="009815B9"/>
    <w:rsid w:val="00982280"/>
    <w:rsid w:val="009833D0"/>
    <w:rsid w:val="00986550"/>
    <w:rsid w:val="00986F99"/>
    <w:rsid w:val="009900C8"/>
    <w:rsid w:val="009922DA"/>
    <w:rsid w:val="00993BB5"/>
    <w:rsid w:val="00993E7C"/>
    <w:rsid w:val="00993F28"/>
    <w:rsid w:val="00995EC9"/>
    <w:rsid w:val="00997E5A"/>
    <w:rsid w:val="009A0EA9"/>
    <w:rsid w:val="009A16B2"/>
    <w:rsid w:val="009A1DB5"/>
    <w:rsid w:val="009A22B0"/>
    <w:rsid w:val="009A41DF"/>
    <w:rsid w:val="009A6B89"/>
    <w:rsid w:val="009B2ED2"/>
    <w:rsid w:val="009B3193"/>
    <w:rsid w:val="009B39AD"/>
    <w:rsid w:val="009B401F"/>
    <w:rsid w:val="009B47BA"/>
    <w:rsid w:val="009B4BF9"/>
    <w:rsid w:val="009B4D5C"/>
    <w:rsid w:val="009B506D"/>
    <w:rsid w:val="009B70C4"/>
    <w:rsid w:val="009B7967"/>
    <w:rsid w:val="009C091A"/>
    <w:rsid w:val="009C255B"/>
    <w:rsid w:val="009C41D8"/>
    <w:rsid w:val="009C4AFA"/>
    <w:rsid w:val="009C4B13"/>
    <w:rsid w:val="009C50B9"/>
    <w:rsid w:val="009C570B"/>
    <w:rsid w:val="009C6205"/>
    <w:rsid w:val="009C78FF"/>
    <w:rsid w:val="009C7ABA"/>
    <w:rsid w:val="009C7B72"/>
    <w:rsid w:val="009D01CA"/>
    <w:rsid w:val="009D10BF"/>
    <w:rsid w:val="009D1AED"/>
    <w:rsid w:val="009D24A1"/>
    <w:rsid w:val="009D284B"/>
    <w:rsid w:val="009D2950"/>
    <w:rsid w:val="009D2AD9"/>
    <w:rsid w:val="009D4951"/>
    <w:rsid w:val="009D61AD"/>
    <w:rsid w:val="009D67D1"/>
    <w:rsid w:val="009D7970"/>
    <w:rsid w:val="009E0845"/>
    <w:rsid w:val="009E1BB8"/>
    <w:rsid w:val="009E20FB"/>
    <w:rsid w:val="009E4041"/>
    <w:rsid w:val="009E4D89"/>
    <w:rsid w:val="009E5E01"/>
    <w:rsid w:val="009E7591"/>
    <w:rsid w:val="009F4AFB"/>
    <w:rsid w:val="009F6397"/>
    <w:rsid w:val="009F74AD"/>
    <w:rsid w:val="009F78F7"/>
    <w:rsid w:val="00A01610"/>
    <w:rsid w:val="00A01E13"/>
    <w:rsid w:val="00A046A6"/>
    <w:rsid w:val="00A04ED7"/>
    <w:rsid w:val="00A05302"/>
    <w:rsid w:val="00A06914"/>
    <w:rsid w:val="00A07BAE"/>
    <w:rsid w:val="00A07CFC"/>
    <w:rsid w:val="00A12DBA"/>
    <w:rsid w:val="00A1392D"/>
    <w:rsid w:val="00A17DC3"/>
    <w:rsid w:val="00A21ABF"/>
    <w:rsid w:val="00A22C4E"/>
    <w:rsid w:val="00A30A78"/>
    <w:rsid w:val="00A31879"/>
    <w:rsid w:val="00A32E28"/>
    <w:rsid w:val="00A33C53"/>
    <w:rsid w:val="00A355C8"/>
    <w:rsid w:val="00A359B4"/>
    <w:rsid w:val="00A36861"/>
    <w:rsid w:val="00A42E4C"/>
    <w:rsid w:val="00A461CA"/>
    <w:rsid w:val="00A47024"/>
    <w:rsid w:val="00A47341"/>
    <w:rsid w:val="00A517E3"/>
    <w:rsid w:val="00A52225"/>
    <w:rsid w:val="00A5392B"/>
    <w:rsid w:val="00A556E9"/>
    <w:rsid w:val="00A56FB4"/>
    <w:rsid w:val="00A577E5"/>
    <w:rsid w:val="00A578A5"/>
    <w:rsid w:val="00A578BC"/>
    <w:rsid w:val="00A604E3"/>
    <w:rsid w:val="00A60BBA"/>
    <w:rsid w:val="00A616DA"/>
    <w:rsid w:val="00A62774"/>
    <w:rsid w:val="00A62C41"/>
    <w:rsid w:val="00A641F1"/>
    <w:rsid w:val="00A660C1"/>
    <w:rsid w:val="00A67B59"/>
    <w:rsid w:val="00A70BE6"/>
    <w:rsid w:val="00A717EA"/>
    <w:rsid w:val="00A72273"/>
    <w:rsid w:val="00A73656"/>
    <w:rsid w:val="00A73976"/>
    <w:rsid w:val="00A73EF9"/>
    <w:rsid w:val="00A81C64"/>
    <w:rsid w:val="00A8359E"/>
    <w:rsid w:val="00A8677C"/>
    <w:rsid w:val="00A86A10"/>
    <w:rsid w:val="00A8789D"/>
    <w:rsid w:val="00A93DFE"/>
    <w:rsid w:val="00A93FD4"/>
    <w:rsid w:val="00A9420B"/>
    <w:rsid w:val="00A94C83"/>
    <w:rsid w:val="00A959A0"/>
    <w:rsid w:val="00A96660"/>
    <w:rsid w:val="00A969AE"/>
    <w:rsid w:val="00A9776F"/>
    <w:rsid w:val="00AA13B4"/>
    <w:rsid w:val="00AA5237"/>
    <w:rsid w:val="00AA5512"/>
    <w:rsid w:val="00AA5847"/>
    <w:rsid w:val="00AA5CF2"/>
    <w:rsid w:val="00AA6953"/>
    <w:rsid w:val="00AA72DB"/>
    <w:rsid w:val="00AA75A4"/>
    <w:rsid w:val="00AB150C"/>
    <w:rsid w:val="00AB1EB1"/>
    <w:rsid w:val="00AB408A"/>
    <w:rsid w:val="00AB650C"/>
    <w:rsid w:val="00AB6CA3"/>
    <w:rsid w:val="00AC0FD3"/>
    <w:rsid w:val="00AC1A4F"/>
    <w:rsid w:val="00AC1FA5"/>
    <w:rsid w:val="00AC2122"/>
    <w:rsid w:val="00AC22E5"/>
    <w:rsid w:val="00AC3110"/>
    <w:rsid w:val="00AC38D3"/>
    <w:rsid w:val="00AC489D"/>
    <w:rsid w:val="00AC6C7C"/>
    <w:rsid w:val="00AD0114"/>
    <w:rsid w:val="00AD02CE"/>
    <w:rsid w:val="00AD080C"/>
    <w:rsid w:val="00AD0E75"/>
    <w:rsid w:val="00AD4DCD"/>
    <w:rsid w:val="00AD5F97"/>
    <w:rsid w:val="00AD6100"/>
    <w:rsid w:val="00AD75C5"/>
    <w:rsid w:val="00AD75D7"/>
    <w:rsid w:val="00AD7DCD"/>
    <w:rsid w:val="00AE0C91"/>
    <w:rsid w:val="00AE2034"/>
    <w:rsid w:val="00AE2341"/>
    <w:rsid w:val="00AE2D13"/>
    <w:rsid w:val="00AE3444"/>
    <w:rsid w:val="00AE3FBE"/>
    <w:rsid w:val="00AE5455"/>
    <w:rsid w:val="00AE563B"/>
    <w:rsid w:val="00AE5A72"/>
    <w:rsid w:val="00AE6A93"/>
    <w:rsid w:val="00AF328D"/>
    <w:rsid w:val="00AF3605"/>
    <w:rsid w:val="00AF4E4D"/>
    <w:rsid w:val="00AF566E"/>
    <w:rsid w:val="00AF56E4"/>
    <w:rsid w:val="00AF6973"/>
    <w:rsid w:val="00AF6A7A"/>
    <w:rsid w:val="00B00032"/>
    <w:rsid w:val="00B0336B"/>
    <w:rsid w:val="00B04AEE"/>
    <w:rsid w:val="00B04B2C"/>
    <w:rsid w:val="00B0616F"/>
    <w:rsid w:val="00B063D7"/>
    <w:rsid w:val="00B07390"/>
    <w:rsid w:val="00B07899"/>
    <w:rsid w:val="00B108F2"/>
    <w:rsid w:val="00B10CE1"/>
    <w:rsid w:val="00B11312"/>
    <w:rsid w:val="00B12C07"/>
    <w:rsid w:val="00B15244"/>
    <w:rsid w:val="00B169E5"/>
    <w:rsid w:val="00B16B01"/>
    <w:rsid w:val="00B1707A"/>
    <w:rsid w:val="00B17922"/>
    <w:rsid w:val="00B2060A"/>
    <w:rsid w:val="00B20D0A"/>
    <w:rsid w:val="00B2108D"/>
    <w:rsid w:val="00B21240"/>
    <w:rsid w:val="00B2147A"/>
    <w:rsid w:val="00B22115"/>
    <w:rsid w:val="00B2691F"/>
    <w:rsid w:val="00B31C5B"/>
    <w:rsid w:val="00B326AB"/>
    <w:rsid w:val="00B34288"/>
    <w:rsid w:val="00B34D82"/>
    <w:rsid w:val="00B3723B"/>
    <w:rsid w:val="00B37A42"/>
    <w:rsid w:val="00B425DD"/>
    <w:rsid w:val="00B439D5"/>
    <w:rsid w:val="00B449C3"/>
    <w:rsid w:val="00B44E86"/>
    <w:rsid w:val="00B450D0"/>
    <w:rsid w:val="00B465DF"/>
    <w:rsid w:val="00B46829"/>
    <w:rsid w:val="00B5150D"/>
    <w:rsid w:val="00B52378"/>
    <w:rsid w:val="00B55846"/>
    <w:rsid w:val="00B56DED"/>
    <w:rsid w:val="00B60AF3"/>
    <w:rsid w:val="00B640E4"/>
    <w:rsid w:val="00B67889"/>
    <w:rsid w:val="00B679FC"/>
    <w:rsid w:val="00B7063C"/>
    <w:rsid w:val="00B707A8"/>
    <w:rsid w:val="00B715AA"/>
    <w:rsid w:val="00B72DF3"/>
    <w:rsid w:val="00B749A3"/>
    <w:rsid w:val="00B749A8"/>
    <w:rsid w:val="00B76AD6"/>
    <w:rsid w:val="00B77A26"/>
    <w:rsid w:val="00B77E2D"/>
    <w:rsid w:val="00B81FFC"/>
    <w:rsid w:val="00B82C99"/>
    <w:rsid w:val="00B85180"/>
    <w:rsid w:val="00B851E7"/>
    <w:rsid w:val="00B8753B"/>
    <w:rsid w:val="00B9467A"/>
    <w:rsid w:val="00B95824"/>
    <w:rsid w:val="00B9687A"/>
    <w:rsid w:val="00B9694A"/>
    <w:rsid w:val="00BA15F1"/>
    <w:rsid w:val="00BA2620"/>
    <w:rsid w:val="00BA2D87"/>
    <w:rsid w:val="00BA2F25"/>
    <w:rsid w:val="00BA2FE4"/>
    <w:rsid w:val="00BA4EB3"/>
    <w:rsid w:val="00BA503C"/>
    <w:rsid w:val="00BA62F6"/>
    <w:rsid w:val="00BA6AE0"/>
    <w:rsid w:val="00BA7D56"/>
    <w:rsid w:val="00BB2258"/>
    <w:rsid w:val="00BB2707"/>
    <w:rsid w:val="00BB4095"/>
    <w:rsid w:val="00BB4A16"/>
    <w:rsid w:val="00BB4E67"/>
    <w:rsid w:val="00BB5088"/>
    <w:rsid w:val="00BB5381"/>
    <w:rsid w:val="00BB5A84"/>
    <w:rsid w:val="00BB61A4"/>
    <w:rsid w:val="00BB69EF"/>
    <w:rsid w:val="00BB7B4C"/>
    <w:rsid w:val="00BC0056"/>
    <w:rsid w:val="00BC04B9"/>
    <w:rsid w:val="00BC11C7"/>
    <w:rsid w:val="00BC32E7"/>
    <w:rsid w:val="00BC39D3"/>
    <w:rsid w:val="00BC4010"/>
    <w:rsid w:val="00BC5595"/>
    <w:rsid w:val="00BC680D"/>
    <w:rsid w:val="00BC7740"/>
    <w:rsid w:val="00BD0D54"/>
    <w:rsid w:val="00BD3B5A"/>
    <w:rsid w:val="00BD53CD"/>
    <w:rsid w:val="00BD5CDF"/>
    <w:rsid w:val="00BD5F3E"/>
    <w:rsid w:val="00BD6268"/>
    <w:rsid w:val="00BE0157"/>
    <w:rsid w:val="00BE33AE"/>
    <w:rsid w:val="00BE5994"/>
    <w:rsid w:val="00BE79BB"/>
    <w:rsid w:val="00BF0091"/>
    <w:rsid w:val="00BF060B"/>
    <w:rsid w:val="00BF10F7"/>
    <w:rsid w:val="00BF2796"/>
    <w:rsid w:val="00BF3ABC"/>
    <w:rsid w:val="00BF41D2"/>
    <w:rsid w:val="00BF4383"/>
    <w:rsid w:val="00BF6DBD"/>
    <w:rsid w:val="00C00746"/>
    <w:rsid w:val="00C0126D"/>
    <w:rsid w:val="00C0317F"/>
    <w:rsid w:val="00C04894"/>
    <w:rsid w:val="00C05DFE"/>
    <w:rsid w:val="00C067E6"/>
    <w:rsid w:val="00C06E02"/>
    <w:rsid w:val="00C07C54"/>
    <w:rsid w:val="00C1069D"/>
    <w:rsid w:val="00C1094D"/>
    <w:rsid w:val="00C11E4B"/>
    <w:rsid w:val="00C13772"/>
    <w:rsid w:val="00C1388B"/>
    <w:rsid w:val="00C14742"/>
    <w:rsid w:val="00C1485C"/>
    <w:rsid w:val="00C20929"/>
    <w:rsid w:val="00C213DC"/>
    <w:rsid w:val="00C22734"/>
    <w:rsid w:val="00C27B4C"/>
    <w:rsid w:val="00C32CFF"/>
    <w:rsid w:val="00C33445"/>
    <w:rsid w:val="00C3708E"/>
    <w:rsid w:val="00C370A6"/>
    <w:rsid w:val="00C40596"/>
    <w:rsid w:val="00C40BA7"/>
    <w:rsid w:val="00C43174"/>
    <w:rsid w:val="00C434A3"/>
    <w:rsid w:val="00C443C9"/>
    <w:rsid w:val="00C452A0"/>
    <w:rsid w:val="00C4552B"/>
    <w:rsid w:val="00C47B46"/>
    <w:rsid w:val="00C53B7D"/>
    <w:rsid w:val="00C55A45"/>
    <w:rsid w:val="00C55D12"/>
    <w:rsid w:val="00C56C32"/>
    <w:rsid w:val="00C5716B"/>
    <w:rsid w:val="00C576DE"/>
    <w:rsid w:val="00C640B2"/>
    <w:rsid w:val="00C6518A"/>
    <w:rsid w:val="00C70E70"/>
    <w:rsid w:val="00C71546"/>
    <w:rsid w:val="00C74D20"/>
    <w:rsid w:val="00C7519B"/>
    <w:rsid w:val="00C75929"/>
    <w:rsid w:val="00C764D7"/>
    <w:rsid w:val="00C7692B"/>
    <w:rsid w:val="00C769BD"/>
    <w:rsid w:val="00C77B8C"/>
    <w:rsid w:val="00C84D22"/>
    <w:rsid w:val="00C85323"/>
    <w:rsid w:val="00C87694"/>
    <w:rsid w:val="00C90AF6"/>
    <w:rsid w:val="00C91413"/>
    <w:rsid w:val="00C91495"/>
    <w:rsid w:val="00C92B8D"/>
    <w:rsid w:val="00C936A7"/>
    <w:rsid w:val="00C93E9D"/>
    <w:rsid w:val="00C94CD4"/>
    <w:rsid w:val="00C95906"/>
    <w:rsid w:val="00CA15BE"/>
    <w:rsid w:val="00CA2123"/>
    <w:rsid w:val="00CA3808"/>
    <w:rsid w:val="00CA5C38"/>
    <w:rsid w:val="00CA5CD2"/>
    <w:rsid w:val="00CB1963"/>
    <w:rsid w:val="00CB25D1"/>
    <w:rsid w:val="00CB3E38"/>
    <w:rsid w:val="00CB4E59"/>
    <w:rsid w:val="00CB7299"/>
    <w:rsid w:val="00CB7E7C"/>
    <w:rsid w:val="00CC5025"/>
    <w:rsid w:val="00CC577A"/>
    <w:rsid w:val="00CC5E7E"/>
    <w:rsid w:val="00CD028C"/>
    <w:rsid w:val="00CD298D"/>
    <w:rsid w:val="00CD6A66"/>
    <w:rsid w:val="00CD7BAE"/>
    <w:rsid w:val="00CE17FA"/>
    <w:rsid w:val="00CE3F3C"/>
    <w:rsid w:val="00CE43C1"/>
    <w:rsid w:val="00CE5640"/>
    <w:rsid w:val="00CE7BF1"/>
    <w:rsid w:val="00CF2DD8"/>
    <w:rsid w:val="00CF4D6D"/>
    <w:rsid w:val="00CF5394"/>
    <w:rsid w:val="00D00A18"/>
    <w:rsid w:val="00D00E59"/>
    <w:rsid w:val="00D013AA"/>
    <w:rsid w:val="00D0203E"/>
    <w:rsid w:val="00D02E02"/>
    <w:rsid w:val="00D05358"/>
    <w:rsid w:val="00D05CCF"/>
    <w:rsid w:val="00D06A5A"/>
    <w:rsid w:val="00D07463"/>
    <w:rsid w:val="00D1140D"/>
    <w:rsid w:val="00D1248B"/>
    <w:rsid w:val="00D137C7"/>
    <w:rsid w:val="00D158B1"/>
    <w:rsid w:val="00D177BF"/>
    <w:rsid w:val="00D207BD"/>
    <w:rsid w:val="00D23734"/>
    <w:rsid w:val="00D27D34"/>
    <w:rsid w:val="00D3056D"/>
    <w:rsid w:val="00D31A41"/>
    <w:rsid w:val="00D31D9B"/>
    <w:rsid w:val="00D31DD7"/>
    <w:rsid w:val="00D32287"/>
    <w:rsid w:val="00D36700"/>
    <w:rsid w:val="00D377B4"/>
    <w:rsid w:val="00D40275"/>
    <w:rsid w:val="00D4064D"/>
    <w:rsid w:val="00D40B1D"/>
    <w:rsid w:val="00D4385B"/>
    <w:rsid w:val="00D46309"/>
    <w:rsid w:val="00D47DD8"/>
    <w:rsid w:val="00D5108B"/>
    <w:rsid w:val="00D510F7"/>
    <w:rsid w:val="00D51CEC"/>
    <w:rsid w:val="00D5595C"/>
    <w:rsid w:val="00D568B8"/>
    <w:rsid w:val="00D56E7B"/>
    <w:rsid w:val="00D575EA"/>
    <w:rsid w:val="00D57901"/>
    <w:rsid w:val="00D57AD8"/>
    <w:rsid w:val="00D608EE"/>
    <w:rsid w:val="00D60C3C"/>
    <w:rsid w:val="00D623F1"/>
    <w:rsid w:val="00D66635"/>
    <w:rsid w:val="00D66790"/>
    <w:rsid w:val="00D66E59"/>
    <w:rsid w:val="00D679E8"/>
    <w:rsid w:val="00D71647"/>
    <w:rsid w:val="00D728B4"/>
    <w:rsid w:val="00D740FC"/>
    <w:rsid w:val="00D744F3"/>
    <w:rsid w:val="00D74F94"/>
    <w:rsid w:val="00D751E6"/>
    <w:rsid w:val="00D814BF"/>
    <w:rsid w:val="00D815CD"/>
    <w:rsid w:val="00D82AB0"/>
    <w:rsid w:val="00D82EDE"/>
    <w:rsid w:val="00D83DC4"/>
    <w:rsid w:val="00D83EB3"/>
    <w:rsid w:val="00D84058"/>
    <w:rsid w:val="00D8506F"/>
    <w:rsid w:val="00D86016"/>
    <w:rsid w:val="00D900C3"/>
    <w:rsid w:val="00D9071D"/>
    <w:rsid w:val="00D909D1"/>
    <w:rsid w:val="00D9380A"/>
    <w:rsid w:val="00D95835"/>
    <w:rsid w:val="00D95CFA"/>
    <w:rsid w:val="00D96912"/>
    <w:rsid w:val="00D977B3"/>
    <w:rsid w:val="00DA0FFF"/>
    <w:rsid w:val="00DA195E"/>
    <w:rsid w:val="00DA1B72"/>
    <w:rsid w:val="00DA4C5F"/>
    <w:rsid w:val="00DA4D10"/>
    <w:rsid w:val="00DB1013"/>
    <w:rsid w:val="00DB39D9"/>
    <w:rsid w:val="00DB4120"/>
    <w:rsid w:val="00DB4509"/>
    <w:rsid w:val="00DB49C4"/>
    <w:rsid w:val="00DB59B3"/>
    <w:rsid w:val="00DB5CB9"/>
    <w:rsid w:val="00DB7738"/>
    <w:rsid w:val="00DC1B45"/>
    <w:rsid w:val="00DC29D4"/>
    <w:rsid w:val="00DC4ED7"/>
    <w:rsid w:val="00DD0C37"/>
    <w:rsid w:val="00DD0FE0"/>
    <w:rsid w:val="00DD11E7"/>
    <w:rsid w:val="00DD22CB"/>
    <w:rsid w:val="00DD2826"/>
    <w:rsid w:val="00DD480A"/>
    <w:rsid w:val="00DE2813"/>
    <w:rsid w:val="00DE2883"/>
    <w:rsid w:val="00DE4ADE"/>
    <w:rsid w:val="00DE716F"/>
    <w:rsid w:val="00DF1E5D"/>
    <w:rsid w:val="00DF3951"/>
    <w:rsid w:val="00DF47C6"/>
    <w:rsid w:val="00DF6A04"/>
    <w:rsid w:val="00DF7B4E"/>
    <w:rsid w:val="00E00D9D"/>
    <w:rsid w:val="00E02752"/>
    <w:rsid w:val="00E02A8B"/>
    <w:rsid w:val="00E03E7E"/>
    <w:rsid w:val="00E10844"/>
    <w:rsid w:val="00E12AF5"/>
    <w:rsid w:val="00E12FDF"/>
    <w:rsid w:val="00E17EA9"/>
    <w:rsid w:val="00E226B8"/>
    <w:rsid w:val="00E23A22"/>
    <w:rsid w:val="00E253A6"/>
    <w:rsid w:val="00E26530"/>
    <w:rsid w:val="00E26C4E"/>
    <w:rsid w:val="00E270AB"/>
    <w:rsid w:val="00E2782B"/>
    <w:rsid w:val="00E27A32"/>
    <w:rsid w:val="00E300A4"/>
    <w:rsid w:val="00E308C8"/>
    <w:rsid w:val="00E309CA"/>
    <w:rsid w:val="00E32FF8"/>
    <w:rsid w:val="00E3301D"/>
    <w:rsid w:val="00E339D6"/>
    <w:rsid w:val="00E3507C"/>
    <w:rsid w:val="00E35E10"/>
    <w:rsid w:val="00E4055F"/>
    <w:rsid w:val="00E41356"/>
    <w:rsid w:val="00E442DB"/>
    <w:rsid w:val="00E44B5C"/>
    <w:rsid w:val="00E44F71"/>
    <w:rsid w:val="00E47E82"/>
    <w:rsid w:val="00E51263"/>
    <w:rsid w:val="00E5244E"/>
    <w:rsid w:val="00E52EAC"/>
    <w:rsid w:val="00E64023"/>
    <w:rsid w:val="00E6480E"/>
    <w:rsid w:val="00E6538F"/>
    <w:rsid w:val="00E6608A"/>
    <w:rsid w:val="00E664C0"/>
    <w:rsid w:val="00E739B9"/>
    <w:rsid w:val="00E74E38"/>
    <w:rsid w:val="00E8233C"/>
    <w:rsid w:val="00E83D21"/>
    <w:rsid w:val="00E83DF7"/>
    <w:rsid w:val="00E8424C"/>
    <w:rsid w:val="00E87E6B"/>
    <w:rsid w:val="00E908A6"/>
    <w:rsid w:val="00E90F53"/>
    <w:rsid w:val="00E91540"/>
    <w:rsid w:val="00E91A4C"/>
    <w:rsid w:val="00E939CF"/>
    <w:rsid w:val="00E94976"/>
    <w:rsid w:val="00E95727"/>
    <w:rsid w:val="00E97BAE"/>
    <w:rsid w:val="00EA0394"/>
    <w:rsid w:val="00EA3A43"/>
    <w:rsid w:val="00EA5995"/>
    <w:rsid w:val="00EA5E88"/>
    <w:rsid w:val="00EA6970"/>
    <w:rsid w:val="00EB1592"/>
    <w:rsid w:val="00EB360F"/>
    <w:rsid w:val="00EB5181"/>
    <w:rsid w:val="00EB5961"/>
    <w:rsid w:val="00EB647C"/>
    <w:rsid w:val="00EB6804"/>
    <w:rsid w:val="00EB6828"/>
    <w:rsid w:val="00EB7537"/>
    <w:rsid w:val="00ED09AC"/>
    <w:rsid w:val="00ED10AD"/>
    <w:rsid w:val="00ED2C3F"/>
    <w:rsid w:val="00ED3DA2"/>
    <w:rsid w:val="00ED584C"/>
    <w:rsid w:val="00ED58D0"/>
    <w:rsid w:val="00EE563F"/>
    <w:rsid w:val="00EF3D27"/>
    <w:rsid w:val="00EF461E"/>
    <w:rsid w:val="00EF560E"/>
    <w:rsid w:val="00EF7497"/>
    <w:rsid w:val="00F01709"/>
    <w:rsid w:val="00F027A9"/>
    <w:rsid w:val="00F02804"/>
    <w:rsid w:val="00F066F0"/>
    <w:rsid w:val="00F11C1E"/>
    <w:rsid w:val="00F1233A"/>
    <w:rsid w:val="00F139CE"/>
    <w:rsid w:val="00F16CDB"/>
    <w:rsid w:val="00F17412"/>
    <w:rsid w:val="00F17B2A"/>
    <w:rsid w:val="00F23792"/>
    <w:rsid w:val="00F2444A"/>
    <w:rsid w:val="00F25A47"/>
    <w:rsid w:val="00F26E29"/>
    <w:rsid w:val="00F30CA6"/>
    <w:rsid w:val="00F3590C"/>
    <w:rsid w:val="00F36C06"/>
    <w:rsid w:val="00F3762F"/>
    <w:rsid w:val="00F37FC3"/>
    <w:rsid w:val="00F40E51"/>
    <w:rsid w:val="00F41213"/>
    <w:rsid w:val="00F41D01"/>
    <w:rsid w:val="00F43D6E"/>
    <w:rsid w:val="00F4610C"/>
    <w:rsid w:val="00F4741A"/>
    <w:rsid w:val="00F507FF"/>
    <w:rsid w:val="00F5131E"/>
    <w:rsid w:val="00F531F1"/>
    <w:rsid w:val="00F566D9"/>
    <w:rsid w:val="00F57913"/>
    <w:rsid w:val="00F61730"/>
    <w:rsid w:val="00F639C4"/>
    <w:rsid w:val="00F65DC4"/>
    <w:rsid w:val="00F65FFC"/>
    <w:rsid w:val="00F67E05"/>
    <w:rsid w:val="00F70473"/>
    <w:rsid w:val="00F71230"/>
    <w:rsid w:val="00F713A9"/>
    <w:rsid w:val="00F71C82"/>
    <w:rsid w:val="00F75680"/>
    <w:rsid w:val="00F75BB9"/>
    <w:rsid w:val="00F76C08"/>
    <w:rsid w:val="00F81DFB"/>
    <w:rsid w:val="00F83061"/>
    <w:rsid w:val="00F841FB"/>
    <w:rsid w:val="00F84727"/>
    <w:rsid w:val="00F867DE"/>
    <w:rsid w:val="00F87012"/>
    <w:rsid w:val="00F879EC"/>
    <w:rsid w:val="00F92236"/>
    <w:rsid w:val="00F927AC"/>
    <w:rsid w:val="00F9292D"/>
    <w:rsid w:val="00F930F7"/>
    <w:rsid w:val="00F950D5"/>
    <w:rsid w:val="00F959AB"/>
    <w:rsid w:val="00FA06AE"/>
    <w:rsid w:val="00FA2802"/>
    <w:rsid w:val="00FA3901"/>
    <w:rsid w:val="00FA4C03"/>
    <w:rsid w:val="00FB17FA"/>
    <w:rsid w:val="00FB2A83"/>
    <w:rsid w:val="00FB2D15"/>
    <w:rsid w:val="00FB3194"/>
    <w:rsid w:val="00FB3F76"/>
    <w:rsid w:val="00FB6C03"/>
    <w:rsid w:val="00FB6E68"/>
    <w:rsid w:val="00FB7B41"/>
    <w:rsid w:val="00FC2498"/>
    <w:rsid w:val="00FC32EB"/>
    <w:rsid w:val="00FC40FA"/>
    <w:rsid w:val="00FC60F7"/>
    <w:rsid w:val="00FC7E6A"/>
    <w:rsid w:val="00FC7E88"/>
    <w:rsid w:val="00FD1065"/>
    <w:rsid w:val="00FD2041"/>
    <w:rsid w:val="00FD2D46"/>
    <w:rsid w:val="00FD4CAA"/>
    <w:rsid w:val="00FD5958"/>
    <w:rsid w:val="00FD59F6"/>
    <w:rsid w:val="00FD5EC8"/>
    <w:rsid w:val="00FD60EF"/>
    <w:rsid w:val="00FE10A4"/>
    <w:rsid w:val="00FE2333"/>
    <w:rsid w:val="00FE3737"/>
    <w:rsid w:val="00FE3F69"/>
    <w:rsid w:val="00FE42C2"/>
    <w:rsid w:val="00FE6578"/>
    <w:rsid w:val="00FE6A80"/>
    <w:rsid w:val="00FE6DD9"/>
    <w:rsid w:val="00FF056E"/>
    <w:rsid w:val="00FF0911"/>
    <w:rsid w:val="00FF2D14"/>
    <w:rsid w:val="00FF65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376EDFB5-56C5-415E-96F9-6E8DAF887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09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A8359E"/>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A8359E"/>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A8359E"/>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754693"/>
    <w:pPr>
      <w:keepNext/>
      <w:spacing w:line="720" w:lineRule="atLeast"/>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A8359E"/>
    <w:pPr>
      <w:tabs>
        <w:tab w:val="right" w:leader="hyphen" w:pos="8490"/>
      </w:tabs>
      <w:ind w:leftChars="0" w:left="487" w:hangingChars="200" w:hanging="487"/>
    </w:pPr>
    <w:rPr>
      <w:noProof/>
      <w:sz w:val="24"/>
      <w:szCs w:val="24"/>
    </w:rPr>
  </w:style>
  <w:style w:type="paragraph" w:styleId="23">
    <w:name w:val="toc 2"/>
    <w:basedOn w:val="a"/>
    <w:next w:val="a"/>
    <w:autoRedefine/>
    <w:uiPriority w:val="39"/>
    <w:rsid w:val="0097013A"/>
    <w:pPr>
      <w:tabs>
        <w:tab w:val="right" w:leader="hyphen" w:pos="8490"/>
      </w:tabs>
      <w:ind w:leftChars="0" w:left="486" w:rightChars="100" w:right="283" w:hangingChars="200" w:hanging="486"/>
    </w:pPr>
    <w:rPr>
      <w:noProof/>
      <w:sz w:val="24"/>
      <w:szCs w:val="24"/>
    </w:rPr>
  </w:style>
  <w:style w:type="character" w:customStyle="1" w:styleId="af">
    <w:name w:val="頁首 字元"/>
    <w:link w:val="ae"/>
    <w:rsid w:val="005C6767"/>
    <w:rPr>
      <w:rFonts w:ascii="標楷體" w:eastAsia="標楷體"/>
      <w:snapToGrid w:val="0"/>
      <w:kern w:val="2"/>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41">
    <w:name w:val="第二層(14號字) 字元1"/>
    <w:link w:val="14"/>
    <w:locked/>
    <w:rsid w:val="003A22D1"/>
    <w:rPr>
      <w:rFonts w:ascii="標楷體" w:eastAsia="標楷體"/>
      <w:b/>
      <w:snapToGrid w:val="0"/>
      <w:kern w:val="2"/>
      <w:sz w:val="28"/>
    </w:rPr>
  </w:style>
  <w:style w:type="character" w:customStyle="1" w:styleId="a5">
    <w:name w:val="(一)(二)(三) 字元"/>
    <w:link w:val="a4"/>
    <w:locked/>
    <w:rsid w:val="003A22D1"/>
    <w:rPr>
      <w:rFonts w:ascii="標楷體" w:eastAsia="標楷體"/>
      <w:snapToGrid w:val="0"/>
      <w:kern w:val="2"/>
      <w:sz w:val="28"/>
      <w:szCs w:val="28"/>
    </w:rPr>
  </w:style>
  <w:style w:type="character" w:customStyle="1" w:styleId="143">
    <w:name w:val="表格內文(14行高) 字元"/>
    <w:link w:val="142"/>
    <w:locked/>
    <w:rsid w:val="003A22D1"/>
    <w:rPr>
      <w:rFonts w:ascii="標楷體" w:eastAsia="標楷體"/>
      <w:snapToGrid w:val="0"/>
      <w:kern w:val="2"/>
      <w:sz w:val="24"/>
      <w:szCs w:val="28"/>
    </w:rPr>
  </w:style>
  <w:style w:type="character" w:customStyle="1" w:styleId="22">
    <w:name w:val="(一)下內文縮2 字元"/>
    <w:link w:val="21"/>
    <w:locked/>
    <w:rsid w:val="003A22D1"/>
    <w:rPr>
      <w:rFonts w:ascii="標楷體" w:eastAsia="標楷體"/>
      <w:snapToGrid w:val="0"/>
      <w:kern w:val="2"/>
      <w:sz w:val="28"/>
      <w:szCs w:val="28"/>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character" w:customStyle="1" w:styleId="145">
    <w:name w:val="第二層(14號字) 字元"/>
    <w:rsid w:val="007B4265"/>
    <w:rPr>
      <w:rFonts w:ascii="標楷體" w:eastAsia="標楷體"/>
      <w:b/>
      <w:snapToGrid w:val="0"/>
      <w:kern w:val="2"/>
      <w:sz w:val="28"/>
      <w:lang w:val="en-US" w:eastAsia="zh-TW" w:bidi="ar-SA"/>
    </w:rPr>
  </w:style>
  <w:style w:type="character" w:customStyle="1" w:styleId="1230">
    <w:name w:val="1.2.3. 字元"/>
    <w:link w:val="123"/>
    <w:rsid w:val="007B4265"/>
    <w:rPr>
      <w:rFonts w:ascii="標楷體" w:eastAsia="標楷體"/>
      <w:snapToGrid w:val="0"/>
      <w:kern w:val="2"/>
      <w:sz w:val="28"/>
      <w:szCs w:val="28"/>
    </w:rPr>
  </w:style>
  <w:style w:type="paragraph" w:styleId="31">
    <w:name w:val="toc 3"/>
    <w:basedOn w:val="a"/>
    <w:next w:val="a"/>
    <w:autoRedefine/>
    <w:semiHidden/>
    <w:rsid w:val="007B4265"/>
    <w:pPr>
      <w:ind w:leftChars="400" w:left="960"/>
    </w:pPr>
  </w:style>
  <w:style w:type="paragraph" w:styleId="41">
    <w:name w:val="toc 4"/>
    <w:basedOn w:val="a"/>
    <w:next w:val="a"/>
    <w:autoRedefine/>
    <w:semiHidden/>
    <w:rsid w:val="007B4265"/>
    <w:pPr>
      <w:ind w:leftChars="600" w:left="1440"/>
    </w:pPr>
  </w:style>
  <w:style w:type="paragraph" w:styleId="5">
    <w:name w:val="toc 5"/>
    <w:basedOn w:val="a"/>
    <w:next w:val="a"/>
    <w:autoRedefine/>
    <w:semiHidden/>
    <w:rsid w:val="007B4265"/>
    <w:pPr>
      <w:ind w:leftChars="800" w:left="1920"/>
    </w:pPr>
  </w:style>
  <w:style w:type="paragraph" w:styleId="6">
    <w:name w:val="toc 6"/>
    <w:basedOn w:val="a"/>
    <w:next w:val="a"/>
    <w:autoRedefine/>
    <w:semiHidden/>
    <w:rsid w:val="007B4265"/>
    <w:pPr>
      <w:ind w:leftChars="1000" w:left="2400"/>
    </w:pPr>
  </w:style>
  <w:style w:type="paragraph" w:styleId="7">
    <w:name w:val="toc 7"/>
    <w:basedOn w:val="a"/>
    <w:next w:val="a"/>
    <w:autoRedefine/>
    <w:semiHidden/>
    <w:rsid w:val="007B4265"/>
    <w:pPr>
      <w:ind w:leftChars="1200" w:left="2880"/>
    </w:pPr>
  </w:style>
  <w:style w:type="paragraph" w:styleId="8">
    <w:name w:val="toc 8"/>
    <w:basedOn w:val="a"/>
    <w:next w:val="a"/>
    <w:autoRedefine/>
    <w:semiHidden/>
    <w:rsid w:val="007B4265"/>
    <w:pPr>
      <w:ind w:leftChars="1400" w:left="3360"/>
    </w:pPr>
  </w:style>
  <w:style w:type="paragraph" w:styleId="9">
    <w:name w:val="toc 9"/>
    <w:basedOn w:val="a"/>
    <w:next w:val="a"/>
    <w:autoRedefine/>
    <w:semiHidden/>
    <w:rsid w:val="007B4265"/>
    <w:pPr>
      <w:ind w:leftChars="1600" w:left="3840"/>
    </w:pPr>
  </w:style>
  <w:style w:type="paragraph" w:styleId="af2">
    <w:name w:val="Balloon Text"/>
    <w:basedOn w:val="a"/>
    <w:link w:val="af3"/>
    <w:semiHidden/>
    <w:rsid w:val="007B4265"/>
    <w:rPr>
      <w:rFonts w:ascii="Arial" w:eastAsia="新細明體" w:hAnsi="Arial"/>
      <w:sz w:val="18"/>
      <w:szCs w:val="18"/>
    </w:rPr>
  </w:style>
  <w:style w:type="character" w:customStyle="1" w:styleId="af3">
    <w:name w:val="註解方塊文字 字元"/>
    <w:link w:val="af2"/>
    <w:semiHidden/>
    <w:rsid w:val="007B4265"/>
    <w:rPr>
      <w:rFonts w:ascii="Arial" w:hAnsi="Arial"/>
      <w:snapToGrid w:val="0"/>
      <w:kern w:val="2"/>
      <w:sz w:val="18"/>
      <w:szCs w:val="18"/>
    </w:rPr>
  </w:style>
  <w:style w:type="table" w:styleId="af4">
    <w:name w:val="Table Grid"/>
    <w:basedOn w:val="a1"/>
    <w:uiPriority w:val="59"/>
    <w:rsid w:val="007B42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7B4265"/>
    <w:rPr>
      <w:color w:val="0000FF"/>
      <w:u w:val="single"/>
    </w:rPr>
  </w:style>
  <w:style w:type="character" w:customStyle="1" w:styleId="af6">
    <w:name w:val="(一)(二)(三) 字元 字元"/>
    <w:rsid w:val="007B4265"/>
    <w:rPr>
      <w:rFonts w:ascii="標楷體" w:eastAsia="標楷體"/>
      <w:snapToGrid w:val="0"/>
      <w:kern w:val="2"/>
      <w:sz w:val="28"/>
      <w:szCs w:val="28"/>
      <w:lang w:val="en-US" w:eastAsia="zh-TW" w:bidi="ar-SA"/>
    </w:rPr>
  </w:style>
  <w:style w:type="paragraph" w:customStyle="1" w:styleId="af7">
    <w:name w:val="字元 字元 字元 字元 字元 字元 字元 字元 字元 字元 字元 字元 字元 字元 字元"/>
    <w:basedOn w:val="a"/>
    <w:semiHidden/>
    <w:rsid w:val="007B4265"/>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8">
    <w:name w:val="page number"/>
    <w:rsid w:val="007B4265"/>
  </w:style>
  <w:style w:type="paragraph" w:customStyle="1" w:styleId="24">
    <w:name w:val="字元 字元2 字元 字元 字元"/>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c">
    <w:name w:val="姓名及分機 字元"/>
    <w:link w:val="ab"/>
    <w:rsid w:val="007B4265"/>
    <w:rPr>
      <w:rFonts w:ascii="標楷體" w:eastAsia="標楷體"/>
      <w:snapToGrid w:val="0"/>
      <w:kern w:val="2"/>
      <w:sz w:val="24"/>
      <w:szCs w:val="28"/>
    </w:rPr>
  </w:style>
  <w:style w:type="paragraph" w:customStyle="1" w:styleId="af9">
    <w:name w:val="字元 字元"/>
    <w:basedOn w:val="a"/>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footnote text"/>
    <w:basedOn w:val="a"/>
    <w:link w:val="afb"/>
    <w:unhideWhenUsed/>
    <w:rsid w:val="007B4265"/>
    <w:pPr>
      <w:snapToGrid w:val="0"/>
      <w:jc w:val="left"/>
    </w:pPr>
    <w:rPr>
      <w:sz w:val="20"/>
      <w:szCs w:val="20"/>
    </w:rPr>
  </w:style>
  <w:style w:type="character" w:customStyle="1" w:styleId="afb">
    <w:name w:val="註腳文字 字元"/>
    <w:link w:val="afa"/>
    <w:rsid w:val="007B4265"/>
    <w:rPr>
      <w:rFonts w:ascii="標楷體" w:eastAsia="標楷體"/>
      <w:snapToGrid w:val="0"/>
      <w:kern w:val="2"/>
    </w:rPr>
  </w:style>
  <w:style w:type="character" w:styleId="afc">
    <w:name w:val="footnote reference"/>
    <w:aliases w:val="FR,Ref,de nota al pie,註腳內容,Error-Fußnotenzeichen5,Error-Fußnotenzeichen6,Error-Fußnotenzeichen3"/>
    <w:uiPriority w:val="99"/>
    <w:unhideWhenUsed/>
    <w:rsid w:val="007B4265"/>
    <w:rPr>
      <w:vertAlign w:val="superscript"/>
    </w:rPr>
  </w:style>
  <w:style w:type="character" w:customStyle="1" w:styleId="25">
    <w:name w:val="(一)(二)(三) 字元2"/>
    <w:rsid w:val="007B4265"/>
    <w:rPr>
      <w:rFonts w:ascii="標楷體" w:eastAsia="標楷體"/>
      <w:snapToGrid w:val="0"/>
      <w:kern w:val="2"/>
      <w:sz w:val="28"/>
      <w:szCs w:val="28"/>
      <w:lang w:val="en-US" w:eastAsia="zh-TW" w:bidi="ar-SA"/>
    </w:rPr>
  </w:style>
  <w:style w:type="paragraph" w:customStyle="1" w:styleId="50">
    <w:name w:val="字元 字元5"/>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字元"/>
    <w:basedOn w:val="a"/>
    <w:semiHidden/>
    <w:rsid w:val="007B42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7B4265"/>
    <w:rPr>
      <w:rFonts w:ascii="標楷體" w:eastAsia="標楷體"/>
      <w:snapToGrid w:val="0"/>
      <w:kern w:val="2"/>
      <w:sz w:val="24"/>
      <w:szCs w:val="28"/>
    </w:rPr>
  </w:style>
  <w:style w:type="character" w:customStyle="1" w:styleId="10">
    <w:name w:val="標題 1 字元"/>
    <w:link w:val="1"/>
    <w:rsid w:val="00A8359E"/>
    <w:rPr>
      <w:rFonts w:ascii="Arial" w:hAnsi="Arial"/>
      <w:b/>
      <w:bCs/>
      <w:snapToGrid w:val="0"/>
      <w:kern w:val="52"/>
      <w:sz w:val="52"/>
      <w:szCs w:val="52"/>
    </w:rPr>
  </w:style>
  <w:style w:type="character" w:customStyle="1" w:styleId="20">
    <w:name w:val="標題 2 字元"/>
    <w:link w:val="2"/>
    <w:rsid w:val="00A8359E"/>
    <w:rPr>
      <w:rFonts w:ascii="Arial" w:hAnsi="Arial"/>
      <w:b/>
      <w:bCs/>
      <w:snapToGrid w:val="0"/>
      <w:kern w:val="2"/>
      <w:sz w:val="48"/>
      <w:szCs w:val="48"/>
    </w:rPr>
  </w:style>
  <w:style w:type="character" w:customStyle="1" w:styleId="30">
    <w:name w:val="標題 3 字元"/>
    <w:link w:val="3"/>
    <w:rsid w:val="00A8359E"/>
    <w:rPr>
      <w:rFonts w:ascii="Arial" w:hAnsi="Arial"/>
      <w:b/>
      <w:bCs/>
      <w:snapToGrid w:val="0"/>
      <w:kern w:val="2"/>
      <w:sz w:val="36"/>
      <w:szCs w:val="36"/>
    </w:rPr>
  </w:style>
  <w:style w:type="character" w:styleId="afd">
    <w:name w:val="line number"/>
    <w:rsid w:val="00A8359E"/>
  </w:style>
  <w:style w:type="paragraph" w:styleId="afe">
    <w:name w:val="Body Text"/>
    <w:basedOn w:val="a"/>
    <w:link w:val="aff"/>
    <w:rsid w:val="00A8359E"/>
    <w:pPr>
      <w:adjustRightInd w:val="0"/>
      <w:spacing w:line="240" w:lineRule="auto"/>
      <w:ind w:leftChars="0" w:left="0" w:firstLineChars="0" w:firstLine="0"/>
      <w:textAlignment w:val="baseline"/>
    </w:pPr>
    <w:rPr>
      <w:rFonts w:ascii="Times New Roman"/>
      <w:snapToGrid/>
      <w:sz w:val="32"/>
      <w:szCs w:val="20"/>
    </w:rPr>
  </w:style>
  <w:style w:type="character" w:customStyle="1" w:styleId="aff">
    <w:name w:val="本文 字元"/>
    <w:link w:val="afe"/>
    <w:rsid w:val="00A8359E"/>
    <w:rPr>
      <w:rFonts w:eastAsia="標楷體"/>
      <w:kern w:val="2"/>
      <w:sz w:val="32"/>
    </w:rPr>
  </w:style>
  <w:style w:type="paragraph" w:styleId="HTML">
    <w:name w:val="HTML Preformatted"/>
    <w:basedOn w:val="a"/>
    <w:link w:val="HTML0"/>
    <w:rsid w:val="00A835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snapToGrid/>
      <w:color w:val="000000"/>
      <w:kern w:val="0"/>
      <w:sz w:val="24"/>
      <w:szCs w:val="24"/>
    </w:rPr>
  </w:style>
  <w:style w:type="character" w:customStyle="1" w:styleId="HTML0">
    <w:name w:val="HTML 預設格式 字元"/>
    <w:link w:val="HTML"/>
    <w:rsid w:val="00A8359E"/>
    <w:rPr>
      <w:rFonts w:ascii="細明體" w:eastAsia="細明體" w:hAnsi="Courier New"/>
      <w:color w:val="000000"/>
      <w:sz w:val="24"/>
      <w:szCs w:val="24"/>
    </w:rPr>
  </w:style>
  <w:style w:type="paragraph" w:customStyle="1" w:styleId="Logo">
    <w:name w:val="Logo"/>
    <w:basedOn w:val="a"/>
    <w:rsid w:val="00A8359E"/>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3">
    <w:name w:val="字元 字元1"/>
    <w:basedOn w:val="a"/>
    <w:rsid w:val="00A8359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46">
    <w:name w:val="表格內文(14行高) 字元 字元"/>
    <w:rsid w:val="00A8359E"/>
    <w:rPr>
      <w:rFonts w:ascii="標楷體" w:eastAsia="標楷體"/>
      <w:snapToGrid w:val="0"/>
      <w:kern w:val="2"/>
      <w:sz w:val="24"/>
      <w:szCs w:val="28"/>
      <w:lang w:val="en-US" w:eastAsia="zh-TW" w:bidi="ar-SA"/>
    </w:rPr>
  </w:style>
  <w:style w:type="table" w:customStyle="1" w:styleId="15">
    <w:name w:val="表格格線1"/>
    <w:basedOn w:val="a1"/>
    <w:next w:val="af4"/>
    <w:uiPriority w:val="59"/>
    <w:rsid w:val="00A835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0F0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w:basedOn w:val="a"/>
    <w:semiHidden/>
    <w:rsid w:val="003A448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1">
    <w:name w:val="No Spacing"/>
    <w:link w:val="aff2"/>
    <w:uiPriority w:val="1"/>
    <w:qFormat/>
    <w:rsid w:val="0070376C"/>
    <w:rPr>
      <w:rFonts w:ascii="Calibri" w:hAnsi="Calibri"/>
      <w:sz w:val="22"/>
      <w:szCs w:val="22"/>
    </w:rPr>
  </w:style>
  <w:style w:type="character" w:customStyle="1" w:styleId="aff2">
    <w:name w:val="無間距 字元"/>
    <w:link w:val="aff1"/>
    <w:uiPriority w:val="1"/>
    <w:rsid w:val="0070376C"/>
    <w:rPr>
      <w:rFonts w:ascii="Calibri" w:hAnsi="Calibri"/>
      <w:sz w:val="22"/>
      <w:szCs w:val="22"/>
    </w:rPr>
  </w:style>
  <w:style w:type="paragraph" w:customStyle="1" w:styleId="147">
    <w:name w:val="註腳(表格內文14行高左右齊)"/>
    <w:basedOn w:val="142"/>
    <w:qFormat/>
    <w:rsid w:val="00904607"/>
    <w:pPr>
      <w:wordWrap w:val="0"/>
      <w:ind w:leftChars="-15" w:left="153" w:hangingChars="80" w:hanging="195"/>
      <w:jc w:val="both"/>
    </w:pPr>
  </w:style>
  <w:style w:type="character" w:styleId="aff3">
    <w:name w:val="Emphasis"/>
    <w:uiPriority w:val="20"/>
    <w:qFormat/>
    <w:rsid w:val="008A48DF"/>
    <w:rPr>
      <w:i/>
      <w:iCs/>
    </w:rPr>
  </w:style>
  <w:style w:type="character" w:customStyle="1" w:styleId="40">
    <w:name w:val="標題 4 字元"/>
    <w:basedOn w:val="a0"/>
    <w:link w:val="4"/>
    <w:uiPriority w:val="9"/>
    <w:semiHidden/>
    <w:rsid w:val="00754693"/>
    <w:rPr>
      <w:rFonts w:asciiTheme="majorHAnsi" w:eastAsiaTheme="majorEastAsia" w:hAnsiTheme="majorHAnsi" w:cstheme="majorBidi"/>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58267">
      <w:bodyDiv w:val="1"/>
      <w:marLeft w:val="0"/>
      <w:marRight w:val="0"/>
      <w:marTop w:val="0"/>
      <w:marBottom w:val="0"/>
      <w:divBdr>
        <w:top w:val="none" w:sz="0" w:space="0" w:color="auto"/>
        <w:left w:val="none" w:sz="0" w:space="0" w:color="auto"/>
        <w:bottom w:val="none" w:sz="0" w:space="0" w:color="auto"/>
        <w:right w:val="none" w:sz="0" w:space="0" w:color="auto"/>
      </w:divBdr>
    </w:div>
    <w:div w:id="115177356">
      <w:bodyDiv w:val="1"/>
      <w:marLeft w:val="0"/>
      <w:marRight w:val="0"/>
      <w:marTop w:val="0"/>
      <w:marBottom w:val="0"/>
      <w:divBdr>
        <w:top w:val="none" w:sz="0" w:space="0" w:color="auto"/>
        <w:left w:val="none" w:sz="0" w:space="0" w:color="auto"/>
        <w:bottom w:val="none" w:sz="0" w:space="0" w:color="auto"/>
        <w:right w:val="none" w:sz="0" w:space="0" w:color="auto"/>
      </w:divBdr>
    </w:div>
    <w:div w:id="414326782">
      <w:bodyDiv w:val="1"/>
      <w:marLeft w:val="0"/>
      <w:marRight w:val="0"/>
      <w:marTop w:val="0"/>
      <w:marBottom w:val="0"/>
      <w:divBdr>
        <w:top w:val="none" w:sz="0" w:space="0" w:color="auto"/>
        <w:left w:val="none" w:sz="0" w:space="0" w:color="auto"/>
        <w:bottom w:val="none" w:sz="0" w:space="0" w:color="auto"/>
        <w:right w:val="none" w:sz="0" w:space="0" w:color="auto"/>
      </w:divBdr>
    </w:div>
    <w:div w:id="417216600">
      <w:bodyDiv w:val="1"/>
      <w:marLeft w:val="0"/>
      <w:marRight w:val="0"/>
      <w:marTop w:val="0"/>
      <w:marBottom w:val="0"/>
      <w:divBdr>
        <w:top w:val="none" w:sz="0" w:space="0" w:color="auto"/>
        <w:left w:val="none" w:sz="0" w:space="0" w:color="auto"/>
        <w:bottom w:val="none" w:sz="0" w:space="0" w:color="auto"/>
        <w:right w:val="none" w:sz="0" w:space="0" w:color="auto"/>
      </w:divBdr>
    </w:div>
    <w:div w:id="474109791">
      <w:bodyDiv w:val="1"/>
      <w:marLeft w:val="0"/>
      <w:marRight w:val="0"/>
      <w:marTop w:val="0"/>
      <w:marBottom w:val="0"/>
      <w:divBdr>
        <w:top w:val="none" w:sz="0" w:space="0" w:color="auto"/>
        <w:left w:val="none" w:sz="0" w:space="0" w:color="auto"/>
        <w:bottom w:val="none" w:sz="0" w:space="0" w:color="auto"/>
        <w:right w:val="none" w:sz="0" w:space="0" w:color="auto"/>
      </w:divBdr>
    </w:div>
    <w:div w:id="534540416">
      <w:bodyDiv w:val="1"/>
      <w:marLeft w:val="0"/>
      <w:marRight w:val="0"/>
      <w:marTop w:val="0"/>
      <w:marBottom w:val="0"/>
      <w:divBdr>
        <w:top w:val="none" w:sz="0" w:space="0" w:color="auto"/>
        <w:left w:val="none" w:sz="0" w:space="0" w:color="auto"/>
        <w:bottom w:val="none" w:sz="0" w:space="0" w:color="auto"/>
        <w:right w:val="none" w:sz="0" w:space="0" w:color="auto"/>
      </w:divBdr>
    </w:div>
    <w:div w:id="549616272">
      <w:bodyDiv w:val="1"/>
      <w:marLeft w:val="0"/>
      <w:marRight w:val="0"/>
      <w:marTop w:val="0"/>
      <w:marBottom w:val="0"/>
      <w:divBdr>
        <w:top w:val="none" w:sz="0" w:space="0" w:color="auto"/>
        <w:left w:val="none" w:sz="0" w:space="0" w:color="auto"/>
        <w:bottom w:val="none" w:sz="0" w:space="0" w:color="auto"/>
        <w:right w:val="none" w:sz="0" w:space="0" w:color="auto"/>
      </w:divBdr>
    </w:div>
    <w:div w:id="675882365">
      <w:bodyDiv w:val="1"/>
      <w:marLeft w:val="0"/>
      <w:marRight w:val="0"/>
      <w:marTop w:val="0"/>
      <w:marBottom w:val="0"/>
      <w:divBdr>
        <w:top w:val="none" w:sz="0" w:space="0" w:color="auto"/>
        <w:left w:val="none" w:sz="0" w:space="0" w:color="auto"/>
        <w:bottom w:val="none" w:sz="0" w:space="0" w:color="auto"/>
        <w:right w:val="none" w:sz="0" w:space="0" w:color="auto"/>
      </w:divBdr>
    </w:div>
    <w:div w:id="1058750617">
      <w:bodyDiv w:val="1"/>
      <w:marLeft w:val="0"/>
      <w:marRight w:val="0"/>
      <w:marTop w:val="0"/>
      <w:marBottom w:val="0"/>
      <w:divBdr>
        <w:top w:val="none" w:sz="0" w:space="0" w:color="auto"/>
        <w:left w:val="none" w:sz="0" w:space="0" w:color="auto"/>
        <w:bottom w:val="none" w:sz="0" w:space="0" w:color="auto"/>
        <w:right w:val="none" w:sz="0" w:space="0" w:color="auto"/>
      </w:divBdr>
    </w:div>
    <w:div w:id="1224412098">
      <w:bodyDiv w:val="1"/>
      <w:marLeft w:val="0"/>
      <w:marRight w:val="0"/>
      <w:marTop w:val="0"/>
      <w:marBottom w:val="0"/>
      <w:divBdr>
        <w:top w:val="none" w:sz="0" w:space="0" w:color="auto"/>
        <w:left w:val="none" w:sz="0" w:space="0" w:color="auto"/>
        <w:bottom w:val="none" w:sz="0" w:space="0" w:color="auto"/>
        <w:right w:val="none" w:sz="0" w:space="0" w:color="auto"/>
      </w:divBdr>
    </w:div>
    <w:div w:id="1282882828">
      <w:bodyDiv w:val="1"/>
      <w:marLeft w:val="0"/>
      <w:marRight w:val="0"/>
      <w:marTop w:val="0"/>
      <w:marBottom w:val="0"/>
      <w:divBdr>
        <w:top w:val="none" w:sz="0" w:space="0" w:color="auto"/>
        <w:left w:val="none" w:sz="0" w:space="0" w:color="auto"/>
        <w:bottom w:val="none" w:sz="0" w:space="0" w:color="auto"/>
        <w:right w:val="none" w:sz="0" w:space="0" w:color="auto"/>
      </w:divBdr>
    </w:div>
    <w:div w:id="1302153491">
      <w:bodyDiv w:val="1"/>
      <w:marLeft w:val="0"/>
      <w:marRight w:val="0"/>
      <w:marTop w:val="0"/>
      <w:marBottom w:val="0"/>
      <w:divBdr>
        <w:top w:val="none" w:sz="0" w:space="0" w:color="auto"/>
        <w:left w:val="none" w:sz="0" w:space="0" w:color="auto"/>
        <w:bottom w:val="none" w:sz="0" w:space="0" w:color="auto"/>
        <w:right w:val="none" w:sz="0" w:space="0" w:color="auto"/>
      </w:divBdr>
    </w:div>
    <w:div w:id="1393039228">
      <w:bodyDiv w:val="1"/>
      <w:marLeft w:val="0"/>
      <w:marRight w:val="0"/>
      <w:marTop w:val="0"/>
      <w:marBottom w:val="0"/>
      <w:divBdr>
        <w:top w:val="none" w:sz="0" w:space="0" w:color="auto"/>
        <w:left w:val="none" w:sz="0" w:space="0" w:color="auto"/>
        <w:bottom w:val="none" w:sz="0" w:space="0" w:color="auto"/>
        <w:right w:val="none" w:sz="0" w:space="0" w:color="auto"/>
      </w:divBdr>
    </w:div>
    <w:div w:id="1653483590">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826192697">
      <w:bodyDiv w:val="1"/>
      <w:marLeft w:val="0"/>
      <w:marRight w:val="0"/>
      <w:marTop w:val="0"/>
      <w:marBottom w:val="0"/>
      <w:divBdr>
        <w:top w:val="none" w:sz="0" w:space="0" w:color="auto"/>
        <w:left w:val="none" w:sz="0" w:space="0" w:color="auto"/>
        <w:bottom w:val="none" w:sz="0" w:space="0" w:color="auto"/>
        <w:right w:val="none" w:sz="0" w:space="0" w:color="auto"/>
      </w:divBdr>
    </w:div>
    <w:div w:id="214060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DF533-00C6-40D0-84C7-E6E3E987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3</Pages>
  <Words>1299</Words>
  <Characters>7406</Characters>
  <Application>Microsoft Office Word</Application>
  <DocSecurity>0</DocSecurity>
  <Lines>61</Lines>
  <Paragraphs>17</Paragraphs>
  <ScaleCrop>false</ScaleCrop>
  <Company/>
  <LinksUpToDate>false</LinksUpToDate>
  <CharactersWithSpaces>8688</CharactersWithSpaces>
  <SharedDoc>false</SharedDoc>
  <HLinks>
    <vt:vector size="30" baseType="variant">
      <vt:variant>
        <vt:i4>1310776</vt:i4>
      </vt:variant>
      <vt:variant>
        <vt:i4>26</vt:i4>
      </vt:variant>
      <vt:variant>
        <vt:i4>0</vt:i4>
      </vt:variant>
      <vt:variant>
        <vt:i4>5</vt:i4>
      </vt:variant>
      <vt:variant>
        <vt:lpwstr/>
      </vt:variant>
      <vt:variant>
        <vt:lpwstr>_Toc149738380</vt:lpwstr>
      </vt:variant>
      <vt:variant>
        <vt:i4>1769528</vt:i4>
      </vt:variant>
      <vt:variant>
        <vt:i4>20</vt:i4>
      </vt:variant>
      <vt:variant>
        <vt:i4>0</vt:i4>
      </vt:variant>
      <vt:variant>
        <vt:i4>5</vt:i4>
      </vt:variant>
      <vt:variant>
        <vt:lpwstr/>
      </vt:variant>
      <vt:variant>
        <vt:lpwstr>_Toc149738379</vt:lpwstr>
      </vt:variant>
      <vt:variant>
        <vt:i4>1769528</vt:i4>
      </vt:variant>
      <vt:variant>
        <vt:i4>14</vt:i4>
      </vt:variant>
      <vt:variant>
        <vt:i4>0</vt:i4>
      </vt:variant>
      <vt:variant>
        <vt:i4>5</vt:i4>
      </vt:variant>
      <vt:variant>
        <vt:lpwstr/>
      </vt:variant>
      <vt:variant>
        <vt:lpwstr>_Toc149738378</vt:lpwstr>
      </vt:variant>
      <vt:variant>
        <vt:i4>1769528</vt:i4>
      </vt:variant>
      <vt:variant>
        <vt:i4>8</vt:i4>
      </vt:variant>
      <vt:variant>
        <vt:i4>0</vt:i4>
      </vt:variant>
      <vt:variant>
        <vt:i4>5</vt:i4>
      </vt:variant>
      <vt:variant>
        <vt:lpwstr/>
      </vt:variant>
      <vt:variant>
        <vt:lpwstr>_Toc149738377</vt:lpwstr>
      </vt:variant>
      <vt:variant>
        <vt:i4>1769528</vt:i4>
      </vt:variant>
      <vt:variant>
        <vt:i4>2</vt:i4>
      </vt:variant>
      <vt:variant>
        <vt:i4>0</vt:i4>
      </vt:variant>
      <vt:variant>
        <vt:i4>5</vt:i4>
      </vt:variant>
      <vt:variant>
        <vt:lpwstr/>
      </vt:variant>
      <vt:variant>
        <vt:lpwstr>_Toc149738376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2024-11-19T01:47:00Z</dcterms:created>
  <dcterms:modified xsi:type="dcterms:W3CDTF">2024-11-19T01:47:00Z</dcterms:modified>
</cp:coreProperties>
</file>