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F4F" w:rsidRPr="008A0934" w:rsidRDefault="00EA0F4F" w:rsidP="00EA0F4F">
      <w:pPr>
        <w:pStyle w:val="a9"/>
        <w:rPr>
          <w:w w:val="98"/>
        </w:rPr>
      </w:pPr>
      <w:bookmarkStart w:id="0" w:name="_GoBack"/>
      <w:bookmarkEnd w:id="0"/>
      <w:r w:rsidRPr="008A0934">
        <w:rPr>
          <w:rFonts w:hint="eastAsia"/>
          <w:w w:val="98"/>
        </w:rPr>
        <w:t>臺灣土地銀行股份有限公司1</w:t>
      </w:r>
      <w:r w:rsidR="007F3F28">
        <w:rPr>
          <w:w w:val="98"/>
        </w:rPr>
        <w:t>1</w:t>
      </w:r>
      <w:r w:rsidR="00653017">
        <w:rPr>
          <w:w w:val="98"/>
          <w:lang w:eastAsia="zh-TW"/>
        </w:rPr>
        <w:t>4</w:t>
      </w:r>
      <w:r w:rsidRPr="008A0934">
        <w:rPr>
          <w:rFonts w:hint="eastAsia"/>
          <w:w w:val="98"/>
        </w:rPr>
        <w:t>年度營業預算評估報告</w:t>
      </w:r>
    </w:p>
    <w:p w:rsidR="00EA0F4F" w:rsidRPr="008A0934" w:rsidRDefault="00310BA6" w:rsidP="008B3DFE">
      <w:pPr>
        <w:pStyle w:val="a7"/>
        <w:ind w:firstLine="566"/>
        <w:rPr>
          <w:rFonts w:hint="eastAsia"/>
        </w:rPr>
      </w:pPr>
      <w:r w:rsidRPr="008A0934">
        <w:t>臺灣土地銀行股份有限公司</w:t>
      </w:r>
      <w:r w:rsidR="00F86C44">
        <w:rPr>
          <w:rFonts w:hint="eastAsia"/>
        </w:rPr>
        <w:t>(</w:t>
      </w:r>
      <w:r w:rsidR="00AB6632" w:rsidRPr="008A0934">
        <w:rPr>
          <w:rFonts w:hint="eastAsia"/>
        </w:rPr>
        <w:t>以下簡稱</w:t>
      </w:r>
      <w:r w:rsidRPr="008A0934">
        <w:rPr>
          <w:rFonts w:hint="eastAsia"/>
        </w:rPr>
        <w:t>臺灣土地銀行</w:t>
      </w:r>
      <w:r w:rsidR="00F86C44">
        <w:rPr>
          <w:rFonts w:hint="eastAsia"/>
        </w:rPr>
        <w:t>)</w:t>
      </w:r>
      <w:r w:rsidR="00C77635" w:rsidRPr="008A0934">
        <w:rPr>
          <w:rFonts w:hint="eastAsia"/>
        </w:rPr>
        <w:t>為不動產信用專業銀行，以經營各項銀行業務，發展國民經濟建設為宗旨</w:t>
      </w:r>
      <w:r w:rsidR="00AB6632" w:rsidRPr="008A0934">
        <w:rPr>
          <w:rFonts w:hint="eastAsia"/>
        </w:rPr>
        <w:t>。</w:t>
      </w:r>
      <w:r w:rsidR="00C77635" w:rsidRPr="008A0934">
        <w:rPr>
          <w:rFonts w:hint="eastAsia"/>
        </w:rPr>
        <w:t>臺灣土地銀行</w:t>
      </w:r>
      <w:r w:rsidR="00AB6632" w:rsidRPr="008A0934">
        <w:rPr>
          <w:rFonts w:hint="eastAsia"/>
        </w:rPr>
        <w:t>1</w:t>
      </w:r>
      <w:r w:rsidR="00EA2814">
        <w:rPr>
          <w:rFonts w:hint="eastAsia"/>
        </w:rPr>
        <w:t>1</w:t>
      </w:r>
      <w:r w:rsidR="00653017">
        <w:t>4</w:t>
      </w:r>
      <w:r w:rsidR="00AB6632" w:rsidRPr="008A0934">
        <w:rPr>
          <w:rFonts w:hint="eastAsia"/>
        </w:rPr>
        <w:t>年度預算案編列營業收入</w:t>
      </w:r>
      <w:r w:rsidR="00653017">
        <w:rPr>
          <w:rFonts w:hint="eastAsia"/>
        </w:rPr>
        <w:t>7</w:t>
      </w:r>
      <w:r w:rsidR="00653017">
        <w:t>93</w:t>
      </w:r>
      <w:r w:rsidR="000B1792">
        <w:rPr>
          <w:rFonts w:hint="eastAsia"/>
        </w:rPr>
        <w:t>億</w:t>
      </w:r>
      <w:r w:rsidR="00653017">
        <w:rPr>
          <w:rFonts w:hint="eastAsia"/>
        </w:rPr>
        <w:t>3</w:t>
      </w:r>
      <w:r w:rsidR="000B1792">
        <w:t>,</w:t>
      </w:r>
      <w:r w:rsidR="00653017">
        <w:t>664</w:t>
      </w:r>
      <w:r w:rsidR="00653017">
        <w:rPr>
          <w:rFonts w:hint="eastAsia"/>
        </w:rPr>
        <w:t>萬</w:t>
      </w:r>
      <w:r w:rsidR="00AB6632" w:rsidRPr="008A0934">
        <w:rPr>
          <w:rFonts w:hint="eastAsia"/>
        </w:rPr>
        <w:t>元，營業成本</w:t>
      </w:r>
      <w:r w:rsidR="00EA2814">
        <w:rPr>
          <w:rFonts w:hint="eastAsia"/>
        </w:rPr>
        <w:t>4</w:t>
      </w:r>
      <w:r w:rsidR="00653017">
        <w:rPr>
          <w:rFonts w:hint="eastAsia"/>
        </w:rPr>
        <w:t>73</w:t>
      </w:r>
      <w:r w:rsidR="000B1792">
        <w:rPr>
          <w:rFonts w:hint="eastAsia"/>
        </w:rPr>
        <w:t>億</w:t>
      </w:r>
      <w:r w:rsidR="00653017">
        <w:rPr>
          <w:rFonts w:hint="eastAsia"/>
        </w:rPr>
        <w:t>3</w:t>
      </w:r>
      <w:r w:rsidR="000B1792">
        <w:t>,</w:t>
      </w:r>
      <w:r w:rsidR="00653017">
        <w:rPr>
          <w:rFonts w:hint="eastAsia"/>
        </w:rPr>
        <w:t>390</w:t>
      </w:r>
      <w:r w:rsidR="000B1792">
        <w:rPr>
          <w:rFonts w:hint="eastAsia"/>
        </w:rPr>
        <w:t>萬</w:t>
      </w:r>
      <w:r w:rsidR="00653017">
        <w:rPr>
          <w:rFonts w:hint="eastAsia"/>
        </w:rPr>
        <w:t>7千</w:t>
      </w:r>
      <w:r w:rsidR="00EA2814">
        <w:rPr>
          <w:rFonts w:hint="eastAsia"/>
        </w:rPr>
        <w:t>元</w:t>
      </w:r>
      <w:r w:rsidR="00AB6632" w:rsidRPr="008A0934">
        <w:rPr>
          <w:rFonts w:hint="eastAsia"/>
        </w:rPr>
        <w:t>，營業費用</w:t>
      </w:r>
      <w:r w:rsidR="001F564C">
        <w:t>1</w:t>
      </w:r>
      <w:r w:rsidR="00EA2814">
        <w:rPr>
          <w:rFonts w:hint="eastAsia"/>
        </w:rPr>
        <w:t>80</w:t>
      </w:r>
      <w:r w:rsidR="000B1792">
        <w:rPr>
          <w:rFonts w:hint="eastAsia"/>
        </w:rPr>
        <w:t>億</w:t>
      </w:r>
      <w:r w:rsidR="00653017">
        <w:rPr>
          <w:rFonts w:hint="eastAsia"/>
        </w:rPr>
        <w:t>7</w:t>
      </w:r>
      <w:r w:rsidR="000B1792">
        <w:t>,</w:t>
      </w:r>
      <w:r w:rsidR="00653017">
        <w:rPr>
          <w:rFonts w:hint="eastAsia"/>
        </w:rPr>
        <w:t>989</w:t>
      </w:r>
      <w:r w:rsidR="000B1792">
        <w:rPr>
          <w:rFonts w:hint="eastAsia"/>
        </w:rPr>
        <w:t>萬</w:t>
      </w:r>
      <w:r w:rsidR="00AB6632" w:rsidRPr="008A0934">
        <w:rPr>
          <w:rFonts w:hint="eastAsia"/>
        </w:rPr>
        <w:t>元，</w:t>
      </w:r>
      <w:r w:rsidR="009C0C47" w:rsidRPr="008A0934">
        <w:rPr>
          <w:rFonts w:hint="eastAsia"/>
        </w:rPr>
        <w:t>營業外收入</w:t>
      </w:r>
      <w:r w:rsidR="00653017">
        <w:rPr>
          <w:rFonts w:hint="eastAsia"/>
        </w:rPr>
        <w:t>5</w:t>
      </w:r>
      <w:r w:rsidR="009B6338">
        <w:rPr>
          <w:rFonts w:hint="eastAsia"/>
        </w:rPr>
        <w:t>億</w:t>
      </w:r>
      <w:r w:rsidR="00653017">
        <w:rPr>
          <w:rFonts w:hint="eastAsia"/>
        </w:rPr>
        <w:t>5</w:t>
      </w:r>
      <w:r w:rsidR="00F01F2A">
        <w:t>,</w:t>
      </w:r>
      <w:r w:rsidR="00653017">
        <w:rPr>
          <w:rFonts w:hint="eastAsia"/>
        </w:rPr>
        <w:t>655</w:t>
      </w:r>
      <w:r w:rsidR="009B6338">
        <w:rPr>
          <w:rFonts w:hint="eastAsia"/>
        </w:rPr>
        <w:t>萬</w:t>
      </w:r>
      <w:r w:rsidR="00653017">
        <w:rPr>
          <w:rFonts w:hint="eastAsia"/>
        </w:rPr>
        <w:t>9</w:t>
      </w:r>
      <w:r w:rsidR="009C0C47" w:rsidRPr="008A0934">
        <w:rPr>
          <w:rFonts w:hint="eastAsia"/>
        </w:rPr>
        <w:t>千元，營業外費用</w:t>
      </w:r>
      <w:r w:rsidR="00891E6F">
        <w:t>2</w:t>
      </w:r>
      <w:r w:rsidR="00653017">
        <w:rPr>
          <w:rFonts w:hint="eastAsia"/>
        </w:rPr>
        <w:t>0</w:t>
      </w:r>
      <w:r w:rsidR="009B6338">
        <w:rPr>
          <w:rFonts w:hint="eastAsia"/>
        </w:rPr>
        <w:t>億</w:t>
      </w:r>
      <w:r w:rsidR="00653017">
        <w:rPr>
          <w:rFonts w:hint="eastAsia"/>
        </w:rPr>
        <w:t>7</w:t>
      </w:r>
      <w:r w:rsidR="009B6338">
        <w:t>,</w:t>
      </w:r>
      <w:r w:rsidR="00653017">
        <w:rPr>
          <w:rFonts w:hint="eastAsia"/>
        </w:rPr>
        <w:t>875</w:t>
      </w:r>
      <w:r w:rsidR="009B6338">
        <w:rPr>
          <w:rFonts w:hint="eastAsia"/>
        </w:rPr>
        <w:t>萬</w:t>
      </w:r>
      <w:r w:rsidR="00653017">
        <w:rPr>
          <w:rFonts w:hint="eastAsia"/>
        </w:rPr>
        <w:t>4</w:t>
      </w:r>
      <w:r w:rsidR="0077495F" w:rsidRPr="008A0934">
        <w:rPr>
          <w:rFonts w:hint="eastAsia"/>
        </w:rPr>
        <w:t>千</w:t>
      </w:r>
      <w:r w:rsidR="009C0C47" w:rsidRPr="008A0934">
        <w:rPr>
          <w:rFonts w:hint="eastAsia"/>
        </w:rPr>
        <w:t>元，</w:t>
      </w:r>
      <w:r w:rsidR="00AF3479">
        <w:rPr>
          <w:rFonts w:hint="eastAsia"/>
        </w:rPr>
        <w:t>所得稅費用</w:t>
      </w:r>
      <w:r w:rsidR="00653017">
        <w:rPr>
          <w:rFonts w:hint="eastAsia"/>
        </w:rPr>
        <w:t>18</w:t>
      </w:r>
      <w:r w:rsidR="00AF3479">
        <w:rPr>
          <w:rFonts w:hint="eastAsia"/>
        </w:rPr>
        <w:t>億</w:t>
      </w:r>
      <w:r w:rsidR="00653017">
        <w:rPr>
          <w:rFonts w:hint="eastAsia"/>
        </w:rPr>
        <w:t>8</w:t>
      </w:r>
      <w:r w:rsidR="00AF3479">
        <w:rPr>
          <w:rFonts w:hint="eastAsia"/>
        </w:rPr>
        <w:t>,</w:t>
      </w:r>
      <w:r w:rsidR="00653017">
        <w:rPr>
          <w:rFonts w:hint="eastAsia"/>
        </w:rPr>
        <w:t>688</w:t>
      </w:r>
      <w:r w:rsidR="00AF3479">
        <w:rPr>
          <w:rFonts w:hint="eastAsia"/>
        </w:rPr>
        <w:t>萬</w:t>
      </w:r>
      <w:r w:rsidR="000F0BC9">
        <w:rPr>
          <w:rFonts w:hint="eastAsia"/>
        </w:rPr>
        <w:t>7</w:t>
      </w:r>
      <w:r w:rsidR="00AF3479">
        <w:rPr>
          <w:rFonts w:hint="eastAsia"/>
        </w:rPr>
        <w:t>千元，</w:t>
      </w:r>
      <w:r w:rsidR="0077495F" w:rsidRPr="008A0934">
        <w:rPr>
          <w:rFonts w:hint="eastAsia"/>
        </w:rPr>
        <w:t>本期</w:t>
      </w:r>
      <w:r w:rsidR="00894560">
        <w:rPr>
          <w:rFonts w:hint="eastAsia"/>
        </w:rPr>
        <w:t>稅</w:t>
      </w:r>
      <w:r w:rsidR="00AF3479">
        <w:rPr>
          <w:rFonts w:hint="eastAsia"/>
        </w:rPr>
        <w:t>後</w:t>
      </w:r>
      <w:r w:rsidR="0077495F" w:rsidRPr="008A0934">
        <w:rPr>
          <w:rFonts w:hint="eastAsia"/>
        </w:rPr>
        <w:t>淨利</w:t>
      </w:r>
      <w:r w:rsidR="00653017">
        <w:rPr>
          <w:rFonts w:hint="eastAsia"/>
        </w:rPr>
        <w:t>105</w:t>
      </w:r>
      <w:r w:rsidR="009B6338">
        <w:rPr>
          <w:rFonts w:hint="eastAsia"/>
        </w:rPr>
        <w:t>億</w:t>
      </w:r>
      <w:r w:rsidR="000F0BC9">
        <w:rPr>
          <w:rFonts w:hint="eastAsia"/>
        </w:rPr>
        <w:t>1,</w:t>
      </w:r>
      <w:r w:rsidR="00653017">
        <w:rPr>
          <w:rFonts w:hint="eastAsia"/>
        </w:rPr>
        <w:t>376</w:t>
      </w:r>
      <w:r w:rsidR="009B6338">
        <w:rPr>
          <w:rFonts w:hint="eastAsia"/>
        </w:rPr>
        <w:t>萬</w:t>
      </w:r>
      <w:r w:rsidR="00653017">
        <w:rPr>
          <w:rFonts w:hint="eastAsia"/>
        </w:rPr>
        <w:t>1</w:t>
      </w:r>
      <w:r w:rsidR="00AB6632" w:rsidRPr="008A0934">
        <w:rPr>
          <w:rFonts w:hint="eastAsia"/>
        </w:rPr>
        <w:t>千元，較1</w:t>
      </w:r>
      <w:r w:rsidR="00F01F2A">
        <w:t>1</w:t>
      </w:r>
      <w:r w:rsidR="00653017">
        <w:rPr>
          <w:rFonts w:hint="eastAsia"/>
        </w:rPr>
        <w:t>3</w:t>
      </w:r>
      <w:r w:rsidR="0037785E">
        <w:rPr>
          <w:rFonts w:hint="eastAsia"/>
        </w:rPr>
        <w:t>年度預算</w:t>
      </w:r>
      <w:r w:rsidR="00653017">
        <w:rPr>
          <w:rFonts w:hint="eastAsia"/>
        </w:rPr>
        <w:t>案</w:t>
      </w:r>
      <w:r w:rsidR="00CF3E4A">
        <w:rPr>
          <w:rFonts w:hint="eastAsia"/>
        </w:rPr>
        <w:t>稅後</w:t>
      </w:r>
      <w:r w:rsidR="00AB6632" w:rsidRPr="008A0934">
        <w:rPr>
          <w:rFonts w:hint="eastAsia"/>
        </w:rPr>
        <w:t>淨利</w:t>
      </w:r>
      <w:r w:rsidR="00891E6F">
        <w:rPr>
          <w:rFonts w:hint="eastAsia"/>
        </w:rPr>
        <w:t>增加</w:t>
      </w:r>
      <w:r w:rsidR="00653017">
        <w:rPr>
          <w:rFonts w:hint="eastAsia"/>
        </w:rPr>
        <w:t>9</w:t>
      </w:r>
      <w:r w:rsidR="00F01F2A">
        <w:rPr>
          <w:rFonts w:hint="eastAsia"/>
        </w:rPr>
        <w:t>億</w:t>
      </w:r>
      <w:r w:rsidR="00653017">
        <w:rPr>
          <w:rFonts w:hint="eastAsia"/>
        </w:rPr>
        <w:t>133</w:t>
      </w:r>
      <w:r w:rsidR="009B6338">
        <w:rPr>
          <w:rFonts w:hint="eastAsia"/>
        </w:rPr>
        <w:t>萬</w:t>
      </w:r>
      <w:r w:rsidR="00653017">
        <w:rPr>
          <w:rFonts w:hint="eastAsia"/>
        </w:rPr>
        <w:t>2</w:t>
      </w:r>
      <w:r w:rsidR="00891E6F">
        <w:rPr>
          <w:rFonts w:hint="eastAsia"/>
        </w:rPr>
        <w:t>千元</w:t>
      </w:r>
      <w:r w:rsidR="00F86C44">
        <w:rPr>
          <w:rFonts w:hint="eastAsia"/>
        </w:rPr>
        <w:t>(</w:t>
      </w:r>
      <w:r w:rsidR="00891E6F">
        <w:rPr>
          <w:rFonts w:hint="eastAsia"/>
        </w:rPr>
        <w:t>增</w:t>
      </w:r>
      <w:r w:rsidR="00AB6632" w:rsidRPr="008A0934">
        <w:rPr>
          <w:rFonts w:hint="eastAsia"/>
        </w:rPr>
        <w:t>幅</w:t>
      </w:r>
      <w:r w:rsidR="00653017">
        <w:rPr>
          <w:rFonts w:hint="eastAsia"/>
        </w:rPr>
        <w:t>9.38</w:t>
      </w:r>
      <w:r w:rsidR="00AB6632" w:rsidRPr="008A0934">
        <w:rPr>
          <w:rFonts w:hint="eastAsia"/>
        </w:rPr>
        <w:t>%</w:t>
      </w:r>
      <w:r w:rsidR="00F86C44">
        <w:rPr>
          <w:rFonts w:hint="eastAsia"/>
        </w:rPr>
        <w:t>)</w:t>
      </w:r>
      <w:r w:rsidR="00AB6632" w:rsidRPr="008A0934">
        <w:rPr>
          <w:rFonts w:hint="eastAsia"/>
        </w:rPr>
        <w:t>。謹就</w:t>
      </w:r>
      <w:r w:rsidRPr="008A0934">
        <w:rPr>
          <w:rFonts w:hint="eastAsia"/>
        </w:rPr>
        <w:t>臺灣土地銀行</w:t>
      </w:r>
      <w:r w:rsidR="000F0BC9">
        <w:rPr>
          <w:rFonts w:hint="eastAsia"/>
        </w:rPr>
        <w:t>1</w:t>
      </w:r>
      <w:r w:rsidR="00653017">
        <w:rPr>
          <w:rFonts w:hint="eastAsia"/>
        </w:rPr>
        <w:t>14</w:t>
      </w:r>
      <w:r w:rsidR="00AB6632" w:rsidRPr="008A0934">
        <w:rPr>
          <w:rFonts w:hint="eastAsia"/>
        </w:rPr>
        <w:t>年度營業預算案評估如下：</w:t>
      </w:r>
    </w:p>
    <w:p w:rsidR="005D1744" w:rsidRPr="008A0934" w:rsidRDefault="00410406" w:rsidP="005D1744">
      <w:pPr>
        <w:pStyle w:val="14"/>
        <w:ind w:left="567" w:hanging="567"/>
      </w:pPr>
      <w:bookmarkStart w:id="1" w:name="_Toc182830711"/>
      <w:r>
        <w:rPr>
          <w:rFonts w:hint="eastAsia"/>
        </w:rPr>
        <w:t>三</w:t>
      </w:r>
      <w:r w:rsidR="005D1744" w:rsidRPr="008A0934">
        <w:rPr>
          <w:rFonts w:hint="eastAsia"/>
        </w:rPr>
        <w:t>、</w:t>
      </w:r>
      <w:r w:rsidR="006D3768">
        <w:rPr>
          <w:rFonts w:hint="eastAsia"/>
        </w:rPr>
        <w:t>近年資本適足比率概呈逐年增加，雖</w:t>
      </w:r>
      <w:r w:rsidR="0061005D" w:rsidRPr="0061005D">
        <w:rPr>
          <w:rFonts w:hint="eastAsia"/>
        </w:rPr>
        <w:t>仍</w:t>
      </w:r>
      <w:r w:rsidR="0061005D">
        <w:rPr>
          <w:rFonts w:hint="eastAsia"/>
        </w:rPr>
        <w:t>低於</w:t>
      </w:r>
      <w:r w:rsidR="0061005D" w:rsidRPr="0061005D">
        <w:rPr>
          <w:rFonts w:hint="eastAsia"/>
        </w:rPr>
        <w:t>同業平均水</w:t>
      </w:r>
      <w:r w:rsidR="005D1744" w:rsidRPr="00A71DE3">
        <w:rPr>
          <w:rFonts w:hint="eastAsia"/>
        </w:rPr>
        <w:t>準</w:t>
      </w:r>
      <w:r w:rsidR="005D1744">
        <w:rPr>
          <w:rFonts w:hint="eastAsia"/>
        </w:rPr>
        <w:t>，</w:t>
      </w:r>
      <w:r w:rsidR="0025348C" w:rsidRPr="0025348C">
        <w:rPr>
          <w:rFonts w:hint="eastAsia"/>
        </w:rPr>
        <w:t>然</w:t>
      </w:r>
      <w:r w:rsidR="0025348C">
        <w:rPr>
          <w:rFonts w:hint="eastAsia"/>
        </w:rPr>
        <w:t>各項</w:t>
      </w:r>
      <w:r w:rsidR="00E012BD">
        <w:rPr>
          <w:rFonts w:hint="eastAsia"/>
        </w:rPr>
        <w:t>比率與</w:t>
      </w:r>
      <w:r w:rsidR="009C23DB">
        <w:rPr>
          <w:rFonts w:hint="eastAsia"/>
        </w:rPr>
        <w:t>全國銀行</w:t>
      </w:r>
      <w:r w:rsidR="00E012BD">
        <w:rPr>
          <w:rFonts w:hint="eastAsia"/>
        </w:rPr>
        <w:t>平均數額之差距已逐漸</w:t>
      </w:r>
      <w:r w:rsidR="0025348C" w:rsidRPr="0025348C">
        <w:rPr>
          <w:rFonts w:hint="eastAsia"/>
        </w:rPr>
        <w:t>縮減，允宜持續強化資本結構</w:t>
      </w:r>
      <w:r w:rsidR="006D3768">
        <w:rPr>
          <w:rFonts w:hint="eastAsia"/>
        </w:rPr>
        <w:t>，以提升</w:t>
      </w:r>
      <w:r w:rsidR="005D1744">
        <w:rPr>
          <w:rFonts w:hint="eastAsia"/>
        </w:rPr>
        <w:t>風險承擔能力</w:t>
      </w:r>
      <w:bookmarkEnd w:id="1"/>
    </w:p>
    <w:p w:rsidR="005D1744" w:rsidRPr="002D6ACF" w:rsidRDefault="005D1744" w:rsidP="005D1744">
      <w:pPr>
        <w:ind w:left="566" w:firstLine="566"/>
        <w:rPr>
          <w:color w:val="000000"/>
        </w:rPr>
      </w:pPr>
      <w:r w:rsidRPr="002D6ACF">
        <w:rPr>
          <w:rFonts w:hint="eastAsia"/>
          <w:color w:val="000000"/>
        </w:rPr>
        <w:t>為持續募集長期且穩定之資金來源，提高資本適足率及流動性覆蓋比率，臺灣土地銀行</w:t>
      </w:r>
      <w:r w:rsidRPr="002D6ACF">
        <w:rPr>
          <w:color w:val="000000"/>
        </w:rPr>
        <w:t>11</w:t>
      </w:r>
      <w:r w:rsidR="00F818A1" w:rsidRPr="002D6ACF">
        <w:rPr>
          <w:rFonts w:hint="eastAsia"/>
          <w:color w:val="000000"/>
        </w:rPr>
        <w:t>4</w:t>
      </w:r>
      <w:r w:rsidRPr="002D6ACF">
        <w:rPr>
          <w:rFonts w:hint="eastAsia"/>
          <w:color w:val="000000"/>
        </w:rPr>
        <w:t>年度預算案所列營運計畫中有關新臺幣金融債券發行與償還計畫部分，預計發行</w:t>
      </w:r>
      <w:r w:rsidR="00406CE7" w:rsidRPr="002D6ACF">
        <w:rPr>
          <w:rFonts w:hint="eastAsia"/>
          <w:color w:val="000000"/>
        </w:rPr>
        <w:t>300</w:t>
      </w:r>
      <w:r w:rsidRPr="002D6ACF">
        <w:rPr>
          <w:rFonts w:hint="eastAsia"/>
          <w:color w:val="000000"/>
        </w:rPr>
        <w:t>億元金融債券，較11</w:t>
      </w:r>
      <w:r w:rsidR="00406CE7" w:rsidRPr="002D6ACF">
        <w:rPr>
          <w:rFonts w:hint="eastAsia"/>
          <w:color w:val="000000"/>
        </w:rPr>
        <w:t>3</w:t>
      </w:r>
      <w:r w:rsidRPr="002D6ACF">
        <w:rPr>
          <w:rFonts w:hint="eastAsia"/>
          <w:color w:val="000000"/>
        </w:rPr>
        <w:t>年度預算</w:t>
      </w:r>
      <w:r w:rsidR="00406CE7" w:rsidRPr="002D6ACF">
        <w:rPr>
          <w:rFonts w:hint="eastAsia"/>
          <w:color w:val="000000"/>
        </w:rPr>
        <w:t>案</w:t>
      </w:r>
      <w:r w:rsidRPr="002D6ACF">
        <w:rPr>
          <w:rFonts w:hint="eastAsia"/>
          <w:color w:val="000000"/>
        </w:rPr>
        <w:t>數</w:t>
      </w:r>
      <w:r w:rsidR="00406CE7" w:rsidRPr="002D6ACF">
        <w:rPr>
          <w:rFonts w:hint="eastAsia"/>
          <w:color w:val="000000"/>
        </w:rPr>
        <w:t>415</w:t>
      </w:r>
      <w:r w:rsidRPr="002D6ACF">
        <w:rPr>
          <w:rFonts w:hint="eastAsia"/>
          <w:color w:val="000000"/>
        </w:rPr>
        <w:t>億元，減少</w:t>
      </w:r>
      <w:r w:rsidR="00406CE7" w:rsidRPr="002D6ACF">
        <w:rPr>
          <w:rFonts w:hint="eastAsia"/>
          <w:color w:val="000000"/>
        </w:rPr>
        <w:t>11</w:t>
      </w:r>
      <w:r w:rsidRPr="002D6ACF">
        <w:rPr>
          <w:rFonts w:hint="eastAsia"/>
          <w:color w:val="000000"/>
        </w:rPr>
        <w:t>5億元。經查該行近年自有資本與風險性資產之比率(以下簡稱資本適足比率)皆較同業平均水準為低。茲說明如下：</w:t>
      </w:r>
    </w:p>
    <w:p w:rsidR="005D1744" w:rsidRPr="008A0934" w:rsidRDefault="005D1744" w:rsidP="005D1744">
      <w:pPr>
        <w:pStyle w:val="a4"/>
        <w:ind w:left="849" w:hanging="283"/>
        <w:rPr>
          <w:b/>
          <w:lang w:eastAsia="zh-TW"/>
        </w:rPr>
      </w:pPr>
      <w:r w:rsidRPr="008A0934">
        <w:rPr>
          <w:rFonts w:hint="eastAsia"/>
          <w:b/>
        </w:rPr>
        <w:t>(一)主管機關</w:t>
      </w:r>
      <w:r w:rsidRPr="00FE1E46">
        <w:rPr>
          <w:rFonts w:hint="eastAsia"/>
          <w:b/>
        </w:rPr>
        <w:t>參酌</w:t>
      </w:r>
      <w:r w:rsidRPr="00FE1E46">
        <w:rPr>
          <w:b/>
        </w:rPr>
        <w:t xml:space="preserve">Basel </w:t>
      </w:r>
      <w:r w:rsidRPr="00FE1E46">
        <w:rPr>
          <w:rFonts w:hint="eastAsia"/>
          <w:b/>
        </w:rPr>
        <w:t>Ⅲ</w:t>
      </w:r>
      <w:r>
        <w:rPr>
          <w:rFonts w:hint="eastAsia"/>
          <w:b/>
          <w:lang w:eastAsia="zh-TW"/>
        </w:rPr>
        <w:t>規範，</w:t>
      </w:r>
      <w:r w:rsidRPr="008A0934">
        <w:rPr>
          <w:rFonts w:hint="eastAsia"/>
          <w:b/>
        </w:rPr>
        <w:t>修正</w:t>
      </w:r>
      <w:r>
        <w:rPr>
          <w:rFonts w:hint="eastAsia"/>
          <w:b/>
          <w:lang w:eastAsia="zh-TW"/>
        </w:rPr>
        <w:t>我國</w:t>
      </w:r>
      <w:r w:rsidRPr="00FE1E46">
        <w:rPr>
          <w:rFonts w:hint="eastAsia"/>
          <w:b/>
        </w:rPr>
        <w:t>資本適足比率</w:t>
      </w:r>
      <w:r w:rsidRPr="008A0934">
        <w:rPr>
          <w:rFonts w:hint="eastAsia"/>
          <w:b/>
        </w:rPr>
        <w:t>最低標準</w:t>
      </w:r>
      <w:r>
        <w:rPr>
          <w:rFonts w:hint="eastAsia"/>
          <w:b/>
          <w:lang w:eastAsia="zh-TW"/>
        </w:rPr>
        <w:t>，以</w:t>
      </w:r>
      <w:r w:rsidRPr="00FE1E46">
        <w:rPr>
          <w:rFonts w:hint="eastAsia"/>
          <w:b/>
        </w:rPr>
        <w:t>強化銀行之資本適足性並提升其風險承擔能力</w:t>
      </w:r>
    </w:p>
    <w:p w:rsidR="005D1744" w:rsidRPr="008A0934" w:rsidRDefault="005D1744" w:rsidP="005D1744">
      <w:pPr>
        <w:pStyle w:val="2"/>
        <w:ind w:left="850" w:firstLine="566"/>
      </w:pPr>
      <w:r>
        <w:rPr>
          <w:rFonts w:hint="eastAsia"/>
        </w:rPr>
        <w:t>為</w:t>
      </w:r>
      <w:r>
        <w:rPr>
          <w:rFonts w:hint="eastAsia"/>
          <w:lang w:eastAsia="zh-TW"/>
        </w:rPr>
        <w:t>強化</w:t>
      </w:r>
      <w:r>
        <w:rPr>
          <w:rFonts w:hint="eastAsia"/>
        </w:rPr>
        <w:t>我國銀行</w:t>
      </w:r>
      <w:r>
        <w:rPr>
          <w:rFonts w:hint="eastAsia"/>
          <w:lang w:eastAsia="zh-TW"/>
        </w:rPr>
        <w:t>之資本適足性並提升其風險承擔能力及國際競爭力，金管會參酌</w:t>
      </w:r>
      <w:r>
        <w:rPr>
          <w:rFonts w:hint="eastAsia"/>
        </w:rPr>
        <w:t>巴塞爾銀行監理委員會(</w:t>
      </w:r>
      <w:r w:rsidRPr="00BC336E">
        <w:t>Basel C</w:t>
      </w:r>
      <w:r>
        <w:t>ommittee on Banking Supervision，</w:t>
      </w:r>
      <w:r>
        <w:rPr>
          <w:rFonts w:hint="eastAsia"/>
        </w:rPr>
        <w:t>BCBS)</w:t>
      </w:r>
      <w:r>
        <w:rPr>
          <w:rFonts w:hint="eastAsia"/>
          <w:lang w:eastAsia="zh-TW"/>
        </w:rPr>
        <w:t>發布之</w:t>
      </w:r>
      <w:r w:rsidRPr="008A0934">
        <w:t>巴塞爾</w:t>
      </w:r>
      <w:r w:rsidRPr="008A0934">
        <w:rPr>
          <w:rFonts w:hint="eastAsia"/>
        </w:rPr>
        <w:t>資本</w:t>
      </w:r>
      <w:r w:rsidRPr="008A0934">
        <w:t>協定</w:t>
      </w:r>
      <w:r>
        <w:rPr>
          <w:rFonts w:hint="eastAsia"/>
        </w:rPr>
        <w:t>三</w:t>
      </w:r>
      <w:r>
        <w:rPr>
          <w:rFonts w:hint="eastAsia"/>
          <w:lang w:eastAsia="zh-TW"/>
        </w:rPr>
        <w:t>(</w:t>
      </w:r>
      <w:r w:rsidRPr="008A0934">
        <w:t xml:space="preserve">Basel </w:t>
      </w:r>
      <w:r w:rsidRPr="008A0934">
        <w:rPr>
          <w:rFonts w:hint="eastAsia"/>
        </w:rPr>
        <w:t>Ⅲ)於101年11月26日修正「</w:t>
      </w:r>
      <w:r w:rsidRPr="008A0934">
        <w:t>銀行資本適足性及資本等級管理辦法</w:t>
      </w:r>
      <w:r w:rsidRPr="008A0934">
        <w:rPr>
          <w:rFonts w:hint="eastAsia"/>
        </w:rPr>
        <w:t>」</w:t>
      </w:r>
      <w:r w:rsidR="00E36306">
        <w:rPr>
          <w:rStyle w:val="af6"/>
        </w:rPr>
        <w:footnoteReference w:id="1"/>
      </w:r>
      <w:r w:rsidRPr="008A0934">
        <w:rPr>
          <w:rFonts w:hint="eastAsia"/>
        </w:rPr>
        <w:t>，規定銀行應計算</w:t>
      </w:r>
      <w:r w:rsidRPr="001A64C5">
        <w:rPr>
          <w:rFonts w:hint="eastAsia"/>
          <w:lang w:eastAsia="zh-TW"/>
        </w:rPr>
        <w:t>資本適足比率</w:t>
      </w:r>
      <w:r>
        <w:rPr>
          <w:rFonts w:hint="eastAsia"/>
        </w:rPr>
        <w:t>，包括</w:t>
      </w:r>
      <w:r w:rsidRPr="008A0934">
        <w:rPr>
          <w:rFonts w:hint="eastAsia"/>
        </w:rPr>
        <w:t>普通股</w:t>
      </w:r>
      <w:r w:rsidRPr="008A0934">
        <w:rPr>
          <w:rFonts w:hint="eastAsia"/>
        </w:rPr>
        <w:lastRenderedPageBreak/>
        <w:t>權益比率、第一類資本比率及資本適足率，</w:t>
      </w:r>
      <w:r w:rsidR="002437EB">
        <w:rPr>
          <w:rFonts w:hint="eastAsia"/>
          <w:lang w:eastAsia="zh-TW"/>
        </w:rPr>
        <w:t>並</w:t>
      </w:r>
      <w:r w:rsidR="003A4DD7" w:rsidRPr="008A0934">
        <w:rPr>
          <w:rFonts w:hint="eastAsia"/>
        </w:rPr>
        <w:t>逐年提高</w:t>
      </w:r>
      <w:r w:rsidRPr="008A0934">
        <w:rPr>
          <w:rFonts w:hint="eastAsia"/>
        </w:rPr>
        <w:t>法定最低比率</w:t>
      </w:r>
      <w:r w:rsidR="003A4DD7">
        <w:rPr>
          <w:rFonts w:hint="eastAsia"/>
        </w:rPr>
        <w:t>，</w:t>
      </w:r>
      <w:r w:rsidRPr="008A0934">
        <w:rPr>
          <w:rFonts w:hint="eastAsia"/>
        </w:rPr>
        <w:t>自</w:t>
      </w:r>
      <w:r w:rsidR="003A4DD7">
        <w:rPr>
          <w:rFonts w:hint="eastAsia"/>
        </w:rPr>
        <w:t>10</w:t>
      </w:r>
      <w:r w:rsidR="003A4DD7">
        <w:rPr>
          <w:rFonts w:hint="eastAsia"/>
          <w:lang w:eastAsia="zh-TW"/>
        </w:rPr>
        <w:t>8</w:t>
      </w:r>
      <w:r w:rsidRPr="008A0934">
        <w:rPr>
          <w:rFonts w:hint="eastAsia"/>
        </w:rPr>
        <w:t>年度起</w:t>
      </w:r>
      <w:r w:rsidR="003A4DD7">
        <w:rPr>
          <w:rFonts w:hint="eastAsia"/>
          <w:lang w:eastAsia="zh-TW"/>
        </w:rPr>
        <w:t>，本國銀行</w:t>
      </w:r>
      <w:r w:rsidR="003A4DD7">
        <w:rPr>
          <w:rFonts w:hint="eastAsia"/>
          <w:snapToGrid/>
        </w:rPr>
        <w:t>之普通股權益比率、第一類資本比率與資本適足率應分別達到</w:t>
      </w:r>
      <w:r w:rsidR="00BF6EB2">
        <w:rPr>
          <w:rFonts w:hint="eastAsia"/>
          <w:snapToGrid/>
          <w:lang w:eastAsia="zh-TW"/>
        </w:rPr>
        <w:t>7</w:t>
      </w:r>
      <w:r w:rsidR="003A4DD7">
        <w:rPr>
          <w:rFonts w:hint="eastAsia"/>
          <w:snapToGrid/>
        </w:rPr>
        <w:t>%、</w:t>
      </w:r>
      <w:r w:rsidR="00BF6EB2">
        <w:rPr>
          <w:rFonts w:hint="eastAsia"/>
          <w:snapToGrid/>
          <w:lang w:eastAsia="zh-TW"/>
        </w:rPr>
        <w:t>8</w:t>
      </w:r>
      <w:r w:rsidR="003A4DD7">
        <w:rPr>
          <w:rFonts w:hint="eastAsia"/>
          <w:snapToGrid/>
        </w:rPr>
        <w:t>.5%及</w:t>
      </w:r>
      <w:r w:rsidR="00BF6EB2">
        <w:rPr>
          <w:rFonts w:hint="eastAsia"/>
          <w:snapToGrid/>
        </w:rPr>
        <w:t>1</w:t>
      </w:r>
      <w:r w:rsidR="00BF6EB2">
        <w:rPr>
          <w:rFonts w:hint="eastAsia"/>
          <w:snapToGrid/>
          <w:lang w:eastAsia="zh-TW"/>
        </w:rPr>
        <w:t>0</w:t>
      </w:r>
      <w:r w:rsidR="003A4DD7">
        <w:rPr>
          <w:rFonts w:hint="eastAsia"/>
          <w:snapToGrid/>
        </w:rPr>
        <w:t>.5%之標準</w:t>
      </w:r>
      <w:r w:rsidR="003A4DD7">
        <w:rPr>
          <w:rFonts w:hint="eastAsia"/>
          <w:snapToGrid/>
          <w:lang w:eastAsia="zh-TW"/>
        </w:rPr>
        <w:t>，</w:t>
      </w:r>
      <w:r>
        <w:rPr>
          <w:rFonts w:hint="eastAsia"/>
          <w:lang w:eastAsia="zh-TW"/>
        </w:rPr>
        <w:t>以</w:t>
      </w:r>
      <w:r>
        <w:rPr>
          <w:rFonts w:hint="eastAsia"/>
        </w:rPr>
        <w:t>確保經營安全及財務健全</w:t>
      </w:r>
      <w:r w:rsidRPr="008A0934">
        <w:rPr>
          <w:rFonts w:hint="eastAsia"/>
        </w:rPr>
        <w:t>。</w:t>
      </w:r>
    </w:p>
    <w:p w:rsidR="005D1744" w:rsidRPr="0061005D" w:rsidRDefault="005D1744" w:rsidP="005D1744">
      <w:pPr>
        <w:pStyle w:val="a4"/>
        <w:ind w:left="849" w:hanging="283"/>
        <w:rPr>
          <w:b/>
          <w:lang w:eastAsia="zh-TW"/>
        </w:rPr>
      </w:pPr>
      <w:r w:rsidRPr="008A0934">
        <w:rPr>
          <w:rFonts w:hint="eastAsia"/>
          <w:b/>
        </w:rPr>
        <w:t>(二)</w:t>
      </w:r>
      <w:r w:rsidR="005463FB">
        <w:rPr>
          <w:rFonts w:hint="eastAsia"/>
          <w:b/>
          <w:lang w:eastAsia="zh-TW"/>
        </w:rPr>
        <w:t>近年</w:t>
      </w:r>
      <w:r w:rsidR="00C45BC2" w:rsidRPr="00C45BC2">
        <w:rPr>
          <w:rFonts w:hint="eastAsia"/>
          <w:b/>
          <w:lang w:eastAsia="zh-TW"/>
        </w:rPr>
        <w:t>臺灣土地銀行</w:t>
      </w:r>
      <w:r w:rsidRPr="00176DF3">
        <w:rPr>
          <w:rFonts w:hint="eastAsia"/>
          <w:b/>
        </w:rPr>
        <w:t>資本</w:t>
      </w:r>
      <w:r w:rsidRPr="0061005D">
        <w:rPr>
          <w:rFonts w:hint="eastAsia"/>
          <w:b/>
        </w:rPr>
        <w:t>適足比率</w:t>
      </w:r>
      <w:r w:rsidR="005463FB">
        <w:rPr>
          <w:rFonts w:hint="eastAsia"/>
          <w:b/>
          <w:lang w:eastAsia="zh-TW"/>
        </w:rPr>
        <w:t>概呈逐年增加</w:t>
      </w:r>
      <w:r w:rsidR="0025348C">
        <w:rPr>
          <w:rFonts w:hint="eastAsia"/>
          <w:b/>
          <w:lang w:eastAsia="zh-TW"/>
        </w:rPr>
        <w:t>，雖仍低於</w:t>
      </w:r>
      <w:r w:rsidRPr="0061005D">
        <w:rPr>
          <w:rFonts w:hint="eastAsia"/>
          <w:b/>
        </w:rPr>
        <w:t>同業</w:t>
      </w:r>
      <w:r w:rsidRPr="0061005D">
        <w:rPr>
          <w:rFonts w:hint="eastAsia"/>
          <w:b/>
          <w:lang w:eastAsia="zh-TW"/>
        </w:rPr>
        <w:t>平均</w:t>
      </w:r>
      <w:r w:rsidRPr="0061005D">
        <w:rPr>
          <w:rFonts w:hint="eastAsia"/>
          <w:b/>
        </w:rPr>
        <w:t>水準</w:t>
      </w:r>
      <w:r w:rsidR="0025348C">
        <w:rPr>
          <w:rFonts w:hint="eastAsia"/>
          <w:b/>
          <w:lang w:eastAsia="zh-TW"/>
        </w:rPr>
        <w:t>，然</w:t>
      </w:r>
      <w:r w:rsidR="0025348C">
        <w:rPr>
          <w:rFonts w:hint="eastAsia"/>
          <w:b/>
        </w:rPr>
        <w:t>各項比率與平均數額之</w:t>
      </w:r>
      <w:r w:rsidR="0025348C" w:rsidRPr="0025348C">
        <w:rPr>
          <w:rFonts w:hint="eastAsia"/>
          <w:b/>
        </w:rPr>
        <w:t>差距已有縮減</w:t>
      </w:r>
      <w:r w:rsidR="0025348C">
        <w:rPr>
          <w:rFonts w:hint="eastAsia"/>
          <w:b/>
          <w:lang w:eastAsia="zh-TW"/>
        </w:rPr>
        <w:t>，允宜持續</w:t>
      </w:r>
      <w:r w:rsidR="0025348C" w:rsidRPr="0025348C">
        <w:rPr>
          <w:rFonts w:hint="eastAsia"/>
          <w:b/>
          <w:lang w:eastAsia="zh-TW"/>
        </w:rPr>
        <w:t>強化</w:t>
      </w:r>
      <w:r w:rsidR="0025348C">
        <w:rPr>
          <w:rFonts w:hint="eastAsia"/>
          <w:b/>
          <w:lang w:eastAsia="zh-TW"/>
        </w:rPr>
        <w:t>資本結構</w:t>
      </w:r>
    </w:p>
    <w:p w:rsidR="005D1744" w:rsidRPr="00246B33" w:rsidRDefault="005D1744" w:rsidP="00236A3C">
      <w:pPr>
        <w:pStyle w:val="2"/>
        <w:ind w:left="850" w:firstLine="566"/>
        <w:rPr>
          <w:rFonts w:hint="eastAsia"/>
          <w:color w:val="FF0000"/>
        </w:rPr>
      </w:pPr>
      <w:r>
        <w:rPr>
          <w:rFonts w:hint="eastAsia"/>
          <w:lang w:eastAsia="zh-TW"/>
        </w:rPr>
        <w:t>據金管會銀行局公布資料，</w:t>
      </w:r>
      <w:r>
        <w:rPr>
          <w:rFonts w:hint="eastAsia"/>
        </w:rPr>
        <w:t>臺灣土地銀行</w:t>
      </w:r>
      <w:r>
        <w:rPr>
          <w:rFonts w:hint="eastAsia"/>
          <w:lang w:eastAsia="zh-TW"/>
        </w:rPr>
        <w:t>於10</w:t>
      </w:r>
      <w:r w:rsidR="00BF4984">
        <w:rPr>
          <w:rFonts w:hint="eastAsia"/>
          <w:lang w:eastAsia="zh-TW"/>
        </w:rPr>
        <w:t>9</w:t>
      </w:r>
      <w:r>
        <w:rPr>
          <w:rFonts w:hint="eastAsia"/>
          <w:lang w:eastAsia="zh-TW"/>
        </w:rPr>
        <w:t>至11</w:t>
      </w:r>
      <w:r w:rsidR="00BF4984">
        <w:rPr>
          <w:rFonts w:hint="eastAsia"/>
          <w:lang w:eastAsia="zh-TW"/>
        </w:rPr>
        <w:t>2</w:t>
      </w:r>
      <w:r>
        <w:rPr>
          <w:rFonts w:hint="eastAsia"/>
          <w:lang w:eastAsia="zh-TW"/>
        </w:rPr>
        <w:t>年底</w:t>
      </w:r>
      <w:r>
        <w:rPr>
          <w:rFonts w:hint="eastAsia"/>
        </w:rPr>
        <w:t>之</w:t>
      </w:r>
      <w:r>
        <w:rPr>
          <w:rFonts w:hint="eastAsia"/>
          <w:lang w:eastAsia="zh-TW"/>
        </w:rPr>
        <w:t>資本適足比率</w:t>
      </w:r>
      <w:r>
        <w:rPr>
          <w:rFonts w:hint="eastAsia"/>
        </w:rPr>
        <w:t>，皆</w:t>
      </w:r>
      <w:r>
        <w:rPr>
          <w:rFonts w:hint="eastAsia"/>
          <w:lang w:eastAsia="zh-TW"/>
        </w:rPr>
        <w:t>達</w:t>
      </w:r>
      <w:r>
        <w:rPr>
          <w:rFonts w:hint="eastAsia"/>
        </w:rPr>
        <w:t>法定標準</w:t>
      </w:r>
      <w:r w:rsidR="005339A7">
        <w:rPr>
          <w:rFonts w:hint="eastAsia"/>
          <w:lang w:eastAsia="zh-TW"/>
        </w:rPr>
        <w:t>(</w:t>
      </w:r>
      <w:r w:rsidR="005339A7">
        <w:rPr>
          <w:rFonts w:hint="eastAsia"/>
          <w:snapToGrid/>
        </w:rPr>
        <w:t>普通股權益比率</w:t>
      </w:r>
      <w:r w:rsidR="00BF6EB2">
        <w:rPr>
          <w:rFonts w:hint="eastAsia"/>
          <w:snapToGrid/>
          <w:lang w:eastAsia="zh-TW"/>
        </w:rPr>
        <w:t>7</w:t>
      </w:r>
      <w:r w:rsidR="005339A7">
        <w:rPr>
          <w:rFonts w:hint="eastAsia"/>
          <w:snapToGrid/>
        </w:rPr>
        <w:t>%、第一類資本比率</w:t>
      </w:r>
      <w:r w:rsidR="00BF6EB2">
        <w:rPr>
          <w:rFonts w:hint="eastAsia"/>
          <w:snapToGrid/>
          <w:lang w:eastAsia="zh-TW"/>
        </w:rPr>
        <w:t>8</w:t>
      </w:r>
      <w:r w:rsidR="005339A7">
        <w:rPr>
          <w:rFonts w:hint="eastAsia"/>
          <w:snapToGrid/>
        </w:rPr>
        <w:t>.5%與資本適足率</w:t>
      </w:r>
      <w:r w:rsidR="00BF6EB2">
        <w:rPr>
          <w:rFonts w:hint="eastAsia"/>
          <w:snapToGrid/>
          <w:lang w:eastAsia="zh-TW"/>
        </w:rPr>
        <w:t>10</w:t>
      </w:r>
      <w:r w:rsidR="005339A7">
        <w:rPr>
          <w:rFonts w:hint="eastAsia"/>
          <w:snapToGrid/>
        </w:rPr>
        <w:t>.5</w:t>
      </w:r>
      <w:r w:rsidR="00BF6EB2">
        <w:rPr>
          <w:rFonts w:hint="eastAsia"/>
          <w:snapToGrid/>
        </w:rPr>
        <w:t>%</w:t>
      </w:r>
      <w:r w:rsidR="005339A7">
        <w:rPr>
          <w:rFonts w:hint="eastAsia"/>
          <w:snapToGrid/>
          <w:lang w:eastAsia="zh-TW"/>
        </w:rPr>
        <w:t>)</w:t>
      </w:r>
      <w:r>
        <w:rPr>
          <w:rFonts w:hint="eastAsia"/>
        </w:rPr>
        <w:t>，</w:t>
      </w:r>
      <w:r w:rsidR="00BF4984">
        <w:rPr>
          <w:rFonts w:hint="eastAsia"/>
          <w:lang w:eastAsia="zh-TW"/>
        </w:rPr>
        <w:t>且</w:t>
      </w:r>
      <w:r w:rsidR="00AB4CDE">
        <w:rPr>
          <w:rFonts w:hint="eastAsia"/>
          <w:lang w:eastAsia="zh-TW"/>
        </w:rPr>
        <w:t>僅111年底第一類資本比率較110</w:t>
      </w:r>
      <w:r w:rsidR="00097A46">
        <w:rPr>
          <w:rFonts w:hint="eastAsia"/>
          <w:lang w:eastAsia="zh-TW"/>
        </w:rPr>
        <w:t>年</w:t>
      </w:r>
      <w:r w:rsidR="00AB4CDE">
        <w:rPr>
          <w:rFonts w:hint="eastAsia"/>
          <w:lang w:eastAsia="zh-TW"/>
        </w:rPr>
        <w:t>底減少0.02</w:t>
      </w:r>
      <w:r w:rsidR="00097A46">
        <w:rPr>
          <w:rFonts w:hint="eastAsia"/>
          <w:lang w:eastAsia="zh-TW"/>
        </w:rPr>
        <w:t>個百分點，其餘</w:t>
      </w:r>
      <w:r w:rsidR="00AB4CDE">
        <w:rPr>
          <w:rFonts w:hint="eastAsia"/>
          <w:lang w:eastAsia="zh-TW"/>
        </w:rPr>
        <w:t>各年底之資本適足比率皆較前一年底增加，</w:t>
      </w:r>
      <w:r w:rsidR="00BF4984">
        <w:rPr>
          <w:rFonts w:hint="eastAsia"/>
          <w:lang w:eastAsia="zh-TW"/>
        </w:rPr>
        <w:t>整體概呈</w:t>
      </w:r>
      <w:r w:rsidR="004253A1">
        <w:rPr>
          <w:rFonts w:hint="eastAsia"/>
          <w:lang w:eastAsia="zh-TW"/>
        </w:rPr>
        <w:t>增加趨勢，</w:t>
      </w:r>
      <w:r w:rsidR="00BF4984">
        <w:rPr>
          <w:rFonts w:hint="eastAsia"/>
          <w:lang w:eastAsia="zh-TW"/>
        </w:rPr>
        <w:t>惟</w:t>
      </w:r>
      <w:r w:rsidR="002F15A7">
        <w:rPr>
          <w:rFonts w:hint="eastAsia"/>
          <w:lang w:eastAsia="zh-TW"/>
        </w:rPr>
        <w:t>若</w:t>
      </w:r>
      <w:r w:rsidR="00BF4984">
        <w:rPr>
          <w:rFonts w:hint="eastAsia"/>
          <w:lang w:eastAsia="zh-TW"/>
        </w:rPr>
        <w:t>與上開</w:t>
      </w:r>
      <w:r w:rsidR="00AB4CDE">
        <w:rPr>
          <w:rFonts w:hint="eastAsia"/>
          <w:lang w:eastAsia="zh-TW"/>
        </w:rPr>
        <w:t>期間</w:t>
      </w:r>
      <w:r w:rsidR="00BF4984">
        <w:rPr>
          <w:rFonts w:hint="eastAsia"/>
          <w:lang w:eastAsia="zh-TW"/>
        </w:rPr>
        <w:t>本國銀行</w:t>
      </w:r>
      <w:r w:rsidR="00AB4CDE">
        <w:rPr>
          <w:rFonts w:hint="eastAsia"/>
          <w:lang w:eastAsia="zh-TW"/>
        </w:rPr>
        <w:t>平均</w:t>
      </w:r>
      <w:r w:rsidR="003D078E">
        <w:rPr>
          <w:rFonts w:hint="eastAsia"/>
          <w:lang w:eastAsia="zh-TW"/>
        </w:rPr>
        <w:t>值</w:t>
      </w:r>
      <w:r w:rsidR="00AB4CDE">
        <w:rPr>
          <w:rFonts w:hint="eastAsia"/>
          <w:lang w:eastAsia="zh-TW"/>
        </w:rPr>
        <w:t>相比</w:t>
      </w:r>
      <w:r w:rsidR="00377E31">
        <w:rPr>
          <w:rFonts w:hint="eastAsia"/>
          <w:lang w:eastAsia="zh-TW"/>
        </w:rPr>
        <w:t>，</w:t>
      </w:r>
      <w:r w:rsidR="00BF4984">
        <w:rPr>
          <w:rFonts w:hint="eastAsia"/>
          <w:lang w:eastAsia="zh-TW"/>
        </w:rPr>
        <w:t>皆</w:t>
      </w:r>
      <w:r w:rsidR="00377E31">
        <w:rPr>
          <w:rFonts w:hint="eastAsia"/>
          <w:lang w:eastAsia="zh-TW"/>
        </w:rPr>
        <w:t>相對較低，減少幅度介於</w:t>
      </w:r>
      <w:r w:rsidR="0025348C">
        <w:rPr>
          <w:rFonts w:hint="eastAsia"/>
          <w:lang w:eastAsia="zh-TW"/>
        </w:rPr>
        <w:t>0.97</w:t>
      </w:r>
      <w:r w:rsidR="00A76C44">
        <w:rPr>
          <w:rFonts w:hint="eastAsia"/>
          <w:lang w:eastAsia="zh-TW"/>
        </w:rPr>
        <w:t>至2.58個百分點間</w:t>
      </w:r>
      <w:r w:rsidR="00E012BD">
        <w:rPr>
          <w:rFonts w:hint="eastAsia"/>
          <w:lang w:eastAsia="zh-TW"/>
        </w:rPr>
        <w:t>，然差距已呈逐年縮減之趨勢</w:t>
      </w:r>
      <w:r w:rsidR="00A76C44">
        <w:rPr>
          <w:rFonts w:hint="eastAsia"/>
          <w:lang w:eastAsia="zh-TW"/>
        </w:rPr>
        <w:t>；</w:t>
      </w:r>
      <w:r w:rsidR="00097A46">
        <w:rPr>
          <w:rFonts w:hint="eastAsia"/>
          <w:lang w:eastAsia="zh-TW"/>
        </w:rPr>
        <w:t>截至</w:t>
      </w:r>
      <w:r w:rsidR="00BF4984">
        <w:rPr>
          <w:rFonts w:hint="eastAsia"/>
          <w:lang w:eastAsia="zh-TW"/>
        </w:rPr>
        <w:t>113</w:t>
      </w:r>
      <w:r w:rsidR="00A76C44">
        <w:rPr>
          <w:rFonts w:hint="eastAsia"/>
          <w:lang w:eastAsia="zh-TW"/>
        </w:rPr>
        <w:t>年</w:t>
      </w:r>
      <w:r>
        <w:rPr>
          <w:rFonts w:hint="eastAsia"/>
          <w:lang w:eastAsia="zh-TW"/>
        </w:rPr>
        <w:t>6月底止，該行</w:t>
      </w:r>
      <w:r w:rsidR="00BF4984">
        <w:rPr>
          <w:rFonts w:hint="eastAsia"/>
        </w:rPr>
        <w:t>普通股權益比率、第一類資本比率及資本適足率</w:t>
      </w:r>
      <w:r w:rsidR="00BF4984">
        <w:rPr>
          <w:rFonts w:hint="eastAsia"/>
          <w:lang w:eastAsia="zh-TW"/>
        </w:rPr>
        <w:t>分別</w:t>
      </w:r>
      <w:r w:rsidR="00236A3C">
        <w:rPr>
          <w:rFonts w:hint="eastAsia"/>
          <w:lang w:eastAsia="zh-TW"/>
        </w:rPr>
        <w:t>達11.26</w:t>
      </w:r>
      <w:r w:rsidR="00236A3C">
        <w:rPr>
          <w:rFonts w:hint="eastAsia"/>
        </w:rPr>
        <w:t>%、1</w:t>
      </w:r>
      <w:r w:rsidR="00236A3C">
        <w:rPr>
          <w:rFonts w:hint="eastAsia"/>
          <w:lang w:eastAsia="zh-TW"/>
        </w:rPr>
        <w:t>2.43</w:t>
      </w:r>
      <w:r w:rsidR="00236A3C">
        <w:rPr>
          <w:rFonts w:hint="eastAsia"/>
        </w:rPr>
        <w:t>%及1</w:t>
      </w:r>
      <w:r w:rsidR="00236A3C">
        <w:rPr>
          <w:rFonts w:hint="eastAsia"/>
          <w:lang w:eastAsia="zh-TW"/>
        </w:rPr>
        <w:t>4.46</w:t>
      </w:r>
      <w:r w:rsidR="00236A3C">
        <w:rPr>
          <w:rFonts w:hint="eastAsia"/>
        </w:rPr>
        <w:t>%</w:t>
      </w:r>
      <w:r w:rsidR="00A76C44">
        <w:rPr>
          <w:rFonts w:hint="eastAsia"/>
          <w:lang w:eastAsia="zh-TW"/>
        </w:rPr>
        <w:t>，</w:t>
      </w:r>
      <w:r w:rsidR="004253A1">
        <w:rPr>
          <w:rFonts w:hint="eastAsia"/>
          <w:lang w:eastAsia="zh-TW"/>
        </w:rPr>
        <w:t>除較112年底成長，亦係</w:t>
      </w:r>
      <w:r w:rsidR="00236A3C">
        <w:rPr>
          <w:rFonts w:hint="eastAsia"/>
          <w:lang w:eastAsia="zh-TW"/>
        </w:rPr>
        <w:t>近5年(109至113年)來最高，</w:t>
      </w:r>
      <w:r w:rsidR="0025348C">
        <w:rPr>
          <w:rFonts w:hint="eastAsia"/>
          <w:lang w:eastAsia="zh-TW"/>
        </w:rPr>
        <w:t>惟</w:t>
      </w:r>
      <w:r w:rsidR="002F15A7">
        <w:rPr>
          <w:rFonts w:hint="eastAsia"/>
          <w:lang w:eastAsia="zh-TW"/>
        </w:rPr>
        <w:t>若</w:t>
      </w:r>
      <w:r w:rsidR="004253A1">
        <w:rPr>
          <w:rFonts w:hint="eastAsia"/>
          <w:lang w:eastAsia="zh-TW"/>
        </w:rPr>
        <w:t>與</w:t>
      </w:r>
      <w:r>
        <w:rPr>
          <w:rFonts w:hint="eastAsia"/>
          <w:lang w:eastAsia="zh-TW"/>
        </w:rPr>
        <w:t>同期間本國銀行平均數</w:t>
      </w:r>
      <w:r w:rsidR="004253A1">
        <w:rPr>
          <w:rFonts w:hint="eastAsia"/>
          <w:lang w:eastAsia="zh-TW"/>
        </w:rPr>
        <w:t>相比</w:t>
      </w:r>
      <w:r w:rsidRPr="00B041E4">
        <w:rPr>
          <w:rFonts w:hint="eastAsia"/>
          <w:lang w:eastAsia="zh-TW"/>
        </w:rPr>
        <w:t>，</w:t>
      </w:r>
      <w:r w:rsidR="004253A1">
        <w:rPr>
          <w:rFonts w:hint="eastAsia"/>
          <w:lang w:eastAsia="zh-TW"/>
        </w:rPr>
        <w:t>仍分別低0.2</w:t>
      </w:r>
      <w:r w:rsidR="004253A1" w:rsidRPr="0025348C">
        <w:rPr>
          <w:rFonts w:hint="eastAsia"/>
          <w:lang w:eastAsia="zh-TW"/>
        </w:rPr>
        <w:t>3</w:t>
      </w:r>
      <w:r w:rsidR="004253A1" w:rsidRPr="0025348C">
        <w:rPr>
          <w:rFonts w:hint="eastAsia"/>
        </w:rPr>
        <w:t>個百分點</w:t>
      </w:r>
      <w:r w:rsidR="004253A1" w:rsidRPr="0025348C">
        <w:rPr>
          <w:rFonts w:hint="eastAsia"/>
          <w:lang w:eastAsia="zh-TW"/>
        </w:rPr>
        <w:t>、0.27</w:t>
      </w:r>
      <w:r w:rsidR="004253A1" w:rsidRPr="0025348C">
        <w:rPr>
          <w:rFonts w:hint="eastAsia"/>
        </w:rPr>
        <w:t>個百分點</w:t>
      </w:r>
      <w:r w:rsidR="004253A1" w:rsidRPr="0025348C">
        <w:rPr>
          <w:rFonts w:hint="eastAsia"/>
          <w:lang w:eastAsia="zh-TW"/>
        </w:rPr>
        <w:t>及0.33</w:t>
      </w:r>
      <w:r w:rsidR="004253A1" w:rsidRPr="0025348C">
        <w:rPr>
          <w:rFonts w:hint="eastAsia"/>
        </w:rPr>
        <w:t>個百分點</w:t>
      </w:r>
      <w:r w:rsidR="004253A1">
        <w:rPr>
          <w:rFonts w:hint="eastAsia"/>
          <w:lang w:eastAsia="zh-TW"/>
        </w:rPr>
        <w:t>，</w:t>
      </w:r>
      <w:r w:rsidR="0025348C">
        <w:rPr>
          <w:rFonts w:hint="eastAsia"/>
          <w:lang w:eastAsia="zh-TW"/>
        </w:rPr>
        <w:t>顯示</w:t>
      </w:r>
      <w:r w:rsidR="002F15A7">
        <w:rPr>
          <w:rFonts w:hint="eastAsia"/>
          <w:lang w:eastAsia="zh-TW"/>
        </w:rPr>
        <w:t>其</w:t>
      </w:r>
      <w:r w:rsidR="009E23C4">
        <w:rPr>
          <w:rFonts w:hint="eastAsia"/>
          <w:lang w:eastAsia="zh-TW"/>
        </w:rPr>
        <w:t>資本結構</w:t>
      </w:r>
      <w:r w:rsidR="002F15A7">
        <w:rPr>
          <w:rFonts w:hint="eastAsia"/>
          <w:lang w:eastAsia="zh-TW"/>
        </w:rPr>
        <w:t>雖有逐年增強，然若</w:t>
      </w:r>
      <w:r w:rsidR="00236A3C">
        <w:rPr>
          <w:rFonts w:hint="eastAsia"/>
          <w:lang w:eastAsia="zh-TW"/>
        </w:rPr>
        <w:t>與</w:t>
      </w:r>
      <w:r w:rsidR="009E23C4">
        <w:rPr>
          <w:rFonts w:hint="eastAsia"/>
          <w:lang w:eastAsia="zh-TW"/>
        </w:rPr>
        <w:t>同</w:t>
      </w:r>
      <w:r w:rsidR="00097A46">
        <w:rPr>
          <w:rFonts w:hint="eastAsia"/>
          <w:lang w:eastAsia="zh-TW"/>
        </w:rPr>
        <w:t>業</w:t>
      </w:r>
      <w:r w:rsidR="009E23C4">
        <w:rPr>
          <w:rFonts w:hint="eastAsia"/>
          <w:lang w:eastAsia="zh-TW"/>
        </w:rPr>
        <w:t>平</w:t>
      </w:r>
      <w:r w:rsidR="009E23C4" w:rsidRPr="009E23C4">
        <w:rPr>
          <w:rFonts w:hint="eastAsia"/>
          <w:lang w:eastAsia="zh-TW"/>
        </w:rPr>
        <w:t>均水準</w:t>
      </w:r>
      <w:r w:rsidR="00236A3C">
        <w:rPr>
          <w:rFonts w:hint="eastAsia"/>
          <w:lang w:eastAsia="zh-TW"/>
        </w:rPr>
        <w:t>相較尚有成長空間</w:t>
      </w:r>
      <w:r w:rsidR="0025348C" w:rsidRPr="0025348C">
        <w:rPr>
          <w:rFonts w:hint="eastAsia"/>
          <w:lang w:eastAsia="zh-TW"/>
        </w:rPr>
        <w:t>(詳表1)</w:t>
      </w:r>
      <w:r w:rsidR="0025348C" w:rsidRPr="0025348C">
        <w:rPr>
          <w:rFonts w:hint="eastAsia"/>
        </w:rPr>
        <w:t>，允宜持續</w:t>
      </w:r>
      <w:r w:rsidR="0025348C" w:rsidRPr="009E23C4">
        <w:rPr>
          <w:rFonts w:hint="eastAsia"/>
        </w:rPr>
        <w:t>落實風險性資產管理機制並提升資本使用效益</w:t>
      </w:r>
      <w:r w:rsidR="0025348C">
        <w:rPr>
          <w:rFonts w:hint="eastAsia"/>
        </w:rPr>
        <w:t>，俾利穩健經營</w:t>
      </w:r>
      <w:r w:rsidRPr="009E23C4">
        <w:rPr>
          <w:rFonts w:hint="eastAsia"/>
          <w:lang w:eastAsia="zh-TW"/>
        </w:rPr>
        <w:t>。</w:t>
      </w:r>
    </w:p>
    <w:p w:rsidR="005D1744" w:rsidRPr="008A0934" w:rsidRDefault="005D1744" w:rsidP="0064518E">
      <w:pPr>
        <w:ind w:leftChars="0" w:left="1327" w:rightChars="-50" w:right="-142" w:hangingChars="468" w:hanging="1327"/>
        <w:rPr>
          <w:rFonts w:hAnsi="標楷體"/>
          <w:sz w:val="24"/>
          <w:szCs w:val="24"/>
        </w:rPr>
      </w:pPr>
      <w:r>
        <w:rPr>
          <w:rFonts w:hAnsi="標楷體" w:hint="eastAsia"/>
          <w:b/>
        </w:rPr>
        <w:t>表</w:t>
      </w:r>
      <w:r w:rsidR="0069638D">
        <w:rPr>
          <w:rFonts w:hAnsi="標楷體" w:hint="eastAsia"/>
          <w:b/>
        </w:rPr>
        <w:t>1</w:t>
      </w:r>
      <w:r>
        <w:rPr>
          <w:rFonts w:hAnsi="標楷體" w:hint="eastAsia"/>
          <w:b/>
        </w:rPr>
        <w:t xml:space="preserve">　臺灣土地銀行</w:t>
      </w:r>
      <w:r w:rsidR="007D1A54">
        <w:rPr>
          <w:rFonts w:hAnsi="標楷體" w:hint="eastAsia"/>
          <w:b/>
        </w:rPr>
        <w:t>近年資本適足比率一覽表</w:t>
      </w:r>
      <w:r>
        <w:rPr>
          <w:rFonts w:hAnsi="標楷體" w:hint="eastAsia"/>
          <w:b/>
        </w:rPr>
        <w:t xml:space="preserve">          </w:t>
      </w:r>
      <w:r w:rsidR="00411867">
        <w:rPr>
          <w:rFonts w:hAnsi="標楷體" w:hint="eastAsia"/>
          <w:b/>
        </w:rPr>
        <w:t xml:space="preserve">     </w:t>
      </w:r>
      <w:r>
        <w:rPr>
          <w:rFonts w:hAnsi="標楷體" w:hint="eastAsia"/>
          <w:b/>
        </w:rPr>
        <w:t xml:space="preserve"> </w:t>
      </w:r>
      <w:r w:rsidRPr="008A0934">
        <w:rPr>
          <w:rFonts w:hAnsi="標楷體" w:hint="eastAsia"/>
          <w:sz w:val="24"/>
          <w:szCs w:val="24"/>
        </w:rPr>
        <w:t>單位：%</w:t>
      </w:r>
    </w:p>
    <w:tbl>
      <w:tblPr>
        <w:tblW w:w="8840"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276"/>
        <w:gridCol w:w="2552"/>
        <w:gridCol w:w="1843"/>
        <w:gridCol w:w="1842"/>
        <w:gridCol w:w="1327"/>
      </w:tblGrid>
      <w:tr w:rsidR="005D1744" w:rsidRPr="008A0934" w:rsidTr="00E012BD">
        <w:trPr>
          <w:trHeight w:val="367"/>
          <w:tblHeader/>
        </w:trPr>
        <w:tc>
          <w:tcPr>
            <w:tcW w:w="1276" w:type="dxa"/>
            <w:shd w:val="clear" w:color="auto" w:fill="auto"/>
            <w:vAlign w:val="center"/>
          </w:tcPr>
          <w:p w:rsidR="005D1744" w:rsidRPr="00A53900" w:rsidRDefault="005D1744" w:rsidP="00A53900">
            <w:pPr>
              <w:pStyle w:val="142"/>
              <w:jc w:val="center"/>
              <w:rPr>
                <w:b/>
              </w:rPr>
            </w:pPr>
            <w:r w:rsidRPr="00A53900">
              <w:rPr>
                <w:rFonts w:hint="eastAsia"/>
                <w:b/>
              </w:rPr>
              <w:t>時點</w:t>
            </w:r>
          </w:p>
        </w:tc>
        <w:tc>
          <w:tcPr>
            <w:tcW w:w="2552" w:type="dxa"/>
            <w:shd w:val="clear" w:color="auto" w:fill="auto"/>
            <w:vAlign w:val="center"/>
          </w:tcPr>
          <w:p w:rsidR="005D1744" w:rsidRPr="00A53900" w:rsidRDefault="005D1744" w:rsidP="00A53900">
            <w:pPr>
              <w:pStyle w:val="142"/>
              <w:jc w:val="center"/>
              <w:rPr>
                <w:b/>
              </w:rPr>
            </w:pPr>
            <w:r w:rsidRPr="00A53900">
              <w:rPr>
                <w:rFonts w:hint="eastAsia"/>
                <w:b/>
              </w:rPr>
              <w:t>銀行別</w:t>
            </w:r>
          </w:p>
        </w:tc>
        <w:tc>
          <w:tcPr>
            <w:tcW w:w="1843" w:type="dxa"/>
            <w:shd w:val="clear" w:color="auto" w:fill="auto"/>
            <w:vAlign w:val="center"/>
          </w:tcPr>
          <w:p w:rsidR="005D1744" w:rsidRPr="00A53900" w:rsidRDefault="005D1744" w:rsidP="00A53900">
            <w:pPr>
              <w:pStyle w:val="142"/>
              <w:jc w:val="center"/>
              <w:rPr>
                <w:b/>
              </w:rPr>
            </w:pPr>
            <w:r w:rsidRPr="00A53900">
              <w:rPr>
                <w:rFonts w:hint="eastAsia"/>
                <w:b/>
              </w:rPr>
              <w:t>普通股權益比率</w:t>
            </w:r>
          </w:p>
        </w:tc>
        <w:tc>
          <w:tcPr>
            <w:tcW w:w="1842" w:type="dxa"/>
            <w:shd w:val="clear" w:color="auto" w:fill="auto"/>
            <w:vAlign w:val="center"/>
          </w:tcPr>
          <w:p w:rsidR="005D1744" w:rsidRPr="00A53900" w:rsidRDefault="005D1744" w:rsidP="00A53900">
            <w:pPr>
              <w:pStyle w:val="142"/>
              <w:jc w:val="center"/>
              <w:rPr>
                <w:b/>
              </w:rPr>
            </w:pPr>
            <w:r w:rsidRPr="00A53900">
              <w:rPr>
                <w:rFonts w:hint="eastAsia"/>
                <w:b/>
              </w:rPr>
              <w:t>第一類資本比率</w:t>
            </w:r>
          </w:p>
        </w:tc>
        <w:tc>
          <w:tcPr>
            <w:tcW w:w="1327" w:type="dxa"/>
            <w:shd w:val="clear" w:color="auto" w:fill="auto"/>
            <w:vAlign w:val="center"/>
          </w:tcPr>
          <w:p w:rsidR="005D1744" w:rsidRPr="00A53900" w:rsidRDefault="005D1744" w:rsidP="00A53900">
            <w:pPr>
              <w:pStyle w:val="142"/>
              <w:jc w:val="center"/>
              <w:rPr>
                <w:b/>
              </w:rPr>
            </w:pPr>
            <w:r w:rsidRPr="00A53900">
              <w:rPr>
                <w:rFonts w:hint="eastAsia"/>
                <w:b/>
              </w:rPr>
              <w:t>資本適足率</w:t>
            </w:r>
          </w:p>
        </w:tc>
      </w:tr>
      <w:tr w:rsidR="00E012BD" w:rsidRPr="008A0934" w:rsidTr="00A53900">
        <w:trPr>
          <w:trHeight w:val="340"/>
        </w:trPr>
        <w:tc>
          <w:tcPr>
            <w:tcW w:w="1276" w:type="dxa"/>
            <w:vMerge w:val="restart"/>
            <w:shd w:val="clear" w:color="auto" w:fill="auto"/>
            <w:vAlign w:val="center"/>
          </w:tcPr>
          <w:p w:rsidR="00E012BD" w:rsidRPr="00DA686A" w:rsidRDefault="00E012BD" w:rsidP="00A53900">
            <w:pPr>
              <w:pStyle w:val="142"/>
            </w:pPr>
            <w:r w:rsidRPr="00DA686A">
              <w:rPr>
                <w:rFonts w:hint="eastAsia"/>
              </w:rPr>
              <w:t>10</w:t>
            </w:r>
            <w:r w:rsidRPr="00DA686A">
              <w:t>9</w:t>
            </w:r>
            <w:r w:rsidRPr="00DA686A">
              <w:rPr>
                <w:rFonts w:hint="eastAsia"/>
              </w:rPr>
              <w:t>年底</w:t>
            </w:r>
          </w:p>
        </w:tc>
        <w:tc>
          <w:tcPr>
            <w:tcW w:w="2552" w:type="dxa"/>
            <w:shd w:val="clear" w:color="auto" w:fill="auto"/>
            <w:vAlign w:val="center"/>
          </w:tcPr>
          <w:p w:rsidR="00E012BD" w:rsidRPr="00DA686A" w:rsidRDefault="00E012BD" w:rsidP="00A53900">
            <w:pPr>
              <w:pStyle w:val="142"/>
            </w:pPr>
            <w:r w:rsidRPr="00DA686A">
              <w:rPr>
                <w:rFonts w:hint="eastAsia"/>
              </w:rPr>
              <w:t>臺灣土地銀行</w:t>
            </w:r>
          </w:p>
        </w:tc>
        <w:tc>
          <w:tcPr>
            <w:tcW w:w="1843" w:type="dxa"/>
            <w:shd w:val="clear" w:color="auto" w:fill="auto"/>
            <w:vAlign w:val="center"/>
          </w:tcPr>
          <w:p w:rsidR="00E012BD" w:rsidRPr="00DA686A" w:rsidRDefault="00E012BD" w:rsidP="00A53900">
            <w:pPr>
              <w:pStyle w:val="142"/>
              <w:jc w:val="right"/>
            </w:pPr>
            <w:r w:rsidRPr="00DA686A">
              <w:rPr>
                <w:rFonts w:hint="eastAsia"/>
              </w:rPr>
              <w:t>9.31</w:t>
            </w:r>
          </w:p>
        </w:tc>
        <w:tc>
          <w:tcPr>
            <w:tcW w:w="1842" w:type="dxa"/>
            <w:shd w:val="clear" w:color="auto" w:fill="auto"/>
            <w:vAlign w:val="center"/>
          </w:tcPr>
          <w:p w:rsidR="00E012BD" w:rsidRPr="00DA686A" w:rsidRDefault="00E012BD" w:rsidP="00A53900">
            <w:pPr>
              <w:pStyle w:val="142"/>
              <w:jc w:val="right"/>
            </w:pPr>
            <w:r w:rsidRPr="00DA686A">
              <w:rPr>
                <w:rFonts w:hint="eastAsia"/>
              </w:rPr>
              <w:t>10.6</w:t>
            </w:r>
            <w:r w:rsidRPr="00DA686A">
              <w:t>4</w:t>
            </w:r>
          </w:p>
        </w:tc>
        <w:tc>
          <w:tcPr>
            <w:tcW w:w="1327" w:type="dxa"/>
            <w:shd w:val="clear" w:color="auto" w:fill="auto"/>
            <w:vAlign w:val="center"/>
          </w:tcPr>
          <w:p w:rsidR="00E012BD" w:rsidRPr="00DA686A" w:rsidRDefault="00E012BD" w:rsidP="00A53900">
            <w:pPr>
              <w:pStyle w:val="142"/>
              <w:jc w:val="right"/>
            </w:pPr>
            <w:r w:rsidRPr="00DA686A">
              <w:t>1</w:t>
            </w:r>
            <w:r w:rsidRPr="00DA686A">
              <w:rPr>
                <w:rFonts w:hint="eastAsia"/>
              </w:rPr>
              <w:t>2.89</w:t>
            </w:r>
          </w:p>
        </w:tc>
      </w:tr>
      <w:tr w:rsidR="00E012BD" w:rsidRPr="008A0934" w:rsidTr="00A53900">
        <w:trPr>
          <w:trHeight w:val="340"/>
        </w:trPr>
        <w:tc>
          <w:tcPr>
            <w:tcW w:w="1276" w:type="dxa"/>
            <w:vMerge/>
            <w:shd w:val="clear" w:color="auto" w:fill="auto"/>
            <w:vAlign w:val="center"/>
          </w:tcPr>
          <w:p w:rsidR="00E012BD" w:rsidRPr="00DA686A" w:rsidRDefault="00E012BD" w:rsidP="00A53900">
            <w:pPr>
              <w:pStyle w:val="142"/>
            </w:pPr>
          </w:p>
        </w:tc>
        <w:tc>
          <w:tcPr>
            <w:tcW w:w="2552" w:type="dxa"/>
            <w:shd w:val="clear" w:color="auto" w:fill="auto"/>
            <w:vAlign w:val="center"/>
          </w:tcPr>
          <w:p w:rsidR="00E012BD" w:rsidRPr="00DA686A" w:rsidRDefault="00E012BD" w:rsidP="00A53900">
            <w:pPr>
              <w:pStyle w:val="142"/>
              <w:rPr>
                <w:rFonts w:hint="eastAsia"/>
              </w:rPr>
            </w:pPr>
            <w:r w:rsidRPr="00DA686A">
              <w:rPr>
                <w:rFonts w:hint="eastAsia"/>
              </w:rPr>
              <w:t>本國銀行平均數</w:t>
            </w:r>
          </w:p>
        </w:tc>
        <w:tc>
          <w:tcPr>
            <w:tcW w:w="1843" w:type="dxa"/>
            <w:shd w:val="clear" w:color="auto" w:fill="auto"/>
            <w:vAlign w:val="center"/>
          </w:tcPr>
          <w:p w:rsidR="00E012BD" w:rsidRPr="00DA686A" w:rsidRDefault="00E012BD" w:rsidP="00A53900">
            <w:pPr>
              <w:pStyle w:val="142"/>
              <w:jc w:val="right"/>
              <w:rPr>
                <w:rFonts w:hint="eastAsia"/>
              </w:rPr>
            </w:pPr>
            <w:r w:rsidRPr="00DA686A">
              <w:rPr>
                <w:rFonts w:hint="eastAsia"/>
              </w:rPr>
              <w:t>11.89</w:t>
            </w:r>
          </w:p>
        </w:tc>
        <w:tc>
          <w:tcPr>
            <w:tcW w:w="1842" w:type="dxa"/>
            <w:shd w:val="clear" w:color="auto" w:fill="auto"/>
            <w:vAlign w:val="center"/>
          </w:tcPr>
          <w:p w:rsidR="00E012BD" w:rsidRPr="00DA686A" w:rsidRDefault="00E012BD" w:rsidP="00A53900">
            <w:pPr>
              <w:pStyle w:val="142"/>
              <w:jc w:val="right"/>
              <w:rPr>
                <w:rFonts w:hint="eastAsia"/>
              </w:rPr>
            </w:pPr>
            <w:r w:rsidRPr="00DA686A">
              <w:rPr>
                <w:rFonts w:hint="eastAsia"/>
              </w:rPr>
              <w:t>12.85</w:t>
            </w:r>
          </w:p>
        </w:tc>
        <w:tc>
          <w:tcPr>
            <w:tcW w:w="1327" w:type="dxa"/>
            <w:shd w:val="clear" w:color="auto" w:fill="auto"/>
            <w:vAlign w:val="center"/>
          </w:tcPr>
          <w:p w:rsidR="00E012BD" w:rsidRPr="00DA686A" w:rsidRDefault="00E012BD" w:rsidP="00A53900">
            <w:pPr>
              <w:pStyle w:val="142"/>
              <w:jc w:val="right"/>
              <w:rPr>
                <w:rFonts w:hint="eastAsia"/>
              </w:rPr>
            </w:pPr>
            <w:r w:rsidRPr="00DA686A">
              <w:rPr>
                <w:rFonts w:hint="eastAsia"/>
              </w:rPr>
              <w:t>14.89</w:t>
            </w:r>
          </w:p>
        </w:tc>
      </w:tr>
      <w:tr w:rsidR="00E012BD" w:rsidRPr="008A0934" w:rsidTr="00A53900">
        <w:trPr>
          <w:trHeight w:val="340"/>
        </w:trPr>
        <w:tc>
          <w:tcPr>
            <w:tcW w:w="1276" w:type="dxa"/>
            <w:vMerge/>
            <w:shd w:val="clear" w:color="auto" w:fill="auto"/>
            <w:vAlign w:val="center"/>
          </w:tcPr>
          <w:p w:rsidR="00E012BD" w:rsidRPr="00DA686A" w:rsidRDefault="00E012BD" w:rsidP="00A53900">
            <w:pPr>
              <w:pStyle w:val="142"/>
            </w:pPr>
          </w:p>
        </w:tc>
        <w:tc>
          <w:tcPr>
            <w:tcW w:w="2552" w:type="dxa"/>
            <w:shd w:val="clear" w:color="auto" w:fill="auto"/>
          </w:tcPr>
          <w:p w:rsidR="00E012BD" w:rsidRPr="00E012BD" w:rsidRDefault="00E012BD" w:rsidP="00A53900">
            <w:pPr>
              <w:pStyle w:val="142"/>
              <w:rPr>
                <w:rFonts w:hint="eastAsia"/>
              </w:rPr>
            </w:pPr>
            <w:r w:rsidRPr="00E012BD">
              <w:rPr>
                <w:rFonts w:hint="eastAsia"/>
              </w:rPr>
              <w:t>較本國銀行增</w:t>
            </w:r>
            <w:r>
              <w:rPr>
                <w:rFonts w:hint="eastAsia"/>
              </w:rPr>
              <w:t>加(</w:t>
            </w:r>
            <w:r w:rsidRPr="00E012BD">
              <w:rPr>
                <w:rFonts w:hint="eastAsia"/>
              </w:rPr>
              <w:t>減</w:t>
            </w:r>
            <w:r>
              <w:rPr>
                <w:rFonts w:hint="eastAsia"/>
              </w:rPr>
              <w:t>少)</w:t>
            </w:r>
          </w:p>
        </w:tc>
        <w:tc>
          <w:tcPr>
            <w:tcW w:w="1843" w:type="dxa"/>
            <w:shd w:val="clear" w:color="auto" w:fill="auto"/>
            <w:vAlign w:val="center"/>
          </w:tcPr>
          <w:p w:rsidR="00E012BD" w:rsidRPr="00E012BD" w:rsidRDefault="00E012BD" w:rsidP="00A53900">
            <w:pPr>
              <w:pStyle w:val="142"/>
              <w:jc w:val="right"/>
              <w:rPr>
                <w:rFonts w:hint="eastAsia"/>
              </w:rPr>
            </w:pPr>
            <w:r w:rsidRPr="00E012BD">
              <w:rPr>
                <w:rFonts w:hint="eastAsia"/>
              </w:rPr>
              <w:t>-2.58</w:t>
            </w:r>
          </w:p>
        </w:tc>
        <w:tc>
          <w:tcPr>
            <w:tcW w:w="1842" w:type="dxa"/>
            <w:shd w:val="clear" w:color="auto" w:fill="auto"/>
            <w:vAlign w:val="center"/>
          </w:tcPr>
          <w:p w:rsidR="00E012BD" w:rsidRPr="00E012BD" w:rsidRDefault="00E012BD" w:rsidP="00A53900">
            <w:pPr>
              <w:pStyle w:val="142"/>
              <w:jc w:val="right"/>
              <w:rPr>
                <w:rFonts w:hint="eastAsia"/>
              </w:rPr>
            </w:pPr>
            <w:r w:rsidRPr="00E012BD">
              <w:rPr>
                <w:rFonts w:hint="eastAsia"/>
              </w:rPr>
              <w:t>-2.21</w:t>
            </w:r>
          </w:p>
        </w:tc>
        <w:tc>
          <w:tcPr>
            <w:tcW w:w="1327" w:type="dxa"/>
            <w:shd w:val="clear" w:color="auto" w:fill="auto"/>
            <w:vAlign w:val="center"/>
          </w:tcPr>
          <w:p w:rsidR="00E012BD" w:rsidRPr="00E012BD" w:rsidRDefault="00E012BD" w:rsidP="00A53900">
            <w:pPr>
              <w:pStyle w:val="142"/>
              <w:jc w:val="right"/>
            </w:pPr>
            <w:r w:rsidRPr="00E012BD">
              <w:rPr>
                <w:rFonts w:hint="eastAsia"/>
              </w:rPr>
              <w:t>-2</w:t>
            </w:r>
          </w:p>
        </w:tc>
      </w:tr>
      <w:tr w:rsidR="00E012BD" w:rsidRPr="008A0934" w:rsidTr="00A53900">
        <w:trPr>
          <w:trHeight w:val="340"/>
        </w:trPr>
        <w:tc>
          <w:tcPr>
            <w:tcW w:w="1276" w:type="dxa"/>
            <w:vMerge w:val="restart"/>
            <w:shd w:val="clear" w:color="auto" w:fill="auto"/>
            <w:vAlign w:val="center"/>
          </w:tcPr>
          <w:p w:rsidR="00E012BD" w:rsidRPr="00DA686A" w:rsidRDefault="00E012BD" w:rsidP="00A53900">
            <w:pPr>
              <w:pStyle w:val="142"/>
            </w:pPr>
            <w:r w:rsidRPr="00DA686A">
              <w:rPr>
                <w:rFonts w:hint="eastAsia"/>
              </w:rPr>
              <w:t>110年底</w:t>
            </w:r>
          </w:p>
        </w:tc>
        <w:tc>
          <w:tcPr>
            <w:tcW w:w="2552" w:type="dxa"/>
            <w:shd w:val="clear" w:color="auto" w:fill="auto"/>
            <w:vAlign w:val="center"/>
          </w:tcPr>
          <w:p w:rsidR="00E012BD" w:rsidRPr="00DA686A" w:rsidRDefault="00E012BD" w:rsidP="00A53900">
            <w:pPr>
              <w:pStyle w:val="142"/>
            </w:pPr>
            <w:r w:rsidRPr="00DA686A">
              <w:rPr>
                <w:rFonts w:hint="eastAsia"/>
              </w:rPr>
              <w:t>臺灣土地銀行</w:t>
            </w:r>
          </w:p>
        </w:tc>
        <w:tc>
          <w:tcPr>
            <w:tcW w:w="1843" w:type="dxa"/>
            <w:shd w:val="clear" w:color="auto" w:fill="auto"/>
            <w:vAlign w:val="center"/>
          </w:tcPr>
          <w:p w:rsidR="00E012BD" w:rsidRPr="00DA686A" w:rsidRDefault="00E012BD" w:rsidP="00A53900">
            <w:pPr>
              <w:pStyle w:val="142"/>
              <w:jc w:val="right"/>
            </w:pPr>
            <w:r w:rsidRPr="00DA686A">
              <w:rPr>
                <w:rFonts w:hint="eastAsia"/>
              </w:rPr>
              <w:t>9.7</w:t>
            </w:r>
          </w:p>
        </w:tc>
        <w:tc>
          <w:tcPr>
            <w:tcW w:w="1842" w:type="dxa"/>
            <w:shd w:val="clear" w:color="auto" w:fill="auto"/>
            <w:vAlign w:val="center"/>
          </w:tcPr>
          <w:p w:rsidR="00E012BD" w:rsidRPr="00DA686A" w:rsidRDefault="00E012BD" w:rsidP="00A53900">
            <w:pPr>
              <w:pStyle w:val="142"/>
              <w:jc w:val="right"/>
            </w:pPr>
            <w:r w:rsidRPr="00DA686A">
              <w:rPr>
                <w:rFonts w:hint="eastAsia"/>
              </w:rPr>
              <w:t>11.14</w:t>
            </w:r>
          </w:p>
        </w:tc>
        <w:tc>
          <w:tcPr>
            <w:tcW w:w="1327" w:type="dxa"/>
            <w:shd w:val="clear" w:color="auto" w:fill="auto"/>
            <w:vAlign w:val="center"/>
          </w:tcPr>
          <w:p w:rsidR="00E012BD" w:rsidRPr="00DA686A" w:rsidRDefault="00E012BD" w:rsidP="00A53900">
            <w:pPr>
              <w:pStyle w:val="142"/>
              <w:jc w:val="right"/>
            </w:pPr>
            <w:r w:rsidRPr="00DA686A">
              <w:rPr>
                <w:rFonts w:hint="eastAsia"/>
              </w:rPr>
              <w:t>13.13</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vAlign w:val="center"/>
          </w:tcPr>
          <w:p w:rsidR="00E012BD" w:rsidRPr="00DA686A" w:rsidRDefault="00E012BD" w:rsidP="00A53900">
            <w:pPr>
              <w:pStyle w:val="142"/>
              <w:rPr>
                <w:rFonts w:hint="eastAsia"/>
              </w:rPr>
            </w:pPr>
            <w:r w:rsidRPr="00DA686A">
              <w:rPr>
                <w:rFonts w:hint="eastAsia"/>
              </w:rPr>
              <w:t>本國銀行平均數</w:t>
            </w:r>
          </w:p>
        </w:tc>
        <w:tc>
          <w:tcPr>
            <w:tcW w:w="1843" w:type="dxa"/>
            <w:shd w:val="clear" w:color="auto" w:fill="auto"/>
            <w:vAlign w:val="center"/>
          </w:tcPr>
          <w:p w:rsidR="00E012BD" w:rsidRPr="00DA686A" w:rsidRDefault="00E012BD" w:rsidP="00A53900">
            <w:pPr>
              <w:pStyle w:val="142"/>
              <w:jc w:val="right"/>
            </w:pPr>
            <w:r w:rsidRPr="00DA686A">
              <w:rPr>
                <w:rFonts w:hint="eastAsia"/>
              </w:rPr>
              <w:t>11.99</w:t>
            </w:r>
          </w:p>
        </w:tc>
        <w:tc>
          <w:tcPr>
            <w:tcW w:w="1842" w:type="dxa"/>
            <w:shd w:val="clear" w:color="auto" w:fill="auto"/>
            <w:vAlign w:val="center"/>
          </w:tcPr>
          <w:p w:rsidR="00E012BD" w:rsidRPr="00DA686A" w:rsidRDefault="00E012BD" w:rsidP="00A53900">
            <w:pPr>
              <w:pStyle w:val="142"/>
              <w:jc w:val="right"/>
            </w:pPr>
            <w:r w:rsidRPr="00DA686A">
              <w:rPr>
                <w:rFonts w:hint="eastAsia"/>
              </w:rPr>
              <w:t>13.01</w:t>
            </w:r>
          </w:p>
        </w:tc>
        <w:tc>
          <w:tcPr>
            <w:tcW w:w="1327" w:type="dxa"/>
            <w:shd w:val="clear" w:color="auto" w:fill="auto"/>
            <w:vAlign w:val="center"/>
          </w:tcPr>
          <w:p w:rsidR="00E012BD" w:rsidRPr="00DA686A" w:rsidRDefault="00E012BD" w:rsidP="00A53900">
            <w:pPr>
              <w:pStyle w:val="142"/>
              <w:jc w:val="right"/>
            </w:pPr>
            <w:r w:rsidRPr="00DA686A">
              <w:rPr>
                <w:rFonts w:hint="eastAsia"/>
              </w:rPr>
              <w:t>14.83</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tcPr>
          <w:p w:rsidR="00E012BD" w:rsidRPr="00E012BD" w:rsidRDefault="00E012BD" w:rsidP="00A53900">
            <w:pPr>
              <w:pStyle w:val="142"/>
              <w:rPr>
                <w:rFonts w:hint="eastAsia"/>
              </w:rPr>
            </w:pPr>
            <w:r w:rsidRPr="00E012BD">
              <w:rPr>
                <w:rFonts w:hint="eastAsia"/>
              </w:rPr>
              <w:t>較本國銀行增</w:t>
            </w:r>
            <w:r>
              <w:rPr>
                <w:rFonts w:hint="eastAsia"/>
              </w:rPr>
              <w:t>加(</w:t>
            </w:r>
            <w:r w:rsidRPr="00E012BD">
              <w:rPr>
                <w:rFonts w:hint="eastAsia"/>
              </w:rPr>
              <w:t>減</w:t>
            </w:r>
            <w:r>
              <w:rPr>
                <w:rFonts w:hint="eastAsia"/>
              </w:rPr>
              <w:t>少)</w:t>
            </w:r>
          </w:p>
        </w:tc>
        <w:tc>
          <w:tcPr>
            <w:tcW w:w="1843" w:type="dxa"/>
            <w:shd w:val="clear" w:color="auto" w:fill="auto"/>
            <w:vAlign w:val="center"/>
          </w:tcPr>
          <w:p w:rsidR="00E012BD" w:rsidRPr="008A0174" w:rsidRDefault="00E012BD" w:rsidP="00A53900">
            <w:pPr>
              <w:pStyle w:val="142"/>
              <w:jc w:val="right"/>
            </w:pPr>
            <w:r w:rsidRPr="008A0174">
              <w:t>-2.29</w:t>
            </w:r>
          </w:p>
        </w:tc>
        <w:tc>
          <w:tcPr>
            <w:tcW w:w="1842" w:type="dxa"/>
            <w:shd w:val="clear" w:color="auto" w:fill="auto"/>
            <w:vAlign w:val="center"/>
          </w:tcPr>
          <w:p w:rsidR="00E012BD" w:rsidRPr="008A0174" w:rsidRDefault="00E012BD" w:rsidP="00A53900">
            <w:pPr>
              <w:pStyle w:val="142"/>
              <w:jc w:val="right"/>
            </w:pPr>
            <w:r w:rsidRPr="008A0174">
              <w:t>-1.87</w:t>
            </w:r>
          </w:p>
        </w:tc>
        <w:tc>
          <w:tcPr>
            <w:tcW w:w="1327" w:type="dxa"/>
            <w:shd w:val="clear" w:color="auto" w:fill="auto"/>
            <w:vAlign w:val="center"/>
          </w:tcPr>
          <w:p w:rsidR="00E012BD" w:rsidRDefault="00E012BD" w:rsidP="00A53900">
            <w:pPr>
              <w:pStyle w:val="142"/>
              <w:jc w:val="right"/>
            </w:pPr>
            <w:r w:rsidRPr="008A0174">
              <w:t>-1.7</w:t>
            </w:r>
          </w:p>
        </w:tc>
      </w:tr>
      <w:tr w:rsidR="00E012BD" w:rsidRPr="008A0934" w:rsidTr="00A53900">
        <w:trPr>
          <w:trHeight w:val="340"/>
        </w:trPr>
        <w:tc>
          <w:tcPr>
            <w:tcW w:w="1276" w:type="dxa"/>
            <w:vMerge w:val="restart"/>
            <w:shd w:val="clear" w:color="auto" w:fill="auto"/>
            <w:vAlign w:val="center"/>
          </w:tcPr>
          <w:p w:rsidR="00E012BD" w:rsidRPr="00DA686A" w:rsidRDefault="00E012BD" w:rsidP="00A53900">
            <w:pPr>
              <w:pStyle w:val="142"/>
            </w:pPr>
            <w:r w:rsidRPr="00DA686A">
              <w:rPr>
                <w:rFonts w:hint="eastAsia"/>
              </w:rPr>
              <w:t>111年底</w:t>
            </w:r>
          </w:p>
        </w:tc>
        <w:tc>
          <w:tcPr>
            <w:tcW w:w="2552" w:type="dxa"/>
            <w:shd w:val="clear" w:color="auto" w:fill="auto"/>
            <w:vAlign w:val="center"/>
          </w:tcPr>
          <w:p w:rsidR="00E012BD" w:rsidRPr="00DA686A" w:rsidRDefault="00E012BD" w:rsidP="00A53900">
            <w:pPr>
              <w:pStyle w:val="142"/>
            </w:pPr>
            <w:r w:rsidRPr="00DA686A">
              <w:rPr>
                <w:rFonts w:hint="eastAsia"/>
              </w:rPr>
              <w:t>臺灣土地銀行</w:t>
            </w:r>
          </w:p>
        </w:tc>
        <w:tc>
          <w:tcPr>
            <w:tcW w:w="1843" w:type="dxa"/>
            <w:shd w:val="clear" w:color="auto" w:fill="auto"/>
            <w:vAlign w:val="center"/>
          </w:tcPr>
          <w:p w:rsidR="00E012BD" w:rsidRPr="00DA686A" w:rsidRDefault="00E012BD" w:rsidP="00A53900">
            <w:pPr>
              <w:pStyle w:val="142"/>
              <w:jc w:val="right"/>
            </w:pPr>
            <w:r w:rsidRPr="00DA686A">
              <w:t>9.75</w:t>
            </w:r>
          </w:p>
        </w:tc>
        <w:tc>
          <w:tcPr>
            <w:tcW w:w="1842" w:type="dxa"/>
            <w:shd w:val="clear" w:color="auto" w:fill="auto"/>
            <w:vAlign w:val="center"/>
          </w:tcPr>
          <w:p w:rsidR="00E012BD" w:rsidRPr="00DA686A" w:rsidRDefault="00E012BD" w:rsidP="00A53900">
            <w:pPr>
              <w:pStyle w:val="142"/>
              <w:jc w:val="right"/>
            </w:pPr>
            <w:r w:rsidRPr="00DA686A">
              <w:t>11.12</w:t>
            </w:r>
          </w:p>
        </w:tc>
        <w:tc>
          <w:tcPr>
            <w:tcW w:w="1327" w:type="dxa"/>
            <w:shd w:val="clear" w:color="auto" w:fill="auto"/>
            <w:vAlign w:val="center"/>
          </w:tcPr>
          <w:p w:rsidR="00E012BD" w:rsidRPr="00DA686A" w:rsidRDefault="00E012BD" w:rsidP="00A53900">
            <w:pPr>
              <w:pStyle w:val="142"/>
              <w:jc w:val="right"/>
            </w:pPr>
            <w:r w:rsidRPr="00DA686A">
              <w:t>13.24</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vAlign w:val="center"/>
          </w:tcPr>
          <w:p w:rsidR="00E012BD" w:rsidRPr="00DA686A" w:rsidRDefault="00E012BD" w:rsidP="00A53900">
            <w:pPr>
              <w:pStyle w:val="142"/>
              <w:rPr>
                <w:rFonts w:hint="eastAsia"/>
              </w:rPr>
            </w:pPr>
            <w:r w:rsidRPr="00DA686A">
              <w:rPr>
                <w:rFonts w:hint="eastAsia"/>
              </w:rPr>
              <w:t>本國銀行平均數</w:t>
            </w:r>
          </w:p>
        </w:tc>
        <w:tc>
          <w:tcPr>
            <w:tcW w:w="1843" w:type="dxa"/>
            <w:shd w:val="clear" w:color="auto" w:fill="auto"/>
            <w:vAlign w:val="center"/>
          </w:tcPr>
          <w:p w:rsidR="00E012BD" w:rsidRPr="00DA686A" w:rsidRDefault="00E012BD" w:rsidP="00A53900">
            <w:pPr>
              <w:pStyle w:val="142"/>
              <w:jc w:val="right"/>
            </w:pPr>
            <w:r w:rsidRPr="00DA686A">
              <w:rPr>
                <w:rFonts w:hint="eastAsia"/>
              </w:rPr>
              <w:t>11.17</w:t>
            </w:r>
          </w:p>
        </w:tc>
        <w:tc>
          <w:tcPr>
            <w:tcW w:w="1842" w:type="dxa"/>
            <w:shd w:val="clear" w:color="auto" w:fill="auto"/>
            <w:vAlign w:val="center"/>
          </w:tcPr>
          <w:p w:rsidR="00E012BD" w:rsidRPr="00DA686A" w:rsidRDefault="00E012BD" w:rsidP="00A53900">
            <w:pPr>
              <w:pStyle w:val="142"/>
              <w:jc w:val="right"/>
              <w:rPr>
                <w:rFonts w:hint="eastAsia"/>
              </w:rPr>
            </w:pPr>
            <w:r w:rsidRPr="00DA686A">
              <w:rPr>
                <w:rFonts w:hint="eastAsia"/>
              </w:rPr>
              <w:t>12.48</w:t>
            </w:r>
          </w:p>
        </w:tc>
        <w:tc>
          <w:tcPr>
            <w:tcW w:w="1327" w:type="dxa"/>
            <w:shd w:val="clear" w:color="auto" w:fill="auto"/>
            <w:vAlign w:val="center"/>
          </w:tcPr>
          <w:p w:rsidR="00E012BD" w:rsidRPr="00DA686A" w:rsidRDefault="00E012BD" w:rsidP="00A53900">
            <w:pPr>
              <w:pStyle w:val="142"/>
              <w:jc w:val="right"/>
              <w:rPr>
                <w:rFonts w:hint="eastAsia"/>
              </w:rPr>
            </w:pPr>
            <w:r w:rsidRPr="00DA686A">
              <w:rPr>
                <w:rFonts w:hint="eastAsia"/>
              </w:rPr>
              <w:t>14.7</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tcPr>
          <w:p w:rsidR="00E012BD" w:rsidRPr="00E012BD" w:rsidRDefault="00E012BD" w:rsidP="00A53900">
            <w:pPr>
              <w:pStyle w:val="142"/>
              <w:rPr>
                <w:rFonts w:hint="eastAsia"/>
              </w:rPr>
            </w:pPr>
            <w:r w:rsidRPr="00E012BD">
              <w:rPr>
                <w:rFonts w:hint="eastAsia"/>
              </w:rPr>
              <w:t>較本國銀行增</w:t>
            </w:r>
            <w:r>
              <w:rPr>
                <w:rFonts w:hint="eastAsia"/>
              </w:rPr>
              <w:t>加(</w:t>
            </w:r>
            <w:r w:rsidRPr="00E012BD">
              <w:rPr>
                <w:rFonts w:hint="eastAsia"/>
              </w:rPr>
              <w:t>減</w:t>
            </w:r>
            <w:r>
              <w:rPr>
                <w:rFonts w:hint="eastAsia"/>
              </w:rPr>
              <w:t>少)</w:t>
            </w:r>
          </w:p>
        </w:tc>
        <w:tc>
          <w:tcPr>
            <w:tcW w:w="1843" w:type="dxa"/>
            <w:shd w:val="clear" w:color="auto" w:fill="auto"/>
            <w:vAlign w:val="center"/>
          </w:tcPr>
          <w:p w:rsidR="00E012BD" w:rsidRPr="001C1BE9" w:rsidRDefault="00E012BD" w:rsidP="00A53900">
            <w:pPr>
              <w:pStyle w:val="142"/>
              <w:jc w:val="right"/>
            </w:pPr>
            <w:r w:rsidRPr="001C1BE9">
              <w:t>-1.42</w:t>
            </w:r>
          </w:p>
        </w:tc>
        <w:tc>
          <w:tcPr>
            <w:tcW w:w="1842" w:type="dxa"/>
            <w:shd w:val="clear" w:color="auto" w:fill="auto"/>
            <w:vAlign w:val="center"/>
          </w:tcPr>
          <w:p w:rsidR="00E012BD" w:rsidRPr="001C1BE9" w:rsidRDefault="00E012BD" w:rsidP="00A53900">
            <w:pPr>
              <w:pStyle w:val="142"/>
              <w:jc w:val="right"/>
            </w:pPr>
            <w:r w:rsidRPr="001C1BE9">
              <w:t>-1.36</w:t>
            </w:r>
          </w:p>
        </w:tc>
        <w:tc>
          <w:tcPr>
            <w:tcW w:w="1327" w:type="dxa"/>
            <w:shd w:val="clear" w:color="auto" w:fill="auto"/>
            <w:vAlign w:val="center"/>
          </w:tcPr>
          <w:p w:rsidR="00E012BD" w:rsidRDefault="00E012BD" w:rsidP="00A53900">
            <w:pPr>
              <w:pStyle w:val="142"/>
              <w:jc w:val="right"/>
            </w:pPr>
            <w:r w:rsidRPr="001C1BE9">
              <w:t>-1.46</w:t>
            </w:r>
          </w:p>
        </w:tc>
      </w:tr>
      <w:tr w:rsidR="00E012BD" w:rsidRPr="008A0934" w:rsidTr="00A53900">
        <w:trPr>
          <w:trHeight w:val="340"/>
        </w:trPr>
        <w:tc>
          <w:tcPr>
            <w:tcW w:w="1276" w:type="dxa"/>
            <w:vMerge w:val="restart"/>
            <w:shd w:val="clear" w:color="auto" w:fill="auto"/>
            <w:vAlign w:val="center"/>
          </w:tcPr>
          <w:p w:rsidR="00E012BD" w:rsidRPr="00DA686A" w:rsidRDefault="00E012BD" w:rsidP="00A53900">
            <w:pPr>
              <w:pStyle w:val="142"/>
            </w:pPr>
            <w:r w:rsidRPr="00DA686A">
              <w:rPr>
                <w:rFonts w:hint="eastAsia"/>
              </w:rPr>
              <w:t>11</w:t>
            </w:r>
            <w:r>
              <w:rPr>
                <w:rFonts w:hint="eastAsia"/>
              </w:rPr>
              <w:t>2</w:t>
            </w:r>
            <w:r w:rsidRPr="00DA686A">
              <w:rPr>
                <w:rFonts w:hint="eastAsia"/>
              </w:rPr>
              <w:t>年底</w:t>
            </w:r>
          </w:p>
        </w:tc>
        <w:tc>
          <w:tcPr>
            <w:tcW w:w="2552" w:type="dxa"/>
            <w:shd w:val="clear" w:color="auto" w:fill="auto"/>
            <w:vAlign w:val="center"/>
          </w:tcPr>
          <w:p w:rsidR="00E012BD" w:rsidRPr="00DA686A" w:rsidRDefault="00E012BD" w:rsidP="00A53900">
            <w:pPr>
              <w:pStyle w:val="142"/>
            </w:pPr>
            <w:r w:rsidRPr="00DA686A">
              <w:rPr>
                <w:rFonts w:hint="eastAsia"/>
              </w:rPr>
              <w:t>臺灣土地銀行</w:t>
            </w:r>
          </w:p>
        </w:tc>
        <w:tc>
          <w:tcPr>
            <w:tcW w:w="1843" w:type="dxa"/>
            <w:shd w:val="clear" w:color="auto" w:fill="auto"/>
            <w:vAlign w:val="center"/>
          </w:tcPr>
          <w:p w:rsidR="00E012BD" w:rsidRPr="00BF4984" w:rsidRDefault="00E012BD" w:rsidP="00A53900">
            <w:pPr>
              <w:pStyle w:val="142"/>
              <w:jc w:val="right"/>
            </w:pPr>
            <w:r w:rsidRPr="00BF4984">
              <w:t>10.86</w:t>
            </w:r>
          </w:p>
        </w:tc>
        <w:tc>
          <w:tcPr>
            <w:tcW w:w="1842" w:type="dxa"/>
            <w:shd w:val="clear" w:color="auto" w:fill="auto"/>
            <w:vAlign w:val="center"/>
          </w:tcPr>
          <w:p w:rsidR="00E012BD" w:rsidRPr="00BF4984" w:rsidRDefault="00E012BD" w:rsidP="00A53900">
            <w:pPr>
              <w:pStyle w:val="142"/>
              <w:jc w:val="right"/>
            </w:pPr>
            <w:r w:rsidRPr="00BF4984">
              <w:t>12.28</w:t>
            </w:r>
          </w:p>
        </w:tc>
        <w:tc>
          <w:tcPr>
            <w:tcW w:w="1327" w:type="dxa"/>
            <w:shd w:val="clear" w:color="auto" w:fill="auto"/>
            <w:vAlign w:val="center"/>
          </w:tcPr>
          <w:p w:rsidR="00E012BD" w:rsidRPr="00BF4984" w:rsidRDefault="00E012BD" w:rsidP="00A53900">
            <w:pPr>
              <w:pStyle w:val="142"/>
              <w:jc w:val="right"/>
            </w:pPr>
            <w:r w:rsidRPr="00BF4984">
              <w:t>14.31</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vAlign w:val="center"/>
          </w:tcPr>
          <w:p w:rsidR="00E012BD" w:rsidRPr="00DA686A" w:rsidRDefault="00E012BD" w:rsidP="00A53900">
            <w:pPr>
              <w:pStyle w:val="142"/>
              <w:rPr>
                <w:rFonts w:hint="eastAsia"/>
              </w:rPr>
            </w:pPr>
            <w:r w:rsidRPr="00DA686A">
              <w:rPr>
                <w:rFonts w:hint="eastAsia"/>
              </w:rPr>
              <w:t>本國銀行平均數</w:t>
            </w:r>
          </w:p>
        </w:tc>
        <w:tc>
          <w:tcPr>
            <w:tcW w:w="1843" w:type="dxa"/>
            <w:shd w:val="clear" w:color="auto" w:fill="auto"/>
            <w:vAlign w:val="center"/>
          </w:tcPr>
          <w:p w:rsidR="00E012BD" w:rsidRPr="00BF4984" w:rsidRDefault="00E012BD" w:rsidP="00A53900">
            <w:pPr>
              <w:pStyle w:val="142"/>
              <w:jc w:val="right"/>
            </w:pPr>
            <w:r w:rsidRPr="00BF4984">
              <w:t>11.97</w:t>
            </w:r>
          </w:p>
        </w:tc>
        <w:tc>
          <w:tcPr>
            <w:tcW w:w="1842" w:type="dxa"/>
            <w:shd w:val="clear" w:color="auto" w:fill="auto"/>
            <w:vAlign w:val="center"/>
          </w:tcPr>
          <w:p w:rsidR="00E012BD" w:rsidRPr="00BF4984" w:rsidRDefault="00E012BD" w:rsidP="00A53900">
            <w:pPr>
              <w:pStyle w:val="142"/>
              <w:jc w:val="right"/>
            </w:pPr>
            <w:r w:rsidRPr="00BF4984">
              <w:t>13.25</w:t>
            </w:r>
          </w:p>
        </w:tc>
        <w:tc>
          <w:tcPr>
            <w:tcW w:w="1327" w:type="dxa"/>
            <w:shd w:val="clear" w:color="auto" w:fill="auto"/>
            <w:vAlign w:val="center"/>
          </w:tcPr>
          <w:p w:rsidR="00E012BD" w:rsidRPr="00BF4984" w:rsidRDefault="00E012BD" w:rsidP="00A53900">
            <w:pPr>
              <w:pStyle w:val="142"/>
              <w:jc w:val="right"/>
            </w:pPr>
            <w:r w:rsidRPr="00BF4984">
              <w:t>15.37</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tcPr>
          <w:p w:rsidR="00E012BD" w:rsidRPr="00E012BD" w:rsidRDefault="00E012BD" w:rsidP="00A53900">
            <w:pPr>
              <w:pStyle w:val="142"/>
              <w:rPr>
                <w:rFonts w:hint="eastAsia"/>
              </w:rPr>
            </w:pPr>
            <w:r w:rsidRPr="00E012BD">
              <w:rPr>
                <w:rFonts w:hint="eastAsia"/>
              </w:rPr>
              <w:t>較本國銀行增</w:t>
            </w:r>
            <w:r>
              <w:rPr>
                <w:rFonts w:hint="eastAsia"/>
              </w:rPr>
              <w:t>加(</w:t>
            </w:r>
            <w:r w:rsidRPr="00E012BD">
              <w:rPr>
                <w:rFonts w:hint="eastAsia"/>
              </w:rPr>
              <w:t>減</w:t>
            </w:r>
            <w:r>
              <w:rPr>
                <w:rFonts w:hint="eastAsia"/>
              </w:rPr>
              <w:t>少)</w:t>
            </w:r>
          </w:p>
        </w:tc>
        <w:tc>
          <w:tcPr>
            <w:tcW w:w="1843" w:type="dxa"/>
            <w:shd w:val="clear" w:color="auto" w:fill="auto"/>
            <w:vAlign w:val="center"/>
          </w:tcPr>
          <w:p w:rsidR="00E012BD" w:rsidRPr="001E74E3" w:rsidRDefault="00E012BD" w:rsidP="00A53900">
            <w:pPr>
              <w:pStyle w:val="142"/>
              <w:jc w:val="right"/>
            </w:pPr>
            <w:r w:rsidRPr="001E74E3">
              <w:t>-1.11</w:t>
            </w:r>
          </w:p>
        </w:tc>
        <w:tc>
          <w:tcPr>
            <w:tcW w:w="1842" w:type="dxa"/>
            <w:shd w:val="clear" w:color="auto" w:fill="auto"/>
            <w:vAlign w:val="center"/>
          </w:tcPr>
          <w:p w:rsidR="00E012BD" w:rsidRPr="001E74E3" w:rsidRDefault="00E012BD" w:rsidP="00A53900">
            <w:pPr>
              <w:pStyle w:val="142"/>
              <w:jc w:val="right"/>
            </w:pPr>
            <w:r w:rsidRPr="001E74E3">
              <w:t>-0.97</w:t>
            </w:r>
          </w:p>
        </w:tc>
        <w:tc>
          <w:tcPr>
            <w:tcW w:w="1327" w:type="dxa"/>
            <w:shd w:val="clear" w:color="auto" w:fill="auto"/>
            <w:vAlign w:val="center"/>
          </w:tcPr>
          <w:p w:rsidR="00E012BD" w:rsidRDefault="00E012BD" w:rsidP="00A53900">
            <w:pPr>
              <w:pStyle w:val="142"/>
              <w:jc w:val="right"/>
            </w:pPr>
            <w:r w:rsidRPr="001E74E3">
              <w:t>-1.06</w:t>
            </w:r>
          </w:p>
        </w:tc>
      </w:tr>
      <w:tr w:rsidR="00E012BD" w:rsidRPr="008A0934" w:rsidTr="00A53900">
        <w:trPr>
          <w:trHeight w:val="340"/>
        </w:trPr>
        <w:tc>
          <w:tcPr>
            <w:tcW w:w="1276" w:type="dxa"/>
            <w:vMerge w:val="restart"/>
            <w:shd w:val="clear" w:color="auto" w:fill="auto"/>
            <w:vAlign w:val="center"/>
          </w:tcPr>
          <w:p w:rsidR="00E012BD" w:rsidRDefault="00E012BD" w:rsidP="00A53900">
            <w:pPr>
              <w:pStyle w:val="142"/>
            </w:pPr>
            <w:r w:rsidRPr="00DA686A">
              <w:rPr>
                <w:rFonts w:hint="eastAsia"/>
              </w:rPr>
              <w:t>截至11</w:t>
            </w:r>
            <w:r>
              <w:rPr>
                <w:rFonts w:hint="eastAsia"/>
              </w:rPr>
              <w:t>3</w:t>
            </w:r>
          </w:p>
          <w:p w:rsidR="00E012BD" w:rsidRPr="00DA686A" w:rsidRDefault="00E012BD" w:rsidP="00A53900">
            <w:pPr>
              <w:pStyle w:val="142"/>
            </w:pPr>
            <w:r w:rsidRPr="00DA686A">
              <w:rPr>
                <w:rFonts w:hint="eastAsia"/>
              </w:rPr>
              <w:t>年6月底</w:t>
            </w:r>
            <w:r>
              <w:rPr>
                <w:rFonts w:hint="eastAsia"/>
              </w:rPr>
              <w:t>止</w:t>
            </w:r>
          </w:p>
        </w:tc>
        <w:tc>
          <w:tcPr>
            <w:tcW w:w="2552" w:type="dxa"/>
            <w:shd w:val="clear" w:color="auto" w:fill="auto"/>
            <w:vAlign w:val="center"/>
          </w:tcPr>
          <w:p w:rsidR="00E012BD" w:rsidRPr="00DA686A" w:rsidRDefault="00E012BD" w:rsidP="00A53900">
            <w:pPr>
              <w:pStyle w:val="142"/>
            </w:pPr>
            <w:r w:rsidRPr="00DA686A">
              <w:rPr>
                <w:rFonts w:hint="eastAsia"/>
              </w:rPr>
              <w:t>臺灣土地銀行</w:t>
            </w:r>
          </w:p>
        </w:tc>
        <w:tc>
          <w:tcPr>
            <w:tcW w:w="1843" w:type="dxa"/>
            <w:shd w:val="clear" w:color="auto" w:fill="auto"/>
            <w:vAlign w:val="center"/>
          </w:tcPr>
          <w:p w:rsidR="00E012BD" w:rsidRPr="009B7B28" w:rsidRDefault="00E012BD" w:rsidP="00A53900">
            <w:pPr>
              <w:pStyle w:val="142"/>
              <w:jc w:val="right"/>
            </w:pPr>
            <w:r>
              <w:t>11.26</w:t>
            </w:r>
          </w:p>
        </w:tc>
        <w:tc>
          <w:tcPr>
            <w:tcW w:w="1842" w:type="dxa"/>
            <w:shd w:val="clear" w:color="auto" w:fill="auto"/>
            <w:vAlign w:val="center"/>
          </w:tcPr>
          <w:p w:rsidR="00E012BD" w:rsidRPr="009B7B28" w:rsidRDefault="00E012BD" w:rsidP="00A53900">
            <w:pPr>
              <w:pStyle w:val="142"/>
              <w:jc w:val="right"/>
            </w:pPr>
            <w:r>
              <w:t>12.43</w:t>
            </w:r>
          </w:p>
        </w:tc>
        <w:tc>
          <w:tcPr>
            <w:tcW w:w="1327" w:type="dxa"/>
            <w:shd w:val="clear" w:color="auto" w:fill="auto"/>
            <w:vAlign w:val="center"/>
          </w:tcPr>
          <w:p w:rsidR="00E012BD" w:rsidRPr="009B7B28" w:rsidRDefault="00E012BD" w:rsidP="00A53900">
            <w:pPr>
              <w:pStyle w:val="142"/>
              <w:jc w:val="right"/>
            </w:pPr>
            <w:r>
              <w:t>14.46</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vAlign w:val="center"/>
          </w:tcPr>
          <w:p w:rsidR="00E012BD" w:rsidRPr="00DA686A" w:rsidRDefault="00E012BD" w:rsidP="00A53900">
            <w:pPr>
              <w:pStyle w:val="142"/>
              <w:rPr>
                <w:rFonts w:hint="eastAsia"/>
              </w:rPr>
            </w:pPr>
            <w:r w:rsidRPr="00DA686A">
              <w:rPr>
                <w:rFonts w:hint="eastAsia"/>
              </w:rPr>
              <w:t>本國銀行平均數</w:t>
            </w:r>
          </w:p>
        </w:tc>
        <w:tc>
          <w:tcPr>
            <w:tcW w:w="1843" w:type="dxa"/>
            <w:shd w:val="clear" w:color="auto" w:fill="auto"/>
            <w:vAlign w:val="center"/>
          </w:tcPr>
          <w:p w:rsidR="00E012BD" w:rsidRPr="00BF4984" w:rsidRDefault="00E012BD" w:rsidP="00A53900">
            <w:pPr>
              <w:pStyle w:val="142"/>
              <w:jc w:val="right"/>
            </w:pPr>
            <w:r w:rsidRPr="00BF4984">
              <w:t>11.49</w:t>
            </w:r>
          </w:p>
        </w:tc>
        <w:tc>
          <w:tcPr>
            <w:tcW w:w="1842" w:type="dxa"/>
            <w:shd w:val="clear" w:color="auto" w:fill="auto"/>
            <w:vAlign w:val="center"/>
          </w:tcPr>
          <w:p w:rsidR="00E012BD" w:rsidRPr="00BF4984" w:rsidRDefault="00E012BD" w:rsidP="00A53900">
            <w:pPr>
              <w:pStyle w:val="142"/>
              <w:jc w:val="right"/>
            </w:pPr>
            <w:r w:rsidRPr="00BF4984">
              <w:t>12.70</w:t>
            </w:r>
          </w:p>
        </w:tc>
        <w:tc>
          <w:tcPr>
            <w:tcW w:w="1327" w:type="dxa"/>
            <w:shd w:val="clear" w:color="auto" w:fill="auto"/>
            <w:vAlign w:val="center"/>
          </w:tcPr>
          <w:p w:rsidR="00E012BD" w:rsidRPr="00BF4984" w:rsidRDefault="00E012BD" w:rsidP="00A53900">
            <w:pPr>
              <w:pStyle w:val="142"/>
              <w:jc w:val="right"/>
            </w:pPr>
            <w:r w:rsidRPr="00BF4984">
              <w:t>14.79</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tcPr>
          <w:p w:rsidR="00E012BD" w:rsidRPr="00E012BD" w:rsidRDefault="00E012BD" w:rsidP="00A53900">
            <w:pPr>
              <w:pStyle w:val="142"/>
              <w:rPr>
                <w:rFonts w:hint="eastAsia"/>
              </w:rPr>
            </w:pPr>
            <w:r w:rsidRPr="00E012BD">
              <w:rPr>
                <w:rFonts w:hint="eastAsia"/>
              </w:rPr>
              <w:t>較本國銀行增</w:t>
            </w:r>
            <w:r>
              <w:rPr>
                <w:rFonts w:hint="eastAsia"/>
              </w:rPr>
              <w:t>加(</w:t>
            </w:r>
            <w:r w:rsidRPr="00E012BD">
              <w:rPr>
                <w:rFonts w:hint="eastAsia"/>
              </w:rPr>
              <w:t>減</w:t>
            </w:r>
            <w:r>
              <w:rPr>
                <w:rFonts w:hint="eastAsia"/>
              </w:rPr>
              <w:t>少)</w:t>
            </w:r>
          </w:p>
        </w:tc>
        <w:tc>
          <w:tcPr>
            <w:tcW w:w="1843" w:type="dxa"/>
            <w:shd w:val="clear" w:color="auto" w:fill="auto"/>
            <w:vAlign w:val="center"/>
          </w:tcPr>
          <w:p w:rsidR="00E012BD" w:rsidRPr="00E012BD" w:rsidRDefault="00E012BD" w:rsidP="00A53900">
            <w:pPr>
              <w:pStyle w:val="142"/>
              <w:jc w:val="right"/>
            </w:pPr>
            <w:r w:rsidRPr="00E012BD">
              <w:t>-0.23</w:t>
            </w:r>
          </w:p>
        </w:tc>
        <w:tc>
          <w:tcPr>
            <w:tcW w:w="1842" w:type="dxa"/>
            <w:shd w:val="clear" w:color="auto" w:fill="auto"/>
            <w:vAlign w:val="center"/>
          </w:tcPr>
          <w:p w:rsidR="00E012BD" w:rsidRPr="00E012BD" w:rsidRDefault="00E012BD" w:rsidP="00A53900">
            <w:pPr>
              <w:pStyle w:val="142"/>
              <w:jc w:val="right"/>
            </w:pPr>
            <w:r w:rsidRPr="00E012BD">
              <w:t>-0.27</w:t>
            </w:r>
          </w:p>
        </w:tc>
        <w:tc>
          <w:tcPr>
            <w:tcW w:w="1327" w:type="dxa"/>
            <w:shd w:val="clear" w:color="auto" w:fill="auto"/>
            <w:vAlign w:val="center"/>
          </w:tcPr>
          <w:p w:rsidR="00E012BD" w:rsidRPr="00E012BD" w:rsidRDefault="00E012BD" w:rsidP="00A53900">
            <w:pPr>
              <w:pStyle w:val="142"/>
              <w:jc w:val="right"/>
            </w:pPr>
            <w:r w:rsidRPr="00E012BD">
              <w:t>-0.33</w:t>
            </w:r>
          </w:p>
        </w:tc>
      </w:tr>
    </w:tbl>
    <w:p w:rsidR="005D1744" w:rsidRDefault="005D1744" w:rsidP="0064518E">
      <w:pPr>
        <w:pStyle w:val="142"/>
        <w:ind w:left="1795" w:hangingChars="738" w:hanging="1795"/>
        <w:jc w:val="both"/>
        <w:rPr>
          <w:rFonts w:hAnsi="標楷體"/>
          <w:szCs w:val="24"/>
        </w:rPr>
      </w:pPr>
      <w:r>
        <w:rPr>
          <w:rFonts w:hAnsi="標楷體" w:hint="eastAsia"/>
          <w:szCs w:val="24"/>
        </w:rPr>
        <w:t>資料來源：</w:t>
      </w:r>
      <w:r w:rsidRPr="008A0934">
        <w:rPr>
          <w:rFonts w:hAnsi="標楷體" w:hint="eastAsia"/>
          <w:szCs w:val="24"/>
        </w:rPr>
        <w:t>金管會銀行局網站</w:t>
      </w:r>
      <w:r>
        <w:rPr>
          <w:rFonts w:hAnsi="標楷體" w:hint="eastAsia"/>
          <w:szCs w:val="24"/>
        </w:rPr>
        <w:t>(</w:t>
      </w:r>
      <w:r w:rsidR="005C4EC9">
        <w:rPr>
          <w:rFonts w:hAnsi="標楷體" w:hint="eastAsia"/>
          <w:szCs w:val="24"/>
          <w:lang w:eastAsia="zh-TW"/>
        </w:rPr>
        <w:t>查詢日期：</w:t>
      </w:r>
      <w:r>
        <w:rPr>
          <w:rFonts w:hAnsi="標楷體" w:hint="eastAsia"/>
          <w:szCs w:val="24"/>
        </w:rPr>
        <w:t>11</w:t>
      </w:r>
      <w:r w:rsidR="009B7B28">
        <w:rPr>
          <w:rFonts w:hAnsi="標楷體" w:hint="eastAsia"/>
          <w:szCs w:val="24"/>
          <w:lang w:eastAsia="zh-TW"/>
        </w:rPr>
        <w:t>3</w:t>
      </w:r>
      <w:r>
        <w:rPr>
          <w:rFonts w:hAnsi="標楷體" w:hint="eastAsia"/>
          <w:szCs w:val="24"/>
        </w:rPr>
        <w:t>年</w:t>
      </w:r>
      <w:r w:rsidR="003D078E">
        <w:rPr>
          <w:rFonts w:hAnsi="標楷體" w:hint="eastAsia"/>
          <w:szCs w:val="24"/>
          <w:lang w:eastAsia="zh-TW"/>
        </w:rPr>
        <w:t>11</w:t>
      </w:r>
      <w:r>
        <w:rPr>
          <w:rFonts w:hAnsi="標楷體" w:hint="eastAsia"/>
          <w:szCs w:val="24"/>
        </w:rPr>
        <w:t>月</w:t>
      </w:r>
      <w:r w:rsidR="003D078E">
        <w:rPr>
          <w:rFonts w:hAnsi="標楷體" w:hint="eastAsia"/>
          <w:szCs w:val="24"/>
          <w:lang w:eastAsia="zh-TW"/>
        </w:rPr>
        <w:t>4</w:t>
      </w:r>
      <w:r>
        <w:rPr>
          <w:rFonts w:hAnsi="標楷體" w:hint="eastAsia"/>
          <w:szCs w:val="24"/>
          <w:lang w:eastAsia="zh-TW"/>
        </w:rPr>
        <w:t>日</w:t>
      </w:r>
      <w:r>
        <w:rPr>
          <w:rFonts w:hAnsi="標楷體" w:hint="eastAsia"/>
          <w:szCs w:val="24"/>
        </w:rPr>
        <w:t>)</w:t>
      </w:r>
      <w:r w:rsidRPr="008A0934">
        <w:rPr>
          <w:rFonts w:hAnsi="標楷體" w:hint="eastAsia"/>
          <w:szCs w:val="24"/>
        </w:rPr>
        <w:t>。</w:t>
      </w:r>
    </w:p>
    <w:p w:rsidR="00FA757B" w:rsidRDefault="005D1744" w:rsidP="005D1744">
      <w:pPr>
        <w:ind w:left="566" w:firstLine="566"/>
        <w:rPr>
          <w:rFonts w:hAnsi="標楷體"/>
        </w:rPr>
      </w:pPr>
      <w:r w:rsidRPr="008A0934">
        <w:rPr>
          <w:rFonts w:hint="eastAsia"/>
        </w:rPr>
        <w:t>綜上，臺灣土地銀行</w:t>
      </w:r>
      <w:r>
        <w:rPr>
          <w:rFonts w:hint="eastAsia"/>
        </w:rPr>
        <w:t>近年資本適足比率</w:t>
      </w:r>
      <w:r w:rsidR="003D078E">
        <w:rPr>
          <w:rFonts w:hint="eastAsia"/>
        </w:rPr>
        <w:t>雖已概呈逐年強化之趨勢</w:t>
      </w:r>
      <w:r w:rsidRPr="00574152">
        <w:rPr>
          <w:rFonts w:hint="eastAsia"/>
        </w:rPr>
        <w:t>，</w:t>
      </w:r>
      <w:r w:rsidR="009C23DB">
        <w:rPr>
          <w:rFonts w:hint="eastAsia"/>
        </w:rPr>
        <w:t>惟仍</w:t>
      </w:r>
      <w:r w:rsidR="003D078E">
        <w:rPr>
          <w:rFonts w:hint="eastAsia"/>
        </w:rPr>
        <w:t>較各年度</w:t>
      </w:r>
      <w:r w:rsidR="007A18F3">
        <w:rPr>
          <w:rFonts w:hint="eastAsia"/>
        </w:rPr>
        <w:t>之</w:t>
      </w:r>
      <w:r w:rsidR="003D078E">
        <w:rPr>
          <w:rFonts w:hint="eastAsia"/>
        </w:rPr>
        <w:t>本國銀行</w:t>
      </w:r>
      <w:r>
        <w:rPr>
          <w:rFonts w:hint="eastAsia"/>
        </w:rPr>
        <w:t>平均</w:t>
      </w:r>
      <w:r w:rsidR="003D078E">
        <w:rPr>
          <w:rFonts w:hint="eastAsia"/>
        </w:rPr>
        <w:t>值為低</w:t>
      </w:r>
      <w:r w:rsidRPr="008A0934">
        <w:rPr>
          <w:rFonts w:hint="eastAsia"/>
        </w:rPr>
        <w:t>，資本結構</w:t>
      </w:r>
      <w:r>
        <w:rPr>
          <w:rFonts w:hint="eastAsia"/>
        </w:rPr>
        <w:t>相對</w:t>
      </w:r>
      <w:r w:rsidRPr="008A0934">
        <w:rPr>
          <w:rFonts w:hint="eastAsia"/>
        </w:rPr>
        <w:t>偏弱</w:t>
      </w:r>
      <w:r w:rsidR="009C23DB">
        <w:rPr>
          <w:rFonts w:hint="eastAsia"/>
        </w:rPr>
        <w:t>，</w:t>
      </w:r>
      <w:r>
        <w:rPr>
          <w:rFonts w:hint="eastAsia"/>
        </w:rPr>
        <w:t>鑑於資本適足比率係反映銀行於提升財務績效之餘，其風險承受能力與經營韌性程度，</w:t>
      </w:r>
      <w:r w:rsidRPr="008A0934">
        <w:rPr>
          <w:rFonts w:hint="eastAsia"/>
        </w:rPr>
        <w:t>允</w:t>
      </w:r>
      <w:r w:rsidR="009E23C4" w:rsidRPr="009E23C4">
        <w:rPr>
          <w:rFonts w:hint="eastAsia"/>
        </w:rPr>
        <w:t>宜持續落實風險性資產管理機制並提升資本使用效益</w:t>
      </w:r>
      <w:r>
        <w:rPr>
          <w:rFonts w:hint="eastAsia"/>
        </w:rPr>
        <w:t>，俾利穩健經營</w:t>
      </w:r>
      <w:r w:rsidRPr="008A0934">
        <w:rPr>
          <w:rFonts w:hAnsi="標楷體" w:hint="eastAsia"/>
        </w:rPr>
        <w:t>。</w:t>
      </w:r>
    </w:p>
    <w:sectPr w:rsidR="00FA757B" w:rsidSect="00305F7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FE9" w:rsidRDefault="00126FE9" w:rsidP="006D696D">
      <w:pPr>
        <w:spacing w:line="240" w:lineRule="auto"/>
        <w:ind w:left="560" w:firstLine="560"/>
      </w:pPr>
      <w:r>
        <w:separator/>
      </w:r>
    </w:p>
  </w:endnote>
  <w:endnote w:type="continuationSeparator" w:id="0">
    <w:p w:rsidR="00126FE9" w:rsidRDefault="00126FE9" w:rsidP="006D696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14" w:rsidRDefault="008D2414" w:rsidP="006D696D">
    <w:pPr>
      <w:pStyle w:val="af2"/>
      <w:framePr w:wrap="around" w:vAnchor="text" w:hAnchor="margin" w:xAlign="center" w:y="1"/>
      <w:ind w:left="560" w:firstLine="400"/>
      <w:textDirection w:val="btLr"/>
      <w:rPr>
        <w:rStyle w:val="af1"/>
      </w:rPr>
    </w:pPr>
    <w:r>
      <w:rPr>
        <w:rStyle w:val="af1"/>
      </w:rPr>
      <w:fldChar w:fldCharType="begin"/>
    </w:r>
    <w:r>
      <w:rPr>
        <w:rStyle w:val="af1"/>
      </w:rPr>
      <w:instrText xml:space="preserve">PAGE  </w:instrText>
    </w:r>
    <w:r>
      <w:rPr>
        <w:rStyle w:val="af1"/>
      </w:rPr>
      <w:fldChar w:fldCharType="separate"/>
    </w:r>
    <w:r>
      <w:rPr>
        <w:rStyle w:val="af1"/>
        <w:rFonts w:hint="eastAsia"/>
        <w:noProof/>
      </w:rPr>
      <w:t>一</w:t>
    </w:r>
    <w:r>
      <w:rPr>
        <w:rStyle w:val="af1"/>
      </w:rPr>
      <w:fldChar w:fldCharType="end"/>
    </w:r>
  </w:p>
  <w:p w:rsidR="008D2414" w:rsidRDefault="008D2414" w:rsidP="006D696D">
    <w:pPr>
      <w:pStyle w:val="af2"/>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14" w:rsidRPr="008320F9" w:rsidRDefault="008D2414" w:rsidP="00CD4BCB">
    <w:pPr>
      <w:pStyle w:val="af2"/>
      <w:framePr w:wrap="around" w:vAnchor="text" w:hAnchor="page" w:x="5836" w:y="7"/>
      <w:ind w:leftChars="0" w:left="0" w:firstLineChars="0" w:firstLine="0"/>
      <w:rPr>
        <w:rStyle w:val="af1"/>
        <w:rFonts w:ascii="標楷體" w:hAnsi="標楷體"/>
      </w:rPr>
    </w:pPr>
    <w:r w:rsidRPr="008320F9">
      <w:rPr>
        <w:rStyle w:val="af1"/>
        <w:rFonts w:ascii="標楷體" w:hAnsi="標楷體"/>
      </w:rPr>
      <w:fldChar w:fldCharType="begin"/>
    </w:r>
    <w:r w:rsidRPr="008320F9">
      <w:rPr>
        <w:rStyle w:val="af1"/>
        <w:rFonts w:ascii="標楷體" w:hAnsi="標楷體"/>
      </w:rPr>
      <w:instrText xml:space="preserve">PAGE  </w:instrText>
    </w:r>
    <w:r w:rsidRPr="008320F9">
      <w:rPr>
        <w:rStyle w:val="af1"/>
        <w:rFonts w:ascii="標楷體" w:hAnsi="標楷體"/>
      </w:rPr>
      <w:fldChar w:fldCharType="separate"/>
    </w:r>
    <w:r w:rsidR="00D30B7C">
      <w:rPr>
        <w:rStyle w:val="af1"/>
        <w:rFonts w:ascii="標楷體" w:hAnsi="標楷體"/>
        <w:noProof/>
      </w:rPr>
      <w:t>3</w:t>
    </w:r>
    <w:r w:rsidRPr="008320F9">
      <w:rPr>
        <w:rStyle w:val="af1"/>
        <w:rFonts w:ascii="標楷體" w:hAnsi="標楷體"/>
      </w:rPr>
      <w:fldChar w:fldCharType="end"/>
    </w:r>
  </w:p>
  <w:p w:rsidR="008D2414" w:rsidRPr="009E56BE" w:rsidRDefault="008D2414" w:rsidP="00243FFD">
    <w:pPr>
      <w:pStyle w:val="af2"/>
      <w:ind w:leftChars="0" w:left="566" w:firstLineChars="0" w:firstLine="406"/>
      <w:rPr>
        <w:rStyle w:val="af1"/>
        <w:rFonts w:ascii="標楷體" w:hAnsi="標楷體"/>
        <w:noProof/>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14" w:rsidRPr="00436B28" w:rsidRDefault="008D2414" w:rsidP="000F1AC9">
    <w:pPr>
      <w:pStyle w:val="af2"/>
      <w:ind w:leftChars="0" w:left="566" w:firstLineChars="0" w:firstLine="406"/>
      <w:jc w:val="center"/>
      <w:rPr>
        <w:rFonts w:ascii="標楷體" w:hAnsi="標楷體"/>
      </w:rPr>
    </w:pPr>
    <w:r w:rsidRPr="00436B28">
      <w:rPr>
        <w:rFonts w:ascii="標楷體" w:hAnsi="標楷體" w:hint="eastAsia"/>
      </w:rPr>
      <w:t>106-</w:t>
    </w:r>
    <w:r>
      <w:rPr>
        <w:rFonts w:ascii="標楷體" w:hAnsi="標楷體" w:hint="eastAsia"/>
      </w:rPr>
      <w:t>283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FE9" w:rsidRDefault="00126FE9" w:rsidP="006D696D">
      <w:pPr>
        <w:spacing w:line="240" w:lineRule="auto"/>
        <w:ind w:left="560" w:firstLine="560"/>
      </w:pPr>
      <w:r>
        <w:separator/>
      </w:r>
    </w:p>
  </w:footnote>
  <w:footnote w:type="continuationSeparator" w:id="0">
    <w:p w:rsidR="00126FE9" w:rsidRDefault="00126FE9" w:rsidP="006D696D">
      <w:pPr>
        <w:spacing w:line="240" w:lineRule="auto"/>
        <w:ind w:left="560" w:firstLine="560"/>
      </w:pPr>
      <w:r>
        <w:continuationSeparator/>
      </w:r>
    </w:p>
  </w:footnote>
  <w:footnote w:id="1">
    <w:p w:rsidR="008D2414" w:rsidRPr="00E36306" w:rsidRDefault="008D2414" w:rsidP="00E36CFF">
      <w:pPr>
        <w:pStyle w:val="142"/>
        <w:ind w:left="195" w:hangingChars="80" w:hanging="195"/>
        <w:rPr>
          <w:rFonts w:hint="eastAsia"/>
          <w:lang w:eastAsia="zh-TW"/>
        </w:rPr>
      </w:pPr>
      <w:r>
        <w:rPr>
          <w:rStyle w:val="af6"/>
        </w:rPr>
        <w:footnoteRef/>
      </w:r>
      <w:r>
        <w:t xml:space="preserve"> 此處所述</w:t>
      </w:r>
      <w:r>
        <w:rPr>
          <w:rFonts w:hint="eastAsia"/>
          <w:lang w:eastAsia="zh-TW"/>
        </w:rPr>
        <w:t>辦法非現行最新規範，金管會已陸續於103年1月9日及108年12月23日修正該辦法。</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14" w:rsidRDefault="008D2414" w:rsidP="006D696D">
    <w:pPr>
      <w:pStyle w:val="af"/>
      <w:framePr w:wrap="around" w:vAnchor="text" w:hAnchor="margin" w:xAlign="right" w:y="1"/>
      <w:ind w:left="560" w:firstLine="400"/>
      <w:rPr>
        <w:rStyle w:val="af1"/>
      </w:rPr>
    </w:pPr>
    <w:r>
      <w:rPr>
        <w:rStyle w:val="af1"/>
      </w:rPr>
      <w:fldChar w:fldCharType="begin"/>
    </w:r>
    <w:r>
      <w:rPr>
        <w:rStyle w:val="af1"/>
      </w:rPr>
      <w:instrText xml:space="preserve">PAGE  </w:instrText>
    </w:r>
    <w:r>
      <w:rPr>
        <w:rStyle w:val="af1"/>
      </w:rPr>
      <w:fldChar w:fldCharType="end"/>
    </w:r>
  </w:p>
  <w:p w:rsidR="008D2414" w:rsidRDefault="008D2414" w:rsidP="006D696D">
    <w:pPr>
      <w:pStyle w:val="af"/>
      <w:framePr w:wrap="around" w:vAnchor="text" w:hAnchor="margin" w:xAlign="right" w:y="1"/>
      <w:ind w:left="560" w:rightChars="129" w:right="361" w:firstLine="400"/>
      <w:rPr>
        <w:rStyle w:val="af1"/>
      </w:rPr>
    </w:pPr>
    <w:r>
      <w:rPr>
        <w:rStyle w:val="af1"/>
      </w:rPr>
      <w:fldChar w:fldCharType="begin"/>
    </w:r>
    <w:r>
      <w:rPr>
        <w:rStyle w:val="af1"/>
      </w:rPr>
      <w:instrText xml:space="preserve">PAGE  </w:instrText>
    </w:r>
    <w:r>
      <w:rPr>
        <w:rStyle w:val="af1"/>
      </w:rPr>
      <w:fldChar w:fldCharType="end"/>
    </w:r>
  </w:p>
  <w:p w:rsidR="008D2414" w:rsidRDefault="008D2414" w:rsidP="006D696D">
    <w:pPr>
      <w:pStyle w:val="af"/>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14" w:rsidRPr="007E4706" w:rsidRDefault="008D2414" w:rsidP="006D696D">
    <w:pPr>
      <w:pStyle w:val="af"/>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14" w:rsidRDefault="008D2414" w:rsidP="006D696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74977"/>
    <w:multiLevelType w:val="hybridMultilevel"/>
    <w:tmpl w:val="8056C05C"/>
    <w:lvl w:ilvl="0" w:tplc="25DCD2AA">
      <w:start w:val="1"/>
      <w:numFmt w:val="taiwaneseCountingThousand"/>
      <w:lvlText w:val="(%1)"/>
      <w:lvlJc w:val="left"/>
      <w:pPr>
        <w:ind w:left="1570" w:hanging="72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E137F86"/>
    <w:multiLevelType w:val="hybridMultilevel"/>
    <w:tmpl w:val="6B2AC408"/>
    <w:lvl w:ilvl="0" w:tplc="097891F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68AA1A3B"/>
    <w:multiLevelType w:val="hybridMultilevel"/>
    <w:tmpl w:val="9E4C3C42"/>
    <w:lvl w:ilvl="0" w:tplc="A49CA30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3"/>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A0F4F"/>
    <w:rsid w:val="000013A2"/>
    <w:rsid w:val="000039DB"/>
    <w:rsid w:val="00003AE1"/>
    <w:rsid w:val="00003EFE"/>
    <w:rsid w:val="00003F0B"/>
    <w:rsid w:val="0000410C"/>
    <w:rsid w:val="00004508"/>
    <w:rsid w:val="000049C6"/>
    <w:rsid w:val="00005CD3"/>
    <w:rsid w:val="00005EC9"/>
    <w:rsid w:val="00005F59"/>
    <w:rsid w:val="00006094"/>
    <w:rsid w:val="000063E9"/>
    <w:rsid w:val="00006DDD"/>
    <w:rsid w:val="00006F1C"/>
    <w:rsid w:val="0000721E"/>
    <w:rsid w:val="00007378"/>
    <w:rsid w:val="00007907"/>
    <w:rsid w:val="00010365"/>
    <w:rsid w:val="00010A3A"/>
    <w:rsid w:val="00010C3A"/>
    <w:rsid w:val="000114AD"/>
    <w:rsid w:val="000114AE"/>
    <w:rsid w:val="00011DFD"/>
    <w:rsid w:val="000121FB"/>
    <w:rsid w:val="000137A3"/>
    <w:rsid w:val="00013CDC"/>
    <w:rsid w:val="00014178"/>
    <w:rsid w:val="00014241"/>
    <w:rsid w:val="0001430C"/>
    <w:rsid w:val="000145AD"/>
    <w:rsid w:val="00014AFF"/>
    <w:rsid w:val="000154BF"/>
    <w:rsid w:val="000158D6"/>
    <w:rsid w:val="00015CA0"/>
    <w:rsid w:val="00016368"/>
    <w:rsid w:val="0001713C"/>
    <w:rsid w:val="000174EB"/>
    <w:rsid w:val="0001755B"/>
    <w:rsid w:val="00017D3C"/>
    <w:rsid w:val="000204EC"/>
    <w:rsid w:val="0002058B"/>
    <w:rsid w:val="000205F8"/>
    <w:rsid w:val="0002086B"/>
    <w:rsid w:val="00020A15"/>
    <w:rsid w:val="00020AEA"/>
    <w:rsid w:val="0002178C"/>
    <w:rsid w:val="00021BAD"/>
    <w:rsid w:val="00021CBF"/>
    <w:rsid w:val="00021F8B"/>
    <w:rsid w:val="0002302E"/>
    <w:rsid w:val="000240BE"/>
    <w:rsid w:val="00024372"/>
    <w:rsid w:val="00024542"/>
    <w:rsid w:val="00025CC1"/>
    <w:rsid w:val="000264F3"/>
    <w:rsid w:val="0002694A"/>
    <w:rsid w:val="00026F1F"/>
    <w:rsid w:val="00026F2A"/>
    <w:rsid w:val="000301DC"/>
    <w:rsid w:val="00030B8A"/>
    <w:rsid w:val="00030FF4"/>
    <w:rsid w:val="0003122C"/>
    <w:rsid w:val="000314FC"/>
    <w:rsid w:val="00032C58"/>
    <w:rsid w:val="00032D88"/>
    <w:rsid w:val="000332C9"/>
    <w:rsid w:val="0003367C"/>
    <w:rsid w:val="00033F2F"/>
    <w:rsid w:val="0003577D"/>
    <w:rsid w:val="0003584F"/>
    <w:rsid w:val="00035965"/>
    <w:rsid w:val="00035CBF"/>
    <w:rsid w:val="00036001"/>
    <w:rsid w:val="00036139"/>
    <w:rsid w:val="00037D0B"/>
    <w:rsid w:val="00037F83"/>
    <w:rsid w:val="0004064A"/>
    <w:rsid w:val="00040D83"/>
    <w:rsid w:val="00041A6C"/>
    <w:rsid w:val="0004219F"/>
    <w:rsid w:val="0004243D"/>
    <w:rsid w:val="000427DA"/>
    <w:rsid w:val="000432D7"/>
    <w:rsid w:val="00043430"/>
    <w:rsid w:val="00043558"/>
    <w:rsid w:val="00043970"/>
    <w:rsid w:val="00043DE9"/>
    <w:rsid w:val="00043E89"/>
    <w:rsid w:val="00043EC7"/>
    <w:rsid w:val="00044197"/>
    <w:rsid w:val="00044B6C"/>
    <w:rsid w:val="00044C1B"/>
    <w:rsid w:val="00044C44"/>
    <w:rsid w:val="00045007"/>
    <w:rsid w:val="0004508D"/>
    <w:rsid w:val="0004521D"/>
    <w:rsid w:val="000454C4"/>
    <w:rsid w:val="000459AC"/>
    <w:rsid w:val="0004607F"/>
    <w:rsid w:val="00047148"/>
    <w:rsid w:val="00047640"/>
    <w:rsid w:val="000478DB"/>
    <w:rsid w:val="00047B36"/>
    <w:rsid w:val="000501E4"/>
    <w:rsid w:val="0005045A"/>
    <w:rsid w:val="00051A3B"/>
    <w:rsid w:val="00051B04"/>
    <w:rsid w:val="00052665"/>
    <w:rsid w:val="0005483F"/>
    <w:rsid w:val="00054A87"/>
    <w:rsid w:val="0005600A"/>
    <w:rsid w:val="0005663B"/>
    <w:rsid w:val="00056875"/>
    <w:rsid w:val="000572C1"/>
    <w:rsid w:val="00057312"/>
    <w:rsid w:val="00057D22"/>
    <w:rsid w:val="00057D5F"/>
    <w:rsid w:val="00060441"/>
    <w:rsid w:val="000611E9"/>
    <w:rsid w:val="000616C4"/>
    <w:rsid w:val="000617D1"/>
    <w:rsid w:val="00062864"/>
    <w:rsid w:val="00062AAC"/>
    <w:rsid w:val="00063B3B"/>
    <w:rsid w:val="00063BA5"/>
    <w:rsid w:val="0006463D"/>
    <w:rsid w:val="00065900"/>
    <w:rsid w:val="00065C77"/>
    <w:rsid w:val="00066065"/>
    <w:rsid w:val="00066436"/>
    <w:rsid w:val="000669AB"/>
    <w:rsid w:val="00067635"/>
    <w:rsid w:val="0007064A"/>
    <w:rsid w:val="00070664"/>
    <w:rsid w:val="00071161"/>
    <w:rsid w:val="00071C0D"/>
    <w:rsid w:val="000726C4"/>
    <w:rsid w:val="0007334C"/>
    <w:rsid w:val="00073723"/>
    <w:rsid w:val="00074AA2"/>
    <w:rsid w:val="00074D91"/>
    <w:rsid w:val="0007543F"/>
    <w:rsid w:val="00075AD5"/>
    <w:rsid w:val="00075FF0"/>
    <w:rsid w:val="00076155"/>
    <w:rsid w:val="000761CE"/>
    <w:rsid w:val="00076228"/>
    <w:rsid w:val="00076BAC"/>
    <w:rsid w:val="00076BEB"/>
    <w:rsid w:val="00077DDD"/>
    <w:rsid w:val="00080373"/>
    <w:rsid w:val="000809A5"/>
    <w:rsid w:val="00080AB8"/>
    <w:rsid w:val="00080B01"/>
    <w:rsid w:val="00080BE9"/>
    <w:rsid w:val="0008123C"/>
    <w:rsid w:val="00081517"/>
    <w:rsid w:val="00081E0C"/>
    <w:rsid w:val="0008252F"/>
    <w:rsid w:val="000830CE"/>
    <w:rsid w:val="00083AC3"/>
    <w:rsid w:val="0008460A"/>
    <w:rsid w:val="000847BF"/>
    <w:rsid w:val="00084F70"/>
    <w:rsid w:val="00085371"/>
    <w:rsid w:val="0008577D"/>
    <w:rsid w:val="00086B71"/>
    <w:rsid w:val="00087145"/>
    <w:rsid w:val="00087E55"/>
    <w:rsid w:val="00090078"/>
    <w:rsid w:val="000905B5"/>
    <w:rsid w:val="00090C23"/>
    <w:rsid w:val="000916CB"/>
    <w:rsid w:val="0009287B"/>
    <w:rsid w:val="00092F6C"/>
    <w:rsid w:val="000931E9"/>
    <w:rsid w:val="000934CA"/>
    <w:rsid w:val="00093629"/>
    <w:rsid w:val="00093784"/>
    <w:rsid w:val="00093F86"/>
    <w:rsid w:val="00095059"/>
    <w:rsid w:val="00095A05"/>
    <w:rsid w:val="00095A2A"/>
    <w:rsid w:val="00095A89"/>
    <w:rsid w:val="00095E4A"/>
    <w:rsid w:val="0009687B"/>
    <w:rsid w:val="0009689A"/>
    <w:rsid w:val="0009710A"/>
    <w:rsid w:val="000971BB"/>
    <w:rsid w:val="00097A46"/>
    <w:rsid w:val="00097E77"/>
    <w:rsid w:val="000A010C"/>
    <w:rsid w:val="000A0F8D"/>
    <w:rsid w:val="000A1291"/>
    <w:rsid w:val="000A1404"/>
    <w:rsid w:val="000A1D01"/>
    <w:rsid w:val="000A2A0B"/>
    <w:rsid w:val="000A2BB8"/>
    <w:rsid w:val="000A2CEA"/>
    <w:rsid w:val="000A47A2"/>
    <w:rsid w:val="000A4AB7"/>
    <w:rsid w:val="000A523F"/>
    <w:rsid w:val="000A5483"/>
    <w:rsid w:val="000A55A7"/>
    <w:rsid w:val="000A56FE"/>
    <w:rsid w:val="000A6880"/>
    <w:rsid w:val="000A70E8"/>
    <w:rsid w:val="000A7244"/>
    <w:rsid w:val="000A72D5"/>
    <w:rsid w:val="000A7BC2"/>
    <w:rsid w:val="000B00F1"/>
    <w:rsid w:val="000B0517"/>
    <w:rsid w:val="000B0A69"/>
    <w:rsid w:val="000B11D3"/>
    <w:rsid w:val="000B130D"/>
    <w:rsid w:val="000B13CE"/>
    <w:rsid w:val="000B164D"/>
    <w:rsid w:val="000B1792"/>
    <w:rsid w:val="000B219D"/>
    <w:rsid w:val="000B2465"/>
    <w:rsid w:val="000B2B32"/>
    <w:rsid w:val="000B2C84"/>
    <w:rsid w:val="000B329A"/>
    <w:rsid w:val="000B3C1D"/>
    <w:rsid w:val="000B3D14"/>
    <w:rsid w:val="000B3E8C"/>
    <w:rsid w:val="000B3F44"/>
    <w:rsid w:val="000B4456"/>
    <w:rsid w:val="000B46B4"/>
    <w:rsid w:val="000B5156"/>
    <w:rsid w:val="000B5547"/>
    <w:rsid w:val="000B5C41"/>
    <w:rsid w:val="000B5D11"/>
    <w:rsid w:val="000B64FB"/>
    <w:rsid w:val="000B6AE5"/>
    <w:rsid w:val="000B7923"/>
    <w:rsid w:val="000C0084"/>
    <w:rsid w:val="000C01B0"/>
    <w:rsid w:val="000C05B6"/>
    <w:rsid w:val="000C11D4"/>
    <w:rsid w:val="000C13EB"/>
    <w:rsid w:val="000C23F2"/>
    <w:rsid w:val="000C2FEF"/>
    <w:rsid w:val="000C4001"/>
    <w:rsid w:val="000C6541"/>
    <w:rsid w:val="000C6689"/>
    <w:rsid w:val="000C6BF2"/>
    <w:rsid w:val="000C7077"/>
    <w:rsid w:val="000C70BC"/>
    <w:rsid w:val="000C75DD"/>
    <w:rsid w:val="000C797B"/>
    <w:rsid w:val="000C7DB4"/>
    <w:rsid w:val="000C7F56"/>
    <w:rsid w:val="000D19DB"/>
    <w:rsid w:val="000D1B86"/>
    <w:rsid w:val="000D1D52"/>
    <w:rsid w:val="000D1DDD"/>
    <w:rsid w:val="000D3328"/>
    <w:rsid w:val="000D3353"/>
    <w:rsid w:val="000D353B"/>
    <w:rsid w:val="000D37DD"/>
    <w:rsid w:val="000D3A30"/>
    <w:rsid w:val="000D3B1B"/>
    <w:rsid w:val="000D4487"/>
    <w:rsid w:val="000D45D6"/>
    <w:rsid w:val="000D4DBA"/>
    <w:rsid w:val="000D5B40"/>
    <w:rsid w:val="000D5B91"/>
    <w:rsid w:val="000D5F27"/>
    <w:rsid w:val="000D6611"/>
    <w:rsid w:val="000D666B"/>
    <w:rsid w:val="000D6D89"/>
    <w:rsid w:val="000D720D"/>
    <w:rsid w:val="000D798B"/>
    <w:rsid w:val="000D7B44"/>
    <w:rsid w:val="000E0EF1"/>
    <w:rsid w:val="000E0F13"/>
    <w:rsid w:val="000E1A80"/>
    <w:rsid w:val="000E24DA"/>
    <w:rsid w:val="000E2675"/>
    <w:rsid w:val="000E2835"/>
    <w:rsid w:val="000E3462"/>
    <w:rsid w:val="000E3BD5"/>
    <w:rsid w:val="000E5877"/>
    <w:rsid w:val="000E5E65"/>
    <w:rsid w:val="000E65BB"/>
    <w:rsid w:val="000E693D"/>
    <w:rsid w:val="000E71DC"/>
    <w:rsid w:val="000E785C"/>
    <w:rsid w:val="000F004C"/>
    <w:rsid w:val="000F06F5"/>
    <w:rsid w:val="000F0BC9"/>
    <w:rsid w:val="000F0F2D"/>
    <w:rsid w:val="000F1AC9"/>
    <w:rsid w:val="000F2297"/>
    <w:rsid w:val="000F230A"/>
    <w:rsid w:val="000F32AF"/>
    <w:rsid w:val="000F3B24"/>
    <w:rsid w:val="000F3F67"/>
    <w:rsid w:val="000F4233"/>
    <w:rsid w:val="000F4C50"/>
    <w:rsid w:val="000F4FF8"/>
    <w:rsid w:val="000F515C"/>
    <w:rsid w:val="000F5555"/>
    <w:rsid w:val="000F572B"/>
    <w:rsid w:val="000F5767"/>
    <w:rsid w:val="000F5A36"/>
    <w:rsid w:val="000F6237"/>
    <w:rsid w:val="000F6903"/>
    <w:rsid w:val="000F79C2"/>
    <w:rsid w:val="000F7D65"/>
    <w:rsid w:val="0010030A"/>
    <w:rsid w:val="00100375"/>
    <w:rsid w:val="00100FE7"/>
    <w:rsid w:val="0010144E"/>
    <w:rsid w:val="00101FC0"/>
    <w:rsid w:val="00102468"/>
    <w:rsid w:val="001024BB"/>
    <w:rsid w:val="00102C4D"/>
    <w:rsid w:val="00104107"/>
    <w:rsid w:val="0010421F"/>
    <w:rsid w:val="00104424"/>
    <w:rsid w:val="00104598"/>
    <w:rsid w:val="00104D30"/>
    <w:rsid w:val="00104D81"/>
    <w:rsid w:val="001053BB"/>
    <w:rsid w:val="0010665C"/>
    <w:rsid w:val="0010726A"/>
    <w:rsid w:val="00107E15"/>
    <w:rsid w:val="00110230"/>
    <w:rsid w:val="00111AE3"/>
    <w:rsid w:val="00111B29"/>
    <w:rsid w:val="00112148"/>
    <w:rsid w:val="001124DD"/>
    <w:rsid w:val="0011279B"/>
    <w:rsid w:val="0011289B"/>
    <w:rsid w:val="00113162"/>
    <w:rsid w:val="00113B61"/>
    <w:rsid w:val="0011436D"/>
    <w:rsid w:val="00115081"/>
    <w:rsid w:val="001151FB"/>
    <w:rsid w:val="00115A78"/>
    <w:rsid w:val="00116400"/>
    <w:rsid w:val="00116BAA"/>
    <w:rsid w:val="00116CFD"/>
    <w:rsid w:val="00117616"/>
    <w:rsid w:val="00117B91"/>
    <w:rsid w:val="00120041"/>
    <w:rsid w:val="00121563"/>
    <w:rsid w:val="00121FDE"/>
    <w:rsid w:val="00122696"/>
    <w:rsid w:val="00122716"/>
    <w:rsid w:val="00122882"/>
    <w:rsid w:val="00122C09"/>
    <w:rsid w:val="00123247"/>
    <w:rsid w:val="001232F9"/>
    <w:rsid w:val="0012364A"/>
    <w:rsid w:val="00123AAA"/>
    <w:rsid w:val="00124360"/>
    <w:rsid w:val="0012436E"/>
    <w:rsid w:val="00124B48"/>
    <w:rsid w:val="00124EDC"/>
    <w:rsid w:val="00125348"/>
    <w:rsid w:val="001254E4"/>
    <w:rsid w:val="0012590C"/>
    <w:rsid w:val="00126031"/>
    <w:rsid w:val="00126FE9"/>
    <w:rsid w:val="001276A3"/>
    <w:rsid w:val="001279BA"/>
    <w:rsid w:val="00127B81"/>
    <w:rsid w:val="00127FFD"/>
    <w:rsid w:val="0013011B"/>
    <w:rsid w:val="001301E9"/>
    <w:rsid w:val="00130646"/>
    <w:rsid w:val="00131093"/>
    <w:rsid w:val="001315C0"/>
    <w:rsid w:val="001319DD"/>
    <w:rsid w:val="001319ED"/>
    <w:rsid w:val="00131E79"/>
    <w:rsid w:val="00132265"/>
    <w:rsid w:val="001324DF"/>
    <w:rsid w:val="001329E1"/>
    <w:rsid w:val="00132CD5"/>
    <w:rsid w:val="00132E8E"/>
    <w:rsid w:val="001330CF"/>
    <w:rsid w:val="001348AB"/>
    <w:rsid w:val="00135A97"/>
    <w:rsid w:val="00135EA7"/>
    <w:rsid w:val="001365AB"/>
    <w:rsid w:val="00136B7A"/>
    <w:rsid w:val="00136E53"/>
    <w:rsid w:val="00137315"/>
    <w:rsid w:val="001376B1"/>
    <w:rsid w:val="00137907"/>
    <w:rsid w:val="00141274"/>
    <w:rsid w:val="00141677"/>
    <w:rsid w:val="001418F0"/>
    <w:rsid w:val="00141936"/>
    <w:rsid w:val="00141DCF"/>
    <w:rsid w:val="00141E18"/>
    <w:rsid w:val="0014221A"/>
    <w:rsid w:val="001422BC"/>
    <w:rsid w:val="001425FF"/>
    <w:rsid w:val="00142C11"/>
    <w:rsid w:val="0014330F"/>
    <w:rsid w:val="00145221"/>
    <w:rsid w:val="0014526A"/>
    <w:rsid w:val="00145D97"/>
    <w:rsid w:val="0014626B"/>
    <w:rsid w:val="0014642E"/>
    <w:rsid w:val="001464AB"/>
    <w:rsid w:val="0014652A"/>
    <w:rsid w:val="00146573"/>
    <w:rsid w:val="0014676E"/>
    <w:rsid w:val="0014719E"/>
    <w:rsid w:val="0014734A"/>
    <w:rsid w:val="0015004F"/>
    <w:rsid w:val="0015013E"/>
    <w:rsid w:val="001503F9"/>
    <w:rsid w:val="0015134D"/>
    <w:rsid w:val="00151AAE"/>
    <w:rsid w:val="001525BF"/>
    <w:rsid w:val="0015261A"/>
    <w:rsid w:val="0015266D"/>
    <w:rsid w:val="001542BB"/>
    <w:rsid w:val="0015438E"/>
    <w:rsid w:val="0015439A"/>
    <w:rsid w:val="00155C17"/>
    <w:rsid w:val="00155D23"/>
    <w:rsid w:val="0015627A"/>
    <w:rsid w:val="00156319"/>
    <w:rsid w:val="00156801"/>
    <w:rsid w:val="00156A93"/>
    <w:rsid w:val="001573CA"/>
    <w:rsid w:val="00157470"/>
    <w:rsid w:val="001578BD"/>
    <w:rsid w:val="00157E5F"/>
    <w:rsid w:val="00157FDF"/>
    <w:rsid w:val="0016018D"/>
    <w:rsid w:val="001609EB"/>
    <w:rsid w:val="00160E55"/>
    <w:rsid w:val="0016162E"/>
    <w:rsid w:val="001630B4"/>
    <w:rsid w:val="001630FD"/>
    <w:rsid w:val="0016367A"/>
    <w:rsid w:val="00163B5F"/>
    <w:rsid w:val="00163EC4"/>
    <w:rsid w:val="00164874"/>
    <w:rsid w:val="001649BE"/>
    <w:rsid w:val="00164A90"/>
    <w:rsid w:val="00164E87"/>
    <w:rsid w:val="0016508A"/>
    <w:rsid w:val="001653EA"/>
    <w:rsid w:val="00165EC9"/>
    <w:rsid w:val="00165FE0"/>
    <w:rsid w:val="0016637A"/>
    <w:rsid w:val="0016645B"/>
    <w:rsid w:val="001701C7"/>
    <w:rsid w:val="00170422"/>
    <w:rsid w:val="001704FC"/>
    <w:rsid w:val="00170899"/>
    <w:rsid w:val="0017181C"/>
    <w:rsid w:val="00171AF3"/>
    <w:rsid w:val="00171C7A"/>
    <w:rsid w:val="001720AE"/>
    <w:rsid w:val="00172C5E"/>
    <w:rsid w:val="00172EA1"/>
    <w:rsid w:val="001737BB"/>
    <w:rsid w:val="00173A2F"/>
    <w:rsid w:val="00173D41"/>
    <w:rsid w:val="001757E2"/>
    <w:rsid w:val="00175944"/>
    <w:rsid w:val="00175E38"/>
    <w:rsid w:val="0017620A"/>
    <w:rsid w:val="00176DF3"/>
    <w:rsid w:val="0017700A"/>
    <w:rsid w:val="001776B8"/>
    <w:rsid w:val="001778CD"/>
    <w:rsid w:val="00177AC6"/>
    <w:rsid w:val="001806B4"/>
    <w:rsid w:val="001808F4"/>
    <w:rsid w:val="001809C9"/>
    <w:rsid w:val="00181E71"/>
    <w:rsid w:val="001822CB"/>
    <w:rsid w:val="00182E03"/>
    <w:rsid w:val="00182F11"/>
    <w:rsid w:val="00183137"/>
    <w:rsid w:val="001832E5"/>
    <w:rsid w:val="001836BF"/>
    <w:rsid w:val="00184EF8"/>
    <w:rsid w:val="00185254"/>
    <w:rsid w:val="00186B83"/>
    <w:rsid w:val="00186D91"/>
    <w:rsid w:val="00186FAC"/>
    <w:rsid w:val="001873D9"/>
    <w:rsid w:val="00187A70"/>
    <w:rsid w:val="001902AB"/>
    <w:rsid w:val="0019098D"/>
    <w:rsid w:val="001913A4"/>
    <w:rsid w:val="00192519"/>
    <w:rsid w:val="0019265E"/>
    <w:rsid w:val="00192E1A"/>
    <w:rsid w:val="00192EDE"/>
    <w:rsid w:val="00193206"/>
    <w:rsid w:val="0019336B"/>
    <w:rsid w:val="00193F37"/>
    <w:rsid w:val="0019401F"/>
    <w:rsid w:val="00194425"/>
    <w:rsid w:val="00194630"/>
    <w:rsid w:val="001954CD"/>
    <w:rsid w:val="00195C5A"/>
    <w:rsid w:val="00196786"/>
    <w:rsid w:val="00196E7D"/>
    <w:rsid w:val="0019703D"/>
    <w:rsid w:val="0019765C"/>
    <w:rsid w:val="001A02BB"/>
    <w:rsid w:val="001A04E4"/>
    <w:rsid w:val="001A0B7B"/>
    <w:rsid w:val="001A159D"/>
    <w:rsid w:val="001A1920"/>
    <w:rsid w:val="001A1FC3"/>
    <w:rsid w:val="001A2C31"/>
    <w:rsid w:val="001A2F1A"/>
    <w:rsid w:val="001A2F4A"/>
    <w:rsid w:val="001A3DC1"/>
    <w:rsid w:val="001A4D9C"/>
    <w:rsid w:val="001A56F5"/>
    <w:rsid w:val="001A57AF"/>
    <w:rsid w:val="001A58B3"/>
    <w:rsid w:val="001A5A8B"/>
    <w:rsid w:val="001A5F3D"/>
    <w:rsid w:val="001A64C5"/>
    <w:rsid w:val="001A73D3"/>
    <w:rsid w:val="001A74D1"/>
    <w:rsid w:val="001A78BB"/>
    <w:rsid w:val="001A7CBD"/>
    <w:rsid w:val="001B0345"/>
    <w:rsid w:val="001B0D8D"/>
    <w:rsid w:val="001B14FA"/>
    <w:rsid w:val="001B17C4"/>
    <w:rsid w:val="001B1941"/>
    <w:rsid w:val="001B2645"/>
    <w:rsid w:val="001B2A3C"/>
    <w:rsid w:val="001B3212"/>
    <w:rsid w:val="001B4576"/>
    <w:rsid w:val="001B47B8"/>
    <w:rsid w:val="001B47BE"/>
    <w:rsid w:val="001B487F"/>
    <w:rsid w:val="001B49FA"/>
    <w:rsid w:val="001B5685"/>
    <w:rsid w:val="001B5994"/>
    <w:rsid w:val="001B5FE8"/>
    <w:rsid w:val="001B6227"/>
    <w:rsid w:val="001B6350"/>
    <w:rsid w:val="001B7009"/>
    <w:rsid w:val="001B77DD"/>
    <w:rsid w:val="001B7B8D"/>
    <w:rsid w:val="001C0707"/>
    <w:rsid w:val="001C0B79"/>
    <w:rsid w:val="001C10E1"/>
    <w:rsid w:val="001C10FC"/>
    <w:rsid w:val="001C15EA"/>
    <w:rsid w:val="001C1C28"/>
    <w:rsid w:val="001C277C"/>
    <w:rsid w:val="001C2F98"/>
    <w:rsid w:val="001C36B9"/>
    <w:rsid w:val="001C3B5D"/>
    <w:rsid w:val="001C3B7E"/>
    <w:rsid w:val="001C4170"/>
    <w:rsid w:val="001C5323"/>
    <w:rsid w:val="001C5AC0"/>
    <w:rsid w:val="001C700F"/>
    <w:rsid w:val="001C71B6"/>
    <w:rsid w:val="001C7B88"/>
    <w:rsid w:val="001D048C"/>
    <w:rsid w:val="001D07A4"/>
    <w:rsid w:val="001D0954"/>
    <w:rsid w:val="001D0B34"/>
    <w:rsid w:val="001D0F70"/>
    <w:rsid w:val="001D1487"/>
    <w:rsid w:val="001D18DA"/>
    <w:rsid w:val="001D28E6"/>
    <w:rsid w:val="001D2BD4"/>
    <w:rsid w:val="001D31F6"/>
    <w:rsid w:val="001D35A0"/>
    <w:rsid w:val="001D3BCF"/>
    <w:rsid w:val="001D3FFA"/>
    <w:rsid w:val="001D42C3"/>
    <w:rsid w:val="001D475A"/>
    <w:rsid w:val="001D47A9"/>
    <w:rsid w:val="001D5B87"/>
    <w:rsid w:val="001D6BB1"/>
    <w:rsid w:val="001D7400"/>
    <w:rsid w:val="001D7DC2"/>
    <w:rsid w:val="001D7E05"/>
    <w:rsid w:val="001E0389"/>
    <w:rsid w:val="001E03DB"/>
    <w:rsid w:val="001E0714"/>
    <w:rsid w:val="001E0A36"/>
    <w:rsid w:val="001E0B56"/>
    <w:rsid w:val="001E1A4F"/>
    <w:rsid w:val="001E1DEF"/>
    <w:rsid w:val="001E1EFF"/>
    <w:rsid w:val="001E26E2"/>
    <w:rsid w:val="001E27E1"/>
    <w:rsid w:val="001E3409"/>
    <w:rsid w:val="001E3530"/>
    <w:rsid w:val="001E35C2"/>
    <w:rsid w:val="001E36B4"/>
    <w:rsid w:val="001E420C"/>
    <w:rsid w:val="001E467E"/>
    <w:rsid w:val="001E4B04"/>
    <w:rsid w:val="001E4D57"/>
    <w:rsid w:val="001E59BE"/>
    <w:rsid w:val="001E603B"/>
    <w:rsid w:val="001E6D15"/>
    <w:rsid w:val="001E6F13"/>
    <w:rsid w:val="001E759D"/>
    <w:rsid w:val="001E776B"/>
    <w:rsid w:val="001F1809"/>
    <w:rsid w:val="001F201A"/>
    <w:rsid w:val="001F2405"/>
    <w:rsid w:val="001F25A4"/>
    <w:rsid w:val="001F26D6"/>
    <w:rsid w:val="001F40BE"/>
    <w:rsid w:val="001F4784"/>
    <w:rsid w:val="001F4B27"/>
    <w:rsid w:val="001F4BDC"/>
    <w:rsid w:val="001F4CFC"/>
    <w:rsid w:val="001F564C"/>
    <w:rsid w:val="001F7830"/>
    <w:rsid w:val="001F786C"/>
    <w:rsid w:val="001F7A94"/>
    <w:rsid w:val="0020021E"/>
    <w:rsid w:val="00200667"/>
    <w:rsid w:val="00200E62"/>
    <w:rsid w:val="00201810"/>
    <w:rsid w:val="00201B36"/>
    <w:rsid w:val="0020275B"/>
    <w:rsid w:val="00203216"/>
    <w:rsid w:val="00203EE8"/>
    <w:rsid w:val="002047EC"/>
    <w:rsid w:val="00204A4F"/>
    <w:rsid w:val="00204B5A"/>
    <w:rsid w:val="00204F84"/>
    <w:rsid w:val="00205E17"/>
    <w:rsid w:val="002062F9"/>
    <w:rsid w:val="0020715D"/>
    <w:rsid w:val="00207EB6"/>
    <w:rsid w:val="0021092E"/>
    <w:rsid w:val="00210C6C"/>
    <w:rsid w:val="00211678"/>
    <w:rsid w:val="0021168C"/>
    <w:rsid w:val="00211C24"/>
    <w:rsid w:val="002123E6"/>
    <w:rsid w:val="002129FD"/>
    <w:rsid w:val="00212E1C"/>
    <w:rsid w:val="0021327B"/>
    <w:rsid w:val="002140DC"/>
    <w:rsid w:val="00214260"/>
    <w:rsid w:val="00214281"/>
    <w:rsid w:val="00214F3A"/>
    <w:rsid w:val="002155DB"/>
    <w:rsid w:val="0021661E"/>
    <w:rsid w:val="00216EE9"/>
    <w:rsid w:val="0021732F"/>
    <w:rsid w:val="002173A7"/>
    <w:rsid w:val="00217D27"/>
    <w:rsid w:val="0022067F"/>
    <w:rsid w:val="002209BE"/>
    <w:rsid w:val="00220A6E"/>
    <w:rsid w:val="00220F73"/>
    <w:rsid w:val="00221231"/>
    <w:rsid w:val="002213A2"/>
    <w:rsid w:val="00221CC4"/>
    <w:rsid w:val="0022224D"/>
    <w:rsid w:val="002223B0"/>
    <w:rsid w:val="00222664"/>
    <w:rsid w:val="002232A6"/>
    <w:rsid w:val="002233DD"/>
    <w:rsid w:val="00223ADF"/>
    <w:rsid w:val="002245C3"/>
    <w:rsid w:val="00224CEF"/>
    <w:rsid w:val="00226F49"/>
    <w:rsid w:val="00227BB5"/>
    <w:rsid w:val="00230BA4"/>
    <w:rsid w:val="00231743"/>
    <w:rsid w:val="00232D1B"/>
    <w:rsid w:val="00233853"/>
    <w:rsid w:val="00233FC0"/>
    <w:rsid w:val="00234214"/>
    <w:rsid w:val="0023433A"/>
    <w:rsid w:val="002345E0"/>
    <w:rsid w:val="00234DA7"/>
    <w:rsid w:val="00235162"/>
    <w:rsid w:val="00235637"/>
    <w:rsid w:val="00236271"/>
    <w:rsid w:val="002366F2"/>
    <w:rsid w:val="00236A3C"/>
    <w:rsid w:val="00236CEF"/>
    <w:rsid w:val="00236E4A"/>
    <w:rsid w:val="00237986"/>
    <w:rsid w:val="00237E3B"/>
    <w:rsid w:val="00237E57"/>
    <w:rsid w:val="002410B0"/>
    <w:rsid w:val="0024162D"/>
    <w:rsid w:val="002416C0"/>
    <w:rsid w:val="00241B0F"/>
    <w:rsid w:val="00241D4B"/>
    <w:rsid w:val="00241DA7"/>
    <w:rsid w:val="00242428"/>
    <w:rsid w:val="002424C4"/>
    <w:rsid w:val="00242C60"/>
    <w:rsid w:val="00243316"/>
    <w:rsid w:val="002437EB"/>
    <w:rsid w:val="00243B52"/>
    <w:rsid w:val="00243FFD"/>
    <w:rsid w:val="00244FC9"/>
    <w:rsid w:val="00245146"/>
    <w:rsid w:val="00245C07"/>
    <w:rsid w:val="0024675F"/>
    <w:rsid w:val="00246B33"/>
    <w:rsid w:val="00246C9C"/>
    <w:rsid w:val="002476DF"/>
    <w:rsid w:val="00247869"/>
    <w:rsid w:val="00247F22"/>
    <w:rsid w:val="00250091"/>
    <w:rsid w:val="0025046B"/>
    <w:rsid w:val="00251BCD"/>
    <w:rsid w:val="0025348C"/>
    <w:rsid w:val="00254161"/>
    <w:rsid w:val="0025442C"/>
    <w:rsid w:val="00254FB7"/>
    <w:rsid w:val="00255064"/>
    <w:rsid w:val="0025508D"/>
    <w:rsid w:val="0025573F"/>
    <w:rsid w:val="002559ED"/>
    <w:rsid w:val="00255AA1"/>
    <w:rsid w:val="002564DF"/>
    <w:rsid w:val="00256B7C"/>
    <w:rsid w:val="00256FB1"/>
    <w:rsid w:val="00257395"/>
    <w:rsid w:val="0025751B"/>
    <w:rsid w:val="00257F92"/>
    <w:rsid w:val="002614F7"/>
    <w:rsid w:val="00261C78"/>
    <w:rsid w:val="0026270E"/>
    <w:rsid w:val="0026285B"/>
    <w:rsid w:val="00262C7D"/>
    <w:rsid w:val="00263489"/>
    <w:rsid w:val="00263634"/>
    <w:rsid w:val="00263CBA"/>
    <w:rsid w:val="00263D28"/>
    <w:rsid w:val="00263EDC"/>
    <w:rsid w:val="00264030"/>
    <w:rsid w:val="00264250"/>
    <w:rsid w:val="00264C1E"/>
    <w:rsid w:val="00264DF3"/>
    <w:rsid w:val="002654A2"/>
    <w:rsid w:val="00265671"/>
    <w:rsid w:val="00265DAC"/>
    <w:rsid w:val="00266AC4"/>
    <w:rsid w:val="00266F1B"/>
    <w:rsid w:val="002671EF"/>
    <w:rsid w:val="002675B9"/>
    <w:rsid w:val="002676F3"/>
    <w:rsid w:val="002677BC"/>
    <w:rsid w:val="00267ABF"/>
    <w:rsid w:val="00267B87"/>
    <w:rsid w:val="0027020E"/>
    <w:rsid w:val="00270802"/>
    <w:rsid w:val="00270A2F"/>
    <w:rsid w:val="00270C85"/>
    <w:rsid w:val="0027163F"/>
    <w:rsid w:val="00271FE4"/>
    <w:rsid w:val="0027252D"/>
    <w:rsid w:val="00272561"/>
    <w:rsid w:val="00272EF3"/>
    <w:rsid w:val="002731C8"/>
    <w:rsid w:val="002735AC"/>
    <w:rsid w:val="00273E80"/>
    <w:rsid w:val="0027434A"/>
    <w:rsid w:val="0027515F"/>
    <w:rsid w:val="00275B50"/>
    <w:rsid w:val="00275CDB"/>
    <w:rsid w:val="002766F1"/>
    <w:rsid w:val="002768F3"/>
    <w:rsid w:val="00276C01"/>
    <w:rsid w:val="00276F1B"/>
    <w:rsid w:val="0027719B"/>
    <w:rsid w:val="00277C13"/>
    <w:rsid w:val="00280472"/>
    <w:rsid w:val="00280849"/>
    <w:rsid w:val="002812EB"/>
    <w:rsid w:val="002813E5"/>
    <w:rsid w:val="00281472"/>
    <w:rsid w:val="00281522"/>
    <w:rsid w:val="00281B2B"/>
    <w:rsid w:val="00281BDC"/>
    <w:rsid w:val="00281D44"/>
    <w:rsid w:val="00281F55"/>
    <w:rsid w:val="00282D69"/>
    <w:rsid w:val="00283301"/>
    <w:rsid w:val="002837BF"/>
    <w:rsid w:val="0028383C"/>
    <w:rsid w:val="0028394B"/>
    <w:rsid w:val="00283C53"/>
    <w:rsid w:val="00284D0F"/>
    <w:rsid w:val="002850F5"/>
    <w:rsid w:val="00286319"/>
    <w:rsid w:val="0028634D"/>
    <w:rsid w:val="00286935"/>
    <w:rsid w:val="00286E3C"/>
    <w:rsid w:val="00287064"/>
    <w:rsid w:val="00287A9A"/>
    <w:rsid w:val="002905F2"/>
    <w:rsid w:val="00290ABA"/>
    <w:rsid w:val="00291380"/>
    <w:rsid w:val="0029179A"/>
    <w:rsid w:val="00291C30"/>
    <w:rsid w:val="00292CD4"/>
    <w:rsid w:val="00293157"/>
    <w:rsid w:val="002935DA"/>
    <w:rsid w:val="0029374B"/>
    <w:rsid w:val="0029443A"/>
    <w:rsid w:val="0029466E"/>
    <w:rsid w:val="00294C95"/>
    <w:rsid w:val="00295A46"/>
    <w:rsid w:val="00295AA4"/>
    <w:rsid w:val="002962FF"/>
    <w:rsid w:val="00296D5F"/>
    <w:rsid w:val="002970FD"/>
    <w:rsid w:val="00297505"/>
    <w:rsid w:val="00297758"/>
    <w:rsid w:val="00297C42"/>
    <w:rsid w:val="002A032A"/>
    <w:rsid w:val="002A042D"/>
    <w:rsid w:val="002A128A"/>
    <w:rsid w:val="002A162C"/>
    <w:rsid w:val="002A1E24"/>
    <w:rsid w:val="002A228C"/>
    <w:rsid w:val="002A2CCB"/>
    <w:rsid w:val="002A2DCB"/>
    <w:rsid w:val="002A3BEE"/>
    <w:rsid w:val="002A3E45"/>
    <w:rsid w:val="002A460A"/>
    <w:rsid w:val="002A46D4"/>
    <w:rsid w:val="002A4CB4"/>
    <w:rsid w:val="002A6554"/>
    <w:rsid w:val="002A6737"/>
    <w:rsid w:val="002A6F3B"/>
    <w:rsid w:val="002A73B2"/>
    <w:rsid w:val="002A7438"/>
    <w:rsid w:val="002A7550"/>
    <w:rsid w:val="002B014E"/>
    <w:rsid w:val="002B07C4"/>
    <w:rsid w:val="002B0B26"/>
    <w:rsid w:val="002B0E4A"/>
    <w:rsid w:val="002B128D"/>
    <w:rsid w:val="002B144B"/>
    <w:rsid w:val="002B1811"/>
    <w:rsid w:val="002B1ACA"/>
    <w:rsid w:val="002B2397"/>
    <w:rsid w:val="002B23C8"/>
    <w:rsid w:val="002B25E3"/>
    <w:rsid w:val="002B28BA"/>
    <w:rsid w:val="002B2E1E"/>
    <w:rsid w:val="002B3037"/>
    <w:rsid w:val="002B30C3"/>
    <w:rsid w:val="002B324F"/>
    <w:rsid w:val="002B32A4"/>
    <w:rsid w:val="002B3A6F"/>
    <w:rsid w:val="002B4242"/>
    <w:rsid w:val="002B475F"/>
    <w:rsid w:val="002B49E6"/>
    <w:rsid w:val="002B4D2E"/>
    <w:rsid w:val="002B528F"/>
    <w:rsid w:val="002B5641"/>
    <w:rsid w:val="002B579A"/>
    <w:rsid w:val="002B5DDF"/>
    <w:rsid w:val="002B62C5"/>
    <w:rsid w:val="002B6A0B"/>
    <w:rsid w:val="002B7A83"/>
    <w:rsid w:val="002B7B1C"/>
    <w:rsid w:val="002B7D4F"/>
    <w:rsid w:val="002C034B"/>
    <w:rsid w:val="002C05F7"/>
    <w:rsid w:val="002C0A16"/>
    <w:rsid w:val="002C0D92"/>
    <w:rsid w:val="002C1D4F"/>
    <w:rsid w:val="002C1F44"/>
    <w:rsid w:val="002C1FF9"/>
    <w:rsid w:val="002C28E8"/>
    <w:rsid w:val="002C2F0A"/>
    <w:rsid w:val="002C30E7"/>
    <w:rsid w:val="002C346B"/>
    <w:rsid w:val="002C3838"/>
    <w:rsid w:val="002C3EB6"/>
    <w:rsid w:val="002C44F2"/>
    <w:rsid w:val="002C48AB"/>
    <w:rsid w:val="002C5D82"/>
    <w:rsid w:val="002C67C9"/>
    <w:rsid w:val="002C6A33"/>
    <w:rsid w:val="002C6BE3"/>
    <w:rsid w:val="002C6EC6"/>
    <w:rsid w:val="002D0022"/>
    <w:rsid w:val="002D00F1"/>
    <w:rsid w:val="002D09B1"/>
    <w:rsid w:val="002D0F0F"/>
    <w:rsid w:val="002D16B9"/>
    <w:rsid w:val="002D1963"/>
    <w:rsid w:val="002D19C5"/>
    <w:rsid w:val="002D1C7A"/>
    <w:rsid w:val="002D1DDA"/>
    <w:rsid w:val="002D1F43"/>
    <w:rsid w:val="002D2A61"/>
    <w:rsid w:val="002D2C42"/>
    <w:rsid w:val="002D2FF3"/>
    <w:rsid w:val="002D4012"/>
    <w:rsid w:val="002D485A"/>
    <w:rsid w:val="002D559B"/>
    <w:rsid w:val="002D5FD8"/>
    <w:rsid w:val="002D659A"/>
    <w:rsid w:val="002D67C1"/>
    <w:rsid w:val="002D6897"/>
    <w:rsid w:val="002D6A9C"/>
    <w:rsid w:val="002D6ACF"/>
    <w:rsid w:val="002D6E51"/>
    <w:rsid w:val="002D75D3"/>
    <w:rsid w:val="002E000A"/>
    <w:rsid w:val="002E003F"/>
    <w:rsid w:val="002E0930"/>
    <w:rsid w:val="002E124F"/>
    <w:rsid w:val="002E12D9"/>
    <w:rsid w:val="002E1712"/>
    <w:rsid w:val="002E178F"/>
    <w:rsid w:val="002E1CD7"/>
    <w:rsid w:val="002E2FCA"/>
    <w:rsid w:val="002E3A4B"/>
    <w:rsid w:val="002E3F1A"/>
    <w:rsid w:val="002E4293"/>
    <w:rsid w:val="002E5171"/>
    <w:rsid w:val="002E57AD"/>
    <w:rsid w:val="002E5D87"/>
    <w:rsid w:val="002E5EA2"/>
    <w:rsid w:val="002E61AC"/>
    <w:rsid w:val="002E6CD0"/>
    <w:rsid w:val="002E6E15"/>
    <w:rsid w:val="002E70F5"/>
    <w:rsid w:val="002E71A9"/>
    <w:rsid w:val="002E7B8C"/>
    <w:rsid w:val="002E7D2D"/>
    <w:rsid w:val="002F0720"/>
    <w:rsid w:val="002F0DED"/>
    <w:rsid w:val="002F15A7"/>
    <w:rsid w:val="002F172F"/>
    <w:rsid w:val="002F295D"/>
    <w:rsid w:val="002F317C"/>
    <w:rsid w:val="002F3BC6"/>
    <w:rsid w:val="002F3FAB"/>
    <w:rsid w:val="002F4214"/>
    <w:rsid w:val="002F4B5C"/>
    <w:rsid w:val="002F4FEC"/>
    <w:rsid w:val="002F56AE"/>
    <w:rsid w:val="002F61FF"/>
    <w:rsid w:val="003002CE"/>
    <w:rsid w:val="00300418"/>
    <w:rsid w:val="00301551"/>
    <w:rsid w:val="003020BC"/>
    <w:rsid w:val="003022BB"/>
    <w:rsid w:val="00302B62"/>
    <w:rsid w:val="00302D39"/>
    <w:rsid w:val="00302DCC"/>
    <w:rsid w:val="003031E5"/>
    <w:rsid w:val="00303875"/>
    <w:rsid w:val="00304559"/>
    <w:rsid w:val="003048BA"/>
    <w:rsid w:val="00304FDB"/>
    <w:rsid w:val="0030546A"/>
    <w:rsid w:val="003056E3"/>
    <w:rsid w:val="00305988"/>
    <w:rsid w:val="00305F7B"/>
    <w:rsid w:val="00305F81"/>
    <w:rsid w:val="00306014"/>
    <w:rsid w:val="0030619D"/>
    <w:rsid w:val="003069E8"/>
    <w:rsid w:val="00306E0E"/>
    <w:rsid w:val="00307419"/>
    <w:rsid w:val="00307AF7"/>
    <w:rsid w:val="00307F51"/>
    <w:rsid w:val="00310BA6"/>
    <w:rsid w:val="00311145"/>
    <w:rsid w:val="00311A84"/>
    <w:rsid w:val="003131E2"/>
    <w:rsid w:val="00313B47"/>
    <w:rsid w:val="00314679"/>
    <w:rsid w:val="003156A9"/>
    <w:rsid w:val="003156FC"/>
    <w:rsid w:val="00315EC4"/>
    <w:rsid w:val="00316387"/>
    <w:rsid w:val="00321827"/>
    <w:rsid w:val="00321847"/>
    <w:rsid w:val="00321C04"/>
    <w:rsid w:val="00321CAA"/>
    <w:rsid w:val="00321D60"/>
    <w:rsid w:val="003220C0"/>
    <w:rsid w:val="003223E6"/>
    <w:rsid w:val="00322A2E"/>
    <w:rsid w:val="00322B22"/>
    <w:rsid w:val="003231BD"/>
    <w:rsid w:val="00323920"/>
    <w:rsid w:val="00324780"/>
    <w:rsid w:val="003247F6"/>
    <w:rsid w:val="00324AD3"/>
    <w:rsid w:val="00324B27"/>
    <w:rsid w:val="003278E5"/>
    <w:rsid w:val="003278E7"/>
    <w:rsid w:val="0033007F"/>
    <w:rsid w:val="00330164"/>
    <w:rsid w:val="0033028D"/>
    <w:rsid w:val="00330982"/>
    <w:rsid w:val="003311F5"/>
    <w:rsid w:val="00331301"/>
    <w:rsid w:val="00332C9F"/>
    <w:rsid w:val="00332D59"/>
    <w:rsid w:val="00332E6D"/>
    <w:rsid w:val="00332FEB"/>
    <w:rsid w:val="00333460"/>
    <w:rsid w:val="003340F3"/>
    <w:rsid w:val="0033497C"/>
    <w:rsid w:val="00334B0E"/>
    <w:rsid w:val="00336614"/>
    <w:rsid w:val="00337084"/>
    <w:rsid w:val="003376E3"/>
    <w:rsid w:val="00337AB2"/>
    <w:rsid w:val="00337F76"/>
    <w:rsid w:val="00340482"/>
    <w:rsid w:val="00340528"/>
    <w:rsid w:val="00340A8D"/>
    <w:rsid w:val="00340B10"/>
    <w:rsid w:val="003411A2"/>
    <w:rsid w:val="0034208A"/>
    <w:rsid w:val="00342322"/>
    <w:rsid w:val="003425AA"/>
    <w:rsid w:val="00342DFC"/>
    <w:rsid w:val="00342F64"/>
    <w:rsid w:val="0034348D"/>
    <w:rsid w:val="00343C98"/>
    <w:rsid w:val="00343E02"/>
    <w:rsid w:val="00344821"/>
    <w:rsid w:val="003448BA"/>
    <w:rsid w:val="00344BE7"/>
    <w:rsid w:val="00345358"/>
    <w:rsid w:val="00345576"/>
    <w:rsid w:val="0034567A"/>
    <w:rsid w:val="00345950"/>
    <w:rsid w:val="00345977"/>
    <w:rsid w:val="00345F9E"/>
    <w:rsid w:val="0034604D"/>
    <w:rsid w:val="00346EE3"/>
    <w:rsid w:val="00347096"/>
    <w:rsid w:val="0034742A"/>
    <w:rsid w:val="00347A68"/>
    <w:rsid w:val="00347AE2"/>
    <w:rsid w:val="0035015A"/>
    <w:rsid w:val="00350882"/>
    <w:rsid w:val="00351193"/>
    <w:rsid w:val="003511B7"/>
    <w:rsid w:val="003512E7"/>
    <w:rsid w:val="003519B2"/>
    <w:rsid w:val="00351F56"/>
    <w:rsid w:val="0035210B"/>
    <w:rsid w:val="0035249A"/>
    <w:rsid w:val="003525F2"/>
    <w:rsid w:val="00352D87"/>
    <w:rsid w:val="00352EC5"/>
    <w:rsid w:val="003530B8"/>
    <w:rsid w:val="0035320D"/>
    <w:rsid w:val="003534FF"/>
    <w:rsid w:val="003535FE"/>
    <w:rsid w:val="00353D0C"/>
    <w:rsid w:val="003548E8"/>
    <w:rsid w:val="00354D06"/>
    <w:rsid w:val="00354E3C"/>
    <w:rsid w:val="00354E7B"/>
    <w:rsid w:val="00355CDA"/>
    <w:rsid w:val="00355E0C"/>
    <w:rsid w:val="003561A9"/>
    <w:rsid w:val="003567B3"/>
    <w:rsid w:val="00356F49"/>
    <w:rsid w:val="003575F1"/>
    <w:rsid w:val="003577B2"/>
    <w:rsid w:val="00357BFE"/>
    <w:rsid w:val="00360370"/>
    <w:rsid w:val="003605D9"/>
    <w:rsid w:val="003608B6"/>
    <w:rsid w:val="003627D7"/>
    <w:rsid w:val="00362B14"/>
    <w:rsid w:val="00362F09"/>
    <w:rsid w:val="00363821"/>
    <w:rsid w:val="00363893"/>
    <w:rsid w:val="00363A3F"/>
    <w:rsid w:val="00363ACD"/>
    <w:rsid w:val="00363D18"/>
    <w:rsid w:val="003647C1"/>
    <w:rsid w:val="003650FE"/>
    <w:rsid w:val="00365A76"/>
    <w:rsid w:val="003660DE"/>
    <w:rsid w:val="00366265"/>
    <w:rsid w:val="00367330"/>
    <w:rsid w:val="00370F14"/>
    <w:rsid w:val="0037222E"/>
    <w:rsid w:val="00372F3C"/>
    <w:rsid w:val="00373C4E"/>
    <w:rsid w:val="00373D8E"/>
    <w:rsid w:val="00374199"/>
    <w:rsid w:val="00375B02"/>
    <w:rsid w:val="00375C10"/>
    <w:rsid w:val="0037601F"/>
    <w:rsid w:val="00376A5B"/>
    <w:rsid w:val="0037785E"/>
    <w:rsid w:val="00377AD9"/>
    <w:rsid w:val="00377CF5"/>
    <w:rsid w:val="00377E31"/>
    <w:rsid w:val="00380AC9"/>
    <w:rsid w:val="0038158B"/>
    <w:rsid w:val="00381980"/>
    <w:rsid w:val="00381A77"/>
    <w:rsid w:val="003824DE"/>
    <w:rsid w:val="00382698"/>
    <w:rsid w:val="0038317C"/>
    <w:rsid w:val="00383302"/>
    <w:rsid w:val="003834CB"/>
    <w:rsid w:val="0038420F"/>
    <w:rsid w:val="003845CD"/>
    <w:rsid w:val="00384E80"/>
    <w:rsid w:val="003858C0"/>
    <w:rsid w:val="00385F53"/>
    <w:rsid w:val="00386505"/>
    <w:rsid w:val="00386D72"/>
    <w:rsid w:val="00386F0E"/>
    <w:rsid w:val="003874A3"/>
    <w:rsid w:val="0038753D"/>
    <w:rsid w:val="00387B7D"/>
    <w:rsid w:val="003909FC"/>
    <w:rsid w:val="00390E43"/>
    <w:rsid w:val="00391819"/>
    <w:rsid w:val="0039233A"/>
    <w:rsid w:val="003923C1"/>
    <w:rsid w:val="003923F2"/>
    <w:rsid w:val="0039268B"/>
    <w:rsid w:val="003926F5"/>
    <w:rsid w:val="00392840"/>
    <w:rsid w:val="00393265"/>
    <w:rsid w:val="00393776"/>
    <w:rsid w:val="0039389A"/>
    <w:rsid w:val="00394852"/>
    <w:rsid w:val="00395A05"/>
    <w:rsid w:val="003960E1"/>
    <w:rsid w:val="00396295"/>
    <w:rsid w:val="0039632F"/>
    <w:rsid w:val="003968F7"/>
    <w:rsid w:val="00396C4D"/>
    <w:rsid w:val="0039787E"/>
    <w:rsid w:val="003A0000"/>
    <w:rsid w:val="003A0639"/>
    <w:rsid w:val="003A0952"/>
    <w:rsid w:val="003A0E85"/>
    <w:rsid w:val="003A21B3"/>
    <w:rsid w:val="003A240B"/>
    <w:rsid w:val="003A3351"/>
    <w:rsid w:val="003A3C92"/>
    <w:rsid w:val="003A3FE8"/>
    <w:rsid w:val="003A4299"/>
    <w:rsid w:val="003A46F0"/>
    <w:rsid w:val="003A4C00"/>
    <w:rsid w:val="003A4DD7"/>
    <w:rsid w:val="003A5803"/>
    <w:rsid w:val="003A590F"/>
    <w:rsid w:val="003A75F7"/>
    <w:rsid w:val="003B04C6"/>
    <w:rsid w:val="003B06E1"/>
    <w:rsid w:val="003B11B6"/>
    <w:rsid w:val="003B167D"/>
    <w:rsid w:val="003B1C8D"/>
    <w:rsid w:val="003B2443"/>
    <w:rsid w:val="003B25E1"/>
    <w:rsid w:val="003B2B22"/>
    <w:rsid w:val="003B302E"/>
    <w:rsid w:val="003B307C"/>
    <w:rsid w:val="003B397E"/>
    <w:rsid w:val="003B3E59"/>
    <w:rsid w:val="003B4812"/>
    <w:rsid w:val="003B4B77"/>
    <w:rsid w:val="003B4C31"/>
    <w:rsid w:val="003B56B8"/>
    <w:rsid w:val="003B6632"/>
    <w:rsid w:val="003B6B38"/>
    <w:rsid w:val="003B6B93"/>
    <w:rsid w:val="003B74C5"/>
    <w:rsid w:val="003B79B2"/>
    <w:rsid w:val="003C002F"/>
    <w:rsid w:val="003C038D"/>
    <w:rsid w:val="003C170A"/>
    <w:rsid w:val="003C1863"/>
    <w:rsid w:val="003C2156"/>
    <w:rsid w:val="003C2192"/>
    <w:rsid w:val="003C4E7A"/>
    <w:rsid w:val="003C5E36"/>
    <w:rsid w:val="003C6128"/>
    <w:rsid w:val="003C672B"/>
    <w:rsid w:val="003C753B"/>
    <w:rsid w:val="003C7542"/>
    <w:rsid w:val="003D078E"/>
    <w:rsid w:val="003D08A2"/>
    <w:rsid w:val="003D08A4"/>
    <w:rsid w:val="003D1C77"/>
    <w:rsid w:val="003D1EA0"/>
    <w:rsid w:val="003D272F"/>
    <w:rsid w:val="003D2D3B"/>
    <w:rsid w:val="003D2E32"/>
    <w:rsid w:val="003D31C6"/>
    <w:rsid w:val="003D3420"/>
    <w:rsid w:val="003D34C5"/>
    <w:rsid w:val="003D384E"/>
    <w:rsid w:val="003D3BE3"/>
    <w:rsid w:val="003D4282"/>
    <w:rsid w:val="003D4A9D"/>
    <w:rsid w:val="003D4D3F"/>
    <w:rsid w:val="003D4E1C"/>
    <w:rsid w:val="003D5C6A"/>
    <w:rsid w:val="003D5C82"/>
    <w:rsid w:val="003D6665"/>
    <w:rsid w:val="003D66F4"/>
    <w:rsid w:val="003D67BC"/>
    <w:rsid w:val="003D684C"/>
    <w:rsid w:val="003D684D"/>
    <w:rsid w:val="003D6B3D"/>
    <w:rsid w:val="003D6E9E"/>
    <w:rsid w:val="003D728C"/>
    <w:rsid w:val="003D7322"/>
    <w:rsid w:val="003D7397"/>
    <w:rsid w:val="003D7BAF"/>
    <w:rsid w:val="003E0786"/>
    <w:rsid w:val="003E09C4"/>
    <w:rsid w:val="003E1492"/>
    <w:rsid w:val="003E22CC"/>
    <w:rsid w:val="003E23BB"/>
    <w:rsid w:val="003E27B9"/>
    <w:rsid w:val="003E2D97"/>
    <w:rsid w:val="003E2E67"/>
    <w:rsid w:val="003E3A1B"/>
    <w:rsid w:val="003E404F"/>
    <w:rsid w:val="003E487F"/>
    <w:rsid w:val="003E49B4"/>
    <w:rsid w:val="003E4A56"/>
    <w:rsid w:val="003E517D"/>
    <w:rsid w:val="003E5235"/>
    <w:rsid w:val="003E5884"/>
    <w:rsid w:val="003E5AD5"/>
    <w:rsid w:val="003E697D"/>
    <w:rsid w:val="003E6B33"/>
    <w:rsid w:val="003E6CBF"/>
    <w:rsid w:val="003E6E1E"/>
    <w:rsid w:val="003E7D56"/>
    <w:rsid w:val="003E7E41"/>
    <w:rsid w:val="003F01B3"/>
    <w:rsid w:val="003F1449"/>
    <w:rsid w:val="003F1673"/>
    <w:rsid w:val="003F3457"/>
    <w:rsid w:val="003F3717"/>
    <w:rsid w:val="003F3DCC"/>
    <w:rsid w:val="003F42D5"/>
    <w:rsid w:val="003F4333"/>
    <w:rsid w:val="003F46F7"/>
    <w:rsid w:val="003F4DD7"/>
    <w:rsid w:val="003F5B44"/>
    <w:rsid w:val="003F5FF0"/>
    <w:rsid w:val="003F65D0"/>
    <w:rsid w:val="003F67F0"/>
    <w:rsid w:val="003F6A66"/>
    <w:rsid w:val="003F6C11"/>
    <w:rsid w:val="003F740B"/>
    <w:rsid w:val="003F769D"/>
    <w:rsid w:val="003F7BA1"/>
    <w:rsid w:val="003F7CE2"/>
    <w:rsid w:val="004017AA"/>
    <w:rsid w:val="00401BAF"/>
    <w:rsid w:val="0040249B"/>
    <w:rsid w:val="0040267A"/>
    <w:rsid w:val="00403FD3"/>
    <w:rsid w:val="0040409C"/>
    <w:rsid w:val="00404126"/>
    <w:rsid w:val="004045FD"/>
    <w:rsid w:val="004048D2"/>
    <w:rsid w:val="00405386"/>
    <w:rsid w:val="00405A0F"/>
    <w:rsid w:val="004065C2"/>
    <w:rsid w:val="00406914"/>
    <w:rsid w:val="00406CE7"/>
    <w:rsid w:val="00406D3B"/>
    <w:rsid w:val="00407D77"/>
    <w:rsid w:val="00410406"/>
    <w:rsid w:val="00410FD8"/>
    <w:rsid w:val="00411867"/>
    <w:rsid w:val="004119F1"/>
    <w:rsid w:val="00412007"/>
    <w:rsid w:val="004121C6"/>
    <w:rsid w:val="00412611"/>
    <w:rsid w:val="004126A6"/>
    <w:rsid w:val="00412F6D"/>
    <w:rsid w:val="004133B2"/>
    <w:rsid w:val="004139B6"/>
    <w:rsid w:val="00413B4B"/>
    <w:rsid w:val="00414622"/>
    <w:rsid w:val="004156D9"/>
    <w:rsid w:val="00415BD3"/>
    <w:rsid w:val="004171B7"/>
    <w:rsid w:val="004172F7"/>
    <w:rsid w:val="00417A5F"/>
    <w:rsid w:val="004212A0"/>
    <w:rsid w:val="00421E3B"/>
    <w:rsid w:val="00421FDA"/>
    <w:rsid w:val="004222EE"/>
    <w:rsid w:val="004226FD"/>
    <w:rsid w:val="0042290A"/>
    <w:rsid w:val="00422BCB"/>
    <w:rsid w:val="00422C89"/>
    <w:rsid w:val="00422E4E"/>
    <w:rsid w:val="00423379"/>
    <w:rsid w:val="004236D0"/>
    <w:rsid w:val="004236DA"/>
    <w:rsid w:val="004239DF"/>
    <w:rsid w:val="00424B85"/>
    <w:rsid w:val="004253A1"/>
    <w:rsid w:val="004256A2"/>
    <w:rsid w:val="00426C0E"/>
    <w:rsid w:val="0042704E"/>
    <w:rsid w:val="00427241"/>
    <w:rsid w:val="00431DD9"/>
    <w:rsid w:val="00431DFB"/>
    <w:rsid w:val="00432099"/>
    <w:rsid w:val="00432855"/>
    <w:rsid w:val="00432B9D"/>
    <w:rsid w:val="00432DC0"/>
    <w:rsid w:val="004333E9"/>
    <w:rsid w:val="00433BB2"/>
    <w:rsid w:val="00434CAE"/>
    <w:rsid w:val="0043550D"/>
    <w:rsid w:val="0043606C"/>
    <w:rsid w:val="004362CD"/>
    <w:rsid w:val="004362D1"/>
    <w:rsid w:val="00436B28"/>
    <w:rsid w:val="004374DA"/>
    <w:rsid w:val="00440E7A"/>
    <w:rsid w:val="00440EF9"/>
    <w:rsid w:val="0044128E"/>
    <w:rsid w:val="00442161"/>
    <w:rsid w:val="0044259B"/>
    <w:rsid w:val="00442615"/>
    <w:rsid w:val="00442927"/>
    <w:rsid w:val="00442FA6"/>
    <w:rsid w:val="004430DF"/>
    <w:rsid w:val="0044461B"/>
    <w:rsid w:val="00444854"/>
    <w:rsid w:val="0044498F"/>
    <w:rsid w:val="00444A5A"/>
    <w:rsid w:val="00444E7B"/>
    <w:rsid w:val="0044509D"/>
    <w:rsid w:val="004451FA"/>
    <w:rsid w:val="00445314"/>
    <w:rsid w:val="00446075"/>
    <w:rsid w:val="0044612D"/>
    <w:rsid w:val="00446555"/>
    <w:rsid w:val="00447DD2"/>
    <w:rsid w:val="0045038D"/>
    <w:rsid w:val="00451449"/>
    <w:rsid w:val="0045196C"/>
    <w:rsid w:val="00451ED6"/>
    <w:rsid w:val="00451F12"/>
    <w:rsid w:val="004521AD"/>
    <w:rsid w:val="004522B3"/>
    <w:rsid w:val="00452808"/>
    <w:rsid w:val="004550A4"/>
    <w:rsid w:val="0045583F"/>
    <w:rsid w:val="00455BDA"/>
    <w:rsid w:val="0045610E"/>
    <w:rsid w:val="00456E35"/>
    <w:rsid w:val="00457066"/>
    <w:rsid w:val="004571C0"/>
    <w:rsid w:val="004579EA"/>
    <w:rsid w:val="00460286"/>
    <w:rsid w:val="00461263"/>
    <w:rsid w:val="00461EBF"/>
    <w:rsid w:val="00461EE3"/>
    <w:rsid w:val="00462B1C"/>
    <w:rsid w:val="0046310C"/>
    <w:rsid w:val="0046359C"/>
    <w:rsid w:val="004651E9"/>
    <w:rsid w:val="00465569"/>
    <w:rsid w:val="00465D0C"/>
    <w:rsid w:val="00466025"/>
    <w:rsid w:val="00466E81"/>
    <w:rsid w:val="004670E4"/>
    <w:rsid w:val="004672EC"/>
    <w:rsid w:val="0047008C"/>
    <w:rsid w:val="004702F4"/>
    <w:rsid w:val="004706FC"/>
    <w:rsid w:val="00470BAD"/>
    <w:rsid w:val="004712DE"/>
    <w:rsid w:val="0047158B"/>
    <w:rsid w:val="00471748"/>
    <w:rsid w:val="00472396"/>
    <w:rsid w:val="004736AC"/>
    <w:rsid w:val="00473A5B"/>
    <w:rsid w:val="00473B52"/>
    <w:rsid w:val="004745B3"/>
    <w:rsid w:val="004747BA"/>
    <w:rsid w:val="0047571F"/>
    <w:rsid w:val="004758C3"/>
    <w:rsid w:val="00476AC5"/>
    <w:rsid w:val="00476E3D"/>
    <w:rsid w:val="00476F02"/>
    <w:rsid w:val="00477150"/>
    <w:rsid w:val="0047736F"/>
    <w:rsid w:val="004774B7"/>
    <w:rsid w:val="004776DB"/>
    <w:rsid w:val="00477828"/>
    <w:rsid w:val="0047787D"/>
    <w:rsid w:val="00477B93"/>
    <w:rsid w:val="00477D0E"/>
    <w:rsid w:val="004801D7"/>
    <w:rsid w:val="00480B6D"/>
    <w:rsid w:val="00481482"/>
    <w:rsid w:val="004819B1"/>
    <w:rsid w:val="00482AEA"/>
    <w:rsid w:val="00482D73"/>
    <w:rsid w:val="0048374D"/>
    <w:rsid w:val="00484171"/>
    <w:rsid w:val="00484425"/>
    <w:rsid w:val="00484437"/>
    <w:rsid w:val="0048464F"/>
    <w:rsid w:val="00484806"/>
    <w:rsid w:val="004851C6"/>
    <w:rsid w:val="00485FC6"/>
    <w:rsid w:val="00486244"/>
    <w:rsid w:val="004867CB"/>
    <w:rsid w:val="00486CA9"/>
    <w:rsid w:val="00487CAC"/>
    <w:rsid w:val="00487EA0"/>
    <w:rsid w:val="00490088"/>
    <w:rsid w:val="00490974"/>
    <w:rsid w:val="00490B54"/>
    <w:rsid w:val="00491590"/>
    <w:rsid w:val="004915A0"/>
    <w:rsid w:val="00491731"/>
    <w:rsid w:val="0049180C"/>
    <w:rsid w:val="00492943"/>
    <w:rsid w:val="004929BF"/>
    <w:rsid w:val="00492D88"/>
    <w:rsid w:val="00492DE2"/>
    <w:rsid w:val="00492FBC"/>
    <w:rsid w:val="00493007"/>
    <w:rsid w:val="00493718"/>
    <w:rsid w:val="0049399D"/>
    <w:rsid w:val="00493F77"/>
    <w:rsid w:val="00494E7B"/>
    <w:rsid w:val="00495E0A"/>
    <w:rsid w:val="00496181"/>
    <w:rsid w:val="00496623"/>
    <w:rsid w:val="00496E94"/>
    <w:rsid w:val="004971A4"/>
    <w:rsid w:val="00497ECC"/>
    <w:rsid w:val="004A0133"/>
    <w:rsid w:val="004A02D3"/>
    <w:rsid w:val="004A04AA"/>
    <w:rsid w:val="004A073E"/>
    <w:rsid w:val="004A0C03"/>
    <w:rsid w:val="004A1670"/>
    <w:rsid w:val="004A1A2E"/>
    <w:rsid w:val="004A1F2A"/>
    <w:rsid w:val="004A2176"/>
    <w:rsid w:val="004A21FF"/>
    <w:rsid w:val="004A25CA"/>
    <w:rsid w:val="004A2733"/>
    <w:rsid w:val="004A30A5"/>
    <w:rsid w:val="004A3113"/>
    <w:rsid w:val="004A3417"/>
    <w:rsid w:val="004A39F2"/>
    <w:rsid w:val="004A3BFD"/>
    <w:rsid w:val="004A492F"/>
    <w:rsid w:val="004A4A97"/>
    <w:rsid w:val="004A5CD2"/>
    <w:rsid w:val="004A5D56"/>
    <w:rsid w:val="004A6011"/>
    <w:rsid w:val="004A60FB"/>
    <w:rsid w:val="004B01DB"/>
    <w:rsid w:val="004B077B"/>
    <w:rsid w:val="004B156D"/>
    <w:rsid w:val="004B159F"/>
    <w:rsid w:val="004B1BE6"/>
    <w:rsid w:val="004B23EA"/>
    <w:rsid w:val="004B2756"/>
    <w:rsid w:val="004B3DFC"/>
    <w:rsid w:val="004B4078"/>
    <w:rsid w:val="004B49C1"/>
    <w:rsid w:val="004B4E6D"/>
    <w:rsid w:val="004B5038"/>
    <w:rsid w:val="004B5308"/>
    <w:rsid w:val="004B5EEF"/>
    <w:rsid w:val="004B5F3A"/>
    <w:rsid w:val="004B6324"/>
    <w:rsid w:val="004B657C"/>
    <w:rsid w:val="004B66FB"/>
    <w:rsid w:val="004B72C8"/>
    <w:rsid w:val="004B76F4"/>
    <w:rsid w:val="004B7A02"/>
    <w:rsid w:val="004C0AD3"/>
    <w:rsid w:val="004C10EE"/>
    <w:rsid w:val="004C12BD"/>
    <w:rsid w:val="004C15BE"/>
    <w:rsid w:val="004C1717"/>
    <w:rsid w:val="004C193A"/>
    <w:rsid w:val="004C1B3A"/>
    <w:rsid w:val="004C1F5A"/>
    <w:rsid w:val="004C21A0"/>
    <w:rsid w:val="004C2427"/>
    <w:rsid w:val="004C2B5D"/>
    <w:rsid w:val="004C2DA8"/>
    <w:rsid w:val="004C31F8"/>
    <w:rsid w:val="004C33D5"/>
    <w:rsid w:val="004C3E1A"/>
    <w:rsid w:val="004C47A8"/>
    <w:rsid w:val="004C60E4"/>
    <w:rsid w:val="004C715C"/>
    <w:rsid w:val="004D01C3"/>
    <w:rsid w:val="004D14C0"/>
    <w:rsid w:val="004D1F11"/>
    <w:rsid w:val="004D2319"/>
    <w:rsid w:val="004D25F0"/>
    <w:rsid w:val="004D2979"/>
    <w:rsid w:val="004D2A4F"/>
    <w:rsid w:val="004D2D5F"/>
    <w:rsid w:val="004D30CE"/>
    <w:rsid w:val="004D3569"/>
    <w:rsid w:val="004D3BEA"/>
    <w:rsid w:val="004D614C"/>
    <w:rsid w:val="004D6346"/>
    <w:rsid w:val="004D69A8"/>
    <w:rsid w:val="004D719E"/>
    <w:rsid w:val="004D748E"/>
    <w:rsid w:val="004D75F5"/>
    <w:rsid w:val="004D7A3B"/>
    <w:rsid w:val="004E00D5"/>
    <w:rsid w:val="004E077F"/>
    <w:rsid w:val="004E1140"/>
    <w:rsid w:val="004E1827"/>
    <w:rsid w:val="004E1B7B"/>
    <w:rsid w:val="004E214C"/>
    <w:rsid w:val="004E33F8"/>
    <w:rsid w:val="004E4A66"/>
    <w:rsid w:val="004E4B38"/>
    <w:rsid w:val="004E54BD"/>
    <w:rsid w:val="004E5A70"/>
    <w:rsid w:val="004E62FE"/>
    <w:rsid w:val="004E653A"/>
    <w:rsid w:val="004E6B2B"/>
    <w:rsid w:val="004E6BD4"/>
    <w:rsid w:val="004E6FB2"/>
    <w:rsid w:val="004E7914"/>
    <w:rsid w:val="004E797A"/>
    <w:rsid w:val="004E7A17"/>
    <w:rsid w:val="004F046D"/>
    <w:rsid w:val="004F0890"/>
    <w:rsid w:val="004F0C50"/>
    <w:rsid w:val="004F0D1B"/>
    <w:rsid w:val="004F1297"/>
    <w:rsid w:val="004F24DD"/>
    <w:rsid w:val="004F363C"/>
    <w:rsid w:val="004F3F17"/>
    <w:rsid w:val="004F3F7F"/>
    <w:rsid w:val="004F4388"/>
    <w:rsid w:val="004F43BD"/>
    <w:rsid w:val="004F44ED"/>
    <w:rsid w:val="004F4920"/>
    <w:rsid w:val="004F4BBE"/>
    <w:rsid w:val="004F4BCA"/>
    <w:rsid w:val="004F5803"/>
    <w:rsid w:val="004F5864"/>
    <w:rsid w:val="004F58E9"/>
    <w:rsid w:val="004F608B"/>
    <w:rsid w:val="004F6243"/>
    <w:rsid w:val="004F64BE"/>
    <w:rsid w:val="004F67B9"/>
    <w:rsid w:val="004F68C5"/>
    <w:rsid w:val="004F7C4C"/>
    <w:rsid w:val="004F7CCE"/>
    <w:rsid w:val="004F7CFC"/>
    <w:rsid w:val="004F7D95"/>
    <w:rsid w:val="005009FF"/>
    <w:rsid w:val="00500BDB"/>
    <w:rsid w:val="00500E52"/>
    <w:rsid w:val="00501FFC"/>
    <w:rsid w:val="0050200F"/>
    <w:rsid w:val="00502B7F"/>
    <w:rsid w:val="0050317A"/>
    <w:rsid w:val="00504384"/>
    <w:rsid w:val="00504B23"/>
    <w:rsid w:val="00505090"/>
    <w:rsid w:val="00506F88"/>
    <w:rsid w:val="00507096"/>
    <w:rsid w:val="00507789"/>
    <w:rsid w:val="00507D5C"/>
    <w:rsid w:val="00507D74"/>
    <w:rsid w:val="00511E3F"/>
    <w:rsid w:val="005121B4"/>
    <w:rsid w:val="00512BEF"/>
    <w:rsid w:val="005132D4"/>
    <w:rsid w:val="00513377"/>
    <w:rsid w:val="005138FA"/>
    <w:rsid w:val="0051479C"/>
    <w:rsid w:val="00514C75"/>
    <w:rsid w:val="00515714"/>
    <w:rsid w:val="00516306"/>
    <w:rsid w:val="0051681B"/>
    <w:rsid w:val="00516AE3"/>
    <w:rsid w:val="00516E38"/>
    <w:rsid w:val="005172A7"/>
    <w:rsid w:val="00517443"/>
    <w:rsid w:val="00517B12"/>
    <w:rsid w:val="00517CB0"/>
    <w:rsid w:val="005201DC"/>
    <w:rsid w:val="005208F1"/>
    <w:rsid w:val="0052119B"/>
    <w:rsid w:val="00521B58"/>
    <w:rsid w:val="00522606"/>
    <w:rsid w:val="00522B9A"/>
    <w:rsid w:val="00523825"/>
    <w:rsid w:val="005240E4"/>
    <w:rsid w:val="005246EF"/>
    <w:rsid w:val="00524DAA"/>
    <w:rsid w:val="00524ED4"/>
    <w:rsid w:val="00525133"/>
    <w:rsid w:val="00525C6F"/>
    <w:rsid w:val="00525FC8"/>
    <w:rsid w:val="005260B9"/>
    <w:rsid w:val="005267AF"/>
    <w:rsid w:val="005268F6"/>
    <w:rsid w:val="00526A23"/>
    <w:rsid w:val="00526DEC"/>
    <w:rsid w:val="00527351"/>
    <w:rsid w:val="00527366"/>
    <w:rsid w:val="00527A3E"/>
    <w:rsid w:val="00530379"/>
    <w:rsid w:val="00530C50"/>
    <w:rsid w:val="00530C7B"/>
    <w:rsid w:val="005311D5"/>
    <w:rsid w:val="005313EF"/>
    <w:rsid w:val="005318CC"/>
    <w:rsid w:val="00531C2E"/>
    <w:rsid w:val="00531F17"/>
    <w:rsid w:val="00532207"/>
    <w:rsid w:val="005331D3"/>
    <w:rsid w:val="005339A7"/>
    <w:rsid w:val="0053487B"/>
    <w:rsid w:val="00535265"/>
    <w:rsid w:val="00536023"/>
    <w:rsid w:val="005367ED"/>
    <w:rsid w:val="00536C44"/>
    <w:rsid w:val="00536C9F"/>
    <w:rsid w:val="0053707A"/>
    <w:rsid w:val="005375B2"/>
    <w:rsid w:val="0053788B"/>
    <w:rsid w:val="00540F49"/>
    <w:rsid w:val="0054180F"/>
    <w:rsid w:val="00542521"/>
    <w:rsid w:val="00542C59"/>
    <w:rsid w:val="00542D99"/>
    <w:rsid w:val="005432E4"/>
    <w:rsid w:val="00543E1D"/>
    <w:rsid w:val="0054464C"/>
    <w:rsid w:val="00544AD0"/>
    <w:rsid w:val="00544AEA"/>
    <w:rsid w:val="00544C1E"/>
    <w:rsid w:val="005454E7"/>
    <w:rsid w:val="00545C6E"/>
    <w:rsid w:val="00545DCE"/>
    <w:rsid w:val="0054633B"/>
    <w:rsid w:val="005463FB"/>
    <w:rsid w:val="00546902"/>
    <w:rsid w:val="00546D28"/>
    <w:rsid w:val="00546DAC"/>
    <w:rsid w:val="0054715A"/>
    <w:rsid w:val="00547B5D"/>
    <w:rsid w:val="00547F7C"/>
    <w:rsid w:val="0055003D"/>
    <w:rsid w:val="00550073"/>
    <w:rsid w:val="0055070C"/>
    <w:rsid w:val="00550875"/>
    <w:rsid w:val="00551C0F"/>
    <w:rsid w:val="00551C51"/>
    <w:rsid w:val="005522D2"/>
    <w:rsid w:val="00552460"/>
    <w:rsid w:val="005524B2"/>
    <w:rsid w:val="00552934"/>
    <w:rsid w:val="0055295A"/>
    <w:rsid w:val="005531BC"/>
    <w:rsid w:val="00553AAD"/>
    <w:rsid w:val="0055436E"/>
    <w:rsid w:val="00556243"/>
    <w:rsid w:val="00556EF5"/>
    <w:rsid w:val="00557265"/>
    <w:rsid w:val="005572A1"/>
    <w:rsid w:val="0055785F"/>
    <w:rsid w:val="00557E6D"/>
    <w:rsid w:val="00557E6E"/>
    <w:rsid w:val="005608C8"/>
    <w:rsid w:val="0056121E"/>
    <w:rsid w:val="00561347"/>
    <w:rsid w:val="00561B9D"/>
    <w:rsid w:val="00561BD2"/>
    <w:rsid w:val="0056215D"/>
    <w:rsid w:val="00562440"/>
    <w:rsid w:val="005630A9"/>
    <w:rsid w:val="005631A5"/>
    <w:rsid w:val="00563348"/>
    <w:rsid w:val="0056362A"/>
    <w:rsid w:val="0056393E"/>
    <w:rsid w:val="00563941"/>
    <w:rsid w:val="00563E48"/>
    <w:rsid w:val="005648FB"/>
    <w:rsid w:val="00564A74"/>
    <w:rsid w:val="00565893"/>
    <w:rsid w:val="00565E17"/>
    <w:rsid w:val="00570421"/>
    <w:rsid w:val="00570661"/>
    <w:rsid w:val="00570727"/>
    <w:rsid w:val="00570CBD"/>
    <w:rsid w:val="00571364"/>
    <w:rsid w:val="00571848"/>
    <w:rsid w:val="00571E27"/>
    <w:rsid w:val="00572AF4"/>
    <w:rsid w:val="00572F00"/>
    <w:rsid w:val="00573795"/>
    <w:rsid w:val="00574152"/>
    <w:rsid w:val="005741D4"/>
    <w:rsid w:val="0057567E"/>
    <w:rsid w:val="005760AF"/>
    <w:rsid w:val="005767A5"/>
    <w:rsid w:val="00577232"/>
    <w:rsid w:val="00577499"/>
    <w:rsid w:val="00577886"/>
    <w:rsid w:val="005802CF"/>
    <w:rsid w:val="005805E6"/>
    <w:rsid w:val="0058161F"/>
    <w:rsid w:val="005818F8"/>
    <w:rsid w:val="00581FBD"/>
    <w:rsid w:val="005827E5"/>
    <w:rsid w:val="00582A0B"/>
    <w:rsid w:val="00582A22"/>
    <w:rsid w:val="00583C1C"/>
    <w:rsid w:val="00583F72"/>
    <w:rsid w:val="005846E9"/>
    <w:rsid w:val="00584894"/>
    <w:rsid w:val="00584ECB"/>
    <w:rsid w:val="00585263"/>
    <w:rsid w:val="00585272"/>
    <w:rsid w:val="00586237"/>
    <w:rsid w:val="005868D2"/>
    <w:rsid w:val="005875DF"/>
    <w:rsid w:val="00587993"/>
    <w:rsid w:val="00587C82"/>
    <w:rsid w:val="00590D74"/>
    <w:rsid w:val="00590E4E"/>
    <w:rsid w:val="00591D6B"/>
    <w:rsid w:val="00591D7D"/>
    <w:rsid w:val="005922AE"/>
    <w:rsid w:val="00592765"/>
    <w:rsid w:val="00592E3B"/>
    <w:rsid w:val="00593D8D"/>
    <w:rsid w:val="00593DAA"/>
    <w:rsid w:val="005946D7"/>
    <w:rsid w:val="00594EB4"/>
    <w:rsid w:val="00594ED3"/>
    <w:rsid w:val="00595170"/>
    <w:rsid w:val="00595203"/>
    <w:rsid w:val="005956CE"/>
    <w:rsid w:val="0059672A"/>
    <w:rsid w:val="0059691E"/>
    <w:rsid w:val="00596F3D"/>
    <w:rsid w:val="0059765C"/>
    <w:rsid w:val="00597806"/>
    <w:rsid w:val="00597828"/>
    <w:rsid w:val="005A0286"/>
    <w:rsid w:val="005A0C9A"/>
    <w:rsid w:val="005A0CEA"/>
    <w:rsid w:val="005A0E74"/>
    <w:rsid w:val="005A1850"/>
    <w:rsid w:val="005A2158"/>
    <w:rsid w:val="005A29CE"/>
    <w:rsid w:val="005A377F"/>
    <w:rsid w:val="005A497A"/>
    <w:rsid w:val="005A4D76"/>
    <w:rsid w:val="005A5615"/>
    <w:rsid w:val="005A57A0"/>
    <w:rsid w:val="005A5BAC"/>
    <w:rsid w:val="005A5F32"/>
    <w:rsid w:val="005A6230"/>
    <w:rsid w:val="005A67D1"/>
    <w:rsid w:val="005A6BA4"/>
    <w:rsid w:val="005A6E8F"/>
    <w:rsid w:val="005A70F7"/>
    <w:rsid w:val="005A7206"/>
    <w:rsid w:val="005A730E"/>
    <w:rsid w:val="005A7435"/>
    <w:rsid w:val="005A76AA"/>
    <w:rsid w:val="005A76CB"/>
    <w:rsid w:val="005A7E5C"/>
    <w:rsid w:val="005B065E"/>
    <w:rsid w:val="005B086A"/>
    <w:rsid w:val="005B0A62"/>
    <w:rsid w:val="005B0F4F"/>
    <w:rsid w:val="005B2074"/>
    <w:rsid w:val="005B211D"/>
    <w:rsid w:val="005B2480"/>
    <w:rsid w:val="005B29B4"/>
    <w:rsid w:val="005B2CAB"/>
    <w:rsid w:val="005B2D49"/>
    <w:rsid w:val="005B2E43"/>
    <w:rsid w:val="005B2E44"/>
    <w:rsid w:val="005B3207"/>
    <w:rsid w:val="005B38A7"/>
    <w:rsid w:val="005B42B8"/>
    <w:rsid w:val="005B42D4"/>
    <w:rsid w:val="005B4618"/>
    <w:rsid w:val="005B4839"/>
    <w:rsid w:val="005B49A9"/>
    <w:rsid w:val="005B4FCD"/>
    <w:rsid w:val="005B5A31"/>
    <w:rsid w:val="005B5B42"/>
    <w:rsid w:val="005B5FB9"/>
    <w:rsid w:val="005B6108"/>
    <w:rsid w:val="005B65A9"/>
    <w:rsid w:val="005B693A"/>
    <w:rsid w:val="005B7066"/>
    <w:rsid w:val="005B7CBB"/>
    <w:rsid w:val="005C027E"/>
    <w:rsid w:val="005C049A"/>
    <w:rsid w:val="005C04EF"/>
    <w:rsid w:val="005C0EDC"/>
    <w:rsid w:val="005C2709"/>
    <w:rsid w:val="005C2DB0"/>
    <w:rsid w:val="005C3C19"/>
    <w:rsid w:val="005C44B7"/>
    <w:rsid w:val="005C4B14"/>
    <w:rsid w:val="005C4BD1"/>
    <w:rsid w:val="005C4EC9"/>
    <w:rsid w:val="005C5E1D"/>
    <w:rsid w:val="005C5F4A"/>
    <w:rsid w:val="005C6AE9"/>
    <w:rsid w:val="005C6D11"/>
    <w:rsid w:val="005C7480"/>
    <w:rsid w:val="005C7741"/>
    <w:rsid w:val="005D0230"/>
    <w:rsid w:val="005D060D"/>
    <w:rsid w:val="005D0620"/>
    <w:rsid w:val="005D0DC3"/>
    <w:rsid w:val="005D1744"/>
    <w:rsid w:val="005D29D8"/>
    <w:rsid w:val="005D2F98"/>
    <w:rsid w:val="005D335B"/>
    <w:rsid w:val="005D3A5B"/>
    <w:rsid w:val="005D3FBA"/>
    <w:rsid w:val="005D4773"/>
    <w:rsid w:val="005D4F4E"/>
    <w:rsid w:val="005D570F"/>
    <w:rsid w:val="005D6854"/>
    <w:rsid w:val="005D6A74"/>
    <w:rsid w:val="005D76A1"/>
    <w:rsid w:val="005D7759"/>
    <w:rsid w:val="005E0B57"/>
    <w:rsid w:val="005E0BA2"/>
    <w:rsid w:val="005E108B"/>
    <w:rsid w:val="005E11CF"/>
    <w:rsid w:val="005E1721"/>
    <w:rsid w:val="005E1871"/>
    <w:rsid w:val="005E1C3B"/>
    <w:rsid w:val="005E1CF1"/>
    <w:rsid w:val="005E21C6"/>
    <w:rsid w:val="005E271F"/>
    <w:rsid w:val="005E2770"/>
    <w:rsid w:val="005E2D9D"/>
    <w:rsid w:val="005E2EA1"/>
    <w:rsid w:val="005E2F9A"/>
    <w:rsid w:val="005E3BC9"/>
    <w:rsid w:val="005E44F8"/>
    <w:rsid w:val="005E506B"/>
    <w:rsid w:val="005E5159"/>
    <w:rsid w:val="005E58AD"/>
    <w:rsid w:val="005E64E8"/>
    <w:rsid w:val="005E6671"/>
    <w:rsid w:val="005E6A81"/>
    <w:rsid w:val="005E71B1"/>
    <w:rsid w:val="005E7871"/>
    <w:rsid w:val="005E799D"/>
    <w:rsid w:val="005E7B7E"/>
    <w:rsid w:val="005E7F14"/>
    <w:rsid w:val="005F0B5B"/>
    <w:rsid w:val="005F11F5"/>
    <w:rsid w:val="005F243E"/>
    <w:rsid w:val="005F34A3"/>
    <w:rsid w:val="005F35CC"/>
    <w:rsid w:val="005F393E"/>
    <w:rsid w:val="005F3968"/>
    <w:rsid w:val="005F3FB8"/>
    <w:rsid w:val="005F4060"/>
    <w:rsid w:val="005F41D4"/>
    <w:rsid w:val="005F443D"/>
    <w:rsid w:val="005F59CD"/>
    <w:rsid w:val="005F6ADB"/>
    <w:rsid w:val="005F7185"/>
    <w:rsid w:val="00600E86"/>
    <w:rsid w:val="00601EA2"/>
    <w:rsid w:val="006028AA"/>
    <w:rsid w:val="00603723"/>
    <w:rsid w:val="0060469A"/>
    <w:rsid w:val="00604EB1"/>
    <w:rsid w:val="00604FBD"/>
    <w:rsid w:val="00605BF2"/>
    <w:rsid w:val="0060602A"/>
    <w:rsid w:val="0060649B"/>
    <w:rsid w:val="00606F28"/>
    <w:rsid w:val="0060731E"/>
    <w:rsid w:val="00607578"/>
    <w:rsid w:val="00607682"/>
    <w:rsid w:val="00607964"/>
    <w:rsid w:val="00607B3D"/>
    <w:rsid w:val="00607E4E"/>
    <w:rsid w:val="00607EA4"/>
    <w:rsid w:val="0061005D"/>
    <w:rsid w:val="006101E3"/>
    <w:rsid w:val="00610613"/>
    <w:rsid w:val="006115F7"/>
    <w:rsid w:val="00611C3B"/>
    <w:rsid w:val="00611D22"/>
    <w:rsid w:val="00612BD5"/>
    <w:rsid w:val="00612CDD"/>
    <w:rsid w:val="006142D4"/>
    <w:rsid w:val="00614554"/>
    <w:rsid w:val="00614A9C"/>
    <w:rsid w:val="00614E61"/>
    <w:rsid w:val="006150B3"/>
    <w:rsid w:val="00615127"/>
    <w:rsid w:val="0061564E"/>
    <w:rsid w:val="006156DF"/>
    <w:rsid w:val="006159A4"/>
    <w:rsid w:val="006163DD"/>
    <w:rsid w:val="00617F47"/>
    <w:rsid w:val="006207D0"/>
    <w:rsid w:val="00620F4A"/>
    <w:rsid w:val="00621609"/>
    <w:rsid w:val="006216B7"/>
    <w:rsid w:val="006217AC"/>
    <w:rsid w:val="006217D6"/>
    <w:rsid w:val="0062191A"/>
    <w:rsid w:val="00621ACC"/>
    <w:rsid w:val="00621CD3"/>
    <w:rsid w:val="00622630"/>
    <w:rsid w:val="00624B4C"/>
    <w:rsid w:val="00624E5B"/>
    <w:rsid w:val="0062536B"/>
    <w:rsid w:val="0062550F"/>
    <w:rsid w:val="00625A5C"/>
    <w:rsid w:val="00626595"/>
    <w:rsid w:val="00627AC9"/>
    <w:rsid w:val="00627F02"/>
    <w:rsid w:val="00631D5B"/>
    <w:rsid w:val="006326BD"/>
    <w:rsid w:val="006328AE"/>
    <w:rsid w:val="0063307D"/>
    <w:rsid w:val="00633C7C"/>
    <w:rsid w:val="00634275"/>
    <w:rsid w:val="00637F26"/>
    <w:rsid w:val="0064032B"/>
    <w:rsid w:val="00640785"/>
    <w:rsid w:val="00640AF2"/>
    <w:rsid w:val="00640AF5"/>
    <w:rsid w:val="006413AE"/>
    <w:rsid w:val="00641C0C"/>
    <w:rsid w:val="0064296D"/>
    <w:rsid w:val="006433BF"/>
    <w:rsid w:val="006437AE"/>
    <w:rsid w:val="00644104"/>
    <w:rsid w:val="006447FD"/>
    <w:rsid w:val="00644852"/>
    <w:rsid w:val="006448A7"/>
    <w:rsid w:val="00645152"/>
    <w:rsid w:val="0064518E"/>
    <w:rsid w:val="0064598C"/>
    <w:rsid w:val="0064646B"/>
    <w:rsid w:val="00647263"/>
    <w:rsid w:val="00647873"/>
    <w:rsid w:val="006479FD"/>
    <w:rsid w:val="0065034E"/>
    <w:rsid w:val="00650D07"/>
    <w:rsid w:val="00650EE0"/>
    <w:rsid w:val="00651D9F"/>
    <w:rsid w:val="0065222F"/>
    <w:rsid w:val="006522B3"/>
    <w:rsid w:val="00652B75"/>
    <w:rsid w:val="00653017"/>
    <w:rsid w:val="00653366"/>
    <w:rsid w:val="00653372"/>
    <w:rsid w:val="0065361D"/>
    <w:rsid w:val="00653E3F"/>
    <w:rsid w:val="00655136"/>
    <w:rsid w:val="00655765"/>
    <w:rsid w:val="0065626E"/>
    <w:rsid w:val="006578FF"/>
    <w:rsid w:val="0066066E"/>
    <w:rsid w:val="00660A23"/>
    <w:rsid w:val="006610B1"/>
    <w:rsid w:val="0066144E"/>
    <w:rsid w:val="006616FF"/>
    <w:rsid w:val="00661A9F"/>
    <w:rsid w:val="006620AE"/>
    <w:rsid w:val="006623C0"/>
    <w:rsid w:val="006624F9"/>
    <w:rsid w:val="00662568"/>
    <w:rsid w:val="0066416C"/>
    <w:rsid w:val="00664189"/>
    <w:rsid w:val="00664367"/>
    <w:rsid w:val="00664E68"/>
    <w:rsid w:val="006652D2"/>
    <w:rsid w:val="006652F6"/>
    <w:rsid w:val="00665A5D"/>
    <w:rsid w:val="00666A14"/>
    <w:rsid w:val="00666D34"/>
    <w:rsid w:val="00667B3C"/>
    <w:rsid w:val="00670F8A"/>
    <w:rsid w:val="00670F90"/>
    <w:rsid w:val="0067143B"/>
    <w:rsid w:val="00671C81"/>
    <w:rsid w:val="00672BD8"/>
    <w:rsid w:val="00672F5A"/>
    <w:rsid w:val="00673A74"/>
    <w:rsid w:val="00673D4F"/>
    <w:rsid w:val="00673FEF"/>
    <w:rsid w:val="00674815"/>
    <w:rsid w:val="006748BA"/>
    <w:rsid w:val="006752DF"/>
    <w:rsid w:val="00675A85"/>
    <w:rsid w:val="00677D15"/>
    <w:rsid w:val="00677F72"/>
    <w:rsid w:val="006803AA"/>
    <w:rsid w:val="00680E2E"/>
    <w:rsid w:val="0068125F"/>
    <w:rsid w:val="006818AF"/>
    <w:rsid w:val="00681BA5"/>
    <w:rsid w:val="00681CF4"/>
    <w:rsid w:val="00682C02"/>
    <w:rsid w:val="00682F00"/>
    <w:rsid w:val="00683912"/>
    <w:rsid w:val="00683943"/>
    <w:rsid w:val="00684DF1"/>
    <w:rsid w:val="00685103"/>
    <w:rsid w:val="00685312"/>
    <w:rsid w:val="00686007"/>
    <w:rsid w:val="006866B1"/>
    <w:rsid w:val="0068749B"/>
    <w:rsid w:val="006879B7"/>
    <w:rsid w:val="00690263"/>
    <w:rsid w:val="00690D77"/>
    <w:rsid w:val="0069112F"/>
    <w:rsid w:val="00691349"/>
    <w:rsid w:val="00691F32"/>
    <w:rsid w:val="00692D6E"/>
    <w:rsid w:val="00692F00"/>
    <w:rsid w:val="0069302D"/>
    <w:rsid w:val="006930F2"/>
    <w:rsid w:val="00694211"/>
    <w:rsid w:val="0069428F"/>
    <w:rsid w:val="006944F3"/>
    <w:rsid w:val="00694B7D"/>
    <w:rsid w:val="00694EA5"/>
    <w:rsid w:val="00695432"/>
    <w:rsid w:val="0069638D"/>
    <w:rsid w:val="006966BE"/>
    <w:rsid w:val="0069672E"/>
    <w:rsid w:val="00696A71"/>
    <w:rsid w:val="00697202"/>
    <w:rsid w:val="00697342"/>
    <w:rsid w:val="00697A77"/>
    <w:rsid w:val="00697EBE"/>
    <w:rsid w:val="006A0068"/>
    <w:rsid w:val="006A0B30"/>
    <w:rsid w:val="006A0F94"/>
    <w:rsid w:val="006A11FD"/>
    <w:rsid w:val="006A15DA"/>
    <w:rsid w:val="006A1FBC"/>
    <w:rsid w:val="006A2814"/>
    <w:rsid w:val="006A2BE2"/>
    <w:rsid w:val="006A2F0C"/>
    <w:rsid w:val="006A41E8"/>
    <w:rsid w:val="006A4700"/>
    <w:rsid w:val="006A47E7"/>
    <w:rsid w:val="006A4C73"/>
    <w:rsid w:val="006A54C3"/>
    <w:rsid w:val="006A5659"/>
    <w:rsid w:val="006A619A"/>
    <w:rsid w:val="006A6279"/>
    <w:rsid w:val="006A6919"/>
    <w:rsid w:val="006A7EF3"/>
    <w:rsid w:val="006B010B"/>
    <w:rsid w:val="006B0221"/>
    <w:rsid w:val="006B1268"/>
    <w:rsid w:val="006B2352"/>
    <w:rsid w:val="006B24FB"/>
    <w:rsid w:val="006B24FC"/>
    <w:rsid w:val="006B2B91"/>
    <w:rsid w:val="006B3B92"/>
    <w:rsid w:val="006B4082"/>
    <w:rsid w:val="006B46C9"/>
    <w:rsid w:val="006B4BC1"/>
    <w:rsid w:val="006B4DD8"/>
    <w:rsid w:val="006B530D"/>
    <w:rsid w:val="006B5723"/>
    <w:rsid w:val="006B58CF"/>
    <w:rsid w:val="006B5A66"/>
    <w:rsid w:val="006B5C5C"/>
    <w:rsid w:val="006B602F"/>
    <w:rsid w:val="006B663F"/>
    <w:rsid w:val="006B6E2D"/>
    <w:rsid w:val="006B7ABB"/>
    <w:rsid w:val="006B7D94"/>
    <w:rsid w:val="006B7F65"/>
    <w:rsid w:val="006B7FA8"/>
    <w:rsid w:val="006C02D4"/>
    <w:rsid w:val="006C16DB"/>
    <w:rsid w:val="006C22EA"/>
    <w:rsid w:val="006C29E0"/>
    <w:rsid w:val="006C2B81"/>
    <w:rsid w:val="006C2DFF"/>
    <w:rsid w:val="006C3302"/>
    <w:rsid w:val="006C3896"/>
    <w:rsid w:val="006C3CD0"/>
    <w:rsid w:val="006C3DAF"/>
    <w:rsid w:val="006C3EB8"/>
    <w:rsid w:val="006C4031"/>
    <w:rsid w:val="006C58F9"/>
    <w:rsid w:val="006C5ECA"/>
    <w:rsid w:val="006C6138"/>
    <w:rsid w:val="006C68B0"/>
    <w:rsid w:val="006C7157"/>
    <w:rsid w:val="006C77FE"/>
    <w:rsid w:val="006C7CF5"/>
    <w:rsid w:val="006C7E1E"/>
    <w:rsid w:val="006D08C2"/>
    <w:rsid w:val="006D1008"/>
    <w:rsid w:val="006D1C69"/>
    <w:rsid w:val="006D2162"/>
    <w:rsid w:val="006D23D1"/>
    <w:rsid w:val="006D30AF"/>
    <w:rsid w:val="006D3768"/>
    <w:rsid w:val="006D37B6"/>
    <w:rsid w:val="006D3856"/>
    <w:rsid w:val="006D3E7D"/>
    <w:rsid w:val="006D3F78"/>
    <w:rsid w:val="006D3F81"/>
    <w:rsid w:val="006D420B"/>
    <w:rsid w:val="006D513A"/>
    <w:rsid w:val="006D5344"/>
    <w:rsid w:val="006D549C"/>
    <w:rsid w:val="006D56B6"/>
    <w:rsid w:val="006D6490"/>
    <w:rsid w:val="006D696D"/>
    <w:rsid w:val="006D6BE5"/>
    <w:rsid w:val="006D6E58"/>
    <w:rsid w:val="006D7228"/>
    <w:rsid w:val="006D780A"/>
    <w:rsid w:val="006D7B1A"/>
    <w:rsid w:val="006E052C"/>
    <w:rsid w:val="006E1697"/>
    <w:rsid w:val="006E186B"/>
    <w:rsid w:val="006E191F"/>
    <w:rsid w:val="006E2464"/>
    <w:rsid w:val="006E3035"/>
    <w:rsid w:val="006E334C"/>
    <w:rsid w:val="006E354D"/>
    <w:rsid w:val="006E3B28"/>
    <w:rsid w:val="006E3D1D"/>
    <w:rsid w:val="006E4137"/>
    <w:rsid w:val="006E4358"/>
    <w:rsid w:val="006E478F"/>
    <w:rsid w:val="006E4E32"/>
    <w:rsid w:val="006E4EF3"/>
    <w:rsid w:val="006E5010"/>
    <w:rsid w:val="006E58CA"/>
    <w:rsid w:val="006E58DE"/>
    <w:rsid w:val="006E5A07"/>
    <w:rsid w:val="006E5CD6"/>
    <w:rsid w:val="006E772E"/>
    <w:rsid w:val="006E7BEB"/>
    <w:rsid w:val="006E7C3E"/>
    <w:rsid w:val="006E7F5C"/>
    <w:rsid w:val="006F0400"/>
    <w:rsid w:val="006F0556"/>
    <w:rsid w:val="006F0608"/>
    <w:rsid w:val="006F063D"/>
    <w:rsid w:val="006F0780"/>
    <w:rsid w:val="006F0EC0"/>
    <w:rsid w:val="006F1097"/>
    <w:rsid w:val="006F1B80"/>
    <w:rsid w:val="006F1C17"/>
    <w:rsid w:val="006F1C57"/>
    <w:rsid w:val="006F1FEE"/>
    <w:rsid w:val="006F279E"/>
    <w:rsid w:val="006F2814"/>
    <w:rsid w:val="006F2BBD"/>
    <w:rsid w:val="006F2C5A"/>
    <w:rsid w:val="006F309D"/>
    <w:rsid w:val="006F30F1"/>
    <w:rsid w:val="006F3A94"/>
    <w:rsid w:val="006F4260"/>
    <w:rsid w:val="006F4816"/>
    <w:rsid w:val="006F49A2"/>
    <w:rsid w:val="006F4BFD"/>
    <w:rsid w:val="006F5310"/>
    <w:rsid w:val="006F6552"/>
    <w:rsid w:val="006F68E7"/>
    <w:rsid w:val="006F6E96"/>
    <w:rsid w:val="006F72A8"/>
    <w:rsid w:val="006F73E2"/>
    <w:rsid w:val="006F773D"/>
    <w:rsid w:val="00701376"/>
    <w:rsid w:val="007015A1"/>
    <w:rsid w:val="0070167D"/>
    <w:rsid w:val="00701D9B"/>
    <w:rsid w:val="00702415"/>
    <w:rsid w:val="00702836"/>
    <w:rsid w:val="00702A2F"/>
    <w:rsid w:val="00702A45"/>
    <w:rsid w:val="00702EF1"/>
    <w:rsid w:val="00704027"/>
    <w:rsid w:val="00704C3C"/>
    <w:rsid w:val="00704E1D"/>
    <w:rsid w:val="00704E48"/>
    <w:rsid w:val="007051B4"/>
    <w:rsid w:val="00705A1D"/>
    <w:rsid w:val="00705D12"/>
    <w:rsid w:val="00706210"/>
    <w:rsid w:val="0070638B"/>
    <w:rsid w:val="0070652A"/>
    <w:rsid w:val="00706BF8"/>
    <w:rsid w:val="00706E0D"/>
    <w:rsid w:val="00706EC4"/>
    <w:rsid w:val="00706FCC"/>
    <w:rsid w:val="00707473"/>
    <w:rsid w:val="00710255"/>
    <w:rsid w:val="007105EF"/>
    <w:rsid w:val="00710BF8"/>
    <w:rsid w:val="00710C0D"/>
    <w:rsid w:val="0071150F"/>
    <w:rsid w:val="00711AE4"/>
    <w:rsid w:val="00712FC4"/>
    <w:rsid w:val="0071323D"/>
    <w:rsid w:val="0071395F"/>
    <w:rsid w:val="00713C0C"/>
    <w:rsid w:val="00713ED0"/>
    <w:rsid w:val="00713F62"/>
    <w:rsid w:val="007140D2"/>
    <w:rsid w:val="00714CCE"/>
    <w:rsid w:val="00714EDC"/>
    <w:rsid w:val="0071543E"/>
    <w:rsid w:val="00715783"/>
    <w:rsid w:val="007158B6"/>
    <w:rsid w:val="007158EC"/>
    <w:rsid w:val="00715B7B"/>
    <w:rsid w:val="00716378"/>
    <w:rsid w:val="0071689A"/>
    <w:rsid w:val="007224C1"/>
    <w:rsid w:val="0072366E"/>
    <w:rsid w:val="00723B34"/>
    <w:rsid w:val="007242E7"/>
    <w:rsid w:val="00724496"/>
    <w:rsid w:val="0072493C"/>
    <w:rsid w:val="0072501E"/>
    <w:rsid w:val="0072563D"/>
    <w:rsid w:val="00725664"/>
    <w:rsid w:val="007256E8"/>
    <w:rsid w:val="00725A4F"/>
    <w:rsid w:val="00725F9B"/>
    <w:rsid w:val="007267FA"/>
    <w:rsid w:val="00726A91"/>
    <w:rsid w:val="007271AF"/>
    <w:rsid w:val="007279B9"/>
    <w:rsid w:val="00727EC3"/>
    <w:rsid w:val="007300EB"/>
    <w:rsid w:val="0073010B"/>
    <w:rsid w:val="007302E3"/>
    <w:rsid w:val="00730864"/>
    <w:rsid w:val="00730AFD"/>
    <w:rsid w:val="0073112D"/>
    <w:rsid w:val="0073159F"/>
    <w:rsid w:val="00731CC9"/>
    <w:rsid w:val="00732236"/>
    <w:rsid w:val="00732250"/>
    <w:rsid w:val="007323CB"/>
    <w:rsid w:val="00732692"/>
    <w:rsid w:val="00732B09"/>
    <w:rsid w:val="00732D5A"/>
    <w:rsid w:val="007333A4"/>
    <w:rsid w:val="00733431"/>
    <w:rsid w:val="00733A00"/>
    <w:rsid w:val="00733ADB"/>
    <w:rsid w:val="00735B31"/>
    <w:rsid w:val="00735DA2"/>
    <w:rsid w:val="0073655A"/>
    <w:rsid w:val="00736A74"/>
    <w:rsid w:val="00736E6E"/>
    <w:rsid w:val="00736FF0"/>
    <w:rsid w:val="00737FF2"/>
    <w:rsid w:val="007406CD"/>
    <w:rsid w:val="007409FC"/>
    <w:rsid w:val="00740A17"/>
    <w:rsid w:val="00740A9C"/>
    <w:rsid w:val="0074102E"/>
    <w:rsid w:val="007411DC"/>
    <w:rsid w:val="00741F92"/>
    <w:rsid w:val="00741FB4"/>
    <w:rsid w:val="0074200C"/>
    <w:rsid w:val="007423A2"/>
    <w:rsid w:val="00742B7C"/>
    <w:rsid w:val="00742CFC"/>
    <w:rsid w:val="00743B41"/>
    <w:rsid w:val="00743B72"/>
    <w:rsid w:val="00744408"/>
    <w:rsid w:val="00744561"/>
    <w:rsid w:val="00744B2C"/>
    <w:rsid w:val="00744ED4"/>
    <w:rsid w:val="0074582C"/>
    <w:rsid w:val="007459A0"/>
    <w:rsid w:val="00745ED0"/>
    <w:rsid w:val="00746383"/>
    <w:rsid w:val="0074661B"/>
    <w:rsid w:val="00746703"/>
    <w:rsid w:val="00746706"/>
    <w:rsid w:val="00746FF3"/>
    <w:rsid w:val="007471D1"/>
    <w:rsid w:val="007472DB"/>
    <w:rsid w:val="0074733A"/>
    <w:rsid w:val="007473F2"/>
    <w:rsid w:val="007473F8"/>
    <w:rsid w:val="007479AC"/>
    <w:rsid w:val="00747F02"/>
    <w:rsid w:val="00750470"/>
    <w:rsid w:val="00750E11"/>
    <w:rsid w:val="00750F5E"/>
    <w:rsid w:val="007511F4"/>
    <w:rsid w:val="00751244"/>
    <w:rsid w:val="00751435"/>
    <w:rsid w:val="007514E8"/>
    <w:rsid w:val="00752A2B"/>
    <w:rsid w:val="00752D04"/>
    <w:rsid w:val="007534B3"/>
    <w:rsid w:val="00753614"/>
    <w:rsid w:val="007537CB"/>
    <w:rsid w:val="00754513"/>
    <w:rsid w:val="007545DC"/>
    <w:rsid w:val="00754877"/>
    <w:rsid w:val="007551DF"/>
    <w:rsid w:val="007555C2"/>
    <w:rsid w:val="007561B0"/>
    <w:rsid w:val="0075664E"/>
    <w:rsid w:val="00760410"/>
    <w:rsid w:val="0076056B"/>
    <w:rsid w:val="00760FF1"/>
    <w:rsid w:val="0076124C"/>
    <w:rsid w:val="00761CD0"/>
    <w:rsid w:val="00761D6A"/>
    <w:rsid w:val="007626AB"/>
    <w:rsid w:val="00762BC9"/>
    <w:rsid w:val="00762F7A"/>
    <w:rsid w:val="00763108"/>
    <w:rsid w:val="00763249"/>
    <w:rsid w:val="00763AD8"/>
    <w:rsid w:val="007640E3"/>
    <w:rsid w:val="00764348"/>
    <w:rsid w:val="007655B4"/>
    <w:rsid w:val="00765C86"/>
    <w:rsid w:val="00765E57"/>
    <w:rsid w:val="00765E67"/>
    <w:rsid w:val="00766AB1"/>
    <w:rsid w:val="00766FE6"/>
    <w:rsid w:val="00767516"/>
    <w:rsid w:val="00767E0A"/>
    <w:rsid w:val="007712F2"/>
    <w:rsid w:val="00771886"/>
    <w:rsid w:val="00771FB9"/>
    <w:rsid w:val="00772067"/>
    <w:rsid w:val="007721F8"/>
    <w:rsid w:val="007725CA"/>
    <w:rsid w:val="00772877"/>
    <w:rsid w:val="00774659"/>
    <w:rsid w:val="007746C1"/>
    <w:rsid w:val="0077477D"/>
    <w:rsid w:val="0077495F"/>
    <w:rsid w:val="007759D1"/>
    <w:rsid w:val="00775EBA"/>
    <w:rsid w:val="00776AA8"/>
    <w:rsid w:val="00776AC6"/>
    <w:rsid w:val="0077785E"/>
    <w:rsid w:val="00777902"/>
    <w:rsid w:val="00777E48"/>
    <w:rsid w:val="00780012"/>
    <w:rsid w:val="0078003F"/>
    <w:rsid w:val="0078024D"/>
    <w:rsid w:val="00780715"/>
    <w:rsid w:val="007808F6"/>
    <w:rsid w:val="00780976"/>
    <w:rsid w:val="007819C7"/>
    <w:rsid w:val="00781C8A"/>
    <w:rsid w:val="00782040"/>
    <w:rsid w:val="007829A6"/>
    <w:rsid w:val="00782A85"/>
    <w:rsid w:val="00782B2A"/>
    <w:rsid w:val="00783C2A"/>
    <w:rsid w:val="00784864"/>
    <w:rsid w:val="00784C47"/>
    <w:rsid w:val="00784DDE"/>
    <w:rsid w:val="00784DE3"/>
    <w:rsid w:val="00785881"/>
    <w:rsid w:val="00785CF9"/>
    <w:rsid w:val="00785EAE"/>
    <w:rsid w:val="0078612C"/>
    <w:rsid w:val="00786B7D"/>
    <w:rsid w:val="0078722D"/>
    <w:rsid w:val="00787288"/>
    <w:rsid w:val="007872D7"/>
    <w:rsid w:val="00787315"/>
    <w:rsid w:val="007879B6"/>
    <w:rsid w:val="00787F46"/>
    <w:rsid w:val="00790175"/>
    <w:rsid w:val="0079046D"/>
    <w:rsid w:val="007906D1"/>
    <w:rsid w:val="00790827"/>
    <w:rsid w:val="00790CF8"/>
    <w:rsid w:val="0079152A"/>
    <w:rsid w:val="00791DE2"/>
    <w:rsid w:val="00791F97"/>
    <w:rsid w:val="007922B9"/>
    <w:rsid w:val="00792B10"/>
    <w:rsid w:val="00793240"/>
    <w:rsid w:val="007935DA"/>
    <w:rsid w:val="007941C1"/>
    <w:rsid w:val="0079476F"/>
    <w:rsid w:val="007952D3"/>
    <w:rsid w:val="007956AF"/>
    <w:rsid w:val="00796532"/>
    <w:rsid w:val="00796622"/>
    <w:rsid w:val="00796D6C"/>
    <w:rsid w:val="007972D2"/>
    <w:rsid w:val="00797F0C"/>
    <w:rsid w:val="007A0098"/>
    <w:rsid w:val="007A1061"/>
    <w:rsid w:val="007A1869"/>
    <w:rsid w:val="007A18F3"/>
    <w:rsid w:val="007A1E81"/>
    <w:rsid w:val="007A22FD"/>
    <w:rsid w:val="007A26C6"/>
    <w:rsid w:val="007A2811"/>
    <w:rsid w:val="007A2F8F"/>
    <w:rsid w:val="007A326E"/>
    <w:rsid w:val="007A327E"/>
    <w:rsid w:val="007A38FC"/>
    <w:rsid w:val="007A3B3E"/>
    <w:rsid w:val="007A3D63"/>
    <w:rsid w:val="007A3E2F"/>
    <w:rsid w:val="007A3E3E"/>
    <w:rsid w:val="007A4CC1"/>
    <w:rsid w:val="007A4F2E"/>
    <w:rsid w:val="007A4FEE"/>
    <w:rsid w:val="007A5749"/>
    <w:rsid w:val="007A5DA9"/>
    <w:rsid w:val="007A5F42"/>
    <w:rsid w:val="007A6623"/>
    <w:rsid w:val="007B0BEE"/>
    <w:rsid w:val="007B0D01"/>
    <w:rsid w:val="007B1899"/>
    <w:rsid w:val="007B2509"/>
    <w:rsid w:val="007B2636"/>
    <w:rsid w:val="007B2CAA"/>
    <w:rsid w:val="007B2CEA"/>
    <w:rsid w:val="007B515C"/>
    <w:rsid w:val="007B5BD5"/>
    <w:rsid w:val="007B6140"/>
    <w:rsid w:val="007B701C"/>
    <w:rsid w:val="007B7DA1"/>
    <w:rsid w:val="007C0C94"/>
    <w:rsid w:val="007C0D70"/>
    <w:rsid w:val="007C122D"/>
    <w:rsid w:val="007C13BF"/>
    <w:rsid w:val="007C16A8"/>
    <w:rsid w:val="007C1E14"/>
    <w:rsid w:val="007C1E63"/>
    <w:rsid w:val="007C38B0"/>
    <w:rsid w:val="007C3937"/>
    <w:rsid w:val="007C3E26"/>
    <w:rsid w:val="007C3E62"/>
    <w:rsid w:val="007C3FD5"/>
    <w:rsid w:val="007C4338"/>
    <w:rsid w:val="007C447E"/>
    <w:rsid w:val="007C4787"/>
    <w:rsid w:val="007C4967"/>
    <w:rsid w:val="007C55E5"/>
    <w:rsid w:val="007C631B"/>
    <w:rsid w:val="007C6B89"/>
    <w:rsid w:val="007C6F82"/>
    <w:rsid w:val="007C6FB4"/>
    <w:rsid w:val="007C6FF8"/>
    <w:rsid w:val="007C728F"/>
    <w:rsid w:val="007C759C"/>
    <w:rsid w:val="007C7A4B"/>
    <w:rsid w:val="007D041D"/>
    <w:rsid w:val="007D082F"/>
    <w:rsid w:val="007D0874"/>
    <w:rsid w:val="007D0BA5"/>
    <w:rsid w:val="007D0F87"/>
    <w:rsid w:val="007D113C"/>
    <w:rsid w:val="007D12DD"/>
    <w:rsid w:val="007D199D"/>
    <w:rsid w:val="007D1A54"/>
    <w:rsid w:val="007D294C"/>
    <w:rsid w:val="007D2A38"/>
    <w:rsid w:val="007D2E1D"/>
    <w:rsid w:val="007D3F1B"/>
    <w:rsid w:val="007D404A"/>
    <w:rsid w:val="007D41D0"/>
    <w:rsid w:val="007D4767"/>
    <w:rsid w:val="007D5395"/>
    <w:rsid w:val="007D55EF"/>
    <w:rsid w:val="007D576F"/>
    <w:rsid w:val="007D5C29"/>
    <w:rsid w:val="007D5F58"/>
    <w:rsid w:val="007D663D"/>
    <w:rsid w:val="007D7120"/>
    <w:rsid w:val="007D7C7E"/>
    <w:rsid w:val="007D7D2F"/>
    <w:rsid w:val="007E047C"/>
    <w:rsid w:val="007E1238"/>
    <w:rsid w:val="007E19F5"/>
    <w:rsid w:val="007E1C00"/>
    <w:rsid w:val="007E2128"/>
    <w:rsid w:val="007E21B8"/>
    <w:rsid w:val="007E2E0A"/>
    <w:rsid w:val="007E34A0"/>
    <w:rsid w:val="007E3A37"/>
    <w:rsid w:val="007E3A8D"/>
    <w:rsid w:val="007E4109"/>
    <w:rsid w:val="007E55A6"/>
    <w:rsid w:val="007E5C34"/>
    <w:rsid w:val="007E5D02"/>
    <w:rsid w:val="007E5D34"/>
    <w:rsid w:val="007E7394"/>
    <w:rsid w:val="007F011C"/>
    <w:rsid w:val="007F015E"/>
    <w:rsid w:val="007F0330"/>
    <w:rsid w:val="007F043D"/>
    <w:rsid w:val="007F1295"/>
    <w:rsid w:val="007F1884"/>
    <w:rsid w:val="007F1972"/>
    <w:rsid w:val="007F2F9E"/>
    <w:rsid w:val="007F3CC8"/>
    <w:rsid w:val="007F3F28"/>
    <w:rsid w:val="007F4083"/>
    <w:rsid w:val="007F5183"/>
    <w:rsid w:val="007F56B0"/>
    <w:rsid w:val="007F61CD"/>
    <w:rsid w:val="007F63C8"/>
    <w:rsid w:val="007F6588"/>
    <w:rsid w:val="007F6655"/>
    <w:rsid w:val="007F6DFD"/>
    <w:rsid w:val="007F6E08"/>
    <w:rsid w:val="007F74EE"/>
    <w:rsid w:val="007F7595"/>
    <w:rsid w:val="007F75BE"/>
    <w:rsid w:val="007F76C2"/>
    <w:rsid w:val="008003B9"/>
    <w:rsid w:val="00800D85"/>
    <w:rsid w:val="008023D9"/>
    <w:rsid w:val="00802596"/>
    <w:rsid w:val="00802BA5"/>
    <w:rsid w:val="00803602"/>
    <w:rsid w:val="0080395C"/>
    <w:rsid w:val="00804346"/>
    <w:rsid w:val="0080483B"/>
    <w:rsid w:val="00804E5C"/>
    <w:rsid w:val="0080696D"/>
    <w:rsid w:val="00806AC1"/>
    <w:rsid w:val="0080711E"/>
    <w:rsid w:val="00807407"/>
    <w:rsid w:val="00807AC0"/>
    <w:rsid w:val="00810C7E"/>
    <w:rsid w:val="00810DAB"/>
    <w:rsid w:val="00810F09"/>
    <w:rsid w:val="00810F66"/>
    <w:rsid w:val="00811B9C"/>
    <w:rsid w:val="00812214"/>
    <w:rsid w:val="0081281B"/>
    <w:rsid w:val="0081343E"/>
    <w:rsid w:val="008134B2"/>
    <w:rsid w:val="00813845"/>
    <w:rsid w:val="00814A58"/>
    <w:rsid w:val="00814C63"/>
    <w:rsid w:val="00814F2C"/>
    <w:rsid w:val="00816C5F"/>
    <w:rsid w:val="0081788C"/>
    <w:rsid w:val="008200C9"/>
    <w:rsid w:val="00820C26"/>
    <w:rsid w:val="00820E09"/>
    <w:rsid w:val="008210E6"/>
    <w:rsid w:val="0082114A"/>
    <w:rsid w:val="0082116B"/>
    <w:rsid w:val="00821D47"/>
    <w:rsid w:val="008227D8"/>
    <w:rsid w:val="00822CBC"/>
    <w:rsid w:val="008236E6"/>
    <w:rsid w:val="008245AD"/>
    <w:rsid w:val="00824DB5"/>
    <w:rsid w:val="00824EB3"/>
    <w:rsid w:val="00825084"/>
    <w:rsid w:val="0082564B"/>
    <w:rsid w:val="00825D30"/>
    <w:rsid w:val="00826B15"/>
    <w:rsid w:val="00826C1F"/>
    <w:rsid w:val="00826EBE"/>
    <w:rsid w:val="00826EDB"/>
    <w:rsid w:val="00827006"/>
    <w:rsid w:val="0082728B"/>
    <w:rsid w:val="00827876"/>
    <w:rsid w:val="00827EC6"/>
    <w:rsid w:val="00830069"/>
    <w:rsid w:val="008302AC"/>
    <w:rsid w:val="00830487"/>
    <w:rsid w:val="008305C5"/>
    <w:rsid w:val="008309F9"/>
    <w:rsid w:val="00830E19"/>
    <w:rsid w:val="00830F2A"/>
    <w:rsid w:val="008310B7"/>
    <w:rsid w:val="00831AF4"/>
    <w:rsid w:val="008320F9"/>
    <w:rsid w:val="008321E2"/>
    <w:rsid w:val="00832941"/>
    <w:rsid w:val="008329C7"/>
    <w:rsid w:val="00833986"/>
    <w:rsid w:val="00833EEF"/>
    <w:rsid w:val="00834100"/>
    <w:rsid w:val="00834FAE"/>
    <w:rsid w:val="00835296"/>
    <w:rsid w:val="00835F07"/>
    <w:rsid w:val="008362FC"/>
    <w:rsid w:val="0083667A"/>
    <w:rsid w:val="00836EB6"/>
    <w:rsid w:val="00837A61"/>
    <w:rsid w:val="00837E6C"/>
    <w:rsid w:val="00841C62"/>
    <w:rsid w:val="0084284B"/>
    <w:rsid w:val="00843D3F"/>
    <w:rsid w:val="00843DB3"/>
    <w:rsid w:val="00843E63"/>
    <w:rsid w:val="008441A6"/>
    <w:rsid w:val="00844852"/>
    <w:rsid w:val="00844FD2"/>
    <w:rsid w:val="00844FE0"/>
    <w:rsid w:val="00845015"/>
    <w:rsid w:val="00845967"/>
    <w:rsid w:val="0084600C"/>
    <w:rsid w:val="008463CA"/>
    <w:rsid w:val="0084673E"/>
    <w:rsid w:val="00846B96"/>
    <w:rsid w:val="00846F58"/>
    <w:rsid w:val="0084753A"/>
    <w:rsid w:val="00847A21"/>
    <w:rsid w:val="00850FB5"/>
    <w:rsid w:val="008514A0"/>
    <w:rsid w:val="00852137"/>
    <w:rsid w:val="00852AA9"/>
    <w:rsid w:val="00852BAC"/>
    <w:rsid w:val="008535DB"/>
    <w:rsid w:val="00853B22"/>
    <w:rsid w:val="00855584"/>
    <w:rsid w:val="00857318"/>
    <w:rsid w:val="0086031E"/>
    <w:rsid w:val="00860750"/>
    <w:rsid w:val="00860886"/>
    <w:rsid w:val="0086093A"/>
    <w:rsid w:val="00860E19"/>
    <w:rsid w:val="0086140A"/>
    <w:rsid w:val="008619C5"/>
    <w:rsid w:val="00862210"/>
    <w:rsid w:val="00862374"/>
    <w:rsid w:val="00864413"/>
    <w:rsid w:val="00864DCF"/>
    <w:rsid w:val="0086546C"/>
    <w:rsid w:val="00865A56"/>
    <w:rsid w:val="00865C2A"/>
    <w:rsid w:val="00865C8E"/>
    <w:rsid w:val="00866809"/>
    <w:rsid w:val="00866817"/>
    <w:rsid w:val="00866CD2"/>
    <w:rsid w:val="008672D6"/>
    <w:rsid w:val="008674B7"/>
    <w:rsid w:val="008675C8"/>
    <w:rsid w:val="00867686"/>
    <w:rsid w:val="008677A2"/>
    <w:rsid w:val="00867827"/>
    <w:rsid w:val="008700E9"/>
    <w:rsid w:val="00870415"/>
    <w:rsid w:val="008712D8"/>
    <w:rsid w:val="008715DF"/>
    <w:rsid w:val="0087222B"/>
    <w:rsid w:val="0087458F"/>
    <w:rsid w:val="008749A5"/>
    <w:rsid w:val="00874C04"/>
    <w:rsid w:val="00875BEE"/>
    <w:rsid w:val="00875E9C"/>
    <w:rsid w:val="008770B1"/>
    <w:rsid w:val="008771C5"/>
    <w:rsid w:val="00877730"/>
    <w:rsid w:val="008777CA"/>
    <w:rsid w:val="00877851"/>
    <w:rsid w:val="0088062E"/>
    <w:rsid w:val="00881175"/>
    <w:rsid w:val="0088117A"/>
    <w:rsid w:val="00881445"/>
    <w:rsid w:val="008819D3"/>
    <w:rsid w:val="008819EB"/>
    <w:rsid w:val="00881DEF"/>
    <w:rsid w:val="00881E2F"/>
    <w:rsid w:val="0088203D"/>
    <w:rsid w:val="008834CF"/>
    <w:rsid w:val="00883741"/>
    <w:rsid w:val="00883FBE"/>
    <w:rsid w:val="00884341"/>
    <w:rsid w:val="008844BF"/>
    <w:rsid w:val="00884A85"/>
    <w:rsid w:val="00885AC7"/>
    <w:rsid w:val="00885BFC"/>
    <w:rsid w:val="00885E2B"/>
    <w:rsid w:val="00886751"/>
    <w:rsid w:val="00887731"/>
    <w:rsid w:val="00887879"/>
    <w:rsid w:val="0089006A"/>
    <w:rsid w:val="0089053F"/>
    <w:rsid w:val="00890F2C"/>
    <w:rsid w:val="00890F89"/>
    <w:rsid w:val="00891369"/>
    <w:rsid w:val="00891E6F"/>
    <w:rsid w:val="00891EAB"/>
    <w:rsid w:val="008923C4"/>
    <w:rsid w:val="00892A1C"/>
    <w:rsid w:val="00892B25"/>
    <w:rsid w:val="00893F1F"/>
    <w:rsid w:val="00894560"/>
    <w:rsid w:val="00894B60"/>
    <w:rsid w:val="00894CB3"/>
    <w:rsid w:val="00894E5E"/>
    <w:rsid w:val="00894F28"/>
    <w:rsid w:val="00896585"/>
    <w:rsid w:val="008967EF"/>
    <w:rsid w:val="00897B9E"/>
    <w:rsid w:val="008A0934"/>
    <w:rsid w:val="008A0B79"/>
    <w:rsid w:val="008A1153"/>
    <w:rsid w:val="008A12AC"/>
    <w:rsid w:val="008A16BA"/>
    <w:rsid w:val="008A1BA2"/>
    <w:rsid w:val="008A308B"/>
    <w:rsid w:val="008A33CB"/>
    <w:rsid w:val="008A3747"/>
    <w:rsid w:val="008A38E6"/>
    <w:rsid w:val="008A3901"/>
    <w:rsid w:val="008A4010"/>
    <w:rsid w:val="008A4F51"/>
    <w:rsid w:val="008A537C"/>
    <w:rsid w:val="008A5810"/>
    <w:rsid w:val="008A6642"/>
    <w:rsid w:val="008A6DC8"/>
    <w:rsid w:val="008A6EC0"/>
    <w:rsid w:val="008A6F87"/>
    <w:rsid w:val="008A726A"/>
    <w:rsid w:val="008A72AC"/>
    <w:rsid w:val="008A79A0"/>
    <w:rsid w:val="008A7C3B"/>
    <w:rsid w:val="008A7D63"/>
    <w:rsid w:val="008B0C8A"/>
    <w:rsid w:val="008B11C3"/>
    <w:rsid w:val="008B14A9"/>
    <w:rsid w:val="008B16D2"/>
    <w:rsid w:val="008B1EAE"/>
    <w:rsid w:val="008B1FF3"/>
    <w:rsid w:val="008B29BC"/>
    <w:rsid w:val="008B2E2F"/>
    <w:rsid w:val="008B327F"/>
    <w:rsid w:val="008B339E"/>
    <w:rsid w:val="008B3C8D"/>
    <w:rsid w:val="008B3DFE"/>
    <w:rsid w:val="008B4181"/>
    <w:rsid w:val="008B478A"/>
    <w:rsid w:val="008B487C"/>
    <w:rsid w:val="008B4DFA"/>
    <w:rsid w:val="008B506E"/>
    <w:rsid w:val="008B5228"/>
    <w:rsid w:val="008B74D8"/>
    <w:rsid w:val="008B77EA"/>
    <w:rsid w:val="008B78EA"/>
    <w:rsid w:val="008B7A45"/>
    <w:rsid w:val="008C0917"/>
    <w:rsid w:val="008C0B16"/>
    <w:rsid w:val="008C224A"/>
    <w:rsid w:val="008C3138"/>
    <w:rsid w:val="008C3536"/>
    <w:rsid w:val="008C3F1E"/>
    <w:rsid w:val="008C4A29"/>
    <w:rsid w:val="008C4BDC"/>
    <w:rsid w:val="008C5CE3"/>
    <w:rsid w:val="008C5F4F"/>
    <w:rsid w:val="008C5F61"/>
    <w:rsid w:val="008C602F"/>
    <w:rsid w:val="008C609C"/>
    <w:rsid w:val="008C682A"/>
    <w:rsid w:val="008C6E9F"/>
    <w:rsid w:val="008C75D1"/>
    <w:rsid w:val="008C766F"/>
    <w:rsid w:val="008C7C49"/>
    <w:rsid w:val="008C7CCC"/>
    <w:rsid w:val="008C7EE1"/>
    <w:rsid w:val="008D03AA"/>
    <w:rsid w:val="008D05C9"/>
    <w:rsid w:val="008D0C5B"/>
    <w:rsid w:val="008D10C5"/>
    <w:rsid w:val="008D20D4"/>
    <w:rsid w:val="008D2414"/>
    <w:rsid w:val="008D261E"/>
    <w:rsid w:val="008D2B6C"/>
    <w:rsid w:val="008D35C5"/>
    <w:rsid w:val="008D3DBE"/>
    <w:rsid w:val="008D3E38"/>
    <w:rsid w:val="008D427E"/>
    <w:rsid w:val="008D428B"/>
    <w:rsid w:val="008D4B71"/>
    <w:rsid w:val="008D4E60"/>
    <w:rsid w:val="008D515E"/>
    <w:rsid w:val="008D5200"/>
    <w:rsid w:val="008D5C6B"/>
    <w:rsid w:val="008D74DD"/>
    <w:rsid w:val="008E055B"/>
    <w:rsid w:val="008E0E06"/>
    <w:rsid w:val="008E0F15"/>
    <w:rsid w:val="008E0FC2"/>
    <w:rsid w:val="008E139B"/>
    <w:rsid w:val="008E1B7F"/>
    <w:rsid w:val="008E208D"/>
    <w:rsid w:val="008E217F"/>
    <w:rsid w:val="008E2688"/>
    <w:rsid w:val="008E271C"/>
    <w:rsid w:val="008E28B0"/>
    <w:rsid w:val="008E2922"/>
    <w:rsid w:val="008E2EAB"/>
    <w:rsid w:val="008E5A13"/>
    <w:rsid w:val="008E5B54"/>
    <w:rsid w:val="008E6249"/>
    <w:rsid w:val="008E6398"/>
    <w:rsid w:val="008E6519"/>
    <w:rsid w:val="008E65BB"/>
    <w:rsid w:val="008E76CD"/>
    <w:rsid w:val="008E7914"/>
    <w:rsid w:val="008E7AD2"/>
    <w:rsid w:val="008E7EB1"/>
    <w:rsid w:val="008E7F63"/>
    <w:rsid w:val="008F001F"/>
    <w:rsid w:val="008F056B"/>
    <w:rsid w:val="008F09DA"/>
    <w:rsid w:val="008F275B"/>
    <w:rsid w:val="008F2965"/>
    <w:rsid w:val="008F3033"/>
    <w:rsid w:val="008F3480"/>
    <w:rsid w:val="008F3A6A"/>
    <w:rsid w:val="008F3C20"/>
    <w:rsid w:val="008F3D33"/>
    <w:rsid w:val="008F3D61"/>
    <w:rsid w:val="008F4444"/>
    <w:rsid w:val="008F4AAA"/>
    <w:rsid w:val="008F4FA5"/>
    <w:rsid w:val="008F5312"/>
    <w:rsid w:val="008F555B"/>
    <w:rsid w:val="008F55DD"/>
    <w:rsid w:val="008F56B5"/>
    <w:rsid w:val="008F61A5"/>
    <w:rsid w:val="008F7903"/>
    <w:rsid w:val="008F7DE7"/>
    <w:rsid w:val="00900714"/>
    <w:rsid w:val="0090108D"/>
    <w:rsid w:val="009016A0"/>
    <w:rsid w:val="00902561"/>
    <w:rsid w:val="00902D4C"/>
    <w:rsid w:val="009032C3"/>
    <w:rsid w:val="00903418"/>
    <w:rsid w:val="00903E92"/>
    <w:rsid w:val="00904153"/>
    <w:rsid w:val="009042C8"/>
    <w:rsid w:val="00904F16"/>
    <w:rsid w:val="00905286"/>
    <w:rsid w:val="009054A6"/>
    <w:rsid w:val="00905B57"/>
    <w:rsid w:val="00907AC8"/>
    <w:rsid w:val="00907CF1"/>
    <w:rsid w:val="00910560"/>
    <w:rsid w:val="0091114F"/>
    <w:rsid w:val="00911B25"/>
    <w:rsid w:val="00911CB6"/>
    <w:rsid w:val="00912017"/>
    <w:rsid w:val="0091270A"/>
    <w:rsid w:val="00912C73"/>
    <w:rsid w:val="00912FF3"/>
    <w:rsid w:val="00913433"/>
    <w:rsid w:val="00913572"/>
    <w:rsid w:val="00913D9D"/>
    <w:rsid w:val="00914325"/>
    <w:rsid w:val="009148DB"/>
    <w:rsid w:val="0091513E"/>
    <w:rsid w:val="00915416"/>
    <w:rsid w:val="009154B0"/>
    <w:rsid w:val="00916754"/>
    <w:rsid w:val="00916934"/>
    <w:rsid w:val="009169DE"/>
    <w:rsid w:val="00917485"/>
    <w:rsid w:val="00920648"/>
    <w:rsid w:val="00922962"/>
    <w:rsid w:val="009230DA"/>
    <w:rsid w:val="009231D7"/>
    <w:rsid w:val="00923BB1"/>
    <w:rsid w:val="009248F6"/>
    <w:rsid w:val="00924C4A"/>
    <w:rsid w:val="00925218"/>
    <w:rsid w:val="00925A3D"/>
    <w:rsid w:val="00925A8C"/>
    <w:rsid w:val="00926836"/>
    <w:rsid w:val="00926CB5"/>
    <w:rsid w:val="00926E6A"/>
    <w:rsid w:val="00927034"/>
    <w:rsid w:val="00927438"/>
    <w:rsid w:val="00931214"/>
    <w:rsid w:val="00931EEB"/>
    <w:rsid w:val="009329DF"/>
    <w:rsid w:val="009346A6"/>
    <w:rsid w:val="0093580C"/>
    <w:rsid w:val="00935822"/>
    <w:rsid w:val="00936A0F"/>
    <w:rsid w:val="00936ACD"/>
    <w:rsid w:val="00937276"/>
    <w:rsid w:val="00937811"/>
    <w:rsid w:val="00940390"/>
    <w:rsid w:val="00940453"/>
    <w:rsid w:val="00940877"/>
    <w:rsid w:val="009409B6"/>
    <w:rsid w:val="009412AE"/>
    <w:rsid w:val="00941CD4"/>
    <w:rsid w:val="00942470"/>
    <w:rsid w:val="0094301F"/>
    <w:rsid w:val="00943082"/>
    <w:rsid w:val="00943273"/>
    <w:rsid w:val="009435B1"/>
    <w:rsid w:val="00943762"/>
    <w:rsid w:val="0094490E"/>
    <w:rsid w:val="00944B3C"/>
    <w:rsid w:val="009456E8"/>
    <w:rsid w:val="00945995"/>
    <w:rsid w:val="0094681E"/>
    <w:rsid w:val="009471A9"/>
    <w:rsid w:val="009473EA"/>
    <w:rsid w:val="00947BEB"/>
    <w:rsid w:val="00950040"/>
    <w:rsid w:val="00950267"/>
    <w:rsid w:val="00950485"/>
    <w:rsid w:val="00950576"/>
    <w:rsid w:val="0095058B"/>
    <w:rsid w:val="0095083C"/>
    <w:rsid w:val="0095161E"/>
    <w:rsid w:val="0095169A"/>
    <w:rsid w:val="00951A2C"/>
    <w:rsid w:val="00951EC2"/>
    <w:rsid w:val="009525BC"/>
    <w:rsid w:val="00952876"/>
    <w:rsid w:val="00953047"/>
    <w:rsid w:val="0095315A"/>
    <w:rsid w:val="00953FCF"/>
    <w:rsid w:val="0095430B"/>
    <w:rsid w:val="00954F9D"/>
    <w:rsid w:val="00955158"/>
    <w:rsid w:val="009557D7"/>
    <w:rsid w:val="009557E9"/>
    <w:rsid w:val="00955D0A"/>
    <w:rsid w:val="00955F9E"/>
    <w:rsid w:val="00956F76"/>
    <w:rsid w:val="00957140"/>
    <w:rsid w:val="00957807"/>
    <w:rsid w:val="00957C40"/>
    <w:rsid w:val="00957E1B"/>
    <w:rsid w:val="00957E3D"/>
    <w:rsid w:val="009604F3"/>
    <w:rsid w:val="0096193D"/>
    <w:rsid w:val="00961E8C"/>
    <w:rsid w:val="00962323"/>
    <w:rsid w:val="00962569"/>
    <w:rsid w:val="009631A9"/>
    <w:rsid w:val="00963299"/>
    <w:rsid w:val="00963629"/>
    <w:rsid w:val="0096405A"/>
    <w:rsid w:val="009640E0"/>
    <w:rsid w:val="0096496F"/>
    <w:rsid w:val="00964BA3"/>
    <w:rsid w:val="00965C9C"/>
    <w:rsid w:val="009662A7"/>
    <w:rsid w:val="00966CE0"/>
    <w:rsid w:val="00966D9D"/>
    <w:rsid w:val="00966F8E"/>
    <w:rsid w:val="009670F2"/>
    <w:rsid w:val="009673B7"/>
    <w:rsid w:val="00967453"/>
    <w:rsid w:val="00967E12"/>
    <w:rsid w:val="00970274"/>
    <w:rsid w:val="0097050E"/>
    <w:rsid w:val="00970AB6"/>
    <w:rsid w:val="00970F66"/>
    <w:rsid w:val="00971ECD"/>
    <w:rsid w:val="00972D2A"/>
    <w:rsid w:val="00973188"/>
    <w:rsid w:val="00974245"/>
    <w:rsid w:val="009743A6"/>
    <w:rsid w:val="00974454"/>
    <w:rsid w:val="00974F12"/>
    <w:rsid w:val="00975495"/>
    <w:rsid w:val="009754D2"/>
    <w:rsid w:val="00975667"/>
    <w:rsid w:val="0097614E"/>
    <w:rsid w:val="00976511"/>
    <w:rsid w:val="00976954"/>
    <w:rsid w:val="0097735F"/>
    <w:rsid w:val="00977BF5"/>
    <w:rsid w:val="0098001B"/>
    <w:rsid w:val="0098001C"/>
    <w:rsid w:val="00981160"/>
    <w:rsid w:val="00981385"/>
    <w:rsid w:val="00981CB8"/>
    <w:rsid w:val="00981DD6"/>
    <w:rsid w:val="00983014"/>
    <w:rsid w:val="009840E3"/>
    <w:rsid w:val="00984DBE"/>
    <w:rsid w:val="00984F7F"/>
    <w:rsid w:val="00985574"/>
    <w:rsid w:val="009858DE"/>
    <w:rsid w:val="00985999"/>
    <w:rsid w:val="00985E5A"/>
    <w:rsid w:val="00985F07"/>
    <w:rsid w:val="009864CE"/>
    <w:rsid w:val="009875FB"/>
    <w:rsid w:val="009876A7"/>
    <w:rsid w:val="00987771"/>
    <w:rsid w:val="0099085E"/>
    <w:rsid w:val="009909BA"/>
    <w:rsid w:val="00991438"/>
    <w:rsid w:val="0099183E"/>
    <w:rsid w:val="009919F1"/>
    <w:rsid w:val="00992ED2"/>
    <w:rsid w:val="00994734"/>
    <w:rsid w:val="0099518A"/>
    <w:rsid w:val="009958DF"/>
    <w:rsid w:val="00996449"/>
    <w:rsid w:val="0099673F"/>
    <w:rsid w:val="00996989"/>
    <w:rsid w:val="00997B10"/>
    <w:rsid w:val="00997EBA"/>
    <w:rsid w:val="009A0723"/>
    <w:rsid w:val="009A0788"/>
    <w:rsid w:val="009A1A25"/>
    <w:rsid w:val="009A1FB9"/>
    <w:rsid w:val="009A313E"/>
    <w:rsid w:val="009A3869"/>
    <w:rsid w:val="009A395E"/>
    <w:rsid w:val="009A3EAE"/>
    <w:rsid w:val="009A3F59"/>
    <w:rsid w:val="009A4377"/>
    <w:rsid w:val="009A508F"/>
    <w:rsid w:val="009A5F07"/>
    <w:rsid w:val="009A6476"/>
    <w:rsid w:val="009A666C"/>
    <w:rsid w:val="009A6671"/>
    <w:rsid w:val="009A7E31"/>
    <w:rsid w:val="009B05AE"/>
    <w:rsid w:val="009B0C17"/>
    <w:rsid w:val="009B0EA1"/>
    <w:rsid w:val="009B1045"/>
    <w:rsid w:val="009B1796"/>
    <w:rsid w:val="009B20FE"/>
    <w:rsid w:val="009B247F"/>
    <w:rsid w:val="009B2773"/>
    <w:rsid w:val="009B329D"/>
    <w:rsid w:val="009B3648"/>
    <w:rsid w:val="009B40A5"/>
    <w:rsid w:val="009B4202"/>
    <w:rsid w:val="009B4DC7"/>
    <w:rsid w:val="009B510F"/>
    <w:rsid w:val="009B573B"/>
    <w:rsid w:val="009B5FE2"/>
    <w:rsid w:val="009B6338"/>
    <w:rsid w:val="009B68BC"/>
    <w:rsid w:val="009B68D9"/>
    <w:rsid w:val="009B6CF4"/>
    <w:rsid w:val="009B6D58"/>
    <w:rsid w:val="009B7235"/>
    <w:rsid w:val="009B7B28"/>
    <w:rsid w:val="009B7BD9"/>
    <w:rsid w:val="009B7F9A"/>
    <w:rsid w:val="009C0178"/>
    <w:rsid w:val="009C03A2"/>
    <w:rsid w:val="009C083A"/>
    <w:rsid w:val="009C0B0A"/>
    <w:rsid w:val="009C0C47"/>
    <w:rsid w:val="009C0DDE"/>
    <w:rsid w:val="009C0E69"/>
    <w:rsid w:val="009C20B3"/>
    <w:rsid w:val="009C222D"/>
    <w:rsid w:val="009C23DB"/>
    <w:rsid w:val="009C2691"/>
    <w:rsid w:val="009C2DC1"/>
    <w:rsid w:val="009C3036"/>
    <w:rsid w:val="009C31AF"/>
    <w:rsid w:val="009C3206"/>
    <w:rsid w:val="009C3797"/>
    <w:rsid w:val="009C3EE0"/>
    <w:rsid w:val="009C3F09"/>
    <w:rsid w:val="009C4B71"/>
    <w:rsid w:val="009C4F7F"/>
    <w:rsid w:val="009C4F9F"/>
    <w:rsid w:val="009C5622"/>
    <w:rsid w:val="009C5DC3"/>
    <w:rsid w:val="009C6513"/>
    <w:rsid w:val="009C6A66"/>
    <w:rsid w:val="009C6ADC"/>
    <w:rsid w:val="009C723B"/>
    <w:rsid w:val="009C74C9"/>
    <w:rsid w:val="009C7A23"/>
    <w:rsid w:val="009C7CE0"/>
    <w:rsid w:val="009C7DB3"/>
    <w:rsid w:val="009D1551"/>
    <w:rsid w:val="009D258E"/>
    <w:rsid w:val="009D27BC"/>
    <w:rsid w:val="009D28FA"/>
    <w:rsid w:val="009D2B23"/>
    <w:rsid w:val="009D2CF1"/>
    <w:rsid w:val="009D2E11"/>
    <w:rsid w:val="009D42DC"/>
    <w:rsid w:val="009D434C"/>
    <w:rsid w:val="009D4DC3"/>
    <w:rsid w:val="009D58E9"/>
    <w:rsid w:val="009D5F1B"/>
    <w:rsid w:val="009D63D8"/>
    <w:rsid w:val="009D6A02"/>
    <w:rsid w:val="009D72BB"/>
    <w:rsid w:val="009D77D6"/>
    <w:rsid w:val="009E0CA6"/>
    <w:rsid w:val="009E0DAC"/>
    <w:rsid w:val="009E1009"/>
    <w:rsid w:val="009E1322"/>
    <w:rsid w:val="009E1AA0"/>
    <w:rsid w:val="009E1F11"/>
    <w:rsid w:val="009E23C4"/>
    <w:rsid w:val="009E2573"/>
    <w:rsid w:val="009E284B"/>
    <w:rsid w:val="009E2A32"/>
    <w:rsid w:val="009E2C81"/>
    <w:rsid w:val="009E2F6E"/>
    <w:rsid w:val="009E37B1"/>
    <w:rsid w:val="009E3C50"/>
    <w:rsid w:val="009E3F93"/>
    <w:rsid w:val="009E3F98"/>
    <w:rsid w:val="009E4192"/>
    <w:rsid w:val="009E4D1F"/>
    <w:rsid w:val="009E545D"/>
    <w:rsid w:val="009E56BE"/>
    <w:rsid w:val="009E5AF5"/>
    <w:rsid w:val="009E5B37"/>
    <w:rsid w:val="009E5C6E"/>
    <w:rsid w:val="009E5CF9"/>
    <w:rsid w:val="009E5E27"/>
    <w:rsid w:val="009E5FD9"/>
    <w:rsid w:val="009E6365"/>
    <w:rsid w:val="009E758D"/>
    <w:rsid w:val="009F06CC"/>
    <w:rsid w:val="009F165F"/>
    <w:rsid w:val="009F1AC7"/>
    <w:rsid w:val="009F1CCA"/>
    <w:rsid w:val="009F1EC4"/>
    <w:rsid w:val="009F2722"/>
    <w:rsid w:val="009F2BCF"/>
    <w:rsid w:val="009F368B"/>
    <w:rsid w:val="009F378B"/>
    <w:rsid w:val="009F38DD"/>
    <w:rsid w:val="009F3B8B"/>
    <w:rsid w:val="009F3BDC"/>
    <w:rsid w:val="009F3FD7"/>
    <w:rsid w:val="009F4BD1"/>
    <w:rsid w:val="009F5579"/>
    <w:rsid w:val="009F67A1"/>
    <w:rsid w:val="009F6C28"/>
    <w:rsid w:val="009F6F2A"/>
    <w:rsid w:val="009F7474"/>
    <w:rsid w:val="009F754B"/>
    <w:rsid w:val="009F7B63"/>
    <w:rsid w:val="009F7E3F"/>
    <w:rsid w:val="00A00549"/>
    <w:rsid w:val="00A01729"/>
    <w:rsid w:val="00A0182F"/>
    <w:rsid w:val="00A019A1"/>
    <w:rsid w:val="00A01A73"/>
    <w:rsid w:val="00A01D26"/>
    <w:rsid w:val="00A03525"/>
    <w:rsid w:val="00A0357A"/>
    <w:rsid w:val="00A038DE"/>
    <w:rsid w:val="00A03B6B"/>
    <w:rsid w:val="00A03E6F"/>
    <w:rsid w:val="00A0411B"/>
    <w:rsid w:val="00A044CB"/>
    <w:rsid w:val="00A04E57"/>
    <w:rsid w:val="00A04F02"/>
    <w:rsid w:val="00A06329"/>
    <w:rsid w:val="00A0642A"/>
    <w:rsid w:val="00A069DD"/>
    <w:rsid w:val="00A06F95"/>
    <w:rsid w:val="00A0764E"/>
    <w:rsid w:val="00A07868"/>
    <w:rsid w:val="00A11CD9"/>
    <w:rsid w:val="00A12489"/>
    <w:rsid w:val="00A127A6"/>
    <w:rsid w:val="00A1300D"/>
    <w:rsid w:val="00A13949"/>
    <w:rsid w:val="00A13980"/>
    <w:rsid w:val="00A14F40"/>
    <w:rsid w:val="00A154BF"/>
    <w:rsid w:val="00A177E3"/>
    <w:rsid w:val="00A17B8C"/>
    <w:rsid w:val="00A20128"/>
    <w:rsid w:val="00A2031B"/>
    <w:rsid w:val="00A207C0"/>
    <w:rsid w:val="00A20D03"/>
    <w:rsid w:val="00A210D4"/>
    <w:rsid w:val="00A21229"/>
    <w:rsid w:val="00A2130B"/>
    <w:rsid w:val="00A218AB"/>
    <w:rsid w:val="00A21CCF"/>
    <w:rsid w:val="00A22D73"/>
    <w:rsid w:val="00A22D86"/>
    <w:rsid w:val="00A22FDE"/>
    <w:rsid w:val="00A23039"/>
    <w:rsid w:val="00A23915"/>
    <w:rsid w:val="00A245B9"/>
    <w:rsid w:val="00A24C2D"/>
    <w:rsid w:val="00A258E6"/>
    <w:rsid w:val="00A262A0"/>
    <w:rsid w:val="00A272B9"/>
    <w:rsid w:val="00A2779E"/>
    <w:rsid w:val="00A277DF"/>
    <w:rsid w:val="00A278A1"/>
    <w:rsid w:val="00A3017B"/>
    <w:rsid w:val="00A3077B"/>
    <w:rsid w:val="00A30928"/>
    <w:rsid w:val="00A30DFD"/>
    <w:rsid w:val="00A30EDE"/>
    <w:rsid w:val="00A31326"/>
    <w:rsid w:val="00A315F7"/>
    <w:rsid w:val="00A31E19"/>
    <w:rsid w:val="00A32A3F"/>
    <w:rsid w:val="00A33590"/>
    <w:rsid w:val="00A33FFC"/>
    <w:rsid w:val="00A351F1"/>
    <w:rsid w:val="00A35345"/>
    <w:rsid w:val="00A35902"/>
    <w:rsid w:val="00A35C2E"/>
    <w:rsid w:val="00A3635F"/>
    <w:rsid w:val="00A36440"/>
    <w:rsid w:val="00A36476"/>
    <w:rsid w:val="00A36778"/>
    <w:rsid w:val="00A36CB5"/>
    <w:rsid w:val="00A3712B"/>
    <w:rsid w:val="00A37D44"/>
    <w:rsid w:val="00A37F23"/>
    <w:rsid w:val="00A406FC"/>
    <w:rsid w:val="00A40741"/>
    <w:rsid w:val="00A40BB6"/>
    <w:rsid w:val="00A40EF4"/>
    <w:rsid w:val="00A41114"/>
    <w:rsid w:val="00A4167F"/>
    <w:rsid w:val="00A41F1C"/>
    <w:rsid w:val="00A42522"/>
    <w:rsid w:val="00A4329F"/>
    <w:rsid w:val="00A43F45"/>
    <w:rsid w:val="00A4480F"/>
    <w:rsid w:val="00A44A59"/>
    <w:rsid w:val="00A44D51"/>
    <w:rsid w:val="00A44F70"/>
    <w:rsid w:val="00A45259"/>
    <w:rsid w:val="00A46741"/>
    <w:rsid w:val="00A46946"/>
    <w:rsid w:val="00A46AFF"/>
    <w:rsid w:val="00A5019E"/>
    <w:rsid w:val="00A50AC0"/>
    <w:rsid w:val="00A50B1F"/>
    <w:rsid w:val="00A524DF"/>
    <w:rsid w:val="00A52671"/>
    <w:rsid w:val="00A52874"/>
    <w:rsid w:val="00A52DB0"/>
    <w:rsid w:val="00A53900"/>
    <w:rsid w:val="00A53903"/>
    <w:rsid w:val="00A53AC3"/>
    <w:rsid w:val="00A545ED"/>
    <w:rsid w:val="00A549AA"/>
    <w:rsid w:val="00A54A6B"/>
    <w:rsid w:val="00A54F44"/>
    <w:rsid w:val="00A555CB"/>
    <w:rsid w:val="00A56310"/>
    <w:rsid w:val="00A56D3A"/>
    <w:rsid w:val="00A57013"/>
    <w:rsid w:val="00A5778E"/>
    <w:rsid w:val="00A57A8E"/>
    <w:rsid w:val="00A603B8"/>
    <w:rsid w:val="00A60656"/>
    <w:rsid w:val="00A60DA1"/>
    <w:rsid w:val="00A6149B"/>
    <w:rsid w:val="00A615F3"/>
    <w:rsid w:val="00A623BD"/>
    <w:rsid w:val="00A62D32"/>
    <w:rsid w:val="00A62E5A"/>
    <w:rsid w:val="00A62E78"/>
    <w:rsid w:val="00A62EA2"/>
    <w:rsid w:val="00A63165"/>
    <w:rsid w:val="00A632D9"/>
    <w:rsid w:val="00A638D6"/>
    <w:rsid w:val="00A63DEF"/>
    <w:rsid w:val="00A64911"/>
    <w:rsid w:val="00A650D7"/>
    <w:rsid w:val="00A657B3"/>
    <w:rsid w:val="00A65F8C"/>
    <w:rsid w:val="00A706F3"/>
    <w:rsid w:val="00A708D2"/>
    <w:rsid w:val="00A7091E"/>
    <w:rsid w:val="00A70AFE"/>
    <w:rsid w:val="00A70B94"/>
    <w:rsid w:val="00A70CF3"/>
    <w:rsid w:val="00A71160"/>
    <w:rsid w:val="00A718CC"/>
    <w:rsid w:val="00A71B40"/>
    <w:rsid w:val="00A71DE3"/>
    <w:rsid w:val="00A72762"/>
    <w:rsid w:val="00A72A8F"/>
    <w:rsid w:val="00A72D0A"/>
    <w:rsid w:val="00A736D2"/>
    <w:rsid w:val="00A74AB1"/>
    <w:rsid w:val="00A75655"/>
    <w:rsid w:val="00A762AD"/>
    <w:rsid w:val="00A76383"/>
    <w:rsid w:val="00A766A8"/>
    <w:rsid w:val="00A76981"/>
    <w:rsid w:val="00A76C44"/>
    <w:rsid w:val="00A76C58"/>
    <w:rsid w:val="00A76D75"/>
    <w:rsid w:val="00A76E00"/>
    <w:rsid w:val="00A76E96"/>
    <w:rsid w:val="00A77275"/>
    <w:rsid w:val="00A77385"/>
    <w:rsid w:val="00A77AB2"/>
    <w:rsid w:val="00A80BA3"/>
    <w:rsid w:val="00A810A3"/>
    <w:rsid w:val="00A81882"/>
    <w:rsid w:val="00A82058"/>
    <w:rsid w:val="00A8355A"/>
    <w:rsid w:val="00A836BA"/>
    <w:rsid w:val="00A83826"/>
    <w:rsid w:val="00A83DF4"/>
    <w:rsid w:val="00A84DCC"/>
    <w:rsid w:val="00A851DE"/>
    <w:rsid w:val="00A852F0"/>
    <w:rsid w:val="00A855D9"/>
    <w:rsid w:val="00A8574C"/>
    <w:rsid w:val="00A86472"/>
    <w:rsid w:val="00A866AE"/>
    <w:rsid w:val="00A86B42"/>
    <w:rsid w:val="00A86B59"/>
    <w:rsid w:val="00A870D3"/>
    <w:rsid w:val="00A871E0"/>
    <w:rsid w:val="00A8750C"/>
    <w:rsid w:val="00A8795A"/>
    <w:rsid w:val="00A9017E"/>
    <w:rsid w:val="00A9026A"/>
    <w:rsid w:val="00A920AB"/>
    <w:rsid w:val="00A92219"/>
    <w:rsid w:val="00A92B5F"/>
    <w:rsid w:val="00A92C66"/>
    <w:rsid w:val="00A931BE"/>
    <w:rsid w:val="00A942E2"/>
    <w:rsid w:val="00A94EF0"/>
    <w:rsid w:val="00A9514D"/>
    <w:rsid w:val="00A9530E"/>
    <w:rsid w:val="00A95E6A"/>
    <w:rsid w:val="00A961A5"/>
    <w:rsid w:val="00A96BAB"/>
    <w:rsid w:val="00A96D4B"/>
    <w:rsid w:val="00A9713B"/>
    <w:rsid w:val="00A97D11"/>
    <w:rsid w:val="00A97F66"/>
    <w:rsid w:val="00AA05DB"/>
    <w:rsid w:val="00AA05E9"/>
    <w:rsid w:val="00AA0E41"/>
    <w:rsid w:val="00AA0E93"/>
    <w:rsid w:val="00AA163E"/>
    <w:rsid w:val="00AA58BE"/>
    <w:rsid w:val="00AA5C42"/>
    <w:rsid w:val="00AA5D39"/>
    <w:rsid w:val="00AA638F"/>
    <w:rsid w:val="00AA69DA"/>
    <w:rsid w:val="00AA7BCA"/>
    <w:rsid w:val="00AA7C00"/>
    <w:rsid w:val="00AA7E65"/>
    <w:rsid w:val="00AB0CFD"/>
    <w:rsid w:val="00AB0EA8"/>
    <w:rsid w:val="00AB29AA"/>
    <w:rsid w:val="00AB2D28"/>
    <w:rsid w:val="00AB2EBF"/>
    <w:rsid w:val="00AB342E"/>
    <w:rsid w:val="00AB3512"/>
    <w:rsid w:val="00AB4276"/>
    <w:rsid w:val="00AB4CDE"/>
    <w:rsid w:val="00AB5D72"/>
    <w:rsid w:val="00AB5F31"/>
    <w:rsid w:val="00AB6632"/>
    <w:rsid w:val="00AB6D1A"/>
    <w:rsid w:val="00AB733B"/>
    <w:rsid w:val="00AB7565"/>
    <w:rsid w:val="00AB7571"/>
    <w:rsid w:val="00AB7C28"/>
    <w:rsid w:val="00AC07D1"/>
    <w:rsid w:val="00AC11E1"/>
    <w:rsid w:val="00AC14BD"/>
    <w:rsid w:val="00AC1A2E"/>
    <w:rsid w:val="00AC1B84"/>
    <w:rsid w:val="00AC1E4F"/>
    <w:rsid w:val="00AC23D5"/>
    <w:rsid w:val="00AC32F4"/>
    <w:rsid w:val="00AC38ED"/>
    <w:rsid w:val="00AC39B6"/>
    <w:rsid w:val="00AC3B97"/>
    <w:rsid w:val="00AC4008"/>
    <w:rsid w:val="00AC4025"/>
    <w:rsid w:val="00AC4732"/>
    <w:rsid w:val="00AC5034"/>
    <w:rsid w:val="00AC51C0"/>
    <w:rsid w:val="00AC5639"/>
    <w:rsid w:val="00AC5AA9"/>
    <w:rsid w:val="00AC62D2"/>
    <w:rsid w:val="00AC746E"/>
    <w:rsid w:val="00AC7EFF"/>
    <w:rsid w:val="00AD000C"/>
    <w:rsid w:val="00AD0022"/>
    <w:rsid w:val="00AD002F"/>
    <w:rsid w:val="00AD0300"/>
    <w:rsid w:val="00AD074A"/>
    <w:rsid w:val="00AD0915"/>
    <w:rsid w:val="00AD15D8"/>
    <w:rsid w:val="00AD2455"/>
    <w:rsid w:val="00AD3295"/>
    <w:rsid w:val="00AD35BA"/>
    <w:rsid w:val="00AD3CCF"/>
    <w:rsid w:val="00AD4090"/>
    <w:rsid w:val="00AD4197"/>
    <w:rsid w:val="00AD4489"/>
    <w:rsid w:val="00AD4895"/>
    <w:rsid w:val="00AD526B"/>
    <w:rsid w:val="00AD5294"/>
    <w:rsid w:val="00AD5A02"/>
    <w:rsid w:val="00AD5B80"/>
    <w:rsid w:val="00AD7D45"/>
    <w:rsid w:val="00AE0221"/>
    <w:rsid w:val="00AE05FB"/>
    <w:rsid w:val="00AE0797"/>
    <w:rsid w:val="00AE0996"/>
    <w:rsid w:val="00AE0A27"/>
    <w:rsid w:val="00AE0D40"/>
    <w:rsid w:val="00AE10B1"/>
    <w:rsid w:val="00AE1190"/>
    <w:rsid w:val="00AE12D8"/>
    <w:rsid w:val="00AE19DD"/>
    <w:rsid w:val="00AE264D"/>
    <w:rsid w:val="00AE2D9E"/>
    <w:rsid w:val="00AE3706"/>
    <w:rsid w:val="00AE39BF"/>
    <w:rsid w:val="00AE3CD8"/>
    <w:rsid w:val="00AE4AB7"/>
    <w:rsid w:val="00AE53CC"/>
    <w:rsid w:val="00AE5482"/>
    <w:rsid w:val="00AE5CED"/>
    <w:rsid w:val="00AE646A"/>
    <w:rsid w:val="00AE6488"/>
    <w:rsid w:val="00AE6509"/>
    <w:rsid w:val="00AE66FF"/>
    <w:rsid w:val="00AE6AD3"/>
    <w:rsid w:val="00AE7335"/>
    <w:rsid w:val="00AE741E"/>
    <w:rsid w:val="00AE784A"/>
    <w:rsid w:val="00AE78A9"/>
    <w:rsid w:val="00AF02B9"/>
    <w:rsid w:val="00AF04E0"/>
    <w:rsid w:val="00AF06AB"/>
    <w:rsid w:val="00AF0EFC"/>
    <w:rsid w:val="00AF1059"/>
    <w:rsid w:val="00AF19CD"/>
    <w:rsid w:val="00AF2879"/>
    <w:rsid w:val="00AF2C80"/>
    <w:rsid w:val="00AF3479"/>
    <w:rsid w:val="00AF3AED"/>
    <w:rsid w:val="00AF3F6B"/>
    <w:rsid w:val="00AF4052"/>
    <w:rsid w:val="00AF40D8"/>
    <w:rsid w:val="00AF44F4"/>
    <w:rsid w:val="00AF5102"/>
    <w:rsid w:val="00AF52EB"/>
    <w:rsid w:val="00AF59B8"/>
    <w:rsid w:val="00AF5A61"/>
    <w:rsid w:val="00AF659A"/>
    <w:rsid w:val="00AF6B38"/>
    <w:rsid w:val="00AF735A"/>
    <w:rsid w:val="00AF7467"/>
    <w:rsid w:val="00B005CD"/>
    <w:rsid w:val="00B00CE2"/>
    <w:rsid w:val="00B01300"/>
    <w:rsid w:val="00B01CA2"/>
    <w:rsid w:val="00B01EB9"/>
    <w:rsid w:val="00B0261A"/>
    <w:rsid w:val="00B027FA"/>
    <w:rsid w:val="00B028D7"/>
    <w:rsid w:val="00B0290C"/>
    <w:rsid w:val="00B02BFA"/>
    <w:rsid w:val="00B04151"/>
    <w:rsid w:val="00B041E4"/>
    <w:rsid w:val="00B05068"/>
    <w:rsid w:val="00B05075"/>
    <w:rsid w:val="00B05C01"/>
    <w:rsid w:val="00B05DC4"/>
    <w:rsid w:val="00B05DF3"/>
    <w:rsid w:val="00B06095"/>
    <w:rsid w:val="00B077CC"/>
    <w:rsid w:val="00B101FD"/>
    <w:rsid w:val="00B106FD"/>
    <w:rsid w:val="00B10CE5"/>
    <w:rsid w:val="00B11166"/>
    <w:rsid w:val="00B115F6"/>
    <w:rsid w:val="00B11821"/>
    <w:rsid w:val="00B11B91"/>
    <w:rsid w:val="00B1222C"/>
    <w:rsid w:val="00B12597"/>
    <w:rsid w:val="00B13106"/>
    <w:rsid w:val="00B1317A"/>
    <w:rsid w:val="00B14C5A"/>
    <w:rsid w:val="00B14D97"/>
    <w:rsid w:val="00B1559E"/>
    <w:rsid w:val="00B15EE9"/>
    <w:rsid w:val="00B171D8"/>
    <w:rsid w:val="00B20208"/>
    <w:rsid w:val="00B206C8"/>
    <w:rsid w:val="00B20CAA"/>
    <w:rsid w:val="00B21499"/>
    <w:rsid w:val="00B22302"/>
    <w:rsid w:val="00B233BC"/>
    <w:rsid w:val="00B23A15"/>
    <w:rsid w:val="00B23B95"/>
    <w:rsid w:val="00B23E51"/>
    <w:rsid w:val="00B23E7D"/>
    <w:rsid w:val="00B2439D"/>
    <w:rsid w:val="00B249E1"/>
    <w:rsid w:val="00B256E0"/>
    <w:rsid w:val="00B25F72"/>
    <w:rsid w:val="00B26013"/>
    <w:rsid w:val="00B262C1"/>
    <w:rsid w:val="00B2743F"/>
    <w:rsid w:val="00B278DA"/>
    <w:rsid w:val="00B3106E"/>
    <w:rsid w:val="00B311BC"/>
    <w:rsid w:val="00B31500"/>
    <w:rsid w:val="00B31A44"/>
    <w:rsid w:val="00B31D3D"/>
    <w:rsid w:val="00B32065"/>
    <w:rsid w:val="00B32162"/>
    <w:rsid w:val="00B325EE"/>
    <w:rsid w:val="00B326C2"/>
    <w:rsid w:val="00B327B0"/>
    <w:rsid w:val="00B33002"/>
    <w:rsid w:val="00B34F1C"/>
    <w:rsid w:val="00B35587"/>
    <w:rsid w:val="00B36CAE"/>
    <w:rsid w:val="00B40F62"/>
    <w:rsid w:val="00B40FA8"/>
    <w:rsid w:val="00B41773"/>
    <w:rsid w:val="00B41876"/>
    <w:rsid w:val="00B42265"/>
    <w:rsid w:val="00B422B5"/>
    <w:rsid w:val="00B4285E"/>
    <w:rsid w:val="00B42A45"/>
    <w:rsid w:val="00B42C1B"/>
    <w:rsid w:val="00B43084"/>
    <w:rsid w:val="00B4365B"/>
    <w:rsid w:val="00B447A4"/>
    <w:rsid w:val="00B44E3D"/>
    <w:rsid w:val="00B45C69"/>
    <w:rsid w:val="00B45CB1"/>
    <w:rsid w:val="00B465BF"/>
    <w:rsid w:val="00B46906"/>
    <w:rsid w:val="00B471B3"/>
    <w:rsid w:val="00B47250"/>
    <w:rsid w:val="00B47922"/>
    <w:rsid w:val="00B47AD8"/>
    <w:rsid w:val="00B50518"/>
    <w:rsid w:val="00B50970"/>
    <w:rsid w:val="00B50E89"/>
    <w:rsid w:val="00B51322"/>
    <w:rsid w:val="00B516FF"/>
    <w:rsid w:val="00B5205D"/>
    <w:rsid w:val="00B52309"/>
    <w:rsid w:val="00B529CB"/>
    <w:rsid w:val="00B52B2C"/>
    <w:rsid w:val="00B53550"/>
    <w:rsid w:val="00B5371C"/>
    <w:rsid w:val="00B53CBA"/>
    <w:rsid w:val="00B53CF0"/>
    <w:rsid w:val="00B54AA2"/>
    <w:rsid w:val="00B54F8C"/>
    <w:rsid w:val="00B552ED"/>
    <w:rsid w:val="00B557D0"/>
    <w:rsid w:val="00B558E2"/>
    <w:rsid w:val="00B55D90"/>
    <w:rsid w:val="00B56214"/>
    <w:rsid w:val="00B56572"/>
    <w:rsid w:val="00B570E4"/>
    <w:rsid w:val="00B573FD"/>
    <w:rsid w:val="00B57505"/>
    <w:rsid w:val="00B576D2"/>
    <w:rsid w:val="00B60413"/>
    <w:rsid w:val="00B60677"/>
    <w:rsid w:val="00B609D0"/>
    <w:rsid w:val="00B60A91"/>
    <w:rsid w:val="00B60F6D"/>
    <w:rsid w:val="00B61F20"/>
    <w:rsid w:val="00B6267B"/>
    <w:rsid w:val="00B634BD"/>
    <w:rsid w:val="00B636A7"/>
    <w:rsid w:val="00B63CEB"/>
    <w:rsid w:val="00B64C28"/>
    <w:rsid w:val="00B65CAE"/>
    <w:rsid w:val="00B66208"/>
    <w:rsid w:val="00B66730"/>
    <w:rsid w:val="00B6696A"/>
    <w:rsid w:val="00B66B4A"/>
    <w:rsid w:val="00B66BC9"/>
    <w:rsid w:val="00B6713A"/>
    <w:rsid w:val="00B67BFF"/>
    <w:rsid w:val="00B70A4D"/>
    <w:rsid w:val="00B71D21"/>
    <w:rsid w:val="00B71EB2"/>
    <w:rsid w:val="00B725E0"/>
    <w:rsid w:val="00B73436"/>
    <w:rsid w:val="00B73713"/>
    <w:rsid w:val="00B73B6C"/>
    <w:rsid w:val="00B73D2E"/>
    <w:rsid w:val="00B740AE"/>
    <w:rsid w:val="00B75783"/>
    <w:rsid w:val="00B7590F"/>
    <w:rsid w:val="00B75D06"/>
    <w:rsid w:val="00B76123"/>
    <w:rsid w:val="00B76129"/>
    <w:rsid w:val="00B7706B"/>
    <w:rsid w:val="00B77265"/>
    <w:rsid w:val="00B77459"/>
    <w:rsid w:val="00B80672"/>
    <w:rsid w:val="00B80742"/>
    <w:rsid w:val="00B80AFF"/>
    <w:rsid w:val="00B828C6"/>
    <w:rsid w:val="00B831AE"/>
    <w:rsid w:val="00B831D9"/>
    <w:rsid w:val="00B8344C"/>
    <w:rsid w:val="00B83A13"/>
    <w:rsid w:val="00B83AD6"/>
    <w:rsid w:val="00B84A4E"/>
    <w:rsid w:val="00B84B0A"/>
    <w:rsid w:val="00B84F88"/>
    <w:rsid w:val="00B85ED6"/>
    <w:rsid w:val="00B85FDC"/>
    <w:rsid w:val="00B8757A"/>
    <w:rsid w:val="00B87745"/>
    <w:rsid w:val="00B90631"/>
    <w:rsid w:val="00B90D07"/>
    <w:rsid w:val="00B914E2"/>
    <w:rsid w:val="00B9209F"/>
    <w:rsid w:val="00B92164"/>
    <w:rsid w:val="00B92C84"/>
    <w:rsid w:val="00B92CD6"/>
    <w:rsid w:val="00B93079"/>
    <w:rsid w:val="00B93A88"/>
    <w:rsid w:val="00B942FB"/>
    <w:rsid w:val="00B95100"/>
    <w:rsid w:val="00B95213"/>
    <w:rsid w:val="00B95CF2"/>
    <w:rsid w:val="00B96A93"/>
    <w:rsid w:val="00B96C4F"/>
    <w:rsid w:val="00B96C83"/>
    <w:rsid w:val="00B96DA7"/>
    <w:rsid w:val="00B96EF2"/>
    <w:rsid w:val="00B976F0"/>
    <w:rsid w:val="00B9782B"/>
    <w:rsid w:val="00B97A27"/>
    <w:rsid w:val="00B97BB6"/>
    <w:rsid w:val="00B97D6E"/>
    <w:rsid w:val="00B97E92"/>
    <w:rsid w:val="00BA03F6"/>
    <w:rsid w:val="00BA2EDE"/>
    <w:rsid w:val="00BA30BB"/>
    <w:rsid w:val="00BA38E3"/>
    <w:rsid w:val="00BA4EA7"/>
    <w:rsid w:val="00BA4EAE"/>
    <w:rsid w:val="00BA58B3"/>
    <w:rsid w:val="00BA6D27"/>
    <w:rsid w:val="00BA73EB"/>
    <w:rsid w:val="00BB011C"/>
    <w:rsid w:val="00BB0B31"/>
    <w:rsid w:val="00BB12EF"/>
    <w:rsid w:val="00BB1842"/>
    <w:rsid w:val="00BB19BE"/>
    <w:rsid w:val="00BB1B32"/>
    <w:rsid w:val="00BB2704"/>
    <w:rsid w:val="00BB2BF1"/>
    <w:rsid w:val="00BB310C"/>
    <w:rsid w:val="00BB39CA"/>
    <w:rsid w:val="00BB3BB4"/>
    <w:rsid w:val="00BB3F46"/>
    <w:rsid w:val="00BB47FD"/>
    <w:rsid w:val="00BB4B19"/>
    <w:rsid w:val="00BB4B3A"/>
    <w:rsid w:val="00BB515D"/>
    <w:rsid w:val="00BB5377"/>
    <w:rsid w:val="00BB5580"/>
    <w:rsid w:val="00BB5596"/>
    <w:rsid w:val="00BB66B7"/>
    <w:rsid w:val="00BB6A45"/>
    <w:rsid w:val="00BB6D02"/>
    <w:rsid w:val="00BC014D"/>
    <w:rsid w:val="00BC01CB"/>
    <w:rsid w:val="00BC04B6"/>
    <w:rsid w:val="00BC1F37"/>
    <w:rsid w:val="00BC2085"/>
    <w:rsid w:val="00BC26EC"/>
    <w:rsid w:val="00BC3181"/>
    <w:rsid w:val="00BC357A"/>
    <w:rsid w:val="00BC3A3E"/>
    <w:rsid w:val="00BC4188"/>
    <w:rsid w:val="00BC4280"/>
    <w:rsid w:val="00BC4745"/>
    <w:rsid w:val="00BC5574"/>
    <w:rsid w:val="00BC5843"/>
    <w:rsid w:val="00BC776F"/>
    <w:rsid w:val="00BC7B2C"/>
    <w:rsid w:val="00BD03E9"/>
    <w:rsid w:val="00BD0698"/>
    <w:rsid w:val="00BD0FE1"/>
    <w:rsid w:val="00BD1591"/>
    <w:rsid w:val="00BD1855"/>
    <w:rsid w:val="00BD18EA"/>
    <w:rsid w:val="00BD1945"/>
    <w:rsid w:val="00BD1A70"/>
    <w:rsid w:val="00BD1D6E"/>
    <w:rsid w:val="00BD21EB"/>
    <w:rsid w:val="00BD3A50"/>
    <w:rsid w:val="00BD4372"/>
    <w:rsid w:val="00BD4C9B"/>
    <w:rsid w:val="00BD4CC8"/>
    <w:rsid w:val="00BD4F13"/>
    <w:rsid w:val="00BD5BEC"/>
    <w:rsid w:val="00BD68D1"/>
    <w:rsid w:val="00BD695A"/>
    <w:rsid w:val="00BD788B"/>
    <w:rsid w:val="00BE0203"/>
    <w:rsid w:val="00BE0AE9"/>
    <w:rsid w:val="00BE0FA3"/>
    <w:rsid w:val="00BE13C9"/>
    <w:rsid w:val="00BE1533"/>
    <w:rsid w:val="00BE16F8"/>
    <w:rsid w:val="00BE1A56"/>
    <w:rsid w:val="00BE238D"/>
    <w:rsid w:val="00BE28BB"/>
    <w:rsid w:val="00BE2FE7"/>
    <w:rsid w:val="00BE309D"/>
    <w:rsid w:val="00BE30ED"/>
    <w:rsid w:val="00BE3816"/>
    <w:rsid w:val="00BE3A2D"/>
    <w:rsid w:val="00BE45A7"/>
    <w:rsid w:val="00BE4711"/>
    <w:rsid w:val="00BE5587"/>
    <w:rsid w:val="00BE69EF"/>
    <w:rsid w:val="00BE6A4C"/>
    <w:rsid w:val="00BE6F27"/>
    <w:rsid w:val="00BE70D2"/>
    <w:rsid w:val="00BE784B"/>
    <w:rsid w:val="00BF0BC1"/>
    <w:rsid w:val="00BF0EDC"/>
    <w:rsid w:val="00BF1168"/>
    <w:rsid w:val="00BF14A9"/>
    <w:rsid w:val="00BF156E"/>
    <w:rsid w:val="00BF2541"/>
    <w:rsid w:val="00BF29AF"/>
    <w:rsid w:val="00BF315A"/>
    <w:rsid w:val="00BF3625"/>
    <w:rsid w:val="00BF3864"/>
    <w:rsid w:val="00BF47EE"/>
    <w:rsid w:val="00BF4984"/>
    <w:rsid w:val="00BF4DA8"/>
    <w:rsid w:val="00BF4EB8"/>
    <w:rsid w:val="00BF64C4"/>
    <w:rsid w:val="00BF6576"/>
    <w:rsid w:val="00BF6CA5"/>
    <w:rsid w:val="00BF6EB2"/>
    <w:rsid w:val="00BF749E"/>
    <w:rsid w:val="00BF7625"/>
    <w:rsid w:val="00C0074D"/>
    <w:rsid w:val="00C0126C"/>
    <w:rsid w:val="00C02023"/>
    <w:rsid w:val="00C0232F"/>
    <w:rsid w:val="00C02F9C"/>
    <w:rsid w:val="00C03C7C"/>
    <w:rsid w:val="00C03DEE"/>
    <w:rsid w:val="00C04223"/>
    <w:rsid w:val="00C046CA"/>
    <w:rsid w:val="00C0546E"/>
    <w:rsid w:val="00C0551F"/>
    <w:rsid w:val="00C0615F"/>
    <w:rsid w:val="00C06266"/>
    <w:rsid w:val="00C071AE"/>
    <w:rsid w:val="00C071BD"/>
    <w:rsid w:val="00C0758D"/>
    <w:rsid w:val="00C07C05"/>
    <w:rsid w:val="00C07C9D"/>
    <w:rsid w:val="00C07E6B"/>
    <w:rsid w:val="00C10128"/>
    <w:rsid w:val="00C1070E"/>
    <w:rsid w:val="00C107EE"/>
    <w:rsid w:val="00C10D89"/>
    <w:rsid w:val="00C10FA8"/>
    <w:rsid w:val="00C12B8C"/>
    <w:rsid w:val="00C12C93"/>
    <w:rsid w:val="00C12CF1"/>
    <w:rsid w:val="00C14696"/>
    <w:rsid w:val="00C14826"/>
    <w:rsid w:val="00C14CE7"/>
    <w:rsid w:val="00C14DEF"/>
    <w:rsid w:val="00C14E4E"/>
    <w:rsid w:val="00C15D0A"/>
    <w:rsid w:val="00C16260"/>
    <w:rsid w:val="00C16284"/>
    <w:rsid w:val="00C1669B"/>
    <w:rsid w:val="00C168E7"/>
    <w:rsid w:val="00C1734C"/>
    <w:rsid w:val="00C17BF2"/>
    <w:rsid w:val="00C203A2"/>
    <w:rsid w:val="00C207F3"/>
    <w:rsid w:val="00C20940"/>
    <w:rsid w:val="00C20C73"/>
    <w:rsid w:val="00C20FB8"/>
    <w:rsid w:val="00C212F3"/>
    <w:rsid w:val="00C215C8"/>
    <w:rsid w:val="00C22B4D"/>
    <w:rsid w:val="00C232F8"/>
    <w:rsid w:val="00C2339A"/>
    <w:rsid w:val="00C2397F"/>
    <w:rsid w:val="00C24359"/>
    <w:rsid w:val="00C246C1"/>
    <w:rsid w:val="00C24738"/>
    <w:rsid w:val="00C24C2C"/>
    <w:rsid w:val="00C2502E"/>
    <w:rsid w:val="00C260CB"/>
    <w:rsid w:val="00C2630B"/>
    <w:rsid w:val="00C269D6"/>
    <w:rsid w:val="00C26B67"/>
    <w:rsid w:val="00C27634"/>
    <w:rsid w:val="00C27FAE"/>
    <w:rsid w:val="00C3019D"/>
    <w:rsid w:val="00C3038C"/>
    <w:rsid w:val="00C308C4"/>
    <w:rsid w:val="00C30B10"/>
    <w:rsid w:val="00C30C7C"/>
    <w:rsid w:val="00C3124E"/>
    <w:rsid w:val="00C318A6"/>
    <w:rsid w:val="00C318DF"/>
    <w:rsid w:val="00C31D5C"/>
    <w:rsid w:val="00C3201E"/>
    <w:rsid w:val="00C320DE"/>
    <w:rsid w:val="00C32513"/>
    <w:rsid w:val="00C327D0"/>
    <w:rsid w:val="00C32CC8"/>
    <w:rsid w:val="00C32EC5"/>
    <w:rsid w:val="00C3340F"/>
    <w:rsid w:val="00C33C2B"/>
    <w:rsid w:val="00C3407F"/>
    <w:rsid w:val="00C3451B"/>
    <w:rsid w:val="00C34883"/>
    <w:rsid w:val="00C360EE"/>
    <w:rsid w:val="00C3663D"/>
    <w:rsid w:val="00C36731"/>
    <w:rsid w:val="00C3690A"/>
    <w:rsid w:val="00C36A99"/>
    <w:rsid w:val="00C372D4"/>
    <w:rsid w:val="00C375E5"/>
    <w:rsid w:val="00C37CF6"/>
    <w:rsid w:val="00C41425"/>
    <w:rsid w:val="00C426AC"/>
    <w:rsid w:val="00C42774"/>
    <w:rsid w:val="00C42EB8"/>
    <w:rsid w:val="00C42EF9"/>
    <w:rsid w:val="00C43395"/>
    <w:rsid w:val="00C4393D"/>
    <w:rsid w:val="00C43F81"/>
    <w:rsid w:val="00C44515"/>
    <w:rsid w:val="00C45A4F"/>
    <w:rsid w:val="00C45BC2"/>
    <w:rsid w:val="00C46B8D"/>
    <w:rsid w:val="00C4777E"/>
    <w:rsid w:val="00C5050F"/>
    <w:rsid w:val="00C50713"/>
    <w:rsid w:val="00C5071C"/>
    <w:rsid w:val="00C527EA"/>
    <w:rsid w:val="00C52D12"/>
    <w:rsid w:val="00C53018"/>
    <w:rsid w:val="00C54767"/>
    <w:rsid w:val="00C54964"/>
    <w:rsid w:val="00C54E4D"/>
    <w:rsid w:val="00C552C9"/>
    <w:rsid w:val="00C552F2"/>
    <w:rsid w:val="00C558B3"/>
    <w:rsid w:val="00C55A00"/>
    <w:rsid w:val="00C55D35"/>
    <w:rsid w:val="00C56060"/>
    <w:rsid w:val="00C56513"/>
    <w:rsid w:val="00C56C49"/>
    <w:rsid w:val="00C5791B"/>
    <w:rsid w:val="00C57A12"/>
    <w:rsid w:val="00C60609"/>
    <w:rsid w:val="00C60632"/>
    <w:rsid w:val="00C611EC"/>
    <w:rsid w:val="00C61499"/>
    <w:rsid w:val="00C616B7"/>
    <w:rsid w:val="00C617AF"/>
    <w:rsid w:val="00C61A13"/>
    <w:rsid w:val="00C61A1C"/>
    <w:rsid w:val="00C61EF8"/>
    <w:rsid w:val="00C624C8"/>
    <w:rsid w:val="00C63A96"/>
    <w:rsid w:val="00C648B1"/>
    <w:rsid w:val="00C648BA"/>
    <w:rsid w:val="00C65713"/>
    <w:rsid w:val="00C65C4F"/>
    <w:rsid w:val="00C67346"/>
    <w:rsid w:val="00C6797E"/>
    <w:rsid w:val="00C67E47"/>
    <w:rsid w:val="00C67ECB"/>
    <w:rsid w:val="00C67F6B"/>
    <w:rsid w:val="00C70725"/>
    <w:rsid w:val="00C7082E"/>
    <w:rsid w:val="00C7091F"/>
    <w:rsid w:val="00C70B7D"/>
    <w:rsid w:val="00C7112B"/>
    <w:rsid w:val="00C72924"/>
    <w:rsid w:val="00C72B4E"/>
    <w:rsid w:val="00C73F70"/>
    <w:rsid w:val="00C74447"/>
    <w:rsid w:val="00C74F0A"/>
    <w:rsid w:val="00C7500E"/>
    <w:rsid w:val="00C76A8A"/>
    <w:rsid w:val="00C76BC1"/>
    <w:rsid w:val="00C76D5B"/>
    <w:rsid w:val="00C77635"/>
    <w:rsid w:val="00C80321"/>
    <w:rsid w:val="00C80A44"/>
    <w:rsid w:val="00C81473"/>
    <w:rsid w:val="00C816EC"/>
    <w:rsid w:val="00C81A6C"/>
    <w:rsid w:val="00C820C3"/>
    <w:rsid w:val="00C82692"/>
    <w:rsid w:val="00C82914"/>
    <w:rsid w:val="00C82E12"/>
    <w:rsid w:val="00C83C10"/>
    <w:rsid w:val="00C841E5"/>
    <w:rsid w:val="00C84BB2"/>
    <w:rsid w:val="00C85184"/>
    <w:rsid w:val="00C853BB"/>
    <w:rsid w:val="00C85693"/>
    <w:rsid w:val="00C8606E"/>
    <w:rsid w:val="00C8634E"/>
    <w:rsid w:val="00C86E57"/>
    <w:rsid w:val="00C87C68"/>
    <w:rsid w:val="00C902A6"/>
    <w:rsid w:val="00C90818"/>
    <w:rsid w:val="00C90F37"/>
    <w:rsid w:val="00C91989"/>
    <w:rsid w:val="00C926DD"/>
    <w:rsid w:val="00C92AF2"/>
    <w:rsid w:val="00C933D4"/>
    <w:rsid w:val="00C93630"/>
    <w:rsid w:val="00C9377D"/>
    <w:rsid w:val="00C94731"/>
    <w:rsid w:val="00C949F0"/>
    <w:rsid w:val="00C94AE9"/>
    <w:rsid w:val="00C94D76"/>
    <w:rsid w:val="00C94FAE"/>
    <w:rsid w:val="00C95A59"/>
    <w:rsid w:val="00C965BE"/>
    <w:rsid w:val="00C96C6D"/>
    <w:rsid w:val="00C9711A"/>
    <w:rsid w:val="00C9731D"/>
    <w:rsid w:val="00C97A6F"/>
    <w:rsid w:val="00C97AC7"/>
    <w:rsid w:val="00CA0325"/>
    <w:rsid w:val="00CA0482"/>
    <w:rsid w:val="00CA090C"/>
    <w:rsid w:val="00CA0B51"/>
    <w:rsid w:val="00CA1EB2"/>
    <w:rsid w:val="00CA25BF"/>
    <w:rsid w:val="00CA3D44"/>
    <w:rsid w:val="00CA3FF8"/>
    <w:rsid w:val="00CA4480"/>
    <w:rsid w:val="00CA4776"/>
    <w:rsid w:val="00CA5189"/>
    <w:rsid w:val="00CA5405"/>
    <w:rsid w:val="00CA609F"/>
    <w:rsid w:val="00CA6341"/>
    <w:rsid w:val="00CA64D2"/>
    <w:rsid w:val="00CA704B"/>
    <w:rsid w:val="00CB062A"/>
    <w:rsid w:val="00CB063F"/>
    <w:rsid w:val="00CB0FFA"/>
    <w:rsid w:val="00CB1188"/>
    <w:rsid w:val="00CB17D3"/>
    <w:rsid w:val="00CB18D8"/>
    <w:rsid w:val="00CB24A8"/>
    <w:rsid w:val="00CB323C"/>
    <w:rsid w:val="00CB34F8"/>
    <w:rsid w:val="00CB379D"/>
    <w:rsid w:val="00CB3BAF"/>
    <w:rsid w:val="00CB4339"/>
    <w:rsid w:val="00CB4A71"/>
    <w:rsid w:val="00CB4B5E"/>
    <w:rsid w:val="00CB5606"/>
    <w:rsid w:val="00CB5F0B"/>
    <w:rsid w:val="00CB62F7"/>
    <w:rsid w:val="00CB6606"/>
    <w:rsid w:val="00CB68BA"/>
    <w:rsid w:val="00CB6CC9"/>
    <w:rsid w:val="00CB70EC"/>
    <w:rsid w:val="00CB75CA"/>
    <w:rsid w:val="00CB77D5"/>
    <w:rsid w:val="00CC003C"/>
    <w:rsid w:val="00CC025F"/>
    <w:rsid w:val="00CC08A0"/>
    <w:rsid w:val="00CC13DE"/>
    <w:rsid w:val="00CC1613"/>
    <w:rsid w:val="00CC16F7"/>
    <w:rsid w:val="00CC2872"/>
    <w:rsid w:val="00CC28A5"/>
    <w:rsid w:val="00CC296B"/>
    <w:rsid w:val="00CC2CF2"/>
    <w:rsid w:val="00CC4192"/>
    <w:rsid w:val="00CC50B7"/>
    <w:rsid w:val="00CC5F86"/>
    <w:rsid w:val="00CC601C"/>
    <w:rsid w:val="00CC6B0D"/>
    <w:rsid w:val="00CD0359"/>
    <w:rsid w:val="00CD0A3B"/>
    <w:rsid w:val="00CD0F98"/>
    <w:rsid w:val="00CD1228"/>
    <w:rsid w:val="00CD1823"/>
    <w:rsid w:val="00CD1B4F"/>
    <w:rsid w:val="00CD1CF5"/>
    <w:rsid w:val="00CD27A8"/>
    <w:rsid w:val="00CD29AB"/>
    <w:rsid w:val="00CD2AA3"/>
    <w:rsid w:val="00CD2DA1"/>
    <w:rsid w:val="00CD4063"/>
    <w:rsid w:val="00CD46E3"/>
    <w:rsid w:val="00CD4BCB"/>
    <w:rsid w:val="00CD5110"/>
    <w:rsid w:val="00CD5812"/>
    <w:rsid w:val="00CD5DE9"/>
    <w:rsid w:val="00CD5F66"/>
    <w:rsid w:val="00CD6642"/>
    <w:rsid w:val="00CD69DB"/>
    <w:rsid w:val="00CD6D5E"/>
    <w:rsid w:val="00CD7DD4"/>
    <w:rsid w:val="00CD7EBD"/>
    <w:rsid w:val="00CE0512"/>
    <w:rsid w:val="00CE08B8"/>
    <w:rsid w:val="00CE0B5A"/>
    <w:rsid w:val="00CE0E92"/>
    <w:rsid w:val="00CE2069"/>
    <w:rsid w:val="00CE4075"/>
    <w:rsid w:val="00CE4118"/>
    <w:rsid w:val="00CE48D3"/>
    <w:rsid w:val="00CE4A2B"/>
    <w:rsid w:val="00CE4AAD"/>
    <w:rsid w:val="00CE5258"/>
    <w:rsid w:val="00CE60AA"/>
    <w:rsid w:val="00CE6282"/>
    <w:rsid w:val="00CE69AB"/>
    <w:rsid w:val="00CE6D35"/>
    <w:rsid w:val="00CE6F99"/>
    <w:rsid w:val="00CE7C7F"/>
    <w:rsid w:val="00CE7FA2"/>
    <w:rsid w:val="00CF001F"/>
    <w:rsid w:val="00CF0A42"/>
    <w:rsid w:val="00CF15BB"/>
    <w:rsid w:val="00CF1C27"/>
    <w:rsid w:val="00CF1D5E"/>
    <w:rsid w:val="00CF2F8D"/>
    <w:rsid w:val="00CF399C"/>
    <w:rsid w:val="00CF3E4A"/>
    <w:rsid w:val="00CF4B81"/>
    <w:rsid w:val="00CF4EFF"/>
    <w:rsid w:val="00CF7963"/>
    <w:rsid w:val="00CF7B78"/>
    <w:rsid w:val="00D00048"/>
    <w:rsid w:val="00D0026B"/>
    <w:rsid w:val="00D004F8"/>
    <w:rsid w:val="00D00ADF"/>
    <w:rsid w:val="00D00C52"/>
    <w:rsid w:val="00D017D2"/>
    <w:rsid w:val="00D01987"/>
    <w:rsid w:val="00D01E40"/>
    <w:rsid w:val="00D01F5B"/>
    <w:rsid w:val="00D01F6F"/>
    <w:rsid w:val="00D0229E"/>
    <w:rsid w:val="00D026F4"/>
    <w:rsid w:val="00D02C18"/>
    <w:rsid w:val="00D02C25"/>
    <w:rsid w:val="00D032CD"/>
    <w:rsid w:val="00D04163"/>
    <w:rsid w:val="00D041AF"/>
    <w:rsid w:val="00D047E8"/>
    <w:rsid w:val="00D04F1B"/>
    <w:rsid w:val="00D0558D"/>
    <w:rsid w:val="00D05A32"/>
    <w:rsid w:val="00D060AD"/>
    <w:rsid w:val="00D06516"/>
    <w:rsid w:val="00D06DDF"/>
    <w:rsid w:val="00D07300"/>
    <w:rsid w:val="00D073A6"/>
    <w:rsid w:val="00D073D0"/>
    <w:rsid w:val="00D073DA"/>
    <w:rsid w:val="00D074C2"/>
    <w:rsid w:val="00D07507"/>
    <w:rsid w:val="00D07739"/>
    <w:rsid w:val="00D07908"/>
    <w:rsid w:val="00D107C9"/>
    <w:rsid w:val="00D109F4"/>
    <w:rsid w:val="00D10BE2"/>
    <w:rsid w:val="00D10F6F"/>
    <w:rsid w:val="00D11869"/>
    <w:rsid w:val="00D1275D"/>
    <w:rsid w:val="00D12C19"/>
    <w:rsid w:val="00D12D56"/>
    <w:rsid w:val="00D1378E"/>
    <w:rsid w:val="00D14C08"/>
    <w:rsid w:val="00D14D11"/>
    <w:rsid w:val="00D16357"/>
    <w:rsid w:val="00D16D4D"/>
    <w:rsid w:val="00D17710"/>
    <w:rsid w:val="00D17E1D"/>
    <w:rsid w:val="00D2014F"/>
    <w:rsid w:val="00D20333"/>
    <w:rsid w:val="00D20D60"/>
    <w:rsid w:val="00D20E24"/>
    <w:rsid w:val="00D210E7"/>
    <w:rsid w:val="00D21F0D"/>
    <w:rsid w:val="00D22055"/>
    <w:rsid w:val="00D2243D"/>
    <w:rsid w:val="00D22587"/>
    <w:rsid w:val="00D225FA"/>
    <w:rsid w:val="00D2270F"/>
    <w:rsid w:val="00D22852"/>
    <w:rsid w:val="00D236E5"/>
    <w:rsid w:val="00D23788"/>
    <w:rsid w:val="00D23B4D"/>
    <w:rsid w:val="00D241A0"/>
    <w:rsid w:val="00D24638"/>
    <w:rsid w:val="00D24826"/>
    <w:rsid w:val="00D24836"/>
    <w:rsid w:val="00D24858"/>
    <w:rsid w:val="00D25448"/>
    <w:rsid w:val="00D259D7"/>
    <w:rsid w:val="00D264ED"/>
    <w:rsid w:val="00D26505"/>
    <w:rsid w:val="00D2753A"/>
    <w:rsid w:val="00D2777A"/>
    <w:rsid w:val="00D27B7A"/>
    <w:rsid w:val="00D27C45"/>
    <w:rsid w:val="00D3081F"/>
    <w:rsid w:val="00D3091A"/>
    <w:rsid w:val="00D30B7C"/>
    <w:rsid w:val="00D3105B"/>
    <w:rsid w:val="00D3195D"/>
    <w:rsid w:val="00D31A59"/>
    <w:rsid w:val="00D3204A"/>
    <w:rsid w:val="00D322AE"/>
    <w:rsid w:val="00D3230B"/>
    <w:rsid w:val="00D32430"/>
    <w:rsid w:val="00D32772"/>
    <w:rsid w:val="00D3340A"/>
    <w:rsid w:val="00D3381D"/>
    <w:rsid w:val="00D33867"/>
    <w:rsid w:val="00D33892"/>
    <w:rsid w:val="00D34FB1"/>
    <w:rsid w:val="00D35100"/>
    <w:rsid w:val="00D35455"/>
    <w:rsid w:val="00D35F0F"/>
    <w:rsid w:val="00D36151"/>
    <w:rsid w:val="00D366EF"/>
    <w:rsid w:val="00D3698E"/>
    <w:rsid w:val="00D37194"/>
    <w:rsid w:val="00D3733E"/>
    <w:rsid w:val="00D3749F"/>
    <w:rsid w:val="00D403ED"/>
    <w:rsid w:val="00D405F8"/>
    <w:rsid w:val="00D416F8"/>
    <w:rsid w:val="00D419F2"/>
    <w:rsid w:val="00D41A28"/>
    <w:rsid w:val="00D41B2E"/>
    <w:rsid w:val="00D41BC9"/>
    <w:rsid w:val="00D422AF"/>
    <w:rsid w:val="00D4238E"/>
    <w:rsid w:val="00D42600"/>
    <w:rsid w:val="00D42D28"/>
    <w:rsid w:val="00D430DE"/>
    <w:rsid w:val="00D4338B"/>
    <w:rsid w:val="00D434AB"/>
    <w:rsid w:val="00D4388D"/>
    <w:rsid w:val="00D43DE6"/>
    <w:rsid w:val="00D44119"/>
    <w:rsid w:val="00D4591F"/>
    <w:rsid w:val="00D45CF1"/>
    <w:rsid w:val="00D45FD8"/>
    <w:rsid w:val="00D4651F"/>
    <w:rsid w:val="00D4670E"/>
    <w:rsid w:val="00D46991"/>
    <w:rsid w:val="00D46E11"/>
    <w:rsid w:val="00D474D2"/>
    <w:rsid w:val="00D47552"/>
    <w:rsid w:val="00D47632"/>
    <w:rsid w:val="00D50021"/>
    <w:rsid w:val="00D50099"/>
    <w:rsid w:val="00D5180E"/>
    <w:rsid w:val="00D52415"/>
    <w:rsid w:val="00D525E0"/>
    <w:rsid w:val="00D52738"/>
    <w:rsid w:val="00D52F71"/>
    <w:rsid w:val="00D531CA"/>
    <w:rsid w:val="00D5363C"/>
    <w:rsid w:val="00D53C45"/>
    <w:rsid w:val="00D53CB9"/>
    <w:rsid w:val="00D54049"/>
    <w:rsid w:val="00D54B22"/>
    <w:rsid w:val="00D54F99"/>
    <w:rsid w:val="00D55D24"/>
    <w:rsid w:val="00D560BB"/>
    <w:rsid w:val="00D56B98"/>
    <w:rsid w:val="00D56CE8"/>
    <w:rsid w:val="00D56DD5"/>
    <w:rsid w:val="00D570C9"/>
    <w:rsid w:val="00D57579"/>
    <w:rsid w:val="00D578EE"/>
    <w:rsid w:val="00D60473"/>
    <w:rsid w:val="00D6086D"/>
    <w:rsid w:val="00D608D5"/>
    <w:rsid w:val="00D614C2"/>
    <w:rsid w:val="00D61835"/>
    <w:rsid w:val="00D61D63"/>
    <w:rsid w:val="00D623CB"/>
    <w:rsid w:val="00D62714"/>
    <w:rsid w:val="00D62C2F"/>
    <w:rsid w:val="00D62DE2"/>
    <w:rsid w:val="00D6343C"/>
    <w:rsid w:val="00D63657"/>
    <w:rsid w:val="00D63811"/>
    <w:rsid w:val="00D63949"/>
    <w:rsid w:val="00D63E7D"/>
    <w:rsid w:val="00D6416A"/>
    <w:rsid w:val="00D646C4"/>
    <w:rsid w:val="00D668E4"/>
    <w:rsid w:val="00D67A5B"/>
    <w:rsid w:val="00D70894"/>
    <w:rsid w:val="00D7102B"/>
    <w:rsid w:val="00D71730"/>
    <w:rsid w:val="00D71D97"/>
    <w:rsid w:val="00D71D9A"/>
    <w:rsid w:val="00D7233B"/>
    <w:rsid w:val="00D7313B"/>
    <w:rsid w:val="00D74C3B"/>
    <w:rsid w:val="00D74D9E"/>
    <w:rsid w:val="00D74E60"/>
    <w:rsid w:val="00D75277"/>
    <w:rsid w:val="00D75EC2"/>
    <w:rsid w:val="00D774B0"/>
    <w:rsid w:val="00D80B7A"/>
    <w:rsid w:val="00D8116C"/>
    <w:rsid w:val="00D82048"/>
    <w:rsid w:val="00D82951"/>
    <w:rsid w:val="00D82C77"/>
    <w:rsid w:val="00D83C33"/>
    <w:rsid w:val="00D840C5"/>
    <w:rsid w:val="00D84C3C"/>
    <w:rsid w:val="00D84C8F"/>
    <w:rsid w:val="00D854B5"/>
    <w:rsid w:val="00D85E18"/>
    <w:rsid w:val="00D86B25"/>
    <w:rsid w:val="00D8741B"/>
    <w:rsid w:val="00D90488"/>
    <w:rsid w:val="00D904EB"/>
    <w:rsid w:val="00D90B08"/>
    <w:rsid w:val="00D90BEA"/>
    <w:rsid w:val="00D90EBC"/>
    <w:rsid w:val="00D915AA"/>
    <w:rsid w:val="00D938E1"/>
    <w:rsid w:val="00D93DA2"/>
    <w:rsid w:val="00D94082"/>
    <w:rsid w:val="00D94467"/>
    <w:rsid w:val="00D94E5B"/>
    <w:rsid w:val="00D95255"/>
    <w:rsid w:val="00D95314"/>
    <w:rsid w:val="00D955E8"/>
    <w:rsid w:val="00D956C2"/>
    <w:rsid w:val="00D95A8D"/>
    <w:rsid w:val="00D95CAD"/>
    <w:rsid w:val="00D9628B"/>
    <w:rsid w:val="00D97A93"/>
    <w:rsid w:val="00D97DC4"/>
    <w:rsid w:val="00DA0125"/>
    <w:rsid w:val="00DA06BC"/>
    <w:rsid w:val="00DA071B"/>
    <w:rsid w:val="00DA0C96"/>
    <w:rsid w:val="00DA0FB7"/>
    <w:rsid w:val="00DA1754"/>
    <w:rsid w:val="00DA17D3"/>
    <w:rsid w:val="00DA195E"/>
    <w:rsid w:val="00DA1DAA"/>
    <w:rsid w:val="00DA22CA"/>
    <w:rsid w:val="00DA2381"/>
    <w:rsid w:val="00DA284F"/>
    <w:rsid w:val="00DA28CA"/>
    <w:rsid w:val="00DA2E4C"/>
    <w:rsid w:val="00DA352A"/>
    <w:rsid w:val="00DA3A3E"/>
    <w:rsid w:val="00DA3A76"/>
    <w:rsid w:val="00DA517A"/>
    <w:rsid w:val="00DA53B5"/>
    <w:rsid w:val="00DA6129"/>
    <w:rsid w:val="00DA686A"/>
    <w:rsid w:val="00DA7462"/>
    <w:rsid w:val="00DA7937"/>
    <w:rsid w:val="00DA7961"/>
    <w:rsid w:val="00DA7DAC"/>
    <w:rsid w:val="00DB040A"/>
    <w:rsid w:val="00DB07F8"/>
    <w:rsid w:val="00DB19A3"/>
    <w:rsid w:val="00DB383D"/>
    <w:rsid w:val="00DB43C6"/>
    <w:rsid w:val="00DB47B5"/>
    <w:rsid w:val="00DB49EA"/>
    <w:rsid w:val="00DB543E"/>
    <w:rsid w:val="00DB5DFA"/>
    <w:rsid w:val="00DB5FD4"/>
    <w:rsid w:val="00DB6608"/>
    <w:rsid w:val="00DB6FFC"/>
    <w:rsid w:val="00DB7A9C"/>
    <w:rsid w:val="00DC02FF"/>
    <w:rsid w:val="00DC0E0A"/>
    <w:rsid w:val="00DC1848"/>
    <w:rsid w:val="00DC20EA"/>
    <w:rsid w:val="00DC33F7"/>
    <w:rsid w:val="00DC3546"/>
    <w:rsid w:val="00DC4598"/>
    <w:rsid w:val="00DC4696"/>
    <w:rsid w:val="00DC4872"/>
    <w:rsid w:val="00DC540A"/>
    <w:rsid w:val="00DC574D"/>
    <w:rsid w:val="00DC584C"/>
    <w:rsid w:val="00DC5CCD"/>
    <w:rsid w:val="00DC5F66"/>
    <w:rsid w:val="00DC67BD"/>
    <w:rsid w:val="00DC6B95"/>
    <w:rsid w:val="00DC71B1"/>
    <w:rsid w:val="00DC74B2"/>
    <w:rsid w:val="00DC7B6C"/>
    <w:rsid w:val="00DC7C26"/>
    <w:rsid w:val="00DD01A9"/>
    <w:rsid w:val="00DD01B1"/>
    <w:rsid w:val="00DD0386"/>
    <w:rsid w:val="00DD068D"/>
    <w:rsid w:val="00DD0810"/>
    <w:rsid w:val="00DD0BBC"/>
    <w:rsid w:val="00DD1491"/>
    <w:rsid w:val="00DD1DF8"/>
    <w:rsid w:val="00DD1F43"/>
    <w:rsid w:val="00DD1F7C"/>
    <w:rsid w:val="00DD2E24"/>
    <w:rsid w:val="00DD349F"/>
    <w:rsid w:val="00DD3838"/>
    <w:rsid w:val="00DD4184"/>
    <w:rsid w:val="00DD4E6C"/>
    <w:rsid w:val="00DD4EF6"/>
    <w:rsid w:val="00DD50B8"/>
    <w:rsid w:val="00DD6E6A"/>
    <w:rsid w:val="00DD758A"/>
    <w:rsid w:val="00DD76C0"/>
    <w:rsid w:val="00DD772A"/>
    <w:rsid w:val="00DE1773"/>
    <w:rsid w:val="00DE1A8C"/>
    <w:rsid w:val="00DE247A"/>
    <w:rsid w:val="00DE273C"/>
    <w:rsid w:val="00DE2E3B"/>
    <w:rsid w:val="00DE391A"/>
    <w:rsid w:val="00DE42D1"/>
    <w:rsid w:val="00DE4645"/>
    <w:rsid w:val="00DE5280"/>
    <w:rsid w:val="00DE5600"/>
    <w:rsid w:val="00DE5613"/>
    <w:rsid w:val="00DE6615"/>
    <w:rsid w:val="00DE6910"/>
    <w:rsid w:val="00DE6FD9"/>
    <w:rsid w:val="00DE74E0"/>
    <w:rsid w:val="00DE7BE4"/>
    <w:rsid w:val="00DE7D8C"/>
    <w:rsid w:val="00DF00F4"/>
    <w:rsid w:val="00DF1BD0"/>
    <w:rsid w:val="00DF1EAD"/>
    <w:rsid w:val="00DF29B6"/>
    <w:rsid w:val="00DF2FB3"/>
    <w:rsid w:val="00DF3529"/>
    <w:rsid w:val="00DF3BDD"/>
    <w:rsid w:val="00DF417B"/>
    <w:rsid w:val="00DF46A8"/>
    <w:rsid w:val="00DF4F62"/>
    <w:rsid w:val="00DF4F70"/>
    <w:rsid w:val="00DF51A2"/>
    <w:rsid w:val="00DF57AF"/>
    <w:rsid w:val="00DF5B48"/>
    <w:rsid w:val="00DF5EA7"/>
    <w:rsid w:val="00DF644A"/>
    <w:rsid w:val="00DF66D6"/>
    <w:rsid w:val="00DF6E71"/>
    <w:rsid w:val="00DF7DCB"/>
    <w:rsid w:val="00E00AA1"/>
    <w:rsid w:val="00E00BC1"/>
    <w:rsid w:val="00E010FA"/>
    <w:rsid w:val="00E012BD"/>
    <w:rsid w:val="00E018B5"/>
    <w:rsid w:val="00E01F0A"/>
    <w:rsid w:val="00E023F8"/>
    <w:rsid w:val="00E02EF4"/>
    <w:rsid w:val="00E03504"/>
    <w:rsid w:val="00E03690"/>
    <w:rsid w:val="00E039FE"/>
    <w:rsid w:val="00E03E59"/>
    <w:rsid w:val="00E046F8"/>
    <w:rsid w:val="00E04769"/>
    <w:rsid w:val="00E0504B"/>
    <w:rsid w:val="00E052FF"/>
    <w:rsid w:val="00E055BC"/>
    <w:rsid w:val="00E06928"/>
    <w:rsid w:val="00E06A9D"/>
    <w:rsid w:val="00E06DB8"/>
    <w:rsid w:val="00E1008D"/>
    <w:rsid w:val="00E1084F"/>
    <w:rsid w:val="00E10932"/>
    <w:rsid w:val="00E10C7C"/>
    <w:rsid w:val="00E10EAD"/>
    <w:rsid w:val="00E10FEA"/>
    <w:rsid w:val="00E111FF"/>
    <w:rsid w:val="00E117D0"/>
    <w:rsid w:val="00E1184F"/>
    <w:rsid w:val="00E11F47"/>
    <w:rsid w:val="00E123B3"/>
    <w:rsid w:val="00E14071"/>
    <w:rsid w:val="00E14505"/>
    <w:rsid w:val="00E14C60"/>
    <w:rsid w:val="00E14EC9"/>
    <w:rsid w:val="00E151F1"/>
    <w:rsid w:val="00E15416"/>
    <w:rsid w:val="00E15658"/>
    <w:rsid w:val="00E16EFB"/>
    <w:rsid w:val="00E16F38"/>
    <w:rsid w:val="00E174AF"/>
    <w:rsid w:val="00E17526"/>
    <w:rsid w:val="00E1765A"/>
    <w:rsid w:val="00E200FA"/>
    <w:rsid w:val="00E21030"/>
    <w:rsid w:val="00E21BC4"/>
    <w:rsid w:val="00E21F24"/>
    <w:rsid w:val="00E226F8"/>
    <w:rsid w:val="00E230E8"/>
    <w:rsid w:val="00E23F0A"/>
    <w:rsid w:val="00E2422D"/>
    <w:rsid w:val="00E24743"/>
    <w:rsid w:val="00E2493C"/>
    <w:rsid w:val="00E24F6D"/>
    <w:rsid w:val="00E25237"/>
    <w:rsid w:val="00E25B26"/>
    <w:rsid w:val="00E25D64"/>
    <w:rsid w:val="00E262E8"/>
    <w:rsid w:val="00E26D15"/>
    <w:rsid w:val="00E26FFA"/>
    <w:rsid w:val="00E2762F"/>
    <w:rsid w:val="00E276E7"/>
    <w:rsid w:val="00E27AF5"/>
    <w:rsid w:val="00E3022A"/>
    <w:rsid w:val="00E303EB"/>
    <w:rsid w:val="00E3134B"/>
    <w:rsid w:val="00E31509"/>
    <w:rsid w:val="00E32A22"/>
    <w:rsid w:val="00E331F6"/>
    <w:rsid w:val="00E33452"/>
    <w:rsid w:val="00E34398"/>
    <w:rsid w:val="00E34CF3"/>
    <w:rsid w:val="00E35A62"/>
    <w:rsid w:val="00E3618A"/>
    <w:rsid w:val="00E36306"/>
    <w:rsid w:val="00E36CFF"/>
    <w:rsid w:val="00E371AA"/>
    <w:rsid w:val="00E40D78"/>
    <w:rsid w:val="00E40FEF"/>
    <w:rsid w:val="00E4171B"/>
    <w:rsid w:val="00E43012"/>
    <w:rsid w:val="00E43F32"/>
    <w:rsid w:val="00E44460"/>
    <w:rsid w:val="00E44680"/>
    <w:rsid w:val="00E4505F"/>
    <w:rsid w:val="00E4536C"/>
    <w:rsid w:val="00E4613D"/>
    <w:rsid w:val="00E461A9"/>
    <w:rsid w:val="00E468F0"/>
    <w:rsid w:val="00E479F8"/>
    <w:rsid w:val="00E47C91"/>
    <w:rsid w:val="00E47F62"/>
    <w:rsid w:val="00E47FAB"/>
    <w:rsid w:val="00E51569"/>
    <w:rsid w:val="00E5161E"/>
    <w:rsid w:val="00E52599"/>
    <w:rsid w:val="00E53CF9"/>
    <w:rsid w:val="00E5487F"/>
    <w:rsid w:val="00E54DCF"/>
    <w:rsid w:val="00E552F7"/>
    <w:rsid w:val="00E5545A"/>
    <w:rsid w:val="00E55BF4"/>
    <w:rsid w:val="00E55C86"/>
    <w:rsid w:val="00E5603D"/>
    <w:rsid w:val="00E560A4"/>
    <w:rsid w:val="00E56C39"/>
    <w:rsid w:val="00E56C8B"/>
    <w:rsid w:val="00E57155"/>
    <w:rsid w:val="00E574C9"/>
    <w:rsid w:val="00E576E8"/>
    <w:rsid w:val="00E60AF3"/>
    <w:rsid w:val="00E60C79"/>
    <w:rsid w:val="00E6125E"/>
    <w:rsid w:val="00E61FB5"/>
    <w:rsid w:val="00E6202F"/>
    <w:rsid w:val="00E6260F"/>
    <w:rsid w:val="00E6281E"/>
    <w:rsid w:val="00E62B7A"/>
    <w:rsid w:val="00E63200"/>
    <w:rsid w:val="00E63380"/>
    <w:rsid w:val="00E637BF"/>
    <w:rsid w:val="00E64935"/>
    <w:rsid w:val="00E64A27"/>
    <w:rsid w:val="00E6557B"/>
    <w:rsid w:val="00E658B9"/>
    <w:rsid w:val="00E65E86"/>
    <w:rsid w:val="00E67331"/>
    <w:rsid w:val="00E6743F"/>
    <w:rsid w:val="00E67874"/>
    <w:rsid w:val="00E678FA"/>
    <w:rsid w:val="00E679DF"/>
    <w:rsid w:val="00E67BC6"/>
    <w:rsid w:val="00E7039C"/>
    <w:rsid w:val="00E703C5"/>
    <w:rsid w:val="00E70425"/>
    <w:rsid w:val="00E7056A"/>
    <w:rsid w:val="00E707A6"/>
    <w:rsid w:val="00E70921"/>
    <w:rsid w:val="00E71BF9"/>
    <w:rsid w:val="00E71FF1"/>
    <w:rsid w:val="00E72AE2"/>
    <w:rsid w:val="00E736B9"/>
    <w:rsid w:val="00E7381F"/>
    <w:rsid w:val="00E738C4"/>
    <w:rsid w:val="00E73925"/>
    <w:rsid w:val="00E74330"/>
    <w:rsid w:val="00E745AA"/>
    <w:rsid w:val="00E74E40"/>
    <w:rsid w:val="00E74EBA"/>
    <w:rsid w:val="00E75009"/>
    <w:rsid w:val="00E750F8"/>
    <w:rsid w:val="00E751A1"/>
    <w:rsid w:val="00E753A6"/>
    <w:rsid w:val="00E755E1"/>
    <w:rsid w:val="00E75739"/>
    <w:rsid w:val="00E776CE"/>
    <w:rsid w:val="00E77950"/>
    <w:rsid w:val="00E77979"/>
    <w:rsid w:val="00E80641"/>
    <w:rsid w:val="00E8149C"/>
    <w:rsid w:val="00E8153E"/>
    <w:rsid w:val="00E81760"/>
    <w:rsid w:val="00E81A38"/>
    <w:rsid w:val="00E81F19"/>
    <w:rsid w:val="00E82B78"/>
    <w:rsid w:val="00E83160"/>
    <w:rsid w:val="00E8360E"/>
    <w:rsid w:val="00E8510C"/>
    <w:rsid w:val="00E85A52"/>
    <w:rsid w:val="00E85C7F"/>
    <w:rsid w:val="00E85E32"/>
    <w:rsid w:val="00E869FD"/>
    <w:rsid w:val="00E8776C"/>
    <w:rsid w:val="00E87BDB"/>
    <w:rsid w:val="00E87D95"/>
    <w:rsid w:val="00E910A9"/>
    <w:rsid w:val="00E913B4"/>
    <w:rsid w:val="00E915AF"/>
    <w:rsid w:val="00E9223D"/>
    <w:rsid w:val="00E9252E"/>
    <w:rsid w:val="00E9275A"/>
    <w:rsid w:val="00E92A2F"/>
    <w:rsid w:val="00E93629"/>
    <w:rsid w:val="00E93E38"/>
    <w:rsid w:val="00E9419C"/>
    <w:rsid w:val="00E942D5"/>
    <w:rsid w:val="00E95962"/>
    <w:rsid w:val="00E9603A"/>
    <w:rsid w:val="00E9640B"/>
    <w:rsid w:val="00E968CB"/>
    <w:rsid w:val="00E97D05"/>
    <w:rsid w:val="00EA03AA"/>
    <w:rsid w:val="00EA0F4F"/>
    <w:rsid w:val="00EA14DC"/>
    <w:rsid w:val="00EA1853"/>
    <w:rsid w:val="00EA1C3C"/>
    <w:rsid w:val="00EA1D25"/>
    <w:rsid w:val="00EA23F7"/>
    <w:rsid w:val="00EA26C5"/>
    <w:rsid w:val="00EA2814"/>
    <w:rsid w:val="00EA5A83"/>
    <w:rsid w:val="00EA5B1D"/>
    <w:rsid w:val="00EA66E3"/>
    <w:rsid w:val="00EA683A"/>
    <w:rsid w:val="00EA7D43"/>
    <w:rsid w:val="00EB0D03"/>
    <w:rsid w:val="00EB144F"/>
    <w:rsid w:val="00EB1C2E"/>
    <w:rsid w:val="00EB1E77"/>
    <w:rsid w:val="00EB1EF3"/>
    <w:rsid w:val="00EB2499"/>
    <w:rsid w:val="00EB3801"/>
    <w:rsid w:val="00EB3CB6"/>
    <w:rsid w:val="00EB3F8D"/>
    <w:rsid w:val="00EB4575"/>
    <w:rsid w:val="00EB4921"/>
    <w:rsid w:val="00EB524A"/>
    <w:rsid w:val="00EB5448"/>
    <w:rsid w:val="00EB57D4"/>
    <w:rsid w:val="00EB6031"/>
    <w:rsid w:val="00EB7335"/>
    <w:rsid w:val="00EB74D7"/>
    <w:rsid w:val="00EB7F8A"/>
    <w:rsid w:val="00EC06FF"/>
    <w:rsid w:val="00EC15D1"/>
    <w:rsid w:val="00EC15D3"/>
    <w:rsid w:val="00EC2790"/>
    <w:rsid w:val="00EC27BF"/>
    <w:rsid w:val="00EC360C"/>
    <w:rsid w:val="00EC3CC4"/>
    <w:rsid w:val="00EC3CF1"/>
    <w:rsid w:val="00EC49D0"/>
    <w:rsid w:val="00EC4FDA"/>
    <w:rsid w:val="00EC5651"/>
    <w:rsid w:val="00EC5FBE"/>
    <w:rsid w:val="00EC617A"/>
    <w:rsid w:val="00EC644B"/>
    <w:rsid w:val="00EC7E8A"/>
    <w:rsid w:val="00ED00D2"/>
    <w:rsid w:val="00ED062B"/>
    <w:rsid w:val="00ED0E51"/>
    <w:rsid w:val="00ED1241"/>
    <w:rsid w:val="00ED16F4"/>
    <w:rsid w:val="00ED1C7C"/>
    <w:rsid w:val="00ED2080"/>
    <w:rsid w:val="00ED258A"/>
    <w:rsid w:val="00ED2779"/>
    <w:rsid w:val="00ED2FD4"/>
    <w:rsid w:val="00ED30BA"/>
    <w:rsid w:val="00ED32BB"/>
    <w:rsid w:val="00ED33F7"/>
    <w:rsid w:val="00ED355F"/>
    <w:rsid w:val="00ED42D2"/>
    <w:rsid w:val="00ED496E"/>
    <w:rsid w:val="00ED4E86"/>
    <w:rsid w:val="00ED5598"/>
    <w:rsid w:val="00ED569A"/>
    <w:rsid w:val="00ED58D5"/>
    <w:rsid w:val="00ED5B36"/>
    <w:rsid w:val="00ED64B0"/>
    <w:rsid w:val="00ED6A46"/>
    <w:rsid w:val="00ED6D7D"/>
    <w:rsid w:val="00ED71F2"/>
    <w:rsid w:val="00ED7239"/>
    <w:rsid w:val="00ED72F7"/>
    <w:rsid w:val="00ED78E2"/>
    <w:rsid w:val="00EE007D"/>
    <w:rsid w:val="00EE0275"/>
    <w:rsid w:val="00EE0B2D"/>
    <w:rsid w:val="00EE12B1"/>
    <w:rsid w:val="00EE1569"/>
    <w:rsid w:val="00EE1907"/>
    <w:rsid w:val="00EE2199"/>
    <w:rsid w:val="00EE291A"/>
    <w:rsid w:val="00EE2E51"/>
    <w:rsid w:val="00EE30E4"/>
    <w:rsid w:val="00EE32D2"/>
    <w:rsid w:val="00EE3827"/>
    <w:rsid w:val="00EE383E"/>
    <w:rsid w:val="00EE3945"/>
    <w:rsid w:val="00EE3DD7"/>
    <w:rsid w:val="00EE4C24"/>
    <w:rsid w:val="00EE5114"/>
    <w:rsid w:val="00EE51B8"/>
    <w:rsid w:val="00EE5285"/>
    <w:rsid w:val="00EE5871"/>
    <w:rsid w:val="00EE5BC5"/>
    <w:rsid w:val="00EE5C07"/>
    <w:rsid w:val="00EE6459"/>
    <w:rsid w:val="00EE6EA1"/>
    <w:rsid w:val="00EE72A9"/>
    <w:rsid w:val="00EF08DF"/>
    <w:rsid w:val="00EF0B81"/>
    <w:rsid w:val="00EF0F32"/>
    <w:rsid w:val="00EF1815"/>
    <w:rsid w:val="00EF1873"/>
    <w:rsid w:val="00EF2371"/>
    <w:rsid w:val="00EF3010"/>
    <w:rsid w:val="00EF32E0"/>
    <w:rsid w:val="00EF3334"/>
    <w:rsid w:val="00EF3499"/>
    <w:rsid w:val="00EF4252"/>
    <w:rsid w:val="00EF42AD"/>
    <w:rsid w:val="00EF4B27"/>
    <w:rsid w:val="00EF4FAD"/>
    <w:rsid w:val="00EF50A3"/>
    <w:rsid w:val="00EF5213"/>
    <w:rsid w:val="00EF5308"/>
    <w:rsid w:val="00EF5B2C"/>
    <w:rsid w:val="00EF5CD8"/>
    <w:rsid w:val="00EF61DD"/>
    <w:rsid w:val="00EF6A7D"/>
    <w:rsid w:val="00EF6E31"/>
    <w:rsid w:val="00EF6F2E"/>
    <w:rsid w:val="00EF723C"/>
    <w:rsid w:val="00EF74D9"/>
    <w:rsid w:val="00EF77B6"/>
    <w:rsid w:val="00EF7EF4"/>
    <w:rsid w:val="00F002B4"/>
    <w:rsid w:val="00F00778"/>
    <w:rsid w:val="00F010BF"/>
    <w:rsid w:val="00F011A5"/>
    <w:rsid w:val="00F01436"/>
    <w:rsid w:val="00F0167E"/>
    <w:rsid w:val="00F01C5B"/>
    <w:rsid w:val="00F01F2A"/>
    <w:rsid w:val="00F0212F"/>
    <w:rsid w:val="00F028A3"/>
    <w:rsid w:val="00F02A6F"/>
    <w:rsid w:val="00F02D4E"/>
    <w:rsid w:val="00F03A52"/>
    <w:rsid w:val="00F04605"/>
    <w:rsid w:val="00F0532D"/>
    <w:rsid w:val="00F054D3"/>
    <w:rsid w:val="00F057C9"/>
    <w:rsid w:val="00F060DE"/>
    <w:rsid w:val="00F0617E"/>
    <w:rsid w:val="00F063EB"/>
    <w:rsid w:val="00F067D9"/>
    <w:rsid w:val="00F06F94"/>
    <w:rsid w:val="00F07409"/>
    <w:rsid w:val="00F078F6"/>
    <w:rsid w:val="00F108E7"/>
    <w:rsid w:val="00F13C06"/>
    <w:rsid w:val="00F14AD8"/>
    <w:rsid w:val="00F14DDE"/>
    <w:rsid w:val="00F154F1"/>
    <w:rsid w:val="00F15738"/>
    <w:rsid w:val="00F15B89"/>
    <w:rsid w:val="00F15EB4"/>
    <w:rsid w:val="00F169E6"/>
    <w:rsid w:val="00F17719"/>
    <w:rsid w:val="00F17E72"/>
    <w:rsid w:val="00F20CBB"/>
    <w:rsid w:val="00F20EED"/>
    <w:rsid w:val="00F21323"/>
    <w:rsid w:val="00F21438"/>
    <w:rsid w:val="00F2199B"/>
    <w:rsid w:val="00F219FB"/>
    <w:rsid w:val="00F21D95"/>
    <w:rsid w:val="00F220AC"/>
    <w:rsid w:val="00F228A6"/>
    <w:rsid w:val="00F2359D"/>
    <w:rsid w:val="00F236DA"/>
    <w:rsid w:val="00F24210"/>
    <w:rsid w:val="00F24508"/>
    <w:rsid w:val="00F25A4D"/>
    <w:rsid w:val="00F25E88"/>
    <w:rsid w:val="00F25EEE"/>
    <w:rsid w:val="00F2631B"/>
    <w:rsid w:val="00F2692C"/>
    <w:rsid w:val="00F27479"/>
    <w:rsid w:val="00F2779F"/>
    <w:rsid w:val="00F27854"/>
    <w:rsid w:val="00F27D43"/>
    <w:rsid w:val="00F27DB3"/>
    <w:rsid w:val="00F30B63"/>
    <w:rsid w:val="00F30BC4"/>
    <w:rsid w:val="00F318EF"/>
    <w:rsid w:val="00F31E6E"/>
    <w:rsid w:val="00F31F14"/>
    <w:rsid w:val="00F32D1D"/>
    <w:rsid w:val="00F33480"/>
    <w:rsid w:val="00F33A19"/>
    <w:rsid w:val="00F33B02"/>
    <w:rsid w:val="00F33D86"/>
    <w:rsid w:val="00F3468C"/>
    <w:rsid w:val="00F34757"/>
    <w:rsid w:val="00F34A11"/>
    <w:rsid w:val="00F34EBF"/>
    <w:rsid w:val="00F350DD"/>
    <w:rsid w:val="00F35139"/>
    <w:rsid w:val="00F35819"/>
    <w:rsid w:val="00F35A9E"/>
    <w:rsid w:val="00F3739E"/>
    <w:rsid w:val="00F4030A"/>
    <w:rsid w:val="00F41056"/>
    <w:rsid w:val="00F41353"/>
    <w:rsid w:val="00F41450"/>
    <w:rsid w:val="00F41633"/>
    <w:rsid w:val="00F427A0"/>
    <w:rsid w:val="00F4296B"/>
    <w:rsid w:val="00F42ECA"/>
    <w:rsid w:val="00F4382B"/>
    <w:rsid w:val="00F444E0"/>
    <w:rsid w:val="00F44879"/>
    <w:rsid w:val="00F4554E"/>
    <w:rsid w:val="00F45D77"/>
    <w:rsid w:val="00F46AE9"/>
    <w:rsid w:val="00F46EAB"/>
    <w:rsid w:val="00F46F76"/>
    <w:rsid w:val="00F470B5"/>
    <w:rsid w:val="00F477E5"/>
    <w:rsid w:val="00F50623"/>
    <w:rsid w:val="00F50A77"/>
    <w:rsid w:val="00F5217A"/>
    <w:rsid w:val="00F524E9"/>
    <w:rsid w:val="00F525AF"/>
    <w:rsid w:val="00F5263B"/>
    <w:rsid w:val="00F52654"/>
    <w:rsid w:val="00F52D57"/>
    <w:rsid w:val="00F52E63"/>
    <w:rsid w:val="00F53310"/>
    <w:rsid w:val="00F5371F"/>
    <w:rsid w:val="00F5379A"/>
    <w:rsid w:val="00F53A30"/>
    <w:rsid w:val="00F55516"/>
    <w:rsid w:val="00F55B91"/>
    <w:rsid w:val="00F55F39"/>
    <w:rsid w:val="00F56BAA"/>
    <w:rsid w:val="00F57B13"/>
    <w:rsid w:val="00F61AD9"/>
    <w:rsid w:val="00F6267B"/>
    <w:rsid w:val="00F626B9"/>
    <w:rsid w:val="00F64053"/>
    <w:rsid w:val="00F6406E"/>
    <w:rsid w:val="00F64494"/>
    <w:rsid w:val="00F665C7"/>
    <w:rsid w:val="00F66FAD"/>
    <w:rsid w:val="00F67493"/>
    <w:rsid w:val="00F67719"/>
    <w:rsid w:val="00F70914"/>
    <w:rsid w:val="00F70C34"/>
    <w:rsid w:val="00F715A7"/>
    <w:rsid w:val="00F71BB0"/>
    <w:rsid w:val="00F71C76"/>
    <w:rsid w:val="00F724B7"/>
    <w:rsid w:val="00F72535"/>
    <w:rsid w:val="00F727ED"/>
    <w:rsid w:val="00F73220"/>
    <w:rsid w:val="00F73299"/>
    <w:rsid w:val="00F732A1"/>
    <w:rsid w:val="00F73A55"/>
    <w:rsid w:val="00F73BBA"/>
    <w:rsid w:val="00F74C13"/>
    <w:rsid w:val="00F75373"/>
    <w:rsid w:val="00F7619B"/>
    <w:rsid w:val="00F76AF2"/>
    <w:rsid w:val="00F76BED"/>
    <w:rsid w:val="00F7712A"/>
    <w:rsid w:val="00F77914"/>
    <w:rsid w:val="00F80731"/>
    <w:rsid w:val="00F80B5B"/>
    <w:rsid w:val="00F80E28"/>
    <w:rsid w:val="00F81616"/>
    <w:rsid w:val="00F81897"/>
    <w:rsid w:val="00F818A1"/>
    <w:rsid w:val="00F81E63"/>
    <w:rsid w:val="00F82294"/>
    <w:rsid w:val="00F82CF6"/>
    <w:rsid w:val="00F82DA4"/>
    <w:rsid w:val="00F82FAE"/>
    <w:rsid w:val="00F83300"/>
    <w:rsid w:val="00F839B7"/>
    <w:rsid w:val="00F844FF"/>
    <w:rsid w:val="00F84562"/>
    <w:rsid w:val="00F84943"/>
    <w:rsid w:val="00F84F65"/>
    <w:rsid w:val="00F850DE"/>
    <w:rsid w:val="00F853F4"/>
    <w:rsid w:val="00F8620A"/>
    <w:rsid w:val="00F864A9"/>
    <w:rsid w:val="00F86C44"/>
    <w:rsid w:val="00F86D34"/>
    <w:rsid w:val="00F87658"/>
    <w:rsid w:val="00F9099E"/>
    <w:rsid w:val="00F91E75"/>
    <w:rsid w:val="00F91F18"/>
    <w:rsid w:val="00F92537"/>
    <w:rsid w:val="00F926DD"/>
    <w:rsid w:val="00F9293C"/>
    <w:rsid w:val="00F92C50"/>
    <w:rsid w:val="00F932A3"/>
    <w:rsid w:val="00F93B6C"/>
    <w:rsid w:val="00F93E6F"/>
    <w:rsid w:val="00F9490E"/>
    <w:rsid w:val="00F95193"/>
    <w:rsid w:val="00F958A3"/>
    <w:rsid w:val="00F9615E"/>
    <w:rsid w:val="00F96AF1"/>
    <w:rsid w:val="00F96C91"/>
    <w:rsid w:val="00F972C4"/>
    <w:rsid w:val="00F97D8D"/>
    <w:rsid w:val="00FA06F7"/>
    <w:rsid w:val="00FA0B9D"/>
    <w:rsid w:val="00FA0F00"/>
    <w:rsid w:val="00FA13F6"/>
    <w:rsid w:val="00FA1405"/>
    <w:rsid w:val="00FA19A1"/>
    <w:rsid w:val="00FA1B9D"/>
    <w:rsid w:val="00FA1C72"/>
    <w:rsid w:val="00FA2315"/>
    <w:rsid w:val="00FA2CB8"/>
    <w:rsid w:val="00FA43F4"/>
    <w:rsid w:val="00FA567F"/>
    <w:rsid w:val="00FA5E84"/>
    <w:rsid w:val="00FA6852"/>
    <w:rsid w:val="00FA6E29"/>
    <w:rsid w:val="00FA6F72"/>
    <w:rsid w:val="00FA757B"/>
    <w:rsid w:val="00FA7CC2"/>
    <w:rsid w:val="00FB02FB"/>
    <w:rsid w:val="00FB0316"/>
    <w:rsid w:val="00FB0A3E"/>
    <w:rsid w:val="00FB1265"/>
    <w:rsid w:val="00FB16A3"/>
    <w:rsid w:val="00FB16A7"/>
    <w:rsid w:val="00FB1733"/>
    <w:rsid w:val="00FB189E"/>
    <w:rsid w:val="00FB1ABE"/>
    <w:rsid w:val="00FB2458"/>
    <w:rsid w:val="00FB2FD0"/>
    <w:rsid w:val="00FB3061"/>
    <w:rsid w:val="00FB335B"/>
    <w:rsid w:val="00FB3B98"/>
    <w:rsid w:val="00FB3C13"/>
    <w:rsid w:val="00FB3E96"/>
    <w:rsid w:val="00FB45A5"/>
    <w:rsid w:val="00FB5426"/>
    <w:rsid w:val="00FB562E"/>
    <w:rsid w:val="00FB59A6"/>
    <w:rsid w:val="00FB5DB5"/>
    <w:rsid w:val="00FB5EFE"/>
    <w:rsid w:val="00FB5FA0"/>
    <w:rsid w:val="00FB6129"/>
    <w:rsid w:val="00FB625C"/>
    <w:rsid w:val="00FB63E1"/>
    <w:rsid w:val="00FB64A8"/>
    <w:rsid w:val="00FB6B57"/>
    <w:rsid w:val="00FB7954"/>
    <w:rsid w:val="00FB7DB3"/>
    <w:rsid w:val="00FB7E19"/>
    <w:rsid w:val="00FC0235"/>
    <w:rsid w:val="00FC033A"/>
    <w:rsid w:val="00FC0387"/>
    <w:rsid w:val="00FC0C28"/>
    <w:rsid w:val="00FC1065"/>
    <w:rsid w:val="00FC1365"/>
    <w:rsid w:val="00FC14BF"/>
    <w:rsid w:val="00FC1B47"/>
    <w:rsid w:val="00FC215D"/>
    <w:rsid w:val="00FC2DD2"/>
    <w:rsid w:val="00FC3EB5"/>
    <w:rsid w:val="00FC4DBF"/>
    <w:rsid w:val="00FC5B93"/>
    <w:rsid w:val="00FC5C9C"/>
    <w:rsid w:val="00FC6236"/>
    <w:rsid w:val="00FC6783"/>
    <w:rsid w:val="00FC6BEB"/>
    <w:rsid w:val="00FC75D6"/>
    <w:rsid w:val="00FC7C44"/>
    <w:rsid w:val="00FD0357"/>
    <w:rsid w:val="00FD06E8"/>
    <w:rsid w:val="00FD2F18"/>
    <w:rsid w:val="00FD3431"/>
    <w:rsid w:val="00FD3719"/>
    <w:rsid w:val="00FD373A"/>
    <w:rsid w:val="00FD37A9"/>
    <w:rsid w:val="00FD5781"/>
    <w:rsid w:val="00FD58E2"/>
    <w:rsid w:val="00FD5A41"/>
    <w:rsid w:val="00FD5D3B"/>
    <w:rsid w:val="00FD634F"/>
    <w:rsid w:val="00FD6986"/>
    <w:rsid w:val="00FD7302"/>
    <w:rsid w:val="00FD741F"/>
    <w:rsid w:val="00FD74B7"/>
    <w:rsid w:val="00FD7C43"/>
    <w:rsid w:val="00FE047D"/>
    <w:rsid w:val="00FE0D53"/>
    <w:rsid w:val="00FE1280"/>
    <w:rsid w:val="00FE1367"/>
    <w:rsid w:val="00FE14DB"/>
    <w:rsid w:val="00FE1E46"/>
    <w:rsid w:val="00FE215B"/>
    <w:rsid w:val="00FE2C1B"/>
    <w:rsid w:val="00FE2CE7"/>
    <w:rsid w:val="00FE37A1"/>
    <w:rsid w:val="00FE3C02"/>
    <w:rsid w:val="00FE3F77"/>
    <w:rsid w:val="00FE51B9"/>
    <w:rsid w:val="00FE5813"/>
    <w:rsid w:val="00FE585C"/>
    <w:rsid w:val="00FE5C63"/>
    <w:rsid w:val="00FE680F"/>
    <w:rsid w:val="00FE6AD7"/>
    <w:rsid w:val="00FE6D55"/>
    <w:rsid w:val="00FE74A7"/>
    <w:rsid w:val="00FE77EE"/>
    <w:rsid w:val="00FE7924"/>
    <w:rsid w:val="00FF04CF"/>
    <w:rsid w:val="00FF054A"/>
    <w:rsid w:val="00FF084E"/>
    <w:rsid w:val="00FF0E99"/>
    <w:rsid w:val="00FF18EE"/>
    <w:rsid w:val="00FF1AF4"/>
    <w:rsid w:val="00FF1DF3"/>
    <w:rsid w:val="00FF2833"/>
    <w:rsid w:val="00FF379D"/>
    <w:rsid w:val="00FF3952"/>
    <w:rsid w:val="00FF412A"/>
    <w:rsid w:val="00FF462E"/>
    <w:rsid w:val="00FF4BD1"/>
    <w:rsid w:val="00FF55F3"/>
    <w:rsid w:val="00FF5949"/>
    <w:rsid w:val="00FF5F8E"/>
    <w:rsid w:val="00FF6295"/>
    <w:rsid w:val="00FF65D7"/>
    <w:rsid w:val="00FF67B3"/>
    <w:rsid w:val="00FF7369"/>
    <w:rsid w:val="00FF7388"/>
    <w:rsid w:val="00FF78BD"/>
    <w:rsid w:val="00FF7D0C"/>
    <w:rsid w:val="00FF7E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5D88F1C-A4B7-4AF2-8789-C8ED1AAC6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45A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3">
    <w:name w:val="heading 3"/>
    <w:basedOn w:val="a"/>
    <w:next w:val="a"/>
    <w:link w:val="30"/>
    <w:uiPriority w:val="9"/>
    <w:unhideWhenUsed/>
    <w:qFormat/>
    <w:rsid w:val="00B50970"/>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character" w:customStyle="1" w:styleId="a5">
    <w:name w:val="(一)(二)(三) 字元"/>
    <w:link w:val="a4"/>
    <w:rsid w:val="00EA0F4F"/>
    <w:rPr>
      <w:rFonts w:ascii="標楷體" w:eastAsia="標楷體"/>
      <w:snapToGrid w:val="0"/>
      <w:kern w:val="2"/>
      <w:sz w:val="28"/>
      <w:szCs w:val="28"/>
    </w:rPr>
  </w:style>
  <w:style w:type="paragraph" w:customStyle="1" w:styleId="123">
    <w:name w:val="1.2.3."/>
    <w:basedOn w:val="a"/>
    <w:link w:val="1230"/>
    <w:qFormat/>
    <w:rsid w:val="00EA0F4F"/>
    <w:pPr>
      <w:ind w:leftChars="300" w:left="400" w:hangingChars="100" w:hanging="100"/>
    </w:pPr>
    <w:rPr>
      <w:lang w:val="x-none" w:eastAsia="x-none"/>
    </w:rPr>
  </w:style>
  <w:style w:type="paragraph" w:customStyle="1" w:styleId="a6">
    <w:name w:val="結論"/>
    <w:basedOn w:val="a"/>
    <w:rsid w:val="00EA0F4F"/>
    <w:pPr>
      <w:ind w:firstLineChars="0" w:firstLine="0"/>
    </w:pPr>
  </w:style>
  <w:style w:type="paragraph" w:customStyle="1" w:styleId="a7">
    <w:name w:val="前言內文"/>
    <w:basedOn w:val="a"/>
    <w:rsid w:val="00EA0F4F"/>
    <w:pPr>
      <w:wordWrap w:val="0"/>
      <w:overflowPunct w:val="0"/>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link w:val="aa"/>
    <w:pPr>
      <w:adjustRightInd w:val="0"/>
      <w:ind w:leftChars="0" w:left="0" w:firstLineChars="0" w:firstLine="0"/>
    </w:pPr>
    <w:rPr>
      <w:b/>
      <w:sz w:val="36"/>
      <w:lang w:val="x-none" w:eastAsia="x-none"/>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aa">
    <w:name w:val="報告名稱 字元"/>
    <w:link w:val="a9"/>
    <w:rsid w:val="00EA0F4F"/>
    <w:rPr>
      <w:rFonts w:ascii="標楷體" w:eastAsia="標楷體"/>
      <w:b/>
      <w:snapToGrid w:val="0"/>
      <w:kern w:val="2"/>
      <w:sz w:val="36"/>
      <w:szCs w:val="28"/>
    </w:rPr>
  </w:style>
  <w:style w:type="paragraph" w:styleId="a8">
    <w:name w:val="table of figures"/>
    <w:basedOn w:val="a"/>
    <w:next w:val="a"/>
    <w:uiPriority w:val="99"/>
    <w:semiHidden/>
    <w:pPr>
      <w:ind w:leftChars="400" w:left="960" w:hangingChars="200" w:hanging="480"/>
    </w:pPr>
  </w:style>
  <w:style w:type="paragraph" w:customStyle="1" w:styleId="2">
    <w:name w:val="(一)下內文縮2"/>
    <w:basedOn w:val="a"/>
    <w:link w:val="21"/>
    <w:qFormat/>
    <w:pPr>
      <w:adjustRightInd w:val="0"/>
      <w:ind w:leftChars="300" w:left="300"/>
    </w:pPr>
    <w:rPr>
      <w:lang w:val="x-none" w:eastAsia="x-none"/>
    </w:rPr>
  </w:style>
  <w:style w:type="paragraph" w:styleId="1">
    <w:name w:val="toc 1"/>
    <w:basedOn w:val="a"/>
    <w:next w:val="a"/>
    <w:autoRedefine/>
    <w:uiPriority w:val="39"/>
    <w:rsid w:val="004867CB"/>
    <w:pPr>
      <w:tabs>
        <w:tab w:val="right" w:leader="hyphen" w:pos="8490"/>
      </w:tabs>
      <w:ind w:leftChars="0" w:left="486" w:hangingChars="200" w:hanging="486"/>
    </w:pPr>
    <w:rPr>
      <w:b/>
      <w:noProof/>
      <w:sz w:val="24"/>
    </w:rPr>
  </w:style>
  <w:style w:type="paragraph" w:styleId="22">
    <w:name w:val="toc 2"/>
    <w:basedOn w:val="a"/>
    <w:next w:val="a"/>
    <w:autoRedefine/>
    <w:uiPriority w:val="39"/>
    <w:rsid w:val="00C527EA"/>
    <w:pPr>
      <w:tabs>
        <w:tab w:val="right" w:leader="hyphen" w:pos="8505"/>
      </w:tabs>
      <w:ind w:leftChars="0" w:left="486" w:rightChars="99" w:right="280" w:hangingChars="200" w:hanging="486"/>
    </w:pPr>
    <w:rPr>
      <w:sz w:val="24"/>
    </w:rPr>
  </w:style>
  <w:style w:type="character" w:styleId="ae">
    <w:name w:val="Hyperlink"/>
    <w:uiPriority w:val="99"/>
    <w:rsid w:val="00EA0F4F"/>
    <w:rPr>
      <w:color w:val="0000FF"/>
      <w:u w:val="single"/>
    </w:rPr>
  </w:style>
  <w:style w:type="paragraph" w:styleId="af">
    <w:name w:val="header"/>
    <w:basedOn w:val="a"/>
    <w:link w:val="af0"/>
    <w:uiPriority w:val="99"/>
    <w:rsid w:val="00EA0F4F"/>
    <w:pPr>
      <w:tabs>
        <w:tab w:val="center" w:pos="4153"/>
        <w:tab w:val="right" w:pos="8306"/>
      </w:tabs>
      <w:snapToGrid w:val="0"/>
      <w:spacing w:line="480" w:lineRule="exact"/>
    </w:pPr>
    <w:rPr>
      <w:rFonts w:ascii="Times New Roman"/>
      <w:sz w:val="20"/>
      <w:szCs w:val="20"/>
      <w:lang w:val="x-none" w:eastAsia="x-none"/>
    </w:rPr>
  </w:style>
  <w:style w:type="character" w:customStyle="1" w:styleId="af0">
    <w:name w:val="頁首 字元"/>
    <w:link w:val="af"/>
    <w:uiPriority w:val="99"/>
    <w:rsid w:val="00EA0F4F"/>
    <w:rPr>
      <w:rFonts w:eastAsia="標楷體"/>
      <w:snapToGrid w:val="0"/>
      <w:kern w:val="2"/>
    </w:rPr>
  </w:style>
  <w:style w:type="character" w:styleId="af1">
    <w:name w:val="page number"/>
    <w:rsid w:val="00EA0F4F"/>
  </w:style>
  <w:style w:type="paragraph" w:styleId="af2">
    <w:name w:val="footer"/>
    <w:basedOn w:val="a"/>
    <w:link w:val="af3"/>
    <w:uiPriority w:val="99"/>
    <w:rsid w:val="00EA0F4F"/>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uiPriority w:val="99"/>
    <w:rsid w:val="00EA0F4F"/>
    <w:rPr>
      <w:rFonts w:eastAsia="標楷體"/>
      <w:snapToGrid w:val="0"/>
      <w:kern w:val="2"/>
    </w:rPr>
  </w:style>
  <w:style w:type="character" w:customStyle="1" w:styleId="141">
    <w:name w:val="第二層(14號字) 字元1"/>
    <w:link w:val="14"/>
    <w:rsid w:val="00EA0F4F"/>
    <w:rPr>
      <w:rFonts w:ascii="標楷體" w:eastAsia="標楷體"/>
      <w:b/>
      <w:snapToGrid w:val="0"/>
      <w:kern w:val="2"/>
      <w:sz w:val="28"/>
      <w:lang w:bidi="ar-SA"/>
    </w:rPr>
  </w:style>
  <w:style w:type="character" w:customStyle="1" w:styleId="143">
    <w:name w:val="表格內文(14行高) 字元"/>
    <w:link w:val="142"/>
    <w:rsid w:val="00EA0F4F"/>
    <w:rPr>
      <w:rFonts w:ascii="標楷體" w:eastAsia="標楷體"/>
      <w:snapToGrid w:val="0"/>
      <w:kern w:val="2"/>
      <w:sz w:val="24"/>
      <w:szCs w:val="28"/>
    </w:rPr>
  </w:style>
  <w:style w:type="character" w:customStyle="1" w:styleId="1230">
    <w:name w:val="1.2.3. 字元"/>
    <w:link w:val="123"/>
    <w:rsid w:val="00EA0F4F"/>
    <w:rPr>
      <w:rFonts w:ascii="標楷體" w:eastAsia="標楷體"/>
      <w:snapToGrid w:val="0"/>
      <w:kern w:val="2"/>
      <w:sz w:val="28"/>
      <w:szCs w:val="28"/>
    </w:rPr>
  </w:style>
  <w:style w:type="paragraph" w:styleId="af4">
    <w:name w:val="footnote text"/>
    <w:basedOn w:val="a"/>
    <w:link w:val="af5"/>
    <w:uiPriority w:val="99"/>
    <w:rsid w:val="00EA0F4F"/>
    <w:pPr>
      <w:snapToGrid w:val="0"/>
      <w:jc w:val="left"/>
    </w:pPr>
    <w:rPr>
      <w:sz w:val="20"/>
      <w:szCs w:val="20"/>
      <w:lang w:val="x-none" w:eastAsia="x-none"/>
    </w:rPr>
  </w:style>
  <w:style w:type="character" w:customStyle="1" w:styleId="af5">
    <w:name w:val="註腳文字 字元"/>
    <w:link w:val="af4"/>
    <w:uiPriority w:val="99"/>
    <w:rsid w:val="00EA0F4F"/>
    <w:rPr>
      <w:rFonts w:ascii="標楷體" w:eastAsia="標楷體"/>
      <w:snapToGrid w:val="0"/>
      <w:kern w:val="2"/>
    </w:rPr>
  </w:style>
  <w:style w:type="character" w:customStyle="1" w:styleId="21">
    <w:name w:val="(一)下內文縮2 字元"/>
    <w:link w:val="2"/>
    <w:rsid w:val="005B42D4"/>
    <w:rPr>
      <w:rFonts w:ascii="標楷體" w:eastAsia="標楷體"/>
      <w:snapToGrid w:val="0"/>
      <w:kern w:val="2"/>
      <w:sz w:val="28"/>
      <w:szCs w:val="28"/>
    </w:rPr>
  </w:style>
  <w:style w:type="character" w:customStyle="1" w:styleId="200">
    <w:name w:val="表格內文(20行高) 字元"/>
    <w:link w:val="20"/>
    <w:rsid w:val="009C7CE0"/>
    <w:rPr>
      <w:rFonts w:ascii="標楷體" w:eastAsia="標楷體"/>
      <w:snapToGrid w:val="0"/>
      <w:kern w:val="2"/>
      <w:sz w:val="24"/>
      <w:szCs w:val="28"/>
    </w:rPr>
  </w:style>
  <w:style w:type="character" w:customStyle="1" w:styleId="ac">
    <w:name w:val="姓名及分機 字元"/>
    <w:link w:val="ab"/>
    <w:rsid w:val="004B4078"/>
    <w:rPr>
      <w:rFonts w:ascii="標楷體" w:eastAsia="標楷體"/>
      <w:snapToGrid w:val="0"/>
      <w:kern w:val="2"/>
      <w:sz w:val="24"/>
      <w:szCs w:val="28"/>
    </w:rPr>
  </w:style>
  <w:style w:type="character" w:styleId="af6">
    <w:name w:val="footnote reference"/>
    <w:aliases w:val="FR,Ref,de nota al pie,註腳內容,Error-Fußnotenzeichen5,Error-Fußnotenzeichen6,Error-Fußnotenzeichen3"/>
    <w:uiPriority w:val="99"/>
    <w:unhideWhenUsed/>
    <w:rsid w:val="004A02D3"/>
    <w:rPr>
      <w:vertAlign w:val="superscript"/>
    </w:rPr>
  </w:style>
  <w:style w:type="table" w:styleId="af7">
    <w:name w:val="Table Grid"/>
    <w:basedOn w:val="a1"/>
    <w:uiPriority w:val="59"/>
    <w:rsid w:val="004A31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0A72D5"/>
    <w:pPr>
      <w:spacing w:line="240" w:lineRule="auto"/>
    </w:pPr>
    <w:rPr>
      <w:rFonts w:ascii="Cambria" w:eastAsia="新細明體" w:hAnsi="Cambria"/>
      <w:sz w:val="18"/>
      <w:szCs w:val="18"/>
      <w:lang w:val="x-none" w:eastAsia="x-none"/>
    </w:rPr>
  </w:style>
  <w:style w:type="character" w:customStyle="1" w:styleId="af9">
    <w:name w:val="註解方塊文字 字元"/>
    <w:link w:val="af8"/>
    <w:uiPriority w:val="99"/>
    <w:semiHidden/>
    <w:rsid w:val="000A72D5"/>
    <w:rPr>
      <w:rFonts w:ascii="Cambria" w:eastAsia="新細明體" w:hAnsi="Cambria" w:cs="Times New Roman"/>
      <w:snapToGrid w:val="0"/>
      <w:kern w:val="2"/>
      <w:sz w:val="18"/>
      <w:szCs w:val="18"/>
    </w:rPr>
  </w:style>
  <w:style w:type="paragraph" w:styleId="afa">
    <w:name w:val="Body Text"/>
    <w:basedOn w:val="a"/>
    <w:link w:val="afb"/>
    <w:rsid w:val="008E139B"/>
    <w:pPr>
      <w:spacing w:line="240" w:lineRule="auto"/>
      <w:ind w:leftChars="0" w:left="0" w:firstLineChars="0" w:firstLine="0"/>
    </w:pPr>
    <w:rPr>
      <w:rFonts w:ascii="Times New Roman"/>
      <w:snapToGrid/>
      <w:sz w:val="32"/>
      <w:szCs w:val="24"/>
      <w:lang w:val="x-none" w:eastAsia="x-none"/>
    </w:rPr>
  </w:style>
  <w:style w:type="character" w:customStyle="1" w:styleId="afb">
    <w:name w:val="本文 字元"/>
    <w:link w:val="afa"/>
    <w:rsid w:val="008E139B"/>
    <w:rPr>
      <w:rFonts w:eastAsia="標楷體"/>
      <w:kern w:val="2"/>
      <w:sz w:val="32"/>
      <w:szCs w:val="24"/>
    </w:rPr>
  </w:style>
  <w:style w:type="paragraph" w:styleId="afc">
    <w:name w:val="Date"/>
    <w:basedOn w:val="a"/>
    <w:next w:val="a"/>
    <w:link w:val="afd"/>
    <w:rsid w:val="008E139B"/>
    <w:pPr>
      <w:spacing w:line="240" w:lineRule="auto"/>
      <w:ind w:leftChars="0" w:left="0" w:firstLineChars="0" w:firstLine="0"/>
      <w:jc w:val="right"/>
    </w:pPr>
    <w:rPr>
      <w:rFonts w:ascii="Times New Roman"/>
      <w:b/>
      <w:bCs/>
      <w:snapToGrid/>
      <w:sz w:val="36"/>
      <w:szCs w:val="24"/>
      <w:lang w:val="x-none" w:eastAsia="x-none"/>
    </w:rPr>
  </w:style>
  <w:style w:type="character" w:customStyle="1" w:styleId="afd">
    <w:name w:val="日期 字元"/>
    <w:link w:val="afc"/>
    <w:rsid w:val="008E139B"/>
    <w:rPr>
      <w:rFonts w:eastAsia="標楷體"/>
      <w:b/>
      <w:bCs/>
      <w:kern w:val="2"/>
      <w:sz w:val="36"/>
      <w:szCs w:val="24"/>
    </w:rPr>
  </w:style>
  <w:style w:type="paragraph" w:customStyle="1" w:styleId="afe">
    <w:name w:val="說明"/>
    <w:basedOn w:val="aff"/>
    <w:rsid w:val="00F15738"/>
    <w:pPr>
      <w:snapToGrid w:val="0"/>
      <w:spacing w:after="0" w:line="640" w:lineRule="exact"/>
      <w:ind w:leftChars="0" w:left="952" w:hangingChars="200" w:hanging="952"/>
    </w:pPr>
    <w:rPr>
      <w:rFonts w:ascii="Arial" w:hAnsi="Arial"/>
      <w:snapToGrid/>
      <w:sz w:val="32"/>
      <w:szCs w:val="20"/>
    </w:rPr>
  </w:style>
  <w:style w:type="paragraph" w:styleId="aff">
    <w:name w:val="Body Text Indent"/>
    <w:basedOn w:val="a"/>
    <w:link w:val="aff0"/>
    <w:uiPriority w:val="99"/>
    <w:semiHidden/>
    <w:unhideWhenUsed/>
    <w:rsid w:val="00F15738"/>
    <w:pPr>
      <w:spacing w:after="120"/>
      <w:ind w:left="480"/>
    </w:pPr>
    <w:rPr>
      <w:lang w:val="x-none" w:eastAsia="x-none"/>
    </w:rPr>
  </w:style>
  <w:style w:type="character" w:customStyle="1" w:styleId="aff0">
    <w:name w:val="本文縮排 字元"/>
    <w:link w:val="aff"/>
    <w:uiPriority w:val="99"/>
    <w:semiHidden/>
    <w:rsid w:val="00F15738"/>
    <w:rPr>
      <w:rFonts w:ascii="標楷體" w:eastAsia="標楷體"/>
      <w:snapToGrid w:val="0"/>
      <w:kern w:val="2"/>
      <w:sz w:val="28"/>
      <w:szCs w:val="28"/>
    </w:rPr>
  </w:style>
  <w:style w:type="character" w:customStyle="1" w:styleId="145">
    <w:name w:val="第二層(14號字) 字元"/>
    <w:rsid w:val="001C7B88"/>
    <w:rPr>
      <w:rFonts w:ascii="標楷體" w:eastAsia="標楷體"/>
      <w:b/>
      <w:snapToGrid w:val="0"/>
      <w:kern w:val="2"/>
      <w:sz w:val="28"/>
    </w:rPr>
  </w:style>
  <w:style w:type="character" w:customStyle="1" w:styleId="23">
    <w:name w:val="(一)(二)(三) 字元2"/>
    <w:rsid w:val="001C7B88"/>
    <w:rPr>
      <w:rFonts w:ascii="標楷體" w:eastAsia="標楷體"/>
      <w:snapToGrid w:val="0"/>
      <w:kern w:val="2"/>
      <w:sz w:val="28"/>
      <w:szCs w:val="28"/>
    </w:rPr>
  </w:style>
  <w:style w:type="character" w:styleId="aff1">
    <w:name w:val="FollowedHyperlink"/>
    <w:uiPriority w:val="99"/>
    <w:semiHidden/>
    <w:unhideWhenUsed/>
    <w:rsid w:val="00043970"/>
    <w:rPr>
      <w:color w:val="954F72"/>
      <w:u w:val="single"/>
    </w:rPr>
  </w:style>
  <w:style w:type="character" w:styleId="aff2">
    <w:name w:val="annotation reference"/>
    <w:uiPriority w:val="99"/>
    <w:semiHidden/>
    <w:unhideWhenUsed/>
    <w:rsid w:val="006B5A66"/>
    <w:rPr>
      <w:sz w:val="18"/>
      <w:szCs w:val="18"/>
    </w:rPr>
  </w:style>
  <w:style w:type="paragraph" w:styleId="aff3">
    <w:name w:val="annotation text"/>
    <w:basedOn w:val="a"/>
    <w:link w:val="aff4"/>
    <w:uiPriority w:val="99"/>
    <w:semiHidden/>
    <w:unhideWhenUsed/>
    <w:rsid w:val="006B5A66"/>
    <w:pPr>
      <w:jc w:val="left"/>
    </w:pPr>
    <w:rPr>
      <w:lang w:val="x-none" w:eastAsia="x-none"/>
    </w:rPr>
  </w:style>
  <w:style w:type="character" w:customStyle="1" w:styleId="aff4">
    <w:name w:val="註解文字 字元"/>
    <w:link w:val="aff3"/>
    <w:uiPriority w:val="99"/>
    <w:semiHidden/>
    <w:rsid w:val="006B5A66"/>
    <w:rPr>
      <w:rFonts w:ascii="標楷體" w:eastAsia="標楷體"/>
      <w:snapToGrid w:val="0"/>
      <w:kern w:val="2"/>
      <w:sz w:val="28"/>
      <w:szCs w:val="28"/>
    </w:rPr>
  </w:style>
  <w:style w:type="paragraph" w:styleId="aff5">
    <w:name w:val="annotation subject"/>
    <w:basedOn w:val="aff3"/>
    <w:next w:val="aff3"/>
    <w:link w:val="aff6"/>
    <w:uiPriority w:val="99"/>
    <w:semiHidden/>
    <w:unhideWhenUsed/>
    <w:rsid w:val="006B5A66"/>
    <w:rPr>
      <w:b/>
      <w:bCs/>
    </w:rPr>
  </w:style>
  <w:style w:type="character" w:customStyle="1" w:styleId="aff6">
    <w:name w:val="註解主旨 字元"/>
    <w:link w:val="aff5"/>
    <w:uiPriority w:val="99"/>
    <w:semiHidden/>
    <w:rsid w:val="006B5A66"/>
    <w:rPr>
      <w:rFonts w:ascii="標楷體" w:eastAsia="標楷體"/>
      <w:b/>
      <w:bCs/>
      <w:snapToGrid w:val="0"/>
      <w:kern w:val="2"/>
      <w:sz w:val="28"/>
      <w:szCs w:val="28"/>
    </w:rPr>
  </w:style>
  <w:style w:type="character" w:customStyle="1" w:styleId="30">
    <w:name w:val="標題 3 字元"/>
    <w:link w:val="3"/>
    <w:uiPriority w:val="9"/>
    <w:rsid w:val="00B50970"/>
    <w:rPr>
      <w:rFonts w:ascii="Cambria" w:eastAsia="新細明體" w:hAnsi="Cambria" w:cs="Times New Roman"/>
      <w:b/>
      <w:bCs/>
      <w:snapToGrid w:val="0"/>
      <w:kern w:val="2"/>
      <w:sz w:val="36"/>
      <w:szCs w:val="36"/>
    </w:rPr>
  </w:style>
  <w:style w:type="paragraph" w:styleId="aff7">
    <w:name w:val="Body Text First Indent"/>
    <w:basedOn w:val="afa"/>
    <w:link w:val="aff8"/>
    <w:uiPriority w:val="99"/>
    <w:unhideWhenUsed/>
    <w:rsid w:val="00AB4CDE"/>
    <w:pPr>
      <w:spacing w:after="120" w:line="500" w:lineRule="exact"/>
      <w:ind w:leftChars="200" w:left="200" w:firstLineChars="100" w:firstLine="210"/>
    </w:pPr>
    <w:rPr>
      <w:rFonts w:ascii="標楷體"/>
      <w:snapToGrid w:val="0"/>
      <w:sz w:val="28"/>
      <w:szCs w:val="28"/>
    </w:rPr>
  </w:style>
  <w:style w:type="character" w:customStyle="1" w:styleId="aff8">
    <w:name w:val="本文第一層縮排 字元"/>
    <w:link w:val="aff7"/>
    <w:uiPriority w:val="99"/>
    <w:rsid w:val="00AB4CDE"/>
    <w:rPr>
      <w:rFonts w:ascii="標楷體" w:eastAsia="標楷體"/>
      <w:snapToGrid w:val="0"/>
      <w:kern w:val="2"/>
      <w:sz w:val="28"/>
      <w:szCs w:val="28"/>
    </w:rPr>
  </w:style>
  <w:style w:type="paragraph" w:styleId="24">
    <w:name w:val="Body Text First Indent 2"/>
    <w:basedOn w:val="aff"/>
    <w:link w:val="25"/>
    <w:uiPriority w:val="99"/>
    <w:unhideWhenUsed/>
    <w:rsid w:val="00AB4CDE"/>
    <w:pPr>
      <w:ind w:firstLineChars="100" w:firstLine="210"/>
    </w:pPr>
    <w:rPr>
      <w:lang w:val="en-US" w:eastAsia="zh-TW"/>
    </w:rPr>
  </w:style>
  <w:style w:type="character" w:customStyle="1" w:styleId="25">
    <w:name w:val="本文第一層縮排 2 字元"/>
    <w:basedOn w:val="aff0"/>
    <w:link w:val="24"/>
    <w:uiPriority w:val="99"/>
    <w:rsid w:val="00AB4CD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21146">
      <w:bodyDiv w:val="1"/>
      <w:marLeft w:val="0"/>
      <w:marRight w:val="0"/>
      <w:marTop w:val="0"/>
      <w:marBottom w:val="0"/>
      <w:divBdr>
        <w:top w:val="none" w:sz="0" w:space="0" w:color="auto"/>
        <w:left w:val="none" w:sz="0" w:space="0" w:color="auto"/>
        <w:bottom w:val="none" w:sz="0" w:space="0" w:color="auto"/>
        <w:right w:val="none" w:sz="0" w:space="0" w:color="auto"/>
      </w:divBdr>
    </w:div>
    <w:div w:id="215363122">
      <w:bodyDiv w:val="1"/>
      <w:marLeft w:val="0"/>
      <w:marRight w:val="0"/>
      <w:marTop w:val="0"/>
      <w:marBottom w:val="0"/>
      <w:divBdr>
        <w:top w:val="none" w:sz="0" w:space="0" w:color="auto"/>
        <w:left w:val="none" w:sz="0" w:space="0" w:color="auto"/>
        <w:bottom w:val="none" w:sz="0" w:space="0" w:color="auto"/>
        <w:right w:val="none" w:sz="0" w:space="0" w:color="auto"/>
      </w:divBdr>
    </w:div>
    <w:div w:id="342099160">
      <w:bodyDiv w:val="1"/>
      <w:marLeft w:val="0"/>
      <w:marRight w:val="0"/>
      <w:marTop w:val="0"/>
      <w:marBottom w:val="0"/>
      <w:divBdr>
        <w:top w:val="none" w:sz="0" w:space="0" w:color="auto"/>
        <w:left w:val="none" w:sz="0" w:space="0" w:color="auto"/>
        <w:bottom w:val="none" w:sz="0" w:space="0" w:color="auto"/>
        <w:right w:val="none" w:sz="0" w:space="0" w:color="auto"/>
      </w:divBdr>
    </w:div>
    <w:div w:id="575406090">
      <w:bodyDiv w:val="1"/>
      <w:marLeft w:val="0"/>
      <w:marRight w:val="0"/>
      <w:marTop w:val="0"/>
      <w:marBottom w:val="0"/>
      <w:divBdr>
        <w:top w:val="none" w:sz="0" w:space="0" w:color="auto"/>
        <w:left w:val="none" w:sz="0" w:space="0" w:color="auto"/>
        <w:bottom w:val="none" w:sz="0" w:space="0" w:color="auto"/>
        <w:right w:val="none" w:sz="0" w:space="0" w:color="auto"/>
      </w:divBdr>
    </w:div>
    <w:div w:id="689571653">
      <w:bodyDiv w:val="1"/>
      <w:marLeft w:val="0"/>
      <w:marRight w:val="0"/>
      <w:marTop w:val="0"/>
      <w:marBottom w:val="0"/>
      <w:divBdr>
        <w:top w:val="none" w:sz="0" w:space="0" w:color="auto"/>
        <w:left w:val="none" w:sz="0" w:space="0" w:color="auto"/>
        <w:bottom w:val="none" w:sz="0" w:space="0" w:color="auto"/>
        <w:right w:val="none" w:sz="0" w:space="0" w:color="auto"/>
      </w:divBdr>
    </w:div>
    <w:div w:id="769857960">
      <w:bodyDiv w:val="1"/>
      <w:marLeft w:val="0"/>
      <w:marRight w:val="0"/>
      <w:marTop w:val="0"/>
      <w:marBottom w:val="0"/>
      <w:divBdr>
        <w:top w:val="none" w:sz="0" w:space="0" w:color="auto"/>
        <w:left w:val="none" w:sz="0" w:space="0" w:color="auto"/>
        <w:bottom w:val="none" w:sz="0" w:space="0" w:color="auto"/>
        <w:right w:val="none" w:sz="0" w:space="0" w:color="auto"/>
      </w:divBdr>
    </w:div>
    <w:div w:id="892304652">
      <w:bodyDiv w:val="1"/>
      <w:marLeft w:val="0"/>
      <w:marRight w:val="0"/>
      <w:marTop w:val="0"/>
      <w:marBottom w:val="0"/>
      <w:divBdr>
        <w:top w:val="none" w:sz="0" w:space="0" w:color="auto"/>
        <w:left w:val="none" w:sz="0" w:space="0" w:color="auto"/>
        <w:bottom w:val="none" w:sz="0" w:space="0" w:color="auto"/>
        <w:right w:val="none" w:sz="0" w:space="0" w:color="auto"/>
      </w:divBdr>
    </w:div>
    <w:div w:id="927272310">
      <w:bodyDiv w:val="1"/>
      <w:marLeft w:val="0"/>
      <w:marRight w:val="0"/>
      <w:marTop w:val="0"/>
      <w:marBottom w:val="0"/>
      <w:divBdr>
        <w:top w:val="none" w:sz="0" w:space="0" w:color="auto"/>
        <w:left w:val="none" w:sz="0" w:space="0" w:color="auto"/>
        <w:bottom w:val="none" w:sz="0" w:space="0" w:color="auto"/>
        <w:right w:val="none" w:sz="0" w:space="0" w:color="auto"/>
      </w:divBdr>
    </w:div>
    <w:div w:id="1048184205">
      <w:bodyDiv w:val="1"/>
      <w:marLeft w:val="0"/>
      <w:marRight w:val="0"/>
      <w:marTop w:val="0"/>
      <w:marBottom w:val="0"/>
      <w:divBdr>
        <w:top w:val="none" w:sz="0" w:space="0" w:color="auto"/>
        <w:left w:val="none" w:sz="0" w:space="0" w:color="auto"/>
        <w:bottom w:val="none" w:sz="0" w:space="0" w:color="auto"/>
        <w:right w:val="none" w:sz="0" w:space="0" w:color="auto"/>
      </w:divBdr>
    </w:div>
    <w:div w:id="1143548985">
      <w:bodyDiv w:val="1"/>
      <w:marLeft w:val="0"/>
      <w:marRight w:val="0"/>
      <w:marTop w:val="0"/>
      <w:marBottom w:val="0"/>
      <w:divBdr>
        <w:top w:val="none" w:sz="0" w:space="0" w:color="auto"/>
        <w:left w:val="none" w:sz="0" w:space="0" w:color="auto"/>
        <w:bottom w:val="none" w:sz="0" w:space="0" w:color="auto"/>
        <w:right w:val="none" w:sz="0" w:space="0" w:color="auto"/>
      </w:divBdr>
    </w:div>
    <w:div w:id="1143817042">
      <w:bodyDiv w:val="1"/>
      <w:marLeft w:val="0"/>
      <w:marRight w:val="0"/>
      <w:marTop w:val="0"/>
      <w:marBottom w:val="0"/>
      <w:divBdr>
        <w:top w:val="none" w:sz="0" w:space="0" w:color="auto"/>
        <w:left w:val="none" w:sz="0" w:space="0" w:color="auto"/>
        <w:bottom w:val="none" w:sz="0" w:space="0" w:color="auto"/>
        <w:right w:val="none" w:sz="0" w:space="0" w:color="auto"/>
      </w:divBdr>
    </w:div>
    <w:div w:id="1292127495">
      <w:bodyDiv w:val="1"/>
      <w:marLeft w:val="0"/>
      <w:marRight w:val="0"/>
      <w:marTop w:val="0"/>
      <w:marBottom w:val="0"/>
      <w:divBdr>
        <w:top w:val="none" w:sz="0" w:space="0" w:color="auto"/>
        <w:left w:val="none" w:sz="0" w:space="0" w:color="auto"/>
        <w:bottom w:val="none" w:sz="0" w:space="0" w:color="auto"/>
        <w:right w:val="none" w:sz="0" w:space="0" w:color="auto"/>
      </w:divBdr>
    </w:div>
    <w:div w:id="1424842098">
      <w:bodyDiv w:val="1"/>
      <w:marLeft w:val="0"/>
      <w:marRight w:val="0"/>
      <w:marTop w:val="0"/>
      <w:marBottom w:val="0"/>
      <w:divBdr>
        <w:top w:val="none" w:sz="0" w:space="0" w:color="auto"/>
        <w:left w:val="none" w:sz="0" w:space="0" w:color="auto"/>
        <w:bottom w:val="none" w:sz="0" w:space="0" w:color="auto"/>
        <w:right w:val="none" w:sz="0" w:space="0" w:color="auto"/>
      </w:divBdr>
    </w:div>
    <w:div w:id="1535846619">
      <w:bodyDiv w:val="1"/>
      <w:marLeft w:val="0"/>
      <w:marRight w:val="0"/>
      <w:marTop w:val="0"/>
      <w:marBottom w:val="0"/>
      <w:divBdr>
        <w:top w:val="none" w:sz="0" w:space="0" w:color="auto"/>
        <w:left w:val="none" w:sz="0" w:space="0" w:color="auto"/>
        <w:bottom w:val="none" w:sz="0" w:space="0" w:color="auto"/>
        <w:right w:val="none" w:sz="0" w:space="0" w:color="auto"/>
      </w:divBdr>
    </w:div>
    <w:div w:id="1558512834">
      <w:bodyDiv w:val="1"/>
      <w:marLeft w:val="0"/>
      <w:marRight w:val="0"/>
      <w:marTop w:val="0"/>
      <w:marBottom w:val="0"/>
      <w:divBdr>
        <w:top w:val="none" w:sz="0" w:space="0" w:color="auto"/>
        <w:left w:val="none" w:sz="0" w:space="0" w:color="auto"/>
        <w:bottom w:val="none" w:sz="0" w:space="0" w:color="auto"/>
        <w:right w:val="none" w:sz="0" w:space="0" w:color="auto"/>
      </w:divBdr>
    </w:div>
    <w:div w:id="1607276225">
      <w:bodyDiv w:val="1"/>
      <w:marLeft w:val="0"/>
      <w:marRight w:val="0"/>
      <w:marTop w:val="0"/>
      <w:marBottom w:val="0"/>
      <w:divBdr>
        <w:top w:val="none" w:sz="0" w:space="0" w:color="auto"/>
        <w:left w:val="none" w:sz="0" w:space="0" w:color="auto"/>
        <w:bottom w:val="none" w:sz="0" w:space="0" w:color="auto"/>
        <w:right w:val="none" w:sz="0" w:space="0" w:color="auto"/>
      </w:divBdr>
    </w:div>
    <w:div w:id="1669093262">
      <w:bodyDiv w:val="1"/>
      <w:marLeft w:val="0"/>
      <w:marRight w:val="0"/>
      <w:marTop w:val="0"/>
      <w:marBottom w:val="0"/>
      <w:divBdr>
        <w:top w:val="none" w:sz="0" w:space="0" w:color="auto"/>
        <w:left w:val="none" w:sz="0" w:space="0" w:color="auto"/>
        <w:bottom w:val="none" w:sz="0" w:space="0" w:color="auto"/>
        <w:right w:val="none" w:sz="0" w:space="0" w:color="auto"/>
      </w:divBdr>
    </w:div>
    <w:div w:id="1783718317">
      <w:bodyDiv w:val="1"/>
      <w:marLeft w:val="0"/>
      <w:marRight w:val="0"/>
      <w:marTop w:val="0"/>
      <w:marBottom w:val="0"/>
      <w:divBdr>
        <w:top w:val="none" w:sz="0" w:space="0" w:color="auto"/>
        <w:left w:val="none" w:sz="0" w:space="0" w:color="auto"/>
        <w:bottom w:val="none" w:sz="0" w:space="0" w:color="auto"/>
        <w:right w:val="none" w:sz="0" w:space="0" w:color="auto"/>
      </w:divBdr>
    </w:div>
    <w:div w:id="1842306776">
      <w:bodyDiv w:val="1"/>
      <w:marLeft w:val="0"/>
      <w:marRight w:val="0"/>
      <w:marTop w:val="0"/>
      <w:marBottom w:val="0"/>
      <w:divBdr>
        <w:top w:val="none" w:sz="0" w:space="0" w:color="auto"/>
        <w:left w:val="none" w:sz="0" w:space="0" w:color="auto"/>
        <w:bottom w:val="none" w:sz="0" w:space="0" w:color="auto"/>
        <w:right w:val="none" w:sz="0" w:space="0" w:color="auto"/>
      </w:divBdr>
    </w:div>
    <w:div w:id="1949970311">
      <w:bodyDiv w:val="1"/>
      <w:marLeft w:val="0"/>
      <w:marRight w:val="0"/>
      <w:marTop w:val="0"/>
      <w:marBottom w:val="0"/>
      <w:divBdr>
        <w:top w:val="none" w:sz="0" w:space="0" w:color="auto"/>
        <w:left w:val="none" w:sz="0" w:space="0" w:color="auto"/>
        <w:bottom w:val="none" w:sz="0" w:space="0" w:color="auto"/>
        <w:right w:val="none" w:sz="0" w:space="0" w:color="auto"/>
      </w:divBdr>
    </w:div>
    <w:div w:id="1950772526">
      <w:bodyDiv w:val="1"/>
      <w:marLeft w:val="0"/>
      <w:marRight w:val="0"/>
      <w:marTop w:val="0"/>
      <w:marBottom w:val="0"/>
      <w:divBdr>
        <w:top w:val="none" w:sz="0" w:space="0" w:color="auto"/>
        <w:left w:val="none" w:sz="0" w:space="0" w:color="auto"/>
        <w:bottom w:val="none" w:sz="0" w:space="0" w:color="auto"/>
        <w:right w:val="none" w:sz="0" w:space="0" w:color="auto"/>
      </w:divBdr>
    </w:div>
    <w:div w:id="1957444780">
      <w:bodyDiv w:val="1"/>
      <w:marLeft w:val="0"/>
      <w:marRight w:val="0"/>
      <w:marTop w:val="0"/>
      <w:marBottom w:val="0"/>
      <w:divBdr>
        <w:top w:val="none" w:sz="0" w:space="0" w:color="auto"/>
        <w:left w:val="none" w:sz="0" w:space="0" w:color="auto"/>
        <w:bottom w:val="none" w:sz="0" w:space="0" w:color="auto"/>
        <w:right w:val="none" w:sz="0" w:space="0" w:color="auto"/>
      </w:divBdr>
    </w:div>
    <w:div w:id="2014262258">
      <w:bodyDiv w:val="1"/>
      <w:marLeft w:val="0"/>
      <w:marRight w:val="0"/>
      <w:marTop w:val="0"/>
      <w:marBottom w:val="0"/>
      <w:divBdr>
        <w:top w:val="none" w:sz="0" w:space="0" w:color="auto"/>
        <w:left w:val="none" w:sz="0" w:space="0" w:color="auto"/>
        <w:bottom w:val="none" w:sz="0" w:space="0" w:color="auto"/>
        <w:right w:val="none" w:sz="0" w:space="0" w:color="auto"/>
      </w:divBdr>
    </w:div>
    <w:div w:id="2023898516">
      <w:bodyDiv w:val="1"/>
      <w:marLeft w:val="0"/>
      <w:marRight w:val="0"/>
      <w:marTop w:val="0"/>
      <w:marBottom w:val="0"/>
      <w:divBdr>
        <w:top w:val="none" w:sz="0" w:space="0" w:color="auto"/>
        <w:left w:val="none" w:sz="0" w:space="0" w:color="auto"/>
        <w:bottom w:val="none" w:sz="0" w:space="0" w:color="auto"/>
        <w:right w:val="none" w:sz="0" w:space="0" w:color="auto"/>
      </w:divBdr>
    </w:div>
    <w:div w:id="2076124606">
      <w:bodyDiv w:val="1"/>
      <w:marLeft w:val="0"/>
      <w:marRight w:val="0"/>
      <w:marTop w:val="0"/>
      <w:marBottom w:val="0"/>
      <w:divBdr>
        <w:top w:val="none" w:sz="0" w:space="0" w:color="auto"/>
        <w:left w:val="none" w:sz="0" w:space="0" w:color="auto"/>
        <w:bottom w:val="none" w:sz="0" w:space="0" w:color="auto"/>
        <w:right w:val="none" w:sz="0" w:space="0" w:color="auto"/>
      </w:divBdr>
    </w:div>
    <w:div w:id="2102798885">
      <w:bodyDiv w:val="1"/>
      <w:marLeft w:val="0"/>
      <w:marRight w:val="0"/>
      <w:marTop w:val="0"/>
      <w:marBottom w:val="0"/>
      <w:divBdr>
        <w:top w:val="none" w:sz="0" w:space="0" w:color="auto"/>
        <w:left w:val="none" w:sz="0" w:space="0" w:color="auto"/>
        <w:bottom w:val="none" w:sz="0" w:space="0" w:color="auto"/>
        <w:right w:val="none" w:sz="0" w:space="0" w:color="auto"/>
      </w:divBdr>
    </w:div>
    <w:div w:id="212626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C7138-3C97-4577-8C32-048AF7930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295</Words>
  <Characters>1683</Characters>
  <Application>Microsoft Office Word</Application>
  <DocSecurity>0</DocSecurity>
  <Lines>14</Lines>
  <Paragraphs>3</Paragraphs>
  <ScaleCrop>false</ScaleCrop>
  <Company>HOME</Company>
  <LinksUpToDate>false</LinksUpToDate>
  <CharactersWithSpaces>1975</CharactersWithSpaces>
  <SharedDoc>false</SharedDoc>
  <HLinks>
    <vt:vector size="78" baseType="variant">
      <vt:variant>
        <vt:i4>1376311</vt:i4>
      </vt:variant>
      <vt:variant>
        <vt:i4>74</vt:i4>
      </vt:variant>
      <vt:variant>
        <vt:i4>0</vt:i4>
      </vt:variant>
      <vt:variant>
        <vt:i4>5</vt:i4>
      </vt:variant>
      <vt:variant>
        <vt:lpwstr/>
      </vt:variant>
      <vt:variant>
        <vt:lpwstr>_Toc182830720</vt:lpwstr>
      </vt:variant>
      <vt:variant>
        <vt:i4>1441847</vt:i4>
      </vt:variant>
      <vt:variant>
        <vt:i4>68</vt:i4>
      </vt:variant>
      <vt:variant>
        <vt:i4>0</vt:i4>
      </vt:variant>
      <vt:variant>
        <vt:i4>5</vt:i4>
      </vt:variant>
      <vt:variant>
        <vt:lpwstr/>
      </vt:variant>
      <vt:variant>
        <vt:lpwstr>_Toc182830719</vt:lpwstr>
      </vt:variant>
      <vt:variant>
        <vt:i4>1441847</vt:i4>
      </vt:variant>
      <vt:variant>
        <vt:i4>62</vt:i4>
      </vt:variant>
      <vt:variant>
        <vt:i4>0</vt:i4>
      </vt:variant>
      <vt:variant>
        <vt:i4>5</vt:i4>
      </vt:variant>
      <vt:variant>
        <vt:lpwstr/>
      </vt:variant>
      <vt:variant>
        <vt:lpwstr>_Toc182830718</vt:lpwstr>
      </vt:variant>
      <vt:variant>
        <vt:i4>1441847</vt:i4>
      </vt:variant>
      <vt:variant>
        <vt:i4>56</vt:i4>
      </vt:variant>
      <vt:variant>
        <vt:i4>0</vt:i4>
      </vt:variant>
      <vt:variant>
        <vt:i4>5</vt:i4>
      </vt:variant>
      <vt:variant>
        <vt:lpwstr/>
      </vt:variant>
      <vt:variant>
        <vt:lpwstr>_Toc182830717</vt:lpwstr>
      </vt:variant>
      <vt:variant>
        <vt:i4>1441847</vt:i4>
      </vt:variant>
      <vt:variant>
        <vt:i4>50</vt:i4>
      </vt:variant>
      <vt:variant>
        <vt:i4>0</vt:i4>
      </vt:variant>
      <vt:variant>
        <vt:i4>5</vt:i4>
      </vt:variant>
      <vt:variant>
        <vt:lpwstr/>
      </vt:variant>
      <vt:variant>
        <vt:lpwstr>_Toc182830716</vt:lpwstr>
      </vt:variant>
      <vt:variant>
        <vt:i4>1441847</vt:i4>
      </vt:variant>
      <vt:variant>
        <vt:i4>44</vt:i4>
      </vt:variant>
      <vt:variant>
        <vt:i4>0</vt:i4>
      </vt:variant>
      <vt:variant>
        <vt:i4>5</vt:i4>
      </vt:variant>
      <vt:variant>
        <vt:lpwstr/>
      </vt:variant>
      <vt:variant>
        <vt:lpwstr>_Toc182830715</vt:lpwstr>
      </vt:variant>
      <vt:variant>
        <vt:i4>1441847</vt:i4>
      </vt:variant>
      <vt:variant>
        <vt:i4>38</vt:i4>
      </vt:variant>
      <vt:variant>
        <vt:i4>0</vt:i4>
      </vt:variant>
      <vt:variant>
        <vt:i4>5</vt:i4>
      </vt:variant>
      <vt:variant>
        <vt:lpwstr/>
      </vt:variant>
      <vt:variant>
        <vt:lpwstr>_Toc182830714</vt:lpwstr>
      </vt:variant>
      <vt:variant>
        <vt:i4>1441847</vt:i4>
      </vt:variant>
      <vt:variant>
        <vt:i4>32</vt:i4>
      </vt:variant>
      <vt:variant>
        <vt:i4>0</vt:i4>
      </vt:variant>
      <vt:variant>
        <vt:i4>5</vt:i4>
      </vt:variant>
      <vt:variant>
        <vt:lpwstr/>
      </vt:variant>
      <vt:variant>
        <vt:lpwstr>_Toc182830713</vt:lpwstr>
      </vt:variant>
      <vt:variant>
        <vt:i4>1441847</vt:i4>
      </vt:variant>
      <vt:variant>
        <vt:i4>26</vt:i4>
      </vt:variant>
      <vt:variant>
        <vt:i4>0</vt:i4>
      </vt:variant>
      <vt:variant>
        <vt:i4>5</vt:i4>
      </vt:variant>
      <vt:variant>
        <vt:lpwstr/>
      </vt:variant>
      <vt:variant>
        <vt:lpwstr>_Toc182830712</vt:lpwstr>
      </vt:variant>
      <vt:variant>
        <vt:i4>1441847</vt:i4>
      </vt:variant>
      <vt:variant>
        <vt:i4>20</vt:i4>
      </vt:variant>
      <vt:variant>
        <vt:i4>0</vt:i4>
      </vt:variant>
      <vt:variant>
        <vt:i4>5</vt:i4>
      </vt:variant>
      <vt:variant>
        <vt:lpwstr/>
      </vt:variant>
      <vt:variant>
        <vt:lpwstr>_Toc182830711</vt:lpwstr>
      </vt:variant>
      <vt:variant>
        <vt:i4>1441847</vt:i4>
      </vt:variant>
      <vt:variant>
        <vt:i4>14</vt:i4>
      </vt:variant>
      <vt:variant>
        <vt:i4>0</vt:i4>
      </vt:variant>
      <vt:variant>
        <vt:i4>5</vt:i4>
      </vt:variant>
      <vt:variant>
        <vt:lpwstr/>
      </vt:variant>
      <vt:variant>
        <vt:lpwstr>_Toc182830710</vt:lpwstr>
      </vt:variant>
      <vt:variant>
        <vt:i4>1507383</vt:i4>
      </vt:variant>
      <vt:variant>
        <vt:i4>8</vt:i4>
      </vt:variant>
      <vt:variant>
        <vt:i4>0</vt:i4>
      </vt:variant>
      <vt:variant>
        <vt:i4>5</vt:i4>
      </vt:variant>
      <vt:variant>
        <vt:lpwstr/>
      </vt:variant>
      <vt:variant>
        <vt:lpwstr>_Toc182830709</vt:lpwstr>
      </vt:variant>
      <vt:variant>
        <vt:i4>1507383</vt:i4>
      </vt:variant>
      <vt:variant>
        <vt:i4>2</vt:i4>
      </vt:variant>
      <vt:variant>
        <vt:i4>0</vt:i4>
      </vt:variant>
      <vt:variant>
        <vt:i4>5</vt:i4>
      </vt:variant>
      <vt:variant>
        <vt:lpwstr/>
      </vt:variant>
      <vt:variant>
        <vt:lpwstr>_Toc182830708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2024-11-18T02:00:00Z</cp:lastPrinted>
  <dcterms:created xsi:type="dcterms:W3CDTF">2024-11-19T01:49:00Z</dcterms:created>
  <dcterms:modified xsi:type="dcterms:W3CDTF">2024-11-19T01:49:00Z</dcterms:modified>
</cp:coreProperties>
</file>