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F4F" w:rsidRPr="008A0934" w:rsidRDefault="00EA0F4F" w:rsidP="00EA0F4F">
      <w:pPr>
        <w:pStyle w:val="a9"/>
        <w:rPr>
          <w:w w:val="98"/>
        </w:rPr>
      </w:pPr>
      <w:bookmarkStart w:id="0" w:name="_GoBack"/>
      <w:bookmarkEnd w:id="0"/>
      <w:r w:rsidRPr="008A0934">
        <w:rPr>
          <w:rFonts w:hint="eastAsia"/>
          <w:w w:val="98"/>
        </w:rPr>
        <w:t>臺灣土地銀行股份有限公司1</w:t>
      </w:r>
      <w:r w:rsidR="007F3F28">
        <w:rPr>
          <w:w w:val="98"/>
        </w:rPr>
        <w:t>1</w:t>
      </w:r>
      <w:r w:rsidR="00653017">
        <w:rPr>
          <w:w w:val="98"/>
          <w:lang w:eastAsia="zh-TW"/>
        </w:rPr>
        <w:t>4</w:t>
      </w:r>
      <w:r w:rsidRPr="008A0934">
        <w:rPr>
          <w:rFonts w:hint="eastAsia"/>
          <w:w w:val="98"/>
        </w:rPr>
        <w:t>年度營業預算評估報告</w:t>
      </w:r>
    </w:p>
    <w:p w:rsidR="00EA0F4F" w:rsidRPr="008A0934" w:rsidRDefault="00310BA6" w:rsidP="008B3DFE">
      <w:pPr>
        <w:pStyle w:val="a7"/>
        <w:ind w:firstLine="566"/>
        <w:rPr>
          <w:rFonts w:hint="eastAsia"/>
        </w:rPr>
      </w:pPr>
      <w:r w:rsidRPr="008A0934">
        <w:t>臺灣土地銀行股份有限公司</w:t>
      </w:r>
      <w:r w:rsidR="00F86C44">
        <w:rPr>
          <w:rFonts w:hint="eastAsia"/>
        </w:rPr>
        <w:t>(</w:t>
      </w:r>
      <w:r w:rsidR="00AB6632" w:rsidRPr="008A0934">
        <w:rPr>
          <w:rFonts w:hint="eastAsia"/>
        </w:rPr>
        <w:t>以下簡稱</w:t>
      </w:r>
      <w:r w:rsidRPr="008A0934">
        <w:rPr>
          <w:rFonts w:hint="eastAsia"/>
        </w:rPr>
        <w:t>臺灣土地銀行</w:t>
      </w:r>
      <w:r w:rsidR="00F86C44">
        <w:rPr>
          <w:rFonts w:hint="eastAsia"/>
        </w:rPr>
        <w:t>)</w:t>
      </w:r>
      <w:r w:rsidR="00C77635" w:rsidRPr="008A0934">
        <w:rPr>
          <w:rFonts w:hint="eastAsia"/>
        </w:rPr>
        <w:t>為不動產信用專業銀行，以經營各項銀行業務，發展國民經濟建設為宗旨</w:t>
      </w:r>
      <w:r w:rsidR="00AB6632" w:rsidRPr="008A0934">
        <w:rPr>
          <w:rFonts w:hint="eastAsia"/>
        </w:rPr>
        <w:t>。</w:t>
      </w:r>
      <w:r w:rsidR="00C77635" w:rsidRPr="008A0934">
        <w:rPr>
          <w:rFonts w:hint="eastAsia"/>
        </w:rPr>
        <w:t>臺灣土地銀行</w:t>
      </w:r>
      <w:r w:rsidR="00AB6632" w:rsidRPr="008A0934">
        <w:rPr>
          <w:rFonts w:hint="eastAsia"/>
        </w:rPr>
        <w:t>1</w:t>
      </w:r>
      <w:r w:rsidR="00EA2814">
        <w:rPr>
          <w:rFonts w:hint="eastAsia"/>
        </w:rPr>
        <w:t>1</w:t>
      </w:r>
      <w:r w:rsidR="00653017">
        <w:t>4</w:t>
      </w:r>
      <w:r w:rsidR="00AB6632" w:rsidRPr="008A0934">
        <w:rPr>
          <w:rFonts w:hint="eastAsia"/>
        </w:rPr>
        <w:t>年度預算案編列營業收入</w:t>
      </w:r>
      <w:r w:rsidR="00653017">
        <w:rPr>
          <w:rFonts w:hint="eastAsia"/>
        </w:rPr>
        <w:t>7</w:t>
      </w:r>
      <w:r w:rsidR="00653017">
        <w:t>93</w:t>
      </w:r>
      <w:r w:rsidR="000B1792">
        <w:rPr>
          <w:rFonts w:hint="eastAsia"/>
        </w:rPr>
        <w:t>億</w:t>
      </w:r>
      <w:r w:rsidR="00653017">
        <w:rPr>
          <w:rFonts w:hint="eastAsia"/>
        </w:rPr>
        <w:t>3</w:t>
      </w:r>
      <w:r w:rsidR="000B1792">
        <w:t>,</w:t>
      </w:r>
      <w:r w:rsidR="00653017">
        <w:t>664</w:t>
      </w:r>
      <w:r w:rsidR="00653017">
        <w:rPr>
          <w:rFonts w:hint="eastAsia"/>
        </w:rPr>
        <w:t>萬</w:t>
      </w:r>
      <w:r w:rsidR="00AB6632" w:rsidRPr="008A0934">
        <w:rPr>
          <w:rFonts w:hint="eastAsia"/>
        </w:rPr>
        <w:t>元，營業成本</w:t>
      </w:r>
      <w:r w:rsidR="00EA2814">
        <w:rPr>
          <w:rFonts w:hint="eastAsia"/>
        </w:rPr>
        <w:t>4</w:t>
      </w:r>
      <w:r w:rsidR="00653017">
        <w:rPr>
          <w:rFonts w:hint="eastAsia"/>
        </w:rPr>
        <w:t>73</w:t>
      </w:r>
      <w:r w:rsidR="000B1792">
        <w:rPr>
          <w:rFonts w:hint="eastAsia"/>
        </w:rPr>
        <w:t>億</w:t>
      </w:r>
      <w:r w:rsidR="00653017">
        <w:rPr>
          <w:rFonts w:hint="eastAsia"/>
        </w:rPr>
        <w:t>3</w:t>
      </w:r>
      <w:r w:rsidR="000B1792">
        <w:t>,</w:t>
      </w:r>
      <w:r w:rsidR="00653017">
        <w:rPr>
          <w:rFonts w:hint="eastAsia"/>
        </w:rPr>
        <w:t>390</w:t>
      </w:r>
      <w:r w:rsidR="000B1792">
        <w:rPr>
          <w:rFonts w:hint="eastAsia"/>
        </w:rPr>
        <w:t>萬</w:t>
      </w:r>
      <w:r w:rsidR="00653017">
        <w:rPr>
          <w:rFonts w:hint="eastAsia"/>
        </w:rPr>
        <w:t>7千</w:t>
      </w:r>
      <w:r w:rsidR="00EA2814">
        <w:rPr>
          <w:rFonts w:hint="eastAsia"/>
        </w:rPr>
        <w:t>元</w:t>
      </w:r>
      <w:r w:rsidR="00AB6632" w:rsidRPr="008A0934">
        <w:rPr>
          <w:rFonts w:hint="eastAsia"/>
        </w:rPr>
        <w:t>，營業費用</w:t>
      </w:r>
      <w:r w:rsidR="001F564C">
        <w:t>1</w:t>
      </w:r>
      <w:r w:rsidR="00EA2814">
        <w:rPr>
          <w:rFonts w:hint="eastAsia"/>
        </w:rPr>
        <w:t>80</w:t>
      </w:r>
      <w:r w:rsidR="000B1792">
        <w:rPr>
          <w:rFonts w:hint="eastAsia"/>
        </w:rPr>
        <w:t>億</w:t>
      </w:r>
      <w:r w:rsidR="00653017">
        <w:rPr>
          <w:rFonts w:hint="eastAsia"/>
        </w:rPr>
        <w:t>7</w:t>
      </w:r>
      <w:r w:rsidR="000B1792">
        <w:t>,</w:t>
      </w:r>
      <w:r w:rsidR="00653017">
        <w:rPr>
          <w:rFonts w:hint="eastAsia"/>
        </w:rPr>
        <w:t>989</w:t>
      </w:r>
      <w:r w:rsidR="000B1792">
        <w:rPr>
          <w:rFonts w:hint="eastAsia"/>
        </w:rPr>
        <w:t>萬</w:t>
      </w:r>
      <w:r w:rsidR="00AB6632" w:rsidRPr="008A0934">
        <w:rPr>
          <w:rFonts w:hint="eastAsia"/>
        </w:rPr>
        <w:t>元，</w:t>
      </w:r>
      <w:r w:rsidR="009C0C47" w:rsidRPr="008A0934">
        <w:rPr>
          <w:rFonts w:hint="eastAsia"/>
        </w:rPr>
        <w:t>營業外收入</w:t>
      </w:r>
      <w:r w:rsidR="00653017">
        <w:rPr>
          <w:rFonts w:hint="eastAsia"/>
        </w:rPr>
        <w:t>5</w:t>
      </w:r>
      <w:r w:rsidR="009B6338">
        <w:rPr>
          <w:rFonts w:hint="eastAsia"/>
        </w:rPr>
        <w:t>億</w:t>
      </w:r>
      <w:r w:rsidR="00653017">
        <w:rPr>
          <w:rFonts w:hint="eastAsia"/>
        </w:rPr>
        <w:t>5</w:t>
      </w:r>
      <w:r w:rsidR="00F01F2A">
        <w:t>,</w:t>
      </w:r>
      <w:r w:rsidR="00653017">
        <w:rPr>
          <w:rFonts w:hint="eastAsia"/>
        </w:rPr>
        <w:t>655</w:t>
      </w:r>
      <w:r w:rsidR="009B6338">
        <w:rPr>
          <w:rFonts w:hint="eastAsia"/>
        </w:rPr>
        <w:t>萬</w:t>
      </w:r>
      <w:r w:rsidR="00653017">
        <w:rPr>
          <w:rFonts w:hint="eastAsia"/>
        </w:rPr>
        <w:t>9</w:t>
      </w:r>
      <w:r w:rsidR="009C0C47" w:rsidRPr="008A0934">
        <w:rPr>
          <w:rFonts w:hint="eastAsia"/>
        </w:rPr>
        <w:t>千元，營業外費用</w:t>
      </w:r>
      <w:r w:rsidR="00891E6F">
        <w:t>2</w:t>
      </w:r>
      <w:r w:rsidR="00653017">
        <w:rPr>
          <w:rFonts w:hint="eastAsia"/>
        </w:rPr>
        <w:t>0</w:t>
      </w:r>
      <w:r w:rsidR="009B6338">
        <w:rPr>
          <w:rFonts w:hint="eastAsia"/>
        </w:rPr>
        <w:t>億</w:t>
      </w:r>
      <w:r w:rsidR="00653017">
        <w:rPr>
          <w:rFonts w:hint="eastAsia"/>
        </w:rPr>
        <w:t>7</w:t>
      </w:r>
      <w:r w:rsidR="009B6338">
        <w:t>,</w:t>
      </w:r>
      <w:r w:rsidR="00653017">
        <w:rPr>
          <w:rFonts w:hint="eastAsia"/>
        </w:rPr>
        <w:t>875</w:t>
      </w:r>
      <w:r w:rsidR="009B6338">
        <w:rPr>
          <w:rFonts w:hint="eastAsia"/>
        </w:rPr>
        <w:t>萬</w:t>
      </w:r>
      <w:r w:rsidR="00653017">
        <w:rPr>
          <w:rFonts w:hint="eastAsia"/>
        </w:rPr>
        <w:t>4</w:t>
      </w:r>
      <w:r w:rsidR="0077495F" w:rsidRPr="008A0934">
        <w:rPr>
          <w:rFonts w:hint="eastAsia"/>
        </w:rPr>
        <w:t>千</w:t>
      </w:r>
      <w:r w:rsidR="009C0C47" w:rsidRPr="008A0934">
        <w:rPr>
          <w:rFonts w:hint="eastAsia"/>
        </w:rPr>
        <w:t>元，</w:t>
      </w:r>
      <w:r w:rsidR="00AF3479">
        <w:rPr>
          <w:rFonts w:hint="eastAsia"/>
        </w:rPr>
        <w:t>所得稅費用</w:t>
      </w:r>
      <w:r w:rsidR="00653017">
        <w:rPr>
          <w:rFonts w:hint="eastAsia"/>
        </w:rPr>
        <w:t>18</w:t>
      </w:r>
      <w:r w:rsidR="00AF3479">
        <w:rPr>
          <w:rFonts w:hint="eastAsia"/>
        </w:rPr>
        <w:t>億</w:t>
      </w:r>
      <w:r w:rsidR="00653017">
        <w:rPr>
          <w:rFonts w:hint="eastAsia"/>
        </w:rPr>
        <w:t>8</w:t>
      </w:r>
      <w:r w:rsidR="00AF3479">
        <w:rPr>
          <w:rFonts w:hint="eastAsia"/>
        </w:rPr>
        <w:t>,</w:t>
      </w:r>
      <w:r w:rsidR="00653017">
        <w:rPr>
          <w:rFonts w:hint="eastAsia"/>
        </w:rPr>
        <w:t>688</w:t>
      </w:r>
      <w:r w:rsidR="00AF3479">
        <w:rPr>
          <w:rFonts w:hint="eastAsia"/>
        </w:rPr>
        <w:t>萬</w:t>
      </w:r>
      <w:r w:rsidR="000F0BC9">
        <w:rPr>
          <w:rFonts w:hint="eastAsia"/>
        </w:rPr>
        <w:t>7</w:t>
      </w:r>
      <w:r w:rsidR="00AF3479">
        <w:rPr>
          <w:rFonts w:hint="eastAsia"/>
        </w:rPr>
        <w:t>千元，</w:t>
      </w:r>
      <w:r w:rsidR="0077495F" w:rsidRPr="008A0934">
        <w:rPr>
          <w:rFonts w:hint="eastAsia"/>
        </w:rPr>
        <w:t>本期</w:t>
      </w:r>
      <w:r w:rsidR="00894560">
        <w:rPr>
          <w:rFonts w:hint="eastAsia"/>
        </w:rPr>
        <w:t>稅</w:t>
      </w:r>
      <w:r w:rsidR="00AF3479">
        <w:rPr>
          <w:rFonts w:hint="eastAsia"/>
        </w:rPr>
        <w:t>後</w:t>
      </w:r>
      <w:r w:rsidR="0077495F" w:rsidRPr="008A0934">
        <w:rPr>
          <w:rFonts w:hint="eastAsia"/>
        </w:rPr>
        <w:t>淨利</w:t>
      </w:r>
      <w:r w:rsidR="00653017">
        <w:rPr>
          <w:rFonts w:hint="eastAsia"/>
        </w:rPr>
        <w:t>105</w:t>
      </w:r>
      <w:r w:rsidR="009B6338">
        <w:rPr>
          <w:rFonts w:hint="eastAsia"/>
        </w:rPr>
        <w:t>億</w:t>
      </w:r>
      <w:r w:rsidR="000F0BC9">
        <w:rPr>
          <w:rFonts w:hint="eastAsia"/>
        </w:rPr>
        <w:t>1,</w:t>
      </w:r>
      <w:r w:rsidR="00653017">
        <w:rPr>
          <w:rFonts w:hint="eastAsia"/>
        </w:rPr>
        <w:t>376</w:t>
      </w:r>
      <w:r w:rsidR="009B6338">
        <w:rPr>
          <w:rFonts w:hint="eastAsia"/>
        </w:rPr>
        <w:t>萬</w:t>
      </w:r>
      <w:r w:rsidR="00653017">
        <w:rPr>
          <w:rFonts w:hint="eastAsia"/>
        </w:rPr>
        <w:t>1</w:t>
      </w:r>
      <w:r w:rsidR="00AB6632" w:rsidRPr="008A0934">
        <w:rPr>
          <w:rFonts w:hint="eastAsia"/>
        </w:rPr>
        <w:t>千元，較1</w:t>
      </w:r>
      <w:r w:rsidR="00F01F2A">
        <w:t>1</w:t>
      </w:r>
      <w:r w:rsidR="00653017">
        <w:rPr>
          <w:rFonts w:hint="eastAsia"/>
        </w:rPr>
        <w:t>3</w:t>
      </w:r>
      <w:r w:rsidR="0037785E">
        <w:rPr>
          <w:rFonts w:hint="eastAsia"/>
        </w:rPr>
        <w:t>年度預算</w:t>
      </w:r>
      <w:r w:rsidR="00653017">
        <w:rPr>
          <w:rFonts w:hint="eastAsia"/>
        </w:rPr>
        <w:t>案</w:t>
      </w:r>
      <w:r w:rsidR="00CF3E4A">
        <w:rPr>
          <w:rFonts w:hint="eastAsia"/>
        </w:rPr>
        <w:t>稅後</w:t>
      </w:r>
      <w:r w:rsidR="00AB6632" w:rsidRPr="008A0934">
        <w:rPr>
          <w:rFonts w:hint="eastAsia"/>
        </w:rPr>
        <w:t>淨利</w:t>
      </w:r>
      <w:r w:rsidR="00891E6F">
        <w:rPr>
          <w:rFonts w:hint="eastAsia"/>
        </w:rPr>
        <w:t>增加</w:t>
      </w:r>
      <w:r w:rsidR="00653017">
        <w:rPr>
          <w:rFonts w:hint="eastAsia"/>
        </w:rPr>
        <w:t>9</w:t>
      </w:r>
      <w:r w:rsidR="00F01F2A">
        <w:rPr>
          <w:rFonts w:hint="eastAsia"/>
        </w:rPr>
        <w:t>億</w:t>
      </w:r>
      <w:r w:rsidR="00653017">
        <w:rPr>
          <w:rFonts w:hint="eastAsia"/>
        </w:rPr>
        <w:t>133</w:t>
      </w:r>
      <w:r w:rsidR="009B6338">
        <w:rPr>
          <w:rFonts w:hint="eastAsia"/>
        </w:rPr>
        <w:t>萬</w:t>
      </w:r>
      <w:r w:rsidR="00653017">
        <w:rPr>
          <w:rFonts w:hint="eastAsia"/>
        </w:rPr>
        <w:t>2</w:t>
      </w:r>
      <w:r w:rsidR="00891E6F">
        <w:rPr>
          <w:rFonts w:hint="eastAsia"/>
        </w:rPr>
        <w:t>千元</w:t>
      </w:r>
      <w:r w:rsidR="00F86C44">
        <w:rPr>
          <w:rFonts w:hint="eastAsia"/>
        </w:rPr>
        <w:t>(</w:t>
      </w:r>
      <w:r w:rsidR="00891E6F">
        <w:rPr>
          <w:rFonts w:hint="eastAsia"/>
        </w:rPr>
        <w:t>增</w:t>
      </w:r>
      <w:r w:rsidR="00AB6632" w:rsidRPr="008A0934">
        <w:rPr>
          <w:rFonts w:hint="eastAsia"/>
        </w:rPr>
        <w:t>幅</w:t>
      </w:r>
      <w:r w:rsidR="00653017">
        <w:rPr>
          <w:rFonts w:hint="eastAsia"/>
        </w:rPr>
        <w:t>9.38</w:t>
      </w:r>
      <w:r w:rsidR="00AB6632" w:rsidRPr="008A0934">
        <w:rPr>
          <w:rFonts w:hint="eastAsia"/>
        </w:rPr>
        <w:t>%</w:t>
      </w:r>
      <w:r w:rsidR="00F86C44">
        <w:rPr>
          <w:rFonts w:hint="eastAsia"/>
        </w:rPr>
        <w:t>)</w:t>
      </w:r>
      <w:r w:rsidR="00AB6632" w:rsidRPr="008A0934">
        <w:rPr>
          <w:rFonts w:hint="eastAsia"/>
        </w:rPr>
        <w:t>。謹就</w:t>
      </w:r>
      <w:r w:rsidRPr="008A0934">
        <w:rPr>
          <w:rFonts w:hint="eastAsia"/>
        </w:rPr>
        <w:t>臺灣土地銀行</w:t>
      </w:r>
      <w:r w:rsidR="000F0BC9">
        <w:rPr>
          <w:rFonts w:hint="eastAsia"/>
        </w:rPr>
        <w:t>1</w:t>
      </w:r>
      <w:r w:rsidR="00653017">
        <w:rPr>
          <w:rFonts w:hint="eastAsia"/>
        </w:rPr>
        <w:t>14</w:t>
      </w:r>
      <w:r w:rsidR="00AB6632" w:rsidRPr="008A0934">
        <w:rPr>
          <w:rFonts w:hint="eastAsia"/>
        </w:rPr>
        <w:t>年度營業預算案評估如下：</w:t>
      </w:r>
    </w:p>
    <w:p w:rsidR="00043E89" w:rsidRPr="008A0934" w:rsidRDefault="003F65D0" w:rsidP="005D1744">
      <w:pPr>
        <w:pStyle w:val="14"/>
        <w:ind w:left="567" w:hanging="567"/>
      </w:pPr>
      <w:bookmarkStart w:id="1" w:name="_Toc182830714"/>
      <w:r>
        <w:rPr>
          <w:rFonts w:hint="eastAsia"/>
        </w:rPr>
        <w:t>六</w:t>
      </w:r>
      <w:r w:rsidR="00043E89" w:rsidRPr="008A0934">
        <w:rPr>
          <w:rFonts w:hint="eastAsia"/>
        </w:rPr>
        <w:t>、</w:t>
      </w:r>
      <w:r w:rsidR="00135EA7" w:rsidRPr="00135EA7">
        <w:rPr>
          <w:rFonts w:hint="eastAsia"/>
        </w:rPr>
        <w:t>113年截至6月底止，</w:t>
      </w:r>
      <w:r w:rsidR="00135EA7" w:rsidRPr="00B11B91">
        <w:rPr>
          <w:rFonts w:hint="eastAsia"/>
        </w:rPr>
        <w:t>流動性覆蓋比率</w:t>
      </w:r>
      <w:r w:rsidR="00135EA7" w:rsidRPr="00135EA7">
        <w:rPr>
          <w:rFonts w:hint="eastAsia"/>
        </w:rPr>
        <w:t>較112年底</w:t>
      </w:r>
      <w:r w:rsidR="002F15A7">
        <w:rPr>
          <w:rFonts w:hint="eastAsia"/>
        </w:rPr>
        <w:t>低</w:t>
      </w:r>
      <w:r w:rsidR="00135EA7" w:rsidRPr="00135EA7">
        <w:rPr>
          <w:rFonts w:hint="eastAsia"/>
        </w:rPr>
        <w:t>，且減幅略高於同業平均水準</w:t>
      </w:r>
      <w:r w:rsidR="00B11B91" w:rsidRPr="00B11B91">
        <w:rPr>
          <w:rFonts w:hint="eastAsia"/>
        </w:rPr>
        <w:t>，允宜持續積極改善</w:t>
      </w:r>
      <w:r w:rsidR="00043E89">
        <w:rPr>
          <w:rFonts w:hint="eastAsia"/>
        </w:rPr>
        <w:t>，俾</w:t>
      </w:r>
      <w:r w:rsidR="00043E89" w:rsidRPr="008A0934">
        <w:rPr>
          <w:rFonts w:hint="eastAsia"/>
        </w:rPr>
        <w:t>有效管控</w:t>
      </w:r>
      <w:r w:rsidR="00043E89">
        <w:rPr>
          <w:rFonts w:hint="eastAsia"/>
        </w:rPr>
        <w:t>流動性</w:t>
      </w:r>
      <w:r w:rsidR="00043E89" w:rsidRPr="008A0934">
        <w:rPr>
          <w:rFonts w:hint="eastAsia"/>
        </w:rPr>
        <w:t>風險</w:t>
      </w:r>
      <w:bookmarkEnd w:id="1"/>
    </w:p>
    <w:p w:rsidR="00043E89" w:rsidRPr="008A0934" w:rsidRDefault="00043E89" w:rsidP="003B302E">
      <w:pPr>
        <w:ind w:left="566" w:firstLine="566"/>
      </w:pPr>
      <w:r w:rsidRPr="008A0934">
        <w:rPr>
          <w:rFonts w:hint="eastAsia"/>
        </w:rPr>
        <w:t>臺灣土地銀行1</w:t>
      </w:r>
      <w:r>
        <w:t>1</w:t>
      </w:r>
      <w:r w:rsidR="00542D99">
        <w:rPr>
          <w:rFonts w:hint="eastAsia"/>
        </w:rPr>
        <w:t>4</w:t>
      </w:r>
      <w:r w:rsidRPr="008A0934">
        <w:rPr>
          <w:rFonts w:hint="eastAsia"/>
        </w:rPr>
        <w:t>年度預算案</w:t>
      </w:r>
      <w:r>
        <w:rPr>
          <w:rFonts w:hint="eastAsia"/>
        </w:rPr>
        <w:t>所列主要營運項目，包含預估存款業務量總額為2兆</w:t>
      </w:r>
      <w:r w:rsidR="00AB0EA8">
        <w:rPr>
          <w:rFonts w:hint="eastAsia"/>
        </w:rPr>
        <w:t>9</w:t>
      </w:r>
      <w:r>
        <w:t>,</w:t>
      </w:r>
      <w:r w:rsidR="00FF054A">
        <w:rPr>
          <w:rFonts w:hint="eastAsia"/>
        </w:rPr>
        <w:t>336</w:t>
      </w:r>
      <w:r>
        <w:rPr>
          <w:rFonts w:hint="eastAsia"/>
        </w:rPr>
        <w:t>億元，較</w:t>
      </w:r>
      <w:r w:rsidR="0017181C">
        <w:rPr>
          <w:rFonts w:hint="eastAsia"/>
        </w:rPr>
        <w:t>11</w:t>
      </w:r>
      <w:r w:rsidR="00FF054A">
        <w:rPr>
          <w:rFonts w:hint="eastAsia"/>
        </w:rPr>
        <w:t>3</w:t>
      </w:r>
      <w:r>
        <w:rPr>
          <w:rFonts w:hint="eastAsia"/>
        </w:rPr>
        <w:t>年度預算營運量</w:t>
      </w:r>
      <w:r w:rsidR="00AB0EA8">
        <w:rPr>
          <w:rFonts w:hint="eastAsia"/>
        </w:rPr>
        <w:t>2兆</w:t>
      </w:r>
      <w:r w:rsidR="00FF054A">
        <w:rPr>
          <w:rFonts w:hint="eastAsia"/>
        </w:rPr>
        <w:t>9</w:t>
      </w:r>
      <w:r w:rsidR="00AB0EA8">
        <w:t>,</w:t>
      </w:r>
      <w:r w:rsidR="00FF054A">
        <w:rPr>
          <w:rFonts w:hint="eastAsia"/>
        </w:rPr>
        <w:t>075</w:t>
      </w:r>
      <w:r w:rsidR="00AB0EA8">
        <w:rPr>
          <w:rFonts w:hint="eastAsia"/>
        </w:rPr>
        <w:t>億</w:t>
      </w:r>
      <w:r>
        <w:rPr>
          <w:rFonts w:hint="eastAsia"/>
        </w:rPr>
        <w:t>增加</w:t>
      </w:r>
      <w:r w:rsidR="00FF054A">
        <w:rPr>
          <w:rFonts w:hint="eastAsia"/>
        </w:rPr>
        <w:t>261</w:t>
      </w:r>
      <w:r>
        <w:rPr>
          <w:rFonts w:hint="eastAsia"/>
        </w:rPr>
        <w:t>億元(增幅</w:t>
      </w:r>
      <w:r w:rsidR="00FF054A">
        <w:rPr>
          <w:rFonts w:hint="eastAsia"/>
        </w:rPr>
        <w:t>0.9</w:t>
      </w:r>
      <w:r>
        <w:t>%</w:t>
      </w:r>
      <w:r>
        <w:rPr>
          <w:rFonts w:hint="eastAsia"/>
        </w:rPr>
        <w:t>)，</w:t>
      </w:r>
      <w:r w:rsidR="00D0026B">
        <w:rPr>
          <w:rFonts w:hint="eastAsia"/>
        </w:rPr>
        <w:t>主要係為維持該行流動性覆蓋比</w:t>
      </w:r>
      <w:r w:rsidR="00D0026B" w:rsidRPr="00C93630">
        <w:rPr>
          <w:rFonts w:hint="eastAsia"/>
        </w:rPr>
        <w:t>率</w:t>
      </w:r>
      <w:r w:rsidR="00D0026B" w:rsidRPr="00C93630">
        <w:rPr>
          <w:rStyle w:val="af6"/>
        </w:rPr>
        <w:footnoteReference w:id="1"/>
      </w:r>
      <w:r w:rsidR="00D0026B">
        <w:rPr>
          <w:rFonts w:hint="eastAsia"/>
        </w:rPr>
        <w:t>於最適比率區間，爰吸</w:t>
      </w:r>
      <w:r w:rsidR="003B302E">
        <w:rPr>
          <w:rFonts w:hint="eastAsia"/>
        </w:rPr>
        <w:t>收自然人及中小企業存款</w:t>
      </w:r>
      <w:r w:rsidR="00583F72">
        <w:rPr>
          <w:rFonts w:hint="eastAsia"/>
        </w:rPr>
        <w:t>而</w:t>
      </w:r>
      <w:r w:rsidR="00C93630">
        <w:rPr>
          <w:rFonts w:hint="eastAsia"/>
        </w:rPr>
        <w:t>增加存款</w:t>
      </w:r>
      <w:r w:rsidR="003B302E">
        <w:rPr>
          <w:rFonts w:hint="eastAsia"/>
        </w:rPr>
        <w:t>規模</w:t>
      </w:r>
      <w:r w:rsidRPr="008A0934">
        <w:rPr>
          <w:rFonts w:hint="eastAsia"/>
        </w:rPr>
        <w:t>；另該行1</w:t>
      </w:r>
      <w:r>
        <w:t>1</w:t>
      </w:r>
      <w:r w:rsidR="00FF054A">
        <w:rPr>
          <w:rFonts w:hint="eastAsia"/>
        </w:rPr>
        <w:t>4</w:t>
      </w:r>
      <w:r w:rsidRPr="008A0934">
        <w:rPr>
          <w:rFonts w:hint="eastAsia"/>
        </w:rPr>
        <w:t>年度預計發行</w:t>
      </w:r>
      <w:r>
        <w:rPr>
          <w:rFonts w:hint="eastAsia"/>
        </w:rPr>
        <w:t>新臺幣</w:t>
      </w:r>
      <w:r w:rsidRPr="008A0934">
        <w:rPr>
          <w:rFonts w:hint="eastAsia"/>
        </w:rPr>
        <w:t>金融債券</w:t>
      </w:r>
      <w:r w:rsidR="00FF054A">
        <w:rPr>
          <w:rFonts w:hint="eastAsia"/>
        </w:rPr>
        <w:t>300</w:t>
      </w:r>
      <w:r w:rsidRPr="00220A6E">
        <w:rPr>
          <w:rFonts w:hint="eastAsia"/>
        </w:rPr>
        <w:t>億元</w:t>
      </w:r>
      <w:r w:rsidRPr="008A0934">
        <w:rPr>
          <w:rFonts w:hint="eastAsia"/>
        </w:rPr>
        <w:t>，係為持續募集</w:t>
      </w:r>
      <w:r>
        <w:rPr>
          <w:rFonts w:hint="eastAsia"/>
        </w:rPr>
        <w:t>長期且</w:t>
      </w:r>
      <w:r w:rsidRPr="008A0934">
        <w:rPr>
          <w:rFonts w:hint="eastAsia"/>
        </w:rPr>
        <w:t>穩定之資金來源，</w:t>
      </w:r>
      <w:r>
        <w:rPr>
          <w:rFonts w:hint="eastAsia"/>
        </w:rPr>
        <w:t>以</w:t>
      </w:r>
      <w:r w:rsidRPr="008A0934">
        <w:rPr>
          <w:rFonts w:hint="eastAsia"/>
        </w:rPr>
        <w:t>提升資本適足率及流動性覆蓋比率。經查：</w:t>
      </w:r>
    </w:p>
    <w:p w:rsidR="00043E89" w:rsidRPr="008A0934" w:rsidRDefault="00043E89" w:rsidP="00043E89">
      <w:pPr>
        <w:pStyle w:val="a4"/>
        <w:ind w:left="849" w:hanging="283"/>
        <w:rPr>
          <w:b/>
        </w:rPr>
      </w:pPr>
      <w:r w:rsidRPr="008A0934">
        <w:rPr>
          <w:rFonts w:hint="eastAsia"/>
          <w:b/>
        </w:rPr>
        <w:t>(一)配合國際標準發布，主管機關</w:t>
      </w:r>
      <w:r>
        <w:rPr>
          <w:rFonts w:hint="eastAsia"/>
          <w:b/>
          <w:lang w:eastAsia="zh-TW"/>
        </w:rPr>
        <w:t>已</w:t>
      </w:r>
      <w:r w:rsidRPr="008A0934">
        <w:rPr>
          <w:rFonts w:hint="eastAsia"/>
          <w:b/>
        </w:rPr>
        <w:t>訂定流動性覆蓋比率實施標準</w:t>
      </w:r>
      <w:r w:rsidR="001649BE">
        <w:rPr>
          <w:rFonts w:hint="eastAsia"/>
          <w:b/>
          <w:lang w:eastAsia="zh-TW"/>
        </w:rPr>
        <w:t>，並</w:t>
      </w:r>
      <w:r w:rsidR="001649BE" w:rsidRPr="001649BE">
        <w:rPr>
          <w:rFonts w:hint="eastAsia"/>
          <w:b/>
          <w:lang w:eastAsia="zh-TW"/>
        </w:rPr>
        <w:t>逐年調高法定標準，自108年起不得低於100%</w:t>
      </w:r>
    </w:p>
    <w:p w:rsidR="00043E89" w:rsidRPr="008A0934" w:rsidRDefault="007C13BF" w:rsidP="00043E89">
      <w:pPr>
        <w:pStyle w:val="2"/>
        <w:ind w:left="850" w:firstLine="566"/>
      </w:pPr>
      <w:r>
        <w:rPr>
          <w:rFonts w:hint="eastAsia"/>
        </w:rPr>
        <w:t>鑑於</w:t>
      </w:r>
      <w:r w:rsidR="00043E89" w:rsidRPr="008A0934">
        <w:rPr>
          <w:rFonts w:hint="eastAsia"/>
        </w:rPr>
        <w:t>金融海嘯期間，銀行即使資金充裕，惟如未能審慎管理流動性風險，仍</w:t>
      </w:r>
      <w:r w:rsidR="00043E89">
        <w:rPr>
          <w:rFonts w:hint="eastAsia"/>
        </w:rPr>
        <w:t>可能</w:t>
      </w:r>
      <w:r w:rsidR="00043E89" w:rsidRPr="008A0934">
        <w:rPr>
          <w:rFonts w:hint="eastAsia"/>
        </w:rPr>
        <w:t>面臨金融危機，巴塞爾銀行監理委員會爰於99年提出流動性覆蓋比率及淨穩定資金比率</w:t>
      </w:r>
      <w:r w:rsidR="0017181C">
        <w:rPr>
          <w:rStyle w:val="af6"/>
        </w:rPr>
        <w:footnoteReference w:id="2"/>
      </w:r>
      <w:r w:rsidR="00043E89" w:rsidRPr="008A0934">
        <w:rPr>
          <w:rFonts w:hint="eastAsia"/>
        </w:rPr>
        <w:t>，作為全球</w:t>
      </w:r>
      <w:r w:rsidR="00043E89" w:rsidRPr="008A0934">
        <w:rPr>
          <w:rFonts w:hint="eastAsia"/>
        </w:rPr>
        <w:lastRenderedPageBreak/>
        <w:t>一致之流動性量化指標，其中流動性覆蓋比率</w:t>
      </w:r>
      <w:r w:rsidR="00043E89">
        <w:rPr>
          <w:rFonts w:hint="eastAsia"/>
        </w:rPr>
        <w:t>標準之主要目的</w:t>
      </w:r>
      <w:r w:rsidR="00043E89" w:rsidRPr="008A0934">
        <w:rPr>
          <w:rFonts w:hint="eastAsia"/>
        </w:rPr>
        <w:t>為強化銀行短期流動性之復原能力，衡量銀行於壓力情境下是否具備足夠之合格高品質流動性資產</w:t>
      </w:r>
      <w:r w:rsidR="00043E89">
        <w:rPr>
          <w:rFonts w:hint="eastAsia"/>
          <w:lang w:eastAsia="zh-TW"/>
        </w:rPr>
        <w:t>，以因應未來30日之現金流出需求</w:t>
      </w:r>
      <w:r w:rsidR="00043E89">
        <w:rPr>
          <w:rStyle w:val="af6"/>
        </w:rPr>
        <w:footnoteReference w:id="3"/>
      </w:r>
      <w:r w:rsidR="00043E89" w:rsidRPr="008A0934">
        <w:rPr>
          <w:rFonts w:hint="eastAsia"/>
        </w:rPr>
        <w:t>。</w:t>
      </w:r>
      <w:r w:rsidR="00043E89">
        <w:rPr>
          <w:rFonts w:hint="eastAsia"/>
        </w:rPr>
        <w:t>嗣為因應國際管理趨勢，</w:t>
      </w:r>
      <w:r w:rsidR="00043E89" w:rsidRPr="008A0934">
        <w:rPr>
          <w:rFonts w:hint="eastAsia"/>
        </w:rPr>
        <w:t>金融監督管理委員會與中央銀行於103年12月29日會銜訂定「銀行流動性覆蓋比率實施標準」</w:t>
      </w:r>
      <w:r w:rsidR="00257395">
        <w:rPr>
          <w:rFonts w:hint="eastAsia"/>
        </w:rPr>
        <w:t>，</w:t>
      </w:r>
      <w:r w:rsidR="00043E89">
        <w:rPr>
          <w:rFonts w:hint="eastAsia"/>
        </w:rPr>
        <w:t>自104年1月1</w:t>
      </w:r>
      <w:r w:rsidR="00246C9C">
        <w:rPr>
          <w:rFonts w:hint="eastAsia"/>
          <w:lang w:eastAsia="zh-TW"/>
        </w:rPr>
        <w:t>日</w:t>
      </w:r>
      <w:r w:rsidR="00043E89">
        <w:rPr>
          <w:rFonts w:hint="eastAsia"/>
        </w:rPr>
        <w:t>起施行</w:t>
      </w:r>
      <w:r w:rsidR="00257395">
        <w:rPr>
          <w:rFonts w:hint="eastAsia"/>
          <w:lang w:eastAsia="zh-TW"/>
        </w:rPr>
        <w:t>並逐年調高法定標準，</w:t>
      </w:r>
      <w:r w:rsidR="002F15A7">
        <w:rPr>
          <w:rFonts w:hint="eastAsia"/>
          <w:lang w:eastAsia="zh-TW"/>
        </w:rPr>
        <w:t>且</w:t>
      </w:r>
      <w:r w:rsidR="00257395">
        <w:rPr>
          <w:rFonts w:hint="eastAsia"/>
          <w:lang w:eastAsia="zh-TW"/>
        </w:rPr>
        <w:t>自108年</w:t>
      </w:r>
      <w:r w:rsidR="004374DA">
        <w:rPr>
          <w:rFonts w:hint="eastAsia"/>
          <w:lang w:eastAsia="zh-TW"/>
        </w:rPr>
        <w:t>起</w:t>
      </w:r>
      <w:r w:rsidR="00257395">
        <w:rPr>
          <w:rFonts w:hint="eastAsia"/>
          <w:lang w:eastAsia="zh-TW"/>
        </w:rPr>
        <w:t>不得低於100%</w:t>
      </w:r>
      <w:r w:rsidR="00257395">
        <w:rPr>
          <w:rStyle w:val="af6"/>
          <w:lang w:eastAsia="zh-TW"/>
        </w:rPr>
        <w:footnoteReference w:id="4"/>
      </w:r>
      <w:r w:rsidR="00043E89" w:rsidRPr="008A0934">
        <w:rPr>
          <w:rFonts w:hint="eastAsia"/>
        </w:rPr>
        <w:t>。</w:t>
      </w:r>
    </w:p>
    <w:p w:rsidR="00043E89" w:rsidRPr="004E00D5" w:rsidRDefault="00043E89" w:rsidP="004E00D5">
      <w:pPr>
        <w:pStyle w:val="a4"/>
        <w:ind w:left="849" w:hanging="283"/>
        <w:rPr>
          <w:rFonts w:hint="eastAsia"/>
          <w:b/>
        </w:rPr>
      </w:pPr>
      <w:r w:rsidRPr="004E00D5">
        <w:rPr>
          <w:rFonts w:hint="eastAsia"/>
          <w:b/>
        </w:rPr>
        <w:t>(二)</w:t>
      </w:r>
      <w:r w:rsidR="004E00D5" w:rsidRPr="004E00D5">
        <w:rPr>
          <w:rFonts w:hint="eastAsia"/>
          <w:b/>
        </w:rPr>
        <w:t>113年截至6月底止</w:t>
      </w:r>
      <w:r w:rsidR="00A86B59">
        <w:rPr>
          <w:rFonts w:hint="eastAsia"/>
          <w:b/>
          <w:lang w:eastAsia="zh-TW"/>
        </w:rPr>
        <w:t>，</w:t>
      </w:r>
      <w:r w:rsidR="002F15A7" w:rsidRPr="002F15A7">
        <w:rPr>
          <w:rFonts w:hint="eastAsia"/>
          <w:b/>
          <w:lang w:eastAsia="zh-TW"/>
        </w:rPr>
        <w:t>臺灣土地銀行</w:t>
      </w:r>
      <w:r w:rsidR="00B92CD6" w:rsidRPr="004E00D5">
        <w:rPr>
          <w:rFonts w:hint="eastAsia"/>
          <w:b/>
        </w:rPr>
        <w:t>流動性覆蓋比率</w:t>
      </w:r>
      <w:r w:rsidR="004E00D5" w:rsidRPr="004E00D5">
        <w:rPr>
          <w:rFonts w:hint="eastAsia"/>
          <w:b/>
        </w:rPr>
        <w:t>較112年底</w:t>
      </w:r>
      <w:r w:rsidR="002F15A7">
        <w:rPr>
          <w:rFonts w:hint="eastAsia"/>
          <w:b/>
          <w:lang w:eastAsia="zh-TW"/>
        </w:rPr>
        <w:t>低</w:t>
      </w:r>
      <w:r w:rsidR="009E0CA6" w:rsidRPr="004E00D5">
        <w:rPr>
          <w:rFonts w:hint="eastAsia"/>
          <w:b/>
        </w:rPr>
        <w:t>，</w:t>
      </w:r>
      <w:r w:rsidR="00B32162">
        <w:rPr>
          <w:rFonts w:hint="eastAsia"/>
          <w:b/>
          <w:lang w:eastAsia="zh-TW"/>
        </w:rPr>
        <w:t>且減幅略高於同業平均水準，</w:t>
      </w:r>
      <w:r w:rsidR="00B11B91" w:rsidRPr="004E00D5">
        <w:rPr>
          <w:rFonts w:hint="eastAsia"/>
          <w:b/>
        </w:rPr>
        <w:t>允宜持續積極改善</w:t>
      </w:r>
    </w:p>
    <w:p w:rsidR="00052665" w:rsidRDefault="00B32162" w:rsidP="005F59CD">
      <w:pPr>
        <w:pStyle w:val="2"/>
        <w:ind w:left="850" w:firstLine="566"/>
      </w:pPr>
      <w:r>
        <w:rPr>
          <w:rFonts w:hint="eastAsia"/>
          <w:lang w:eastAsia="zh-TW"/>
        </w:rPr>
        <w:t>據</w:t>
      </w:r>
      <w:r>
        <w:rPr>
          <w:rFonts w:hint="eastAsia"/>
        </w:rPr>
        <w:t>臺灣土地銀行</w:t>
      </w:r>
      <w:r>
        <w:rPr>
          <w:rFonts w:hint="eastAsia"/>
          <w:lang w:eastAsia="zh-TW"/>
        </w:rPr>
        <w:t>提供資料，</w:t>
      </w:r>
      <w:r>
        <w:rPr>
          <w:rFonts w:hint="eastAsia"/>
        </w:rPr>
        <w:t>自主管機關頒布前揭實施標準以來</w:t>
      </w:r>
      <w:r>
        <w:rPr>
          <w:rFonts w:hint="eastAsia"/>
          <w:lang w:eastAsia="zh-TW"/>
        </w:rPr>
        <w:t>，該行之</w:t>
      </w:r>
      <w:r w:rsidRPr="008A0934">
        <w:rPr>
          <w:rFonts w:hint="eastAsia"/>
        </w:rPr>
        <w:t>流動性覆蓋比率</w:t>
      </w:r>
      <w:r>
        <w:rPr>
          <w:rFonts w:hint="eastAsia"/>
        </w:rPr>
        <w:t>皆符合法定最低要求</w:t>
      </w:r>
      <w:r w:rsidR="00C54964">
        <w:rPr>
          <w:rFonts w:hint="eastAsia"/>
          <w:lang w:eastAsia="zh-TW"/>
        </w:rPr>
        <w:t>，檢視</w:t>
      </w:r>
      <w:r>
        <w:rPr>
          <w:rFonts w:hint="eastAsia"/>
          <w:lang w:eastAsia="zh-TW"/>
        </w:rPr>
        <w:t>是項</w:t>
      </w:r>
      <w:r w:rsidR="001A78BB" w:rsidRPr="001A78BB">
        <w:rPr>
          <w:rFonts w:hint="eastAsia"/>
        </w:rPr>
        <w:t>比率</w:t>
      </w:r>
      <w:r w:rsidR="001A78BB">
        <w:rPr>
          <w:rFonts w:hint="eastAsia"/>
          <w:lang w:eastAsia="zh-TW"/>
        </w:rPr>
        <w:t>於</w:t>
      </w:r>
      <w:r w:rsidR="001A78BB">
        <w:rPr>
          <w:rFonts w:hint="eastAsia"/>
        </w:rPr>
        <w:t>10</w:t>
      </w:r>
      <w:r w:rsidR="001A78BB">
        <w:rPr>
          <w:rFonts w:hint="eastAsia"/>
          <w:lang w:eastAsia="zh-TW"/>
        </w:rPr>
        <w:t>8</w:t>
      </w:r>
      <w:r w:rsidR="001A78BB">
        <w:rPr>
          <w:rFonts w:hint="eastAsia"/>
        </w:rPr>
        <w:t>至1</w:t>
      </w:r>
      <w:r w:rsidR="001A78BB">
        <w:rPr>
          <w:rFonts w:hint="eastAsia"/>
          <w:lang w:eastAsia="zh-TW"/>
        </w:rPr>
        <w:t>1</w:t>
      </w:r>
      <w:r>
        <w:rPr>
          <w:rFonts w:hint="eastAsia"/>
          <w:lang w:eastAsia="zh-TW"/>
        </w:rPr>
        <w:t>2</w:t>
      </w:r>
      <w:r w:rsidR="001A78BB">
        <w:rPr>
          <w:rFonts w:hint="eastAsia"/>
        </w:rPr>
        <w:t>年</w:t>
      </w:r>
      <w:r w:rsidR="001A78BB">
        <w:rPr>
          <w:rFonts w:hint="eastAsia"/>
          <w:lang w:eastAsia="zh-TW"/>
        </w:rPr>
        <w:t>之變動趨勢分析</w:t>
      </w:r>
      <w:r w:rsidR="001A78BB">
        <w:rPr>
          <w:rFonts w:hint="eastAsia"/>
        </w:rPr>
        <w:t>，</w:t>
      </w:r>
      <w:r w:rsidR="001A78BB">
        <w:rPr>
          <w:rFonts w:hint="eastAsia"/>
          <w:lang w:eastAsia="zh-TW"/>
        </w:rPr>
        <w:t>自110年起逐年</w:t>
      </w:r>
      <w:r>
        <w:rPr>
          <w:rFonts w:hint="eastAsia"/>
          <w:lang w:eastAsia="zh-TW"/>
        </w:rPr>
        <w:t>上升，迄</w:t>
      </w:r>
      <w:r w:rsidR="001A78BB">
        <w:rPr>
          <w:rFonts w:hint="eastAsia"/>
          <w:lang w:eastAsia="zh-TW"/>
        </w:rPr>
        <w:t>112年</w:t>
      </w:r>
      <w:r>
        <w:rPr>
          <w:rFonts w:hint="eastAsia"/>
          <w:lang w:eastAsia="zh-TW"/>
        </w:rPr>
        <w:t>底</w:t>
      </w:r>
      <w:r w:rsidR="001A78BB">
        <w:rPr>
          <w:rFonts w:hint="eastAsia"/>
          <w:lang w:eastAsia="zh-TW"/>
        </w:rPr>
        <w:t>，</w:t>
      </w:r>
      <w:r>
        <w:rPr>
          <w:rFonts w:hint="eastAsia"/>
          <w:lang w:eastAsia="zh-TW"/>
        </w:rPr>
        <w:t>是項</w:t>
      </w:r>
      <w:r w:rsidR="001A78BB">
        <w:rPr>
          <w:rFonts w:hint="eastAsia"/>
        </w:rPr>
        <w:t>比率</w:t>
      </w:r>
      <w:r w:rsidR="00884341">
        <w:rPr>
          <w:rFonts w:hint="eastAsia"/>
          <w:lang w:eastAsia="zh-TW"/>
        </w:rPr>
        <w:t>達</w:t>
      </w:r>
      <w:r w:rsidR="001A78BB">
        <w:rPr>
          <w:rFonts w:hint="eastAsia"/>
          <w:lang w:eastAsia="zh-TW"/>
        </w:rPr>
        <w:t>115.76</w:t>
      </w:r>
      <w:r w:rsidR="001A78BB">
        <w:rPr>
          <w:rFonts w:hint="eastAsia"/>
        </w:rPr>
        <w:t>%，已較108年增加1</w:t>
      </w:r>
      <w:r w:rsidR="001A78BB">
        <w:rPr>
          <w:rFonts w:hint="eastAsia"/>
          <w:lang w:eastAsia="zh-TW"/>
        </w:rPr>
        <w:t>2.69</w:t>
      </w:r>
      <w:r w:rsidR="001A78BB">
        <w:rPr>
          <w:rFonts w:hint="eastAsia"/>
        </w:rPr>
        <w:t>個百分點</w:t>
      </w:r>
      <w:r>
        <w:rPr>
          <w:rFonts w:hint="eastAsia"/>
          <w:lang w:eastAsia="zh-TW"/>
        </w:rPr>
        <w:t>，</w:t>
      </w:r>
      <w:r w:rsidR="00C54964">
        <w:rPr>
          <w:rFonts w:hint="eastAsia"/>
          <w:lang w:eastAsia="zh-TW"/>
        </w:rPr>
        <w:t>復</w:t>
      </w:r>
      <w:r>
        <w:rPr>
          <w:rFonts w:hint="eastAsia"/>
        </w:rPr>
        <w:t>與</w:t>
      </w:r>
      <w:r>
        <w:rPr>
          <w:rFonts w:hint="eastAsia"/>
          <w:lang w:eastAsia="zh-TW"/>
        </w:rPr>
        <w:t>同期間</w:t>
      </w:r>
      <w:r>
        <w:rPr>
          <w:rFonts w:hint="eastAsia"/>
        </w:rPr>
        <w:t>本國銀行平均數額相比，雖相對較低，</w:t>
      </w:r>
      <w:r>
        <w:rPr>
          <w:rFonts w:hint="eastAsia"/>
          <w:lang w:eastAsia="zh-TW"/>
        </w:rPr>
        <w:t>然</w:t>
      </w:r>
      <w:r>
        <w:rPr>
          <w:rFonts w:hint="eastAsia"/>
        </w:rPr>
        <w:t>其差距自110年起已逐年下降，迄</w:t>
      </w:r>
      <w:r>
        <w:rPr>
          <w:rFonts w:hint="eastAsia"/>
          <w:lang w:eastAsia="zh-TW"/>
        </w:rPr>
        <w:t>112年底，是項比率低於</w:t>
      </w:r>
      <w:r>
        <w:rPr>
          <w:rFonts w:hint="eastAsia"/>
        </w:rPr>
        <w:t>同期間同業</w:t>
      </w:r>
      <w:r w:rsidR="00C54964">
        <w:rPr>
          <w:rFonts w:hint="eastAsia"/>
          <w:lang w:eastAsia="zh-TW"/>
        </w:rPr>
        <w:t>平均</w:t>
      </w:r>
      <w:r>
        <w:rPr>
          <w:rFonts w:hint="eastAsia"/>
        </w:rPr>
        <w:t>水準</w:t>
      </w:r>
      <w:r>
        <w:rPr>
          <w:rFonts w:hint="eastAsia"/>
          <w:lang w:eastAsia="zh-TW"/>
        </w:rPr>
        <w:t>23.32</w:t>
      </w:r>
      <w:r>
        <w:rPr>
          <w:rFonts w:hint="eastAsia"/>
        </w:rPr>
        <w:t>個百</w:t>
      </w:r>
      <w:r w:rsidRPr="005F59CD">
        <w:rPr>
          <w:rFonts w:hint="eastAsia"/>
        </w:rPr>
        <w:t>分點，與108年底差距36.61個百分點相比，已有改善；惟</w:t>
      </w:r>
      <w:r w:rsidR="00E97D05" w:rsidRPr="005F59CD">
        <w:rPr>
          <w:rFonts w:hint="eastAsia"/>
        </w:rPr>
        <w:t>該行</w:t>
      </w:r>
      <w:r w:rsidR="00E97D05">
        <w:rPr>
          <w:rFonts w:hint="eastAsia"/>
          <w:lang w:eastAsia="zh-TW"/>
        </w:rPr>
        <w:t>於</w:t>
      </w:r>
      <w:r w:rsidR="00E97D05" w:rsidRPr="005F59CD">
        <w:rPr>
          <w:rFonts w:hint="eastAsia"/>
          <w:lang w:eastAsia="zh-TW"/>
        </w:rPr>
        <w:t>113</w:t>
      </w:r>
      <w:r w:rsidR="00E97D05">
        <w:rPr>
          <w:rFonts w:hint="eastAsia"/>
        </w:rPr>
        <w:t>年</w:t>
      </w:r>
      <w:r w:rsidR="00E97D05" w:rsidRPr="005F59CD">
        <w:rPr>
          <w:rFonts w:hint="eastAsia"/>
        </w:rPr>
        <w:t>6月底</w:t>
      </w:r>
      <w:r w:rsidR="00E97D05">
        <w:rPr>
          <w:rFonts w:hint="eastAsia"/>
          <w:lang w:eastAsia="zh-TW"/>
        </w:rPr>
        <w:t>之</w:t>
      </w:r>
      <w:r w:rsidR="00E97D05" w:rsidRPr="005F59CD">
        <w:rPr>
          <w:rFonts w:hint="eastAsia"/>
        </w:rPr>
        <w:t>流動性覆蓋比率</w:t>
      </w:r>
      <w:r w:rsidR="002B528F">
        <w:rPr>
          <w:rFonts w:hint="eastAsia"/>
          <w:lang w:eastAsia="zh-TW"/>
        </w:rPr>
        <w:t>降</w:t>
      </w:r>
      <w:r w:rsidR="00C54964" w:rsidRPr="005F59CD">
        <w:rPr>
          <w:rFonts w:hint="eastAsia"/>
        </w:rPr>
        <w:t>為103.</w:t>
      </w:r>
      <w:r w:rsidR="00C54964" w:rsidRPr="005F59CD">
        <w:rPr>
          <w:rFonts w:hint="eastAsia"/>
          <w:lang w:eastAsia="zh-TW"/>
        </w:rPr>
        <w:t>2</w:t>
      </w:r>
      <w:r w:rsidR="00C54964" w:rsidRPr="005F59CD">
        <w:rPr>
          <w:rFonts w:hint="eastAsia"/>
        </w:rPr>
        <w:t>%</w:t>
      </w:r>
      <w:r w:rsidR="00C54964" w:rsidRPr="005F59CD">
        <w:rPr>
          <w:rFonts w:hint="eastAsia"/>
          <w:lang w:eastAsia="zh-TW"/>
        </w:rPr>
        <w:t>，</w:t>
      </w:r>
      <w:r w:rsidR="00B31A44" w:rsidRPr="005F59CD">
        <w:rPr>
          <w:rFonts w:hint="eastAsia"/>
        </w:rPr>
        <w:t>較1</w:t>
      </w:r>
      <w:r w:rsidR="00B31A44" w:rsidRPr="005F59CD">
        <w:rPr>
          <w:rFonts w:hint="eastAsia"/>
          <w:lang w:eastAsia="zh-TW"/>
        </w:rPr>
        <w:t>12</w:t>
      </w:r>
      <w:r w:rsidR="00B31A44" w:rsidRPr="005F59CD">
        <w:rPr>
          <w:rFonts w:hint="eastAsia"/>
        </w:rPr>
        <w:t>年底</w:t>
      </w:r>
      <w:r w:rsidR="00C16284">
        <w:rPr>
          <w:rFonts w:hint="eastAsia"/>
          <w:lang w:eastAsia="zh-TW"/>
        </w:rPr>
        <w:t>減少</w:t>
      </w:r>
      <w:r w:rsidR="00B31A44" w:rsidRPr="005F59CD">
        <w:rPr>
          <w:rFonts w:hint="eastAsia"/>
          <w:lang w:eastAsia="zh-TW"/>
        </w:rPr>
        <w:t>12.56</w:t>
      </w:r>
      <w:r w:rsidR="00B31A44" w:rsidRPr="005F59CD">
        <w:rPr>
          <w:rFonts w:hint="eastAsia"/>
        </w:rPr>
        <w:t>個百分點</w:t>
      </w:r>
      <w:r w:rsidR="00B31A44">
        <w:rPr>
          <w:rFonts w:hint="eastAsia"/>
          <w:lang w:eastAsia="zh-TW"/>
        </w:rPr>
        <w:t>，</w:t>
      </w:r>
      <w:r w:rsidR="00E97D05">
        <w:rPr>
          <w:rFonts w:hint="eastAsia"/>
          <w:lang w:eastAsia="zh-TW"/>
        </w:rPr>
        <w:t>除仍低於</w:t>
      </w:r>
      <w:r w:rsidR="00B31A44">
        <w:rPr>
          <w:rFonts w:hint="eastAsia"/>
          <w:lang w:eastAsia="zh-TW"/>
        </w:rPr>
        <w:t>本</w:t>
      </w:r>
      <w:r w:rsidR="005F59CD" w:rsidRPr="005F59CD">
        <w:rPr>
          <w:rFonts w:hint="eastAsia"/>
        </w:rPr>
        <w:t>國銀行平均數額</w:t>
      </w:r>
      <w:r w:rsidR="00E97D05">
        <w:rPr>
          <w:rFonts w:hint="eastAsia"/>
          <w:lang w:eastAsia="zh-TW"/>
        </w:rPr>
        <w:t>外</w:t>
      </w:r>
      <w:r w:rsidR="00C54964" w:rsidRPr="005F59CD">
        <w:rPr>
          <w:rFonts w:hint="eastAsia"/>
          <w:lang w:eastAsia="zh-TW"/>
        </w:rPr>
        <w:t>，</w:t>
      </w:r>
      <w:r w:rsidR="005F59CD" w:rsidRPr="005F59CD">
        <w:rPr>
          <w:rFonts w:hint="eastAsia"/>
        </w:rPr>
        <w:t>與</w:t>
      </w:r>
      <w:r w:rsidR="00E97D05">
        <w:rPr>
          <w:rFonts w:hint="eastAsia"/>
          <w:lang w:eastAsia="zh-TW"/>
        </w:rPr>
        <w:t>同期間</w:t>
      </w:r>
      <w:r w:rsidR="005F59CD" w:rsidRPr="005F59CD">
        <w:rPr>
          <w:rFonts w:hint="eastAsia"/>
          <w:lang w:eastAsia="zh-TW"/>
        </w:rPr>
        <w:t>同業平均水準</w:t>
      </w:r>
      <w:r w:rsidR="005F59CD" w:rsidRPr="005F59CD">
        <w:rPr>
          <w:rFonts w:hint="eastAsia"/>
        </w:rPr>
        <w:t>之減幅</w:t>
      </w:r>
      <w:r w:rsidR="00E97D05">
        <w:rPr>
          <w:rFonts w:hint="eastAsia"/>
          <w:lang w:eastAsia="zh-TW"/>
        </w:rPr>
        <w:t>(</w:t>
      </w:r>
      <w:r w:rsidR="005F59CD" w:rsidRPr="005F59CD">
        <w:rPr>
          <w:rFonts w:hint="eastAsia"/>
          <w:lang w:eastAsia="zh-TW"/>
        </w:rPr>
        <w:t>11.18</w:t>
      </w:r>
      <w:r w:rsidR="005F59CD" w:rsidRPr="005F59CD">
        <w:rPr>
          <w:rFonts w:hint="eastAsia"/>
        </w:rPr>
        <w:t>個百分點</w:t>
      </w:r>
      <w:r w:rsidR="00E97D05">
        <w:rPr>
          <w:rFonts w:hint="eastAsia"/>
          <w:lang w:eastAsia="zh-TW"/>
        </w:rPr>
        <w:t>)</w:t>
      </w:r>
      <w:r w:rsidR="00E97D05">
        <w:rPr>
          <w:rFonts w:hint="eastAsia"/>
        </w:rPr>
        <w:t>相比，亦</w:t>
      </w:r>
      <w:r w:rsidR="005F59CD" w:rsidRPr="005F59CD">
        <w:rPr>
          <w:rFonts w:hint="eastAsia"/>
        </w:rPr>
        <w:t>高出</w:t>
      </w:r>
      <w:r w:rsidR="005F59CD" w:rsidRPr="005F59CD">
        <w:rPr>
          <w:rFonts w:hint="eastAsia"/>
          <w:lang w:eastAsia="zh-TW"/>
        </w:rPr>
        <w:t>1.38</w:t>
      </w:r>
      <w:r w:rsidR="005F59CD" w:rsidRPr="005F59CD">
        <w:rPr>
          <w:rFonts w:hint="eastAsia"/>
        </w:rPr>
        <w:t>個百分點</w:t>
      </w:r>
      <w:r w:rsidR="001A78BB" w:rsidRPr="005F59CD">
        <w:rPr>
          <w:rFonts w:hint="eastAsia"/>
        </w:rPr>
        <w:t>(詳表1)</w:t>
      </w:r>
      <w:r w:rsidR="009E0CA6">
        <w:rPr>
          <w:rFonts w:hint="eastAsia"/>
        </w:rPr>
        <w:t>。</w:t>
      </w:r>
      <w:r w:rsidR="00043E89">
        <w:rPr>
          <w:rFonts w:hint="eastAsia"/>
        </w:rPr>
        <w:t>詢據該行表示</w:t>
      </w:r>
      <w:r w:rsidR="00043E89" w:rsidRPr="001B0D8D">
        <w:rPr>
          <w:rFonts w:hint="eastAsia"/>
        </w:rPr>
        <w:t>，</w:t>
      </w:r>
      <w:r w:rsidR="005F59CD">
        <w:rPr>
          <w:rFonts w:hint="eastAsia"/>
          <w:lang w:eastAsia="zh-TW"/>
        </w:rPr>
        <w:t>主要係為降低資金成本</w:t>
      </w:r>
      <w:r w:rsidR="00B31A44">
        <w:rPr>
          <w:rFonts w:hint="eastAsia"/>
          <w:lang w:eastAsia="zh-TW"/>
        </w:rPr>
        <w:t>而</w:t>
      </w:r>
      <w:r w:rsidR="005F59CD">
        <w:rPr>
          <w:rFonts w:hint="eastAsia"/>
          <w:lang w:eastAsia="zh-TW"/>
        </w:rPr>
        <w:t>調整存款結構</w:t>
      </w:r>
      <w:r w:rsidR="00B31A44">
        <w:rPr>
          <w:rFonts w:hint="eastAsia"/>
          <w:lang w:eastAsia="zh-TW"/>
        </w:rPr>
        <w:t>，致</w:t>
      </w:r>
      <w:r w:rsidR="005F59CD">
        <w:rPr>
          <w:rFonts w:hint="eastAsia"/>
          <w:lang w:eastAsia="zh-TW"/>
        </w:rPr>
        <w:t>流動性覆蓋比率下降，</w:t>
      </w:r>
      <w:r w:rsidR="00551C51" w:rsidRPr="001B0D8D">
        <w:rPr>
          <w:rFonts w:hint="eastAsia"/>
          <w:lang w:eastAsia="zh-TW"/>
        </w:rPr>
        <w:t>將</w:t>
      </w:r>
      <w:r w:rsidR="00C43F81" w:rsidRPr="001B0D8D">
        <w:rPr>
          <w:rFonts w:hint="eastAsia"/>
          <w:lang w:eastAsia="zh-TW"/>
        </w:rPr>
        <w:t>持續</w:t>
      </w:r>
      <w:r w:rsidR="00E123B3" w:rsidRPr="001B0D8D">
        <w:rPr>
          <w:rFonts w:hint="eastAsia"/>
        </w:rPr>
        <w:t>提升自然人及低流失係數企業存款與比率</w:t>
      </w:r>
      <w:r w:rsidR="001B0D8D" w:rsidRPr="001B0D8D">
        <w:rPr>
          <w:rFonts w:hint="eastAsia"/>
        </w:rPr>
        <w:t>、</w:t>
      </w:r>
      <w:r w:rsidR="00BE13C9">
        <w:rPr>
          <w:rFonts w:hint="eastAsia"/>
          <w:lang w:eastAsia="zh-TW"/>
        </w:rPr>
        <w:t>提高</w:t>
      </w:r>
      <w:r w:rsidR="001B0D8D" w:rsidRPr="001B0D8D">
        <w:rPr>
          <w:rFonts w:hint="eastAsia"/>
        </w:rPr>
        <w:t>企</w:t>
      </w:r>
      <w:r w:rsidR="001B0D8D" w:rsidRPr="001B0D8D">
        <w:rPr>
          <w:rFonts w:hint="eastAsia"/>
        </w:rPr>
        <w:lastRenderedPageBreak/>
        <w:t>金放款比重及</w:t>
      </w:r>
      <w:r w:rsidR="00E123B3" w:rsidRPr="001B0D8D">
        <w:rPr>
          <w:rFonts w:hint="eastAsia"/>
        </w:rPr>
        <w:t>清理約定融資額度</w:t>
      </w:r>
      <w:r w:rsidR="00BE13C9">
        <w:rPr>
          <w:rFonts w:hint="eastAsia"/>
          <w:lang w:eastAsia="zh-TW"/>
        </w:rPr>
        <w:t>等</w:t>
      </w:r>
      <w:r w:rsidR="00E123B3" w:rsidRPr="001B0D8D">
        <w:rPr>
          <w:rFonts w:hint="eastAsia"/>
        </w:rPr>
        <w:t>，以</w:t>
      </w:r>
      <w:r w:rsidR="00E123B3" w:rsidRPr="001B0D8D">
        <w:t>增進資金運用效率</w:t>
      </w:r>
      <w:r w:rsidR="00E123B3">
        <w:rPr>
          <w:rFonts w:hint="eastAsia"/>
        </w:rPr>
        <w:t>。</w:t>
      </w:r>
    </w:p>
    <w:p w:rsidR="00043E89" w:rsidRPr="006F4BFD" w:rsidRDefault="00043E89" w:rsidP="00D434AB">
      <w:pPr>
        <w:spacing w:line="480" w:lineRule="exact"/>
        <w:ind w:leftChars="-50" w:left="846" w:rightChars="-100" w:right="-283" w:hangingChars="366" w:hanging="988"/>
        <w:jc w:val="left"/>
        <w:rPr>
          <w:w w:val="95"/>
          <w:sz w:val="24"/>
          <w:szCs w:val="24"/>
        </w:rPr>
      </w:pPr>
      <w:r>
        <w:rPr>
          <w:rFonts w:hAnsi="標楷體" w:hint="eastAsia"/>
          <w:b/>
          <w:w w:val="95"/>
        </w:rPr>
        <w:t xml:space="preserve">表1　</w:t>
      </w:r>
      <w:r w:rsidRPr="008A0934">
        <w:rPr>
          <w:rFonts w:hAnsi="標楷體" w:hint="eastAsia"/>
          <w:b/>
          <w:w w:val="95"/>
        </w:rPr>
        <w:t>臺灣土地銀行</w:t>
      </w:r>
      <w:r w:rsidR="00A8795A">
        <w:rPr>
          <w:rFonts w:hAnsi="標楷體" w:hint="eastAsia"/>
          <w:b/>
          <w:w w:val="95"/>
        </w:rPr>
        <w:t>近</w:t>
      </w:r>
      <w:r w:rsidR="00DC5F66">
        <w:rPr>
          <w:rFonts w:hAnsi="標楷體" w:hint="eastAsia"/>
          <w:b/>
        </w:rPr>
        <w:t>年</w:t>
      </w:r>
      <w:r w:rsidRPr="008A0934">
        <w:rPr>
          <w:rFonts w:hAnsi="標楷體" w:hint="eastAsia"/>
          <w:b/>
          <w:w w:val="95"/>
        </w:rPr>
        <w:t>流動性覆蓋比率</w:t>
      </w:r>
      <w:r w:rsidR="00442927">
        <w:rPr>
          <w:rFonts w:hAnsi="標楷體" w:hint="eastAsia"/>
          <w:b/>
          <w:w w:val="95"/>
        </w:rPr>
        <w:t>一覽</w:t>
      </w:r>
      <w:r w:rsidR="00B50E89" w:rsidRPr="008A0934">
        <w:rPr>
          <w:rFonts w:hAnsi="標楷體" w:hint="eastAsia"/>
          <w:b/>
        </w:rPr>
        <w:t>表</w:t>
      </w:r>
      <w:r w:rsidR="00A8795A">
        <w:rPr>
          <w:rFonts w:hAnsi="標楷體" w:hint="eastAsia"/>
          <w:b/>
        </w:rPr>
        <w:t xml:space="preserve">  </w:t>
      </w:r>
      <w:r w:rsidR="00D434AB">
        <w:rPr>
          <w:rFonts w:hAnsi="標楷體" w:hint="eastAsia"/>
          <w:b/>
        </w:rPr>
        <w:t xml:space="preserve"> </w:t>
      </w:r>
      <w:r w:rsidR="00A8795A">
        <w:rPr>
          <w:rFonts w:hAnsi="標楷體" w:hint="eastAsia"/>
          <w:b/>
        </w:rPr>
        <w:t xml:space="preserve">               </w:t>
      </w:r>
      <w:r w:rsidRPr="006F4BFD">
        <w:rPr>
          <w:rFonts w:hint="eastAsia"/>
          <w:w w:val="95"/>
          <w:sz w:val="24"/>
          <w:szCs w:val="24"/>
        </w:rPr>
        <w:t>單位：%</w:t>
      </w:r>
    </w:p>
    <w:tbl>
      <w:tblPr>
        <w:tblW w:w="8931" w:type="dxa"/>
        <w:tblInd w:w="-8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1843"/>
        <w:gridCol w:w="1181"/>
        <w:gridCol w:w="1181"/>
        <w:gridCol w:w="1182"/>
        <w:gridCol w:w="1181"/>
        <w:gridCol w:w="1181"/>
        <w:gridCol w:w="1182"/>
      </w:tblGrid>
      <w:tr w:rsidR="0038158B" w:rsidRPr="008A0934" w:rsidTr="00A53900">
        <w:trPr>
          <w:trHeight w:val="553"/>
          <w:tblHeader/>
        </w:trPr>
        <w:tc>
          <w:tcPr>
            <w:tcW w:w="1843" w:type="dxa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</w:tcPr>
          <w:p w:rsidR="0038158B" w:rsidRPr="00A53900" w:rsidRDefault="0038158B" w:rsidP="00A53900">
            <w:pPr>
              <w:pStyle w:val="142"/>
              <w:rPr>
                <w:b/>
              </w:rPr>
            </w:pPr>
            <w:r w:rsidRPr="00A53900">
              <w:rPr>
                <w:rFonts w:hint="eastAsia"/>
                <w:b/>
              </w:rPr>
              <w:t xml:space="preserve">  </w:t>
            </w:r>
            <w:r w:rsidR="00D434AB" w:rsidRPr="00A53900">
              <w:rPr>
                <w:rFonts w:hint="eastAsia"/>
                <w:b/>
              </w:rPr>
              <w:t xml:space="preserve">   </w:t>
            </w:r>
            <w:r w:rsidRPr="00A53900">
              <w:rPr>
                <w:rFonts w:hint="eastAsia"/>
                <w:b/>
              </w:rPr>
              <w:t xml:space="preserve"> </w:t>
            </w:r>
            <w:r w:rsidR="00A53900">
              <w:rPr>
                <w:rFonts w:hint="eastAsia"/>
                <w:b/>
                <w:lang w:eastAsia="zh-TW"/>
              </w:rPr>
              <w:t xml:space="preserve">  </w:t>
            </w:r>
            <w:r w:rsidRPr="00A53900">
              <w:rPr>
                <w:rFonts w:hint="eastAsia"/>
                <w:b/>
              </w:rPr>
              <w:t xml:space="preserve">  年</w:t>
            </w:r>
            <w:r w:rsidR="00465D0C" w:rsidRPr="00A53900">
              <w:rPr>
                <w:rFonts w:hint="eastAsia"/>
                <w:b/>
                <w:snapToGrid/>
              </w:rPr>
              <w:t>底</w:t>
            </w:r>
          </w:p>
          <w:p w:rsidR="0038158B" w:rsidRPr="00A53900" w:rsidRDefault="0038158B" w:rsidP="00A53900">
            <w:pPr>
              <w:pStyle w:val="142"/>
              <w:rPr>
                <w:rFonts w:hint="eastAsia"/>
                <w:b/>
              </w:rPr>
            </w:pPr>
            <w:r w:rsidRPr="00A53900">
              <w:rPr>
                <w:rFonts w:hint="eastAsia"/>
                <w:b/>
              </w:rPr>
              <w:t>銀行別</w:t>
            </w:r>
          </w:p>
        </w:tc>
        <w:tc>
          <w:tcPr>
            <w:tcW w:w="1181" w:type="dxa"/>
            <w:shd w:val="clear" w:color="auto" w:fill="auto"/>
            <w:vAlign w:val="center"/>
          </w:tcPr>
          <w:p w:rsidR="0038158B" w:rsidRPr="00A53900" w:rsidRDefault="0038158B" w:rsidP="00A53900">
            <w:pPr>
              <w:pStyle w:val="142"/>
              <w:jc w:val="center"/>
              <w:rPr>
                <w:b/>
                <w:snapToGrid/>
                <w:lang w:val="en-US" w:eastAsia="zh-TW"/>
              </w:rPr>
            </w:pPr>
            <w:r w:rsidRPr="00A53900">
              <w:rPr>
                <w:rFonts w:hint="eastAsia"/>
                <w:b/>
                <w:snapToGrid/>
                <w:lang w:val="en-US" w:eastAsia="zh-TW"/>
              </w:rPr>
              <w:t>108年</w:t>
            </w:r>
          </w:p>
        </w:tc>
        <w:tc>
          <w:tcPr>
            <w:tcW w:w="1181" w:type="dxa"/>
            <w:vAlign w:val="center"/>
          </w:tcPr>
          <w:p w:rsidR="0038158B" w:rsidRPr="00A53900" w:rsidRDefault="0038158B" w:rsidP="00A53900">
            <w:pPr>
              <w:pStyle w:val="142"/>
              <w:jc w:val="center"/>
              <w:rPr>
                <w:b/>
                <w:snapToGrid/>
                <w:lang w:val="en-US" w:eastAsia="zh-TW"/>
              </w:rPr>
            </w:pPr>
            <w:r w:rsidRPr="00A53900">
              <w:rPr>
                <w:rFonts w:hint="eastAsia"/>
                <w:b/>
                <w:snapToGrid/>
                <w:lang w:val="en-US" w:eastAsia="zh-TW"/>
              </w:rPr>
              <w:t>10</w:t>
            </w:r>
            <w:r w:rsidRPr="00A53900">
              <w:rPr>
                <w:b/>
                <w:snapToGrid/>
                <w:lang w:val="en-US" w:eastAsia="zh-TW"/>
              </w:rPr>
              <w:t>9</w:t>
            </w:r>
            <w:r w:rsidRPr="00A53900">
              <w:rPr>
                <w:rFonts w:hint="eastAsia"/>
                <w:b/>
                <w:snapToGrid/>
                <w:lang w:val="en-US" w:eastAsia="zh-TW"/>
              </w:rPr>
              <w:t>年</w:t>
            </w:r>
          </w:p>
        </w:tc>
        <w:tc>
          <w:tcPr>
            <w:tcW w:w="1182" w:type="dxa"/>
            <w:vAlign w:val="center"/>
          </w:tcPr>
          <w:p w:rsidR="0038158B" w:rsidRPr="00A53900" w:rsidRDefault="0038158B" w:rsidP="00A53900">
            <w:pPr>
              <w:pStyle w:val="142"/>
              <w:jc w:val="center"/>
              <w:rPr>
                <w:rFonts w:hint="eastAsia"/>
                <w:b/>
              </w:rPr>
            </w:pPr>
            <w:r w:rsidRPr="00A53900">
              <w:rPr>
                <w:rFonts w:hint="eastAsia"/>
                <w:b/>
                <w:snapToGrid/>
              </w:rPr>
              <w:t>110年</w:t>
            </w:r>
          </w:p>
        </w:tc>
        <w:tc>
          <w:tcPr>
            <w:tcW w:w="1181" w:type="dxa"/>
            <w:vAlign w:val="center"/>
          </w:tcPr>
          <w:p w:rsidR="0038158B" w:rsidRPr="00A53900" w:rsidRDefault="0038158B" w:rsidP="00A53900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A53900">
              <w:rPr>
                <w:rFonts w:hint="eastAsia"/>
                <w:b/>
                <w:snapToGrid/>
              </w:rPr>
              <w:t>111年</w:t>
            </w:r>
          </w:p>
        </w:tc>
        <w:tc>
          <w:tcPr>
            <w:tcW w:w="1181" w:type="dxa"/>
            <w:vAlign w:val="center"/>
          </w:tcPr>
          <w:p w:rsidR="0038158B" w:rsidRPr="00A53900" w:rsidRDefault="0038158B" w:rsidP="00A53900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A53900">
              <w:rPr>
                <w:rFonts w:hint="eastAsia"/>
                <w:b/>
                <w:snapToGrid/>
              </w:rPr>
              <w:t>112年</w:t>
            </w:r>
          </w:p>
        </w:tc>
        <w:tc>
          <w:tcPr>
            <w:tcW w:w="1182" w:type="dxa"/>
            <w:vAlign w:val="center"/>
          </w:tcPr>
          <w:p w:rsidR="0038158B" w:rsidRPr="00A53900" w:rsidRDefault="0038158B" w:rsidP="00A53900">
            <w:pPr>
              <w:pStyle w:val="142"/>
              <w:jc w:val="center"/>
              <w:rPr>
                <w:b/>
                <w:snapToGrid/>
              </w:rPr>
            </w:pPr>
            <w:r w:rsidRPr="00A53900">
              <w:rPr>
                <w:rFonts w:hint="eastAsia"/>
                <w:b/>
                <w:snapToGrid/>
              </w:rPr>
              <w:t>113年</w:t>
            </w:r>
          </w:p>
          <w:p w:rsidR="0038158B" w:rsidRPr="00A53900" w:rsidRDefault="0038158B" w:rsidP="00A53900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A53900">
              <w:rPr>
                <w:rFonts w:hint="eastAsia"/>
                <w:b/>
                <w:snapToGrid/>
              </w:rPr>
              <w:t>6月底</w:t>
            </w:r>
          </w:p>
        </w:tc>
      </w:tr>
      <w:tr w:rsidR="0038158B" w:rsidRPr="008A0934" w:rsidTr="00B77265">
        <w:trPr>
          <w:trHeight w:val="340"/>
        </w:trPr>
        <w:tc>
          <w:tcPr>
            <w:tcW w:w="1843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38158B" w:rsidRPr="00D434AB" w:rsidRDefault="0038158B" w:rsidP="00A53900">
            <w:pPr>
              <w:pStyle w:val="142"/>
            </w:pPr>
            <w:r w:rsidRPr="00D434AB">
              <w:rPr>
                <w:rFonts w:hint="eastAsia"/>
              </w:rPr>
              <w:t>臺灣土地銀行</w:t>
            </w:r>
          </w:p>
        </w:tc>
        <w:tc>
          <w:tcPr>
            <w:tcW w:w="1181" w:type="dxa"/>
            <w:shd w:val="clear" w:color="auto" w:fill="auto"/>
            <w:vAlign w:val="center"/>
          </w:tcPr>
          <w:p w:rsidR="0038158B" w:rsidRPr="00D434AB" w:rsidRDefault="0038158B" w:rsidP="00B77265">
            <w:pPr>
              <w:pStyle w:val="142"/>
              <w:jc w:val="right"/>
            </w:pPr>
            <w:r w:rsidRPr="00D434AB">
              <w:rPr>
                <w:rFonts w:hint="eastAsia"/>
              </w:rPr>
              <w:t>103.07</w:t>
            </w:r>
          </w:p>
        </w:tc>
        <w:tc>
          <w:tcPr>
            <w:tcW w:w="1181" w:type="dxa"/>
            <w:vAlign w:val="center"/>
          </w:tcPr>
          <w:p w:rsidR="0038158B" w:rsidRPr="00D434AB" w:rsidRDefault="0038158B" w:rsidP="00B77265">
            <w:pPr>
              <w:pStyle w:val="142"/>
              <w:jc w:val="right"/>
            </w:pPr>
            <w:r w:rsidRPr="00D434AB">
              <w:rPr>
                <w:rFonts w:hint="eastAsia"/>
              </w:rPr>
              <w:t>101.73</w:t>
            </w:r>
          </w:p>
        </w:tc>
        <w:tc>
          <w:tcPr>
            <w:tcW w:w="1182" w:type="dxa"/>
            <w:vAlign w:val="center"/>
          </w:tcPr>
          <w:p w:rsidR="0038158B" w:rsidRPr="00D434AB" w:rsidRDefault="0038158B" w:rsidP="00B77265">
            <w:pPr>
              <w:pStyle w:val="142"/>
              <w:jc w:val="right"/>
            </w:pPr>
            <w:r w:rsidRPr="00D434AB">
              <w:rPr>
                <w:rFonts w:hint="eastAsia"/>
              </w:rPr>
              <w:t>1</w:t>
            </w:r>
            <w:r w:rsidRPr="00D434AB">
              <w:t>10</w:t>
            </w:r>
            <w:r w:rsidRPr="00D434AB">
              <w:rPr>
                <w:rFonts w:hint="eastAsia"/>
              </w:rPr>
              <w:t>.</w:t>
            </w:r>
            <w:r w:rsidRPr="00D434AB">
              <w:t>97</w:t>
            </w:r>
          </w:p>
        </w:tc>
        <w:tc>
          <w:tcPr>
            <w:tcW w:w="1181" w:type="dxa"/>
            <w:vAlign w:val="center"/>
          </w:tcPr>
          <w:p w:rsidR="0038158B" w:rsidRPr="00D434AB" w:rsidRDefault="0038158B" w:rsidP="00B77265">
            <w:pPr>
              <w:pStyle w:val="142"/>
              <w:jc w:val="right"/>
              <w:rPr>
                <w:rFonts w:hint="eastAsia"/>
              </w:rPr>
            </w:pPr>
            <w:r w:rsidRPr="00D434AB">
              <w:rPr>
                <w:rFonts w:hint="eastAsia"/>
              </w:rPr>
              <w:t>111.49</w:t>
            </w:r>
          </w:p>
        </w:tc>
        <w:tc>
          <w:tcPr>
            <w:tcW w:w="1181" w:type="dxa"/>
            <w:vAlign w:val="center"/>
          </w:tcPr>
          <w:p w:rsidR="0038158B" w:rsidRPr="00D434AB" w:rsidRDefault="00D82951" w:rsidP="00B77265">
            <w:pPr>
              <w:pStyle w:val="142"/>
              <w:jc w:val="right"/>
              <w:rPr>
                <w:rFonts w:hint="eastAsia"/>
              </w:rPr>
            </w:pPr>
            <w:r w:rsidRPr="00D434AB">
              <w:rPr>
                <w:rFonts w:hint="eastAsia"/>
              </w:rPr>
              <w:t>115.76</w:t>
            </w:r>
          </w:p>
        </w:tc>
        <w:tc>
          <w:tcPr>
            <w:tcW w:w="1182" w:type="dxa"/>
            <w:vAlign w:val="center"/>
          </w:tcPr>
          <w:p w:rsidR="0038158B" w:rsidRPr="00D434AB" w:rsidRDefault="00D82951" w:rsidP="00B77265">
            <w:pPr>
              <w:pStyle w:val="142"/>
              <w:jc w:val="right"/>
              <w:rPr>
                <w:rFonts w:hint="eastAsia"/>
              </w:rPr>
            </w:pPr>
            <w:r w:rsidRPr="00D434AB">
              <w:rPr>
                <w:rFonts w:hint="eastAsia"/>
              </w:rPr>
              <w:t>103.2</w:t>
            </w:r>
          </w:p>
        </w:tc>
      </w:tr>
      <w:tr w:rsidR="0038158B" w:rsidRPr="008A0934" w:rsidTr="00B77265">
        <w:trPr>
          <w:trHeight w:val="340"/>
        </w:trPr>
        <w:tc>
          <w:tcPr>
            <w:tcW w:w="1843" w:type="dxa"/>
            <w:shd w:val="clear" w:color="auto" w:fill="auto"/>
            <w:vAlign w:val="center"/>
          </w:tcPr>
          <w:p w:rsidR="0038158B" w:rsidRPr="00D434AB" w:rsidRDefault="0038158B" w:rsidP="00A53900">
            <w:pPr>
              <w:pStyle w:val="142"/>
              <w:rPr>
                <w:rFonts w:hint="eastAsia"/>
              </w:rPr>
            </w:pPr>
            <w:r w:rsidRPr="00D434AB">
              <w:rPr>
                <w:rFonts w:hint="eastAsia"/>
              </w:rPr>
              <w:t>本國銀行平均數</w:t>
            </w:r>
          </w:p>
        </w:tc>
        <w:tc>
          <w:tcPr>
            <w:tcW w:w="1181" w:type="dxa"/>
            <w:shd w:val="clear" w:color="auto" w:fill="auto"/>
            <w:vAlign w:val="center"/>
          </w:tcPr>
          <w:p w:rsidR="0038158B" w:rsidRPr="00D434AB" w:rsidRDefault="0038158B" w:rsidP="00B77265">
            <w:pPr>
              <w:pStyle w:val="142"/>
              <w:jc w:val="right"/>
              <w:rPr>
                <w:rFonts w:hint="eastAsia"/>
              </w:rPr>
            </w:pPr>
            <w:r w:rsidRPr="00D434AB">
              <w:rPr>
                <w:rFonts w:hint="eastAsia"/>
              </w:rPr>
              <w:t>139.68</w:t>
            </w:r>
          </w:p>
        </w:tc>
        <w:tc>
          <w:tcPr>
            <w:tcW w:w="1181" w:type="dxa"/>
            <w:vAlign w:val="center"/>
          </w:tcPr>
          <w:p w:rsidR="0038158B" w:rsidRPr="00D434AB" w:rsidRDefault="0038158B" w:rsidP="00B77265">
            <w:pPr>
              <w:pStyle w:val="142"/>
              <w:jc w:val="right"/>
              <w:rPr>
                <w:rFonts w:hint="eastAsia"/>
              </w:rPr>
            </w:pPr>
            <w:r w:rsidRPr="00D434AB">
              <w:rPr>
                <w:rFonts w:hint="eastAsia"/>
              </w:rPr>
              <w:t>142.49</w:t>
            </w:r>
          </w:p>
        </w:tc>
        <w:tc>
          <w:tcPr>
            <w:tcW w:w="1182" w:type="dxa"/>
            <w:vAlign w:val="center"/>
          </w:tcPr>
          <w:p w:rsidR="0038158B" w:rsidRPr="00D434AB" w:rsidRDefault="0038158B" w:rsidP="00B77265">
            <w:pPr>
              <w:pStyle w:val="142"/>
              <w:jc w:val="right"/>
              <w:rPr>
                <w:rFonts w:hint="eastAsia"/>
              </w:rPr>
            </w:pPr>
            <w:r w:rsidRPr="00D434AB">
              <w:rPr>
                <w:rFonts w:hint="eastAsia"/>
              </w:rPr>
              <w:t>139.</w:t>
            </w:r>
            <w:r w:rsidRPr="00D434AB">
              <w:t>1</w:t>
            </w:r>
            <w:r w:rsidRPr="00D434AB">
              <w:rPr>
                <w:rFonts w:hint="eastAsia"/>
              </w:rPr>
              <w:t>2</w:t>
            </w:r>
          </w:p>
        </w:tc>
        <w:tc>
          <w:tcPr>
            <w:tcW w:w="1181" w:type="dxa"/>
            <w:vAlign w:val="center"/>
          </w:tcPr>
          <w:p w:rsidR="0038158B" w:rsidRPr="00D434AB" w:rsidRDefault="0038158B" w:rsidP="00B77265">
            <w:pPr>
              <w:pStyle w:val="142"/>
              <w:jc w:val="right"/>
              <w:rPr>
                <w:rFonts w:hint="eastAsia"/>
              </w:rPr>
            </w:pPr>
            <w:r w:rsidRPr="00D434AB">
              <w:rPr>
                <w:rFonts w:hint="eastAsia"/>
              </w:rPr>
              <w:t>137.46</w:t>
            </w:r>
          </w:p>
        </w:tc>
        <w:tc>
          <w:tcPr>
            <w:tcW w:w="1181" w:type="dxa"/>
            <w:vAlign w:val="center"/>
          </w:tcPr>
          <w:p w:rsidR="0038158B" w:rsidRPr="00D434AB" w:rsidRDefault="00D82951" w:rsidP="00B77265">
            <w:pPr>
              <w:pStyle w:val="142"/>
              <w:jc w:val="right"/>
              <w:rPr>
                <w:rFonts w:hint="eastAsia"/>
              </w:rPr>
            </w:pPr>
            <w:r w:rsidRPr="00D434AB">
              <w:rPr>
                <w:rFonts w:hint="eastAsia"/>
              </w:rPr>
              <w:t>139.08</w:t>
            </w:r>
          </w:p>
        </w:tc>
        <w:tc>
          <w:tcPr>
            <w:tcW w:w="1182" w:type="dxa"/>
            <w:vAlign w:val="center"/>
          </w:tcPr>
          <w:p w:rsidR="0038158B" w:rsidRPr="00D434AB" w:rsidRDefault="00D82951" w:rsidP="00B77265">
            <w:pPr>
              <w:pStyle w:val="142"/>
              <w:jc w:val="right"/>
              <w:rPr>
                <w:rFonts w:hint="eastAsia"/>
              </w:rPr>
            </w:pPr>
            <w:r w:rsidRPr="00D434AB">
              <w:rPr>
                <w:rFonts w:hint="eastAsia"/>
              </w:rPr>
              <w:t>127.9</w:t>
            </w:r>
          </w:p>
        </w:tc>
      </w:tr>
      <w:tr w:rsidR="00D434AB" w:rsidRPr="008A0934" w:rsidTr="00B77265">
        <w:tc>
          <w:tcPr>
            <w:tcW w:w="1843" w:type="dxa"/>
            <w:shd w:val="clear" w:color="auto" w:fill="auto"/>
            <w:vAlign w:val="center"/>
          </w:tcPr>
          <w:p w:rsidR="00D434AB" w:rsidRPr="008A0934" w:rsidRDefault="00D434AB" w:rsidP="00A53900">
            <w:pPr>
              <w:pStyle w:val="142"/>
              <w:rPr>
                <w:rFonts w:hint="eastAsia"/>
                <w:sz w:val="22"/>
                <w:szCs w:val="22"/>
              </w:rPr>
            </w:pPr>
            <w:r w:rsidRPr="00E012BD">
              <w:rPr>
                <w:rFonts w:hint="eastAsia"/>
              </w:rPr>
              <w:t>較本國銀行增</w:t>
            </w:r>
            <w:r>
              <w:rPr>
                <w:rFonts w:hint="eastAsia"/>
              </w:rPr>
              <w:t>加(</w:t>
            </w:r>
            <w:r w:rsidRPr="00E012BD">
              <w:rPr>
                <w:rFonts w:hint="eastAsia"/>
              </w:rPr>
              <w:t>減</w:t>
            </w:r>
            <w:r>
              <w:rPr>
                <w:rFonts w:hint="eastAsia"/>
              </w:rPr>
              <w:t>少)</w:t>
            </w:r>
          </w:p>
        </w:tc>
        <w:tc>
          <w:tcPr>
            <w:tcW w:w="1181" w:type="dxa"/>
            <w:shd w:val="clear" w:color="auto" w:fill="auto"/>
            <w:vAlign w:val="center"/>
          </w:tcPr>
          <w:p w:rsidR="00D434AB" w:rsidRPr="00D434AB" w:rsidRDefault="00D434AB" w:rsidP="00B77265">
            <w:pPr>
              <w:pStyle w:val="142"/>
              <w:jc w:val="right"/>
            </w:pPr>
            <w:r w:rsidRPr="00D434AB">
              <w:t>-36.61</w:t>
            </w:r>
          </w:p>
        </w:tc>
        <w:tc>
          <w:tcPr>
            <w:tcW w:w="1181" w:type="dxa"/>
            <w:vAlign w:val="center"/>
          </w:tcPr>
          <w:p w:rsidR="00D434AB" w:rsidRPr="00D434AB" w:rsidRDefault="00D434AB" w:rsidP="00B77265">
            <w:pPr>
              <w:pStyle w:val="142"/>
              <w:jc w:val="right"/>
            </w:pPr>
            <w:r w:rsidRPr="00D434AB">
              <w:t>-40.76</w:t>
            </w:r>
          </w:p>
        </w:tc>
        <w:tc>
          <w:tcPr>
            <w:tcW w:w="1182" w:type="dxa"/>
            <w:vAlign w:val="center"/>
          </w:tcPr>
          <w:p w:rsidR="00D434AB" w:rsidRPr="00D434AB" w:rsidRDefault="00D434AB" w:rsidP="00B77265">
            <w:pPr>
              <w:pStyle w:val="142"/>
              <w:jc w:val="right"/>
            </w:pPr>
            <w:r w:rsidRPr="00D434AB">
              <w:t>-28.16</w:t>
            </w:r>
          </w:p>
        </w:tc>
        <w:tc>
          <w:tcPr>
            <w:tcW w:w="1181" w:type="dxa"/>
            <w:vAlign w:val="center"/>
          </w:tcPr>
          <w:p w:rsidR="00D434AB" w:rsidRPr="00D434AB" w:rsidRDefault="00D434AB" w:rsidP="00B77265">
            <w:pPr>
              <w:pStyle w:val="142"/>
              <w:jc w:val="right"/>
            </w:pPr>
            <w:r w:rsidRPr="00D434AB">
              <w:t>-25.97</w:t>
            </w:r>
          </w:p>
        </w:tc>
        <w:tc>
          <w:tcPr>
            <w:tcW w:w="1181" w:type="dxa"/>
            <w:vAlign w:val="center"/>
          </w:tcPr>
          <w:p w:rsidR="00D434AB" w:rsidRPr="00D434AB" w:rsidRDefault="00D434AB" w:rsidP="00B77265">
            <w:pPr>
              <w:pStyle w:val="142"/>
              <w:jc w:val="right"/>
            </w:pPr>
            <w:r w:rsidRPr="00D434AB">
              <w:t>-23.32</w:t>
            </w:r>
          </w:p>
        </w:tc>
        <w:tc>
          <w:tcPr>
            <w:tcW w:w="1182" w:type="dxa"/>
            <w:vAlign w:val="center"/>
          </w:tcPr>
          <w:p w:rsidR="00D434AB" w:rsidRPr="00D434AB" w:rsidRDefault="00D434AB" w:rsidP="00B77265">
            <w:pPr>
              <w:pStyle w:val="142"/>
              <w:jc w:val="right"/>
            </w:pPr>
            <w:r w:rsidRPr="00D434AB">
              <w:t>-24.7</w:t>
            </w:r>
          </w:p>
        </w:tc>
      </w:tr>
    </w:tbl>
    <w:p w:rsidR="00043E89" w:rsidRPr="008A0934" w:rsidRDefault="00043E89" w:rsidP="00AD0022">
      <w:pPr>
        <w:pStyle w:val="142"/>
        <w:ind w:leftChars="1" w:left="1314" w:hangingChars="539" w:hanging="1311"/>
        <w:jc w:val="both"/>
        <w:rPr>
          <w:rFonts w:hAnsi="標楷體"/>
          <w:szCs w:val="24"/>
        </w:rPr>
      </w:pPr>
      <w:r>
        <w:rPr>
          <w:rFonts w:hAnsi="標楷體" w:hint="eastAsia"/>
          <w:szCs w:val="24"/>
          <w:lang w:eastAsia="zh-TW"/>
        </w:rPr>
        <w:t>資料來源</w:t>
      </w:r>
      <w:r>
        <w:rPr>
          <w:rFonts w:hAnsi="標楷體" w:hint="eastAsia"/>
          <w:szCs w:val="24"/>
        </w:rPr>
        <w:t>：</w:t>
      </w:r>
      <w:r>
        <w:rPr>
          <w:rFonts w:hAnsi="標楷體" w:hint="eastAsia"/>
          <w:szCs w:val="24"/>
          <w:lang w:eastAsia="zh-TW"/>
        </w:rPr>
        <w:t>中央銀行</w:t>
      </w:r>
      <w:r w:rsidRPr="008A0934">
        <w:rPr>
          <w:rFonts w:hAnsi="標楷體" w:hint="eastAsia"/>
          <w:szCs w:val="24"/>
          <w:lang w:eastAsia="zh-TW"/>
        </w:rPr>
        <w:t>網站及</w:t>
      </w:r>
      <w:r w:rsidRPr="008A0934">
        <w:rPr>
          <w:rFonts w:hAnsi="標楷體" w:hint="eastAsia"/>
          <w:szCs w:val="24"/>
        </w:rPr>
        <w:t>「銀行流動性覆蓋比率實施標準」</w:t>
      </w:r>
      <w:r>
        <w:rPr>
          <w:rFonts w:hAnsi="標楷體" w:hint="eastAsia"/>
          <w:szCs w:val="24"/>
        </w:rPr>
        <w:t>(11</w:t>
      </w:r>
      <w:r w:rsidR="000A70E8">
        <w:rPr>
          <w:rFonts w:hAnsi="標楷體" w:hint="eastAsia"/>
          <w:szCs w:val="24"/>
          <w:lang w:eastAsia="zh-TW"/>
        </w:rPr>
        <w:t>3</w:t>
      </w:r>
      <w:r>
        <w:rPr>
          <w:rFonts w:hAnsi="標楷體" w:hint="eastAsia"/>
          <w:szCs w:val="24"/>
        </w:rPr>
        <w:t>年</w:t>
      </w:r>
      <w:r w:rsidR="00DE6615">
        <w:rPr>
          <w:rFonts w:hAnsi="標楷體" w:hint="eastAsia"/>
          <w:szCs w:val="24"/>
          <w:lang w:eastAsia="zh-TW"/>
        </w:rPr>
        <w:t>11</w:t>
      </w:r>
      <w:r>
        <w:rPr>
          <w:rFonts w:hAnsi="標楷體" w:hint="eastAsia"/>
          <w:szCs w:val="24"/>
        </w:rPr>
        <w:t>月</w:t>
      </w:r>
      <w:r w:rsidR="00DE6615">
        <w:rPr>
          <w:rFonts w:hAnsi="標楷體" w:hint="eastAsia"/>
          <w:szCs w:val="24"/>
          <w:lang w:eastAsia="zh-TW"/>
        </w:rPr>
        <w:t>1</w:t>
      </w:r>
      <w:r>
        <w:rPr>
          <w:rFonts w:hAnsi="標楷體" w:hint="eastAsia"/>
          <w:szCs w:val="24"/>
          <w:lang w:eastAsia="zh-TW"/>
        </w:rPr>
        <w:t>日</w:t>
      </w:r>
      <w:r>
        <w:rPr>
          <w:rFonts w:hAnsi="標楷體" w:hint="eastAsia"/>
          <w:szCs w:val="24"/>
        </w:rPr>
        <w:t>)</w:t>
      </w:r>
      <w:r w:rsidRPr="008A0934">
        <w:rPr>
          <w:rFonts w:hAnsi="標楷體" w:hint="eastAsia"/>
          <w:szCs w:val="24"/>
        </w:rPr>
        <w:t>。</w:t>
      </w:r>
    </w:p>
    <w:p w:rsidR="00043E89" w:rsidRPr="00043E89" w:rsidRDefault="00043E89" w:rsidP="000A70E8">
      <w:pPr>
        <w:ind w:left="566" w:firstLine="566"/>
        <w:rPr>
          <w:rFonts w:hint="eastAsia"/>
        </w:rPr>
      </w:pPr>
      <w:r w:rsidRPr="008A0934">
        <w:rPr>
          <w:rFonts w:hint="eastAsia"/>
        </w:rPr>
        <w:t>綜上，臺灣土地銀行</w:t>
      </w:r>
      <w:r>
        <w:rPr>
          <w:rFonts w:hint="eastAsia"/>
        </w:rPr>
        <w:t>歷年</w:t>
      </w:r>
      <w:r w:rsidRPr="00C87C68">
        <w:rPr>
          <w:rFonts w:hint="eastAsia"/>
        </w:rPr>
        <w:t>流動性覆蓋比率</w:t>
      </w:r>
      <w:r>
        <w:rPr>
          <w:rFonts w:hint="eastAsia"/>
        </w:rPr>
        <w:t>皆符法定最低要求，</w:t>
      </w:r>
      <w:r w:rsidR="000A70E8">
        <w:rPr>
          <w:rFonts w:hint="eastAsia"/>
        </w:rPr>
        <w:t>雖經年低於同業平均水準，然</w:t>
      </w:r>
      <w:r w:rsidR="008F09DA" w:rsidRPr="004E00D5">
        <w:rPr>
          <w:rFonts w:hint="eastAsia"/>
        </w:rPr>
        <w:t>是項比率</w:t>
      </w:r>
      <w:r w:rsidR="000A70E8">
        <w:rPr>
          <w:rFonts w:hint="eastAsia"/>
        </w:rPr>
        <w:t>自110年起</w:t>
      </w:r>
      <w:r w:rsidR="008F09DA">
        <w:rPr>
          <w:rFonts w:hint="eastAsia"/>
        </w:rPr>
        <w:t>逐年上升</w:t>
      </w:r>
      <w:r w:rsidR="000A70E8">
        <w:rPr>
          <w:rFonts w:hint="eastAsia"/>
        </w:rPr>
        <w:t>，</w:t>
      </w:r>
      <w:r w:rsidR="008F09DA">
        <w:rPr>
          <w:rFonts w:hint="eastAsia"/>
        </w:rPr>
        <w:t>爰與本國銀行平均數值之差距已有逐年</w:t>
      </w:r>
      <w:r w:rsidR="002F15A7">
        <w:rPr>
          <w:rFonts w:hint="eastAsia"/>
        </w:rPr>
        <w:t>縮小</w:t>
      </w:r>
      <w:r w:rsidR="000A70E8">
        <w:rPr>
          <w:rFonts w:hint="eastAsia"/>
        </w:rPr>
        <w:t>，惟</w:t>
      </w:r>
      <w:r w:rsidR="000A70E8" w:rsidRPr="004E00D5">
        <w:rPr>
          <w:rFonts w:hint="eastAsia"/>
        </w:rPr>
        <w:t>截至</w:t>
      </w:r>
      <w:r w:rsidR="001A1920" w:rsidRPr="004E00D5">
        <w:rPr>
          <w:rFonts w:hint="eastAsia"/>
        </w:rPr>
        <w:t>113年</w:t>
      </w:r>
      <w:r w:rsidR="000A70E8" w:rsidRPr="004E00D5">
        <w:rPr>
          <w:rFonts w:hint="eastAsia"/>
        </w:rPr>
        <w:t>6月底止</w:t>
      </w:r>
      <w:r w:rsidR="000A70E8">
        <w:rPr>
          <w:rFonts w:hint="eastAsia"/>
        </w:rPr>
        <w:t>，</w:t>
      </w:r>
      <w:r w:rsidR="008F09DA">
        <w:rPr>
          <w:rFonts w:hint="eastAsia"/>
        </w:rPr>
        <w:t>該行</w:t>
      </w:r>
      <w:r w:rsidR="008F09DA" w:rsidRPr="00C87C68">
        <w:rPr>
          <w:rFonts w:hint="eastAsia"/>
        </w:rPr>
        <w:t>流動性覆蓋比率</w:t>
      </w:r>
      <w:r w:rsidR="008F09DA">
        <w:rPr>
          <w:rFonts w:hint="eastAsia"/>
        </w:rPr>
        <w:t>除</w:t>
      </w:r>
      <w:r w:rsidR="000A70E8" w:rsidRPr="004E00D5">
        <w:rPr>
          <w:rFonts w:hint="eastAsia"/>
        </w:rPr>
        <w:t>較112年底下降</w:t>
      </w:r>
      <w:r w:rsidR="008F09DA" w:rsidRPr="005F59CD">
        <w:rPr>
          <w:rFonts w:hint="eastAsia"/>
        </w:rPr>
        <w:t>12.56個百分點</w:t>
      </w:r>
      <w:r w:rsidR="008F09DA">
        <w:rPr>
          <w:rFonts w:hint="eastAsia"/>
        </w:rPr>
        <w:t>外</w:t>
      </w:r>
      <w:r w:rsidR="000A70E8" w:rsidRPr="004E00D5">
        <w:rPr>
          <w:rFonts w:hint="eastAsia"/>
        </w:rPr>
        <w:t>，</w:t>
      </w:r>
      <w:r w:rsidR="008F09DA">
        <w:rPr>
          <w:rFonts w:hint="eastAsia"/>
        </w:rPr>
        <w:t>其</w:t>
      </w:r>
      <w:r w:rsidR="000A70E8">
        <w:rPr>
          <w:rFonts w:hint="eastAsia"/>
        </w:rPr>
        <w:t>減幅</w:t>
      </w:r>
      <w:r w:rsidR="008F09DA">
        <w:rPr>
          <w:rFonts w:hint="eastAsia"/>
        </w:rPr>
        <w:t>亦</w:t>
      </w:r>
      <w:r w:rsidR="000A70E8">
        <w:rPr>
          <w:rFonts w:hint="eastAsia"/>
        </w:rPr>
        <w:t>略高於同業平均水準，</w:t>
      </w:r>
      <w:r w:rsidR="000A70E8" w:rsidRPr="004E00D5">
        <w:rPr>
          <w:rFonts w:hint="eastAsia"/>
        </w:rPr>
        <w:t>允宜持續積極改善</w:t>
      </w:r>
      <w:r w:rsidRPr="00404126">
        <w:rPr>
          <w:rFonts w:hint="eastAsia"/>
        </w:rPr>
        <w:t>，</w:t>
      </w:r>
      <w:r w:rsidR="00992ED2">
        <w:rPr>
          <w:rFonts w:hint="eastAsia"/>
        </w:rPr>
        <w:t>通盤強化資產負債結構，</w:t>
      </w:r>
      <w:r w:rsidRPr="00404126">
        <w:rPr>
          <w:rFonts w:hint="eastAsia"/>
        </w:rPr>
        <w:t>俾有效管控流動性風險</w:t>
      </w:r>
      <w:r w:rsidRPr="00404126">
        <w:rPr>
          <w:rFonts w:hAnsi="標楷體" w:hint="eastAsia"/>
        </w:rPr>
        <w:t>。</w:t>
      </w:r>
    </w:p>
    <w:sectPr w:rsidR="00043E89" w:rsidRPr="00043E89" w:rsidSect="00305F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6FE9" w:rsidRDefault="00126FE9" w:rsidP="006D696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26FE9" w:rsidRDefault="00126FE9" w:rsidP="006D696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Default="008D2414" w:rsidP="006D696D">
    <w:pPr>
      <w:pStyle w:val="af2"/>
      <w:framePr w:wrap="around" w:vAnchor="text" w:hAnchor="margin" w:xAlign="center" w:y="1"/>
      <w:ind w:left="560" w:firstLine="400"/>
      <w:textDirection w:val="btLr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>
      <w:rPr>
        <w:rStyle w:val="af1"/>
        <w:rFonts w:hint="eastAsia"/>
        <w:noProof/>
      </w:rPr>
      <w:t>一</w:t>
    </w:r>
    <w:r>
      <w:rPr>
        <w:rStyle w:val="af1"/>
      </w:rPr>
      <w:fldChar w:fldCharType="end"/>
    </w:r>
  </w:p>
  <w:p w:rsidR="008D2414" w:rsidRDefault="008D2414" w:rsidP="006D696D">
    <w:pPr>
      <w:pStyle w:val="af2"/>
      <w:ind w:left="560" w:rightChars="129" w:right="361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Pr="008320F9" w:rsidRDefault="008D2414" w:rsidP="00CD4BCB">
    <w:pPr>
      <w:pStyle w:val="af2"/>
      <w:framePr w:wrap="around" w:vAnchor="text" w:hAnchor="page" w:x="5836" w:y="7"/>
      <w:ind w:leftChars="0" w:left="0" w:firstLineChars="0" w:firstLine="0"/>
      <w:rPr>
        <w:rStyle w:val="af1"/>
        <w:rFonts w:ascii="標楷體" w:hAnsi="標楷體"/>
      </w:rPr>
    </w:pPr>
    <w:r w:rsidRPr="008320F9">
      <w:rPr>
        <w:rStyle w:val="af1"/>
        <w:rFonts w:ascii="標楷體" w:hAnsi="標楷體"/>
      </w:rPr>
      <w:fldChar w:fldCharType="begin"/>
    </w:r>
    <w:r w:rsidRPr="008320F9">
      <w:rPr>
        <w:rStyle w:val="af1"/>
        <w:rFonts w:ascii="標楷體" w:hAnsi="標楷體"/>
      </w:rPr>
      <w:instrText xml:space="preserve">PAGE  </w:instrText>
    </w:r>
    <w:r w:rsidRPr="008320F9">
      <w:rPr>
        <w:rStyle w:val="af1"/>
        <w:rFonts w:ascii="標楷體" w:hAnsi="標楷體"/>
      </w:rPr>
      <w:fldChar w:fldCharType="separate"/>
    </w:r>
    <w:r w:rsidR="009F013C">
      <w:rPr>
        <w:rStyle w:val="af1"/>
        <w:rFonts w:ascii="標楷體" w:hAnsi="標楷體"/>
        <w:noProof/>
      </w:rPr>
      <w:t>3</w:t>
    </w:r>
    <w:r w:rsidRPr="008320F9">
      <w:rPr>
        <w:rStyle w:val="af1"/>
        <w:rFonts w:ascii="標楷體" w:hAnsi="標楷體"/>
      </w:rPr>
      <w:fldChar w:fldCharType="end"/>
    </w:r>
  </w:p>
  <w:p w:rsidR="008D2414" w:rsidRPr="009E56BE" w:rsidRDefault="008D2414" w:rsidP="00243FFD">
    <w:pPr>
      <w:pStyle w:val="af2"/>
      <w:ind w:leftChars="0" w:left="566" w:firstLineChars="0" w:firstLine="406"/>
      <w:rPr>
        <w:rStyle w:val="af1"/>
        <w:rFonts w:ascii="標楷體" w:hAnsi="標楷體"/>
        <w:noProof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Pr="00436B28" w:rsidRDefault="008D2414" w:rsidP="000F1AC9">
    <w:pPr>
      <w:pStyle w:val="af2"/>
      <w:ind w:leftChars="0" w:left="566" w:firstLineChars="0" w:firstLine="406"/>
      <w:jc w:val="center"/>
      <w:rPr>
        <w:rFonts w:ascii="標楷體" w:hAnsi="標楷體"/>
      </w:rPr>
    </w:pPr>
    <w:r w:rsidRPr="00436B28">
      <w:rPr>
        <w:rFonts w:ascii="標楷體" w:hAnsi="標楷體" w:hint="eastAsia"/>
      </w:rPr>
      <w:t>106-</w:t>
    </w:r>
    <w:r>
      <w:rPr>
        <w:rFonts w:ascii="標楷體" w:hAnsi="標楷體" w:hint="eastAsia"/>
      </w:rPr>
      <w:t>283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6FE9" w:rsidRDefault="00126FE9" w:rsidP="006D696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26FE9" w:rsidRDefault="00126FE9" w:rsidP="006D696D">
      <w:pPr>
        <w:spacing w:line="240" w:lineRule="auto"/>
        <w:ind w:left="560" w:firstLine="560"/>
      </w:pPr>
      <w:r>
        <w:continuationSeparator/>
      </w:r>
    </w:p>
  </w:footnote>
  <w:footnote w:id="1">
    <w:p w:rsidR="008D2414" w:rsidRPr="0017181C" w:rsidRDefault="008D2414" w:rsidP="00D0026B">
      <w:pPr>
        <w:pStyle w:val="142"/>
        <w:ind w:left="195" w:hangingChars="80" w:hanging="195"/>
        <w:rPr>
          <w:rFonts w:hint="eastAsia"/>
          <w:lang w:eastAsia="zh-TW"/>
        </w:rPr>
      </w:pPr>
      <w:r>
        <w:rPr>
          <w:rStyle w:val="af6"/>
        </w:rPr>
        <w:footnoteRef/>
      </w:r>
      <w:r>
        <w:t xml:space="preserve"> </w:t>
      </w:r>
      <w:r w:rsidRPr="0017181C">
        <w:rPr>
          <w:rFonts w:hint="eastAsia"/>
        </w:rPr>
        <w:t>依銀行流動性覆蓋比率實施標準第2條第1項規定</w:t>
      </w:r>
      <w:r w:rsidR="0095161E">
        <w:rPr>
          <w:rFonts w:hint="eastAsia"/>
          <w:lang w:eastAsia="zh-TW"/>
        </w:rPr>
        <w:t>略以</w:t>
      </w:r>
      <w:r w:rsidRPr="0017181C">
        <w:rPr>
          <w:rFonts w:hint="eastAsia"/>
        </w:rPr>
        <w:t>，流動性覆蓋比率係指合格高品質流動性資產總額除以未來</w:t>
      </w:r>
      <w:r>
        <w:rPr>
          <w:rFonts w:hint="eastAsia"/>
          <w:lang w:eastAsia="zh-TW"/>
        </w:rPr>
        <w:t>30</w:t>
      </w:r>
      <w:r w:rsidRPr="0017181C">
        <w:rPr>
          <w:rFonts w:hint="eastAsia"/>
        </w:rPr>
        <w:t>個日曆日內之淨現金流出總額。</w:t>
      </w:r>
    </w:p>
  </w:footnote>
  <w:footnote w:id="2">
    <w:p w:rsidR="008D2414" w:rsidRPr="0017181C" w:rsidRDefault="008D2414" w:rsidP="00502B7F">
      <w:pPr>
        <w:pStyle w:val="142"/>
        <w:ind w:left="195" w:hangingChars="80" w:hanging="195"/>
        <w:rPr>
          <w:rFonts w:hint="eastAsia"/>
          <w:lang w:eastAsia="zh-TW"/>
        </w:rPr>
      </w:pPr>
      <w:r>
        <w:rPr>
          <w:rStyle w:val="af6"/>
        </w:rPr>
        <w:footnoteRef/>
      </w:r>
      <w:r>
        <w:t xml:space="preserve"> </w:t>
      </w:r>
      <w:r>
        <w:rPr>
          <w:rFonts w:hint="eastAsia"/>
          <w:lang w:eastAsia="zh-TW"/>
        </w:rPr>
        <w:t>依</w:t>
      </w:r>
      <w:r w:rsidRPr="0017181C">
        <w:rPr>
          <w:rFonts w:hint="eastAsia"/>
          <w:lang w:eastAsia="zh-TW"/>
        </w:rPr>
        <w:t>銀行淨穩定</w:t>
      </w:r>
      <w:r w:rsidRPr="0017181C">
        <w:rPr>
          <w:rFonts w:hint="eastAsia"/>
        </w:rPr>
        <w:t>資金</w:t>
      </w:r>
      <w:r w:rsidRPr="0017181C">
        <w:rPr>
          <w:rFonts w:hint="eastAsia"/>
          <w:lang w:eastAsia="zh-TW"/>
        </w:rPr>
        <w:t>比率實施標準</w:t>
      </w:r>
      <w:r>
        <w:rPr>
          <w:rFonts w:hint="eastAsia"/>
          <w:lang w:eastAsia="zh-TW"/>
        </w:rPr>
        <w:t>第2條規定</w:t>
      </w:r>
      <w:r w:rsidR="0095161E">
        <w:rPr>
          <w:rFonts w:hint="eastAsia"/>
          <w:lang w:eastAsia="zh-TW"/>
        </w:rPr>
        <w:t>略以</w:t>
      </w:r>
      <w:r>
        <w:rPr>
          <w:rFonts w:hint="eastAsia"/>
          <w:lang w:eastAsia="zh-TW"/>
        </w:rPr>
        <w:t>，</w:t>
      </w:r>
      <w:r w:rsidRPr="0017181C">
        <w:rPr>
          <w:rFonts w:hint="eastAsia"/>
          <w:lang w:eastAsia="zh-TW"/>
        </w:rPr>
        <w:t>淨穩定資金比率係指可用穩定資金除以應有穩定資金</w:t>
      </w:r>
      <w:r>
        <w:rPr>
          <w:rFonts w:hint="eastAsia"/>
          <w:lang w:eastAsia="zh-TW"/>
        </w:rPr>
        <w:t>。</w:t>
      </w:r>
    </w:p>
  </w:footnote>
  <w:footnote w:id="3">
    <w:p w:rsidR="008D2414" w:rsidRPr="00281522" w:rsidRDefault="008D2414" w:rsidP="004374DA">
      <w:pPr>
        <w:pStyle w:val="142"/>
        <w:ind w:left="195" w:hangingChars="80" w:hanging="195"/>
        <w:rPr>
          <w:rFonts w:hint="eastAsia"/>
        </w:rPr>
      </w:pPr>
      <w:r>
        <w:rPr>
          <w:rStyle w:val="af6"/>
        </w:rPr>
        <w:footnoteRef/>
      </w:r>
      <w:r>
        <w:rPr>
          <w:rFonts w:hint="eastAsia"/>
          <w:lang w:eastAsia="zh-TW"/>
        </w:rPr>
        <w:t xml:space="preserve"> </w:t>
      </w:r>
      <w:r>
        <w:rPr>
          <w:rFonts w:hint="eastAsia"/>
        </w:rPr>
        <w:t>資料來源，「</w:t>
      </w:r>
      <w:r>
        <w:rPr>
          <w:rFonts w:hint="eastAsia"/>
          <w:lang w:eastAsia="zh-TW"/>
        </w:rPr>
        <w:t>銀行流動性覆蓋比率實施標準</w:t>
      </w:r>
      <w:r>
        <w:rPr>
          <w:rFonts w:hint="eastAsia"/>
        </w:rPr>
        <w:t>」總說明。</w:t>
      </w:r>
    </w:p>
  </w:footnote>
  <w:footnote w:id="4">
    <w:p w:rsidR="008D2414" w:rsidRPr="004374DA" w:rsidRDefault="008D2414" w:rsidP="004374DA">
      <w:pPr>
        <w:pStyle w:val="142"/>
        <w:ind w:left="195" w:hangingChars="80" w:hanging="195"/>
        <w:rPr>
          <w:rFonts w:hint="eastAsia"/>
          <w:lang w:val="en-US" w:eastAsia="zh-TW"/>
        </w:rPr>
      </w:pPr>
      <w:r>
        <w:rPr>
          <w:rStyle w:val="af6"/>
        </w:rPr>
        <w:footnoteRef/>
      </w:r>
      <w:r>
        <w:t xml:space="preserve"> </w:t>
      </w:r>
      <w:r>
        <w:rPr>
          <w:rFonts w:hint="eastAsia"/>
          <w:lang w:eastAsia="zh-TW"/>
        </w:rPr>
        <w:t>依「</w:t>
      </w:r>
      <w:r w:rsidRPr="004374DA">
        <w:rPr>
          <w:rFonts w:hint="eastAsia"/>
          <w:lang w:eastAsia="zh-TW"/>
        </w:rPr>
        <w:t>銀行流動性覆蓋比率實施標準</w:t>
      </w:r>
      <w:r>
        <w:rPr>
          <w:rFonts w:hint="eastAsia"/>
        </w:rPr>
        <w:t>」</w:t>
      </w:r>
      <w:r>
        <w:rPr>
          <w:rFonts w:hint="eastAsia"/>
          <w:lang w:eastAsia="zh-TW"/>
        </w:rPr>
        <w:t>第3條第1項規定：「</w:t>
      </w:r>
      <w:r w:rsidR="00E21F24" w:rsidRPr="00E21F24">
        <w:rPr>
          <w:rFonts w:hint="eastAsia"/>
          <w:lang w:eastAsia="zh-TW"/>
        </w:rPr>
        <w:t>銀行依前條規定計算之流動性覆蓋比率，自中華民國一百零四年一月一日起不得低於百分之六十，一百零五年一月一日起不得低於百分之七十，一百零六年一月一日起不得低於百分之八十，一百零七年一月一日起不得低於百分之九十，一百零八年一月一日起不得低於百分之百。但工業銀行自一百零四年一月一日起，各年度不得低於百分之六十。</w:t>
      </w:r>
      <w:r>
        <w:rPr>
          <w:rFonts w:hint="eastAsia"/>
          <w:lang w:eastAsia="zh-TW"/>
        </w:rPr>
        <w:t>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Default="008D2414" w:rsidP="006D696D">
    <w:pPr>
      <w:pStyle w:val="af"/>
      <w:framePr w:wrap="around" w:vAnchor="text" w:hAnchor="margin" w:xAlign="right" w:y="1"/>
      <w:ind w:left="560" w:firstLine="40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D2414" w:rsidRDefault="008D2414" w:rsidP="006D696D">
    <w:pPr>
      <w:pStyle w:val="af"/>
      <w:framePr w:wrap="around" w:vAnchor="text" w:hAnchor="margin" w:xAlign="right" w:y="1"/>
      <w:ind w:left="560" w:rightChars="129" w:right="361" w:firstLine="40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D2414" w:rsidRDefault="008D2414" w:rsidP="006D696D">
    <w:pPr>
      <w:pStyle w:val="af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Pr="007E4706" w:rsidRDefault="008D2414" w:rsidP="006D696D">
    <w:pPr>
      <w:pStyle w:val="af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Default="008D2414" w:rsidP="006D696D">
    <w:pPr>
      <w:pStyle w:val="af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74977"/>
    <w:multiLevelType w:val="hybridMultilevel"/>
    <w:tmpl w:val="8056C05C"/>
    <w:lvl w:ilvl="0" w:tplc="25DCD2AA">
      <w:start w:val="1"/>
      <w:numFmt w:val="taiwaneseCountingThousand"/>
      <w:lvlText w:val="(%1)"/>
      <w:lvlJc w:val="left"/>
      <w:pPr>
        <w:ind w:left="157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E137F86"/>
    <w:multiLevelType w:val="hybridMultilevel"/>
    <w:tmpl w:val="6B2AC408"/>
    <w:lvl w:ilvl="0" w:tplc="097891F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68AA1A3B"/>
    <w:multiLevelType w:val="hybridMultilevel"/>
    <w:tmpl w:val="9E4C3C42"/>
    <w:lvl w:ilvl="0" w:tplc="A49CA30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0"/>
  </w:num>
  <w:num w:numId="2">
    <w:abstractNumId w:val="3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A0F4F"/>
    <w:rsid w:val="000013A2"/>
    <w:rsid w:val="000039DB"/>
    <w:rsid w:val="00003AE1"/>
    <w:rsid w:val="00003EFE"/>
    <w:rsid w:val="00003F0B"/>
    <w:rsid w:val="0000410C"/>
    <w:rsid w:val="00004508"/>
    <w:rsid w:val="000049C6"/>
    <w:rsid w:val="00005CD3"/>
    <w:rsid w:val="00005EC9"/>
    <w:rsid w:val="00005F59"/>
    <w:rsid w:val="00006094"/>
    <w:rsid w:val="000063E9"/>
    <w:rsid w:val="00006DDD"/>
    <w:rsid w:val="00006F1C"/>
    <w:rsid w:val="0000721E"/>
    <w:rsid w:val="00007378"/>
    <w:rsid w:val="00007907"/>
    <w:rsid w:val="00010365"/>
    <w:rsid w:val="00010A3A"/>
    <w:rsid w:val="00010C3A"/>
    <w:rsid w:val="000114AD"/>
    <w:rsid w:val="000114AE"/>
    <w:rsid w:val="00011DFD"/>
    <w:rsid w:val="000121FB"/>
    <w:rsid w:val="000137A3"/>
    <w:rsid w:val="00013CDC"/>
    <w:rsid w:val="00014178"/>
    <w:rsid w:val="00014241"/>
    <w:rsid w:val="0001430C"/>
    <w:rsid w:val="000145AD"/>
    <w:rsid w:val="00014AFF"/>
    <w:rsid w:val="000154BF"/>
    <w:rsid w:val="000158D6"/>
    <w:rsid w:val="00015CA0"/>
    <w:rsid w:val="00016368"/>
    <w:rsid w:val="0001713C"/>
    <w:rsid w:val="000174EB"/>
    <w:rsid w:val="0001755B"/>
    <w:rsid w:val="00017D3C"/>
    <w:rsid w:val="000204EC"/>
    <w:rsid w:val="0002058B"/>
    <w:rsid w:val="000205F8"/>
    <w:rsid w:val="0002086B"/>
    <w:rsid w:val="00020A15"/>
    <w:rsid w:val="00020AEA"/>
    <w:rsid w:val="0002178C"/>
    <w:rsid w:val="00021BAD"/>
    <w:rsid w:val="00021CBF"/>
    <w:rsid w:val="00021F8B"/>
    <w:rsid w:val="0002302E"/>
    <w:rsid w:val="000240BE"/>
    <w:rsid w:val="00024372"/>
    <w:rsid w:val="00024542"/>
    <w:rsid w:val="00025CC1"/>
    <w:rsid w:val="000264F3"/>
    <w:rsid w:val="0002694A"/>
    <w:rsid w:val="00026F1F"/>
    <w:rsid w:val="00026F2A"/>
    <w:rsid w:val="000301DC"/>
    <w:rsid w:val="00030B8A"/>
    <w:rsid w:val="00030FF4"/>
    <w:rsid w:val="0003122C"/>
    <w:rsid w:val="000314FC"/>
    <w:rsid w:val="00032C58"/>
    <w:rsid w:val="00032D88"/>
    <w:rsid w:val="000332C9"/>
    <w:rsid w:val="0003367C"/>
    <w:rsid w:val="00033F2F"/>
    <w:rsid w:val="0003577D"/>
    <w:rsid w:val="0003584F"/>
    <w:rsid w:val="00035965"/>
    <w:rsid w:val="00035CBF"/>
    <w:rsid w:val="00036001"/>
    <w:rsid w:val="00036139"/>
    <w:rsid w:val="00037D0B"/>
    <w:rsid w:val="00037F83"/>
    <w:rsid w:val="0004064A"/>
    <w:rsid w:val="00040D83"/>
    <w:rsid w:val="00041A6C"/>
    <w:rsid w:val="0004219F"/>
    <w:rsid w:val="0004243D"/>
    <w:rsid w:val="000427DA"/>
    <w:rsid w:val="000432D7"/>
    <w:rsid w:val="00043430"/>
    <w:rsid w:val="00043558"/>
    <w:rsid w:val="00043970"/>
    <w:rsid w:val="00043DE9"/>
    <w:rsid w:val="00043E89"/>
    <w:rsid w:val="00043EC7"/>
    <w:rsid w:val="00044197"/>
    <w:rsid w:val="00044B6C"/>
    <w:rsid w:val="00044C1B"/>
    <w:rsid w:val="00044C44"/>
    <w:rsid w:val="00045007"/>
    <w:rsid w:val="0004508D"/>
    <w:rsid w:val="0004521D"/>
    <w:rsid w:val="000454C4"/>
    <w:rsid w:val="000459AC"/>
    <w:rsid w:val="0004607F"/>
    <w:rsid w:val="00047148"/>
    <w:rsid w:val="00047640"/>
    <w:rsid w:val="000478DB"/>
    <w:rsid w:val="00047B36"/>
    <w:rsid w:val="000501E4"/>
    <w:rsid w:val="0005045A"/>
    <w:rsid w:val="00051A3B"/>
    <w:rsid w:val="00051B04"/>
    <w:rsid w:val="00052665"/>
    <w:rsid w:val="0005483F"/>
    <w:rsid w:val="00054A87"/>
    <w:rsid w:val="0005600A"/>
    <w:rsid w:val="0005663B"/>
    <w:rsid w:val="00056875"/>
    <w:rsid w:val="000572C1"/>
    <w:rsid w:val="00057312"/>
    <w:rsid w:val="00057D22"/>
    <w:rsid w:val="00057D5F"/>
    <w:rsid w:val="00060441"/>
    <w:rsid w:val="000611E9"/>
    <w:rsid w:val="000616C4"/>
    <w:rsid w:val="000617D1"/>
    <w:rsid w:val="00062864"/>
    <w:rsid w:val="00062AAC"/>
    <w:rsid w:val="00063B3B"/>
    <w:rsid w:val="00063BA5"/>
    <w:rsid w:val="0006463D"/>
    <w:rsid w:val="00065900"/>
    <w:rsid w:val="00065C77"/>
    <w:rsid w:val="00066065"/>
    <w:rsid w:val="00066436"/>
    <w:rsid w:val="000669AB"/>
    <w:rsid w:val="00067635"/>
    <w:rsid w:val="0007064A"/>
    <w:rsid w:val="00070664"/>
    <w:rsid w:val="00071161"/>
    <w:rsid w:val="00071C0D"/>
    <w:rsid w:val="000726C4"/>
    <w:rsid w:val="0007334C"/>
    <w:rsid w:val="00073723"/>
    <w:rsid w:val="00074AA2"/>
    <w:rsid w:val="00074D91"/>
    <w:rsid w:val="0007543F"/>
    <w:rsid w:val="00075AD5"/>
    <w:rsid w:val="00075FF0"/>
    <w:rsid w:val="00076155"/>
    <w:rsid w:val="000761CE"/>
    <w:rsid w:val="00076228"/>
    <w:rsid w:val="00076BAC"/>
    <w:rsid w:val="00076BEB"/>
    <w:rsid w:val="00077DDD"/>
    <w:rsid w:val="00080373"/>
    <w:rsid w:val="000809A5"/>
    <w:rsid w:val="00080AB8"/>
    <w:rsid w:val="00080B01"/>
    <w:rsid w:val="00080BE9"/>
    <w:rsid w:val="0008123C"/>
    <w:rsid w:val="00081517"/>
    <w:rsid w:val="00081E0C"/>
    <w:rsid w:val="0008252F"/>
    <w:rsid w:val="000830CE"/>
    <w:rsid w:val="00083AC3"/>
    <w:rsid w:val="0008460A"/>
    <w:rsid w:val="000847BF"/>
    <w:rsid w:val="00084F70"/>
    <w:rsid w:val="00085371"/>
    <w:rsid w:val="0008577D"/>
    <w:rsid w:val="00086B71"/>
    <w:rsid w:val="00087145"/>
    <w:rsid w:val="00087E55"/>
    <w:rsid w:val="00090078"/>
    <w:rsid w:val="000905B5"/>
    <w:rsid w:val="00090C23"/>
    <w:rsid w:val="000916CB"/>
    <w:rsid w:val="0009287B"/>
    <w:rsid w:val="00092F6C"/>
    <w:rsid w:val="000931E9"/>
    <w:rsid w:val="000934CA"/>
    <w:rsid w:val="00093629"/>
    <w:rsid w:val="00093784"/>
    <w:rsid w:val="00093F86"/>
    <w:rsid w:val="00095059"/>
    <w:rsid w:val="00095A05"/>
    <w:rsid w:val="00095A2A"/>
    <w:rsid w:val="00095A89"/>
    <w:rsid w:val="00095E4A"/>
    <w:rsid w:val="0009687B"/>
    <w:rsid w:val="0009689A"/>
    <w:rsid w:val="0009710A"/>
    <w:rsid w:val="000971BB"/>
    <w:rsid w:val="00097A46"/>
    <w:rsid w:val="00097E77"/>
    <w:rsid w:val="000A010C"/>
    <w:rsid w:val="000A0F8D"/>
    <w:rsid w:val="000A1291"/>
    <w:rsid w:val="000A1404"/>
    <w:rsid w:val="000A1D01"/>
    <w:rsid w:val="000A2A0B"/>
    <w:rsid w:val="000A2BB8"/>
    <w:rsid w:val="000A2CEA"/>
    <w:rsid w:val="000A47A2"/>
    <w:rsid w:val="000A4AB7"/>
    <w:rsid w:val="000A523F"/>
    <w:rsid w:val="000A5483"/>
    <w:rsid w:val="000A55A7"/>
    <w:rsid w:val="000A56FE"/>
    <w:rsid w:val="000A6880"/>
    <w:rsid w:val="000A70E8"/>
    <w:rsid w:val="000A7244"/>
    <w:rsid w:val="000A72D5"/>
    <w:rsid w:val="000A7BC2"/>
    <w:rsid w:val="000B00F1"/>
    <w:rsid w:val="000B0517"/>
    <w:rsid w:val="000B0A69"/>
    <w:rsid w:val="000B11D3"/>
    <w:rsid w:val="000B130D"/>
    <w:rsid w:val="000B13CE"/>
    <w:rsid w:val="000B164D"/>
    <w:rsid w:val="000B1792"/>
    <w:rsid w:val="000B219D"/>
    <w:rsid w:val="000B2465"/>
    <w:rsid w:val="000B2B32"/>
    <w:rsid w:val="000B2C84"/>
    <w:rsid w:val="000B329A"/>
    <w:rsid w:val="000B3C1D"/>
    <w:rsid w:val="000B3D14"/>
    <w:rsid w:val="000B3E8C"/>
    <w:rsid w:val="000B3F44"/>
    <w:rsid w:val="000B4456"/>
    <w:rsid w:val="000B46B4"/>
    <w:rsid w:val="000B5156"/>
    <w:rsid w:val="000B5547"/>
    <w:rsid w:val="000B5C41"/>
    <w:rsid w:val="000B5D11"/>
    <w:rsid w:val="000B64FB"/>
    <w:rsid w:val="000B6AE5"/>
    <w:rsid w:val="000B7923"/>
    <w:rsid w:val="000C0084"/>
    <w:rsid w:val="000C01B0"/>
    <w:rsid w:val="000C05B6"/>
    <w:rsid w:val="000C11D4"/>
    <w:rsid w:val="000C13EB"/>
    <w:rsid w:val="000C23F2"/>
    <w:rsid w:val="000C2FEF"/>
    <w:rsid w:val="000C4001"/>
    <w:rsid w:val="000C6541"/>
    <w:rsid w:val="000C6689"/>
    <w:rsid w:val="000C6BF2"/>
    <w:rsid w:val="000C7077"/>
    <w:rsid w:val="000C70BC"/>
    <w:rsid w:val="000C75DD"/>
    <w:rsid w:val="000C797B"/>
    <w:rsid w:val="000C7DB4"/>
    <w:rsid w:val="000C7F56"/>
    <w:rsid w:val="000D19DB"/>
    <w:rsid w:val="000D1B86"/>
    <w:rsid w:val="000D1D52"/>
    <w:rsid w:val="000D1DDD"/>
    <w:rsid w:val="000D3328"/>
    <w:rsid w:val="000D3353"/>
    <w:rsid w:val="000D353B"/>
    <w:rsid w:val="000D37DD"/>
    <w:rsid w:val="000D3A30"/>
    <w:rsid w:val="000D3B1B"/>
    <w:rsid w:val="000D4487"/>
    <w:rsid w:val="000D45D6"/>
    <w:rsid w:val="000D4DBA"/>
    <w:rsid w:val="000D5B40"/>
    <w:rsid w:val="000D5B91"/>
    <w:rsid w:val="000D5F27"/>
    <w:rsid w:val="000D6611"/>
    <w:rsid w:val="000D666B"/>
    <w:rsid w:val="000D6D89"/>
    <w:rsid w:val="000D720D"/>
    <w:rsid w:val="000D798B"/>
    <w:rsid w:val="000D7B44"/>
    <w:rsid w:val="000E0EF1"/>
    <w:rsid w:val="000E0F13"/>
    <w:rsid w:val="000E1A80"/>
    <w:rsid w:val="000E24DA"/>
    <w:rsid w:val="000E2675"/>
    <w:rsid w:val="000E2835"/>
    <w:rsid w:val="000E3462"/>
    <w:rsid w:val="000E3BD5"/>
    <w:rsid w:val="000E5877"/>
    <w:rsid w:val="000E5E65"/>
    <w:rsid w:val="000E65BB"/>
    <w:rsid w:val="000E693D"/>
    <w:rsid w:val="000E71DC"/>
    <w:rsid w:val="000E785C"/>
    <w:rsid w:val="000F004C"/>
    <w:rsid w:val="000F06F5"/>
    <w:rsid w:val="000F0BC9"/>
    <w:rsid w:val="000F0F2D"/>
    <w:rsid w:val="000F1AC9"/>
    <w:rsid w:val="000F2297"/>
    <w:rsid w:val="000F230A"/>
    <w:rsid w:val="000F32AF"/>
    <w:rsid w:val="000F3B24"/>
    <w:rsid w:val="000F3F67"/>
    <w:rsid w:val="000F4233"/>
    <w:rsid w:val="000F4C50"/>
    <w:rsid w:val="000F4FF8"/>
    <w:rsid w:val="000F515C"/>
    <w:rsid w:val="000F5555"/>
    <w:rsid w:val="000F572B"/>
    <w:rsid w:val="000F5767"/>
    <w:rsid w:val="000F5A36"/>
    <w:rsid w:val="000F6237"/>
    <w:rsid w:val="000F6903"/>
    <w:rsid w:val="000F79C2"/>
    <w:rsid w:val="000F7D65"/>
    <w:rsid w:val="0010030A"/>
    <w:rsid w:val="00100375"/>
    <w:rsid w:val="00100FE7"/>
    <w:rsid w:val="0010144E"/>
    <w:rsid w:val="00101FC0"/>
    <w:rsid w:val="00102468"/>
    <w:rsid w:val="001024BB"/>
    <w:rsid w:val="00102C4D"/>
    <w:rsid w:val="00104107"/>
    <w:rsid w:val="0010421F"/>
    <w:rsid w:val="00104424"/>
    <w:rsid w:val="00104598"/>
    <w:rsid w:val="00104D30"/>
    <w:rsid w:val="00104D81"/>
    <w:rsid w:val="001053BB"/>
    <w:rsid w:val="0010665C"/>
    <w:rsid w:val="0010726A"/>
    <w:rsid w:val="00107E15"/>
    <w:rsid w:val="00110230"/>
    <w:rsid w:val="00111AE3"/>
    <w:rsid w:val="00111B29"/>
    <w:rsid w:val="00112148"/>
    <w:rsid w:val="001124DD"/>
    <w:rsid w:val="0011279B"/>
    <w:rsid w:val="0011289B"/>
    <w:rsid w:val="00113162"/>
    <w:rsid w:val="00113B61"/>
    <w:rsid w:val="0011436D"/>
    <w:rsid w:val="00115081"/>
    <w:rsid w:val="001151FB"/>
    <w:rsid w:val="00115A78"/>
    <w:rsid w:val="00116400"/>
    <w:rsid w:val="00116BAA"/>
    <w:rsid w:val="00116CFD"/>
    <w:rsid w:val="00117616"/>
    <w:rsid w:val="00117B91"/>
    <w:rsid w:val="00120041"/>
    <w:rsid w:val="00121563"/>
    <w:rsid w:val="00121FDE"/>
    <w:rsid w:val="00122696"/>
    <w:rsid w:val="00122716"/>
    <w:rsid w:val="00122882"/>
    <w:rsid w:val="00122C09"/>
    <w:rsid w:val="00123247"/>
    <w:rsid w:val="001232F9"/>
    <w:rsid w:val="0012364A"/>
    <w:rsid w:val="00123AAA"/>
    <w:rsid w:val="00124360"/>
    <w:rsid w:val="0012436E"/>
    <w:rsid w:val="00124B48"/>
    <w:rsid w:val="00124EDC"/>
    <w:rsid w:val="00125348"/>
    <w:rsid w:val="001254E4"/>
    <w:rsid w:val="0012590C"/>
    <w:rsid w:val="00126031"/>
    <w:rsid w:val="00126FE9"/>
    <w:rsid w:val="001276A3"/>
    <w:rsid w:val="001279BA"/>
    <w:rsid w:val="00127B81"/>
    <w:rsid w:val="00127FFD"/>
    <w:rsid w:val="0013011B"/>
    <w:rsid w:val="001301E9"/>
    <w:rsid w:val="00130646"/>
    <w:rsid w:val="00131093"/>
    <w:rsid w:val="001315C0"/>
    <w:rsid w:val="001319DD"/>
    <w:rsid w:val="001319ED"/>
    <w:rsid w:val="00131E79"/>
    <w:rsid w:val="00132265"/>
    <w:rsid w:val="001324DF"/>
    <w:rsid w:val="001329E1"/>
    <w:rsid w:val="00132CD5"/>
    <w:rsid w:val="00132E8E"/>
    <w:rsid w:val="001330CF"/>
    <w:rsid w:val="001348AB"/>
    <w:rsid w:val="00135A97"/>
    <w:rsid w:val="00135EA7"/>
    <w:rsid w:val="001365AB"/>
    <w:rsid w:val="00136B7A"/>
    <w:rsid w:val="00136E53"/>
    <w:rsid w:val="00137315"/>
    <w:rsid w:val="001376B1"/>
    <w:rsid w:val="00137907"/>
    <w:rsid w:val="00141274"/>
    <w:rsid w:val="00141677"/>
    <w:rsid w:val="001418F0"/>
    <w:rsid w:val="00141936"/>
    <w:rsid w:val="00141DCF"/>
    <w:rsid w:val="00141E18"/>
    <w:rsid w:val="0014221A"/>
    <w:rsid w:val="001422BC"/>
    <w:rsid w:val="001425FF"/>
    <w:rsid w:val="00142C11"/>
    <w:rsid w:val="0014330F"/>
    <w:rsid w:val="00145221"/>
    <w:rsid w:val="0014526A"/>
    <w:rsid w:val="00145D97"/>
    <w:rsid w:val="0014626B"/>
    <w:rsid w:val="0014642E"/>
    <w:rsid w:val="001464AB"/>
    <w:rsid w:val="0014652A"/>
    <w:rsid w:val="00146573"/>
    <w:rsid w:val="0014676E"/>
    <w:rsid w:val="0014719E"/>
    <w:rsid w:val="0014734A"/>
    <w:rsid w:val="0015004F"/>
    <w:rsid w:val="0015013E"/>
    <w:rsid w:val="001503F9"/>
    <w:rsid w:val="0015134D"/>
    <w:rsid w:val="00151AAE"/>
    <w:rsid w:val="001525BF"/>
    <w:rsid w:val="0015261A"/>
    <w:rsid w:val="0015266D"/>
    <w:rsid w:val="001542BB"/>
    <w:rsid w:val="0015438E"/>
    <w:rsid w:val="0015439A"/>
    <w:rsid w:val="00155C17"/>
    <w:rsid w:val="00155D23"/>
    <w:rsid w:val="0015627A"/>
    <w:rsid w:val="00156319"/>
    <w:rsid w:val="00156801"/>
    <w:rsid w:val="00156A93"/>
    <w:rsid w:val="001573CA"/>
    <w:rsid w:val="00157470"/>
    <w:rsid w:val="001578BD"/>
    <w:rsid w:val="00157E5F"/>
    <w:rsid w:val="00157FDF"/>
    <w:rsid w:val="0016018D"/>
    <w:rsid w:val="001609EB"/>
    <w:rsid w:val="00160E55"/>
    <w:rsid w:val="0016162E"/>
    <w:rsid w:val="001630B4"/>
    <w:rsid w:val="001630FD"/>
    <w:rsid w:val="0016367A"/>
    <w:rsid w:val="00163B5F"/>
    <w:rsid w:val="00163EC4"/>
    <w:rsid w:val="00164874"/>
    <w:rsid w:val="001649BE"/>
    <w:rsid w:val="00164A90"/>
    <w:rsid w:val="00164E87"/>
    <w:rsid w:val="0016508A"/>
    <w:rsid w:val="001653EA"/>
    <w:rsid w:val="00165EC9"/>
    <w:rsid w:val="00165FE0"/>
    <w:rsid w:val="0016637A"/>
    <w:rsid w:val="0016645B"/>
    <w:rsid w:val="001701C7"/>
    <w:rsid w:val="00170422"/>
    <w:rsid w:val="001704FC"/>
    <w:rsid w:val="00170899"/>
    <w:rsid w:val="0017181C"/>
    <w:rsid w:val="00171AF3"/>
    <w:rsid w:val="00171C7A"/>
    <w:rsid w:val="001720AE"/>
    <w:rsid w:val="00172C5E"/>
    <w:rsid w:val="00172EA1"/>
    <w:rsid w:val="001737BB"/>
    <w:rsid w:val="00173A2F"/>
    <w:rsid w:val="00173D41"/>
    <w:rsid w:val="001757E2"/>
    <w:rsid w:val="00175944"/>
    <w:rsid w:val="00175E38"/>
    <w:rsid w:val="0017620A"/>
    <w:rsid w:val="00176DF3"/>
    <w:rsid w:val="0017700A"/>
    <w:rsid w:val="001776B8"/>
    <w:rsid w:val="001778CD"/>
    <w:rsid w:val="00177AC6"/>
    <w:rsid w:val="001806B4"/>
    <w:rsid w:val="001808F4"/>
    <w:rsid w:val="001809C9"/>
    <w:rsid w:val="00181E71"/>
    <w:rsid w:val="001822CB"/>
    <w:rsid w:val="00182E03"/>
    <w:rsid w:val="00182F11"/>
    <w:rsid w:val="00183137"/>
    <w:rsid w:val="001832E5"/>
    <w:rsid w:val="001836BF"/>
    <w:rsid w:val="00184EF8"/>
    <w:rsid w:val="00185254"/>
    <w:rsid w:val="00186B83"/>
    <w:rsid w:val="00186D91"/>
    <w:rsid w:val="00186FAC"/>
    <w:rsid w:val="001873D9"/>
    <w:rsid w:val="00187A70"/>
    <w:rsid w:val="001902AB"/>
    <w:rsid w:val="0019098D"/>
    <w:rsid w:val="001913A4"/>
    <w:rsid w:val="00192519"/>
    <w:rsid w:val="0019265E"/>
    <w:rsid w:val="00192E1A"/>
    <w:rsid w:val="00192EDE"/>
    <w:rsid w:val="00193206"/>
    <w:rsid w:val="0019336B"/>
    <w:rsid w:val="00193F37"/>
    <w:rsid w:val="0019401F"/>
    <w:rsid w:val="00194425"/>
    <w:rsid w:val="00194630"/>
    <w:rsid w:val="001954CD"/>
    <w:rsid w:val="00195C5A"/>
    <w:rsid w:val="00196786"/>
    <w:rsid w:val="00196E7D"/>
    <w:rsid w:val="0019703D"/>
    <w:rsid w:val="0019765C"/>
    <w:rsid w:val="001A02BB"/>
    <w:rsid w:val="001A04E4"/>
    <w:rsid w:val="001A0B7B"/>
    <w:rsid w:val="001A159D"/>
    <w:rsid w:val="001A1920"/>
    <w:rsid w:val="001A1FC3"/>
    <w:rsid w:val="001A2C31"/>
    <w:rsid w:val="001A2F1A"/>
    <w:rsid w:val="001A2F4A"/>
    <w:rsid w:val="001A3DC1"/>
    <w:rsid w:val="001A4D9C"/>
    <w:rsid w:val="001A56F5"/>
    <w:rsid w:val="001A57AF"/>
    <w:rsid w:val="001A58B3"/>
    <w:rsid w:val="001A5A8B"/>
    <w:rsid w:val="001A5F3D"/>
    <w:rsid w:val="001A64C5"/>
    <w:rsid w:val="001A73D3"/>
    <w:rsid w:val="001A74D1"/>
    <w:rsid w:val="001A78BB"/>
    <w:rsid w:val="001A7CBD"/>
    <w:rsid w:val="001B0345"/>
    <w:rsid w:val="001B0D8D"/>
    <w:rsid w:val="001B14FA"/>
    <w:rsid w:val="001B17C4"/>
    <w:rsid w:val="001B1941"/>
    <w:rsid w:val="001B2645"/>
    <w:rsid w:val="001B2A3C"/>
    <w:rsid w:val="001B3212"/>
    <w:rsid w:val="001B4576"/>
    <w:rsid w:val="001B47B8"/>
    <w:rsid w:val="001B47BE"/>
    <w:rsid w:val="001B487F"/>
    <w:rsid w:val="001B49FA"/>
    <w:rsid w:val="001B5685"/>
    <w:rsid w:val="001B5994"/>
    <w:rsid w:val="001B5FE8"/>
    <w:rsid w:val="001B6227"/>
    <w:rsid w:val="001B6350"/>
    <w:rsid w:val="001B7009"/>
    <w:rsid w:val="001B77DD"/>
    <w:rsid w:val="001B7B8D"/>
    <w:rsid w:val="001C0707"/>
    <w:rsid w:val="001C0B79"/>
    <w:rsid w:val="001C10E1"/>
    <w:rsid w:val="001C10FC"/>
    <w:rsid w:val="001C15EA"/>
    <w:rsid w:val="001C1C28"/>
    <w:rsid w:val="001C277C"/>
    <w:rsid w:val="001C2F98"/>
    <w:rsid w:val="001C36B9"/>
    <w:rsid w:val="001C3B5D"/>
    <w:rsid w:val="001C3B7E"/>
    <w:rsid w:val="001C4170"/>
    <w:rsid w:val="001C5323"/>
    <w:rsid w:val="001C5AC0"/>
    <w:rsid w:val="001C700F"/>
    <w:rsid w:val="001C71B6"/>
    <w:rsid w:val="001C7B88"/>
    <w:rsid w:val="001D048C"/>
    <w:rsid w:val="001D07A4"/>
    <w:rsid w:val="001D0954"/>
    <w:rsid w:val="001D0B34"/>
    <w:rsid w:val="001D0F70"/>
    <w:rsid w:val="001D1487"/>
    <w:rsid w:val="001D18DA"/>
    <w:rsid w:val="001D28E6"/>
    <w:rsid w:val="001D2BD4"/>
    <w:rsid w:val="001D31F6"/>
    <w:rsid w:val="001D35A0"/>
    <w:rsid w:val="001D3BCF"/>
    <w:rsid w:val="001D3FFA"/>
    <w:rsid w:val="001D42C3"/>
    <w:rsid w:val="001D475A"/>
    <w:rsid w:val="001D47A9"/>
    <w:rsid w:val="001D5B87"/>
    <w:rsid w:val="001D6BB1"/>
    <w:rsid w:val="001D7400"/>
    <w:rsid w:val="001D7DC2"/>
    <w:rsid w:val="001D7E05"/>
    <w:rsid w:val="001E0389"/>
    <w:rsid w:val="001E03DB"/>
    <w:rsid w:val="001E0714"/>
    <w:rsid w:val="001E0A36"/>
    <w:rsid w:val="001E0B56"/>
    <w:rsid w:val="001E1A4F"/>
    <w:rsid w:val="001E1DEF"/>
    <w:rsid w:val="001E1EFF"/>
    <w:rsid w:val="001E26E2"/>
    <w:rsid w:val="001E27E1"/>
    <w:rsid w:val="001E3409"/>
    <w:rsid w:val="001E3530"/>
    <w:rsid w:val="001E35C2"/>
    <w:rsid w:val="001E36B4"/>
    <w:rsid w:val="001E420C"/>
    <w:rsid w:val="001E467E"/>
    <w:rsid w:val="001E4B04"/>
    <w:rsid w:val="001E4D57"/>
    <w:rsid w:val="001E59BE"/>
    <w:rsid w:val="001E603B"/>
    <w:rsid w:val="001E6D15"/>
    <w:rsid w:val="001E6F13"/>
    <w:rsid w:val="001E759D"/>
    <w:rsid w:val="001E776B"/>
    <w:rsid w:val="001F1809"/>
    <w:rsid w:val="001F201A"/>
    <w:rsid w:val="001F2405"/>
    <w:rsid w:val="001F25A4"/>
    <w:rsid w:val="001F26D6"/>
    <w:rsid w:val="001F40BE"/>
    <w:rsid w:val="001F4784"/>
    <w:rsid w:val="001F4B27"/>
    <w:rsid w:val="001F4BDC"/>
    <w:rsid w:val="001F4CFC"/>
    <w:rsid w:val="001F564C"/>
    <w:rsid w:val="001F7830"/>
    <w:rsid w:val="001F786C"/>
    <w:rsid w:val="001F7A94"/>
    <w:rsid w:val="0020021E"/>
    <w:rsid w:val="00200667"/>
    <w:rsid w:val="00200E62"/>
    <w:rsid w:val="00201810"/>
    <w:rsid w:val="00201B36"/>
    <w:rsid w:val="0020275B"/>
    <w:rsid w:val="00203216"/>
    <w:rsid w:val="00203EE8"/>
    <w:rsid w:val="002047EC"/>
    <w:rsid w:val="00204A4F"/>
    <w:rsid w:val="00204B5A"/>
    <w:rsid w:val="00204F84"/>
    <w:rsid w:val="00205E17"/>
    <w:rsid w:val="002062F9"/>
    <w:rsid w:val="0020715D"/>
    <w:rsid w:val="00207EB6"/>
    <w:rsid w:val="0021092E"/>
    <w:rsid w:val="00210C6C"/>
    <w:rsid w:val="00211678"/>
    <w:rsid w:val="0021168C"/>
    <w:rsid w:val="00211C24"/>
    <w:rsid w:val="002123E6"/>
    <w:rsid w:val="002129FD"/>
    <w:rsid w:val="00212E1C"/>
    <w:rsid w:val="0021327B"/>
    <w:rsid w:val="002140DC"/>
    <w:rsid w:val="00214260"/>
    <w:rsid w:val="00214281"/>
    <w:rsid w:val="00214F3A"/>
    <w:rsid w:val="002155DB"/>
    <w:rsid w:val="0021661E"/>
    <w:rsid w:val="00216EE9"/>
    <w:rsid w:val="0021732F"/>
    <w:rsid w:val="002173A7"/>
    <w:rsid w:val="00217D27"/>
    <w:rsid w:val="0022067F"/>
    <w:rsid w:val="002209BE"/>
    <w:rsid w:val="00220A6E"/>
    <w:rsid w:val="00220F73"/>
    <w:rsid w:val="00221231"/>
    <w:rsid w:val="002213A2"/>
    <w:rsid w:val="00221CC4"/>
    <w:rsid w:val="0022224D"/>
    <w:rsid w:val="002223B0"/>
    <w:rsid w:val="00222664"/>
    <w:rsid w:val="002232A6"/>
    <w:rsid w:val="002233DD"/>
    <w:rsid w:val="00223ADF"/>
    <w:rsid w:val="002245C3"/>
    <w:rsid w:val="00224CEF"/>
    <w:rsid w:val="00226F49"/>
    <w:rsid w:val="00227BB5"/>
    <w:rsid w:val="00230BA4"/>
    <w:rsid w:val="00231743"/>
    <w:rsid w:val="00232D1B"/>
    <w:rsid w:val="00233853"/>
    <w:rsid w:val="00233FC0"/>
    <w:rsid w:val="00234214"/>
    <w:rsid w:val="0023433A"/>
    <w:rsid w:val="002345E0"/>
    <w:rsid w:val="00234DA7"/>
    <w:rsid w:val="00235162"/>
    <w:rsid w:val="00235637"/>
    <w:rsid w:val="00236271"/>
    <w:rsid w:val="002366F2"/>
    <w:rsid w:val="00236A3C"/>
    <w:rsid w:val="00236CEF"/>
    <w:rsid w:val="00236E4A"/>
    <w:rsid w:val="00237986"/>
    <w:rsid w:val="00237E3B"/>
    <w:rsid w:val="00237E57"/>
    <w:rsid w:val="002410B0"/>
    <w:rsid w:val="0024162D"/>
    <w:rsid w:val="002416C0"/>
    <w:rsid w:val="00241B0F"/>
    <w:rsid w:val="00241D4B"/>
    <w:rsid w:val="00241DA7"/>
    <w:rsid w:val="00242428"/>
    <w:rsid w:val="002424C4"/>
    <w:rsid w:val="00242C60"/>
    <w:rsid w:val="00243316"/>
    <w:rsid w:val="002437EB"/>
    <w:rsid w:val="00243B52"/>
    <w:rsid w:val="00243FFD"/>
    <w:rsid w:val="00244FC9"/>
    <w:rsid w:val="00245146"/>
    <w:rsid w:val="00245C07"/>
    <w:rsid w:val="0024675F"/>
    <w:rsid w:val="00246B33"/>
    <w:rsid w:val="00246C9C"/>
    <w:rsid w:val="002476DF"/>
    <w:rsid w:val="00247869"/>
    <w:rsid w:val="00247F22"/>
    <w:rsid w:val="00250091"/>
    <w:rsid w:val="0025046B"/>
    <w:rsid w:val="00251BCD"/>
    <w:rsid w:val="0025348C"/>
    <w:rsid w:val="00254161"/>
    <w:rsid w:val="0025442C"/>
    <w:rsid w:val="00254FB7"/>
    <w:rsid w:val="00255064"/>
    <w:rsid w:val="0025508D"/>
    <w:rsid w:val="0025573F"/>
    <w:rsid w:val="002559ED"/>
    <w:rsid w:val="00255AA1"/>
    <w:rsid w:val="002564DF"/>
    <w:rsid w:val="00256B7C"/>
    <w:rsid w:val="00256FB1"/>
    <w:rsid w:val="00257395"/>
    <w:rsid w:val="0025751B"/>
    <w:rsid w:val="00257F92"/>
    <w:rsid w:val="002614F7"/>
    <w:rsid w:val="00261C78"/>
    <w:rsid w:val="0026270E"/>
    <w:rsid w:val="0026285B"/>
    <w:rsid w:val="00262C7D"/>
    <w:rsid w:val="00263489"/>
    <w:rsid w:val="00263634"/>
    <w:rsid w:val="00263CBA"/>
    <w:rsid w:val="00263D28"/>
    <w:rsid w:val="00263EDC"/>
    <w:rsid w:val="00264030"/>
    <w:rsid w:val="00264250"/>
    <w:rsid w:val="00264C1E"/>
    <w:rsid w:val="00264DF3"/>
    <w:rsid w:val="002654A2"/>
    <w:rsid w:val="00265671"/>
    <w:rsid w:val="00265DAC"/>
    <w:rsid w:val="00266AC4"/>
    <w:rsid w:val="00266F1B"/>
    <w:rsid w:val="002671EF"/>
    <w:rsid w:val="002675B9"/>
    <w:rsid w:val="002676F3"/>
    <w:rsid w:val="002677BC"/>
    <w:rsid w:val="00267ABF"/>
    <w:rsid w:val="00267B87"/>
    <w:rsid w:val="0027020E"/>
    <w:rsid w:val="00270802"/>
    <w:rsid w:val="00270A2F"/>
    <w:rsid w:val="00270C85"/>
    <w:rsid w:val="0027163F"/>
    <w:rsid w:val="00271FE4"/>
    <w:rsid w:val="0027252D"/>
    <w:rsid w:val="00272561"/>
    <w:rsid w:val="00272EF3"/>
    <w:rsid w:val="002731C8"/>
    <w:rsid w:val="002735AC"/>
    <w:rsid w:val="00273E80"/>
    <w:rsid w:val="0027434A"/>
    <w:rsid w:val="0027515F"/>
    <w:rsid w:val="00275B50"/>
    <w:rsid w:val="00275CDB"/>
    <w:rsid w:val="002766F1"/>
    <w:rsid w:val="002768F3"/>
    <w:rsid w:val="00276C01"/>
    <w:rsid w:val="00276F1B"/>
    <w:rsid w:val="0027719B"/>
    <w:rsid w:val="00277C13"/>
    <w:rsid w:val="00280472"/>
    <w:rsid w:val="00280849"/>
    <w:rsid w:val="002812EB"/>
    <w:rsid w:val="002813E5"/>
    <w:rsid w:val="00281472"/>
    <w:rsid w:val="00281522"/>
    <w:rsid w:val="00281B2B"/>
    <w:rsid w:val="00281BDC"/>
    <w:rsid w:val="00281D44"/>
    <w:rsid w:val="00281F55"/>
    <w:rsid w:val="00282D69"/>
    <w:rsid w:val="00283301"/>
    <w:rsid w:val="002837BF"/>
    <w:rsid w:val="0028383C"/>
    <w:rsid w:val="0028394B"/>
    <w:rsid w:val="00283C53"/>
    <w:rsid w:val="00284D0F"/>
    <w:rsid w:val="002850F5"/>
    <w:rsid w:val="00286319"/>
    <w:rsid w:val="0028634D"/>
    <w:rsid w:val="00286935"/>
    <w:rsid w:val="00286E3C"/>
    <w:rsid w:val="00287064"/>
    <w:rsid w:val="00287A9A"/>
    <w:rsid w:val="002905F2"/>
    <w:rsid w:val="00290ABA"/>
    <w:rsid w:val="00291380"/>
    <w:rsid w:val="0029179A"/>
    <w:rsid w:val="00291C30"/>
    <w:rsid w:val="00292CD4"/>
    <w:rsid w:val="00293157"/>
    <w:rsid w:val="002935DA"/>
    <w:rsid w:val="0029374B"/>
    <w:rsid w:val="0029443A"/>
    <w:rsid w:val="0029466E"/>
    <w:rsid w:val="00294C95"/>
    <w:rsid w:val="00295A46"/>
    <w:rsid w:val="00295AA4"/>
    <w:rsid w:val="002962FF"/>
    <w:rsid w:val="00296D5F"/>
    <w:rsid w:val="002970FD"/>
    <w:rsid w:val="00297505"/>
    <w:rsid w:val="00297758"/>
    <w:rsid w:val="00297C42"/>
    <w:rsid w:val="002A032A"/>
    <w:rsid w:val="002A042D"/>
    <w:rsid w:val="002A128A"/>
    <w:rsid w:val="002A162C"/>
    <w:rsid w:val="002A1E24"/>
    <w:rsid w:val="002A228C"/>
    <w:rsid w:val="002A2CCB"/>
    <w:rsid w:val="002A2DCB"/>
    <w:rsid w:val="002A3BEE"/>
    <w:rsid w:val="002A3E45"/>
    <w:rsid w:val="002A460A"/>
    <w:rsid w:val="002A46D4"/>
    <w:rsid w:val="002A4CB4"/>
    <w:rsid w:val="002A6554"/>
    <w:rsid w:val="002A6737"/>
    <w:rsid w:val="002A6F3B"/>
    <w:rsid w:val="002A73B2"/>
    <w:rsid w:val="002A7438"/>
    <w:rsid w:val="002A7550"/>
    <w:rsid w:val="002B014E"/>
    <w:rsid w:val="002B07C4"/>
    <w:rsid w:val="002B0B26"/>
    <w:rsid w:val="002B0E4A"/>
    <w:rsid w:val="002B128D"/>
    <w:rsid w:val="002B144B"/>
    <w:rsid w:val="002B1811"/>
    <w:rsid w:val="002B1ACA"/>
    <w:rsid w:val="002B2397"/>
    <w:rsid w:val="002B23C8"/>
    <w:rsid w:val="002B25E3"/>
    <w:rsid w:val="002B28BA"/>
    <w:rsid w:val="002B2E1E"/>
    <w:rsid w:val="002B3037"/>
    <w:rsid w:val="002B30C3"/>
    <w:rsid w:val="002B324F"/>
    <w:rsid w:val="002B32A4"/>
    <w:rsid w:val="002B3A6F"/>
    <w:rsid w:val="002B4242"/>
    <w:rsid w:val="002B475F"/>
    <w:rsid w:val="002B49E6"/>
    <w:rsid w:val="002B4D2E"/>
    <w:rsid w:val="002B528F"/>
    <w:rsid w:val="002B5641"/>
    <w:rsid w:val="002B579A"/>
    <w:rsid w:val="002B5DDF"/>
    <w:rsid w:val="002B62C5"/>
    <w:rsid w:val="002B6A0B"/>
    <w:rsid w:val="002B7A83"/>
    <w:rsid w:val="002B7B1C"/>
    <w:rsid w:val="002B7D4F"/>
    <w:rsid w:val="002C034B"/>
    <w:rsid w:val="002C05F7"/>
    <w:rsid w:val="002C0A16"/>
    <w:rsid w:val="002C0D92"/>
    <w:rsid w:val="002C1D4F"/>
    <w:rsid w:val="002C1F44"/>
    <w:rsid w:val="002C1FF9"/>
    <w:rsid w:val="002C28E8"/>
    <w:rsid w:val="002C2F0A"/>
    <w:rsid w:val="002C30E7"/>
    <w:rsid w:val="002C346B"/>
    <w:rsid w:val="002C3838"/>
    <w:rsid w:val="002C3EB6"/>
    <w:rsid w:val="002C44F2"/>
    <w:rsid w:val="002C48AB"/>
    <w:rsid w:val="002C5D82"/>
    <w:rsid w:val="002C67C9"/>
    <w:rsid w:val="002C6A33"/>
    <w:rsid w:val="002C6BE3"/>
    <w:rsid w:val="002C6EC6"/>
    <w:rsid w:val="002D0022"/>
    <w:rsid w:val="002D00F1"/>
    <w:rsid w:val="002D09B1"/>
    <w:rsid w:val="002D0F0F"/>
    <w:rsid w:val="002D16B9"/>
    <w:rsid w:val="002D1963"/>
    <w:rsid w:val="002D19C5"/>
    <w:rsid w:val="002D1C7A"/>
    <w:rsid w:val="002D1DDA"/>
    <w:rsid w:val="002D1F43"/>
    <w:rsid w:val="002D2A61"/>
    <w:rsid w:val="002D2C42"/>
    <w:rsid w:val="002D2FF3"/>
    <w:rsid w:val="002D4012"/>
    <w:rsid w:val="002D485A"/>
    <w:rsid w:val="002D559B"/>
    <w:rsid w:val="002D5FD8"/>
    <w:rsid w:val="002D659A"/>
    <w:rsid w:val="002D67C1"/>
    <w:rsid w:val="002D6897"/>
    <w:rsid w:val="002D6A9C"/>
    <w:rsid w:val="002D6ACF"/>
    <w:rsid w:val="002D6E51"/>
    <w:rsid w:val="002D75D3"/>
    <w:rsid w:val="002E000A"/>
    <w:rsid w:val="002E003F"/>
    <w:rsid w:val="002E0930"/>
    <w:rsid w:val="002E124F"/>
    <w:rsid w:val="002E12D9"/>
    <w:rsid w:val="002E1712"/>
    <w:rsid w:val="002E178F"/>
    <w:rsid w:val="002E1CD7"/>
    <w:rsid w:val="002E2FCA"/>
    <w:rsid w:val="002E3A4B"/>
    <w:rsid w:val="002E3F1A"/>
    <w:rsid w:val="002E4293"/>
    <w:rsid w:val="002E5171"/>
    <w:rsid w:val="002E57AD"/>
    <w:rsid w:val="002E5D87"/>
    <w:rsid w:val="002E5EA2"/>
    <w:rsid w:val="002E61AC"/>
    <w:rsid w:val="002E6CD0"/>
    <w:rsid w:val="002E6E15"/>
    <w:rsid w:val="002E70F5"/>
    <w:rsid w:val="002E71A9"/>
    <w:rsid w:val="002E7B8C"/>
    <w:rsid w:val="002E7D2D"/>
    <w:rsid w:val="002F0720"/>
    <w:rsid w:val="002F0DED"/>
    <w:rsid w:val="002F15A7"/>
    <w:rsid w:val="002F172F"/>
    <w:rsid w:val="002F295D"/>
    <w:rsid w:val="002F317C"/>
    <w:rsid w:val="002F3BC6"/>
    <w:rsid w:val="002F3FAB"/>
    <w:rsid w:val="002F4214"/>
    <w:rsid w:val="002F4B5C"/>
    <w:rsid w:val="002F4FEC"/>
    <w:rsid w:val="002F56AE"/>
    <w:rsid w:val="002F61FF"/>
    <w:rsid w:val="003002CE"/>
    <w:rsid w:val="00300418"/>
    <w:rsid w:val="00301551"/>
    <w:rsid w:val="003020BC"/>
    <w:rsid w:val="003022BB"/>
    <w:rsid w:val="00302B62"/>
    <w:rsid w:val="00302D39"/>
    <w:rsid w:val="00302DCC"/>
    <w:rsid w:val="003031E5"/>
    <w:rsid w:val="00303875"/>
    <w:rsid w:val="00304559"/>
    <w:rsid w:val="003048BA"/>
    <w:rsid w:val="00304FDB"/>
    <w:rsid w:val="0030546A"/>
    <w:rsid w:val="003056E3"/>
    <w:rsid w:val="00305988"/>
    <w:rsid w:val="00305F7B"/>
    <w:rsid w:val="00305F81"/>
    <w:rsid w:val="00306014"/>
    <w:rsid w:val="0030619D"/>
    <w:rsid w:val="003069E8"/>
    <w:rsid w:val="00306E0E"/>
    <w:rsid w:val="00307419"/>
    <w:rsid w:val="00307AF7"/>
    <w:rsid w:val="00307F51"/>
    <w:rsid w:val="00310BA6"/>
    <w:rsid w:val="00311145"/>
    <w:rsid w:val="00311A84"/>
    <w:rsid w:val="003131E2"/>
    <w:rsid w:val="00313B47"/>
    <w:rsid w:val="00314679"/>
    <w:rsid w:val="003156A9"/>
    <w:rsid w:val="003156FC"/>
    <w:rsid w:val="00315EC4"/>
    <w:rsid w:val="00316387"/>
    <w:rsid w:val="00321827"/>
    <w:rsid w:val="00321847"/>
    <w:rsid w:val="00321C04"/>
    <w:rsid w:val="00321CAA"/>
    <w:rsid w:val="00321D60"/>
    <w:rsid w:val="003220C0"/>
    <w:rsid w:val="003223E6"/>
    <w:rsid w:val="00322A2E"/>
    <w:rsid w:val="00322B22"/>
    <w:rsid w:val="003231BD"/>
    <w:rsid w:val="00323920"/>
    <w:rsid w:val="00324780"/>
    <w:rsid w:val="003247F6"/>
    <w:rsid w:val="00324AD3"/>
    <w:rsid w:val="00324B27"/>
    <w:rsid w:val="003278E5"/>
    <w:rsid w:val="003278E7"/>
    <w:rsid w:val="0033007F"/>
    <w:rsid w:val="00330164"/>
    <w:rsid w:val="0033028D"/>
    <w:rsid w:val="00330982"/>
    <w:rsid w:val="003311F5"/>
    <w:rsid w:val="00331301"/>
    <w:rsid w:val="00332C9F"/>
    <w:rsid w:val="00332D59"/>
    <w:rsid w:val="00332E6D"/>
    <w:rsid w:val="00332FEB"/>
    <w:rsid w:val="00333460"/>
    <w:rsid w:val="003340F3"/>
    <w:rsid w:val="0033497C"/>
    <w:rsid w:val="00334B0E"/>
    <w:rsid w:val="00336614"/>
    <w:rsid w:val="00337084"/>
    <w:rsid w:val="003376E3"/>
    <w:rsid w:val="00337AB2"/>
    <w:rsid w:val="00337F76"/>
    <w:rsid w:val="00340482"/>
    <w:rsid w:val="00340528"/>
    <w:rsid w:val="00340A8D"/>
    <w:rsid w:val="00340B10"/>
    <w:rsid w:val="003411A2"/>
    <w:rsid w:val="0034208A"/>
    <w:rsid w:val="00342322"/>
    <w:rsid w:val="003425AA"/>
    <w:rsid w:val="00342DFC"/>
    <w:rsid w:val="00342F64"/>
    <w:rsid w:val="0034348D"/>
    <w:rsid w:val="00343C98"/>
    <w:rsid w:val="00343E02"/>
    <w:rsid w:val="00344821"/>
    <w:rsid w:val="003448BA"/>
    <w:rsid w:val="00344BE7"/>
    <w:rsid w:val="00345358"/>
    <w:rsid w:val="00345576"/>
    <w:rsid w:val="0034567A"/>
    <w:rsid w:val="00345950"/>
    <w:rsid w:val="00345977"/>
    <w:rsid w:val="00345F9E"/>
    <w:rsid w:val="0034604D"/>
    <w:rsid w:val="00346EE3"/>
    <w:rsid w:val="00347096"/>
    <w:rsid w:val="0034742A"/>
    <w:rsid w:val="00347A68"/>
    <w:rsid w:val="00347AE2"/>
    <w:rsid w:val="0035015A"/>
    <w:rsid w:val="00350882"/>
    <w:rsid w:val="00351193"/>
    <w:rsid w:val="003511B7"/>
    <w:rsid w:val="003512E7"/>
    <w:rsid w:val="003519B2"/>
    <w:rsid w:val="00351F56"/>
    <w:rsid w:val="0035210B"/>
    <w:rsid w:val="0035249A"/>
    <w:rsid w:val="003525F2"/>
    <w:rsid w:val="00352D87"/>
    <w:rsid w:val="00352EC5"/>
    <w:rsid w:val="003530B8"/>
    <w:rsid w:val="0035320D"/>
    <w:rsid w:val="003534FF"/>
    <w:rsid w:val="003535FE"/>
    <w:rsid w:val="00353D0C"/>
    <w:rsid w:val="003548E8"/>
    <w:rsid w:val="00354D06"/>
    <w:rsid w:val="00354E3C"/>
    <w:rsid w:val="00354E7B"/>
    <w:rsid w:val="00355CDA"/>
    <w:rsid w:val="00355E0C"/>
    <w:rsid w:val="003561A9"/>
    <w:rsid w:val="003567B3"/>
    <w:rsid w:val="00356F49"/>
    <w:rsid w:val="003575F1"/>
    <w:rsid w:val="003577B2"/>
    <w:rsid w:val="00357BFE"/>
    <w:rsid w:val="00360370"/>
    <w:rsid w:val="003605D9"/>
    <w:rsid w:val="003608B6"/>
    <w:rsid w:val="003627D7"/>
    <w:rsid w:val="00362B14"/>
    <w:rsid w:val="00362F09"/>
    <w:rsid w:val="00363821"/>
    <w:rsid w:val="00363893"/>
    <w:rsid w:val="00363A3F"/>
    <w:rsid w:val="00363ACD"/>
    <w:rsid w:val="00363D18"/>
    <w:rsid w:val="003647C1"/>
    <w:rsid w:val="003650FE"/>
    <w:rsid w:val="00365A76"/>
    <w:rsid w:val="003660DE"/>
    <w:rsid w:val="00366265"/>
    <w:rsid w:val="00367330"/>
    <w:rsid w:val="00370F14"/>
    <w:rsid w:val="0037222E"/>
    <w:rsid w:val="00372F3C"/>
    <w:rsid w:val="00373C4E"/>
    <w:rsid w:val="00373D8E"/>
    <w:rsid w:val="00374199"/>
    <w:rsid w:val="00375B02"/>
    <w:rsid w:val="00375C10"/>
    <w:rsid w:val="0037601F"/>
    <w:rsid w:val="00376A5B"/>
    <w:rsid w:val="0037785E"/>
    <w:rsid w:val="00377AD9"/>
    <w:rsid w:val="00377CF5"/>
    <w:rsid w:val="00377E31"/>
    <w:rsid w:val="00380AC9"/>
    <w:rsid w:val="0038158B"/>
    <w:rsid w:val="00381980"/>
    <w:rsid w:val="00381A77"/>
    <w:rsid w:val="003824DE"/>
    <w:rsid w:val="00382698"/>
    <w:rsid w:val="0038317C"/>
    <w:rsid w:val="00383302"/>
    <w:rsid w:val="003834CB"/>
    <w:rsid w:val="0038420F"/>
    <w:rsid w:val="003845CD"/>
    <w:rsid w:val="00384E80"/>
    <w:rsid w:val="003858C0"/>
    <w:rsid w:val="00385F53"/>
    <w:rsid w:val="00386505"/>
    <w:rsid w:val="00386D72"/>
    <w:rsid w:val="00386F0E"/>
    <w:rsid w:val="003874A3"/>
    <w:rsid w:val="0038753D"/>
    <w:rsid w:val="00387B7D"/>
    <w:rsid w:val="003909FC"/>
    <w:rsid w:val="00390E43"/>
    <w:rsid w:val="00391819"/>
    <w:rsid w:val="0039233A"/>
    <w:rsid w:val="003923C1"/>
    <w:rsid w:val="003923F2"/>
    <w:rsid w:val="0039268B"/>
    <w:rsid w:val="003926F5"/>
    <w:rsid w:val="00392840"/>
    <w:rsid w:val="00393265"/>
    <w:rsid w:val="00393776"/>
    <w:rsid w:val="0039389A"/>
    <w:rsid w:val="00394852"/>
    <w:rsid w:val="00395A05"/>
    <w:rsid w:val="003960E1"/>
    <w:rsid w:val="00396295"/>
    <w:rsid w:val="0039632F"/>
    <w:rsid w:val="003968F7"/>
    <w:rsid w:val="00396C4D"/>
    <w:rsid w:val="0039787E"/>
    <w:rsid w:val="003A0000"/>
    <w:rsid w:val="003A0639"/>
    <w:rsid w:val="003A0952"/>
    <w:rsid w:val="003A0E85"/>
    <w:rsid w:val="003A21B3"/>
    <w:rsid w:val="003A240B"/>
    <w:rsid w:val="003A3351"/>
    <w:rsid w:val="003A3C92"/>
    <w:rsid w:val="003A3FE8"/>
    <w:rsid w:val="003A4299"/>
    <w:rsid w:val="003A46F0"/>
    <w:rsid w:val="003A4C00"/>
    <w:rsid w:val="003A4DD7"/>
    <w:rsid w:val="003A5803"/>
    <w:rsid w:val="003A590F"/>
    <w:rsid w:val="003A75F7"/>
    <w:rsid w:val="003B04C6"/>
    <w:rsid w:val="003B06E1"/>
    <w:rsid w:val="003B11B6"/>
    <w:rsid w:val="003B167D"/>
    <w:rsid w:val="003B1C8D"/>
    <w:rsid w:val="003B2443"/>
    <w:rsid w:val="003B25E1"/>
    <w:rsid w:val="003B2B22"/>
    <w:rsid w:val="003B302E"/>
    <w:rsid w:val="003B307C"/>
    <w:rsid w:val="003B397E"/>
    <w:rsid w:val="003B3E59"/>
    <w:rsid w:val="003B4812"/>
    <w:rsid w:val="003B4B77"/>
    <w:rsid w:val="003B4C31"/>
    <w:rsid w:val="003B56B8"/>
    <w:rsid w:val="003B6632"/>
    <w:rsid w:val="003B6B38"/>
    <w:rsid w:val="003B6B93"/>
    <w:rsid w:val="003B74C5"/>
    <w:rsid w:val="003B79B2"/>
    <w:rsid w:val="003C002F"/>
    <w:rsid w:val="003C038D"/>
    <w:rsid w:val="003C170A"/>
    <w:rsid w:val="003C1863"/>
    <w:rsid w:val="003C2156"/>
    <w:rsid w:val="003C2192"/>
    <w:rsid w:val="003C4E7A"/>
    <w:rsid w:val="003C5E36"/>
    <w:rsid w:val="003C6128"/>
    <w:rsid w:val="003C672B"/>
    <w:rsid w:val="003C753B"/>
    <w:rsid w:val="003C7542"/>
    <w:rsid w:val="003D078E"/>
    <w:rsid w:val="003D08A2"/>
    <w:rsid w:val="003D08A4"/>
    <w:rsid w:val="003D1C77"/>
    <w:rsid w:val="003D1EA0"/>
    <w:rsid w:val="003D272F"/>
    <w:rsid w:val="003D2D3B"/>
    <w:rsid w:val="003D2E32"/>
    <w:rsid w:val="003D31C6"/>
    <w:rsid w:val="003D3420"/>
    <w:rsid w:val="003D34C5"/>
    <w:rsid w:val="003D384E"/>
    <w:rsid w:val="003D3BE3"/>
    <w:rsid w:val="003D4282"/>
    <w:rsid w:val="003D4A9D"/>
    <w:rsid w:val="003D4D3F"/>
    <w:rsid w:val="003D4E1C"/>
    <w:rsid w:val="003D5C6A"/>
    <w:rsid w:val="003D5C82"/>
    <w:rsid w:val="003D6665"/>
    <w:rsid w:val="003D66F4"/>
    <w:rsid w:val="003D67BC"/>
    <w:rsid w:val="003D684C"/>
    <w:rsid w:val="003D684D"/>
    <w:rsid w:val="003D6B3D"/>
    <w:rsid w:val="003D6E9E"/>
    <w:rsid w:val="003D728C"/>
    <w:rsid w:val="003D7322"/>
    <w:rsid w:val="003D7397"/>
    <w:rsid w:val="003D7BAF"/>
    <w:rsid w:val="003E0786"/>
    <w:rsid w:val="003E09C4"/>
    <w:rsid w:val="003E1492"/>
    <w:rsid w:val="003E22CC"/>
    <w:rsid w:val="003E23BB"/>
    <w:rsid w:val="003E27B9"/>
    <w:rsid w:val="003E2D97"/>
    <w:rsid w:val="003E2E67"/>
    <w:rsid w:val="003E3A1B"/>
    <w:rsid w:val="003E404F"/>
    <w:rsid w:val="003E487F"/>
    <w:rsid w:val="003E49B4"/>
    <w:rsid w:val="003E4A56"/>
    <w:rsid w:val="003E517D"/>
    <w:rsid w:val="003E5235"/>
    <w:rsid w:val="003E5884"/>
    <w:rsid w:val="003E5AD5"/>
    <w:rsid w:val="003E697D"/>
    <w:rsid w:val="003E6B33"/>
    <w:rsid w:val="003E6CBF"/>
    <w:rsid w:val="003E6E1E"/>
    <w:rsid w:val="003E7D56"/>
    <w:rsid w:val="003E7E41"/>
    <w:rsid w:val="003F01B3"/>
    <w:rsid w:val="003F1449"/>
    <w:rsid w:val="003F1673"/>
    <w:rsid w:val="003F3457"/>
    <w:rsid w:val="003F3717"/>
    <w:rsid w:val="003F3DCC"/>
    <w:rsid w:val="003F42D5"/>
    <w:rsid w:val="003F4333"/>
    <w:rsid w:val="003F46F7"/>
    <w:rsid w:val="003F4DD7"/>
    <w:rsid w:val="003F5B44"/>
    <w:rsid w:val="003F5FF0"/>
    <w:rsid w:val="003F65D0"/>
    <w:rsid w:val="003F67F0"/>
    <w:rsid w:val="003F6A66"/>
    <w:rsid w:val="003F6C11"/>
    <w:rsid w:val="003F740B"/>
    <w:rsid w:val="003F769D"/>
    <w:rsid w:val="003F7BA1"/>
    <w:rsid w:val="003F7CE2"/>
    <w:rsid w:val="004017AA"/>
    <w:rsid w:val="00401BAF"/>
    <w:rsid w:val="0040249B"/>
    <w:rsid w:val="0040267A"/>
    <w:rsid w:val="00403FD3"/>
    <w:rsid w:val="0040409C"/>
    <w:rsid w:val="00404126"/>
    <w:rsid w:val="004045FD"/>
    <w:rsid w:val="004048D2"/>
    <w:rsid w:val="00405386"/>
    <w:rsid w:val="00405A0F"/>
    <w:rsid w:val="004065C2"/>
    <w:rsid w:val="00406914"/>
    <w:rsid w:val="00406CE7"/>
    <w:rsid w:val="00406D3B"/>
    <w:rsid w:val="00407D77"/>
    <w:rsid w:val="00410406"/>
    <w:rsid w:val="00410FD8"/>
    <w:rsid w:val="00411867"/>
    <w:rsid w:val="004119F1"/>
    <w:rsid w:val="00412007"/>
    <w:rsid w:val="004121C6"/>
    <w:rsid w:val="00412611"/>
    <w:rsid w:val="004126A6"/>
    <w:rsid w:val="00412F6D"/>
    <w:rsid w:val="004133B2"/>
    <w:rsid w:val="004139B6"/>
    <w:rsid w:val="00413B4B"/>
    <w:rsid w:val="00414622"/>
    <w:rsid w:val="004156D9"/>
    <w:rsid w:val="00415BD3"/>
    <w:rsid w:val="004171B7"/>
    <w:rsid w:val="004172F7"/>
    <w:rsid w:val="00417A5F"/>
    <w:rsid w:val="004212A0"/>
    <w:rsid w:val="00421E3B"/>
    <w:rsid w:val="00421FDA"/>
    <w:rsid w:val="004222EE"/>
    <w:rsid w:val="004226FD"/>
    <w:rsid w:val="0042290A"/>
    <w:rsid w:val="00422BCB"/>
    <w:rsid w:val="00422C89"/>
    <w:rsid w:val="00422E4E"/>
    <w:rsid w:val="00423379"/>
    <w:rsid w:val="004236D0"/>
    <w:rsid w:val="004236DA"/>
    <w:rsid w:val="004239DF"/>
    <w:rsid w:val="00424B85"/>
    <w:rsid w:val="004253A1"/>
    <w:rsid w:val="004256A2"/>
    <w:rsid w:val="00426C0E"/>
    <w:rsid w:val="0042704E"/>
    <w:rsid w:val="00427241"/>
    <w:rsid w:val="00431DD9"/>
    <w:rsid w:val="00431DFB"/>
    <w:rsid w:val="00432099"/>
    <w:rsid w:val="00432855"/>
    <w:rsid w:val="00432B9D"/>
    <w:rsid w:val="00432DC0"/>
    <w:rsid w:val="004333E9"/>
    <w:rsid w:val="00433BB2"/>
    <w:rsid w:val="00434CAE"/>
    <w:rsid w:val="0043550D"/>
    <w:rsid w:val="0043606C"/>
    <w:rsid w:val="004362CD"/>
    <w:rsid w:val="004362D1"/>
    <w:rsid w:val="00436B28"/>
    <w:rsid w:val="004374DA"/>
    <w:rsid w:val="00440E7A"/>
    <w:rsid w:val="00440EF9"/>
    <w:rsid w:val="0044128E"/>
    <w:rsid w:val="00442161"/>
    <w:rsid w:val="0044259B"/>
    <w:rsid w:val="00442615"/>
    <w:rsid w:val="00442927"/>
    <w:rsid w:val="00442FA6"/>
    <w:rsid w:val="004430DF"/>
    <w:rsid w:val="0044461B"/>
    <w:rsid w:val="00444854"/>
    <w:rsid w:val="0044498F"/>
    <w:rsid w:val="00444A5A"/>
    <w:rsid w:val="00444E7B"/>
    <w:rsid w:val="0044509D"/>
    <w:rsid w:val="004451FA"/>
    <w:rsid w:val="00445314"/>
    <w:rsid w:val="00446075"/>
    <w:rsid w:val="0044612D"/>
    <w:rsid w:val="00446555"/>
    <w:rsid w:val="00447DD2"/>
    <w:rsid w:val="0045038D"/>
    <w:rsid w:val="00451449"/>
    <w:rsid w:val="0045196C"/>
    <w:rsid w:val="00451ED6"/>
    <w:rsid w:val="00451F12"/>
    <w:rsid w:val="004521AD"/>
    <w:rsid w:val="004522B3"/>
    <w:rsid w:val="00452808"/>
    <w:rsid w:val="004550A4"/>
    <w:rsid w:val="0045583F"/>
    <w:rsid w:val="00455BDA"/>
    <w:rsid w:val="0045610E"/>
    <w:rsid w:val="00456E35"/>
    <w:rsid w:val="00457066"/>
    <w:rsid w:val="004571C0"/>
    <w:rsid w:val="004579EA"/>
    <w:rsid w:val="00460286"/>
    <w:rsid w:val="00461263"/>
    <w:rsid w:val="00461EBF"/>
    <w:rsid w:val="00461EE3"/>
    <w:rsid w:val="00462B1C"/>
    <w:rsid w:val="0046310C"/>
    <w:rsid w:val="0046359C"/>
    <w:rsid w:val="004651E9"/>
    <w:rsid w:val="00465569"/>
    <w:rsid w:val="00465D0C"/>
    <w:rsid w:val="00466025"/>
    <w:rsid w:val="00466E81"/>
    <w:rsid w:val="004670E4"/>
    <w:rsid w:val="004672EC"/>
    <w:rsid w:val="0047008C"/>
    <w:rsid w:val="004702F4"/>
    <w:rsid w:val="004706FC"/>
    <w:rsid w:val="00470BAD"/>
    <w:rsid w:val="004712DE"/>
    <w:rsid w:val="0047158B"/>
    <w:rsid w:val="00471748"/>
    <w:rsid w:val="00472396"/>
    <w:rsid w:val="004736AC"/>
    <w:rsid w:val="00473A5B"/>
    <w:rsid w:val="00473B52"/>
    <w:rsid w:val="004745B3"/>
    <w:rsid w:val="004747BA"/>
    <w:rsid w:val="0047571F"/>
    <w:rsid w:val="004758C3"/>
    <w:rsid w:val="00476AC5"/>
    <w:rsid w:val="00476E3D"/>
    <w:rsid w:val="00476F02"/>
    <w:rsid w:val="00477150"/>
    <w:rsid w:val="0047736F"/>
    <w:rsid w:val="004774B7"/>
    <w:rsid w:val="004776DB"/>
    <w:rsid w:val="00477828"/>
    <w:rsid w:val="0047787D"/>
    <w:rsid w:val="00477B93"/>
    <w:rsid w:val="00477D0E"/>
    <w:rsid w:val="004801D7"/>
    <w:rsid w:val="00480B6D"/>
    <w:rsid w:val="00481482"/>
    <w:rsid w:val="004819B1"/>
    <w:rsid w:val="00482AEA"/>
    <w:rsid w:val="00482D73"/>
    <w:rsid w:val="0048374D"/>
    <w:rsid w:val="00484171"/>
    <w:rsid w:val="00484425"/>
    <w:rsid w:val="00484437"/>
    <w:rsid w:val="0048464F"/>
    <w:rsid w:val="00484806"/>
    <w:rsid w:val="004851C6"/>
    <w:rsid w:val="00485FC6"/>
    <w:rsid w:val="00486244"/>
    <w:rsid w:val="004867CB"/>
    <w:rsid w:val="00486CA9"/>
    <w:rsid w:val="00487CAC"/>
    <w:rsid w:val="00487EA0"/>
    <w:rsid w:val="00490088"/>
    <w:rsid w:val="00490974"/>
    <w:rsid w:val="00490B54"/>
    <w:rsid w:val="00491590"/>
    <w:rsid w:val="004915A0"/>
    <w:rsid w:val="00491731"/>
    <w:rsid w:val="0049180C"/>
    <w:rsid w:val="00492943"/>
    <w:rsid w:val="004929BF"/>
    <w:rsid w:val="00492D88"/>
    <w:rsid w:val="00492DE2"/>
    <w:rsid w:val="00492FBC"/>
    <w:rsid w:val="00493007"/>
    <w:rsid w:val="00493718"/>
    <w:rsid w:val="0049399D"/>
    <w:rsid w:val="00493F77"/>
    <w:rsid w:val="00494E7B"/>
    <w:rsid w:val="00495E0A"/>
    <w:rsid w:val="00496181"/>
    <w:rsid w:val="00496623"/>
    <w:rsid w:val="00496E94"/>
    <w:rsid w:val="004971A4"/>
    <w:rsid w:val="00497ECC"/>
    <w:rsid w:val="004A0133"/>
    <w:rsid w:val="004A02D3"/>
    <w:rsid w:val="004A04AA"/>
    <w:rsid w:val="004A073E"/>
    <w:rsid w:val="004A0C03"/>
    <w:rsid w:val="004A1670"/>
    <w:rsid w:val="004A1A2E"/>
    <w:rsid w:val="004A1F2A"/>
    <w:rsid w:val="004A2176"/>
    <w:rsid w:val="004A21FF"/>
    <w:rsid w:val="004A25CA"/>
    <w:rsid w:val="004A2733"/>
    <w:rsid w:val="004A30A5"/>
    <w:rsid w:val="004A3113"/>
    <w:rsid w:val="004A3417"/>
    <w:rsid w:val="004A39F2"/>
    <w:rsid w:val="004A3BFD"/>
    <w:rsid w:val="004A492F"/>
    <w:rsid w:val="004A4A97"/>
    <w:rsid w:val="004A5CD2"/>
    <w:rsid w:val="004A5D56"/>
    <w:rsid w:val="004A6011"/>
    <w:rsid w:val="004A60FB"/>
    <w:rsid w:val="004B01DB"/>
    <w:rsid w:val="004B077B"/>
    <w:rsid w:val="004B156D"/>
    <w:rsid w:val="004B159F"/>
    <w:rsid w:val="004B1BE6"/>
    <w:rsid w:val="004B23EA"/>
    <w:rsid w:val="004B2756"/>
    <w:rsid w:val="004B3DFC"/>
    <w:rsid w:val="004B4078"/>
    <w:rsid w:val="004B49C1"/>
    <w:rsid w:val="004B4E6D"/>
    <w:rsid w:val="004B5038"/>
    <w:rsid w:val="004B5308"/>
    <w:rsid w:val="004B5EEF"/>
    <w:rsid w:val="004B5F3A"/>
    <w:rsid w:val="004B6324"/>
    <w:rsid w:val="004B657C"/>
    <w:rsid w:val="004B66FB"/>
    <w:rsid w:val="004B72C8"/>
    <w:rsid w:val="004B76F4"/>
    <w:rsid w:val="004B7A02"/>
    <w:rsid w:val="004C0AD3"/>
    <w:rsid w:val="004C10EE"/>
    <w:rsid w:val="004C12BD"/>
    <w:rsid w:val="004C15BE"/>
    <w:rsid w:val="004C1717"/>
    <w:rsid w:val="004C193A"/>
    <w:rsid w:val="004C1B3A"/>
    <w:rsid w:val="004C1F5A"/>
    <w:rsid w:val="004C21A0"/>
    <w:rsid w:val="004C2427"/>
    <w:rsid w:val="004C2B5D"/>
    <w:rsid w:val="004C2DA8"/>
    <w:rsid w:val="004C31F8"/>
    <w:rsid w:val="004C33D5"/>
    <w:rsid w:val="004C3E1A"/>
    <w:rsid w:val="004C47A8"/>
    <w:rsid w:val="004C60E4"/>
    <w:rsid w:val="004C715C"/>
    <w:rsid w:val="004D01C3"/>
    <w:rsid w:val="004D14C0"/>
    <w:rsid w:val="004D1F11"/>
    <w:rsid w:val="004D2319"/>
    <w:rsid w:val="004D25F0"/>
    <w:rsid w:val="004D2979"/>
    <w:rsid w:val="004D2A4F"/>
    <w:rsid w:val="004D2D5F"/>
    <w:rsid w:val="004D30CE"/>
    <w:rsid w:val="004D3569"/>
    <w:rsid w:val="004D3BEA"/>
    <w:rsid w:val="004D614C"/>
    <w:rsid w:val="004D6346"/>
    <w:rsid w:val="004D69A8"/>
    <w:rsid w:val="004D719E"/>
    <w:rsid w:val="004D748E"/>
    <w:rsid w:val="004D75F5"/>
    <w:rsid w:val="004D7A3B"/>
    <w:rsid w:val="004E00D5"/>
    <w:rsid w:val="004E077F"/>
    <w:rsid w:val="004E1140"/>
    <w:rsid w:val="004E1827"/>
    <w:rsid w:val="004E1B7B"/>
    <w:rsid w:val="004E214C"/>
    <w:rsid w:val="004E33F8"/>
    <w:rsid w:val="004E4A66"/>
    <w:rsid w:val="004E4B38"/>
    <w:rsid w:val="004E54BD"/>
    <w:rsid w:val="004E5A70"/>
    <w:rsid w:val="004E62FE"/>
    <w:rsid w:val="004E653A"/>
    <w:rsid w:val="004E6B2B"/>
    <w:rsid w:val="004E6BD4"/>
    <w:rsid w:val="004E6FB2"/>
    <w:rsid w:val="004E7914"/>
    <w:rsid w:val="004E797A"/>
    <w:rsid w:val="004E7A17"/>
    <w:rsid w:val="004F046D"/>
    <w:rsid w:val="004F0890"/>
    <w:rsid w:val="004F0C50"/>
    <w:rsid w:val="004F0D1B"/>
    <w:rsid w:val="004F1297"/>
    <w:rsid w:val="004F24DD"/>
    <w:rsid w:val="004F363C"/>
    <w:rsid w:val="004F3F17"/>
    <w:rsid w:val="004F3F7F"/>
    <w:rsid w:val="004F4388"/>
    <w:rsid w:val="004F43BD"/>
    <w:rsid w:val="004F44ED"/>
    <w:rsid w:val="004F4920"/>
    <w:rsid w:val="004F4BBE"/>
    <w:rsid w:val="004F4BCA"/>
    <w:rsid w:val="004F5803"/>
    <w:rsid w:val="004F5864"/>
    <w:rsid w:val="004F58E9"/>
    <w:rsid w:val="004F608B"/>
    <w:rsid w:val="004F6243"/>
    <w:rsid w:val="004F64BE"/>
    <w:rsid w:val="004F67B9"/>
    <w:rsid w:val="004F68C5"/>
    <w:rsid w:val="004F7C4C"/>
    <w:rsid w:val="004F7CCE"/>
    <w:rsid w:val="004F7CFC"/>
    <w:rsid w:val="004F7D95"/>
    <w:rsid w:val="005009FF"/>
    <w:rsid w:val="00500BDB"/>
    <w:rsid w:val="00500E52"/>
    <w:rsid w:val="00501FFC"/>
    <w:rsid w:val="0050200F"/>
    <w:rsid w:val="00502B7F"/>
    <w:rsid w:val="0050317A"/>
    <w:rsid w:val="00504384"/>
    <w:rsid w:val="00504B23"/>
    <w:rsid w:val="00505090"/>
    <w:rsid w:val="00506F88"/>
    <w:rsid w:val="00507096"/>
    <w:rsid w:val="00507789"/>
    <w:rsid w:val="00507D5C"/>
    <w:rsid w:val="00507D74"/>
    <w:rsid w:val="00511E3F"/>
    <w:rsid w:val="005121B4"/>
    <w:rsid w:val="00512BEF"/>
    <w:rsid w:val="005132D4"/>
    <w:rsid w:val="00513377"/>
    <w:rsid w:val="005138FA"/>
    <w:rsid w:val="0051479C"/>
    <w:rsid w:val="00514C75"/>
    <w:rsid w:val="00515714"/>
    <w:rsid w:val="00516306"/>
    <w:rsid w:val="0051681B"/>
    <w:rsid w:val="00516AE3"/>
    <w:rsid w:val="00516E38"/>
    <w:rsid w:val="005172A7"/>
    <w:rsid w:val="00517443"/>
    <w:rsid w:val="00517B12"/>
    <w:rsid w:val="00517CB0"/>
    <w:rsid w:val="005201DC"/>
    <w:rsid w:val="005208F1"/>
    <w:rsid w:val="0052119B"/>
    <w:rsid w:val="00521B58"/>
    <w:rsid w:val="00522606"/>
    <w:rsid w:val="00522B9A"/>
    <w:rsid w:val="00523825"/>
    <w:rsid w:val="005240E4"/>
    <w:rsid w:val="005246EF"/>
    <w:rsid w:val="00524DAA"/>
    <w:rsid w:val="00524ED4"/>
    <w:rsid w:val="00525133"/>
    <w:rsid w:val="00525C6F"/>
    <w:rsid w:val="00525FC8"/>
    <w:rsid w:val="005260B9"/>
    <w:rsid w:val="005267AF"/>
    <w:rsid w:val="005268F6"/>
    <w:rsid w:val="00526A23"/>
    <w:rsid w:val="00526DEC"/>
    <w:rsid w:val="00527351"/>
    <w:rsid w:val="00527366"/>
    <w:rsid w:val="00527A3E"/>
    <w:rsid w:val="00530379"/>
    <w:rsid w:val="00530C50"/>
    <w:rsid w:val="00530C7B"/>
    <w:rsid w:val="005311D5"/>
    <w:rsid w:val="005313EF"/>
    <w:rsid w:val="005318CC"/>
    <w:rsid w:val="00531C2E"/>
    <w:rsid w:val="00531F17"/>
    <w:rsid w:val="00532207"/>
    <w:rsid w:val="005331D3"/>
    <w:rsid w:val="005339A7"/>
    <w:rsid w:val="0053487B"/>
    <w:rsid w:val="00535265"/>
    <w:rsid w:val="00536023"/>
    <w:rsid w:val="005367ED"/>
    <w:rsid w:val="00536C44"/>
    <w:rsid w:val="00536C9F"/>
    <w:rsid w:val="0053707A"/>
    <w:rsid w:val="005375B2"/>
    <w:rsid w:val="0053788B"/>
    <w:rsid w:val="00540F49"/>
    <w:rsid w:val="0054180F"/>
    <w:rsid w:val="00542521"/>
    <w:rsid w:val="00542C59"/>
    <w:rsid w:val="00542D99"/>
    <w:rsid w:val="005432E4"/>
    <w:rsid w:val="00543E1D"/>
    <w:rsid w:val="0054464C"/>
    <w:rsid w:val="00544AD0"/>
    <w:rsid w:val="00544AEA"/>
    <w:rsid w:val="00544C1E"/>
    <w:rsid w:val="005454E7"/>
    <w:rsid w:val="00545C6E"/>
    <w:rsid w:val="00545DCE"/>
    <w:rsid w:val="0054633B"/>
    <w:rsid w:val="005463FB"/>
    <w:rsid w:val="00546902"/>
    <w:rsid w:val="00546D28"/>
    <w:rsid w:val="00546DAC"/>
    <w:rsid w:val="0054715A"/>
    <w:rsid w:val="00547B5D"/>
    <w:rsid w:val="00547F7C"/>
    <w:rsid w:val="0055003D"/>
    <w:rsid w:val="00550073"/>
    <w:rsid w:val="0055070C"/>
    <w:rsid w:val="00550875"/>
    <w:rsid w:val="00551C0F"/>
    <w:rsid w:val="00551C51"/>
    <w:rsid w:val="005522D2"/>
    <w:rsid w:val="00552460"/>
    <w:rsid w:val="005524B2"/>
    <w:rsid w:val="00552934"/>
    <w:rsid w:val="0055295A"/>
    <w:rsid w:val="005531BC"/>
    <w:rsid w:val="00553AAD"/>
    <w:rsid w:val="0055436E"/>
    <w:rsid w:val="00556243"/>
    <w:rsid w:val="00556EF5"/>
    <w:rsid w:val="00557265"/>
    <w:rsid w:val="005572A1"/>
    <w:rsid w:val="0055785F"/>
    <w:rsid w:val="00557E6D"/>
    <w:rsid w:val="00557E6E"/>
    <w:rsid w:val="005608C8"/>
    <w:rsid w:val="0056121E"/>
    <w:rsid w:val="00561347"/>
    <w:rsid w:val="00561B9D"/>
    <w:rsid w:val="00561BD2"/>
    <w:rsid w:val="0056215D"/>
    <w:rsid w:val="00562440"/>
    <w:rsid w:val="005630A9"/>
    <w:rsid w:val="005631A5"/>
    <w:rsid w:val="00563348"/>
    <w:rsid w:val="0056362A"/>
    <w:rsid w:val="0056393E"/>
    <w:rsid w:val="00563941"/>
    <w:rsid w:val="00563E48"/>
    <w:rsid w:val="005648FB"/>
    <w:rsid w:val="00564A74"/>
    <w:rsid w:val="00565893"/>
    <w:rsid w:val="00565E17"/>
    <w:rsid w:val="00570421"/>
    <w:rsid w:val="00570661"/>
    <w:rsid w:val="00570727"/>
    <w:rsid w:val="00570CBD"/>
    <w:rsid w:val="00571364"/>
    <w:rsid w:val="00571848"/>
    <w:rsid w:val="00571E27"/>
    <w:rsid w:val="00572AF4"/>
    <w:rsid w:val="00572F00"/>
    <w:rsid w:val="00573795"/>
    <w:rsid w:val="00574152"/>
    <w:rsid w:val="005741D4"/>
    <w:rsid w:val="0057567E"/>
    <w:rsid w:val="005760AF"/>
    <w:rsid w:val="005767A5"/>
    <w:rsid w:val="00577232"/>
    <w:rsid w:val="00577499"/>
    <w:rsid w:val="00577886"/>
    <w:rsid w:val="005802CF"/>
    <w:rsid w:val="005805E6"/>
    <w:rsid w:val="0058161F"/>
    <w:rsid w:val="005818F8"/>
    <w:rsid w:val="00581FBD"/>
    <w:rsid w:val="005827E5"/>
    <w:rsid w:val="00582A0B"/>
    <w:rsid w:val="00582A22"/>
    <w:rsid w:val="00583C1C"/>
    <w:rsid w:val="00583F72"/>
    <w:rsid w:val="005846E9"/>
    <w:rsid w:val="00584894"/>
    <w:rsid w:val="00584ECB"/>
    <w:rsid w:val="00585263"/>
    <w:rsid w:val="00585272"/>
    <w:rsid w:val="00586237"/>
    <w:rsid w:val="005868D2"/>
    <w:rsid w:val="005875DF"/>
    <w:rsid w:val="00587993"/>
    <w:rsid w:val="00587C82"/>
    <w:rsid w:val="00590D74"/>
    <w:rsid w:val="00590E4E"/>
    <w:rsid w:val="00591D6B"/>
    <w:rsid w:val="00591D7D"/>
    <w:rsid w:val="005922AE"/>
    <w:rsid w:val="00592765"/>
    <w:rsid w:val="00592E3B"/>
    <w:rsid w:val="00593D8D"/>
    <w:rsid w:val="00593DAA"/>
    <w:rsid w:val="005946D7"/>
    <w:rsid w:val="00594EB4"/>
    <w:rsid w:val="00594ED3"/>
    <w:rsid w:val="00595170"/>
    <w:rsid w:val="00595203"/>
    <w:rsid w:val="005956CE"/>
    <w:rsid w:val="0059672A"/>
    <w:rsid w:val="0059691E"/>
    <w:rsid w:val="00596F3D"/>
    <w:rsid w:val="0059765C"/>
    <w:rsid w:val="00597806"/>
    <w:rsid w:val="00597828"/>
    <w:rsid w:val="005A0286"/>
    <w:rsid w:val="005A0C9A"/>
    <w:rsid w:val="005A0CEA"/>
    <w:rsid w:val="005A0E74"/>
    <w:rsid w:val="005A1850"/>
    <w:rsid w:val="005A2158"/>
    <w:rsid w:val="005A29CE"/>
    <w:rsid w:val="005A377F"/>
    <w:rsid w:val="005A497A"/>
    <w:rsid w:val="005A4D76"/>
    <w:rsid w:val="005A5615"/>
    <w:rsid w:val="005A57A0"/>
    <w:rsid w:val="005A5BAC"/>
    <w:rsid w:val="005A5F32"/>
    <w:rsid w:val="005A6230"/>
    <w:rsid w:val="005A67D1"/>
    <w:rsid w:val="005A6BA4"/>
    <w:rsid w:val="005A6E8F"/>
    <w:rsid w:val="005A70F7"/>
    <w:rsid w:val="005A7206"/>
    <w:rsid w:val="005A730E"/>
    <w:rsid w:val="005A7435"/>
    <w:rsid w:val="005A76AA"/>
    <w:rsid w:val="005A76CB"/>
    <w:rsid w:val="005A7E5C"/>
    <w:rsid w:val="005B065E"/>
    <w:rsid w:val="005B086A"/>
    <w:rsid w:val="005B0A62"/>
    <w:rsid w:val="005B0F4F"/>
    <w:rsid w:val="005B2074"/>
    <w:rsid w:val="005B211D"/>
    <w:rsid w:val="005B2480"/>
    <w:rsid w:val="005B29B4"/>
    <w:rsid w:val="005B2CAB"/>
    <w:rsid w:val="005B2D49"/>
    <w:rsid w:val="005B2E43"/>
    <w:rsid w:val="005B2E44"/>
    <w:rsid w:val="005B3207"/>
    <w:rsid w:val="005B38A7"/>
    <w:rsid w:val="005B42B8"/>
    <w:rsid w:val="005B42D4"/>
    <w:rsid w:val="005B4618"/>
    <w:rsid w:val="005B4839"/>
    <w:rsid w:val="005B49A9"/>
    <w:rsid w:val="005B4FCD"/>
    <w:rsid w:val="005B5A31"/>
    <w:rsid w:val="005B5B42"/>
    <w:rsid w:val="005B5FB9"/>
    <w:rsid w:val="005B6108"/>
    <w:rsid w:val="005B65A9"/>
    <w:rsid w:val="005B693A"/>
    <w:rsid w:val="005B7066"/>
    <w:rsid w:val="005B7CBB"/>
    <w:rsid w:val="005C027E"/>
    <w:rsid w:val="005C049A"/>
    <w:rsid w:val="005C04EF"/>
    <w:rsid w:val="005C0EDC"/>
    <w:rsid w:val="005C2709"/>
    <w:rsid w:val="005C2DB0"/>
    <w:rsid w:val="005C3C19"/>
    <w:rsid w:val="005C44B7"/>
    <w:rsid w:val="005C4B14"/>
    <w:rsid w:val="005C4BD1"/>
    <w:rsid w:val="005C4EC9"/>
    <w:rsid w:val="005C5E1D"/>
    <w:rsid w:val="005C5F4A"/>
    <w:rsid w:val="005C6AE9"/>
    <w:rsid w:val="005C6D11"/>
    <w:rsid w:val="005C7480"/>
    <w:rsid w:val="005C7741"/>
    <w:rsid w:val="005D0230"/>
    <w:rsid w:val="005D060D"/>
    <w:rsid w:val="005D0620"/>
    <w:rsid w:val="005D0DC3"/>
    <w:rsid w:val="005D1744"/>
    <w:rsid w:val="005D29D8"/>
    <w:rsid w:val="005D2F98"/>
    <w:rsid w:val="005D335B"/>
    <w:rsid w:val="005D3A5B"/>
    <w:rsid w:val="005D3FBA"/>
    <w:rsid w:val="005D4773"/>
    <w:rsid w:val="005D4F4E"/>
    <w:rsid w:val="005D570F"/>
    <w:rsid w:val="005D6854"/>
    <w:rsid w:val="005D6A74"/>
    <w:rsid w:val="005D76A1"/>
    <w:rsid w:val="005D7759"/>
    <w:rsid w:val="005E0B57"/>
    <w:rsid w:val="005E0BA2"/>
    <w:rsid w:val="005E108B"/>
    <w:rsid w:val="005E11CF"/>
    <w:rsid w:val="005E1721"/>
    <w:rsid w:val="005E1871"/>
    <w:rsid w:val="005E1C3B"/>
    <w:rsid w:val="005E1CF1"/>
    <w:rsid w:val="005E21C6"/>
    <w:rsid w:val="005E271F"/>
    <w:rsid w:val="005E2770"/>
    <w:rsid w:val="005E2D9D"/>
    <w:rsid w:val="005E2EA1"/>
    <w:rsid w:val="005E2F9A"/>
    <w:rsid w:val="005E3BC9"/>
    <w:rsid w:val="005E44F8"/>
    <w:rsid w:val="005E506B"/>
    <w:rsid w:val="005E5159"/>
    <w:rsid w:val="005E58AD"/>
    <w:rsid w:val="005E64E8"/>
    <w:rsid w:val="005E6671"/>
    <w:rsid w:val="005E6A81"/>
    <w:rsid w:val="005E71B1"/>
    <w:rsid w:val="005E7871"/>
    <w:rsid w:val="005E799D"/>
    <w:rsid w:val="005E7B7E"/>
    <w:rsid w:val="005E7F14"/>
    <w:rsid w:val="005F0B5B"/>
    <w:rsid w:val="005F11F5"/>
    <w:rsid w:val="005F243E"/>
    <w:rsid w:val="005F34A3"/>
    <w:rsid w:val="005F35CC"/>
    <w:rsid w:val="005F393E"/>
    <w:rsid w:val="005F3968"/>
    <w:rsid w:val="005F3FB8"/>
    <w:rsid w:val="005F4060"/>
    <w:rsid w:val="005F41D4"/>
    <w:rsid w:val="005F443D"/>
    <w:rsid w:val="005F59CD"/>
    <w:rsid w:val="005F6ADB"/>
    <w:rsid w:val="005F7185"/>
    <w:rsid w:val="00600E86"/>
    <w:rsid w:val="00601EA2"/>
    <w:rsid w:val="006028AA"/>
    <w:rsid w:val="00603723"/>
    <w:rsid w:val="0060469A"/>
    <w:rsid w:val="00604EB1"/>
    <w:rsid w:val="00604FBD"/>
    <w:rsid w:val="00605BF2"/>
    <w:rsid w:val="0060602A"/>
    <w:rsid w:val="0060649B"/>
    <w:rsid w:val="00606F28"/>
    <w:rsid w:val="0060731E"/>
    <w:rsid w:val="00607578"/>
    <w:rsid w:val="00607682"/>
    <w:rsid w:val="00607964"/>
    <w:rsid w:val="00607B3D"/>
    <w:rsid w:val="00607E4E"/>
    <w:rsid w:val="00607EA4"/>
    <w:rsid w:val="0061005D"/>
    <w:rsid w:val="006101E3"/>
    <w:rsid w:val="00610613"/>
    <w:rsid w:val="006115F7"/>
    <w:rsid w:val="00611C3B"/>
    <w:rsid w:val="00611D22"/>
    <w:rsid w:val="00612BD5"/>
    <w:rsid w:val="00612CDD"/>
    <w:rsid w:val="006142D4"/>
    <w:rsid w:val="00614554"/>
    <w:rsid w:val="00614A9C"/>
    <w:rsid w:val="00614E61"/>
    <w:rsid w:val="006150B3"/>
    <w:rsid w:val="00615127"/>
    <w:rsid w:val="0061564E"/>
    <w:rsid w:val="006156DF"/>
    <w:rsid w:val="006159A4"/>
    <w:rsid w:val="006163DD"/>
    <w:rsid w:val="00617F47"/>
    <w:rsid w:val="006207D0"/>
    <w:rsid w:val="00620F4A"/>
    <w:rsid w:val="00621609"/>
    <w:rsid w:val="006216B7"/>
    <w:rsid w:val="006217AC"/>
    <w:rsid w:val="006217D6"/>
    <w:rsid w:val="0062191A"/>
    <w:rsid w:val="00621ACC"/>
    <w:rsid w:val="00621CD3"/>
    <w:rsid w:val="00622630"/>
    <w:rsid w:val="00624B4C"/>
    <w:rsid w:val="00624E5B"/>
    <w:rsid w:val="0062536B"/>
    <w:rsid w:val="0062550F"/>
    <w:rsid w:val="00625A5C"/>
    <w:rsid w:val="00626595"/>
    <w:rsid w:val="00627AC9"/>
    <w:rsid w:val="00627F02"/>
    <w:rsid w:val="00631D5B"/>
    <w:rsid w:val="006326BD"/>
    <w:rsid w:val="006328AE"/>
    <w:rsid w:val="0063307D"/>
    <w:rsid w:val="00633C7C"/>
    <w:rsid w:val="00634275"/>
    <w:rsid w:val="00637F26"/>
    <w:rsid w:val="0064032B"/>
    <w:rsid w:val="00640785"/>
    <w:rsid w:val="00640AF2"/>
    <w:rsid w:val="00640AF5"/>
    <w:rsid w:val="006413AE"/>
    <w:rsid w:val="00641C0C"/>
    <w:rsid w:val="0064296D"/>
    <w:rsid w:val="006433BF"/>
    <w:rsid w:val="006437AE"/>
    <w:rsid w:val="00644104"/>
    <w:rsid w:val="006447FD"/>
    <w:rsid w:val="00644852"/>
    <w:rsid w:val="006448A7"/>
    <w:rsid w:val="00645152"/>
    <w:rsid w:val="0064518E"/>
    <w:rsid w:val="0064598C"/>
    <w:rsid w:val="0064646B"/>
    <w:rsid w:val="00647263"/>
    <w:rsid w:val="00647873"/>
    <w:rsid w:val="006479FD"/>
    <w:rsid w:val="0065034E"/>
    <w:rsid w:val="00650D07"/>
    <w:rsid w:val="00650EE0"/>
    <w:rsid w:val="00651D9F"/>
    <w:rsid w:val="0065222F"/>
    <w:rsid w:val="006522B3"/>
    <w:rsid w:val="00652B75"/>
    <w:rsid w:val="00653017"/>
    <w:rsid w:val="00653366"/>
    <w:rsid w:val="00653372"/>
    <w:rsid w:val="0065361D"/>
    <w:rsid w:val="00653E3F"/>
    <w:rsid w:val="00655136"/>
    <w:rsid w:val="00655765"/>
    <w:rsid w:val="0065626E"/>
    <w:rsid w:val="006578FF"/>
    <w:rsid w:val="0066066E"/>
    <w:rsid w:val="00660A23"/>
    <w:rsid w:val="006610B1"/>
    <w:rsid w:val="0066144E"/>
    <w:rsid w:val="006616FF"/>
    <w:rsid w:val="00661A9F"/>
    <w:rsid w:val="006620AE"/>
    <w:rsid w:val="006623C0"/>
    <w:rsid w:val="006624F9"/>
    <w:rsid w:val="00662568"/>
    <w:rsid w:val="0066416C"/>
    <w:rsid w:val="00664189"/>
    <w:rsid w:val="00664367"/>
    <w:rsid w:val="00664E68"/>
    <w:rsid w:val="006652D2"/>
    <w:rsid w:val="006652F6"/>
    <w:rsid w:val="00665A5D"/>
    <w:rsid w:val="00666A14"/>
    <w:rsid w:val="00666D34"/>
    <w:rsid w:val="00667B3C"/>
    <w:rsid w:val="00670F8A"/>
    <w:rsid w:val="00670F90"/>
    <w:rsid w:val="0067143B"/>
    <w:rsid w:val="00671C81"/>
    <w:rsid w:val="00672BD8"/>
    <w:rsid w:val="00672F5A"/>
    <w:rsid w:val="00673A74"/>
    <w:rsid w:val="00673D4F"/>
    <w:rsid w:val="00673FEF"/>
    <w:rsid w:val="00674815"/>
    <w:rsid w:val="006748BA"/>
    <w:rsid w:val="006752DF"/>
    <w:rsid w:val="00675A85"/>
    <w:rsid w:val="00677D15"/>
    <w:rsid w:val="00677F72"/>
    <w:rsid w:val="006803AA"/>
    <w:rsid w:val="00680E2E"/>
    <w:rsid w:val="0068125F"/>
    <w:rsid w:val="006818AF"/>
    <w:rsid w:val="00681BA5"/>
    <w:rsid w:val="00681CF4"/>
    <w:rsid w:val="00682C02"/>
    <w:rsid w:val="00682F00"/>
    <w:rsid w:val="00683912"/>
    <w:rsid w:val="00683943"/>
    <w:rsid w:val="00684DF1"/>
    <w:rsid w:val="00685103"/>
    <w:rsid w:val="00685312"/>
    <w:rsid w:val="00686007"/>
    <w:rsid w:val="006866B1"/>
    <w:rsid w:val="0068749B"/>
    <w:rsid w:val="006879B7"/>
    <w:rsid w:val="00690263"/>
    <w:rsid w:val="00690D77"/>
    <w:rsid w:val="0069112F"/>
    <w:rsid w:val="00691349"/>
    <w:rsid w:val="00691F32"/>
    <w:rsid w:val="00692D6E"/>
    <w:rsid w:val="00692F00"/>
    <w:rsid w:val="0069302D"/>
    <w:rsid w:val="006930F2"/>
    <w:rsid w:val="00694211"/>
    <w:rsid w:val="0069428F"/>
    <w:rsid w:val="006944F3"/>
    <w:rsid w:val="00694B7D"/>
    <w:rsid w:val="00694EA5"/>
    <w:rsid w:val="00695432"/>
    <w:rsid w:val="0069638D"/>
    <w:rsid w:val="006966BE"/>
    <w:rsid w:val="0069672E"/>
    <w:rsid w:val="00696A71"/>
    <w:rsid w:val="00697202"/>
    <w:rsid w:val="00697342"/>
    <w:rsid w:val="00697A77"/>
    <w:rsid w:val="00697EBE"/>
    <w:rsid w:val="006A0068"/>
    <w:rsid w:val="006A0B30"/>
    <w:rsid w:val="006A0F94"/>
    <w:rsid w:val="006A11FD"/>
    <w:rsid w:val="006A15DA"/>
    <w:rsid w:val="006A1FBC"/>
    <w:rsid w:val="006A2814"/>
    <w:rsid w:val="006A2BE2"/>
    <w:rsid w:val="006A2F0C"/>
    <w:rsid w:val="006A41E8"/>
    <w:rsid w:val="006A4700"/>
    <w:rsid w:val="006A47E7"/>
    <w:rsid w:val="006A4C73"/>
    <w:rsid w:val="006A54C3"/>
    <w:rsid w:val="006A5659"/>
    <w:rsid w:val="006A619A"/>
    <w:rsid w:val="006A6279"/>
    <w:rsid w:val="006A6919"/>
    <w:rsid w:val="006A7EF3"/>
    <w:rsid w:val="006B010B"/>
    <w:rsid w:val="006B0221"/>
    <w:rsid w:val="006B1268"/>
    <w:rsid w:val="006B2352"/>
    <w:rsid w:val="006B24FB"/>
    <w:rsid w:val="006B24FC"/>
    <w:rsid w:val="006B2B91"/>
    <w:rsid w:val="006B3B92"/>
    <w:rsid w:val="006B4082"/>
    <w:rsid w:val="006B46C9"/>
    <w:rsid w:val="006B4BC1"/>
    <w:rsid w:val="006B4DD8"/>
    <w:rsid w:val="006B530D"/>
    <w:rsid w:val="006B5723"/>
    <w:rsid w:val="006B58CF"/>
    <w:rsid w:val="006B5A66"/>
    <w:rsid w:val="006B5C5C"/>
    <w:rsid w:val="006B602F"/>
    <w:rsid w:val="006B663F"/>
    <w:rsid w:val="006B6E2D"/>
    <w:rsid w:val="006B7ABB"/>
    <w:rsid w:val="006B7D94"/>
    <w:rsid w:val="006B7F65"/>
    <w:rsid w:val="006B7FA8"/>
    <w:rsid w:val="006C02D4"/>
    <w:rsid w:val="006C16DB"/>
    <w:rsid w:val="006C22EA"/>
    <w:rsid w:val="006C29E0"/>
    <w:rsid w:val="006C2B81"/>
    <w:rsid w:val="006C2DFF"/>
    <w:rsid w:val="006C3302"/>
    <w:rsid w:val="006C3896"/>
    <w:rsid w:val="006C3CD0"/>
    <w:rsid w:val="006C3DAF"/>
    <w:rsid w:val="006C3EB8"/>
    <w:rsid w:val="006C4031"/>
    <w:rsid w:val="006C58F9"/>
    <w:rsid w:val="006C5ECA"/>
    <w:rsid w:val="006C6138"/>
    <w:rsid w:val="006C68B0"/>
    <w:rsid w:val="006C7157"/>
    <w:rsid w:val="006C77FE"/>
    <w:rsid w:val="006C7CF5"/>
    <w:rsid w:val="006C7E1E"/>
    <w:rsid w:val="006D08C2"/>
    <w:rsid w:val="006D1008"/>
    <w:rsid w:val="006D1C69"/>
    <w:rsid w:val="006D2162"/>
    <w:rsid w:val="006D23D1"/>
    <w:rsid w:val="006D30AF"/>
    <w:rsid w:val="006D3768"/>
    <w:rsid w:val="006D37B6"/>
    <w:rsid w:val="006D3856"/>
    <w:rsid w:val="006D3E7D"/>
    <w:rsid w:val="006D3F78"/>
    <w:rsid w:val="006D3F81"/>
    <w:rsid w:val="006D420B"/>
    <w:rsid w:val="006D513A"/>
    <w:rsid w:val="006D5344"/>
    <w:rsid w:val="006D549C"/>
    <w:rsid w:val="006D56B6"/>
    <w:rsid w:val="006D6490"/>
    <w:rsid w:val="006D696D"/>
    <w:rsid w:val="006D6BE5"/>
    <w:rsid w:val="006D6E58"/>
    <w:rsid w:val="006D7228"/>
    <w:rsid w:val="006D780A"/>
    <w:rsid w:val="006D7B1A"/>
    <w:rsid w:val="006E052C"/>
    <w:rsid w:val="006E1697"/>
    <w:rsid w:val="006E186B"/>
    <w:rsid w:val="006E191F"/>
    <w:rsid w:val="006E2464"/>
    <w:rsid w:val="006E3035"/>
    <w:rsid w:val="006E334C"/>
    <w:rsid w:val="006E354D"/>
    <w:rsid w:val="006E3B28"/>
    <w:rsid w:val="006E3D1D"/>
    <w:rsid w:val="006E4137"/>
    <w:rsid w:val="006E4358"/>
    <w:rsid w:val="006E478F"/>
    <w:rsid w:val="006E4E32"/>
    <w:rsid w:val="006E4EF3"/>
    <w:rsid w:val="006E5010"/>
    <w:rsid w:val="006E58CA"/>
    <w:rsid w:val="006E58DE"/>
    <w:rsid w:val="006E5A07"/>
    <w:rsid w:val="006E5CD6"/>
    <w:rsid w:val="006E772E"/>
    <w:rsid w:val="006E7BEB"/>
    <w:rsid w:val="006E7C3E"/>
    <w:rsid w:val="006E7F5C"/>
    <w:rsid w:val="006F0400"/>
    <w:rsid w:val="006F0556"/>
    <w:rsid w:val="006F0608"/>
    <w:rsid w:val="006F063D"/>
    <w:rsid w:val="006F0780"/>
    <w:rsid w:val="006F0EC0"/>
    <w:rsid w:val="006F1097"/>
    <w:rsid w:val="006F1B80"/>
    <w:rsid w:val="006F1C17"/>
    <w:rsid w:val="006F1C57"/>
    <w:rsid w:val="006F1FEE"/>
    <w:rsid w:val="006F279E"/>
    <w:rsid w:val="006F2814"/>
    <w:rsid w:val="006F2BBD"/>
    <w:rsid w:val="006F2C5A"/>
    <w:rsid w:val="006F309D"/>
    <w:rsid w:val="006F30F1"/>
    <w:rsid w:val="006F3A94"/>
    <w:rsid w:val="006F4260"/>
    <w:rsid w:val="006F4816"/>
    <w:rsid w:val="006F49A2"/>
    <w:rsid w:val="006F4BFD"/>
    <w:rsid w:val="006F5310"/>
    <w:rsid w:val="006F6552"/>
    <w:rsid w:val="006F68E7"/>
    <w:rsid w:val="006F6E96"/>
    <w:rsid w:val="006F72A8"/>
    <w:rsid w:val="006F73E2"/>
    <w:rsid w:val="006F773D"/>
    <w:rsid w:val="00701376"/>
    <w:rsid w:val="007015A1"/>
    <w:rsid w:val="0070167D"/>
    <w:rsid w:val="00701D9B"/>
    <w:rsid w:val="00702415"/>
    <w:rsid w:val="00702836"/>
    <w:rsid w:val="00702A2F"/>
    <w:rsid w:val="00702A45"/>
    <w:rsid w:val="00702EF1"/>
    <w:rsid w:val="00704027"/>
    <w:rsid w:val="00704C3C"/>
    <w:rsid w:val="00704E1D"/>
    <w:rsid w:val="00704E48"/>
    <w:rsid w:val="007051B4"/>
    <w:rsid w:val="00705A1D"/>
    <w:rsid w:val="00705D12"/>
    <w:rsid w:val="00706210"/>
    <w:rsid w:val="0070638B"/>
    <w:rsid w:val="0070652A"/>
    <w:rsid w:val="00706BF8"/>
    <w:rsid w:val="00706E0D"/>
    <w:rsid w:val="00706EC4"/>
    <w:rsid w:val="00706FCC"/>
    <w:rsid w:val="00707473"/>
    <w:rsid w:val="00710255"/>
    <w:rsid w:val="007105EF"/>
    <w:rsid w:val="00710BF8"/>
    <w:rsid w:val="00710C0D"/>
    <w:rsid w:val="0071150F"/>
    <w:rsid w:val="00711AE4"/>
    <w:rsid w:val="00712FC4"/>
    <w:rsid w:val="0071323D"/>
    <w:rsid w:val="0071395F"/>
    <w:rsid w:val="00713C0C"/>
    <w:rsid w:val="00713ED0"/>
    <w:rsid w:val="00713F62"/>
    <w:rsid w:val="007140D2"/>
    <w:rsid w:val="00714CCE"/>
    <w:rsid w:val="00714EDC"/>
    <w:rsid w:val="0071543E"/>
    <w:rsid w:val="00715783"/>
    <w:rsid w:val="007158B6"/>
    <w:rsid w:val="007158EC"/>
    <w:rsid w:val="00715B7B"/>
    <w:rsid w:val="00716378"/>
    <w:rsid w:val="0071689A"/>
    <w:rsid w:val="007224C1"/>
    <w:rsid w:val="0072366E"/>
    <w:rsid w:val="00723B34"/>
    <w:rsid w:val="007242E7"/>
    <w:rsid w:val="00724496"/>
    <w:rsid w:val="0072493C"/>
    <w:rsid w:val="0072501E"/>
    <w:rsid w:val="0072563D"/>
    <w:rsid w:val="00725664"/>
    <w:rsid w:val="007256E8"/>
    <w:rsid w:val="00725A4F"/>
    <w:rsid w:val="00725F9B"/>
    <w:rsid w:val="007267FA"/>
    <w:rsid w:val="00726A91"/>
    <w:rsid w:val="007271AF"/>
    <w:rsid w:val="007279B9"/>
    <w:rsid w:val="00727EC3"/>
    <w:rsid w:val="007300EB"/>
    <w:rsid w:val="0073010B"/>
    <w:rsid w:val="007302E3"/>
    <w:rsid w:val="00730864"/>
    <w:rsid w:val="00730AFD"/>
    <w:rsid w:val="0073112D"/>
    <w:rsid w:val="0073159F"/>
    <w:rsid w:val="00731CC9"/>
    <w:rsid w:val="00732236"/>
    <w:rsid w:val="00732250"/>
    <w:rsid w:val="007323CB"/>
    <w:rsid w:val="00732692"/>
    <w:rsid w:val="00732B09"/>
    <w:rsid w:val="00732D5A"/>
    <w:rsid w:val="007333A4"/>
    <w:rsid w:val="00733431"/>
    <w:rsid w:val="00733A00"/>
    <w:rsid w:val="00733ADB"/>
    <w:rsid w:val="00735B31"/>
    <w:rsid w:val="00735DA2"/>
    <w:rsid w:val="0073655A"/>
    <w:rsid w:val="00736A74"/>
    <w:rsid w:val="00736E6E"/>
    <w:rsid w:val="00736FF0"/>
    <w:rsid w:val="00737FF2"/>
    <w:rsid w:val="007406CD"/>
    <w:rsid w:val="007409FC"/>
    <w:rsid w:val="00740A17"/>
    <w:rsid w:val="00740A9C"/>
    <w:rsid w:val="0074102E"/>
    <w:rsid w:val="007411DC"/>
    <w:rsid w:val="00741F92"/>
    <w:rsid w:val="00741FB4"/>
    <w:rsid w:val="0074200C"/>
    <w:rsid w:val="007423A2"/>
    <w:rsid w:val="00742B7C"/>
    <w:rsid w:val="00742CFC"/>
    <w:rsid w:val="00743B41"/>
    <w:rsid w:val="00743B72"/>
    <w:rsid w:val="00744408"/>
    <w:rsid w:val="00744561"/>
    <w:rsid w:val="00744B2C"/>
    <w:rsid w:val="00744ED4"/>
    <w:rsid w:val="0074582C"/>
    <w:rsid w:val="007459A0"/>
    <w:rsid w:val="00745ED0"/>
    <w:rsid w:val="00746383"/>
    <w:rsid w:val="0074661B"/>
    <w:rsid w:val="00746703"/>
    <w:rsid w:val="00746706"/>
    <w:rsid w:val="00746FF3"/>
    <w:rsid w:val="007471D1"/>
    <w:rsid w:val="007472DB"/>
    <w:rsid w:val="0074733A"/>
    <w:rsid w:val="007473F2"/>
    <w:rsid w:val="007473F8"/>
    <w:rsid w:val="007479AC"/>
    <w:rsid w:val="00747F02"/>
    <w:rsid w:val="00750470"/>
    <w:rsid w:val="00750E11"/>
    <w:rsid w:val="00750F5E"/>
    <w:rsid w:val="007511F4"/>
    <w:rsid w:val="00751244"/>
    <w:rsid w:val="00751435"/>
    <w:rsid w:val="007514E8"/>
    <w:rsid w:val="00752A2B"/>
    <w:rsid w:val="00752D04"/>
    <w:rsid w:val="007534B3"/>
    <w:rsid w:val="00753614"/>
    <w:rsid w:val="007537CB"/>
    <w:rsid w:val="00754513"/>
    <w:rsid w:val="007545DC"/>
    <w:rsid w:val="00754877"/>
    <w:rsid w:val="007551DF"/>
    <w:rsid w:val="007555C2"/>
    <w:rsid w:val="007561B0"/>
    <w:rsid w:val="0075664E"/>
    <w:rsid w:val="00760410"/>
    <w:rsid w:val="0076056B"/>
    <w:rsid w:val="00760FF1"/>
    <w:rsid w:val="0076124C"/>
    <w:rsid w:val="00761CD0"/>
    <w:rsid w:val="00761D6A"/>
    <w:rsid w:val="007626AB"/>
    <w:rsid w:val="00762BC9"/>
    <w:rsid w:val="00762F7A"/>
    <w:rsid w:val="00763108"/>
    <w:rsid w:val="00763249"/>
    <w:rsid w:val="00763AD8"/>
    <w:rsid w:val="007640E3"/>
    <w:rsid w:val="00764348"/>
    <w:rsid w:val="007655B4"/>
    <w:rsid w:val="00765C86"/>
    <w:rsid w:val="00765E57"/>
    <w:rsid w:val="00765E67"/>
    <w:rsid w:val="00766AB1"/>
    <w:rsid w:val="00766FE6"/>
    <w:rsid w:val="00767516"/>
    <w:rsid w:val="00767E0A"/>
    <w:rsid w:val="007712F2"/>
    <w:rsid w:val="00771886"/>
    <w:rsid w:val="00771FB9"/>
    <w:rsid w:val="00772067"/>
    <w:rsid w:val="007721F8"/>
    <w:rsid w:val="007725CA"/>
    <w:rsid w:val="00772877"/>
    <w:rsid w:val="00774659"/>
    <w:rsid w:val="007746C1"/>
    <w:rsid w:val="0077477D"/>
    <w:rsid w:val="0077495F"/>
    <w:rsid w:val="007759D1"/>
    <w:rsid w:val="00775EBA"/>
    <w:rsid w:val="00776AA8"/>
    <w:rsid w:val="00776AC6"/>
    <w:rsid w:val="0077785E"/>
    <w:rsid w:val="00777902"/>
    <w:rsid w:val="00777E48"/>
    <w:rsid w:val="00780012"/>
    <w:rsid w:val="0078003F"/>
    <w:rsid w:val="0078024D"/>
    <w:rsid w:val="00780715"/>
    <w:rsid w:val="007808F6"/>
    <w:rsid w:val="00780976"/>
    <w:rsid w:val="007819C7"/>
    <w:rsid w:val="00781C8A"/>
    <w:rsid w:val="00782040"/>
    <w:rsid w:val="007829A6"/>
    <w:rsid w:val="00782A85"/>
    <w:rsid w:val="00782B2A"/>
    <w:rsid w:val="00783C2A"/>
    <w:rsid w:val="00784864"/>
    <w:rsid w:val="00784C47"/>
    <w:rsid w:val="00784DDE"/>
    <w:rsid w:val="00784DE3"/>
    <w:rsid w:val="00785881"/>
    <w:rsid w:val="00785CF9"/>
    <w:rsid w:val="00785EAE"/>
    <w:rsid w:val="0078612C"/>
    <w:rsid w:val="00786B7D"/>
    <w:rsid w:val="0078722D"/>
    <w:rsid w:val="00787288"/>
    <w:rsid w:val="007872D7"/>
    <w:rsid w:val="00787315"/>
    <w:rsid w:val="007879B6"/>
    <w:rsid w:val="00787F46"/>
    <w:rsid w:val="00790175"/>
    <w:rsid w:val="0079046D"/>
    <w:rsid w:val="007906D1"/>
    <w:rsid w:val="00790827"/>
    <w:rsid w:val="00790CF8"/>
    <w:rsid w:val="0079152A"/>
    <w:rsid w:val="00791DE2"/>
    <w:rsid w:val="00791F97"/>
    <w:rsid w:val="007922B9"/>
    <w:rsid w:val="00792B10"/>
    <w:rsid w:val="00793240"/>
    <w:rsid w:val="007935DA"/>
    <w:rsid w:val="007941C1"/>
    <w:rsid w:val="0079476F"/>
    <w:rsid w:val="007952D3"/>
    <w:rsid w:val="007956AF"/>
    <w:rsid w:val="00796532"/>
    <w:rsid w:val="00796622"/>
    <w:rsid w:val="00796D6C"/>
    <w:rsid w:val="007972D2"/>
    <w:rsid w:val="00797F0C"/>
    <w:rsid w:val="007A0098"/>
    <w:rsid w:val="007A1061"/>
    <w:rsid w:val="007A1869"/>
    <w:rsid w:val="007A18F3"/>
    <w:rsid w:val="007A1E81"/>
    <w:rsid w:val="007A22FD"/>
    <w:rsid w:val="007A26C6"/>
    <w:rsid w:val="007A2811"/>
    <w:rsid w:val="007A2F8F"/>
    <w:rsid w:val="007A326E"/>
    <w:rsid w:val="007A327E"/>
    <w:rsid w:val="007A38FC"/>
    <w:rsid w:val="007A3B3E"/>
    <w:rsid w:val="007A3D63"/>
    <w:rsid w:val="007A3E2F"/>
    <w:rsid w:val="007A3E3E"/>
    <w:rsid w:val="007A4CC1"/>
    <w:rsid w:val="007A4F2E"/>
    <w:rsid w:val="007A4FEE"/>
    <w:rsid w:val="007A5749"/>
    <w:rsid w:val="007A5DA9"/>
    <w:rsid w:val="007A5F42"/>
    <w:rsid w:val="007A6623"/>
    <w:rsid w:val="007B0BEE"/>
    <w:rsid w:val="007B0D01"/>
    <w:rsid w:val="007B1899"/>
    <w:rsid w:val="007B2509"/>
    <w:rsid w:val="007B2636"/>
    <w:rsid w:val="007B2CAA"/>
    <w:rsid w:val="007B2CEA"/>
    <w:rsid w:val="007B515C"/>
    <w:rsid w:val="007B5BD5"/>
    <w:rsid w:val="007B6140"/>
    <w:rsid w:val="007B701C"/>
    <w:rsid w:val="007B7DA1"/>
    <w:rsid w:val="007C0C94"/>
    <w:rsid w:val="007C0D70"/>
    <w:rsid w:val="007C122D"/>
    <w:rsid w:val="007C13BF"/>
    <w:rsid w:val="007C16A8"/>
    <w:rsid w:val="007C1E14"/>
    <w:rsid w:val="007C1E63"/>
    <w:rsid w:val="007C38B0"/>
    <w:rsid w:val="007C3937"/>
    <w:rsid w:val="007C3E26"/>
    <w:rsid w:val="007C3E62"/>
    <w:rsid w:val="007C3FD5"/>
    <w:rsid w:val="007C4338"/>
    <w:rsid w:val="007C447E"/>
    <w:rsid w:val="007C4787"/>
    <w:rsid w:val="007C4967"/>
    <w:rsid w:val="007C55E5"/>
    <w:rsid w:val="007C631B"/>
    <w:rsid w:val="007C6B89"/>
    <w:rsid w:val="007C6F82"/>
    <w:rsid w:val="007C6FB4"/>
    <w:rsid w:val="007C6FF8"/>
    <w:rsid w:val="007C728F"/>
    <w:rsid w:val="007C759C"/>
    <w:rsid w:val="007C7A4B"/>
    <w:rsid w:val="007D041D"/>
    <w:rsid w:val="007D082F"/>
    <w:rsid w:val="007D0874"/>
    <w:rsid w:val="007D0BA5"/>
    <w:rsid w:val="007D0F87"/>
    <w:rsid w:val="007D113C"/>
    <w:rsid w:val="007D12DD"/>
    <w:rsid w:val="007D199D"/>
    <w:rsid w:val="007D1A54"/>
    <w:rsid w:val="007D294C"/>
    <w:rsid w:val="007D2A38"/>
    <w:rsid w:val="007D2E1D"/>
    <w:rsid w:val="007D3F1B"/>
    <w:rsid w:val="007D404A"/>
    <w:rsid w:val="007D41D0"/>
    <w:rsid w:val="007D4767"/>
    <w:rsid w:val="007D5395"/>
    <w:rsid w:val="007D55EF"/>
    <w:rsid w:val="007D576F"/>
    <w:rsid w:val="007D5C29"/>
    <w:rsid w:val="007D5F58"/>
    <w:rsid w:val="007D663D"/>
    <w:rsid w:val="007D7120"/>
    <w:rsid w:val="007D7C7E"/>
    <w:rsid w:val="007D7D2F"/>
    <w:rsid w:val="007E047C"/>
    <w:rsid w:val="007E1238"/>
    <w:rsid w:val="007E19F5"/>
    <w:rsid w:val="007E1C00"/>
    <w:rsid w:val="007E2128"/>
    <w:rsid w:val="007E21B8"/>
    <w:rsid w:val="007E2E0A"/>
    <w:rsid w:val="007E34A0"/>
    <w:rsid w:val="007E3A37"/>
    <w:rsid w:val="007E3A8D"/>
    <w:rsid w:val="007E4109"/>
    <w:rsid w:val="007E55A6"/>
    <w:rsid w:val="007E5C34"/>
    <w:rsid w:val="007E5D02"/>
    <w:rsid w:val="007E5D34"/>
    <w:rsid w:val="007E7394"/>
    <w:rsid w:val="007F011C"/>
    <w:rsid w:val="007F015E"/>
    <w:rsid w:val="007F0330"/>
    <w:rsid w:val="007F043D"/>
    <w:rsid w:val="007F1295"/>
    <w:rsid w:val="007F1884"/>
    <w:rsid w:val="007F1972"/>
    <w:rsid w:val="007F2F9E"/>
    <w:rsid w:val="007F3CC8"/>
    <w:rsid w:val="007F3F28"/>
    <w:rsid w:val="007F4083"/>
    <w:rsid w:val="007F5183"/>
    <w:rsid w:val="007F56B0"/>
    <w:rsid w:val="007F61CD"/>
    <w:rsid w:val="007F63C8"/>
    <w:rsid w:val="007F6588"/>
    <w:rsid w:val="007F6655"/>
    <w:rsid w:val="007F6DFD"/>
    <w:rsid w:val="007F6E08"/>
    <w:rsid w:val="007F74EE"/>
    <w:rsid w:val="007F7595"/>
    <w:rsid w:val="007F75BE"/>
    <w:rsid w:val="007F76C2"/>
    <w:rsid w:val="008003B9"/>
    <w:rsid w:val="00800D85"/>
    <w:rsid w:val="008023D9"/>
    <w:rsid w:val="00802596"/>
    <w:rsid w:val="00802BA5"/>
    <w:rsid w:val="00803602"/>
    <w:rsid w:val="0080395C"/>
    <w:rsid w:val="00804346"/>
    <w:rsid w:val="0080483B"/>
    <w:rsid w:val="00804E5C"/>
    <w:rsid w:val="0080696D"/>
    <w:rsid w:val="00806AC1"/>
    <w:rsid w:val="0080711E"/>
    <w:rsid w:val="00807407"/>
    <w:rsid w:val="00807AC0"/>
    <w:rsid w:val="00810C7E"/>
    <w:rsid w:val="00810DAB"/>
    <w:rsid w:val="00810F09"/>
    <w:rsid w:val="00810F66"/>
    <w:rsid w:val="00811B9C"/>
    <w:rsid w:val="00812214"/>
    <w:rsid w:val="0081281B"/>
    <w:rsid w:val="0081343E"/>
    <w:rsid w:val="008134B2"/>
    <w:rsid w:val="00813845"/>
    <w:rsid w:val="00814A58"/>
    <w:rsid w:val="00814C63"/>
    <w:rsid w:val="00814F2C"/>
    <w:rsid w:val="00816C5F"/>
    <w:rsid w:val="0081788C"/>
    <w:rsid w:val="008200C9"/>
    <w:rsid w:val="00820C26"/>
    <w:rsid w:val="00820E09"/>
    <w:rsid w:val="008210E6"/>
    <w:rsid w:val="0082114A"/>
    <w:rsid w:val="0082116B"/>
    <w:rsid w:val="00821D47"/>
    <w:rsid w:val="008227D8"/>
    <w:rsid w:val="00822CBC"/>
    <w:rsid w:val="008236E6"/>
    <w:rsid w:val="008245AD"/>
    <w:rsid w:val="00824DB5"/>
    <w:rsid w:val="00824EB3"/>
    <w:rsid w:val="00825084"/>
    <w:rsid w:val="0082564B"/>
    <w:rsid w:val="00825D30"/>
    <w:rsid w:val="00826B15"/>
    <w:rsid w:val="00826C1F"/>
    <w:rsid w:val="00826EBE"/>
    <w:rsid w:val="00826EDB"/>
    <w:rsid w:val="00827006"/>
    <w:rsid w:val="0082728B"/>
    <w:rsid w:val="00827876"/>
    <w:rsid w:val="00827EC6"/>
    <w:rsid w:val="00830069"/>
    <w:rsid w:val="008302AC"/>
    <w:rsid w:val="00830487"/>
    <w:rsid w:val="008305C5"/>
    <w:rsid w:val="008309F9"/>
    <w:rsid w:val="00830E19"/>
    <w:rsid w:val="00830F2A"/>
    <w:rsid w:val="008310B7"/>
    <w:rsid w:val="00831AF4"/>
    <w:rsid w:val="008320F9"/>
    <w:rsid w:val="008321E2"/>
    <w:rsid w:val="00832941"/>
    <w:rsid w:val="008329C7"/>
    <w:rsid w:val="00833986"/>
    <w:rsid w:val="00833EEF"/>
    <w:rsid w:val="00834100"/>
    <w:rsid w:val="00834FAE"/>
    <w:rsid w:val="00835296"/>
    <w:rsid w:val="00835F07"/>
    <w:rsid w:val="008362FC"/>
    <w:rsid w:val="0083667A"/>
    <w:rsid w:val="00836EB6"/>
    <w:rsid w:val="00837A61"/>
    <w:rsid w:val="00837E6C"/>
    <w:rsid w:val="00841C62"/>
    <w:rsid w:val="0084284B"/>
    <w:rsid w:val="00843D3F"/>
    <w:rsid w:val="00843DB3"/>
    <w:rsid w:val="00843E63"/>
    <w:rsid w:val="008441A6"/>
    <w:rsid w:val="00844852"/>
    <w:rsid w:val="00844FD2"/>
    <w:rsid w:val="00844FE0"/>
    <w:rsid w:val="00845015"/>
    <w:rsid w:val="00845967"/>
    <w:rsid w:val="0084600C"/>
    <w:rsid w:val="008463CA"/>
    <w:rsid w:val="0084673E"/>
    <w:rsid w:val="00846B96"/>
    <w:rsid w:val="00846F58"/>
    <w:rsid w:val="0084753A"/>
    <w:rsid w:val="00847A21"/>
    <w:rsid w:val="00850FB5"/>
    <w:rsid w:val="008514A0"/>
    <w:rsid w:val="00852137"/>
    <w:rsid w:val="00852AA9"/>
    <w:rsid w:val="00852BAC"/>
    <w:rsid w:val="008535DB"/>
    <w:rsid w:val="00853B22"/>
    <w:rsid w:val="00855584"/>
    <w:rsid w:val="00857318"/>
    <w:rsid w:val="0086031E"/>
    <w:rsid w:val="00860750"/>
    <w:rsid w:val="00860886"/>
    <w:rsid w:val="0086093A"/>
    <w:rsid w:val="00860E19"/>
    <w:rsid w:val="0086140A"/>
    <w:rsid w:val="008619C5"/>
    <w:rsid w:val="00862210"/>
    <w:rsid w:val="00862374"/>
    <w:rsid w:val="00864413"/>
    <w:rsid w:val="00864DCF"/>
    <w:rsid w:val="0086546C"/>
    <w:rsid w:val="00865A56"/>
    <w:rsid w:val="00865C2A"/>
    <w:rsid w:val="00865C8E"/>
    <w:rsid w:val="00866809"/>
    <w:rsid w:val="00866817"/>
    <w:rsid w:val="00866CD2"/>
    <w:rsid w:val="008672D6"/>
    <w:rsid w:val="008674B7"/>
    <w:rsid w:val="008675C8"/>
    <w:rsid w:val="00867686"/>
    <w:rsid w:val="008677A2"/>
    <w:rsid w:val="00867827"/>
    <w:rsid w:val="008700E9"/>
    <w:rsid w:val="00870415"/>
    <w:rsid w:val="008712D8"/>
    <w:rsid w:val="008715DF"/>
    <w:rsid w:val="0087222B"/>
    <w:rsid w:val="0087458F"/>
    <w:rsid w:val="008749A5"/>
    <w:rsid w:val="00874C04"/>
    <w:rsid w:val="00875BEE"/>
    <w:rsid w:val="00875E9C"/>
    <w:rsid w:val="008770B1"/>
    <w:rsid w:val="008771C5"/>
    <w:rsid w:val="00877730"/>
    <w:rsid w:val="008777CA"/>
    <w:rsid w:val="00877851"/>
    <w:rsid w:val="0088062E"/>
    <w:rsid w:val="00881175"/>
    <w:rsid w:val="0088117A"/>
    <w:rsid w:val="00881445"/>
    <w:rsid w:val="008819D3"/>
    <w:rsid w:val="008819EB"/>
    <w:rsid w:val="00881DEF"/>
    <w:rsid w:val="00881E2F"/>
    <w:rsid w:val="0088203D"/>
    <w:rsid w:val="008834CF"/>
    <w:rsid w:val="00883741"/>
    <w:rsid w:val="00883FBE"/>
    <w:rsid w:val="00884341"/>
    <w:rsid w:val="008844BF"/>
    <w:rsid w:val="00884A85"/>
    <w:rsid w:val="00885AC7"/>
    <w:rsid w:val="00885BFC"/>
    <w:rsid w:val="00885E2B"/>
    <w:rsid w:val="00886751"/>
    <w:rsid w:val="00887731"/>
    <w:rsid w:val="00887879"/>
    <w:rsid w:val="0089006A"/>
    <w:rsid w:val="0089053F"/>
    <w:rsid w:val="00890F2C"/>
    <w:rsid w:val="00890F89"/>
    <w:rsid w:val="00891369"/>
    <w:rsid w:val="00891E6F"/>
    <w:rsid w:val="00891EAB"/>
    <w:rsid w:val="008923C4"/>
    <w:rsid w:val="00892A1C"/>
    <w:rsid w:val="00892B25"/>
    <w:rsid w:val="00893F1F"/>
    <w:rsid w:val="00894560"/>
    <w:rsid w:val="00894B60"/>
    <w:rsid w:val="00894CB3"/>
    <w:rsid w:val="00894E5E"/>
    <w:rsid w:val="00894F28"/>
    <w:rsid w:val="00896585"/>
    <w:rsid w:val="008967EF"/>
    <w:rsid w:val="00897B9E"/>
    <w:rsid w:val="008A0934"/>
    <w:rsid w:val="008A0B79"/>
    <w:rsid w:val="008A1153"/>
    <w:rsid w:val="008A12AC"/>
    <w:rsid w:val="008A16BA"/>
    <w:rsid w:val="008A1BA2"/>
    <w:rsid w:val="008A308B"/>
    <w:rsid w:val="008A33CB"/>
    <w:rsid w:val="008A3747"/>
    <w:rsid w:val="008A38E6"/>
    <w:rsid w:val="008A3901"/>
    <w:rsid w:val="008A4010"/>
    <w:rsid w:val="008A4F51"/>
    <w:rsid w:val="008A537C"/>
    <w:rsid w:val="008A5810"/>
    <w:rsid w:val="008A6642"/>
    <w:rsid w:val="008A6DC8"/>
    <w:rsid w:val="008A6EC0"/>
    <w:rsid w:val="008A6F87"/>
    <w:rsid w:val="008A726A"/>
    <w:rsid w:val="008A72AC"/>
    <w:rsid w:val="008A79A0"/>
    <w:rsid w:val="008A7C3B"/>
    <w:rsid w:val="008A7D63"/>
    <w:rsid w:val="008B0C8A"/>
    <w:rsid w:val="008B11C3"/>
    <w:rsid w:val="008B14A9"/>
    <w:rsid w:val="008B16D2"/>
    <w:rsid w:val="008B1EAE"/>
    <w:rsid w:val="008B1FF3"/>
    <w:rsid w:val="008B29BC"/>
    <w:rsid w:val="008B2E2F"/>
    <w:rsid w:val="008B327F"/>
    <w:rsid w:val="008B339E"/>
    <w:rsid w:val="008B3C8D"/>
    <w:rsid w:val="008B3DFE"/>
    <w:rsid w:val="008B4181"/>
    <w:rsid w:val="008B478A"/>
    <w:rsid w:val="008B487C"/>
    <w:rsid w:val="008B4DFA"/>
    <w:rsid w:val="008B506E"/>
    <w:rsid w:val="008B5228"/>
    <w:rsid w:val="008B74D8"/>
    <w:rsid w:val="008B77EA"/>
    <w:rsid w:val="008B78EA"/>
    <w:rsid w:val="008B7A45"/>
    <w:rsid w:val="008C0917"/>
    <w:rsid w:val="008C0B16"/>
    <w:rsid w:val="008C224A"/>
    <w:rsid w:val="008C3138"/>
    <w:rsid w:val="008C3536"/>
    <w:rsid w:val="008C3F1E"/>
    <w:rsid w:val="008C4A29"/>
    <w:rsid w:val="008C4BDC"/>
    <w:rsid w:val="008C5CE3"/>
    <w:rsid w:val="008C5F4F"/>
    <w:rsid w:val="008C5F61"/>
    <w:rsid w:val="008C602F"/>
    <w:rsid w:val="008C609C"/>
    <w:rsid w:val="008C682A"/>
    <w:rsid w:val="008C6E9F"/>
    <w:rsid w:val="008C75D1"/>
    <w:rsid w:val="008C766F"/>
    <w:rsid w:val="008C7C49"/>
    <w:rsid w:val="008C7CCC"/>
    <w:rsid w:val="008C7EE1"/>
    <w:rsid w:val="008D03AA"/>
    <w:rsid w:val="008D05C9"/>
    <w:rsid w:val="008D0C5B"/>
    <w:rsid w:val="008D10C5"/>
    <w:rsid w:val="008D20D4"/>
    <w:rsid w:val="008D2414"/>
    <w:rsid w:val="008D261E"/>
    <w:rsid w:val="008D2B6C"/>
    <w:rsid w:val="008D35C5"/>
    <w:rsid w:val="008D3DBE"/>
    <w:rsid w:val="008D3E38"/>
    <w:rsid w:val="008D427E"/>
    <w:rsid w:val="008D428B"/>
    <w:rsid w:val="008D4B71"/>
    <w:rsid w:val="008D4E60"/>
    <w:rsid w:val="008D515E"/>
    <w:rsid w:val="008D5200"/>
    <w:rsid w:val="008D5C6B"/>
    <w:rsid w:val="008D74DD"/>
    <w:rsid w:val="008E055B"/>
    <w:rsid w:val="008E0E06"/>
    <w:rsid w:val="008E0F15"/>
    <w:rsid w:val="008E0FC2"/>
    <w:rsid w:val="008E139B"/>
    <w:rsid w:val="008E1B7F"/>
    <w:rsid w:val="008E208D"/>
    <w:rsid w:val="008E217F"/>
    <w:rsid w:val="008E2688"/>
    <w:rsid w:val="008E271C"/>
    <w:rsid w:val="008E28B0"/>
    <w:rsid w:val="008E2922"/>
    <w:rsid w:val="008E2EAB"/>
    <w:rsid w:val="008E5A13"/>
    <w:rsid w:val="008E5B54"/>
    <w:rsid w:val="008E6249"/>
    <w:rsid w:val="008E6398"/>
    <w:rsid w:val="008E6519"/>
    <w:rsid w:val="008E65BB"/>
    <w:rsid w:val="008E76CD"/>
    <w:rsid w:val="008E7914"/>
    <w:rsid w:val="008E7AD2"/>
    <w:rsid w:val="008E7EB1"/>
    <w:rsid w:val="008E7F63"/>
    <w:rsid w:val="008F001F"/>
    <w:rsid w:val="008F056B"/>
    <w:rsid w:val="008F09DA"/>
    <w:rsid w:val="008F275B"/>
    <w:rsid w:val="008F2965"/>
    <w:rsid w:val="008F3033"/>
    <w:rsid w:val="008F3480"/>
    <w:rsid w:val="008F3A6A"/>
    <w:rsid w:val="008F3C20"/>
    <w:rsid w:val="008F3D33"/>
    <w:rsid w:val="008F3D61"/>
    <w:rsid w:val="008F4444"/>
    <w:rsid w:val="008F4AAA"/>
    <w:rsid w:val="008F4FA5"/>
    <w:rsid w:val="008F5312"/>
    <w:rsid w:val="008F555B"/>
    <w:rsid w:val="008F55DD"/>
    <w:rsid w:val="008F56B5"/>
    <w:rsid w:val="008F61A5"/>
    <w:rsid w:val="008F7903"/>
    <w:rsid w:val="008F7DE7"/>
    <w:rsid w:val="00900714"/>
    <w:rsid w:val="0090108D"/>
    <w:rsid w:val="009016A0"/>
    <w:rsid w:val="00902561"/>
    <w:rsid w:val="00902D4C"/>
    <w:rsid w:val="009032C3"/>
    <w:rsid w:val="00903418"/>
    <w:rsid w:val="00903E92"/>
    <w:rsid w:val="00904153"/>
    <w:rsid w:val="009042C8"/>
    <w:rsid w:val="00904F16"/>
    <w:rsid w:val="00905286"/>
    <w:rsid w:val="009054A6"/>
    <w:rsid w:val="00905B57"/>
    <w:rsid w:val="00907AC8"/>
    <w:rsid w:val="00907CF1"/>
    <w:rsid w:val="00910560"/>
    <w:rsid w:val="0091114F"/>
    <w:rsid w:val="00911B25"/>
    <w:rsid w:val="00911CB6"/>
    <w:rsid w:val="00912017"/>
    <w:rsid w:val="0091270A"/>
    <w:rsid w:val="00912C73"/>
    <w:rsid w:val="00912FF3"/>
    <w:rsid w:val="00913433"/>
    <w:rsid w:val="00913572"/>
    <w:rsid w:val="00913D9D"/>
    <w:rsid w:val="00914325"/>
    <w:rsid w:val="009148DB"/>
    <w:rsid w:val="0091513E"/>
    <w:rsid w:val="00915416"/>
    <w:rsid w:val="009154B0"/>
    <w:rsid w:val="00916754"/>
    <w:rsid w:val="00916934"/>
    <w:rsid w:val="009169DE"/>
    <w:rsid w:val="00917485"/>
    <w:rsid w:val="00920648"/>
    <w:rsid w:val="00922962"/>
    <w:rsid w:val="009230DA"/>
    <w:rsid w:val="009231D7"/>
    <w:rsid w:val="00923BB1"/>
    <w:rsid w:val="009248F6"/>
    <w:rsid w:val="00924C4A"/>
    <w:rsid w:val="00925218"/>
    <w:rsid w:val="00925A3D"/>
    <w:rsid w:val="00925A8C"/>
    <w:rsid w:val="00926836"/>
    <w:rsid w:val="00926CB5"/>
    <w:rsid w:val="00926E6A"/>
    <w:rsid w:val="00927034"/>
    <w:rsid w:val="00927438"/>
    <w:rsid w:val="00931214"/>
    <w:rsid w:val="00931EEB"/>
    <w:rsid w:val="009329DF"/>
    <w:rsid w:val="009346A6"/>
    <w:rsid w:val="0093580C"/>
    <w:rsid w:val="00935822"/>
    <w:rsid w:val="00936A0F"/>
    <w:rsid w:val="00936ACD"/>
    <w:rsid w:val="00937276"/>
    <w:rsid w:val="00937811"/>
    <w:rsid w:val="00940390"/>
    <w:rsid w:val="00940453"/>
    <w:rsid w:val="00940877"/>
    <w:rsid w:val="009409B6"/>
    <w:rsid w:val="009412AE"/>
    <w:rsid w:val="00941CD4"/>
    <w:rsid w:val="00942470"/>
    <w:rsid w:val="0094301F"/>
    <w:rsid w:val="00943082"/>
    <w:rsid w:val="00943273"/>
    <w:rsid w:val="009435B1"/>
    <w:rsid w:val="00943762"/>
    <w:rsid w:val="0094490E"/>
    <w:rsid w:val="00944B3C"/>
    <w:rsid w:val="009456E8"/>
    <w:rsid w:val="00945995"/>
    <w:rsid w:val="0094681E"/>
    <w:rsid w:val="009471A9"/>
    <w:rsid w:val="009473EA"/>
    <w:rsid w:val="00947BEB"/>
    <w:rsid w:val="00950040"/>
    <w:rsid w:val="00950267"/>
    <w:rsid w:val="00950485"/>
    <w:rsid w:val="00950576"/>
    <w:rsid w:val="0095058B"/>
    <w:rsid w:val="0095083C"/>
    <w:rsid w:val="0095161E"/>
    <w:rsid w:val="0095169A"/>
    <w:rsid w:val="00951A2C"/>
    <w:rsid w:val="00951EC2"/>
    <w:rsid w:val="009525BC"/>
    <w:rsid w:val="00952876"/>
    <w:rsid w:val="00953047"/>
    <w:rsid w:val="0095315A"/>
    <w:rsid w:val="00953FCF"/>
    <w:rsid w:val="0095430B"/>
    <w:rsid w:val="00954F9D"/>
    <w:rsid w:val="00955158"/>
    <w:rsid w:val="009557D7"/>
    <w:rsid w:val="009557E9"/>
    <w:rsid w:val="00955D0A"/>
    <w:rsid w:val="00955F9E"/>
    <w:rsid w:val="00956F76"/>
    <w:rsid w:val="00957140"/>
    <w:rsid w:val="00957807"/>
    <w:rsid w:val="00957C40"/>
    <w:rsid w:val="00957E1B"/>
    <w:rsid w:val="00957E3D"/>
    <w:rsid w:val="009604F3"/>
    <w:rsid w:val="0096193D"/>
    <w:rsid w:val="00961E8C"/>
    <w:rsid w:val="00962323"/>
    <w:rsid w:val="00962569"/>
    <w:rsid w:val="009631A9"/>
    <w:rsid w:val="00963299"/>
    <w:rsid w:val="00963629"/>
    <w:rsid w:val="0096405A"/>
    <w:rsid w:val="009640E0"/>
    <w:rsid w:val="0096496F"/>
    <w:rsid w:val="00964BA3"/>
    <w:rsid w:val="00965C9C"/>
    <w:rsid w:val="009662A7"/>
    <w:rsid w:val="00966CE0"/>
    <w:rsid w:val="00966D9D"/>
    <w:rsid w:val="00966F8E"/>
    <w:rsid w:val="009670F2"/>
    <w:rsid w:val="009673B7"/>
    <w:rsid w:val="00967453"/>
    <w:rsid w:val="00967E12"/>
    <w:rsid w:val="00970274"/>
    <w:rsid w:val="0097050E"/>
    <w:rsid w:val="00970AB6"/>
    <w:rsid w:val="00970F66"/>
    <w:rsid w:val="00971ECD"/>
    <w:rsid w:val="00972D2A"/>
    <w:rsid w:val="00973188"/>
    <w:rsid w:val="00974245"/>
    <w:rsid w:val="009743A6"/>
    <w:rsid w:val="00974454"/>
    <w:rsid w:val="00974F12"/>
    <w:rsid w:val="00975495"/>
    <w:rsid w:val="009754D2"/>
    <w:rsid w:val="00975667"/>
    <w:rsid w:val="0097614E"/>
    <w:rsid w:val="00976511"/>
    <w:rsid w:val="00976954"/>
    <w:rsid w:val="0097735F"/>
    <w:rsid w:val="00977BF5"/>
    <w:rsid w:val="0098001B"/>
    <w:rsid w:val="0098001C"/>
    <w:rsid w:val="00981160"/>
    <w:rsid w:val="00981385"/>
    <w:rsid w:val="00981CB8"/>
    <w:rsid w:val="00981DD6"/>
    <w:rsid w:val="00983014"/>
    <w:rsid w:val="009840E3"/>
    <w:rsid w:val="00984DBE"/>
    <w:rsid w:val="00984F7F"/>
    <w:rsid w:val="00985574"/>
    <w:rsid w:val="009858DE"/>
    <w:rsid w:val="00985999"/>
    <w:rsid w:val="00985E5A"/>
    <w:rsid w:val="00985F07"/>
    <w:rsid w:val="009864CE"/>
    <w:rsid w:val="009875FB"/>
    <w:rsid w:val="009876A7"/>
    <w:rsid w:val="00987771"/>
    <w:rsid w:val="0099085E"/>
    <w:rsid w:val="009909BA"/>
    <w:rsid w:val="00991438"/>
    <w:rsid w:val="0099183E"/>
    <w:rsid w:val="009919F1"/>
    <w:rsid w:val="00992ED2"/>
    <w:rsid w:val="00994734"/>
    <w:rsid w:val="0099518A"/>
    <w:rsid w:val="009958DF"/>
    <w:rsid w:val="00996449"/>
    <w:rsid w:val="0099673F"/>
    <w:rsid w:val="00996989"/>
    <w:rsid w:val="00997B10"/>
    <w:rsid w:val="00997EBA"/>
    <w:rsid w:val="009A0723"/>
    <w:rsid w:val="009A0788"/>
    <w:rsid w:val="009A1A25"/>
    <w:rsid w:val="009A1FB9"/>
    <w:rsid w:val="009A313E"/>
    <w:rsid w:val="009A3869"/>
    <w:rsid w:val="009A395E"/>
    <w:rsid w:val="009A3EAE"/>
    <w:rsid w:val="009A3F59"/>
    <w:rsid w:val="009A4377"/>
    <w:rsid w:val="009A508F"/>
    <w:rsid w:val="009A5F07"/>
    <w:rsid w:val="009A6476"/>
    <w:rsid w:val="009A666C"/>
    <w:rsid w:val="009A6671"/>
    <w:rsid w:val="009A7E31"/>
    <w:rsid w:val="009B05AE"/>
    <w:rsid w:val="009B0C17"/>
    <w:rsid w:val="009B0EA1"/>
    <w:rsid w:val="009B1045"/>
    <w:rsid w:val="009B1796"/>
    <w:rsid w:val="009B20FE"/>
    <w:rsid w:val="009B247F"/>
    <w:rsid w:val="009B2773"/>
    <w:rsid w:val="009B329D"/>
    <w:rsid w:val="009B3648"/>
    <w:rsid w:val="009B40A5"/>
    <w:rsid w:val="009B4202"/>
    <w:rsid w:val="009B4DC7"/>
    <w:rsid w:val="009B510F"/>
    <w:rsid w:val="009B573B"/>
    <w:rsid w:val="009B5FE2"/>
    <w:rsid w:val="009B6338"/>
    <w:rsid w:val="009B68BC"/>
    <w:rsid w:val="009B68D9"/>
    <w:rsid w:val="009B6CF4"/>
    <w:rsid w:val="009B6D58"/>
    <w:rsid w:val="009B7235"/>
    <w:rsid w:val="009B7B28"/>
    <w:rsid w:val="009B7BD9"/>
    <w:rsid w:val="009B7F9A"/>
    <w:rsid w:val="009C0178"/>
    <w:rsid w:val="009C03A2"/>
    <w:rsid w:val="009C083A"/>
    <w:rsid w:val="009C0B0A"/>
    <w:rsid w:val="009C0C47"/>
    <w:rsid w:val="009C0DDE"/>
    <w:rsid w:val="009C0E69"/>
    <w:rsid w:val="009C20B3"/>
    <w:rsid w:val="009C222D"/>
    <w:rsid w:val="009C23DB"/>
    <w:rsid w:val="009C2691"/>
    <w:rsid w:val="009C2DC1"/>
    <w:rsid w:val="009C3036"/>
    <w:rsid w:val="009C31AF"/>
    <w:rsid w:val="009C3206"/>
    <w:rsid w:val="009C3797"/>
    <w:rsid w:val="009C3EE0"/>
    <w:rsid w:val="009C3F09"/>
    <w:rsid w:val="009C4B71"/>
    <w:rsid w:val="009C4F7F"/>
    <w:rsid w:val="009C4F9F"/>
    <w:rsid w:val="009C5622"/>
    <w:rsid w:val="009C5DC3"/>
    <w:rsid w:val="009C6513"/>
    <w:rsid w:val="009C6A66"/>
    <w:rsid w:val="009C6ADC"/>
    <w:rsid w:val="009C723B"/>
    <w:rsid w:val="009C74C9"/>
    <w:rsid w:val="009C7A23"/>
    <w:rsid w:val="009C7CE0"/>
    <w:rsid w:val="009C7DB3"/>
    <w:rsid w:val="009D1551"/>
    <w:rsid w:val="009D258E"/>
    <w:rsid w:val="009D27BC"/>
    <w:rsid w:val="009D28FA"/>
    <w:rsid w:val="009D2B23"/>
    <w:rsid w:val="009D2CF1"/>
    <w:rsid w:val="009D2E11"/>
    <w:rsid w:val="009D42DC"/>
    <w:rsid w:val="009D434C"/>
    <w:rsid w:val="009D4DC3"/>
    <w:rsid w:val="009D58E9"/>
    <w:rsid w:val="009D5F1B"/>
    <w:rsid w:val="009D63D8"/>
    <w:rsid w:val="009D6A02"/>
    <w:rsid w:val="009D72BB"/>
    <w:rsid w:val="009D77D6"/>
    <w:rsid w:val="009E0CA6"/>
    <w:rsid w:val="009E0DAC"/>
    <w:rsid w:val="009E1009"/>
    <w:rsid w:val="009E1322"/>
    <w:rsid w:val="009E1AA0"/>
    <w:rsid w:val="009E1F11"/>
    <w:rsid w:val="009E23C4"/>
    <w:rsid w:val="009E2573"/>
    <w:rsid w:val="009E284B"/>
    <w:rsid w:val="009E2A32"/>
    <w:rsid w:val="009E2C81"/>
    <w:rsid w:val="009E2F6E"/>
    <w:rsid w:val="009E37B1"/>
    <w:rsid w:val="009E3C50"/>
    <w:rsid w:val="009E3F93"/>
    <w:rsid w:val="009E3F98"/>
    <w:rsid w:val="009E4192"/>
    <w:rsid w:val="009E4D1F"/>
    <w:rsid w:val="009E545D"/>
    <w:rsid w:val="009E56BE"/>
    <w:rsid w:val="009E5AF5"/>
    <w:rsid w:val="009E5B37"/>
    <w:rsid w:val="009E5C6E"/>
    <w:rsid w:val="009E5CF9"/>
    <w:rsid w:val="009E5E27"/>
    <w:rsid w:val="009E5FD9"/>
    <w:rsid w:val="009E6365"/>
    <w:rsid w:val="009E758D"/>
    <w:rsid w:val="009F013C"/>
    <w:rsid w:val="009F06CC"/>
    <w:rsid w:val="009F165F"/>
    <w:rsid w:val="009F1AC7"/>
    <w:rsid w:val="009F1CCA"/>
    <w:rsid w:val="009F1EC4"/>
    <w:rsid w:val="009F2722"/>
    <w:rsid w:val="009F2BCF"/>
    <w:rsid w:val="009F368B"/>
    <w:rsid w:val="009F378B"/>
    <w:rsid w:val="009F38DD"/>
    <w:rsid w:val="009F3B8B"/>
    <w:rsid w:val="009F3BDC"/>
    <w:rsid w:val="009F3FD7"/>
    <w:rsid w:val="009F4BD1"/>
    <w:rsid w:val="009F5579"/>
    <w:rsid w:val="009F67A1"/>
    <w:rsid w:val="009F6C28"/>
    <w:rsid w:val="009F6F2A"/>
    <w:rsid w:val="009F7474"/>
    <w:rsid w:val="009F754B"/>
    <w:rsid w:val="009F7B63"/>
    <w:rsid w:val="009F7E3F"/>
    <w:rsid w:val="00A00549"/>
    <w:rsid w:val="00A01729"/>
    <w:rsid w:val="00A0182F"/>
    <w:rsid w:val="00A019A1"/>
    <w:rsid w:val="00A01A73"/>
    <w:rsid w:val="00A01D26"/>
    <w:rsid w:val="00A03525"/>
    <w:rsid w:val="00A0357A"/>
    <w:rsid w:val="00A038DE"/>
    <w:rsid w:val="00A03B6B"/>
    <w:rsid w:val="00A03E6F"/>
    <w:rsid w:val="00A0411B"/>
    <w:rsid w:val="00A044CB"/>
    <w:rsid w:val="00A04E57"/>
    <w:rsid w:val="00A04F02"/>
    <w:rsid w:val="00A06329"/>
    <w:rsid w:val="00A0642A"/>
    <w:rsid w:val="00A069DD"/>
    <w:rsid w:val="00A06F95"/>
    <w:rsid w:val="00A0764E"/>
    <w:rsid w:val="00A07868"/>
    <w:rsid w:val="00A11CD9"/>
    <w:rsid w:val="00A12489"/>
    <w:rsid w:val="00A127A6"/>
    <w:rsid w:val="00A1300D"/>
    <w:rsid w:val="00A13949"/>
    <w:rsid w:val="00A13980"/>
    <w:rsid w:val="00A14F40"/>
    <w:rsid w:val="00A154BF"/>
    <w:rsid w:val="00A177E3"/>
    <w:rsid w:val="00A17B8C"/>
    <w:rsid w:val="00A20128"/>
    <w:rsid w:val="00A2031B"/>
    <w:rsid w:val="00A207C0"/>
    <w:rsid w:val="00A20D03"/>
    <w:rsid w:val="00A210D4"/>
    <w:rsid w:val="00A21229"/>
    <w:rsid w:val="00A2130B"/>
    <w:rsid w:val="00A218AB"/>
    <w:rsid w:val="00A21CCF"/>
    <w:rsid w:val="00A22D73"/>
    <w:rsid w:val="00A22D86"/>
    <w:rsid w:val="00A22FDE"/>
    <w:rsid w:val="00A23039"/>
    <w:rsid w:val="00A23915"/>
    <w:rsid w:val="00A245B9"/>
    <w:rsid w:val="00A24C2D"/>
    <w:rsid w:val="00A258E6"/>
    <w:rsid w:val="00A262A0"/>
    <w:rsid w:val="00A272B9"/>
    <w:rsid w:val="00A2779E"/>
    <w:rsid w:val="00A277DF"/>
    <w:rsid w:val="00A278A1"/>
    <w:rsid w:val="00A3017B"/>
    <w:rsid w:val="00A3077B"/>
    <w:rsid w:val="00A30928"/>
    <w:rsid w:val="00A30DFD"/>
    <w:rsid w:val="00A30EDE"/>
    <w:rsid w:val="00A31326"/>
    <w:rsid w:val="00A315F7"/>
    <w:rsid w:val="00A31E19"/>
    <w:rsid w:val="00A32A3F"/>
    <w:rsid w:val="00A33590"/>
    <w:rsid w:val="00A33FFC"/>
    <w:rsid w:val="00A351F1"/>
    <w:rsid w:val="00A35345"/>
    <w:rsid w:val="00A35902"/>
    <w:rsid w:val="00A35C2E"/>
    <w:rsid w:val="00A3635F"/>
    <w:rsid w:val="00A36440"/>
    <w:rsid w:val="00A36476"/>
    <w:rsid w:val="00A36778"/>
    <w:rsid w:val="00A36CB5"/>
    <w:rsid w:val="00A3712B"/>
    <w:rsid w:val="00A37D44"/>
    <w:rsid w:val="00A37F23"/>
    <w:rsid w:val="00A406FC"/>
    <w:rsid w:val="00A40741"/>
    <w:rsid w:val="00A40BB6"/>
    <w:rsid w:val="00A40EF4"/>
    <w:rsid w:val="00A41114"/>
    <w:rsid w:val="00A4167F"/>
    <w:rsid w:val="00A41F1C"/>
    <w:rsid w:val="00A42522"/>
    <w:rsid w:val="00A4329F"/>
    <w:rsid w:val="00A43F45"/>
    <w:rsid w:val="00A4480F"/>
    <w:rsid w:val="00A44A59"/>
    <w:rsid w:val="00A44D51"/>
    <w:rsid w:val="00A44F70"/>
    <w:rsid w:val="00A45259"/>
    <w:rsid w:val="00A46741"/>
    <w:rsid w:val="00A46946"/>
    <w:rsid w:val="00A46AFF"/>
    <w:rsid w:val="00A5019E"/>
    <w:rsid w:val="00A50AC0"/>
    <w:rsid w:val="00A50B1F"/>
    <w:rsid w:val="00A524DF"/>
    <w:rsid w:val="00A52671"/>
    <w:rsid w:val="00A52874"/>
    <w:rsid w:val="00A52DB0"/>
    <w:rsid w:val="00A53900"/>
    <w:rsid w:val="00A53903"/>
    <w:rsid w:val="00A53AC3"/>
    <w:rsid w:val="00A545ED"/>
    <w:rsid w:val="00A549AA"/>
    <w:rsid w:val="00A54A6B"/>
    <w:rsid w:val="00A54F44"/>
    <w:rsid w:val="00A555CB"/>
    <w:rsid w:val="00A56310"/>
    <w:rsid w:val="00A56D3A"/>
    <w:rsid w:val="00A57013"/>
    <w:rsid w:val="00A5778E"/>
    <w:rsid w:val="00A57A8E"/>
    <w:rsid w:val="00A603B8"/>
    <w:rsid w:val="00A60656"/>
    <w:rsid w:val="00A60DA1"/>
    <w:rsid w:val="00A6149B"/>
    <w:rsid w:val="00A615F3"/>
    <w:rsid w:val="00A623BD"/>
    <w:rsid w:val="00A62D32"/>
    <w:rsid w:val="00A62E5A"/>
    <w:rsid w:val="00A62E78"/>
    <w:rsid w:val="00A62EA2"/>
    <w:rsid w:val="00A63165"/>
    <w:rsid w:val="00A632D9"/>
    <w:rsid w:val="00A638D6"/>
    <w:rsid w:val="00A63DEF"/>
    <w:rsid w:val="00A64911"/>
    <w:rsid w:val="00A650D7"/>
    <w:rsid w:val="00A657B3"/>
    <w:rsid w:val="00A65F8C"/>
    <w:rsid w:val="00A706F3"/>
    <w:rsid w:val="00A708D2"/>
    <w:rsid w:val="00A7091E"/>
    <w:rsid w:val="00A70AFE"/>
    <w:rsid w:val="00A70B94"/>
    <w:rsid w:val="00A70CF3"/>
    <w:rsid w:val="00A71160"/>
    <w:rsid w:val="00A718CC"/>
    <w:rsid w:val="00A71B40"/>
    <w:rsid w:val="00A71DE3"/>
    <w:rsid w:val="00A72762"/>
    <w:rsid w:val="00A72A8F"/>
    <w:rsid w:val="00A72D0A"/>
    <w:rsid w:val="00A736D2"/>
    <w:rsid w:val="00A74AB1"/>
    <w:rsid w:val="00A75655"/>
    <w:rsid w:val="00A762AD"/>
    <w:rsid w:val="00A76383"/>
    <w:rsid w:val="00A766A8"/>
    <w:rsid w:val="00A76981"/>
    <w:rsid w:val="00A76C44"/>
    <w:rsid w:val="00A76C58"/>
    <w:rsid w:val="00A76D75"/>
    <w:rsid w:val="00A76E00"/>
    <w:rsid w:val="00A76E96"/>
    <w:rsid w:val="00A77275"/>
    <w:rsid w:val="00A77385"/>
    <w:rsid w:val="00A77AB2"/>
    <w:rsid w:val="00A80BA3"/>
    <w:rsid w:val="00A810A3"/>
    <w:rsid w:val="00A81882"/>
    <w:rsid w:val="00A82058"/>
    <w:rsid w:val="00A8355A"/>
    <w:rsid w:val="00A836BA"/>
    <w:rsid w:val="00A83826"/>
    <w:rsid w:val="00A83DF4"/>
    <w:rsid w:val="00A84DCC"/>
    <w:rsid w:val="00A851DE"/>
    <w:rsid w:val="00A852F0"/>
    <w:rsid w:val="00A855D9"/>
    <w:rsid w:val="00A8574C"/>
    <w:rsid w:val="00A86472"/>
    <w:rsid w:val="00A866AE"/>
    <w:rsid w:val="00A86B42"/>
    <w:rsid w:val="00A86B59"/>
    <w:rsid w:val="00A870D3"/>
    <w:rsid w:val="00A871E0"/>
    <w:rsid w:val="00A8750C"/>
    <w:rsid w:val="00A8795A"/>
    <w:rsid w:val="00A9017E"/>
    <w:rsid w:val="00A9026A"/>
    <w:rsid w:val="00A920AB"/>
    <w:rsid w:val="00A92219"/>
    <w:rsid w:val="00A92B5F"/>
    <w:rsid w:val="00A92C66"/>
    <w:rsid w:val="00A931BE"/>
    <w:rsid w:val="00A942E2"/>
    <w:rsid w:val="00A94EF0"/>
    <w:rsid w:val="00A9514D"/>
    <w:rsid w:val="00A9530E"/>
    <w:rsid w:val="00A95E6A"/>
    <w:rsid w:val="00A961A5"/>
    <w:rsid w:val="00A96BAB"/>
    <w:rsid w:val="00A96D4B"/>
    <w:rsid w:val="00A9713B"/>
    <w:rsid w:val="00A97D11"/>
    <w:rsid w:val="00A97F66"/>
    <w:rsid w:val="00AA05DB"/>
    <w:rsid w:val="00AA05E9"/>
    <w:rsid w:val="00AA0E41"/>
    <w:rsid w:val="00AA0E93"/>
    <w:rsid w:val="00AA163E"/>
    <w:rsid w:val="00AA58BE"/>
    <w:rsid w:val="00AA5C42"/>
    <w:rsid w:val="00AA5D39"/>
    <w:rsid w:val="00AA638F"/>
    <w:rsid w:val="00AA69DA"/>
    <w:rsid w:val="00AA7BCA"/>
    <w:rsid w:val="00AA7C00"/>
    <w:rsid w:val="00AA7E65"/>
    <w:rsid w:val="00AB0CFD"/>
    <w:rsid w:val="00AB0EA8"/>
    <w:rsid w:val="00AB29AA"/>
    <w:rsid w:val="00AB2D28"/>
    <w:rsid w:val="00AB2EBF"/>
    <w:rsid w:val="00AB342E"/>
    <w:rsid w:val="00AB3512"/>
    <w:rsid w:val="00AB4276"/>
    <w:rsid w:val="00AB4CDE"/>
    <w:rsid w:val="00AB5D72"/>
    <w:rsid w:val="00AB5F31"/>
    <w:rsid w:val="00AB6632"/>
    <w:rsid w:val="00AB6D1A"/>
    <w:rsid w:val="00AB733B"/>
    <w:rsid w:val="00AB7565"/>
    <w:rsid w:val="00AB7571"/>
    <w:rsid w:val="00AB7C28"/>
    <w:rsid w:val="00AC07D1"/>
    <w:rsid w:val="00AC11E1"/>
    <w:rsid w:val="00AC14BD"/>
    <w:rsid w:val="00AC1A2E"/>
    <w:rsid w:val="00AC1B84"/>
    <w:rsid w:val="00AC1E4F"/>
    <w:rsid w:val="00AC23D5"/>
    <w:rsid w:val="00AC32F4"/>
    <w:rsid w:val="00AC38ED"/>
    <w:rsid w:val="00AC39B6"/>
    <w:rsid w:val="00AC3B97"/>
    <w:rsid w:val="00AC4008"/>
    <w:rsid w:val="00AC4025"/>
    <w:rsid w:val="00AC4732"/>
    <w:rsid w:val="00AC5034"/>
    <w:rsid w:val="00AC51C0"/>
    <w:rsid w:val="00AC5639"/>
    <w:rsid w:val="00AC5AA9"/>
    <w:rsid w:val="00AC62D2"/>
    <w:rsid w:val="00AC746E"/>
    <w:rsid w:val="00AC7EFF"/>
    <w:rsid w:val="00AD000C"/>
    <w:rsid w:val="00AD0022"/>
    <w:rsid w:val="00AD002F"/>
    <w:rsid w:val="00AD0300"/>
    <w:rsid w:val="00AD074A"/>
    <w:rsid w:val="00AD0915"/>
    <w:rsid w:val="00AD15D8"/>
    <w:rsid w:val="00AD2455"/>
    <w:rsid w:val="00AD3295"/>
    <w:rsid w:val="00AD35BA"/>
    <w:rsid w:val="00AD3CCF"/>
    <w:rsid w:val="00AD4090"/>
    <w:rsid w:val="00AD4197"/>
    <w:rsid w:val="00AD4489"/>
    <w:rsid w:val="00AD4895"/>
    <w:rsid w:val="00AD526B"/>
    <w:rsid w:val="00AD5294"/>
    <w:rsid w:val="00AD5A02"/>
    <w:rsid w:val="00AD5B80"/>
    <w:rsid w:val="00AD7D45"/>
    <w:rsid w:val="00AE0221"/>
    <w:rsid w:val="00AE05FB"/>
    <w:rsid w:val="00AE0797"/>
    <w:rsid w:val="00AE0996"/>
    <w:rsid w:val="00AE0A27"/>
    <w:rsid w:val="00AE0D40"/>
    <w:rsid w:val="00AE10B1"/>
    <w:rsid w:val="00AE1190"/>
    <w:rsid w:val="00AE12D8"/>
    <w:rsid w:val="00AE19DD"/>
    <w:rsid w:val="00AE264D"/>
    <w:rsid w:val="00AE2D9E"/>
    <w:rsid w:val="00AE3706"/>
    <w:rsid w:val="00AE39BF"/>
    <w:rsid w:val="00AE3CD8"/>
    <w:rsid w:val="00AE4AB7"/>
    <w:rsid w:val="00AE53CC"/>
    <w:rsid w:val="00AE5482"/>
    <w:rsid w:val="00AE5CED"/>
    <w:rsid w:val="00AE646A"/>
    <w:rsid w:val="00AE6488"/>
    <w:rsid w:val="00AE6509"/>
    <w:rsid w:val="00AE66FF"/>
    <w:rsid w:val="00AE6AD3"/>
    <w:rsid w:val="00AE7335"/>
    <w:rsid w:val="00AE741E"/>
    <w:rsid w:val="00AE784A"/>
    <w:rsid w:val="00AE78A9"/>
    <w:rsid w:val="00AF02B9"/>
    <w:rsid w:val="00AF04E0"/>
    <w:rsid w:val="00AF06AB"/>
    <w:rsid w:val="00AF0EFC"/>
    <w:rsid w:val="00AF1059"/>
    <w:rsid w:val="00AF19CD"/>
    <w:rsid w:val="00AF2879"/>
    <w:rsid w:val="00AF2C80"/>
    <w:rsid w:val="00AF3479"/>
    <w:rsid w:val="00AF3AED"/>
    <w:rsid w:val="00AF3F6B"/>
    <w:rsid w:val="00AF4052"/>
    <w:rsid w:val="00AF40D8"/>
    <w:rsid w:val="00AF44F4"/>
    <w:rsid w:val="00AF5102"/>
    <w:rsid w:val="00AF52EB"/>
    <w:rsid w:val="00AF59B8"/>
    <w:rsid w:val="00AF5A61"/>
    <w:rsid w:val="00AF659A"/>
    <w:rsid w:val="00AF6B38"/>
    <w:rsid w:val="00AF735A"/>
    <w:rsid w:val="00AF7467"/>
    <w:rsid w:val="00B005CD"/>
    <w:rsid w:val="00B00CE2"/>
    <w:rsid w:val="00B01300"/>
    <w:rsid w:val="00B01CA2"/>
    <w:rsid w:val="00B01EB9"/>
    <w:rsid w:val="00B0261A"/>
    <w:rsid w:val="00B027FA"/>
    <w:rsid w:val="00B028D7"/>
    <w:rsid w:val="00B0290C"/>
    <w:rsid w:val="00B02BFA"/>
    <w:rsid w:val="00B04151"/>
    <w:rsid w:val="00B041E4"/>
    <w:rsid w:val="00B05068"/>
    <w:rsid w:val="00B05075"/>
    <w:rsid w:val="00B05C01"/>
    <w:rsid w:val="00B05DC4"/>
    <w:rsid w:val="00B05DF3"/>
    <w:rsid w:val="00B06095"/>
    <w:rsid w:val="00B077CC"/>
    <w:rsid w:val="00B101FD"/>
    <w:rsid w:val="00B106FD"/>
    <w:rsid w:val="00B10CE5"/>
    <w:rsid w:val="00B11166"/>
    <w:rsid w:val="00B115F6"/>
    <w:rsid w:val="00B11821"/>
    <w:rsid w:val="00B11B91"/>
    <w:rsid w:val="00B1222C"/>
    <w:rsid w:val="00B12597"/>
    <w:rsid w:val="00B13106"/>
    <w:rsid w:val="00B1317A"/>
    <w:rsid w:val="00B14C5A"/>
    <w:rsid w:val="00B14D97"/>
    <w:rsid w:val="00B1559E"/>
    <w:rsid w:val="00B15EE9"/>
    <w:rsid w:val="00B171D8"/>
    <w:rsid w:val="00B20208"/>
    <w:rsid w:val="00B206C8"/>
    <w:rsid w:val="00B20CAA"/>
    <w:rsid w:val="00B21499"/>
    <w:rsid w:val="00B22302"/>
    <w:rsid w:val="00B233BC"/>
    <w:rsid w:val="00B23A15"/>
    <w:rsid w:val="00B23B95"/>
    <w:rsid w:val="00B23E51"/>
    <w:rsid w:val="00B23E7D"/>
    <w:rsid w:val="00B2439D"/>
    <w:rsid w:val="00B249E1"/>
    <w:rsid w:val="00B256E0"/>
    <w:rsid w:val="00B25F72"/>
    <w:rsid w:val="00B26013"/>
    <w:rsid w:val="00B262C1"/>
    <w:rsid w:val="00B2743F"/>
    <w:rsid w:val="00B278DA"/>
    <w:rsid w:val="00B3106E"/>
    <w:rsid w:val="00B311BC"/>
    <w:rsid w:val="00B31500"/>
    <w:rsid w:val="00B31A44"/>
    <w:rsid w:val="00B31D3D"/>
    <w:rsid w:val="00B32065"/>
    <w:rsid w:val="00B32162"/>
    <w:rsid w:val="00B325EE"/>
    <w:rsid w:val="00B326C2"/>
    <w:rsid w:val="00B327B0"/>
    <w:rsid w:val="00B33002"/>
    <w:rsid w:val="00B34F1C"/>
    <w:rsid w:val="00B35587"/>
    <w:rsid w:val="00B36CAE"/>
    <w:rsid w:val="00B40F62"/>
    <w:rsid w:val="00B40FA8"/>
    <w:rsid w:val="00B41773"/>
    <w:rsid w:val="00B41876"/>
    <w:rsid w:val="00B42265"/>
    <w:rsid w:val="00B422B5"/>
    <w:rsid w:val="00B4285E"/>
    <w:rsid w:val="00B42A45"/>
    <w:rsid w:val="00B42C1B"/>
    <w:rsid w:val="00B43084"/>
    <w:rsid w:val="00B4365B"/>
    <w:rsid w:val="00B447A4"/>
    <w:rsid w:val="00B44E3D"/>
    <w:rsid w:val="00B45C69"/>
    <w:rsid w:val="00B45CB1"/>
    <w:rsid w:val="00B465BF"/>
    <w:rsid w:val="00B46906"/>
    <w:rsid w:val="00B471B3"/>
    <w:rsid w:val="00B47250"/>
    <w:rsid w:val="00B47922"/>
    <w:rsid w:val="00B47AD8"/>
    <w:rsid w:val="00B50518"/>
    <w:rsid w:val="00B50970"/>
    <w:rsid w:val="00B50E89"/>
    <w:rsid w:val="00B51322"/>
    <w:rsid w:val="00B516FF"/>
    <w:rsid w:val="00B5205D"/>
    <w:rsid w:val="00B52309"/>
    <w:rsid w:val="00B529CB"/>
    <w:rsid w:val="00B52B2C"/>
    <w:rsid w:val="00B53550"/>
    <w:rsid w:val="00B5371C"/>
    <w:rsid w:val="00B53CBA"/>
    <w:rsid w:val="00B53CF0"/>
    <w:rsid w:val="00B54AA2"/>
    <w:rsid w:val="00B54F8C"/>
    <w:rsid w:val="00B552ED"/>
    <w:rsid w:val="00B557D0"/>
    <w:rsid w:val="00B558E2"/>
    <w:rsid w:val="00B55D90"/>
    <w:rsid w:val="00B56214"/>
    <w:rsid w:val="00B56572"/>
    <w:rsid w:val="00B570E4"/>
    <w:rsid w:val="00B573FD"/>
    <w:rsid w:val="00B57505"/>
    <w:rsid w:val="00B576D2"/>
    <w:rsid w:val="00B60413"/>
    <w:rsid w:val="00B60677"/>
    <w:rsid w:val="00B609D0"/>
    <w:rsid w:val="00B60A91"/>
    <w:rsid w:val="00B60F6D"/>
    <w:rsid w:val="00B61F20"/>
    <w:rsid w:val="00B6267B"/>
    <w:rsid w:val="00B634BD"/>
    <w:rsid w:val="00B636A7"/>
    <w:rsid w:val="00B63CEB"/>
    <w:rsid w:val="00B64C28"/>
    <w:rsid w:val="00B65CAE"/>
    <w:rsid w:val="00B66208"/>
    <w:rsid w:val="00B66730"/>
    <w:rsid w:val="00B6696A"/>
    <w:rsid w:val="00B66B4A"/>
    <w:rsid w:val="00B66BC9"/>
    <w:rsid w:val="00B6713A"/>
    <w:rsid w:val="00B67BFF"/>
    <w:rsid w:val="00B70A4D"/>
    <w:rsid w:val="00B71D21"/>
    <w:rsid w:val="00B71EB2"/>
    <w:rsid w:val="00B725E0"/>
    <w:rsid w:val="00B73436"/>
    <w:rsid w:val="00B73713"/>
    <w:rsid w:val="00B73B6C"/>
    <w:rsid w:val="00B73D2E"/>
    <w:rsid w:val="00B740AE"/>
    <w:rsid w:val="00B75783"/>
    <w:rsid w:val="00B7590F"/>
    <w:rsid w:val="00B75D06"/>
    <w:rsid w:val="00B76123"/>
    <w:rsid w:val="00B76129"/>
    <w:rsid w:val="00B7706B"/>
    <w:rsid w:val="00B77265"/>
    <w:rsid w:val="00B77459"/>
    <w:rsid w:val="00B80672"/>
    <w:rsid w:val="00B80742"/>
    <w:rsid w:val="00B80AFF"/>
    <w:rsid w:val="00B828C6"/>
    <w:rsid w:val="00B831AE"/>
    <w:rsid w:val="00B831D9"/>
    <w:rsid w:val="00B8344C"/>
    <w:rsid w:val="00B83A13"/>
    <w:rsid w:val="00B83AD6"/>
    <w:rsid w:val="00B84A4E"/>
    <w:rsid w:val="00B84B0A"/>
    <w:rsid w:val="00B84F88"/>
    <w:rsid w:val="00B85ED6"/>
    <w:rsid w:val="00B85FDC"/>
    <w:rsid w:val="00B8757A"/>
    <w:rsid w:val="00B87745"/>
    <w:rsid w:val="00B90631"/>
    <w:rsid w:val="00B90D07"/>
    <w:rsid w:val="00B914E2"/>
    <w:rsid w:val="00B9209F"/>
    <w:rsid w:val="00B92164"/>
    <w:rsid w:val="00B92C84"/>
    <w:rsid w:val="00B92CD6"/>
    <w:rsid w:val="00B93079"/>
    <w:rsid w:val="00B93A88"/>
    <w:rsid w:val="00B942FB"/>
    <w:rsid w:val="00B95100"/>
    <w:rsid w:val="00B95213"/>
    <w:rsid w:val="00B95CF2"/>
    <w:rsid w:val="00B96A93"/>
    <w:rsid w:val="00B96C4F"/>
    <w:rsid w:val="00B96C83"/>
    <w:rsid w:val="00B96DA7"/>
    <w:rsid w:val="00B96EF2"/>
    <w:rsid w:val="00B976F0"/>
    <w:rsid w:val="00B9782B"/>
    <w:rsid w:val="00B97A27"/>
    <w:rsid w:val="00B97BB6"/>
    <w:rsid w:val="00B97D6E"/>
    <w:rsid w:val="00B97E92"/>
    <w:rsid w:val="00BA03F6"/>
    <w:rsid w:val="00BA2EDE"/>
    <w:rsid w:val="00BA30BB"/>
    <w:rsid w:val="00BA38E3"/>
    <w:rsid w:val="00BA4EA7"/>
    <w:rsid w:val="00BA4EAE"/>
    <w:rsid w:val="00BA58B3"/>
    <w:rsid w:val="00BA6D27"/>
    <w:rsid w:val="00BA73EB"/>
    <w:rsid w:val="00BB011C"/>
    <w:rsid w:val="00BB0B31"/>
    <w:rsid w:val="00BB12EF"/>
    <w:rsid w:val="00BB1842"/>
    <w:rsid w:val="00BB19BE"/>
    <w:rsid w:val="00BB1B32"/>
    <w:rsid w:val="00BB2704"/>
    <w:rsid w:val="00BB2BF1"/>
    <w:rsid w:val="00BB310C"/>
    <w:rsid w:val="00BB39CA"/>
    <w:rsid w:val="00BB3BB4"/>
    <w:rsid w:val="00BB3F46"/>
    <w:rsid w:val="00BB47FD"/>
    <w:rsid w:val="00BB4B19"/>
    <w:rsid w:val="00BB4B3A"/>
    <w:rsid w:val="00BB515D"/>
    <w:rsid w:val="00BB5377"/>
    <w:rsid w:val="00BB5580"/>
    <w:rsid w:val="00BB5596"/>
    <w:rsid w:val="00BB66B7"/>
    <w:rsid w:val="00BB6A45"/>
    <w:rsid w:val="00BB6D02"/>
    <w:rsid w:val="00BC014D"/>
    <w:rsid w:val="00BC01CB"/>
    <w:rsid w:val="00BC04B6"/>
    <w:rsid w:val="00BC1F37"/>
    <w:rsid w:val="00BC2085"/>
    <w:rsid w:val="00BC26EC"/>
    <w:rsid w:val="00BC3181"/>
    <w:rsid w:val="00BC357A"/>
    <w:rsid w:val="00BC3A3E"/>
    <w:rsid w:val="00BC4188"/>
    <w:rsid w:val="00BC4280"/>
    <w:rsid w:val="00BC4745"/>
    <w:rsid w:val="00BC5574"/>
    <w:rsid w:val="00BC5843"/>
    <w:rsid w:val="00BC776F"/>
    <w:rsid w:val="00BC7B2C"/>
    <w:rsid w:val="00BD03E9"/>
    <w:rsid w:val="00BD0698"/>
    <w:rsid w:val="00BD0FE1"/>
    <w:rsid w:val="00BD1591"/>
    <w:rsid w:val="00BD1855"/>
    <w:rsid w:val="00BD18EA"/>
    <w:rsid w:val="00BD1945"/>
    <w:rsid w:val="00BD1A70"/>
    <w:rsid w:val="00BD1D6E"/>
    <w:rsid w:val="00BD21EB"/>
    <w:rsid w:val="00BD3A50"/>
    <w:rsid w:val="00BD4372"/>
    <w:rsid w:val="00BD4C9B"/>
    <w:rsid w:val="00BD4CC8"/>
    <w:rsid w:val="00BD4F13"/>
    <w:rsid w:val="00BD5BEC"/>
    <w:rsid w:val="00BD68D1"/>
    <w:rsid w:val="00BD695A"/>
    <w:rsid w:val="00BD788B"/>
    <w:rsid w:val="00BE0203"/>
    <w:rsid w:val="00BE0AE9"/>
    <w:rsid w:val="00BE0FA3"/>
    <w:rsid w:val="00BE13C9"/>
    <w:rsid w:val="00BE1533"/>
    <w:rsid w:val="00BE16F8"/>
    <w:rsid w:val="00BE1A56"/>
    <w:rsid w:val="00BE238D"/>
    <w:rsid w:val="00BE28BB"/>
    <w:rsid w:val="00BE2FE7"/>
    <w:rsid w:val="00BE309D"/>
    <w:rsid w:val="00BE30ED"/>
    <w:rsid w:val="00BE3816"/>
    <w:rsid w:val="00BE3A2D"/>
    <w:rsid w:val="00BE45A7"/>
    <w:rsid w:val="00BE4711"/>
    <w:rsid w:val="00BE5587"/>
    <w:rsid w:val="00BE69EF"/>
    <w:rsid w:val="00BE6A4C"/>
    <w:rsid w:val="00BE6F27"/>
    <w:rsid w:val="00BE70D2"/>
    <w:rsid w:val="00BE784B"/>
    <w:rsid w:val="00BF0BC1"/>
    <w:rsid w:val="00BF0EDC"/>
    <w:rsid w:val="00BF1168"/>
    <w:rsid w:val="00BF14A9"/>
    <w:rsid w:val="00BF156E"/>
    <w:rsid w:val="00BF2541"/>
    <w:rsid w:val="00BF29AF"/>
    <w:rsid w:val="00BF315A"/>
    <w:rsid w:val="00BF3625"/>
    <w:rsid w:val="00BF3864"/>
    <w:rsid w:val="00BF47EE"/>
    <w:rsid w:val="00BF4984"/>
    <w:rsid w:val="00BF4DA8"/>
    <w:rsid w:val="00BF4EB8"/>
    <w:rsid w:val="00BF64C4"/>
    <w:rsid w:val="00BF6576"/>
    <w:rsid w:val="00BF6CA5"/>
    <w:rsid w:val="00BF6EB2"/>
    <w:rsid w:val="00BF749E"/>
    <w:rsid w:val="00BF7625"/>
    <w:rsid w:val="00C0074D"/>
    <w:rsid w:val="00C0126C"/>
    <w:rsid w:val="00C02023"/>
    <w:rsid w:val="00C0232F"/>
    <w:rsid w:val="00C02F9C"/>
    <w:rsid w:val="00C03C7C"/>
    <w:rsid w:val="00C03DEE"/>
    <w:rsid w:val="00C04223"/>
    <w:rsid w:val="00C046CA"/>
    <w:rsid w:val="00C0546E"/>
    <w:rsid w:val="00C0551F"/>
    <w:rsid w:val="00C0615F"/>
    <w:rsid w:val="00C06266"/>
    <w:rsid w:val="00C071AE"/>
    <w:rsid w:val="00C071BD"/>
    <w:rsid w:val="00C0758D"/>
    <w:rsid w:val="00C07C05"/>
    <w:rsid w:val="00C07C9D"/>
    <w:rsid w:val="00C07E6B"/>
    <w:rsid w:val="00C10128"/>
    <w:rsid w:val="00C1070E"/>
    <w:rsid w:val="00C107EE"/>
    <w:rsid w:val="00C10D89"/>
    <w:rsid w:val="00C10FA8"/>
    <w:rsid w:val="00C12B8C"/>
    <w:rsid w:val="00C12C93"/>
    <w:rsid w:val="00C12CF1"/>
    <w:rsid w:val="00C14696"/>
    <w:rsid w:val="00C14826"/>
    <w:rsid w:val="00C14CE7"/>
    <w:rsid w:val="00C14DEF"/>
    <w:rsid w:val="00C14E4E"/>
    <w:rsid w:val="00C15D0A"/>
    <w:rsid w:val="00C16260"/>
    <w:rsid w:val="00C16284"/>
    <w:rsid w:val="00C1669B"/>
    <w:rsid w:val="00C168E7"/>
    <w:rsid w:val="00C1734C"/>
    <w:rsid w:val="00C17BF2"/>
    <w:rsid w:val="00C203A2"/>
    <w:rsid w:val="00C207F3"/>
    <w:rsid w:val="00C20940"/>
    <w:rsid w:val="00C20C73"/>
    <w:rsid w:val="00C20FB8"/>
    <w:rsid w:val="00C212F3"/>
    <w:rsid w:val="00C215C8"/>
    <w:rsid w:val="00C22B4D"/>
    <w:rsid w:val="00C232F8"/>
    <w:rsid w:val="00C2339A"/>
    <w:rsid w:val="00C2397F"/>
    <w:rsid w:val="00C24359"/>
    <w:rsid w:val="00C246C1"/>
    <w:rsid w:val="00C24738"/>
    <w:rsid w:val="00C24C2C"/>
    <w:rsid w:val="00C2502E"/>
    <w:rsid w:val="00C260CB"/>
    <w:rsid w:val="00C2630B"/>
    <w:rsid w:val="00C269D6"/>
    <w:rsid w:val="00C26B67"/>
    <w:rsid w:val="00C27634"/>
    <w:rsid w:val="00C27FAE"/>
    <w:rsid w:val="00C3019D"/>
    <w:rsid w:val="00C3038C"/>
    <w:rsid w:val="00C308C4"/>
    <w:rsid w:val="00C30B10"/>
    <w:rsid w:val="00C30C7C"/>
    <w:rsid w:val="00C3124E"/>
    <w:rsid w:val="00C318A6"/>
    <w:rsid w:val="00C318DF"/>
    <w:rsid w:val="00C31D5C"/>
    <w:rsid w:val="00C3201E"/>
    <w:rsid w:val="00C320DE"/>
    <w:rsid w:val="00C32513"/>
    <w:rsid w:val="00C327D0"/>
    <w:rsid w:val="00C32CC8"/>
    <w:rsid w:val="00C32EC5"/>
    <w:rsid w:val="00C3340F"/>
    <w:rsid w:val="00C33C2B"/>
    <w:rsid w:val="00C3407F"/>
    <w:rsid w:val="00C3451B"/>
    <w:rsid w:val="00C34883"/>
    <w:rsid w:val="00C360EE"/>
    <w:rsid w:val="00C3663D"/>
    <w:rsid w:val="00C36731"/>
    <w:rsid w:val="00C3690A"/>
    <w:rsid w:val="00C36A99"/>
    <w:rsid w:val="00C372D4"/>
    <w:rsid w:val="00C375E5"/>
    <w:rsid w:val="00C37CF6"/>
    <w:rsid w:val="00C41425"/>
    <w:rsid w:val="00C426AC"/>
    <w:rsid w:val="00C42774"/>
    <w:rsid w:val="00C42EB8"/>
    <w:rsid w:val="00C42EF9"/>
    <w:rsid w:val="00C43395"/>
    <w:rsid w:val="00C4393D"/>
    <w:rsid w:val="00C43F81"/>
    <w:rsid w:val="00C44515"/>
    <w:rsid w:val="00C45A4F"/>
    <w:rsid w:val="00C45BC2"/>
    <w:rsid w:val="00C46B8D"/>
    <w:rsid w:val="00C4777E"/>
    <w:rsid w:val="00C5050F"/>
    <w:rsid w:val="00C50713"/>
    <w:rsid w:val="00C5071C"/>
    <w:rsid w:val="00C527EA"/>
    <w:rsid w:val="00C52D12"/>
    <w:rsid w:val="00C53018"/>
    <w:rsid w:val="00C54767"/>
    <w:rsid w:val="00C54964"/>
    <w:rsid w:val="00C54E4D"/>
    <w:rsid w:val="00C552C9"/>
    <w:rsid w:val="00C552F2"/>
    <w:rsid w:val="00C558B3"/>
    <w:rsid w:val="00C55A00"/>
    <w:rsid w:val="00C55D35"/>
    <w:rsid w:val="00C56060"/>
    <w:rsid w:val="00C56513"/>
    <w:rsid w:val="00C56C49"/>
    <w:rsid w:val="00C5791B"/>
    <w:rsid w:val="00C57A12"/>
    <w:rsid w:val="00C60609"/>
    <w:rsid w:val="00C60632"/>
    <w:rsid w:val="00C611EC"/>
    <w:rsid w:val="00C61499"/>
    <w:rsid w:val="00C616B7"/>
    <w:rsid w:val="00C617AF"/>
    <w:rsid w:val="00C61A13"/>
    <w:rsid w:val="00C61A1C"/>
    <w:rsid w:val="00C61EF8"/>
    <w:rsid w:val="00C624C8"/>
    <w:rsid w:val="00C63A96"/>
    <w:rsid w:val="00C648B1"/>
    <w:rsid w:val="00C648BA"/>
    <w:rsid w:val="00C65713"/>
    <w:rsid w:val="00C65C4F"/>
    <w:rsid w:val="00C67346"/>
    <w:rsid w:val="00C6797E"/>
    <w:rsid w:val="00C67E47"/>
    <w:rsid w:val="00C67ECB"/>
    <w:rsid w:val="00C67F6B"/>
    <w:rsid w:val="00C70725"/>
    <w:rsid w:val="00C7082E"/>
    <w:rsid w:val="00C7091F"/>
    <w:rsid w:val="00C70B7D"/>
    <w:rsid w:val="00C7112B"/>
    <w:rsid w:val="00C72924"/>
    <w:rsid w:val="00C72B4E"/>
    <w:rsid w:val="00C73F70"/>
    <w:rsid w:val="00C74447"/>
    <w:rsid w:val="00C74F0A"/>
    <w:rsid w:val="00C7500E"/>
    <w:rsid w:val="00C76A8A"/>
    <w:rsid w:val="00C76BC1"/>
    <w:rsid w:val="00C76D5B"/>
    <w:rsid w:val="00C77635"/>
    <w:rsid w:val="00C80321"/>
    <w:rsid w:val="00C80A44"/>
    <w:rsid w:val="00C81473"/>
    <w:rsid w:val="00C816EC"/>
    <w:rsid w:val="00C81A6C"/>
    <w:rsid w:val="00C820C3"/>
    <w:rsid w:val="00C82692"/>
    <w:rsid w:val="00C82914"/>
    <w:rsid w:val="00C82E12"/>
    <w:rsid w:val="00C83C10"/>
    <w:rsid w:val="00C841E5"/>
    <w:rsid w:val="00C84BB2"/>
    <w:rsid w:val="00C85184"/>
    <w:rsid w:val="00C853BB"/>
    <w:rsid w:val="00C85693"/>
    <w:rsid w:val="00C8606E"/>
    <w:rsid w:val="00C8634E"/>
    <w:rsid w:val="00C86E57"/>
    <w:rsid w:val="00C87C68"/>
    <w:rsid w:val="00C902A6"/>
    <w:rsid w:val="00C90818"/>
    <w:rsid w:val="00C90F37"/>
    <w:rsid w:val="00C91989"/>
    <w:rsid w:val="00C926DD"/>
    <w:rsid w:val="00C92AF2"/>
    <w:rsid w:val="00C933D4"/>
    <w:rsid w:val="00C93630"/>
    <w:rsid w:val="00C9377D"/>
    <w:rsid w:val="00C94731"/>
    <w:rsid w:val="00C949F0"/>
    <w:rsid w:val="00C94AE9"/>
    <w:rsid w:val="00C94D76"/>
    <w:rsid w:val="00C94FAE"/>
    <w:rsid w:val="00C95A59"/>
    <w:rsid w:val="00C965BE"/>
    <w:rsid w:val="00C96C6D"/>
    <w:rsid w:val="00C9711A"/>
    <w:rsid w:val="00C9731D"/>
    <w:rsid w:val="00C97A6F"/>
    <w:rsid w:val="00C97AC7"/>
    <w:rsid w:val="00CA0325"/>
    <w:rsid w:val="00CA0482"/>
    <w:rsid w:val="00CA090C"/>
    <w:rsid w:val="00CA0B51"/>
    <w:rsid w:val="00CA1EB2"/>
    <w:rsid w:val="00CA25BF"/>
    <w:rsid w:val="00CA3D44"/>
    <w:rsid w:val="00CA3FF8"/>
    <w:rsid w:val="00CA4480"/>
    <w:rsid w:val="00CA4776"/>
    <w:rsid w:val="00CA5189"/>
    <w:rsid w:val="00CA5405"/>
    <w:rsid w:val="00CA609F"/>
    <w:rsid w:val="00CA6341"/>
    <w:rsid w:val="00CA64D2"/>
    <w:rsid w:val="00CA704B"/>
    <w:rsid w:val="00CB062A"/>
    <w:rsid w:val="00CB063F"/>
    <w:rsid w:val="00CB0FFA"/>
    <w:rsid w:val="00CB1188"/>
    <w:rsid w:val="00CB17D3"/>
    <w:rsid w:val="00CB18D8"/>
    <w:rsid w:val="00CB24A8"/>
    <w:rsid w:val="00CB323C"/>
    <w:rsid w:val="00CB34F8"/>
    <w:rsid w:val="00CB379D"/>
    <w:rsid w:val="00CB3BAF"/>
    <w:rsid w:val="00CB4339"/>
    <w:rsid w:val="00CB4A71"/>
    <w:rsid w:val="00CB4B5E"/>
    <w:rsid w:val="00CB5606"/>
    <w:rsid w:val="00CB5F0B"/>
    <w:rsid w:val="00CB62F7"/>
    <w:rsid w:val="00CB6606"/>
    <w:rsid w:val="00CB68BA"/>
    <w:rsid w:val="00CB6CC9"/>
    <w:rsid w:val="00CB70EC"/>
    <w:rsid w:val="00CB75CA"/>
    <w:rsid w:val="00CB77D5"/>
    <w:rsid w:val="00CC003C"/>
    <w:rsid w:val="00CC025F"/>
    <w:rsid w:val="00CC08A0"/>
    <w:rsid w:val="00CC13DE"/>
    <w:rsid w:val="00CC1613"/>
    <w:rsid w:val="00CC16F7"/>
    <w:rsid w:val="00CC2872"/>
    <w:rsid w:val="00CC28A5"/>
    <w:rsid w:val="00CC296B"/>
    <w:rsid w:val="00CC2CF2"/>
    <w:rsid w:val="00CC4192"/>
    <w:rsid w:val="00CC50B7"/>
    <w:rsid w:val="00CC5F86"/>
    <w:rsid w:val="00CC601C"/>
    <w:rsid w:val="00CC6B0D"/>
    <w:rsid w:val="00CD0359"/>
    <w:rsid w:val="00CD0A3B"/>
    <w:rsid w:val="00CD0F98"/>
    <w:rsid w:val="00CD1228"/>
    <w:rsid w:val="00CD1823"/>
    <w:rsid w:val="00CD1B4F"/>
    <w:rsid w:val="00CD1CF5"/>
    <w:rsid w:val="00CD27A8"/>
    <w:rsid w:val="00CD29AB"/>
    <w:rsid w:val="00CD2AA3"/>
    <w:rsid w:val="00CD2DA1"/>
    <w:rsid w:val="00CD4063"/>
    <w:rsid w:val="00CD46E3"/>
    <w:rsid w:val="00CD4BCB"/>
    <w:rsid w:val="00CD5110"/>
    <w:rsid w:val="00CD5812"/>
    <w:rsid w:val="00CD5DE9"/>
    <w:rsid w:val="00CD5F66"/>
    <w:rsid w:val="00CD6642"/>
    <w:rsid w:val="00CD69DB"/>
    <w:rsid w:val="00CD6D5E"/>
    <w:rsid w:val="00CD7DD4"/>
    <w:rsid w:val="00CD7EBD"/>
    <w:rsid w:val="00CE0512"/>
    <w:rsid w:val="00CE08B8"/>
    <w:rsid w:val="00CE0B5A"/>
    <w:rsid w:val="00CE0E92"/>
    <w:rsid w:val="00CE2069"/>
    <w:rsid w:val="00CE4075"/>
    <w:rsid w:val="00CE4118"/>
    <w:rsid w:val="00CE48D3"/>
    <w:rsid w:val="00CE4A2B"/>
    <w:rsid w:val="00CE4AAD"/>
    <w:rsid w:val="00CE5258"/>
    <w:rsid w:val="00CE60AA"/>
    <w:rsid w:val="00CE6282"/>
    <w:rsid w:val="00CE69AB"/>
    <w:rsid w:val="00CE6D35"/>
    <w:rsid w:val="00CE6F99"/>
    <w:rsid w:val="00CE7C7F"/>
    <w:rsid w:val="00CE7FA2"/>
    <w:rsid w:val="00CF001F"/>
    <w:rsid w:val="00CF0A42"/>
    <w:rsid w:val="00CF15BB"/>
    <w:rsid w:val="00CF1C27"/>
    <w:rsid w:val="00CF1D5E"/>
    <w:rsid w:val="00CF2F8D"/>
    <w:rsid w:val="00CF399C"/>
    <w:rsid w:val="00CF3E4A"/>
    <w:rsid w:val="00CF4B81"/>
    <w:rsid w:val="00CF4EFF"/>
    <w:rsid w:val="00CF7963"/>
    <w:rsid w:val="00CF7B78"/>
    <w:rsid w:val="00D00048"/>
    <w:rsid w:val="00D0026B"/>
    <w:rsid w:val="00D004F8"/>
    <w:rsid w:val="00D00ADF"/>
    <w:rsid w:val="00D00C52"/>
    <w:rsid w:val="00D017D2"/>
    <w:rsid w:val="00D01987"/>
    <w:rsid w:val="00D01E40"/>
    <w:rsid w:val="00D01F5B"/>
    <w:rsid w:val="00D01F6F"/>
    <w:rsid w:val="00D0229E"/>
    <w:rsid w:val="00D026F4"/>
    <w:rsid w:val="00D02C18"/>
    <w:rsid w:val="00D02C25"/>
    <w:rsid w:val="00D032CD"/>
    <w:rsid w:val="00D04163"/>
    <w:rsid w:val="00D041AF"/>
    <w:rsid w:val="00D047E8"/>
    <w:rsid w:val="00D04F1B"/>
    <w:rsid w:val="00D0558D"/>
    <w:rsid w:val="00D05A32"/>
    <w:rsid w:val="00D060AD"/>
    <w:rsid w:val="00D06516"/>
    <w:rsid w:val="00D06DDF"/>
    <w:rsid w:val="00D07300"/>
    <w:rsid w:val="00D073A6"/>
    <w:rsid w:val="00D073D0"/>
    <w:rsid w:val="00D073DA"/>
    <w:rsid w:val="00D074C2"/>
    <w:rsid w:val="00D07507"/>
    <w:rsid w:val="00D07739"/>
    <w:rsid w:val="00D07908"/>
    <w:rsid w:val="00D107C9"/>
    <w:rsid w:val="00D109F4"/>
    <w:rsid w:val="00D10BE2"/>
    <w:rsid w:val="00D10F6F"/>
    <w:rsid w:val="00D11869"/>
    <w:rsid w:val="00D1275D"/>
    <w:rsid w:val="00D12C19"/>
    <w:rsid w:val="00D12D56"/>
    <w:rsid w:val="00D1378E"/>
    <w:rsid w:val="00D14C08"/>
    <w:rsid w:val="00D14D11"/>
    <w:rsid w:val="00D16357"/>
    <w:rsid w:val="00D16D4D"/>
    <w:rsid w:val="00D17710"/>
    <w:rsid w:val="00D17E1D"/>
    <w:rsid w:val="00D2014F"/>
    <w:rsid w:val="00D20333"/>
    <w:rsid w:val="00D20D60"/>
    <w:rsid w:val="00D20E24"/>
    <w:rsid w:val="00D210E7"/>
    <w:rsid w:val="00D21F0D"/>
    <w:rsid w:val="00D22055"/>
    <w:rsid w:val="00D2243D"/>
    <w:rsid w:val="00D22587"/>
    <w:rsid w:val="00D225FA"/>
    <w:rsid w:val="00D2270F"/>
    <w:rsid w:val="00D22852"/>
    <w:rsid w:val="00D236E5"/>
    <w:rsid w:val="00D23788"/>
    <w:rsid w:val="00D23B4D"/>
    <w:rsid w:val="00D241A0"/>
    <w:rsid w:val="00D24638"/>
    <w:rsid w:val="00D24826"/>
    <w:rsid w:val="00D24836"/>
    <w:rsid w:val="00D24858"/>
    <w:rsid w:val="00D25448"/>
    <w:rsid w:val="00D259D7"/>
    <w:rsid w:val="00D264ED"/>
    <w:rsid w:val="00D26505"/>
    <w:rsid w:val="00D2753A"/>
    <w:rsid w:val="00D2777A"/>
    <w:rsid w:val="00D27B7A"/>
    <w:rsid w:val="00D27C45"/>
    <w:rsid w:val="00D3081F"/>
    <w:rsid w:val="00D3091A"/>
    <w:rsid w:val="00D3105B"/>
    <w:rsid w:val="00D3195D"/>
    <w:rsid w:val="00D31A59"/>
    <w:rsid w:val="00D3204A"/>
    <w:rsid w:val="00D322AE"/>
    <w:rsid w:val="00D3230B"/>
    <w:rsid w:val="00D32430"/>
    <w:rsid w:val="00D32772"/>
    <w:rsid w:val="00D3340A"/>
    <w:rsid w:val="00D3381D"/>
    <w:rsid w:val="00D33867"/>
    <w:rsid w:val="00D33892"/>
    <w:rsid w:val="00D34FB1"/>
    <w:rsid w:val="00D35100"/>
    <w:rsid w:val="00D35455"/>
    <w:rsid w:val="00D35F0F"/>
    <w:rsid w:val="00D36151"/>
    <w:rsid w:val="00D366EF"/>
    <w:rsid w:val="00D3698E"/>
    <w:rsid w:val="00D37194"/>
    <w:rsid w:val="00D3733E"/>
    <w:rsid w:val="00D3749F"/>
    <w:rsid w:val="00D403ED"/>
    <w:rsid w:val="00D405F8"/>
    <w:rsid w:val="00D416F8"/>
    <w:rsid w:val="00D419F2"/>
    <w:rsid w:val="00D41A28"/>
    <w:rsid w:val="00D41B2E"/>
    <w:rsid w:val="00D41BC9"/>
    <w:rsid w:val="00D422AF"/>
    <w:rsid w:val="00D4238E"/>
    <w:rsid w:val="00D42600"/>
    <w:rsid w:val="00D42D28"/>
    <w:rsid w:val="00D430DE"/>
    <w:rsid w:val="00D4338B"/>
    <w:rsid w:val="00D434AB"/>
    <w:rsid w:val="00D4388D"/>
    <w:rsid w:val="00D43DE6"/>
    <w:rsid w:val="00D44119"/>
    <w:rsid w:val="00D4591F"/>
    <w:rsid w:val="00D45CF1"/>
    <w:rsid w:val="00D45FD8"/>
    <w:rsid w:val="00D4651F"/>
    <w:rsid w:val="00D4670E"/>
    <w:rsid w:val="00D46991"/>
    <w:rsid w:val="00D46E11"/>
    <w:rsid w:val="00D474D2"/>
    <w:rsid w:val="00D47552"/>
    <w:rsid w:val="00D47632"/>
    <w:rsid w:val="00D50021"/>
    <w:rsid w:val="00D50099"/>
    <w:rsid w:val="00D5180E"/>
    <w:rsid w:val="00D52415"/>
    <w:rsid w:val="00D525E0"/>
    <w:rsid w:val="00D52738"/>
    <w:rsid w:val="00D52F71"/>
    <w:rsid w:val="00D531CA"/>
    <w:rsid w:val="00D5363C"/>
    <w:rsid w:val="00D53C45"/>
    <w:rsid w:val="00D53CB9"/>
    <w:rsid w:val="00D54049"/>
    <w:rsid w:val="00D54B22"/>
    <w:rsid w:val="00D54F99"/>
    <w:rsid w:val="00D55D24"/>
    <w:rsid w:val="00D560BB"/>
    <w:rsid w:val="00D56B98"/>
    <w:rsid w:val="00D56CE8"/>
    <w:rsid w:val="00D56DD5"/>
    <w:rsid w:val="00D570C9"/>
    <w:rsid w:val="00D57579"/>
    <w:rsid w:val="00D578EE"/>
    <w:rsid w:val="00D60473"/>
    <w:rsid w:val="00D6086D"/>
    <w:rsid w:val="00D608D5"/>
    <w:rsid w:val="00D614C2"/>
    <w:rsid w:val="00D61835"/>
    <w:rsid w:val="00D61D63"/>
    <w:rsid w:val="00D623CB"/>
    <w:rsid w:val="00D62714"/>
    <w:rsid w:val="00D62C2F"/>
    <w:rsid w:val="00D62DE2"/>
    <w:rsid w:val="00D6343C"/>
    <w:rsid w:val="00D63657"/>
    <w:rsid w:val="00D63811"/>
    <w:rsid w:val="00D63949"/>
    <w:rsid w:val="00D63E7D"/>
    <w:rsid w:val="00D6416A"/>
    <w:rsid w:val="00D646C4"/>
    <w:rsid w:val="00D668E4"/>
    <w:rsid w:val="00D67A5B"/>
    <w:rsid w:val="00D70894"/>
    <w:rsid w:val="00D7102B"/>
    <w:rsid w:val="00D71730"/>
    <w:rsid w:val="00D71D97"/>
    <w:rsid w:val="00D71D9A"/>
    <w:rsid w:val="00D7233B"/>
    <w:rsid w:val="00D7313B"/>
    <w:rsid w:val="00D74C3B"/>
    <w:rsid w:val="00D74D9E"/>
    <w:rsid w:val="00D74E60"/>
    <w:rsid w:val="00D75277"/>
    <w:rsid w:val="00D75EC2"/>
    <w:rsid w:val="00D774B0"/>
    <w:rsid w:val="00D80B7A"/>
    <w:rsid w:val="00D8116C"/>
    <w:rsid w:val="00D82048"/>
    <w:rsid w:val="00D82951"/>
    <w:rsid w:val="00D82C77"/>
    <w:rsid w:val="00D83C33"/>
    <w:rsid w:val="00D840C5"/>
    <w:rsid w:val="00D84C3C"/>
    <w:rsid w:val="00D84C8F"/>
    <w:rsid w:val="00D854B5"/>
    <w:rsid w:val="00D85E18"/>
    <w:rsid w:val="00D86B25"/>
    <w:rsid w:val="00D8741B"/>
    <w:rsid w:val="00D90488"/>
    <w:rsid w:val="00D904EB"/>
    <w:rsid w:val="00D90B08"/>
    <w:rsid w:val="00D90BEA"/>
    <w:rsid w:val="00D90EBC"/>
    <w:rsid w:val="00D915AA"/>
    <w:rsid w:val="00D938E1"/>
    <w:rsid w:val="00D93DA2"/>
    <w:rsid w:val="00D94082"/>
    <w:rsid w:val="00D94467"/>
    <w:rsid w:val="00D94E5B"/>
    <w:rsid w:val="00D95255"/>
    <w:rsid w:val="00D95314"/>
    <w:rsid w:val="00D955E8"/>
    <w:rsid w:val="00D956C2"/>
    <w:rsid w:val="00D95A8D"/>
    <w:rsid w:val="00D95CAD"/>
    <w:rsid w:val="00D9628B"/>
    <w:rsid w:val="00D97A93"/>
    <w:rsid w:val="00D97DC4"/>
    <w:rsid w:val="00DA0125"/>
    <w:rsid w:val="00DA06BC"/>
    <w:rsid w:val="00DA071B"/>
    <w:rsid w:val="00DA0C96"/>
    <w:rsid w:val="00DA0FB7"/>
    <w:rsid w:val="00DA1754"/>
    <w:rsid w:val="00DA17D3"/>
    <w:rsid w:val="00DA195E"/>
    <w:rsid w:val="00DA1DAA"/>
    <w:rsid w:val="00DA22CA"/>
    <w:rsid w:val="00DA2381"/>
    <w:rsid w:val="00DA284F"/>
    <w:rsid w:val="00DA28CA"/>
    <w:rsid w:val="00DA2E4C"/>
    <w:rsid w:val="00DA352A"/>
    <w:rsid w:val="00DA3A3E"/>
    <w:rsid w:val="00DA3A76"/>
    <w:rsid w:val="00DA517A"/>
    <w:rsid w:val="00DA53B5"/>
    <w:rsid w:val="00DA6129"/>
    <w:rsid w:val="00DA686A"/>
    <w:rsid w:val="00DA7462"/>
    <w:rsid w:val="00DA7937"/>
    <w:rsid w:val="00DA7961"/>
    <w:rsid w:val="00DA7DAC"/>
    <w:rsid w:val="00DB040A"/>
    <w:rsid w:val="00DB07F8"/>
    <w:rsid w:val="00DB19A3"/>
    <w:rsid w:val="00DB383D"/>
    <w:rsid w:val="00DB43C6"/>
    <w:rsid w:val="00DB47B5"/>
    <w:rsid w:val="00DB49EA"/>
    <w:rsid w:val="00DB543E"/>
    <w:rsid w:val="00DB5DFA"/>
    <w:rsid w:val="00DB5FD4"/>
    <w:rsid w:val="00DB6608"/>
    <w:rsid w:val="00DB6FFC"/>
    <w:rsid w:val="00DB7A9C"/>
    <w:rsid w:val="00DC02FF"/>
    <w:rsid w:val="00DC0E0A"/>
    <w:rsid w:val="00DC1848"/>
    <w:rsid w:val="00DC20EA"/>
    <w:rsid w:val="00DC33F7"/>
    <w:rsid w:val="00DC3546"/>
    <w:rsid w:val="00DC4598"/>
    <w:rsid w:val="00DC4696"/>
    <w:rsid w:val="00DC4872"/>
    <w:rsid w:val="00DC540A"/>
    <w:rsid w:val="00DC574D"/>
    <w:rsid w:val="00DC584C"/>
    <w:rsid w:val="00DC5CCD"/>
    <w:rsid w:val="00DC5F66"/>
    <w:rsid w:val="00DC67BD"/>
    <w:rsid w:val="00DC6B95"/>
    <w:rsid w:val="00DC71B1"/>
    <w:rsid w:val="00DC74B2"/>
    <w:rsid w:val="00DC7B6C"/>
    <w:rsid w:val="00DC7C26"/>
    <w:rsid w:val="00DD01A9"/>
    <w:rsid w:val="00DD01B1"/>
    <w:rsid w:val="00DD0386"/>
    <w:rsid w:val="00DD068D"/>
    <w:rsid w:val="00DD0810"/>
    <w:rsid w:val="00DD0BBC"/>
    <w:rsid w:val="00DD1491"/>
    <w:rsid w:val="00DD1DF8"/>
    <w:rsid w:val="00DD1F43"/>
    <w:rsid w:val="00DD1F7C"/>
    <w:rsid w:val="00DD2E24"/>
    <w:rsid w:val="00DD349F"/>
    <w:rsid w:val="00DD3838"/>
    <w:rsid w:val="00DD4184"/>
    <w:rsid w:val="00DD4E6C"/>
    <w:rsid w:val="00DD4EF6"/>
    <w:rsid w:val="00DD50B8"/>
    <w:rsid w:val="00DD6E6A"/>
    <w:rsid w:val="00DD758A"/>
    <w:rsid w:val="00DD76C0"/>
    <w:rsid w:val="00DD772A"/>
    <w:rsid w:val="00DE1773"/>
    <w:rsid w:val="00DE1A8C"/>
    <w:rsid w:val="00DE247A"/>
    <w:rsid w:val="00DE273C"/>
    <w:rsid w:val="00DE2E3B"/>
    <w:rsid w:val="00DE391A"/>
    <w:rsid w:val="00DE42D1"/>
    <w:rsid w:val="00DE4645"/>
    <w:rsid w:val="00DE5280"/>
    <w:rsid w:val="00DE5600"/>
    <w:rsid w:val="00DE5613"/>
    <w:rsid w:val="00DE6615"/>
    <w:rsid w:val="00DE6910"/>
    <w:rsid w:val="00DE6FD9"/>
    <w:rsid w:val="00DE74E0"/>
    <w:rsid w:val="00DE7BE4"/>
    <w:rsid w:val="00DE7D8C"/>
    <w:rsid w:val="00DF00F4"/>
    <w:rsid w:val="00DF1BD0"/>
    <w:rsid w:val="00DF1EAD"/>
    <w:rsid w:val="00DF29B6"/>
    <w:rsid w:val="00DF2FB3"/>
    <w:rsid w:val="00DF3529"/>
    <w:rsid w:val="00DF3BDD"/>
    <w:rsid w:val="00DF417B"/>
    <w:rsid w:val="00DF46A8"/>
    <w:rsid w:val="00DF4F62"/>
    <w:rsid w:val="00DF4F70"/>
    <w:rsid w:val="00DF51A2"/>
    <w:rsid w:val="00DF57AF"/>
    <w:rsid w:val="00DF5B48"/>
    <w:rsid w:val="00DF5EA7"/>
    <w:rsid w:val="00DF644A"/>
    <w:rsid w:val="00DF66D6"/>
    <w:rsid w:val="00DF6E71"/>
    <w:rsid w:val="00DF7DCB"/>
    <w:rsid w:val="00E00AA1"/>
    <w:rsid w:val="00E00BC1"/>
    <w:rsid w:val="00E010FA"/>
    <w:rsid w:val="00E012BD"/>
    <w:rsid w:val="00E018B5"/>
    <w:rsid w:val="00E01F0A"/>
    <w:rsid w:val="00E023F8"/>
    <w:rsid w:val="00E02EF4"/>
    <w:rsid w:val="00E03504"/>
    <w:rsid w:val="00E03690"/>
    <w:rsid w:val="00E039FE"/>
    <w:rsid w:val="00E03E59"/>
    <w:rsid w:val="00E046F8"/>
    <w:rsid w:val="00E04769"/>
    <w:rsid w:val="00E0504B"/>
    <w:rsid w:val="00E052FF"/>
    <w:rsid w:val="00E055BC"/>
    <w:rsid w:val="00E06928"/>
    <w:rsid w:val="00E06A9D"/>
    <w:rsid w:val="00E06DB8"/>
    <w:rsid w:val="00E1008D"/>
    <w:rsid w:val="00E1084F"/>
    <w:rsid w:val="00E10932"/>
    <w:rsid w:val="00E10C7C"/>
    <w:rsid w:val="00E10EAD"/>
    <w:rsid w:val="00E10FEA"/>
    <w:rsid w:val="00E111FF"/>
    <w:rsid w:val="00E117D0"/>
    <w:rsid w:val="00E1184F"/>
    <w:rsid w:val="00E11F47"/>
    <w:rsid w:val="00E123B3"/>
    <w:rsid w:val="00E14071"/>
    <w:rsid w:val="00E14505"/>
    <w:rsid w:val="00E14C60"/>
    <w:rsid w:val="00E14EC9"/>
    <w:rsid w:val="00E151F1"/>
    <w:rsid w:val="00E15416"/>
    <w:rsid w:val="00E15658"/>
    <w:rsid w:val="00E16EFB"/>
    <w:rsid w:val="00E16F38"/>
    <w:rsid w:val="00E174AF"/>
    <w:rsid w:val="00E17526"/>
    <w:rsid w:val="00E1765A"/>
    <w:rsid w:val="00E200FA"/>
    <w:rsid w:val="00E21030"/>
    <w:rsid w:val="00E21BC4"/>
    <w:rsid w:val="00E21F24"/>
    <w:rsid w:val="00E226F8"/>
    <w:rsid w:val="00E230E8"/>
    <w:rsid w:val="00E23F0A"/>
    <w:rsid w:val="00E2422D"/>
    <w:rsid w:val="00E24743"/>
    <w:rsid w:val="00E2493C"/>
    <w:rsid w:val="00E24F6D"/>
    <w:rsid w:val="00E25237"/>
    <w:rsid w:val="00E25B26"/>
    <w:rsid w:val="00E25D64"/>
    <w:rsid w:val="00E262E8"/>
    <w:rsid w:val="00E26D15"/>
    <w:rsid w:val="00E26FFA"/>
    <w:rsid w:val="00E2762F"/>
    <w:rsid w:val="00E276E7"/>
    <w:rsid w:val="00E27AF5"/>
    <w:rsid w:val="00E3022A"/>
    <w:rsid w:val="00E303EB"/>
    <w:rsid w:val="00E3134B"/>
    <w:rsid w:val="00E31509"/>
    <w:rsid w:val="00E32A22"/>
    <w:rsid w:val="00E331F6"/>
    <w:rsid w:val="00E33452"/>
    <w:rsid w:val="00E34398"/>
    <w:rsid w:val="00E34CF3"/>
    <w:rsid w:val="00E35A62"/>
    <w:rsid w:val="00E3618A"/>
    <w:rsid w:val="00E36306"/>
    <w:rsid w:val="00E36CFF"/>
    <w:rsid w:val="00E371AA"/>
    <w:rsid w:val="00E40D78"/>
    <w:rsid w:val="00E40FEF"/>
    <w:rsid w:val="00E4171B"/>
    <w:rsid w:val="00E43012"/>
    <w:rsid w:val="00E43F32"/>
    <w:rsid w:val="00E44460"/>
    <w:rsid w:val="00E44680"/>
    <w:rsid w:val="00E4505F"/>
    <w:rsid w:val="00E4536C"/>
    <w:rsid w:val="00E4613D"/>
    <w:rsid w:val="00E461A9"/>
    <w:rsid w:val="00E468F0"/>
    <w:rsid w:val="00E479F8"/>
    <w:rsid w:val="00E47C91"/>
    <w:rsid w:val="00E47F62"/>
    <w:rsid w:val="00E47FAB"/>
    <w:rsid w:val="00E51569"/>
    <w:rsid w:val="00E5161E"/>
    <w:rsid w:val="00E52599"/>
    <w:rsid w:val="00E53CF9"/>
    <w:rsid w:val="00E5487F"/>
    <w:rsid w:val="00E54DCF"/>
    <w:rsid w:val="00E552F7"/>
    <w:rsid w:val="00E5545A"/>
    <w:rsid w:val="00E55BF4"/>
    <w:rsid w:val="00E55C86"/>
    <w:rsid w:val="00E5603D"/>
    <w:rsid w:val="00E560A4"/>
    <w:rsid w:val="00E56C39"/>
    <w:rsid w:val="00E56C8B"/>
    <w:rsid w:val="00E57155"/>
    <w:rsid w:val="00E574C9"/>
    <w:rsid w:val="00E576E8"/>
    <w:rsid w:val="00E60AF3"/>
    <w:rsid w:val="00E60C79"/>
    <w:rsid w:val="00E6125E"/>
    <w:rsid w:val="00E61FB5"/>
    <w:rsid w:val="00E6202F"/>
    <w:rsid w:val="00E6260F"/>
    <w:rsid w:val="00E6281E"/>
    <w:rsid w:val="00E62B7A"/>
    <w:rsid w:val="00E63200"/>
    <w:rsid w:val="00E63380"/>
    <w:rsid w:val="00E637BF"/>
    <w:rsid w:val="00E64935"/>
    <w:rsid w:val="00E64A27"/>
    <w:rsid w:val="00E6557B"/>
    <w:rsid w:val="00E658B9"/>
    <w:rsid w:val="00E65E86"/>
    <w:rsid w:val="00E67331"/>
    <w:rsid w:val="00E6743F"/>
    <w:rsid w:val="00E67874"/>
    <w:rsid w:val="00E678FA"/>
    <w:rsid w:val="00E679DF"/>
    <w:rsid w:val="00E67BC6"/>
    <w:rsid w:val="00E7039C"/>
    <w:rsid w:val="00E703C5"/>
    <w:rsid w:val="00E70425"/>
    <w:rsid w:val="00E7056A"/>
    <w:rsid w:val="00E707A6"/>
    <w:rsid w:val="00E70921"/>
    <w:rsid w:val="00E71BF9"/>
    <w:rsid w:val="00E71FF1"/>
    <w:rsid w:val="00E72AE2"/>
    <w:rsid w:val="00E736B9"/>
    <w:rsid w:val="00E7381F"/>
    <w:rsid w:val="00E738C4"/>
    <w:rsid w:val="00E73925"/>
    <w:rsid w:val="00E74330"/>
    <w:rsid w:val="00E745AA"/>
    <w:rsid w:val="00E74E40"/>
    <w:rsid w:val="00E74EBA"/>
    <w:rsid w:val="00E75009"/>
    <w:rsid w:val="00E750F8"/>
    <w:rsid w:val="00E751A1"/>
    <w:rsid w:val="00E753A6"/>
    <w:rsid w:val="00E755E1"/>
    <w:rsid w:val="00E75739"/>
    <w:rsid w:val="00E776CE"/>
    <w:rsid w:val="00E77950"/>
    <w:rsid w:val="00E77979"/>
    <w:rsid w:val="00E80641"/>
    <w:rsid w:val="00E8149C"/>
    <w:rsid w:val="00E8153E"/>
    <w:rsid w:val="00E81760"/>
    <w:rsid w:val="00E81A38"/>
    <w:rsid w:val="00E81F19"/>
    <w:rsid w:val="00E82B78"/>
    <w:rsid w:val="00E83160"/>
    <w:rsid w:val="00E8360E"/>
    <w:rsid w:val="00E8510C"/>
    <w:rsid w:val="00E85A52"/>
    <w:rsid w:val="00E85C7F"/>
    <w:rsid w:val="00E85E32"/>
    <w:rsid w:val="00E869FD"/>
    <w:rsid w:val="00E8776C"/>
    <w:rsid w:val="00E87BDB"/>
    <w:rsid w:val="00E87D95"/>
    <w:rsid w:val="00E910A9"/>
    <w:rsid w:val="00E913B4"/>
    <w:rsid w:val="00E915AF"/>
    <w:rsid w:val="00E9223D"/>
    <w:rsid w:val="00E9252E"/>
    <w:rsid w:val="00E9275A"/>
    <w:rsid w:val="00E92A2F"/>
    <w:rsid w:val="00E93629"/>
    <w:rsid w:val="00E93E38"/>
    <w:rsid w:val="00E9419C"/>
    <w:rsid w:val="00E942D5"/>
    <w:rsid w:val="00E95962"/>
    <w:rsid w:val="00E9603A"/>
    <w:rsid w:val="00E9640B"/>
    <w:rsid w:val="00E968CB"/>
    <w:rsid w:val="00E97D05"/>
    <w:rsid w:val="00EA03AA"/>
    <w:rsid w:val="00EA0F4F"/>
    <w:rsid w:val="00EA14DC"/>
    <w:rsid w:val="00EA1853"/>
    <w:rsid w:val="00EA1C3C"/>
    <w:rsid w:val="00EA1D25"/>
    <w:rsid w:val="00EA23F7"/>
    <w:rsid w:val="00EA26C5"/>
    <w:rsid w:val="00EA2814"/>
    <w:rsid w:val="00EA5A83"/>
    <w:rsid w:val="00EA5B1D"/>
    <w:rsid w:val="00EA66E3"/>
    <w:rsid w:val="00EA683A"/>
    <w:rsid w:val="00EA7D43"/>
    <w:rsid w:val="00EB0D03"/>
    <w:rsid w:val="00EB144F"/>
    <w:rsid w:val="00EB1C2E"/>
    <w:rsid w:val="00EB1E77"/>
    <w:rsid w:val="00EB1EF3"/>
    <w:rsid w:val="00EB2499"/>
    <w:rsid w:val="00EB3801"/>
    <w:rsid w:val="00EB3CB6"/>
    <w:rsid w:val="00EB3F8D"/>
    <w:rsid w:val="00EB4575"/>
    <w:rsid w:val="00EB4921"/>
    <w:rsid w:val="00EB524A"/>
    <w:rsid w:val="00EB5448"/>
    <w:rsid w:val="00EB57D4"/>
    <w:rsid w:val="00EB6031"/>
    <w:rsid w:val="00EB7335"/>
    <w:rsid w:val="00EB74D7"/>
    <w:rsid w:val="00EB7F8A"/>
    <w:rsid w:val="00EC06FF"/>
    <w:rsid w:val="00EC15D1"/>
    <w:rsid w:val="00EC15D3"/>
    <w:rsid w:val="00EC2790"/>
    <w:rsid w:val="00EC27BF"/>
    <w:rsid w:val="00EC360C"/>
    <w:rsid w:val="00EC3CC4"/>
    <w:rsid w:val="00EC3CF1"/>
    <w:rsid w:val="00EC49D0"/>
    <w:rsid w:val="00EC4FDA"/>
    <w:rsid w:val="00EC5651"/>
    <w:rsid w:val="00EC5FBE"/>
    <w:rsid w:val="00EC617A"/>
    <w:rsid w:val="00EC644B"/>
    <w:rsid w:val="00EC7E8A"/>
    <w:rsid w:val="00ED00D2"/>
    <w:rsid w:val="00ED062B"/>
    <w:rsid w:val="00ED0E51"/>
    <w:rsid w:val="00ED1241"/>
    <w:rsid w:val="00ED16F4"/>
    <w:rsid w:val="00ED1C7C"/>
    <w:rsid w:val="00ED2080"/>
    <w:rsid w:val="00ED258A"/>
    <w:rsid w:val="00ED2779"/>
    <w:rsid w:val="00ED2FD4"/>
    <w:rsid w:val="00ED30BA"/>
    <w:rsid w:val="00ED32BB"/>
    <w:rsid w:val="00ED33F7"/>
    <w:rsid w:val="00ED355F"/>
    <w:rsid w:val="00ED42D2"/>
    <w:rsid w:val="00ED496E"/>
    <w:rsid w:val="00ED4E86"/>
    <w:rsid w:val="00ED5598"/>
    <w:rsid w:val="00ED569A"/>
    <w:rsid w:val="00ED58D5"/>
    <w:rsid w:val="00ED5B36"/>
    <w:rsid w:val="00ED64B0"/>
    <w:rsid w:val="00ED6A46"/>
    <w:rsid w:val="00ED6D7D"/>
    <w:rsid w:val="00ED71F2"/>
    <w:rsid w:val="00ED7239"/>
    <w:rsid w:val="00ED72F7"/>
    <w:rsid w:val="00ED78E2"/>
    <w:rsid w:val="00EE007D"/>
    <w:rsid w:val="00EE0275"/>
    <w:rsid w:val="00EE0B2D"/>
    <w:rsid w:val="00EE12B1"/>
    <w:rsid w:val="00EE1569"/>
    <w:rsid w:val="00EE1907"/>
    <w:rsid w:val="00EE2199"/>
    <w:rsid w:val="00EE291A"/>
    <w:rsid w:val="00EE2E51"/>
    <w:rsid w:val="00EE30E4"/>
    <w:rsid w:val="00EE32D2"/>
    <w:rsid w:val="00EE3827"/>
    <w:rsid w:val="00EE383E"/>
    <w:rsid w:val="00EE3945"/>
    <w:rsid w:val="00EE3DD7"/>
    <w:rsid w:val="00EE4C24"/>
    <w:rsid w:val="00EE5114"/>
    <w:rsid w:val="00EE51B8"/>
    <w:rsid w:val="00EE5285"/>
    <w:rsid w:val="00EE5871"/>
    <w:rsid w:val="00EE5BC5"/>
    <w:rsid w:val="00EE5C07"/>
    <w:rsid w:val="00EE6459"/>
    <w:rsid w:val="00EE6EA1"/>
    <w:rsid w:val="00EE72A9"/>
    <w:rsid w:val="00EF08DF"/>
    <w:rsid w:val="00EF0B81"/>
    <w:rsid w:val="00EF0F32"/>
    <w:rsid w:val="00EF1815"/>
    <w:rsid w:val="00EF1873"/>
    <w:rsid w:val="00EF2371"/>
    <w:rsid w:val="00EF3010"/>
    <w:rsid w:val="00EF32E0"/>
    <w:rsid w:val="00EF3334"/>
    <w:rsid w:val="00EF3499"/>
    <w:rsid w:val="00EF4252"/>
    <w:rsid w:val="00EF42AD"/>
    <w:rsid w:val="00EF4B27"/>
    <w:rsid w:val="00EF4FAD"/>
    <w:rsid w:val="00EF50A3"/>
    <w:rsid w:val="00EF5213"/>
    <w:rsid w:val="00EF5308"/>
    <w:rsid w:val="00EF5B2C"/>
    <w:rsid w:val="00EF5CD8"/>
    <w:rsid w:val="00EF61DD"/>
    <w:rsid w:val="00EF6A7D"/>
    <w:rsid w:val="00EF6E31"/>
    <w:rsid w:val="00EF6F2E"/>
    <w:rsid w:val="00EF723C"/>
    <w:rsid w:val="00EF74D9"/>
    <w:rsid w:val="00EF77B6"/>
    <w:rsid w:val="00EF7EF4"/>
    <w:rsid w:val="00F002B4"/>
    <w:rsid w:val="00F00778"/>
    <w:rsid w:val="00F010BF"/>
    <w:rsid w:val="00F011A5"/>
    <w:rsid w:val="00F01436"/>
    <w:rsid w:val="00F0167E"/>
    <w:rsid w:val="00F01C5B"/>
    <w:rsid w:val="00F01F2A"/>
    <w:rsid w:val="00F0212F"/>
    <w:rsid w:val="00F028A3"/>
    <w:rsid w:val="00F02A6F"/>
    <w:rsid w:val="00F02D4E"/>
    <w:rsid w:val="00F03A52"/>
    <w:rsid w:val="00F04605"/>
    <w:rsid w:val="00F0532D"/>
    <w:rsid w:val="00F054D3"/>
    <w:rsid w:val="00F057C9"/>
    <w:rsid w:val="00F060DE"/>
    <w:rsid w:val="00F0617E"/>
    <w:rsid w:val="00F063EB"/>
    <w:rsid w:val="00F067D9"/>
    <w:rsid w:val="00F06F94"/>
    <w:rsid w:val="00F07409"/>
    <w:rsid w:val="00F078F6"/>
    <w:rsid w:val="00F108E7"/>
    <w:rsid w:val="00F13C06"/>
    <w:rsid w:val="00F14AD8"/>
    <w:rsid w:val="00F14DDE"/>
    <w:rsid w:val="00F154F1"/>
    <w:rsid w:val="00F15738"/>
    <w:rsid w:val="00F15B89"/>
    <w:rsid w:val="00F15EB4"/>
    <w:rsid w:val="00F169E6"/>
    <w:rsid w:val="00F17719"/>
    <w:rsid w:val="00F17E72"/>
    <w:rsid w:val="00F20CBB"/>
    <w:rsid w:val="00F20EED"/>
    <w:rsid w:val="00F21323"/>
    <w:rsid w:val="00F21438"/>
    <w:rsid w:val="00F2199B"/>
    <w:rsid w:val="00F219FB"/>
    <w:rsid w:val="00F21D95"/>
    <w:rsid w:val="00F220AC"/>
    <w:rsid w:val="00F228A6"/>
    <w:rsid w:val="00F2359D"/>
    <w:rsid w:val="00F236DA"/>
    <w:rsid w:val="00F24210"/>
    <w:rsid w:val="00F24508"/>
    <w:rsid w:val="00F25A4D"/>
    <w:rsid w:val="00F25E88"/>
    <w:rsid w:val="00F25EEE"/>
    <w:rsid w:val="00F2631B"/>
    <w:rsid w:val="00F2692C"/>
    <w:rsid w:val="00F27479"/>
    <w:rsid w:val="00F2779F"/>
    <w:rsid w:val="00F27854"/>
    <w:rsid w:val="00F27D43"/>
    <w:rsid w:val="00F27DB3"/>
    <w:rsid w:val="00F30B63"/>
    <w:rsid w:val="00F30BC4"/>
    <w:rsid w:val="00F318EF"/>
    <w:rsid w:val="00F31E6E"/>
    <w:rsid w:val="00F31F14"/>
    <w:rsid w:val="00F32D1D"/>
    <w:rsid w:val="00F33480"/>
    <w:rsid w:val="00F33A19"/>
    <w:rsid w:val="00F33B02"/>
    <w:rsid w:val="00F33D86"/>
    <w:rsid w:val="00F3468C"/>
    <w:rsid w:val="00F34757"/>
    <w:rsid w:val="00F34A11"/>
    <w:rsid w:val="00F34EBF"/>
    <w:rsid w:val="00F350DD"/>
    <w:rsid w:val="00F35139"/>
    <w:rsid w:val="00F35819"/>
    <w:rsid w:val="00F35A9E"/>
    <w:rsid w:val="00F3739E"/>
    <w:rsid w:val="00F4030A"/>
    <w:rsid w:val="00F41056"/>
    <w:rsid w:val="00F41353"/>
    <w:rsid w:val="00F41450"/>
    <w:rsid w:val="00F41633"/>
    <w:rsid w:val="00F427A0"/>
    <w:rsid w:val="00F4296B"/>
    <w:rsid w:val="00F42ECA"/>
    <w:rsid w:val="00F4382B"/>
    <w:rsid w:val="00F444E0"/>
    <w:rsid w:val="00F44879"/>
    <w:rsid w:val="00F4554E"/>
    <w:rsid w:val="00F45D77"/>
    <w:rsid w:val="00F46AE9"/>
    <w:rsid w:val="00F46EAB"/>
    <w:rsid w:val="00F46F76"/>
    <w:rsid w:val="00F470B5"/>
    <w:rsid w:val="00F477E5"/>
    <w:rsid w:val="00F50623"/>
    <w:rsid w:val="00F50A77"/>
    <w:rsid w:val="00F5217A"/>
    <w:rsid w:val="00F524E9"/>
    <w:rsid w:val="00F525AF"/>
    <w:rsid w:val="00F5263B"/>
    <w:rsid w:val="00F52654"/>
    <w:rsid w:val="00F52D57"/>
    <w:rsid w:val="00F52E63"/>
    <w:rsid w:val="00F53310"/>
    <w:rsid w:val="00F5371F"/>
    <w:rsid w:val="00F5379A"/>
    <w:rsid w:val="00F53A30"/>
    <w:rsid w:val="00F55516"/>
    <w:rsid w:val="00F55B91"/>
    <w:rsid w:val="00F55F39"/>
    <w:rsid w:val="00F56BAA"/>
    <w:rsid w:val="00F57B13"/>
    <w:rsid w:val="00F61AD9"/>
    <w:rsid w:val="00F6267B"/>
    <w:rsid w:val="00F626B9"/>
    <w:rsid w:val="00F64053"/>
    <w:rsid w:val="00F6406E"/>
    <w:rsid w:val="00F64494"/>
    <w:rsid w:val="00F665C7"/>
    <w:rsid w:val="00F66FAD"/>
    <w:rsid w:val="00F67493"/>
    <w:rsid w:val="00F67719"/>
    <w:rsid w:val="00F70914"/>
    <w:rsid w:val="00F70C34"/>
    <w:rsid w:val="00F715A7"/>
    <w:rsid w:val="00F71BB0"/>
    <w:rsid w:val="00F71C76"/>
    <w:rsid w:val="00F724B7"/>
    <w:rsid w:val="00F72535"/>
    <w:rsid w:val="00F727ED"/>
    <w:rsid w:val="00F73220"/>
    <w:rsid w:val="00F73299"/>
    <w:rsid w:val="00F732A1"/>
    <w:rsid w:val="00F73A55"/>
    <w:rsid w:val="00F73BBA"/>
    <w:rsid w:val="00F74C13"/>
    <w:rsid w:val="00F75373"/>
    <w:rsid w:val="00F7619B"/>
    <w:rsid w:val="00F76AF2"/>
    <w:rsid w:val="00F76BED"/>
    <w:rsid w:val="00F7712A"/>
    <w:rsid w:val="00F77914"/>
    <w:rsid w:val="00F80731"/>
    <w:rsid w:val="00F80B5B"/>
    <w:rsid w:val="00F80E28"/>
    <w:rsid w:val="00F81616"/>
    <w:rsid w:val="00F81897"/>
    <w:rsid w:val="00F818A1"/>
    <w:rsid w:val="00F81E63"/>
    <w:rsid w:val="00F82294"/>
    <w:rsid w:val="00F82CF6"/>
    <w:rsid w:val="00F82DA4"/>
    <w:rsid w:val="00F82FAE"/>
    <w:rsid w:val="00F83300"/>
    <w:rsid w:val="00F839B7"/>
    <w:rsid w:val="00F844FF"/>
    <w:rsid w:val="00F84562"/>
    <w:rsid w:val="00F84943"/>
    <w:rsid w:val="00F84F65"/>
    <w:rsid w:val="00F850DE"/>
    <w:rsid w:val="00F853F4"/>
    <w:rsid w:val="00F8620A"/>
    <w:rsid w:val="00F864A9"/>
    <w:rsid w:val="00F86C44"/>
    <w:rsid w:val="00F86D34"/>
    <w:rsid w:val="00F87658"/>
    <w:rsid w:val="00F9099E"/>
    <w:rsid w:val="00F91E75"/>
    <w:rsid w:val="00F91F18"/>
    <w:rsid w:val="00F92537"/>
    <w:rsid w:val="00F926DD"/>
    <w:rsid w:val="00F9293C"/>
    <w:rsid w:val="00F92C50"/>
    <w:rsid w:val="00F932A3"/>
    <w:rsid w:val="00F93B6C"/>
    <w:rsid w:val="00F93E6F"/>
    <w:rsid w:val="00F9490E"/>
    <w:rsid w:val="00F95193"/>
    <w:rsid w:val="00F958A3"/>
    <w:rsid w:val="00F9615E"/>
    <w:rsid w:val="00F96AF1"/>
    <w:rsid w:val="00F96C91"/>
    <w:rsid w:val="00F972C4"/>
    <w:rsid w:val="00F97D8D"/>
    <w:rsid w:val="00FA06F7"/>
    <w:rsid w:val="00FA0B9D"/>
    <w:rsid w:val="00FA0F00"/>
    <w:rsid w:val="00FA13F6"/>
    <w:rsid w:val="00FA1405"/>
    <w:rsid w:val="00FA19A1"/>
    <w:rsid w:val="00FA1B9D"/>
    <w:rsid w:val="00FA1C72"/>
    <w:rsid w:val="00FA2315"/>
    <w:rsid w:val="00FA2CB8"/>
    <w:rsid w:val="00FA43F4"/>
    <w:rsid w:val="00FA567F"/>
    <w:rsid w:val="00FA5E84"/>
    <w:rsid w:val="00FA6852"/>
    <w:rsid w:val="00FA6E29"/>
    <w:rsid w:val="00FA6F72"/>
    <w:rsid w:val="00FA757B"/>
    <w:rsid w:val="00FA7CC2"/>
    <w:rsid w:val="00FB02FB"/>
    <w:rsid w:val="00FB0316"/>
    <w:rsid w:val="00FB0A3E"/>
    <w:rsid w:val="00FB1265"/>
    <w:rsid w:val="00FB16A3"/>
    <w:rsid w:val="00FB16A7"/>
    <w:rsid w:val="00FB1733"/>
    <w:rsid w:val="00FB189E"/>
    <w:rsid w:val="00FB1ABE"/>
    <w:rsid w:val="00FB2458"/>
    <w:rsid w:val="00FB2FD0"/>
    <w:rsid w:val="00FB3061"/>
    <w:rsid w:val="00FB335B"/>
    <w:rsid w:val="00FB3B98"/>
    <w:rsid w:val="00FB3C13"/>
    <w:rsid w:val="00FB3E96"/>
    <w:rsid w:val="00FB45A5"/>
    <w:rsid w:val="00FB5426"/>
    <w:rsid w:val="00FB562E"/>
    <w:rsid w:val="00FB59A6"/>
    <w:rsid w:val="00FB5DB5"/>
    <w:rsid w:val="00FB5EFE"/>
    <w:rsid w:val="00FB5FA0"/>
    <w:rsid w:val="00FB6129"/>
    <w:rsid w:val="00FB625C"/>
    <w:rsid w:val="00FB63E1"/>
    <w:rsid w:val="00FB64A8"/>
    <w:rsid w:val="00FB6B57"/>
    <w:rsid w:val="00FB7954"/>
    <w:rsid w:val="00FB7DB3"/>
    <w:rsid w:val="00FB7E19"/>
    <w:rsid w:val="00FC0235"/>
    <w:rsid w:val="00FC033A"/>
    <w:rsid w:val="00FC0387"/>
    <w:rsid w:val="00FC0C28"/>
    <w:rsid w:val="00FC1065"/>
    <w:rsid w:val="00FC1365"/>
    <w:rsid w:val="00FC14BF"/>
    <w:rsid w:val="00FC1B47"/>
    <w:rsid w:val="00FC215D"/>
    <w:rsid w:val="00FC2DD2"/>
    <w:rsid w:val="00FC3EB5"/>
    <w:rsid w:val="00FC4DBF"/>
    <w:rsid w:val="00FC5B93"/>
    <w:rsid w:val="00FC5C9C"/>
    <w:rsid w:val="00FC6236"/>
    <w:rsid w:val="00FC6783"/>
    <w:rsid w:val="00FC6BEB"/>
    <w:rsid w:val="00FC75D6"/>
    <w:rsid w:val="00FC7C44"/>
    <w:rsid w:val="00FD0357"/>
    <w:rsid w:val="00FD06E8"/>
    <w:rsid w:val="00FD2F18"/>
    <w:rsid w:val="00FD3431"/>
    <w:rsid w:val="00FD3719"/>
    <w:rsid w:val="00FD373A"/>
    <w:rsid w:val="00FD37A9"/>
    <w:rsid w:val="00FD5781"/>
    <w:rsid w:val="00FD58E2"/>
    <w:rsid w:val="00FD5A41"/>
    <w:rsid w:val="00FD5D3B"/>
    <w:rsid w:val="00FD634F"/>
    <w:rsid w:val="00FD6986"/>
    <w:rsid w:val="00FD7302"/>
    <w:rsid w:val="00FD741F"/>
    <w:rsid w:val="00FD74B7"/>
    <w:rsid w:val="00FD7C43"/>
    <w:rsid w:val="00FE047D"/>
    <w:rsid w:val="00FE0D53"/>
    <w:rsid w:val="00FE1280"/>
    <w:rsid w:val="00FE1367"/>
    <w:rsid w:val="00FE14DB"/>
    <w:rsid w:val="00FE1E46"/>
    <w:rsid w:val="00FE215B"/>
    <w:rsid w:val="00FE2C1B"/>
    <w:rsid w:val="00FE2CE7"/>
    <w:rsid w:val="00FE37A1"/>
    <w:rsid w:val="00FE3C02"/>
    <w:rsid w:val="00FE3F77"/>
    <w:rsid w:val="00FE51B9"/>
    <w:rsid w:val="00FE5813"/>
    <w:rsid w:val="00FE585C"/>
    <w:rsid w:val="00FE5C63"/>
    <w:rsid w:val="00FE680F"/>
    <w:rsid w:val="00FE6AD7"/>
    <w:rsid w:val="00FE6D55"/>
    <w:rsid w:val="00FE74A7"/>
    <w:rsid w:val="00FE77EE"/>
    <w:rsid w:val="00FE7924"/>
    <w:rsid w:val="00FF04CF"/>
    <w:rsid w:val="00FF054A"/>
    <w:rsid w:val="00FF084E"/>
    <w:rsid w:val="00FF0E99"/>
    <w:rsid w:val="00FF18EE"/>
    <w:rsid w:val="00FF1AF4"/>
    <w:rsid w:val="00FF1DF3"/>
    <w:rsid w:val="00FF2833"/>
    <w:rsid w:val="00FF379D"/>
    <w:rsid w:val="00FF3952"/>
    <w:rsid w:val="00FF412A"/>
    <w:rsid w:val="00FF462E"/>
    <w:rsid w:val="00FF4BD1"/>
    <w:rsid w:val="00FF55F3"/>
    <w:rsid w:val="00FF5949"/>
    <w:rsid w:val="00FF5F8E"/>
    <w:rsid w:val="00FF6295"/>
    <w:rsid w:val="00FF65D7"/>
    <w:rsid w:val="00FF67B3"/>
    <w:rsid w:val="00FF7369"/>
    <w:rsid w:val="00FF7388"/>
    <w:rsid w:val="00FF78BD"/>
    <w:rsid w:val="00FF7D0C"/>
    <w:rsid w:val="00FF7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A6194F8-7811-4A48-91B0-C24EF458C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B45A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B50970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  <w:rPr>
      <w:lang w:val="x-none" w:eastAsia="x-none"/>
    </w:rPr>
  </w:style>
  <w:style w:type="character" w:customStyle="1" w:styleId="a5">
    <w:name w:val="(一)(二)(三) 字元"/>
    <w:link w:val="a4"/>
    <w:rsid w:val="00EA0F4F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"/>
    <w:link w:val="1230"/>
    <w:qFormat/>
    <w:rsid w:val="00EA0F4F"/>
    <w:pPr>
      <w:ind w:leftChars="300" w:left="400" w:hangingChars="100" w:hanging="100"/>
    </w:pPr>
    <w:rPr>
      <w:lang w:val="x-none" w:eastAsia="x-none"/>
    </w:rPr>
  </w:style>
  <w:style w:type="paragraph" w:customStyle="1" w:styleId="a6">
    <w:name w:val="結論"/>
    <w:basedOn w:val="a"/>
    <w:rsid w:val="00EA0F4F"/>
    <w:pPr>
      <w:ind w:firstLineChars="0" w:firstLine="0"/>
    </w:pPr>
  </w:style>
  <w:style w:type="paragraph" w:customStyle="1" w:styleId="a7">
    <w:name w:val="前言內文"/>
    <w:basedOn w:val="a"/>
    <w:rsid w:val="00EA0F4F"/>
    <w:pPr>
      <w:wordWrap w:val="0"/>
      <w:overflowPunct w:val="0"/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customStyle="1" w:styleId="a9">
    <w:name w:val="報告名稱"/>
    <w:basedOn w:val="a"/>
    <w:link w:val="aa"/>
    <w:pPr>
      <w:adjustRightInd w:val="0"/>
      <w:ind w:leftChars="0" w:left="0" w:firstLineChars="0" w:firstLine="0"/>
    </w:pPr>
    <w:rPr>
      <w:b/>
      <w:sz w:val="36"/>
      <w:lang w:val="x-none" w:eastAsia="x-none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aa">
    <w:name w:val="報告名稱 字元"/>
    <w:link w:val="a9"/>
    <w:rsid w:val="00EA0F4F"/>
    <w:rPr>
      <w:rFonts w:ascii="標楷體" w:eastAsia="標楷體"/>
      <w:b/>
      <w:snapToGrid w:val="0"/>
      <w:kern w:val="2"/>
      <w:sz w:val="36"/>
      <w:szCs w:val="28"/>
    </w:rPr>
  </w:style>
  <w:style w:type="paragraph" w:styleId="a8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  <w:rPr>
      <w:lang w:val="x-none" w:eastAsia="x-none"/>
    </w:rPr>
  </w:style>
  <w:style w:type="paragraph" w:styleId="1">
    <w:name w:val="toc 1"/>
    <w:basedOn w:val="a"/>
    <w:next w:val="a"/>
    <w:autoRedefine/>
    <w:uiPriority w:val="39"/>
    <w:rsid w:val="004867CB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C527EA"/>
    <w:pPr>
      <w:tabs>
        <w:tab w:val="right" w:leader="hyphen" w:pos="8505"/>
      </w:tabs>
      <w:ind w:leftChars="0" w:left="486" w:rightChars="99" w:right="280" w:hangingChars="200" w:hanging="486"/>
    </w:pPr>
    <w:rPr>
      <w:sz w:val="24"/>
    </w:rPr>
  </w:style>
  <w:style w:type="character" w:styleId="ae">
    <w:name w:val="Hyperlink"/>
    <w:uiPriority w:val="99"/>
    <w:rsid w:val="00EA0F4F"/>
    <w:rPr>
      <w:color w:val="0000FF"/>
      <w:u w:val="single"/>
    </w:rPr>
  </w:style>
  <w:style w:type="paragraph" w:styleId="af">
    <w:name w:val="header"/>
    <w:basedOn w:val="a"/>
    <w:link w:val="af0"/>
    <w:uiPriority w:val="99"/>
    <w:rsid w:val="00EA0F4F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0">
    <w:name w:val="頁首 字元"/>
    <w:link w:val="af"/>
    <w:uiPriority w:val="99"/>
    <w:rsid w:val="00EA0F4F"/>
    <w:rPr>
      <w:rFonts w:eastAsia="標楷體"/>
      <w:snapToGrid w:val="0"/>
      <w:kern w:val="2"/>
    </w:rPr>
  </w:style>
  <w:style w:type="character" w:styleId="af1">
    <w:name w:val="page number"/>
    <w:rsid w:val="00EA0F4F"/>
  </w:style>
  <w:style w:type="paragraph" w:styleId="af2">
    <w:name w:val="footer"/>
    <w:basedOn w:val="a"/>
    <w:link w:val="af3"/>
    <w:uiPriority w:val="99"/>
    <w:rsid w:val="00EA0F4F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3">
    <w:name w:val="頁尾 字元"/>
    <w:link w:val="af2"/>
    <w:uiPriority w:val="99"/>
    <w:rsid w:val="00EA0F4F"/>
    <w:rPr>
      <w:rFonts w:eastAsia="標楷體"/>
      <w:snapToGrid w:val="0"/>
      <w:kern w:val="2"/>
    </w:rPr>
  </w:style>
  <w:style w:type="character" w:customStyle="1" w:styleId="141">
    <w:name w:val="第二層(14號字) 字元1"/>
    <w:link w:val="14"/>
    <w:rsid w:val="00EA0F4F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43">
    <w:name w:val="表格內文(14行高) 字元"/>
    <w:link w:val="142"/>
    <w:rsid w:val="00EA0F4F"/>
    <w:rPr>
      <w:rFonts w:ascii="標楷體" w:eastAsia="標楷體"/>
      <w:snapToGrid w:val="0"/>
      <w:kern w:val="2"/>
      <w:sz w:val="24"/>
      <w:szCs w:val="28"/>
    </w:rPr>
  </w:style>
  <w:style w:type="character" w:customStyle="1" w:styleId="1230">
    <w:name w:val="1.2.3. 字元"/>
    <w:link w:val="123"/>
    <w:rsid w:val="00EA0F4F"/>
    <w:rPr>
      <w:rFonts w:ascii="標楷體" w:eastAsia="標楷體"/>
      <w:snapToGrid w:val="0"/>
      <w:kern w:val="2"/>
      <w:sz w:val="28"/>
      <w:szCs w:val="28"/>
    </w:rPr>
  </w:style>
  <w:style w:type="paragraph" w:styleId="af4">
    <w:name w:val="footnote text"/>
    <w:basedOn w:val="a"/>
    <w:link w:val="af5"/>
    <w:uiPriority w:val="99"/>
    <w:rsid w:val="00EA0F4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5">
    <w:name w:val="註腳文字 字元"/>
    <w:link w:val="af4"/>
    <w:uiPriority w:val="99"/>
    <w:rsid w:val="00EA0F4F"/>
    <w:rPr>
      <w:rFonts w:ascii="標楷體" w:eastAsia="標楷體"/>
      <w:snapToGrid w:val="0"/>
      <w:kern w:val="2"/>
    </w:rPr>
  </w:style>
  <w:style w:type="character" w:customStyle="1" w:styleId="21">
    <w:name w:val="(一)下內文縮2 字元"/>
    <w:link w:val="2"/>
    <w:rsid w:val="005B42D4"/>
    <w:rPr>
      <w:rFonts w:ascii="標楷體" w:eastAsia="標楷體"/>
      <w:snapToGrid w:val="0"/>
      <w:kern w:val="2"/>
      <w:sz w:val="28"/>
      <w:szCs w:val="28"/>
    </w:rPr>
  </w:style>
  <w:style w:type="character" w:customStyle="1" w:styleId="200">
    <w:name w:val="表格內文(20行高) 字元"/>
    <w:link w:val="20"/>
    <w:rsid w:val="009C7CE0"/>
    <w:rPr>
      <w:rFonts w:ascii="標楷體" w:eastAsia="標楷體"/>
      <w:snapToGrid w:val="0"/>
      <w:kern w:val="2"/>
      <w:sz w:val="24"/>
      <w:szCs w:val="28"/>
    </w:rPr>
  </w:style>
  <w:style w:type="character" w:customStyle="1" w:styleId="ac">
    <w:name w:val="姓名及分機 字元"/>
    <w:link w:val="ab"/>
    <w:rsid w:val="004B4078"/>
    <w:rPr>
      <w:rFonts w:ascii="標楷體" w:eastAsia="標楷體"/>
      <w:snapToGrid w:val="0"/>
      <w:kern w:val="2"/>
      <w:sz w:val="24"/>
      <w:szCs w:val="28"/>
    </w:rPr>
  </w:style>
  <w:style w:type="character" w:styleId="af6">
    <w:name w:val="footnote reference"/>
    <w:aliases w:val="FR,Ref,de nota al pie,註腳內容,Error-Fußnotenzeichen5,Error-Fußnotenzeichen6,Error-Fußnotenzeichen3"/>
    <w:uiPriority w:val="99"/>
    <w:unhideWhenUsed/>
    <w:rsid w:val="004A02D3"/>
    <w:rPr>
      <w:vertAlign w:val="superscript"/>
    </w:rPr>
  </w:style>
  <w:style w:type="table" w:styleId="af7">
    <w:name w:val="Table Grid"/>
    <w:basedOn w:val="a1"/>
    <w:uiPriority w:val="59"/>
    <w:rsid w:val="004A31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alloon Text"/>
    <w:basedOn w:val="a"/>
    <w:link w:val="af9"/>
    <w:uiPriority w:val="99"/>
    <w:semiHidden/>
    <w:unhideWhenUsed/>
    <w:rsid w:val="000A72D5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9">
    <w:name w:val="註解方塊文字 字元"/>
    <w:link w:val="af8"/>
    <w:uiPriority w:val="99"/>
    <w:semiHidden/>
    <w:rsid w:val="000A72D5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a">
    <w:name w:val="Body Text"/>
    <w:basedOn w:val="a"/>
    <w:link w:val="afb"/>
    <w:rsid w:val="008E139B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  <w:lang w:val="x-none" w:eastAsia="x-none"/>
    </w:rPr>
  </w:style>
  <w:style w:type="character" w:customStyle="1" w:styleId="afb">
    <w:name w:val="本文 字元"/>
    <w:link w:val="afa"/>
    <w:rsid w:val="008E139B"/>
    <w:rPr>
      <w:rFonts w:eastAsia="標楷體"/>
      <w:kern w:val="2"/>
      <w:sz w:val="32"/>
      <w:szCs w:val="24"/>
    </w:rPr>
  </w:style>
  <w:style w:type="paragraph" w:styleId="afc">
    <w:name w:val="Date"/>
    <w:basedOn w:val="a"/>
    <w:next w:val="a"/>
    <w:link w:val="afd"/>
    <w:rsid w:val="008E139B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  <w:lang w:val="x-none" w:eastAsia="x-none"/>
    </w:rPr>
  </w:style>
  <w:style w:type="character" w:customStyle="1" w:styleId="afd">
    <w:name w:val="日期 字元"/>
    <w:link w:val="afc"/>
    <w:rsid w:val="008E139B"/>
    <w:rPr>
      <w:rFonts w:eastAsia="標楷體"/>
      <w:b/>
      <w:bCs/>
      <w:kern w:val="2"/>
      <w:sz w:val="36"/>
      <w:szCs w:val="24"/>
    </w:rPr>
  </w:style>
  <w:style w:type="paragraph" w:customStyle="1" w:styleId="afe">
    <w:name w:val="說明"/>
    <w:basedOn w:val="aff"/>
    <w:rsid w:val="00F15738"/>
    <w:pPr>
      <w:snapToGrid w:val="0"/>
      <w:spacing w:after="0" w:line="640" w:lineRule="exact"/>
      <w:ind w:leftChars="0" w:left="952" w:hangingChars="200" w:hanging="952"/>
    </w:pPr>
    <w:rPr>
      <w:rFonts w:ascii="Arial" w:hAnsi="Arial"/>
      <w:snapToGrid/>
      <w:sz w:val="32"/>
      <w:szCs w:val="20"/>
    </w:rPr>
  </w:style>
  <w:style w:type="paragraph" w:styleId="aff">
    <w:name w:val="Body Text Indent"/>
    <w:basedOn w:val="a"/>
    <w:link w:val="aff0"/>
    <w:uiPriority w:val="99"/>
    <w:semiHidden/>
    <w:unhideWhenUsed/>
    <w:rsid w:val="00F15738"/>
    <w:pPr>
      <w:spacing w:after="120"/>
      <w:ind w:left="480"/>
    </w:pPr>
    <w:rPr>
      <w:lang w:val="x-none" w:eastAsia="x-none"/>
    </w:rPr>
  </w:style>
  <w:style w:type="character" w:customStyle="1" w:styleId="aff0">
    <w:name w:val="本文縮排 字元"/>
    <w:link w:val="aff"/>
    <w:uiPriority w:val="99"/>
    <w:semiHidden/>
    <w:rsid w:val="00F15738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1C7B88"/>
    <w:rPr>
      <w:rFonts w:ascii="標楷體" w:eastAsia="標楷體"/>
      <w:b/>
      <w:snapToGrid w:val="0"/>
      <w:kern w:val="2"/>
      <w:sz w:val="28"/>
    </w:rPr>
  </w:style>
  <w:style w:type="character" w:customStyle="1" w:styleId="23">
    <w:name w:val="(一)(二)(三) 字元2"/>
    <w:rsid w:val="001C7B88"/>
    <w:rPr>
      <w:rFonts w:ascii="標楷體" w:eastAsia="標楷體"/>
      <w:snapToGrid w:val="0"/>
      <w:kern w:val="2"/>
      <w:sz w:val="28"/>
      <w:szCs w:val="28"/>
    </w:rPr>
  </w:style>
  <w:style w:type="character" w:styleId="aff1">
    <w:name w:val="FollowedHyperlink"/>
    <w:uiPriority w:val="99"/>
    <w:semiHidden/>
    <w:unhideWhenUsed/>
    <w:rsid w:val="00043970"/>
    <w:rPr>
      <w:color w:val="954F72"/>
      <w:u w:val="single"/>
    </w:rPr>
  </w:style>
  <w:style w:type="character" w:styleId="aff2">
    <w:name w:val="annotation reference"/>
    <w:uiPriority w:val="99"/>
    <w:semiHidden/>
    <w:unhideWhenUsed/>
    <w:rsid w:val="006B5A66"/>
    <w:rPr>
      <w:sz w:val="18"/>
      <w:szCs w:val="18"/>
    </w:rPr>
  </w:style>
  <w:style w:type="paragraph" w:styleId="aff3">
    <w:name w:val="annotation text"/>
    <w:basedOn w:val="a"/>
    <w:link w:val="aff4"/>
    <w:uiPriority w:val="99"/>
    <w:semiHidden/>
    <w:unhideWhenUsed/>
    <w:rsid w:val="006B5A66"/>
    <w:pPr>
      <w:jc w:val="left"/>
    </w:pPr>
    <w:rPr>
      <w:lang w:val="x-none" w:eastAsia="x-none"/>
    </w:rPr>
  </w:style>
  <w:style w:type="character" w:customStyle="1" w:styleId="aff4">
    <w:name w:val="註解文字 字元"/>
    <w:link w:val="aff3"/>
    <w:uiPriority w:val="99"/>
    <w:semiHidden/>
    <w:rsid w:val="006B5A66"/>
    <w:rPr>
      <w:rFonts w:ascii="標楷體" w:eastAsia="標楷體"/>
      <w:snapToGrid w:val="0"/>
      <w:kern w:val="2"/>
      <w:sz w:val="28"/>
      <w:szCs w:val="28"/>
    </w:rPr>
  </w:style>
  <w:style w:type="paragraph" w:styleId="aff5">
    <w:name w:val="annotation subject"/>
    <w:basedOn w:val="aff3"/>
    <w:next w:val="aff3"/>
    <w:link w:val="aff6"/>
    <w:uiPriority w:val="99"/>
    <w:semiHidden/>
    <w:unhideWhenUsed/>
    <w:rsid w:val="006B5A66"/>
    <w:rPr>
      <w:b/>
      <w:bCs/>
    </w:rPr>
  </w:style>
  <w:style w:type="character" w:customStyle="1" w:styleId="aff6">
    <w:name w:val="註解主旨 字元"/>
    <w:link w:val="aff5"/>
    <w:uiPriority w:val="99"/>
    <w:semiHidden/>
    <w:rsid w:val="006B5A66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30">
    <w:name w:val="標題 3 字元"/>
    <w:link w:val="3"/>
    <w:uiPriority w:val="9"/>
    <w:rsid w:val="00B50970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paragraph" w:styleId="aff7">
    <w:name w:val="Body Text First Indent"/>
    <w:basedOn w:val="afa"/>
    <w:link w:val="aff8"/>
    <w:uiPriority w:val="99"/>
    <w:unhideWhenUsed/>
    <w:rsid w:val="00AB4CDE"/>
    <w:pPr>
      <w:spacing w:after="120" w:line="500" w:lineRule="exact"/>
      <w:ind w:leftChars="200" w:left="200" w:firstLineChars="100" w:firstLine="210"/>
    </w:pPr>
    <w:rPr>
      <w:rFonts w:ascii="標楷體"/>
      <w:snapToGrid w:val="0"/>
      <w:sz w:val="28"/>
      <w:szCs w:val="28"/>
    </w:rPr>
  </w:style>
  <w:style w:type="character" w:customStyle="1" w:styleId="aff8">
    <w:name w:val="本文第一層縮排 字元"/>
    <w:link w:val="aff7"/>
    <w:uiPriority w:val="99"/>
    <w:rsid w:val="00AB4CDE"/>
    <w:rPr>
      <w:rFonts w:ascii="標楷體" w:eastAsia="標楷體"/>
      <w:snapToGrid w:val="0"/>
      <w:kern w:val="2"/>
      <w:sz w:val="28"/>
      <w:szCs w:val="28"/>
    </w:rPr>
  </w:style>
  <w:style w:type="paragraph" w:styleId="24">
    <w:name w:val="Body Text First Indent 2"/>
    <w:basedOn w:val="aff"/>
    <w:link w:val="25"/>
    <w:uiPriority w:val="99"/>
    <w:unhideWhenUsed/>
    <w:rsid w:val="00AB4CDE"/>
    <w:pPr>
      <w:ind w:firstLineChars="100" w:firstLine="210"/>
    </w:pPr>
    <w:rPr>
      <w:lang w:val="en-US" w:eastAsia="zh-TW"/>
    </w:rPr>
  </w:style>
  <w:style w:type="character" w:customStyle="1" w:styleId="25">
    <w:name w:val="本文第一層縮排 2 字元"/>
    <w:basedOn w:val="aff0"/>
    <w:link w:val="24"/>
    <w:uiPriority w:val="99"/>
    <w:rsid w:val="00AB4CDE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2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9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7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2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4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75AC22-0996-40FC-B379-C6AF267C6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263</Words>
  <Characters>1501</Characters>
  <Application>Microsoft Office Word</Application>
  <DocSecurity>0</DocSecurity>
  <Lines>12</Lines>
  <Paragraphs>3</Paragraphs>
  <ScaleCrop>false</ScaleCrop>
  <Company>HOME</Company>
  <LinksUpToDate>false</LinksUpToDate>
  <CharactersWithSpaces>1761</CharactersWithSpaces>
  <SharedDoc>false</SharedDoc>
  <HLinks>
    <vt:vector size="78" baseType="variant">
      <vt:variant>
        <vt:i4>1376311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_Toc182830720</vt:lpwstr>
      </vt:variant>
      <vt:variant>
        <vt:i4>1441847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_Toc182830719</vt:lpwstr>
      </vt:variant>
      <vt:variant>
        <vt:i4>1441847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_Toc182830718</vt:lpwstr>
      </vt:variant>
      <vt:variant>
        <vt:i4>1441847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_Toc182830717</vt:lpwstr>
      </vt:variant>
      <vt:variant>
        <vt:i4>1441847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_Toc182830716</vt:lpwstr>
      </vt:variant>
      <vt:variant>
        <vt:i4>1441847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_Toc182830715</vt:lpwstr>
      </vt:variant>
      <vt:variant>
        <vt:i4>1441847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_Toc182830714</vt:lpwstr>
      </vt:variant>
      <vt:variant>
        <vt:i4>1441847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_Toc182830713</vt:lpwstr>
      </vt:variant>
      <vt:variant>
        <vt:i4>1441847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_Toc182830712</vt:lpwstr>
      </vt:variant>
      <vt:variant>
        <vt:i4>1441847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_Toc182830711</vt:lpwstr>
      </vt:variant>
      <vt:variant>
        <vt:i4>1441847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_Toc182830710</vt:lpwstr>
      </vt:variant>
      <vt:variant>
        <vt:i4>1507383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_Toc182830709</vt:lpwstr>
      </vt:variant>
      <vt:variant>
        <vt:i4>1507383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_Toc182830708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2024-11-18T02:00:00Z</cp:lastPrinted>
  <dcterms:created xsi:type="dcterms:W3CDTF">2024-11-19T01:49:00Z</dcterms:created>
  <dcterms:modified xsi:type="dcterms:W3CDTF">2024-11-19T01:49:00Z</dcterms:modified>
</cp:coreProperties>
</file>