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C75" w:rsidRPr="0032536D" w:rsidRDefault="00D95C75" w:rsidP="00036BA6">
      <w:pPr>
        <w:pStyle w:val="aa"/>
        <w:rPr>
          <w:rFonts w:hAnsi="標楷體"/>
          <w:spacing w:val="-4"/>
        </w:rPr>
      </w:pPr>
      <w:bookmarkStart w:id="0" w:name="_Hlk182297217"/>
      <w:bookmarkStart w:id="1" w:name="_GoBack"/>
      <w:bookmarkEnd w:id="1"/>
      <w:r w:rsidRPr="0032536D">
        <w:rPr>
          <w:rFonts w:hAnsi="標楷體" w:hint="eastAsia"/>
          <w:spacing w:val="-4"/>
        </w:rPr>
        <w:t>臺銀人壽保險股份有限公司11</w:t>
      </w:r>
      <w:r w:rsidR="00215A80" w:rsidRPr="0032536D">
        <w:rPr>
          <w:rFonts w:hAnsi="標楷體" w:hint="eastAsia"/>
          <w:spacing w:val="-4"/>
        </w:rPr>
        <w:t>4</w:t>
      </w:r>
      <w:r w:rsidRPr="0032536D">
        <w:rPr>
          <w:rFonts w:hAnsi="標楷體" w:hint="eastAsia"/>
          <w:spacing w:val="-4"/>
        </w:rPr>
        <w:t>年度營業預算評估報告</w:t>
      </w:r>
    </w:p>
    <w:bookmarkEnd w:id="0"/>
    <w:p w:rsidR="00D95C75" w:rsidRDefault="00D95C75" w:rsidP="00036BA6">
      <w:pPr>
        <w:pStyle w:val="a8"/>
        <w:ind w:firstLine="566"/>
        <w:rPr>
          <w:rFonts w:hAnsi="標楷體"/>
        </w:rPr>
      </w:pPr>
      <w:r w:rsidRPr="00582F41">
        <w:rPr>
          <w:rFonts w:hAnsi="標楷體" w:hint="eastAsia"/>
        </w:rPr>
        <w:t>臺銀人壽保險股份有限公司(以下簡稱臺銀人壽)主要任務係依保險法規定辦理人身保險業務，並受政府委託辦理軍人保險及替代役保險業務等</w:t>
      </w:r>
      <w:r w:rsidR="00AB00EB">
        <w:rPr>
          <w:rFonts w:hAnsi="標楷體" w:hint="eastAsia"/>
        </w:rPr>
        <w:t>，</w:t>
      </w:r>
      <w:r w:rsidRPr="00582F41">
        <w:rPr>
          <w:rFonts w:hAnsi="標楷體" w:hint="eastAsia"/>
        </w:rPr>
        <w:t>臺銀人壽11</w:t>
      </w:r>
      <w:r w:rsidR="00456F35" w:rsidRPr="00582F41">
        <w:rPr>
          <w:rFonts w:hAnsi="標楷體" w:hint="eastAsia"/>
        </w:rPr>
        <w:t>4</w:t>
      </w:r>
      <w:r w:rsidRPr="00582F41">
        <w:rPr>
          <w:rFonts w:hAnsi="標楷體" w:hint="eastAsia"/>
        </w:rPr>
        <w:t>年度預算案編列營業收入</w:t>
      </w:r>
      <w:r w:rsidR="00582F41" w:rsidRPr="00582F41">
        <w:rPr>
          <w:rFonts w:hAnsi="標楷體" w:hint="eastAsia"/>
        </w:rPr>
        <w:t>345億9</w:t>
      </w:r>
      <w:r w:rsidR="00582F41" w:rsidRPr="00582F41">
        <w:rPr>
          <w:rFonts w:hAnsi="標楷體"/>
        </w:rPr>
        <w:t>,</w:t>
      </w:r>
      <w:r w:rsidR="00582F41" w:rsidRPr="00582F41">
        <w:rPr>
          <w:rFonts w:hAnsi="標楷體" w:hint="eastAsia"/>
        </w:rPr>
        <w:t>568萬3 千元，營業成本 342億6</w:t>
      </w:r>
      <w:r w:rsidR="00582F41" w:rsidRPr="00582F41">
        <w:rPr>
          <w:rFonts w:hAnsi="標楷體"/>
        </w:rPr>
        <w:t>,</w:t>
      </w:r>
      <w:r w:rsidR="00582F41" w:rsidRPr="00582F41">
        <w:rPr>
          <w:rFonts w:hAnsi="標楷體" w:hint="eastAsia"/>
        </w:rPr>
        <w:t>220萬元，營業費用9億6</w:t>
      </w:r>
      <w:r w:rsidR="00582F41" w:rsidRPr="00582F41">
        <w:rPr>
          <w:rFonts w:hAnsi="標楷體"/>
        </w:rPr>
        <w:t>,</w:t>
      </w:r>
      <w:r w:rsidR="00582F41" w:rsidRPr="00582F41">
        <w:rPr>
          <w:rFonts w:hAnsi="標楷體" w:hint="eastAsia"/>
        </w:rPr>
        <w:t>030萬3 千元，營業外費用3</w:t>
      </w:r>
      <w:r w:rsidR="00582F41" w:rsidRPr="00582F41">
        <w:rPr>
          <w:rFonts w:hAnsi="標楷體"/>
        </w:rPr>
        <w:t>,</w:t>
      </w:r>
      <w:r w:rsidR="00582F41" w:rsidRPr="00582F41">
        <w:rPr>
          <w:rFonts w:hAnsi="標楷體" w:hint="eastAsia"/>
        </w:rPr>
        <w:t>607萬3千元，支出合計352億5</w:t>
      </w:r>
      <w:r w:rsidR="00582F41" w:rsidRPr="00582F41">
        <w:rPr>
          <w:rFonts w:hAnsi="標楷體"/>
        </w:rPr>
        <w:t>,</w:t>
      </w:r>
      <w:r w:rsidR="00582F41" w:rsidRPr="00582F41">
        <w:rPr>
          <w:rFonts w:hAnsi="標楷體" w:hint="eastAsia"/>
        </w:rPr>
        <w:t>857萬6千元；預計稅前淨損</w:t>
      </w:r>
      <w:r w:rsidR="00582F41" w:rsidRPr="00582F41">
        <w:rPr>
          <w:rFonts w:hAnsi="標楷體"/>
        </w:rPr>
        <w:t>6</w:t>
      </w:r>
      <w:r w:rsidR="00582F41" w:rsidRPr="00582F41">
        <w:rPr>
          <w:rFonts w:hAnsi="標楷體" w:hint="eastAsia"/>
        </w:rPr>
        <w:t>億</w:t>
      </w:r>
      <w:r w:rsidR="00582F41" w:rsidRPr="00582F41">
        <w:rPr>
          <w:rFonts w:hAnsi="標楷體"/>
        </w:rPr>
        <w:t>6,289</w:t>
      </w:r>
      <w:r w:rsidR="00582F41" w:rsidRPr="00582F41">
        <w:rPr>
          <w:rFonts w:hAnsi="標楷體" w:hint="eastAsia"/>
        </w:rPr>
        <w:t>萬</w:t>
      </w:r>
      <w:r w:rsidR="00582F41" w:rsidRPr="00582F41">
        <w:rPr>
          <w:rFonts w:hAnsi="標楷體"/>
        </w:rPr>
        <w:t>3</w:t>
      </w:r>
      <w:r w:rsidR="00582F41" w:rsidRPr="00582F41">
        <w:rPr>
          <w:rFonts w:hAnsi="標楷體" w:hint="eastAsia"/>
        </w:rPr>
        <w:t>千元，加計所得稅利益</w:t>
      </w:r>
      <w:r w:rsidR="00582F41" w:rsidRPr="00582F41">
        <w:rPr>
          <w:rFonts w:hAnsi="標楷體"/>
        </w:rPr>
        <w:t>1</w:t>
      </w:r>
      <w:r w:rsidR="00582F41" w:rsidRPr="00582F41">
        <w:rPr>
          <w:rFonts w:hAnsi="標楷體" w:hint="eastAsia"/>
        </w:rPr>
        <w:t>億</w:t>
      </w:r>
      <w:r w:rsidR="00582F41" w:rsidRPr="00582F41">
        <w:rPr>
          <w:rFonts w:hAnsi="標楷體"/>
        </w:rPr>
        <w:t>3,257</w:t>
      </w:r>
      <w:r w:rsidR="00582F41" w:rsidRPr="00582F41">
        <w:rPr>
          <w:rFonts w:hAnsi="標楷體" w:hint="eastAsia"/>
        </w:rPr>
        <w:t>萬</w:t>
      </w:r>
      <w:r w:rsidR="00582F41" w:rsidRPr="00582F41">
        <w:rPr>
          <w:rFonts w:hAnsi="標楷體"/>
        </w:rPr>
        <w:t xml:space="preserve">9 </w:t>
      </w:r>
      <w:r w:rsidR="00582F41" w:rsidRPr="00582F41">
        <w:rPr>
          <w:rFonts w:hAnsi="標楷體" w:hint="eastAsia"/>
        </w:rPr>
        <w:t>千元，本期淨損5億3</w:t>
      </w:r>
      <w:r w:rsidR="00582F41" w:rsidRPr="00582F41">
        <w:rPr>
          <w:rFonts w:hAnsi="標楷體"/>
        </w:rPr>
        <w:t>,</w:t>
      </w:r>
      <w:r w:rsidR="00582F41" w:rsidRPr="00582F41">
        <w:rPr>
          <w:rFonts w:hAnsi="標楷體" w:hint="eastAsia"/>
        </w:rPr>
        <w:t>031萬4千元。</w:t>
      </w:r>
      <w:r w:rsidRPr="00582F41">
        <w:rPr>
          <w:rFonts w:hAnsi="標楷體" w:hint="eastAsia"/>
        </w:rPr>
        <w:t>茲就臺銀人壽11</w:t>
      </w:r>
      <w:r w:rsidR="00582F41" w:rsidRPr="00582F41">
        <w:rPr>
          <w:rFonts w:hAnsi="標楷體" w:hint="eastAsia"/>
        </w:rPr>
        <w:t>4</w:t>
      </w:r>
      <w:r w:rsidRPr="00582F41">
        <w:rPr>
          <w:rFonts w:hAnsi="標楷體" w:hint="eastAsia"/>
        </w:rPr>
        <w:t>年度預算案評估如下：</w:t>
      </w:r>
    </w:p>
    <w:p w:rsidR="00FA2182" w:rsidRPr="009D388F" w:rsidRDefault="000F69B2" w:rsidP="00A43F37">
      <w:pPr>
        <w:pStyle w:val="14"/>
        <w:spacing w:beforeLines="20" w:before="100"/>
        <w:ind w:left="567" w:hanging="567"/>
        <w:rPr>
          <w:rFonts w:hAnsi="標楷體"/>
        </w:rPr>
      </w:pPr>
      <w:bookmarkStart w:id="2" w:name="_Toc402274588"/>
      <w:bookmarkStart w:id="3" w:name="_Toc182575058"/>
      <w:r w:rsidRPr="009D388F">
        <w:rPr>
          <w:rFonts w:hAnsi="標楷體" w:hint="eastAsia"/>
        </w:rPr>
        <w:t>三</w:t>
      </w:r>
      <w:r w:rsidR="00FA2182" w:rsidRPr="009D388F">
        <w:rPr>
          <w:rFonts w:hAnsi="標楷體" w:hint="eastAsia"/>
        </w:rPr>
        <w:t>、</w:t>
      </w:r>
      <w:r w:rsidR="009D388F" w:rsidRPr="009D388F">
        <w:rPr>
          <w:rFonts w:hAnsi="標楷體" w:hint="eastAsia"/>
        </w:rPr>
        <w:t>1</w:t>
      </w:r>
      <w:r w:rsidR="009D388F" w:rsidRPr="009D388F">
        <w:rPr>
          <w:rFonts w:hAnsi="標楷體"/>
        </w:rPr>
        <w:t>12</w:t>
      </w:r>
      <w:r w:rsidR="009D388F" w:rsidRPr="009D388F">
        <w:rPr>
          <w:rFonts w:hAnsi="標楷體" w:hint="eastAsia"/>
        </w:rPr>
        <w:t>年度</w:t>
      </w:r>
      <w:r w:rsidR="009D388F" w:rsidRPr="009D388F">
        <w:rPr>
          <w:rFonts w:hint="eastAsia"/>
          <w:bCs/>
        </w:rPr>
        <w:t>新商品合約服務邊際目標達成率低於111年度，允宜</w:t>
      </w:r>
      <w:r w:rsidR="004A1F9D">
        <w:rPr>
          <w:rFonts w:hint="eastAsia"/>
          <w:bCs/>
        </w:rPr>
        <w:t>審慎規劃</w:t>
      </w:r>
      <w:r w:rsidR="009D388F" w:rsidRPr="009D388F">
        <w:rPr>
          <w:rFonts w:hint="eastAsia"/>
          <w:bCs/>
        </w:rPr>
        <w:t>保險商品及銷售</w:t>
      </w:r>
      <w:r w:rsidR="006534CC">
        <w:rPr>
          <w:rFonts w:hint="eastAsia"/>
          <w:bCs/>
        </w:rPr>
        <w:t>策略</w:t>
      </w:r>
      <w:r w:rsidR="009D388F" w:rsidRPr="009D388F">
        <w:rPr>
          <w:rFonts w:hint="eastAsia"/>
          <w:bCs/>
        </w:rPr>
        <w:t>，俾利</w:t>
      </w:r>
      <w:r w:rsidR="000A3713">
        <w:rPr>
          <w:rFonts w:hint="eastAsia"/>
          <w:bCs/>
        </w:rPr>
        <w:t>提升經營利潤，以因應未來接軌</w:t>
      </w:r>
      <w:r w:rsidR="00FA2182" w:rsidRPr="009D388F">
        <w:rPr>
          <w:rFonts w:hAnsi="標楷體" w:hint="eastAsia"/>
        </w:rPr>
        <w:t>IFRS</w:t>
      </w:r>
      <w:r w:rsidR="009D388F" w:rsidRPr="009D388F">
        <w:rPr>
          <w:rFonts w:hAnsi="標楷體" w:hint="eastAsia"/>
        </w:rPr>
        <w:t xml:space="preserve"> </w:t>
      </w:r>
      <w:r w:rsidR="00FA2182" w:rsidRPr="009D388F">
        <w:rPr>
          <w:rFonts w:hAnsi="標楷體" w:hint="eastAsia"/>
        </w:rPr>
        <w:t>17</w:t>
      </w:r>
      <w:bookmarkEnd w:id="3"/>
    </w:p>
    <w:p w:rsidR="00FA2182" w:rsidRPr="00E5759B" w:rsidRDefault="00FA2182" w:rsidP="00A43F37">
      <w:pPr>
        <w:ind w:left="566" w:firstLine="566"/>
      </w:pPr>
      <w:r w:rsidRPr="00E5759B">
        <w:rPr>
          <w:rFonts w:hint="eastAsia"/>
        </w:rPr>
        <w:t>臺銀人壽11</w:t>
      </w:r>
      <w:r w:rsidR="00E5759B" w:rsidRPr="00E5759B">
        <w:rPr>
          <w:rFonts w:hint="eastAsia"/>
        </w:rPr>
        <w:t>4</w:t>
      </w:r>
      <w:r w:rsidRPr="00E5759B">
        <w:rPr>
          <w:rFonts w:hint="eastAsia"/>
        </w:rPr>
        <w:t>年度預算案編列「保費收入」13</w:t>
      </w:r>
      <w:r w:rsidR="00E5759B" w:rsidRPr="00E5759B">
        <w:rPr>
          <w:rFonts w:hint="eastAsia"/>
        </w:rPr>
        <w:t>8</w:t>
      </w:r>
      <w:r w:rsidRPr="00E5759B">
        <w:rPr>
          <w:rFonts w:hint="eastAsia"/>
        </w:rPr>
        <w:t>億</w:t>
      </w:r>
      <w:r w:rsidR="00E5759B" w:rsidRPr="00E5759B">
        <w:rPr>
          <w:rFonts w:hint="eastAsia"/>
        </w:rPr>
        <w:t>3</w:t>
      </w:r>
      <w:r w:rsidRPr="00E5759B">
        <w:t>,</w:t>
      </w:r>
      <w:r w:rsidR="00E5759B" w:rsidRPr="00E5759B">
        <w:rPr>
          <w:rFonts w:hint="eastAsia"/>
        </w:rPr>
        <w:t>046</w:t>
      </w:r>
      <w:r w:rsidRPr="00E5759B">
        <w:rPr>
          <w:rFonts w:hint="eastAsia"/>
        </w:rPr>
        <w:t>萬元，較11</w:t>
      </w:r>
      <w:r w:rsidR="00E5759B" w:rsidRPr="00E5759B">
        <w:rPr>
          <w:rFonts w:hint="eastAsia"/>
        </w:rPr>
        <w:t>3</w:t>
      </w:r>
      <w:r w:rsidRPr="00E5759B">
        <w:rPr>
          <w:rFonts w:hint="eastAsia"/>
        </w:rPr>
        <w:t>年度預算數</w:t>
      </w:r>
      <w:r w:rsidR="00E5759B" w:rsidRPr="00E5759B">
        <w:rPr>
          <w:rFonts w:hint="eastAsia"/>
        </w:rPr>
        <w:t>增加</w:t>
      </w:r>
      <w:r w:rsidRPr="00E5759B">
        <w:rPr>
          <w:rFonts w:hint="eastAsia"/>
        </w:rPr>
        <w:t>1.</w:t>
      </w:r>
      <w:r w:rsidR="00E5759B" w:rsidRPr="00E5759B">
        <w:rPr>
          <w:rFonts w:hint="eastAsia"/>
        </w:rPr>
        <w:t>94</w:t>
      </w:r>
      <w:r w:rsidRPr="00E5759B">
        <w:rPr>
          <w:rFonts w:hint="eastAsia"/>
        </w:rPr>
        <w:t>%。經查：</w:t>
      </w:r>
    </w:p>
    <w:p w:rsidR="00FA2182" w:rsidRPr="009D388F" w:rsidRDefault="00FA2182" w:rsidP="00A43F37">
      <w:pPr>
        <w:pStyle w:val="a4"/>
        <w:ind w:left="849" w:hanging="283"/>
      </w:pPr>
      <w:r w:rsidRPr="009D388F">
        <w:rPr>
          <w:rFonts w:hint="eastAsia"/>
        </w:rPr>
        <w:t>(一)</w:t>
      </w:r>
      <w:bookmarkStart w:id="4" w:name="_Hlk149564027"/>
      <w:r w:rsidRPr="009D388F">
        <w:rPr>
          <w:rFonts w:hint="eastAsia"/>
        </w:rPr>
        <w:t>為因應IFRS17接軌時程</w:t>
      </w:r>
      <w:bookmarkEnd w:id="4"/>
      <w:r w:rsidRPr="009D388F">
        <w:rPr>
          <w:rFonts w:hint="eastAsia"/>
        </w:rPr>
        <w:t>，臺銀人壽近年推動商品策略轉型，增裕CSM成為業務推展重點</w:t>
      </w:r>
    </w:p>
    <w:p w:rsidR="00FA2182" w:rsidRPr="001D3710" w:rsidRDefault="00FA2182" w:rsidP="00EB1F46">
      <w:pPr>
        <w:pStyle w:val="21"/>
        <w:ind w:left="850" w:firstLine="566"/>
      </w:pPr>
      <w:r w:rsidRPr="00215A80">
        <w:rPr>
          <w:rFonts w:hint="eastAsia"/>
        </w:rPr>
        <w:t>金管會於</w:t>
      </w:r>
      <w:r w:rsidRPr="00215A80">
        <w:t>109</w:t>
      </w:r>
      <w:r w:rsidRPr="00215A80">
        <w:rPr>
          <w:rFonts w:hint="eastAsia"/>
        </w:rPr>
        <w:t>年發布「新商品之合約服務邊際</w:t>
      </w:r>
      <w:r w:rsidRPr="00215A80">
        <w:t>(Contractual service margin ;</w:t>
      </w:r>
      <w:r w:rsidRPr="00215A80">
        <w:rPr>
          <w:rFonts w:hint="eastAsia"/>
        </w:rPr>
        <w:t>以下簡稱</w:t>
      </w:r>
      <w:r w:rsidRPr="00215A80">
        <w:t>CSM)</w:t>
      </w:r>
      <w:r w:rsidRPr="00215A80">
        <w:rPr>
          <w:rFonts w:hint="eastAsia"/>
        </w:rPr>
        <w:t>須為正值」</w:t>
      </w:r>
      <w:r w:rsidRPr="001D3710">
        <w:rPr>
          <w:rFonts w:hint="eastAsia"/>
        </w:rPr>
        <w:t>規範</w:t>
      </w:r>
      <w:r w:rsidRPr="001D3710">
        <w:rPr>
          <w:rStyle w:val="af5"/>
          <w:b/>
          <w:bCs/>
        </w:rPr>
        <w:footnoteReference w:id="1"/>
      </w:r>
      <w:r w:rsidRPr="001D3710">
        <w:rPr>
          <w:rFonts w:hint="eastAsia"/>
        </w:rPr>
        <w:t>，壽險業不得再銷售虧損保單，</w:t>
      </w:r>
      <w:r w:rsidR="00EB1F46" w:rsidRPr="001D3710">
        <w:rPr>
          <w:rFonts w:hint="eastAsia"/>
        </w:rPr>
        <w:t>衡量預期利潤</w:t>
      </w:r>
      <w:r w:rsidR="00D87EB3" w:rsidRPr="001D3710">
        <w:rPr>
          <w:rFonts w:hint="eastAsia"/>
        </w:rPr>
        <w:t>之</w:t>
      </w:r>
      <w:r w:rsidR="00EB1F46" w:rsidRPr="001D3710">
        <w:rPr>
          <w:rFonts w:hint="eastAsia"/>
        </w:rPr>
        <w:t>CSM成為重要指標</w:t>
      </w:r>
      <w:r w:rsidR="005F7489">
        <w:rPr>
          <w:rFonts w:hint="eastAsia"/>
        </w:rPr>
        <w:t>，</w:t>
      </w:r>
      <w:r w:rsidRPr="001D3710">
        <w:rPr>
          <w:rFonts w:hint="eastAsia"/>
        </w:rPr>
        <w:t>以因應保險業115年度接軌</w:t>
      </w:r>
      <w:r w:rsidRPr="001D3710">
        <w:rPr>
          <w:rFonts w:hAnsi="標楷體" w:hint="eastAsia"/>
          <w:snapToGrid/>
          <w:lang w:eastAsia="zh-HK"/>
        </w:rPr>
        <w:t>國際財務報導準則第17號「保險合約」</w:t>
      </w:r>
      <w:r w:rsidRPr="001D3710">
        <w:rPr>
          <w:rFonts w:hAnsi="標楷體" w:hint="eastAsia"/>
        </w:rPr>
        <w:t>（以下簡稱</w:t>
      </w:r>
      <w:r w:rsidRPr="001D3710">
        <w:rPr>
          <w:rFonts w:hAnsi="標楷體"/>
        </w:rPr>
        <w:t>IFRS17</w:t>
      </w:r>
      <w:r w:rsidRPr="001D3710">
        <w:rPr>
          <w:rFonts w:hAnsi="標楷體" w:hint="eastAsia"/>
        </w:rPr>
        <w:t>）</w:t>
      </w:r>
      <w:r w:rsidRPr="003A67EC">
        <w:rPr>
          <w:rStyle w:val="af5"/>
          <w:rFonts w:hAnsi="標楷體"/>
          <w:bCs/>
        </w:rPr>
        <w:footnoteReference w:id="2"/>
      </w:r>
      <w:r w:rsidRPr="001D3710">
        <w:rPr>
          <w:rFonts w:hint="eastAsia"/>
        </w:rPr>
        <w:t>。為配合IFRS17接軌時程，臺銀人壽推動商</w:t>
      </w:r>
      <w:r w:rsidRPr="001D3710">
        <w:rPr>
          <w:rFonts w:hint="eastAsia"/>
        </w:rPr>
        <w:lastRenderedPageBreak/>
        <w:t>品策略轉型，商品銷售以經營利潤為導向，提高利潤貢獻度高</w:t>
      </w:r>
      <w:r w:rsidRPr="001D3710">
        <w:rPr>
          <w:rFonts w:hint="eastAsia"/>
        </w:rPr>
        <w:lastRenderedPageBreak/>
        <w:t>之商品比重，增裕CSM成為業務推展重點。</w:t>
      </w:r>
    </w:p>
    <w:p w:rsidR="00E5759B" w:rsidRPr="00F34D11" w:rsidRDefault="00FA2182" w:rsidP="00A43F37">
      <w:pPr>
        <w:pStyle w:val="a4"/>
        <w:ind w:left="849" w:hanging="283"/>
      </w:pPr>
      <w:r w:rsidRPr="00F34D11">
        <w:rPr>
          <w:rFonts w:hint="eastAsia"/>
        </w:rPr>
        <w:t>(二)11</w:t>
      </w:r>
      <w:r w:rsidR="00E5759B" w:rsidRPr="00F34D11">
        <w:rPr>
          <w:rFonts w:hint="eastAsia"/>
        </w:rPr>
        <w:t>2</w:t>
      </w:r>
      <w:r w:rsidRPr="00F34D11">
        <w:rPr>
          <w:rFonts w:hint="eastAsia"/>
        </w:rPr>
        <w:t>年度</w:t>
      </w:r>
      <w:r w:rsidR="004D4FC5" w:rsidRPr="00F34D11">
        <w:t>CSM</w:t>
      </w:r>
      <w:r w:rsidRPr="00F34D11">
        <w:rPr>
          <w:rFonts w:hint="eastAsia"/>
        </w:rPr>
        <w:t>目標</w:t>
      </w:r>
      <w:r w:rsidR="00E5759B" w:rsidRPr="00F34D11">
        <w:rPr>
          <w:rFonts w:hint="eastAsia"/>
        </w:rPr>
        <w:t>達成率</w:t>
      </w:r>
      <w:r w:rsidR="003829DE" w:rsidRPr="00F34D11">
        <w:rPr>
          <w:rFonts w:hint="eastAsia"/>
        </w:rPr>
        <w:t>低於111年度</w:t>
      </w:r>
      <w:r w:rsidR="00F34D11" w:rsidRPr="00F34D11">
        <w:rPr>
          <w:rFonts w:hint="eastAsia"/>
        </w:rPr>
        <w:t>，允宜</w:t>
      </w:r>
      <w:r w:rsidR="00A63437">
        <w:rPr>
          <w:rFonts w:hint="eastAsia"/>
        </w:rPr>
        <w:t>審慎規</w:t>
      </w:r>
      <w:r w:rsidR="001A1F33">
        <w:rPr>
          <w:rFonts w:hint="eastAsia"/>
        </w:rPr>
        <w:t>劃</w:t>
      </w:r>
      <w:r w:rsidR="00F34D11" w:rsidRPr="00F34D11">
        <w:rPr>
          <w:rFonts w:hint="eastAsia"/>
        </w:rPr>
        <w:t>保險</w:t>
      </w:r>
      <w:r w:rsidR="00A63437">
        <w:rPr>
          <w:rFonts w:hint="eastAsia"/>
        </w:rPr>
        <w:t>商品並妥謀銷</w:t>
      </w:r>
      <w:r w:rsidR="00F34D11" w:rsidRPr="00F34D11">
        <w:rPr>
          <w:rFonts w:hint="eastAsia"/>
        </w:rPr>
        <w:t>售</w:t>
      </w:r>
      <w:r w:rsidR="00A63437">
        <w:rPr>
          <w:rFonts w:hint="eastAsia"/>
        </w:rPr>
        <w:t>策略</w:t>
      </w:r>
      <w:r w:rsidR="000A3713">
        <w:rPr>
          <w:rFonts w:hint="eastAsia"/>
        </w:rPr>
        <w:t>，以提高經營利潤</w:t>
      </w:r>
    </w:p>
    <w:p w:rsidR="00FA2182" w:rsidRPr="00215A80" w:rsidRDefault="00FA2182" w:rsidP="00D87EB3">
      <w:pPr>
        <w:pStyle w:val="21"/>
        <w:ind w:left="850" w:firstLine="566"/>
        <w:rPr>
          <w:rFonts w:hint="eastAsia"/>
        </w:rPr>
      </w:pPr>
      <w:r w:rsidRPr="00215A80">
        <w:rPr>
          <w:rFonts w:hint="eastAsia"/>
        </w:rPr>
        <w:t>臺銀人壽</w:t>
      </w:r>
      <w:r w:rsidRPr="00215A80">
        <w:t>自111年度起訂</w:t>
      </w:r>
      <w:r w:rsidRPr="00A63437">
        <w:t>定CSM目標值</w:t>
      </w:r>
      <w:r w:rsidRPr="00A63437">
        <w:rPr>
          <w:rStyle w:val="af5"/>
          <w:b/>
          <w:bCs/>
        </w:rPr>
        <w:footnoteReference w:id="3"/>
      </w:r>
      <w:r w:rsidRPr="00A63437">
        <w:t>，商品推</w:t>
      </w:r>
      <w:r w:rsidRPr="00215A80">
        <w:t>展</w:t>
      </w:r>
      <w:r w:rsidRPr="00215A80">
        <w:rPr>
          <w:rFonts w:hint="eastAsia"/>
        </w:rPr>
        <w:t>時</w:t>
      </w:r>
      <w:r w:rsidRPr="00215A80">
        <w:t>納入業務單位年度績效考核項目，要求推展商品時以CSM貢獻度高之</w:t>
      </w:r>
      <w:r w:rsidRPr="00215A80">
        <w:rPr>
          <w:u w:val="single"/>
        </w:rPr>
        <w:t>險種</w:t>
      </w:r>
      <w:r w:rsidRPr="00215A80">
        <w:t>或</w:t>
      </w:r>
      <w:r w:rsidRPr="00215A80">
        <w:rPr>
          <w:u w:val="single"/>
        </w:rPr>
        <w:t>通路</w:t>
      </w:r>
      <w:r w:rsidRPr="00215A80">
        <w:t>為推動重點，</w:t>
      </w:r>
      <w:r w:rsidR="00D87EB3">
        <w:rPr>
          <w:rFonts w:hint="eastAsia"/>
        </w:rPr>
        <w:t>其111年度至113年</w:t>
      </w:r>
      <w:r w:rsidR="00A63437">
        <w:rPr>
          <w:rFonts w:hint="eastAsia"/>
        </w:rPr>
        <w:t>度之</w:t>
      </w:r>
      <w:r w:rsidR="00D87EB3">
        <w:rPr>
          <w:rFonts w:hint="eastAsia"/>
        </w:rPr>
        <w:t>推動情形</w:t>
      </w:r>
      <w:r w:rsidR="004D4FC5">
        <w:rPr>
          <w:rFonts w:hint="eastAsia"/>
        </w:rPr>
        <w:t>詳</w:t>
      </w:r>
      <w:r w:rsidR="00D87EB3">
        <w:rPr>
          <w:rFonts w:hint="eastAsia"/>
        </w:rPr>
        <w:t>表1及表2，謹說明如次</w:t>
      </w:r>
      <w:r w:rsidRPr="00215A80">
        <w:t>：</w:t>
      </w:r>
    </w:p>
    <w:p w:rsidR="001D3710" w:rsidRPr="001D3710" w:rsidRDefault="001D3710" w:rsidP="001D3710">
      <w:pPr>
        <w:pStyle w:val="123"/>
        <w:ind w:left="1133" w:hanging="283"/>
        <w:rPr>
          <w:b w:val="0"/>
          <w:bCs/>
        </w:rPr>
      </w:pPr>
      <w:r w:rsidRPr="001D3710">
        <w:rPr>
          <w:rFonts w:hint="eastAsia"/>
          <w:b w:val="0"/>
          <w:bCs/>
        </w:rPr>
        <w:t>1.</w:t>
      </w:r>
      <w:r w:rsidR="007A2E56" w:rsidRPr="001D3710">
        <w:rPr>
          <w:rFonts w:hint="eastAsia"/>
          <w:b w:val="0"/>
          <w:bCs/>
        </w:rPr>
        <w:t>112年度</w:t>
      </w:r>
      <w:r w:rsidR="00B17A1C" w:rsidRPr="001D3710">
        <w:rPr>
          <w:rFonts w:hint="eastAsia"/>
          <w:b w:val="0"/>
          <w:bCs/>
        </w:rPr>
        <w:t>實際執行情形分析，C</w:t>
      </w:r>
      <w:r w:rsidR="00B17A1C" w:rsidRPr="001D3710">
        <w:rPr>
          <w:b w:val="0"/>
          <w:bCs/>
        </w:rPr>
        <w:t>SM</w:t>
      </w:r>
      <w:r w:rsidR="007A2E56" w:rsidRPr="001D3710">
        <w:rPr>
          <w:rFonts w:hint="eastAsia"/>
          <w:b w:val="0"/>
          <w:bCs/>
        </w:rPr>
        <w:t>實際值及達成率分別為24.63億元及81.3%，分別低於111年度之25.8</w:t>
      </w:r>
      <w:r w:rsidR="00BB6F3A">
        <w:rPr>
          <w:rFonts w:hint="eastAsia"/>
          <w:b w:val="0"/>
          <w:bCs/>
        </w:rPr>
        <w:t>億元</w:t>
      </w:r>
      <w:r w:rsidR="007A2E56" w:rsidRPr="001D3710">
        <w:rPr>
          <w:rFonts w:hint="eastAsia"/>
          <w:b w:val="0"/>
          <w:bCs/>
        </w:rPr>
        <w:t>及90.71%；</w:t>
      </w:r>
      <w:r w:rsidR="00A63437">
        <w:rPr>
          <w:rFonts w:hint="eastAsia"/>
          <w:b w:val="0"/>
          <w:bCs/>
        </w:rPr>
        <w:t>主要係因</w:t>
      </w:r>
      <w:r w:rsidR="007A2E56" w:rsidRPr="001D3710">
        <w:rPr>
          <w:rFonts w:hint="eastAsia"/>
          <w:b w:val="0"/>
          <w:bCs/>
        </w:rPr>
        <w:t>險種</w:t>
      </w:r>
      <w:r w:rsidR="00A63437">
        <w:rPr>
          <w:rFonts w:hint="eastAsia"/>
          <w:b w:val="0"/>
          <w:bCs/>
        </w:rPr>
        <w:t>及通路中</w:t>
      </w:r>
      <w:r w:rsidR="007A2E56" w:rsidRPr="001D3710">
        <w:rPr>
          <w:rFonts w:hint="eastAsia"/>
          <w:b w:val="0"/>
          <w:bCs/>
        </w:rPr>
        <w:t>占比率最高之「終身保險」</w:t>
      </w:r>
      <w:r w:rsidR="00A63437">
        <w:rPr>
          <w:rFonts w:hint="eastAsia"/>
          <w:b w:val="0"/>
          <w:bCs/>
        </w:rPr>
        <w:t>及</w:t>
      </w:r>
      <w:r w:rsidR="00A63437" w:rsidRPr="001D3710">
        <w:rPr>
          <w:rFonts w:hint="eastAsia"/>
          <w:b w:val="0"/>
          <w:bCs/>
        </w:rPr>
        <w:t>「專屬保代」</w:t>
      </w:r>
      <w:r w:rsidR="00A63437">
        <w:rPr>
          <w:rFonts w:hint="eastAsia"/>
          <w:b w:val="0"/>
          <w:bCs/>
        </w:rPr>
        <w:t>，</w:t>
      </w:r>
      <w:r w:rsidR="007A2E56" w:rsidRPr="001D3710">
        <w:rPr>
          <w:rFonts w:hint="eastAsia"/>
          <w:b w:val="0"/>
          <w:bCs/>
        </w:rPr>
        <w:t>達成率</w:t>
      </w:r>
      <w:r w:rsidR="00A63437">
        <w:rPr>
          <w:rFonts w:hint="eastAsia"/>
          <w:b w:val="0"/>
          <w:bCs/>
        </w:rPr>
        <w:t>分別為</w:t>
      </w:r>
      <w:r w:rsidR="007A2E56" w:rsidRPr="001D3710">
        <w:rPr>
          <w:rFonts w:hint="eastAsia"/>
          <w:b w:val="0"/>
          <w:bCs/>
        </w:rPr>
        <w:t>78.1%</w:t>
      </w:r>
      <w:r w:rsidR="00A63437">
        <w:rPr>
          <w:rFonts w:hint="eastAsia"/>
          <w:b w:val="0"/>
          <w:bCs/>
        </w:rPr>
        <w:t>及</w:t>
      </w:r>
      <w:r w:rsidR="007A2E56" w:rsidRPr="001D3710">
        <w:rPr>
          <w:rFonts w:hint="eastAsia"/>
          <w:b w:val="0"/>
          <w:bCs/>
        </w:rPr>
        <w:t>75.73%</w:t>
      </w:r>
      <w:r w:rsidR="000A3713">
        <w:rPr>
          <w:rFonts w:hint="eastAsia"/>
          <w:b w:val="0"/>
          <w:bCs/>
        </w:rPr>
        <w:t>相對</w:t>
      </w:r>
      <w:r w:rsidR="00BB6F3A">
        <w:rPr>
          <w:rFonts w:hint="eastAsia"/>
          <w:b w:val="0"/>
          <w:bCs/>
        </w:rPr>
        <w:t>偏低所致</w:t>
      </w:r>
      <w:r w:rsidR="007A2E56" w:rsidRPr="001D3710">
        <w:rPr>
          <w:rFonts w:hint="eastAsia"/>
          <w:b w:val="0"/>
          <w:bCs/>
        </w:rPr>
        <w:t>。</w:t>
      </w:r>
    </w:p>
    <w:p w:rsidR="00D87EB3" w:rsidRPr="0090626F" w:rsidRDefault="001D3710" w:rsidP="0090626F">
      <w:pPr>
        <w:pStyle w:val="123"/>
        <w:ind w:left="1133" w:hanging="283"/>
        <w:rPr>
          <w:rFonts w:hAnsi="標楷體" w:hint="eastAsia"/>
          <w:b w:val="0"/>
        </w:rPr>
      </w:pPr>
      <w:r>
        <w:rPr>
          <w:rFonts w:hint="eastAsia"/>
          <w:b w:val="0"/>
          <w:bCs/>
        </w:rPr>
        <w:t>2.</w:t>
      </w:r>
      <w:r w:rsidR="004F0577">
        <w:rPr>
          <w:rFonts w:hint="eastAsia"/>
          <w:b w:val="0"/>
          <w:bCs/>
        </w:rPr>
        <w:t>臺銀人壽說明略以</w:t>
      </w:r>
      <w:r w:rsidR="00A63437">
        <w:rPr>
          <w:rFonts w:hint="eastAsia"/>
          <w:b w:val="0"/>
          <w:bCs/>
        </w:rPr>
        <w:t>，</w:t>
      </w:r>
      <w:r w:rsidR="00B17A1C">
        <w:rPr>
          <w:rFonts w:hint="eastAsia"/>
          <w:b w:val="0"/>
          <w:bCs/>
        </w:rPr>
        <w:t>113年度</w:t>
      </w:r>
      <w:r w:rsidR="00B17A1C" w:rsidRPr="00CD255E">
        <w:rPr>
          <w:rFonts w:hint="eastAsia"/>
          <w:b w:val="0"/>
          <w:bCs/>
        </w:rPr>
        <w:t>CSM設定</w:t>
      </w:r>
      <w:r w:rsidR="004D4FC5">
        <w:rPr>
          <w:rFonts w:hint="eastAsia"/>
          <w:b w:val="0"/>
          <w:bCs/>
        </w:rPr>
        <w:t>目標為</w:t>
      </w:r>
      <w:r w:rsidR="00B17A1C" w:rsidRPr="00CD255E">
        <w:rPr>
          <w:rFonts w:hint="eastAsia"/>
          <w:b w:val="0"/>
          <w:bCs/>
        </w:rPr>
        <w:t>較前一年度實際數成長51.61</w:t>
      </w:r>
      <w:r w:rsidR="00B17A1C" w:rsidRPr="00CD255E">
        <w:rPr>
          <w:b w:val="0"/>
          <w:bCs/>
        </w:rPr>
        <w:t>%</w:t>
      </w:r>
      <w:r w:rsidR="00B17A1C" w:rsidRPr="00CD255E">
        <w:rPr>
          <w:rFonts w:hint="eastAsia"/>
          <w:b w:val="0"/>
          <w:bCs/>
        </w:rPr>
        <w:t>，列為業務推展重點，並納入年度考核項目，激勵業務單位銷售利潤貢獻度高之商品</w:t>
      </w:r>
      <w:r w:rsidR="00B17A1C">
        <w:rPr>
          <w:rFonts w:hint="eastAsia"/>
          <w:b w:val="0"/>
          <w:bCs/>
        </w:rPr>
        <w:t>，</w:t>
      </w:r>
      <w:r w:rsidR="00B17A1C" w:rsidRPr="00CD255E">
        <w:rPr>
          <w:rFonts w:hint="eastAsia"/>
          <w:b w:val="0"/>
          <w:bCs/>
        </w:rPr>
        <w:t>考量銀行拉高美元優惠定存利率積極搶市以及其他業別金融商品較受客戶青睞等不利因素</w:t>
      </w:r>
      <w:r w:rsidR="00B17A1C">
        <w:rPr>
          <w:rFonts w:hint="eastAsia"/>
          <w:b w:val="0"/>
          <w:bCs/>
        </w:rPr>
        <w:t>，</w:t>
      </w:r>
      <w:r w:rsidR="00B17A1C" w:rsidRPr="00CD255E">
        <w:rPr>
          <w:rFonts w:hint="eastAsia"/>
          <w:b w:val="0"/>
          <w:bCs/>
        </w:rPr>
        <w:t>並參酌112年實際執行情形，未訂定</w:t>
      </w:r>
      <w:r w:rsidR="00B17A1C" w:rsidRPr="00CD255E">
        <w:rPr>
          <w:b w:val="0"/>
          <w:bCs/>
        </w:rPr>
        <w:t>美元保單目標數</w:t>
      </w:r>
      <w:r w:rsidR="00B17A1C" w:rsidRPr="00CD255E">
        <w:rPr>
          <w:rFonts w:hint="eastAsia"/>
          <w:b w:val="0"/>
          <w:bCs/>
        </w:rPr>
        <w:t>，另配合新臺幣利變壽險之推出，新增利變壽險目標數。</w:t>
      </w:r>
      <w:r w:rsidR="00D87EB3" w:rsidRPr="0090626F">
        <w:rPr>
          <w:rFonts w:hAnsi="標楷體" w:hint="eastAsia"/>
          <w:b w:val="0"/>
        </w:rPr>
        <w:t>114年度CSM預定目標為56.55億元，較113年度目標數37.34億元成長51.45%，主</w:t>
      </w:r>
      <w:r w:rsidR="000A3713">
        <w:rPr>
          <w:rFonts w:hAnsi="標楷體" w:hint="eastAsia"/>
          <w:b w:val="0"/>
        </w:rPr>
        <w:t>因</w:t>
      </w:r>
      <w:r w:rsidR="00D87EB3" w:rsidRPr="0090626F">
        <w:rPr>
          <w:rFonts w:hAnsi="標楷體" w:hint="eastAsia"/>
          <w:b w:val="0"/>
        </w:rPr>
        <w:t>為美元保單重新訂定目標</w:t>
      </w:r>
      <w:r w:rsidR="000A3713">
        <w:rPr>
          <w:rFonts w:hAnsi="標楷體" w:hint="eastAsia"/>
          <w:b w:val="0"/>
        </w:rPr>
        <w:t>，又</w:t>
      </w:r>
      <w:r w:rsidR="00D87EB3" w:rsidRPr="0090626F">
        <w:rPr>
          <w:rFonts w:hAnsi="標楷體" w:hint="eastAsia"/>
          <w:b w:val="0"/>
        </w:rPr>
        <w:t>美國聯準會終結升息循環開啟降息走勢，市場預期114年美國仍將持續降息政策，有利推動美元保單銷售。</w:t>
      </w:r>
    </w:p>
    <w:p w:rsidR="00EF779B" w:rsidRPr="00A63437" w:rsidRDefault="00EF779B" w:rsidP="00A63437">
      <w:pPr>
        <w:pStyle w:val="21"/>
        <w:ind w:left="850" w:firstLine="566"/>
        <w:rPr>
          <w:rFonts w:hint="eastAsia"/>
        </w:rPr>
      </w:pPr>
      <w:r w:rsidRPr="00A63437">
        <w:rPr>
          <w:rFonts w:hint="eastAsia"/>
        </w:rPr>
        <w:t>臺銀人壽112年度之</w:t>
      </w:r>
      <w:r w:rsidR="00A63437">
        <w:rPr>
          <w:rFonts w:hint="eastAsia"/>
        </w:rPr>
        <w:t>CSM</w:t>
      </w:r>
      <w:r w:rsidRPr="00A63437">
        <w:rPr>
          <w:rFonts w:hint="eastAsia"/>
        </w:rPr>
        <w:t>目標達成率81.3%，低於111年度</w:t>
      </w:r>
      <w:r w:rsidRPr="00A63437">
        <w:rPr>
          <w:rFonts w:hint="eastAsia"/>
        </w:rPr>
        <w:lastRenderedPageBreak/>
        <w:t>90.71%，</w:t>
      </w:r>
      <w:r w:rsidR="00A63437">
        <w:rPr>
          <w:rFonts w:hint="eastAsia"/>
        </w:rPr>
        <w:t>雖</w:t>
      </w:r>
      <w:r w:rsidRPr="00A63437">
        <w:rPr>
          <w:rFonts w:hint="eastAsia"/>
        </w:rPr>
        <w:t>113年迄9月底止達成率78.42%，較112年度同期</w:t>
      </w:r>
      <w:r w:rsidRPr="00A63437">
        <w:rPr>
          <w:rFonts w:hint="eastAsia"/>
        </w:rPr>
        <w:lastRenderedPageBreak/>
        <w:t>(61.63%)高，仍宜</w:t>
      </w:r>
      <w:r w:rsidR="00A63437">
        <w:rPr>
          <w:rFonts w:hint="eastAsia"/>
        </w:rPr>
        <w:t>審慎設計</w:t>
      </w:r>
      <w:r w:rsidRPr="00A63437">
        <w:rPr>
          <w:rFonts w:hint="eastAsia"/>
        </w:rPr>
        <w:t>保險商品</w:t>
      </w:r>
      <w:r w:rsidR="00A63437">
        <w:rPr>
          <w:rFonts w:hint="eastAsia"/>
        </w:rPr>
        <w:t>，並針對不同銷售通路妥謀</w:t>
      </w:r>
      <w:r w:rsidRPr="00A63437">
        <w:rPr>
          <w:rFonts w:hint="eastAsia"/>
        </w:rPr>
        <w:t>銷售策略，俾利</w:t>
      </w:r>
      <w:r w:rsidR="00BB6F3A" w:rsidRPr="00A63437">
        <w:rPr>
          <w:rFonts w:hint="eastAsia"/>
        </w:rPr>
        <w:t>提升</w:t>
      </w:r>
      <w:bookmarkStart w:id="6" w:name="_Hlk181940260"/>
      <w:r w:rsidR="00BB6F3A" w:rsidRPr="00A63437">
        <w:rPr>
          <w:rFonts w:hint="eastAsia"/>
        </w:rPr>
        <w:t>保單邊際貢獻</w:t>
      </w:r>
      <w:bookmarkEnd w:id="6"/>
      <w:r w:rsidR="00BB6F3A" w:rsidRPr="00A63437">
        <w:rPr>
          <w:rFonts w:hint="eastAsia"/>
        </w:rPr>
        <w:t>，</w:t>
      </w:r>
      <w:r w:rsidRPr="00A63437">
        <w:rPr>
          <w:rFonts w:hint="eastAsia"/>
        </w:rPr>
        <w:t>未來順利接軌</w:t>
      </w:r>
      <w:r w:rsidRPr="00A63437">
        <w:t>IFRS17</w:t>
      </w:r>
      <w:r w:rsidRPr="00A63437">
        <w:rPr>
          <w:rFonts w:hint="eastAsia"/>
        </w:rPr>
        <w:t>。</w:t>
      </w:r>
    </w:p>
    <w:p w:rsidR="00EF779B" w:rsidRPr="00EF779B" w:rsidRDefault="00EF779B" w:rsidP="00EF779B">
      <w:pPr>
        <w:ind w:left="566" w:firstLine="566"/>
        <w:rPr>
          <w:bCs/>
        </w:rPr>
      </w:pPr>
      <w:r w:rsidRPr="00EF779B">
        <w:rPr>
          <w:rFonts w:hint="eastAsia"/>
          <w:bCs/>
        </w:rPr>
        <w:t>綜上，</w:t>
      </w:r>
      <w:r w:rsidRPr="00EF779B">
        <w:rPr>
          <w:rFonts w:hint="eastAsia"/>
        </w:rPr>
        <w:t>臺銀人壽自</w:t>
      </w:r>
      <w:r w:rsidRPr="00EF779B">
        <w:t>111</w:t>
      </w:r>
      <w:r w:rsidRPr="00EF779B">
        <w:rPr>
          <w:rFonts w:hint="eastAsia"/>
        </w:rPr>
        <w:t>年起訂定</w:t>
      </w:r>
      <w:r w:rsidRPr="00EF779B">
        <w:t>CSM</w:t>
      </w:r>
      <w:r w:rsidRPr="00EF779B">
        <w:rPr>
          <w:rFonts w:hint="eastAsia"/>
        </w:rPr>
        <w:t>目標，要求業務單位推展商品時以</w:t>
      </w:r>
      <w:r w:rsidRPr="00EF779B">
        <w:t>CSM</w:t>
      </w:r>
      <w:r w:rsidRPr="00EF779B">
        <w:rPr>
          <w:rFonts w:hint="eastAsia"/>
        </w:rPr>
        <w:t>貢獻度高之險種或通路為推動重點，</w:t>
      </w:r>
      <w:r w:rsidR="003501ED" w:rsidRPr="00EF779B">
        <w:rPr>
          <w:rFonts w:hint="eastAsia"/>
        </w:rPr>
        <w:t>112年度</w:t>
      </w:r>
      <w:r w:rsidR="003501ED">
        <w:rPr>
          <w:rFonts w:hint="eastAsia"/>
        </w:rPr>
        <w:t>CSM目標</w:t>
      </w:r>
      <w:r w:rsidR="003501ED" w:rsidRPr="00EF779B">
        <w:rPr>
          <w:rFonts w:hint="eastAsia"/>
        </w:rPr>
        <w:t>達成率低於111年度，</w:t>
      </w:r>
      <w:r w:rsidRPr="00EF779B">
        <w:rPr>
          <w:rFonts w:hint="eastAsia"/>
        </w:rPr>
        <w:t>113年度迄9月底止，</w:t>
      </w:r>
      <w:r w:rsidR="003501ED">
        <w:rPr>
          <w:rFonts w:hint="eastAsia"/>
        </w:rPr>
        <w:t>達</w:t>
      </w:r>
      <w:r w:rsidRPr="00EF779B">
        <w:rPr>
          <w:rFonts w:hint="eastAsia"/>
        </w:rPr>
        <w:t>成率</w:t>
      </w:r>
      <w:r w:rsidR="003501ED">
        <w:rPr>
          <w:rFonts w:hint="eastAsia"/>
        </w:rPr>
        <w:t>雖</w:t>
      </w:r>
      <w:r w:rsidRPr="00EF779B">
        <w:rPr>
          <w:rFonts w:hint="eastAsia"/>
        </w:rPr>
        <w:t>高於112年度同期，</w:t>
      </w:r>
      <w:r w:rsidR="003501ED">
        <w:rPr>
          <w:rFonts w:hint="eastAsia"/>
        </w:rPr>
        <w:t>惟仍有改善空間，</w:t>
      </w:r>
      <w:r w:rsidRPr="00EF779B">
        <w:rPr>
          <w:rFonts w:hint="eastAsia"/>
        </w:rPr>
        <w:t>允宜</w:t>
      </w:r>
      <w:r w:rsidR="00A63437">
        <w:rPr>
          <w:rFonts w:hint="eastAsia"/>
        </w:rPr>
        <w:t>審慎規</w:t>
      </w:r>
      <w:r w:rsidR="001A1F33">
        <w:rPr>
          <w:rFonts w:hint="eastAsia"/>
        </w:rPr>
        <w:t>劃</w:t>
      </w:r>
      <w:r w:rsidR="003501ED">
        <w:rPr>
          <w:rFonts w:hint="eastAsia"/>
        </w:rPr>
        <w:t>保險</w:t>
      </w:r>
      <w:r w:rsidR="00F34D11">
        <w:rPr>
          <w:rFonts w:hint="eastAsia"/>
        </w:rPr>
        <w:t>商品</w:t>
      </w:r>
      <w:r w:rsidR="00A63437">
        <w:rPr>
          <w:rFonts w:hint="eastAsia"/>
        </w:rPr>
        <w:t>，並針對不同銷售通道妥謀</w:t>
      </w:r>
      <w:r w:rsidR="00F34D11">
        <w:rPr>
          <w:rFonts w:hint="eastAsia"/>
        </w:rPr>
        <w:t>銷售</w:t>
      </w:r>
      <w:r w:rsidR="00A63437">
        <w:rPr>
          <w:rFonts w:hint="eastAsia"/>
        </w:rPr>
        <w:t>策略</w:t>
      </w:r>
      <w:r w:rsidRPr="00EF779B">
        <w:rPr>
          <w:rFonts w:hint="eastAsia"/>
        </w:rPr>
        <w:t>，俾利</w:t>
      </w:r>
      <w:r w:rsidR="00F34D11">
        <w:rPr>
          <w:rFonts w:hint="eastAsia"/>
        </w:rPr>
        <w:t>提升</w:t>
      </w:r>
      <w:r w:rsidR="000A3713">
        <w:rPr>
          <w:rFonts w:hint="eastAsia"/>
        </w:rPr>
        <w:t>經營利潤</w:t>
      </w:r>
      <w:r w:rsidR="00F34D11">
        <w:rPr>
          <w:rFonts w:hint="eastAsia"/>
        </w:rPr>
        <w:t>，</w:t>
      </w:r>
      <w:r w:rsidR="000A3713">
        <w:rPr>
          <w:rFonts w:hint="eastAsia"/>
        </w:rPr>
        <w:t>因應未來</w:t>
      </w:r>
      <w:r w:rsidRPr="00EF779B">
        <w:rPr>
          <w:rFonts w:hint="eastAsia"/>
          <w:bCs/>
        </w:rPr>
        <w:t>接軌IFRS17。</w:t>
      </w:r>
    </w:p>
    <w:p w:rsidR="00FA2182" w:rsidRPr="00434D32" w:rsidRDefault="00FA2182" w:rsidP="00CF708B">
      <w:pPr>
        <w:tabs>
          <w:tab w:val="left" w:pos="709"/>
        </w:tabs>
        <w:spacing w:beforeLines="50" w:before="250" w:line="400" w:lineRule="exact"/>
        <w:ind w:leftChars="0" w:left="0" w:firstLineChars="0" w:firstLine="0"/>
        <w:rPr>
          <w:rFonts w:hAnsi="標楷體"/>
          <w:b/>
          <w:bCs/>
        </w:rPr>
      </w:pPr>
      <w:r w:rsidRPr="00434D32">
        <w:rPr>
          <w:rFonts w:hAnsi="標楷體" w:hint="eastAsia"/>
          <w:b/>
          <w:bCs/>
        </w:rPr>
        <w:t>表1  臺銀人壽1</w:t>
      </w:r>
      <w:r w:rsidRPr="00434D32">
        <w:rPr>
          <w:rFonts w:hAnsi="標楷體"/>
          <w:b/>
          <w:bCs/>
        </w:rPr>
        <w:t>11</w:t>
      </w:r>
      <w:r w:rsidRPr="00434D32">
        <w:rPr>
          <w:rFonts w:hAnsi="標楷體" w:hint="eastAsia"/>
          <w:b/>
          <w:bCs/>
        </w:rPr>
        <w:t>年度</w:t>
      </w:r>
      <w:r w:rsidR="001A1F33">
        <w:rPr>
          <w:rFonts w:hAnsi="標楷體" w:hint="eastAsia"/>
          <w:b/>
          <w:bCs/>
        </w:rPr>
        <w:t>至</w:t>
      </w:r>
      <w:r w:rsidRPr="00434D32">
        <w:rPr>
          <w:rFonts w:hAnsi="標楷體"/>
          <w:b/>
          <w:bCs/>
        </w:rPr>
        <w:t>11</w:t>
      </w:r>
      <w:r w:rsidR="002047F5" w:rsidRPr="00434D32">
        <w:rPr>
          <w:rFonts w:hAnsi="標楷體" w:hint="eastAsia"/>
          <w:b/>
          <w:bCs/>
        </w:rPr>
        <w:t>3</w:t>
      </w:r>
      <w:r w:rsidRPr="00434D32">
        <w:rPr>
          <w:rFonts w:hAnsi="標楷體"/>
          <w:b/>
          <w:bCs/>
        </w:rPr>
        <w:t>年</w:t>
      </w:r>
      <w:r w:rsidRPr="00434D32">
        <w:rPr>
          <w:rFonts w:hAnsi="標楷體" w:hint="eastAsia"/>
          <w:b/>
          <w:bCs/>
        </w:rPr>
        <w:t>度</w:t>
      </w:r>
      <w:r w:rsidRPr="00434D32">
        <w:rPr>
          <w:rFonts w:hAnsi="標楷體"/>
          <w:b/>
          <w:bCs/>
        </w:rPr>
        <w:t>截至9月</w:t>
      </w:r>
      <w:r w:rsidRPr="00434D32">
        <w:rPr>
          <w:rFonts w:hAnsi="標楷體" w:hint="eastAsia"/>
          <w:b/>
          <w:bCs/>
        </w:rPr>
        <w:t>底止</w:t>
      </w:r>
      <w:r w:rsidRPr="00434D32">
        <w:rPr>
          <w:rFonts w:hAnsi="標楷體"/>
          <w:b/>
          <w:bCs/>
        </w:rPr>
        <w:t>各</w:t>
      </w:r>
      <w:r w:rsidRPr="00434D32">
        <w:rPr>
          <w:rFonts w:hAnsi="標楷體" w:hint="eastAsia"/>
          <w:b/>
          <w:bCs/>
        </w:rPr>
        <w:t>險種</w:t>
      </w:r>
      <w:r w:rsidRPr="00434D32">
        <w:rPr>
          <w:rFonts w:hAnsi="標楷體"/>
          <w:b/>
          <w:bCs/>
        </w:rPr>
        <w:t>CSM明細表</w:t>
      </w:r>
    </w:p>
    <w:p w:rsidR="003A6CDD" w:rsidRPr="00434D32" w:rsidRDefault="003A6CDD" w:rsidP="003A6CDD">
      <w:pPr>
        <w:pStyle w:val="142"/>
        <w:ind w:left="850" w:firstLine="566"/>
        <w:jc w:val="right"/>
        <w:rPr>
          <w:rFonts w:ascii="Times New Roman"/>
        </w:rPr>
      </w:pPr>
      <w:r w:rsidRPr="00434D32">
        <w:rPr>
          <w:rFonts w:ascii="Times New Roman"/>
        </w:rPr>
        <w:t>單位：新臺幣億元</w:t>
      </w:r>
      <w:r w:rsidRPr="00C1659C">
        <w:rPr>
          <w:rFonts w:hAnsi="標楷體"/>
        </w:rPr>
        <w:t>；</w:t>
      </w:r>
      <w:r w:rsidR="00C1659C" w:rsidRPr="00C1659C">
        <w:rPr>
          <w:rFonts w:hAnsi="標楷體" w:hint="eastAsia"/>
        </w:rPr>
        <w:t>%</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6"/>
        <w:gridCol w:w="851"/>
        <w:gridCol w:w="850"/>
        <w:gridCol w:w="709"/>
        <w:gridCol w:w="850"/>
        <w:gridCol w:w="851"/>
        <w:gridCol w:w="709"/>
        <w:gridCol w:w="746"/>
        <w:gridCol w:w="845"/>
        <w:gridCol w:w="845"/>
      </w:tblGrid>
      <w:tr w:rsidR="00EF779B" w:rsidRPr="00434D32" w:rsidTr="001A4764">
        <w:trPr>
          <w:trHeight w:val="330"/>
        </w:trPr>
        <w:tc>
          <w:tcPr>
            <w:tcW w:w="1276" w:type="dxa"/>
            <w:vMerge w:val="restart"/>
            <w:shd w:val="clear" w:color="auto" w:fill="auto"/>
            <w:vAlign w:val="center"/>
          </w:tcPr>
          <w:p w:rsidR="00EF779B" w:rsidRPr="00434D32" w:rsidRDefault="00EF779B" w:rsidP="003A6CDD">
            <w:pPr>
              <w:pStyle w:val="14-12"/>
            </w:pPr>
            <w:r w:rsidRPr="00434D32">
              <w:t>險種別</w:t>
            </w:r>
          </w:p>
        </w:tc>
        <w:tc>
          <w:tcPr>
            <w:tcW w:w="1701" w:type="dxa"/>
            <w:gridSpan w:val="2"/>
          </w:tcPr>
          <w:p w:rsidR="00EF779B" w:rsidRPr="00434D32" w:rsidRDefault="00EF779B" w:rsidP="003A6CDD">
            <w:pPr>
              <w:pStyle w:val="14-12"/>
              <w:jc w:val="center"/>
            </w:pPr>
            <w:r w:rsidRPr="00434D32">
              <w:rPr>
                <w:rFonts w:hint="eastAsia"/>
              </w:rPr>
              <w:t>1</w:t>
            </w:r>
            <w:r w:rsidRPr="00434D32">
              <w:t>11</w:t>
            </w:r>
            <w:r w:rsidRPr="00434D32">
              <w:rPr>
                <w:rFonts w:hint="eastAsia"/>
              </w:rPr>
              <w:t>年度</w:t>
            </w:r>
          </w:p>
        </w:tc>
        <w:tc>
          <w:tcPr>
            <w:tcW w:w="1559" w:type="dxa"/>
            <w:gridSpan w:val="2"/>
          </w:tcPr>
          <w:p w:rsidR="00EF779B" w:rsidRPr="00434D32" w:rsidRDefault="00EF779B" w:rsidP="003A6CDD">
            <w:pPr>
              <w:pStyle w:val="14-12"/>
              <w:jc w:val="center"/>
            </w:pPr>
            <w:r w:rsidRPr="00434D32">
              <w:t>112年度</w:t>
            </w:r>
          </w:p>
        </w:tc>
        <w:tc>
          <w:tcPr>
            <w:tcW w:w="3996" w:type="dxa"/>
            <w:gridSpan w:val="5"/>
            <w:shd w:val="clear" w:color="auto" w:fill="auto"/>
            <w:vAlign w:val="center"/>
          </w:tcPr>
          <w:p w:rsidR="00EF779B" w:rsidRPr="00434D32" w:rsidRDefault="00EF779B" w:rsidP="003A6CDD">
            <w:pPr>
              <w:pStyle w:val="14-12"/>
              <w:jc w:val="center"/>
            </w:pPr>
            <w:r w:rsidRPr="00434D32">
              <w:t>113年度截至</w:t>
            </w:r>
            <w:r w:rsidRPr="00434D32">
              <w:rPr>
                <w:rFonts w:hint="eastAsia"/>
              </w:rPr>
              <w:t>9</w:t>
            </w:r>
            <w:r w:rsidRPr="00434D32">
              <w:t>月底止</w:t>
            </w:r>
          </w:p>
        </w:tc>
      </w:tr>
      <w:tr w:rsidR="002047F5" w:rsidRPr="00434D32" w:rsidTr="001A4764">
        <w:trPr>
          <w:trHeight w:val="330"/>
        </w:trPr>
        <w:tc>
          <w:tcPr>
            <w:tcW w:w="1276" w:type="dxa"/>
            <w:vMerge/>
            <w:shd w:val="clear" w:color="auto" w:fill="auto"/>
            <w:vAlign w:val="center"/>
          </w:tcPr>
          <w:p w:rsidR="002047F5" w:rsidRPr="00434D32" w:rsidRDefault="002047F5" w:rsidP="002047F5">
            <w:pPr>
              <w:pStyle w:val="14-12"/>
            </w:pPr>
          </w:p>
        </w:tc>
        <w:tc>
          <w:tcPr>
            <w:tcW w:w="851" w:type="dxa"/>
            <w:vAlign w:val="center"/>
          </w:tcPr>
          <w:p w:rsidR="002047F5" w:rsidRPr="00434D32" w:rsidRDefault="002047F5" w:rsidP="002047F5">
            <w:pPr>
              <w:pStyle w:val="14-2"/>
              <w:jc w:val="center"/>
            </w:pPr>
            <w:r w:rsidRPr="00434D32">
              <w:rPr>
                <w:rFonts w:hAnsi="標楷體"/>
              </w:rPr>
              <w:t>實際值</w:t>
            </w:r>
          </w:p>
        </w:tc>
        <w:tc>
          <w:tcPr>
            <w:tcW w:w="850" w:type="dxa"/>
            <w:vAlign w:val="center"/>
          </w:tcPr>
          <w:p w:rsidR="002047F5" w:rsidRPr="00434D32" w:rsidRDefault="002047F5" w:rsidP="002047F5">
            <w:pPr>
              <w:pStyle w:val="14-2"/>
              <w:jc w:val="center"/>
            </w:pPr>
            <w:r w:rsidRPr="00434D32">
              <w:rPr>
                <w:rFonts w:hAnsi="標楷體"/>
              </w:rPr>
              <w:t>達成率</w:t>
            </w:r>
          </w:p>
        </w:tc>
        <w:tc>
          <w:tcPr>
            <w:tcW w:w="709" w:type="dxa"/>
            <w:vAlign w:val="center"/>
          </w:tcPr>
          <w:p w:rsidR="002047F5" w:rsidRPr="00434D32" w:rsidRDefault="002047F5" w:rsidP="001A4764">
            <w:pPr>
              <w:pStyle w:val="14-12"/>
              <w:jc w:val="center"/>
            </w:pPr>
            <w:r w:rsidRPr="00434D32">
              <w:t>實際值</w:t>
            </w:r>
          </w:p>
        </w:tc>
        <w:tc>
          <w:tcPr>
            <w:tcW w:w="850" w:type="dxa"/>
            <w:vAlign w:val="center"/>
          </w:tcPr>
          <w:p w:rsidR="002047F5" w:rsidRPr="00434D32" w:rsidRDefault="002047F5" w:rsidP="001A4764">
            <w:pPr>
              <w:pStyle w:val="14-12"/>
              <w:jc w:val="center"/>
            </w:pPr>
            <w:r w:rsidRPr="00434D32">
              <w:t>達成率</w:t>
            </w:r>
          </w:p>
        </w:tc>
        <w:tc>
          <w:tcPr>
            <w:tcW w:w="851" w:type="dxa"/>
            <w:shd w:val="clear" w:color="auto" w:fill="auto"/>
            <w:vAlign w:val="center"/>
          </w:tcPr>
          <w:p w:rsidR="002047F5" w:rsidRPr="00434D32" w:rsidRDefault="002047F5" w:rsidP="001A4764">
            <w:pPr>
              <w:pStyle w:val="14-12"/>
              <w:jc w:val="center"/>
            </w:pPr>
            <w:r w:rsidRPr="00434D32">
              <w:t>實際值</w:t>
            </w:r>
          </w:p>
        </w:tc>
        <w:tc>
          <w:tcPr>
            <w:tcW w:w="709" w:type="dxa"/>
            <w:shd w:val="clear" w:color="auto" w:fill="auto"/>
            <w:vAlign w:val="center"/>
          </w:tcPr>
          <w:p w:rsidR="002047F5" w:rsidRPr="00434D32" w:rsidRDefault="002047F5" w:rsidP="002047F5">
            <w:pPr>
              <w:pStyle w:val="14-12"/>
              <w:jc w:val="center"/>
            </w:pPr>
            <w:r w:rsidRPr="00434D32">
              <w:t>占率</w:t>
            </w:r>
          </w:p>
        </w:tc>
        <w:tc>
          <w:tcPr>
            <w:tcW w:w="746" w:type="dxa"/>
            <w:vAlign w:val="center"/>
          </w:tcPr>
          <w:p w:rsidR="002047F5" w:rsidRPr="00434D32" w:rsidRDefault="002047F5" w:rsidP="001A4764">
            <w:pPr>
              <w:pStyle w:val="14-12"/>
              <w:jc w:val="center"/>
            </w:pPr>
            <w:r w:rsidRPr="00434D32">
              <w:t>目標值</w:t>
            </w:r>
          </w:p>
        </w:tc>
        <w:tc>
          <w:tcPr>
            <w:tcW w:w="845" w:type="dxa"/>
            <w:vAlign w:val="center"/>
          </w:tcPr>
          <w:p w:rsidR="002047F5" w:rsidRPr="00434D32" w:rsidRDefault="002047F5" w:rsidP="002047F5">
            <w:pPr>
              <w:pStyle w:val="14-12"/>
              <w:jc w:val="center"/>
            </w:pPr>
            <w:r w:rsidRPr="00434D32">
              <w:t>年度目標達成率</w:t>
            </w:r>
          </w:p>
        </w:tc>
        <w:tc>
          <w:tcPr>
            <w:tcW w:w="845" w:type="dxa"/>
          </w:tcPr>
          <w:p w:rsidR="002047F5" w:rsidRPr="00434D32" w:rsidRDefault="002047F5" w:rsidP="002047F5">
            <w:pPr>
              <w:pStyle w:val="14-12"/>
              <w:jc w:val="center"/>
            </w:pPr>
            <w:r w:rsidRPr="00434D32">
              <w:t>112年</w:t>
            </w:r>
            <w:r w:rsidR="00176EC4" w:rsidRPr="00434D32">
              <w:rPr>
                <w:rFonts w:hint="eastAsia"/>
              </w:rPr>
              <w:t>9</w:t>
            </w:r>
            <w:r w:rsidRPr="00434D32">
              <w:t>月同期成長率</w:t>
            </w:r>
          </w:p>
        </w:tc>
      </w:tr>
      <w:tr w:rsidR="002047F5" w:rsidRPr="00434D32" w:rsidTr="001A4764">
        <w:trPr>
          <w:trHeight w:val="185"/>
        </w:trPr>
        <w:tc>
          <w:tcPr>
            <w:tcW w:w="1276" w:type="dxa"/>
            <w:shd w:val="clear" w:color="auto" w:fill="auto"/>
            <w:vAlign w:val="center"/>
          </w:tcPr>
          <w:p w:rsidR="002047F5" w:rsidRPr="00434D32" w:rsidRDefault="002047F5" w:rsidP="002047F5">
            <w:pPr>
              <w:pStyle w:val="14-12"/>
            </w:pPr>
            <w:r w:rsidRPr="00434D32">
              <w:t>美元保單</w:t>
            </w:r>
          </w:p>
        </w:tc>
        <w:tc>
          <w:tcPr>
            <w:tcW w:w="851" w:type="dxa"/>
            <w:vAlign w:val="center"/>
          </w:tcPr>
          <w:p w:rsidR="002047F5" w:rsidRPr="00434D32" w:rsidRDefault="002047F5" w:rsidP="002047F5">
            <w:pPr>
              <w:pStyle w:val="14-12"/>
              <w:jc w:val="right"/>
            </w:pPr>
            <w:r w:rsidRPr="00434D32">
              <w:t>1.16</w:t>
            </w:r>
          </w:p>
        </w:tc>
        <w:tc>
          <w:tcPr>
            <w:tcW w:w="850" w:type="dxa"/>
            <w:vAlign w:val="center"/>
          </w:tcPr>
          <w:p w:rsidR="002047F5" w:rsidRPr="00434D32" w:rsidRDefault="002047F5" w:rsidP="002047F5">
            <w:pPr>
              <w:pStyle w:val="14-12"/>
              <w:jc w:val="right"/>
            </w:pPr>
            <w:r w:rsidRPr="00434D32">
              <w:t>33.55</w:t>
            </w:r>
          </w:p>
        </w:tc>
        <w:tc>
          <w:tcPr>
            <w:tcW w:w="709" w:type="dxa"/>
            <w:vAlign w:val="center"/>
          </w:tcPr>
          <w:p w:rsidR="002047F5" w:rsidRPr="00434D32" w:rsidRDefault="002047F5" w:rsidP="002047F5">
            <w:pPr>
              <w:pStyle w:val="14-12"/>
              <w:jc w:val="right"/>
            </w:pPr>
            <w:r w:rsidRPr="00434D32">
              <w:t>0.70</w:t>
            </w:r>
          </w:p>
        </w:tc>
        <w:tc>
          <w:tcPr>
            <w:tcW w:w="850" w:type="dxa"/>
            <w:vAlign w:val="center"/>
          </w:tcPr>
          <w:p w:rsidR="002047F5" w:rsidRPr="00434D32" w:rsidRDefault="002047F5" w:rsidP="002047F5">
            <w:pPr>
              <w:pStyle w:val="14-12"/>
              <w:jc w:val="right"/>
            </w:pPr>
            <w:r w:rsidRPr="00434D32">
              <w:t>46.02</w:t>
            </w:r>
          </w:p>
        </w:tc>
        <w:tc>
          <w:tcPr>
            <w:tcW w:w="851" w:type="dxa"/>
            <w:shd w:val="clear" w:color="auto" w:fill="auto"/>
            <w:vAlign w:val="center"/>
          </w:tcPr>
          <w:p w:rsidR="002047F5" w:rsidRPr="00434D32" w:rsidRDefault="002047F5" w:rsidP="002047F5">
            <w:pPr>
              <w:pStyle w:val="14-12"/>
              <w:jc w:val="right"/>
            </w:pPr>
            <w:r w:rsidRPr="00434D32">
              <w:t>-</w:t>
            </w:r>
          </w:p>
        </w:tc>
        <w:tc>
          <w:tcPr>
            <w:tcW w:w="709" w:type="dxa"/>
            <w:shd w:val="clear" w:color="auto" w:fill="auto"/>
            <w:vAlign w:val="center"/>
          </w:tcPr>
          <w:p w:rsidR="002047F5" w:rsidRPr="00434D32" w:rsidRDefault="002047F5" w:rsidP="002047F5">
            <w:pPr>
              <w:pStyle w:val="14-12"/>
              <w:jc w:val="right"/>
            </w:pPr>
            <w:r w:rsidRPr="00434D32">
              <w:t>-</w:t>
            </w:r>
          </w:p>
        </w:tc>
        <w:tc>
          <w:tcPr>
            <w:tcW w:w="746" w:type="dxa"/>
            <w:vAlign w:val="center"/>
          </w:tcPr>
          <w:p w:rsidR="002047F5" w:rsidRPr="00434D32" w:rsidRDefault="002047F5" w:rsidP="002047F5">
            <w:pPr>
              <w:pStyle w:val="14-12"/>
              <w:jc w:val="right"/>
            </w:pPr>
            <w:r w:rsidRPr="00434D32">
              <w:t>-</w:t>
            </w:r>
          </w:p>
        </w:tc>
        <w:tc>
          <w:tcPr>
            <w:tcW w:w="845" w:type="dxa"/>
            <w:vAlign w:val="center"/>
          </w:tcPr>
          <w:p w:rsidR="002047F5" w:rsidRPr="00434D32" w:rsidRDefault="002047F5" w:rsidP="002047F5">
            <w:pPr>
              <w:pStyle w:val="14-12"/>
              <w:jc w:val="right"/>
            </w:pPr>
            <w:r w:rsidRPr="00434D32">
              <w:t>-</w:t>
            </w:r>
          </w:p>
        </w:tc>
        <w:tc>
          <w:tcPr>
            <w:tcW w:w="845" w:type="dxa"/>
            <w:vAlign w:val="center"/>
          </w:tcPr>
          <w:p w:rsidR="002047F5" w:rsidRPr="00434D32" w:rsidRDefault="002047F5" w:rsidP="002047F5">
            <w:pPr>
              <w:pStyle w:val="14-12"/>
              <w:jc w:val="right"/>
            </w:pPr>
            <w:r w:rsidRPr="00434D32">
              <w:t>-</w:t>
            </w:r>
          </w:p>
        </w:tc>
      </w:tr>
      <w:tr w:rsidR="00176EC4" w:rsidRPr="00434D32" w:rsidTr="001A4764">
        <w:trPr>
          <w:trHeight w:val="47"/>
        </w:trPr>
        <w:tc>
          <w:tcPr>
            <w:tcW w:w="1276" w:type="dxa"/>
            <w:shd w:val="clear" w:color="auto" w:fill="auto"/>
            <w:vAlign w:val="center"/>
          </w:tcPr>
          <w:p w:rsidR="00176EC4" w:rsidRPr="00434D32" w:rsidRDefault="00176EC4" w:rsidP="00176EC4">
            <w:pPr>
              <w:pStyle w:val="14-12"/>
            </w:pPr>
            <w:r w:rsidRPr="00434D32">
              <w:t>房貸壽險及其他定期壽險</w:t>
            </w:r>
          </w:p>
        </w:tc>
        <w:tc>
          <w:tcPr>
            <w:tcW w:w="851" w:type="dxa"/>
            <w:vAlign w:val="center"/>
          </w:tcPr>
          <w:p w:rsidR="00176EC4" w:rsidRPr="00434D32" w:rsidRDefault="00176EC4" w:rsidP="00176EC4">
            <w:pPr>
              <w:pStyle w:val="14-12"/>
              <w:jc w:val="right"/>
            </w:pPr>
            <w:r w:rsidRPr="00434D32">
              <w:t>2.06</w:t>
            </w:r>
          </w:p>
        </w:tc>
        <w:tc>
          <w:tcPr>
            <w:tcW w:w="850" w:type="dxa"/>
            <w:vAlign w:val="center"/>
          </w:tcPr>
          <w:p w:rsidR="00176EC4" w:rsidRPr="00434D32" w:rsidRDefault="00176EC4" w:rsidP="00176EC4">
            <w:pPr>
              <w:pStyle w:val="14-12"/>
              <w:jc w:val="right"/>
            </w:pPr>
            <w:r w:rsidRPr="00434D32">
              <w:t>103.67</w:t>
            </w:r>
          </w:p>
        </w:tc>
        <w:tc>
          <w:tcPr>
            <w:tcW w:w="709" w:type="dxa"/>
            <w:vAlign w:val="center"/>
          </w:tcPr>
          <w:p w:rsidR="00176EC4" w:rsidRPr="00434D32" w:rsidRDefault="00176EC4" w:rsidP="00176EC4">
            <w:pPr>
              <w:pStyle w:val="14-12"/>
              <w:jc w:val="right"/>
            </w:pPr>
            <w:r w:rsidRPr="00434D32">
              <w:t>2.48</w:t>
            </w:r>
          </w:p>
        </w:tc>
        <w:tc>
          <w:tcPr>
            <w:tcW w:w="850" w:type="dxa"/>
            <w:vAlign w:val="center"/>
          </w:tcPr>
          <w:p w:rsidR="00176EC4" w:rsidRPr="00434D32" w:rsidRDefault="00176EC4" w:rsidP="00176EC4">
            <w:pPr>
              <w:pStyle w:val="14-12"/>
              <w:jc w:val="right"/>
            </w:pPr>
            <w:r w:rsidRPr="00434D32">
              <w:t>118.60</w:t>
            </w:r>
          </w:p>
        </w:tc>
        <w:tc>
          <w:tcPr>
            <w:tcW w:w="851" w:type="dxa"/>
            <w:shd w:val="clear" w:color="auto" w:fill="auto"/>
            <w:vAlign w:val="center"/>
          </w:tcPr>
          <w:p w:rsidR="00176EC4" w:rsidRPr="00434D32" w:rsidRDefault="00176EC4" w:rsidP="00176EC4">
            <w:pPr>
              <w:pStyle w:val="14-12"/>
              <w:jc w:val="right"/>
            </w:pPr>
            <w:r w:rsidRPr="00434D32">
              <w:t>2.46</w:t>
            </w:r>
          </w:p>
        </w:tc>
        <w:tc>
          <w:tcPr>
            <w:tcW w:w="709" w:type="dxa"/>
            <w:shd w:val="clear" w:color="auto" w:fill="auto"/>
            <w:vAlign w:val="center"/>
          </w:tcPr>
          <w:p w:rsidR="00176EC4" w:rsidRPr="00434D32" w:rsidRDefault="00176EC4" w:rsidP="00176EC4">
            <w:pPr>
              <w:pStyle w:val="14-12"/>
              <w:jc w:val="right"/>
            </w:pPr>
            <w:r w:rsidRPr="00434D32">
              <w:t>8.40</w:t>
            </w:r>
          </w:p>
        </w:tc>
        <w:tc>
          <w:tcPr>
            <w:tcW w:w="746" w:type="dxa"/>
            <w:vAlign w:val="center"/>
          </w:tcPr>
          <w:p w:rsidR="00176EC4" w:rsidRPr="00434D32" w:rsidRDefault="00176EC4" w:rsidP="00176EC4">
            <w:pPr>
              <w:pStyle w:val="14-12"/>
              <w:jc w:val="right"/>
            </w:pPr>
            <w:r w:rsidRPr="00434D32">
              <w:t>2.67</w:t>
            </w:r>
          </w:p>
        </w:tc>
        <w:tc>
          <w:tcPr>
            <w:tcW w:w="845" w:type="dxa"/>
            <w:vAlign w:val="center"/>
          </w:tcPr>
          <w:p w:rsidR="00176EC4" w:rsidRPr="00434D32" w:rsidRDefault="00176EC4" w:rsidP="00176EC4">
            <w:pPr>
              <w:pStyle w:val="14-12"/>
              <w:jc w:val="right"/>
            </w:pPr>
            <w:r w:rsidRPr="00434D32">
              <w:t>91.98</w:t>
            </w:r>
          </w:p>
        </w:tc>
        <w:tc>
          <w:tcPr>
            <w:tcW w:w="845" w:type="dxa"/>
            <w:vAlign w:val="center"/>
          </w:tcPr>
          <w:p w:rsidR="00176EC4" w:rsidRPr="00434D32" w:rsidRDefault="00176EC4" w:rsidP="00176EC4">
            <w:pPr>
              <w:pStyle w:val="14-12"/>
              <w:jc w:val="right"/>
            </w:pPr>
            <w:r w:rsidRPr="00434D32">
              <w:t>35.44</w:t>
            </w:r>
          </w:p>
        </w:tc>
      </w:tr>
      <w:tr w:rsidR="00176EC4" w:rsidRPr="00434D32" w:rsidTr="001A4764">
        <w:trPr>
          <w:trHeight w:val="47"/>
        </w:trPr>
        <w:tc>
          <w:tcPr>
            <w:tcW w:w="1276" w:type="dxa"/>
            <w:shd w:val="clear" w:color="auto" w:fill="auto"/>
            <w:vAlign w:val="center"/>
          </w:tcPr>
          <w:p w:rsidR="00176EC4" w:rsidRPr="00434D32" w:rsidRDefault="00176EC4" w:rsidP="00176EC4">
            <w:pPr>
              <w:pStyle w:val="14-12"/>
            </w:pPr>
            <w:r w:rsidRPr="00434D32">
              <w:t>終身保險</w:t>
            </w:r>
          </w:p>
        </w:tc>
        <w:tc>
          <w:tcPr>
            <w:tcW w:w="851" w:type="dxa"/>
            <w:vAlign w:val="center"/>
          </w:tcPr>
          <w:p w:rsidR="00176EC4" w:rsidRPr="00434D32" w:rsidRDefault="00176EC4" w:rsidP="00176EC4">
            <w:pPr>
              <w:pStyle w:val="14-12"/>
              <w:jc w:val="right"/>
            </w:pPr>
            <w:r w:rsidRPr="00434D32">
              <w:t>12.75</w:t>
            </w:r>
          </w:p>
        </w:tc>
        <w:tc>
          <w:tcPr>
            <w:tcW w:w="850" w:type="dxa"/>
            <w:vAlign w:val="center"/>
          </w:tcPr>
          <w:p w:rsidR="00176EC4" w:rsidRPr="00434D32" w:rsidRDefault="00176EC4" w:rsidP="00176EC4">
            <w:pPr>
              <w:pStyle w:val="14-12"/>
              <w:jc w:val="right"/>
            </w:pPr>
            <w:r w:rsidRPr="00434D32">
              <w:t>86.50</w:t>
            </w:r>
          </w:p>
        </w:tc>
        <w:tc>
          <w:tcPr>
            <w:tcW w:w="709" w:type="dxa"/>
            <w:vAlign w:val="center"/>
          </w:tcPr>
          <w:p w:rsidR="00176EC4" w:rsidRPr="00434D32" w:rsidRDefault="00176EC4" w:rsidP="00176EC4">
            <w:pPr>
              <w:pStyle w:val="14-12"/>
              <w:jc w:val="right"/>
            </w:pPr>
            <w:r w:rsidRPr="00434D32">
              <w:t>11.71</w:t>
            </w:r>
          </w:p>
        </w:tc>
        <w:tc>
          <w:tcPr>
            <w:tcW w:w="850" w:type="dxa"/>
            <w:vAlign w:val="center"/>
          </w:tcPr>
          <w:p w:rsidR="00176EC4" w:rsidRPr="00434D32" w:rsidRDefault="00176EC4" w:rsidP="00176EC4">
            <w:pPr>
              <w:pStyle w:val="14-12"/>
              <w:jc w:val="right"/>
            </w:pPr>
            <w:r w:rsidRPr="00434D32">
              <w:t>78.10</w:t>
            </w:r>
          </w:p>
        </w:tc>
        <w:tc>
          <w:tcPr>
            <w:tcW w:w="851" w:type="dxa"/>
            <w:shd w:val="clear" w:color="auto" w:fill="auto"/>
          </w:tcPr>
          <w:p w:rsidR="00176EC4" w:rsidRPr="00434D32" w:rsidRDefault="00176EC4" w:rsidP="00176EC4">
            <w:pPr>
              <w:pStyle w:val="14-12"/>
              <w:jc w:val="right"/>
            </w:pPr>
            <w:r w:rsidRPr="00434D32">
              <w:t>9.00</w:t>
            </w:r>
          </w:p>
        </w:tc>
        <w:tc>
          <w:tcPr>
            <w:tcW w:w="709" w:type="dxa"/>
            <w:shd w:val="clear" w:color="auto" w:fill="auto"/>
          </w:tcPr>
          <w:p w:rsidR="00176EC4" w:rsidRPr="00434D32" w:rsidRDefault="00176EC4" w:rsidP="00176EC4">
            <w:pPr>
              <w:pStyle w:val="14-12"/>
              <w:jc w:val="right"/>
            </w:pPr>
            <w:r w:rsidRPr="00434D32">
              <w:t>30.73</w:t>
            </w:r>
          </w:p>
        </w:tc>
        <w:tc>
          <w:tcPr>
            <w:tcW w:w="746" w:type="dxa"/>
          </w:tcPr>
          <w:p w:rsidR="00176EC4" w:rsidRPr="00434D32" w:rsidRDefault="00176EC4" w:rsidP="00176EC4">
            <w:pPr>
              <w:pStyle w:val="14-12"/>
              <w:jc w:val="right"/>
            </w:pPr>
            <w:r w:rsidRPr="00434D32">
              <w:t>15.51</w:t>
            </w:r>
          </w:p>
        </w:tc>
        <w:tc>
          <w:tcPr>
            <w:tcW w:w="845" w:type="dxa"/>
          </w:tcPr>
          <w:p w:rsidR="00176EC4" w:rsidRPr="00434D32" w:rsidRDefault="00176EC4" w:rsidP="00176EC4">
            <w:pPr>
              <w:pStyle w:val="14-12"/>
              <w:jc w:val="right"/>
            </w:pPr>
            <w:r w:rsidRPr="00434D32">
              <w:t>57.99</w:t>
            </w:r>
          </w:p>
        </w:tc>
        <w:tc>
          <w:tcPr>
            <w:tcW w:w="845" w:type="dxa"/>
          </w:tcPr>
          <w:p w:rsidR="00176EC4" w:rsidRPr="00434D32" w:rsidRDefault="00176EC4" w:rsidP="00176EC4">
            <w:pPr>
              <w:pStyle w:val="14-12"/>
              <w:jc w:val="right"/>
            </w:pPr>
            <w:r w:rsidRPr="00434D32">
              <w:t>5.01</w:t>
            </w:r>
          </w:p>
        </w:tc>
      </w:tr>
      <w:tr w:rsidR="00176EC4" w:rsidRPr="00434D32" w:rsidTr="001A4764">
        <w:trPr>
          <w:trHeight w:val="47"/>
        </w:trPr>
        <w:tc>
          <w:tcPr>
            <w:tcW w:w="1276" w:type="dxa"/>
            <w:shd w:val="clear" w:color="auto" w:fill="auto"/>
            <w:vAlign w:val="center"/>
          </w:tcPr>
          <w:p w:rsidR="00176EC4" w:rsidRPr="00434D32" w:rsidRDefault="00176EC4" w:rsidP="00176EC4">
            <w:pPr>
              <w:pStyle w:val="14-12"/>
            </w:pPr>
            <w:r w:rsidRPr="00434D32">
              <w:t>健康險</w:t>
            </w:r>
          </w:p>
        </w:tc>
        <w:tc>
          <w:tcPr>
            <w:tcW w:w="851" w:type="dxa"/>
            <w:vAlign w:val="center"/>
          </w:tcPr>
          <w:p w:rsidR="00176EC4" w:rsidRPr="00434D32" w:rsidRDefault="00176EC4" w:rsidP="00176EC4">
            <w:pPr>
              <w:pStyle w:val="14-12"/>
              <w:jc w:val="right"/>
            </w:pPr>
            <w:r w:rsidRPr="00434D32">
              <w:t>9.61</w:t>
            </w:r>
          </w:p>
        </w:tc>
        <w:tc>
          <w:tcPr>
            <w:tcW w:w="850" w:type="dxa"/>
            <w:vAlign w:val="center"/>
          </w:tcPr>
          <w:p w:rsidR="00176EC4" w:rsidRPr="00434D32" w:rsidRDefault="00176EC4" w:rsidP="00176EC4">
            <w:pPr>
              <w:pStyle w:val="14-12"/>
              <w:jc w:val="right"/>
            </w:pPr>
            <w:r w:rsidRPr="00434D32">
              <w:t>118.85</w:t>
            </w:r>
          </w:p>
        </w:tc>
        <w:tc>
          <w:tcPr>
            <w:tcW w:w="709" w:type="dxa"/>
            <w:vAlign w:val="center"/>
          </w:tcPr>
          <w:p w:rsidR="00176EC4" w:rsidRPr="00434D32" w:rsidRDefault="00176EC4" w:rsidP="00176EC4">
            <w:pPr>
              <w:pStyle w:val="14-12"/>
              <w:jc w:val="right"/>
            </w:pPr>
            <w:r w:rsidRPr="00434D32">
              <w:t>9.54</w:t>
            </w:r>
          </w:p>
        </w:tc>
        <w:tc>
          <w:tcPr>
            <w:tcW w:w="850" w:type="dxa"/>
            <w:vAlign w:val="center"/>
          </w:tcPr>
          <w:p w:rsidR="00176EC4" w:rsidRPr="00434D32" w:rsidRDefault="00176EC4" w:rsidP="00176EC4">
            <w:pPr>
              <w:pStyle w:val="14-12"/>
              <w:jc w:val="right"/>
            </w:pPr>
            <w:r w:rsidRPr="00434D32">
              <w:t>83.76</w:t>
            </w:r>
          </w:p>
        </w:tc>
        <w:tc>
          <w:tcPr>
            <w:tcW w:w="851" w:type="dxa"/>
            <w:shd w:val="clear" w:color="auto" w:fill="auto"/>
          </w:tcPr>
          <w:p w:rsidR="00176EC4" w:rsidRPr="00434D32" w:rsidRDefault="00176EC4" w:rsidP="00176EC4">
            <w:pPr>
              <w:pStyle w:val="14-12"/>
              <w:jc w:val="right"/>
            </w:pPr>
            <w:r w:rsidRPr="00434D32">
              <w:t>14.23</w:t>
            </w:r>
          </w:p>
        </w:tc>
        <w:tc>
          <w:tcPr>
            <w:tcW w:w="709" w:type="dxa"/>
            <w:shd w:val="clear" w:color="auto" w:fill="auto"/>
          </w:tcPr>
          <w:p w:rsidR="00176EC4" w:rsidRPr="00434D32" w:rsidRDefault="00176EC4" w:rsidP="00176EC4">
            <w:pPr>
              <w:pStyle w:val="14-12"/>
              <w:jc w:val="right"/>
            </w:pPr>
            <w:r w:rsidRPr="00434D32">
              <w:t>48.58</w:t>
            </w:r>
          </w:p>
        </w:tc>
        <w:tc>
          <w:tcPr>
            <w:tcW w:w="746" w:type="dxa"/>
          </w:tcPr>
          <w:p w:rsidR="00176EC4" w:rsidRPr="00434D32" w:rsidRDefault="00176EC4" w:rsidP="00176EC4">
            <w:pPr>
              <w:pStyle w:val="14-12"/>
              <w:jc w:val="right"/>
            </w:pPr>
            <w:r w:rsidRPr="00434D32">
              <w:t>10.88</w:t>
            </w:r>
          </w:p>
        </w:tc>
        <w:tc>
          <w:tcPr>
            <w:tcW w:w="845" w:type="dxa"/>
          </w:tcPr>
          <w:p w:rsidR="00176EC4" w:rsidRPr="00434D32" w:rsidRDefault="00176EC4" w:rsidP="00176EC4">
            <w:pPr>
              <w:pStyle w:val="14-12"/>
              <w:jc w:val="right"/>
            </w:pPr>
            <w:r w:rsidRPr="00434D32">
              <w:t>130.73</w:t>
            </w:r>
          </w:p>
        </w:tc>
        <w:tc>
          <w:tcPr>
            <w:tcW w:w="845" w:type="dxa"/>
          </w:tcPr>
          <w:p w:rsidR="00176EC4" w:rsidRPr="00434D32" w:rsidRDefault="00176EC4" w:rsidP="00176EC4">
            <w:pPr>
              <w:pStyle w:val="14-12"/>
              <w:jc w:val="right"/>
            </w:pPr>
            <w:r w:rsidRPr="00434D32">
              <w:t>99.02</w:t>
            </w:r>
          </w:p>
        </w:tc>
      </w:tr>
      <w:tr w:rsidR="00176EC4" w:rsidRPr="00434D32" w:rsidTr="001A4764">
        <w:trPr>
          <w:trHeight w:val="47"/>
        </w:trPr>
        <w:tc>
          <w:tcPr>
            <w:tcW w:w="1276" w:type="dxa"/>
            <w:shd w:val="clear" w:color="auto" w:fill="auto"/>
            <w:vAlign w:val="center"/>
          </w:tcPr>
          <w:p w:rsidR="00176EC4" w:rsidRPr="00434D32" w:rsidRDefault="00176EC4" w:rsidP="00176EC4">
            <w:pPr>
              <w:pStyle w:val="14-12"/>
            </w:pPr>
            <w:r w:rsidRPr="00434D32">
              <w:t>年金險及其他</w:t>
            </w:r>
          </w:p>
        </w:tc>
        <w:tc>
          <w:tcPr>
            <w:tcW w:w="851" w:type="dxa"/>
            <w:vAlign w:val="center"/>
          </w:tcPr>
          <w:p w:rsidR="00176EC4" w:rsidRPr="00434D32" w:rsidRDefault="00176EC4" w:rsidP="00176EC4">
            <w:pPr>
              <w:pStyle w:val="14-12"/>
              <w:jc w:val="right"/>
            </w:pPr>
            <w:r w:rsidRPr="00434D32">
              <w:t>0.22</w:t>
            </w:r>
          </w:p>
        </w:tc>
        <w:tc>
          <w:tcPr>
            <w:tcW w:w="850" w:type="dxa"/>
            <w:vAlign w:val="center"/>
          </w:tcPr>
          <w:p w:rsidR="00176EC4" w:rsidRPr="00434D32" w:rsidRDefault="00176EC4" w:rsidP="00176EC4">
            <w:pPr>
              <w:pStyle w:val="14-12"/>
              <w:jc w:val="right"/>
            </w:pPr>
            <w:r w:rsidRPr="00434D32">
              <w:t>122.90</w:t>
            </w:r>
          </w:p>
        </w:tc>
        <w:tc>
          <w:tcPr>
            <w:tcW w:w="709" w:type="dxa"/>
            <w:vAlign w:val="center"/>
          </w:tcPr>
          <w:p w:rsidR="00176EC4" w:rsidRPr="00434D32" w:rsidRDefault="00176EC4" w:rsidP="00176EC4">
            <w:pPr>
              <w:pStyle w:val="14-12"/>
              <w:jc w:val="right"/>
            </w:pPr>
            <w:r w:rsidRPr="00434D32">
              <w:t>0.20</w:t>
            </w:r>
          </w:p>
        </w:tc>
        <w:tc>
          <w:tcPr>
            <w:tcW w:w="850" w:type="dxa"/>
            <w:vAlign w:val="center"/>
          </w:tcPr>
          <w:p w:rsidR="00176EC4" w:rsidRPr="00434D32" w:rsidRDefault="00176EC4" w:rsidP="00176EC4">
            <w:pPr>
              <w:pStyle w:val="14-12"/>
              <w:jc w:val="right"/>
            </w:pPr>
            <w:r w:rsidRPr="00434D32">
              <w:t>67.66</w:t>
            </w:r>
          </w:p>
        </w:tc>
        <w:tc>
          <w:tcPr>
            <w:tcW w:w="851" w:type="dxa"/>
            <w:shd w:val="clear" w:color="auto" w:fill="auto"/>
            <w:vAlign w:val="center"/>
          </w:tcPr>
          <w:p w:rsidR="00176EC4" w:rsidRPr="00434D32" w:rsidRDefault="00176EC4" w:rsidP="00176EC4">
            <w:pPr>
              <w:pStyle w:val="14-12"/>
              <w:jc w:val="right"/>
            </w:pPr>
            <w:r w:rsidRPr="00434D32">
              <w:t>0.06</w:t>
            </w:r>
          </w:p>
        </w:tc>
        <w:tc>
          <w:tcPr>
            <w:tcW w:w="709" w:type="dxa"/>
            <w:shd w:val="clear" w:color="auto" w:fill="auto"/>
            <w:vAlign w:val="center"/>
          </w:tcPr>
          <w:p w:rsidR="00176EC4" w:rsidRPr="00434D32" w:rsidRDefault="00176EC4" w:rsidP="00176EC4">
            <w:pPr>
              <w:pStyle w:val="14-12"/>
              <w:jc w:val="right"/>
            </w:pPr>
            <w:r w:rsidRPr="00434D32">
              <w:t>0.19</w:t>
            </w:r>
          </w:p>
        </w:tc>
        <w:tc>
          <w:tcPr>
            <w:tcW w:w="746" w:type="dxa"/>
            <w:vAlign w:val="center"/>
          </w:tcPr>
          <w:p w:rsidR="00176EC4" w:rsidRPr="00434D32" w:rsidRDefault="00176EC4" w:rsidP="00176EC4">
            <w:pPr>
              <w:pStyle w:val="14-12"/>
              <w:jc w:val="right"/>
            </w:pPr>
            <w:r w:rsidRPr="00434D32">
              <w:t>0.75</w:t>
            </w:r>
          </w:p>
        </w:tc>
        <w:tc>
          <w:tcPr>
            <w:tcW w:w="845" w:type="dxa"/>
            <w:vAlign w:val="center"/>
          </w:tcPr>
          <w:p w:rsidR="00176EC4" w:rsidRPr="00434D32" w:rsidRDefault="00176EC4" w:rsidP="00176EC4">
            <w:pPr>
              <w:pStyle w:val="14-12"/>
              <w:jc w:val="right"/>
            </w:pPr>
            <w:r w:rsidRPr="00434D32">
              <w:t>7.42</w:t>
            </w:r>
          </w:p>
        </w:tc>
        <w:tc>
          <w:tcPr>
            <w:tcW w:w="845" w:type="dxa"/>
            <w:vAlign w:val="center"/>
          </w:tcPr>
          <w:p w:rsidR="00176EC4" w:rsidRPr="00434D32" w:rsidRDefault="00176EC4" w:rsidP="00176EC4">
            <w:pPr>
              <w:pStyle w:val="14-12"/>
              <w:jc w:val="right"/>
            </w:pPr>
            <w:r w:rsidRPr="00434D32">
              <w:t>-76.23</w:t>
            </w:r>
          </w:p>
        </w:tc>
      </w:tr>
      <w:tr w:rsidR="00176EC4" w:rsidRPr="00EF779B" w:rsidTr="001A4764">
        <w:trPr>
          <w:trHeight w:val="47"/>
        </w:trPr>
        <w:tc>
          <w:tcPr>
            <w:tcW w:w="1276" w:type="dxa"/>
            <w:shd w:val="clear" w:color="auto" w:fill="auto"/>
            <w:vAlign w:val="center"/>
          </w:tcPr>
          <w:p w:rsidR="00176EC4" w:rsidRPr="00EF779B" w:rsidRDefault="00176EC4" w:rsidP="00EF779B">
            <w:pPr>
              <w:pStyle w:val="14-12"/>
            </w:pPr>
            <w:r w:rsidRPr="00EF779B">
              <w:t>利變壽險</w:t>
            </w:r>
          </w:p>
        </w:tc>
        <w:tc>
          <w:tcPr>
            <w:tcW w:w="851" w:type="dxa"/>
            <w:vAlign w:val="center"/>
          </w:tcPr>
          <w:p w:rsidR="00176EC4" w:rsidRPr="00EF779B" w:rsidRDefault="00EF779B" w:rsidP="00EF779B">
            <w:pPr>
              <w:pStyle w:val="14-12"/>
              <w:jc w:val="right"/>
            </w:pPr>
            <w:r>
              <w:rPr>
                <w:rFonts w:hint="eastAsia"/>
              </w:rPr>
              <w:t>-</w:t>
            </w:r>
          </w:p>
        </w:tc>
        <w:tc>
          <w:tcPr>
            <w:tcW w:w="850" w:type="dxa"/>
            <w:vAlign w:val="center"/>
          </w:tcPr>
          <w:p w:rsidR="00176EC4" w:rsidRPr="00EF779B" w:rsidRDefault="00EF779B" w:rsidP="00EF779B">
            <w:pPr>
              <w:pStyle w:val="14-12"/>
              <w:jc w:val="right"/>
            </w:pPr>
            <w:r>
              <w:rPr>
                <w:rFonts w:hint="eastAsia"/>
              </w:rPr>
              <w:t>-</w:t>
            </w:r>
          </w:p>
        </w:tc>
        <w:tc>
          <w:tcPr>
            <w:tcW w:w="709" w:type="dxa"/>
            <w:vAlign w:val="center"/>
          </w:tcPr>
          <w:p w:rsidR="00176EC4" w:rsidRPr="00EF779B" w:rsidRDefault="00EF779B" w:rsidP="00EF779B">
            <w:pPr>
              <w:pStyle w:val="14-12"/>
              <w:jc w:val="right"/>
            </w:pPr>
            <w:r>
              <w:rPr>
                <w:rFonts w:hint="eastAsia"/>
              </w:rPr>
              <w:t>-</w:t>
            </w:r>
          </w:p>
        </w:tc>
        <w:tc>
          <w:tcPr>
            <w:tcW w:w="850" w:type="dxa"/>
            <w:vAlign w:val="center"/>
          </w:tcPr>
          <w:p w:rsidR="00176EC4" w:rsidRPr="00EF779B" w:rsidRDefault="00EF779B" w:rsidP="00EF779B">
            <w:pPr>
              <w:pStyle w:val="14-12"/>
              <w:jc w:val="right"/>
            </w:pPr>
            <w:r>
              <w:rPr>
                <w:rFonts w:hint="eastAsia"/>
              </w:rPr>
              <w:t>-</w:t>
            </w:r>
          </w:p>
        </w:tc>
        <w:tc>
          <w:tcPr>
            <w:tcW w:w="851" w:type="dxa"/>
            <w:shd w:val="clear" w:color="auto" w:fill="auto"/>
          </w:tcPr>
          <w:p w:rsidR="00176EC4" w:rsidRPr="00EF779B" w:rsidRDefault="00176EC4" w:rsidP="00EF779B">
            <w:pPr>
              <w:pStyle w:val="14-12"/>
              <w:jc w:val="right"/>
            </w:pPr>
            <w:r w:rsidRPr="00EF779B">
              <w:t>3.54</w:t>
            </w:r>
          </w:p>
        </w:tc>
        <w:tc>
          <w:tcPr>
            <w:tcW w:w="709" w:type="dxa"/>
            <w:shd w:val="clear" w:color="auto" w:fill="auto"/>
          </w:tcPr>
          <w:p w:rsidR="00176EC4" w:rsidRPr="00EF779B" w:rsidRDefault="00176EC4" w:rsidP="00EF779B">
            <w:pPr>
              <w:pStyle w:val="14-12"/>
              <w:jc w:val="right"/>
            </w:pPr>
            <w:r w:rsidRPr="00EF779B">
              <w:t>12.10</w:t>
            </w:r>
          </w:p>
        </w:tc>
        <w:tc>
          <w:tcPr>
            <w:tcW w:w="746" w:type="dxa"/>
          </w:tcPr>
          <w:p w:rsidR="00176EC4" w:rsidRPr="00EF779B" w:rsidRDefault="00176EC4" w:rsidP="00EF779B">
            <w:pPr>
              <w:pStyle w:val="14-12"/>
              <w:jc w:val="right"/>
            </w:pPr>
            <w:r w:rsidRPr="00EF779B">
              <w:t>7.52</w:t>
            </w:r>
          </w:p>
        </w:tc>
        <w:tc>
          <w:tcPr>
            <w:tcW w:w="845" w:type="dxa"/>
          </w:tcPr>
          <w:p w:rsidR="00176EC4" w:rsidRPr="00EF779B" w:rsidRDefault="00176EC4" w:rsidP="00EF779B">
            <w:pPr>
              <w:pStyle w:val="14-12"/>
              <w:jc w:val="right"/>
            </w:pPr>
            <w:r w:rsidRPr="00EF779B">
              <w:t>47.12</w:t>
            </w:r>
          </w:p>
        </w:tc>
        <w:tc>
          <w:tcPr>
            <w:tcW w:w="845" w:type="dxa"/>
          </w:tcPr>
          <w:p w:rsidR="00176EC4" w:rsidRPr="00EF779B" w:rsidRDefault="00176EC4" w:rsidP="00EF779B">
            <w:pPr>
              <w:pStyle w:val="14-12"/>
              <w:jc w:val="right"/>
            </w:pPr>
            <w:r w:rsidRPr="00EF779B">
              <w:t>913.09</w:t>
            </w:r>
          </w:p>
        </w:tc>
      </w:tr>
      <w:tr w:rsidR="00176EC4" w:rsidRPr="00434D32" w:rsidTr="001A4764">
        <w:trPr>
          <w:trHeight w:val="47"/>
        </w:trPr>
        <w:tc>
          <w:tcPr>
            <w:tcW w:w="1276" w:type="dxa"/>
            <w:shd w:val="clear" w:color="auto" w:fill="auto"/>
            <w:vAlign w:val="center"/>
          </w:tcPr>
          <w:p w:rsidR="00176EC4" w:rsidRPr="00434D32" w:rsidRDefault="00176EC4" w:rsidP="00176EC4">
            <w:pPr>
              <w:pStyle w:val="14-12"/>
            </w:pPr>
            <w:r w:rsidRPr="00434D32">
              <w:t>合計</w:t>
            </w:r>
          </w:p>
        </w:tc>
        <w:tc>
          <w:tcPr>
            <w:tcW w:w="851" w:type="dxa"/>
            <w:vAlign w:val="center"/>
          </w:tcPr>
          <w:p w:rsidR="00176EC4" w:rsidRPr="00434D32" w:rsidRDefault="00176EC4" w:rsidP="00176EC4">
            <w:pPr>
              <w:pStyle w:val="14-12"/>
              <w:jc w:val="right"/>
            </w:pPr>
            <w:r w:rsidRPr="00434D32">
              <w:t>25.80</w:t>
            </w:r>
          </w:p>
        </w:tc>
        <w:tc>
          <w:tcPr>
            <w:tcW w:w="850" w:type="dxa"/>
            <w:vAlign w:val="center"/>
          </w:tcPr>
          <w:p w:rsidR="00176EC4" w:rsidRPr="00434D32" w:rsidRDefault="00176EC4" w:rsidP="00176EC4">
            <w:pPr>
              <w:pStyle w:val="14-12"/>
              <w:jc w:val="right"/>
            </w:pPr>
            <w:r w:rsidRPr="00434D32">
              <w:t>90.71</w:t>
            </w:r>
          </w:p>
        </w:tc>
        <w:tc>
          <w:tcPr>
            <w:tcW w:w="709" w:type="dxa"/>
            <w:vAlign w:val="center"/>
          </w:tcPr>
          <w:p w:rsidR="00176EC4" w:rsidRPr="00434D32" w:rsidRDefault="00176EC4" w:rsidP="00176EC4">
            <w:pPr>
              <w:pStyle w:val="14-12"/>
              <w:jc w:val="right"/>
            </w:pPr>
            <w:r w:rsidRPr="00434D32">
              <w:t>24.63</w:t>
            </w:r>
          </w:p>
        </w:tc>
        <w:tc>
          <w:tcPr>
            <w:tcW w:w="850" w:type="dxa"/>
            <w:vAlign w:val="center"/>
          </w:tcPr>
          <w:p w:rsidR="00176EC4" w:rsidRPr="00434D32" w:rsidRDefault="00176EC4" w:rsidP="00176EC4">
            <w:pPr>
              <w:pStyle w:val="14-12"/>
              <w:jc w:val="right"/>
            </w:pPr>
            <w:r w:rsidRPr="00434D32">
              <w:t>81.30</w:t>
            </w:r>
          </w:p>
        </w:tc>
        <w:tc>
          <w:tcPr>
            <w:tcW w:w="851" w:type="dxa"/>
            <w:shd w:val="clear" w:color="auto" w:fill="auto"/>
          </w:tcPr>
          <w:p w:rsidR="00176EC4" w:rsidRPr="00434D32" w:rsidRDefault="00176EC4" w:rsidP="00176EC4">
            <w:pPr>
              <w:pStyle w:val="14-12"/>
              <w:jc w:val="right"/>
            </w:pPr>
            <w:r w:rsidRPr="00434D32">
              <w:t>29.28</w:t>
            </w:r>
          </w:p>
        </w:tc>
        <w:tc>
          <w:tcPr>
            <w:tcW w:w="709" w:type="dxa"/>
            <w:shd w:val="clear" w:color="auto" w:fill="auto"/>
          </w:tcPr>
          <w:p w:rsidR="00176EC4" w:rsidRPr="00434D32" w:rsidRDefault="00176EC4" w:rsidP="00176EC4">
            <w:pPr>
              <w:pStyle w:val="14-12"/>
              <w:jc w:val="right"/>
            </w:pPr>
            <w:r w:rsidRPr="00434D32">
              <w:t>100</w:t>
            </w:r>
          </w:p>
        </w:tc>
        <w:tc>
          <w:tcPr>
            <w:tcW w:w="746" w:type="dxa"/>
          </w:tcPr>
          <w:p w:rsidR="00176EC4" w:rsidRPr="00434D32" w:rsidRDefault="00176EC4" w:rsidP="00176EC4">
            <w:pPr>
              <w:pStyle w:val="14-12"/>
              <w:jc w:val="right"/>
            </w:pPr>
            <w:r w:rsidRPr="00434D32">
              <w:t>37.34</w:t>
            </w:r>
          </w:p>
        </w:tc>
        <w:tc>
          <w:tcPr>
            <w:tcW w:w="845" w:type="dxa"/>
          </w:tcPr>
          <w:p w:rsidR="00176EC4" w:rsidRPr="00434D32" w:rsidRDefault="00176EC4" w:rsidP="00176EC4">
            <w:pPr>
              <w:pStyle w:val="14-12"/>
              <w:jc w:val="right"/>
            </w:pPr>
            <w:r w:rsidRPr="00434D32">
              <w:t>78.42</w:t>
            </w:r>
          </w:p>
        </w:tc>
        <w:tc>
          <w:tcPr>
            <w:tcW w:w="845" w:type="dxa"/>
          </w:tcPr>
          <w:p w:rsidR="00176EC4" w:rsidRPr="00434D32" w:rsidRDefault="00176EC4" w:rsidP="00176EC4">
            <w:pPr>
              <w:pStyle w:val="14-12"/>
              <w:jc w:val="right"/>
            </w:pPr>
            <w:r w:rsidRPr="00434D32">
              <w:t>61.63</w:t>
            </w:r>
          </w:p>
        </w:tc>
      </w:tr>
    </w:tbl>
    <w:p w:rsidR="003A6CDD" w:rsidRDefault="003A6CDD" w:rsidP="00434D32">
      <w:pPr>
        <w:pStyle w:val="14-2"/>
      </w:pPr>
      <w:r w:rsidRPr="00434D32">
        <w:t>說　　明：表列比率係以「元」為計算標準，致有尾差。</w:t>
      </w:r>
    </w:p>
    <w:p w:rsidR="00925185" w:rsidRDefault="00434D32" w:rsidP="00925185">
      <w:pPr>
        <w:pStyle w:val="142"/>
      </w:pPr>
      <w:r w:rsidRPr="00215A80">
        <w:rPr>
          <w:rFonts w:hint="eastAsia"/>
        </w:rPr>
        <w:t>資料來源：臺銀人壽提供。</w:t>
      </w:r>
    </w:p>
    <w:p w:rsidR="00FA2182" w:rsidRPr="00F60D57" w:rsidRDefault="00873FD5" w:rsidP="00925185">
      <w:pPr>
        <w:pStyle w:val="142"/>
        <w:rPr>
          <w:color w:val="FF0000"/>
          <w:sz w:val="28"/>
          <w:szCs w:val="32"/>
        </w:rPr>
      </w:pPr>
      <w:r>
        <w:rPr>
          <w:rFonts w:hint="eastAsia"/>
          <w:bCs/>
          <w:color w:val="FF0000"/>
        </w:rPr>
        <w:t xml:space="preserve">                                                                                         </w:t>
      </w:r>
      <w:bookmarkStart w:id="7" w:name="_Hlk148600332"/>
      <w:r w:rsidR="00FA2182" w:rsidRPr="00F60D57">
        <w:rPr>
          <w:rFonts w:hint="eastAsia"/>
          <w:b/>
          <w:bCs/>
          <w:sz w:val="28"/>
          <w:szCs w:val="32"/>
        </w:rPr>
        <w:t>表2  臺銀人壽1</w:t>
      </w:r>
      <w:r w:rsidR="00FA2182" w:rsidRPr="00F60D57">
        <w:rPr>
          <w:b/>
          <w:bCs/>
          <w:sz w:val="28"/>
          <w:szCs w:val="32"/>
        </w:rPr>
        <w:t>11</w:t>
      </w:r>
      <w:r w:rsidR="0052073F" w:rsidRPr="00F60D57">
        <w:rPr>
          <w:rFonts w:hint="eastAsia"/>
          <w:b/>
          <w:bCs/>
          <w:sz w:val="28"/>
          <w:szCs w:val="32"/>
        </w:rPr>
        <w:t>年度</w:t>
      </w:r>
      <w:r w:rsidR="00B17A1C" w:rsidRPr="00F60D57">
        <w:rPr>
          <w:rFonts w:hint="eastAsia"/>
          <w:b/>
          <w:bCs/>
          <w:sz w:val="28"/>
          <w:szCs w:val="32"/>
        </w:rPr>
        <w:t>至</w:t>
      </w:r>
      <w:r w:rsidR="00FA2182" w:rsidRPr="00F60D57">
        <w:rPr>
          <w:b/>
          <w:bCs/>
          <w:sz w:val="28"/>
          <w:szCs w:val="32"/>
        </w:rPr>
        <w:t>11</w:t>
      </w:r>
      <w:r w:rsidR="00EF779B" w:rsidRPr="00F60D57">
        <w:rPr>
          <w:rFonts w:hint="eastAsia"/>
          <w:b/>
          <w:bCs/>
          <w:sz w:val="28"/>
          <w:szCs w:val="32"/>
        </w:rPr>
        <w:t>3</w:t>
      </w:r>
      <w:r w:rsidR="00FA2182" w:rsidRPr="00F60D57">
        <w:rPr>
          <w:rFonts w:hAnsi="標楷體"/>
          <w:b/>
          <w:bCs/>
          <w:sz w:val="28"/>
          <w:szCs w:val="32"/>
        </w:rPr>
        <w:t>年</w:t>
      </w:r>
      <w:r w:rsidR="00FA2182" w:rsidRPr="00F60D57">
        <w:rPr>
          <w:rFonts w:hAnsi="標楷體" w:hint="eastAsia"/>
          <w:b/>
          <w:bCs/>
          <w:sz w:val="28"/>
          <w:szCs w:val="32"/>
        </w:rPr>
        <w:t>度</w:t>
      </w:r>
      <w:r w:rsidR="00FA2182" w:rsidRPr="00F60D57">
        <w:rPr>
          <w:rFonts w:hAnsi="標楷體"/>
          <w:b/>
          <w:bCs/>
          <w:sz w:val="28"/>
          <w:szCs w:val="32"/>
        </w:rPr>
        <w:t>截至</w:t>
      </w:r>
      <w:r w:rsidR="00FA2182" w:rsidRPr="00F60D57">
        <w:rPr>
          <w:b/>
          <w:bCs/>
          <w:sz w:val="28"/>
          <w:szCs w:val="32"/>
        </w:rPr>
        <w:t>9</w:t>
      </w:r>
      <w:r w:rsidR="00FA2182" w:rsidRPr="00F60D57">
        <w:rPr>
          <w:rFonts w:hAnsi="標楷體"/>
          <w:b/>
          <w:bCs/>
          <w:sz w:val="28"/>
          <w:szCs w:val="32"/>
        </w:rPr>
        <w:t>月</w:t>
      </w:r>
      <w:r w:rsidR="00FA2182" w:rsidRPr="00F60D57">
        <w:rPr>
          <w:rFonts w:hAnsi="標楷體" w:hint="eastAsia"/>
          <w:b/>
          <w:bCs/>
          <w:sz w:val="28"/>
          <w:szCs w:val="32"/>
        </w:rPr>
        <w:t>底止</w:t>
      </w:r>
      <w:r w:rsidR="00FA2182" w:rsidRPr="00F60D57">
        <w:rPr>
          <w:rFonts w:hAnsi="標楷體"/>
          <w:b/>
          <w:bCs/>
          <w:sz w:val="28"/>
          <w:szCs w:val="32"/>
        </w:rPr>
        <w:t>各通路</w:t>
      </w:r>
      <w:r w:rsidR="00FA2182" w:rsidRPr="00F60D57">
        <w:rPr>
          <w:b/>
          <w:bCs/>
          <w:sz w:val="28"/>
          <w:szCs w:val="32"/>
        </w:rPr>
        <w:t>CSM</w:t>
      </w:r>
      <w:r w:rsidR="00FA2182" w:rsidRPr="00F60D57">
        <w:rPr>
          <w:rFonts w:hAnsi="標楷體"/>
          <w:b/>
          <w:bCs/>
          <w:sz w:val="28"/>
          <w:szCs w:val="32"/>
        </w:rPr>
        <w:t>明細表</w:t>
      </w:r>
    </w:p>
    <w:bookmarkEnd w:id="7"/>
    <w:p w:rsidR="002047F5" w:rsidRPr="00EF779B" w:rsidRDefault="00FA2182" w:rsidP="00EF779B">
      <w:pPr>
        <w:pStyle w:val="142"/>
        <w:jc w:val="right"/>
      </w:pPr>
      <w:r w:rsidRPr="00EF779B">
        <w:rPr>
          <w:rFonts w:hint="eastAsia"/>
        </w:rPr>
        <w:t>單位：新臺幣億元；%</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41"/>
        <w:gridCol w:w="827"/>
        <w:gridCol w:w="767"/>
        <w:gridCol w:w="766"/>
        <w:gridCol w:w="836"/>
        <w:gridCol w:w="802"/>
        <w:gridCol w:w="838"/>
        <w:gridCol w:w="785"/>
        <w:gridCol w:w="790"/>
        <w:gridCol w:w="880"/>
      </w:tblGrid>
      <w:tr w:rsidR="00EF779B" w:rsidRPr="00092F2F" w:rsidTr="00405615">
        <w:trPr>
          <w:trHeight w:val="330"/>
          <w:tblHeader/>
        </w:trPr>
        <w:tc>
          <w:tcPr>
            <w:tcW w:w="1241" w:type="dxa"/>
            <w:vMerge w:val="restart"/>
            <w:tcBorders>
              <w:top w:val="single" w:sz="12" w:space="0" w:color="auto"/>
              <w:left w:val="single" w:sz="12" w:space="0" w:color="auto"/>
              <w:bottom w:val="single" w:sz="4" w:space="0" w:color="auto"/>
              <w:right w:val="single" w:sz="4" w:space="0" w:color="auto"/>
            </w:tcBorders>
            <w:vAlign w:val="center"/>
          </w:tcPr>
          <w:p w:rsidR="00EF779B" w:rsidRPr="00092F2F" w:rsidRDefault="00EF779B" w:rsidP="00935978">
            <w:pPr>
              <w:pStyle w:val="14-2"/>
              <w:jc w:val="center"/>
            </w:pPr>
            <w:r w:rsidRPr="00092F2F">
              <w:t>通路別</w:t>
            </w:r>
          </w:p>
        </w:tc>
        <w:tc>
          <w:tcPr>
            <w:tcW w:w="1594" w:type="dxa"/>
            <w:gridSpan w:val="2"/>
            <w:tcBorders>
              <w:top w:val="single" w:sz="12" w:space="0" w:color="auto"/>
              <w:left w:val="single" w:sz="4" w:space="0" w:color="auto"/>
              <w:bottom w:val="single" w:sz="4" w:space="0" w:color="auto"/>
              <w:right w:val="single" w:sz="4" w:space="0" w:color="auto"/>
            </w:tcBorders>
          </w:tcPr>
          <w:p w:rsidR="00EF779B" w:rsidRPr="00092F2F" w:rsidRDefault="00EF779B" w:rsidP="00EF779B">
            <w:pPr>
              <w:pStyle w:val="14-2"/>
              <w:jc w:val="center"/>
            </w:pPr>
            <w:r w:rsidRPr="00092F2F">
              <w:t>11</w:t>
            </w:r>
            <w:r>
              <w:t>1</w:t>
            </w:r>
            <w:r w:rsidRPr="00092F2F">
              <w:t>年度</w:t>
            </w:r>
          </w:p>
        </w:tc>
        <w:tc>
          <w:tcPr>
            <w:tcW w:w="1602" w:type="dxa"/>
            <w:gridSpan w:val="2"/>
            <w:tcBorders>
              <w:top w:val="single" w:sz="12" w:space="0" w:color="auto"/>
              <w:left w:val="single" w:sz="4" w:space="0" w:color="auto"/>
              <w:bottom w:val="single" w:sz="4" w:space="0" w:color="auto"/>
              <w:right w:val="single" w:sz="4" w:space="0" w:color="auto"/>
            </w:tcBorders>
          </w:tcPr>
          <w:p w:rsidR="00EF779B" w:rsidRPr="00092F2F" w:rsidRDefault="00EF779B" w:rsidP="00EF779B">
            <w:pPr>
              <w:pStyle w:val="14-2"/>
              <w:jc w:val="center"/>
            </w:pPr>
            <w:r w:rsidRPr="00092F2F">
              <w:t>112年度</w:t>
            </w:r>
          </w:p>
        </w:tc>
        <w:tc>
          <w:tcPr>
            <w:tcW w:w="4095" w:type="dxa"/>
            <w:gridSpan w:val="5"/>
            <w:tcBorders>
              <w:top w:val="single" w:sz="12" w:space="0" w:color="auto"/>
              <w:left w:val="single" w:sz="4" w:space="0" w:color="auto"/>
              <w:bottom w:val="single" w:sz="4" w:space="0" w:color="auto"/>
              <w:right w:val="single" w:sz="12" w:space="0" w:color="auto"/>
            </w:tcBorders>
            <w:vAlign w:val="center"/>
          </w:tcPr>
          <w:p w:rsidR="00EF779B" w:rsidRPr="00092F2F" w:rsidRDefault="00EF779B" w:rsidP="002047F5">
            <w:pPr>
              <w:pStyle w:val="14-2"/>
            </w:pPr>
            <w:r w:rsidRPr="00092F2F">
              <w:t>113年度截至</w:t>
            </w:r>
            <w:r>
              <w:rPr>
                <w:rFonts w:hint="eastAsia"/>
              </w:rPr>
              <w:t>9</w:t>
            </w:r>
            <w:r w:rsidRPr="00092F2F">
              <w:t>月底止</w:t>
            </w:r>
          </w:p>
        </w:tc>
      </w:tr>
      <w:tr w:rsidR="002047F5" w:rsidRPr="00092F2F" w:rsidTr="00935978">
        <w:trPr>
          <w:trHeight w:val="330"/>
          <w:tblHeader/>
        </w:trPr>
        <w:tc>
          <w:tcPr>
            <w:tcW w:w="0" w:type="auto"/>
            <w:vMerge/>
            <w:tcBorders>
              <w:top w:val="single" w:sz="12" w:space="0" w:color="auto"/>
              <w:left w:val="single" w:sz="12" w:space="0" w:color="auto"/>
              <w:bottom w:val="single" w:sz="4" w:space="0" w:color="auto"/>
              <w:right w:val="single" w:sz="4" w:space="0" w:color="auto"/>
            </w:tcBorders>
            <w:vAlign w:val="center"/>
          </w:tcPr>
          <w:p w:rsidR="002047F5" w:rsidRPr="00092F2F" w:rsidRDefault="002047F5" w:rsidP="002047F5">
            <w:pPr>
              <w:pStyle w:val="14-2"/>
            </w:pPr>
          </w:p>
        </w:tc>
        <w:tc>
          <w:tcPr>
            <w:tcW w:w="827" w:type="dxa"/>
            <w:tcBorders>
              <w:top w:val="single" w:sz="4" w:space="0" w:color="auto"/>
              <w:left w:val="single" w:sz="4" w:space="0" w:color="auto"/>
              <w:bottom w:val="single" w:sz="4" w:space="0" w:color="auto"/>
              <w:right w:val="single" w:sz="4" w:space="0" w:color="auto"/>
            </w:tcBorders>
            <w:vAlign w:val="center"/>
          </w:tcPr>
          <w:p w:rsidR="002047F5" w:rsidRPr="00092F2F" w:rsidRDefault="002047F5" w:rsidP="002047F5">
            <w:pPr>
              <w:pStyle w:val="14-2"/>
            </w:pPr>
            <w:r w:rsidRPr="00092F2F">
              <w:t>實際值</w:t>
            </w:r>
          </w:p>
        </w:tc>
        <w:tc>
          <w:tcPr>
            <w:tcW w:w="767" w:type="dxa"/>
            <w:tcBorders>
              <w:top w:val="single" w:sz="4" w:space="0" w:color="auto"/>
              <w:left w:val="single" w:sz="4" w:space="0" w:color="auto"/>
              <w:bottom w:val="single" w:sz="4" w:space="0" w:color="auto"/>
              <w:right w:val="single" w:sz="4" w:space="0" w:color="auto"/>
            </w:tcBorders>
            <w:vAlign w:val="center"/>
          </w:tcPr>
          <w:p w:rsidR="002047F5" w:rsidRPr="00935978" w:rsidRDefault="002047F5" w:rsidP="002047F5">
            <w:pPr>
              <w:pStyle w:val="14-2"/>
              <w:ind w:left="71" w:hanging="57"/>
              <w:rPr>
                <w:spacing w:val="-20"/>
              </w:rPr>
            </w:pPr>
            <w:r w:rsidRPr="00935978">
              <w:rPr>
                <w:spacing w:val="-20"/>
              </w:rPr>
              <w:t>達成率</w:t>
            </w:r>
          </w:p>
        </w:tc>
        <w:tc>
          <w:tcPr>
            <w:tcW w:w="766" w:type="dxa"/>
            <w:tcBorders>
              <w:top w:val="single" w:sz="4" w:space="0" w:color="auto"/>
              <w:left w:val="single" w:sz="4" w:space="0" w:color="auto"/>
              <w:bottom w:val="single" w:sz="4" w:space="0" w:color="auto"/>
              <w:right w:val="single" w:sz="4" w:space="0" w:color="auto"/>
            </w:tcBorders>
            <w:vAlign w:val="center"/>
          </w:tcPr>
          <w:p w:rsidR="002047F5" w:rsidRPr="00092F2F" w:rsidRDefault="002047F5" w:rsidP="00935978">
            <w:pPr>
              <w:pStyle w:val="14-2"/>
              <w:ind w:left="71" w:hanging="57"/>
            </w:pPr>
            <w:r w:rsidRPr="00935978">
              <w:rPr>
                <w:spacing w:val="-20"/>
              </w:rPr>
              <w:t>實際值</w:t>
            </w:r>
          </w:p>
        </w:tc>
        <w:tc>
          <w:tcPr>
            <w:tcW w:w="836" w:type="dxa"/>
            <w:tcBorders>
              <w:top w:val="single" w:sz="4" w:space="0" w:color="auto"/>
              <w:left w:val="single" w:sz="4" w:space="0" w:color="auto"/>
              <w:bottom w:val="single" w:sz="4" w:space="0" w:color="auto"/>
              <w:right w:val="single" w:sz="4" w:space="0" w:color="auto"/>
            </w:tcBorders>
            <w:vAlign w:val="center"/>
          </w:tcPr>
          <w:p w:rsidR="002047F5" w:rsidRPr="00092F2F" w:rsidRDefault="002047F5" w:rsidP="00935978">
            <w:pPr>
              <w:pStyle w:val="14-2"/>
            </w:pPr>
            <w:r w:rsidRPr="00092F2F">
              <w:t>達成率</w:t>
            </w:r>
          </w:p>
        </w:tc>
        <w:tc>
          <w:tcPr>
            <w:tcW w:w="802" w:type="dxa"/>
            <w:tcBorders>
              <w:top w:val="single" w:sz="4" w:space="0" w:color="auto"/>
              <w:left w:val="single" w:sz="4" w:space="0" w:color="auto"/>
              <w:bottom w:val="single" w:sz="4" w:space="0" w:color="auto"/>
              <w:right w:val="single" w:sz="4" w:space="0" w:color="auto"/>
            </w:tcBorders>
            <w:vAlign w:val="center"/>
          </w:tcPr>
          <w:p w:rsidR="002047F5" w:rsidRPr="00092F2F" w:rsidRDefault="002047F5" w:rsidP="00935978">
            <w:pPr>
              <w:pStyle w:val="14-2"/>
            </w:pPr>
            <w:r w:rsidRPr="00092F2F">
              <w:t>實際值</w:t>
            </w:r>
          </w:p>
        </w:tc>
        <w:tc>
          <w:tcPr>
            <w:tcW w:w="838" w:type="dxa"/>
            <w:tcBorders>
              <w:top w:val="single" w:sz="4" w:space="0" w:color="auto"/>
              <w:left w:val="single" w:sz="4" w:space="0" w:color="auto"/>
              <w:bottom w:val="single" w:sz="4" w:space="0" w:color="auto"/>
              <w:right w:val="single" w:sz="4" w:space="0" w:color="auto"/>
            </w:tcBorders>
            <w:vAlign w:val="center"/>
          </w:tcPr>
          <w:p w:rsidR="002047F5" w:rsidRPr="00092F2F" w:rsidRDefault="002047F5" w:rsidP="002047F5">
            <w:pPr>
              <w:pStyle w:val="14-2"/>
            </w:pPr>
            <w:r w:rsidRPr="00092F2F">
              <w:t>占率</w:t>
            </w:r>
          </w:p>
        </w:tc>
        <w:tc>
          <w:tcPr>
            <w:tcW w:w="785" w:type="dxa"/>
            <w:tcBorders>
              <w:top w:val="single" w:sz="4" w:space="0" w:color="auto"/>
              <w:left w:val="single" w:sz="4" w:space="0" w:color="auto"/>
              <w:bottom w:val="single" w:sz="4" w:space="0" w:color="auto"/>
              <w:right w:val="single" w:sz="4" w:space="0" w:color="auto"/>
            </w:tcBorders>
            <w:vAlign w:val="center"/>
          </w:tcPr>
          <w:p w:rsidR="002047F5" w:rsidRPr="00935978" w:rsidRDefault="002047F5" w:rsidP="002047F5">
            <w:pPr>
              <w:pStyle w:val="14-2"/>
              <w:ind w:left="71" w:hanging="57"/>
              <w:rPr>
                <w:spacing w:val="-20"/>
              </w:rPr>
            </w:pPr>
            <w:r w:rsidRPr="00935978">
              <w:rPr>
                <w:spacing w:val="-20"/>
              </w:rPr>
              <w:t>目標值</w:t>
            </w:r>
          </w:p>
        </w:tc>
        <w:tc>
          <w:tcPr>
            <w:tcW w:w="790" w:type="dxa"/>
            <w:tcBorders>
              <w:top w:val="single" w:sz="4" w:space="0" w:color="auto"/>
              <w:left w:val="single" w:sz="4" w:space="0" w:color="auto"/>
              <w:bottom w:val="single" w:sz="4" w:space="0" w:color="auto"/>
              <w:right w:val="single" w:sz="4" w:space="0" w:color="auto"/>
            </w:tcBorders>
            <w:vAlign w:val="center"/>
          </w:tcPr>
          <w:p w:rsidR="002047F5" w:rsidRPr="00092F2F" w:rsidRDefault="002047F5" w:rsidP="002047F5">
            <w:pPr>
              <w:pStyle w:val="14-2"/>
              <w:ind w:left="71" w:hanging="57"/>
              <w:rPr>
                <w:spacing w:val="-20"/>
              </w:rPr>
            </w:pPr>
            <w:r w:rsidRPr="00092F2F">
              <w:rPr>
                <w:spacing w:val="-20"/>
              </w:rPr>
              <w:t>年度目標達成率</w:t>
            </w:r>
          </w:p>
        </w:tc>
        <w:tc>
          <w:tcPr>
            <w:tcW w:w="880" w:type="dxa"/>
            <w:tcBorders>
              <w:top w:val="single" w:sz="4" w:space="0" w:color="auto"/>
              <w:left w:val="single" w:sz="4" w:space="0" w:color="auto"/>
              <w:bottom w:val="single" w:sz="4" w:space="0" w:color="auto"/>
              <w:right w:val="single" w:sz="12" w:space="0" w:color="auto"/>
            </w:tcBorders>
          </w:tcPr>
          <w:p w:rsidR="002047F5" w:rsidRPr="00092F2F" w:rsidRDefault="002047F5" w:rsidP="002047F5">
            <w:pPr>
              <w:pStyle w:val="14-2"/>
              <w:ind w:left="71" w:hanging="57"/>
              <w:rPr>
                <w:spacing w:val="-20"/>
              </w:rPr>
            </w:pPr>
            <w:r w:rsidRPr="00092F2F">
              <w:rPr>
                <w:spacing w:val="-20"/>
              </w:rPr>
              <w:t>112年</w:t>
            </w:r>
            <w:r w:rsidR="00176EC4">
              <w:rPr>
                <w:rFonts w:hint="eastAsia"/>
                <w:spacing w:val="-20"/>
              </w:rPr>
              <w:t>9</w:t>
            </w:r>
            <w:r w:rsidRPr="00092F2F">
              <w:rPr>
                <w:spacing w:val="-20"/>
              </w:rPr>
              <w:t>月同期成長率</w:t>
            </w:r>
          </w:p>
        </w:tc>
      </w:tr>
      <w:tr w:rsidR="00176EC4" w:rsidRPr="00092F2F" w:rsidTr="00935978">
        <w:trPr>
          <w:trHeight w:val="47"/>
        </w:trPr>
        <w:tc>
          <w:tcPr>
            <w:tcW w:w="1241" w:type="dxa"/>
            <w:tcBorders>
              <w:top w:val="single" w:sz="4" w:space="0" w:color="auto"/>
              <w:left w:val="single" w:sz="12" w:space="0" w:color="auto"/>
              <w:bottom w:val="single" w:sz="4" w:space="0" w:color="auto"/>
              <w:right w:val="single" w:sz="4" w:space="0" w:color="auto"/>
            </w:tcBorders>
          </w:tcPr>
          <w:p w:rsidR="00176EC4" w:rsidRPr="00092F2F" w:rsidRDefault="00176EC4" w:rsidP="00176EC4">
            <w:pPr>
              <w:pStyle w:val="14-2"/>
            </w:pPr>
            <w:r w:rsidRPr="00092F2F">
              <w:t>臺灣銀行</w:t>
            </w:r>
          </w:p>
        </w:tc>
        <w:tc>
          <w:tcPr>
            <w:tcW w:w="82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2.46</w:t>
            </w:r>
          </w:p>
        </w:tc>
        <w:tc>
          <w:tcPr>
            <w:tcW w:w="76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w:t>
            </w:r>
          </w:p>
        </w:tc>
        <w:tc>
          <w:tcPr>
            <w:tcW w:w="76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3.08</w:t>
            </w:r>
          </w:p>
        </w:tc>
        <w:tc>
          <w:tcPr>
            <w:tcW w:w="83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123.59</w:t>
            </w:r>
          </w:p>
        </w:tc>
        <w:tc>
          <w:tcPr>
            <w:tcW w:w="802"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4.94</w:t>
            </w:r>
          </w:p>
        </w:tc>
        <w:tc>
          <w:tcPr>
            <w:tcW w:w="838"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16.86</w:t>
            </w:r>
          </w:p>
        </w:tc>
        <w:tc>
          <w:tcPr>
            <w:tcW w:w="785"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5.91</w:t>
            </w:r>
          </w:p>
        </w:tc>
        <w:tc>
          <w:tcPr>
            <w:tcW w:w="790"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83.51</w:t>
            </w:r>
          </w:p>
        </w:tc>
        <w:tc>
          <w:tcPr>
            <w:tcW w:w="880" w:type="dxa"/>
            <w:tcBorders>
              <w:top w:val="single" w:sz="4" w:space="0" w:color="auto"/>
              <w:left w:val="single" w:sz="4" w:space="0" w:color="auto"/>
              <w:bottom w:val="single" w:sz="4" w:space="0" w:color="auto"/>
              <w:right w:val="single" w:sz="12" w:space="0" w:color="auto"/>
            </w:tcBorders>
          </w:tcPr>
          <w:p w:rsidR="00176EC4" w:rsidRPr="002047F5" w:rsidRDefault="00176EC4" w:rsidP="00EF779B">
            <w:pPr>
              <w:pStyle w:val="14-2"/>
              <w:jc w:val="right"/>
            </w:pPr>
            <w:r w:rsidRPr="00EF500D">
              <w:t>152.19</w:t>
            </w:r>
          </w:p>
        </w:tc>
      </w:tr>
      <w:tr w:rsidR="00176EC4" w:rsidRPr="00092F2F" w:rsidTr="00935978">
        <w:trPr>
          <w:trHeight w:val="47"/>
        </w:trPr>
        <w:tc>
          <w:tcPr>
            <w:tcW w:w="1241" w:type="dxa"/>
            <w:tcBorders>
              <w:top w:val="single" w:sz="4" w:space="0" w:color="auto"/>
              <w:left w:val="single" w:sz="12" w:space="0" w:color="auto"/>
              <w:bottom w:val="single" w:sz="4" w:space="0" w:color="auto"/>
              <w:right w:val="single" w:sz="4" w:space="0" w:color="auto"/>
            </w:tcBorders>
          </w:tcPr>
          <w:p w:rsidR="00176EC4" w:rsidRPr="00092F2F" w:rsidRDefault="00176EC4" w:rsidP="00176EC4">
            <w:pPr>
              <w:pStyle w:val="14-2"/>
            </w:pPr>
            <w:r w:rsidRPr="00092F2F">
              <w:t>其他銀行</w:t>
            </w:r>
          </w:p>
        </w:tc>
        <w:tc>
          <w:tcPr>
            <w:tcW w:w="82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0.84</w:t>
            </w:r>
          </w:p>
        </w:tc>
        <w:tc>
          <w:tcPr>
            <w:tcW w:w="76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w:t>
            </w:r>
          </w:p>
        </w:tc>
        <w:tc>
          <w:tcPr>
            <w:tcW w:w="76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1.20</w:t>
            </w:r>
          </w:p>
        </w:tc>
        <w:tc>
          <w:tcPr>
            <w:tcW w:w="83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101.52</w:t>
            </w:r>
          </w:p>
        </w:tc>
        <w:tc>
          <w:tcPr>
            <w:tcW w:w="802"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2.11</w:t>
            </w:r>
          </w:p>
        </w:tc>
        <w:tc>
          <w:tcPr>
            <w:tcW w:w="838"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7.19</w:t>
            </w:r>
          </w:p>
        </w:tc>
        <w:tc>
          <w:tcPr>
            <w:tcW w:w="785"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2.44</w:t>
            </w:r>
          </w:p>
        </w:tc>
        <w:tc>
          <w:tcPr>
            <w:tcW w:w="790"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86.39</w:t>
            </w:r>
          </w:p>
        </w:tc>
        <w:tc>
          <w:tcPr>
            <w:tcW w:w="880" w:type="dxa"/>
            <w:tcBorders>
              <w:top w:val="single" w:sz="4" w:space="0" w:color="auto"/>
              <w:left w:val="single" w:sz="4" w:space="0" w:color="auto"/>
              <w:bottom w:val="single" w:sz="4" w:space="0" w:color="auto"/>
              <w:right w:val="single" w:sz="12" w:space="0" w:color="auto"/>
            </w:tcBorders>
          </w:tcPr>
          <w:p w:rsidR="00176EC4" w:rsidRPr="002047F5" w:rsidRDefault="00176EC4" w:rsidP="00EF779B">
            <w:pPr>
              <w:pStyle w:val="14-2"/>
              <w:jc w:val="right"/>
            </w:pPr>
            <w:r w:rsidRPr="00EF500D">
              <w:t>150.71</w:t>
            </w:r>
          </w:p>
        </w:tc>
      </w:tr>
      <w:tr w:rsidR="00176EC4" w:rsidRPr="00092F2F" w:rsidTr="00935978">
        <w:trPr>
          <w:trHeight w:val="47"/>
        </w:trPr>
        <w:tc>
          <w:tcPr>
            <w:tcW w:w="1241" w:type="dxa"/>
            <w:tcBorders>
              <w:top w:val="single" w:sz="4" w:space="0" w:color="auto"/>
              <w:left w:val="single" w:sz="12" w:space="0" w:color="auto"/>
              <w:bottom w:val="single" w:sz="4" w:space="0" w:color="auto"/>
              <w:right w:val="single" w:sz="4" w:space="0" w:color="auto"/>
            </w:tcBorders>
          </w:tcPr>
          <w:p w:rsidR="00176EC4" w:rsidRPr="00092F2F" w:rsidRDefault="00176EC4" w:rsidP="00176EC4">
            <w:pPr>
              <w:pStyle w:val="14-2"/>
            </w:pPr>
            <w:r w:rsidRPr="00092F2F">
              <w:t>專屬保代</w:t>
            </w:r>
          </w:p>
        </w:tc>
        <w:tc>
          <w:tcPr>
            <w:tcW w:w="82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21.10</w:t>
            </w:r>
          </w:p>
        </w:tc>
        <w:tc>
          <w:tcPr>
            <w:tcW w:w="76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w:t>
            </w:r>
          </w:p>
        </w:tc>
        <w:tc>
          <w:tcPr>
            <w:tcW w:w="76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18.65</w:t>
            </w:r>
          </w:p>
        </w:tc>
        <w:tc>
          <w:tcPr>
            <w:tcW w:w="83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75.73</w:t>
            </w:r>
          </w:p>
        </w:tc>
        <w:tc>
          <w:tcPr>
            <w:tcW w:w="802"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13.14</w:t>
            </w:r>
          </w:p>
        </w:tc>
        <w:tc>
          <w:tcPr>
            <w:tcW w:w="838"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44.89</w:t>
            </w:r>
          </w:p>
        </w:tc>
        <w:tc>
          <w:tcPr>
            <w:tcW w:w="785"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24.36</w:t>
            </w:r>
          </w:p>
        </w:tc>
        <w:tc>
          <w:tcPr>
            <w:tcW w:w="790"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53.95</w:t>
            </w:r>
          </w:p>
        </w:tc>
        <w:tc>
          <w:tcPr>
            <w:tcW w:w="880" w:type="dxa"/>
            <w:tcBorders>
              <w:top w:val="single" w:sz="4" w:space="0" w:color="auto"/>
              <w:left w:val="single" w:sz="4" w:space="0" w:color="auto"/>
              <w:bottom w:val="single" w:sz="4" w:space="0" w:color="auto"/>
              <w:right w:val="single" w:sz="12" w:space="0" w:color="auto"/>
            </w:tcBorders>
          </w:tcPr>
          <w:p w:rsidR="00176EC4" w:rsidRPr="002047F5" w:rsidRDefault="00176EC4" w:rsidP="00EF779B">
            <w:pPr>
              <w:pStyle w:val="14-2"/>
              <w:jc w:val="right"/>
            </w:pPr>
            <w:r w:rsidRPr="00EF500D">
              <w:t>-7.74</w:t>
            </w:r>
          </w:p>
        </w:tc>
      </w:tr>
      <w:tr w:rsidR="00176EC4" w:rsidRPr="00092F2F" w:rsidTr="00EF779B">
        <w:trPr>
          <w:trHeight w:val="47"/>
        </w:trPr>
        <w:tc>
          <w:tcPr>
            <w:tcW w:w="1241" w:type="dxa"/>
            <w:tcBorders>
              <w:top w:val="single" w:sz="4" w:space="0" w:color="auto"/>
              <w:left w:val="single" w:sz="12" w:space="0" w:color="auto"/>
              <w:bottom w:val="single" w:sz="4" w:space="0" w:color="auto"/>
              <w:right w:val="single" w:sz="4" w:space="0" w:color="auto"/>
            </w:tcBorders>
          </w:tcPr>
          <w:p w:rsidR="00176EC4" w:rsidRPr="00092F2F" w:rsidRDefault="00176EC4" w:rsidP="00176EC4">
            <w:pPr>
              <w:pStyle w:val="14-2"/>
            </w:pPr>
            <w:r w:rsidRPr="00092F2F">
              <w:t>普通經代</w:t>
            </w:r>
          </w:p>
        </w:tc>
        <w:tc>
          <w:tcPr>
            <w:tcW w:w="82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0.68</w:t>
            </w:r>
          </w:p>
        </w:tc>
        <w:tc>
          <w:tcPr>
            <w:tcW w:w="76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w:t>
            </w:r>
          </w:p>
        </w:tc>
        <w:tc>
          <w:tcPr>
            <w:tcW w:w="76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1.28</w:t>
            </w:r>
          </w:p>
        </w:tc>
        <w:tc>
          <w:tcPr>
            <w:tcW w:w="83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121.80</w:t>
            </w:r>
          </w:p>
        </w:tc>
        <w:tc>
          <w:tcPr>
            <w:tcW w:w="802"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EF500D">
              <w:t>8.19</w:t>
            </w:r>
          </w:p>
        </w:tc>
        <w:tc>
          <w:tcPr>
            <w:tcW w:w="838"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EF500D">
              <w:t>27.97</w:t>
            </w:r>
          </w:p>
        </w:tc>
        <w:tc>
          <w:tcPr>
            <w:tcW w:w="785"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EF500D">
              <w:t>2.65</w:t>
            </w:r>
          </w:p>
        </w:tc>
        <w:tc>
          <w:tcPr>
            <w:tcW w:w="790" w:type="dxa"/>
            <w:tcBorders>
              <w:top w:val="single" w:sz="4" w:space="0" w:color="auto"/>
              <w:left w:val="single" w:sz="4" w:space="0" w:color="auto"/>
              <w:bottom w:val="single" w:sz="4" w:space="0" w:color="auto"/>
              <w:right w:val="single" w:sz="4" w:space="0" w:color="auto"/>
            </w:tcBorders>
            <w:vAlign w:val="center"/>
          </w:tcPr>
          <w:p w:rsidR="00176EC4" w:rsidRPr="00EF779B" w:rsidRDefault="00176EC4" w:rsidP="00EF779B">
            <w:pPr>
              <w:pStyle w:val="14-2"/>
              <w:ind w:left="71" w:hanging="57"/>
              <w:jc w:val="right"/>
              <w:rPr>
                <w:spacing w:val="-20"/>
              </w:rPr>
            </w:pPr>
            <w:r w:rsidRPr="00EF779B">
              <w:rPr>
                <w:spacing w:val="-20"/>
              </w:rPr>
              <w:t>309.14</w:t>
            </w:r>
          </w:p>
        </w:tc>
        <w:tc>
          <w:tcPr>
            <w:tcW w:w="880" w:type="dxa"/>
            <w:tcBorders>
              <w:top w:val="single" w:sz="4" w:space="0" w:color="auto"/>
              <w:left w:val="single" w:sz="4" w:space="0" w:color="auto"/>
              <w:bottom w:val="single" w:sz="4" w:space="0" w:color="auto"/>
              <w:right w:val="single" w:sz="12" w:space="0" w:color="auto"/>
            </w:tcBorders>
            <w:vAlign w:val="center"/>
          </w:tcPr>
          <w:p w:rsidR="00176EC4" w:rsidRPr="002047F5" w:rsidRDefault="00176EC4" w:rsidP="00EF779B">
            <w:pPr>
              <w:pStyle w:val="14-2"/>
              <w:jc w:val="right"/>
            </w:pPr>
            <w:r w:rsidRPr="00EF500D">
              <w:t>942.67</w:t>
            </w:r>
          </w:p>
        </w:tc>
      </w:tr>
      <w:tr w:rsidR="00176EC4" w:rsidRPr="00092F2F" w:rsidTr="00935978">
        <w:trPr>
          <w:trHeight w:val="47"/>
        </w:trPr>
        <w:tc>
          <w:tcPr>
            <w:tcW w:w="1241" w:type="dxa"/>
            <w:tcBorders>
              <w:top w:val="single" w:sz="4" w:space="0" w:color="auto"/>
              <w:left w:val="single" w:sz="12" w:space="0" w:color="auto"/>
              <w:bottom w:val="single" w:sz="4" w:space="0" w:color="auto"/>
              <w:right w:val="single" w:sz="4" w:space="0" w:color="auto"/>
            </w:tcBorders>
          </w:tcPr>
          <w:p w:rsidR="00176EC4" w:rsidRPr="00935978" w:rsidRDefault="00176EC4" w:rsidP="00176EC4">
            <w:pPr>
              <w:pStyle w:val="14-2"/>
              <w:ind w:left="71" w:hanging="57"/>
              <w:rPr>
                <w:spacing w:val="-20"/>
              </w:rPr>
            </w:pPr>
            <w:r w:rsidRPr="00935978">
              <w:rPr>
                <w:spacing w:val="-20"/>
              </w:rPr>
              <w:t>自展通訊處</w:t>
            </w:r>
          </w:p>
        </w:tc>
        <w:tc>
          <w:tcPr>
            <w:tcW w:w="82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0.73</w:t>
            </w:r>
          </w:p>
        </w:tc>
        <w:tc>
          <w:tcPr>
            <w:tcW w:w="767"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rPr>
                <w:rFonts w:hint="eastAsia"/>
              </w:rPr>
              <w:t>-</w:t>
            </w:r>
          </w:p>
        </w:tc>
        <w:tc>
          <w:tcPr>
            <w:tcW w:w="76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0.43</w:t>
            </w:r>
          </w:p>
        </w:tc>
        <w:tc>
          <w:tcPr>
            <w:tcW w:w="836" w:type="dxa"/>
            <w:tcBorders>
              <w:top w:val="single" w:sz="4" w:space="0" w:color="auto"/>
              <w:left w:val="single" w:sz="4" w:space="0" w:color="auto"/>
              <w:bottom w:val="single" w:sz="4" w:space="0" w:color="auto"/>
              <w:right w:val="single" w:sz="4" w:space="0" w:color="auto"/>
            </w:tcBorders>
            <w:vAlign w:val="center"/>
          </w:tcPr>
          <w:p w:rsidR="00176EC4" w:rsidRPr="002047F5" w:rsidRDefault="00176EC4" w:rsidP="00EF779B">
            <w:pPr>
              <w:pStyle w:val="14-2"/>
              <w:jc w:val="right"/>
            </w:pPr>
            <w:r w:rsidRPr="002047F5">
              <w:t>45.20</w:t>
            </w:r>
          </w:p>
        </w:tc>
        <w:tc>
          <w:tcPr>
            <w:tcW w:w="802"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0.90</w:t>
            </w:r>
          </w:p>
        </w:tc>
        <w:tc>
          <w:tcPr>
            <w:tcW w:w="838"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3.08</w:t>
            </w:r>
          </w:p>
        </w:tc>
        <w:tc>
          <w:tcPr>
            <w:tcW w:w="785"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1.97</w:t>
            </w:r>
          </w:p>
        </w:tc>
        <w:tc>
          <w:tcPr>
            <w:tcW w:w="790" w:type="dxa"/>
            <w:tcBorders>
              <w:top w:val="single" w:sz="4" w:space="0" w:color="auto"/>
              <w:left w:val="single" w:sz="4" w:space="0" w:color="auto"/>
              <w:bottom w:val="single" w:sz="4" w:space="0" w:color="auto"/>
              <w:right w:val="single" w:sz="4" w:space="0" w:color="auto"/>
            </w:tcBorders>
          </w:tcPr>
          <w:p w:rsidR="00176EC4" w:rsidRPr="002047F5" w:rsidRDefault="00176EC4" w:rsidP="00EF779B">
            <w:pPr>
              <w:pStyle w:val="14-2"/>
              <w:jc w:val="right"/>
            </w:pPr>
            <w:r w:rsidRPr="00EF500D">
              <w:t>45.76</w:t>
            </w:r>
          </w:p>
        </w:tc>
        <w:tc>
          <w:tcPr>
            <w:tcW w:w="880" w:type="dxa"/>
            <w:tcBorders>
              <w:top w:val="single" w:sz="4" w:space="0" w:color="auto"/>
              <w:left w:val="single" w:sz="4" w:space="0" w:color="auto"/>
              <w:bottom w:val="single" w:sz="4" w:space="0" w:color="auto"/>
              <w:right w:val="single" w:sz="12" w:space="0" w:color="auto"/>
            </w:tcBorders>
          </w:tcPr>
          <w:p w:rsidR="00176EC4" w:rsidRPr="002047F5" w:rsidRDefault="00176EC4" w:rsidP="00EF779B">
            <w:pPr>
              <w:pStyle w:val="14-2"/>
              <w:jc w:val="right"/>
            </w:pPr>
            <w:r w:rsidRPr="00EF500D">
              <w:t>216.59</w:t>
            </w:r>
          </w:p>
        </w:tc>
      </w:tr>
      <w:tr w:rsidR="00176EC4" w:rsidRPr="00092F2F" w:rsidTr="00935978">
        <w:trPr>
          <w:trHeight w:val="47"/>
        </w:trPr>
        <w:tc>
          <w:tcPr>
            <w:tcW w:w="1241" w:type="dxa"/>
            <w:tcBorders>
              <w:top w:val="single" w:sz="4" w:space="0" w:color="auto"/>
              <w:left w:val="single" w:sz="12" w:space="0" w:color="auto"/>
              <w:bottom w:val="single" w:sz="12" w:space="0" w:color="auto"/>
              <w:right w:val="single" w:sz="4" w:space="0" w:color="auto"/>
            </w:tcBorders>
          </w:tcPr>
          <w:p w:rsidR="00176EC4" w:rsidRPr="00092F2F" w:rsidRDefault="00176EC4" w:rsidP="00176EC4">
            <w:pPr>
              <w:pStyle w:val="14-2"/>
            </w:pPr>
            <w:r w:rsidRPr="00092F2F">
              <w:t>合計</w:t>
            </w:r>
          </w:p>
        </w:tc>
        <w:tc>
          <w:tcPr>
            <w:tcW w:w="827" w:type="dxa"/>
            <w:tcBorders>
              <w:top w:val="single" w:sz="4" w:space="0" w:color="auto"/>
              <w:left w:val="single" w:sz="4" w:space="0" w:color="auto"/>
              <w:bottom w:val="single" w:sz="12" w:space="0" w:color="auto"/>
              <w:right w:val="single" w:sz="4" w:space="0" w:color="auto"/>
            </w:tcBorders>
            <w:vAlign w:val="center"/>
          </w:tcPr>
          <w:p w:rsidR="00176EC4" w:rsidRPr="002047F5" w:rsidRDefault="00176EC4" w:rsidP="00EF779B">
            <w:pPr>
              <w:pStyle w:val="14-2"/>
              <w:jc w:val="right"/>
            </w:pPr>
            <w:r w:rsidRPr="002047F5">
              <w:rPr>
                <w:rFonts w:hint="eastAsia"/>
              </w:rPr>
              <w:t>25.80</w:t>
            </w:r>
          </w:p>
        </w:tc>
        <w:tc>
          <w:tcPr>
            <w:tcW w:w="767" w:type="dxa"/>
            <w:tcBorders>
              <w:top w:val="single" w:sz="4" w:space="0" w:color="auto"/>
              <w:left w:val="single" w:sz="4" w:space="0" w:color="auto"/>
              <w:bottom w:val="single" w:sz="12" w:space="0" w:color="auto"/>
              <w:right w:val="single" w:sz="4" w:space="0" w:color="auto"/>
            </w:tcBorders>
            <w:vAlign w:val="center"/>
          </w:tcPr>
          <w:p w:rsidR="00176EC4" w:rsidRPr="002047F5" w:rsidRDefault="00176EC4" w:rsidP="00EF779B">
            <w:pPr>
              <w:pStyle w:val="14-2"/>
              <w:jc w:val="right"/>
            </w:pPr>
            <w:r w:rsidRPr="002047F5">
              <w:rPr>
                <w:rFonts w:hint="eastAsia"/>
              </w:rPr>
              <w:t>90.71</w:t>
            </w:r>
          </w:p>
        </w:tc>
        <w:tc>
          <w:tcPr>
            <w:tcW w:w="766" w:type="dxa"/>
            <w:tcBorders>
              <w:top w:val="single" w:sz="4" w:space="0" w:color="auto"/>
              <w:left w:val="single" w:sz="4" w:space="0" w:color="auto"/>
              <w:bottom w:val="single" w:sz="12" w:space="0" w:color="auto"/>
              <w:right w:val="single" w:sz="4" w:space="0" w:color="auto"/>
            </w:tcBorders>
            <w:vAlign w:val="center"/>
          </w:tcPr>
          <w:p w:rsidR="00176EC4" w:rsidRPr="002047F5" w:rsidRDefault="00176EC4" w:rsidP="00EF779B">
            <w:pPr>
              <w:pStyle w:val="14-2"/>
              <w:jc w:val="right"/>
            </w:pPr>
            <w:r w:rsidRPr="002047F5">
              <w:t>24.63</w:t>
            </w:r>
          </w:p>
        </w:tc>
        <w:tc>
          <w:tcPr>
            <w:tcW w:w="836" w:type="dxa"/>
            <w:tcBorders>
              <w:top w:val="single" w:sz="4" w:space="0" w:color="auto"/>
              <w:left w:val="single" w:sz="4" w:space="0" w:color="auto"/>
              <w:bottom w:val="single" w:sz="12" w:space="0" w:color="auto"/>
              <w:right w:val="single" w:sz="4" w:space="0" w:color="auto"/>
            </w:tcBorders>
            <w:vAlign w:val="center"/>
          </w:tcPr>
          <w:p w:rsidR="00176EC4" w:rsidRPr="002047F5" w:rsidRDefault="00176EC4" w:rsidP="00EF779B">
            <w:pPr>
              <w:pStyle w:val="14-2"/>
              <w:jc w:val="right"/>
            </w:pPr>
            <w:r w:rsidRPr="002047F5">
              <w:t>81.30</w:t>
            </w:r>
          </w:p>
        </w:tc>
        <w:tc>
          <w:tcPr>
            <w:tcW w:w="802" w:type="dxa"/>
            <w:tcBorders>
              <w:top w:val="single" w:sz="4" w:space="0" w:color="auto"/>
              <w:left w:val="single" w:sz="4" w:space="0" w:color="auto"/>
              <w:bottom w:val="single" w:sz="12" w:space="0" w:color="auto"/>
              <w:right w:val="single" w:sz="4" w:space="0" w:color="auto"/>
            </w:tcBorders>
          </w:tcPr>
          <w:p w:rsidR="00176EC4" w:rsidRPr="002047F5" w:rsidRDefault="00176EC4" w:rsidP="00EF779B">
            <w:pPr>
              <w:pStyle w:val="14-2"/>
              <w:jc w:val="right"/>
            </w:pPr>
            <w:r w:rsidRPr="00EF500D">
              <w:t>29.28</w:t>
            </w:r>
          </w:p>
        </w:tc>
        <w:tc>
          <w:tcPr>
            <w:tcW w:w="838" w:type="dxa"/>
            <w:tcBorders>
              <w:top w:val="single" w:sz="4" w:space="0" w:color="auto"/>
              <w:left w:val="single" w:sz="4" w:space="0" w:color="auto"/>
              <w:bottom w:val="single" w:sz="12" w:space="0" w:color="auto"/>
              <w:right w:val="single" w:sz="4" w:space="0" w:color="auto"/>
            </w:tcBorders>
          </w:tcPr>
          <w:p w:rsidR="00176EC4" w:rsidRPr="002047F5" w:rsidRDefault="00176EC4" w:rsidP="00EF779B">
            <w:pPr>
              <w:pStyle w:val="14-2"/>
              <w:jc w:val="right"/>
            </w:pPr>
            <w:r w:rsidRPr="00EF500D">
              <w:t>100</w:t>
            </w:r>
          </w:p>
        </w:tc>
        <w:tc>
          <w:tcPr>
            <w:tcW w:w="785" w:type="dxa"/>
            <w:tcBorders>
              <w:top w:val="single" w:sz="4" w:space="0" w:color="auto"/>
              <w:left w:val="single" w:sz="4" w:space="0" w:color="auto"/>
              <w:bottom w:val="single" w:sz="12" w:space="0" w:color="auto"/>
              <w:right w:val="single" w:sz="4" w:space="0" w:color="auto"/>
            </w:tcBorders>
          </w:tcPr>
          <w:p w:rsidR="00176EC4" w:rsidRPr="002047F5" w:rsidRDefault="00176EC4" w:rsidP="00EF779B">
            <w:pPr>
              <w:pStyle w:val="14-2"/>
              <w:jc w:val="right"/>
            </w:pPr>
            <w:r w:rsidRPr="00EF500D">
              <w:t>37.34</w:t>
            </w:r>
          </w:p>
        </w:tc>
        <w:tc>
          <w:tcPr>
            <w:tcW w:w="790" w:type="dxa"/>
            <w:tcBorders>
              <w:top w:val="single" w:sz="4" w:space="0" w:color="auto"/>
              <w:left w:val="single" w:sz="4" w:space="0" w:color="auto"/>
              <w:bottom w:val="single" w:sz="12" w:space="0" w:color="auto"/>
              <w:right w:val="single" w:sz="4" w:space="0" w:color="auto"/>
            </w:tcBorders>
          </w:tcPr>
          <w:p w:rsidR="00176EC4" w:rsidRPr="002047F5" w:rsidRDefault="00176EC4" w:rsidP="00EF779B">
            <w:pPr>
              <w:pStyle w:val="14-2"/>
              <w:jc w:val="right"/>
            </w:pPr>
            <w:r w:rsidRPr="00EF500D">
              <w:t>78.42</w:t>
            </w:r>
          </w:p>
        </w:tc>
        <w:tc>
          <w:tcPr>
            <w:tcW w:w="880" w:type="dxa"/>
            <w:tcBorders>
              <w:top w:val="single" w:sz="4" w:space="0" w:color="auto"/>
              <w:left w:val="single" w:sz="4" w:space="0" w:color="auto"/>
              <w:bottom w:val="single" w:sz="12" w:space="0" w:color="auto"/>
              <w:right w:val="single" w:sz="12" w:space="0" w:color="auto"/>
            </w:tcBorders>
          </w:tcPr>
          <w:p w:rsidR="00176EC4" w:rsidRPr="002047F5" w:rsidRDefault="00176EC4" w:rsidP="00EF779B">
            <w:pPr>
              <w:pStyle w:val="14-2"/>
              <w:jc w:val="right"/>
            </w:pPr>
            <w:r w:rsidRPr="00EF500D">
              <w:t>61.63</w:t>
            </w:r>
          </w:p>
        </w:tc>
      </w:tr>
    </w:tbl>
    <w:p w:rsidR="00FA2182" w:rsidRPr="00EF779B" w:rsidRDefault="00FA2182" w:rsidP="00A43F37">
      <w:pPr>
        <w:pStyle w:val="14-2"/>
      </w:pPr>
      <w:r w:rsidRPr="00EF779B">
        <w:rPr>
          <w:rFonts w:hint="eastAsia"/>
        </w:rPr>
        <w:lastRenderedPageBreak/>
        <w:t>說　　明：1.</w:t>
      </w:r>
      <w:r w:rsidRPr="00EF779B">
        <w:t>111</w:t>
      </w:r>
      <w:r w:rsidRPr="00EF779B">
        <w:rPr>
          <w:rFonts w:hint="eastAsia"/>
        </w:rPr>
        <w:t>年度未訂定各通路銷售目標數。</w:t>
      </w:r>
    </w:p>
    <w:p w:rsidR="00FA2182" w:rsidRPr="00EF779B" w:rsidRDefault="00FA2182" w:rsidP="00A43F37">
      <w:pPr>
        <w:pStyle w:val="14-2"/>
        <w:ind w:leftChars="401" w:left="1418" w:hangingChars="116" w:hanging="282"/>
        <w:rPr>
          <w:rFonts w:hint="eastAsia"/>
        </w:rPr>
      </w:pPr>
      <w:r w:rsidRPr="00EF779B">
        <w:rPr>
          <w:rFonts w:hint="eastAsia"/>
        </w:rPr>
        <w:lastRenderedPageBreak/>
        <w:t>2.「專屬保代」指專屬保險代理人公司，與臺銀人壽簽訂專屬保險代理人合約。「普通經代」普通保險代理人公司及保險經紀人公司，與臺銀人壽簽訂普通保險代理人合約及保險經紀人合約。</w:t>
      </w:r>
    </w:p>
    <w:p w:rsidR="00FA2182" w:rsidRPr="00EF779B" w:rsidRDefault="00FA2182" w:rsidP="00A43F37">
      <w:pPr>
        <w:pStyle w:val="14-2"/>
        <w:ind w:leftChars="401" w:left="1418" w:hangingChars="116" w:hanging="282"/>
        <w:rPr>
          <w:rFonts w:ascii="Times New Roman" w:hint="eastAsia"/>
        </w:rPr>
      </w:pPr>
      <w:r w:rsidRPr="00EF779B">
        <w:rPr>
          <w:rFonts w:hint="eastAsia"/>
        </w:rPr>
        <w:t>3.表列比率係以「元」為計算標準，致有尾差。</w:t>
      </w:r>
    </w:p>
    <w:p w:rsidR="007D225E" w:rsidRDefault="00FA2182" w:rsidP="00BB6F3A">
      <w:pPr>
        <w:pStyle w:val="14-2"/>
        <w:rPr>
          <w:color w:val="FF0000"/>
        </w:rPr>
      </w:pPr>
      <w:r w:rsidRPr="00EF779B">
        <w:rPr>
          <w:rFonts w:hint="eastAsia"/>
        </w:rPr>
        <w:t>資料來源：臺銀人壽提供。</w:t>
      </w:r>
      <w:bookmarkStart w:id="8" w:name="_Toc24372876"/>
      <w:bookmarkEnd w:id="2"/>
    </w:p>
    <w:bookmarkEnd w:id="8"/>
    <w:sectPr w:rsidR="007D225E" w:rsidSect="006B1D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567"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88C" w:rsidRDefault="009B588C" w:rsidP="00B50BB8">
      <w:pPr>
        <w:spacing w:line="240" w:lineRule="auto"/>
        <w:ind w:left="560" w:firstLine="560"/>
      </w:pPr>
      <w:r>
        <w:separator/>
      </w:r>
    </w:p>
  </w:endnote>
  <w:endnote w:type="continuationSeparator" w:id="0">
    <w:p w:rsidR="009B588C" w:rsidRDefault="009B588C" w:rsidP="00B50BB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6B1D36">
    <w:pPr>
      <w:pStyle w:val="af1"/>
      <w:ind w:leftChars="3" w:left="558" w:hangingChars="275" w:hanging="550"/>
      <w:jc w:val="center"/>
    </w:pPr>
    <w:r>
      <w:fldChar w:fldCharType="begin"/>
    </w:r>
    <w:r>
      <w:instrText>PAGE   \* MERGEFORMAT</w:instrText>
    </w:r>
    <w:r>
      <w:fldChar w:fldCharType="separate"/>
    </w:r>
    <w:r w:rsidR="00715D56" w:rsidRPr="00715D56">
      <w:rPr>
        <w:noProof/>
        <w:lang w:val="zh-TW"/>
      </w:rPr>
      <w:t>2</w:t>
    </w:r>
    <w:r>
      <w:fldChar w:fldCharType="end"/>
    </w:r>
  </w:p>
  <w:p w:rsidR="002332A8" w:rsidRDefault="002332A8" w:rsidP="000421DE">
    <w:pPr>
      <w:pStyle w:val="af1"/>
      <w:ind w:leftChars="0" w:left="0" w:firstLineChars="0" w:firstLine="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88C" w:rsidRDefault="009B588C" w:rsidP="002332A8">
      <w:pPr>
        <w:spacing w:line="240" w:lineRule="auto"/>
        <w:ind w:left="560" w:firstLine="560"/>
      </w:pPr>
      <w:r>
        <w:separator/>
      </w:r>
    </w:p>
  </w:footnote>
  <w:footnote w:type="continuationSeparator" w:id="0">
    <w:p w:rsidR="009B588C" w:rsidRDefault="009B588C" w:rsidP="00B50BB8">
      <w:pPr>
        <w:spacing w:line="240" w:lineRule="auto"/>
        <w:ind w:left="560" w:firstLine="560"/>
      </w:pPr>
      <w:r>
        <w:continuationSeparator/>
      </w:r>
    </w:p>
  </w:footnote>
  <w:footnote w:id="1">
    <w:p w:rsidR="00FA2182" w:rsidRPr="004D56D5" w:rsidRDefault="00FA2182" w:rsidP="003B5FF2">
      <w:pPr>
        <w:pStyle w:val="af3"/>
        <w:ind w:left="141" w:hangingChars="58" w:hanging="141"/>
        <w:rPr>
          <w:rFonts w:hint="eastAsia"/>
        </w:rPr>
      </w:pPr>
      <w:r>
        <w:rPr>
          <w:rStyle w:val="af5"/>
        </w:rPr>
        <w:footnoteRef/>
      </w:r>
      <w:r>
        <w:t xml:space="preserve"> </w:t>
      </w:r>
      <w:r>
        <w:rPr>
          <w:rFonts w:hint="eastAsia"/>
        </w:rPr>
        <w:t>依據</w:t>
      </w:r>
      <w:bookmarkStart w:id="5" w:name="_Hlk149124150"/>
      <w:r>
        <w:rPr>
          <w:rFonts w:hint="eastAsia"/>
        </w:rPr>
        <w:t>金融監督管理委員會</w:t>
      </w:r>
      <w:bookmarkEnd w:id="5"/>
      <w:r>
        <w:rPr>
          <w:rFonts w:hint="eastAsia"/>
        </w:rPr>
        <w:t>訂頒之「人身保險商品審查應注意事項」辦理</w:t>
      </w:r>
      <w:r w:rsidR="000A3713">
        <w:rPr>
          <w:rFonts w:hint="eastAsia"/>
        </w:rPr>
        <w:t>，</w:t>
      </w:r>
      <w:r w:rsidRPr="0044072B">
        <w:rPr>
          <w:rFonts w:hint="eastAsia"/>
        </w:rPr>
        <w:t>合約服務邊際（CSM）</w:t>
      </w:r>
      <w:r>
        <w:rPr>
          <w:rFonts w:hint="eastAsia"/>
        </w:rPr>
        <w:t>，係指保險合約群組之資產或負債之組成部分，其代表個體將於未來提供合約服務時認列之未賺得利潤。</w:t>
      </w:r>
    </w:p>
  </w:footnote>
  <w:footnote w:id="2">
    <w:p w:rsidR="00FA2182" w:rsidRPr="004B609C" w:rsidRDefault="00FA2182" w:rsidP="00A43F37">
      <w:pPr>
        <w:pStyle w:val="146"/>
        <w:rPr>
          <w:rFonts w:hint="eastAsia"/>
        </w:rPr>
      </w:pPr>
      <w:r>
        <w:rPr>
          <w:rStyle w:val="af5"/>
        </w:rPr>
        <w:footnoteRef/>
      </w:r>
      <w:r>
        <w:t xml:space="preserve"> IFRS 17「保險合約」係規範保險合約衡量及表達之會計處理準則</w:t>
      </w:r>
      <w:r w:rsidR="002A30A8">
        <w:rPr>
          <w:rFonts w:hint="eastAsia"/>
        </w:rPr>
        <w:t>，</w:t>
      </w:r>
      <w:r>
        <w:t>我國自102年全面採用IFRSs，107年實施IFRS 9以公允價值衡量金融資產，並訂於115年實施IFRS 17以公允價值衡量負債，自此保險業資產負債將全面採用公允價值評估</w:t>
      </w:r>
      <w:r>
        <w:rPr>
          <w:rFonts w:hint="eastAsia"/>
        </w:rPr>
        <w:t>。</w:t>
      </w:r>
    </w:p>
  </w:footnote>
  <w:footnote w:id="3">
    <w:p w:rsidR="00FA2182" w:rsidRPr="004B6D40" w:rsidRDefault="00FA2182" w:rsidP="00A43F37">
      <w:pPr>
        <w:pStyle w:val="af3"/>
        <w:ind w:left="141" w:hangingChars="58" w:hanging="141"/>
        <w:rPr>
          <w:rFonts w:hint="eastAsia"/>
        </w:rPr>
      </w:pPr>
      <w:r>
        <w:rPr>
          <w:rStyle w:val="af5"/>
        </w:rPr>
        <w:footnoteRef/>
      </w:r>
      <w:r>
        <w:t xml:space="preserve"> </w:t>
      </w:r>
      <w:r w:rsidRPr="00026A23">
        <w:rPr>
          <w:bCs/>
        </w:rPr>
        <w:t>CSM</w:t>
      </w:r>
      <w:r w:rsidRPr="00026A23">
        <w:rPr>
          <w:rFonts w:hAnsi="標楷體"/>
          <w:bCs/>
        </w:rPr>
        <w:t>目標</w:t>
      </w:r>
      <w:r>
        <w:rPr>
          <w:rFonts w:hAnsi="標楷體"/>
          <w:bCs/>
        </w:rPr>
        <w:t>值</w:t>
      </w:r>
      <w:r w:rsidRPr="00026A23">
        <w:rPr>
          <w:rFonts w:hAnsi="標楷體"/>
          <w:bCs/>
        </w:rPr>
        <w:t>係依各險種保費目標數推估各商品保費目標數，再依各商品保費目標數</w:t>
      </w:r>
      <w:r w:rsidRPr="00026A23">
        <w:t>*</w:t>
      </w:r>
      <w:r w:rsidRPr="00026A23">
        <w:rPr>
          <w:rFonts w:hAnsi="標楷體"/>
        </w:rPr>
        <w:t>各商品</w:t>
      </w:r>
      <w:r w:rsidRPr="00026A23">
        <w:t>CSM</w:t>
      </w:r>
      <w:r w:rsidRPr="00026A23">
        <w:rPr>
          <w:rFonts w:hAnsi="標楷體"/>
        </w:rPr>
        <w:t>係數</w:t>
      </w:r>
      <w:r w:rsidRPr="00026A23">
        <w:rPr>
          <w:rFonts w:hAnsi="標楷體"/>
          <w:kern w:val="0"/>
        </w:rPr>
        <w:t>加總計算而成</w:t>
      </w:r>
      <w:r>
        <w:rPr>
          <w:rFonts w:hAnsi="標楷體" w:hint="eastAsia"/>
          <w:kern w:val="0"/>
        </w:rPr>
        <w:t>；</w:t>
      </w:r>
      <w:r w:rsidRPr="00026A23">
        <w:t>CSM</w:t>
      </w:r>
      <w:r w:rsidRPr="00026A23">
        <w:rPr>
          <w:rFonts w:hAnsi="標楷體"/>
        </w:rPr>
        <w:t>係數係參酌精算顧問公司負債公允價值評估報告之各商品利潤率中</w:t>
      </w:r>
      <w:r w:rsidRPr="00026A23">
        <w:t>CSM</w:t>
      </w:r>
      <w:r w:rsidRPr="00026A23">
        <w:t>÷</w:t>
      </w:r>
      <w:r w:rsidRPr="00026A23">
        <w:t>FYP</w:t>
      </w:r>
      <w:r>
        <w:rPr>
          <w:rFonts w:hint="eastAsia"/>
        </w:rPr>
        <w:t>(初年保費收入)</w:t>
      </w:r>
      <w:r w:rsidRPr="00026A23">
        <w:rPr>
          <w:rFonts w:hAnsi="標楷體"/>
        </w:rPr>
        <w:t>之數值，新上架商品則依該商品上架前所計算之</w:t>
      </w:r>
      <w:r w:rsidRPr="00026A23">
        <w:t>CSM</w:t>
      </w:r>
      <w:r w:rsidRPr="00026A23">
        <w:rPr>
          <w:rFonts w:hAnsi="標楷體"/>
        </w:rPr>
        <w:t>為基礎。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B50BB8">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14CFF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1D5CD804"/>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7210511C"/>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59ACAAE4"/>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5D12DE5E"/>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610A279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087AB5AE"/>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7C880A7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C71CFE96"/>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8A67CD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8B3846"/>
    <w:multiLevelType w:val="hybridMultilevel"/>
    <w:tmpl w:val="7804ACB2"/>
    <w:lvl w:ilvl="0" w:tplc="B0761D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0CC210D6"/>
    <w:multiLevelType w:val="hybridMultilevel"/>
    <w:tmpl w:val="CC7C4048"/>
    <w:lvl w:ilvl="0" w:tplc="C8309564">
      <w:start w:val="1"/>
      <w:numFmt w:val="decimal"/>
      <w:lvlText w:val="(%1）"/>
      <w:lvlJc w:val="left"/>
      <w:pPr>
        <w:tabs>
          <w:tab w:val="num" w:pos="1570"/>
        </w:tabs>
        <w:ind w:left="1570" w:hanging="72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0FE1660A"/>
    <w:multiLevelType w:val="hybridMultilevel"/>
    <w:tmpl w:val="8222F406"/>
    <w:lvl w:ilvl="0" w:tplc="036215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2B43654"/>
    <w:multiLevelType w:val="hybridMultilevel"/>
    <w:tmpl w:val="3DAEB6AC"/>
    <w:lvl w:ilvl="0" w:tplc="2D00AE38">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18E950BD"/>
    <w:multiLevelType w:val="hybridMultilevel"/>
    <w:tmpl w:val="4BFEB15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5" w15:restartNumberingAfterBreak="0">
    <w:nsid w:val="1EF566A9"/>
    <w:multiLevelType w:val="hybridMultilevel"/>
    <w:tmpl w:val="432C7C20"/>
    <w:lvl w:ilvl="0" w:tplc="45B6E8B0">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209350CF"/>
    <w:multiLevelType w:val="hybridMultilevel"/>
    <w:tmpl w:val="C184755E"/>
    <w:lvl w:ilvl="0" w:tplc="3634EC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827F1"/>
    <w:multiLevelType w:val="hybridMultilevel"/>
    <w:tmpl w:val="3DC64580"/>
    <w:lvl w:ilvl="0" w:tplc="F73EAB9E">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8" w15:restartNumberingAfterBreak="0">
    <w:nsid w:val="3B986C4D"/>
    <w:multiLevelType w:val="hybridMultilevel"/>
    <w:tmpl w:val="BAA27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4979A8"/>
    <w:multiLevelType w:val="hybridMultilevel"/>
    <w:tmpl w:val="640A6006"/>
    <w:lvl w:ilvl="0" w:tplc="063A4A12">
      <w:start w:val="1"/>
      <w:numFmt w:val="taiwaneseCountingThousand"/>
      <w:lvlText w:val="%1、"/>
      <w:lvlJc w:val="left"/>
      <w:pPr>
        <w:ind w:left="720" w:hanging="720"/>
      </w:pPr>
      <w:rPr>
        <w:rFonts w:ascii="標楷體" w:eastAsia="標楷體" w:hAnsi="標楷體" w:hint="default"/>
      </w:rPr>
    </w:lvl>
    <w:lvl w:ilvl="1" w:tplc="5F3268B4">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8A7C65"/>
    <w:multiLevelType w:val="hybridMultilevel"/>
    <w:tmpl w:val="1F8470D4"/>
    <w:lvl w:ilvl="0" w:tplc="A2926A6C">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1" w15:restartNumberingAfterBreak="0">
    <w:nsid w:val="56B0725B"/>
    <w:multiLevelType w:val="hybridMultilevel"/>
    <w:tmpl w:val="EAA69806"/>
    <w:lvl w:ilvl="0" w:tplc="156064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5832492C"/>
    <w:multiLevelType w:val="hybridMultilevel"/>
    <w:tmpl w:val="CC54545C"/>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6B55C6"/>
    <w:multiLevelType w:val="hybridMultilevel"/>
    <w:tmpl w:val="D12C3266"/>
    <w:lvl w:ilvl="0" w:tplc="EA2400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E3A1932"/>
    <w:multiLevelType w:val="hybridMultilevel"/>
    <w:tmpl w:val="1DA8F762"/>
    <w:lvl w:ilvl="0" w:tplc="04090001">
      <w:start w:val="1"/>
      <w:numFmt w:val="bullet"/>
      <w:lvlText w:val=""/>
      <w:lvlJc w:val="left"/>
      <w:pPr>
        <w:ind w:left="920" w:hanging="720"/>
      </w:pPr>
      <w:rPr>
        <w:rFonts w:ascii="Wingdings" w:hAnsi="Wingding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5" w15:restartNumberingAfterBreak="0">
    <w:nsid w:val="6B9C0A41"/>
    <w:multiLevelType w:val="hybridMultilevel"/>
    <w:tmpl w:val="81D89C38"/>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EB60CAB"/>
    <w:multiLevelType w:val="hybridMultilevel"/>
    <w:tmpl w:val="E5BA9998"/>
    <w:lvl w:ilvl="0" w:tplc="A33CD8C0">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20"/>
  </w:num>
  <w:num w:numId="13">
    <w:abstractNumId w:val="26"/>
  </w:num>
  <w:num w:numId="14">
    <w:abstractNumId w:val="12"/>
  </w:num>
  <w:num w:numId="15">
    <w:abstractNumId w:val="23"/>
  </w:num>
  <w:num w:numId="16">
    <w:abstractNumId w:val="21"/>
  </w:num>
  <w:num w:numId="17">
    <w:abstractNumId w:val="14"/>
  </w:num>
  <w:num w:numId="18">
    <w:abstractNumId w:val="11"/>
  </w:num>
  <w:num w:numId="19">
    <w:abstractNumId w:val="10"/>
  </w:num>
  <w:num w:numId="20">
    <w:abstractNumId w:val="24"/>
  </w:num>
  <w:num w:numId="21">
    <w:abstractNumId w:val="25"/>
  </w:num>
  <w:num w:numId="22">
    <w:abstractNumId w:val="18"/>
  </w:num>
  <w:num w:numId="23">
    <w:abstractNumId w:val="22"/>
  </w:num>
  <w:num w:numId="24">
    <w:abstractNumId w:val="19"/>
  </w:num>
  <w:num w:numId="25">
    <w:abstractNumId w:val="15"/>
  </w:num>
  <w:num w:numId="26">
    <w:abstractNumId w:val="1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B04" w:allStyles="0" w:customStyles="0" w:latentStyles="1" w:stylesInUse="0" w:headingStyles="0" w:numberingStyles="0" w:tableStyles="0" w:directFormattingOnRuns="1" w:directFormattingOnParagraphs="1"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36BA6"/>
    <w:rsid w:val="00000C3C"/>
    <w:rsid w:val="0000397A"/>
    <w:rsid w:val="000049CF"/>
    <w:rsid w:val="00005295"/>
    <w:rsid w:val="00007502"/>
    <w:rsid w:val="00007AAC"/>
    <w:rsid w:val="0001216A"/>
    <w:rsid w:val="000126DD"/>
    <w:rsid w:val="00013974"/>
    <w:rsid w:val="00014E2D"/>
    <w:rsid w:val="0001644A"/>
    <w:rsid w:val="00017740"/>
    <w:rsid w:val="00020FF2"/>
    <w:rsid w:val="00021D53"/>
    <w:rsid w:val="00022350"/>
    <w:rsid w:val="000255C2"/>
    <w:rsid w:val="00025968"/>
    <w:rsid w:val="00025CBF"/>
    <w:rsid w:val="00026694"/>
    <w:rsid w:val="00026A25"/>
    <w:rsid w:val="00033360"/>
    <w:rsid w:val="00034691"/>
    <w:rsid w:val="0003547E"/>
    <w:rsid w:val="00035F7E"/>
    <w:rsid w:val="000365E0"/>
    <w:rsid w:val="00036BA6"/>
    <w:rsid w:val="000409BD"/>
    <w:rsid w:val="000421DE"/>
    <w:rsid w:val="00044E7B"/>
    <w:rsid w:val="000455B7"/>
    <w:rsid w:val="00046A6A"/>
    <w:rsid w:val="0004728A"/>
    <w:rsid w:val="00050697"/>
    <w:rsid w:val="000519AD"/>
    <w:rsid w:val="0005261C"/>
    <w:rsid w:val="00053229"/>
    <w:rsid w:val="000544EB"/>
    <w:rsid w:val="000550DC"/>
    <w:rsid w:val="00061FE0"/>
    <w:rsid w:val="00062D98"/>
    <w:rsid w:val="0007086F"/>
    <w:rsid w:val="00072CF4"/>
    <w:rsid w:val="00073AC6"/>
    <w:rsid w:val="000767B8"/>
    <w:rsid w:val="00076841"/>
    <w:rsid w:val="0008340B"/>
    <w:rsid w:val="00085240"/>
    <w:rsid w:val="000862DE"/>
    <w:rsid w:val="00093051"/>
    <w:rsid w:val="00093186"/>
    <w:rsid w:val="0009359B"/>
    <w:rsid w:val="00096303"/>
    <w:rsid w:val="000975FF"/>
    <w:rsid w:val="000A21BE"/>
    <w:rsid w:val="000A3713"/>
    <w:rsid w:val="000A477D"/>
    <w:rsid w:val="000A5795"/>
    <w:rsid w:val="000B0CD6"/>
    <w:rsid w:val="000B1F17"/>
    <w:rsid w:val="000C0D73"/>
    <w:rsid w:val="000D1801"/>
    <w:rsid w:val="000D1868"/>
    <w:rsid w:val="000D2997"/>
    <w:rsid w:val="000D38F5"/>
    <w:rsid w:val="000D3E27"/>
    <w:rsid w:val="000D50A5"/>
    <w:rsid w:val="000D59E8"/>
    <w:rsid w:val="000D7D13"/>
    <w:rsid w:val="000E033E"/>
    <w:rsid w:val="000E1538"/>
    <w:rsid w:val="000E416D"/>
    <w:rsid w:val="000E5B35"/>
    <w:rsid w:val="000E6971"/>
    <w:rsid w:val="000F016A"/>
    <w:rsid w:val="000F051B"/>
    <w:rsid w:val="000F2213"/>
    <w:rsid w:val="000F4241"/>
    <w:rsid w:val="000F57E2"/>
    <w:rsid w:val="000F5E9E"/>
    <w:rsid w:val="000F63F8"/>
    <w:rsid w:val="000F69B2"/>
    <w:rsid w:val="00101B28"/>
    <w:rsid w:val="00103AB0"/>
    <w:rsid w:val="00111F37"/>
    <w:rsid w:val="00112792"/>
    <w:rsid w:val="00112876"/>
    <w:rsid w:val="0011407C"/>
    <w:rsid w:val="0011481A"/>
    <w:rsid w:val="00116414"/>
    <w:rsid w:val="0011784C"/>
    <w:rsid w:val="0012267C"/>
    <w:rsid w:val="00122E23"/>
    <w:rsid w:val="00123EF4"/>
    <w:rsid w:val="001255FE"/>
    <w:rsid w:val="00126AE1"/>
    <w:rsid w:val="0013080C"/>
    <w:rsid w:val="00133DC3"/>
    <w:rsid w:val="00135E3E"/>
    <w:rsid w:val="00135ECE"/>
    <w:rsid w:val="001360B6"/>
    <w:rsid w:val="0014012C"/>
    <w:rsid w:val="00144B0C"/>
    <w:rsid w:val="00145C9B"/>
    <w:rsid w:val="001463B5"/>
    <w:rsid w:val="00155205"/>
    <w:rsid w:val="00155544"/>
    <w:rsid w:val="00156845"/>
    <w:rsid w:val="0016227A"/>
    <w:rsid w:val="00167BDF"/>
    <w:rsid w:val="00167F98"/>
    <w:rsid w:val="0017000C"/>
    <w:rsid w:val="001742E8"/>
    <w:rsid w:val="00176EC4"/>
    <w:rsid w:val="00183930"/>
    <w:rsid w:val="00184B7A"/>
    <w:rsid w:val="00185C4B"/>
    <w:rsid w:val="001860D4"/>
    <w:rsid w:val="00187A03"/>
    <w:rsid w:val="0019025D"/>
    <w:rsid w:val="00190F5C"/>
    <w:rsid w:val="00193266"/>
    <w:rsid w:val="00194682"/>
    <w:rsid w:val="0019549F"/>
    <w:rsid w:val="00197E62"/>
    <w:rsid w:val="001A1C43"/>
    <w:rsid w:val="001A1F33"/>
    <w:rsid w:val="001A4764"/>
    <w:rsid w:val="001A52E8"/>
    <w:rsid w:val="001B25E5"/>
    <w:rsid w:val="001B2F73"/>
    <w:rsid w:val="001B3EAA"/>
    <w:rsid w:val="001B638E"/>
    <w:rsid w:val="001C4CE7"/>
    <w:rsid w:val="001C656A"/>
    <w:rsid w:val="001D09B2"/>
    <w:rsid w:val="001D1D92"/>
    <w:rsid w:val="001D2731"/>
    <w:rsid w:val="001D3710"/>
    <w:rsid w:val="001D5878"/>
    <w:rsid w:val="001D58D0"/>
    <w:rsid w:val="001D78C0"/>
    <w:rsid w:val="001E1173"/>
    <w:rsid w:val="001E1D57"/>
    <w:rsid w:val="001E278C"/>
    <w:rsid w:val="001E688B"/>
    <w:rsid w:val="001E6F7B"/>
    <w:rsid w:val="001F1D11"/>
    <w:rsid w:val="001F3C43"/>
    <w:rsid w:val="001F401D"/>
    <w:rsid w:val="001F458E"/>
    <w:rsid w:val="0020345D"/>
    <w:rsid w:val="002047F5"/>
    <w:rsid w:val="00204D18"/>
    <w:rsid w:val="002074F1"/>
    <w:rsid w:val="00211B93"/>
    <w:rsid w:val="00215A80"/>
    <w:rsid w:val="0021649A"/>
    <w:rsid w:val="00216A88"/>
    <w:rsid w:val="00216C6C"/>
    <w:rsid w:val="00221279"/>
    <w:rsid w:val="00221352"/>
    <w:rsid w:val="00221AA8"/>
    <w:rsid w:val="00221FF7"/>
    <w:rsid w:val="00223F9E"/>
    <w:rsid w:val="0022485D"/>
    <w:rsid w:val="00225BCE"/>
    <w:rsid w:val="002332A8"/>
    <w:rsid w:val="002338DA"/>
    <w:rsid w:val="002348DC"/>
    <w:rsid w:val="002351AE"/>
    <w:rsid w:val="00235632"/>
    <w:rsid w:val="00236CE6"/>
    <w:rsid w:val="002402D7"/>
    <w:rsid w:val="00244FB1"/>
    <w:rsid w:val="00245F58"/>
    <w:rsid w:val="00251CE2"/>
    <w:rsid w:val="00253589"/>
    <w:rsid w:val="00254C24"/>
    <w:rsid w:val="002557EC"/>
    <w:rsid w:val="0026011B"/>
    <w:rsid w:val="00262375"/>
    <w:rsid w:val="00262798"/>
    <w:rsid w:val="00265FB5"/>
    <w:rsid w:val="00267E47"/>
    <w:rsid w:val="0027208D"/>
    <w:rsid w:val="00273D24"/>
    <w:rsid w:val="002767DA"/>
    <w:rsid w:val="00276D17"/>
    <w:rsid w:val="00280366"/>
    <w:rsid w:val="002826E6"/>
    <w:rsid w:val="0028685F"/>
    <w:rsid w:val="002933D9"/>
    <w:rsid w:val="0029532B"/>
    <w:rsid w:val="00295606"/>
    <w:rsid w:val="0029767D"/>
    <w:rsid w:val="002A051A"/>
    <w:rsid w:val="002A0714"/>
    <w:rsid w:val="002A30A8"/>
    <w:rsid w:val="002A33C9"/>
    <w:rsid w:val="002A58BF"/>
    <w:rsid w:val="002A5FBC"/>
    <w:rsid w:val="002A6288"/>
    <w:rsid w:val="002A6BCF"/>
    <w:rsid w:val="002B0E0F"/>
    <w:rsid w:val="002B13B5"/>
    <w:rsid w:val="002B2044"/>
    <w:rsid w:val="002B3C80"/>
    <w:rsid w:val="002B4C40"/>
    <w:rsid w:val="002B5FAF"/>
    <w:rsid w:val="002B792B"/>
    <w:rsid w:val="002B79D5"/>
    <w:rsid w:val="002C06D8"/>
    <w:rsid w:val="002C0E6C"/>
    <w:rsid w:val="002C178B"/>
    <w:rsid w:val="002C3324"/>
    <w:rsid w:val="002C4362"/>
    <w:rsid w:val="002C444E"/>
    <w:rsid w:val="002C5B20"/>
    <w:rsid w:val="002C6B8B"/>
    <w:rsid w:val="002D0D32"/>
    <w:rsid w:val="002D1521"/>
    <w:rsid w:val="002D31DC"/>
    <w:rsid w:val="002D354F"/>
    <w:rsid w:val="002D412A"/>
    <w:rsid w:val="002D5A21"/>
    <w:rsid w:val="002D69D4"/>
    <w:rsid w:val="002E04CA"/>
    <w:rsid w:val="002E3718"/>
    <w:rsid w:val="002E4926"/>
    <w:rsid w:val="002E5854"/>
    <w:rsid w:val="002F096F"/>
    <w:rsid w:val="002F09E7"/>
    <w:rsid w:val="002F53C7"/>
    <w:rsid w:val="002F5FFA"/>
    <w:rsid w:val="002F70EC"/>
    <w:rsid w:val="00301AE5"/>
    <w:rsid w:val="00301C5C"/>
    <w:rsid w:val="00303989"/>
    <w:rsid w:val="003043CF"/>
    <w:rsid w:val="00306FC8"/>
    <w:rsid w:val="00307072"/>
    <w:rsid w:val="00311251"/>
    <w:rsid w:val="00311F1D"/>
    <w:rsid w:val="003128E8"/>
    <w:rsid w:val="00315338"/>
    <w:rsid w:val="0031767E"/>
    <w:rsid w:val="00320125"/>
    <w:rsid w:val="003201BF"/>
    <w:rsid w:val="00320B05"/>
    <w:rsid w:val="00322FD3"/>
    <w:rsid w:val="0032342A"/>
    <w:rsid w:val="0032454E"/>
    <w:rsid w:val="00324E2E"/>
    <w:rsid w:val="0032536D"/>
    <w:rsid w:val="003275E7"/>
    <w:rsid w:val="00334F32"/>
    <w:rsid w:val="00335D10"/>
    <w:rsid w:val="00340441"/>
    <w:rsid w:val="0034063D"/>
    <w:rsid w:val="00340E22"/>
    <w:rsid w:val="0034204D"/>
    <w:rsid w:val="00345EF3"/>
    <w:rsid w:val="003501ED"/>
    <w:rsid w:val="00350876"/>
    <w:rsid w:val="00353001"/>
    <w:rsid w:val="00354EA6"/>
    <w:rsid w:val="003663C1"/>
    <w:rsid w:val="00370ACF"/>
    <w:rsid w:val="00373785"/>
    <w:rsid w:val="00373A17"/>
    <w:rsid w:val="00376663"/>
    <w:rsid w:val="003769E5"/>
    <w:rsid w:val="003826D1"/>
    <w:rsid w:val="003827CE"/>
    <w:rsid w:val="003829DE"/>
    <w:rsid w:val="00387A95"/>
    <w:rsid w:val="003904A3"/>
    <w:rsid w:val="00394277"/>
    <w:rsid w:val="00397EC3"/>
    <w:rsid w:val="003A004D"/>
    <w:rsid w:val="003A0F77"/>
    <w:rsid w:val="003A2AD7"/>
    <w:rsid w:val="003A67EC"/>
    <w:rsid w:val="003A6CDD"/>
    <w:rsid w:val="003A6FFC"/>
    <w:rsid w:val="003B24FA"/>
    <w:rsid w:val="003B589A"/>
    <w:rsid w:val="003B5C7A"/>
    <w:rsid w:val="003B5FF2"/>
    <w:rsid w:val="003B6040"/>
    <w:rsid w:val="003C0B4D"/>
    <w:rsid w:val="003C1A5E"/>
    <w:rsid w:val="003C1CCB"/>
    <w:rsid w:val="003C6B69"/>
    <w:rsid w:val="003C7961"/>
    <w:rsid w:val="003E0E8B"/>
    <w:rsid w:val="003E153F"/>
    <w:rsid w:val="003F07CD"/>
    <w:rsid w:val="003F25A6"/>
    <w:rsid w:val="00400526"/>
    <w:rsid w:val="0040226F"/>
    <w:rsid w:val="00402B59"/>
    <w:rsid w:val="00404881"/>
    <w:rsid w:val="00405615"/>
    <w:rsid w:val="00407CE6"/>
    <w:rsid w:val="004125CE"/>
    <w:rsid w:val="004143CE"/>
    <w:rsid w:val="00414F81"/>
    <w:rsid w:val="004216B0"/>
    <w:rsid w:val="00423A6A"/>
    <w:rsid w:val="00425999"/>
    <w:rsid w:val="004259D9"/>
    <w:rsid w:val="00426674"/>
    <w:rsid w:val="00426C80"/>
    <w:rsid w:val="0043430B"/>
    <w:rsid w:val="00434360"/>
    <w:rsid w:val="00434D32"/>
    <w:rsid w:val="00435EC0"/>
    <w:rsid w:val="00437B13"/>
    <w:rsid w:val="0044072B"/>
    <w:rsid w:val="00442316"/>
    <w:rsid w:val="00442684"/>
    <w:rsid w:val="0044283D"/>
    <w:rsid w:val="00444F43"/>
    <w:rsid w:val="00445AA8"/>
    <w:rsid w:val="00450717"/>
    <w:rsid w:val="004515DB"/>
    <w:rsid w:val="004531AC"/>
    <w:rsid w:val="00454285"/>
    <w:rsid w:val="0045578B"/>
    <w:rsid w:val="00456A80"/>
    <w:rsid w:val="00456F35"/>
    <w:rsid w:val="00457BA8"/>
    <w:rsid w:val="00463E25"/>
    <w:rsid w:val="0046467D"/>
    <w:rsid w:val="00464982"/>
    <w:rsid w:val="0046612C"/>
    <w:rsid w:val="004743D7"/>
    <w:rsid w:val="00474B24"/>
    <w:rsid w:val="00474C99"/>
    <w:rsid w:val="00480B2D"/>
    <w:rsid w:val="004810FF"/>
    <w:rsid w:val="004830C6"/>
    <w:rsid w:val="004832A1"/>
    <w:rsid w:val="004850E0"/>
    <w:rsid w:val="004860DC"/>
    <w:rsid w:val="00486465"/>
    <w:rsid w:val="00486644"/>
    <w:rsid w:val="0048709A"/>
    <w:rsid w:val="0049107D"/>
    <w:rsid w:val="0049532E"/>
    <w:rsid w:val="004955AD"/>
    <w:rsid w:val="004A1F9D"/>
    <w:rsid w:val="004A4C17"/>
    <w:rsid w:val="004A6B7E"/>
    <w:rsid w:val="004A7ED3"/>
    <w:rsid w:val="004B06D2"/>
    <w:rsid w:val="004B3014"/>
    <w:rsid w:val="004B5684"/>
    <w:rsid w:val="004B6D40"/>
    <w:rsid w:val="004C0839"/>
    <w:rsid w:val="004C0D23"/>
    <w:rsid w:val="004C3C97"/>
    <w:rsid w:val="004C537C"/>
    <w:rsid w:val="004C53C9"/>
    <w:rsid w:val="004D09E5"/>
    <w:rsid w:val="004D0D03"/>
    <w:rsid w:val="004D118B"/>
    <w:rsid w:val="004D218F"/>
    <w:rsid w:val="004D2193"/>
    <w:rsid w:val="004D4FC5"/>
    <w:rsid w:val="004D56D5"/>
    <w:rsid w:val="004D6697"/>
    <w:rsid w:val="004D7138"/>
    <w:rsid w:val="004E00E9"/>
    <w:rsid w:val="004E19DD"/>
    <w:rsid w:val="004E5163"/>
    <w:rsid w:val="004E699D"/>
    <w:rsid w:val="004F0577"/>
    <w:rsid w:val="004F1823"/>
    <w:rsid w:val="004F35B6"/>
    <w:rsid w:val="004F386A"/>
    <w:rsid w:val="004F78B9"/>
    <w:rsid w:val="005003D5"/>
    <w:rsid w:val="00501945"/>
    <w:rsid w:val="00502617"/>
    <w:rsid w:val="00512802"/>
    <w:rsid w:val="00512BBB"/>
    <w:rsid w:val="00514A59"/>
    <w:rsid w:val="00516552"/>
    <w:rsid w:val="00520613"/>
    <w:rsid w:val="0052073F"/>
    <w:rsid w:val="005218EF"/>
    <w:rsid w:val="00521F0B"/>
    <w:rsid w:val="00524D0A"/>
    <w:rsid w:val="00524F8B"/>
    <w:rsid w:val="00532C60"/>
    <w:rsid w:val="0053345A"/>
    <w:rsid w:val="00533756"/>
    <w:rsid w:val="00534E30"/>
    <w:rsid w:val="0053544E"/>
    <w:rsid w:val="0053619B"/>
    <w:rsid w:val="0053674E"/>
    <w:rsid w:val="0054003F"/>
    <w:rsid w:val="005462C9"/>
    <w:rsid w:val="00546B52"/>
    <w:rsid w:val="00551CE2"/>
    <w:rsid w:val="005540D1"/>
    <w:rsid w:val="00555942"/>
    <w:rsid w:val="00557E3E"/>
    <w:rsid w:val="00563136"/>
    <w:rsid w:val="00563575"/>
    <w:rsid w:val="0056456B"/>
    <w:rsid w:val="0056532A"/>
    <w:rsid w:val="00565518"/>
    <w:rsid w:val="005657BC"/>
    <w:rsid w:val="00565FCD"/>
    <w:rsid w:val="005673BD"/>
    <w:rsid w:val="00573A8A"/>
    <w:rsid w:val="00574707"/>
    <w:rsid w:val="00574836"/>
    <w:rsid w:val="005767BA"/>
    <w:rsid w:val="00576B47"/>
    <w:rsid w:val="00581633"/>
    <w:rsid w:val="00581AD6"/>
    <w:rsid w:val="00582F41"/>
    <w:rsid w:val="00583DCF"/>
    <w:rsid w:val="005846A8"/>
    <w:rsid w:val="00585FCD"/>
    <w:rsid w:val="00586539"/>
    <w:rsid w:val="00592399"/>
    <w:rsid w:val="00592C81"/>
    <w:rsid w:val="00593458"/>
    <w:rsid w:val="005957CD"/>
    <w:rsid w:val="00597BE4"/>
    <w:rsid w:val="005A3E2D"/>
    <w:rsid w:val="005A60B5"/>
    <w:rsid w:val="005A7D11"/>
    <w:rsid w:val="005B0804"/>
    <w:rsid w:val="005B2273"/>
    <w:rsid w:val="005B24BA"/>
    <w:rsid w:val="005B3B2E"/>
    <w:rsid w:val="005B43B3"/>
    <w:rsid w:val="005B7C46"/>
    <w:rsid w:val="005C1207"/>
    <w:rsid w:val="005C58D5"/>
    <w:rsid w:val="005C5D8A"/>
    <w:rsid w:val="005D0EC4"/>
    <w:rsid w:val="005D1C89"/>
    <w:rsid w:val="005D58E4"/>
    <w:rsid w:val="005D7A2D"/>
    <w:rsid w:val="005E032B"/>
    <w:rsid w:val="005E07AB"/>
    <w:rsid w:val="005E431D"/>
    <w:rsid w:val="005E6399"/>
    <w:rsid w:val="005E7EA7"/>
    <w:rsid w:val="005F29D3"/>
    <w:rsid w:val="005F3EE1"/>
    <w:rsid w:val="005F4111"/>
    <w:rsid w:val="005F6950"/>
    <w:rsid w:val="005F7489"/>
    <w:rsid w:val="00602123"/>
    <w:rsid w:val="00602793"/>
    <w:rsid w:val="00602B5F"/>
    <w:rsid w:val="0060646C"/>
    <w:rsid w:val="006072D9"/>
    <w:rsid w:val="006131A3"/>
    <w:rsid w:val="0061406D"/>
    <w:rsid w:val="0061590A"/>
    <w:rsid w:val="0061790A"/>
    <w:rsid w:val="00625E4E"/>
    <w:rsid w:val="0062656A"/>
    <w:rsid w:val="00631D80"/>
    <w:rsid w:val="006330EB"/>
    <w:rsid w:val="006403FC"/>
    <w:rsid w:val="006415F9"/>
    <w:rsid w:val="006421D4"/>
    <w:rsid w:val="00642DC2"/>
    <w:rsid w:val="00643D24"/>
    <w:rsid w:val="00650739"/>
    <w:rsid w:val="006534CC"/>
    <w:rsid w:val="00655702"/>
    <w:rsid w:val="006568CF"/>
    <w:rsid w:val="00661D8D"/>
    <w:rsid w:val="00666C4B"/>
    <w:rsid w:val="00670E55"/>
    <w:rsid w:val="00671756"/>
    <w:rsid w:val="00671844"/>
    <w:rsid w:val="00671ED4"/>
    <w:rsid w:val="006743C6"/>
    <w:rsid w:val="00674DA9"/>
    <w:rsid w:val="0067686F"/>
    <w:rsid w:val="006768DB"/>
    <w:rsid w:val="00677BD9"/>
    <w:rsid w:val="00681C98"/>
    <w:rsid w:val="00683271"/>
    <w:rsid w:val="0068365E"/>
    <w:rsid w:val="0068467B"/>
    <w:rsid w:val="00684B48"/>
    <w:rsid w:val="00686988"/>
    <w:rsid w:val="0068791F"/>
    <w:rsid w:val="00694730"/>
    <w:rsid w:val="00695356"/>
    <w:rsid w:val="0069547A"/>
    <w:rsid w:val="006A5C23"/>
    <w:rsid w:val="006A73C4"/>
    <w:rsid w:val="006B0E20"/>
    <w:rsid w:val="006B1D36"/>
    <w:rsid w:val="006B2DC0"/>
    <w:rsid w:val="006B3C3D"/>
    <w:rsid w:val="006B4E6E"/>
    <w:rsid w:val="006B52B8"/>
    <w:rsid w:val="006B640F"/>
    <w:rsid w:val="006C0AD8"/>
    <w:rsid w:val="006C1685"/>
    <w:rsid w:val="006C1CBE"/>
    <w:rsid w:val="006D2071"/>
    <w:rsid w:val="006D2613"/>
    <w:rsid w:val="006D3F59"/>
    <w:rsid w:val="006D4168"/>
    <w:rsid w:val="006D70DE"/>
    <w:rsid w:val="006E224A"/>
    <w:rsid w:val="006E2D13"/>
    <w:rsid w:val="006E68C6"/>
    <w:rsid w:val="006E6F12"/>
    <w:rsid w:val="006F21BE"/>
    <w:rsid w:val="006F32A0"/>
    <w:rsid w:val="006F3648"/>
    <w:rsid w:val="006F7265"/>
    <w:rsid w:val="006F7DDE"/>
    <w:rsid w:val="00700A1D"/>
    <w:rsid w:val="00701367"/>
    <w:rsid w:val="007015A1"/>
    <w:rsid w:val="0070192C"/>
    <w:rsid w:val="00707D14"/>
    <w:rsid w:val="00707DFD"/>
    <w:rsid w:val="00710E45"/>
    <w:rsid w:val="00713682"/>
    <w:rsid w:val="007138CC"/>
    <w:rsid w:val="00715D56"/>
    <w:rsid w:val="0071615B"/>
    <w:rsid w:val="00716D5F"/>
    <w:rsid w:val="00717743"/>
    <w:rsid w:val="0072176F"/>
    <w:rsid w:val="007227A8"/>
    <w:rsid w:val="00723354"/>
    <w:rsid w:val="00723DCD"/>
    <w:rsid w:val="007240FF"/>
    <w:rsid w:val="0072592C"/>
    <w:rsid w:val="00725A19"/>
    <w:rsid w:val="00726105"/>
    <w:rsid w:val="00726B24"/>
    <w:rsid w:val="00735345"/>
    <w:rsid w:val="00736651"/>
    <w:rsid w:val="00736FAC"/>
    <w:rsid w:val="00744408"/>
    <w:rsid w:val="00745056"/>
    <w:rsid w:val="007475FD"/>
    <w:rsid w:val="00752AC3"/>
    <w:rsid w:val="00753126"/>
    <w:rsid w:val="00754566"/>
    <w:rsid w:val="00755183"/>
    <w:rsid w:val="00756507"/>
    <w:rsid w:val="007600F1"/>
    <w:rsid w:val="007614C3"/>
    <w:rsid w:val="00763B4B"/>
    <w:rsid w:val="00763F07"/>
    <w:rsid w:val="007648DC"/>
    <w:rsid w:val="007659B2"/>
    <w:rsid w:val="00765FFC"/>
    <w:rsid w:val="00767E5C"/>
    <w:rsid w:val="0077636D"/>
    <w:rsid w:val="0077679F"/>
    <w:rsid w:val="00776855"/>
    <w:rsid w:val="00776AFA"/>
    <w:rsid w:val="00780F85"/>
    <w:rsid w:val="0078114B"/>
    <w:rsid w:val="00792B5D"/>
    <w:rsid w:val="00795E46"/>
    <w:rsid w:val="007A2DB9"/>
    <w:rsid w:val="007A2E56"/>
    <w:rsid w:val="007A320D"/>
    <w:rsid w:val="007A3EF5"/>
    <w:rsid w:val="007A445C"/>
    <w:rsid w:val="007A6031"/>
    <w:rsid w:val="007A6293"/>
    <w:rsid w:val="007A697A"/>
    <w:rsid w:val="007A6B49"/>
    <w:rsid w:val="007B2893"/>
    <w:rsid w:val="007B40BA"/>
    <w:rsid w:val="007B7E65"/>
    <w:rsid w:val="007C2B53"/>
    <w:rsid w:val="007C3673"/>
    <w:rsid w:val="007C56F7"/>
    <w:rsid w:val="007C6185"/>
    <w:rsid w:val="007C6FDB"/>
    <w:rsid w:val="007D1100"/>
    <w:rsid w:val="007D20D1"/>
    <w:rsid w:val="007D225E"/>
    <w:rsid w:val="007D235D"/>
    <w:rsid w:val="007D2628"/>
    <w:rsid w:val="007D3D14"/>
    <w:rsid w:val="007D68DB"/>
    <w:rsid w:val="007D7C41"/>
    <w:rsid w:val="007F1A01"/>
    <w:rsid w:val="007F22CC"/>
    <w:rsid w:val="007F251C"/>
    <w:rsid w:val="007F255F"/>
    <w:rsid w:val="007F6CAD"/>
    <w:rsid w:val="00803E17"/>
    <w:rsid w:val="00805D79"/>
    <w:rsid w:val="008131F7"/>
    <w:rsid w:val="008177DE"/>
    <w:rsid w:val="0082005F"/>
    <w:rsid w:val="00822CD8"/>
    <w:rsid w:val="00824789"/>
    <w:rsid w:val="0083710E"/>
    <w:rsid w:val="00837F37"/>
    <w:rsid w:val="0084106A"/>
    <w:rsid w:val="008423DD"/>
    <w:rsid w:val="008507BE"/>
    <w:rsid w:val="008526F3"/>
    <w:rsid w:val="008531AE"/>
    <w:rsid w:val="008549DD"/>
    <w:rsid w:val="00855987"/>
    <w:rsid w:val="00855FC9"/>
    <w:rsid w:val="00856060"/>
    <w:rsid w:val="00860735"/>
    <w:rsid w:val="00863E26"/>
    <w:rsid w:val="00864ED4"/>
    <w:rsid w:val="00865384"/>
    <w:rsid w:val="008711FC"/>
    <w:rsid w:val="00873FD5"/>
    <w:rsid w:val="00876FE9"/>
    <w:rsid w:val="00877F77"/>
    <w:rsid w:val="00882046"/>
    <w:rsid w:val="008830DD"/>
    <w:rsid w:val="008834BB"/>
    <w:rsid w:val="0088431A"/>
    <w:rsid w:val="00886E6E"/>
    <w:rsid w:val="00891429"/>
    <w:rsid w:val="00893842"/>
    <w:rsid w:val="00895776"/>
    <w:rsid w:val="008A00DD"/>
    <w:rsid w:val="008A15D7"/>
    <w:rsid w:val="008A223A"/>
    <w:rsid w:val="008A3CD1"/>
    <w:rsid w:val="008A435A"/>
    <w:rsid w:val="008A6325"/>
    <w:rsid w:val="008A6D3F"/>
    <w:rsid w:val="008A74CE"/>
    <w:rsid w:val="008B0B6A"/>
    <w:rsid w:val="008B177C"/>
    <w:rsid w:val="008B3167"/>
    <w:rsid w:val="008B680D"/>
    <w:rsid w:val="008B7225"/>
    <w:rsid w:val="008C060A"/>
    <w:rsid w:val="008C1E30"/>
    <w:rsid w:val="008C51A1"/>
    <w:rsid w:val="008D0C21"/>
    <w:rsid w:val="008D111B"/>
    <w:rsid w:val="008D4C07"/>
    <w:rsid w:val="008D65FD"/>
    <w:rsid w:val="008E0051"/>
    <w:rsid w:val="008E1EEB"/>
    <w:rsid w:val="008E2FA3"/>
    <w:rsid w:val="008E43B8"/>
    <w:rsid w:val="008F2DAA"/>
    <w:rsid w:val="008F5F03"/>
    <w:rsid w:val="008F6823"/>
    <w:rsid w:val="00901064"/>
    <w:rsid w:val="00902242"/>
    <w:rsid w:val="0090286D"/>
    <w:rsid w:val="00905C8A"/>
    <w:rsid w:val="0090626F"/>
    <w:rsid w:val="00906622"/>
    <w:rsid w:val="00907754"/>
    <w:rsid w:val="0091332F"/>
    <w:rsid w:val="00914488"/>
    <w:rsid w:val="00916FEF"/>
    <w:rsid w:val="00917687"/>
    <w:rsid w:val="00920973"/>
    <w:rsid w:val="00923B18"/>
    <w:rsid w:val="00925185"/>
    <w:rsid w:val="00925EAD"/>
    <w:rsid w:val="00926679"/>
    <w:rsid w:val="009271AB"/>
    <w:rsid w:val="00932AA4"/>
    <w:rsid w:val="009349F8"/>
    <w:rsid w:val="00935978"/>
    <w:rsid w:val="0094084A"/>
    <w:rsid w:val="00941307"/>
    <w:rsid w:val="0094492B"/>
    <w:rsid w:val="00944D7A"/>
    <w:rsid w:val="00945999"/>
    <w:rsid w:val="00950BFC"/>
    <w:rsid w:val="00951676"/>
    <w:rsid w:val="009529F4"/>
    <w:rsid w:val="00954A43"/>
    <w:rsid w:val="0095593F"/>
    <w:rsid w:val="00957541"/>
    <w:rsid w:val="00957773"/>
    <w:rsid w:val="009602BB"/>
    <w:rsid w:val="009653A9"/>
    <w:rsid w:val="009667EE"/>
    <w:rsid w:val="00970314"/>
    <w:rsid w:val="00972569"/>
    <w:rsid w:val="0097297B"/>
    <w:rsid w:val="00974619"/>
    <w:rsid w:val="00974F0F"/>
    <w:rsid w:val="0097695C"/>
    <w:rsid w:val="009769C4"/>
    <w:rsid w:val="009778B1"/>
    <w:rsid w:val="00977CF9"/>
    <w:rsid w:val="0098052E"/>
    <w:rsid w:val="0098080E"/>
    <w:rsid w:val="00982FC3"/>
    <w:rsid w:val="00983E1E"/>
    <w:rsid w:val="00985202"/>
    <w:rsid w:val="009860C9"/>
    <w:rsid w:val="00990A5D"/>
    <w:rsid w:val="00990FD2"/>
    <w:rsid w:val="00992EBF"/>
    <w:rsid w:val="009957A8"/>
    <w:rsid w:val="009A0C1C"/>
    <w:rsid w:val="009A5C2E"/>
    <w:rsid w:val="009A5DE7"/>
    <w:rsid w:val="009A60F2"/>
    <w:rsid w:val="009B0AA3"/>
    <w:rsid w:val="009B112D"/>
    <w:rsid w:val="009B38A2"/>
    <w:rsid w:val="009B588C"/>
    <w:rsid w:val="009B5EB7"/>
    <w:rsid w:val="009B5FF2"/>
    <w:rsid w:val="009B60CD"/>
    <w:rsid w:val="009B6597"/>
    <w:rsid w:val="009B7C55"/>
    <w:rsid w:val="009C37D6"/>
    <w:rsid w:val="009C5188"/>
    <w:rsid w:val="009C5AAC"/>
    <w:rsid w:val="009D388F"/>
    <w:rsid w:val="009D5AC3"/>
    <w:rsid w:val="009D6A09"/>
    <w:rsid w:val="009D743D"/>
    <w:rsid w:val="009E4054"/>
    <w:rsid w:val="009E4B3F"/>
    <w:rsid w:val="00A025D4"/>
    <w:rsid w:val="00A046A0"/>
    <w:rsid w:val="00A05009"/>
    <w:rsid w:val="00A057FF"/>
    <w:rsid w:val="00A068DB"/>
    <w:rsid w:val="00A07CB1"/>
    <w:rsid w:val="00A106B2"/>
    <w:rsid w:val="00A15059"/>
    <w:rsid w:val="00A1663A"/>
    <w:rsid w:val="00A20F0F"/>
    <w:rsid w:val="00A24E39"/>
    <w:rsid w:val="00A26B49"/>
    <w:rsid w:val="00A27404"/>
    <w:rsid w:val="00A31C1B"/>
    <w:rsid w:val="00A3637D"/>
    <w:rsid w:val="00A4027E"/>
    <w:rsid w:val="00A43F37"/>
    <w:rsid w:val="00A46652"/>
    <w:rsid w:val="00A47113"/>
    <w:rsid w:val="00A51743"/>
    <w:rsid w:val="00A536BF"/>
    <w:rsid w:val="00A57D5B"/>
    <w:rsid w:val="00A61F89"/>
    <w:rsid w:val="00A63437"/>
    <w:rsid w:val="00A65CE1"/>
    <w:rsid w:val="00A67ECC"/>
    <w:rsid w:val="00A701A4"/>
    <w:rsid w:val="00A715E5"/>
    <w:rsid w:val="00A718BB"/>
    <w:rsid w:val="00A747DA"/>
    <w:rsid w:val="00A748B3"/>
    <w:rsid w:val="00A808D2"/>
    <w:rsid w:val="00A820A7"/>
    <w:rsid w:val="00A8557A"/>
    <w:rsid w:val="00A85BB3"/>
    <w:rsid w:val="00A908DE"/>
    <w:rsid w:val="00A960B8"/>
    <w:rsid w:val="00A976A4"/>
    <w:rsid w:val="00AA4840"/>
    <w:rsid w:val="00AA6914"/>
    <w:rsid w:val="00AA7732"/>
    <w:rsid w:val="00AB00EB"/>
    <w:rsid w:val="00AB1167"/>
    <w:rsid w:val="00AB3527"/>
    <w:rsid w:val="00AB4846"/>
    <w:rsid w:val="00AB5D5F"/>
    <w:rsid w:val="00AB6BFE"/>
    <w:rsid w:val="00AC18E4"/>
    <w:rsid w:val="00AC2E8D"/>
    <w:rsid w:val="00AC4CB6"/>
    <w:rsid w:val="00AC4E53"/>
    <w:rsid w:val="00AC5FBC"/>
    <w:rsid w:val="00AC6D06"/>
    <w:rsid w:val="00AC7B4F"/>
    <w:rsid w:val="00AD1AC7"/>
    <w:rsid w:val="00AD59A3"/>
    <w:rsid w:val="00AD5FA2"/>
    <w:rsid w:val="00AD63A9"/>
    <w:rsid w:val="00AD6C75"/>
    <w:rsid w:val="00AE4FF1"/>
    <w:rsid w:val="00AE5102"/>
    <w:rsid w:val="00AE56EB"/>
    <w:rsid w:val="00AE617C"/>
    <w:rsid w:val="00AE68EC"/>
    <w:rsid w:val="00AF0ED7"/>
    <w:rsid w:val="00AF2C14"/>
    <w:rsid w:val="00AF3D86"/>
    <w:rsid w:val="00B00573"/>
    <w:rsid w:val="00B00AF8"/>
    <w:rsid w:val="00B015CA"/>
    <w:rsid w:val="00B022CC"/>
    <w:rsid w:val="00B12DA2"/>
    <w:rsid w:val="00B1694E"/>
    <w:rsid w:val="00B16D87"/>
    <w:rsid w:val="00B17A1C"/>
    <w:rsid w:val="00B17C29"/>
    <w:rsid w:val="00B20C0E"/>
    <w:rsid w:val="00B250AB"/>
    <w:rsid w:val="00B27AE6"/>
    <w:rsid w:val="00B3167D"/>
    <w:rsid w:val="00B32CEF"/>
    <w:rsid w:val="00B345D9"/>
    <w:rsid w:val="00B372DF"/>
    <w:rsid w:val="00B41D58"/>
    <w:rsid w:val="00B43306"/>
    <w:rsid w:val="00B433E9"/>
    <w:rsid w:val="00B44CDE"/>
    <w:rsid w:val="00B46BBE"/>
    <w:rsid w:val="00B46C26"/>
    <w:rsid w:val="00B47348"/>
    <w:rsid w:val="00B50BB8"/>
    <w:rsid w:val="00B52E05"/>
    <w:rsid w:val="00B53D6D"/>
    <w:rsid w:val="00B560B2"/>
    <w:rsid w:val="00B569EA"/>
    <w:rsid w:val="00B6182F"/>
    <w:rsid w:val="00B6381C"/>
    <w:rsid w:val="00B71250"/>
    <w:rsid w:val="00B7127E"/>
    <w:rsid w:val="00B735E1"/>
    <w:rsid w:val="00B76C0F"/>
    <w:rsid w:val="00B84004"/>
    <w:rsid w:val="00B84528"/>
    <w:rsid w:val="00B87982"/>
    <w:rsid w:val="00B93889"/>
    <w:rsid w:val="00B97CDD"/>
    <w:rsid w:val="00BA2104"/>
    <w:rsid w:val="00BA6877"/>
    <w:rsid w:val="00BB69EB"/>
    <w:rsid w:val="00BB6F3A"/>
    <w:rsid w:val="00BB7206"/>
    <w:rsid w:val="00BB7972"/>
    <w:rsid w:val="00BC1AD5"/>
    <w:rsid w:val="00BC28C1"/>
    <w:rsid w:val="00BC417C"/>
    <w:rsid w:val="00BC44DD"/>
    <w:rsid w:val="00BC4BE4"/>
    <w:rsid w:val="00BD27EF"/>
    <w:rsid w:val="00BD2E68"/>
    <w:rsid w:val="00BD4621"/>
    <w:rsid w:val="00BE0C95"/>
    <w:rsid w:val="00BE0E65"/>
    <w:rsid w:val="00BE2A77"/>
    <w:rsid w:val="00BE32B1"/>
    <w:rsid w:val="00BE3D9E"/>
    <w:rsid w:val="00BE4FF8"/>
    <w:rsid w:val="00BE563C"/>
    <w:rsid w:val="00BE77FD"/>
    <w:rsid w:val="00BF0482"/>
    <w:rsid w:val="00BF2B91"/>
    <w:rsid w:val="00BF2F7E"/>
    <w:rsid w:val="00BF79F4"/>
    <w:rsid w:val="00BF7D0B"/>
    <w:rsid w:val="00C015DD"/>
    <w:rsid w:val="00C04174"/>
    <w:rsid w:val="00C057F8"/>
    <w:rsid w:val="00C06411"/>
    <w:rsid w:val="00C0798C"/>
    <w:rsid w:val="00C07B23"/>
    <w:rsid w:val="00C145B3"/>
    <w:rsid w:val="00C15BCF"/>
    <w:rsid w:val="00C15CB8"/>
    <w:rsid w:val="00C1659C"/>
    <w:rsid w:val="00C17666"/>
    <w:rsid w:val="00C178C4"/>
    <w:rsid w:val="00C222C4"/>
    <w:rsid w:val="00C22643"/>
    <w:rsid w:val="00C23E15"/>
    <w:rsid w:val="00C26F03"/>
    <w:rsid w:val="00C30E65"/>
    <w:rsid w:val="00C369F4"/>
    <w:rsid w:val="00C37E31"/>
    <w:rsid w:val="00C46296"/>
    <w:rsid w:val="00C46CE6"/>
    <w:rsid w:val="00C475DB"/>
    <w:rsid w:val="00C47C2C"/>
    <w:rsid w:val="00C50841"/>
    <w:rsid w:val="00C517BB"/>
    <w:rsid w:val="00C55885"/>
    <w:rsid w:val="00C60338"/>
    <w:rsid w:val="00C60806"/>
    <w:rsid w:val="00C608AE"/>
    <w:rsid w:val="00C62045"/>
    <w:rsid w:val="00C64172"/>
    <w:rsid w:val="00C67689"/>
    <w:rsid w:val="00C738C7"/>
    <w:rsid w:val="00C75EB6"/>
    <w:rsid w:val="00C769F5"/>
    <w:rsid w:val="00C8099E"/>
    <w:rsid w:val="00C81304"/>
    <w:rsid w:val="00C82799"/>
    <w:rsid w:val="00C846E1"/>
    <w:rsid w:val="00C848A9"/>
    <w:rsid w:val="00C91A7D"/>
    <w:rsid w:val="00C92347"/>
    <w:rsid w:val="00C95CAF"/>
    <w:rsid w:val="00CA040C"/>
    <w:rsid w:val="00CA3288"/>
    <w:rsid w:val="00CA585B"/>
    <w:rsid w:val="00CA7F04"/>
    <w:rsid w:val="00CB2C8C"/>
    <w:rsid w:val="00CB468C"/>
    <w:rsid w:val="00CB6C3F"/>
    <w:rsid w:val="00CC1A58"/>
    <w:rsid w:val="00CC1D1B"/>
    <w:rsid w:val="00CC2BB9"/>
    <w:rsid w:val="00CC38C9"/>
    <w:rsid w:val="00CC404D"/>
    <w:rsid w:val="00CC443D"/>
    <w:rsid w:val="00CC4E33"/>
    <w:rsid w:val="00CC50C6"/>
    <w:rsid w:val="00CC5A82"/>
    <w:rsid w:val="00CD14F5"/>
    <w:rsid w:val="00CD1CF5"/>
    <w:rsid w:val="00CD1FC3"/>
    <w:rsid w:val="00CD255E"/>
    <w:rsid w:val="00CD2786"/>
    <w:rsid w:val="00CE2072"/>
    <w:rsid w:val="00CE3D63"/>
    <w:rsid w:val="00CF0FCB"/>
    <w:rsid w:val="00CF0FDF"/>
    <w:rsid w:val="00CF1E5B"/>
    <w:rsid w:val="00CF3C81"/>
    <w:rsid w:val="00CF44EE"/>
    <w:rsid w:val="00CF60AE"/>
    <w:rsid w:val="00CF6159"/>
    <w:rsid w:val="00CF6571"/>
    <w:rsid w:val="00CF708B"/>
    <w:rsid w:val="00CF72FC"/>
    <w:rsid w:val="00CF73A4"/>
    <w:rsid w:val="00D00222"/>
    <w:rsid w:val="00D0071E"/>
    <w:rsid w:val="00D00AB2"/>
    <w:rsid w:val="00D0254C"/>
    <w:rsid w:val="00D03A61"/>
    <w:rsid w:val="00D05098"/>
    <w:rsid w:val="00D1364A"/>
    <w:rsid w:val="00D147EA"/>
    <w:rsid w:val="00D219F2"/>
    <w:rsid w:val="00D2460D"/>
    <w:rsid w:val="00D2601C"/>
    <w:rsid w:val="00D27E33"/>
    <w:rsid w:val="00D31091"/>
    <w:rsid w:val="00D34B19"/>
    <w:rsid w:val="00D42278"/>
    <w:rsid w:val="00D43337"/>
    <w:rsid w:val="00D4527D"/>
    <w:rsid w:val="00D46279"/>
    <w:rsid w:val="00D466B7"/>
    <w:rsid w:val="00D47614"/>
    <w:rsid w:val="00D52DDF"/>
    <w:rsid w:val="00D54A22"/>
    <w:rsid w:val="00D5659C"/>
    <w:rsid w:val="00D62F66"/>
    <w:rsid w:val="00D63681"/>
    <w:rsid w:val="00D70747"/>
    <w:rsid w:val="00D71573"/>
    <w:rsid w:val="00D71B2D"/>
    <w:rsid w:val="00D76EE4"/>
    <w:rsid w:val="00D7739D"/>
    <w:rsid w:val="00D83B9C"/>
    <w:rsid w:val="00D853D9"/>
    <w:rsid w:val="00D8668A"/>
    <w:rsid w:val="00D87EB3"/>
    <w:rsid w:val="00D90C2B"/>
    <w:rsid w:val="00D93A83"/>
    <w:rsid w:val="00D93DBB"/>
    <w:rsid w:val="00D95C75"/>
    <w:rsid w:val="00DA2ACD"/>
    <w:rsid w:val="00DA5B2A"/>
    <w:rsid w:val="00DA5DFA"/>
    <w:rsid w:val="00DB1008"/>
    <w:rsid w:val="00DB2165"/>
    <w:rsid w:val="00DB409A"/>
    <w:rsid w:val="00DB44A5"/>
    <w:rsid w:val="00DB5C10"/>
    <w:rsid w:val="00DB66FF"/>
    <w:rsid w:val="00DB6995"/>
    <w:rsid w:val="00DB78E9"/>
    <w:rsid w:val="00DC06B5"/>
    <w:rsid w:val="00DC22F3"/>
    <w:rsid w:val="00DC2981"/>
    <w:rsid w:val="00DC3B58"/>
    <w:rsid w:val="00DC6CA9"/>
    <w:rsid w:val="00DC6DFC"/>
    <w:rsid w:val="00DD09B7"/>
    <w:rsid w:val="00DD1015"/>
    <w:rsid w:val="00DD15BB"/>
    <w:rsid w:val="00DD5519"/>
    <w:rsid w:val="00DD5890"/>
    <w:rsid w:val="00DD63B9"/>
    <w:rsid w:val="00DD6A26"/>
    <w:rsid w:val="00DE000E"/>
    <w:rsid w:val="00DE53D2"/>
    <w:rsid w:val="00DF0348"/>
    <w:rsid w:val="00DF1C3E"/>
    <w:rsid w:val="00DF61D3"/>
    <w:rsid w:val="00DF71B9"/>
    <w:rsid w:val="00DF73BA"/>
    <w:rsid w:val="00E007B9"/>
    <w:rsid w:val="00E066B7"/>
    <w:rsid w:val="00E134AC"/>
    <w:rsid w:val="00E134D1"/>
    <w:rsid w:val="00E2568B"/>
    <w:rsid w:val="00E31BAC"/>
    <w:rsid w:val="00E325C5"/>
    <w:rsid w:val="00E33CC1"/>
    <w:rsid w:val="00E354B1"/>
    <w:rsid w:val="00E35BAA"/>
    <w:rsid w:val="00E35CD6"/>
    <w:rsid w:val="00E35E8C"/>
    <w:rsid w:val="00E36A6B"/>
    <w:rsid w:val="00E37493"/>
    <w:rsid w:val="00E37E2B"/>
    <w:rsid w:val="00E40252"/>
    <w:rsid w:val="00E4118D"/>
    <w:rsid w:val="00E44CE8"/>
    <w:rsid w:val="00E45044"/>
    <w:rsid w:val="00E47724"/>
    <w:rsid w:val="00E47908"/>
    <w:rsid w:val="00E51FA6"/>
    <w:rsid w:val="00E54227"/>
    <w:rsid w:val="00E54E93"/>
    <w:rsid w:val="00E558C9"/>
    <w:rsid w:val="00E55AC9"/>
    <w:rsid w:val="00E55E0B"/>
    <w:rsid w:val="00E56663"/>
    <w:rsid w:val="00E567B4"/>
    <w:rsid w:val="00E5759B"/>
    <w:rsid w:val="00E60A66"/>
    <w:rsid w:val="00E60D7F"/>
    <w:rsid w:val="00E61DCF"/>
    <w:rsid w:val="00E62719"/>
    <w:rsid w:val="00E63A72"/>
    <w:rsid w:val="00E64708"/>
    <w:rsid w:val="00E67C83"/>
    <w:rsid w:val="00E67EB6"/>
    <w:rsid w:val="00E70587"/>
    <w:rsid w:val="00E70764"/>
    <w:rsid w:val="00E71B7E"/>
    <w:rsid w:val="00E734F8"/>
    <w:rsid w:val="00E8032E"/>
    <w:rsid w:val="00E81572"/>
    <w:rsid w:val="00E85A06"/>
    <w:rsid w:val="00E908C8"/>
    <w:rsid w:val="00E9235E"/>
    <w:rsid w:val="00E92446"/>
    <w:rsid w:val="00E94246"/>
    <w:rsid w:val="00E96C1A"/>
    <w:rsid w:val="00EA0A52"/>
    <w:rsid w:val="00EA27B1"/>
    <w:rsid w:val="00EA362B"/>
    <w:rsid w:val="00EA3C14"/>
    <w:rsid w:val="00EA7D31"/>
    <w:rsid w:val="00EB036B"/>
    <w:rsid w:val="00EB1F46"/>
    <w:rsid w:val="00EB3C0C"/>
    <w:rsid w:val="00EB6068"/>
    <w:rsid w:val="00EC0E77"/>
    <w:rsid w:val="00EC17C2"/>
    <w:rsid w:val="00EC5C8E"/>
    <w:rsid w:val="00ED011D"/>
    <w:rsid w:val="00ED0586"/>
    <w:rsid w:val="00ED3881"/>
    <w:rsid w:val="00ED4CD6"/>
    <w:rsid w:val="00ED5AAC"/>
    <w:rsid w:val="00ED5B72"/>
    <w:rsid w:val="00EE11BD"/>
    <w:rsid w:val="00EE206B"/>
    <w:rsid w:val="00EE2969"/>
    <w:rsid w:val="00EE6AF4"/>
    <w:rsid w:val="00EF09F6"/>
    <w:rsid w:val="00EF170C"/>
    <w:rsid w:val="00EF6083"/>
    <w:rsid w:val="00EF779B"/>
    <w:rsid w:val="00F00DCA"/>
    <w:rsid w:val="00F01DED"/>
    <w:rsid w:val="00F01FBC"/>
    <w:rsid w:val="00F0245A"/>
    <w:rsid w:val="00F02BD9"/>
    <w:rsid w:val="00F053D4"/>
    <w:rsid w:val="00F06F8C"/>
    <w:rsid w:val="00F10B78"/>
    <w:rsid w:val="00F12FCE"/>
    <w:rsid w:val="00F16108"/>
    <w:rsid w:val="00F17048"/>
    <w:rsid w:val="00F2015A"/>
    <w:rsid w:val="00F217E5"/>
    <w:rsid w:val="00F2259D"/>
    <w:rsid w:val="00F22DD8"/>
    <w:rsid w:val="00F2393F"/>
    <w:rsid w:val="00F24D67"/>
    <w:rsid w:val="00F26A1E"/>
    <w:rsid w:val="00F30397"/>
    <w:rsid w:val="00F322D3"/>
    <w:rsid w:val="00F33BDC"/>
    <w:rsid w:val="00F34167"/>
    <w:rsid w:val="00F34D11"/>
    <w:rsid w:val="00F35326"/>
    <w:rsid w:val="00F44E3A"/>
    <w:rsid w:val="00F44FA4"/>
    <w:rsid w:val="00F45757"/>
    <w:rsid w:val="00F47847"/>
    <w:rsid w:val="00F47E7B"/>
    <w:rsid w:val="00F51B42"/>
    <w:rsid w:val="00F54130"/>
    <w:rsid w:val="00F5639A"/>
    <w:rsid w:val="00F57255"/>
    <w:rsid w:val="00F5758A"/>
    <w:rsid w:val="00F60B6D"/>
    <w:rsid w:val="00F60D57"/>
    <w:rsid w:val="00F612F3"/>
    <w:rsid w:val="00F6217F"/>
    <w:rsid w:val="00F6446F"/>
    <w:rsid w:val="00F674D3"/>
    <w:rsid w:val="00F67D73"/>
    <w:rsid w:val="00F70594"/>
    <w:rsid w:val="00F733EE"/>
    <w:rsid w:val="00F74ADD"/>
    <w:rsid w:val="00F74C59"/>
    <w:rsid w:val="00F816D4"/>
    <w:rsid w:val="00F8595C"/>
    <w:rsid w:val="00F915BB"/>
    <w:rsid w:val="00F93EE9"/>
    <w:rsid w:val="00F945F6"/>
    <w:rsid w:val="00F94EB4"/>
    <w:rsid w:val="00F95DA0"/>
    <w:rsid w:val="00F95E6D"/>
    <w:rsid w:val="00F96CD3"/>
    <w:rsid w:val="00F97D6D"/>
    <w:rsid w:val="00FA0EB7"/>
    <w:rsid w:val="00FA13BB"/>
    <w:rsid w:val="00FA2182"/>
    <w:rsid w:val="00FA304D"/>
    <w:rsid w:val="00FA5D21"/>
    <w:rsid w:val="00FA6193"/>
    <w:rsid w:val="00FB0CAE"/>
    <w:rsid w:val="00FB295E"/>
    <w:rsid w:val="00FB6737"/>
    <w:rsid w:val="00FC19C1"/>
    <w:rsid w:val="00FC7093"/>
    <w:rsid w:val="00FC75D1"/>
    <w:rsid w:val="00FD2F89"/>
    <w:rsid w:val="00FD53B5"/>
    <w:rsid w:val="00FE2B77"/>
    <w:rsid w:val="00FE38E8"/>
    <w:rsid w:val="00FE6626"/>
    <w:rsid w:val="00FE76C4"/>
    <w:rsid w:val="00FF4D61"/>
    <w:rsid w:val="00FF7F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E858845-CE8D-410C-8DCA-62ED592A2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00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94EB4"/>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qFormat/>
    <w:rsid w:val="00A057FF"/>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qFormat/>
    <w:rsid w:val="0073665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529F4"/>
    <w:pPr>
      <w:ind w:left="300" w:hangingChars="100" w:hanging="100"/>
    </w:pPr>
    <w:rPr>
      <w:b/>
    </w:rPr>
  </w:style>
  <w:style w:type="paragraph" w:customStyle="1" w:styleId="a6">
    <w:name w:val="(一)下內文"/>
    <w:basedOn w:val="a4"/>
    <w:pPr>
      <w:adjustRightInd w:val="0"/>
      <w:ind w:leftChars="300" w:firstLineChars="0" w:firstLine="0"/>
    </w:pPr>
  </w:style>
  <w:style w:type="paragraph" w:customStyle="1" w:styleId="123">
    <w:name w:val="1.2.3."/>
    <w:basedOn w:val="a6"/>
    <w:link w:val="1231"/>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2F70EC"/>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CC404D"/>
    <w:pPr>
      <w:ind w:left="427" w:rightChars="99" w:right="280" w:hangingChars="132" w:hanging="427"/>
    </w:pPr>
    <w:rPr>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f0">
    <w:name w:val="頁首 字元"/>
    <w:link w:val="af"/>
    <w:uiPriority w:val="99"/>
    <w:rsid w:val="002F70EC"/>
    <w:rPr>
      <w:rFonts w:ascii="標楷體" w:eastAsia="標楷體"/>
      <w:snapToGrid w:val="0"/>
      <w:kern w:val="2"/>
    </w:rPr>
  </w:style>
  <w:style w:type="paragraph" w:styleId="af1">
    <w:name w:val="footer"/>
    <w:basedOn w:val="a"/>
    <w:link w:val="af2"/>
    <w:uiPriority w:val="99"/>
    <w:unhideWhenUsed/>
    <w:rsid w:val="002F70EC"/>
    <w:pPr>
      <w:tabs>
        <w:tab w:val="center" w:pos="4153"/>
        <w:tab w:val="right" w:pos="8306"/>
      </w:tabs>
      <w:snapToGrid w:val="0"/>
    </w:pPr>
    <w:rPr>
      <w:sz w:val="20"/>
      <w:szCs w:val="20"/>
    </w:rPr>
  </w:style>
  <w:style w:type="character" w:customStyle="1" w:styleId="af2">
    <w:name w:val="頁尾 字元"/>
    <w:link w:val="af1"/>
    <w:uiPriority w:val="99"/>
    <w:rsid w:val="002F70EC"/>
    <w:rPr>
      <w:rFonts w:ascii="標楷體" w:eastAsia="標楷體"/>
      <w:snapToGrid w:val="0"/>
      <w:kern w:val="2"/>
    </w:rPr>
  </w:style>
  <w:style w:type="paragraph" w:styleId="af3">
    <w:name w:val="footnote text"/>
    <w:basedOn w:val="a"/>
    <w:link w:val="af4"/>
    <w:unhideWhenUsed/>
    <w:rsid w:val="00036BA6"/>
    <w:pPr>
      <w:snapToGrid w:val="0"/>
      <w:spacing w:line="280" w:lineRule="exact"/>
      <w:ind w:leftChars="0" w:left="30" w:hangingChars="30" w:hanging="30"/>
    </w:pPr>
    <w:rPr>
      <w:sz w:val="24"/>
      <w:szCs w:val="20"/>
    </w:rPr>
  </w:style>
  <w:style w:type="character" w:customStyle="1" w:styleId="af4">
    <w:name w:val="註腳文字 字元"/>
    <w:link w:val="af3"/>
    <w:rsid w:val="00036BA6"/>
    <w:rPr>
      <w:rFonts w:ascii="標楷體" w:eastAsia="標楷體"/>
      <w:snapToGrid w:val="0"/>
      <w:kern w:val="2"/>
      <w:sz w:val="24"/>
    </w:rPr>
  </w:style>
  <w:style w:type="character" w:styleId="af5">
    <w:name w:val="footnote reference"/>
    <w:unhideWhenUsed/>
    <w:rsid w:val="00036BA6"/>
    <w:rPr>
      <w:vertAlign w:val="superscript"/>
    </w:rPr>
  </w:style>
  <w:style w:type="character" w:customStyle="1" w:styleId="143">
    <w:name w:val="表格內文(14行高) 字元"/>
    <w:link w:val="142"/>
    <w:rsid w:val="009529F4"/>
    <w:rPr>
      <w:rFonts w:ascii="標楷體" w:eastAsia="標楷體"/>
      <w:snapToGrid w:val="0"/>
      <w:kern w:val="2"/>
      <w:sz w:val="24"/>
      <w:szCs w:val="28"/>
    </w:rPr>
  </w:style>
  <w:style w:type="paragraph" w:customStyle="1" w:styleId="12">
    <w:name w:val="樣式1"/>
    <w:basedOn w:val="af3"/>
    <w:link w:val="13"/>
    <w:qFormat/>
    <w:rsid w:val="00036BA6"/>
    <w:pPr>
      <w:ind w:left="73" w:hanging="73"/>
    </w:pPr>
  </w:style>
  <w:style w:type="character" w:customStyle="1" w:styleId="13">
    <w:name w:val="樣式1 字元"/>
    <w:link w:val="12"/>
    <w:rsid w:val="00036BA6"/>
    <w:rPr>
      <w:rFonts w:ascii="標楷體" w:eastAsia="標楷體"/>
      <w:snapToGrid w:val="0"/>
      <w:kern w:val="2"/>
      <w:sz w:val="24"/>
    </w:rPr>
  </w:style>
  <w:style w:type="character" w:customStyle="1" w:styleId="145">
    <w:name w:val="表格內文(14行高) 字元 字元"/>
    <w:rsid w:val="009529F4"/>
    <w:rPr>
      <w:rFonts w:ascii="標楷體" w:eastAsia="標楷體"/>
      <w:snapToGrid w:val="0"/>
      <w:kern w:val="2"/>
      <w:sz w:val="24"/>
      <w:szCs w:val="28"/>
      <w:lang w:val="en-US" w:eastAsia="zh-TW" w:bidi="ar-SA"/>
    </w:rPr>
  </w:style>
  <w:style w:type="character" w:customStyle="1" w:styleId="201">
    <w:name w:val="表格內文(20行高) 字元1"/>
    <w:link w:val="200"/>
    <w:rsid w:val="00FE38E8"/>
    <w:rPr>
      <w:rFonts w:ascii="標楷體" w:eastAsia="標楷體"/>
      <w:snapToGrid w:val="0"/>
      <w:kern w:val="2"/>
      <w:sz w:val="24"/>
      <w:szCs w:val="28"/>
    </w:rPr>
  </w:style>
  <w:style w:type="character" w:customStyle="1" w:styleId="22">
    <w:name w:val="(一)下內文縮2 字元"/>
    <w:link w:val="21"/>
    <w:rsid w:val="00A65CE1"/>
    <w:rPr>
      <w:rFonts w:ascii="標楷體" w:eastAsia="標楷體"/>
      <w:snapToGrid w:val="0"/>
      <w:kern w:val="2"/>
      <w:sz w:val="28"/>
      <w:szCs w:val="28"/>
    </w:rPr>
  </w:style>
  <w:style w:type="character" w:customStyle="1" w:styleId="ad">
    <w:name w:val="姓名及分機 字元"/>
    <w:link w:val="ac"/>
    <w:rsid w:val="006B1D36"/>
    <w:rPr>
      <w:rFonts w:ascii="標楷體" w:eastAsia="標楷體"/>
      <w:snapToGrid w:val="0"/>
      <w:kern w:val="2"/>
      <w:sz w:val="24"/>
      <w:szCs w:val="28"/>
    </w:rPr>
  </w:style>
  <w:style w:type="character" w:styleId="af6">
    <w:name w:val="page number"/>
    <w:rsid w:val="006B1D36"/>
  </w:style>
  <w:style w:type="character" w:customStyle="1" w:styleId="ab">
    <w:name w:val="報告名稱 字元"/>
    <w:link w:val="aa"/>
    <w:rsid w:val="006B1D36"/>
    <w:rPr>
      <w:rFonts w:ascii="標楷體" w:eastAsia="標楷體"/>
      <w:b/>
      <w:snapToGrid w:val="0"/>
      <w:kern w:val="2"/>
      <w:sz w:val="36"/>
      <w:szCs w:val="28"/>
    </w:rPr>
  </w:style>
  <w:style w:type="character" w:styleId="af7">
    <w:name w:val="Hyperlink"/>
    <w:uiPriority w:val="99"/>
    <w:unhideWhenUsed/>
    <w:rsid w:val="006B1D36"/>
    <w:rPr>
      <w:color w:val="0563C1"/>
      <w:u w:val="single"/>
    </w:rPr>
  </w:style>
  <w:style w:type="character" w:customStyle="1" w:styleId="10">
    <w:name w:val="標題 1 字元"/>
    <w:link w:val="1"/>
    <w:uiPriority w:val="9"/>
    <w:rsid w:val="00F94EB4"/>
    <w:rPr>
      <w:rFonts w:ascii="Calibri Light" w:eastAsia="新細明體" w:hAnsi="Calibri Light" w:cs="Times New Roman"/>
      <w:b/>
      <w:bCs/>
      <w:snapToGrid w:val="0"/>
      <w:kern w:val="52"/>
      <w:sz w:val="52"/>
      <w:szCs w:val="52"/>
    </w:rPr>
  </w:style>
  <w:style w:type="character" w:customStyle="1" w:styleId="140">
    <w:name w:val="第二層(14號字) 字元"/>
    <w:link w:val="14"/>
    <w:rsid w:val="00516552"/>
    <w:rPr>
      <w:rFonts w:ascii="標楷體" w:eastAsia="標楷體"/>
      <w:b/>
      <w:snapToGrid w:val="0"/>
      <w:kern w:val="2"/>
      <w:sz w:val="28"/>
    </w:rPr>
  </w:style>
  <w:style w:type="paragraph" w:customStyle="1" w:styleId="14-12">
    <w:name w:val="表格內文（14行高-12)"/>
    <w:basedOn w:val="142"/>
    <w:qFormat/>
    <w:rsid w:val="00516552"/>
    <w:rPr>
      <w:rFonts w:hAnsi="標楷體"/>
      <w:spacing w:val="-20"/>
      <w:szCs w:val="24"/>
    </w:rPr>
  </w:style>
  <w:style w:type="paragraph" w:customStyle="1" w:styleId="1420">
    <w:name w:val="表格內文(14行高註2)"/>
    <w:basedOn w:val="142"/>
    <w:qFormat/>
    <w:rsid w:val="00DC22F3"/>
    <w:pPr>
      <w:ind w:leftChars="220" w:left="317" w:hangingChars="97" w:hanging="97"/>
    </w:pPr>
  </w:style>
  <w:style w:type="paragraph" w:customStyle="1" w:styleId="14-2">
    <w:name w:val="表格內文(14行-2高)"/>
    <w:basedOn w:val="142"/>
    <w:qFormat/>
    <w:rsid w:val="00516552"/>
    <w:pPr>
      <w:ind w:leftChars="5" w:left="82" w:hangingChars="28" w:hanging="68"/>
      <w:jc w:val="both"/>
    </w:pPr>
  </w:style>
  <w:style w:type="paragraph" w:customStyle="1" w:styleId="122218">
    <w:name w:val="12 點 靠右 左:  2 字元 第一行:  2 字元 行距:  固定行高 18 點"/>
    <w:basedOn w:val="a"/>
    <w:rsid w:val="00DF71B9"/>
    <w:pPr>
      <w:spacing w:line="360" w:lineRule="exact"/>
      <w:ind w:leftChars="0" w:left="0" w:firstLineChars="0" w:firstLine="0"/>
      <w:jc w:val="right"/>
    </w:pPr>
    <w:rPr>
      <w:rFonts w:cs="新細明體"/>
      <w:sz w:val="24"/>
      <w:szCs w:val="20"/>
    </w:rPr>
  </w:style>
  <w:style w:type="character" w:customStyle="1" w:styleId="30">
    <w:name w:val="標題 3 字元"/>
    <w:link w:val="3"/>
    <w:uiPriority w:val="9"/>
    <w:semiHidden/>
    <w:rsid w:val="00736651"/>
    <w:rPr>
      <w:rFonts w:ascii="Calibri Light" w:eastAsia="新細明體" w:hAnsi="Calibri Light" w:cs="Times New Roman"/>
      <w:b/>
      <w:bCs/>
      <w:snapToGrid w:val="0"/>
      <w:kern w:val="2"/>
      <w:sz w:val="36"/>
      <w:szCs w:val="36"/>
    </w:rPr>
  </w:style>
  <w:style w:type="paragraph" w:styleId="af8">
    <w:name w:val="Balloon Text"/>
    <w:basedOn w:val="a"/>
    <w:link w:val="af9"/>
    <w:uiPriority w:val="99"/>
    <w:semiHidden/>
    <w:unhideWhenUsed/>
    <w:rsid w:val="001F458E"/>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1F458E"/>
    <w:rPr>
      <w:rFonts w:ascii="Calibri Light" w:eastAsia="新細明體" w:hAnsi="Calibri Light" w:cs="Times New Roman"/>
      <w:snapToGrid w:val="0"/>
      <w:kern w:val="2"/>
      <w:sz w:val="18"/>
      <w:szCs w:val="18"/>
    </w:rPr>
  </w:style>
  <w:style w:type="table" w:styleId="afa">
    <w:name w:val="Table Grid"/>
    <w:basedOn w:val="a1"/>
    <w:uiPriority w:val="59"/>
    <w:rsid w:val="005A6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uiPriority w:val="99"/>
    <w:semiHidden/>
    <w:unhideWhenUsed/>
    <w:rsid w:val="00D63681"/>
    <w:rPr>
      <w:sz w:val="18"/>
      <w:szCs w:val="18"/>
    </w:rPr>
  </w:style>
  <w:style w:type="paragraph" w:styleId="afc">
    <w:name w:val="annotation text"/>
    <w:basedOn w:val="a"/>
    <w:link w:val="afd"/>
    <w:uiPriority w:val="99"/>
    <w:semiHidden/>
    <w:unhideWhenUsed/>
    <w:rsid w:val="00D63681"/>
    <w:pPr>
      <w:jc w:val="left"/>
    </w:pPr>
  </w:style>
  <w:style w:type="character" w:customStyle="1" w:styleId="afd">
    <w:name w:val="註解文字 字元"/>
    <w:link w:val="afc"/>
    <w:uiPriority w:val="99"/>
    <w:semiHidden/>
    <w:rsid w:val="00D63681"/>
    <w:rPr>
      <w:rFonts w:ascii="標楷體" w:eastAsia="標楷體"/>
      <w:snapToGrid w:val="0"/>
      <w:kern w:val="2"/>
      <w:sz w:val="28"/>
      <w:szCs w:val="28"/>
    </w:rPr>
  </w:style>
  <w:style w:type="paragraph" w:styleId="afe">
    <w:name w:val="annotation subject"/>
    <w:basedOn w:val="afc"/>
    <w:next w:val="afc"/>
    <w:link w:val="aff"/>
    <w:uiPriority w:val="99"/>
    <w:semiHidden/>
    <w:unhideWhenUsed/>
    <w:rsid w:val="00D63681"/>
    <w:rPr>
      <w:b/>
      <w:bCs/>
    </w:rPr>
  </w:style>
  <w:style w:type="character" w:customStyle="1" w:styleId="aff">
    <w:name w:val="註解主旨 字元"/>
    <w:link w:val="afe"/>
    <w:uiPriority w:val="99"/>
    <w:semiHidden/>
    <w:rsid w:val="00D63681"/>
    <w:rPr>
      <w:rFonts w:ascii="標楷體" w:eastAsia="標楷體"/>
      <w:b/>
      <w:bCs/>
      <w:snapToGrid w:val="0"/>
      <w:kern w:val="2"/>
      <w:sz w:val="28"/>
      <w:szCs w:val="28"/>
    </w:rPr>
  </w:style>
  <w:style w:type="character" w:customStyle="1" w:styleId="a5">
    <w:name w:val="(一)(二)(三) 字元"/>
    <w:link w:val="a4"/>
    <w:locked/>
    <w:rsid w:val="00E47724"/>
    <w:rPr>
      <w:rFonts w:ascii="標楷體" w:eastAsia="標楷體"/>
      <w:b/>
      <w:snapToGrid w:val="0"/>
      <w:kern w:val="2"/>
      <w:sz w:val="28"/>
      <w:szCs w:val="28"/>
    </w:rPr>
  </w:style>
  <w:style w:type="character" w:customStyle="1" w:styleId="20">
    <w:name w:val="標題 2 字元"/>
    <w:link w:val="2"/>
    <w:uiPriority w:val="9"/>
    <w:semiHidden/>
    <w:rsid w:val="00A057FF"/>
    <w:rPr>
      <w:rFonts w:ascii="Calibri Light" w:eastAsia="新細明體" w:hAnsi="Calibri Light" w:cs="Times New Roman"/>
      <w:b/>
      <w:bCs/>
      <w:snapToGrid w:val="0"/>
      <w:kern w:val="2"/>
      <w:sz w:val="48"/>
      <w:szCs w:val="48"/>
    </w:rPr>
  </w:style>
  <w:style w:type="paragraph" w:customStyle="1" w:styleId="aff0">
    <w:name w:val="List Paragraph"/>
    <w:aliases w:val="清單段落2,表格正文"/>
    <w:basedOn w:val="a"/>
    <w:link w:val="aff1"/>
    <w:uiPriority w:val="34"/>
    <w:qFormat/>
    <w:rsid w:val="00ED011D"/>
    <w:pPr>
      <w:spacing w:line="240" w:lineRule="auto"/>
      <w:ind w:left="480" w:firstLineChars="0" w:firstLine="0"/>
      <w:jc w:val="left"/>
    </w:pPr>
    <w:rPr>
      <w:rFonts w:ascii="Calibri" w:eastAsia="新細明體" w:hAnsi="Calibri"/>
      <w:snapToGrid/>
      <w:sz w:val="24"/>
      <w:szCs w:val="22"/>
      <w:lang w:val="x-none" w:eastAsia="x-none"/>
    </w:rPr>
  </w:style>
  <w:style w:type="character" w:customStyle="1" w:styleId="aff1">
    <w:name w:val="清單段落 字元"/>
    <w:aliases w:val="清單段落2 字元,表格正文 字元"/>
    <w:link w:val="aff0"/>
    <w:uiPriority w:val="34"/>
    <w:locked/>
    <w:rsid w:val="00ED011D"/>
    <w:rPr>
      <w:rFonts w:ascii="Calibri" w:hAnsi="Calibri"/>
      <w:kern w:val="2"/>
      <w:sz w:val="24"/>
      <w:szCs w:val="22"/>
      <w:lang w:val="x-none" w:eastAsia="x-none"/>
    </w:rPr>
  </w:style>
  <w:style w:type="paragraph" w:styleId="aff2">
    <w:name w:val="Salutation"/>
    <w:basedOn w:val="a"/>
    <w:next w:val="a"/>
    <w:rsid w:val="00C15CB8"/>
  </w:style>
  <w:style w:type="paragraph" w:styleId="aff3">
    <w:name w:val="Closing"/>
    <w:basedOn w:val="a"/>
    <w:rsid w:val="00C15CB8"/>
    <w:pPr>
      <w:ind w:leftChars="1800" w:left="100"/>
    </w:pPr>
  </w:style>
  <w:style w:type="paragraph" w:customStyle="1" w:styleId="146">
    <w:name w:val="註腳(表格內文14行高左右齊)"/>
    <w:basedOn w:val="142"/>
    <w:qFormat/>
    <w:rsid w:val="00D853D9"/>
    <w:pPr>
      <w:wordWrap w:val="0"/>
      <w:ind w:leftChars="-15" w:left="153" w:hangingChars="80" w:hanging="195"/>
      <w:jc w:val="both"/>
    </w:pPr>
  </w:style>
  <w:style w:type="character" w:customStyle="1" w:styleId="aff4">
    <w:name w:val="未解析的提及"/>
    <w:uiPriority w:val="99"/>
    <w:semiHidden/>
    <w:unhideWhenUsed/>
    <w:rsid w:val="00376663"/>
    <w:rPr>
      <w:color w:val="605E5C"/>
      <w:shd w:val="clear" w:color="auto" w:fill="E1DFDD"/>
    </w:rPr>
  </w:style>
  <w:style w:type="character" w:customStyle="1" w:styleId="1231">
    <w:name w:val="1.2.3. 字元1"/>
    <w:link w:val="123"/>
    <w:rsid w:val="00BE3D9E"/>
    <w:rPr>
      <w:rFonts w:ascii="標楷體" w:eastAsia="標楷體"/>
      <w:b/>
      <w:snapToGrid w:val="0"/>
      <w:kern w:val="2"/>
      <w:sz w:val="28"/>
      <w:szCs w:val="28"/>
    </w:rPr>
  </w:style>
  <w:style w:type="character" w:customStyle="1" w:styleId="24">
    <w:name w:val="(一)(二)(三) 字元2"/>
    <w:qFormat/>
    <w:rsid w:val="00BE3D9E"/>
    <w:rPr>
      <w:rFonts w:ascii="標楷體" w:eastAsia="標楷體"/>
      <w:snapToGrid w:val="0"/>
      <w:kern w:val="2"/>
      <w:sz w:val="28"/>
      <w:szCs w:val="28"/>
      <w:lang w:val="en-US" w:eastAsia="zh-TW" w:bidi="ar-SA"/>
    </w:rPr>
  </w:style>
  <w:style w:type="character" w:customStyle="1" w:styleId="220">
    <w:name w:val="(一)下內文縮2 字元2"/>
    <w:rsid w:val="00BE3D9E"/>
    <w:rPr>
      <w:rFonts w:ascii="標楷體" w:eastAsia="標楷體"/>
      <w:snapToGrid w:val="0"/>
      <w:kern w:val="2"/>
      <w:sz w:val="28"/>
      <w:szCs w:val="28"/>
      <w:lang w:val="en-US" w:eastAsia="zh-TW" w:bidi="ar-SA"/>
    </w:rPr>
  </w:style>
  <w:style w:type="character" w:customStyle="1" w:styleId="1410">
    <w:name w:val="表格內文(14行高) 字元1"/>
    <w:rsid w:val="00BE3D9E"/>
    <w:rPr>
      <w:rFonts w:ascii="標楷體" w:eastAsia="標楷體"/>
      <w:snapToGrid w:val="0"/>
      <w:kern w:val="2"/>
      <w:sz w:val="24"/>
      <w:szCs w:val="28"/>
    </w:rPr>
  </w:style>
  <w:style w:type="character" w:customStyle="1" w:styleId="1411">
    <w:name w:val="第二層(14號字) 字元1"/>
    <w:rsid w:val="00BE3D9E"/>
    <w:rPr>
      <w:rFonts w:ascii="標楷體" w:eastAsia="標楷體"/>
      <w:b/>
      <w:snapToGrid w:val="0"/>
      <w:kern w:val="2"/>
      <w:sz w:val="28"/>
    </w:rPr>
  </w:style>
  <w:style w:type="paragraph" w:styleId="aff5">
    <w:name w:val="List Paragraph"/>
    <w:basedOn w:val="a"/>
    <w:uiPriority w:val="34"/>
    <w:qFormat/>
    <w:rsid w:val="00273D24"/>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2885">
      <w:bodyDiv w:val="1"/>
      <w:marLeft w:val="0"/>
      <w:marRight w:val="0"/>
      <w:marTop w:val="0"/>
      <w:marBottom w:val="0"/>
      <w:divBdr>
        <w:top w:val="none" w:sz="0" w:space="0" w:color="auto"/>
        <w:left w:val="none" w:sz="0" w:space="0" w:color="auto"/>
        <w:bottom w:val="none" w:sz="0" w:space="0" w:color="auto"/>
        <w:right w:val="none" w:sz="0" w:space="0" w:color="auto"/>
      </w:divBdr>
      <w:divsChild>
        <w:div w:id="1794322762">
          <w:marLeft w:val="0"/>
          <w:marRight w:val="0"/>
          <w:marTop w:val="225"/>
          <w:marBottom w:val="0"/>
          <w:divBdr>
            <w:top w:val="none" w:sz="0" w:space="0" w:color="auto"/>
            <w:left w:val="none" w:sz="0" w:space="0" w:color="auto"/>
            <w:bottom w:val="none" w:sz="0" w:space="0" w:color="auto"/>
            <w:right w:val="none" w:sz="0" w:space="0" w:color="auto"/>
          </w:divBdr>
          <w:divsChild>
            <w:div w:id="2112117215">
              <w:marLeft w:val="0"/>
              <w:marRight w:val="0"/>
              <w:marTop w:val="0"/>
              <w:marBottom w:val="450"/>
              <w:divBdr>
                <w:top w:val="single" w:sz="6" w:space="0" w:color="EAEAEA"/>
                <w:left w:val="single" w:sz="6" w:space="0" w:color="EAEAEA"/>
                <w:bottom w:val="single" w:sz="6" w:space="0" w:color="EAEAEA"/>
                <w:right w:val="single" w:sz="6" w:space="0" w:color="EAEAEA"/>
              </w:divBdr>
              <w:divsChild>
                <w:div w:id="161409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987406">
      <w:bodyDiv w:val="1"/>
      <w:marLeft w:val="0"/>
      <w:marRight w:val="0"/>
      <w:marTop w:val="0"/>
      <w:marBottom w:val="0"/>
      <w:divBdr>
        <w:top w:val="none" w:sz="0" w:space="0" w:color="auto"/>
        <w:left w:val="none" w:sz="0" w:space="0" w:color="auto"/>
        <w:bottom w:val="none" w:sz="0" w:space="0" w:color="auto"/>
        <w:right w:val="none" w:sz="0" w:space="0" w:color="auto"/>
      </w:divBdr>
    </w:div>
    <w:div w:id="732511098">
      <w:bodyDiv w:val="1"/>
      <w:marLeft w:val="0"/>
      <w:marRight w:val="0"/>
      <w:marTop w:val="0"/>
      <w:marBottom w:val="0"/>
      <w:divBdr>
        <w:top w:val="none" w:sz="0" w:space="0" w:color="auto"/>
        <w:left w:val="none" w:sz="0" w:space="0" w:color="auto"/>
        <w:bottom w:val="none" w:sz="0" w:space="0" w:color="auto"/>
        <w:right w:val="none" w:sz="0" w:space="0" w:color="auto"/>
      </w:divBdr>
    </w:div>
    <w:div w:id="813913229">
      <w:bodyDiv w:val="1"/>
      <w:marLeft w:val="0"/>
      <w:marRight w:val="0"/>
      <w:marTop w:val="0"/>
      <w:marBottom w:val="0"/>
      <w:divBdr>
        <w:top w:val="none" w:sz="0" w:space="0" w:color="auto"/>
        <w:left w:val="none" w:sz="0" w:space="0" w:color="auto"/>
        <w:bottom w:val="none" w:sz="0" w:space="0" w:color="auto"/>
        <w:right w:val="none" w:sz="0" w:space="0" w:color="auto"/>
      </w:divBdr>
    </w:div>
    <w:div w:id="1250506827">
      <w:bodyDiv w:val="1"/>
      <w:marLeft w:val="0"/>
      <w:marRight w:val="0"/>
      <w:marTop w:val="0"/>
      <w:marBottom w:val="0"/>
      <w:divBdr>
        <w:top w:val="none" w:sz="0" w:space="0" w:color="auto"/>
        <w:left w:val="none" w:sz="0" w:space="0" w:color="auto"/>
        <w:bottom w:val="none" w:sz="0" w:space="0" w:color="auto"/>
        <w:right w:val="none" w:sz="0" w:space="0" w:color="auto"/>
      </w:divBdr>
    </w:div>
    <w:div w:id="1284000517">
      <w:bodyDiv w:val="1"/>
      <w:marLeft w:val="0"/>
      <w:marRight w:val="0"/>
      <w:marTop w:val="0"/>
      <w:marBottom w:val="0"/>
      <w:divBdr>
        <w:top w:val="none" w:sz="0" w:space="0" w:color="auto"/>
        <w:left w:val="none" w:sz="0" w:space="0" w:color="auto"/>
        <w:bottom w:val="none" w:sz="0" w:space="0" w:color="auto"/>
        <w:right w:val="none" w:sz="0" w:space="0" w:color="auto"/>
      </w:divBdr>
    </w:div>
    <w:div w:id="1332829226">
      <w:bodyDiv w:val="1"/>
      <w:marLeft w:val="0"/>
      <w:marRight w:val="0"/>
      <w:marTop w:val="0"/>
      <w:marBottom w:val="0"/>
      <w:divBdr>
        <w:top w:val="none" w:sz="0" w:space="0" w:color="auto"/>
        <w:left w:val="none" w:sz="0" w:space="0" w:color="auto"/>
        <w:bottom w:val="none" w:sz="0" w:space="0" w:color="auto"/>
        <w:right w:val="none" w:sz="0" w:space="0" w:color="auto"/>
      </w:divBdr>
    </w:div>
    <w:div w:id="152582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ly40649\Desktop\word&#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35DFE-E49C-46E3-BDDC-BF8A0807F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word範本.dot</Template>
  <TotalTime>0</TotalTime>
  <Pages>10</Pages>
  <Words>403</Words>
  <Characters>2299</Characters>
  <Application>Microsoft Office Word</Application>
  <DocSecurity>0</DocSecurity>
  <Lines>19</Lines>
  <Paragraphs>5</Paragraphs>
  <ScaleCrop>false</ScaleCrop>
  <Company>HOME</Company>
  <LinksUpToDate>false</LinksUpToDate>
  <CharactersWithSpaces>2697</CharactersWithSpaces>
  <SharedDoc>false</SharedDoc>
  <HLinks>
    <vt:vector size="30" baseType="variant">
      <vt:variant>
        <vt:i4>1638452</vt:i4>
      </vt:variant>
      <vt:variant>
        <vt:i4>26</vt:i4>
      </vt:variant>
      <vt:variant>
        <vt:i4>0</vt:i4>
      </vt:variant>
      <vt:variant>
        <vt:i4>5</vt:i4>
      </vt:variant>
      <vt:variant>
        <vt:lpwstr/>
      </vt:variant>
      <vt:variant>
        <vt:lpwstr>_Toc182575060</vt:lpwstr>
      </vt:variant>
      <vt:variant>
        <vt:i4>1703988</vt:i4>
      </vt:variant>
      <vt:variant>
        <vt:i4>20</vt:i4>
      </vt:variant>
      <vt:variant>
        <vt:i4>0</vt:i4>
      </vt:variant>
      <vt:variant>
        <vt:i4>5</vt:i4>
      </vt:variant>
      <vt:variant>
        <vt:lpwstr/>
      </vt:variant>
      <vt:variant>
        <vt:lpwstr>_Toc182575059</vt:lpwstr>
      </vt:variant>
      <vt:variant>
        <vt:i4>1703988</vt:i4>
      </vt:variant>
      <vt:variant>
        <vt:i4>14</vt:i4>
      </vt:variant>
      <vt:variant>
        <vt:i4>0</vt:i4>
      </vt:variant>
      <vt:variant>
        <vt:i4>5</vt:i4>
      </vt:variant>
      <vt:variant>
        <vt:lpwstr/>
      </vt:variant>
      <vt:variant>
        <vt:lpwstr>_Toc182575058</vt:lpwstr>
      </vt:variant>
      <vt:variant>
        <vt:i4>1703988</vt:i4>
      </vt:variant>
      <vt:variant>
        <vt:i4>8</vt:i4>
      </vt:variant>
      <vt:variant>
        <vt:i4>0</vt:i4>
      </vt:variant>
      <vt:variant>
        <vt:i4>5</vt:i4>
      </vt:variant>
      <vt:variant>
        <vt:lpwstr/>
      </vt:variant>
      <vt:variant>
        <vt:lpwstr>_Toc182575057</vt:lpwstr>
      </vt:variant>
      <vt:variant>
        <vt:i4>1703988</vt:i4>
      </vt:variant>
      <vt:variant>
        <vt:i4>2</vt:i4>
      </vt:variant>
      <vt:variant>
        <vt:i4>0</vt:i4>
      </vt:variant>
      <vt:variant>
        <vt:i4>5</vt:i4>
      </vt:variant>
      <vt:variant>
        <vt:lpwstr/>
      </vt:variant>
      <vt:variant>
        <vt:lpwstr>_Toc182575056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2024-11-15T06:58:00Z</cp:lastPrinted>
  <dcterms:created xsi:type="dcterms:W3CDTF">2024-11-19T01:51:00Z</dcterms:created>
  <dcterms:modified xsi:type="dcterms:W3CDTF">2024-11-19T01:51:00Z</dcterms:modified>
</cp:coreProperties>
</file>