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1D36" w:rsidRPr="0032536D" w:rsidRDefault="006B1D36" w:rsidP="006E2D13">
      <w:pPr>
        <w:pStyle w:val="aa"/>
        <w:tabs>
          <w:tab w:val="left" w:pos="8505"/>
        </w:tabs>
        <w:rPr>
          <w:rFonts w:hAnsi="標楷體"/>
          <w:spacing w:val="-20"/>
        </w:rPr>
      </w:pPr>
      <w:bookmarkStart w:id="0" w:name="_GoBack"/>
      <w:bookmarkEnd w:id="0"/>
      <w:r w:rsidRPr="0032536D">
        <w:rPr>
          <w:rFonts w:hAnsi="標楷體" w:hint="eastAsia"/>
          <w:spacing w:val="-20"/>
        </w:rPr>
        <w:t>臺銀人壽保險股份有限公司</w:t>
      </w:r>
      <w:r w:rsidR="005218EF" w:rsidRPr="0032536D">
        <w:rPr>
          <w:rFonts w:hAnsi="標楷體" w:hint="eastAsia"/>
          <w:spacing w:val="-20"/>
        </w:rPr>
        <w:t>11</w:t>
      </w:r>
      <w:r w:rsidR="00215A80" w:rsidRPr="0032536D">
        <w:rPr>
          <w:rFonts w:hAnsi="標楷體" w:hint="eastAsia"/>
          <w:spacing w:val="-20"/>
        </w:rPr>
        <w:t>4</w:t>
      </w:r>
      <w:r w:rsidR="005218EF" w:rsidRPr="0032536D">
        <w:rPr>
          <w:rFonts w:hAnsi="標楷體" w:hint="eastAsia"/>
          <w:spacing w:val="-20"/>
        </w:rPr>
        <w:t>年度</w:t>
      </w:r>
      <w:r w:rsidRPr="0032536D">
        <w:rPr>
          <w:rFonts w:hAnsi="標楷體" w:hint="eastAsia"/>
          <w:spacing w:val="-20"/>
        </w:rPr>
        <w:t>營業預算評估報告目錄</w:t>
      </w:r>
    </w:p>
    <w:p w:rsidR="00B17C29" w:rsidRPr="000544EB" w:rsidRDefault="006B1D36" w:rsidP="00CC404D">
      <w:pPr>
        <w:pStyle w:val="aa"/>
        <w:ind w:rightChars="-50" w:right="-142"/>
        <w:jc w:val="right"/>
        <w:rPr>
          <w:rFonts w:hAnsi="標楷體"/>
          <w:bCs/>
          <w:spacing w:val="-20"/>
          <w:sz w:val="28"/>
        </w:rPr>
      </w:pPr>
      <w:r w:rsidRPr="000544EB">
        <w:rPr>
          <w:rFonts w:hAnsi="標楷體" w:hint="eastAsia"/>
          <w:bCs/>
          <w:spacing w:val="-20"/>
          <w:sz w:val="28"/>
        </w:rPr>
        <w:t>頁次</w:t>
      </w:r>
    </w:p>
    <w:p w:rsidR="001E6F7B" w:rsidRPr="00DD15BB" w:rsidRDefault="00D95C75">
      <w:pPr>
        <w:pStyle w:val="11"/>
        <w:rPr>
          <w:rFonts w:ascii="Calibri" w:eastAsia="新細明體" w:hAnsi="Calibri"/>
          <w:noProof/>
          <w:snapToGrid/>
          <w:szCs w:val="22"/>
        </w:rPr>
      </w:pPr>
      <w:r w:rsidRPr="00215A80">
        <w:rPr>
          <w:rStyle w:val="af7"/>
          <w:rFonts w:hAnsi="標楷體"/>
          <w:color w:val="FF0000"/>
          <w:sz w:val="32"/>
          <w:szCs w:val="24"/>
        </w:rPr>
        <w:fldChar w:fldCharType="begin"/>
      </w:r>
      <w:r w:rsidRPr="00215A80">
        <w:rPr>
          <w:rStyle w:val="af7"/>
          <w:rFonts w:hAnsi="標楷體"/>
          <w:color w:val="FF0000"/>
          <w:sz w:val="32"/>
          <w:szCs w:val="24"/>
        </w:rPr>
        <w:instrText xml:space="preserve"> TOC \h \z \t "第二層(14號字),1" </w:instrText>
      </w:r>
      <w:r w:rsidRPr="00215A80">
        <w:rPr>
          <w:rStyle w:val="af7"/>
          <w:rFonts w:hAnsi="標楷體"/>
          <w:color w:val="FF0000"/>
          <w:sz w:val="32"/>
          <w:szCs w:val="24"/>
        </w:rPr>
        <w:fldChar w:fldCharType="separate"/>
      </w:r>
      <w:hyperlink w:anchor="_Toc182575056" w:history="1">
        <w:r w:rsidR="001E6F7B" w:rsidRPr="00222C82">
          <w:rPr>
            <w:rStyle w:val="af7"/>
            <w:rFonts w:hint="eastAsia"/>
            <w:noProof/>
          </w:rPr>
          <w:t>一、近年資金運用偏重於國外投資，允宜機動調整投資策略，並加強匯率風險管理機制，俾利財務穩健</w:t>
        </w:r>
        <w:r w:rsidR="001E6F7B">
          <w:rPr>
            <w:noProof/>
            <w:webHidden/>
          </w:rPr>
          <w:tab/>
        </w:r>
        <w:r w:rsidR="001E6F7B">
          <w:rPr>
            <w:noProof/>
            <w:webHidden/>
          </w:rPr>
          <w:fldChar w:fldCharType="begin"/>
        </w:r>
        <w:r w:rsidR="001E6F7B">
          <w:rPr>
            <w:noProof/>
            <w:webHidden/>
          </w:rPr>
          <w:instrText xml:space="preserve"> PAGEREF _Toc182575056 \h </w:instrText>
        </w:r>
        <w:r w:rsidR="001E6F7B">
          <w:rPr>
            <w:noProof/>
            <w:webHidden/>
          </w:rPr>
        </w:r>
        <w:r w:rsidR="001E6F7B">
          <w:rPr>
            <w:noProof/>
            <w:webHidden/>
          </w:rPr>
          <w:fldChar w:fldCharType="separate"/>
        </w:r>
        <w:r w:rsidR="001E6F7B">
          <w:rPr>
            <w:noProof/>
            <w:webHidden/>
          </w:rPr>
          <w:t>1</w:t>
        </w:r>
        <w:r w:rsidR="001E6F7B">
          <w:rPr>
            <w:noProof/>
            <w:webHidden/>
          </w:rPr>
          <w:fldChar w:fldCharType="end"/>
        </w:r>
      </w:hyperlink>
    </w:p>
    <w:p w:rsidR="001E6F7B" w:rsidRPr="00DD15BB" w:rsidRDefault="001E6F7B">
      <w:pPr>
        <w:pStyle w:val="11"/>
        <w:ind w:left="321" w:hanging="321"/>
        <w:rPr>
          <w:rFonts w:ascii="Calibri" w:eastAsia="新細明體" w:hAnsi="Calibri"/>
          <w:noProof/>
          <w:snapToGrid/>
          <w:szCs w:val="22"/>
        </w:rPr>
      </w:pPr>
      <w:hyperlink w:anchor="_Toc182575057" w:history="1">
        <w:r w:rsidRPr="00222C82">
          <w:rPr>
            <w:rStyle w:val="af7"/>
            <w:rFonts w:hint="eastAsia"/>
            <w:noProof/>
          </w:rPr>
          <w:t>二、</w:t>
        </w:r>
        <w:r w:rsidRPr="00222C82">
          <w:rPr>
            <w:rStyle w:val="af7"/>
            <w:noProof/>
          </w:rPr>
          <w:t>114</w:t>
        </w:r>
        <w:r w:rsidRPr="00222C82">
          <w:rPr>
            <w:rStyle w:val="af7"/>
            <w:rFonts w:hint="eastAsia"/>
            <w:noProof/>
            <w:lang w:eastAsia="zh-HK"/>
          </w:rPr>
          <w:t>年度預計辦理現金增資</w:t>
        </w:r>
        <w:r w:rsidRPr="00222C82">
          <w:rPr>
            <w:rStyle w:val="af7"/>
            <w:noProof/>
          </w:rPr>
          <w:t>100</w:t>
        </w:r>
        <w:r w:rsidRPr="00222C82">
          <w:rPr>
            <w:rStyle w:val="af7"/>
            <w:rFonts w:hint="eastAsia"/>
            <w:noProof/>
            <w:lang w:eastAsia="zh-HK"/>
          </w:rPr>
          <w:t>億元</w:t>
        </w:r>
        <w:r w:rsidRPr="00222C82">
          <w:rPr>
            <w:rStyle w:val="af7"/>
            <w:rFonts w:hint="eastAsia"/>
            <w:noProof/>
          </w:rPr>
          <w:t>，允宜確實改善營運情形，俾利財務健全，以降低接軌</w:t>
        </w:r>
        <w:r w:rsidRPr="00222C82">
          <w:rPr>
            <w:rStyle w:val="af7"/>
            <w:noProof/>
          </w:rPr>
          <w:t xml:space="preserve"> IFRS 17</w:t>
        </w:r>
        <w:r w:rsidRPr="00222C82">
          <w:rPr>
            <w:rStyle w:val="af7"/>
            <w:rFonts w:hint="eastAsia"/>
            <w:noProof/>
          </w:rPr>
          <w:t>與</w:t>
        </w:r>
        <w:r w:rsidRPr="00222C82">
          <w:rPr>
            <w:rStyle w:val="af7"/>
            <w:noProof/>
          </w:rPr>
          <w:t>ICS</w:t>
        </w:r>
        <w:r w:rsidRPr="00222C82">
          <w:rPr>
            <w:rStyle w:val="af7"/>
            <w:rFonts w:hint="eastAsia"/>
            <w:noProof/>
          </w:rPr>
          <w:t>之衝擊</w:t>
        </w:r>
        <w:r>
          <w:rPr>
            <w:noProof/>
            <w:webHidden/>
          </w:rPr>
          <w:tab/>
        </w:r>
        <w:r>
          <w:rPr>
            <w:noProof/>
            <w:webHidden/>
          </w:rPr>
          <w:fldChar w:fldCharType="begin"/>
        </w:r>
        <w:r>
          <w:rPr>
            <w:noProof/>
            <w:webHidden/>
          </w:rPr>
          <w:instrText xml:space="preserve"> PAGEREF _Toc182575057 \h </w:instrText>
        </w:r>
        <w:r>
          <w:rPr>
            <w:noProof/>
            <w:webHidden/>
          </w:rPr>
        </w:r>
        <w:r>
          <w:rPr>
            <w:noProof/>
            <w:webHidden/>
          </w:rPr>
          <w:fldChar w:fldCharType="separate"/>
        </w:r>
        <w:r>
          <w:rPr>
            <w:noProof/>
            <w:webHidden/>
          </w:rPr>
          <w:t>3</w:t>
        </w:r>
        <w:r>
          <w:rPr>
            <w:noProof/>
            <w:webHidden/>
          </w:rPr>
          <w:fldChar w:fldCharType="end"/>
        </w:r>
      </w:hyperlink>
    </w:p>
    <w:p w:rsidR="001E6F7B" w:rsidRPr="00DD15BB" w:rsidRDefault="001E6F7B">
      <w:pPr>
        <w:pStyle w:val="11"/>
        <w:ind w:left="321" w:hanging="321"/>
        <w:rPr>
          <w:rFonts w:ascii="Calibri" w:eastAsia="新細明體" w:hAnsi="Calibri"/>
          <w:noProof/>
          <w:snapToGrid/>
          <w:szCs w:val="22"/>
        </w:rPr>
      </w:pPr>
      <w:hyperlink w:anchor="_Toc182575058" w:history="1">
        <w:r w:rsidRPr="00222C82">
          <w:rPr>
            <w:rStyle w:val="af7"/>
            <w:rFonts w:hAnsi="標楷體" w:hint="eastAsia"/>
            <w:noProof/>
          </w:rPr>
          <w:t>三、</w:t>
        </w:r>
        <w:r w:rsidRPr="00222C82">
          <w:rPr>
            <w:rStyle w:val="af7"/>
            <w:rFonts w:hAnsi="標楷體"/>
            <w:noProof/>
          </w:rPr>
          <w:t>112</w:t>
        </w:r>
        <w:r w:rsidRPr="00222C82">
          <w:rPr>
            <w:rStyle w:val="af7"/>
            <w:rFonts w:hAnsi="標楷體" w:hint="eastAsia"/>
            <w:noProof/>
          </w:rPr>
          <w:t>年度</w:t>
        </w:r>
        <w:r w:rsidRPr="00222C82">
          <w:rPr>
            <w:rStyle w:val="af7"/>
            <w:rFonts w:hint="eastAsia"/>
            <w:bCs/>
            <w:noProof/>
          </w:rPr>
          <w:t>新商品合約服務邊際目標達成率低於</w:t>
        </w:r>
        <w:r w:rsidRPr="00222C82">
          <w:rPr>
            <w:rStyle w:val="af7"/>
            <w:bCs/>
            <w:noProof/>
          </w:rPr>
          <w:t>111</w:t>
        </w:r>
        <w:r w:rsidRPr="00222C82">
          <w:rPr>
            <w:rStyle w:val="af7"/>
            <w:rFonts w:hint="eastAsia"/>
            <w:bCs/>
            <w:noProof/>
          </w:rPr>
          <w:t>年度，允宜審慎規劃保險商品及銷售策略，俾利提升經營利潤，以因應未來接軌</w:t>
        </w:r>
        <w:r w:rsidRPr="00222C82">
          <w:rPr>
            <w:rStyle w:val="af7"/>
            <w:rFonts w:hAnsi="標楷體"/>
            <w:noProof/>
          </w:rPr>
          <w:t>IFRS 17</w:t>
        </w:r>
        <w:r>
          <w:rPr>
            <w:noProof/>
            <w:webHidden/>
          </w:rPr>
          <w:tab/>
        </w:r>
        <w:r>
          <w:rPr>
            <w:noProof/>
            <w:webHidden/>
          </w:rPr>
          <w:fldChar w:fldCharType="begin"/>
        </w:r>
        <w:r>
          <w:rPr>
            <w:noProof/>
            <w:webHidden/>
          </w:rPr>
          <w:instrText xml:space="preserve"> PAGEREF _Toc182575058 \h </w:instrText>
        </w:r>
        <w:r>
          <w:rPr>
            <w:noProof/>
            <w:webHidden/>
          </w:rPr>
        </w:r>
        <w:r>
          <w:rPr>
            <w:noProof/>
            <w:webHidden/>
          </w:rPr>
          <w:fldChar w:fldCharType="separate"/>
        </w:r>
        <w:r>
          <w:rPr>
            <w:noProof/>
            <w:webHidden/>
          </w:rPr>
          <w:t>6</w:t>
        </w:r>
        <w:r>
          <w:rPr>
            <w:noProof/>
            <w:webHidden/>
          </w:rPr>
          <w:fldChar w:fldCharType="end"/>
        </w:r>
      </w:hyperlink>
    </w:p>
    <w:p w:rsidR="001E6F7B" w:rsidRPr="00DD15BB" w:rsidRDefault="001E6F7B">
      <w:pPr>
        <w:pStyle w:val="11"/>
        <w:ind w:left="321" w:hanging="321"/>
        <w:rPr>
          <w:rFonts w:ascii="Calibri" w:eastAsia="新細明體" w:hAnsi="Calibri"/>
          <w:noProof/>
          <w:snapToGrid/>
          <w:szCs w:val="22"/>
        </w:rPr>
      </w:pPr>
      <w:hyperlink w:anchor="_Toc182575059" w:history="1">
        <w:r w:rsidRPr="00222C82">
          <w:rPr>
            <w:rStyle w:val="af7"/>
            <w:rFonts w:hAnsi="標楷體" w:hint="eastAsia"/>
            <w:noProof/>
          </w:rPr>
          <w:t>四、</w:t>
        </w:r>
        <w:r w:rsidRPr="00222C82">
          <w:rPr>
            <w:rStyle w:val="af7"/>
            <w:rFonts w:hAnsi="標楷體"/>
            <w:noProof/>
          </w:rPr>
          <w:t>112</w:t>
        </w:r>
        <w:r w:rsidRPr="00222C82">
          <w:rPr>
            <w:rStyle w:val="af7"/>
            <w:rFonts w:hAnsi="標楷體" w:hint="eastAsia"/>
            <w:noProof/>
          </w:rPr>
          <w:t>年度投資性不動產購置與收益情形均不符預期，允宜慎選投資標的並強化租賃管理機制，俾利提升投資績效</w:t>
        </w:r>
        <w:r>
          <w:rPr>
            <w:noProof/>
            <w:webHidden/>
          </w:rPr>
          <w:tab/>
        </w:r>
        <w:r>
          <w:rPr>
            <w:noProof/>
            <w:webHidden/>
          </w:rPr>
          <w:fldChar w:fldCharType="begin"/>
        </w:r>
        <w:r>
          <w:rPr>
            <w:noProof/>
            <w:webHidden/>
          </w:rPr>
          <w:instrText xml:space="preserve"> PAGEREF _Toc182575059 \h </w:instrText>
        </w:r>
        <w:r>
          <w:rPr>
            <w:noProof/>
            <w:webHidden/>
          </w:rPr>
        </w:r>
        <w:r>
          <w:rPr>
            <w:noProof/>
            <w:webHidden/>
          </w:rPr>
          <w:fldChar w:fldCharType="separate"/>
        </w:r>
        <w:r>
          <w:rPr>
            <w:noProof/>
            <w:webHidden/>
          </w:rPr>
          <w:t>9</w:t>
        </w:r>
        <w:r>
          <w:rPr>
            <w:noProof/>
            <w:webHidden/>
          </w:rPr>
          <w:fldChar w:fldCharType="end"/>
        </w:r>
      </w:hyperlink>
    </w:p>
    <w:p w:rsidR="001E6F7B" w:rsidRPr="00DD15BB" w:rsidRDefault="001E6F7B">
      <w:pPr>
        <w:pStyle w:val="11"/>
        <w:ind w:left="321" w:hanging="321"/>
        <w:rPr>
          <w:rFonts w:ascii="Calibri" w:eastAsia="新細明體" w:hAnsi="Calibri"/>
          <w:noProof/>
          <w:snapToGrid/>
          <w:szCs w:val="22"/>
        </w:rPr>
      </w:pPr>
      <w:hyperlink w:anchor="_Toc182575060" w:history="1">
        <w:r w:rsidRPr="00222C82">
          <w:rPr>
            <w:rStyle w:val="af7"/>
            <w:rFonts w:hint="eastAsia"/>
            <w:noProof/>
          </w:rPr>
          <w:t>五、自</w:t>
        </w:r>
        <w:r w:rsidRPr="00222C82">
          <w:rPr>
            <w:rStyle w:val="af7"/>
            <w:noProof/>
          </w:rPr>
          <w:t>112</w:t>
        </w:r>
        <w:r w:rsidRPr="00222C82">
          <w:rPr>
            <w:rStyle w:val="af7"/>
            <w:rFonts w:hint="eastAsia"/>
            <w:noProof/>
          </w:rPr>
          <w:t>年度至</w:t>
        </w:r>
        <w:r w:rsidRPr="00222C82">
          <w:rPr>
            <w:rStyle w:val="af7"/>
            <w:noProof/>
          </w:rPr>
          <w:t>113</w:t>
        </w:r>
        <w:r w:rsidRPr="00222C82">
          <w:rPr>
            <w:rStyle w:val="af7"/>
            <w:rFonts w:hint="eastAsia"/>
            <w:noProof/>
          </w:rPr>
          <w:t>年</w:t>
        </w:r>
        <w:r w:rsidRPr="00222C82">
          <w:rPr>
            <w:rStyle w:val="af7"/>
            <w:noProof/>
          </w:rPr>
          <w:t>9</w:t>
        </w:r>
        <w:r w:rsidRPr="00222C82">
          <w:rPr>
            <w:rStyle w:val="af7"/>
            <w:rFonts w:hint="eastAsia"/>
            <w:noProof/>
          </w:rPr>
          <w:t>月底止，發生作業風險事件已有改善，允宜持續精進並落實執行風險管理機制，俾利公司穩健營運</w:t>
        </w:r>
        <w:r>
          <w:rPr>
            <w:noProof/>
            <w:webHidden/>
          </w:rPr>
          <w:tab/>
        </w:r>
        <w:r>
          <w:rPr>
            <w:noProof/>
            <w:webHidden/>
          </w:rPr>
          <w:fldChar w:fldCharType="begin"/>
        </w:r>
        <w:r>
          <w:rPr>
            <w:noProof/>
            <w:webHidden/>
          </w:rPr>
          <w:instrText xml:space="preserve"> PAGEREF _Toc182575060 \h </w:instrText>
        </w:r>
        <w:r>
          <w:rPr>
            <w:noProof/>
            <w:webHidden/>
          </w:rPr>
        </w:r>
        <w:r>
          <w:rPr>
            <w:noProof/>
            <w:webHidden/>
          </w:rPr>
          <w:fldChar w:fldCharType="separate"/>
        </w:r>
        <w:r>
          <w:rPr>
            <w:noProof/>
            <w:webHidden/>
          </w:rPr>
          <w:t>11</w:t>
        </w:r>
        <w:r>
          <w:rPr>
            <w:noProof/>
            <w:webHidden/>
          </w:rPr>
          <w:fldChar w:fldCharType="end"/>
        </w:r>
      </w:hyperlink>
    </w:p>
    <w:p w:rsidR="00D95C75" w:rsidRPr="00215A80" w:rsidRDefault="00D95C75" w:rsidP="00CC404D">
      <w:pPr>
        <w:pStyle w:val="11"/>
        <w:rPr>
          <w:rFonts w:hAnsi="標楷體"/>
          <w:color w:val="FF0000"/>
        </w:rPr>
      </w:pPr>
      <w:r w:rsidRPr="00215A80">
        <w:rPr>
          <w:rStyle w:val="af7"/>
          <w:rFonts w:hAnsi="標楷體"/>
          <w:color w:val="FF0000"/>
          <w:sz w:val="32"/>
          <w:szCs w:val="24"/>
        </w:rPr>
        <w:fldChar w:fldCharType="end"/>
      </w:r>
    </w:p>
    <w:p w:rsidR="00D95C75" w:rsidRPr="00215A80" w:rsidRDefault="00D95C75" w:rsidP="00036BA6">
      <w:pPr>
        <w:pStyle w:val="aa"/>
        <w:rPr>
          <w:rFonts w:hAnsi="標楷體"/>
          <w:color w:val="FF0000"/>
        </w:rPr>
        <w:sectPr w:rsidR="00D95C75" w:rsidRPr="00215A80" w:rsidSect="006B1D36">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567" w:gutter="0"/>
          <w:pgNumType w:start="1"/>
          <w:cols w:space="425"/>
          <w:docGrid w:type="linesAndChars" w:linePitch="500" w:charSpace="658"/>
        </w:sectPr>
      </w:pPr>
    </w:p>
    <w:p w:rsidR="00D95C75" w:rsidRPr="0032536D" w:rsidRDefault="00D95C75" w:rsidP="00036BA6">
      <w:pPr>
        <w:pStyle w:val="aa"/>
        <w:rPr>
          <w:rFonts w:hAnsi="標楷體"/>
          <w:spacing w:val="-4"/>
        </w:rPr>
      </w:pPr>
      <w:bookmarkStart w:id="1" w:name="_Hlk182297217"/>
      <w:r w:rsidRPr="0032536D">
        <w:rPr>
          <w:rFonts w:hAnsi="標楷體" w:hint="eastAsia"/>
          <w:spacing w:val="-4"/>
        </w:rPr>
        <w:lastRenderedPageBreak/>
        <w:t>臺銀人壽保險股份有限公司11</w:t>
      </w:r>
      <w:r w:rsidR="00215A80" w:rsidRPr="0032536D">
        <w:rPr>
          <w:rFonts w:hAnsi="標楷體" w:hint="eastAsia"/>
          <w:spacing w:val="-4"/>
        </w:rPr>
        <w:t>4</w:t>
      </w:r>
      <w:r w:rsidRPr="0032536D">
        <w:rPr>
          <w:rFonts w:hAnsi="標楷體" w:hint="eastAsia"/>
          <w:spacing w:val="-4"/>
        </w:rPr>
        <w:t>年度營業預算評估報告</w:t>
      </w:r>
    </w:p>
    <w:bookmarkEnd w:id="1"/>
    <w:p w:rsidR="00D95C75" w:rsidRDefault="00D95C75" w:rsidP="00036BA6">
      <w:pPr>
        <w:pStyle w:val="a8"/>
        <w:ind w:firstLine="566"/>
        <w:rPr>
          <w:rFonts w:hAnsi="標楷體"/>
        </w:rPr>
      </w:pPr>
      <w:r w:rsidRPr="00582F41">
        <w:rPr>
          <w:rFonts w:hAnsi="標楷體" w:hint="eastAsia"/>
        </w:rPr>
        <w:t>臺銀人壽保險股份有限公司(以下簡稱臺銀人壽)主要任務係依保險法規定辦理人身保險業務，並受政府委託辦理軍人保險及替代役保險業務等</w:t>
      </w:r>
      <w:r w:rsidR="00AB00EB">
        <w:rPr>
          <w:rFonts w:hAnsi="標楷體" w:hint="eastAsia"/>
        </w:rPr>
        <w:t>，</w:t>
      </w:r>
      <w:r w:rsidRPr="00582F41">
        <w:rPr>
          <w:rFonts w:hAnsi="標楷體" w:hint="eastAsia"/>
        </w:rPr>
        <w:t>臺銀人壽11</w:t>
      </w:r>
      <w:r w:rsidR="00456F35" w:rsidRPr="00582F41">
        <w:rPr>
          <w:rFonts w:hAnsi="標楷體" w:hint="eastAsia"/>
        </w:rPr>
        <w:t>4</w:t>
      </w:r>
      <w:r w:rsidRPr="00582F41">
        <w:rPr>
          <w:rFonts w:hAnsi="標楷體" w:hint="eastAsia"/>
        </w:rPr>
        <w:t>年度預算案編列營業收入</w:t>
      </w:r>
      <w:r w:rsidR="00582F41" w:rsidRPr="00582F41">
        <w:rPr>
          <w:rFonts w:hAnsi="標楷體" w:hint="eastAsia"/>
        </w:rPr>
        <w:t>345億9</w:t>
      </w:r>
      <w:r w:rsidR="00582F41" w:rsidRPr="00582F41">
        <w:rPr>
          <w:rFonts w:hAnsi="標楷體"/>
        </w:rPr>
        <w:t>,</w:t>
      </w:r>
      <w:r w:rsidR="00582F41" w:rsidRPr="00582F41">
        <w:rPr>
          <w:rFonts w:hAnsi="標楷體" w:hint="eastAsia"/>
        </w:rPr>
        <w:t>568萬3 千元，營業成本 342億6</w:t>
      </w:r>
      <w:r w:rsidR="00582F41" w:rsidRPr="00582F41">
        <w:rPr>
          <w:rFonts w:hAnsi="標楷體"/>
        </w:rPr>
        <w:t>,</w:t>
      </w:r>
      <w:r w:rsidR="00582F41" w:rsidRPr="00582F41">
        <w:rPr>
          <w:rFonts w:hAnsi="標楷體" w:hint="eastAsia"/>
        </w:rPr>
        <w:t>220萬元，營業費用9億6</w:t>
      </w:r>
      <w:r w:rsidR="00582F41" w:rsidRPr="00582F41">
        <w:rPr>
          <w:rFonts w:hAnsi="標楷體"/>
        </w:rPr>
        <w:t>,</w:t>
      </w:r>
      <w:r w:rsidR="00582F41" w:rsidRPr="00582F41">
        <w:rPr>
          <w:rFonts w:hAnsi="標楷體" w:hint="eastAsia"/>
        </w:rPr>
        <w:t>030萬3 千元，營業外費用3</w:t>
      </w:r>
      <w:r w:rsidR="00582F41" w:rsidRPr="00582F41">
        <w:rPr>
          <w:rFonts w:hAnsi="標楷體"/>
        </w:rPr>
        <w:t>,</w:t>
      </w:r>
      <w:r w:rsidR="00582F41" w:rsidRPr="00582F41">
        <w:rPr>
          <w:rFonts w:hAnsi="標楷體" w:hint="eastAsia"/>
        </w:rPr>
        <w:t>607萬3千元，支出合計352億5</w:t>
      </w:r>
      <w:r w:rsidR="00582F41" w:rsidRPr="00582F41">
        <w:rPr>
          <w:rFonts w:hAnsi="標楷體"/>
        </w:rPr>
        <w:t>,</w:t>
      </w:r>
      <w:r w:rsidR="00582F41" w:rsidRPr="00582F41">
        <w:rPr>
          <w:rFonts w:hAnsi="標楷體" w:hint="eastAsia"/>
        </w:rPr>
        <w:t>857萬6千元；預計稅前淨損</w:t>
      </w:r>
      <w:r w:rsidR="00582F41" w:rsidRPr="00582F41">
        <w:rPr>
          <w:rFonts w:hAnsi="標楷體"/>
        </w:rPr>
        <w:t>6</w:t>
      </w:r>
      <w:r w:rsidR="00582F41" w:rsidRPr="00582F41">
        <w:rPr>
          <w:rFonts w:hAnsi="標楷體" w:hint="eastAsia"/>
        </w:rPr>
        <w:t>億</w:t>
      </w:r>
      <w:r w:rsidR="00582F41" w:rsidRPr="00582F41">
        <w:rPr>
          <w:rFonts w:hAnsi="標楷體"/>
        </w:rPr>
        <w:t>6,289</w:t>
      </w:r>
      <w:r w:rsidR="00582F41" w:rsidRPr="00582F41">
        <w:rPr>
          <w:rFonts w:hAnsi="標楷體" w:hint="eastAsia"/>
        </w:rPr>
        <w:t>萬</w:t>
      </w:r>
      <w:r w:rsidR="00582F41" w:rsidRPr="00582F41">
        <w:rPr>
          <w:rFonts w:hAnsi="標楷體"/>
        </w:rPr>
        <w:t>3</w:t>
      </w:r>
      <w:r w:rsidR="00582F41" w:rsidRPr="00582F41">
        <w:rPr>
          <w:rFonts w:hAnsi="標楷體" w:hint="eastAsia"/>
        </w:rPr>
        <w:t>千元，加計所得稅利益</w:t>
      </w:r>
      <w:r w:rsidR="00582F41" w:rsidRPr="00582F41">
        <w:rPr>
          <w:rFonts w:hAnsi="標楷體"/>
        </w:rPr>
        <w:t>1</w:t>
      </w:r>
      <w:r w:rsidR="00582F41" w:rsidRPr="00582F41">
        <w:rPr>
          <w:rFonts w:hAnsi="標楷體" w:hint="eastAsia"/>
        </w:rPr>
        <w:t>億</w:t>
      </w:r>
      <w:r w:rsidR="00582F41" w:rsidRPr="00582F41">
        <w:rPr>
          <w:rFonts w:hAnsi="標楷體"/>
        </w:rPr>
        <w:t>3,257</w:t>
      </w:r>
      <w:r w:rsidR="00582F41" w:rsidRPr="00582F41">
        <w:rPr>
          <w:rFonts w:hAnsi="標楷體" w:hint="eastAsia"/>
        </w:rPr>
        <w:t>萬</w:t>
      </w:r>
      <w:r w:rsidR="00582F41" w:rsidRPr="00582F41">
        <w:rPr>
          <w:rFonts w:hAnsi="標楷體"/>
        </w:rPr>
        <w:t xml:space="preserve">9 </w:t>
      </w:r>
      <w:r w:rsidR="00582F41" w:rsidRPr="00582F41">
        <w:rPr>
          <w:rFonts w:hAnsi="標楷體" w:hint="eastAsia"/>
        </w:rPr>
        <w:t>千元，本期淨損5億3</w:t>
      </w:r>
      <w:r w:rsidR="00582F41" w:rsidRPr="00582F41">
        <w:rPr>
          <w:rFonts w:hAnsi="標楷體"/>
        </w:rPr>
        <w:t>,</w:t>
      </w:r>
      <w:r w:rsidR="00582F41" w:rsidRPr="00582F41">
        <w:rPr>
          <w:rFonts w:hAnsi="標楷體" w:hint="eastAsia"/>
        </w:rPr>
        <w:t>031萬4千元。</w:t>
      </w:r>
      <w:r w:rsidRPr="00582F41">
        <w:rPr>
          <w:rFonts w:hAnsi="標楷體" w:hint="eastAsia"/>
        </w:rPr>
        <w:t>茲就臺銀人壽11</w:t>
      </w:r>
      <w:r w:rsidR="00582F41" w:rsidRPr="00582F41">
        <w:rPr>
          <w:rFonts w:hAnsi="標楷體" w:hint="eastAsia"/>
        </w:rPr>
        <w:t>4</w:t>
      </w:r>
      <w:r w:rsidRPr="00582F41">
        <w:rPr>
          <w:rFonts w:hAnsi="標楷體" w:hint="eastAsia"/>
        </w:rPr>
        <w:t>年度預算案評估如下：</w:t>
      </w:r>
    </w:p>
    <w:p w:rsidR="00FA2182" w:rsidRPr="000544EB" w:rsidRDefault="004D2193" w:rsidP="004D2193">
      <w:pPr>
        <w:pStyle w:val="14"/>
        <w:ind w:left="567" w:hanging="567"/>
        <w:rPr>
          <w:rFonts w:hint="eastAsia"/>
        </w:rPr>
      </w:pPr>
      <w:bookmarkStart w:id="2" w:name="_Toc182575056"/>
      <w:r>
        <w:rPr>
          <w:rFonts w:hint="eastAsia"/>
        </w:rPr>
        <w:t>一、</w:t>
      </w:r>
      <w:r w:rsidRPr="000544EB">
        <w:rPr>
          <w:rFonts w:hint="eastAsia"/>
        </w:rPr>
        <w:t>近年</w:t>
      </w:r>
      <w:r w:rsidR="00D43337">
        <w:rPr>
          <w:rFonts w:hint="eastAsia"/>
        </w:rPr>
        <w:t>資金運用偏重於</w:t>
      </w:r>
      <w:r w:rsidRPr="000544EB">
        <w:rPr>
          <w:rFonts w:hint="eastAsia"/>
        </w:rPr>
        <w:t>國外投資，</w:t>
      </w:r>
      <w:r w:rsidR="00A715E5" w:rsidRPr="00A715E5">
        <w:rPr>
          <w:rFonts w:hint="eastAsia"/>
        </w:rPr>
        <w:t>允宜機動調整投資策略，並加強匯率風險管理機制，俾利</w:t>
      </w:r>
      <w:r w:rsidR="00A715E5">
        <w:rPr>
          <w:rFonts w:hint="eastAsia"/>
        </w:rPr>
        <w:t>財務</w:t>
      </w:r>
      <w:r w:rsidR="00A715E5" w:rsidRPr="00A715E5">
        <w:rPr>
          <w:rFonts w:hint="eastAsia"/>
        </w:rPr>
        <w:t>穩健</w:t>
      </w:r>
      <w:bookmarkEnd w:id="2"/>
    </w:p>
    <w:p w:rsidR="00FA2182" w:rsidRPr="00A05009" w:rsidRDefault="00FA2182" w:rsidP="0056532A">
      <w:pPr>
        <w:ind w:left="566" w:firstLine="566"/>
        <w:rPr>
          <w:rFonts w:hint="eastAsia"/>
        </w:rPr>
      </w:pPr>
      <w:r w:rsidRPr="00A05009">
        <w:rPr>
          <w:rFonts w:hint="eastAsia"/>
        </w:rPr>
        <w:t>臺銀人壽11</w:t>
      </w:r>
      <w:r w:rsidR="00B44CDE" w:rsidRPr="00A05009">
        <w:rPr>
          <w:rFonts w:hint="eastAsia"/>
        </w:rPr>
        <w:t>4</w:t>
      </w:r>
      <w:r w:rsidRPr="00A05009">
        <w:rPr>
          <w:rFonts w:hint="eastAsia"/>
        </w:rPr>
        <w:t>年度預算案</w:t>
      </w:r>
      <w:r w:rsidR="00A747DA">
        <w:rPr>
          <w:rFonts w:hint="eastAsia"/>
        </w:rPr>
        <w:t>編列資金運用收益128.55億元，</w:t>
      </w:r>
      <w:r w:rsidR="006534CC">
        <w:rPr>
          <w:rFonts w:hint="eastAsia"/>
        </w:rPr>
        <w:t>較</w:t>
      </w:r>
      <w:r w:rsidR="00A747DA">
        <w:rPr>
          <w:rFonts w:hint="eastAsia"/>
        </w:rPr>
        <w:t>113年度預算數130.41億元</w:t>
      </w:r>
      <w:r w:rsidR="006534CC">
        <w:rPr>
          <w:rFonts w:hint="eastAsia"/>
        </w:rPr>
        <w:t>減少</w:t>
      </w:r>
      <w:r w:rsidR="002A33C9">
        <w:rPr>
          <w:rFonts w:hint="eastAsia"/>
        </w:rPr>
        <w:t>1.86億元，較</w:t>
      </w:r>
      <w:r w:rsidR="00A747DA">
        <w:rPr>
          <w:rFonts w:hint="eastAsia"/>
        </w:rPr>
        <w:t>112年度決算數129.7億元</w:t>
      </w:r>
      <w:r w:rsidR="002A33C9">
        <w:rPr>
          <w:rFonts w:hint="eastAsia"/>
        </w:rPr>
        <w:t>減少1.15億元</w:t>
      </w:r>
      <w:r w:rsidR="00A747DA">
        <w:rPr>
          <w:rFonts w:hint="eastAsia"/>
        </w:rPr>
        <w:t>。</w:t>
      </w:r>
      <w:r w:rsidRPr="00A05009">
        <w:rPr>
          <w:rFonts w:hint="eastAsia"/>
        </w:rPr>
        <w:t>經查：</w:t>
      </w:r>
    </w:p>
    <w:p w:rsidR="00BE3D9E" w:rsidRPr="00666C4B" w:rsidRDefault="00BE3D9E" w:rsidP="0056532A">
      <w:pPr>
        <w:pStyle w:val="a4"/>
        <w:ind w:left="849" w:hanging="283"/>
        <w:rPr>
          <w:rFonts w:hint="eastAsia"/>
        </w:rPr>
      </w:pPr>
      <w:bookmarkStart w:id="3" w:name="_Toc52779983"/>
      <w:bookmarkStart w:id="4" w:name="_Hlk147136027"/>
      <w:r w:rsidRPr="00666C4B">
        <w:rPr>
          <w:rFonts w:hint="eastAsia"/>
        </w:rPr>
        <w:t>(一)</w:t>
      </w:r>
      <w:r w:rsidR="00273D24" w:rsidRPr="00666C4B">
        <w:rPr>
          <w:rFonts w:hint="eastAsia"/>
        </w:rPr>
        <w:t>臺銀人壽</w:t>
      </w:r>
      <w:r w:rsidR="00666C4B" w:rsidRPr="00666C4B">
        <w:rPr>
          <w:rFonts w:hint="eastAsia"/>
        </w:rPr>
        <w:t>112年底資金</w:t>
      </w:r>
      <w:r w:rsidR="00670E55">
        <w:rPr>
          <w:rFonts w:hint="eastAsia"/>
        </w:rPr>
        <w:t>運用規模達</w:t>
      </w:r>
      <w:r w:rsidR="00666C4B" w:rsidRPr="00666C4B">
        <w:rPr>
          <w:rFonts w:hint="eastAsia"/>
        </w:rPr>
        <w:t>4,637億元，</w:t>
      </w:r>
      <w:r w:rsidR="00254C24">
        <w:rPr>
          <w:rFonts w:hint="eastAsia"/>
        </w:rPr>
        <w:t>資金配置</w:t>
      </w:r>
      <w:r w:rsidR="002A33C9">
        <w:rPr>
          <w:rFonts w:hint="eastAsia"/>
        </w:rPr>
        <w:t>偏重於</w:t>
      </w:r>
      <w:r w:rsidR="00666C4B" w:rsidRPr="00666C4B">
        <w:rPr>
          <w:rFonts w:hint="eastAsia"/>
        </w:rPr>
        <w:t>國外投資</w:t>
      </w:r>
      <w:r w:rsidR="00A747DA">
        <w:rPr>
          <w:rFonts w:hint="eastAsia"/>
        </w:rPr>
        <w:t>，惟其收益率</w:t>
      </w:r>
      <w:r w:rsidR="002A33C9">
        <w:rPr>
          <w:rFonts w:hint="eastAsia"/>
        </w:rPr>
        <w:t>則</w:t>
      </w:r>
      <w:r w:rsidR="00A747DA">
        <w:rPr>
          <w:rFonts w:hint="eastAsia"/>
        </w:rPr>
        <w:t>低於國內投資</w:t>
      </w:r>
    </w:p>
    <w:p w:rsidR="006E6F12" w:rsidRDefault="00335D10" w:rsidP="00BE3D9E">
      <w:pPr>
        <w:pStyle w:val="21"/>
        <w:ind w:left="850" w:firstLine="566"/>
      </w:pPr>
      <w:r>
        <w:rPr>
          <w:rFonts w:hint="eastAsia"/>
        </w:rPr>
        <w:t>有關</w:t>
      </w:r>
      <w:r w:rsidR="00666C4B">
        <w:rPr>
          <w:rFonts w:hint="eastAsia"/>
        </w:rPr>
        <w:t>臺銀人壽</w:t>
      </w:r>
      <w:r>
        <w:rPr>
          <w:rFonts w:hint="eastAsia"/>
        </w:rPr>
        <w:t>資金運用情形，</w:t>
      </w:r>
      <w:r w:rsidR="00254C24">
        <w:rPr>
          <w:rFonts w:hint="eastAsia"/>
        </w:rPr>
        <w:t>112年底資金</w:t>
      </w:r>
      <w:r w:rsidR="00670E55">
        <w:rPr>
          <w:rFonts w:hint="eastAsia"/>
        </w:rPr>
        <w:t>運用規模為</w:t>
      </w:r>
      <w:r w:rsidR="00254C24">
        <w:rPr>
          <w:rFonts w:hint="eastAsia"/>
        </w:rPr>
        <w:t>4,637</w:t>
      </w:r>
      <w:r w:rsidR="00254C24" w:rsidRPr="00970A55">
        <w:rPr>
          <w:rFonts w:hint="eastAsia"/>
        </w:rPr>
        <w:t>億元</w:t>
      </w:r>
      <w:r w:rsidR="0062656A">
        <w:rPr>
          <w:rFonts w:hint="eastAsia"/>
        </w:rPr>
        <w:t>，其中國內投資與國外投資之資金占比分別為36.88%及</w:t>
      </w:r>
      <w:r w:rsidR="00254C24" w:rsidRPr="00254C24">
        <w:t>63.12</w:t>
      </w:r>
      <w:r w:rsidR="00254C24">
        <w:rPr>
          <w:rFonts w:hint="eastAsia"/>
        </w:rPr>
        <w:t>%</w:t>
      </w:r>
      <w:r w:rsidR="00666C4B">
        <w:rPr>
          <w:rFonts w:hint="eastAsia"/>
        </w:rPr>
        <w:t>(</w:t>
      </w:r>
      <w:r w:rsidR="00666C4B" w:rsidRPr="00970A55">
        <w:rPr>
          <w:rFonts w:hint="eastAsia"/>
        </w:rPr>
        <w:t>詳表1</w:t>
      </w:r>
      <w:r w:rsidR="00666C4B">
        <w:rPr>
          <w:rFonts w:hint="eastAsia"/>
        </w:rPr>
        <w:t>)</w:t>
      </w:r>
      <w:r w:rsidR="0062656A">
        <w:rPr>
          <w:rFonts w:hint="eastAsia"/>
        </w:rPr>
        <w:t>，11</w:t>
      </w:r>
      <w:r w:rsidR="00666C4B">
        <w:rPr>
          <w:rFonts w:hint="eastAsia"/>
        </w:rPr>
        <w:t>3年9月底</w:t>
      </w:r>
      <w:r w:rsidR="0062656A">
        <w:rPr>
          <w:rFonts w:hint="eastAsia"/>
        </w:rPr>
        <w:t>實際執行情形，資金</w:t>
      </w:r>
      <w:r w:rsidR="00670E55">
        <w:rPr>
          <w:rFonts w:hint="eastAsia"/>
        </w:rPr>
        <w:t>運用規模</w:t>
      </w:r>
      <w:r>
        <w:rPr>
          <w:rFonts w:hint="eastAsia"/>
        </w:rPr>
        <w:t>為</w:t>
      </w:r>
      <w:r w:rsidR="00666C4B">
        <w:rPr>
          <w:rFonts w:hint="eastAsia"/>
        </w:rPr>
        <w:t>4,686億元</w:t>
      </w:r>
      <w:r w:rsidR="0062656A">
        <w:rPr>
          <w:rFonts w:hint="eastAsia"/>
        </w:rPr>
        <w:t>，國外投資</w:t>
      </w:r>
      <w:r w:rsidR="002A33C9">
        <w:rPr>
          <w:rFonts w:hint="eastAsia"/>
        </w:rPr>
        <w:t>占</w:t>
      </w:r>
      <w:r w:rsidR="0062656A">
        <w:rPr>
          <w:rFonts w:hint="eastAsia"/>
        </w:rPr>
        <w:t>比</w:t>
      </w:r>
      <w:r w:rsidR="002A33C9">
        <w:rPr>
          <w:rFonts w:hint="eastAsia"/>
        </w:rPr>
        <w:t>為</w:t>
      </w:r>
      <w:r w:rsidR="00666C4B">
        <w:rPr>
          <w:rFonts w:hint="eastAsia"/>
        </w:rPr>
        <w:t>64.43</w:t>
      </w:r>
      <w:r w:rsidR="00254C24">
        <w:rPr>
          <w:rFonts w:hint="eastAsia"/>
        </w:rPr>
        <w:t>%，114年度預算案</w:t>
      </w:r>
      <w:r>
        <w:rPr>
          <w:rFonts w:hint="eastAsia"/>
        </w:rPr>
        <w:t>資金運用</w:t>
      </w:r>
      <w:r w:rsidR="002A33C9">
        <w:rPr>
          <w:rFonts w:hint="eastAsia"/>
        </w:rPr>
        <w:t>規模將達4</w:t>
      </w:r>
      <w:r w:rsidR="002A33C9">
        <w:t>,</w:t>
      </w:r>
      <w:r w:rsidR="002A33C9">
        <w:rPr>
          <w:rFonts w:hint="eastAsia"/>
        </w:rPr>
        <w:t>589億元</w:t>
      </w:r>
      <w:r>
        <w:rPr>
          <w:rFonts w:hint="eastAsia"/>
        </w:rPr>
        <w:t>，</w:t>
      </w:r>
      <w:r w:rsidR="0062656A">
        <w:rPr>
          <w:rFonts w:hint="eastAsia"/>
        </w:rPr>
        <w:t>國外投資</w:t>
      </w:r>
      <w:r w:rsidR="002A33C9">
        <w:rPr>
          <w:rFonts w:hint="eastAsia"/>
        </w:rPr>
        <w:t>占比為</w:t>
      </w:r>
      <w:r w:rsidR="00254C24">
        <w:rPr>
          <w:rFonts w:hint="eastAsia"/>
        </w:rPr>
        <w:t>61.7%</w:t>
      </w:r>
      <w:r w:rsidR="002A33C9">
        <w:rPr>
          <w:rFonts w:hint="eastAsia"/>
        </w:rPr>
        <w:t>，近年來資金配置偏重於國外投資</w:t>
      </w:r>
      <w:r w:rsidR="006E6F12">
        <w:rPr>
          <w:rFonts w:hint="eastAsia"/>
        </w:rPr>
        <w:t>。</w:t>
      </w:r>
    </w:p>
    <w:p w:rsidR="006E6F12" w:rsidRPr="006E6F12" w:rsidRDefault="006E6F12" w:rsidP="00BE3D9E">
      <w:pPr>
        <w:pStyle w:val="21"/>
        <w:ind w:left="850" w:firstLine="566"/>
        <w:rPr>
          <w:rFonts w:hint="eastAsia"/>
        </w:rPr>
      </w:pPr>
      <w:r w:rsidRPr="00970A55">
        <w:rPr>
          <w:rFonts w:hint="eastAsia"/>
        </w:rPr>
        <w:t>112年</w:t>
      </w:r>
      <w:r>
        <w:rPr>
          <w:rFonts w:hint="eastAsia"/>
        </w:rPr>
        <w:t>度決算資金運用</w:t>
      </w:r>
      <w:r w:rsidRPr="00970A55">
        <w:rPr>
          <w:rFonts w:hint="eastAsia"/>
        </w:rPr>
        <w:t>收益</w:t>
      </w:r>
      <w:r>
        <w:rPr>
          <w:rFonts w:hint="eastAsia"/>
        </w:rPr>
        <w:t>129.7</w:t>
      </w:r>
      <w:r w:rsidRPr="00970A55">
        <w:rPr>
          <w:rFonts w:hint="eastAsia"/>
        </w:rPr>
        <w:t>億元</w:t>
      </w:r>
      <w:r>
        <w:rPr>
          <w:rFonts w:hint="eastAsia"/>
        </w:rPr>
        <w:t>(詳表2)</w:t>
      </w:r>
      <w:r w:rsidRPr="00970A55">
        <w:rPr>
          <w:rFonts w:hint="eastAsia"/>
        </w:rPr>
        <w:t>，收益率為2.</w:t>
      </w:r>
      <w:r>
        <w:rPr>
          <w:rFonts w:hint="eastAsia"/>
        </w:rPr>
        <w:t>8</w:t>
      </w:r>
      <w:r w:rsidR="008A435A">
        <w:t>4</w:t>
      </w:r>
      <w:r w:rsidRPr="00970A55">
        <w:rPr>
          <w:rFonts w:hint="eastAsia"/>
        </w:rPr>
        <w:t>%</w:t>
      </w:r>
      <w:r>
        <w:rPr>
          <w:rFonts w:hint="eastAsia"/>
        </w:rPr>
        <w:t>，國內投資與國外投資收益分別為57.46億元</w:t>
      </w:r>
      <w:r w:rsidR="00A747DA">
        <w:rPr>
          <w:rFonts w:hint="eastAsia"/>
        </w:rPr>
        <w:t>及</w:t>
      </w:r>
      <w:r>
        <w:rPr>
          <w:rFonts w:hint="eastAsia"/>
        </w:rPr>
        <w:t>72.25億元；</w:t>
      </w:r>
      <w:r w:rsidR="00A747DA">
        <w:rPr>
          <w:rFonts w:hint="eastAsia"/>
        </w:rPr>
        <w:t>收益率分別為3.42%及2.5%，國外投資收益率低於國</w:t>
      </w:r>
      <w:r w:rsidR="00A976A4">
        <w:rPr>
          <w:rFonts w:hint="eastAsia"/>
        </w:rPr>
        <w:t>內</w:t>
      </w:r>
      <w:r w:rsidR="00A747DA">
        <w:rPr>
          <w:rFonts w:hint="eastAsia"/>
        </w:rPr>
        <w:t>投資，113年截至9月底止</w:t>
      </w:r>
      <w:r w:rsidR="001F3C43">
        <w:rPr>
          <w:rFonts w:hint="eastAsia"/>
        </w:rPr>
        <w:t>實際執行情形</w:t>
      </w:r>
      <w:r w:rsidR="00A747DA">
        <w:rPr>
          <w:rFonts w:hint="eastAsia"/>
        </w:rPr>
        <w:t>，</w:t>
      </w:r>
      <w:r w:rsidR="001F3C43">
        <w:rPr>
          <w:rFonts w:hint="eastAsia"/>
        </w:rPr>
        <w:t>國外投資</w:t>
      </w:r>
      <w:r w:rsidR="00A747DA">
        <w:rPr>
          <w:rFonts w:hint="eastAsia"/>
        </w:rPr>
        <w:t>收益率亦低於</w:t>
      </w:r>
      <w:r w:rsidR="00A747DA">
        <w:rPr>
          <w:rFonts w:hint="eastAsia"/>
        </w:rPr>
        <w:lastRenderedPageBreak/>
        <w:t>國內投資。</w:t>
      </w:r>
      <w:r w:rsidR="00A747DA" w:rsidRPr="006E6F12">
        <w:t xml:space="preserve"> </w:t>
      </w:r>
    </w:p>
    <w:p w:rsidR="00BE3D9E" w:rsidRPr="00727C3D" w:rsidRDefault="00BE3D9E" w:rsidP="00BE3D9E">
      <w:pPr>
        <w:pStyle w:val="a4"/>
        <w:ind w:left="849" w:hanging="283"/>
        <w:rPr>
          <w:b w:val="0"/>
          <w:bCs/>
        </w:rPr>
      </w:pPr>
      <w:r w:rsidRPr="00727C3D">
        <w:rPr>
          <w:rFonts w:hint="eastAsia"/>
          <w:bCs/>
        </w:rPr>
        <w:t>(二)</w:t>
      </w:r>
      <w:r w:rsidR="00666C4B">
        <w:rPr>
          <w:rFonts w:hint="eastAsia"/>
          <w:bCs/>
        </w:rPr>
        <w:t>近年</w:t>
      </w:r>
      <w:r w:rsidR="00190F5C">
        <w:rPr>
          <w:rFonts w:hint="eastAsia"/>
          <w:bCs/>
        </w:rPr>
        <w:t>在</w:t>
      </w:r>
      <w:r w:rsidR="00666C4B">
        <w:rPr>
          <w:rFonts w:hint="eastAsia"/>
          <w:bCs/>
        </w:rPr>
        <w:t>避險成本</w:t>
      </w:r>
      <w:r w:rsidR="00D43337">
        <w:rPr>
          <w:rFonts w:hint="eastAsia"/>
          <w:bCs/>
        </w:rPr>
        <w:t>呈</w:t>
      </w:r>
      <w:r w:rsidR="00666C4B">
        <w:rPr>
          <w:rFonts w:hint="eastAsia"/>
          <w:bCs/>
        </w:rPr>
        <w:t>相對</w:t>
      </w:r>
      <w:r w:rsidR="00D43337">
        <w:rPr>
          <w:rFonts w:hint="eastAsia"/>
          <w:bCs/>
        </w:rPr>
        <w:t>較高情形</w:t>
      </w:r>
      <w:r w:rsidR="00190F5C">
        <w:rPr>
          <w:rFonts w:hint="eastAsia"/>
          <w:bCs/>
        </w:rPr>
        <w:t>下</w:t>
      </w:r>
      <w:r w:rsidR="00236CE6">
        <w:rPr>
          <w:rFonts w:hint="eastAsia"/>
          <w:bCs/>
        </w:rPr>
        <w:t>，允宜加強匯率風險管理機制</w:t>
      </w:r>
    </w:p>
    <w:p w:rsidR="00F816D4" w:rsidRDefault="00951676" w:rsidP="00236CE6">
      <w:pPr>
        <w:pStyle w:val="21"/>
        <w:ind w:left="850" w:firstLine="566"/>
        <w:rPr>
          <w:noProof/>
        </w:rPr>
      </w:pPr>
      <w:r w:rsidRPr="00951676">
        <w:rPr>
          <w:rFonts w:hint="eastAsia"/>
          <w:noProof/>
        </w:rPr>
        <w:t>檢視</w:t>
      </w:r>
      <w:r w:rsidR="00EA3C14">
        <w:rPr>
          <w:rFonts w:hint="eastAsia"/>
          <w:noProof/>
        </w:rPr>
        <w:t>臺銀人</w:t>
      </w:r>
      <w:r w:rsidRPr="00951676">
        <w:rPr>
          <w:rFonts w:hint="eastAsia"/>
          <w:noProof/>
        </w:rPr>
        <w:t>壽近年採行避險措施所衍生之避險損益與兌換損益相抵後之淨損益變化</w:t>
      </w:r>
      <w:r w:rsidR="00EA3C14">
        <w:rPr>
          <w:rFonts w:hint="eastAsia"/>
          <w:noProof/>
        </w:rPr>
        <w:t>(詳表3)</w:t>
      </w:r>
      <w:r w:rsidRPr="00951676">
        <w:rPr>
          <w:rFonts w:hint="eastAsia"/>
          <w:noProof/>
        </w:rPr>
        <w:t>，110年</w:t>
      </w:r>
      <w:r w:rsidR="005D58E4">
        <w:rPr>
          <w:rFonts w:hint="eastAsia"/>
          <w:noProof/>
        </w:rPr>
        <w:t>度</w:t>
      </w:r>
      <w:r w:rsidRPr="00951676">
        <w:rPr>
          <w:rFonts w:hint="eastAsia"/>
          <w:noProof/>
        </w:rPr>
        <w:t>淨損益雖為-</w:t>
      </w:r>
      <w:r>
        <w:rPr>
          <w:rFonts w:hint="eastAsia"/>
          <w:noProof/>
        </w:rPr>
        <w:t>29</w:t>
      </w:r>
      <w:r w:rsidR="001F3C43">
        <w:rPr>
          <w:rFonts w:hint="eastAsia"/>
          <w:noProof/>
        </w:rPr>
        <w:t>.73</w:t>
      </w:r>
      <w:r w:rsidRPr="00951676">
        <w:rPr>
          <w:rFonts w:hint="eastAsia"/>
          <w:noProof/>
        </w:rPr>
        <w:t>億元，111年</w:t>
      </w:r>
      <w:r w:rsidR="005D58E4">
        <w:rPr>
          <w:rFonts w:hint="eastAsia"/>
          <w:noProof/>
        </w:rPr>
        <w:t>度</w:t>
      </w:r>
      <w:r w:rsidRPr="00951676">
        <w:rPr>
          <w:rFonts w:hint="eastAsia"/>
          <w:noProof/>
        </w:rPr>
        <w:t>則轉為淨利益</w:t>
      </w:r>
      <w:r>
        <w:rPr>
          <w:rFonts w:hint="eastAsia"/>
          <w:noProof/>
        </w:rPr>
        <w:t>4</w:t>
      </w:r>
      <w:r w:rsidR="00D2601C">
        <w:rPr>
          <w:rFonts w:hint="eastAsia"/>
          <w:noProof/>
        </w:rPr>
        <w:t>2</w:t>
      </w:r>
      <w:r w:rsidR="001F3C43">
        <w:rPr>
          <w:rFonts w:hint="eastAsia"/>
          <w:noProof/>
        </w:rPr>
        <w:t>.38</w:t>
      </w:r>
      <w:r w:rsidRPr="00951676">
        <w:rPr>
          <w:rFonts w:hint="eastAsia"/>
          <w:noProof/>
        </w:rPr>
        <w:t>億元，惟112年</w:t>
      </w:r>
      <w:r w:rsidR="005D58E4">
        <w:rPr>
          <w:rFonts w:hint="eastAsia"/>
          <w:noProof/>
        </w:rPr>
        <w:t>度</w:t>
      </w:r>
      <w:r w:rsidRPr="00951676">
        <w:rPr>
          <w:rFonts w:hint="eastAsia"/>
          <w:noProof/>
        </w:rPr>
        <w:t>因兌換利益減少及避險成本上升致淨損益增加至-</w:t>
      </w:r>
      <w:r>
        <w:rPr>
          <w:rFonts w:hint="eastAsia"/>
          <w:noProof/>
        </w:rPr>
        <w:t>62</w:t>
      </w:r>
      <w:r w:rsidR="001F3C43">
        <w:rPr>
          <w:rFonts w:hint="eastAsia"/>
          <w:noProof/>
        </w:rPr>
        <w:t>.61</w:t>
      </w:r>
      <w:r w:rsidRPr="00951676">
        <w:rPr>
          <w:rFonts w:hint="eastAsia"/>
          <w:noProof/>
        </w:rPr>
        <w:t>億元，加計外匯價格變動準備金淨變動數後仍達-</w:t>
      </w:r>
      <w:r>
        <w:rPr>
          <w:rFonts w:hint="eastAsia"/>
          <w:noProof/>
        </w:rPr>
        <w:t>35</w:t>
      </w:r>
      <w:r w:rsidR="001F3C43">
        <w:rPr>
          <w:rFonts w:hint="eastAsia"/>
          <w:noProof/>
        </w:rPr>
        <w:t>.75</w:t>
      </w:r>
      <w:r w:rsidRPr="00951676">
        <w:rPr>
          <w:rFonts w:hint="eastAsia"/>
          <w:noProof/>
        </w:rPr>
        <w:t>億元，損</w:t>
      </w:r>
      <w:r w:rsidR="00190F5C">
        <w:rPr>
          <w:rFonts w:hint="eastAsia"/>
          <w:noProof/>
        </w:rPr>
        <w:t>益由</w:t>
      </w:r>
      <w:r w:rsidRPr="00951676">
        <w:rPr>
          <w:rFonts w:hint="eastAsia"/>
          <w:noProof/>
        </w:rPr>
        <w:t>111年度</w:t>
      </w:r>
      <w:r w:rsidR="00190F5C">
        <w:rPr>
          <w:rFonts w:hint="eastAsia"/>
          <w:noProof/>
        </w:rPr>
        <w:t>之淨利益轉為淨損失；</w:t>
      </w:r>
      <w:r w:rsidRPr="00951676">
        <w:rPr>
          <w:rFonts w:hint="eastAsia"/>
          <w:noProof/>
        </w:rPr>
        <w:t>113年截至</w:t>
      </w:r>
      <w:r>
        <w:rPr>
          <w:rFonts w:hint="eastAsia"/>
          <w:noProof/>
        </w:rPr>
        <w:t>9</w:t>
      </w:r>
      <w:r w:rsidRPr="00951676">
        <w:rPr>
          <w:rFonts w:hint="eastAsia"/>
          <w:noProof/>
        </w:rPr>
        <w:t>月底止，避險</w:t>
      </w:r>
      <w:r w:rsidR="00135E3E">
        <w:rPr>
          <w:rFonts w:hint="eastAsia"/>
          <w:noProof/>
        </w:rPr>
        <w:t>損失</w:t>
      </w:r>
      <w:r w:rsidR="00190F5C">
        <w:rPr>
          <w:rFonts w:hint="eastAsia"/>
          <w:noProof/>
        </w:rPr>
        <w:t>雖低於</w:t>
      </w:r>
      <w:r w:rsidRPr="00951676">
        <w:rPr>
          <w:rFonts w:hint="eastAsia"/>
          <w:noProof/>
        </w:rPr>
        <w:t>112年同期數額</w:t>
      </w:r>
      <w:r w:rsidR="00190F5C">
        <w:rPr>
          <w:rFonts w:hint="eastAsia"/>
          <w:noProof/>
        </w:rPr>
        <w:t>，惟兌換利益減少</w:t>
      </w:r>
      <w:r w:rsidRPr="00951676">
        <w:rPr>
          <w:rFonts w:hint="eastAsia"/>
          <w:noProof/>
        </w:rPr>
        <w:t>，爰兌換利益與避險損失相抵後之淨損益</w:t>
      </w:r>
      <w:r w:rsidR="00AB3527">
        <w:rPr>
          <w:rFonts w:hint="eastAsia"/>
          <w:noProof/>
        </w:rPr>
        <w:t>-</w:t>
      </w:r>
      <w:r w:rsidR="00D43337">
        <w:rPr>
          <w:rFonts w:hint="eastAsia"/>
          <w:noProof/>
        </w:rPr>
        <w:t>8.4</w:t>
      </w:r>
      <w:r w:rsidRPr="00951676">
        <w:rPr>
          <w:rFonts w:hint="eastAsia"/>
          <w:noProof/>
        </w:rPr>
        <w:t>億元及考量外匯價格變動準備金淨變動數後之合計數為-3</w:t>
      </w:r>
      <w:r w:rsidR="00AB3527">
        <w:rPr>
          <w:rFonts w:hint="eastAsia"/>
          <w:noProof/>
        </w:rPr>
        <w:t>0</w:t>
      </w:r>
      <w:r w:rsidR="00D43337">
        <w:rPr>
          <w:rFonts w:hint="eastAsia"/>
          <w:noProof/>
        </w:rPr>
        <w:t>.9</w:t>
      </w:r>
      <w:r w:rsidRPr="00951676">
        <w:rPr>
          <w:rFonts w:hint="eastAsia"/>
          <w:noProof/>
        </w:rPr>
        <w:t>億元</w:t>
      </w:r>
      <w:r w:rsidR="00AB3527">
        <w:rPr>
          <w:rFonts w:hint="eastAsia"/>
          <w:noProof/>
        </w:rPr>
        <w:t>與</w:t>
      </w:r>
      <w:r w:rsidRPr="00951676">
        <w:rPr>
          <w:rFonts w:hint="eastAsia"/>
          <w:noProof/>
        </w:rPr>
        <w:t>112年同期數額</w:t>
      </w:r>
      <w:r w:rsidR="00AB3527">
        <w:rPr>
          <w:rFonts w:hint="eastAsia"/>
          <w:noProof/>
        </w:rPr>
        <w:t>差</w:t>
      </w:r>
      <w:r w:rsidR="00D43337">
        <w:rPr>
          <w:rFonts w:hint="eastAsia"/>
          <w:noProof/>
        </w:rPr>
        <w:t>距大</w:t>
      </w:r>
      <w:r w:rsidRPr="00951676">
        <w:rPr>
          <w:rFonts w:hint="eastAsia"/>
          <w:noProof/>
        </w:rPr>
        <w:t>(詳表</w:t>
      </w:r>
      <w:r w:rsidR="00236CE6">
        <w:rPr>
          <w:rFonts w:hint="eastAsia"/>
          <w:noProof/>
        </w:rPr>
        <w:t>3</w:t>
      </w:r>
      <w:r w:rsidRPr="00951676">
        <w:rPr>
          <w:rFonts w:hint="eastAsia"/>
          <w:noProof/>
        </w:rPr>
        <w:t>)</w:t>
      </w:r>
      <w:r w:rsidR="0056532A">
        <w:rPr>
          <w:rFonts w:hint="eastAsia"/>
          <w:noProof/>
        </w:rPr>
        <w:t>。有鑑於</w:t>
      </w:r>
      <w:r w:rsidR="00D43337">
        <w:rPr>
          <w:rFonts w:hint="eastAsia"/>
          <w:noProof/>
        </w:rPr>
        <w:t>近年來國外投資收益率低於國內投資，且</w:t>
      </w:r>
      <w:r w:rsidR="00716D5F">
        <w:rPr>
          <w:rFonts w:hint="eastAsia"/>
          <w:noProof/>
        </w:rPr>
        <w:t>在</w:t>
      </w:r>
      <w:r w:rsidR="0056532A">
        <w:rPr>
          <w:rFonts w:hint="eastAsia"/>
        </w:rPr>
        <w:t>避險成本</w:t>
      </w:r>
      <w:r w:rsidR="00D43337">
        <w:rPr>
          <w:rFonts w:hint="eastAsia"/>
        </w:rPr>
        <w:t>呈</w:t>
      </w:r>
      <w:r w:rsidR="0056532A">
        <w:rPr>
          <w:rFonts w:hint="eastAsia"/>
        </w:rPr>
        <w:t>相對較高情形</w:t>
      </w:r>
      <w:r w:rsidR="00190F5C">
        <w:rPr>
          <w:rFonts w:hint="eastAsia"/>
        </w:rPr>
        <w:t>下</w:t>
      </w:r>
      <w:r w:rsidR="0056532A">
        <w:rPr>
          <w:rFonts w:hint="eastAsia"/>
        </w:rPr>
        <w:t>，</w:t>
      </w:r>
      <w:r w:rsidR="0056532A" w:rsidRPr="00945999">
        <w:rPr>
          <w:rFonts w:hint="eastAsia"/>
          <w:noProof/>
        </w:rPr>
        <w:t>允宜審酌整體經濟環境</w:t>
      </w:r>
      <w:r w:rsidR="0056532A">
        <w:rPr>
          <w:rFonts w:hint="eastAsia"/>
          <w:noProof/>
        </w:rPr>
        <w:t>，</w:t>
      </w:r>
      <w:r w:rsidR="0056532A" w:rsidRPr="00945999">
        <w:rPr>
          <w:rFonts w:hint="eastAsia"/>
          <w:noProof/>
        </w:rPr>
        <w:t>強化國際經濟預估能力，機動調整投資策略，並加強</w:t>
      </w:r>
      <w:r w:rsidR="0056532A">
        <w:rPr>
          <w:rFonts w:hint="eastAsia"/>
          <w:noProof/>
        </w:rPr>
        <w:t>匯率</w:t>
      </w:r>
      <w:r w:rsidR="0056532A" w:rsidRPr="00945999">
        <w:rPr>
          <w:rFonts w:hint="eastAsia"/>
          <w:noProof/>
        </w:rPr>
        <w:t>風險</w:t>
      </w:r>
      <w:r w:rsidR="00AB3527">
        <w:rPr>
          <w:rFonts w:hint="eastAsia"/>
          <w:noProof/>
        </w:rPr>
        <w:t>管理</w:t>
      </w:r>
      <w:r w:rsidR="0056532A">
        <w:rPr>
          <w:rFonts w:hint="eastAsia"/>
          <w:noProof/>
        </w:rPr>
        <w:t>機制</w:t>
      </w:r>
      <w:r w:rsidRPr="00951676">
        <w:rPr>
          <w:rFonts w:hint="eastAsia"/>
          <w:noProof/>
        </w:rPr>
        <w:t>。</w:t>
      </w:r>
    </w:p>
    <w:p w:rsidR="00A715E5" w:rsidRPr="00A715E5" w:rsidRDefault="00A715E5" w:rsidP="00A715E5">
      <w:pPr>
        <w:ind w:left="566" w:firstLine="566"/>
        <w:rPr>
          <w:rFonts w:hint="eastAsia"/>
          <w:noProof/>
        </w:rPr>
      </w:pPr>
      <w:r w:rsidRPr="00912D99">
        <w:rPr>
          <w:rFonts w:hint="eastAsia"/>
        </w:rPr>
        <w:t>綜上，</w:t>
      </w:r>
      <w:r>
        <w:rPr>
          <w:rFonts w:hint="eastAsia"/>
        </w:rPr>
        <w:t>臺銀人壽</w:t>
      </w:r>
      <w:r w:rsidR="00D43337">
        <w:rPr>
          <w:rFonts w:hint="eastAsia"/>
        </w:rPr>
        <w:t>近年資金運用偏重於</w:t>
      </w:r>
      <w:r w:rsidRPr="00945999">
        <w:rPr>
          <w:rFonts w:hint="eastAsia"/>
          <w:noProof/>
        </w:rPr>
        <w:t>國外投資</w:t>
      </w:r>
      <w:r w:rsidR="00D43337">
        <w:rPr>
          <w:rFonts w:hint="eastAsia"/>
          <w:noProof/>
        </w:rPr>
        <w:t>，</w:t>
      </w:r>
      <w:r>
        <w:rPr>
          <w:rFonts w:hint="eastAsia"/>
          <w:noProof/>
        </w:rPr>
        <w:t>占比逾6成，</w:t>
      </w:r>
      <w:r w:rsidR="00A976A4">
        <w:rPr>
          <w:rFonts w:hint="eastAsia"/>
          <w:noProof/>
        </w:rPr>
        <w:t>惟國外投資</w:t>
      </w:r>
      <w:r>
        <w:rPr>
          <w:rFonts w:hint="eastAsia"/>
          <w:noProof/>
        </w:rPr>
        <w:t>收益率低於國內投資，</w:t>
      </w:r>
      <w:r w:rsidR="00D43337">
        <w:rPr>
          <w:rFonts w:hint="eastAsia"/>
          <w:noProof/>
        </w:rPr>
        <w:t>且</w:t>
      </w:r>
      <w:r w:rsidR="00190F5C">
        <w:rPr>
          <w:rFonts w:hint="eastAsia"/>
          <w:noProof/>
        </w:rPr>
        <w:t>在</w:t>
      </w:r>
      <w:r>
        <w:rPr>
          <w:rFonts w:hint="eastAsia"/>
        </w:rPr>
        <w:t>近年避險成本</w:t>
      </w:r>
      <w:r w:rsidR="00D43337">
        <w:rPr>
          <w:rFonts w:hint="eastAsia"/>
        </w:rPr>
        <w:t>呈</w:t>
      </w:r>
      <w:r>
        <w:rPr>
          <w:rFonts w:hint="eastAsia"/>
        </w:rPr>
        <w:t>相對較高情形</w:t>
      </w:r>
      <w:r w:rsidR="00190F5C">
        <w:rPr>
          <w:rFonts w:hint="eastAsia"/>
        </w:rPr>
        <w:t>下</w:t>
      </w:r>
      <w:r>
        <w:rPr>
          <w:rFonts w:hint="eastAsia"/>
        </w:rPr>
        <w:t>，</w:t>
      </w:r>
      <w:r w:rsidRPr="00945999">
        <w:rPr>
          <w:rFonts w:hint="eastAsia"/>
          <w:noProof/>
        </w:rPr>
        <w:t>允宜審酌整體經濟環境</w:t>
      </w:r>
      <w:r>
        <w:rPr>
          <w:rFonts w:hint="eastAsia"/>
          <w:noProof/>
        </w:rPr>
        <w:t>、</w:t>
      </w:r>
      <w:r w:rsidRPr="00945999">
        <w:rPr>
          <w:rFonts w:hint="eastAsia"/>
          <w:noProof/>
        </w:rPr>
        <w:t>政治</w:t>
      </w:r>
      <w:r>
        <w:rPr>
          <w:rFonts w:hint="eastAsia"/>
          <w:noProof/>
        </w:rPr>
        <w:t>等</w:t>
      </w:r>
      <w:r w:rsidRPr="00945999">
        <w:rPr>
          <w:rFonts w:hint="eastAsia"/>
          <w:noProof/>
        </w:rPr>
        <w:t>因素，機動調整投資策略</w:t>
      </w:r>
      <w:r w:rsidR="00A976A4">
        <w:rPr>
          <w:rFonts w:hint="eastAsia"/>
          <w:noProof/>
        </w:rPr>
        <w:t>，</w:t>
      </w:r>
      <w:r w:rsidRPr="00945999">
        <w:rPr>
          <w:rFonts w:hint="eastAsia"/>
          <w:noProof/>
        </w:rPr>
        <w:t>並加強</w:t>
      </w:r>
      <w:r>
        <w:rPr>
          <w:rFonts w:hint="eastAsia"/>
          <w:noProof/>
        </w:rPr>
        <w:t>匯率</w:t>
      </w:r>
      <w:r w:rsidRPr="00945999">
        <w:rPr>
          <w:rFonts w:hint="eastAsia"/>
          <w:noProof/>
        </w:rPr>
        <w:t>風險管</w:t>
      </w:r>
      <w:r>
        <w:rPr>
          <w:rFonts w:hint="eastAsia"/>
          <w:noProof/>
        </w:rPr>
        <w:t>理機制</w:t>
      </w:r>
      <w:r w:rsidRPr="00945999">
        <w:rPr>
          <w:rFonts w:hint="eastAsia"/>
          <w:noProof/>
        </w:rPr>
        <w:t>，</w:t>
      </w:r>
      <w:r w:rsidRPr="008E75C6">
        <w:rPr>
          <w:rFonts w:hint="eastAsia"/>
        </w:rPr>
        <w:t>俾</w:t>
      </w:r>
      <w:r>
        <w:rPr>
          <w:rFonts w:hint="eastAsia"/>
        </w:rPr>
        <w:t>利財務</w:t>
      </w:r>
      <w:r w:rsidRPr="008E75C6">
        <w:rPr>
          <w:rFonts w:hint="eastAsia"/>
        </w:rPr>
        <w:t>穩健。</w:t>
      </w:r>
    </w:p>
    <w:p w:rsidR="00BE3D9E" w:rsidRDefault="00BE3D9E" w:rsidP="00C64172">
      <w:pPr>
        <w:ind w:leftChars="0" w:left="848" w:hangingChars="299" w:hanging="848"/>
        <w:rPr>
          <w:rFonts w:hAnsi="標楷體"/>
        </w:rPr>
      </w:pPr>
      <w:r w:rsidRPr="00612D26">
        <w:rPr>
          <w:rFonts w:hAnsi="標楷體" w:hint="eastAsia"/>
          <w:b/>
        </w:rPr>
        <w:t xml:space="preserve">表1  </w:t>
      </w:r>
      <w:bookmarkStart w:id="5" w:name="_Hlk181307321"/>
      <w:bookmarkStart w:id="6" w:name="_Hlk181330527"/>
      <w:r w:rsidR="00C64172">
        <w:rPr>
          <w:rFonts w:hAnsi="標楷體" w:hint="eastAsia"/>
          <w:b/>
        </w:rPr>
        <w:t>臺銀人壽</w:t>
      </w:r>
      <w:bookmarkEnd w:id="5"/>
      <w:r w:rsidRPr="00612D26">
        <w:rPr>
          <w:rFonts w:hAnsi="標楷體"/>
          <w:b/>
        </w:rPr>
        <w:t>112</w:t>
      </w:r>
      <w:r w:rsidR="00190F5C">
        <w:rPr>
          <w:rFonts w:hAnsi="標楷體" w:hint="eastAsia"/>
          <w:b/>
        </w:rPr>
        <w:t>至</w:t>
      </w:r>
      <w:r w:rsidR="00C64172">
        <w:rPr>
          <w:rFonts w:hAnsi="標楷體" w:hint="eastAsia"/>
          <w:b/>
        </w:rPr>
        <w:t>114</w:t>
      </w:r>
      <w:r w:rsidRPr="00612D26">
        <w:rPr>
          <w:rFonts w:hAnsi="標楷體" w:hint="eastAsia"/>
          <w:b/>
          <w:spacing w:val="-8"/>
        </w:rPr>
        <w:t>年度資</w:t>
      </w:r>
      <w:r>
        <w:rPr>
          <w:rFonts w:hAnsi="標楷體" w:hint="eastAsia"/>
          <w:b/>
          <w:spacing w:val="-8"/>
        </w:rPr>
        <w:t>金</w:t>
      </w:r>
      <w:r w:rsidRPr="00612D26">
        <w:rPr>
          <w:rFonts w:hAnsi="標楷體" w:hint="eastAsia"/>
          <w:b/>
          <w:spacing w:val="-8"/>
        </w:rPr>
        <w:t>配置分析表</w:t>
      </w:r>
      <w:bookmarkEnd w:id="6"/>
      <w:r>
        <w:rPr>
          <w:rFonts w:hAnsi="標楷體" w:hint="eastAsia"/>
          <w:b/>
          <w:spacing w:val="-8"/>
        </w:rPr>
        <w:t xml:space="preserve"> </w:t>
      </w:r>
      <w:r w:rsidR="00190F5C">
        <w:rPr>
          <w:rFonts w:hAnsi="標楷體" w:hint="eastAsia"/>
          <w:b/>
          <w:spacing w:val="-8"/>
        </w:rPr>
        <w:t xml:space="preserve"> </w:t>
      </w:r>
      <w:r w:rsidR="001F3C43">
        <w:rPr>
          <w:rFonts w:hAnsi="標楷體" w:hint="eastAsia"/>
          <w:b/>
          <w:spacing w:val="-8"/>
        </w:rPr>
        <w:t xml:space="preserve"> </w:t>
      </w:r>
      <w:r>
        <w:rPr>
          <w:rFonts w:hAnsi="標楷體" w:hint="eastAsia"/>
          <w:b/>
          <w:spacing w:val="-8"/>
        </w:rPr>
        <w:t xml:space="preserve">   </w:t>
      </w:r>
      <w:r w:rsidRPr="00207F7C">
        <w:rPr>
          <w:rFonts w:hAnsi="標楷體" w:hint="eastAsia"/>
          <w:bCs/>
          <w:spacing w:val="-8"/>
          <w:sz w:val="24"/>
          <w:szCs w:val="24"/>
        </w:rPr>
        <w:t>單位：新臺幣億元；%</w:t>
      </w:r>
      <w:r w:rsidRPr="004D49CA">
        <w:rPr>
          <w:rFonts w:hint="eastAsia"/>
        </w:rPr>
        <w:t xml:space="preserve">                                </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268"/>
        <w:gridCol w:w="1276"/>
        <w:gridCol w:w="992"/>
        <w:gridCol w:w="1134"/>
        <w:gridCol w:w="851"/>
        <w:gridCol w:w="992"/>
        <w:gridCol w:w="992"/>
      </w:tblGrid>
      <w:tr w:rsidR="00BE3D9E" w:rsidRPr="00612D26" w:rsidTr="00ED3881">
        <w:trPr>
          <w:trHeight w:val="76"/>
        </w:trPr>
        <w:tc>
          <w:tcPr>
            <w:tcW w:w="2268" w:type="dxa"/>
            <w:vMerge w:val="restart"/>
            <w:shd w:val="clear" w:color="auto" w:fill="auto"/>
            <w:vAlign w:val="center"/>
          </w:tcPr>
          <w:p w:rsidR="00BE3D9E" w:rsidRPr="00C64172" w:rsidRDefault="00695356" w:rsidP="00695356">
            <w:pPr>
              <w:pStyle w:val="142"/>
              <w:jc w:val="center"/>
            </w:pPr>
            <w:r>
              <w:rPr>
                <w:rFonts w:hint="eastAsia"/>
              </w:rPr>
              <w:t>年度</w:t>
            </w:r>
          </w:p>
        </w:tc>
        <w:tc>
          <w:tcPr>
            <w:tcW w:w="2268" w:type="dxa"/>
            <w:gridSpan w:val="2"/>
            <w:shd w:val="clear" w:color="auto" w:fill="auto"/>
          </w:tcPr>
          <w:p w:rsidR="00BE3D9E" w:rsidRPr="00C64172" w:rsidRDefault="00BE3D9E" w:rsidP="00C64172">
            <w:pPr>
              <w:pStyle w:val="142"/>
              <w:jc w:val="center"/>
            </w:pPr>
            <w:r w:rsidRPr="00C64172">
              <w:rPr>
                <w:rFonts w:hint="eastAsia"/>
              </w:rPr>
              <w:t>國內投資</w:t>
            </w:r>
          </w:p>
        </w:tc>
        <w:tc>
          <w:tcPr>
            <w:tcW w:w="1985" w:type="dxa"/>
            <w:gridSpan w:val="2"/>
            <w:shd w:val="clear" w:color="auto" w:fill="auto"/>
          </w:tcPr>
          <w:p w:rsidR="00BE3D9E" w:rsidRPr="00C64172" w:rsidRDefault="00BE3D9E" w:rsidP="00C64172">
            <w:pPr>
              <w:pStyle w:val="142"/>
              <w:jc w:val="center"/>
            </w:pPr>
            <w:r w:rsidRPr="00C64172">
              <w:rPr>
                <w:rFonts w:hint="eastAsia"/>
              </w:rPr>
              <w:t>國外投資</w:t>
            </w:r>
          </w:p>
        </w:tc>
        <w:tc>
          <w:tcPr>
            <w:tcW w:w="1984" w:type="dxa"/>
            <w:gridSpan w:val="2"/>
          </w:tcPr>
          <w:p w:rsidR="00BE3D9E" w:rsidRPr="00C64172" w:rsidRDefault="00BE3D9E" w:rsidP="00C64172">
            <w:pPr>
              <w:pStyle w:val="142"/>
              <w:jc w:val="center"/>
            </w:pPr>
            <w:r w:rsidRPr="00C64172">
              <w:rPr>
                <w:rFonts w:hint="eastAsia"/>
              </w:rPr>
              <w:t>合計</w:t>
            </w:r>
          </w:p>
        </w:tc>
      </w:tr>
      <w:tr w:rsidR="00BE3D9E" w:rsidRPr="00976512" w:rsidTr="00ED3881">
        <w:trPr>
          <w:trHeight w:val="76"/>
        </w:trPr>
        <w:tc>
          <w:tcPr>
            <w:tcW w:w="2268" w:type="dxa"/>
            <w:vMerge/>
            <w:shd w:val="clear" w:color="auto" w:fill="auto"/>
            <w:vAlign w:val="center"/>
          </w:tcPr>
          <w:p w:rsidR="00BE3D9E" w:rsidRPr="00C64172" w:rsidRDefault="00BE3D9E" w:rsidP="00C64172">
            <w:pPr>
              <w:pStyle w:val="142"/>
            </w:pPr>
          </w:p>
        </w:tc>
        <w:tc>
          <w:tcPr>
            <w:tcW w:w="1276" w:type="dxa"/>
            <w:shd w:val="clear" w:color="auto" w:fill="auto"/>
            <w:vAlign w:val="center"/>
          </w:tcPr>
          <w:p w:rsidR="00BE3D9E" w:rsidRPr="00C64172" w:rsidRDefault="00BE3D9E" w:rsidP="00C64172">
            <w:pPr>
              <w:pStyle w:val="142"/>
              <w:jc w:val="center"/>
            </w:pPr>
            <w:r w:rsidRPr="00C64172">
              <w:rPr>
                <w:rFonts w:hint="eastAsia"/>
              </w:rPr>
              <w:t>投資金額</w:t>
            </w:r>
          </w:p>
        </w:tc>
        <w:tc>
          <w:tcPr>
            <w:tcW w:w="992" w:type="dxa"/>
            <w:shd w:val="clear" w:color="auto" w:fill="auto"/>
            <w:vAlign w:val="center"/>
          </w:tcPr>
          <w:p w:rsidR="00ED3881" w:rsidRDefault="00BE3D9E" w:rsidP="00C64172">
            <w:pPr>
              <w:pStyle w:val="142"/>
              <w:jc w:val="center"/>
            </w:pPr>
            <w:r w:rsidRPr="00C64172">
              <w:rPr>
                <w:rFonts w:hint="eastAsia"/>
              </w:rPr>
              <w:t>投資</w:t>
            </w:r>
          </w:p>
          <w:p w:rsidR="00BE3D9E" w:rsidRPr="00C64172" w:rsidRDefault="00BE3D9E" w:rsidP="00C64172">
            <w:pPr>
              <w:pStyle w:val="142"/>
              <w:jc w:val="center"/>
            </w:pPr>
            <w:r w:rsidRPr="00C64172">
              <w:rPr>
                <w:rFonts w:hint="eastAsia"/>
              </w:rPr>
              <w:t>比率</w:t>
            </w:r>
          </w:p>
        </w:tc>
        <w:tc>
          <w:tcPr>
            <w:tcW w:w="1134" w:type="dxa"/>
            <w:shd w:val="clear" w:color="auto" w:fill="auto"/>
            <w:vAlign w:val="center"/>
          </w:tcPr>
          <w:p w:rsidR="00BE3D9E" w:rsidRPr="00C64172" w:rsidRDefault="00BE3D9E" w:rsidP="00C64172">
            <w:pPr>
              <w:pStyle w:val="142"/>
              <w:jc w:val="center"/>
            </w:pPr>
            <w:r w:rsidRPr="00C64172">
              <w:rPr>
                <w:rFonts w:hint="eastAsia"/>
              </w:rPr>
              <w:t>投資金額</w:t>
            </w:r>
          </w:p>
        </w:tc>
        <w:tc>
          <w:tcPr>
            <w:tcW w:w="851" w:type="dxa"/>
            <w:shd w:val="clear" w:color="auto" w:fill="auto"/>
            <w:vAlign w:val="center"/>
          </w:tcPr>
          <w:p w:rsidR="00BE3D9E" w:rsidRPr="00C64172" w:rsidRDefault="00BE3D9E" w:rsidP="00C64172">
            <w:pPr>
              <w:pStyle w:val="142"/>
              <w:jc w:val="center"/>
            </w:pPr>
            <w:r w:rsidRPr="00C64172">
              <w:rPr>
                <w:rFonts w:hint="eastAsia"/>
              </w:rPr>
              <w:t>投資</w:t>
            </w:r>
          </w:p>
          <w:p w:rsidR="00BE3D9E" w:rsidRPr="00C64172" w:rsidRDefault="00BE3D9E" w:rsidP="00C64172">
            <w:pPr>
              <w:pStyle w:val="142"/>
              <w:jc w:val="center"/>
            </w:pPr>
            <w:r w:rsidRPr="00C64172">
              <w:rPr>
                <w:rFonts w:hint="eastAsia"/>
              </w:rPr>
              <w:t>比率</w:t>
            </w:r>
          </w:p>
        </w:tc>
        <w:tc>
          <w:tcPr>
            <w:tcW w:w="992" w:type="dxa"/>
            <w:vAlign w:val="center"/>
          </w:tcPr>
          <w:p w:rsidR="00BE3D9E" w:rsidRPr="00C64172" w:rsidRDefault="00BE3D9E" w:rsidP="00C64172">
            <w:pPr>
              <w:pStyle w:val="142"/>
              <w:jc w:val="center"/>
            </w:pPr>
            <w:r w:rsidRPr="00C64172">
              <w:rPr>
                <w:rFonts w:hint="eastAsia"/>
              </w:rPr>
              <w:t>投資金額</w:t>
            </w:r>
          </w:p>
        </w:tc>
        <w:tc>
          <w:tcPr>
            <w:tcW w:w="992" w:type="dxa"/>
            <w:shd w:val="clear" w:color="auto" w:fill="auto"/>
            <w:vAlign w:val="center"/>
          </w:tcPr>
          <w:p w:rsidR="00BE3D9E" w:rsidRPr="00C64172" w:rsidRDefault="00BE3D9E" w:rsidP="00C64172">
            <w:pPr>
              <w:pStyle w:val="142"/>
              <w:jc w:val="center"/>
            </w:pPr>
            <w:r w:rsidRPr="00C64172">
              <w:rPr>
                <w:rFonts w:hint="eastAsia"/>
              </w:rPr>
              <w:t>投資</w:t>
            </w:r>
          </w:p>
          <w:p w:rsidR="00BE3D9E" w:rsidRPr="00C64172" w:rsidRDefault="00BE3D9E" w:rsidP="00C64172">
            <w:pPr>
              <w:pStyle w:val="142"/>
              <w:jc w:val="center"/>
            </w:pPr>
            <w:r w:rsidRPr="00C64172">
              <w:rPr>
                <w:rFonts w:hint="eastAsia"/>
              </w:rPr>
              <w:t>比率</w:t>
            </w:r>
          </w:p>
        </w:tc>
      </w:tr>
      <w:tr w:rsidR="00C64172" w:rsidRPr="00976512" w:rsidTr="00ED3881">
        <w:trPr>
          <w:trHeight w:val="76"/>
        </w:trPr>
        <w:tc>
          <w:tcPr>
            <w:tcW w:w="2268" w:type="dxa"/>
            <w:shd w:val="clear" w:color="auto" w:fill="auto"/>
          </w:tcPr>
          <w:p w:rsidR="00C64172" w:rsidRPr="00C64172" w:rsidRDefault="00C64172" w:rsidP="00C64172">
            <w:pPr>
              <w:pStyle w:val="142"/>
            </w:pPr>
            <w:r w:rsidRPr="00C504BA">
              <w:rPr>
                <w:rFonts w:hint="eastAsia"/>
              </w:rPr>
              <w:t>112(預算</w:t>
            </w:r>
            <w:r w:rsidR="00695356">
              <w:rPr>
                <w:rFonts w:hint="eastAsia"/>
              </w:rPr>
              <w:t>數</w:t>
            </w:r>
            <w:r w:rsidRPr="00C504BA">
              <w:rPr>
                <w:rFonts w:hint="eastAsia"/>
              </w:rPr>
              <w:t>)</w:t>
            </w:r>
          </w:p>
        </w:tc>
        <w:tc>
          <w:tcPr>
            <w:tcW w:w="1276" w:type="dxa"/>
            <w:shd w:val="clear" w:color="auto" w:fill="auto"/>
          </w:tcPr>
          <w:p w:rsidR="00C64172" w:rsidRPr="00C64172" w:rsidRDefault="00C64172" w:rsidP="00C64172">
            <w:pPr>
              <w:pStyle w:val="142"/>
              <w:jc w:val="right"/>
            </w:pPr>
            <w:r w:rsidRPr="00C504BA">
              <w:rPr>
                <w:rFonts w:hint="eastAsia"/>
              </w:rPr>
              <w:t>2,065</w:t>
            </w:r>
          </w:p>
        </w:tc>
        <w:tc>
          <w:tcPr>
            <w:tcW w:w="992" w:type="dxa"/>
            <w:shd w:val="clear" w:color="auto" w:fill="auto"/>
          </w:tcPr>
          <w:p w:rsidR="00C64172" w:rsidRPr="00C64172" w:rsidRDefault="00C64172" w:rsidP="00C64172">
            <w:pPr>
              <w:pStyle w:val="142"/>
              <w:jc w:val="right"/>
            </w:pPr>
            <w:r w:rsidRPr="00C504BA">
              <w:rPr>
                <w:rFonts w:hint="eastAsia"/>
              </w:rPr>
              <w:t>44.63</w:t>
            </w:r>
          </w:p>
        </w:tc>
        <w:tc>
          <w:tcPr>
            <w:tcW w:w="1134" w:type="dxa"/>
            <w:shd w:val="clear" w:color="auto" w:fill="auto"/>
          </w:tcPr>
          <w:p w:rsidR="00C64172" w:rsidRPr="00C64172" w:rsidRDefault="00C64172" w:rsidP="00C64172">
            <w:pPr>
              <w:pStyle w:val="142"/>
              <w:jc w:val="right"/>
            </w:pPr>
            <w:r w:rsidRPr="00C504BA">
              <w:rPr>
                <w:rFonts w:hint="eastAsia"/>
              </w:rPr>
              <w:t>2,562</w:t>
            </w:r>
          </w:p>
        </w:tc>
        <w:tc>
          <w:tcPr>
            <w:tcW w:w="851" w:type="dxa"/>
            <w:shd w:val="clear" w:color="auto" w:fill="auto"/>
          </w:tcPr>
          <w:p w:rsidR="00C64172" w:rsidRPr="00C64172" w:rsidRDefault="00C64172" w:rsidP="00C64172">
            <w:pPr>
              <w:pStyle w:val="142"/>
              <w:jc w:val="right"/>
            </w:pPr>
            <w:r w:rsidRPr="00C504BA">
              <w:rPr>
                <w:rFonts w:hint="eastAsia"/>
              </w:rPr>
              <w:t>55.37</w:t>
            </w:r>
          </w:p>
        </w:tc>
        <w:tc>
          <w:tcPr>
            <w:tcW w:w="992" w:type="dxa"/>
          </w:tcPr>
          <w:p w:rsidR="00C64172" w:rsidRPr="00C64172" w:rsidRDefault="00C64172" w:rsidP="00C64172">
            <w:pPr>
              <w:pStyle w:val="142"/>
              <w:jc w:val="right"/>
            </w:pPr>
            <w:r w:rsidRPr="00C504BA">
              <w:rPr>
                <w:rFonts w:hint="eastAsia"/>
              </w:rPr>
              <w:t>4,627</w:t>
            </w:r>
          </w:p>
        </w:tc>
        <w:tc>
          <w:tcPr>
            <w:tcW w:w="992" w:type="dxa"/>
            <w:shd w:val="clear" w:color="auto" w:fill="auto"/>
          </w:tcPr>
          <w:p w:rsidR="00C64172" w:rsidRPr="00C64172" w:rsidRDefault="00C64172" w:rsidP="00C64172">
            <w:pPr>
              <w:pStyle w:val="142"/>
              <w:jc w:val="right"/>
            </w:pPr>
            <w:r w:rsidRPr="00C504BA">
              <w:rPr>
                <w:rFonts w:hint="eastAsia"/>
              </w:rPr>
              <w:t>100</w:t>
            </w:r>
          </w:p>
        </w:tc>
      </w:tr>
      <w:tr w:rsidR="00C64172" w:rsidRPr="00976512" w:rsidTr="00ED3881">
        <w:trPr>
          <w:trHeight w:val="76"/>
        </w:trPr>
        <w:tc>
          <w:tcPr>
            <w:tcW w:w="2268" w:type="dxa"/>
            <w:shd w:val="clear" w:color="auto" w:fill="auto"/>
          </w:tcPr>
          <w:p w:rsidR="00C64172" w:rsidRPr="00C64172" w:rsidRDefault="00C64172" w:rsidP="00C64172">
            <w:pPr>
              <w:pStyle w:val="142"/>
            </w:pPr>
            <w:bookmarkStart w:id="7" w:name="_Hlk181690899"/>
            <w:r w:rsidRPr="00C504BA">
              <w:rPr>
                <w:rFonts w:hint="eastAsia"/>
              </w:rPr>
              <w:t>112(決算</w:t>
            </w:r>
            <w:r w:rsidR="00695356">
              <w:rPr>
                <w:rFonts w:hint="eastAsia"/>
              </w:rPr>
              <w:t>數</w:t>
            </w:r>
            <w:r w:rsidRPr="00C504BA">
              <w:rPr>
                <w:rFonts w:hint="eastAsia"/>
              </w:rPr>
              <w:t>)</w:t>
            </w:r>
          </w:p>
        </w:tc>
        <w:tc>
          <w:tcPr>
            <w:tcW w:w="1276" w:type="dxa"/>
            <w:shd w:val="clear" w:color="auto" w:fill="auto"/>
          </w:tcPr>
          <w:p w:rsidR="00C64172" w:rsidRPr="00C64172" w:rsidRDefault="00C64172" w:rsidP="00C64172">
            <w:pPr>
              <w:pStyle w:val="142"/>
              <w:jc w:val="right"/>
            </w:pPr>
            <w:r w:rsidRPr="00C504BA">
              <w:rPr>
                <w:rFonts w:hint="eastAsia"/>
              </w:rPr>
              <w:t>1,710</w:t>
            </w:r>
          </w:p>
        </w:tc>
        <w:tc>
          <w:tcPr>
            <w:tcW w:w="992" w:type="dxa"/>
            <w:shd w:val="clear" w:color="auto" w:fill="auto"/>
          </w:tcPr>
          <w:p w:rsidR="00C64172" w:rsidRPr="00C64172" w:rsidRDefault="00C64172" w:rsidP="00C64172">
            <w:pPr>
              <w:pStyle w:val="142"/>
              <w:jc w:val="right"/>
            </w:pPr>
            <w:r w:rsidRPr="00C504BA">
              <w:rPr>
                <w:rFonts w:hint="eastAsia"/>
              </w:rPr>
              <w:t>36.88</w:t>
            </w:r>
          </w:p>
        </w:tc>
        <w:tc>
          <w:tcPr>
            <w:tcW w:w="1134" w:type="dxa"/>
            <w:shd w:val="clear" w:color="auto" w:fill="auto"/>
          </w:tcPr>
          <w:p w:rsidR="00C64172" w:rsidRPr="00C64172" w:rsidRDefault="00C64172" w:rsidP="00C64172">
            <w:pPr>
              <w:pStyle w:val="142"/>
              <w:jc w:val="right"/>
            </w:pPr>
            <w:r w:rsidRPr="00C504BA">
              <w:rPr>
                <w:rFonts w:hint="eastAsia"/>
              </w:rPr>
              <w:t>2,927</w:t>
            </w:r>
          </w:p>
        </w:tc>
        <w:tc>
          <w:tcPr>
            <w:tcW w:w="851" w:type="dxa"/>
            <w:shd w:val="clear" w:color="auto" w:fill="auto"/>
          </w:tcPr>
          <w:p w:rsidR="00C64172" w:rsidRPr="00C64172" w:rsidRDefault="00C64172" w:rsidP="00C64172">
            <w:pPr>
              <w:pStyle w:val="142"/>
              <w:jc w:val="right"/>
            </w:pPr>
            <w:r w:rsidRPr="00C504BA">
              <w:rPr>
                <w:rFonts w:hint="eastAsia"/>
              </w:rPr>
              <w:t>63.12</w:t>
            </w:r>
          </w:p>
        </w:tc>
        <w:tc>
          <w:tcPr>
            <w:tcW w:w="992" w:type="dxa"/>
          </w:tcPr>
          <w:p w:rsidR="00C64172" w:rsidRPr="00C64172" w:rsidRDefault="00C64172" w:rsidP="00C64172">
            <w:pPr>
              <w:pStyle w:val="142"/>
              <w:jc w:val="right"/>
            </w:pPr>
            <w:r w:rsidRPr="00C504BA">
              <w:rPr>
                <w:rFonts w:hint="eastAsia"/>
              </w:rPr>
              <w:t>4,637</w:t>
            </w:r>
          </w:p>
        </w:tc>
        <w:tc>
          <w:tcPr>
            <w:tcW w:w="992" w:type="dxa"/>
            <w:shd w:val="clear" w:color="auto" w:fill="auto"/>
          </w:tcPr>
          <w:p w:rsidR="00C64172" w:rsidRPr="00C64172" w:rsidRDefault="00C64172" w:rsidP="00C64172">
            <w:pPr>
              <w:pStyle w:val="142"/>
              <w:jc w:val="right"/>
            </w:pPr>
            <w:r w:rsidRPr="00C504BA">
              <w:rPr>
                <w:rFonts w:hint="eastAsia"/>
              </w:rPr>
              <w:t>100</w:t>
            </w:r>
          </w:p>
        </w:tc>
      </w:tr>
      <w:bookmarkEnd w:id="7"/>
      <w:tr w:rsidR="00C64172" w:rsidRPr="00976512" w:rsidTr="00ED3881">
        <w:trPr>
          <w:trHeight w:val="76"/>
        </w:trPr>
        <w:tc>
          <w:tcPr>
            <w:tcW w:w="2268" w:type="dxa"/>
            <w:tcBorders>
              <w:left w:val="single" w:sz="12" w:space="0" w:color="auto"/>
              <w:right w:val="single" w:sz="4" w:space="0" w:color="auto"/>
            </w:tcBorders>
            <w:shd w:val="clear" w:color="auto" w:fill="auto"/>
          </w:tcPr>
          <w:p w:rsidR="00C64172" w:rsidRPr="00C64172" w:rsidRDefault="00C64172" w:rsidP="00C64172">
            <w:pPr>
              <w:pStyle w:val="142"/>
            </w:pPr>
            <w:r w:rsidRPr="00C504BA">
              <w:rPr>
                <w:rFonts w:hint="eastAsia"/>
              </w:rPr>
              <w:t>113(預算</w:t>
            </w:r>
            <w:r w:rsidR="00695356">
              <w:rPr>
                <w:rFonts w:hint="eastAsia"/>
              </w:rPr>
              <w:t>數</w:t>
            </w:r>
            <w:r w:rsidRPr="00C504BA">
              <w:rPr>
                <w:rFonts w:hint="eastAsia"/>
              </w:rPr>
              <w:t>)</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C64172" w:rsidRPr="00C64172" w:rsidRDefault="00C64172" w:rsidP="00C64172">
            <w:pPr>
              <w:pStyle w:val="142"/>
              <w:jc w:val="right"/>
            </w:pPr>
            <w:r w:rsidRPr="00C504BA">
              <w:rPr>
                <w:rFonts w:hint="eastAsia"/>
              </w:rPr>
              <w:t>1,852</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64172" w:rsidRPr="00C64172" w:rsidRDefault="00C64172" w:rsidP="00C64172">
            <w:pPr>
              <w:pStyle w:val="142"/>
              <w:jc w:val="right"/>
            </w:pPr>
            <w:r w:rsidRPr="00C504BA">
              <w:rPr>
                <w:rFonts w:hint="eastAsia"/>
              </w:rPr>
              <w:t>39.69</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64172" w:rsidRPr="00C64172" w:rsidRDefault="00C64172" w:rsidP="00C64172">
            <w:pPr>
              <w:pStyle w:val="142"/>
              <w:jc w:val="right"/>
            </w:pPr>
            <w:r w:rsidRPr="00C504BA">
              <w:rPr>
                <w:rFonts w:hint="eastAsia"/>
              </w:rPr>
              <w:t>2,813</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64172" w:rsidRPr="00C64172" w:rsidRDefault="00C64172" w:rsidP="00C64172">
            <w:pPr>
              <w:pStyle w:val="142"/>
              <w:jc w:val="right"/>
            </w:pPr>
            <w:r w:rsidRPr="00C504BA">
              <w:rPr>
                <w:rFonts w:hint="eastAsia"/>
              </w:rPr>
              <w:t>60.31</w:t>
            </w:r>
          </w:p>
        </w:tc>
        <w:tc>
          <w:tcPr>
            <w:tcW w:w="992" w:type="dxa"/>
            <w:tcBorders>
              <w:top w:val="single" w:sz="4" w:space="0" w:color="auto"/>
              <w:left w:val="single" w:sz="4" w:space="0" w:color="auto"/>
              <w:bottom w:val="single" w:sz="4" w:space="0" w:color="auto"/>
              <w:right w:val="single" w:sz="4" w:space="0" w:color="auto"/>
            </w:tcBorders>
          </w:tcPr>
          <w:p w:rsidR="00C64172" w:rsidRPr="00C64172" w:rsidRDefault="00C64172" w:rsidP="00C64172">
            <w:pPr>
              <w:pStyle w:val="142"/>
              <w:jc w:val="right"/>
            </w:pPr>
            <w:r w:rsidRPr="00C504BA">
              <w:rPr>
                <w:rFonts w:hint="eastAsia"/>
              </w:rPr>
              <w:t>4,665</w:t>
            </w:r>
          </w:p>
        </w:tc>
        <w:tc>
          <w:tcPr>
            <w:tcW w:w="992" w:type="dxa"/>
            <w:tcBorders>
              <w:top w:val="single" w:sz="4" w:space="0" w:color="auto"/>
              <w:left w:val="single" w:sz="4" w:space="0" w:color="auto"/>
              <w:bottom w:val="single" w:sz="4" w:space="0" w:color="auto"/>
              <w:right w:val="single" w:sz="12" w:space="0" w:color="auto"/>
            </w:tcBorders>
            <w:shd w:val="clear" w:color="auto" w:fill="auto"/>
          </w:tcPr>
          <w:p w:rsidR="00C64172" w:rsidRPr="00C64172" w:rsidRDefault="00C64172" w:rsidP="00C64172">
            <w:pPr>
              <w:pStyle w:val="142"/>
              <w:jc w:val="right"/>
            </w:pPr>
            <w:r w:rsidRPr="00C504BA">
              <w:rPr>
                <w:rFonts w:hint="eastAsia"/>
              </w:rPr>
              <w:t>100</w:t>
            </w:r>
          </w:p>
        </w:tc>
      </w:tr>
      <w:tr w:rsidR="00C64172" w:rsidRPr="00976512" w:rsidTr="00ED3881">
        <w:trPr>
          <w:trHeight w:val="76"/>
        </w:trPr>
        <w:tc>
          <w:tcPr>
            <w:tcW w:w="2268" w:type="dxa"/>
            <w:tcBorders>
              <w:left w:val="single" w:sz="12" w:space="0" w:color="auto"/>
              <w:right w:val="single" w:sz="4" w:space="0" w:color="auto"/>
            </w:tcBorders>
            <w:shd w:val="clear" w:color="auto" w:fill="auto"/>
          </w:tcPr>
          <w:p w:rsidR="00C64172" w:rsidRPr="00C64172" w:rsidRDefault="00C64172" w:rsidP="00C64172">
            <w:pPr>
              <w:pStyle w:val="142"/>
            </w:pPr>
            <w:r w:rsidRPr="00C504BA">
              <w:rPr>
                <w:rFonts w:hint="eastAsia"/>
              </w:rPr>
              <w:t>113(9月底實際數)</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C64172" w:rsidRPr="00C64172" w:rsidRDefault="00C64172" w:rsidP="00C64172">
            <w:pPr>
              <w:pStyle w:val="142"/>
              <w:jc w:val="right"/>
              <w:rPr>
                <w:rFonts w:hint="eastAsia"/>
              </w:rPr>
            </w:pPr>
            <w:r w:rsidRPr="00C504BA">
              <w:rPr>
                <w:rFonts w:hint="eastAsia"/>
              </w:rPr>
              <w:t>1,667</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64172" w:rsidRPr="00C64172" w:rsidRDefault="00C64172" w:rsidP="00C64172">
            <w:pPr>
              <w:pStyle w:val="142"/>
              <w:jc w:val="right"/>
              <w:rPr>
                <w:rFonts w:hint="eastAsia"/>
              </w:rPr>
            </w:pPr>
            <w:r w:rsidRPr="00C504BA">
              <w:rPr>
                <w:rFonts w:hint="eastAsia"/>
              </w:rPr>
              <w:t>35.57</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64172" w:rsidRPr="00C64172" w:rsidRDefault="00C64172" w:rsidP="00C64172">
            <w:pPr>
              <w:pStyle w:val="142"/>
              <w:jc w:val="right"/>
              <w:rPr>
                <w:rFonts w:hint="eastAsia"/>
              </w:rPr>
            </w:pPr>
            <w:r w:rsidRPr="00C504BA">
              <w:rPr>
                <w:rFonts w:hint="eastAsia"/>
              </w:rPr>
              <w:t>3,019</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64172" w:rsidRPr="00C64172" w:rsidRDefault="00C64172" w:rsidP="00C64172">
            <w:pPr>
              <w:pStyle w:val="142"/>
              <w:jc w:val="right"/>
              <w:rPr>
                <w:rFonts w:hint="eastAsia"/>
              </w:rPr>
            </w:pPr>
            <w:r w:rsidRPr="00C504BA">
              <w:rPr>
                <w:rFonts w:hint="eastAsia"/>
              </w:rPr>
              <w:t>64.43</w:t>
            </w:r>
          </w:p>
        </w:tc>
        <w:tc>
          <w:tcPr>
            <w:tcW w:w="992" w:type="dxa"/>
            <w:tcBorders>
              <w:top w:val="single" w:sz="4" w:space="0" w:color="auto"/>
              <w:left w:val="single" w:sz="4" w:space="0" w:color="auto"/>
              <w:bottom w:val="single" w:sz="4" w:space="0" w:color="auto"/>
              <w:right w:val="single" w:sz="4" w:space="0" w:color="auto"/>
            </w:tcBorders>
          </w:tcPr>
          <w:p w:rsidR="00C64172" w:rsidRPr="00C64172" w:rsidRDefault="00C64172" w:rsidP="00C64172">
            <w:pPr>
              <w:pStyle w:val="142"/>
              <w:jc w:val="right"/>
              <w:rPr>
                <w:rFonts w:hint="eastAsia"/>
              </w:rPr>
            </w:pPr>
            <w:r w:rsidRPr="00C504BA">
              <w:rPr>
                <w:rFonts w:hint="eastAsia"/>
              </w:rPr>
              <w:t>4,686</w:t>
            </w:r>
          </w:p>
        </w:tc>
        <w:tc>
          <w:tcPr>
            <w:tcW w:w="992" w:type="dxa"/>
            <w:tcBorders>
              <w:top w:val="single" w:sz="4" w:space="0" w:color="auto"/>
              <w:left w:val="single" w:sz="4" w:space="0" w:color="auto"/>
              <w:bottom w:val="single" w:sz="4" w:space="0" w:color="auto"/>
              <w:right w:val="single" w:sz="12" w:space="0" w:color="auto"/>
            </w:tcBorders>
            <w:shd w:val="clear" w:color="auto" w:fill="auto"/>
          </w:tcPr>
          <w:p w:rsidR="00C64172" w:rsidRPr="00C64172" w:rsidRDefault="00C64172" w:rsidP="00C64172">
            <w:pPr>
              <w:pStyle w:val="142"/>
              <w:jc w:val="right"/>
              <w:rPr>
                <w:rFonts w:hint="eastAsia"/>
              </w:rPr>
            </w:pPr>
            <w:r w:rsidRPr="00C504BA">
              <w:rPr>
                <w:rFonts w:hint="eastAsia"/>
              </w:rPr>
              <w:t>100</w:t>
            </w:r>
          </w:p>
        </w:tc>
      </w:tr>
      <w:tr w:rsidR="00C64172" w:rsidRPr="00976512" w:rsidTr="00ED3881">
        <w:trPr>
          <w:trHeight w:val="76"/>
        </w:trPr>
        <w:tc>
          <w:tcPr>
            <w:tcW w:w="2268" w:type="dxa"/>
            <w:tcBorders>
              <w:left w:val="single" w:sz="12" w:space="0" w:color="auto"/>
              <w:bottom w:val="single" w:sz="12" w:space="0" w:color="auto"/>
              <w:right w:val="single" w:sz="4" w:space="0" w:color="auto"/>
            </w:tcBorders>
            <w:shd w:val="clear" w:color="auto" w:fill="auto"/>
          </w:tcPr>
          <w:p w:rsidR="00C64172" w:rsidRPr="00C64172" w:rsidRDefault="00C64172" w:rsidP="00C64172">
            <w:pPr>
              <w:pStyle w:val="142"/>
            </w:pPr>
            <w:r w:rsidRPr="00C504BA">
              <w:rPr>
                <w:rFonts w:hint="eastAsia"/>
              </w:rPr>
              <w:t>114(預算</w:t>
            </w:r>
            <w:r w:rsidR="00695356">
              <w:rPr>
                <w:rFonts w:hint="eastAsia"/>
              </w:rPr>
              <w:t>數</w:t>
            </w:r>
            <w:r w:rsidRPr="00C504BA">
              <w:rPr>
                <w:rFonts w:hint="eastAsia"/>
              </w:rPr>
              <w:t>)</w:t>
            </w:r>
          </w:p>
        </w:tc>
        <w:tc>
          <w:tcPr>
            <w:tcW w:w="1276" w:type="dxa"/>
            <w:tcBorders>
              <w:top w:val="single" w:sz="4" w:space="0" w:color="auto"/>
              <w:left w:val="single" w:sz="4" w:space="0" w:color="auto"/>
              <w:bottom w:val="single" w:sz="12" w:space="0" w:color="auto"/>
              <w:right w:val="single" w:sz="4" w:space="0" w:color="auto"/>
            </w:tcBorders>
            <w:shd w:val="clear" w:color="auto" w:fill="auto"/>
          </w:tcPr>
          <w:p w:rsidR="00C64172" w:rsidRPr="00C64172" w:rsidRDefault="00C64172" w:rsidP="00C64172">
            <w:pPr>
              <w:pStyle w:val="142"/>
              <w:jc w:val="right"/>
            </w:pPr>
            <w:r w:rsidRPr="00C504BA">
              <w:rPr>
                <w:rFonts w:hint="eastAsia"/>
              </w:rPr>
              <w:t>1,758</w:t>
            </w:r>
          </w:p>
        </w:tc>
        <w:tc>
          <w:tcPr>
            <w:tcW w:w="992" w:type="dxa"/>
            <w:tcBorders>
              <w:top w:val="single" w:sz="4" w:space="0" w:color="auto"/>
              <w:left w:val="single" w:sz="4" w:space="0" w:color="auto"/>
              <w:bottom w:val="single" w:sz="12" w:space="0" w:color="auto"/>
              <w:right w:val="single" w:sz="4" w:space="0" w:color="auto"/>
            </w:tcBorders>
            <w:shd w:val="clear" w:color="auto" w:fill="auto"/>
          </w:tcPr>
          <w:p w:rsidR="00C64172" w:rsidRPr="00C64172" w:rsidRDefault="00C64172" w:rsidP="00C64172">
            <w:pPr>
              <w:pStyle w:val="142"/>
              <w:jc w:val="right"/>
            </w:pPr>
            <w:r w:rsidRPr="00C504BA">
              <w:rPr>
                <w:rFonts w:hint="eastAsia"/>
              </w:rPr>
              <w:t>38.30</w:t>
            </w:r>
          </w:p>
        </w:tc>
        <w:tc>
          <w:tcPr>
            <w:tcW w:w="1134" w:type="dxa"/>
            <w:tcBorders>
              <w:top w:val="single" w:sz="4" w:space="0" w:color="auto"/>
              <w:left w:val="single" w:sz="4" w:space="0" w:color="auto"/>
              <w:bottom w:val="single" w:sz="12" w:space="0" w:color="auto"/>
              <w:right w:val="single" w:sz="4" w:space="0" w:color="auto"/>
            </w:tcBorders>
            <w:shd w:val="clear" w:color="auto" w:fill="auto"/>
          </w:tcPr>
          <w:p w:rsidR="00C64172" w:rsidRPr="00C64172" w:rsidRDefault="00C64172" w:rsidP="00C64172">
            <w:pPr>
              <w:pStyle w:val="142"/>
              <w:jc w:val="right"/>
            </w:pPr>
            <w:r w:rsidRPr="00C504BA">
              <w:rPr>
                <w:rFonts w:hint="eastAsia"/>
              </w:rPr>
              <w:t>2,832</w:t>
            </w:r>
          </w:p>
        </w:tc>
        <w:tc>
          <w:tcPr>
            <w:tcW w:w="851" w:type="dxa"/>
            <w:tcBorders>
              <w:top w:val="single" w:sz="4" w:space="0" w:color="auto"/>
              <w:left w:val="single" w:sz="4" w:space="0" w:color="auto"/>
              <w:bottom w:val="single" w:sz="12" w:space="0" w:color="auto"/>
              <w:right w:val="single" w:sz="4" w:space="0" w:color="auto"/>
            </w:tcBorders>
            <w:shd w:val="clear" w:color="auto" w:fill="auto"/>
          </w:tcPr>
          <w:p w:rsidR="00C64172" w:rsidRPr="00C64172" w:rsidRDefault="00C64172" w:rsidP="00C64172">
            <w:pPr>
              <w:pStyle w:val="142"/>
              <w:jc w:val="right"/>
            </w:pPr>
            <w:r w:rsidRPr="00C504BA">
              <w:rPr>
                <w:rFonts w:hint="eastAsia"/>
              </w:rPr>
              <w:t>61.70</w:t>
            </w:r>
          </w:p>
        </w:tc>
        <w:tc>
          <w:tcPr>
            <w:tcW w:w="992" w:type="dxa"/>
            <w:tcBorders>
              <w:top w:val="single" w:sz="4" w:space="0" w:color="auto"/>
              <w:left w:val="single" w:sz="4" w:space="0" w:color="auto"/>
              <w:bottom w:val="single" w:sz="12" w:space="0" w:color="auto"/>
              <w:right w:val="single" w:sz="4" w:space="0" w:color="auto"/>
            </w:tcBorders>
          </w:tcPr>
          <w:p w:rsidR="00C64172" w:rsidRPr="00C64172" w:rsidRDefault="00C64172" w:rsidP="00C64172">
            <w:pPr>
              <w:pStyle w:val="142"/>
              <w:jc w:val="right"/>
            </w:pPr>
            <w:r w:rsidRPr="00C504BA">
              <w:rPr>
                <w:rFonts w:hint="eastAsia"/>
              </w:rPr>
              <w:t>4,589</w:t>
            </w:r>
          </w:p>
        </w:tc>
        <w:tc>
          <w:tcPr>
            <w:tcW w:w="992" w:type="dxa"/>
            <w:tcBorders>
              <w:top w:val="single" w:sz="4" w:space="0" w:color="auto"/>
              <w:left w:val="single" w:sz="4" w:space="0" w:color="auto"/>
              <w:bottom w:val="single" w:sz="12" w:space="0" w:color="auto"/>
              <w:right w:val="single" w:sz="12" w:space="0" w:color="auto"/>
            </w:tcBorders>
            <w:shd w:val="clear" w:color="auto" w:fill="auto"/>
          </w:tcPr>
          <w:p w:rsidR="00C64172" w:rsidRPr="00C64172" w:rsidRDefault="00C64172" w:rsidP="00C64172">
            <w:pPr>
              <w:pStyle w:val="142"/>
              <w:jc w:val="right"/>
            </w:pPr>
            <w:r w:rsidRPr="00C504BA">
              <w:rPr>
                <w:rFonts w:hint="eastAsia"/>
              </w:rPr>
              <w:t>100</w:t>
            </w:r>
          </w:p>
        </w:tc>
      </w:tr>
    </w:tbl>
    <w:bookmarkEnd w:id="4"/>
    <w:p w:rsidR="00BE3D9E" w:rsidRPr="004D49CA" w:rsidRDefault="00BE3D9E" w:rsidP="00BE3D9E">
      <w:pPr>
        <w:pStyle w:val="142"/>
        <w:ind w:left="788" w:hangingChars="324" w:hanging="788"/>
        <w:rPr>
          <w:rFonts w:hAnsi="標楷體"/>
        </w:rPr>
      </w:pPr>
      <w:r w:rsidRPr="004D49CA">
        <w:rPr>
          <w:rFonts w:hAnsi="標楷體" w:hint="eastAsia"/>
        </w:rPr>
        <w:t>資料來源：</w:t>
      </w:r>
      <w:r w:rsidR="00C64172" w:rsidRPr="00C64172">
        <w:rPr>
          <w:rFonts w:hAnsi="標楷體" w:hint="eastAsia"/>
        </w:rPr>
        <w:t>臺銀人壽</w:t>
      </w:r>
      <w:r w:rsidRPr="004D49CA">
        <w:rPr>
          <w:rFonts w:hAnsi="標楷體" w:hint="eastAsia"/>
        </w:rPr>
        <w:t>提供。</w:t>
      </w:r>
    </w:p>
    <w:p w:rsidR="00ED3881" w:rsidRPr="00320125" w:rsidRDefault="00190F5C" w:rsidP="00ED3881">
      <w:pPr>
        <w:ind w:leftChars="0" w:left="848" w:hangingChars="299" w:hanging="848"/>
        <w:rPr>
          <w:rFonts w:hAnsi="標楷體"/>
        </w:rPr>
      </w:pPr>
      <w:r>
        <w:rPr>
          <w:rFonts w:hAnsi="標楷體"/>
          <w:b/>
        </w:rPr>
        <w:br w:type="page"/>
      </w:r>
      <w:r w:rsidR="00ED3881" w:rsidRPr="00320125">
        <w:rPr>
          <w:rFonts w:hAnsi="標楷體" w:hint="eastAsia"/>
          <w:b/>
        </w:rPr>
        <w:t>表2  臺銀人壽</w:t>
      </w:r>
      <w:r w:rsidR="00ED3881" w:rsidRPr="00320125">
        <w:rPr>
          <w:rFonts w:hAnsi="標楷體"/>
          <w:b/>
        </w:rPr>
        <w:t>112</w:t>
      </w:r>
      <w:r>
        <w:rPr>
          <w:rFonts w:hAnsi="標楷體" w:hint="eastAsia"/>
          <w:b/>
        </w:rPr>
        <w:t>至</w:t>
      </w:r>
      <w:r w:rsidR="00ED3881" w:rsidRPr="00320125">
        <w:rPr>
          <w:rFonts w:hAnsi="標楷體" w:hint="eastAsia"/>
          <w:b/>
        </w:rPr>
        <w:t>114</w:t>
      </w:r>
      <w:r w:rsidR="00ED3881" w:rsidRPr="00320125">
        <w:rPr>
          <w:rFonts w:hAnsi="標楷體" w:hint="eastAsia"/>
          <w:b/>
          <w:spacing w:val="-8"/>
        </w:rPr>
        <w:t>年度資金運用</w:t>
      </w:r>
      <w:r w:rsidR="001A1F33">
        <w:rPr>
          <w:rFonts w:hAnsi="標楷體" w:hint="eastAsia"/>
          <w:b/>
          <w:spacing w:val="-8"/>
        </w:rPr>
        <w:t>收益</w:t>
      </w:r>
      <w:r w:rsidR="00ED3881" w:rsidRPr="00320125">
        <w:rPr>
          <w:rFonts w:hAnsi="標楷體" w:hint="eastAsia"/>
          <w:b/>
          <w:spacing w:val="-8"/>
        </w:rPr>
        <w:t xml:space="preserve">情形表  </w:t>
      </w:r>
      <w:r w:rsidR="00ED3881" w:rsidRPr="00320125">
        <w:rPr>
          <w:rFonts w:hAnsi="標楷體" w:hint="eastAsia"/>
          <w:bCs/>
          <w:spacing w:val="-8"/>
          <w:sz w:val="24"/>
          <w:szCs w:val="24"/>
        </w:rPr>
        <w:t>單位：新臺幣億元；%</w:t>
      </w:r>
      <w:r w:rsidR="00ED3881" w:rsidRPr="00320125">
        <w:rPr>
          <w:rFonts w:hint="eastAsia"/>
        </w:rPr>
        <w:t xml:space="preserve">                                </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410"/>
        <w:gridCol w:w="992"/>
        <w:gridCol w:w="1134"/>
        <w:gridCol w:w="1134"/>
        <w:gridCol w:w="851"/>
        <w:gridCol w:w="1134"/>
        <w:gridCol w:w="850"/>
      </w:tblGrid>
      <w:tr w:rsidR="00320125" w:rsidRPr="00320125" w:rsidTr="00695356">
        <w:trPr>
          <w:trHeight w:val="76"/>
          <w:tblHeader/>
        </w:trPr>
        <w:tc>
          <w:tcPr>
            <w:tcW w:w="2410" w:type="dxa"/>
            <w:vMerge w:val="restart"/>
            <w:tcBorders>
              <w:top w:val="single" w:sz="12" w:space="0" w:color="auto"/>
              <w:bottom w:val="single" w:sz="4" w:space="0" w:color="auto"/>
            </w:tcBorders>
            <w:shd w:val="clear" w:color="auto" w:fill="auto"/>
            <w:vAlign w:val="center"/>
          </w:tcPr>
          <w:p w:rsidR="00ED3881" w:rsidRPr="00320125" w:rsidRDefault="00695356" w:rsidP="00695356">
            <w:pPr>
              <w:pStyle w:val="14-12"/>
              <w:jc w:val="center"/>
              <w:rPr>
                <w:rFonts w:hint="eastAsia"/>
                <w:spacing w:val="0"/>
              </w:rPr>
            </w:pPr>
            <w:r>
              <w:rPr>
                <w:rFonts w:hint="eastAsia"/>
                <w:spacing w:val="0"/>
              </w:rPr>
              <w:t>年度</w:t>
            </w:r>
          </w:p>
        </w:tc>
        <w:tc>
          <w:tcPr>
            <w:tcW w:w="2126" w:type="dxa"/>
            <w:gridSpan w:val="2"/>
            <w:shd w:val="clear" w:color="auto" w:fill="auto"/>
          </w:tcPr>
          <w:p w:rsidR="00ED3881" w:rsidRPr="00320125" w:rsidRDefault="00ED3881" w:rsidP="0056532A">
            <w:pPr>
              <w:pStyle w:val="14-12"/>
              <w:jc w:val="center"/>
              <w:rPr>
                <w:spacing w:val="0"/>
              </w:rPr>
            </w:pPr>
            <w:r w:rsidRPr="00320125">
              <w:rPr>
                <w:spacing w:val="0"/>
              </w:rPr>
              <w:t>國內投資</w:t>
            </w:r>
          </w:p>
        </w:tc>
        <w:tc>
          <w:tcPr>
            <w:tcW w:w="1985" w:type="dxa"/>
            <w:gridSpan w:val="2"/>
            <w:shd w:val="clear" w:color="auto" w:fill="auto"/>
          </w:tcPr>
          <w:p w:rsidR="00ED3881" w:rsidRPr="00320125" w:rsidRDefault="00ED3881" w:rsidP="0056532A">
            <w:pPr>
              <w:pStyle w:val="14-12"/>
              <w:jc w:val="center"/>
              <w:rPr>
                <w:spacing w:val="0"/>
              </w:rPr>
            </w:pPr>
            <w:r w:rsidRPr="00320125">
              <w:rPr>
                <w:spacing w:val="0"/>
              </w:rPr>
              <w:t>國外投資</w:t>
            </w:r>
          </w:p>
        </w:tc>
        <w:tc>
          <w:tcPr>
            <w:tcW w:w="1984" w:type="dxa"/>
            <w:gridSpan w:val="2"/>
          </w:tcPr>
          <w:p w:rsidR="00ED3881" w:rsidRPr="00320125" w:rsidRDefault="00ED3881" w:rsidP="0056532A">
            <w:pPr>
              <w:pStyle w:val="14-12"/>
              <w:jc w:val="center"/>
              <w:rPr>
                <w:spacing w:val="0"/>
              </w:rPr>
            </w:pPr>
            <w:r w:rsidRPr="00320125">
              <w:rPr>
                <w:spacing w:val="0"/>
              </w:rPr>
              <w:t>合計</w:t>
            </w:r>
          </w:p>
        </w:tc>
      </w:tr>
      <w:tr w:rsidR="00320125" w:rsidRPr="00320125" w:rsidTr="00695356">
        <w:trPr>
          <w:trHeight w:val="76"/>
          <w:tblHeader/>
        </w:trPr>
        <w:tc>
          <w:tcPr>
            <w:tcW w:w="2410" w:type="dxa"/>
            <w:vMerge/>
            <w:tcBorders>
              <w:top w:val="single" w:sz="4" w:space="0" w:color="auto"/>
              <w:bottom w:val="single" w:sz="4" w:space="0" w:color="auto"/>
            </w:tcBorders>
            <w:shd w:val="clear" w:color="auto" w:fill="auto"/>
            <w:vAlign w:val="center"/>
          </w:tcPr>
          <w:p w:rsidR="00ED3881" w:rsidRPr="00320125" w:rsidRDefault="00ED3881" w:rsidP="00320125">
            <w:pPr>
              <w:pStyle w:val="14-12"/>
              <w:rPr>
                <w:spacing w:val="0"/>
              </w:rPr>
            </w:pPr>
          </w:p>
        </w:tc>
        <w:tc>
          <w:tcPr>
            <w:tcW w:w="992" w:type="dxa"/>
            <w:shd w:val="clear" w:color="auto" w:fill="auto"/>
            <w:vAlign w:val="center"/>
          </w:tcPr>
          <w:p w:rsidR="00ED3881" w:rsidRPr="00320125" w:rsidRDefault="00ED3881" w:rsidP="0056532A">
            <w:pPr>
              <w:pStyle w:val="14-12"/>
              <w:jc w:val="center"/>
              <w:rPr>
                <w:spacing w:val="0"/>
              </w:rPr>
            </w:pPr>
            <w:r w:rsidRPr="00320125">
              <w:rPr>
                <w:spacing w:val="0"/>
              </w:rPr>
              <w:t>收益數</w:t>
            </w:r>
          </w:p>
        </w:tc>
        <w:tc>
          <w:tcPr>
            <w:tcW w:w="1134" w:type="dxa"/>
            <w:shd w:val="clear" w:color="auto" w:fill="auto"/>
            <w:vAlign w:val="center"/>
          </w:tcPr>
          <w:p w:rsidR="00ED3881" w:rsidRPr="00320125" w:rsidRDefault="00ED3881" w:rsidP="0056532A">
            <w:pPr>
              <w:pStyle w:val="14-12"/>
              <w:jc w:val="center"/>
              <w:rPr>
                <w:spacing w:val="0"/>
              </w:rPr>
            </w:pPr>
            <w:r w:rsidRPr="00320125">
              <w:rPr>
                <w:spacing w:val="0"/>
              </w:rPr>
              <w:t>比率</w:t>
            </w:r>
          </w:p>
        </w:tc>
        <w:tc>
          <w:tcPr>
            <w:tcW w:w="1134" w:type="dxa"/>
            <w:shd w:val="clear" w:color="auto" w:fill="auto"/>
            <w:vAlign w:val="center"/>
          </w:tcPr>
          <w:p w:rsidR="00ED3881" w:rsidRPr="00320125" w:rsidRDefault="00ED3881" w:rsidP="0056532A">
            <w:pPr>
              <w:pStyle w:val="14-12"/>
              <w:jc w:val="center"/>
              <w:rPr>
                <w:spacing w:val="0"/>
              </w:rPr>
            </w:pPr>
            <w:r w:rsidRPr="00320125">
              <w:rPr>
                <w:spacing w:val="0"/>
              </w:rPr>
              <w:t>收益數</w:t>
            </w:r>
          </w:p>
        </w:tc>
        <w:tc>
          <w:tcPr>
            <w:tcW w:w="851" w:type="dxa"/>
            <w:shd w:val="clear" w:color="auto" w:fill="auto"/>
            <w:vAlign w:val="center"/>
          </w:tcPr>
          <w:p w:rsidR="00ED3881" w:rsidRPr="00320125" w:rsidRDefault="00ED3881" w:rsidP="0056532A">
            <w:pPr>
              <w:pStyle w:val="14-12"/>
              <w:jc w:val="center"/>
              <w:rPr>
                <w:spacing w:val="0"/>
              </w:rPr>
            </w:pPr>
            <w:r w:rsidRPr="00320125">
              <w:rPr>
                <w:spacing w:val="0"/>
              </w:rPr>
              <w:t>比率</w:t>
            </w:r>
          </w:p>
        </w:tc>
        <w:tc>
          <w:tcPr>
            <w:tcW w:w="1134" w:type="dxa"/>
            <w:vAlign w:val="center"/>
          </w:tcPr>
          <w:p w:rsidR="00ED3881" w:rsidRPr="00320125" w:rsidRDefault="00ED3881" w:rsidP="0056532A">
            <w:pPr>
              <w:pStyle w:val="14-12"/>
              <w:jc w:val="center"/>
              <w:rPr>
                <w:spacing w:val="0"/>
              </w:rPr>
            </w:pPr>
            <w:r w:rsidRPr="00320125">
              <w:rPr>
                <w:spacing w:val="0"/>
              </w:rPr>
              <w:t>收益數</w:t>
            </w:r>
          </w:p>
        </w:tc>
        <w:tc>
          <w:tcPr>
            <w:tcW w:w="850" w:type="dxa"/>
            <w:shd w:val="clear" w:color="auto" w:fill="auto"/>
            <w:vAlign w:val="center"/>
          </w:tcPr>
          <w:p w:rsidR="00ED3881" w:rsidRPr="00320125" w:rsidRDefault="00ED3881" w:rsidP="0056532A">
            <w:pPr>
              <w:pStyle w:val="14-12"/>
              <w:jc w:val="center"/>
              <w:rPr>
                <w:spacing w:val="0"/>
              </w:rPr>
            </w:pPr>
            <w:r w:rsidRPr="00320125">
              <w:rPr>
                <w:spacing w:val="0"/>
              </w:rPr>
              <w:t>比率</w:t>
            </w:r>
          </w:p>
        </w:tc>
      </w:tr>
      <w:tr w:rsidR="00320125" w:rsidRPr="00320125" w:rsidTr="00695356">
        <w:trPr>
          <w:trHeight w:val="76"/>
        </w:trPr>
        <w:tc>
          <w:tcPr>
            <w:tcW w:w="2410" w:type="dxa"/>
            <w:tcBorders>
              <w:top w:val="single" w:sz="4" w:space="0" w:color="auto"/>
            </w:tcBorders>
            <w:shd w:val="clear" w:color="auto" w:fill="auto"/>
          </w:tcPr>
          <w:p w:rsidR="00ED3881" w:rsidRPr="00320125" w:rsidRDefault="00ED3881" w:rsidP="00320125">
            <w:pPr>
              <w:pStyle w:val="14-12"/>
              <w:rPr>
                <w:spacing w:val="0"/>
              </w:rPr>
            </w:pPr>
            <w:r w:rsidRPr="00320125">
              <w:rPr>
                <w:spacing w:val="0"/>
              </w:rPr>
              <w:t>112(預算</w:t>
            </w:r>
            <w:r w:rsidR="00695356">
              <w:rPr>
                <w:rFonts w:hint="eastAsia"/>
                <w:spacing w:val="0"/>
              </w:rPr>
              <w:t>數</w:t>
            </w:r>
            <w:r w:rsidRPr="00320125">
              <w:rPr>
                <w:spacing w:val="0"/>
              </w:rPr>
              <w:t>)</w:t>
            </w:r>
          </w:p>
        </w:tc>
        <w:tc>
          <w:tcPr>
            <w:tcW w:w="992" w:type="dxa"/>
            <w:shd w:val="clear" w:color="auto" w:fill="auto"/>
            <w:vAlign w:val="center"/>
          </w:tcPr>
          <w:p w:rsidR="00ED3881" w:rsidRPr="00320125" w:rsidRDefault="00ED3881" w:rsidP="0056532A">
            <w:pPr>
              <w:pStyle w:val="14-12"/>
              <w:jc w:val="right"/>
              <w:rPr>
                <w:spacing w:val="0"/>
              </w:rPr>
            </w:pPr>
            <w:r w:rsidRPr="00320125">
              <w:rPr>
                <w:spacing w:val="0"/>
              </w:rPr>
              <w:t>65.86</w:t>
            </w:r>
          </w:p>
        </w:tc>
        <w:tc>
          <w:tcPr>
            <w:tcW w:w="1134" w:type="dxa"/>
            <w:shd w:val="clear" w:color="auto" w:fill="auto"/>
            <w:vAlign w:val="center"/>
          </w:tcPr>
          <w:p w:rsidR="00ED3881" w:rsidRPr="00320125" w:rsidRDefault="007614C3" w:rsidP="0056532A">
            <w:pPr>
              <w:pStyle w:val="14-12"/>
              <w:jc w:val="right"/>
              <w:rPr>
                <w:spacing w:val="0"/>
              </w:rPr>
            </w:pPr>
            <w:r>
              <w:rPr>
                <w:rFonts w:hint="eastAsia"/>
                <w:spacing w:val="0"/>
              </w:rPr>
              <w:t>-</w:t>
            </w:r>
          </w:p>
        </w:tc>
        <w:tc>
          <w:tcPr>
            <w:tcW w:w="1134" w:type="dxa"/>
            <w:shd w:val="clear" w:color="auto" w:fill="auto"/>
            <w:vAlign w:val="center"/>
          </w:tcPr>
          <w:p w:rsidR="00ED3881" w:rsidRPr="00320125" w:rsidRDefault="00ED3881" w:rsidP="0056532A">
            <w:pPr>
              <w:pStyle w:val="14-12"/>
              <w:jc w:val="right"/>
              <w:rPr>
                <w:spacing w:val="0"/>
              </w:rPr>
            </w:pPr>
            <w:r w:rsidRPr="00320125">
              <w:rPr>
                <w:spacing w:val="0"/>
              </w:rPr>
              <w:t>71.62</w:t>
            </w:r>
          </w:p>
        </w:tc>
        <w:tc>
          <w:tcPr>
            <w:tcW w:w="851" w:type="dxa"/>
            <w:shd w:val="clear" w:color="auto" w:fill="auto"/>
            <w:vAlign w:val="center"/>
          </w:tcPr>
          <w:p w:rsidR="00ED3881" w:rsidRPr="00320125" w:rsidRDefault="00ED3881" w:rsidP="0056532A">
            <w:pPr>
              <w:pStyle w:val="14-12"/>
              <w:jc w:val="right"/>
              <w:rPr>
                <w:spacing w:val="0"/>
              </w:rPr>
            </w:pPr>
            <w:r w:rsidRPr="00320125">
              <w:rPr>
                <w:spacing w:val="0"/>
              </w:rPr>
              <w:t>2.80</w:t>
            </w:r>
          </w:p>
        </w:tc>
        <w:tc>
          <w:tcPr>
            <w:tcW w:w="1134" w:type="dxa"/>
            <w:vAlign w:val="center"/>
          </w:tcPr>
          <w:p w:rsidR="00ED3881" w:rsidRPr="00320125" w:rsidRDefault="00ED3881" w:rsidP="0056532A">
            <w:pPr>
              <w:pStyle w:val="14-12"/>
              <w:jc w:val="right"/>
              <w:rPr>
                <w:spacing w:val="0"/>
              </w:rPr>
            </w:pPr>
            <w:r w:rsidRPr="00320125">
              <w:rPr>
                <w:spacing w:val="0"/>
              </w:rPr>
              <w:t>137.48</w:t>
            </w:r>
          </w:p>
        </w:tc>
        <w:tc>
          <w:tcPr>
            <w:tcW w:w="850" w:type="dxa"/>
            <w:shd w:val="clear" w:color="auto" w:fill="auto"/>
            <w:vAlign w:val="center"/>
          </w:tcPr>
          <w:p w:rsidR="00ED3881" w:rsidRPr="00320125" w:rsidRDefault="00ED3881" w:rsidP="0056532A">
            <w:pPr>
              <w:pStyle w:val="14-12"/>
              <w:jc w:val="right"/>
              <w:rPr>
                <w:spacing w:val="0"/>
              </w:rPr>
            </w:pPr>
            <w:r w:rsidRPr="00320125">
              <w:rPr>
                <w:spacing w:val="0"/>
              </w:rPr>
              <w:t>2.97</w:t>
            </w:r>
          </w:p>
        </w:tc>
      </w:tr>
      <w:tr w:rsidR="00320125" w:rsidRPr="00320125" w:rsidTr="00695356">
        <w:trPr>
          <w:trHeight w:val="76"/>
        </w:trPr>
        <w:tc>
          <w:tcPr>
            <w:tcW w:w="2410" w:type="dxa"/>
            <w:shd w:val="clear" w:color="auto" w:fill="auto"/>
            <w:vAlign w:val="center"/>
          </w:tcPr>
          <w:p w:rsidR="00ED3881" w:rsidRPr="00320125" w:rsidRDefault="00ED3881" w:rsidP="00320125">
            <w:pPr>
              <w:pStyle w:val="14-12"/>
              <w:rPr>
                <w:spacing w:val="0"/>
              </w:rPr>
            </w:pPr>
            <w:r w:rsidRPr="00320125">
              <w:rPr>
                <w:spacing w:val="0"/>
              </w:rPr>
              <w:t>112(決算</w:t>
            </w:r>
            <w:r w:rsidR="00695356">
              <w:rPr>
                <w:rFonts w:hint="eastAsia"/>
              </w:rPr>
              <w:t>數</w:t>
            </w:r>
            <w:r w:rsidRPr="00320125">
              <w:rPr>
                <w:spacing w:val="0"/>
              </w:rPr>
              <w:t>)</w:t>
            </w:r>
          </w:p>
        </w:tc>
        <w:tc>
          <w:tcPr>
            <w:tcW w:w="992" w:type="dxa"/>
            <w:shd w:val="clear" w:color="auto" w:fill="auto"/>
            <w:vAlign w:val="center"/>
          </w:tcPr>
          <w:p w:rsidR="00ED3881" w:rsidRPr="00320125" w:rsidRDefault="00ED3881" w:rsidP="0056532A">
            <w:pPr>
              <w:pStyle w:val="14-12"/>
              <w:jc w:val="right"/>
              <w:rPr>
                <w:spacing w:val="0"/>
              </w:rPr>
            </w:pPr>
            <w:r w:rsidRPr="00320125">
              <w:rPr>
                <w:spacing w:val="0"/>
              </w:rPr>
              <w:t>5</w:t>
            </w:r>
            <w:r w:rsidR="008A435A">
              <w:rPr>
                <w:rFonts w:hint="eastAsia"/>
                <w:spacing w:val="0"/>
              </w:rPr>
              <w:t>8</w:t>
            </w:r>
            <w:r w:rsidRPr="00320125">
              <w:rPr>
                <w:spacing w:val="0"/>
              </w:rPr>
              <w:t>.</w:t>
            </w:r>
            <w:r w:rsidR="008A435A">
              <w:rPr>
                <w:rFonts w:hint="eastAsia"/>
                <w:spacing w:val="0"/>
              </w:rPr>
              <w:t>28</w:t>
            </w:r>
          </w:p>
        </w:tc>
        <w:tc>
          <w:tcPr>
            <w:tcW w:w="1134" w:type="dxa"/>
            <w:shd w:val="clear" w:color="auto" w:fill="auto"/>
            <w:vAlign w:val="center"/>
          </w:tcPr>
          <w:p w:rsidR="00ED3881" w:rsidRPr="00320125" w:rsidRDefault="00ED3881" w:rsidP="0056532A">
            <w:pPr>
              <w:pStyle w:val="14-12"/>
              <w:jc w:val="right"/>
              <w:rPr>
                <w:spacing w:val="0"/>
              </w:rPr>
            </w:pPr>
            <w:r w:rsidRPr="00320125">
              <w:rPr>
                <w:spacing w:val="0"/>
              </w:rPr>
              <w:t>3.42</w:t>
            </w:r>
          </w:p>
        </w:tc>
        <w:tc>
          <w:tcPr>
            <w:tcW w:w="1134" w:type="dxa"/>
            <w:shd w:val="clear" w:color="auto" w:fill="auto"/>
            <w:vAlign w:val="center"/>
          </w:tcPr>
          <w:p w:rsidR="00ED3881" w:rsidRPr="00320125" w:rsidRDefault="00ED3881" w:rsidP="0056532A">
            <w:pPr>
              <w:pStyle w:val="14-12"/>
              <w:jc w:val="right"/>
              <w:rPr>
                <w:spacing w:val="0"/>
              </w:rPr>
            </w:pPr>
            <w:r w:rsidRPr="00320125">
              <w:rPr>
                <w:spacing w:val="0"/>
              </w:rPr>
              <w:t>72.25</w:t>
            </w:r>
          </w:p>
        </w:tc>
        <w:tc>
          <w:tcPr>
            <w:tcW w:w="851" w:type="dxa"/>
            <w:shd w:val="clear" w:color="auto" w:fill="auto"/>
            <w:vAlign w:val="center"/>
          </w:tcPr>
          <w:p w:rsidR="00ED3881" w:rsidRPr="00320125" w:rsidRDefault="00ED3881" w:rsidP="0056532A">
            <w:pPr>
              <w:pStyle w:val="14-12"/>
              <w:jc w:val="right"/>
              <w:rPr>
                <w:spacing w:val="0"/>
              </w:rPr>
            </w:pPr>
            <w:r w:rsidRPr="00320125">
              <w:rPr>
                <w:spacing w:val="0"/>
              </w:rPr>
              <w:t>2.50</w:t>
            </w:r>
          </w:p>
        </w:tc>
        <w:tc>
          <w:tcPr>
            <w:tcW w:w="1134" w:type="dxa"/>
            <w:vAlign w:val="center"/>
          </w:tcPr>
          <w:p w:rsidR="00ED3881" w:rsidRPr="00320125" w:rsidRDefault="00ED3881" w:rsidP="0056532A">
            <w:pPr>
              <w:pStyle w:val="14-12"/>
              <w:jc w:val="right"/>
              <w:rPr>
                <w:spacing w:val="0"/>
              </w:rPr>
            </w:pPr>
            <w:r w:rsidRPr="00320125">
              <w:rPr>
                <w:spacing w:val="0"/>
              </w:rPr>
              <w:t>1</w:t>
            </w:r>
            <w:r w:rsidR="008A435A">
              <w:rPr>
                <w:rFonts w:hint="eastAsia"/>
                <w:spacing w:val="0"/>
              </w:rPr>
              <w:t>30.5</w:t>
            </w:r>
            <w:r w:rsidR="00135E3E">
              <w:rPr>
                <w:rFonts w:hint="eastAsia"/>
                <w:spacing w:val="0"/>
              </w:rPr>
              <w:t>3</w:t>
            </w:r>
          </w:p>
        </w:tc>
        <w:tc>
          <w:tcPr>
            <w:tcW w:w="850" w:type="dxa"/>
            <w:shd w:val="clear" w:color="auto" w:fill="auto"/>
            <w:vAlign w:val="center"/>
          </w:tcPr>
          <w:p w:rsidR="00ED3881" w:rsidRPr="00320125" w:rsidRDefault="00ED3881" w:rsidP="0056532A">
            <w:pPr>
              <w:pStyle w:val="14-12"/>
              <w:jc w:val="right"/>
              <w:rPr>
                <w:spacing w:val="0"/>
              </w:rPr>
            </w:pPr>
            <w:r w:rsidRPr="00320125">
              <w:rPr>
                <w:spacing w:val="0"/>
              </w:rPr>
              <w:t>2.8</w:t>
            </w:r>
            <w:r w:rsidR="008A435A">
              <w:rPr>
                <w:rFonts w:hint="eastAsia"/>
                <w:spacing w:val="0"/>
              </w:rPr>
              <w:t>4</w:t>
            </w:r>
          </w:p>
        </w:tc>
      </w:tr>
      <w:tr w:rsidR="00320125" w:rsidRPr="00320125" w:rsidTr="00695356">
        <w:trPr>
          <w:trHeight w:val="76"/>
        </w:trPr>
        <w:tc>
          <w:tcPr>
            <w:tcW w:w="2410" w:type="dxa"/>
            <w:tcBorders>
              <w:left w:val="single" w:sz="12" w:space="0" w:color="auto"/>
              <w:right w:val="single" w:sz="4" w:space="0" w:color="auto"/>
            </w:tcBorders>
            <w:shd w:val="clear" w:color="auto" w:fill="auto"/>
            <w:vAlign w:val="center"/>
          </w:tcPr>
          <w:p w:rsidR="00ED3881" w:rsidRPr="00320125" w:rsidRDefault="00ED3881" w:rsidP="00320125">
            <w:pPr>
              <w:pStyle w:val="14-12"/>
              <w:rPr>
                <w:spacing w:val="0"/>
              </w:rPr>
            </w:pPr>
            <w:r w:rsidRPr="00320125">
              <w:rPr>
                <w:spacing w:val="0"/>
              </w:rPr>
              <w:t>113(預算</w:t>
            </w:r>
            <w:r w:rsidR="00695356">
              <w:rPr>
                <w:rFonts w:hint="eastAsia"/>
              </w:rPr>
              <w:t>數</w:t>
            </w:r>
            <w:r w:rsidRPr="00320125">
              <w:rPr>
                <w:spacing w:val="0"/>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D3881" w:rsidRPr="00320125" w:rsidRDefault="00ED3881" w:rsidP="0056532A">
            <w:pPr>
              <w:pStyle w:val="14-12"/>
              <w:jc w:val="right"/>
              <w:rPr>
                <w:spacing w:val="0"/>
              </w:rPr>
            </w:pPr>
            <w:r w:rsidRPr="00320125">
              <w:rPr>
                <w:spacing w:val="0"/>
              </w:rPr>
              <w:t>52.13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D3881" w:rsidRPr="00320125" w:rsidRDefault="007614C3" w:rsidP="0056532A">
            <w:pPr>
              <w:pStyle w:val="14-12"/>
              <w:jc w:val="right"/>
              <w:rPr>
                <w:spacing w:val="0"/>
              </w:rPr>
            </w:pPr>
            <w:r>
              <w:rPr>
                <w:rFonts w:hint="eastAsia"/>
                <w:spacing w:val="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D3881" w:rsidRPr="00320125" w:rsidRDefault="00ED3881" w:rsidP="0056532A">
            <w:pPr>
              <w:pStyle w:val="14-12"/>
              <w:jc w:val="right"/>
              <w:rPr>
                <w:spacing w:val="0"/>
              </w:rPr>
            </w:pPr>
            <w:r w:rsidRPr="00320125">
              <w:rPr>
                <w:spacing w:val="0"/>
              </w:rPr>
              <w:t>78.28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D3881" w:rsidRPr="00320125" w:rsidRDefault="00ED3881" w:rsidP="0056532A">
            <w:pPr>
              <w:pStyle w:val="14-12"/>
              <w:jc w:val="right"/>
              <w:rPr>
                <w:spacing w:val="0"/>
              </w:rPr>
            </w:pPr>
            <w:r w:rsidRPr="00320125">
              <w:rPr>
                <w:spacing w:val="0"/>
              </w:rPr>
              <w:t>2.78</w:t>
            </w:r>
          </w:p>
        </w:tc>
        <w:tc>
          <w:tcPr>
            <w:tcW w:w="1134" w:type="dxa"/>
            <w:tcBorders>
              <w:top w:val="single" w:sz="4" w:space="0" w:color="auto"/>
              <w:left w:val="single" w:sz="4" w:space="0" w:color="auto"/>
              <w:bottom w:val="single" w:sz="4" w:space="0" w:color="auto"/>
              <w:right w:val="single" w:sz="4" w:space="0" w:color="auto"/>
            </w:tcBorders>
            <w:vAlign w:val="center"/>
          </w:tcPr>
          <w:p w:rsidR="00ED3881" w:rsidRPr="00320125" w:rsidRDefault="00ED3881" w:rsidP="0056532A">
            <w:pPr>
              <w:pStyle w:val="14-12"/>
              <w:jc w:val="right"/>
              <w:rPr>
                <w:spacing w:val="0"/>
              </w:rPr>
            </w:pPr>
            <w:r w:rsidRPr="00320125">
              <w:rPr>
                <w:spacing w:val="0"/>
              </w:rPr>
              <w:t>130.41</w:t>
            </w:r>
          </w:p>
        </w:tc>
        <w:tc>
          <w:tcPr>
            <w:tcW w:w="850" w:type="dxa"/>
            <w:tcBorders>
              <w:top w:val="single" w:sz="4" w:space="0" w:color="auto"/>
              <w:left w:val="single" w:sz="4" w:space="0" w:color="auto"/>
              <w:bottom w:val="single" w:sz="4" w:space="0" w:color="auto"/>
              <w:right w:val="single" w:sz="12" w:space="0" w:color="auto"/>
            </w:tcBorders>
            <w:shd w:val="clear" w:color="auto" w:fill="auto"/>
            <w:vAlign w:val="center"/>
          </w:tcPr>
          <w:p w:rsidR="00ED3881" w:rsidRPr="00320125" w:rsidRDefault="00ED3881" w:rsidP="0056532A">
            <w:pPr>
              <w:pStyle w:val="14-12"/>
              <w:jc w:val="right"/>
              <w:rPr>
                <w:spacing w:val="0"/>
              </w:rPr>
            </w:pPr>
            <w:r w:rsidRPr="00320125">
              <w:rPr>
                <w:spacing w:val="0"/>
              </w:rPr>
              <w:t>2.80</w:t>
            </w:r>
          </w:p>
        </w:tc>
      </w:tr>
      <w:tr w:rsidR="00320125" w:rsidRPr="00320125" w:rsidTr="00695356">
        <w:trPr>
          <w:trHeight w:val="76"/>
        </w:trPr>
        <w:tc>
          <w:tcPr>
            <w:tcW w:w="2410" w:type="dxa"/>
            <w:tcBorders>
              <w:left w:val="single" w:sz="12" w:space="0" w:color="auto"/>
              <w:right w:val="single" w:sz="4" w:space="0" w:color="auto"/>
            </w:tcBorders>
            <w:shd w:val="clear" w:color="auto" w:fill="auto"/>
            <w:vAlign w:val="center"/>
          </w:tcPr>
          <w:p w:rsidR="00ED3881" w:rsidRPr="00320125" w:rsidRDefault="00ED3881" w:rsidP="00695356">
            <w:pPr>
              <w:pStyle w:val="142"/>
            </w:pPr>
            <w:r w:rsidRPr="00320125">
              <w:t>113(9月底止實際數)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D3881" w:rsidRPr="00320125" w:rsidRDefault="00ED3881" w:rsidP="0056532A">
            <w:pPr>
              <w:pStyle w:val="14-12"/>
              <w:jc w:val="right"/>
              <w:rPr>
                <w:spacing w:val="0"/>
              </w:rPr>
            </w:pPr>
            <w:r w:rsidRPr="00320125">
              <w:rPr>
                <w:spacing w:val="0"/>
              </w:rPr>
              <w:t>63.52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D3881" w:rsidRPr="00320125" w:rsidRDefault="00ED3881" w:rsidP="0056532A">
            <w:pPr>
              <w:pStyle w:val="14-12"/>
              <w:jc w:val="right"/>
              <w:rPr>
                <w:spacing w:val="0"/>
              </w:rPr>
            </w:pPr>
            <w:r w:rsidRPr="00320125">
              <w:rPr>
                <w:spacing w:val="0"/>
              </w:rPr>
              <w:t>3.83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D3881" w:rsidRPr="00320125" w:rsidRDefault="00ED3881" w:rsidP="0056532A">
            <w:pPr>
              <w:pStyle w:val="14-12"/>
              <w:jc w:val="right"/>
              <w:rPr>
                <w:spacing w:val="0"/>
              </w:rPr>
            </w:pPr>
            <w:r w:rsidRPr="00320125">
              <w:rPr>
                <w:spacing w:val="0"/>
              </w:rPr>
              <w:t>79.25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D3881" w:rsidRPr="00320125" w:rsidRDefault="00ED3881" w:rsidP="0056532A">
            <w:pPr>
              <w:pStyle w:val="14-12"/>
              <w:jc w:val="right"/>
              <w:rPr>
                <w:spacing w:val="0"/>
              </w:rPr>
            </w:pPr>
            <w:r w:rsidRPr="00320125">
              <w:rPr>
                <w:spacing w:val="0"/>
              </w:rPr>
              <w:t>2.70</w:t>
            </w:r>
          </w:p>
        </w:tc>
        <w:tc>
          <w:tcPr>
            <w:tcW w:w="1134" w:type="dxa"/>
            <w:tcBorders>
              <w:top w:val="single" w:sz="4" w:space="0" w:color="auto"/>
              <w:left w:val="single" w:sz="4" w:space="0" w:color="auto"/>
              <w:bottom w:val="single" w:sz="4" w:space="0" w:color="auto"/>
              <w:right w:val="single" w:sz="4" w:space="0" w:color="auto"/>
            </w:tcBorders>
            <w:vAlign w:val="center"/>
          </w:tcPr>
          <w:p w:rsidR="00ED3881" w:rsidRPr="00320125" w:rsidRDefault="00ED3881" w:rsidP="0056532A">
            <w:pPr>
              <w:pStyle w:val="14-12"/>
              <w:jc w:val="right"/>
              <w:rPr>
                <w:spacing w:val="0"/>
              </w:rPr>
            </w:pPr>
            <w:r w:rsidRPr="00320125">
              <w:rPr>
                <w:spacing w:val="0"/>
              </w:rPr>
              <w:t>142.77</w:t>
            </w:r>
          </w:p>
        </w:tc>
        <w:tc>
          <w:tcPr>
            <w:tcW w:w="850" w:type="dxa"/>
            <w:tcBorders>
              <w:top w:val="single" w:sz="4" w:space="0" w:color="auto"/>
              <w:left w:val="single" w:sz="4" w:space="0" w:color="auto"/>
              <w:bottom w:val="single" w:sz="4" w:space="0" w:color="auto"/>
              <w:right w:val="single" w:sz="12" w:space="0" w:color="auto"/>
            </w:tcBorders>
            <w:shd w:val="clear" w:color="auto" w:fill="auto"/>
            <w:vAlign w:val="center"/>
          </w:tcPr>
          <w:p w:rsidR="00ED3881" w:rsidRPr="00320125" w:rsidRDefault="00ED3881" w:rsidP="0056532A">
            <w:pPr>
              <w:pStyle w:val="14-12"/>
              <w:jc w:val="right"/>
              <w:rPr>
                <w:spacing w:val="0"/>
              </w:rPr>
            </w:pPr>
            <w:r w:rsidRPr="00320125">
              <w:rPr>
                <w:spacing w:val="0"/>
              </w:rPr>
              <w:t>3.11</w:t>
            </w:r>
          </w:p>
        </w:tc>
      </w:tr>
      <w:tr w:rsidR="00320125" w:rsidRPr="00320125" w:rsidTr="00695356">
        <w:trPr>
          <w:trHeight w:val="76"/>
        </w:trPr>
        <w:tc>
          <w:tcPr>
            <w:tcW w:w="2410" w:type="dxa"/>
            <w:tcBorders>
              <w:left w:val="single" w:sz="12" w:space="0" w:color="auto"/>
              <w:bottom w:val="single" w:sz="12" w:space="0" w:color="auto"/>
              <w:right w:val="single" w:sz="4" w:space="0" w:color="auto"/>
            </w:tcBorders>
            <w:shd w:val="clear" w:color="auto" w:fill="auto"/>
            <w:vAlign w:val="center"/>
          </w:tcPr>
          <w:p w:rsidR="00ED3881" w:rsidRPr="00320125" w:rsidRDefault="00ED3881" w:rsidP="00320125">
            <w:pPr>
              <w:pStyle w:val="14-12"/>
              <w:rPr>
                <w:spacing w:val="0"/>
              </w:rPr>
            </w:pPr>
            <w:r w:rsidRPr="00320125">
              <w:rPr>
                <w:spacing w:val="0"/>
              </w:rPr>
              <w:t>114(預算</w:t>
            </w:r>
            <w:r w:rsidR="00695356">
              <w:rPr>
                <w:rFonts w:hint="eastAsia"/>
              </w:rPr>
              <w:t>數</w:t>
            </w:r>
            <w:r w:rsidRPr="00320125">
              <w:rPr>
                <w:spacing w:val="0"/>
              </w:rPr>
              <w:t>)</w:t>
            </w:r>
          </w:p>
        </w:tc>
        <w:tc>
          <w:tcPr>
            <w:tcW w:w="992" w:type="dxa"/>
            <w:tcBorders>
              <w:top w:val="single" w:sz="4" w:space="0" w:color="auto"/>
              <w:left w:val="single" w:sz="4" w:space="0" w:color="auto"/>
              <w:bottom w:val="single" w:sz="12" w:space="0" w:color="auto"/>
              <w:right w:val="single" w:sz="4" w:space="0" w:color="auto"/>
            </w:tcBorders>
            <w:shd w:val="clear" w:color="auto" w:fill="auto"/>
            <w:vAlign w:val="center"/>
          </w:tcPr>
          <w:p w:rsidR="00ED3881" w:rsidRPr="00320125" w:rsidRDefault="00ED3881" w:rsidP="0056532A">
            <w:pPr>
              <w:pStyle w:val="14-12"/>
              <w:jc w:val="right"/>
              <w:rPr>
                <w:spacing w:val="0"/>
              </w:rPr>
            </w:pPr>
            <w:r w:rsidRPr="00320125">
              <w:rPr>
                <w:spacing w:val="0"/>
              </w:rPr>
              <w:t>56.58</w:t>
            </w:r>
          </w:p>
        </w:tc>
        <w:tc>
          <w:tcPr>
            <w:tcW w:w="1134" w:type="dxa"/>
            <w:tcBorders>
              <w:top w:val="single" w:sz="4" w:space="0" w:color="auto"/>
              <w:left w:val="single" w:sz="4" w:space="0" w:color="auto"/>
              <w:bottom w:val="single" w:sz="12" w:space="0" w:color="auto"/>
              <w:right w:val="single" w:sz="4" w:space="0" w:color="auto"/>
            </w:tcBorders>
            <w:shd w:val="clear" w:color="auto" w:fill="auto"/>
            <w:vAlign w:val="center"/>
          </w:tcPr>
          <w:p w:rsidR="00ED3881" w:rsidRPr="00320125" w:rsidRDefault="007614C3" w:rsidP="0056532A">
            <w:pPr>
              <w:pStyle w:val="14-12"/>
              <w:jc w:val="right"/>
              <w:rPr>
                <w:spacing w:val="0"/>
              </w:rPr>
            </w:pPr>
            <w:r>
              <w:rPr>
                <w:rFonts w:hint="eastAsia"/>
                <w:spacing w:val="0"/>
              </w:rPr>
              <w:t>-</w:t>
            </w:r>
          </w:p>
        </w:tc>
        <w:tc>
          <w:tcPr>
            <w:tcW w:w="1134" w:type="dxa"/>
            <w:tcBorders>
              <w:top w:val="single" w:sz="4" w:space="0" w:color="auto"/>
              <w:left w:val="single" w:sz="4" w:space="0" w:color="auto"/>
              <w:bottom w:val="single" w:sz="12" w:space="0" w:color="auto"/>
              <w:right w:val="single" w:sz="4" w:space="0" w:color="auto"/>
            </w:tcBorders>
            <w:shd w:val="clear" w:color="auto" w:fill="auto"/>
            <w:vAlign w:val="center"/>
          </w:tcPr>
          <w:p w:rsidR="00ED3881" w:rsidRPr="00320125" w:rsidRDefault="00ED3881" w:rsidP="0056532A">
            <w:pPr>
              <w:pStyle w:val="14-12"/>
              <w:jc w:val="right"/>
              <w:rPr>
                <w:spacing w:val="0"/>
              </w:rPr>
            </w:pPr>
            <w:r w:rsidRPr="00320125">
              <w:rPr>
                <w:spacing w:val="0"/>
              </w:rPr>
              <w:t>71.97</w:t>
            </w:r>
          </w:p>
        </w:tc>
        <w:tc>
          <w:tcPr>
            <w:tcW w:w="851" w:type="dxa"/>
            <w:tcBorders>
              <w:top w:val="single" w:sz="4" w:space="0" w:color="auto"/>
              <w:left w:val="single" w:sz="4" w:space="0" w:color="auto"/>
              <w:bottom w:val="single" w:sz="12" w:space="0" w:color="auto"/>
              <w:right w:val="single" w:sz="4" w:space="0" w:color="auto"/>
            </w:tcBorders>
            <w:shd w:val="clear" w:color="auto" w:fill="auto"/>
            <w:vAlign w:val="center"/>
          </w:tcPr>
          <w:p w:rsidR="00ED3881" w:rsidRPr="00320125" w:rsidRDefault="00ED3881" w:rsidP="0056532A">
            <w:pPr>
              <w:pStyle w:val="14-12"/>
              <w:jc w:val="right"/>
              <w:rPr>
                <w:spacing w:val="0"/>
              </w:rPr>
            </w:pPr>
            <w:r w:rsidRPr="00320125">
              <w:rPr>
                <w:spacing w:val="0"/>
              </w:rPr>
              <w:t>2.54</w:t>
            </w:r>
          </w:p>
        </w:tc>
        <w:tc>
          <w:tcPr>
            <w:tcW w:w="1134" w:type="dxa"/>
            <w:tcBorders>
              <w:top w:val="single" w:sz="4" w:space="0" w:color="auto"/>
              <w:left w:val="single" w:sz="4" w:space="0" w:color="auto"/>
              <w:bottom w:val="single" w:sz="12" w:space="0" w:color="auto"/>
              <w:right w:val="single" w:sz="4" w:space="0" w:color="auto"/>
            </w:tcBorders>
            <w:vAlign w:val="center"/>
          </w:tcPr>
          <w:p w:rsidR="00ED3881" w:rsidRPr="00320125" w:rsidRDefault="00ED3881" w:rsidP="0056532A">
            <w:pPr>
              <w:pStyle w:val="14-12"/>
              <w:jc w:val="right"/>
              <w:rPr>
                <w:spacing w:val="0"/>
              </w:rPr>
            </w:pPr>
            <w:r w:rsidRPr="00320125">
              <w:rPr>
                <w:spacing w:val="0"/>
              </w:rPr>
              <w:t>128.55</w:t>
            </w:r>
          </w:p>
        </w:tc>
        <w:tc>
          <w:tcPr>
            <w:tcW w:w="850" w:type="dxa"/>
            <w:tcBorders>
              <w:top w:val="single" w:sz="4" w:space="0" w:color="auto"/>
              <w:left w:val="single" w:sz="4" w:space="0" w:color="auto"/>
              <w:bottom w:val="single" w:sz="12" w:space="0" w:color="auto"/>
              <w:right w:val="single" w:sz="12" w:space="0" w:color="auto"/>
            </w:tcBorders>
            <w:shd w:val="clear" w:color="auto" w:fill="auto"/>
            <w:vAlign w:val="center"/>
          </w:tcPr>
          <w:p w:rsidR="00ED3881" w:rsidRPr="00320125" w:rsidRDefault="00ED3881" w:rsidP="0056532A">
            <w:pPr>
              <w:pStyle w:val="14-12"/>
              <w:jc w:val="right"/>
              <w:rPr>
                <w:spacing w:val="0"/>
              </w:rPr>
            </w:pPr>
            <w:r w:rsidRPr="00320125">
              <w:rPr>
                <w:spacing w:val="0"/>
              </w:rPr>
              <w:t>2.80</w:t>
            </w:r>
          </w:p>
        </w:tc>
      </w:tr>
    </w:tbl>
    <w:p w:rsidR="007614C3" w:rsidRDefault="007614C3" w:rsidP="00ED3881">
      <w:pPr>
        <w:pStyle w:val="142"/>
        <w:ind w:left="788" w:hangingChars="324" w:hanging="788"/>
        <w:rPr>
          <w:rFonts w:ascii="Times New Roman"/>
        </w:rPr>
      </w:pPr>
      <w:r>
        <w:rPr>
          <w:rFonts w:ascii="Times New Roman" w:hint="eastAsia"/>
        </w:rPr>
        <w:t>說</w:t>
      </w:r>
      <w:r>
        <w:rPr>
          <w:rFonts w:ascii="Times New Roman" w:hint="eastAsia"/>
        </w:rPr>
        <w:t xml:space="preserve">    </w:t>
      </w:r>
      <w:r>
        <w:rPr>
          <w:rFonts w:ascii="Times New Roman" w:hint="eastAsia"/>
        </w:rPr>
        <w:t>明：各年度預算國內投資收益率未提供。</w:t>
      </w:r>
    </w:p>
    <w:p w:rsidR="00ED3881" w:rsidRPr="00320125" w:rsidRDefault="00ED3881" w:rsidP="00ED3881">
      <w:pPr>
        <w:pStyle w:val="142"/>
        <w:ind w:left="788" w:hangingChars="324" w:hanging="788"/>
        <w:rPr>
          <w:rFonts w:ascii="Times New Roman"/>
        </w:rPr>
      </w:pPr>
      <w:r w:rsidRPr="00320125">
        <w:rPr>
          <w:rFonts w:ascii="Times New Roman"/>
        </w:rPr>
        <w:t>資料來源：臺銀人壽提供。</w:t>
      </w:r>
    </w:p>
    <w:p w:rsidR="00273D24" w:rsidRPr="00273D24" w:rsidRDefault="00273D24" w:rsidP="00D70747">
      <w:pPr>
        <w:spacing w:line="600" w:lineRule="exact"/>
        <w:ind w:leftChars="0" w:left="567" w:hangingChars="200" w:hanging="567"/>
        <w:rPr>
          <w:b/>
          <w:color w:val="000000"/>
          <w:kern w:val="0"/>
        </w:rPr>
      </w:pPr>
      <w:r w:rsidRPr="00273D24">
        <w:rPr>
          <w:rFonts w:hAnsi="標楷體" w:hint="eastAsia"/>
          <w:b/>
        </w:rPr>
        <w:t>表</w:t>
      </w:r>
      <w:r w:rsidR="00320125">
        <w:rPr>
          <w:rFonts w:hAnsi="標楷體" w:hint="eastAsia"/>
          <w:b/>
        </w:rPr>
        <w:t>3</w:t>
      </w:r>
      <w:r w:rsidRPr="00273D24">
        <w:rPr>
          <w:rFonts w:hAnsi="標楷體" w:hint="eastAsia"/>
          <w:b/>
        </w:rPr>
        <w:t xml:space="preserve">  臺</w:t>
      </w:r>
      <w:r w:rsidRPr="00273D24">
        <w:rPr>
          <w:rFonts w:hint="eastAsia"/>
          <w:b/>
          <w:color w:val="000000"/>
          <w:kern w:val="0"/>
        </w:rPr>
        <w:t>銀人壽110</w:t>
      </w:r>
      <w:r w:rsidR="00190F5C">
        <w:rPr>
          <w:rFonts w:hint="eastAsia"/>
          <w:b/>
          <w:color w:val="000000"/>
          <w:kern w:val="0"/>
        </w:rPr>
        <w:t>年度</w:t>
      </w:r>
      <w:r w:rsidRPr="00273D24">
        <w:rPr>
          <w:rFonts w:hint="eastAsia"/>
          <w:b/>
          <w:color w:val="000000"/>
          <w:kern w:val="0"/>
        </w:rPr>
        <w:t>至113</w:t>
      </w:r>
      <w:r w:rsidRPr="00273D24">
        <w:rPr>
          <w:b/>
          <w:color w:val="000000"/>
          <w:kern w:val="0"/>
        </w:rPr>
        <w:t>年9月底止兌換損益相關項目統計表</w:t>
      </w:r>
    </w:p>
    <w:p w:rsidR="00273D24" w:rsidRPr="00273D24" w:rsidRDefault="00273D24" w:rsidP="00273D24">
      <w:pPr>
        <w:pStyle w:val="142"/>
        <w:jc w:val="right"/>
      </w:pPr>
      <w:r w:rsidRPr="00273D24">
        <w:t>單位：新臺幣千元</w:t>
      </w:r>
    </w:p>
    <w:tbl>
      <w:tblPr>
        <w:tblW w:w="8505"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595"/>
        <w:gridCol w:w="1176"/>
        <w:gridCol w:w="1276"/>
        <w:gridCol w:w="1417"/>
        <w:gridCol w:w="1418"/>
        <w:gridCol w:w="1276"/>
        <w:gridCol w:w="1347"/>
      </w:tblGrid>
      <w:tr w:rsidR="00273D24" w:rsidRPr="00A73074" w:rsidTr="00670E55">
        <w:trPr>
          <w:trHeight w:val="692"/>
          <w:tblHeader/>
        </w:trPr>
        <w:tc>
          <w:tcPr>
            <w:tcW w:w="1771" w:type="dxa"/>
            <w:gridSpan w:val="2"/>
            <w:tcBorders>
              <w:top w:val="single" w:sz="12" w:space="0" w:color="auto"/>
              <w:left w:val="single" w:sz="12" w:space="0" w:color="auto"/>
              <w:bottom w:val="single" w:sz="6" w:space="0" w:color="auto"/>
              <w:right w:val="single" w:sz="6" w:space="0" w:color="auto"/>
              <w:tl2br w:val="single" w:sz="6" w:space="0" w:color="auto"/>
            </w:tcBorders>
            <w:shd w:val="clear" w:color="auto" w:fill="auto"/>
          </w:tcPr>
          <w:p w:rsidR="00273D24" w:rsidRPr="00EA3C14" w:rsidRDefault="00273D24" w:rsidP="006F7265">
            <w:pPr>
              <w:pStyle w:val="142"/>
              <w:ind w:left="567" w:hanging="567"/>
              <w:rPr>
                <w:rFonts w:hAnsi="標楷體"/>
                <w:b/>
              </w:rPr>
            </w:pPr>
            <w:r w:rsidRPr="00EA3C14">
              <w:rPr>
                <w:rFonts w:hAnsi="標楷體"/>
                <w:b/>
              </w:rPr>
              <w:t xml:space="preserve">        年度</w:t>
            </w:r>
          </w:p>
          <w:p w:rsidR="00273D24" w:rsidRPr="00EA3C14" w:rsidRDefault="00273D24" w:rsidP="006F7265">
            <w:pPr>
              <w:pStyle w:val="142"/>
              <w:ind w:left="566" w:hanging="566"/>
              <w:rPr>
                <w:rFonts w:hAnsi="標楷體"/>
                <w:b/>
              </w:rPr>
            </w:pPr>
          </w:p>
          <w:p w:rsidR="00273D24" w:rsidRPr="00EA3C14" w:rsidRDefault="00273D24" w:rsidP="006F7265">
            <w:pPr>
              <w:pStyle w:val="142"/>
              <w:ind w:left="567" w:hanging="567"/>
              <w:rPr>
                <w:rFonts w:hAnsi="標楷體"/>
                <w:b/>
              </w:rPr>
            </w:pPr>
            <w:r w:rsidRPr="00EA3C14">
              <w:rPr>
                <w:rFonts w:hAnsi="標楷體"/>
                <w:b/>
              </w:rPr>
              <w:t>項目</w:t>
            </w:r>
          </w:p>
        </w:tc>
        <w:tc>
          <w:tcPr>
            <w:tcW w:w="1276" w:type="dxa"/>
            <w:tcBorders>
              <w:top w:val="single" w:sz="12" w:space="0" w:color="auto"/>
              <w:left w:val="single" w:sz="6" w:space="0" w:color="auto"/>
              <w:bottom w:val="single" w:sz="6" w:space="0" w:color="auto"/>
              <w:right w:val="single" w:sz="6" w:space="0" w:color="auto"/>
            </w:tcBorders>
            <w:vAlign w:val="center"/>
          </w:tcPr>
          <w:p w:rsidR="00273D24" w:rsidRPr="00EA3C14" w:rsidRDefault="00273D24" w:rsidP="006F7265">
            <w:pPr>
              <w:pStyle w:val="142"/>
              <w:ind w:left="567" w:hanging="567"/>
              <w:jc w:val="center"/>
              <w:rPr>
                <w:rFonts w:hAnsi="標楷體"/>
                <w:b/>
              </w:rPr>
            </w:pPr>
            <w:r w:rsidRPr="00EA3C14">
              <w:rPr>
                <w:rFonts w:hAnsi="標楷體"/>
                <w:b/>
                <w:szCs w:val="24"/>
              </w:rPr>
              <w:t>110年度</w:t>
            </w:r>
          </w:p>
        </w:tc>
        <w:tc>
          <w:tcPr>
            <w:tcW w:w="1417" w:type="dxa"/>
            <w:tcBorders>
              <w:top w:val="single" w:sz="12" w:space="0" w:color="auto"/>
              <w:left w:val="single" w:sz="6" w:space="0" w:color="auto"/>
              <w:bottom w:val="single" w:sz="6" w:space="0" w:color="auto"/>
              <w:right w:val="single" w:sz="6" w:space="0" w:color="auto"/>
            </w:tcBorders>
            <w:shd w:val="clear" w:color="auto" w:fill="auto"/>
            <w:vAlign w:val="center"/>
          </w:tcPr>
          <w:p w:rsidR="00273D24" w:rsidRPr="00EA3C14" w:rsidRDefault="00273D24" w:rsidP="006F7265">
            <w:pPr>
              <w:pStyle w:val="142"/>
              <w:ind w:left="567" w:hanging="567"/>
              <w:jc w:val="center"/>
              <w:rPr>
                <w:rFonts w:hAnsi="標楷體"/>
                <w:b/>
                <w:szCs w:val="24"/>
              </w:rPr>
            </w:pPr>
            <w:r w:rsidRPr="00EA3C14">
              <w:rPr>
                <w:rFonts w:hAnsi="標楷體"/>
                <w:b/>
                <w:szCs w:val="24"/>
              </w:rPr>
              <w:t>111年度</w:t>
            </w:r>
          </w:p>
        </w:tc>
        <w:tc>
          <w:tcPr>
            <w:tcW w:w="1418" w:type="dxa"/>
            <w:tcBorders>
              <w:top w:val="single" w:sz="12" w:space="0" w:color="auto"/>
              <w:left w:val="single" w:sz="6" w:space="0" w:color="auto"/>
              <w:bottom w:val="single" w:sz="6" w:space="0" w:color="auto"/>
              <w:right w:val="single" w:sz="6" w:space="0" w:color="auto"/>
            </w:tcBorders>
            <w:shd w:val="clear" w:color="auto" w:fill="auto"/>
            <w:vAlign w:val="center"/>
          </w:tcPr>
          <w:p w:rsidR="00273D24" w:rsidRPr="00EA3C14" w:rsidRDefault="00273D24" w:rsidP="006F7265">
            <w:pPr>
              <w:pStyle w:val="142"/>
              <w:ind w:left="567" w:hanging="567"/>
              <w:jc w:val="center"/>
              <w:rPr>
                <w:rFonts w:hAnsi="標楷體"/>
                <w:b/>
              </w:rPr>
            </w:pPr>
            <w:r w:rsidRPr="00EA3C14">
              <w:rPr>
                <w:rFonts w:hAnsi="標楷體"/>
                <w:b/>
                <w:szCs w:val="24"/>
              </w:rPr>
              <w:t>112年度</w:t>
            </w:r>
          </w:p>
        </w:tc>
        <w:tc>
          <w:tcPr>
            <w:tcW w:w="1276" w:type="dxa"/>
            <w:tcBorders>
              <w:top w:val="single" w:sz="12" w:space="0" w:color="auto"/>
              <w:left w:val="single" w:sz="6" w:space="0" w:color="auto"/>
              <w:bottom w:val="single" w:sz="6" w:space="0" w:color="auto"/>
              <w:right w:val="single" w:sz="6" w:space="0" w:color="auto"/>
            </w:tcBorders>
            <w:vAlign w:val="center"/>
          </w:tcPr>
          <w:p w:rsidR="00273D24" w:rsidRPr="00EA3C14" w:rsidRDefault="00273D24" w:rsidP="00273D24">
            <w:pPr>
              <w:pStyle w:val="142"/>
              <w:rPr>
                <w:rFonts w:hAnsi="標楷體"/>
                <w:b/>
                <w:bCs/>
              </w:rPr>
            </w:pPr>
            <w:r w:rsidRPr="00EA3C14">
              <w:rPr>
                <w:rFonts w:hAnsi="標楷體"/>
                <w:b/>
                <w:bCs/>
              </w:rPr>
              <w:t>112年度截9月底</w:t>
            </w:r>
          </w:p>
        </w:tc>
        <w:tc>
          <w:tcPr>
            <w:tcW w:w="1347" w:type="dxa"/>
            <w:tcBorders>
              <w:top w:val="single" w:sz="12" w:space="0" w:color="auto"/>
              <w:left w:val="single" w:sz="6" w:space="0" w:color="auto"/>
              <w:bottom w:val="single" w:sz="6" w:space="0" w:color="auto"/>
              <w:right w:val="single" w:sz="12" w:space="0" w:color="auto"/>
            </w:tcBorders>
            <w:vAlign w:val="center"/>
          </w:tcPr>
          <w:p w:rsidR="00273D24" w:rsidRPr="00EA3C14" w:rsidRDefault="00273D24" w:rsidP="006F7265">
            <w:pPr>
              <w:pStyle w:val="142"/>
              <w:ind w:left="567" w:hanging="567"/>
              <w:jc w:val="center"/>
              <w:rPr>
                <w:rFonts w:hAnsi="標楷體"/>
                <w:b/>
              </w:rPr>
            </w:pPr>
            <w:r w:rsidRPr="00EA3C14">
              <w:rPr>
                <w:rFonts w:hAnsi="標楷體"/>
                <w:b/>
              </w:rPr>
              <w:t>113年度</w:t>
            </w:r>
          </w:p>
          <w:p w:rsidR="00273D24" w:rsidRPr="00EA3C14" w:rsidRDefault="00273D24" w:rsidP="006F7265">
            <w:pPr>
              <w:pStyle w:val="142"/>
              <w:ind w:left="567" w:hanging="567"/>
              <w:jc w:val="center"/>
              <w:rPr>
                <w:rFonts w:hAnsi="標楷體"/>
                <w:b/>
              </w:rPr>
            </w:pPr>
            <w:r w:rsidRPr="00EA3C14">
              <w:rPr>
                <w:rFonts w:hAnsi="標楷體"/>
                <w:b/>
              </w:rPr>
              <w:t>截至9月底</w:t>
            </w:r>
          </w:p>
        </w:tc>
      </w:tr>
      <w:tr w:rsidR="00273D24" w:rsidRPr="00A73074" w:rsidTr="00670E55">
        <w:trPr>
          <w:trHeight w:val="397"/>
        </w:trPr>
        <w:tc>
          <w:tcPr>
            <w:tcW w:w="1771" w:type="dxa"/>
            <w:gridSpan w:val="2"/>
            <w:tcBorders>
              <w:top w:val="single" w:sz="6" w:space="0" w:color="auto"/>
              <w:left w:val="single" w:sz="12" w:space="0" w:color="auto"/>
              <w:bottom w:val="single" w:sz="4" w:space="0" w:color="auto"/>
              <w:right w:val="single" w:sz="4" w:space="0" w:color="auto"/>
            </w:tcBorders>
            <w:vAlign w:val="center"/>
          </w:tcPr>
          <w:p w:rsidR="00273D24" w:rsidRPr="00EA3C14" w:rsidRDefault="00273D24" w:rsidP="006F7265">
            <w:pPr>
              <w:pStyle w:val="142"/>
              <w:ind w:left="567" w:hanging="567"/>
              <w:rPr>
                <w:rFonts w:hAnsi="標楷體"/>
              </w:rPr>
            </w:pPr>
            <w:r w:rsidRPr="00EA3C14">
              <w:rPr>
                <w:rFonts w:hAnsi="標楷體"/>
              </w:rPr>
              <w:t>兌換損益(A)</w:t>
            </w:r>
          </w:p>
        </w:tc>
        <w:tc>
          <w:tcPr>
            <w:tcW w:w="1276" w:type="dxa"/>
            <w:tcBorders>
              <w:top w:val="single" w:sz="6" w:space="0" w:color="auto"/>
              <w:left w:val="single" w:sz="4" w:space="0" w:color="auto"/>
              <w:bottom w:val="single" w:sz="4" w:space="0" w:color="auto"/>
              <w:right w:val="single" w:sz="4" w:space="0" w:color="auto"/>
            </w:tcBorders>
            <w:vAlign w:val="center"/>
          </w:tcPr>
          <w:p w:rsidR="00273D24" w:rsidRPr="00670E55" w:rsidRDefault="00273D24" w:rsidP="00670E55">
            <w:pPr>
              <w:pStyle w:val="142"/>
              <w:wordWrap w:val="0"/>
              <w:ind w:left="13" w:hanging="13"/>
              <w:jc w:val="right"/>
              <w:rPr>
                <w:rFonts w:hAnsi="標楷體"/>
                <w:spacing w:val="-20"/>
              </w:rPr>
            </w:pPr>
            <w:r w:rsidRPr="00670E55">
              <w:rPr>
                <w:rFonts w:hAnsi="標楷體"/>
                <w:spacing w:val="-20"/>
              </w:rPr>
              <w:t xml:space="preserve"> -2,627,871</w:t>
            </w:r>
          </w:p>
        </w:tc>
        <w:tc>
          <w:tcPr>
            <w:tcW w:w="1417" w:type="dxa"/>
            <w:tcBorders>
              <w:top w:val="single" w:sz="6" w:space="0" w:color="auto"/>
              <w:left w:val="single" w:sz="4" w:space="0" w:color="auto"/>
              <w:bottom w:val="single" w:sz="4" w:space="0" w:color="auto"/>
              <w:right w:val="single" w:sz="4" w:space="0" w:color="auto"/>
            </w:tcBorders>
            <w:vAlign w:val="center"/>
          </w:tcPr>
          <w:p w:rsidR="00273D24" w:rsidRPr="00670E55" w:rsidRDefault="00273D24" w:rsidP="006F7265">
            <w:pPr>
              <w:pStyle w:val="142"/>
              <w:ind w:left="567" w:hanging="567"/>
              <w:jc w:val="right"/>
              <w:rPr>
                <w:rFonts w:hAnsi="標楷體"/>
                <w:spacing w:val="-10"/>
              </w:rPr>
            </w:pPr>
            <w:r w:rsidRPr="00670E55">
              <w:rPr>
                <w:rFonts w:hAnsi="標楷體"/>
                <w:spacing w:val="-10"/>
              </w:rPr>
              <w:t>24,280,308</w:t>
            </w:r>
          </w:p>
        </w:tc>
        <w:tc>
          <w:tcPr>
            <w:tcW w:w="1418" w:type="dxa"/>
            <w:tcBorders>
              <w:top w:val="single" w:sz="6" w:space="0" w:color="auto"/>
              <w:left w:val="single" w:sz="4" w:space="0" w:color="auto"/>
              <w:bottom w:val="single" w:sz="4" w:space="0" w:color="auto"/>
              <w:right w:val="single" w:sz="4" w:space="0" w:color="auto"/>
            </w:tcBorders>
            <w:vAlign w:val="center"/>
          </w:tcPr>
          <w:p w:rsidR="00273D24" w:rsidRPr="00670E55" w:rsidRDefault="00273D24" w:rsidP="006F7265">
            <w:pPr>
              <w:pStyle w:val="142"/>
              <w:ind w:left="567" w:hanging="567"/>
              <w:jc w:val="right"/>
              <w:rPr>
                <w:rFonts w:hAnsi="標楷體"/>
                <w:spacing w:val="-10"/>
              </w:rPr>
            </w:pPr>
            <w:r w:rsidRPr="00670E55">
              <w:rPr>
                <w:rFonts w:hAnsi="標楷體"/>
                <w:spacing w:val="-10"/>
              </w:rPr>
              <w:t>-3,612,048</w:t>
            </w:r>
          </w:p>
        </w:tc>
        <w:tc>
          <w:tcPr>
            <w:tcW w:w="1276" w:type="dxa"/>
            <w:tcBorders>
              <w:top w:val="single" w:sz="6" w:space="0" w:color="auto"/>
              <w:left w:val="single" w:sz="4" w:space="0" w:color="auto"/>
              <w:bottom w:val="single" w:sz="4" w:space="0" w:color="auto"/>
              <w:right w:val="single" w:sz="4" w:space="0" w:color="auto"/>
            </w:tcBorders>
            <w:vAlign w:val="center"/>
          </w:tcPr>
          <w:p w:rsidR="00273D24" w:rsidRPr="00670E55" w:rsidRDefault="00273D24" w:rsidP="006F7265">
            <w:pPr>
              <w:pStyle w:val="142"/>
              <w:ind w:left="567" w:hanging="567"/>
              <w:jc w:val="right"/>
              <w:rPr>
                <w:rFonts w:hAnsi="標楷體"/>
                <w:spacing w:val="-10"/>
              </w:rPr>
            </w:pPr>
            <w:r w:rsidRPr="00670E55">
              <w:rPr>
                <w:rFonts w:hAnsi="標楷體"/>
                <w:spacing w:val="-10"/>
              </w:rPr>
              <w:t>9,376,115</w:t>
            </w:r>
          </w:p>
        </w:tc>
        <w:tc>
          <w:tcPr>
            <w:tcW w:w="1347" w:type="dxa"/>
            <w:tcBorders>
              <w:top w:val="single" w:sz="6" w:space="0" w:color="auto"/>
              <w:left w:val="single" w:sz="4" w:space="0" w:color="auto"/>
              <w:bottom w:val="single" w:sz="4" w:space="0" w:color="auto"/>
              <w:right w:val="single" w:sz="12" w:space="0" w:color="auto"/>
            </w:tcBorders>
            <w:vAlign w:val="center"/>
          </w:tcPr>
          <w:p w:rsidR="00273D24" w:rsidRPr="00670E55" w:rsidRDefault="00273D24" w:rsidP="006F7265">
            <w:pPr>
              <w:pStyle w:val="142"/>
              <w:ind w:left="567" w:hanging="567"/>
              <w:jc w:val="right"/>
              <w:rPr>
                <w:rFonts w:hAnsi="標楷體"/>
                <w:spacing w:val="-10"/>
              </w:rPr>
            </w:pPr>
            <w:r w:rsidRPr="00670E55">
              <w:rPr>
                <w:rFonts w:hAnsi="標楷體"/>
                <w:spacing w:val="-10"/>
              </w:rPr>
              <w:t>6,943,510</w:t>
            </w:r>
          </w:p>
        </w:tc>
      </w:tr>
      <w:tr w:rsidR="00273D24" w:rsidRPr="00A73074" w:rsidTr="00670E55">
        <w:trPr>
          <w:trHeight w:val="459"/>
        </w:trPr>
        <w:tc>
          <w:tcPr>
            <w:tcW w:w="595" w:type="dxa"/>
            <w:vMerge w:val="restart"/>
            <w:tcBorders>
              <w:top w:val="single" w:sz="4" w:space="0" w:color="auto"/>
              <w:left w:val="single" w:sz="12" w:space="0" w:color="auto"/>
              <w:bottom w:val="single" w:sz="4" w:space="0" w:color="auto"/>
              <w:right w:val="single" w:sz="4" w:space="0" w:color="auto"/>
            </w:tcBorders>
            <w:vAlign w:val="center"/>
          </w:tcPr>
          <w:p w:rsidR="00273D24" w:rsidRPr="00EA3C14" w:rsidRDefault="00273D24" w:rsidP="00273D24">
            <w:pPr>
              <w:pStyle w:val="14-12"/>
            </w:pPr>
            <w:r w:rsidRPr="00EA3C14">
              <w:t>避險損益</w:t>
            </w:r>
          </w:p>
          <w:p w:rsidR="00273D24" w:rsidRPr="00EA3C14" w:rsidRDefault="00273D24" w:rsidP="00273D24">
            <w:pPr>
              <w:pStyle w:val="14-12"/>
            </w:pPr>
            <w:r w:rsidRPr="00EA3C14">
              <w:rPr>
                <w:snapToGrid/>
                <w:kern w:val="0"/>
              </w:rPr>
              <w:t>(B)</w:t>
            </w:r>
          </w:p>
        </w:tc>
        <w:tc>
          <w:tcPr>
            <w:tcW w:w="1176" w:type="dxa"/>
            <w:tcBorders>
              <w:top w:val="single" w:sz="4" w:space="0" w:color="auto"/>
              <w:left w:val="single" w:sz="4" w:space="0" w:color="auto"/>
              <w:bottom w:val="single" w:sz="4" w:space="0" w:color="auto"/>
              <w:right w:val="single" w:sz="4" w:space="0" w:color="auto"/>
            </w:tcBorders>
            <w:vAlign w:val="center"/>
          </w:tcPr>
          <w:p w:rsidR="00273D24" w:rsidRPr="00EA3C14" w:rsidRDefault="00273D24" w:rsidP="00273D24">
            <w:pPr>
              <w:pStyle w:val="14-12"/>
            </w:pPr>
            <w:r w:rsidRPr="00EA3C14">
              <w:t>避險工具損益</w:t>
            </w:r>
          </w:p>
        </w:tc>
        <w:tc>
          <w:tcPr>
            <w:tcW w:w="1276" w:type="dxa"/>
            <w:tcBorders>
              <w:top w:val="single" w:sz="4" w:space="0" w:color="auto"/>
              <w:left w:val="single" w:sz="4" w:space="0" w:color="auto"/>
              <w:bottom w:val="single" w:sz="4" w:space="0" w:color="auto"/>
              <w:right w:val="single" w:sz="4" w:space="0" w:color="auto"/>
            </w:tcBorders>
            <w:vAlign w:val="center"/>
          </w:tcPr>
          <w:p w:rsidR="00273D24" w:rsidRPr="00670E55" w:rsidRDefault="00273D24" w:rsidP="00273D24">
            <w:pPr>
              <w:pStyle w:val="14-12"/>
              <w:jc w:val="right"/>
              <w:rPr>
                <w:spacing w:val="-10"/>
              </w:rPr>
            </w:pPr>
            <w:r w:rsidRPr="00670E55">
              <w:rPr>
                <w:spacing w:val="-10"/>
              </w:rPr>
              <w:t>1,182,465</w:t>
            </w:r>
          </w:p>
        </w:tc>
        <w:tc>
          <w:tcPr>
            <w:tcW w:w="1417" w:type="dxa"/>
            <w:tcBorders>
              <w:top w:val="single" w:sz="4" w:space="0" w:color="auto"/>
              <w:left w:val="single" w:sz="4" w:space="0" w:color="auto"/>
              <w:bottom w:val="single" w:sz="4" w:space="0" w:color="auto"/>
              <w:right w:val="single" w:sz="4" w:space="0" w:color="auto"/>
            </w:tcBorders>
            <w:vAlign w:val="center"/>
          </w:tcPr>
          <w:p w:rsidR="00273D24" w:rsidRPr="00670E55" w:rsidRDefault="00273D24" w:rsidP="00273D24">
            <w:pPr>
              <w:pStyle w:val="14-12"/>
              <w:jc w:val="right"/>
              <w:rPr>
                <w:spacing w:val="-10"/>
              </w:rPr>
            </w:pPr>
            <w:r w:rsidRPr="00670E55">
              <w:rPr>
                <w:spacing w:val="-10"/>
              </w:rPr>
              <w:t>-17,822,723</w:t>
            </w:r>
          </w:p>
        </w:tc>
        <w:tc>
          <w:tcPr>
            <w:tcW w:w="1418" w:type="dxa"/>
            <w:tcBorders>
              <w:top w:val="single" w:sz="4" w:space="0" w:color="auto"/>
              <w:left w:val="single" w:sz="4" w:space="0" w:color="auto"/>
              <w:bottom w:val="single" w:sz="4" w:space="0" w:color="auto"/>
              <w:right w:val="single" w:sz="4" w:space="0" w:color="auto"/>
            </w:tcBorders>
            <w:vAlign w:val="center"/>
          </w:tcPr>
          <w:p w:rsidR="00273D24" w:rsidRPr="00670E55" w:rsidRDefault="00273D24" w:rsidP="00273D24">
            <w:pPr>
              <w:pStyle w:val="14-12"/>
              <w:jc w:val="right"/>
              <w:rPr>
                <w:spacing w:val="-10"/>
              </w:rPr>
            </w:pPr>
            <w:r w:rsidRPr="00670E55">
              <w:rPr>
                <w:spacing w:val="-10"/>
              </w:rPr>
              <w:t>3,195,067</w:t>
            </w:r>
          </w:p>
        </w:tc>
        <w:tc>
          <w:tcPr>
            <w:tcW w:w="1276" w:type="dxa"/>
            <w:tcBorders>
              <w:top w:val="single" w:sz="4" w:space="0" w:color="auto"/>
              <w:left w:val="single" w:sz="4" w:space="0" w:color="auto"/>
              <w:bottom w:val="single" w:sz="4" w:space="0" w:color="auto"/>
              <w:right w:val="single" w:sz="4" w:space="0" w:color="auto"/>
            </w:tcBorders>
            <w:vAlign w:val="center"/>
          </w:tcPr>
          <w:p w:rsidR="00273D24" w:rsidRPr="00670E55" w:rsidRDefault="00273D24" w:rsidP="00273D24">
            <w:pPr>
              <w:pStyle w:val="14-12"/>
              <w:jc w:val="right"/>
              <w:rPr>
                <w:spacing w:val="-10"/>
              </w:rPr>
            </w:pPr>
            <w:r w:rsidRPr="00670E55">
              <w:rPr>
                <w:spacing w:val="-10"/>
              </w:rPr>
              <w:t>-4,294,968</w:t>
            </w:r>
          </w:p>
        </w:tc>
        <w:tc>
          <w:tcPr>
            <w:tcW w:w="1347" w:type="dxa"/>
            <w:tcBorders>
              <w:top w:val="single" w:sz="4" w:space="0" w:color="auto"/>
              <w:left w:val="single" w:sz="4" w:space="0" w:color="auto"/>
              <w:bottom w:val="single" w:sz="4" w:space="0" w:color="auto"/>
              <w:right w:val="single" w:sz="12" w:space="0" w:color="auto"/>
            </w:tcBorders>
            <w:vAlign w:val="center"/>
          </w:tcPr>
          <w:p w:rsidR="00273D24" w:rsidRPr="00670E55" w:rsidRDefault="00273D24" w:rsidP="00273D24">
            <w:pPr>
              <w:pStyle w:val="14-12"/>
              <w:jc w:val="right"/>
              <w:rPr>
                <w:spacing w:val="-10"/>
              </w:rPr>
            </w:pPr>
            <w:r w:rsidRPr="00670E55">
              <w:rPr>
                <w:spacing w:val="-10"/>
              </w:rPr>
              <w:t>-3,041,642</w:t>
            </w:r>
          </w:p>
        </w:tc>
      </w:tr>
      <w:tr w:rsidR="00273D24" w:rsidRPr="00A73074" w:rsidTr="00670E55">
        <w:trPr>
          <w:trHeight w:val="459"/>
        </w:trPr>
        <w:tc>
          <w:tcPr>
            <w:tcW w:w="595" w:type="dxa"/>
            <w:vMerge/>
            <w:tcBorders>
              <w:top w:val="single" w:sz="4" w:space="0" w:color="auto"/>
              <w:left w:val="single" w:sz="12" w:space="0" w:color="auto"/>
              <w:bottom w:val="single" w:sz="4" w:space="0" w:color="auto"/>
              <w:right w:val="single" w:sz="4" w:space="0" w:color="auto"/>
            </w:tcBorders>
            <w:vAlign w:val="center"/>
          </w:tcPr>
          <w:p w:rsidR="00273D24" w:rsidRPr="00EA3C14" w:rsidRDefault="00273D24" w:rsidP="00273D24">
            <w:pPr>
              <w:pStyle w:val="14-12"/>
            </w:pPr>
          </w:p>
        </w:tc>
        <w:tc>
          <w:tcPr>
            <w:tcW w:w="1176" w:type="dxa"/>
            <w:tcBorders>
              <w:top w:val="single" w:sz="4" w:space="0" w:color="auto"/>
              <w:left w:val="single" w:sz="4" w:space="0" w:color="auto"/>
              <w:bottom w:val="single" w:sz="4" w:space="0" w:color="auto"/>
              <w:right w:val="single" w:sz="4" w:space="0" w:color="auto"/>
            </w:tcBorders>
            <w:vAlign w:val="center"/>
          </w:tcPr>
          <w:p w:rsidR="00273D24" w:rsidRPr="00EA3C14" w:rsidRDefault="00273D24" w:rsidP="00273D24">
            <w:pPr>
              <w:pStyle w:val="14-12"/>
            </w:pPr>
            <w:r w:rsidRPr="00EA3C14">
              <w:t>避險工具換匯成本</w:t>
            </w:r>
          </w:p>
        </w:tc>
        <w:tc>
          <w:tcPr>
            <w:tcW w:w="1276" w:type="dxa"/>
            <w:tcBorders>
              <w:top w:val="single" w:sz="4" w:space="0" w:color="auto"/>
              <w:left w:val="single" w:sz="4" w:space="0" w:color="auto"/>
              <w:bottom w:val="single" w:sz="4" w:space="0" w:color="auto"/>
              <w:right w:val="single" w:sz="4" w:space="0" w:color="auto"/>
            </w:tcBorders>
            <w:vAlign w:val="center"/>
          </w:tcPr>
          <w:p w:rsidR="00273D24" w:rsidRPr="00670E55" w:rsidRDefault="00273D24" w:rsidP="00273D24">
            <w:pPr>
              <w:pStyle w:val="14-12"/>
              <w:jc w:val="right"/>
              <w:rPr>
                <w:spacing w:val="-10"/>
              </w:rPr>
            </w:pPr>
            <w:r w:rsidRPr="00670E55">
              <w:rPr>
                <w:spacing w:val="-10"/>
              </w:rPr>
              <w:t>-1,527,476</w:t>
            </w:r>
          </w:p>
        </w:tc>
        <w:tc>
          <w:tcPr>
            <w:tcW w:w="1417" w:type="dxa"/>
            <w:tcBorders>
              <w:top w:val="single" w:sz="4" w:space="0" w:color="auto"/>
              <w:left w:val="single" w:sz="4" w:space="0" w:color="auto"/>
              <w:bottom w:val="single" w:sz="4" w:space="0" w:color="auto"/>
              <w:right w:val="single" w:sz="4" w:space="0" w:color="auto"/>
            </w:tcBorders>
            <w:vAlign w:val="center"/>
          </w:tcPr>
          <w:p w:rsidR="00273D24" w:rsidRPr="00670E55" w:rsidRDefault="00273D24" w:rsidP="00273D24">
            <w:pPr>
              <w:pStyle w:val="14-12"/>
              <w:jc w:val="right"/>
              <w:rPr>
                <w:spacing w:val="-10"/>
              </w:rPr>
            </w:pPr>
            <w:r w:rsidRPr="00670E55">
              <w:rPr>
                <w:spacing w:val="-10"/>
              </w:rPr>
              <w:t>-2,219,834</w:t>
            </w:r>
          </w:p>
        </w:tc>
        <w:tc>
          <w:tcPr>
            <w:tcW w:w="1418" w:type="dxa"/>
            <w:tcBorders>
              <w:top w:val="single" w:sz="4" w:space="0" w:color="auto"/>
              <w:left w:val="single" w:sz="4" w:space="0" w:color="auto"/>
              <w:bottom w:val="single" w:sz="4" w:space="0" w:color="auto"/>
              <w:right w:val="single" w:sz="4" w:space="0" w:color="auto"/>
            </w:tcBorders>
            <w:vAlign w:val="center"/>
          </w:tcPr>
          <w:p w:rsidR="00273D24" w:rsidRPr="00670E55" w:rsidRDefault="00273D24" w:rsidP="00273D24">
            <w:pPr>
              <w:pStyle w:val="14-12"/>
              <w:jc w:val="right"/>
              <w:rPr>
                <w:spacing w:val="-10"/>
              </w:rPr>
            </w:pPr>
            <w:r w:rsidRPr="00670E55">
              <w:rPr>
                <w:spacing w:val="-10"/>
              </w:rPr>
              <w:t>-5,844,060</w:t>
            </w:r>
          </w:p>
        </w:tc>
        <w:tc>
          <w:tcPr>
            <w:tcW w:w="1276" w:type="dxa"/>
            <w:tcBorders>
              <w:top w:val="single" w:sz="4" w:space="0" w:color="auto"/>
              <w:left w:val="single" w:sz="4" w:space="0" w:color="auto"/>
              <w:bottom w:val="single" w:sz="4" w:space="0" w:color="auto"/>
              <w:right w:val="single" w:sz="4" w:space="0" w:color="auto"/>
            </w:tcBorders>
            <w:vAlign w:val="center"/>
          </w:tcPr>
          <w:p w:rsidR="00273D24" w:rsidRPr="00670E55" w:rsidRDefault="00273D24" w:rsidP="00273D24">
            <w:pPr>
              <w:pStyle w:val="14-12"/>
              <w:jc w:val="right"/>
              <w:rPr>
                <w:spacing w:val="-10"/>
              </w:rPr>
            </w:pPr>
            <w:r w:rsidRPr="00670E55">
              <w:rPr>
                <w:spacing w:val="-10"/>
              </w:rPr>
              <w:t>-4,189,747</w:t>
            </w:r>
          </w:p>
        </w:tc>
        <w:tc>
          <w:tcPr>
            <w:tcW w:w="1347" w:type="dxa"/>
            <w:tcBorders>
              <w:top w:val="single" w:sz="4" w:space="0" w:color="auto"/>
              <w:left w:val="single" w:sz="4" w:space="0" w:color="auto"/>
              <w:bottom w:val="single" w:sz="4" w:space="0" w:color="auto"/>
              <w:right w:val="single" w:sz="12" w:space="0" w:color="auto"/>
            </w:tcBorders>
            <w:vAlign w:val="center"/>
          </w:tcPr>
          <w:p w:rsidR="00273D24" w:rsidRPr="00670E55" w:rsidRDefault="00273D24" w:rsidP="00273D24">
            <w:pPr>
              <w:pStyle w:val="14-12"/>
              <w:jc w:val="right"/>
              <w:rPr>
                <w:spacing w:val="-10"/>
              </w:rPr>
            </w:pPr>
            <w:r w:rsidRPr="00670E55">
              <w:rPr>
                <w:spacing w:val="-10"/>
              </w:rPr>
              <w:t>-4,742,304</w:t>
            </w:r>
          </w:p>
        </w:tc>
      </w:tr>
      <w:tr w:rsidR="00273D24" w:rsidRPr="00A73074" w:rsidTr="00670E55">
        <w:trPr>
          <w:trHeight w:val="397"/>
        </w:trPr>
        <w:tc>
          <w:tcPr>
            <w:tcW w:w="1771" w:type="dxa"/>
            <w:gridSpan w:val="2"/>
            <w:tcBorders>
              <w:top w:val="single" w:sz="4" w:space="0" w:color="auto"/>
              <w:left w:val="single" w:sz="12" w:space="0" w:color="auto"/>
              <w:bottom w:val="single" w:sz="4" w:space="0" w:color="auto"/>
              <w:right w:val="single" w:sz="4" w:space="0" w:color="auto"/>
            </w:tcBorders>
            <w:vAlign w:val="center"/>
          </w:tcPr>
          <w:p w:rsidR="00273D24" w:rsidRPr="00EA3C14" w:rsidRDefault="00273D24" w:rsidP="00273D24">
            <w:pPr>
              <w:pStyle w:val="14-12"/>
            </w:pPr>
            <w:r w:rsidRPr="00EA3C14">
              <w:t>淨損益(A)+(B)</w:t>
            </w:r>
          </w:p>
        </w:tc>
        <w:tc>
          <w:tcPr>
            <w:tcW w:w="1276" w:type="dxa"/>
            <w:tcBorders>
              <w:top w:val="single" w:sz="4" w:space="0" w:color="auto"/>
              <w:left w:val="single" w:sz="4" w:space="0" w:color="auto"/>
              <w:bottom w:val="single" w:sz="4" w:space="0" w:color="auto"/>
              <w:right w:val="single" w:sz="4" w:space="0" w:color="auto"/>
            </w:tcBorders>
            <w:vAlign w:val="center"/>
          </w:tcPr>
          <w:p w:rsidR="00273D24" w:rsidRPr="00670E55" w:rsidRDefault="00273D24" w:rsidP="00273D24">
            <w:pPr>
              <w:pStyle w:val="14-12"/>
              <w:jc w:val="right"/>
              <w:rPr>
                <w:spacing w:val="-10"/>
              </w:rPr>
            </w:pPr>
            <w:r w:rsidRPr="00670E55">
              <w:rPr>
                <w:spacing w:val="-10"/>
              </w:rPr>
              <w:t>-2,972,882</w:t>
            </w:r>
          </w:p>
        </w:tc>
        <w:tc>
          <w:tcPr>
            <w:tcW w:w="1417" w:type="dxa"/>
            <w:tcBorders>
              <w:top w:val="single" w:sz="4" w:space="0" w:color="auto"/>
              <w:left w:val="single" w:sz="4" w:space="0" w:color="auto"/>
              <w:bottom w:val="single" w:sz="4" w:space="0" w:color="auto"/>
              <w:right w:val="single" w:sz="4" w:space="0" w:color="auto"/>
            </w:tcBorders>
            <w:vAlign w:val="center"/>
          </w:tcPr>
          <w:p w:rsidR="00273D24" w:rsidRPr="00670E55" w:rsidRDefault="00273D24" w:rsidP="00273D24">
            <w:pPr>
              <w:pStyle w:val="14-12"/>
              <w:jc w:val="right"/>
              <w:rPr>
                <w:spacing w:val="-10"/>
              </w:rPr>
            </w:pPr>
            <w:r w:rsidRPr="00670E55">
              <w:rPr>
                <w:spacing w:val="-10"/>
              </w:rPr>
              <w:t>4,237,751</w:t>
            </w:r>
          </w:p>
        </w:tc>
        <w:tc>
          <w:tcPr>
            <w:tcW w:w="1418" w:type="dxa"/>
            <w:tcBorders>
              <w:top w:val="single" w:sz="4" w:space="0" w:color="auto"/>
              <w:left w:val="single" w:sz="4" w:space="0" w:color="auto"/>
              <w:bottom w:val="single" w:sz="4" w:space="0" w:color="auto"/>
              <w:right w:val="single" w:sz="4" w:space="0" w:color="auto"/>
            </w:tcBorders>
            <w:vAlign w:val="center"/>
          </w:tcPr>
          <w:p w:rsidR="00273D24" w:rsidRPr="00670E55" w:rsidRDefault="00273D24" w:rsidP="00273D24">
            <w:pPr>
              <w:pStyle w:val="14-12"/>
              <w:jc w:val="right"/>
              <w:rPr>
                <w:spacing w:val="-10"/>
              </w:rPr>
            </w:pPr>
            <w:r w:rsidRPr="00670E55">
              <w:rPr>
                <w:spacing w:val="-10"/>
              </w:rPr>
              <w:t>-6,261,041</w:t>
            </w:r>
          </w:p>
        </w:tc>
        <w:tc>
          <w:tcPr>
            <w:tcW w:w="1276" w:type="dxa"/>
            <w:tcBorders>
              <w:top w:val="single" w:sz="4" w:space="0" w:color="auto"/>
              <w:left w:val="single" w:sz="4" w:space="0" w:color="auto"/>
              <w:bottom w:val="single" w:sz="4" w:space="0" w:color="auto"/>
              <w:right w:val="single" w:sz="4" w:space="0" w:color="auto"/>
            </w:tcBorders>
            <w:vAlign w:val="center"/>
          </w:tcPr>
          <w:p w:rsidR="00273D24" w:rsidRPr="00670E55" w:rsidRDefault="00273D24" w:rsidP="00273D24">
            <w:pPr>
              <w:pStyle w:val="14-12"/>
              <w:jc w:val="right"/>
              <w:rPr>
                <w:spacing w:val="-10"/>
              </w:rPr>
            </w:pPr>
            <w:r w:rsidRPr="00670E55">
              <w:rPr>
                <w:spacing w:val="-10"/>
              </w:rPr>
              <w:t>891,400</w:t>
            </w:r>
          </w:p>
        </w:tc>
        <w:tc>
          <w:tcPr>
            <w:tcW w:w="1347" w:type="dxa"/>
            <w:tcBorders>
              <w:top w:val="single" w:sz="4" w:space="0" w:color="auto"/>
              <w:left w:val="single" w:sz="4" w:space="0" w:color="auto"/>
              <w:bottom w:val="single" w:sz="4" w:space="0" w:color="auto"/>
              <w:right w:val="single" w:sz="12" w:space="0" w:color="auto"/>
            </w:tcBorders>
            <w:vAlign w:val="center"/>
          </w:tcPr>
          <w:p w:rsidR="00273D24" w:rsidRPr="00670E55" w:rsidRDefault="00273D24" w:rsidP="00273D24">
            <w:pPr>
              <w:pStyle w:val="14-12"/>
              <w:jc w:val="right"/>
              <w:rPr>
                <w:spacing w:val="-10"/>
              </w:rPr>
            </w:pPr>
            <w:r w:rsidRPr="00670E55">
              <w:rPr>
                <w:spacing w:val="-10"/>
              </w:rPr>
              <w:t>-840,436</w:t>
            </w:r>
          </w:p>
        </w:tc>
      </w:tr>
      <w:tr w:rsidR="00273D24" w:rsidRPr="00A73074" w:rsidTr="00670E55">
        <w:trPr>
          <w:trHeight w:val="459"/>
        </w:trPr>
        <w:tc>
          <w:tcPr>
            <w:tcW w:w="1771" w:type="dxa"/>
            <w:gridSpan w:val="2"/>
            <w:tcBorders>
              <w:top w:val="single" w:sz="4" w:space="0" w:color="auto"/>
              <w:left w:val="single" w:sz="12" w:space="0" w:color="auto"/>
              <w:bottom w:val="single" w:sz="4" w:space="0" w:color="auto"/>
              <w:right w:val="single" w:sz="4" w:space="0" w:color="auto"/>
            </w:tcBorders>
            <w:vAlign w:val="center"/>
          </w:tcPr>
          <w:p w:rsidR="00273D24" w:rsidRPr="00EA3C14" w:rsidRDefault="00273D24" w:rsidP="00273D24">
            <w:pPr>
              <w:pStyle w:val="14-12"/>
            </w:pPr>
            <w:r w:rsidRPr="00EA3C14">
              <w:t>外匯價格變動準備金淨變動數(C)</w:t>
            </w:r>
          </w:p>
        </w:tc>
        <w:tc>
          <w:tcPr>
            <w:tcW w:w="1276" w:type="dxa"/>
            <w:tcBorders>
              <w:top w:val="single" w:sz="4" w:space="0" w:color="auto"/>
              <w:left w:val="single" w:sz="4" w:space="0" w:color="auto"/>
              <w:bottom w:val="single" w:sz="4" w:space="0" w:color="auto"/>
              <w:right w:val="single" w:sz="4" w:space="0" w:color="auto"/>
            </w:tcBorders>
            <w:vAlign w:val="center"/>
          </w:tcPr>
          <w:p w:rsidR="00273D24" w:rsidRPr="00670E55" w:rsidRDefault="00273D24" w:rsidP="00273D24">
            <w:pPr>
              <w:pStyle w:val="14-12"/>
              <w:jc w:val="right"/>
              <w:rPr>
                <w:spacing w:val="-10"/>
              </w:rPr>
            </w:pPr>
            <w:r w:rsidRPr="00670E55">
              <w:rPr>
                <w:spacing w:val="-10"/>
              </w:rPr>
              <w:t>-30,520</w:t>
            </w:r>
          </w:p>
        </w:tc>
        <w:tc>
          <w:tcPr>
            <w:tcW w:w="1417" w:type="dxa"/>
            <w:tcBorders>
              <w:top w:val="single" w:sz="4" w:space="0" w:color="auto"/>
              <w:left w:val="single" w:sz="4" w:space="0" w:color="auto"/>
              <w:bottom w:val="single" w:sz="4" w:space="0" w:color="auto"/>
              <w:right w:val="single" w:sz="4" w:space="0" w:color="auto"/>
            </w:tcBorders>
            <w:vAlign w:val="center"/>
          </w:tcPr>
          <w:p w:rsidR="00273D24" w:rsidRPr="00670E55" w:rsidRDefault="00273D24" w:rsidP="00273D24">
            <w:pPr>
              <w:pStyle w:val="14-12"/>
              <w:jc w:val="right"/>
              <w:rPr>
                <w:spacing w:val="-10"/>
              </w:rPr>
            </w:pPr>
            <w:r w:rsidRPr="00670E55">
              <w:rPr>
                <w:spacing w:val="-10"/>
              </w:rPr>
              <w:t>-3,609,907</w:t>
            </w:r>
          </w:p>
        </w:tc>
        <w:tc>
          <w:tcPr>
            <w:tcW w:w="1418" w:type="dxa"/>
            <w:tcBorders>
              <w:top w:val="single" w:sz="4" w:space="0" w:color="auto"/>
              <w:left w:val="single" w:sz="4" w:space="0" w:color="auto"/>
              <w:bottom w:val="single" w:sz="4" w:space="0" w:color="auto"/>
              <w:right w:val="single" w:sz="4" w:space="0" w:color="auto"/>
            </w:tcBorders>
            <w:vAlign w:val="center"/>
          </w:tcPr>
          <w:p w:rsidR="00273D24" w:rsidRPr="00670E55" w:rsidRDefault="00273D24" w:rsidP="00273D24">
            <w:pPr>
              <w:pStyle w:val="14-12"/>
              <w:jc w:val="right"/>
              <w:rPr>
                <w:spacing w:val="-10"/>
              </w:rPr>
            </w:pPr>
            <w:r w:rsidRPr="00670E55">
              <w:rPr>
                <w:spacing w:val="-10"/>
              </w:rPr>
              <w:t>2,686,116</w:t>
            </w:r>
          </w:p>
        </w:tc>
        <w:tc>
          <w:tcPr>
            <w:tcW w:w="1276" w:type="dxa"/>
            <w:tcBorders>
              <w:top w:val="single" w:sz="4" w:space="0" w:color="auto"/>
              <w:left w:val="single" w:sz="4" w:space="0" w:color="auto"/>
              <w:bottom w:val="single" w:sz="4" w:space="0" w:color="auto"/>
              <w:right w:val="single" w:sz="4" w:space="0" w:color="auto"/>
            </w:tcBorders>
            <w:vAlign w:val="center"/>
          </w:tcPr>
          <w:p w:rsidR="00273D24" w:rsidRPr="00670E55" w:rsidRDefault="00273D24" w:rsidP="00273D24">
            <w:pPr>
              <w:pStyle w:val="14-12"/>
              <w:jc w:val="right"/>
              <w:rPr>
                <w:spacing w:val="-10"/>
              </w:rPr>
            </w:pPr>
            <w:r w:rsidRPr="00670E55">
              <w:rPr>
                <w:spacing w:val="-10"/>
              </w:rPr>
              <w:t>-910,185</w:t>
            </w:r>
          </w:p>
        </w:tc>
        <w:tc>
          <w:tcPr>
            <w:tcW w:w="1347" w:type="dxa"/>
            <w:tcBorders>
              <w:top w:val="single" w:sz="4" w:space="0" w:color="auto"/>
              <w:left w:val="single" w:sz="4" w:space="0" w:color="auto"/>
              <w:bottom w:val="single" w:sz="4" w:space="0" w:color="auto"/>
              <w:right w:val="single" w:sz="12" w:space="0" w:color="auto"/>
            </w:tcBorders>
            <w:vAlign w:val="center"/>
          </w:tcPr>
          <w:p w:rsidR="00273D24" w:rsidRPr="00670E55" w:rsidRDefault="00273D24" w:rsidP="00273D24">
            <w:pPr>
              <w:pStyle w:val="14-12"/>
              <w:jc w:val="right"/>
              <w:rPr>
                <w:spacing w:val="-10"/>
              </w:rPr>
            </w:pPr>
            <w:r w:rsidRPr="00670E55">
              <w:rPr>
                <w:spacing w:val="-10"/>
              </w:rPr>
              <w:t>-2,249,453</w:t>
            </w:r>
          </w:p>
        </w:tc>
      </w:tr>
      <w:tr w:rsidR="00273D24" w:rsidRPr="00A73074" w:rsidTr="00670E55">
        <w:trPr>
          <w:trHeight w:val="340"/>
        </w:trPr>
        <w:tc>
          <w:tcPr>
            <w:tcW w:w="1771" w:type="dxa"/>
            <w:gridSpan w:val="2"/>
            <w:tcBorders>
              <w:top w:val="single" w:sz="4" w:space="0" w:color="auto"/>
              <w:left w:val="single" w:sz="12" w:space="0" w:color="auto"/>
              <w:bottom w:val="single" w:sz="12" w:space="0" w:color="auto"/>
              <w:right w:val="single" w:sz="4" w:space="0" w:color="auto"/>
            </w:tcBorders>
            <w:vAlign w:val="center"/>
          </w:tcPr>
          <w:p w:rsidR="00273D24" w:rsidRPr="00EA3C14" w:rsidRDefault="00273D24" w:rsidP="00951676">
            <w:pPr>
              <w:pStyle w:val="142"/>
              <w:rPr>
                <w:rFonts w:hAnsi="標楷體"/>
              </w:rPr>
            </w:pPr>
            <w:r w:rsidRPr="00EA3C14">
              <w:rPr>
                <w:rFonts w:hAnsi="標楷體"/>
              </w:rPr>
              <w:t>合計(A)+(B)+(C)</w:t>
            </w:r>
          </w:p>
        </w:tc>
        <w:tc>
          <w:tcPr>
            <w:tcW w:w="1276" w:type="dxa"/>
            <w:tcBorders>
              <w:top w:val="single" w:sz="4" w:space="0" w:color="auto"/>
              <w:left w:val="single" w:sz="4" w:space="0" w:color="auto"/>
              <w:bottom w:val="single" w:sz="12" w:space="0" w:color="auto"/>
              <w:right w:val="single" w:sz="4" w:space="0" w:color="auto"/>
            </w:tcBorders>
            <w:vAlign w:val="center"/>
          </w:tcPr>
          <w:p w:rsidR="00273D24" w:rsidRPr="00670E55" w:rsidRDefault="00273D24" w:rsidP="006F7265">
            <w:pPr>
              <w:pStyle w:val="142"/>
              <w:ind w:left="567" w:hanging="567"/>
              <w:jc w:val="right"/>
              <w:rPr>
                <w:rFonts w:hAnsi="標楷體"/>
                <w:spacing w:val="-10"/>
              </w:rPr>
            </w:pPr>
            <w:r w:rsidRPr="00670E55">
              <w:rPr>
                <w:rFonts w:hAnsi="標楷體"/>
                <w:spacing w:val="-10"/>
              </w:rPr>
              <w:t>-3,003,402</w:t>
            </w:r>
          </w:p>
        </w:tc>
        <w:tc>
          <w:tcPr>
            <w:tcW w:w="1417" w:type="dxa"/>
            <w:tcBorders>
              <w:top w:val="single" w:sz="4" w:space="0" w:color="auto"/>
              <w:left w:val="single" w:sz="4" w:space="0" w:color="auto"/>
              <w:bottom w:val="single" w:sz="12" w:space="0" w:color="auto"/>
              <w:right w:val="single" w:sz="4" w:space="0" w:color="auto"/>
            </w:tcBorders>
            <w:vAlign w:val="center"/>
          </w:tcPr>
          <w:p w:rsidR="00273D24" w:rsidRPr="00670E55" w:rsidRDefault="00273D24" w:rsidP="006F7265">
            <w:pPr>
              <w:pStyle w:val="142"/>
              <w:ind w:left="567" w:hanging="567"/>
              <w:jc w:val="right"/>
              <w:rPr>
                <w:rFonts w:hAnsi="標楷體"/>
                <w:spacing w:val="-10"/>
              </w:rPr>
            </w:pPr>
            <w:r w:rsidRPr="00670E55">
              <w:rPr>
                <w:rFonts w:hAnsi="標楷體"/>
                <w:spacing w:val="-10"/>
              </w:rPr>
              <w:t>627,845</w:t>
            </w:r>
          </w:p>
        </w:tc>
        <w:tc>
          <w:tcPr>
            <w:tcW w:w="1418" w:type="dxa"/>
            <w:tcBorders>
              <w:top w:val="single" w:sz="4" w:space="0" w:color="auto"/>
              <w:left w:val="single" w:sz="4" w:space="0" w:color="auto"/>
              <w:bottom w:val="single" w:sz="12" w:space="0" w:color="auto"/>
              <w:right w:val="single" w:sz="4" w:space="0" w:color="auto"/>
            </w:tcBorders>
            <w:vAlign w:val="center"/>
          </w:tcPr>
          <w:p w:rsidR="00273D24" w:rsidRPr="00670E55" w:rsidRDefault="00273D24" w:rsidP="006F7265">
            <w:pPr>
              <w:pStyle w:val="142"/>
              <w:ind w:left="567" w:hanging="567"/>
              <w:jc w:val="right"/>
              <w:rPr>
                <w:rFonts w:hAnsi="標楷體"/>
                <w:spacing w:val="-10"/>
              </w:rPr>
            </w:pPr>
            <w:r w:rsidRPr="00670E55">
              <w:rPr>
                <w:rFonts w:hAnsi="標楷體"/>
                <w:spacing w:val="-10"/>
              </w:rPr>
              <w:t>-3,574,925</w:t>
            </w:r>
          </w:p>
        </w:tc>
        <w:tc>
          <w:tcPr>
            <w:tcW w:w="1276" w:type="dxa"/>
            <w:tcBorders>
              <w:top w:val="single" w:sz="4" w:space="0" w:color="auto"/>
              <w:left w:val="single" w:sz="4" w:space="0" w:color="auto"/>
              <w:bottom w:val="single" w:sz="12" w:space="0" w:color="auto"/>
              <w:right w:val="single" w:sz="4" w:space="0" w:color="auto"/>
            </w:tcBorders>
            <w:vAlign w:val="center"/>
          </w:tcPr>
          <w:p w:rsidR="00273D24" w:rsidRPr="00670E55" w:rsidRDefault="00273D24" w:rsidP="006F7265">
            <w:pPr>
              <w:pStyle w:val="142"/>
              <w:ind w:left="567" w:hanging="567"/>
              <w:jc w:val="right"/>
              <w:rPr>
                <w:rFonts w:hAnsi="標楷體"/>
                <w:spacing w:val="-10"/>
              </w:rPr>
            </w:pPr>
            <w:r w:rsidRPr="00670E55">
              <w:rPr>
                <w:rFonts w:hAnsi="標楷體"/>
                <w:spacing w:val="-10"/>
              </w:rPr>
              <w:t>-18,785</w:t>
            </w:r>
          </w:p>
        </w:tc>
        <w:tc>
          <w:tcPr>
            <w:tcW w:w="1347" w:type="dxa"/>
            <w:tcBorders>
              <w:top w:val="single" w:sz="4" w:space="0" w:color="auto"/>
              <w:left w:val="single" w:sz="4" w:space="0" w:color="auto"/>
              <w:bottom w:val="single" w:sz="12" w:space="0" w:color="auto"/>
              <w:right w:val="single" w:sz="12" w:space="0" w:color="auto"/>
            </w:tcBorders>
            <w:vAlign w:val="center"/>
          </w:tcPr>
          <w:p w:rsidR="00273D24" w:rsidRPr="00670E55" w:rsidRDefault="00273D24" w:rsidP="006F7265">
            <w:pPr>
              <w:pStyle w:val="142"/>
              <w:ind w:left="567" w:hanging="567"/>
              <w:jc w:val="right"/>
              <w:rPr>
                <w:rFonts w:hAnsi="標楷體"/>
                <w:spacing w:val="-10"/>
              </w:rPr>
            </w:pPr>
            <w:r w:rsidRPr="00670E55">
              <w:rPr>
                <w:rFonts w:hAnsi="標楷體"/>
                <w:spacing w:val="-10"/>
              </w:rPr>
              <w:t>-3,089,889</w:t>
            </w:r>
          </w:p>
        </w:tc>
      </w:tr>
    </w:tbl>
    <w:p w:rsidR="00273D24" w:rsidRPr="004D49CA" w:rsidRDefault="00273D24" w:rsidP="00273D24">
      <w:pPr>
        <w:pStyle w:val="142"/>
        <w:ind w:left="788" w:hangingChars="324" w:hanging="788"/>
        <w:rPr>
          <w:rFonts w:hAnsi="標楷體"/>
        </w:rPr>
      </w:pPr>
      <w:r w:rsidRPr="004D49CA">
        <w:rPr>
          <w:rFonts w:hAnsi="標楷體" w:hint="eastAsia"/>
        </w:rPr>
        <w:t>資料來源：</w:t>
      </w:r>
      <w:r w:rsidRPr="00C64172">
        <w:rPr>
          <w:rFonts w:hAnsi="標楷體" w:hint="eastAsia"/>
        </w:rPr>
        <w:t>臺銀人壽</w:t>
      </w:r>
      <w:r w:rsidRPr="004D49CA">
        <w:rPr>
          <w:rFonts w:hAnsi="標楷體" w:hint="eastAsia"/>
        </w:rPr>
        <w:t>提供。</w:t>
      </w:r>
    </w:p>
    <w:p w:rsidR="00273D24" w:rsidRDefault="00273D24" w:rsidP="00BE3D9E">
      <w:pPr>
        <w:ind w:left="566" w:firstLine="566"/>
        <w:rPr>
          <w:noProof/>
          <w:color w:val="2F5496"/>
        </w:rPr>
      </w:pPr>
    </w:p>
    <w:p w:rsidR="00FA2182" w:rsidRPr="005F7489" w:rsidRDefault="00F74C59" w:rsidP="00FA2182">
      <w:pPr>
        <w:pStyle w:val="14"/>
        <w:ind w:left="567" w:hanging="567"/>
        <w:rPr>
          <w:rFonts w:hint="eastAsia"/>
        </w:rPr>
      </w:pPr>
      <w:bookmarkStart w:id="8" w:name="_Toc402274588"/>
      <w:bookmarkStart w:id="9" w:name="_Toc182575057"/>
      <w:bookmarkEnd w:id="3"/>
      <w:r w:rsidRPr="001D3710">
        <w:rPr>
          <w:rFonts w:hint="eastAsia"/>
        </w:rPr>
        <w:t>二</w:t>
      </w:r>
      <w:r w:rsidR="00FA2182" w:rsidRPr="001D3710">
        <w:rPr>
          <w:rFonts w:hint="eastAsia"/>
        </w:rPr>
        <w:t>、11</w:t>
      </w:r>
      <w:r w:rsidR="00A05009" w:rsidRPr="001D3710">
        <w:rPr>
          <w:rFonts w:hint="eastAsia"/>
        </w:rPr>
        <w:t>4</w:t>
      </w:r>
      <w:r w:rsidR="00FA2182" w:rsidRPr="001D3710">
        <w:rPr>
          <w:rFonts w:hint="eastAsia"/>
          <w:lang w:eastAsia="zh-HK"/>
        </w:rPr>
        <w:t>年度預計辦理現金增資</w:t>
      </w:r>
      <w:r w:rsidR="00A05009" w:rsidRPr="001D3710">
        <w:rPr>
          <w:rFonts w:hint="eastAsia"/>
        </w:rPr>
        <w:t>10</w:t>
      </w:r>
      <w:r w:rsidR="00FA2182" w:rsidRPr="001D3710">
        <w:rPr>
          <w:rFonts w:hint="eastAsia"/>
        </w:rPr>
        <w:t>0</w:t>
      </w:r>
      <w:r w:rsidR="00FA2182" w:rsidRPr="001D3710">
        <w:rPr>
          <w:rFonts w:hint="eastAsia"/>
          <w:lang w:eastAsia="zh-HK"/>
        </w:rPr>
        <w:t>億元</w:t>
      </w:r>
      <w:r w:rsidR="00FA2182" w:rsidRPr="001D3710">
        <w:rPr>
          <w:rFonts w:hint="eastAsia"/>
        </w:rPr>
        <w:t>，</w:t>
      </w:r>
      <w:r w:rsidR="00A715E5">
        <w:rPr>
          <w:rFonts w:hint="eastAsia"/>
        </w:rPr>
        <w:t>允宜</w:t>
      </w:r>
      <w:r w:rsidR="004A1F9D">
        <w:rPr>
          <w:rFonts w:hint="eastAsia"/>
        </w:rPr>
        <w:t>確實改善營運情形，</w:t>
      </w:r>
      <w:r w:rsidR="00D27E33">
        <w:rPr>
          <w:rFonts w:hint="eastAsia"/>
        </w:rPr>
        <w:t>俾利</w:t>
      </w:r>
      <w:r w:rsidR="005F7489">
        <w:rPr>
          <w:rFonts w:hint="eastAsia"/>
        </w:rPr>
        <w:t>財務</w:t>
      </w:r>
      <w:r w:rsidR="005D58E4">
        <w:rPr>
          <w:rFonts w:hint="eastAsia"/>
        </w:rPr>
        <w:t>健全</w:t>
      </w:r>
      <w:r w:rsidR="005F7489">
        <w:rPr>
          <w:rFonts w:hint="eastAsia"/>
        </w:rPr>
        <w:t>，</w:t>
      </w:r>
      <w:r w:rsidR="004A1F9D">
        <w:rPr>
          <w:rFonts w:hint="eastAsia"/>
        </w:rPr>
        <w:t>以</w:t>
      </w:r>
      <w:r w:rsidR="00A715E5">
        <w:rPr>
          <w:rFonts w:hint="eastAsia"/>
        </w:rPr>
        <w:t>降低</w:t>
      </w:r>
      <w:r w:rsidR="001D3710" w:rsidRPr="001D3710">
        <w:rPr>
          <w:rFonts w:hint="eastAsia"/>
        </w:rPr>
        <w:t>接軌 IFRS 17與ICS之衝擊</w:t>
      </w:r>
      <w:bookmarkEnd w:id="9"/>
    </w:p>
    <w:p w:rsidR="00FA2182" w:rsidRPr="00A05009" w:rsidRDefault="00FA2182" w:rsidP="00FA2182">
      <w:pPr>
        <w:ind w:left="566" w:firstLine="566"/>
        <w:rPr>
          <w:rFonts w:hAnsi="標楷體" w:hint="eastAsia"/>
        </w:rPr>
      </w:pPr>
      <w:r w:rsidRPr="00A05009">
        <w:rPr>
          <w:rFonts w:hAnsi="標楷體" w:hint="eastAsia"/>
        </w:rPr>
        <w:t>臺銀人壽11</w:t>
      </w:r>
      <w:r w:rsidR="00CF3C81" w:rsidRPr="00A05009">
        <w:rPr>
          <w:rFonts w:hAnsi="標楷體" w:hint="eastAsia"/>
        </w:rPr>
        <w:t>4</w:t>
      </w:r>
      <w:r w:rsidRPr="00A05009">
        <w:rPr>
          <w:rFonts w:hAnsi="標楷體" w:hint="eastAsia"/>
        </w:rPr>
        <w:t>年度預算案編列現金增資</w:t>
      </w:r>
      <w:r w:rsidR="00CF3C81" w:rsidRPr="00A05009">
        <w:rPr>
          <w:rFonts w:hAnsi="標楷體" w:hint="eastAsia"/>
        </w:rPr>
        <w:t>10</w:t>
      </w:r>
      <w:r w:rsidRPr="00A05009">
        <w:rPr>
          <w:rFonts w:hAnsi="標楷體" w:hint="eastAsia"/>
        </w:rPr>
        <w:t>0億元</w:t>
      </w:r>
      <w:r w:rsidR="00A05009" w:rsidRPr="00A05009">
        <w:rPr>
          <w:rFonts w:hAnsi="標楷體" w:hint="eastAsia"/>
        </w:rPr>
        <w:t>，較113年度增加60億元</w:t>
      </w:r>
      <w:r w:rsidRPr="00A05009">
        <w:rPr>
          <w:rFonts w:hAnsi="標楷體" w:hint="eastAsia"/>
        </w:rPr>
        <w:t>。經查：</w:t>
      </w:r>
    </w:p>
    <w:p w:rsidR="00FA2182" w:rsidRPr="00E67EB6" w:rsidRDefault="00FA2182" w:rsidP="00FA2182">
      <w:pPr>
        <w:pStyle w:val="a4"/>
        <w:ind w:left="849" w:hanging="283"/>
        <w:rPr>
          <w:rFonts w:hAnsi="標楷體" w:hint="eastAsia"/>
        </w:rPr>
      </w:pPr>
      <w:r w:rsidRPr="00E67EB6">
        <w:rPr>
          <w:rFonts w:hAnsi="標楷體" w:hint="eastAsia"/>
        </w:rPr>
        <w:t>(</w:t>
      </w:r>
      <w:r w:rsidRPr="00E67EB6">
        <w:rPr>
          <w:rFonts w:hAnsi="標楷體" w:hint="eastAsia"/>
          <w:lang w:eastAsia="zh-HK"/>
        </w:rPr>
        <w:t>一</w:t>
      </w:r>
      <w:r w:rsidRPr="00E67EB6">
        <w:rPr>
          <w:rFonts w:hAnsi="標楷體" w:hint="eastAsia"/>
        </w:rPr>
        <w:t>)</w:t>
      </w:r>
      <w:r w:rsidR="00E67EB6">
        <w:rPr>
          <w:rFonts w:hAnsi="標楷體" w:hint="eastAsia"/>
        </w:rPr>
        <w:t>為</w:t>
      </w:r>
      <w:bookmarkStart w:id="10" w:name="_Hlk181795942"/>
      <w:r w:rsidR="00E67EB6" w:rsidRPr="00E67EB6">
        <w:rPr>
          <w:rFonts w:hAnsi="標楷體" w:hint="eastAsia"/>
        </w:rPr>
        <w:t>降低接軌 IFRS 17與ICS之衝擊</w:t>
      </w:r>
      <w:bookmarkEnd w:id="10"/>
      <w:r w:rsidR="00E67EB6">
        <w:rPr>
          <w:rFonts w:hAnsi="標楷體" w:hint="eastAsia"/>
        </w:rPr>
        <w:t>，臺銀人壽</w:t>
      </w:r>
      <w:r w:rsidRPr="00E67EB6">
        <w:rPr>
          <w:rFonts w:hAnsi="標楷體" w:hint="eastAsia"/>
        </w:rPr>
        <w:t>11</w:t>
      </w:r>
      <w:r w:rsidR="00CF3C81" w:rsidRPr="00E67EB6">
        <w:rPr>
          <w:rFonts w:hAnsi="標楷體" w:hint="eastAsia"/>
        </w:rPr>
        <w:t>4</w:t>
      </w:r>
      <w:r w:rsidRPr="00E67EB6">
        <w:rPr>
          <w:rFonts w:hAnsi="標楷體" w:hint="eastAsia"/>
        </w:rPr>
        <w:t>年度預計辦理增資</w:t>
      </w:r>
      <w:r w:rsidR="00CF3C81" w:rsidRPr="00E67EB6">
        <w:rPr>
          <w:rFonts w:hAnsi="標楷體" w:hint="eastAsia"/>
        </w:rPr>
        <w:t>10</w:t>
      </w:r>
      <w:r w:rsidRPr="00E67EB6">
        <w:rPr>
          <w:rFonts w:hAnsi="標楷體" w:hint="eastAsia"/>
        </w:rPr>
        <w:t>0億元，為自成立來第</w:t>
      </w:r>
      <w:r w:rsidR="00CF3C81" w:rsidRPr="00E67EB6">
        <w:rPr>
          <w:rFonts w:hAnsi="標楷體" w:hint="eastAsia"/>
        </w:rPr>
        <w:t>9</w:t>
      </w:r>
      <w:r w:rsidRPr="00E67EB6">
        <w:rPr>
          <w:rFonts w:hAnsi="標楷體" w:hint="eastAsia"/>
          <w:lang w:eastAsia="zh-HK"/>
        </w:rPr>
        <w:t>次</w:t>
      </w:r>
      <w:r w:rsidRPr="00E67EB6">
        <w:rPr>
          <w:rFonts w:hAnsi="標楷體" w:hint="eastAsia"/>
        </w:rPr>
        <w:t>注資，累計</w:t>
      </w:r>
      <w:r w:rsidRPr="00E67EB6">
        <w:rPr>
          <w:rFonts w:hAnsi="標楷體" w:hint="eastAsia"/>
          <w:lang w:eastAsia="zh-HK"/>
        </w:rPr>
        <w:t>達</w:t>
      </w:r>
      <w:r w:rsidR="00E67EB6" w:rsidRPr="00E67EB6">
        <w:rPr>
          <w:rFonts w:hAnsi="標楷體" w:hint="eastAsia"/>
        </w:rPr>
        <w:t>5</w:t>
      </w:r>
      <w:r w:rsidRPr="00E67EB6">
        <w:rPr>
          <w:rFonts w:hAnsi="標楷體" w:hint="eastAsia"/>
        </w:rPr>
        <w:t xml:space="preserve">85億元 </w:t>
      </w:r>
    </w:p>
    <w:p w:rsidR="005D58E4" w:rsidRDefault="00DB409A" w:rsidP="00907754">
      <w:pPr>
        <w:pStyle w:val="21"/>
        <w:ind w:left="850" w:firstLine="566"/>
      </w:pPr>
      <w:r w:rsidRPr="009B38A2">
        <w:rPr>
          <w:rFonts w:hint="eastAsia"/>
        </w:rPr>
        <w:t>臺銀人壽97年度自臺灣銀行人壽保險業務部門之營業資產及負債分割而設立，初期資本額50億元，並自98年度起多次辦理增資(</w:t>
      </w:r>
      <w:r w:rsidRPr="00E54E93">
        <w:rPr>
          <w:rFonts w:hint="eastAsia"/>
        </w:rPr>
        <w:t>詳表1)；</w:t>
      </w:r>
      <w:r w:rsidR="00FA2182" w:rsidRPr="00E54E93">
        <w:rPr>
          <w:rFonts w:hint="eastAsia"/>
        </w:rPr>
        <w:t>為接軌國際財務報導準則第17 號「保險合約」（IFRS 17）</w:t>
      </w:r>
      <w:r w:rsidR="005D58E4">
        <w:rPr>
          <w:rFonts w:hint="eastAsia"/>
        </w:rPr>
        <w:t>、</w:t>
      </w:r>
      <w:r w:rsidR="00FA2182" w:rsidRPr="00E54E93">
        <w:rPr>
          <w:rFonts w:hint="eastAsia"/>
        </w:rPr>
        <w:t>國際保險資本標準（ICS）</w:t>
      </w:r>
      <w:r w:rsidR="00FA2182" w:rsidRPr="00E54E93">
        <w:rPr>
          <w:rStyle w:val="af5"/>
          <w:b/>
          <w:bCs/>
        </w:rPr>
        <w:footnoteReference w:id="1"/>
      </w:r>
      <w:r w:rsidR="00D1364A" w:rsidRPr="00E54E93">
        <w:rPr>
          <w:rFonts w:hint="eastAsia"/>
        </w:rPr>
        <w:t>及保險業新一代清償能力制度(以下簡稱TW-ICS)，</w:t>
      </w:r>
      <w:r w:rsidR="00FA2182" w:rsidRPr="00E54E93">
        <w:rPr>
          <w:rFonts w:hint="eastAsia"/>
        </w:rPr>
        <w:t>強化風險承擔能力與持續推動經營轉型之需</w:t>
      </w:r>
      <w:r w:rsidR="00AB3527" w:rsidRPr="00E54E93">
        <w:rPr>
          <w:rFonts w:hint="eastAsia"/>
        </w:rPr>
        <w:t>，</w:t>
      </w:r>
      <w:r w:rsidR="00D1364A" w:rsidRPr="00E54E93">
        <w:rPr>
          <w:rFonts w:hint="eastAsia"/>
        </w:rPr>
        <w:t>臺銀人壽</w:t>
      </w:r>
      <w:r w:rsidR="00345EF3" w:rsidRPr="00E54E93">
        <w:rPr>
          <w:rFonts w:hint="eastAsia"/>
        </w:rPr>
        <w:t>112及113年度分別增資60</w:t>
      </w:r>
      <w:r w:rsidR="00345EF3">
        <w:rPr>
          <w:rFonts w:hint="eastAsia"/>
        </w:rPr>
        <w:t>億元及40億元，1</w:t>
      </w:r>
      <w:r w:rsidR="00D1364A" w:rsidRPr="00907754">
        <w:rPr>
          <w:rFonts w:hint="eastAsia"/>
        </w:rPr>
        <w:t>14年</w:t>
      </w:r>
      <w:r>
        <w:rPr>
          <w:rFonts w:hint="eastAsia"/>
        </w:rPr>
        <w:t>度</w:t>
      </w:r>
      <w:r w:rsidR="00345EF3">
        <w:rPr>
          <w:rFonts w:hint="eastAsia"/>
        </w:rPr>
        <w:t>擬訂</w:t>
      </w:r>
      <w:r w:rsidR="00D1364A" w:rsidRPr="00907754">
        <w:rPr>
          <w:rFonts w:hint="eastAsia"/>
        </w:rPr>
        <w:t>增資計畫，</w:t>
      </w:r>
      <w:r w:rsidR="00695356">
        <w:rPr>
          <w:rFonts w:hint="eastAsia"/>
        </w:rPr>
        <w:t>業</w:t>
      </w:r>
      <w:r w:rsidR="00D1364A" w:rsidRPr="00907754">
        <w:rPr>
          <w:rFonts w:hint="eastAsia"/>
        </w:rPr>
        <w:t>於113年3月12日提報董事會同意後報請</w:t>
      </w:r>
      <w:r w:rsidR="00D43337" w:rsidRPr="00D43337">
        <w:rPr>
          <w:rFonts w:hint="eastAsia"/>
        </w:rPr>
        <w:t>臺</w:t>
      </w:r>
      <w:r w:rsidR="00E54E93">
        <w:rPr>
          <w:rFonts w:hint="eastAsia"/>
        </w:rPr>
        <w:t>灣</w:t>
      </w:r>
      <w:r w:rsidR="00D43337" w:rsidRPr="00D43337">
        <w:rPr>
          <w:rFonts w:hint="eastAsia"/>
        </w:rPr>
        <w:t>金融控股公司(下稱臺</w:t>
      </w:r>
      <w:r w:rsidR="009271AB">
        <w:rPr>
          <w:rFonts w:hint="eastAsia"/>
        </w:rPr>
        <w:t>灣</w:t>
      </w:r>
      <w:r w:rsidR="00D43337" w:rsidRPr="00D43337">
        <w:rPr>
          <w:rFonts w:hint="eastAsia"/>
        </w:rPr>
        <w:t>金控)</w:t>
      </w:r>
      <w:r w:rsidR="00D1364A" w:rsidRPr="00907754">
        <w:rPr>
          <w:rFonts w:hint="eastAsia"/>
        </w:rPr>
        <w:t>增資100億元，並於113年6月13日獲財政部同意</w:t>
      </w:r>
      <w:r w:rsidR="00EA3C14" w:rsidRPr="00907754">
        <w:rPr>
          <w:rFonts w:hint="eastAsia"/>
        </w:rPr>
        <w:t>，</w:t>
      </w:r>
      <w:r w:rsidR="00FA2182" w:rsidRPr="009E4054">
        <w:rPr>
          <w:rFonts w:hint="eastAsia"/>
        </w:rPr>
        <w:t>11</w:t>
      </w:r>
      <w:r w:rsidR="00D1364A" w:rsidRPr="009E4054">
        <w:t>4</w:t>
      </w:r>
      <w:r w:rsidR="00FA2182" w:rsidRPr="009E4054">
        <w:rPr>
          <w:rFonts w:hint="eastAsia"/>
        </w:rPr>
        <w:t>年度</w:t>
      </w:r>
      <w:r w:rsidR="00345EF3">
        <w:rPr>
          <w:rFonts w:hint="eastAsia"/>
        </w:rPr>
        <w:t>為</w:t>
      </w:r>
      <w:r w:rsidR="00FA2182" w:rsidRPr="009E4054">
        <w:rPr>
          <w:rFonts w:hint="eastAsia"/>
        </w:rPr>
        <w:t>第</w:t>
      </w:r>
      <w:r w:rsidR="00D1364A" w:rsidRPr="009E4054">
        <w:rPr>
          <w:rFonts w:hint="eastAsia"/>
        </w:rPr>
        <w:t>9</w:t>
      </w:r>
      <w:r w:rsidR="00FA2182" w:rsidRPr="009E4054">
        <w:rPr>
          <w:rFonts w:hint="eastAsia"/>
        </w:rPr>
        <w:t>次現金增資，</w:t>
      </w:r>
      <w:r w:rsidR="00E54E93">
        <w:rPr>
          <w:rFonts w:hint="eastAsia"/>
        </w:rPr>
        <w:t>自98年度至114年度累計注資將</w:t>
      </w:r>
      <w:r w:rsidR="00FA2182" w:rsidRPr="009E4054">
        <w:rPr>
          <w:rFonts w:hint="eastAsia"/>
        </w:rPr>
        <w:t>達</w:t>
      </w:r>
      <w:r w:rsidR="00D1364A" w:rsidRPr="009E4054">
        <w:rPr>
          <w:rFonts w:hint="eastAsia"/>
        </w:rPr>
        <w:t>5</w:t>
      </w:r>
      <w:r w:rsidR="00D1364A" w:rsidRPr="009E4054">
        <w:t>85</w:t>
      </w:r>
      <w:r w:rsidR="00FA2182" w:rsidRPr="009E4054">
        <w:rPr>
          <w:rFonts w:hint="eastAsia"/>
        </w:rPr>
        <w:t>億元</w:t>
      </w:r>
      <w:r w:rsidR="005D58E4">
        <w:rPr>
          <w:rFonts w:hint="eastAsia"/>
        </w:rPr>
        <w:t>。</w:t>
      </w:r>
    </w:p>
    <w:p w:rsidR="00122E23" w:rsidRDefault="005D58E4" w:rsidP="00907754">
      <w:pPr>
        <w:pStyle w:val="21"/>
        <w:ind w:left="850" w:firstLine="566"/>
      </w:pPr>
      <w:r>
        <w:rPr>
          <w:rFonts w:hint="eastAsia"/>
        </w:rPr>
        <w:t>詢據臺銀人壽說明略以，</w:t>
      </w:r>
      <w:r w:rsidRPr="00707DFD">
        <w:rPr>
          <w:rFonts w:hint="eastAsia"/>
        </w:rPr>
        <w:t>未來將俟金融監督管理委員會</w:t>
      </w:r>
      <w:r>
        <w:rPr>
          <w:rFonts w:hint="eastAsia"/>
        </w:rPr>
        <w:t>(下稱金管會)</w:t>
      </w:r>
      <w:r w:rsidRPr="00707DFD">
        <w:rPr>
          <w:rFonts w:hint="eastAsia"/>
        </w:rPr>
        <w:t>公布之「新一代清償能力制度」第四階段在地化及過渡措施辦理ICS試算，必要時再視監理要求或規定，向臺灣金控請求增資支持，增強臺銀人壽資本或適度彌補資本缺口，以符合法令規範。</w:t>
      </w:r>
    </w:p>
    <w:p w:rsidR="008B7225" w:rsidRPr="00F74C59" w:rsidRDefault="008B7225" w:rsidP="008B7225">
      <w:pPr>
        <w:pStyle w:val="a4"/>
        <w:ind w:left="849" w:hanging="283"/>
        <w:rPr>
          <w:rFonts w:hAnsi="標楷體" w:hint="eastAsia"/>
        </w:rPr>
      </w:pPr>
      <w:r w:rsidRPr="00F74C59">
        <w:rPr>
          <w:rFonts w:hAnsi="標楷體" w:hint="eastAsia"/>
        </w:rPr>
        <w:t>(二)</w:t>
      </w:r>
      <w:r w:rsidR="00F74C59" w:rsidRPr="00F74C59">
        <w:rPr>
          <w:rFonts w:hAnsi="標楷體" w:hint="eastAsia"/>
        </w:rPr>
        <w:t>允宜</w:t>
      </w:r>
      <w:r w:rsidR="004A1F9D">
        <w:rPr>
          <w:rFonts w:hAnsi="標楷體" w:hint="eastAsia"/>
        </w:rPr>
        <w:t>改善營運</w:t>
      </w:r>
      <w:r w:rsidR="00F54130">
        <w:rPr>
          <w:rFonts w:hAnsi="標楷體" w:hint="eastAsia"/>
        </w:rPr>
        <w:t>虧損</w:t>
      </w:r>
      <w:r w:rsidR="004A1F9D">
        <w:rPr>
          <w:rFonts w:hAnsi="標楷體" w:hint="eastAsia"/>
        </w:rPr>
        <w:t>情形，</w:t>
      </w:r>
      <w:r w:rsidR="00F74C59" w:rsidRPr="00F74C59">
        <w:rPr>
          <w:rFonts w:hAnsi="標楷體" w:hint="eastAsia"/>
        </w:rPr>
        <w:t>俾利財務</w:t>
      </w:r>
      <w:r w:rsidR="005D58E4" w:rsidRPr="00F74C59">
        <w:rPr>
          <w:rFonts w:hAnsi="標楷體" w:hint="eastAsia"/>
        </w:rPr>
        <w:t>健全</w:t>
      </w:r>
      <w:r w:rsidR="002A30A8">
        <w:rPr>
          <w:rFonts w:hAnsi="標楷體" w:hint="eastAsia"/>
        </w:rPr>
        <w:t>，以降低</w:t>
      </w:r>
      <w:r w:rsidR="002A30A8" w:rsidRPr="002A30A8">
        <w:rPr>
          <w:rFonts w:hAnsi="標楷體" w:hint="eastAsia"/>
        </w:rPr>
        <w:t>IFRS 17及ICS之衝擊</w:t>
      </w:r>
    </w:p>
    <w:p w:rsidR="009271AB" w:rsidRDefault="00A976A4" w:rsidP="008B7225">
      <w:pPr>
        <w:pStyle w:val="21"/>
        <w:ind w:left="850" w:firstLine="566"/>
        <w:rPr>
          <w:snapToGrid/>
        </w:rPr>
      </w:pPr>
      <w:r>
        <w:rPr>
          <w:rFonts w:hint="eastAsia"/>
          <w:snapToGrid/>
        </w:rPr>
        <w:t>按</w:t>
      </w:r>
      <w:r w:rsidR="008B7225" w:rsidRPr="00BF0482">
        <w:rPr>
          <w:rFonts w:hint="eastAsia"/>
          <w:snapToGrid/>
        </w:rPr>
        <w:t>臺銀人壽</w:t>
      </w:r>
      <w:r w:rsidR="009271AB">
        <w:rPr>
          <w:rFonts w:hint="eastAsia"/>
          <w:snapToGrid/>
        </w:rPr>
        <w:t>實際營運情形</w:t>
      </w:r>
      <w:r w:rsidR="005D58E4">
        <w:rPr>
          <w:rFonts w:hint="eastAsia"/>
          <w:snapToGrid/>
        </w:rPr>
        <w:t>觀之</w:t>
      </w:r>
      <w:r w:rsidR="009271AB">
        <w:rPr>
          <w:rFonts w:hint="eastAsia"/>
          <w:snapToGrid/>
        </w:rPr>
        <w:t>，112年度</w:t>
      </w:r>
      <w:r w:rsidR="008B7225">
        <w:rPr>
          <w:rFonts w:hint="eastAsia"/>
          <w:snapToGrid/>
        </w:rPr>
        <w:t>決算</w:t>
      </w:r>
      <w:r w:rsidR="008B7225" w:rsidRPr="00BF0482">
        <w:rPr>
          <w:rFonts w:hint="eastAsia"/>
          <w:snapToGrid/>
        </w:rPr>
        <w:t>稅前淨損9.</w:t>
      </w:r>
      <w:r w:rsidR="00E54E93">
        <w:rPr>
          <w:rFonts w:hint="eastAsia"/>
          <w:snapToGrid/>
        </w:rPr>
        <w:t>88</w:t>
      </w:r>
      <w:r w:rsidR="008B7225" w:rsidRPr="00BF0482">
        <w:rPr>
          <w:rFonts w:hint="eastAsia"/>
          <w:snapToGrid/>
        </w:rPr>
        <w:t>億元，</w:t>
      </w:r>
      <w:r w:rsidR="008B7225">
        <w:rPr>
          <w:rFonts w:hint="eastAsia"/>
          <w:snapToGrid/>
        </w:rPr>
        <w:t>較</w:t>
      </w:r>
      <w:r w:rsidR="008B7225" w:rsidRPr="00BF0482">
        <w:rPr>
          <w:rFonts w:hint="eastAsia"/>
          <w:snapToGrid/>
        </w:rPr>
        <w:t>預算</w:t>
      </w:r>
      <w:r w:rsidR="00301AE5">
        <w:rPr>
          <w:rFonts w:hint="eastAsia"/>
          <w:snapToGrid/>
        </w:rPr>
        <w:t>稅前淨損6.9億元</w:t>
      </w:r>
      <w:r w:rsidR="008B7225" w:rsidRPr="00BF0482">
        <w:rPr>
          <w:rFonts w:hint="eastAsia"/>
          <w:snapToGrid/>
        </w:rPr>
        <w:t>增</w:t>
      </w:r>
      <w:r w:rsidR="008B7225">
        <w:rPr>
          <w:rFonts w:hint="eastAsia"/>
          <w:snapToGrid/>
        </w:rPr>
        <w:t>加</w:t>
      </w:r>
      <w:r w:rsidR="008B7225" w:rsidRPr="00BF0482">
        <w:rPr>
          <w:rFonts w:hint="eastAsia"/>
          <w:snapToGrid/>
        </w:rPr>
        <w:t>損</w:t>
      </w:r>
      <w:r w:rsidR="008B7225">
        <w:rPr>
          <w:rFonts w:hint="eastAsia"/>
          <w:snapToGrid/>
        </w:rPr>
        <w:t>失</w:t>
      </w:r>
      <w:r w:rsidR="00E54E93">
        <w:rPr>
          <w:rFonts w:hint="eastAsia"/>
          <w:snapToGrid/>
        </w:rPr>
        <w:t>2</w:t>
      </w:r>
      <w:r w:rsidR="008B7225" w:rsidRPr="00BF0482">
        <w:rPr>
          <w:rFonts w:hint="eastAsia"/>
          <w:snapToGrid/>
        </w:rPr>
        <w:t>.</w:t>
      </w:r>
      <w:r w:rsidR="00E54E93">
        <w:rPr>
          <w:rFonts w:hint="eastAsia"/>
          <w:snapToGrid/>
        </w:rPr>
        <w:t>9</w:t>
      </w:r>
      <w:r w:rsidR="00301AE5">
        <w:rPr>
          <w:rFonts w:hint="eastAsia"/>
          <w:snapToGrid/>
        </w:rPr>
        <w:t>8</w:t>
      </w:r>
      <w:r w:rsidR="008B7225" w:rsidRPr="00BF0482">
        <w:rPr>
          <w:rFonts w:hint="eastAsia"/>
          <w:snapToGrid/>
        </w:rPr>
        <w:t>億元</w:t>
      </w:r>
      <w:r w:rsidR="008B7225">
        <w:rPr>
          <w:rFonts w:hint="eastAsia"/>
          <w:snapToGrid/>
        </w:rPr>
        <w:t>；</w:t>
      </w:r>
      <w:r>
        <w:rPr>
          <w:rFonts w:hint="eastAsia"/>
          <w:snapToGrid/>
        </w:rPr>
        <w:t>與</w:t>
      </w:r>
      <w:r w:rsidR="008B7225" w:rsidRPr="00BF0482">
        <w:rPr>
          <w:rFonts w:hint="eastAsia"/>
          <w:snapToGrid/>
        </w:rPr>
        <w:t>111年度</w:t>
      </w:r>
      <w:r w:rsidR="008B7225">
        <w:rPr>
          <w:rFonts w:hint="eastAsia"/>
          <w:snapToGrid/>
        </w:rPr>
        <w:t>決算</w:t>
      </w:r>
      <w:r w:rsidR="008B7225" w:rsidRPr="00BF0482">
        <w:rPr>
          <w:rFonts w:hint="eastAsia"/>
          <w:snapToGrid/>
        </w:rPr>
        <w:t>稅前淨利7.3</w:t>
      </w:r>
      <w:r w:rsidR="008A435A">
        <w:rPr>
          <w:rFonts w:hint="eastAsia"/>
          <w:snapToGrid/>
        </w:rPr>
        <w:t>6</w:t>
      </w:r>
      <w:r w:rsidR="008B7225" w:rsidRPr="00BF0482">
        <w:rPr>
          <w:rFonts w:hint="eastAsia"/>
          <w:snapToGrid/>
        </w:rPr>
        <w:t>億元</w:t>
      </w:r>
      <w:r w:rsidR="008B7225">
        <w:rPr>
          <w:rFonts w:hint="eastAsia"/>
          <w:snapToGrid/>
        </w:rPr>
        <w:t>差額</w:t>
      </w:r>
      <w:r w:rsidR="007B40BA">
        <w:rPr>
          <w:rFonts w:hint="eastAsia"/>
          <w:snapToGrid/>
        </w:rPr>
        <w:t>達</w:t>
      </w:r>
      <w:r w:rsidR="00301AE5">
        <w:rPr>
          <w:rFonts w:hint="eastAsia"/>
          <w:snapToGrid/>
        </w:rPr>
        <w:t>17</w:t>
      </w:r>
      <w:r w:rsidR="008B7225" w:rsidRPr="00BF0482">
        <w:rPr>
          <w:rFonts w:hint="eastAsia"/>
          <w:snapToGrid/>
        </w:rPr>
        <w:t>.</w:t>
      </w:r>
      <w:r w:rsidR="00301AE5">
        <w:rPr>
          <w:rFonts w:hint="eastAsia"/>
          <w:snapToGrid/>
        </w:rPr>
        <w:t>2</w:t>
      </w:r>
      <w:r w:rsidR="008A435A">
        <w:rPr>
          <w:rFonts w:hint="eastAsia"/>
          <w:snapToGrid/>
        </w:rPr>
        <w:t>4</w:t>
      </w:r>
      <w:r w:rsidR="008B7225" w:rsidRPr="00BF0482">
        <w:rPr>
          <w:rFonts w:hint="eastAsia"/>
          <w:snapToGrid/>
        </w:rPr>
        <w:t>億元</w:t>
      </w:r>
      <w:r w:rsidR="009271AB">
        <w:rPr>
          <w:rFonts w:hint="eastAsia"/>
          <w:snapToGrid/>
        </w:rPr>
        <w:t>。</w:t>
      </w:r>
    </w:p>
    <w:p w:rsidR="00707DFD" w:rsidRDefault="008B7225" w:rsidP="007B40BA">
      <w:pPr>
        <w:pStyle w:val="21"/>
        <w:ind w:left="850" w:firstLine="566"/>
        <w:rPr>
          <w:snapToGrid/>
        </w:rPr>
      </w:pPr>
      <w:r w:rsidRPr="00BF0482">
        <w:rPr>
          <w:rFonts w:hint="eastAsia"/>
          <w:snapToGrid/>
        </w:rPr>
        <w:t>112年度</w:t>
      </w:r>
      <w:r w:rsidR="00190F5C">
        <w:rPr>
          <w:rFonts w:hint="eastAsia"/>
          <w:snapToGrid/>
        </w:rPr>
        <w:t>決算</w:t>
      </w:r>
      <w:r w:rsidRPr="00BF0482">
        <w:rPr>
          <w:rFonts w:hint="eastAsia"/>
          <w:snapToGrid/>
        </w:rPr>
        <w:t>新契約保費收入29.45億元</w:t>
      </w:r>
      <w:r w:rsidR="00983E1E">
        <w:rPr>
          <w:rFonts w:hint="eastAsia"/>
          <w:snapToGrid/>
        </w:rPr>
        <w:t>(詳表2)</w:t>
      </w:r>
      <w:r w:rsidRPr="00BF0482">
        <w:rPr>
          <w:rFonts w:hint="eastAsia"/>
          <w:snapToGrid/>
        </w:rPr>
        <w:t>，較111年度</w:t>
      </w:r>
      <w:r w:rsidR="00190F5C">
        <w:rPr>
          <w:rFonts w:hint="eastAsia"/>
          <w:snapToGrid/>
        </w:rPr>
        <w:t>之5</w:t>
      </w:r>
      <w:r w:rsidR="0052073F">
        <w:rPr>
          <w:rFonts w:hint="eastAsia"/>
          <w:snapToGrid/>
        </w:rPr>
        <w:t>4</w:t>
      </w:r>
      <w:r w:rsidR="00190F5C">
        <w:rPr>
          <w:rFonts w:hint="eastAsia"/>
          <w:snapToGrid/>
        </w:rPr>
        <w:t>.22億元</w:t>
      </w:r>
      <w:r w:rsidRPr="00BF0482">
        <w:rPr>
          <w:rFonts w:hint="eastAsia"/>
          <w:snapToGrid/>
        </w:rPr>
        <w:t>減</w:t>
      </w:r>
      <w:r>
        <w:rPr>
          <w:rFonts w:hint="eastAsia"/>
          <w:snapToGrid/>
        </w:rPr>
        <w:t>幅</w:t>
      </w:r>
      <w:r w:rsidR="009271AB">
        <w:rPr>
          <w:rFonts w:hint="eastAsia"/>
          <w:snapToGrid/>
        </w:rPr>
        <w:t>達</w:t>
      </w:r>
      <w:r w:rsidRPr="00BF0482">
        <w:rPr>
          <w:rFonts w:hint="eastAsia"/>
          <w:snapToGrid/>
        </w:rPr>
        <w:t>45.67</w:t>
      </w:r>
      <w:r>
        <w:rPr>
          <w:rFonts w:hint="eastAsia"/>
          <w:snapToGrid/>
        </w:rPr>
        <w:t>%</w:t>
      </w:r>
      <w:r w:rsidR="009271AB">
        <w:rPr>
          <w:rFonts w:hint="eastAsia"/>
          <w:snapToGrid/>
        </w:rPr>
        <w:t>；</w:t>
      </w:r>
      <w:r w:rsidR="007B40BA">
        <w:rPr>
          <w:rFonts w:hint="eastAsia"/>
          <w:snapToGrid/>
        </w:rPr>
        <w:t>按商品</w:t>
      </w:r>
      <w:r w:rsidR="009271AB">
        <w:rPr>
          <w:rFonts w:hint="eastAsia"/>
          <w:snapToGrid/>
        </w:rPr>
        <w:t>種類</w:t>
      </w:r>
      <w:r w:rsidR="007B40BA">
        <w:rPr>
          <w:rFonts w:hint="eastAsia"/>
          <w:snapToGrid/>
        </w:rPr>
        <w:t>分析，112年度</w:t>
      </w:r>
      <w:r w:rsidR="007B40BA" w:rsidRPr="00BF0482">
        <w:rPr>
          <w:rFonts w:hint="eastAsia"/>
          <w:snapToGrid/>
        </w:rPr>
        <w:t>保費收入</w:t>
      </w:r>
      <w:r w:rsidRPr="00BF0482">
        <w:rPr>
          <w:rFonts w:hint="eastAsia"/>
          <w:snapToGrid/>
        </w:rPr>
        <w:t>傳統型及投資型</w:t>
      </w:r>
      <w:r>
        <w:rPr>
          <w:rFonts w:hint="eastAsia"/>
          <w:snapToGrid/>
        </w:rPr>
        <w:t>保險</w:t>
      </w:r>
      <w:r w:rsidRPr="00BF0482">
        <w:rPr>
          <w:rFonts w:hint="eastAsia"/>
          <w:snapToGrid/>
        </w:rPr>
        <w:t>商品</w:t>
      </w:r>
      <w:r>
        <w:rPr>
          <w:rFonts w:hint="eastAsia"/>
          <w:snapToGrid/>
        </w:rPr>
        <w:t>較</w:t>
      </w:r>
      <w:r w:rsidRPr="00BF0482">
        <w:rPr>
          <w:rFonts w:hint="eastAsia"/>
          <w:snapToGrid/>
        </w:rPr>
        <w:t>111年度</w:t>
      </w:r>
      <w:r>
        <w:rPr>
          <w:rFonts w:hint="eastAsia"/>
          <w:snapToGrid/>
        </w:rPr>
        <w:t>減幅</w:t>
      </w:r>
      <w:r w:rsidR="00190F5C">
        <w:rPr>
          <w:rFonts w:hint="eastAsia"/>
          <w:snapToGrid/>
        </w:rPr>
        <w:t>分別</w:t>
      </w:r>
      <w:r>
        <w:rPr>
          <w:rFonts w:hint="eastAsia"/>
          <w:snapToGrid/>
        </w:rPr>
        <w:t>達</w:t>
      </w:r>
      <w:r w:rsidRPr="00BF0482">
        <w:rPr>
          <w:rFonts w:hint="eastAsia"/>
          <w:snapToGrid/>
        </w:rPr>
        <w:t>35.49</w:t>
      </w:r>
      <w:r>
        <w:rPr>
          <w:rFonts w:hint="eastAsia"/>
          <w:snapToGrid/>
        </w:rPr>
        <w:t>%</w:t>
      </w:r>
      <w:r w:rsidRPr="00BF0482">
        <w:rPr>
          <w:rFonts w:hint="eastAsia"/>
          <w:snapToGrid/>
        </w:rPr>
        <w:t>及53.34</w:t>
      </w:r>
      <w:r>
        <w:rPr>
          <w:rFonts w:hint="eastAsia"/>
          <w:snapToGrid/>
        </w:rPr>
        <w:t>%</w:t>
      </w:r>
      <w:r w:rsidR="00DB78E9">
        <w:rPr>
          <w:rFonts w:hint="eastAsia"/>
          <w:snapToGrid/>
        </w:rPr>
        <w:t>，</w:t>
      </w:r>
      <w:r w:rsidRPr="00BF0482">
        <w:rPr>
          <w:rFonts w:hint="eastAsia"/>
          <w:snapToGrid/>
        </w:rPr>
        <w:t>惟全國壽險業112年度新契約保費收入</w:t>
      </w:r>
      <w:r w:rsidR="009271AB">
        <w:rPr>
          <w:rFonts w:hint="eastAsia"/>
          <w:snapToGrid/>
        </w:rPr>
        <w:t>，</w:t>
      </w:r>
      <w:r w:rsidR="00190F5C">
        <w:rPr>
          <w:rFonts w:hint="eastAsia"/>
          <w:snapToGrid/>
        </w:rPr>
        <w:t>無論係</w:t>
      </w:r>
      <w:r w:rsidRPr="00BF0482">
        <w:rPr>
          <w:rFonts w:hint="eastAsia"/>
          <w:snapToGrid/>
        </w:rPr>
        <w:t>傳統型</w:t>
      </w:r>
      <w:r w:rsidR="00190F5C">
        <w:rPr>
          <w:rFonts w:hint="eastAsia"/>
          <w:snapToGrid/>
        </w:rPr>
        <w:t>抑或是</w:t>
      </w:r>
      <w:r w:rsidRPr="00BF0482">
        <w:rPr>
          <w:rFonts w:hint="eastAsia"/>
          <w:snapToGrid/>
        </w:rPr>
        <w:t>投資型之保費收入</w:t>
      </w:r>
      <w:r w:rsidR="009271AB">
        <w:rPr>
          <w:rFonts w:hint="eastAsia"/>
          <w:snapToGrid/>
        </w:rPr>
        <w:t>，均較臺銀人壽</w:t>
      </w:r>
      <w:r w:rsidRPr="00BF0482">
        <w:rPr>
          <w:rFonts w:hint="eastAsia"/>
          <w:snapToGrid/>
        </w:rPr>
        <w:t>111年度</w:t>
      </w:r>
      <w:r w:rsidR="009271AB">
        <w:rPr>
          <w:rFonts w:hint="eastAsia"/>
          <w:snapToGrid/>
        </w:rPr>
        <w:t>減幅緩和，營運情形</w:t>
      </w:r>
      <w:r w:rsidR="00707DFD">
        <w:rPr>
          <w:rFonts w:hint="eastAsia"/>
          <w:snapToGrid/>
        </w:rPr>
        <w:t>亟待改進。</w:t>
      </w:r>
    </w:p>
    <w:p w:rsidR="007B40BA" w:rsidRPr="00215A80" w:rsidRDefault="004832A1" w:rsidP="007B40BA">
      <w:pPr>
        <w:pStyle w:val="21"/>
        <w:ind w:left="850" w:firstLine="566"/>
        <w:rPr>
          <w:snapToGrid/>
        </w:rPr>
      </w:pPr>
      <w:r>
        <w:rPr>
          <w:rFonts w:hint="eastAsia"/>
        </w:rPr>
        <w:t>審計部針對</w:t>
      </w:r>
      <w:r w:rsidR="00707DFD">
        <w:rPr>
          <w:rFonts w:hint="eastAsia"/>
        </w:rPr>
        <w:t>臺銀人壽</w:t>
      </w:r>
      <w:r w:rsidR="00DB78E9">
        <w:rPr>
          <w:rFonts w:hint="eastAsia"/>
        </w:rPr>
        <w:t>持續虧損遲未改善，</w:t>
      </w:r>
      <w:r>
        <w:rPr>
          <w:rFonts w:hint="eastAsia"/>
        </w:rPr>
        <w:t>營運長期仰賴</w:t>
      </w:r>
      <w:r w:rsidRPr="009271AB">
        <w:rPr>
          <w:rFonts w:hint="eastAsia"/>
        </w:rPr>
        <w:t>臺灣金控財務</w:t>
      </w:r>
      <w:r>
        <w:rPr>
          <w:rFonts w:hint="eastAsia"/>
        </w:rPr>
        <w:t>支援</w:t>
      </w:r>
      <w:r w:rsidR="00DB78E9">
        <w:rPr>
          <w:rFonts w:hint="eastAsia"/>
        </w:rPr>
        <w:t>等</w:t>
      </w:r>
      <w:r>
        <w:rPr>
          <w:rFonts w:hint="eastAsia"/>
        </w:rPr>
        <w:t>提出審查意見促請改善</w:t>
      </w:r>
      <w:r>
        <w:rPr>
          <w:rStyle w:val="af5"/>
        </w:rPr>
        <w:footnoteReference w:id="2"/>
      </w:r>
      <w:r w:rsidR="00695356">
        <w:rPr>
          <w:rFonts w:hint="eastAsia"/>
        </w:rPr>
        <w:t>；臺銀人壽</w:t>
      </w:r>
      <w:r w:rsidR="00C1659C">
        <w:rPr>
          <w:rFonts w:hint="eastAsia"/>
        </w:rPr>
        <w:t>113年迄8月底止稅前淨利為16.92億元，然其</w:t>
      </w:r>
      <w:r w:rsidR="00695356">
        <w:rPr>
          <w:rFonts w:hint="eastAsia"/>
        </w:rPr>
        <w:t>114年度預算案</w:t>
      </w:r>
      <w:r w:rsidR="00C1659C">
        <w:rPr>
          <w:rFonts w:hint="eastAsia"/>
        </w:rPr>
        <w:t>仍</w:t>
      </w:r>
      <w:r w:rsidR="00695356">
        <w:rPr>
          <w:rFonts w:hint="eastAsia"/>
        </w:rPr>
        <w:t>編列稅前淨損6.63億元，</w:t>
      </w:r>
      <w:r w:rsidR="00707DFD">
        <w:rPr>
          <w:rFonts w:hint="eastAsia"/>
        </w:rPr>
        <w:t>有鑑於</w:t>
      </w:r>
      <w:r w:rsidR="007B40BA" w:rsidRPr="00215A80">
        <w:rPr>
          <w:rFonts w:hint="eastAsia"/>
        </w:rPr>
        <w:t>保費收入為該公司主要營業收入，</w:t>
      </w:r>
      <w:r w:rsidR="007B40BA" w:rsidRPr="00215A80">
        <w:rPr>
          <w:rFonts w:hint="eastAsia"/>
          <w:snapToGrid/>
        </w:rPr>
        <w:t>亟待改善保費收入及業務經營情形，</w:t>
      </w:r>
      <w:r w:rsidR="00F54130">
        <w:rPr>
          <w:rFonts w:hint="eastAsia"/>
          <w:snapToGrid/>
        </w:rPr>
        <w:t>解決財務虧損問題，以</w:t>
      </w:r>
      <w:r w:rsidR="007B40BA" w:rsidRPr="00215A80">
        <w:rPr>
          <w:rFonts w:hint="eastAsia"/>
          <w:snapToGrid/>
        </w:rPr>
        <w:t>利公司財務健全。</w:t>
      </w:r>
    </w:p>
    <w:p w:rsidR="008B7225" w:rsidRPr="008B7225" w:rsidRDefault="007B40BA" w:rsidP="0062656A">
      <w:pPr>
        <w:ind w:left="566" w:firstLine="566"/>
        <w:rPr>
          <w:rFonts w:hint="eastAsia"/>
        </w:rPr>
      </w:pPr>
      <w:r w:rsidRPr="00AE617C">
        <w:rPr>
          <w:rFonts w:hint="eastAsia"/>
        </w:rPr>
        <w:t>綜上，臺銀人壽1</w:t>
      </w:r>
      <w:r w:rsidRPr="00AE617C">
        <w:t>14</w:t>
      </w:r>
      <w:r w:rsidRPr="00AE617C">
        <w:rPr>
          <w:rFonts w:hint="eastAsia"/>
        </w:rPr>
        <w:t>年度預計增資1</w:t>
      </w:r>
      <w:r w:rsidRPr="00AE617C">
        <w:t>0</w:t>
      </w:r>
      <w:r w:rsidRPr="00AE617C">
        <w:rPr>
          <w:rFonts w:hint="eastAsia"/>
        </w:rPr>
        <w:t>0億元，以配合政府對</w:t>
      </w:r>
      <w:r w:rsidR="00C1659C" w:rsidRPr="00AE617C">
        <w:rPr>
          <w:rFonts w:hint="eastAsia"/>
        </w:rPr>
        <w:t>健全</w:t>
      </w:r>
      <w:r w:rsidRPr="00AE617C">
        <w:rPr>
          <w:rFonts w:hint="eastAsia"/>
        </w:rPr>
        <w:t>壽險公司資本結構及達到資本適足率</w:t>
      </w:r>
      <w:r w:rsidR="00C1659C">
        <w:rPr>
          <w:rFonts w:hint="eastAsia"/>
        </w:rPr>
        <w:t>之</w:t>
      </w:r>
      <w:r w:rsidRPr="00AE617C">
        <w:rPr>
          <w:rFonts w:hint="eastAsia"/>
        </w:rPr>
        <w:t>要求；臺銀人壽</w:t>
      </w:r>
      <w:r w:rsidR="00F54130">
        <w:rPr>
          <w:rFonts w:hint="eastAsia"/>
        </w:rPr>
        <w:t>之</w:t>
      </w:r>
      <w:r w:rsidR="00DB78E9">
        <w:rPr>
          <w:rFonts w:hint="eastAsia"/>
        </w:rPr>
        <w:t>財務</w:t>
      </w:r>
      <w:r w:rsidR="004832A1">
        <w:rPr>
          <w:rFonts w:hint="eastAsia"/>
        </w:rPr>
        <w:t>虧損，營運長期仰賴臺</w:t>
      </w:r>
      <w:r w:rsidR="009271AB">
        <w:rPr>
          <w:rFonts w:hint="eastAsia"/>
        </w:rPr>
        <w:t>灣</w:t>
      </w:r>
      <w:r w:rsidR="004832A1">
        <w:rPr>
          <w:rFonts w:hint="eastAsia"/>
        </w:rPr>
        <w:t>金</w:t>
      </w:r>
      <w:r w:rsidR="00D27E33">
        <w:rPr>
          <w:rFonts w:hint="eastAsia"/>
        </w:rPr>
        <w:t>控</w:t>
      </w:r>
      <w:r w:rsidR="004832A1">
        <w:rPr>
          <w:rFonts w:hint="eastAsia"/>
        </w:rPr>
        <w:t>財務支援</w:t>
      </w:r>
      <w:r w:rsidR="00F54130">
        <w:rPr>
          <w:rFonts w:hint="eastAsia"/>
        </w:rPr>
        <w:t>等問題</w:t>
      </w:r>
      <w:r w:rsidRPr="00AE617C">
        <w:rPr>
          <w:rFonts w:hint="eastAsia"/>
        </w:rPr>
        <w:t>，亟待研謀</w:t>
      </w:r>
      <w:r w:rsidR="00707DFD">
        <w:rPr>
          <w:rFonts w:hint="eastAsia"/>
        </w:rPr>
        <w:t>改善</w:t>
      </w:r>
      <w:r w:rsidRPr="00AE617C">
        <w:rPr>
          <w:rFonts w:hint="eastAsia"/>
        </w:rPr>
        <w:t>，</w:t>
      </w:r>
      <w:r w:rsidR="00707DFD">
        <w:rPr>
          <w:rFonts w:hint="eastAsia"/>
        </w:rPr>
        <w:t>俾利</w:t>
      </w:r>
      <w:r w:rsidR="005F7489">
        <w:rPr>
          <w:rFonts w:hint="eastAsia"/>
        </w:rPr>
        <w:t>財務</w:t>
      </w:r>
      <w:r w:rsidR="005D58E4">
        <w:rPr>
          <w:rFonts w:hint="eastAsia"/>
        </w:rPr>
        <w:t>健全</w:t>
      </w:r>
      <w:r w:rsidR="005F7489">
        <w:rPr>
          <w:rFonts w:hint="eastAsia"/>
        </w:rPr>
        <w:t>，</w:t>
      </w:r>
      <w:r w:rsidR="0062656A">
        <w:rPr>
          <w:rFonts w:hint="eastAsia"/>
        </w:rPr>
        <w:t>以</w:t>
      </w:r>
      <w:r w:rsidR="00707DFD">
        <w:rPr>
          <w:rFonts w:hint="eastAsia"/>
        </w:rPr>
        <w:t>降低</w:t>
      </w:r>
      <w:r w:rsidR="002A30A8">
        <w:rPr>
          <w:rFonts w:hint="eastAsia"/>
        </w:rPr>
        <w:t>接軌</w:t>
      </w:r>
      <w:r w:rsidR="00707DFD" w:rsidRPr="00707DFD">
        <w:rPr>
          <w:rFonts w:hint="eastAsia"/>
        </w:rPr>
        <w:t>IFRS 17及ICS之衝擊</w:t>
      </w:r>
      <w:r w:rsidRPr="00AE617C">
        <w:rPr>
          <w:rFonts w:hint="eastAsia"/>
        </w:rPr>
        <w:t>。</w:t>
      </w:r>
    </w:p>
    <w:p w:rsidR="00FA2182" w:rsidRPr="00907754" w:rsidRDefault="00FA2182" w:rsidP="00FA2182">
      <w:pPr>
        <w:tabs>
          <w:tab w:val="left" w:pos="7924"/>
        </w:tabs>
        <w:spacing w:beforeLines="30" w:before="150"/>
        <w:ind w:leftChars="0" w:left="0" w:rightChars="-150" w:right="-425" w:firstLineChars="0" w:firstLine="0"/>
        <w:jc w:val="left"/>
        <w:rPr>
          <w:rFonts w:hAnsi="標楷體"/>
          <w:b/>
          <w:snapToGrid/>
          <w:spacing w:val="-14"/>
        </w:rPr>
      </w:pPr>
      <w:r w:rsidRPr="00907754">
        <w:rPr>
          <w:rFonts w:hAnsi="標楷體" w:hint="eastAsia"/>
          <w:b/>
          <w:snapToGrid/>
        </w:rPr>
        <w:t>表1</w:t>
      </w:r>
      <w:r w:rsidRPr="00907754">
        <w:rPr>
          <w:rFonts w:hAnsi="標楷體"/>
          <w:b/>
          <w:snapToGrid/>
          <w:spacing w:val="-14"/>
        </w:rPr>
        <w:t xml:space="preserve">  </w:t>
      </w:r>
      <w:r w:rsidRPr="00907754">
        <w:rPr>
          <w:rFonts w:hAnsi="標楷體" w:hint="eastAsia"/>
          <w:b/>
          <w:snapToGrid/>
          <w:spacing w:val="-14"/>
        </w:rPr>
        <w:t>臺銀人壽成立以來淨利、資本適足率、資本及政府現金增資情形</w:t>
      </w:r>
      <w:r w:rsidRPr="00907754">
        <w:rPr>
          <w:rFonts w:hAnsi="標楷體" w:hint="eastAsia"/>
          <w:b/>
          <w:snapToGrid/>
          <w:spacing w:val="-14"/>
          <w:lang w:eastAsia="zh-HK"/>
        </w:rPr>
        <w:t>概況</w:t>
      </w:r>
      <w:r w:rsidRPr="00907754">
        <w:rPr>
          <w:rFonts w:hAnsi="標楷體" w:hint="eastAsia"/>
          <w:b/>
          <w:snapToGrid/>
          <w:spacing w:val="-14"/>
        </w:rPr>
        <w:t>表</w:t>
      </w:r>
    </w:p>
    <w:p w:rsidR="00FA2182" w:rsidRPr="00907754" w:rsidRDefault="00FA2182" w:rsidP="00FA2182">
      <w:pPr>
        <w:pStyle w:val="14-12"/>
        <w:jc w:val="right"/>
        <w:rPr>
          <w:rFonts w:hint="eastAsia"/>
          <w:snapToGrid/>
          <w:sz w:val="20"/>
          <w:szCs w:val="20"/>
        </w:rPr>
      </w:pPr>
      <w:r w:rsidRPr="00907754">
        <w:rPr>
          <w:rFonts w:hint="eastAsia"/>
          <w:snapToGrid/>
        </w:rPr>
        <w:t>單位：新臺幣億元、%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93"/>
        <w:gridCol w:w="1864"/>
        <w:gridCol w:w="1865"/>
        <w:gridCol w:w="1865"/>
        <w:gridCol w:w="1865"/>
      </w:tblGrid>
      <w:tr w:rsidR="00FA2182" w:rsidRPr="00907754" w:rsidTr="00EE206B">
        <w:trPr>
          <w:tblHeader/>
        </w:trPr>
        <w:tc>
          <w:tcPr>
            <w:tcW w:w="993" w:type="dxa"/>
            <w:shd w:val="clear" w:color="auto" w:fill="auto"/>
            <w:vAlign w:val="center"/>
          </w:tcPr>
          <w:p w:rsidR="00FA2182" w:rsidRPr="00907754" w:rsidRDefault="00FA2182" w:rsidP="00EE206B">
            <w:pPr>
              <w:pStyle w:val="14-2"/>
              <w:jc w:val="center"/>
              <w:rPr>
                <w:rFonts w:hAnsi="標楷體"/>
                <w:snapToGrid/>
              </w:rPr>
            </w:pPr>
            <w:r w:rsidRPr="00907754">
              <w:rPr>
                <w:rFonts w:hAnsi="標楷體" w:hint="eastAsia"/>
                <w:snapToGrid/>
              </w:rPr>
              <w:t>年度</w:t>
            </w:r>
          </w:p>
        </w:tc>
        <w:tc>
          <w:tcPr>
            <w:tcW w:w="1864" w:type="dxa"/>
            <w:shd w:val="clear" w:color="auto" w:fill="auto"/>
            <w:vAlign w:val="center"/>
          </w:tcPr>
          <w:p w:rsidR="00FA2182" w:rsidRPr="00907754" w:rsidRDefault="00FA2182" w:rsidP="00EE206B">
            <w:pPr>
              <w:pStyle w:val="14-2"/>
              <w:ind w:left="71" w:hanging="57"/>
              <w:jc w:val="center"/>
              <w:rPr>
                <w:rFonts w:hAnsi="標楷體" w:hint="eastAsia"/>
                <w:snapToGrid/>
                <w:spacing w:val="-20"/>
                <w:szCs w:val="24"/>
              </w:rPr>
            </w:pPr>
            <w:r w:rsidRPr="00907754">
              <w:rPr>
                <w:rFonts w:hAnsi="標楷體" w:hint="eastAsia"/>
                <w:snapToGrid/>
                <w:spacing w:val="-20"/>
                <w:szCs w:val="24"/>
              </w:rPr>
              <w:t>稅前淨利</w:t>
            </w:r>
          </w:p>
        </w:tc>
        <w:tc>
          <w:tcPr>
            <w:tcW w:w="1865" w:type="dxa"/>
            <w:shd w:val="clear" w:color="auto" w:fill="auto"/>
            <w:vAlign w:val="center"/>
          </w:tcPr>
          <w:p w:rsidR="00FA2182" w:rsidRPr="00907754" w:rsidRDefault="00FA2182" w:rsidP="00EE206B">
            <w:pPr>
              <w:pStyle w:val="14-2"/>
              <w:ind w:left="71" w:hanging="57"/>
              <w:jc w:val="center"/>
              <w:rPr>
                <w:rFonts w:hAnsi="標楷體" w:hint="eastAsia"/>
                <w:snapToGrid/>
                <w:spacing w:val="-20"/>
                <w:szCs w:val="24"/>
              </w:rPr>
            </w:pPr>
            <w:r w:rsidRPr="00907754">
              <w:rPr>
                <w:rFonts w:hAnsi="標楷體" w:hint="eastAsia"/>
                <w:snapToGrid/>
                <w:spacing w:val="-20"/>
                <w:szCs w:val="24"/>
              </w:rPr>
              <w:t>資本適足率</w:t>
            </w:r>
          </w:p>
        </w:tc>
        <w:tc>
          <w:tcPr>
            <w:tcW w:w="1865" w:type="dxa"/>
            <w:shd w:val="clear" w:color="auto" w:fill="auto"/>
            <w:vAlign w:val="center"/>
          </w:tcPr>
          <w:p w:rsidR="00FA2182" w:rsidRPr="00907754" w:rsidRDefault="00FA2182" w:rsidP="00EE206B">
            <w:pPr>
              <w:pStyle w:val="14-2"/>
              <w:ind w:left="71" w:hanging="57"/>
              <w:jc w:val="center"/>
              <w:rPr>
                <w:rFonts w:hAnsi="標楷體" w:hint="eastAsia"/>
                <w:snapToGrid/>
                <w:spacing w:val="-20"/>
                <w:szCs w:val="24"/>
              </w:rPr>
            </w:pPr>
            <w:r w:rsidRPr="00907754">
              <w:rPr>
                <w:rFonts w:hAnsi="標楷體" w:hint="eastAsia"/>
                <w:snapToGrid/>
                <w:spacing w:val="-20"/>
                <w:szCs w:val="24"/>
              </w:rPr>
              <w:t>資本餘額</w:t>
            </w:r>
          </w:p>
        </w:tc>
        <w:tc>
          <w:tcPr>
            <w:tcW w:w="1865" w:type="dxa"/>
            <w:shd w:val="clear" w:color="auto" w:fill="auto"/>
            <w:vAlign w:val="center"/>
          </w:tcPr>
          <w:p w:rsidR="00FA2182" w:rsidRPr="00907754" w:rsidRDefault="00FA2182" w:rsidP="00EE206B">
            <w:pPr>
              <w:pStyle w:val="14-2"/>
              <w:ind w:left="71" w:hanging="57"/>
              <w:jc w:val="center"/>
              <w:rPr>
                <w:rFonts w:hAnsi="標楷體" w:hint="eastAsia"/>
                <w:snapToGrid/>
                <w:spacing w:val="-20"/>
                <w:szCs w:val="24"/>
              </w:rPr>
            </w:pPr>
            <w:r w:rsidRPr="00907754">
              <w:rPr>
                <w:rFonts w:hAnsi="標楷體" w:hint="eastAsia"/>
                <w:b/>
                <w:snapToGrid/>
                <w:spacing w:val="-20"/>
                <w:szCs w:val="24"/>
              </w:rPr>
              <w:t>政府現金增資</w:t>
            </w:r>
          </w:p>
        </w:tc>
      </w:tr>
      <w:tr w:rsidR="00FA2182" w:rsidRPr="00907754" w:rsidTr="00EE206B">
        <w:tc>
          <w:tcPr>
            <w:tcW w:w="993" w:type="dxa"/>
            <w:shd w:val="clear" w:color="auto" w:fill="auto"/>
            <w:vAlign w:val="center"/>
          </w:tcPr>
          <w:p w:rsidR="00FA2182" w:rsidRPr="00907754" w:rsidRDefault="00FA2182" w:rsidP="00EE206B">
            <w:pPr>
              <w:pStyle w:val="14-2"/>
              <w:jc w:val="center"/>
              <w:rPr>
                <w:rFonts w:hAnsi="標楷體"/>
                <w:snapToGrid/>
              </w:rPr>
            </w:pPr>
            <w:r w:rsidRPr="00907754">
              <w:rPr>
                <w:rFonts w:hAnsi="標楷體" w:hint="eastAsia"/>
                <w:snapToGrid/>
              </w:rPr>
              <w:t>97</w:t>
            </w:r>
          </w:p>
        </w:tc>
        <w:tc>
          <w:tcPr>
            <w:tcW w:w="1864" w:type="dxa"/>
            <w:shd w:val="clear" w:color="auto" w:fill="auto"/>
            <w:vAlign w:val="center"/>
          </w:tcPr>
          <w:p w:rsidR="00FA2182" w:rsidRPr="00907754" w:rsidRDefault="00FA2182" w:rsidP="00EE206B">
            <w:pPr>
              <w:pStyle w:val="14-2"/>
              <w:jc w:val="right"/>
              <w:rPr>
                <w:rFonts w:hAnsi="標楷體"/>
                <w:snapToGrid/>
              </w:rPr>
            </w:pPr>
            <w:r w:rsidRPr="00907754">
              <w:rPr>
                <w:rFonts w:hAnsi="標楷體" w:hint="eastAsia"/>
                <w:snapToGrid/>
              </w:rPr>
              <w:t>-14.06</w:t>
            </w:r>
          </w:p>
        </w:tc>
        <w:tc>
          <w:tcPr>
            <w:tcW w:w="1865" w:type="dxa"/>
            <w:shd w:val="clear" w:color="auto" w:fill="auto"/>
            <w:vAlign w:val="center"/>
          </w:tcPr>
          <w:p w:rsidR="00FA2182" w:rsidRPr="00907754" w:rsidRDefault="00FA2182" w:rsidP="00EE206B">
            <w:pPr>
              <w:pStyle w:val="14-2"/>
              <w:jc w:val="right"/>
              <w:rPr>
                <w:rFonts w:hAnsi="標楷體"/>
                <w:snapToGrid/>
              </w:rPr>
            </w:pPr>
            <w:r w:rsidRPr="00907754">
              <w:rPr>
                <w:rFonts w:hAnsi="標楷體" w:hint="eastAsia"/>
                <w:snapToGrid/>
              </w:rPr>
              <w:t>147.66</w:t>
            </w:r>
          </w:p>
        </w:tc>
        <w:tc>
          <w:tcPr>
            <w:tcW w:w="1865" w:type="dxa"/>
            <w:shd w:val="clear" w:color="auto" w:fill="auto"/>
            <w:vAlign w:val="center"/>
          </w:tcPr>
          <w:p w:rsidR="00FA2182" w:rsidRPr="00907754" w:rsidRDefault="00FA2182" w:rsidP="00EE206B">
            <w:pPr>
              <w:pStyle w:val="14-2"/>
              <w:jc w:val="right"/>
              <w:rPr>
                <w:rFonts w:hAnsi="標楷體"/>
                <w:snapToGrid/>
              </w:rPr>
            </w:pPr>
            <w:r w:rsidRPr="00907754">
              <w:rPr>
                <w:rFonts w:hAnsi="標楷體" w:hint="eastAsia"/>
                <w:snapToGrid/>
              </w:rPr>
              <w:t>50</w:t>
            </w:r>
          </w:p>
        </w:tc>
        <w:tc>
          <w:tcPr>
            <w:tcW w:w="1865" w:type="dxa"/>
            <w:shd w:val="clear" w:color="auto" w:fill="auto"/>
            <w:vAlign w:val="center"/>
          </w:tcPr>
          <w:p w:rsidR="00FA2182" w:rsidRPr="00907754" w:rsidRDefault="00FA2182" w:rsidP="00EE206B">
            <w:pPr>
              <w:pStyle w:val="14-2"/>
              <w:jc w:val="right"/>
              <w:rPr>
                <w:rFonts w:hAnsi="標楷體"/>
                <w:snapToGrid/>
              </w:rPr>
            </w:pPr>
            <w:r w:rsidRPr="00907754">
              <w:rPr>
                <w:rFonts w:hAnsi="標楷體" w:hint="eastAsia"/>
                <w:snapToGrid/>
              </w:rPr>
              <w:t>0</w:t>
            </w:r>
          </w:p>
        </w:tc>
      </w:tr>
      <w:tr w:rsidR="00FA2182" w:rsidRPr="00907754" w:rsidTr="00EE206B">
        <w:tc>
          <w:tcPr>
            <w:tcW w:w="993" w:type="dxa"/>
            <w:shd w:val="clear" w:color="auto" w:fill="auto"/>
            <w:vAlign w:val="center"/>
          </w:tcPr>
          <w:p w:rsidR="00FA2182" w:rsidRPr="00907754" w:rsidRDefault="00FA2182" w:rsidP="00EE206B">
            <w:pPr>
              <w:pStyle w:val="14-2"/>
              <w:jc w:val="center"/>
              <w:rPr>
                <w:rFonts w:hAnsi="標楷體"/>
                <w:snapToGrid/>
              </w:rPr>
            </w:pPr>
            <w:r w:rsidRPr="00907754">
              <w:rPr>
                <w:rFonts w:hAnsi="標楷體" w:hint="eastAsia"/>
                <w:snapToGrid/>
              </w:rPr>
              <w:t>98</w:t>
            </w:r>
          </w:p>
        </w:tc>
        <w:tc>
          <w:tcPr>
            <w:tcW w:w="1864" w:type="dxa"/>
            <w:shd w:val="clear" w:color="auto" w:fill="auto"/>
            <w:vAlign w:val="center"/>
          </w:tcPr>
          <w:p w:rsidR="00FA2182" w:rsidRPr="00907754" w:rsidRDefault="00FA2182" w:rsidP="00EE206B">
            <w:pPr>
              <w:pStyle w:val="14-2"/>
              <w:jc w:val="right"/>
              <w:rPr>
                <w:rFonts w:hAnsi="標楷體"/>
                <w:snapToGrid/>
              </w:rPr>
            </w:pPr>
            <w:r w:rsidRPr="00907754">
              <w:rPr>
                <w:rFonts w:hAnsi="標楷體" w:hint="eastAsia"/>
                <w:snapToGrid/>
              </w:rPr>
              <w:t>0.03</w:t>
            </w:r>
          </w:p>
        </w:tc>
        <w:tc>
          <w:tcPr>
            <w:tcW w:w="1865" w:type="dxa"/>
            <w:shd w:val="clear" w:color="auto" w:fill="auto"/>
            <w:vAlign w:val="center"/>
          </w:tcPr>
          <w:p w:rsidR="00FA2182" w:rsidRPr="00907754" w:rsidRDefault="00FA2182" w:rsidP="00EE206B">
            <w:pPr>
              <w:pStyle w:val="14-2"/>
              <w:jc w:val="right"/>
              <w:rPr>
                <w:rFonts w:hAnsi="標楷體"/>
                <w:snapToGrid/>
              </w:rPr>
            </w:pPr>
            <w:r w:rsidRPr="00907754">
              <w:rPr>
                <w:rFonts w:hAnsi="標楷體" w:hint="eastAsia"/>
                <w:snapToGrid/>
              </w:rPr>
              <w:t>252.54</w:t>
            </w:r>
          </w:p>
        </w:tc>
        <w:tc>
          <w:tcPr>
            <w:tcW w:w="1865" w:type="dxa"/>
            <w:shd w:val="clear" w:color="auto" w:fill="auto"/>
            <w:vAlign w:val="center"/>
          </w:tcPr>
          <w:p w:rsidR="00FA2182" w:rsidRPr="00907754" w:rsidRDefault="00FA2182" w:rsidP="00EE206B">
            <w:pPr>
              <w:pStyle w:val="14-2"/>
              <w:jc w:val="right"/>
              <w:rPr>
                <w:rFonts w:hAnsi="標楷體"/>
                <w:snapToGrid/>
              </w:rPr>
            </w:pPr>
            <w:r w:rsidRPr="00907754">
              <w:rPr>
                <w:rFonts w:hAnsi="標楷體" w:hint="eastAsia"/>
                <w:snapToGrid/>
              </w:rPr>
              <w:t>70</w:t>
            </w:r>
          </w:p>
        </w:tc>
        <w:tc>
          <w:tcPr>
            <w:tcW w:w="1865" w:type="dxa"/>
            <w:shd w:val="clear" w:color="auto" w:fill="auto"/>
            <w:vAlign w:val="center"/>
          </w:tcPr>
          <w:p w:rsidR="00FA2182" w:rsidRPr="00907754" w:rsidRDefault="00FA2182" w:rsidP="00EE206B">
            <w:pPr>
              <w:pStyle w:val="14-2"/>
              <w:jc w:val="right"/>
              <w:rPr>
                <w:rFonts w:hAnsi="標楷體"/>
                <w:b/>
                <w:snapToGrid/>
              </w:rPr>
            </w:pPr>
            <w:r w:rsidRPr="00907754">
              <w:rPr>
                <w:rFonts w:hAnsi="標楷體" w:hint="eastAsia"/>
                <w:b/>
                <w:snapToGrid/>
              </w:rPr>
              <w:t>20</w:t>
            </w:r>
          </w:p>
        </w:tc>
      </w:tr>
      <w:tr w:rsidR="00FA2182" w:rsidRPr="00907754" w:rsidTr="00EE206B">
        <w:tc>
          <w:tcPr>
            <w:tcW w:w="993" w:type="dxa"/>
            <w:shd w:val="clear" w:color="auto" w:fill="auto"/>
            <w:vAlign w:val="center"/>
          </w:tcPr>
          <w:p w:rsidR="00FA2182" w:rsidRPr="00907754" w:rsidRDefault="00FA2182" w:rsidP="00EE206B">
            <w:pPr>
              <w:pStyle w:val="14-2"/>
              <w:jc w:val="center"/>
              <w:rPr>
                <w:rFonts w:hAnsi="標楷體"/>
                <w:snapToGrid/>
              </w:rPr>
            </w:pPr>
            <w:r w:rsidRPr="00907754">
              <w:rPr>
                <w:rFonts w:hAnsi="標楷體" w:hint="eastAsia"/>
                <w:snapToGrid/>
              </w:rPr>
              <w:t>99</w:t>
            </w:r>
          </w:p>
        </w:tc>
        <w:tc>
          <w:tcPr>
            <w:tcW w:w="1864" w:type="dxa"/>
            <w:shd w:val="clear" w:color="auto" w:fill="auto"/>
            <w:vAlign w:val="center"/>
          </w:tcPr>
          <w:p w:rsidR="00FA2182" w:rsidRPr="00907754" w:rsidRDefault="00FA2182" w:rsidP="00EE206B">
            <w:pPr>
              <w:pStyle w:val="14-2"/>
              <w:jc w:val="right"/>
              <w:rPr>
                <w:rFonts w:hAnsi="標楷體"/>
                <w:snapToGrid/>
              </w:rPr>
            </w:pPr>
            <w:r w:rsidRPr="00907754">
              <w:rPr>
                <w:rFonts w:hAnsi="標楷體" w:hint="eastAsia"/>
                <w:snapToGrid/>
              </w:rPr>
              <w:t>0.63</w:t>
            </w:r>
          </w:p>
        </w:tc>
        <w:tc>
          <w:tcPr>
            <w:tcW w:w="1865" w:type="dxa"/>
            <w:shd w:val="clear" w:color="auto" w:fill="auto"/>
            <w:vAlign w:val="center"/>
          </w:tcPr>
          <w:p w:rsidR="00FA2182" w:rsidRPr="00907754" w:rsidRDefault="00FA2182" w:rsidP="00EE206B">
            <w:pPr>
              <w:pStyle w:val="14-2"/>
              <w:jc w:val="right"/>
              <w:rPr>
                <w:rFonts w:hAnsi="標楷體"/>
                <w:snapToGrid/>
              </w:rPr>
            </w:pPr>
            <w:r w:rsidRPr="00907754">
              <w:rPr>
                <w:rFonts w:hAnsi="標楷體" w:hint="eastAsia"/>
                <w:snapToGrid/>
              </w:rPr>
              <w:t>292.03</w:t>
            </w:r>
          </w:p>
        </w:tc>
        <w:tc>
          <w:tcPr>
            <w:tcW w:w="1865" w:type="dxa"/>
            <w:shd w:val="clear" w:color="auto" w:fill="auto"/>
            <w:vAlign w:val="center"/>
          </w:tcPr>
          <w:p w:rsidR="00FA2182" w:rsidRPr="00907754" w:rsidRDefault="00FA2182" w:rsidP="00EE206B">
            <w:pPr>
              <w:pStyle w:val="14-2"/>
              <w:jc w:val="right"/>
              <w:rPr>
                <w:rFonts w:hAnsi="標楷體"/>
                <w:snapToGrid/>
              </w:rPr>
            </w:pPr>
            <w:r w:rsidRPr="00907754">
              <w:rPr>
                <w:rFonts w:hAnsi="標楷體" w:hint="eastAsia"/>
                <w:snapToGrid/>
              </w:rPr>
              <w:t>110</w:t>
            </w:r>
          </w:p>
        </w:tc>
        <w:tc>
          <w:tcPr>
            <w:tcW w:w="1865" w:type="dxa"/>
            <w:shd w:val="clear" w:color="auto" w:fill="auto"/>
            <w:vAlign w:val="center"/>
          </w:tcPr>
          <w:p w:rsidR="00FA2182" w:rsidRPr="00907754" w:rsidRDefault="00FA2182" w:rsidP="00EE206B">
            <w:pPr>
              <w:pStyle w:val="14-2"/>
              <w:jc w:val="right"/>
              <w:rPr>
                <w:rFonts w:hAnsi="標楷體"/>
                <w:b/>
                <w:snapToGrid/>
              </w:rPr>
            </w:pPr>
            <w:r w:rsidRPr="00907754">
              <w:rPr>
                <w:rFonts w:hAnsi="標楷體" w:hint="eastAsia"/>
                <w:b/>
                <w:snapToGrid/>
              </w:rPr>
              <w:t>40</w:t>
            </w:r>
          </w:p>
        </w:tc>
      </w:tr>
      <w:tr w:rsidR="00FA2182" w:rsidRPr="00907754" w:rsidTr="00EE206B">
        <w:tc>
          <w:tcPr>
            <w:tcW w:w="993" w:type="dxa"/>
            <w:shd w:val="clear" w:color="auto" w:fill="auto"/>
            <w:vAlign w:val="center"/>
          </w:tcPr>
          <w:p w:rsidR="00FA2182" w:rsidRPr="00907754" w:rsidRDefault="00FA2182" w:rsidP="00EE206B">
            <w:pPr>
              <w:pStyle w:val="14-2"/>
              <w:jc w:val="center"/>
              <w:rPr>
                <w:rFonts w:hAnsi="標楷體"/>
                <w:snapToGrid/>
              </w:rPr>
            </w:pPr>
            <w:r w:rsidRPr="00907754">
              <w:rPr>
                <w:rFonts w:hAnsi="標楷體" w:hint="eastAsia"/>
                <w:snapToGrid/>
              </w:rPr>
              <w:t>100</w:t>
            </w:r>
          </w:p>
        </w:tc>
        <w:tc>
          <w:tcPr>
            <w:tcW w:w="1864" w:type="dxa"/>
            <w:shd w:val="clear" w:color="auto" w:fill="auto"/>
            <w:vAlign w:val="center"/>
          </w:tcPr>
          <w:p w:rsidR="00FA2182" w:rsidRPr="00907754" w:rsidRDefault="00FA2182" w:rsidP="00EE206B">
            <w:pPr>
              <w:pStyle w:val="14-2"/>
              <w:jc w:val="right"/>
              <w:rPr>
                <w:rFonts w:hAnsi="標楷體"/>
                <w:snapToGrid/>
              </w:rPr>
            </w:pPr>
            <w:r w:rsidRPr="00907754">
              <w:rPr>
                <w:rFonts w:hAnsi="標楷體" w:hint="eastAsia"/>
                <w:snapToGrid/>
              </w:rPr>
              <w:t>2.86</w:t>
            </w:r>
          </w:p>
        </w:tc>
        <w:tc>
          <w:tcPr>
            <w:tcW w:w="1865" w:type="dxa"/>
            <w:shd w:val="clear" w:color="auto" w:fill="auto"/>
            <w:vAlign w:val="center"/>
          </w:tcPr>
          <w:p w:rsidR="00FA2182" w:rsidRPr="00907754" w:rsidRDefault="00FA2182" w:rsidP="00EE206B">
            <w:pPr>
              <w:pStyle w:val="14-2"/>
              <w:jc w:val="right"/>
              <w:rPr>
                <w:rFonts w:hAnsi="標楷體"/>
                <w:snapToGrid/>
              </w:rPr>
            </w:pPr>
            <w:r w:rsidRPr="00907754">
              <w:rPr>
                <w:rFonts w:hAnsi="標楷體" w:hint="eastAsia"/>
                <w:snapToGrid/>
              </w:rPr>
              <w:t>266.2</w:t>
            </w:r>
          </w:p>
        </w:tc>
        <w:tc>
          <w:tcPr>
            <w:tcW w:w="1865" w:type="dxa"/>
            <w:shd w:val="clear" w:color="auto" w:fill="auto"/>
            <w:vAlign w:val="center"/>
          </w:tcPr>
          <w:p w:rsidR="00FA2182" w:rsidRPr="00907754" w:rsidRDefault="00FA2182" w:rsidP="00EE206B">
            <w:pPr>
              <w:pStyle w:val="14-2"/>
              <w:jc w:val="right"/>
              <w:rPr>
                <w:rFonts w:hAnsi="標楷體"/>
                <w:snapToGrid/>
              </w:rPr>
            </w:pPr>
            <w:r w:rsidRPr="00907754">
              <w:rPr>
                <w:rFonts w:hAnsi="標楷體" w:hint="eastAsia"/>
                <w:snapToGrid/>
              </w:rPr>
              <w:t>110</w:t>
            </w:r>
          </w:p>
        </w:tc>
        <w:tc>
          <w:tcPr>
            <w:tcW w:w="1865" w:type="dxa"/>
            <w:shd w:val="clear" w:color="auto" w:fill="auto"/>
            <w:vAlign w:val="center"/>
          </w:tcPr>
          <w:p w:rsidR="00FA2182" w:rsidRPr="00907754" w:rsidRDefault="00FA2182" w:rsidP="00EE206B">
            <w:pPr>
              <w:pStyle w:val="14-2"/>
              <w:jc w:val="right"/>
              <w:rPr>
                <w:rFonts w:hAnsi="標楷體"/>
                <w:snapToGrid/>
              </w:rPr>
            </w:pPr>
            <w:r w:rsidRPr="00907754">
              <w:rPr>
                <w:rFonts w:hAnsi="標楷體" w:hint="eastAsia"/>
                <w:snapToGrid/>
              </w:rPr>
              <w:t>0</w:t>
            </w:r>
          </w:p>
        </w:tc>
      </w:tr>
      <w:tr w:rsidR="00FA2182" w:rsidRPr="00907754" w:rsidTr="00EE206B">
        <w:tc>
          <w:tcPr>
            <w:tcW w:w="993" w:type="dxa"/>
            <w:shd w:val="clear" w:color="auto" w:fill="auto"/>
            <w:vAlign w:val="center"/>
          </w:tcPr>
          <w:p w:rsidR="00FA2182" w:rsidRPr="00907754" w:rsidRDefault="00FA2182" w:rsidP="00EE206B">
            <w:pPr>
              <w:pStyle w:val="14-2"/>
              <w:jc w:val="center"/>
              <w:rPr>
                <w:rFonts w:hAnsi="標楷體"/>
                <w:snapToGrid/>
              </w:rPr>
            </w:pPr>
            <w:r w:rsidRPr="00907754">
              <w:rPr>
                <w:rFonts w:hAnsi="標楷體" w:hint="eastAsia"/>
                <w:snapToGrid/>
              </w:rPr>
              <w:t>101</w:t>
            </w:r>
          </w:p>
        </w:tc>
        <w:tc>
          <w:tcPr>
            <w:tcW w:w="1864" w:type="dxa"/>
            <w:shd w:val="clear" w:color="auto" w:fill="auto"/>
            <w:vAlign w:val="center"/>
          </w:tcPr>
          <w:p w:rsidR="00FA2182" w:rsidRPr="00907754" w:rsidRDefault="00FA2182" w:rsidP="00EE206B">
            <w:pPr>
              <w:pStyle w:val="14-2"/>
              <w:jc w:val="right"/>
              <w:rPr>
                <w:rFonts w:hAnsi="標楷體"/>
                <w:snapToGrid/>
              </w:rPr>
            </w:pPr>
            <w:r w:rsidRPr="00907754">
              <w:rPr>
                <w:rFonts w:hAnsi="標楷體" w:hint="eastAsia"/>
                <w:snapToGrid/>
              </w:rPr>
              <w:t>0.18</w:t>
            </w:r>
          </w:p>
        </w:tc>
        <w:tc>
          <w:tcPr>
            <w:tcW w:w="1865" w:type="dxa"/>
            <w:shd w:val="clear" w:color="auto" w:fill="auto"/>
            <w:vAlign w:val="center"/>
          </w:tcPr>
          <w:p w:rsidR="00FA2182" w:rsidRPr="00907754" w:rsidRDefault="00FA2182" w:rsidP="00EE206B">
            <w:pPr>
              <w:pStyle w:val="14-2"/>
              <w:jc w:val="right"/>
              <w:rPr>
                <w:rFonts w:hAnsi="標楷體"/>
                <w:snapToGrid/>
              </w:rPr>
            </w:pPr>
            <w:r w:rsidRPr="00907754">
              <w:rPr>
                <w:rFonts w:hAnsi="標楷體" w:hint="eastAsia"/>
                <w:snapToGrid/>
              </w:rPr>
              <w:t>217.41</w:t>
            </w:r>
          </w:p>
        </w:tc>
        <w:tc>
          <w:tcPr>
            <w:tcW w:w="1865" w:type="dxa"/>
            <w:shd w:val="clear" w:color="auto" w:fill="auto"/>
            <w:vAlign w:val="center"/>
          </w:tcPr>
          <w:p w:rsidR="00FA2182" w:rsidRPr="00907754" w:rsidRDefault="00FA2182" w:rsidP="00EE206B">
            <w:pPr>
              <w:pStyle w:val="14-2"/>
              <w:jc w:val="right"/>
              <w:rPr>
                <w:rFonts w:hAnsi="標楷體"/>
                <w:snapToGrid/>
              </w:rPr>
            </w:pPr>
            <w:r w:rsidRPr="00907754">
              <w:rPr>
                <w:rFonts w:hAnsi="標楷體" w:hint="eastAsia"/>
                <w:snapToGrid/>
              </w:rPr>
              <w:t>110</w:t>
            </w:r>
          </w:p>
        </w:tc>
        <w:tc>
          <w:tcPr>
            <w:tcW w:w="1865" w:type="dxa"/>
            <w:shd w:val="clear" w:color="auto" w:fill="auto"/>
            <w:vAlign w:val="center"/>
          </w:tcPr>
          <w:p w:rsidR="00FA2182" w:rsidRPr="00907754" w:rsidRDefault="00FA2182" w:rsidP="00EE206B">
            <w:pPr>
              <w:pStyle w:val="14-2"/>
              <w:jc w:val="right"/>
              <w:rPr>
                <w:rFonts w:hAnsi="標楷體"/>
                <w:snapToGrid/>
              </w:rPr>
            </w:pPr>
            <w:r w:rsidRPr="00907754">
              <w:rPr>
                <w:rFonts w:hAnsi="標楷體" w:hint="eastAsia"/>
                <w:snapToGrid/>
              </w:rPr>
              <w:t>0</w:t>
            </w:r>
          </w:p>
        </w:tc>
      </w:tr>
      <w:tr w:rsidR="00FA2182" w:rsidRPr="00907754" w:rsidTr="00EE206B">
        <w:tc>
          <w:tcPr>
            <w:tcW w:w="993" w:type="dxa"/>
            <w:shd w:val="clear" w:color="auto" w:fill="auto"/>
            <w:vAlign w:val="center"/>
          </w:tcPr>
          <w:p w:rsidR="00FA2182" w:rsidRPr="00907754" w:rsidRDefault="00FA2182" w:rsidP="00EE206B">
            <w:pPr>
              <w:pStyle w:val="14-2"/>
              <w:jc w:val="center"/>
              <w:rPr>
                <w:rFonts w:hAnsi="標楷體"/>
                <w:snapToGrid/>
              </w:rPr>
            </w:pPr>
            <w:r w:rsidRPr="00907754">
              <w:rPr>
                <w:rFonts w:hAnsi="標楷體" w:hint="eastAsia"/>
                <w:snapToGrid/>
              </w:rPr>
              <w:t>102</w:t>
            </w:r>
          </w:p>
        </w:tc>
        <w:tc>
          <w:tcPr>
            <w:tcW w:w="1864" w:type="dxa"/>
            <w:shd w:val="clear" w:color="auto" w:fill="auto"/>
            <w:vAlign w:val="center"/>
          </w:tcPr>
          <w:p w:rsidR="00FA2182" w:rsidRPr="00907754" w:rsidRDefault="00FA2182" w:rsidP="00EE206B">
            <w:pPr>
              <w:pStyle w:val="14-2"/>
              <w:jc w:val="right"/>
              <w:rPr>
                <w:rFonts w:hAnsi="標楷體"/>
                <w:snapToGrid/>
              </w:rPr>
            </w:pPr>
            <w:r w:rsidRPr="00907754">
              <w:rPr>
                <w:rFonts w:hAnsi="標楷體" w:hint="eastAsia"/>
                <w:snapToGrid/>
              </w:rPr>
              <w:t>-4.11</w:t>
            </w:r>
          </w:p>
        </w:tc>
        <w:tc>
          <w:tcPr>
            <w:tcW w:w="1865" w:type="dxa"/>
            <w:shd w:val="clear" w:color="auto" w:fill="auto"/>
            <w:vAlign w:val="center"/>
          </w:tcPr>
          <w:p w:rsidR="00FA2182" w:rsidRPr="00907754" w:rsidRDefault="00FA2182" w:rsidP="00EE206B">
            <w:pPr>
              <w:pStyle w:val="14-2"/>
              <w:jc w:val="right"/>
              <w:rPr>
                <w:rFonts w:hAnsi="標楷體"/>
                <w:snapToGrid/>
              </w:rPr>
            </w:pPr>
            <w:r w:rsidRPr="00907754">
              <w:rPr>
                <w:rFonts w:hAnsi="標楷體" w:hint="eastAsia"/>
                <w:snapToGrid/>
              </w:rPr>
              <w:t>218.27</w:t>
            </w:r>
          </w:p>
        </w:tc>
        <w:tc>
          <w:tcPr>
            <w:tcW w:w="1865" w:type="dxa"/>
            <w:shd w:val="clear" w:color="auto" w:fill="auto"/>
            <w:vAlign w:val="center"/>
          </w:tcPr>
          <w:p w:rsidR="00FA2182" w:rsidRPr="00907754" w:rsidRDefault="00FA2182" w:rsidP="00EE206B">
            <w:pPr>
              <w:pStyle w:val="14-2"/>
              <w:jc w:val="right"/>
              <w:rPr>
                <w:rFonts w:hAnsi="標楷體"/>
                <w:snapToGrid/>
              </w:rPr>
            </w:pPr>
            <w:r w:rsidRPr="00907754">
              <w:rPr>
                <w:rFonts w:hAnsi="標楷體" w:hint="eastAsia"/>
                <w:snapToGrid/>
              </w:rPr>
              <w:t>170</w:t>
            </w:r>
          </w:p>
        </w:tc>
        <w:tc>
          <w:tcPr>
            <w:tcW w:w="1865" w:type="dxa"/>
            <w:shd w:val="clear" w:color="auto" w:fill="auto"/>
            <w:vAlign w:val="center"/>
          </w:tcPr>
          <w:p w:rsidR="00FA2182" w:rsidRPr="00907754" w:rsidRDefault="00FA2182" w:rsidP="00EE206B">
            <w:pPr>
              <w:pStyle w:val="14-2"/>
              <w:jc w:val="right"/>
              <w:rPr>
                <w:rFonts w:hAnsi="標楷體"/>
                <w:b/>
                <w:snapToGrid/>
              </w:rPr>
            </w:pPr>
            <w:r w:rsidRPr="00907754">
              <w:rPr>
                <w:rFonts w:hAnsi="標楷體" w:hint="eastAsia"/>
                <w:b/>
                <w:snapToGrid/>
              </w:rPr>
              <w:t>60</w:t>
            </w:r>
          </w:p>
        </w:tc>
      </w:tr>
      <w:tr w:rsidR="00FA2182" w:rsidRPr="00907754" w:rsidTr="00EE206B">
        <w:tc>
          <w:tcPr>
            <w:tcW w:w="993" w:type="dxa"/>
            <w:shd w:val="clear" w:color="auto" w:fill="auto"/>
            <w:vAlign w:val="center"/>
          </w:tcPr>
          <w:p w:rsidR="00FA2182" w:rsidRPr="00907754" w:rsidRDefault="00FA2182" w:rsidP="00EE206B">
            <w:pPr>
              <w:pStyle w:val="14-2"/>
              <w:jc w:val="center"/>
              <w:rPr>
                <w:rFonts w:hAnsi="標楷體"/>
                <w:snapToGrid/>
              </w:rPr>
            </w:pPr>
            <w:r w:rsidRPr="00907754">
              <w:rPr>
                <w:rFonts w:hAnsi="標楷體" w:hint="eastAsia"/>
                <w:snapToGrid/>
              </w:rPr>
              <w:t>103</w:t>
            </w:r>
          </w:p>
        </w:tc>
        <w:tc>
          <w:tcPr>
            <w:tcW w:w="1864" w:type="dxa"/>
            <w:shd w:val="clear" w:color="auto" w:fill="auto"/>
            <w:vAlign w:val="center"/>
          </w:tcPr>
          <w:p w:rsidR="00FA2182" w:rsidRPr="00907754" w:rsidRDefault="00FA2182" w:rsidP="00EE206B">
            <w:pPr>
              <w:pStyle w:val="14-2"/>
              <w:jc w:val="right"/>
              <w:rPr>
                <w:rFonts w:hAnsi="標楷體"/>
                <w:snapToGrid/>
              </w:rPr>
            </w:pPr>
            <w:r w:rsidRPr="00907754">
              <w:rPr>
                <w:rFonts w:hAnsi="標楷體" w:hint="eastAsia"/>
                <w:snapToGrid/>
              </w:rPr>
              <w:t>-8.41</w:t>
            </w:r>
          </w:p>
        </w:tc>
        <w:tc>
          <w:tcPr>
            <w:tcW w:w="1865" w:type="dxa"/>
            <w:shd w:val="clear" w:color="auto" w:fill="auto"/>
            <w:vAlign w:val="center"/>
          </w:tcPr>
          <w:p w:rsidR="00FA2182" w:rsidRPr="00907754" w:rsidRDefault="00FA2182" w:rsidP="00EE206B">
            <w:pPr>
              <w:pStyle w:val="14-2"/>
              <w:jc w:val="right"/>
              <w:rPr>
                <w:rFonts w:hAnsi="標楷體"/>
                <w:snapToGrid/>
              </w:rPr>
            </w:pPr>
            <w:r w:rsidRPr="00907754">
              <w:rPr>
                <w:rFonts w:hAnsi="標楷體" w:hint="eastAsia"/>
                <w:snapToGrid/>
              </w:rPr>
              <w:t>284.43</w:t>
            </w:r>
          </w:p>
        </w:tc>
        <w:tc>
          <w:tcPr>
            <w:tcW w:w="1865" w:type="dxa"/>
            <w:shd w:val="clear" w:color="auto" w:fill="auto"/>
            <w:vAlign w:val="center"/>
          </w:tcPr>
          <w:p w:rsidR="00FA2182" w:rsidRPr="00907754" w:rsidRDefault="00FA2182" w:rsidP="00EE206B">
            <w:pPr>
              <w:pStyle w:val="14-2"/>
              <w:jc w:val="right"/>
              <w:rPr>
                <w:rFonts w:hAnsi="標楷體"/>
                <w:snapToGrid/>
              </w:rPr>
            </w:pPr>
            <w:r w:rsidRPr="00907754">
              <w:rPr>
                <w:rFonts w:hAnsi="標楷體" w:hint="eastAsia"/>
                <w:snapToGrid/>
              </w:rPr>
              <w:t>170</w:t>
            </w:r>
          </w:p>
        </w:tc>
        <w:tc>
          <w:tcPr>
            <w:tcW w:w="1865" w:type="dxa"/>
            <w:shd w:val="clear" w:color="auto" w:fill="auto"/>
            <w:vAlign w:val="center"/>
          </w:tcPr>
          <w:p w:rsidR="00FA2182" w:rsidRPr="00907754" w:rsidRDefault="00FA2182" w:rsidP="00EE206B">
            <w:pPr>
              <w:pStyle w:val="14-2"/>
              <w:jc w:val="right"/>
              <w:rPr>
                <w:rFonts w:hAnsi="標楷體"/>
                <w:snapToGrid/>
              </w:rPr>
            </w:pPr>
            <w:r w:rsidRPr="00907754">
              <w:rPr>
                <w:rFonts w:hAnsi="標楷體" w:hint="eastAsia"/>
                <w:snapToGrid/>
              </w:rPr>
              <w:t>0</w:t>
            </w:r>
          </w:p>
        </w:tc>
      </w:tr>
      <w:tr w:rsidR="00FA2182" w:rsidRPr="00907754" w:rsidTr="00EE206B">
        <w:tc>
          <w:tcPr>
            <w:tcW w:w="993" w:type="dxa"/>
            <w:shd w:val="clear" w:color="auto" w:fill="auto"/>
            <w:vAlign w:val="center"/>
          </w:tcPr>
          <w:p w:rsidR="00FA2182" w:rsidRPr="00907754" w:rsidRDefault="00FA2182" w:rsidP="00EE206B">
            <w:pPr>
              <w:pStyle w:val="14-2"/>
              <w:jc w:val="center"/>
              <w:rPr>
                <w:rFonts w:hAnsi="標楷體"/>
                <w:snapToGrid/>
              </w:rPr>
            </w:pPr>
            <w:r w:rsidRPr="00907754">
              <w:rPr>
                <w:rFonts w:hAnsi="標楷體" w:hint="eastAsia"/>
                <w:snapToGrid/>
              </w:rPr>
              <w:t>104</w:t>
            </w:r>
          </w:p>
        </w:tc>
        <w:tc>
          <w:tcPr>
            <w:tcW w:w="1864" w:type="dxa"/>
            <w:shd w:val="clear" w:color="auto" w:fill="auto"/>
            <w:vAlign w:val="center"/>
          </w:tcPr>
          <w:p w:rsidR="00FA2182" w:rsidRPr="00907754" w:rsidRDefault="00FA2182" w:rsidP="00EE206B">
            <w:pPr>
              <w:pStyle w:val="14-2"/>
              <w:jc w:val="right"/>
              <w:rPr>
                <w:rFonts w:hAnsi="標楷體"/>
                <w:snapToGrid/>
              </w:rPr>
            </w:pPr>
            <w:r w:rsidRPr="00907754">
              <w:rPr>
                <w:rFonts w:hAnsi="標楷體" w:hint="eastAsia"/>
                <w:snapToGrid/>
              </w:rPr>
              <w:t>-25.29</w:t>
            </w:r>
          </w:p>
        </w:tc>
        <w:tc>
          <w:tcPr>
            <w:tcW w:w="1865" w:type="dxa"/>
            <w:shd w:val="clear" w:color="auto" w:fill="auto"/>
            <w:vAlign w:val="center"/>
          </w:tcPr>
          <w:p w:rsidR="00FA2182" w:rsidRPr="00907754" w:rsidRDefault="00FA2182" w:rsidP="00EE206B">
            <w:pPr>
              <w:pStyle w:val="14-2"/>
              <w:jc w:val="right"/>
              <w:rPr>
                <w:rFonts w:hAnsi="標楷體"/>
                <w:snapToGrid/>
              </w:rPr>
            </w:pPr>
            <w:r w:rsidRPr="00907754">
              <w:rPr>
                <w:rFonts w:hAnsi="標楷體" w:hint="eastAsia"/>
                <w:snapToGrid/>
              </w:rPr>
              <w:t>232.91</w:t>
            </w:r>
          </w:p>
        </w:tc>
        <w:tc>
          <w:tcPr>
            <w:tcW w:w="1865" w:type="dxa"/>
            <w:shd w:val="clear" w:color="auto" w:fill="auto"/>
            <w:vAlign w:val="center"/>
          </w:tcPr>
          <w:p w:rsidR="00FA2182" w:rsidRPr="00907754" w:rsidRDefault="00FA2182" w:rsidP="00EE206B">
            <w:pPr>
              <w:pStyle w:val="14-2"/>
              <w:jc w:val="right"/>
              <w:rPr>
                <w:rFonts w:hAnsi="標楷體"/>
                <w:snapToGrid/>
              </w:rPr>
            </w:pPr>
            <w:r w:rsidRPr="00907754">
              <w:rPr>
                <w:rFonts w:hAnsi="標楷體" w:hint="eastAsia"/>
                <w:snapToGrid/>
              </w:rPr>
              <w:t>225</w:t>
            </w:r>
          </w:p>
        </w:tc>
        <w:tc>
          <w:tcPr>
            <w:tcW w:w="1865" w:type="dxa"/>
            <w:shd w:val="clear" w:color="auto" w:fill="auto"/>
            <w:vAlign w:val="center"/>
          </w:tcPr>
          <w:p w:rsidR="00FA2182" w:rsidRPr="00907754" w:rsidRDefault="00FA2182" w:rsidP="00EE206B">
            <w:pPr>
              <w:pStyle w:val="14-2"/>
              <w:jc w:val="right"/>
              <w:rPr>
                <w:rFonts w:hAnsi="標楷體"/>
                <w:b/>
                <w:snapToGrid/>
              </w:rPr>
            </w:pPr>
            <w:r w:rsidRPr="00907754">
              <w:rPr>
                <w:rFonts w:hAnsi="標楷體" w:hint="eastAsia"/>
                <w:b/>
                <w:snapToGrid/>
              </w:rPr>
              <w:t>55</w:t>
            </w:r>
          </w:p>
        </w:tc>
      </w:tr>
      <w:tr w:rsidR="00FA2182" w:rsidRPr="00907754" w:rsidTr="00EE206B">
        <w:tc>
          <w:tcPr>
            <w:tcW w:w="993" w:type="dxa"/>
            <w:shd w:val="clear" w:color="auto" w:fill="auto"/>
            <w:vAlign w:val="center"/>
          </w:tcPr>
          <w:p w:rsidR="00FA2182" w:rsidRPr="00907754" w:rsidRDefault="00FA2182" w:rsidP="00EE206B">
            <w:pPr>
              <w:pStyle w:val="14-2"/>
              <w:jc w:val="center"/>
              <w:rPr>
                <w:rFonts w:hAnsi="標楷體"/>
                <w:snapToGrid/>
              </w:rPr>
            </w:pPr>
            <w:r w:rsidRPr="00907754">
              <w:rPr>
                <w:rFonts w:hAnsi="標楷體" w:hint="eastAsia"/>
                <w:snapToGrid/>
              </w:rPr>
              <w:t>105</w:t>
            </w:r>
          </w:p>
        </w:tc>
        <w:tc>
          <w:tcPr>
            <w:tcW w:w="1864" w:type="dxa"/>
            <w:shd w:val="clear" w:color="auto" w:fill="auto"/>
            <w:vAlign w:val="center"/>
          </w:tcPr>
          <w:p w:rsidR="00FA2182" w:rsidRPr="00907754" w:rsidRDefault="00FA2182" w:rsidP="00EE206B">
            <w:pPr>
              <w:pStyle w:val="14-2"/>
              <w:jc w:val="right"/>
              <w:rPr>
                <w:rFonts w:hAnsi="標楷體"/>
                <w:snapToGrid/>
              </w:rPr>
            </w:pPr>
            <w:r w:rsidRPr="00907754">
              <w:rPr>
                <w:rFonts w:hAnsi="標楷體" w:hint="eastAsia"/>
                <w:snapToGrid/>
              </w:rPr>
              <w:t>-32.44</w:t>
            </w:r>
          </w:p>
        </w:tc>
        <w:tc>
          <w:tcPr>
            <w:tcW w:w="1865" w:type="dxa"/>
            <w:shd w:val="clear" w:color="auto" w:fill="auto"/>
            <w:vAlign w:val="center"/>
          </w:tcPr>
          <w:p w:rsidR="00FA2182" w:rsidRPr="00907754" w:rsidRDefault="00FA2182" w:rsidP="00EE206B">
            <w:pPr>
              <w:pStyle w:val="14-2"/>
              <w:jc w:val="right"/>
              <w:rPr>
                <w:rFonts w:hAnsi="標楷體"/>
                <w:snapToGrid/>
              </w:rPr>
            </w:pPr>
            <w:r w:rsidRPr="00907754">
              <w:rPr>
                <w:rFonts w:hAnsi="標楷體" w:hint="eastAsia"/>
                <w:snapToGrid/>
              </w:rPr>
              <w:t>189.33</w:t>
            </w:r>
          </w:p>
        </w:tc>
        <w:tc>
          <w:tcPr>
            <w:tcW w:w="1865" w:type="dxa"/>
            <w:shd w:val="clear" w:color="auto" w:fill="auto"/>
            <w:vAlign w:val="center"/>
          </w:tcPr>
          <w:p w:rsidR="00FA2182" w:rsidRPr="00907754" w:rsidRDefault="00FA2182" w:rsidP="00EE206B">
            <w:pPr>
              <w:pStyle w:val="14-2"/>
              <w:jc w:val="right"/>
              <w:rPr>
                <w:rFonts w:hAnsi="標楷體"/>
                <w:snapToGrid/>
              </w:rPr>
            </w:pPr>
            <w:r w:rsidRPr="00907754">
              <w:rPr>
                <w:rFonts w:hAnsi="標楷體" w:hint="eastAsia"/>
                <w:snapToGrid/>
              </w:rPr>
              <w:t>225</w:t>
            </w:r>
          </w:p>
        </w:tc>
        <w:tc>
          <w:tcPr>
            <w:tcW w:w="1865" w:type="dxa"/>
            <w:shd w:val="clear" w:color="auto" w:fill="auto"/>
            <w:vAlign w:val="center"/>
          </w:tcPr>
          <w:p w:rsidR="00FA2182" w:rsidRPr="00907754" w:rsidRDefault="00FA2182" w:rsidP="00EE206B">
            <w:pPr>
              <w:pStyle w:val="14-2"/>
              <w:jc w:val="right"/>
              <w:rPr>
                <w:rFonts w:hAnsi="標楷體"/>
                <w:snapToGrid/>
              </w:rPr>
            </w:pPr>
            <w:r w:rsidRPr="00907754">
              <w:rPr>
                <w:rFonts w:hAnsi="標楷體" w:hint="eastAsia"/>
                <w:snapToGrid/>
              </w:rPr>
              <w:t>0</w:t>
            </w:r>
          </w:p>
        </w:tc>
      </w:tr>
      <w:tr w:rsidR="00FA2182" w:rsidRPr="00907754" w:rsidTr="00EE206B">
        <w:tc>
          <w:tcPr>
            <w:tcW w:w="993" w:type="dxa"/>
            <w:shd w:val="clear" w:color="auto" w:fill="auto"/>
            <w:vAlign w:val="center"/>
          </w:tcPr>
          <w:p w:rsidR="00FA2182" w:rsidRPr="00907754" w:rsidRDefault="00FA2182" w:rsidP="00EE206B">
            <w:pPr>
              <w:pStyle w:val="14-2"/>
              <w:jc w:val="center"/>
              <w:rPr>
                <w:rFonts w:hAnsi="標楷體"/>
                <w:snapToGrid/>
              </w:rPr>
            </w:pPr>
            <w:r w:rsidRPr="00907754">
              <w:rPr>
                <w:rFonts w:hAnsi="標楷體" w:hint="eastAsia"/>
                <w:snapToGrid/>
              </w:rPr>
              <w:t>106</w:t>
            </w:r>
          </w:p>
        </w:tc>
        <w:tc>
          <w:tcPr>
            <w:tcW w:w="1864" w:type="dxa"/>
            <w:shd w:val="clear" w:color="auto" w:fill="auto"/>
            <w:vAlign w:val="center"/>
          </w:tcPr>
          <w:p w:rsidR="00FA2182" w:rsidRPr="00907754" w:rsidRDefault="00FA2182" w:rsidP="00EE206B">
            <w:pPr>
              <w:pStyle w:val="14-2"/>
              <w:jc w:val="right"/>
              <w:rPr>
                <w:rFonts w:hAnsi="標楷體"/>
                <w:snapToGrid/>
              </w:rPr>
            </w:pPr>
            <w:r w:rsidRPr="00907754">
              <w:rPr>
                <w:rFonts w:hAnsi="標楷體" w:hint="eastAsia"/>
                <w:snapToGrid/>
              </w:rPr>
              <w:t>-39.87</w:t>
            </w:r>
          </w:p>
        </w:tc>
        <w:tc>
          <w:tcPr>
            <w:tcW w:w="1865" w:type="dxa"/>
            <w:shd w:val="clear" w:color="auto" w:fill="auto"/>
            <w:vAlign w:val="center"/>
          </w:tcPr>
          <w:p w:rsidR="00FA2182" w:rsidRPr="00907754" w:rsidRDefault="00FA2182" w:rsidP="00EE206B">
            <w:pPr>
              <w:pStyle w:val="14-2"/>
              <w:jc w:val="right"/>
              <w:rPr>
                <w:rFonts w:hAnsi="標楷體"/>
                <w:snapToGrid/>
              </w:rPr>
            </w:pPr>
            <w:r w:rsidRPr="00907754">
              <w:rPr>
                <w:rFonts w:hAnsi="標楷體" w:hint="eastAsia"/>
                <w:snapToGrid/>
              </w:rPr>
              <w:t>154.15</w:t>
            </w:r>
          </w:p>
        </w:tc>
        <w:tc>
          <w:tcPr>
            <w:tcW w:w="1865" w:type="dxa"/>
            <w:shd w:val="clear" w:color="auto" w:fill="auto"/>
            <w:vAlign w:val="center"/>
          </w:tcPr>
          <w:p w:rsidR="00FA2182" w:rsidRPr="00907754" w:rsidRDefault="00FA2182" w:rsidP="00EE206B">
            <w:pPr>
              <w:pStyle w:val="14-2"/>
              <w:jc w:val="right"/>
              <w:rPr>
                <w:rFonts w:hAnsi="標楷體"/>
                <w:snapToGrid/>
              </w:rPr>
            </w:pPr>
            <w:r w:rsidRPr="00907754">
              <w:rPr>
                <w:rFonts w:hAnsi="標楷體" w:hint="eastAsia"/>
                <w:snapToGrid/>
              </w:rPr>
              <w:t>225</w:t>
            </w:r>
          </w:p>
        </w:tc>
        <w:tc>
          <w:tcPr>
            <w:tcW w:w="1865" w:type="dxa"/>
            <w:shd w:val="clear" w:color="auto" w:fill="auto"/>
            <w:vAlign w:val="center"/>
          </w:tcPr>
          <w:p w:rsidR="00FA2182" w:rsidRPr="00907754" w:rsidRDefault="00FA2182" w:rsidP="00EE206B">
            <w:pPr>
              <w:pStyle w:val="14-2"/>
              <w:jc w:val="right"/>
              <w:rPr>
                <w:rFonts w:hAnsi="標楷體"/>
                <w:snapToGrid/>
              </w:rPr>
            </w:pPr>
            <w:r w:rsidRPr="00907754">
              <w:rPr>
                <w:rFonts w:hAnsi="標楷體" w:hint="eastAsia"/>
                <w:snapToGrid/>
              </w:rPr>
              <w:t>0</w:t>
            </w:r>
          </w:p>
        </w:tc>
      </w:tr>
      <w:tr w:rsidR="00FA2182" w:rsidRPr="00907754" w:rsidTr="00EE206B">
        <w:tc>
          <w:tcPr>
            <w:tcW w:w="993" w:type="dxa"/>
            <w:shd w:val="clear" w:color="auto" w:fill="auto"/>
            <w:vAlign w:val="center"/>
          </w:tcPr>
          <w:p w:rsidR="00FA2182" w:rsidRPr="00907754" w:rsidRDefault="00FA2182" w:rsidP="00EE206B">
            <w:pPr>
              <w:pStyle w:val="14-2"/>
              <w:jc w:val="center"/>
              <w:rPr>
                <w:rFonts w:hAnsi="標楷體"/>
                <w:snapToGrid/>
              </w:rPr>
            </w:pPr>
            <w:r w:rsidRPr="00907754">
              <w:rPr>
                <w:rFonts w:hAnsi="標楷體" w:hint="eastAsia"/>
                <w:snapToGrid/>
              </w:rPr>
              <w:t>107</w:t>
            </w:r>
          </w:p>
        </w:tc>
        <w:tc>
          <w:tcPr>
            <w:tcW w:w="1864" w:type="dxa"/>
            <w:shd w:val="clear" w:color="auto" w:fill="auto"/>
            <w:vAlign w:val="center"/>
          </w:tcPr>
          <w:p w:rsidR="00FA2182" w:rsidRPr="00907754" w:rsidRDefault="00FA2182" w:rsidP="00EE206B">
            <w:pPr>
              <w:pStyle w:val="14-2"/>
              <w:jc w:val="right"/>
              <w:rPr>
                <w:rFonts w:hAnsi="標楷體"/>
                <w:snapToGrid/>
              </w:rPr>
            </w:pPr>
            <w:r w:rsidRPr="00907754">
              <w:rPr>
                <w:rFonts w:hAnsi="標楷體" w:hint="eastAsia"/>
                <w:snapToGrid/>
              </w:rPr>
              <w:t>-18.36</w:t>
            </w:r>
          </w:p>
        </w:tc>
        <w:tc>
          <w:tcPr>
            <w:tcW w:w="1865" w:type="dxa"/>
            <w:shd w:val="clear" w:color="auto" w:fill="auto"/>
            <w:vAlign w:val="center"/>
          </w:tcPr>
          <w:p w:rsidR="00FA2182" w:rsidRPr="00907754" w:rsidRDefault="00FA2182" w:rsidP="00EE206B">
            <w:pPr>
              <w:pStyle w:val="14-2"/>
              <w:jc w:val="right"/>
              <w:rPr>
                <w:rFonts w:hAnsi="標楷體"/>
                <w:snapToGrid/>
              </w:rPr>
            </w:pPr>
            <w:r w:rsidRPr="00907754">
              <w:rPr>
                <w:rFonts w:hAnsi="標楷體" w:hint="eastAsia"/>
                <w:snapToGrid/>
              </w:rPr>
              <w:t>258.45</w:t>
            </w:r>
          </w:p>
        </w:tc>
        <w:tc>
          <w:tcPr>
            <w:tcW w:w="1865" w:type="dxa"/>
            <w:shd w:val="clear" w:color="auto" w:fill="auto"/>
            <w:vAlign w:val="center"/>
          </w:tcPr>
          <w:p w:rsidR="00FA2182" w:rsidRPr="00907754" w:rsidRDefault="00FA2182" w:rsidP="00EE206B">
            <w:pPr>
              <w:pStyle w:val="14-2"/>
              <w:jc w:val="right"/>
              <w:rPr>
                <w:rFonts w:hAnsi="標楷體"/>
                <w:snapToGrid/>
              </w:rPr>
            </w:pPr>
            <w:r w:rsidRPr="00907754">
              <w:rPr>
                <w:rFonts w:hAnsi="標楷體" w:hint="eastAsia"/>
                <w:snapToGrid/>
              </w:rPr>
              <w:t>325</w:t>
            </w:r>
          </w:p>
        </w:tc>
        <w:tc>
          <w:tcPr>
            <w:tcW w:w="1865" w:type="dxa"/>
            <w:shd w:val="clear" w:color="auto" w:fill="auto"/>
            <w:vAlign w:val="center"/>
          </w:tcPr>
          <w:p w:rsidR="00FA2182" w:rsidRPr="00907754" w:rsidRDefault="00FA2182" w:rsidP="00EE206B">
            <w:pPr>
              <w:pStyle w:val="14-2"/>
              <w:jc w:val="right"/>
              <w:rPr>
                <w:rFonts w:hAnsi="標楷體"/>
                <w:b/>
                <w:snapToGrid/>
              </w:rPr>
            </w:pPr>
            <w:r w:rsidRPr="00907754">
              <w:rPr>
                <w:rFonts w:hAnsi="標楷體" w:hint="eastAsia"/>
                <w:b/>
                <w:snapToGrid/>
              </w:rPr>
              <w:t>100</w:t>
            </w:r>
          </w:p>
        </w:tc>
      </w:tr>
      <w:tr w:rsidR="00FA2182" w:rsidRPr="00907754" w:rsidTr="00EE206B">
        <w:tc>
          <w:tcPr>
            <w:tcW w:w="993" w:type="dxa"/>
            <w:shd w:val="clear" w:color="auto" w:fill="auto"/>
            <w:vAlign w:val="center"/>
          </w:tcPr>
          <w:p w:rsidR="00FA2182" w:rsidRPr="00907754" w:rsidRDefault="00FA2182" w:rsidP="00EE206B">
            <w:pPr>
              <w:pStyle w:val="14-2"/>
              <w:jc w:val="center"/>
              <w:rPr>
                <w:rFonts w:hAnsi="標楷體" w:hint="eastAsia"/>
                <w:snapToGrid/>
              </w:rPr>
            </w:pPr>
            <w:r w:rsidRPr="00907754">
              <w:rPr>
                <w:rFonts w:hAnsi="標楷體" w:hint="eastAsia"/>
                <w:snapToGrid/>
              </w:rPr>
              <w:t>108</w:t>
            </w:r>
          </w:p>
        </w:tc>
        <w:tc>
          <w:tcPr>
            <w:tcW w:w="1864" w:type="dxa"/>
            <w:shd w:val="clear" w:color="auto" w:fill="auto"/>
            <w:vAlign w:val="center"/>
          </w:tcPr>
          <w:p w:rsidR="00FA2182" w:rsidRPr="00907754" w:rsidRDefault="00FA2182" w:rsidP="00EE206B">
            <w:pPr>
              <w:pStyle w:val="14-2"/>
              <w:jc w:val="right"/>
              <w:rPr>
                <w:rFonts w:hAnsi="標楷體"/>
                <w:snapToGrid/>
              </w:rPr>
            </w:pPr>
            <w:r w:rsidRPr="00907754">
              <w:rPr>
                <w:rFonts w:hAnsi="標楷體" w:hint="eastAsia"/>
                <w:snapToGrid/>
              </w:rPr>
              <w:t>-25.53</w:t>
            </w:r>
          </w:p>
        </w:tc>
        <w:tc>
          <w:tcPr>
            <w:tcW w:w="1865" w:type="dxa"/>
            <w:shd w:val="clear" w:color="auto" w:fill="auto"/>
            <w:vAlign w:val="center"/>
          </w:tcPr>
          <w:p w:rsidR="00FA2182" w:rsidRPr="00907754" w:rsidRDefault="00FA2182" w:rsidP="00EE206B">
            <w:pPr>
              <w:pStyle w:val="14-2"/>
              <w:jc w:val="right"/>
              <w:rPr>
                <w:rFonts w:hAnsi="標楷體"/>
                <w:snapToGrid/>
              </w:rPr>
            </w:pPr>
            <w:r w:rsidRPr="00907754">
              <w:rPr>
                <w:rFonts w:hAnsi="標楷體" w:hint="eastAsia"/>
                <w:snapToGrid/>
              </w:rPr>
              <w:t>222.71</w:t>
            </w:r>
          </w:p>
        </w:tc>
        <w:tc>
          <w:tcPr>
            <w:tcW w:w="1865" w:type="dxa"/>
            <w:shd w:val="clear" w:color="auto" w:fill="auto"/>
            <w:vAlign w:val="center"/>
          </w:tcPr>
          <w:p w:rsidR="00FA2182" w:rsidRPr="00907754" w:rsidRDefault="00FA2182" w:rsidP="00EE206B">
            <w:pPr>
              <w:pStyle w:val="14-2"/>
              <w:jc w:val="right"/>
              <w:rPr>
                <w:rFonts w:hAnsi="標楷體"/>
                <w:snapToGrid/>
              </w:rPr>
            </w:pPr>
            <w:r w:rsidRPr="00907754">
              <w:rPr>
                <w:rFonts w:hAnsi="標楷體" w:hint="eastAsia"/>
                <w:snapToGrid/>
              </w:rPr>
              <w:t>325</w:t>
            </w:r>
          </w:p>
        </w:tc>
        <w:tc>
          <w:tcPr>
            <w:tcW w:w="1865" w:type="dxa"/>
            <w:shd w:val="clear" w:color="auto" w:fill="auto"/>
            <w:vAlign w:val="center"/>
          </w:tcPr>
          <w:p w:rsidR="00FA2182" w:rsidRPr="00907754" w:rsidRDefault="00FA2182" w:rsidP="00EE206B">
            <w:pPr>
              <w:pStyle w:val="14-2"/>
              <w:jc w:val="right"/>
              <w:rPr>
                <w:rFonts w:hAnsi="標楷體"/>
                <w:snapToGrid/>
              </w:rPr>
            </w:pPr>
            <w:r w:rsidRPr="00907754">
              <w:rPr>
                <w:rFonts w:hAnsi="標楷體" w:hint="eastAsia"/>
                <w:snapToGrid/>
              </w:rPr>
              <w:t>0</w:t>
            </w:r>
          </w:p>
        </w:tc>
      </w:tr>
      <w:tr w:rsidR="00FA2182" w:rsidRPr="00907754" w:rsidTr="00EE206B">
        <w:tc>
          <w:tcPr>
            <w:tcW w:w="993" w:type="dxa"/>
            <w:shd w:val="clear" w:color="auto" w:fill="auto"/>
            <w:vAlign w:val="center"/>
          </w:tcPr>
          <w:p w:rsidR="00FA2182" w:rsidRPr="00907754" w:rsidRDefault="00FA2182" w:rsidP="00EE206B">
            <w:pPr>
              <w:pStyle w:val="14-2"/>
              <w:jc w:val="center"/>
              <w:rPr>
                <w:rFonts w:hAnsi="標楷體" w:hint="eastAsia"/>
                <w:snapToGrid/>
              </w:rPr>
            </w:pPr>
            <w:r w:rsidRPr="00907754">
              <w:rPr>
                <w:rFonts w:hAnsi="標楷體" w:hint="eastAsia"/>
                <w:snapToGrid/>
              </w:rPr>
              <w:t>109</w:t>
            </w:r>
          </w:p>
        </w:tc>
        <w:tc>
          <w:tcPr>
            <w:tcW w:w="1864" w:type="dxa"/>
            <w:shd w:val="clear" w:color="auto" w:fill="auto"/>
            <w:vAlign w:val="center"/>
          </w:tcPr>
          <w:p w:rsidR="00FA2182" w:rsidRPr="00907754" w:rsidRDefault="00FA2182" w:rsidP="00EE206B">
            <w:pPr>
              <w:pStyle w:val="14-2"/>
              <w:jc w:val="right"/>
              <w:rPr>
                <w:rFonts w:hAnsi="標楷體"/>
                <w:snapToGrid/>
              </w:rPr>
            </w:pPr>
            <w:r w:rsidRPr="00907754">
              <w:rPr>
                <w:rFonts w:hAnsi="標楷體" w:hint="eastAsia"/>
                <w:snapToGrid/>
              </w:rPr>
              <w:t>-39.22</w:t>
            </w:r>
          </w:p>
        </w:tc>
        <w:tc>
          <w:tcPr>
            <w:tcW w:w="1865" w:type="dxa"/>
            <w:shd w:val="clear" w:color="auto" w:fill="auto"/>
            <w:vAlign w:val="center"/>
          </w:tcPr>
          <w:p w:rsidR="00FA2182" w:rsidRPr="00907754" w:rsidRDefault="00FA2182" w:rsidP="00EE206B">
            <w:pPr>
              <w:pStyle w:val="14-2"/>
              <w:jc w:val="right"/>
              <w:rPr>
                <w:rFonts w:hAnsi="標楷體"/>
                <w:snapToGrid/>
              </w:rPr>
            </w:pPr>
            <w:r w:rsidRPr="00907754">
              <w:rPr>
                <w:rFonts w:hAnsi="標楷體" w:hint="eastAsia"/>
                <w:snapToGrid/>
              </w:rPr>
              <w:t>176.42</w:t>
            </w:r>
          </w:p>
        </w:tc>
        <w:tc>
          <w:tcPr>
            <w:tcW w:w="1865" w:type="dxa"/>
            <w:shd w:val="clear" w:color="auto" w:fill="auto"/>
            <w:vAlign w:val="center"/>
          </w:tcPr>
          <w:p w:rsidR="00FA2182" w:rsidRPr="00907754" w:rsidRDefault="00FA2182" w:rsidP="00EE206B">
            <w:pPr>
              <w:pStyle w:val="14-2"/>
              <w:jc w:val="right"/>
              <w:rPr>
                <w:rFonts w:hAnsi="標楷體"/>
                <w:snapToGrid/>
              </w:rPr>
            </w:pPr>
            <w:r w:rsidRPr="00907754">
              <w:rPr>
                <w:rFonts w:hAnsi="標楷體" w:hint="eastAsia"/>
                <w:snapToGrid/>
              </w:rPr>
              <w:t>325</w:t>
            </w:r>
          </w:p>
        </w:tc>
        <w:tc>
          <w:tcPr>
            <w:tcW w:w="1865" w:type="dxa"/>
            <w:shd w:val="clear" w:color="auto" w:fill="auto"/>
            <w:vAlign w:val="center"/>
          </w:tcPr>
          <w:p w:rsidR="00FA2182" w:rsidRPr="00907754" w:rsidRDefault="00FA2182" w:rsidP="00EE206B">
            <w:pPr>
              <w:pStyle w:val="14-2"/>
              <w:jc w:val="right"/>
              <w:rPr>
                <w:rFonts w:hAnsi="標楷體"/>
                <w:snapToGrid/>
              </w:rPr>
            </w:pPr>
            <w:r w:rsidRPr="00907754">
              <w:rPr>
                <w:rFonts w:hAnsi="標楷體" w:hint="eastAsia"/>
                <w:snapToGrid/>
              </w:rPr>
              <w:t>0</w:t>
            </w:r>
          </w:p>
        </w:tc>
      </w:tr>
      <w:tr w:rsidR="00FA2182" w:rsidRPr="00907754" w:rsidTr="00EE206B">
        <w:tc>
          <w:tcPr>
            <w:tcW w:w="993" w:type="dxa"/>
            <w:shd w:val="clear" w:color="auto" w:fill="auto"/>
            <w:vAlign w:val="center"/>
          </w:tcPr>
          <w:p w:rsidR="00FA2182" w:rsidRPr="00907754" w:rsidRDefault="00FA2182" w:rsidP="00EE206B">
            <w:pPr>
              <w:pStyle w:val="14-2"/>
              <w:jc w:val="center"/>
              <w:rPr>
                <w:rFonts w:hAnsi="標楷體" w:hint="eastAsia"/>
                <w:snapToGrid/>
              </w:rPr>
            </w:pPr>
            <w:r w:rsidRPr="00907754">
              <w:rPr>
                <w:rFonts w:hAnsi="標楷體" w:hint="eastAsia"/>
                <w:snapToGrid/>
              </w:rPr>
              <w:t>110</w:t>
            </w:r>
          </w:p>
        </w:tc>
        <w:tc>
          <w:tcPr>
            <w:tcW w:w="1864" w:type="dxa"/>
            <w:shd w:val="clear" w:color="auto" w:fill="auto"/>
            <w:vAlign w:val="center"/>
          </w:tcPr>
          <w:p w:rsidR="00FA2182" w:rsidRPr="00907754" w:rsidRDefault="00FA2182" w:rsidP="00EE206B">
            <w:pPr>
              <w:pStyle w:val="14-2"/>
              <w:jc w:val="right"/>
              <w:rPr>
                <w:rFonts w:hAnsi="標楷體"/>
                <w:snapToGrid/>
              </w:rPr>
            </w:pPr>
            <w:r w:rsidRPr="00907754">
              <w:rPr>
                <w:rFonts w:hAnsi="標楷體" w:hint="eastAsia"/>
                <w:snapToGrid/>
              </w:rPr>
              <w:t>-7.04</w:t>
            </w:r>
          </w:p>
        </w:tc>
        <w:tc>
          <w:tcPr>
            <w:tcW w:w="1865" w:type="dxa"/>
            <w:shd w:val="clear" w:color="auto" w:fill="auto"/>
            <w:vAlign w:val="center"/>
          </w:tcPr>
          <w:p w:rsidR="00FA2182" w:rsidRPr="00907754" w:rsidRDefault="00FA2182" w:rsidP="00EE206B">
            <w:pPr>
              <w:pStyle w:val="14-2"/>
              <w:jc w:val="right"/>
              <w:rPr>
                <w:rFonts w:hAnsi="標楷體"/>
                <w:snapToGrid/>
              </w:rPr>
            </w:pPr>
            <w:r w:rsidRPr="00907754">
              <w:rPr>
                <w:rFonts w:hAnsi="標楷體"/>
                <w:snapToGrid/>
              </w:rPr>
              <w:t>287.58</w:t>
            </w:r>
          </w:p>
        </w:tc>
        <w:tc>
          <w:tcPr>
            <w:tcW w:w="1865" w:type="dxa"/>
            <w:shd w:val="clear" w:color="auto" w:fill="auto"/>
            <w:vAlign w:val="center"/>
          </w:tcPr>
          <w:p w:rsidR="00FA2182" w:rsidRPr="00907754" w:rsidRDefault="00FA2182" w:rsidP="00EE206B">
            <w:pPr>
              <w:pStyle w:val="14-2"/>
              <w:jc w:val="right"/>
              <w:rPr>
                <w:rFonts w:hAnsi="標楷體"/>
                <w:snapToGrid/>
              </w:rPr>
            </w:pPr>
            <w:r w:rsidRPr="00907754">
              <w:rPr>
                <w:rFonts w:hAnsi="標楷體" w:hint="eastAsia"/>
                <w:snapToGrid/>
              </w:rPr>
              <w:t>435</w:t>
            </w:r>
          </w:p>
        </w:tc>
        <w:tc>
          <w:tcPr>
            <w:tcW w:w="1865" w:type="dxa"/>
            <w:shd w:val="clear" w:color="auto" w:fill="auto"/>
            <w:vAlign w:val="center"/>
          </w:tcPr>
          <w:p w:rsidR="00FA2182" w:rsidRPr="00907754" w:rsidRDefault="00FA2182" w:rsidP="00EE206B">
            <w:pPr>
              <w:pStyle w:val="14-2"/>
              <w:jc w:val="right"/>
              <w:rPr>
                <w:rFonts w:hAnsi="標楷體"/>
                <w:b/>
                <w:snapToGrid/>
              </w:rPr>
            </w:pPr>
            <w:r w:rsidRPr="00907754">
              <w:rPr>
                <w:rFonts w:hAnsi="標楷體" w:hint="eastAsia"/>
                <w:b/>
                <w:snapToGrid/>
              </w:rPr>
              <w:t>110</w:t>
            </w:r>
          </w:p>
        </w:tc>
      </w:tr>
      <w:tr w:rsidR="00FA2182" w:rsidRPr="00907754" w:rsidTr="00EE206B">
        <w:tc>
          <w:tcPr>
            <w:tcW w:w="993" w:type="dxa"/>
            <w:shd w:val="clear" w:color="auto" w:fill="auto"/>
            <w:vAlign w:val="center"/>
          </w:tcPr>
          <w:p w:rsidR="00FA2182" w:rsidRPr="00907754" w:rsidRDefault="00FA2182" w:rsidP="00EE206B">
            <w:pPr>
              <w:pStyle w:val="14-2"/>
              <w:jc w:val="center"/>
              <w:rPr>
                <w:rFonts w:hAnsi="標楷體" w:hint="eastAsia"/>
                <w:snapToGrid/>
              </w:rPr>
            </w:pPr>
            <w:r w:rsidRPr="00907754">
              <w:rPr>
                <w:rFonts w:hAnsi="標楷體" w:hint="eastAsia"/>
                <w:snapToGrid/>
              </w:rPr>
              <w:t>111</w:t>
            </w:r>
          </w:p>
        </w:tc>
        <w:tc>
          <w:tcPr>
            <w:tcW w:w="1864" w:type="dxa"/>
            <w:shd w:val="clear" w:color="auto" w:fill="auto"/>
          </w:tcPr>
          <w:p w:rsidR="00FA2182" w:rsidRPr="00907754" w:rsidRDefault="00FA2182" w:rsidP="00EE206B">
            <w:pPr>
              <w:pStyle w:val="14-2"/>
              <w:jc w:val="right"/>
              <w:rPr>
                <w:rFonts w:hAnsi="標楷體"/>
                <w:snapToGrid/>
              </w:rPr>
            </w:pPr>
            <w:r w:rsidRPr="00907754">
              <w:t>7.36</w:t>
            </w:r>
          </w:p>
        </w:tc>
        <w:tc>
          <w:tcPr>
            <w:tcW w:w="1865" w:type="dxa"/>
            <w:shd w:val="clear" w:color="auto" w:fill="auto"/>
          </w:tcPr>
          <w:p w:rsidR="00FA2182" w:rsidRPr="00907754" w:rsidRDefault="00FA2182" w:rsidP="00EE206B">
            <w:pPr>
              <w:pStyle w:val="14-2"/>
              <w:jc w:val="right"/>
              <w:rPr>
                <w:rFonts w:hAnsi="標楷體"/>
                <w:snapToGrid/>
              </w:rPr>
            </w:pPr>
            <w:r w:rsidRPr="00907754">
              <w:t>281.76</w:t>
            </w:r>
          </w:p>
        </w:tc>
        <w:tc>
          <w:tcPr>
            <w:tcW w:w="1865" w:type="dxa"/>
            <w:shd w:val="clear" w:color="auto" w:fill="auto"/>
          </w:tcPr>
          <w:p w:rsidR="00FA2182" w:rsidRPr="00907754" w:rsidRDefault="00FA2182" w:rsidP="00EE206B">
            <w:pPr>
              <w:pStyle w:val="14-2"/>
              <w:jc w:val="right"/>
              <w:rPr>
                <w:rFonts w:hAnsi="標楷體"/>
                <w:snapToGrid/>
              </w:rPr>
            </w:pPr>
            <w:r w:rsidRPr="00907754">
              <w:t>435</w:t>
            </w:r>
          </w:p>
        </w:tc>
        <w:tc>
          <w:tcPr>
            <w:tcW w:w="1865" w:type="dxa"/>
            <w:shd w:val="clear" w:color="auto" w:fill="auto"/>
          </w:tcPr>
          <w:p w:rsidR="00FA2182" w:rsidRPr="00907754" w:rsidRDefault="00FA2182" w:rsidP="00EE206B">
            <w:pPr>
              <w:pStyle w:val="14-2"/>
              <w:jc w:val="right"/>
              <w:rPr>
                <w:rFonts w:hAnsi="標楷體"/>
                <w:snapToGrid/>
              </w:rPr>
            </w:pPr>
            <w:r w:rsidRPr="00907754">
              <w:t>0</w:t>
            </w:r>
          </w:p>
        </w:tc>
      </w:tr>
      <w:tr w:rsidR="00FA2182" w:rsidRPr="00907754" w:rsidTr="00EE206B">
        <w:tc>
          <w:tcPr>
            <w:tcW w:w="993" w:type="dxa"/>
            <w:shd w:val="clear" w:color="auto" w:fill="auto"/>
            <w:vAlign w:val="center"/>
          </w:tcPr>
          <w:p w:rsidR="00FA2182" w:rsidRPr="00907754" w:rsidRDefault="00FA2182" w:rsidP="00EE206B">
            <w:pPr>
              <w:pStyle w:val="14-2"/>
              <w:jc w:val="center"/>
              <w:rPr>
                <w:rFonts w:hAnsi="標楷體" w:hint="eastAsia"/>
                <w:snapToGrid/>
              </w:rPr>
            </w:pPr>
            <w:r w:rsidRPr="00907754">
              <w:rPr>
                <w:rFonts w:hAnsi="標楷體" w:hint="eastAsia"/>
                <w:snapToGrid/>
              </w:rPr>
              <w:t>1</w:t>
            </w:r>
            <w:r w:rsidRPr="00907754">
              <w:rPr>
                <w:rFonts w:hAnsi="標楷體"/>
                <w:snapToGrid/>
              </w:rPr>
              <w:t>12</w:t>
            </w:r>
          </w:p>
        </w:tc>
        <w:tc>
          <w:tcPr>
            <w:tcW w:w="1864" w:type="dxa"/>
            <w:shd w:val="clear" w:color="auto" w:fill="auto"/>
          </w:tcPr>
          <w:p w:rsidR="00FA2182" w:rsidRPr="00907754" w:rsidRDefault="00EA3C14" w:rsidP="00EE206B">
            <w:pPr>
              <w:pStyle w:val="14-2"/>
              <w:jc w:val="right"/>
              <w:rPr>
                <w:rFonts w:hAnsi="標楷體" w:hint="eastAsia"/>
                <w:snapToGrid/>
              </w:rPr>
            </w:pPr>
            <w:r w:rsidRPr="00907754">
              <w:t>-9</w:t>
            </w:r>
            <w:r w:rsidR="00FA2182" w:rsidRPr="00907754">
              <w:t>.</w:t>
            </w:r>
            <w:r w:rsidRPr="00907754">
              <w:t>88</w:t>
            </w:r>
          </w:p>
        </w:tc>
        <w:tc>
          <w:tcPr>
            <w:tcW w:w="1865" w:type="dxa"/>
            <w:shd w:val="clear" w:color="auto" w:fill="auto"/>
          </w:tcPr>
          <w:p w:rsidR="00FA2182" w:rsidRPr="00907754" w:rsidRDefault="008A435A" w:rsidP="00EE206B">
            <w:pPr>
              <w:pStyle w:val="14-2"/>
              <w:jc w:val="right"/>
              <w:rPr>
                <w:rFonts w:hAnsi="標楷體"/>
                <w:snapToGrid/>
              </w:rPr>
            </w:pPr>
            <w:r>
              <w:rPr>
                <w:rFonts w:hint="eastAsia"/>
              </w:rPr>
              <w:t>297.69</w:t>
            </w:r>
          </w:p>
        </w:tc>
        <w:tc>
          <w:tcPr>
            <w:tcW w:w="1865" w:type="dxa"/>
            <w:shd w:val="clear" w:color="auto" w:fill="auto"/>
          </w:tcPr>
          <w:p w:rsidR="00FA2182" w:rsidRPr="00907754" w:rsidRDefault="00FA2182" w:rsidP="00EE206B">
            <w:pPr>
              <w:pStyle w:val="14-2"/>
              <w:jc w:val="right"/>
              <w:rPr>
                <w:rFonts w:hAnsi="標楷體" w:hint="eastAsia"/>
                <w:snapToGrid/>
              </w:rPr>
            </w:pPr>
            <w:r w:rsidRPr="00907754">
              <w:t>495</w:t>
            </w:r>
          </w:p>
        </w:tc>
        <w:tc>
          <w:tcPr>
            <w:tcW w:w="1865" w:type="dxa"/>
            <w:shd w:val="clear" w:color="auto" w:fill="auto"/>
          </w:tcPr>
          <w:p w:rsidR="00FA2182" w:rsidRPr="00907754" w:rsidRDefault="00FA2182" w:rsidP="00EE206B">
            <w:pPr>
              <w:pStyle w:val="14-2"/>
              <w:jc w:val="right"/>
              <w:rPr>
                <w:rFonts w:hAnsi="標楷體" w:hint="eastAsia"/>
                <w:b/>
                <w:bCs/>
                <w:snapToGrid/>
              </w:rPr>
            </w:pPr>
            <w:r w:rsidRPr="00907754">
              <w:rPr>
                <w:b/>
                <w:bCs/>
              </w:rPr>
              <w:t>60</w:t>
            </w:r>
          </w:p>
        </w:tc>
      </w:tr>
      <w:tr w:rsidR="00CF3C81" w:rsidRPr="00907754" w:rsidTr="00EE206B">
        <w:tc>
          <w:tcPr>
            <w:tcW w:w="993" w:type="dxa"/>
            <w:shd w:val="clear" w:color="auto" w:fill="auto"/>
            <w:vAlign w:val="center"/>
          </w:tcPr>
          <w:p w:rsidR="00CF3C81" w:rsidRPr="00907754" w:rsidRDefault="00CF3C81" w:rsidP="00CF3C81">
            <w:pPr>
              <w:pStyle w:val="14-2"/>
              <w:jc w:val="center"/>
              <w:rPr>
                <w:rFonts w:hAnsi="標楷體" w:hint="eastAsia"/>
                <w:snapToGrid/>
              </w:rPr>
            </w:pPr>
            <w:r w:rsidRPr="00907754">
              <w:rPr>
                <w:rFonts w:hAnsi="標楷體" w:hint="eastAsia"/>
                <w:snapToGrid/>
              </w:rPr>
              <w:t>1</w:t>
            </w:r>
            <w:r w:rsidRPr="00907754">
              <w:rPr>
                <w:rFonts w:hAnsi="標楷體"/>
                <w:snapToGrid/>
              </w:rPr>
              <w:t>13</w:t>
            </w:r>
          </w:p>
        </w:tc>
        <w:tc>
          <w:tcPr>
            <w:tcW w:w="1864" w:type="dxa"/>
            <w:shd w:val="clear" w:color="auto" w:fill="auto"/>
          </w:tcPr>
          <w:p w:rsidR="00CF3C81" w:rsidRPr="00907754" w:rsidRDefault="00CF3C81" w:rsidP="00CF3C81">
            <w:pPr>
              <w:pStyle w:val="14-2"/>
              <w:jc w:val="right"/>
              <w:rPr>
                <w:rFonts w:hAnsi="標楷體" w:hint="eastAsia"/>
                <w:snapToGrid/>
              </w:rPr>
            </w:pPr>
            <w:r w:rsidRPr="00907754">
              <w:t>16.92</w:t>
            </w:r>
          </w:p>
        </w:tc>
        <w:tc>
          <w:tcPr>
            <w:tcW w:w="1865" w:type="dxa"/>
            <w:shd w:val="clear" w:color="auto" w:fill="auto"/>
          </w:tcPr>
          <w:p w:rsidR="00CF3C81" w:rsidRPr="00907754" w:rsidRDefault="00CF3C81" w:rsidP="00CF3C81">
            <w:pPr>
              <w:pStyle w:val="14-2"/>
              <w:jc w:val="right"/>
              <w:rPr>
                <w:rFonts w:hAnsi="標楷體"/>
                <w:snapToGrid/>
              </w:rPr>
            </w:pPr>
            <w:r w:rsidRPr="00907754">
              <w:t>335.47</w:t>
            </w:r>
          </w:p>
        </w:tc>
        <w:tc>
          <w:tcPr>
            <w:tcW w:w="1865" w:type="dxa"/>
            <w:shd w:val="clear" w:color="auto" w:fill="auto"/>
          </w:tcPr>
          <w:p w:rsidR="00CF3C81" w:rsidRPr="00907754" w:rsidRDefault="00CF3C81" w:rsidP="00CF3C81">
            <w:pPr>
              <w:pStyle w:val="14-2"/>
              <w:jc w:val="right"/>
              <w:rPr>
                <w:rFonts w:hAnsi="標楷體" w:hint="eastAsia"/>
                <w:snapToGrid/>
              </w:rPr>
            </w:pPr>
            <w:r w:rsidRPr="00907754">
              <w:t>535</w:t>
            </w:r>
          </w:p>
        </w:tc>
        <w:tc>
          <w:tcPr>
            <w:tcW w:w="1865" w:type="dxa"/>
            <w:shd w:val="clear" w:color="auto" w:fill="auto"/>
          </w:tcPr>
          <w:p w:rsidR="00CF3C81" w:rsidRPr="00907754" w:rsidRDefault="00CF3C81" w:rsidP="00CF3C81">
            <w:pPr>
              <w:pStyle w:val="14-2"/>
              <w:jc w:val="right"/>
              <w:rPr>
                <w:rFonts w:hAnsi="標楷體" w:hint="eastAsia"/>
                <w:b/>
                <w:bCs/>
                <w:snapToGrid/>
              </w:rPr>
            </w:pPr>
            <w:r w:rsidRPr="00907754">
              <w:t>40</w:t>
            </w:r>
          </w:p>
        </w:tc>
      </w:tr>
      <w:tr w:rsidR="00CF3C81" w:rsidRPr="00907754" w:rsidTr="00CF3C81">
        <w:trPr>
          <w:trHeight w:val="47"/>
        </w:trPr>
        <w:tc>
          <w:tcPr>
            <w:tcW w:w="993" w:type="dxa"/>
            <w:shd w:val="clear" w:color="auto" w:fill="auto"/>
            <w:vAlign w:val="center"/>
          </w:tcPr>
          <w:p w:rsidR="00CF3C81" w:rsidRPr="00907754" w:rsidRDefault="00CF3C81" w:rsidP="00CF3C81">
            <w:pPr>
              <w:pStyle w:val="14-2"/>
              <w:jc w:val="center"/>
              <w:rPr>
                <w:rFonts w:hAnsi="標楷體" w:hint="eastAsia"/>
                <w:snapToGrid/>
              </w:rPr>
            </w:pPr>
            <w:r w:rsidRPr="00907754">
              <w:rPr>
                <w:rFonts w:hAnsi="標楷體" w:hint="eastAsia"/>
                <w:snapToGrid/>
              </w:rPr>
              <w:t>114</w:t>
            </w:r>
          </w:p>
        </w:tc>
        <w:tc>
          <w:tcPr>
            <w:tcW w:w="1864" w:type="dxa"/>
            <w:shd w:val="clear" w:color="auto" w:fill="auto"/>
          </w:tcPr>
          <w:p w:rsidR="00CF3C81" w:rsidRPr="00907754" w:rsidRDefault="00CF3C81" w:rsidP="00CF3C81">
            <w:pPr>
              <w:pStyle w:val="14-2"/>
              <w:jc w:val="right"/>
            </w:pPr>
            <w:r w:rsidRPr="00907754">
              <w:t>-6.63</w:t>
            </w:r>
          </w:p>
        </w:tc>
        <w:tc>
          <w:tcPr>
            <w:tcW w:w="1865" w:type="dxa"/>
            <w:shd w:val="clear" w:color="auto" w:fill="auto"/>
          </w:tcPr>
          <w:p w:rsidR="00CF3C81" w:rsidRPr="00907754" w:rsidRDefault="00CF3C81" w:rsidP="00CF3C81">
            <w:pPr>
              <w:pStyle w:val="14-2"/>
              <w:jc w:val="right"/>
              <w:rPr>
                <w:rFonts w:hAnsi="標楷體" w:hint="eastAsia"/>
                <w:snapToGrid/>
              </w:rPr>
            </w:pPr>
            <w:r w:rsidRPr="00907754">
              <w:t>-</w:t>
            </w:r>
          </w:p>
        </w:tc>
        <w:tc>
          <w:tcPr>
            <w:tcW w:w="1865" w:type="dxa"/>
            <w:shd w:val="clear" w:color="auto" w:fill="auto"/>
          </w:tcPr>
          <w:p w:rsidR="00CF3C81" w:rsidRPr="00907754" w:rsidRDefault="00CF3C81" w:rsidP="00CF3C81">
            <w:pPr>
              <w:pStyle w:val="14-2"/>
              <w:jc w:val="right"/>
            </w:pPr>
            <w:r w:rsidRPr="00907754">
              <w:t>635</w:t>
            </w:r>
          </w:p>
        </w:tc>
        <w:tc>
          <w:tcPr>
            <w:tcW w:w="1865" w:type="dxa"/>
            <w:shd w:val="clear" w:color="auto" w:fill="auto"/>
          </w:tcPr>
          <w:p w:rsidR="00CF3C81" w:rsidRPr="00907754" w:rsidRDefault="00CF3C81" w:rsidP="00CF3C81">
            <w:pPr>
              <w:pStyle w:val="14-2"/>
              <w:jc w:val="right"/>
              <w:rPr>
                <w:b/>
                <w:bCs/>
              </w:rPr>
            </w:pPr>
            <w:r w:rsidRPr="00907754">
              <w:t>100</w:t>
            </w:r>
          </w:p>
        </w:tc>
      </w:tr>
      <w:tr w:rsidR="0044283D" w:rsidRPr="00907754" w:rsidTr="00CF3C81">
        <w:trPr>
          <w:trHeight w:val="47"/>
        </w:trPr>
        <w:tc>
          <w:tcPr>
            <w:tcW w:w="993" w:type="dxa"/>
            <w:shd w:val="clear" w:color="auto" w:fill="auto"/>
            <w:vAlign w:val="center"/>
          </w:tcPr>
          <w:p w:rsidR="0044283D" w:rsidRPr="00907754" w:rsidRDefault="0044283D" w:rsidP="00CF3C81">
            <w:pPr>
              <w:pStyle w:val="14-2"/>
              <w:jc w:val="center"/>
              <w:rPr>
                <w:rFonts w:hAnsi="標楷體" w:hint="eastAsia"/>
                <w:snapToGrid/>
              </w:rPr>
            </w:pPr>
            <w:r w:rsidRPr="00907754">
              <w:rPr>
                <w:rFonts w:hAnsi="標楷體" w:hint="eastAsia"/>
                <w:snapToGrid/>
              </w:rPr>
              <w:t>合計</w:t>
            </w:r>
          </w:p>
        </w:tc>
        <w:tc>
          <w:tcPr>
            <w:tcW w:w="1864" w:type="dxa"/>
            <w:shd w:val="clear" w:color="auto" w:fill="auto"/>
          </w:tcPr>
          <w:p w:rsidR="0044283D" w:rsidRPr="00907754" w:rsidRDefault="00BF0482" w:rsidP="00CF3C81">
            <w:pPr>
              <w:pStyle w:val="14-2"/>
              <w:jc w:val="right"/>
            </w:pPr>
            <w:r>
              <w:rPr>
                <w:rFonts w:hint="eastAsia"/>
              </w:rPr>
              <w:t>-</w:t>
            </w:r>
          </w:p>
        </w:tc>
        <w:tc>
          <w:tcPr>
            <w:tcW w:w="1865" w:type="dxa"/>
            <w:shd w:val="clear" w:color="auto" w:fill="auto"/>
          </w:tcPr>
          <w:p w:rsidR="0044283D" w:rsidRPr="00907754" w:rsidRDefault="00BF0482" w:rsidP="00CF3C81">
            <w:pPr>
              <w:pStyle w:val="14-2"/>
              <w:jc w:val="right"/>
            </w:pPr>
            <w:r>
              <w:rPr>
                <w:rFonts w:hint="eastAsia"/>
              </w:rPr>
              <w:t>-</w:t>
            </w:r>
          </w:p>
        </w:tc>
        <w:tc>
          <w:tcPr>
            <w:tcW w:w="1865" w:type="dxa"/>
            <w:shd w:val="clear" w:color="auto" w:fill="auto"/>
          </w:tcPr>
          <w:p w:rsidR="0044283D" w:rsidRPr="00907754" w:rsidRDefault="00BF0482" w:rsidP="00CF3C81">
            <w:pPr>
              <w:pStyle w:val="14-2"/>
              <w:jc w:val="right"/>
            </w:pPr>
            <w:r>
              <w:rPr>
                <w:rFonts w:hint="eastAsia"/>
              </w:rPr>
              <w:t>-</w:t>
            </w:r>
          </w:p>
        </w:tc>
        <w:tc>
          <w:tcPr>
            <w:tcW w:w="1865" w:type="dxa"/>
            <w:shd w:val="clear" w:color="auto" w:fill="auto"/>
          </w:tcPr>
          <w:p w:rsidR="0044283D" w:rsidRPr="00907754" w:rsidRDefault="0044283D" w:rsidP="00CF3C81">
            <w:pPr>
              <w:pStyle w:val="14-2"/>
              <w:jc w:val="right"/>
            </w:pPr>
            <w:r w:rsidRPr="00907754">
              <w:rPr>
                <w:rFonts w:hint="eastAsia"/>
              </w:rPr>
              <w:t>5</w:t>
            </w:r>
            <w:r w:rsidRPr="00907754">
              <w:t>85</w:t>
            </w:r>
          </w:p>
        </w:tc>
      </w:tr>
    </w:tbl>
    <w:p w:rsidR="00FA2182" w:rsidRPr="00907754" w:rsidRDefault="00FA2182" w:rsidP="00FA2182">
      <w:pPr>
        <w:spacing w:line="280" w:lineRule="exact"/>
        <w:ind w:leftChars="1" w:left="1418" w:right="-1" w:hangingChars="612" w:hanging="1415"/>
        <w:rPr>
          <w:rStyle w:val="145"/>
          <w:rFonts w:hAnsi="標楷體"/>
          <w:spacing w:val="-14"/>
          <w:szCs w:val="24"/>
        </w:rPr>
      </w:pPr>
      <w:r w:rsidRPr="00907754">
        <w:rPr>
          <w:rStyle w:val="145"/>
          <w:rFonts w:hAnsi="標楷體" w:hint="eastAsia"/>
          <w:spacing w:val="-6"/>
          <w:szCs w:val="24"/>
          <w:lang w:eastAsia="zh-HK"/>
        </w:rPr>
        <w:t>說    明</w:t>
      </w:r>
      <w:r w:rsidRPr="00907754">
        <w:rPr>
          <w:rStyle w:val="145"/>
          <w:rFonts w:hAnsi="標楷體" w:hint="eastAsia"/>
          <w:szCs w:val="24"/>
        </w:rPr>
        <w:t>：1.</w:t>
      </w:r>
      <w:r w:rsidRPr="00907754">
        <w:rPr>
          <w:rStyle w:val="145"/>
          <w:rFonts w:hAnsi="標楷體" w:hint="eastAsia"/>
          <w:spacing w:val="-6"/>
          <w:szCs w:val="24"/>
        </w:rPr>
        <w:t>97-1</w:t>
      </w:r>
      <w:r w:rsidRPr="00907754">
        <w:rPr>
          <w:rStyle w:val="145"/>
          <w:rFonts w:hAnsi="標楷體"/>
          <w:spacing w:val="-6"/>
          <w:szCs w:val="24"/>
        </w:rPr>
        <w:t>1</w:t>
      </w:r>
      <w:r w:rsidR="00CF3C81" w:rsidRPr="00907754">
        <w:rPr>
          <w:rStyle w:val="145"/>
          <w:rFonts w:hAnsi="標楷體" w:hint="eastAsia"/>
          <w:spacing w:val="-6"/>
          <w:szCs w:val="24"/>
        </w:rPr>
        <w:t>2</w:t>
      </w:r>
      <w:r w:rsidRPr="00907754">
        <w:rPr>
          <w:rStyle w:val="145"/>
          <w:rFonts w:hAnsi="標楷體" w:hint="eastAsia"/>
          <w:spacing w:val="-6"/>
          <w:szCs w:val="24"/>
        </w:rPr>
        <w:t>年度為決算數，1</w:t>
      </w:r>
      <w:r w:rsidRPr="00907754">
        <w:rPr>
          <w:rStyle w:val="145"/>
          <w:rFonts w:hAnsi="標楷體"/>
          <w:spacing w:val="-6"/>
          <w:szCs w:val="24"/>
        </w:rPr>
        <w:t>1</w:t>
      </w:r>
      <w:r w:rsidR="00CF3C81" w:rsidRPr="00907754">
        <w:rPr>
          <w:rStyle w:val="145"/>
          <w:rFonts w:hAnsi="標楷體" w:hint="eastAsia"/>
          <w:spacing w:val="-6"/>
          <w:szCs w:val="24"/>
        </w:rPr>
        <w:t>3</w:t>
      </w:r>
      <w:r w:rsidRPr="00907754">
        <w:rPr>
          <w:rStyle w:val="145"/>
          <w:rFonts w:hAnsi="標楷體" w:hint="eastAsia"/>
          <w:spacing w:val="-6"/>
          <w:szCs w:val="24"/>
        </w:rPr>
        <w:t>年度為截至8月底止執行數，11</w:t>
      </w:r>
      <w:r w:rsidR="00CF3C81" w:rsidRPr="00907754">
        <w:rPr>
          <w:rStyle w:val="145"/>
          <w:rFonts w:hAnsi="標楷體" w:hint="eastAsia"/>
          <w:spacing w:val="-6"/>
          <w:szCs w:val="24"/>
        </w:rPr>
        <w:t>4</w:t>
      </w:r>
      <w:r w:rsidRPr="00907754">
        <w:rPr>
          <w:rStyle w:val="145"/>
          <w:rFonts w:hAnsi="標楷體" w:hint="eastAsia"/>
          <w:spacing w:val="-6"/>
          <w:szCs w:val="24"/>
        </w:rPr>
        <w:t>年度為預算案數</w:t>
      </w:r>
      <w:r w:rsidRPr="00907754">
        <w:rPr>
          <w:rStyle w:val="145"/>
          <w:rFonts w:hAnsi="標楷體" w:hint="eastAsia"/>
          <w:spacing w:val="-14"/>
          <w:szCs w:val="24"/>
        </w:rPr>
        <w:t>。</w:t>
      </w:r>
      <w:r w:rsidR="00CD1CF5">
        <w:rPr>
          <w:rStyle w:val="145"/>
          <w:rFonts w:hAnsi="標楷體" w:hint="eastAsia"/>
          <w:spacing w:val="-14"/>
          <w:szCs w:val="24"/>
        </w:rPr>
        <w:t>113年度稅前淨利預算數為-</w:t>
      </w:r>
      <w:r w:rsidR="00CD1CF5">
        <w:rPr>
          <w:rStyle w:val="145"/>
          <w:rFonts w:hAnsi="標楷體"/>
          <w:spacing w:val="-14"/>
          <w:szCs w:val="24"/>
        </w:rPr>
        <w:t>6.86</w:t>
      </w:r>
      <w:r w:rsidR="00CD1CF5">
        <w:rPr>
          <w:rStyle w:val="145"/>
          <w:rFonts w:hAnsi="標楷體" w:hint="eastAsia"/>
          <w:spacing w:val="-14"/>
          <w:szCs w:val="24"/>
        </w:rPr>
        <w:t>億元。</w:t>
      </w:r>
    </w:p>
    <w:p w:rsidR="00FA2182" w:rsidRPr="00907754" w:rsidRDefault="00FA2182" w:rsidP="00FA2182">
      <w:pPr>
        <w:spacing w:line="280" w:lineRule="exact"/>
        <w:ind w:leftChars="400" w:left="1419" w:right="-1" w:hangingChars="133" w:hanging="286"/>
        <w:rPr>
          <w:rStyle w:val="145"/>
          <w:rFonts w:hAnsi="標楷體" w:hint="eastAsia"/>
          <w:spacing w:val="-6"/>
          <w:szCs w:val="24"/>
        </w:rPr>
      </w:pPr>
      <w:r w:rsidRPr="00907754">
        <w:rPr>
          <w:rStyle w:val="145"/>
          <w:rFonts w:hAnsi="標楷體" w:hint="eastAsia"/>
          <w:spacing w:val="-14"/>
          <w:szCs w:val="24"/>
        </w:rPr>
        <w:t>2.依保險法第143條之4第1項規定，保險業自有資本與風險資本之比率不得低於200%。</w:t>
      </w:r>
    </w:p>
    <w:p w:rsidR="00FA2182" w:rsidRPr="00907754" w:rsidRDefault="00FA2182" w:rsidP="00FA2182">
      <w:pPr>
        <w:spacing w:line="280" w:lineRule="exact"/>
        <w:ind w:leftChars="0" w:left="0" w:rightChars="-150" w:right="-425" w:firstLineChars="0" w:firstLine="0"/>
        <w:rPr>
          <w:rStyle w:val="145"/>
          <w:rFonts w:hAnsi="標楷體" w:hint="eastAsia"/>
          <w:spacing w:val="-14"/>
          <w:szCs w:val="24"/>
        </w:rPr>
      </w:pPr>
      <w:r w:rsidRPr="00907754">
        <w:rPr>
          <w:rStyle w:val="145"/>
          <w:rFonts w:hAnsi="標楷體" w:hint="eastAsia"/>
          <w:spacing w:val="-6"/>
          <w:szCs w:val="24"/>
        </w:rPr>
        <w:t>資料來源</w:t>
      </w:r>
      <w:r w:rsidRPr="00907754">
        <w:rPr>
          <w:rStyle w:val="145"/>
          <w:rFonts w:hAnsi="標楷體" w:hint="eastAsia"/>
          <w:szCs w:val="24"/>
        </w:rPr>
        <w:t>：</w:t>
      </w:r>
      <w:r w:rsidRPr="00907754">
        <w:rPr>
          <w:rStyle w:val="145"/>
          <w:rFonts w:hAnsi="標楷體" w:hint="eastAsia"/>
          <w:spacing w:val="-6"/>
          <w:szCs w:val="24"/>
        </w:rPr>
        <w:t>臺銀人壽。</w:t>
      </w:r>
      <w:r w:rsidRPr="00907754">
        <w:rPr>
          <w:rStyle w:val="145"/>
          <w:rFonts w:hAnsi="標楷體" w:hint="eastAsia"/>
          <w:spacing w:val="-14"/>
          <w:szCs w:val="24"/>
        </w:rPr>
        <w:t xml:space="preserve"> </w:t>
      </w:r>
      <w:r w:rsidR="00122E23">
        <w:rPr>
          <w:rStyle w:val="145"/>
          <w:rFonts w:hAnsi="標楷體" w:hint="eastAsia"/>
          <w:spacing w:val="-14"/>
          <w:szCs w:val="24"/>
        </w:rPr>
        <w:t xml:space="preserve"> </w:t>
      </w:r>
    </w:p>
    <w:p w:rsidR="00FA2182" w:rsidRPr="000365E0" w:rsidRDefault="00FA2182" w:rsidP="00FA2182">
      <w:pPr>
        <w:ind w:leftChars="0" w:left="0" w:firstLineChars="0" w:firstLine="0"/>
        <w:rPr>
          <w:rFonts w:hAnsi="標楷體"/>
          <w:b/>
          <w:bCs/>
        </w:rPr>
      </w:pPr>
      <w:r w:rsidRPr="000365E0">
        <w:rPr>
          <w:rFonts w:hAnsi="標楷體" w:hint="eastAsia"/>
          <w:b/>
          <w:bCs/>
          <w:lang w:eastAsia="zh-HK"/>
        </w:rPr>
        <w:t>表</w:t>
      </w:r>
      <w:r w:rsidRPr="000365E0">
        <w:rPr>
          <w:rFonts w:hAnsi="標楷體"/>
          <w:b/>
          <w:bCs/>
        </w:rPr>
        <w:t xml:space="preserve">2  </w:t>
      </w:r>
      <w:r w:rsidRPr="000365E0">
        <w:rPr>
          <w:rFonts w:hAnsi="標楷體" w:hint="eastAsia"/>
          <w:b/>
          <w:bCs/>
        </w:rPr>
        <w:t>1</w:t>
      </w:r>
      <w:r w:rsidR="000F5E9E">
        <w:rPr>
          <w:rFonts w:hAnsi="標楷體" w:hint="eastAsia"/>
          <w:b/>
          <w:bCs/>
        </w:rPr>
        <w:t>1</w:t>
      </w:r>
      <w:r w:rsidR="001A1F33">
        <w:rPr>
          <w:rFonts w:hAnsi="標楷體" w:hint="eastAsia"/>
          <w:b/>
          <w:bCs/>
        </w:rPr>
        <w:t>1</w:t>
      </w:r>
      <w:r w:rsidRPr="000365E0">
        <w:rPr>
          <w:rFonts w:hAnsi="標楷體" w:hint="eastAsia"/>
          <w:b/>
          <w:bCs/>
        </w:rPr>
        <w:t>至</w:t>
      </w:r>
      <w:r w:rsidRPr="000365E0">
        <w:rPr>
          <w:rFonts w:hAnsi="標楷體"/>
          <w:b/>
          <w:bCs/>
        </w:rPr>
        <w:t>11</w:t>
      </w:r>
      <w:r w:rsidR="001A1F33">
        <w:rPr>
          <w:rFonts w:hAnsi="標楷體" w:hint="eastAsia"/>
          <w:b/>
          <w:bCs/>
        </w:rPr>
        <w:t>2</w:t>
      </w:r>
      <w:r w:rsidRPr="000365E0">
        <w:rPr>
          <w:rFonts w:hAnsi="標楷體" w:hint="eastAsia"/>
          <w:b/>
          <w:bCs/>
        </w:rPr>
        <w:t>年度臺銀人壽及壽</w:t>
      </w:r>
      <w:r w:rsidR="001A1F33">
        <w:rPr>
          <w:rFonts w:hAnsi="標楷體" w:hint="eastAsia"/>
          <w:b/>
          <w:bCs/>
        </w:rPr>
        <w:t>險業</w:t>
      </w:r>
      <w:r w:rsidR="00983E1E">
        <w:rPr>
          <w:rFonts w:hAnsi="標楷體" w:hint="eastAsia"/>
          <w:b/>
          <w:bCs/>
        </w:rPr>
        <w:t>新契約</w:t>
      </w:r>
      <w:r w:rsidRPr="000365E0">
        <w:rPr>
          <w:rFonts w:hAnsi="標楷體" w:hint="eastAsia"/>
          <w:b/>
          <w:bCs/>
        </w:rPr>
        <w:t>保費收入</w:t>
      </w:r>
      <w:r w:rsidRPr="000365E0">
        <w:rPr>
          <w:rFonts w:hAnsi="標楷體" w:hint="eastAsia"/>
          <w:b/>
          <w:bCs/>
          <w:lang w:eastAsia="zh-HK"/>
        </w:rPr>
        <w:t>概況</w:t>
      </w:r>
      <w:r w:rsidRPr="000365E0">
        <w:rPr>
          <w:rFonts w:hAnsi="標楷體" w:hint="eastAsia"/>
          <w:b/>
          <w:bCs/>
        </w:rPr>
        <w:t>表</w:t>
      </w:r>
    </w:p>
    <w:p w:rsidR="00FA2182" w:rsidRPr="000365E0" w:rsidRDefault="00FA2182" w:rsidP="00FA2182">
      <w:pPr>
        <w:tabs>
          <w:tab w:val="left" w:pos="1276"/>
          <w:tab w:val="left" w:pos="9497"/>
        </w:tabs>
        <w:spacing w:line="280" w:lineRule="exact"/>
        <w:ind w:leftChars="-1" w:left="-3" w:right="-1" w:firstLine="486"/>
        <w:jc w:val="right"/>
        <w:rPr>
          <w:rFonts w:hAnsi="標楷體" w:cs="新細明體"/>
          <w:snapToGrid/>
          <w:sz w:val="24"/>
          <w:szCs w:val="24"/>
        </w:rPr>
      </w:pPr>
      <w:r w:rsidRPr="000365E0">
        <w:rPr>
          <w:rFonts w:hAnsi="標楷體" w:cs="新細明體" w:hint="eastAsia"/>
          <w:snapToGrid/>
          <w:sz w:val="24"/>
          <w:szCs w:val="24"/>
        </w:rPr>
        <w:t>單位：新臺幣億</w:t>
      </w:r>
      <w:r w:rsidRPr="000365E0">
        <w:rPr>
          <w:rFonts w:hAnsi="標楷體" w:cs="新細明體" w:hint="eastAsia"/>
          <w:snapToGrid/>
          <w:sz w:val="24"/>
          <w:szCs w:val="24"/>
          <w:lang w:eastAsia="zh-HK"/>
        </w:rPr>
        <w:t>元</w:t>
      </w:r>
      <w:r w:rsidRPr="000365E0">
        <w:rPr>
          <w:rFonts w:hAnsi="標楷體" w:cs="新細明體" w:hint="eastAsia"/>
          <w:snapToGrid/>
          <w:sz w:val="24"/>
          <w:szCs w:val="24"/>
        </w:rPr>
        <w:t>；%</w:t>
      </w:r>
    </w:p>
    <w:tbl>
      <w:tblPr>
        <w:tblW w:w="8517"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216"/>
        <w:gridCol w:w="1217"/>
        <w:gridCol w:w="1217"/>
        <w:gridCol w:w="1216"/>
        <w:gridCol w:w="1217"/>
        <w:gridCol w:w="1217"/>
        <w:gridCol w:w="1217"/>
      </w:tblGrid>
      <w:tr w:rsidR="00211B93" w:rsidRPr="00BE0C95" w:rsidTr="0061790A">
        <w:trPr>
          <w:trHeight w:val="50"/>
          <w:jc w:val="center"/>
        </w:trPr>
        <w:tc>
          <w:tcPr>
            <w:tcW w:w="1216" w:type="dxa"/>
            <w:shd w:val="clear" w:color="auto" w:fill="auto"/>
            <w:vAlign w:val="center"/>
            <w:hideMark/>
          </w:tcPr>
          <w:p w:rsidR="00211B93" w:rsidRPr="00BE0C95" w:rsidRDefault="00211B93" w:rsidP="00BE0C95">
            <w:pPr>
              <w:pStyle w:val="142"/>
            </w:pPr>
            <w:r w:rsidRPr="00BE0C95">
              <w:t>年度</w:t>
            </w:r>
          </w:p>
        </w:tc>
        <w:tc>
          <w:tcPr>
            <w:tcW w:w="2434" w:type="dxa"/>
            <w:gridSpan w:val="2"/>
            <w:shd w:val="clear" w:color="auto" w:fill="auto"/>
            <w:hideMark/>
          </w:tcPr>
          <w:p w:rsidR="00211B93" w:rsidRPr="00BE0C95" w:rsidRDefault="00211B93" w:rsidP="00211B93">
            <w:pPr>
              <w:pStyle w:val="142"/>
              <w:jc w:val="center"/>
            </w:pPr>
            <w:r w:rsidRPr="00BE0C95">
              <w:rPr>
                <w:rFonts w:hint="eastAsia"/>
              </w:rPr>
              <w:t>111</w:t>
            </w:r>
          </w:p>
        </w:tc>
        <w:tc>
          <w:tcPr>
            <w:tcW w:w="2433" w:type="dxa"/>
            <w:gridSpan w:val="2"/>
            <w:shd w:val="clear" w:color="auto" w:fill="auto"/>
          </w:tcPr>
          <w:p w:rsidR="00211B93" w:rsidRPr="00BE0C95" w:rsidRDefault="00211B93" w:rsidP="00211B93">
            <w:pPr>
              <w:pStyle w:val="142"/>
              <w:jc w:val="center"/>
            </w:pPr>
            <w:r w:rsidRPr="00BE0C95">
              <w:t>112</w:t>
            </w:r>
          </w:p>
        </w:tc>
        <w:tc>
          <w:tcPr>
            <w:tcW w:w="2434" w:type="dxa"/>
            <w:gridSpan w:val="2"/>
          </w:tcPr>
          <w:p w:rsidR="00211B93" w:rsidRPr="00BE0C95" w:rsidRDefault="00211B93" w:rsidP="00211B93">
            <w:pPr>
              <w:pStyle w:val="142"/>
              <w:jc w:val="center"/>
            </w:pPr>
            <w:r w:rsidRPr="00BE0C95">
              <w:t>差異</w:t>
            </w:r>
          </w:p>
        </w:tc>
      </w:tr>
      <w:tr w:rsidR="00CD1CF5" w:rsidRPr="00092F2F" w:rsidTr="0061790A">
        <w:trPr>
          <w:trHeight w:val="50"/>
          <w:jc w:val="center"/>
        </w:trPr>
        <w:tc>
          <w:tcPr>
            <w:tcW w:w="1216" w:type="dxa"/>
            <w:shd w:val="clear" w:color="auto" w:fill="auto"/>
            <w:vAlign w:val="center"/>
            <w:hideMark/>
          </w:tcPr>
          <w:p w:rsidR="00CD1CF5" w:rsidRPr="00092F2F" w:rsidRDefault="00CD1CF5" w:rsidP="00CD1CF5">
            <w:pPr>
              <w:pStyle w:val="142"/>
              <w:jc w:val="center"/>
            </w:pPr>
            <w:r w:rsidRPr="00092F2F">
              <w:t>年度</w:t>
            </w:r>
          </w:p>
        </w:tc>
        <w:tc>
          <w:tcPr>
            <w:tcW w:w="1217" w:type="dxa"/>
            <w:shd w:val="clear" w:color="auto" w:fill="auto"/>
            <w:hideMark/>
          </w:tcPr>
          <w:p w:rsidR="00CD1CF5" w:rsidRPr="00092F2F" w:rsidRDefault="00CD1CF5" w:rsidP="00CD1CF5">
            <w:pPr>
              <w:pStyle w:val="142"/>
              <w:jc w:val="center"/>
            </w:pPr>
            <w:r w:rsidRPr="00CF1601">
              <w:rPr>
                <w:rFonts w:hint="eastAsia"/>
              </w:rPr>
              <w:t>金額</w:t>
            </w:r>
          </w:p>
        </w:tc>
        <w:tc>
          <w:tcPr>
            <w:tcW w:w="1217" w:type="dxa"/>
            <w:shd w:val="clear" w:color="auto" w:fill="auto"/>
            <w:hideMark/>
          </w:tcPr>
          <w:p w:rsidR="00CD1CF5" w:rsidRPr="00092F2F" w:rsidRDefault="00CD1CF5" w:rsidP="00CD1CF5">
            <w:pPr>
              <w:pStyle w:val="142"/>
              <w:jc w:val="center"/>
            </w:pPr>
            <w:r w:rsidRPr="00CF1601">
              <w:rPr>
                <w:rFonts w:hint="eastAsia"/>
              </w:rPr>
              <w:t>占比</w:t>
            </w:r>
          </w:p>
        </w:tc>
        <w:tc>
          <w:tcPr>
            <w:tcW w:w="1216" w:type="dxa"/>
            <w:shd w:val="clear" w:color="auto" w:fill="auto"/>
            <w:hideMark/>
          </w:tcPr>
          <w:p w:rsidR="00CD1CF5" w:rsidRPr="00092F2F" w:rsidRDefault="00CD1CF5" w:rsidP="00CD1CF5">
            <w:pPr>
              <w:pStyle w:val="142"/>
              <w:jc w:val="center"/>
            </w:pPr>
            <w:r w:rsidRPr="00CF1601">
              <w:rPr>
                <w:rFonts w:hint="eastAsia"/>
              </w:rPr>
              <w:t>金額</w:t>
            </w:r>
          </w:p>
        </w:tc>
        <w:tc>
          <w:tcPr>
            <w:tcW w:w="1217" w:type="dxa"/>
          </w:tcPr>
          <w:p w:rsidR="00CD1CF5" w:rsidRPr="00092F2F" w:rsidRDefault="00CD1CF5" w:rsidP="00CD1CF5">
            <w:pPr>
              <w:pStyle w:val="142"/>
              <w:jc w:val="center"/>
            </w:pPr>
            <w:r w:rsidRPr="00CF1601">
              <w:rPr>
                <w:rFonts w:hint="eastAsia"/>
              </w:rPr>
              <w:t>占比</w:t>
            </w:r>
          </w:p>
        </w:tc>
        <w:tc>
          <w:tcPr>
            <w:tcW w:w="1217" w:type="dxa"/>
          </w:tcPr>
          <w:p w:rsidR="00CD1CF5" w:rsidRPr="00092F2F" w:rsidRDefault="00CD1CF5" w:rsidP="00CD1CF5">
            <w:pPr>
              <w:pStyle w:val="142"/>
              <w:jc w:val="center"/>
            </w:pPr>
            <w:r w:rsidRPr="00CF1601">
              <w:rPr>
                <w:rFonts w:hint="eastAsia"/>
              </w:rPr>
              <w:t>金額</w:t>
            </w:r>
          </w:p>
        </w:tc>
        <w:tc>
          <w:tcPr>
            <w:tcW w:w="1217" w:type="dxa"/>
            <w:shd w:val="clear" w:color="auto" w:fill="auto"/>
            <w:hideMark/>
          </w:tcPr>
          <w:p w:rsidR="00CD1CF5" w:rsidRPr="00092F2F" w:rsidRDefault="00CD1CF5" w:rsidP="00CD1CF5">
            <w:pPr>
              <w:pStyle w:val="142"/>
              <w:jc w:val="center"/>
            </w:pPr>
            <w:r w:rsidRPr="00CF1601">
              <w:rPr>
                <w:rFonts w:hint="eastAsia"/>
              </w:rPr>
              <w:t>占比</w:t>
            </w:r>
          </w:p>
        </w:tc>
      </w:tr>
      <w:tr w:rsidR="00CD1CF5" w:rsidRPr="00092F2F" w:rsidTr="0061790A">
        <w:trPr>
          <w:trHeight w:val="50"/>
          <w:jc w:val="center"/>
        </w:trPr>
        <w:tc>
          <w:tcPr>
            <w:tcW w:w="1216" w:type="dxa"/>
            <w:shd w:val="clear" w:color="auto" w:fill="auto"/>
            <w:hideMark/>
          </w:tcPr>
          <w:p w:rsidR="00CD1CF5" w:rsidRPr="00AE617C" w:rsidRDefault="00CD1CF5" w:rsidP="00AE617C">
            <w:pPr>
              <w:pStyle w:val="142"/>
              <w:rPr>
                <w:b/>
                <w:bCs/>
              </w:rPr>
            </w:pPr>
            <w:r w:rsidRPr="00AE617C">
              <w:rPr>
                <w:rFonts w:hint="eastAsia"/>
                <w:b/>
                <w:bCs/>
              </w:rPr>
              <w:t>臺銀人壽</w:t>
            </w:r>
          </w:p>
        </w:tc>
        <w:tc>
          <w:tcPr>
            <w:tcW w:w="1217" w:type="dxa"/>
            <w:shd w:val="clear" w:color="auto" w:fill="auto"/>
            <w:hideMark/>
          </w:tcPr>
          <w:p w:rsidR="00CD1CF5" w:rsidRPr="00AE617C" w:rsidRDefault="00CD1CF5" w:rsidP="00CD1CF5">
            <w:pPr>
              <w:pStyle w:val="142"/>
              <w:jc w:val="right"/>
              <w:rPr>
                <w:b/>
                <w:bCs/>
              </w:rPr>
            </w:pPr>
            <w:r w:rsidRPr="00AE617C">
              <w:rPr>
                <w:rFonts w:hint="eastAsia"/>
                <w:b/>
                <w:bCs/>
              </w:rPr>
              <w:t>54.22</w:t>
            </w:r>
          </w:p>
        </w:tc>
        <w:tc>
          <w:tcPr>
            <w:tcW w:w="1217" w:type="dxa"/>
            <w:shd w:val="clear" w:color="auto" w:fill="auto"/>
            <w:hideMark/>
          </w:tcPr>
          <w:p w:rsidR="00CD1CF5" w:rsidRPr="00AE617C" w:rsidRDefault="00CD1CF5" w:rsidP="00CD1CF5">
            <w:pPr>
              <w:pStyle w:val="142"/>
              <w:jc w:val="right"/>
              <w:rPr>
                <w:b/>
                <w:bCs/>
              </w:rPr>
            </w:pPr>
            <w:r w:rsidRPr="00AE617C">
              <w:rPr>
                <w:rFonts w:hint="eastAsia"/>
                <w:b/>
                <w:bCs/>
              </w:rPr>
              <w:t>100.00</w:t>
            </w:r>
          </w:p>
        </w:tc>
        <w:tc>
          <w:tcPr>
            <w:tcW w:w="1216" w:type="dxa"/>
            <w:shd w:val="clear" w:color="auto" w:fill="auto"/>
            <w:hideMark/>
          </w:tcPr>
          <w:p w:rsidR="00CD1CF5" w:rsidRPr="00AE617C" w:rsidRDefault="00CD1CF5" w:rsidP="00CD1CF5">
            <w:pPr>
              <w:pStyle w:val="142"/>
              <w:jc w:val="right"/>
              <w:rPr>
                <w:b/>
                <w:bCs/>
              </w:rPr>
            </w:pPr>
            <w:r w:rsidRPr="00AE617C">
              <w:rPr>
                <w:rFonts w:hint="eastAsia"/>
                <w:b/>
                <w:bCs/>
              </w:rPr>
              <w:t>29.45</w:t>
            </w:r>
          </w:p>
        </w:tc>
        <w:tc>
          <w:tcPr>
            <w:tcW w:w="1217" w:type="dxa"/>
          </w:tcPr>
          <w:p w:rsidR="00CD1CF5" w:rsidRPr="00AE617C" w:rsidRDefault="00CD1CF5" w:rsidP="00CD1CF5">
            <w:pPr>
              <w:pStyle w:val="142"/>
              <w:jc w:val="right"/>
              <w:rPr>
                <w:b/>
                <w:bCs/>
              </w:rPr>
            </w:pPr>
            <w:r w:rsidRPr="00AE617C">
              <w:rPr>
                <w:rFonts w:hint="eastAsia"/>
                <w:b/>
                <w:bCs/>
              </w:rPr>
              <w:t xml:space="preserve">   100.00 </w:t>
            </w:r>
          </w:p>
        </w:tc>
        <w:tc>
          <w:tcPr>
            <w:tcW w:w="1217" w:type="dxa"/>
          </w:tcPr>
          <w:p w:rsidR="00CD1CF5" w:rsidRPr="00AE617C" w:rsidRDefault="00CD1CF5" w:rsidP="00CD1CF5">
            <w:pPr>
              <w:pStyle w:val="142"/>
              <w:jc w:val="right"/>
              <w:rPr>
                <w:b/>
                <w:bCs/>
              </w:rPr>
            </w:pPr>
            <w:r w:rsidRPr="00AE617C">
              <w:rPr>
                <w:rFonts w:hint="eastAsia"/>
                <w:b/>
                <w:bCs/>
              </w:rPr>
              <w:t xml:space="preserve">- 24.76 </w:t>
            </w:r>
          </w:p>
        </w:tc>
        <w:tc>
          <w:tcPr>
            <w:tcW w:w="1217" w:type="dxa"/>
            <w:shd w:val="clear" w:color="auto" w:fill="auto"/>
            <w:hideMark/>
          </w:tcPr>
          <w:p w:rsidR="00CD1CF5" w:rsidRPr="00AE617C" w:rsidRDefault="00CD1CF5" w:rsidP="00CD1CF5">
            <w:pPr>
              <w:pStyle w:val="142"/>
              <w:jc w:val="right"/>
              <w:rPr>
                <w:b/>
                <w:bCs/>
              </w:rPr>
            </w:pPr>
            <w:r w:rsidRPr="00AE617C">
              <w:rPr>
                <w:rFonts w:hint="eastAsia"/>
                <w:b/>
                <w:bCs/>
              </w:rPr>
              <w:t xml:space="preserve">- 45.67 </w:t>
            </w:r>
          </w:p>
        </w:tc>
      </w:tr>
      <w:tr w:rsidR="00CD1CF5" w:rsidRPr="00092F2F" w:rsidTr="0061790A">
        <w:trPr>
          <w:trHeight w:val="50"/>
          <w:jc w:val="center"/>
        </w:trPr>
        <w:tc>
          <w:tcPr>
            <w:tcW w:w="1216" w:type="dxa"/>
            <w:shd w:val="clear" w:color="auto" w:fill="auto"/>
            <w:hideMark/>
          </w:tcPr>
          <w:p w:rsidR="00CD1CF5" w:rsidRPr="00092F2F" w:rsidRDefault="00CD1CF5" w:rsidP="00CD1CF5">
            <w:pPr>
              <w:pStyle w:val="142"/>
              <w:jc w:val="center"/>
            </w:pPr>
            <w:r w:rsidRPr="0065650A">
              <w:rPr>
                <w:rFonts w:hint="eastAsia"/>
              </w:rPr>
              <w:t>傳統型</w:t>
            </w:r>
          </w:p>
        </w:tc>
        <w:tc>
          <w:tcPr>
            <w:tcW w:w="1217" w:type="dxa"/>
            <w:shd w:val="clear" w:color="auto" w:fill="auto"/>
            <w:hideMark/>
          </w:tcPr>
          <w:p w:rsidR="00CD1CF5" w:rsidRPr="00092F2F" w:rsidRDefault="00CD1CF5" w:rsidP="00CD1CF5">
            <w:pPr>
              <w:pStyle w:val="142"/>
              <w:jc w:val="right"/>
            </w:pPr>
            <w:r w:rsidRPr="0065650A">
              <w:rPr>
                <w:rFonts w:hint="eastAsia"/>
              </w:rPr>
              <w:t>23.29</w:t>
            </w:r>
          </w:p>
        </w:tc>
        <w:tc>
          <w:tcPr>
            <w:tcW w:w="1217" w:type="dxa"/>
            <w:shd w:val="clear" w:color="auto" w:fill="auto"/>
            <w:hideMark/>
          </w:tcPr>
          <w:p w:rsidR="00CD1CF5" w:rsidRPr="00092F2F" w:rsidRDefault="00CD1CF5" w:rsidP="00CD1CF5">
            <w:pPr>
              <w:pStyle w:val="142"/>
              <w:jc w:val="right"/>
            </w:pPr>
            <w:r w:rsidRPr="0065650A">
              <w:rPr>
                <w:rFonts w:hint="eastAsia"/>
              </w:rPr>
              <w:t>42.96</w:t>
            </w:r>
          </w:p>
        </w:tc>
        <w:tc>
          <w:tcPr>
            <w:tcW w:w="1216" w:type="dxa"/>
            <w:shd w:val="clear" w:color="auto" w:fill="auto"/>
            <w:hideMark/>
          </w:tcPr>
          <w:p w:rsidR="00CD1CF5" w:rsidRPr="00092F2F" w:rsidRDefault="00CD1CF5" w:rsidP="00CD1CF5">
            <w:pPr>
              <w:pStyle w:val="142"/>
              <w:jc w:val="right"/>
            </w:pPr>
            <w:r w:rsidRPr="0065650A">
              <w:rPr>
                <w:rFonts w:hint="eastAsia"/>
              </w:rPr>
              <w:t>15.02</w:t>
            </w:r>
          </w:p>
        </w:tc>
        <w:tc>
          <w:tcPr>
            <w:tcW w:w="1217" w:type="dxa"/>
          </w:tcPr>
          <w:p w:rsidR="00CD1CF5" w:rsidRPr="00092F2F" w:rsidRDefault="00CD1CF5" w:rsidP="00CD1CF5">
            <w:pPr>
              <w:pStyle w:val="142"/>
              <w:jc w:val="right"/>
            </w:pPr>
            <w:r w:rsidRPr="0065650A">
              <w:rPr>
                <w:rFonts w:hint="eastAsia"/>
              </w:rPr>
              <w:t xml:space="preserve">51.01 </w:t>
            </w:r>
          </w:p>
        </w:tc>
        <w:tc>
          <w:tcPr>
            <w:tcW w:w="1217" w:type="dxa"/>
          </w:tcPr>
          <w:p w:rsidR="00CD1CF5" w:rsidRPr="00092F2F" w:rsidRDefault="00CD1CF5" w:rsidP="00CD1CF5">
            <w:pPr>
              <w:pStyle w:val="142"/>
              <w:jc w:val="right"/>
            </w:pPr>
            <w:r w:rsidRPr="0065650A">
              <w:rPr>
                <w:rFonts w:hint="eastAsia"/>
              </w:rPr>
              <w:t xml:space="preserve">- 8.27 </w:t>
            </w:r>
          </w:p>
        </w:tc>
        <w:tc>
          <w:tcPr>
            <w:tcW w:w="1217" w:type="dxa"/>
            <w:shd w:val="clear" w:color="auto" w:fill="auto"/>
            <w:hideMark/>
          </w:tcPr>
          <w:p w:rsidR="00CD1CF5" w:rsidRPr="00092F2F" w:rsidRDefault="00CD1CF5" w:rsidP="00CD1CF5">
            <w:pPr>
              <w:pStyle w:val="142"/>
              <w:jc w:val="right"/>
            </w:pPr>
            <w:r w:rsidRPr="0065650A">
              <w:rPr>
                <w:rFonts w:hint="eastAsia"/>
              </w:rPr>
              <w:t xml:space="preserve">- 35.49 </w:t>
            </w:r>
          </w:p>
        </w:tc>
      </w:tr>
      <w:tr w:rsidR="00CD1CF5" w:rsidRPr="00092F2F" w:rsidTr="0061790A">
        <w:trPr>
          <w:trHeight w:val="50"/>
          <w:jc w:val="center"/>
        </w:trPr>
        <w:tc>
          <w:tcPr>
            <w:tcW w:w="1216" w:type="dxa"/>
            <w:shd w:val="clear" w:color="auto" w:fill="auto"/>
            <w:hideMark/>
          </w:tcPr>
          <w:p w:rsidR="00CD1CF5" w:rsidRPr="00092F2F" w:rsidRDefault="00CD1CF5" w:rsidP="00CD1CF5">
            <w:pPr>
              <w:pStyle w:val="142"/>
              <w:jc w:val="center"/>
            </w:pPr>
            <w:r w:rsidRPr="0065650A">
              <w:rPr>
                <w:rFonts w:hint="eastAsia"/>
              </w:rPr>
              <w:t>投資型</w:t>
            </w:r>
          </w:p>
        </w:tc>
        <w:tc>
          <w:tcPr>
            <w:tcW w:w="1217" w:type="dxa"/>
            <w:shd w:val="clear" w:color="auto" w:fill="auto"/>
            <w:hideMark/>
          </w:tcPr>
          <w:p w:rsidR="00CD1CF5" w:rsidRPr="00092F2F" w:rsidRDefault="00CD1CF5" w:rsidP="00CD1CF5">
            <w:pPr>
              <w:pStyle w:val="142"/>
              <w:jc w:val="right"/>
            </w:pPr>
            <w:r w:rsidRPr="0065650A">
              <w:rPr>
                <w:rFonts w:hint="eastAsia"/>
              </w:rPr>
              <w:t>30.93</w:t>
            </w:r>
          </w:p>
        </w:tc>
        <w:tc>
          <w:tcPr>
            <w:tcW w:w="1217" w:type="dxa"/>
            <w:shd w:val="clear" w:color="auto" w:fill="auto"/>
            <w:hideMark/>
          </w:tcPr>
          <w:p w:rsidR="00CD1CF5" w:rsidRPr="00092F2F" w:rsidRDefault="00CD1CF5" w:rsidP="00CD1CF5">
            <w:pPr>
              <w:pStyle w:val="142"/>
              <w:jc w:val="right"/>
            </w:pPr>
            <w:r w:rsidRPr="0065650A">
              <w:rPr>
                <w:rFonts w:hint="eastAsia"/>
              </w:rPr>
              <w:t>57.04</w:t>
            </w:r>
          </w:p>
        </w:tc>
        <w:tc>
          <w:tcPr>
            <w:tcW w:w="1216" w:type="dxa"/>
            <w:shd w:val="clear" w:color="auto" w:fill="auto"/>
          </w:tcPr>
          <w:p w:rsidR="00CD1CF5" w:rsidRPr="00092F2F" w:rsidRDefault="00CD1CF5" w:rsidP="00CD1CF5">
            <w:pPr>
              <w:pStyle w:val="142"/>
              <w:jc w:val="right"/>
            </w:pPr>
            <w:r w:rsidRPr="0065650A">
              <w:rPr>
                <w:rFonts w:hint="eastAsia"/>
              </w:rPr>
              <w:t>14.43</w:t>
            </w:r>
          </w:p>
        </w:tc>
        <w:tc>
          <w:tcPr>
            <w:tcW w:w="1217" w:type="dxa"/>
          </w:tcPr>
          <w:p w:rsidR="00CD1CF5" w:rsidRPr="00092F2F" w:rsidRDefault="00CD1CF5" w:rsidP="00CD1CF5">
            <w:pPr>
              <w:pStyle w:val="142"/>
              <w:jc w:val="right"/>
            </w:pPr>
            <w:r w:rsidRPr="0065650A">
              <w:rPr>
                <w:rFonts w:hint="eastAsia"/>
              </w:rPr>
              <w:t xml:space="preserve">    48.99 </w:t>
            </w:r>
          </w:p>
        </w:tc>
        <w:tc>
          <w:tcPr>
            <w:tcW w:w="1217" w:type="dxa"/>
          </w:tcPr>
          <w:p w:rsidR="00CD1CF5" w:rsidRPr="00092F2F" w:rsidRDefault="00CD1CF5" w:rsidP="00CD1CF5">
            <w:pPr>
              <w:pStyle w:val="142"/>
              <w:jc w:val="right"/>
            </w:pPr>
            <w:r w:rsidRPr="0065650A">
              <w:rPr>
                <w:rFonts w:hint="eastAsia"/>
              </w:rPr>
              <w:t xml:space="preserve">- 16.50 </w:t>
            </w:r>
          </w:p>
        </w:tc>
        <w:tc>
          <w:tcPr>
            <w:tcW w:w="1217" w:type="dxa"/>
            <w:shd w:val="clear" w:color="auto" w:fill="auto"/>
          </w:tcPr>
          <w:p w:rsidR="00CD1CF5" w:rsidRPr="00092F2F" w:rsidRDefault="00CD1CF5" w:rsidP="00CD1CF5">
            <w:pPr>
              <w:pStyle w:val="142"/>
              <w:jc w:val="right"/>
            </w:pPr>
            <w:r w:rsidRPr="0065650A">
              <w:rPr>
                <w:rFonts w:hint="eastAsia"/>
              </w:rPr>
              <w:t xml:space="preserve">- 53.34 </w:t>
            </w:r>
          </w:p>
        </w:tc>
      </w:tr>
      <w:tr w:rsidR="00CD1CF5" w:rsidRPr="00092F2F" w:rsidTr="0061790A">
        <w:trPr>
          <w:trHeight w:val="50"/>
          <w:jc w:val="center"/>
        </w:trPr>
        <w:tc>
          <w:tcPr>
            <w:tcW w:w="1216" w:type="dxa"/>
            <w:shd w:val="clear" w:color="auto" w:fill="auto"/>
            <w:hideMark/>
          </w:tcPr>
          <w:p w:rsidR="00CD1CF5" w:rsidRPr="00AE617C" w:rsidRDefault="00CD1CF5" w:rsidP="00AE617C">
            <w:pPr>
              <w:pStyle w:val="142"/>
              <w:rPr>
                <w:b/>
                <w:bCs/>
              </w:rPr>
            </w:pPr>
            <w:r w:rsidRPr="00AE617C">
              <w:rPr>
                <w:rFonts w:hint="eastAsia"/>
                <w:b/>
                <w:bCs/>
              </w:rPr>
              <w:t>壽險業</w:t>
            </w:r>
          </w:p>
        </w:tc>
        <w:tc>
          <w:tcPr>
            <w:tcW w:w="1217" w:type="dxa"/>
            <w:shd w:val="clear" w:color="auto" w:fill="auto"/>
            <w:hideMark/>
          </w:tcPr>
          <w:p w:rsidR="00CD1CF5" w:rsidRPr="00AE617C" w:rsidRDefault="00CD1CF5" w:rsidP="00CD1CF5">
            <w:pPr>
              <w:pStyle w:val="142"/>
              <w:jc w:val="right"/>
              <w:rPr>
                <w:b/>
                <w:bCs/>
              </w:rPr>
            </w:pPr>
            <w:r w:rsidRPr="00AE617C">
              <w:rPr>
                <w:rFonts w:hint="eastAsia"/>
                <w:b/>
                <w:bCs/>
              </w:rPr>
              <w:t xml:space="preserve">5,545.68 </w:t>
            </w:r>
          </w:p>
        </w:tc>
        <w:tc>
          <w:tcPr>
            <w:tcW w:w="1217" w:type="dxa"/>
            <w:shd w:val="clear" w:color="auto" w:fill="auto"/>
            <w:hideMark/>
          </w:tcPr>
          <w:p w:rsidR="00CD1CF5" w:rsidRPr="00AE617C" w:rsidRDefault="00CD1CF5" w:rsidP="00CD1CF5">
            <w:pPr>
              <w:pStyle w:val="142"/>
              <w:jc w:val="right"/>
              <w:rPr>
                <w:b/>
                <w:bCs/>
              </w:rPr>
            </w:pPr>
            <w:r w:rsidRPr="00AE617C">
              <w:rPr>
                <w:rFonts w:hint="eastAsia"/>
                <w:b/>
                <w:bCs/>
              </w:rPr>
              <w:t xml:space="preserve">  100.00 </w:t>
            </w:r>
          </w:p>
        </w:tc>
        <w:tc>
          <w:tcPr>
            <w:tcW w:w="1216" w:type="dxa"/>
            <w:shd w:val="clear" w:color="auto" w:fill="auto"/>
            <w:hideMark/>
          </w:tcPr>
          <w:p w:rsidR="00CD1CF5" w:rsidRPr="00AE617C" w:rsidRDefault="00CD1CF5" w:rsidP="00CD1CF5">
            <w:pPr>
              <w:pStyle w:val="142"/>
              <w:jc w:val="right"/>
              <w:rPr>
                <w:b/>
                <w:bCs/>
              </w:rPr>
            </w:pPr>
            <w:r w:rsidRPr="00AE617C">
              <w:rPr>
                <w:rFonts w:hint="eastAsia"/>
                <w:b/>
                <w:bCs/>
              </w:rPr>
              <w:t xml:space="preserve">5,164.05 </w:t>
            </w:r>
          </w:p>
        </w:tc>
        <w:tc>
          <w:tcPr>
            <w:tcW w:w="1217" w:type="dxa"/>
          </w:tcPr>
          <w:p w:rsidR="00CD1CF5" w:rsidRPr="00AE617C" w:rsidRDefault="00CD1CF5" w:rsidP="00CD1CF5">
            <w:pPr>
              <w:pStyle w:val="142"/>
              <w:jc w:val="right"/>
              <w:rPr>
                <w:b/>
                <w:bCs/>
              </w:rPr>
            </w:pPr>
            <w:r w:rsidRPr="00AE617C">
              <w:rPr>
                <w:rFonts w:hint="eastAsia"/>
                <w:b/>
                <w:bCs/>
              </w:rPr>
              <w:t xml:space="preserve">   100.00 </w:t>
            </w:r>
          </w:p>
        </w:tc>
        <w:tc>
          <w:tcPr>
            <w:tcW w:w="1217" w:type="dxa"/>
          </w:tcPr>
          <w:p w:rsidR="00CD1CF5" w:rsidRPr="00AE617C" w:rsidRDefault="00CD1CF5" w:rsidP="00CD1CF5">
            <w:pPr>
              <w:pStyle w:val="142"/>
              <w:jc w:val="right"/>
              <w:rPr>
                <w:b/>
                <w:bCs/>
              </w:rPr>
            </w:pPr>
            <w:r w:rsidRPr="00AE617C">
              <w:rPr>
                <w:rFonts w:hint="eastAsia"/>
                <w:b/>
                <w:bCs/>
              </w:rPr>
              <w:t xml:space="preserve">- 381.63 </w:t>
            </w:r>
          </w:p>
        </w:tc>
        <w:tc>
          <w:tcPr>
            <w:tcW w:w="1217" w:type="dxa"/>
            <w:shd w:val="clear" w:color="auto" w:fill="auto"/>
            <w:hideMark/>
          </w:tcPr>
          <w:p w:rsidR="00CD1CF5" w:rsidRPr="00AE617C" w:rsidRDefault="00CD1CF5" w:rsidP="00CD1CF5">
            <w:pPr>
              <w:pStyle w:val="142"/>
              <w:jc w:val="right"/>
              <w:rPr>
                <w:b/>
                <w:bCs/>
              </w:rPr>
            </w:pPr>
            <w:r w:rsidRPr="00AE617C">
              <w:rPr>
                <w:rFonts w:hint="eastAsia"/>
                <w:b/>
                <w:bCs/>
              </w:rPr>
              <w:t xml:space="preserve">- 6.88 </w:t>
            </w:r>
          </w:p>
        </w:tc>
      </w:tr>
      <w:tr w:rsidR="00CD1CF5" w:rsidRPr="00092F2F" w:rsidTr="0061790A">
        <w:trPr>
          <w:trHeight w:val="50"/>
          <w:jc w:val="center"/>
        </w:trPr>
        <w:tc>
          <w:tcPr>
            <w:tcW w:w="1216" w:type="dxa"/>
            <w:shd w:val="clear" w:color="auto" w:fill="auto"/>
            <w:hideMark/>
          </w:tcPr>
          <w:p w:rsidR="00CD1CF5" w:rsidRPr="00092F2F" w:rsidRDefault="00CD1CF5" w:rsidP="00CD1CF5">
            <w:pPr>
              <w:pStyle w:val="142"/>
              <w:jc w:val="center"/>
            </w:pPr>
            <w:r w:rsidRPr="0065650A">
              <w:rPr>
                <w:rFonts w:hint="eastAsia"/>
              </w:rPr>
              <w:t>傳統型</w:t>
            </w:r>
          </w:p>
        </w:tc>
        <w:tc>
          <w:tcPr>
            <w:tcW w:w="1217" w:type="dxa"/>
            <w:shd w:val="clear" w:color="auto" w:fill="auto"/>
            <w:hideMark/>
          </w:tcPr>
          <w:p w:rsidR="00CD1CF5" w:rsidRPr="00092F2F" w:rsidRDefault="00CD1CF5" w:rsidP="00CD1CF5">
            <w:pPr>
              <w:pStyle w:val="142"/>
              <w:jc w:val="right"/>
            </w:pPr>
            <w:r w:rsidRPr="0065650A">
              <w:rPr>
                <w:rFonts w:hint="eastAsia"/>
              </w:rPr>
              <w:t xml:space="preserve">4,265.70 </w:t>
            </w:r>
          </w:p>
        </w:tc>
        <w:tc>
          <w:tcPr>
            <w:tcW w:w="1217" w:type="dxa"/>
            <w:shd w:val="clear" w:color="auto" w:fill="auto"/>
            <w:hideMark/>
          </w:tcPr>
          <w:p w:rsidR="00CD1CF5" w:rsidRPr="00092F2F" w:rsidRDefault="00CD1CF5" w:rsidP="00CD1CF5">
            <w:pPr>
              <w:pStyle w:val="142"/>
              <w:jc w:val="right"/>
            </w:pPr>
            <w:r w:rsidRPr="0065650A">
              <w:rPr>
                <w:rFonts w:hint="eastAsia"/>
              </w:rPr>
              <w:t xml:space="preserve">   76.92 </w:t>
            </w:r>
          </w:p>
        </w:tc>
        <w:tc>
          <w:tcPr>
            <w:tcW w:w="1216" w:type="dxa"/>
            <w:shd w:val="clear" w:color="auto" w:fill="auto"/>
            <w:hideMark/>
          </w:tcPr>
          <w:p w:rsidR="00CD1CF5" w:rsidRPr="00092F2F" w:rsidRDefault="00CD1CF5" w:rsidP="00CD1CF5">
            <w:pPr>
              <w:pStyle w:val="142"/>
              <w:jc w:val="right"/>
            </w:pPr>
            <w:r w:rsidRPr="0065650A">
              <w:rPr>
                <w:rFonts w:hint="eastAsia"/>
              </w:rPr>
              <w:t xml:space="preserve">4,148.25 </w:t>
            </w:r>
          </w:p>
        </w:tc>
        <w:tc>
          <w:tcPr>
            <w:tcW w:w="1217" w:type="dxa"/>
          </w:tcPr>
          <w:p w:rsidR="00CD1CF5" w:rsidRPr="00092F2F" w:rsidRDefault="00CD1CF5" w:rsidP="00CD1CF5">
            <w:pPr>
              <w:pStyle w:val="142"/>
              <w:jc w:val="right"/>
            </w:pPr>
            <w:r w:rsidRPr="0065650A">
              <w:rPr>
                <w:rFonts w:hint="eastAsia"/>
              </w:rPr>
              <w:t xml:space="preserve">80.33 </w:t>
            </w:r>
          </w:p>
        </w:tc>
        <w:tc>
          <w:tcPr>
            <w:tcW w:w="1217" w:type="dxa"/>
          </w:tcPr>
          <w:p w:rsidR="00CD1CF5" w:rsidRPr="00092F2F" w:rsidRDefault="00CD1CF5" w:rsidP="00CD1CF5">
            <w:pPr>
              <w:pStyle w:val="142"/>
              <w:jc w:val="right"/>
            </w:pPr>
            <w:r w:rsidRPr="0065650A">
              <w:rPr>
                <w:rFonts w:hint="eastAsia"/>
              </w:rPr>
              <w:t xml:space="preserve">- 117.45 </w:t>
            </w:r>
          </w:p>
        </w:tc>
        <w:tc>
          <w:tcPr>
            <w:tcW w:w="1217" w:type="dxa"/>
            <w:shd w:val="clear" w:color="auto" w:fill="auto"/>
            <w:hideMark/>
          </w:tcPr>
          <w:p w:rsidR="00CD1CF5" w:rsidRPr="00092F2F" w:rsidRDefault="00CD1CF5" w:rsidP="00CD1CF5">
            <w:pPr>
              <w:pStyle w:val="142"/>
              <w:jc w:val="right"/>
            </w:pPr>
            <w:r w:rsidRPr="0065650A">
              <w:rPr>
                <w:rFonts w:hint="eastAsia"/>
              </w:rPr>
              <w:t xml:space="preserve">- 2.75 </w:t>
            </w:r>
          </w:p>
        </w:tc>
      </w:tr>
      <w:tr w:rsidR="00CD1CF5" w:rsidRPr="00092F2F" w:rsidTr="0061790A">
        <w:trPr>
          <w:trHeight w:val="50"/>
          <w:jc w:val="center"/>
        </w:trPr>
        <w:tc>
          <w:tcPr>
            <w:tcW w:w="1216" w:type="dxa"/>
            <w:shd w:val="clear" w:color="auto" w:fill="auto"/>
            <w:hideMark/>
          </w:tcPr>
          <w:p w:rsidR="00CD1CF5" w:rsidRPr="00092F2F" w:rsidRDefault="00CD1CF5" w:rsidP="00CD1CF5">
            <w:pPr>
              <w:pStyle w:val="142"/>
              <w:jc w:val="center"/>
            </w:pPr>
            <w:r w:rsidRPr="0065650A">
              <w:rPr>
                <w:rFonts w:hint="eastAsia"/>
              </w:rPr>
              <w:t>投資型</w:t>
            </w:r>
          </w:p>
        </w:tc>
        <w:tc>
          <w:tcPr>
            <w:tcW w:w="1217" w:type="dxa"/>
            <w:shd w:val="clear" w:color="auto" w:fill="auto"/>
            <w:hideMark/>
          </w:tcPr>
          <w:p w:rsidR="00CD1CF5" w:rsidRPr="00092F2F" w:rsidRDefault="00CD1CF5" w:rsidP="00CD1CF5">
            <w:pPr>
              <w:pStyle w:val="142"/>
              <w:jc w:val="right"/>
            </w:pPr>
            <w:r w:rsidRPr="0065650A">
              <w:rPr>
                <w:rFonts w:hint="eastAsia"/>
              </w:rPr>
              <w:t xml:space="preserve">1,279.98 </w:t>
            </w:r>
          </w:p>
        </w:tc>
        <w:tc>
          <w:tcPr>
            <w:tcW w:w="1217" w:type="dxa"/>
            <w:shd w:val="clear" w:color="auto" w:fill="auto"/>
            <w:hideMark/>
          </w:tcPr>
          <w:p w:rsidR="00CD1CF5" w:rsidRPr="00092F2F" w:rsidRDefault="00CD1CF5" w:rsidP="00CD1CF5">
            <w:pPr>
              <w:pStyle w:val="142"/>
              <w:jc w:val="right"/>
            </w:pPr>
            <w:r w:rsidRPr="0065650A">
              <w:rPr>
                <w:rFonts w:hint="eastAsia"/>
              </w:rPr>
              <w:t xml:space="preserve">   23.08 </w:t>
            </w:r>
          </w:p>
        </w:tc>
        <w:tc>
          <w:tcPr>
            <w:tcW w:w="1216" w:type="dxa"/>
            <w:shd w:val="clear" w:color="auto" w:fill="auto"/>
          </w:tcPr>
          <w:p w:rsidR="00CD1CF5" w:rsidRPr="00092F2F" w:rsidRDefault="00CD1CF5" w:rsidP="00CD1CF5">
            <w:pPr>
              <w:pStyle w:val="142"/>
              <w:jc w:val="right"/>
            </w:pPr>
            <w:r w:rsidRPr="0065650A">
              <w:rPr>
                <w:rFonts w:hint="eastAsia"/>
              </w:rPr>
              <w:t xml:space="preserve">1,015.80 </w:t>
            </w:r>
          </w:p>
        </w:tc>
        <w:tc>
          <w:tcPr>
            <w:tcW w:w="1217" w:type="dxa"/>
          </w:tcPr>
          <w:p w:rsidR="00CD1CF5" w:rsidRPr="00092F2F" w:rsidRDefault="00CD1CF5" w:rsidP="00CD1CF5">
            <w:pPr>
              <w:pStyle w:val="142"/>
              <w:jc w:val="right"/>
            </w:pPr>
            <w:r w:rsidRPr="0065650A">
              <w:rPr>
                <w:rFonts w:hint="eastAsia"/>
              </w:rPr>
              <w:t xml:space="preserve">19.67 </w:t>
            </w:r>
          </w:p>
        </w:tc>
        <w:tc>
          <w:tcPr>
            <w:tcW w:w="1217" w:type="dxa"/>
          </w:tcPr>
          <w:p w:rsidR="00CD1CF5" w:rsidRPr="00092F2F" w:rsidRDefault="00CD1CF5" w:rsidP="00CD1CF5">
            <w:pPr>
              <w:pStyle w:val="142"/>
              <w:jc w:val="right"/>
            </w:pPr>
            <w:r w:rsidRPr="0065650A">
              <w:rPr>
                <w:rFonts w:hint="eastAsia"/>
              </w:rPr>
              <w:t xml:space="preserve">- 264.18 </w:t>
            </w:r>
          </w:p>
        </w:tc>
        <w:tc>
          <w:tcPr>
            <w:tcW w:w="1217" w:type="dxa"/>
            <w:shd w:val="clear" w:color="auto" w:fill="auto"/>
          </w:tcPr>
          <w:p w:rsidR="00CD1CF5" w:rsidRPr="00092F2F" w:rsidRDefault="00CD1CF5" w:rsidP="00CD1CF5">
            <w:pPr>
              <w:pStyle w:val="142"/>
              <w:jc w:val="right"/>
            </w:pPr>
            <w:r w:rsidRPr="0065650A">
              <w:rPr>
                <w:rFonts w:hint="eastAsia"/>
              </w:rPr>
              <w:t xml:space="preserve">- 20.64 </w:t>
            </w:r>
          </w:p>
        </w:tc>
      </w:tr>
    </w:tbl>
    <w:p w:rsidR="00983E1E" w:rsidRDefault="000365E0" w:rsidP="007B40BA">
      <w:pPr>
        <w:pStyle w:val="14-12"/>
        <w:ind w:left="1277" w:hangingChars="525" w:hanging="1277"/>
        <w:rPr>
          <w:spacing w:val="0"/>
        </w:rPr>
      </w:pPr>
      <w:r>
        <w:rPr>
          <w:rFonts w:hint="eastAsia"/>
          <w:spacing w:val="0"/>
        </w:rPr>
        <w:t>資料來源：</w:t>
      </w:r>
      <w:r w:rsidR="007B40BA">
        <w:rPr>
          <w:rFonts w:hint="eastAsia"/>
          <w:spacing w:val="0"/>
        </w:rPr>
        <w:t>審計部</w:t>
      </w:r>
      <w:r w:rsidR="007B40BA" w:rsidRPr="007B40BA">
        <w:rPr>
          <w:rFonts w:hint="eastAsia"/>
          <w:spacing w:val="0"/>
        </w:rPr>
        <w:t>中央政府總決算附屬單位決算及綜計表審核報告</w:t>
      </w:r>
      <w:r w:rsidR="007B40BA">
        <w:rPr>
          <w:rFonts w:hint="eastAsia"/>
          <w:spacing w:val="0"/>
        </w:rPr>
        <w:t>營業部分第乙-17</w:t>
      </w:r>
      <w:r w:rsidR="00F54130">
        <w:rPr>
          <w:rFonts w:hint="eastAsia"/>
          <w:spacing w:val="0"/>
        </w:rPr>
        <w:t>8</w:t>
      </w:r>
      <w:r w:rsidR="007B40BA">
        <w:rPr>
          <w:rFonts w:hint="eastAsia"/>
          <w:spacing w:val="0"/>
        </w:rPr>
        <w:t>頁</w:t>
      </w:r>
      <w:r w:rsidR="00F54130">
        <w:rPr>
          <w:rFonts w:hint="eastAsia"/>
          <w:spacing w:val="0"/>
        </w:rPr>
        <w:t>(2024年版)</w:t>
      </w:r>
      <w:r w:rsidR="007B40BA">
        <w:rPr>
          <w:rFonts w:hint="eastAsia"/>
          <w:spacing w:val="0"/>
        </w:rPr>
        <w:t>。</w:t>
      </w:r>
    </w:p>
    <w:p w:rsidR="00983E1E" w:rsidRPr="00983E1E" w:rsidRDefault="00983E1E" w:rsidP="000365E0">
      <w:pPr>
        <w:pStyle w:val="14-12"/>
        <w:rPr>
          <w:rFonts w:hint="eastAsia"/>
          <w:spacing w:val="0"/>
        </w:rPr>
      </w:pPr>
    </w:p>
    <w:p w:rsidR="00FA2182" w:rsidRPr="009D388F" w:rsidRDefault="000F69B2" w:rsidP="00A43F37">
      <w:pPr>
        <w:pStyle w:val="14"/>
        <w:spacing w:beforeLines="20" w:before="100"/>
        <w:ind w:left="567" w:hanging="567"/>
        <w:rPr>
          <w:rFonts w:hAnsi="標楷體"/>
        </w:rPr>
      </w:pPr>
      <w:bookmarkStart w:id="11" w:name="_Toc182575058"/>
      <w:r w:rsidRPr="009D388F">
        <w:rPr>
          <w:rFonts w:hAnsi="標楷體" w:hint="eastAsia"/>
        </w:rPr>
        <w:t>三</w:t>
      </w:r>
      <w:r w:rsidR="00FA2182" w:rsidRPr="009D388F">
        <w:rPr>
          <w:rFonts w:hAnsi="標楷體" w:hint="eastAsia"/>
        </w:rPr>
        <w:t>、</w:t>
      </w:r>
      <w:r w:rsidR="009D388F" w:rsidRPr="009D388F">
        <w:rPr>
          <w:rFonts w:hAnsi="標楷體" w:hint="eastAsia"/>
        </w:rPr>
        <w:t>1</w:t>
      </w:r>
      <w:r w:rsidR="009D388F" w:rsidRPr="009D388F">
        <w:rPr>
          <w:rFonts w:hAnsi="標楷體"/>
        </w:rPr>
        <w:t>12</w:t>
      </w:r>
      <w:r w:rsidR="009D388F" w:rsidRPr="009D388F">
        <w:rPr>
          <w:rFonts w:hAnsi="標楷體" w:hint="eastAsia"/>
        </w:rPr>
        <w:t>年度</w:t>
      </w:r>
      <w:r w:rsidR="009D388F" w:rsidRPr="009D388F">
        <w:rPr>
          <w:rFonts w:hint="eastAsia"/>
          <w:bCs/>
        </w:rPr>
        <w:t>新商品合約服務邊際目標達成率低於111年度，允宜</w:t>
      </w:r>
      <w:r w:rsidR="004A1F9D">
        <w:rPr>
          <w:rFonts w:hint="eastAsia"/>
          <w:bCs/>
        </w:rPr>
        <w:t>審慎規劃</w:t>
      </w:r>
      <w:r w:rsidR="009D388F" w:rsidRPr="009D388F">
        <w:rPr>
          <w:rFonts w:hint="eastAsia"/>
          <w:bCs/>
        </w:rPr>
        <w:t>保險商品及銷售</w:t>
      </w:r>
      <w:r w:rsidR="006534CC">
        <w:rPr>
          <w:rFonts w:hint="eastAsia"/>
          <w:bCs/>
        </w:rPr>
        <w:t>策略</w:t>
      </w:r>
      <w:r w:rsidR="009D388F" w:rsidRPr="009D388F">
        <w:rPr>
          <w:rFonts w:hint="eastAsia"/>
          <w:bCs/>
        </w:rPr>
        <w:t>，俾利</w:t>
      </w:r>
      <w:r w:rsidR="000A3713">
        <w:rPr>
          <w:rFonts w:hint="eastAsia"/>
          <w:bCs/>
        </w:rPr>
        <w:t>提升經營利潤，以因應未來接軌</w:t>
      </w:r>
      <w:r w:rsidR="00FA2182" w:rsidRPr="009D388F">
        <w:rPr>
          <w:rFonts w:hAnsi="標楷體" w:hint="eastAsia"/>
        </w:rPr>
        <w:t>IFRS</w:t>
      </w:r>
      <w:r w:rsidR="009D388F" w:rsidRPr="009D388F">
        <w:rPr>
          <w:rFonts w:hAnsi="標楷體" w:hint="eastAsia"/>
        </w:rPr>
        <w:t xml:space="preserve"> </w:t>
      </w:r>
      <w:r w:rsidR="00FA2182" w:rsidRPr="009D388F">
        <w:rPr>
          <w:rFonts w:hAnsi="標楷體" w:hint="eastAsia"/>
        </w:rPr>
        <w:t>17</w:t>
      </w:r>
      <w:bookmarkEnd w:id="11"/>
    </w:p>
    <w:p w:rsidR="00FA2182" w:rsidRPr="00E5759B" w:rsidRDefault="00FA2182" w:rsidP="00A43F37">
      <w:pPr>
        <w:ind w:left="566" w:firstLine="566"/>
      </w:pPr>
      <w:r w:rsidRPr="00E5759B">
        <w:rPr>
          <w:rFonts w:hint="eastAsia"/>
        </w:rPr>
        <w:t>臺銀人壽11</w:t>
      </w:r>
      <w:r w:rsidR="00E5759B" w:rsidRPr="00E5759B">
        <w:rPr>
          <w:rFonts w:hint="eastAsia"/>
        </w:rPr>
        <w:t>4</w:t>
      </w:r>
      <w:r w:rsidRPr="00E5759B">
        <w:rPr>
          <w:rFonts w:hint="eastAsia"/>
        </w:rPr>
        <w:t>年度預算案編列「保費收入」13</w:t>
      </w:r>
      <w:r w:rsidR="00E5759B" w:rsidRPr="00E5759B">
        <w:rPr>
          <w:rFonts w:hint="eastAsia"/>
        </w:rPr>
        <w:t>8</w:t>
      </w:r>
      <w:r w:rsidRPr="00E5759B">
        <w:rPr>
          <w:rFonts w:hint="eastAsia"/>
        </w:rPr>
        <w:t>億</w:t>
      </w:r>
      <w:r w:rsidR="00E5759B" w:rsidRPr="00E5759B">
        <w:rPr>
          <w:rFonts w:hint="eastAsia"/>
        </w:rPr>
        <w:t>3</w:t>
      </w:r>
      <w:r w:rsidRPr="00E5759B">
        <w:t>,</w:t>
      </w:r>
      <w:r w:rsidR="00E5759B" w:rsidRPr="00E5759B">
        <w:rPr>
          <w:rFonts w:hint="eastAsia"/>
        </w:rPr>
        <w:t>046</w:t>
      </w:r>
      <w:r w:rsidRPr="00E5759B">
        <w:rPr>
          <w:rFonts w:hint="eastAsia"/>
        </w:rPr>
        <w:t>萬元，較11</w:t>
      </w:r>
      <w:r w:rsidR="00E5759B" w:rsidRPr="00E5759B">
        <w:rPr>
          <w:rFonts w:hint="eastAsia"/>
        </w:rPr>
        <w:t>3</w:t>
      </w:r>
      <w:r w:rsidRPr="00E5759B">
        <w:rPr>
          <w:rFonts w:hint="eastAsia"/>
        </w:rPr>
        <w:t>年度預算數</w:t>
      </w:r>
      <w:r w:rsidR="00E5759B" w:rsidRPr="00E5759B">
        <w:rPr>
          <w:rFonts w:hint="eastAsia"/>
        </w:rPr>
        <w:t>增加</w:t>
      </w:r>
      <w:r w:rsidRPr="00E5759B">
        <w:rPr>
          <w:rFonts w:hint="eastAsia"/>
        </w:rPr>
        <w:t>1.</w:t>
      </w:r>
      <w:r w:rsidR="00E5759B" w:rsidRPr="00E5759B">
        <w:rPr>
          <w:rFonts w:hint="eastAsia"/>
        </w:rPr>
        <w:t>94</w:t>
      </w:r>
      <w:r w:rsidRPr="00E5759B">
        <w:rPr>
          <w:rFonts w:hint="eastAsia"/>
        </w:rPr>
        <w:t>%。經查：</w:t>
      </w:r>
    </w:p>
    <w:p w:rsidR="00FA2182" w:rsidRPr="009D388F" w:rsidRDefault="00FA2182" w:rsidP="00A43F37">
      <w:pPr>
        <w:pStyle w:val="a4"/>
        <w:ind w:left="849" w:hanging="283"/>
      </w:pPr>
      <w:r w:rsidRPr="009D388F">
        <w:rPr>
          <w:rFonts w:hint="eastAsia"/>
        </w:rPr>
        <w:t>(一)</w:t>
      </w:r>
      <w:bookmarkStart w:id="12" w:name="_Hlk149564027"/>
      <w:r w:rsidRPr="009D388F">
        <w:rPr>
          <w:rFonts w:hint="eastAsia"/>
        </w:rPr>
        <w:t>為因應IFRS17接軌時程</w:t>
      </w:r>
      <w:bookmarkEnd w:id="12"/>
      <w:r w:rsidRPr="009D388F">
        <w:rPr>
          <w:rFonts w:hint="eastAsia"/>
        </w:rPr>
        <w:t>，臺銀人壽近年推動商品策略轉型，增裕CSM成為業務推展重點</w:t>
      </w:r>
    </w:p>
    <w:p w:rsidR="00FA2182" w:rsidRPr="001D3710" w:rsidRDefault="00FA2182" w:rsidP="00EB1F46">
      <w:pPr>
        <w:pStyle w:val="21"/>
        <w:ind w:left="850" w:firstLine="566"/>
      </w:pPr>
      <w:r w:rsidRPr="00215A80">
        <w:rPr>
          <w:rFonts w:hint="eastAsia"/>
        </w:rPr>
        <w:t>金管會於</w:t>
      </w:r>
      <w:r w:rsidRPr="00215A80">
        <w:t>109</w:t>
      </w:r>
      <w:r w:rsidRPr="00215A80">
        <w:rPr>
          <w:rFonts w:hint="eastAsia"/>
        </w:rPr>
        <w:t>年發布「新商品之合約服務邊際</w:t>
      </w:r>
      <w:r w:rsidRPr="00215A80">
        <w:t>(Contractual service margin ;</w:t>
      </w:r>
      <w:r w:rsidRPr="00215A80">
        <w:rPr>
          <w:rFonts w:hint="eastAsia"/>
        </w:rPr>
        <w:t>以下簡稱</w:t>
      </w:r>
      <w:r w:rsidRPr="00215A80">
        <w:t>CSM)</w:t>
      </w:r>
      <w:r w:rsidRPr="00215A80">
        <w:rPr>
          <w:rFonts w:hint="eastAsia"/>
        </w:rPr>
        <w:t>須為正值」</w:t>
      </w:r>
      <w:r w:rsidRPr="001D3710">
        <w:rPr>
          <w:rFonts w:hint="eastAsia"/>
        </w:rPr>
        <w:t>規範</w:t>
      </w:r>
      <w:r w:rsidRPr="001D3710">
        <w:rPr>
          <w:rStyle w:val="af5"/>
          <w:b/>
          <w:bCs/>
        </w:rPr>
        <w:footnoteReference w:id="3"/>
      </w:r>
      <w:r w:rsidRPr="001D3710">
        <w:rPr>
          <w:rFonts w:hint="eastAsia"/>
        </w:rPr>
        <w:t>，壽險業不得再銷售虧損保單，</w:t>
      </w:r>
      <w:r w:rsidR="00EB1F46" w:rsidRPr="001D3710">
        <w:rPr>
          <w:rFonts w:hint="eastAsia"/>
        </w:rPr>
        <w:t>衡量預期利潤</w:t>
      </w:r>
      <w:r w:rsidR="00D87EB3" w:rsidRPr="001D3710">
        <w:rPr>
          <w:rFonts w:hint="eastAsia"/>
        </w:rPr>
        <w:t>之</w:t>
      </w:r>
      <w:r w:rsidR="00EB1F46" w:rsidRPr="001D3710">
        <w:rPr>
          <w:rFonts w:hint="eastAsia"/>
        </w:rPr>
        <w:t>CSM成為重要指標</w:t>
      </w:r>
      <w:r w:rsidR="005F7489">
        <w:rPr>
          <w:rFonts w:hint="eastAsia"/>
        </w:rPr>
        <w:t>，</w:t>
      </w:r>
      <w:r w:rsidRPr="001D3710">
        <w:rPr>
          <w:rFonts w:hint="eastAsia"/>
        </w:rPr>
        <w:t>以因應保險業115年度接軌</w:t>
      </w:r>
      <w:r w:rsidRPr="001D3710">
        <w:rPr>
          <w:rFonts w:hAnsi="標楷體" w:hint="eastAsia"/>
          <w:snapToGrid/>
          <w:lang w:eastAsia="zh-HK"/>
        </w:rPr>
        <w:t>國際財務報導準則第17號「保險合約」</w:t>
      </w:r>
      <w:r w:rsidRPr="001D3710">
        <w:rPr>
          <w:rFonts w:hAnsi="標楷體" w:hint="eastAsia"/>
        </w:rPr>
        <w:t>（以下簡稱</w:t>
      </w:r>
      <w:r w:rsidRPr="001D3710">
        <w:rPr>
          <w:rFonts w:hAnsi="標楷體"/>
        </w:rPr>
        <w:t>IFRS17</w:t>
      </w:r>
      <w:r w:rsidRPr="001D3710">
        <w:rPr>
          <w:rFonts w:hAnsi="標楷體" w:hint="eastAsia"/>
        </w:rPr>
        <w:t>）</w:t>
      </w:r>
      <w:r w:rsidRPr="003A67EC">
        <w:rPr>
          <w:rStyle w:val="af5"/>
          <w:rFonts w:hAnsi="標楷體"/>
          <w:bCs/>
        </w:rPr>
        <w:footnoteReference w:id="4"/>
      </w:r>
      <w:r w:rsidRPr="001D3710">
        <w:rPr>
          <w:rFonts w:hint="eastAsia"/>
        </w:rPr>
        <w:t>。為配合IFRS17接軌時程，臺銀人壽推動商品策略轉型，商品銷售以經營利潤為導向，提高利潤貢獻度高之商品比重，增裕CSM成為業務推展重點。</w:t>
      </w:r>
    </w:p>
    <w:p w:rsidR="00E5759B" w:rsidRPr="00F34D11" w:rsidRDefault="00FA2182" w:rsidP="00A43F37">
      <w:pPr>
        <w:pStyle w:val="a4"/>
        <w:ind w:left="849" w:hanging="283"/>
      </w:pPr>
      <w:r w:rsidRPr="00F34D11">
        <w:rPr>
          <w:rFonts w:hint="eastAsia"/>
        </w:rPr>
        <w:t>(二)11</w:t>
      </w:r>
      <w:r w:rsidR="00E5759B" w:rsidRPr="00F34D11">
        <w:rPr>
          <w:rFonts w:hint="eastAsia"/>
        </w:rPr>
        <w:t>2</w:t>
      </w:r>
      <w:r w:rsidRPr="00F34D11">
        <w:rPr>
          <w:rFonts w:hint="eastAsia"/>
        </w:rPr>
        <w:t>年度</w:t>
      </w:r>
      <w:r w:rsidR="004D4FC5" w:rsidRPr="00F34D11">
        <w:t>CSM</w:t>
      </w:r>
      <w:r w:rsidRPr="00F34D11">
        <w:rPr>
          <w:rFonts w:hint="eastAsia"/>
        </w:rPr>
        <w:t>目標</w:t>
      </w:r>
      <w:r w:rsidR="00E5759B" w:rsidRPr="00F34D11">
        <w:rPr>
          <w:rFonts w:hint="eastAsia"/>
        </w:rPr>
        <w:t>達成率</w:t>
      </w:r>
      <w:r w:rsidR="003829DE" w:rsidRPr="00F34D11">
        <w:rPr>
          <w:rFonts w:hint="eastAsia"/>
        </w:rPr>
        <w:t>低於111年度</w:t>
      </w:r>
      <w:r w:rsidR="00F34D11" w:rsidRPr="00F34D11">
        <w:rPr>
          <w:rFonts w:hint="eastAsia"/>
        </w:rPr>
        <w:t>，允宜</w:t>
      </w:r>
      <w:r w:rsidR="00A63437">
        <w:rPr>
          <w:rFonts w:hint="eastAsia"/>
        </w:rPr>
        <w:t>審慎規</w:t>
      </w:r>
      <w:r w:rsidR="001A1F33">
        <w:rPr>
          <w:rFonts w:hint="eastAsia"/>
        </w:rPr>
        <w:t>劃</w:t>
      </w:r>
      <w:r w:rsidR="00F34D11" w:rsidRPr="00F34D11">
        <w:rPr>
          <w:rFonts w:hint="eastAsia"/>
        </w:rPr>
        <w:t>保險</w:t>
      </w:r>
      <w:r w:rsidR="00A63437">
        <w:rPr>
          <w:rFonts w:hint="eastAsia"/>
        </w:rPr>
        <w:t>商品並妥謀銷</w:t>
      </w:r>
      <w:r w:rsidR="00F34D11" w:rsidRPr="00F34D11">
        <w:rPr>
          <w:rFonts w:hint="eastAsia"/>
        </w:rPr>
        <w:t>售</w:t>
      </w:r>
      <w:r w:rsidR="00A63437">
        <w:rPr>
          <w:rFonts w:hint="eastAsia"/>
        </w:rPr>
        <w:t>策略</w:t>
      </w:r>
      <w:r w:rsidR="000A3713">
        <w:rPr>
          <w:rFonts w:hint="eastAsia"/>
        </w:rPr>
        <w:t>，以提高經營利潤</w:t>
      </w:r>
    </w:p>
    <w:p w:rsidR="00FA2182" w:rsidRPr="00215A80" w:rsidRDefault="00FA2182" w:rsidP="00D87EB3">
      <w:pPr>
        <w:pStyle w:val="21"/>
        <w:ind w:left="850" w:firstLine="566"/>
        <w:rPr>
          <w:rFonts w:hint="eastAsia"/>
        </w:rPr>
      </w:pPr>
      <w:r w:rsidRPr="00215A80">
        <w:rPr>
          <w:rFonts w:hint="eastAsia"/>
        </w:rPr>
        <w:t>臺銀人壽</w:t>
      </w:r>
      <w:r w:rsidRPr="00215A80">
        <w:t>自111年度起訂</w:t>
      </w:r>
      <w:r w:rsidRPr="00A63437">
        <w:t>定CSM目標值</w:t>
      </w:r>
      <w:r w:rsidRPr="00A63437">
        <w:rPr>
          <w:rStyle w:val="af5"/>
          <w:b/>
          <w:bCs/>
        </w:rPr>
        <w:footnoteReference w:id="5"/>
      </w:r>
      <w:r w:rsidRPr="00A63437">
        <w:t>，商品推</w:t>
      </w:r>
      <w:r w:rsidRPr="00215A80">
        <w:t>展</w:t>
      </w:r>
      <w:r w:rsidRPr="00215A80">
        <w:rPr>
          <w:rFonts w:hint="eastAsia"/>
        </w:rPr>
        <w:t>時</w:t>
      </w:r>
      <w:r w:rsidRPr="00215A80">
        <w:t>納入業務單位年度績效考核項目，要求推展商品時以CSM貢獻度高之</w:t>
      </w:r>
      <w:r w:rsidRPr="00215A80">
        <w:rPr>
          <w:u w:val="single"/>
        </w:rPr>
        <w:t>險種</w:t>
      </w:r>
      <w:r w:rsidRPr="00215A80">
        <w:t>或</w:t>
      </w:r>
      <w:r w:rsidRPr="00215A80">
        <w:rPr>
          <w:u w:val="single"/>
        </w:rPr>
        <w:t>通路</w:t>
      </w:r>
      <w:r w:rsidRPr="00215A80">
        <w:t>為推動重點，</w:t>
      </w:r>
      <w:r w:rsidR="00D87EB3">
        <w:rPr>
          <w:rFonts w:hint="eastAsia"/>
        </w:rPr>
        <w:t>其111年度至113年</w:t>
      </w:r>
      <w:r w:rsidR="00A63437">
        <w:rPr>
          <w:rFonts w:hint="eastAsia"/>
        </w:rPr>
        <w:t>度之</w:t>
      </w:r>
      <w:r w:rsidR="00D87EB3">
        <w:rPr>
          <w:rFonts w:hint="eastAsia"/>
        </w:rPr>
        <w:t>推動情形</w:t>
      </w:r>
      <w:r w:rsidR="004D4FC5">
        <w:rPr>
          <w:rFonts w:hint="eastAsia"/>
        </w:rPr>
        <w:t>詳</w:t>
      </w:r>
      <w:r w:rsidR="00D87EB3">
        <w:rPr>
          <w:rFonts w:hint="eastAsia"/>
        </w:rPr>
        <w:t>表1及表2，謹說明如次</w:t>
      </w:r>
      <w:r w:rsidRPr="00215A80">
        <w:t>：</w:t>
      </w:r>
    </w:p>
    <w:p w:rsidR="001D3710" w:rsidRPr="001D3710" w:rsidRDefault="001D3710" w:rsidP="001D3710">
      <w:pPr>
        <w:pStyle w:val="123"/>
        <w:ind w:left="1133" w:hanging="283"/>
        <w:rPr>
          <w:b w:val="0"/>
          <w:bCs/>
        </w:rPr>
      </w:pPr>
      <w:r w:rsidRPr="001D3710">
        <w:rPr>
          <w:rFonts w:hint="eastAsia"/>
          <w:b w:val="0"/>
          <w:bCs/>
        </w:rPr>
        <w:t>1.</w:t>
      </w:r>
      <w:r w:rsidR="007A2E56" w:rsidRPr="001D3710">
        <w:rPr>
          <w:rFonts w:hint="eastAsia"/>
          <w:b w:val="0"/>
          <w:bCs/>
        </w:rPr>
        <w:t>112年度</w:t>
      </w:r>
      <w:r w:rsidR="00B17A1C" w:rsidRPr="001D3710">
        <w:rPr>
          <w:rFonts w:hint="eastAsia"/>
          <w:b w:val="0"/>
          <w:bCs/>
        </w:rPr>
        <w:t>實際執行情形分析，C</w:t>
      </w:r>
      <w:r w:rsidR="00B17A1C" w:rsidRPr="001D3710">
        <w:rPr>
          <w:b w:val="0"/>
          <w:bCs/>
        </w:rPr>
        <w:t>SM</w:t>
      </w:r>
      <w:r w:rsidR="007A2E56" w:rsidRPr="001D3710">
        <w:rPr>
          <w:rFonts w:hint="eastAsia"/>
          <w:b w:val="0"/>
          <w:bCs/>
        </w:rPr>
        <w:t>實際值及達成率分別為24.63億元及81.3%，分別低於111年度之25.8</w:t>
      </w:r>
      <w:r w:rsidR="00BB6F3A">
        <w:rPr>
          <w:rFonts w:hint="eastAsia"/>
          <w:b w:val="0"/>
          <w:bCs/>
        </w:rPr>
        <w:t>億元</w:t>
      </w:r>
      <w:r w:rsidR="007A2E56" w:rsidRPr="001D3710">
        <w:rPr>
          <w:rFonts w:hint="eastAsia"/>
          <w:b w:val="0"/>
          <w:bCs/>
        </w:rPr>
        <w:t>及90.71%；</w:t>
      </w:r>
      <w:r w:rsidR="00A63437">
        <w:rPr>
          <w:rFonts w:hint="eastAsia"/>
          <w:b w:val="0"/>
          <w:bCs/>
        </w:rPr>
        <w:t>主要係因</w:t>
      </w:r>
      <w:r w:rsidR="007A2E56" w:rsidRPr="001D3710">
        <w:rPr>
          <w:rFonts w:hint="eastAsia"/>
          <w:b w:val="0"/>
          <w:bCs/>
        </w:rPr>
        <w:t>險種</w:t>
      </w:r>
      <w:r w:rsidR="00A63437">
        <w:rPr>
          <w:rFonts w:hint="eastAsia"/>
          <w:b w:val="0"/>
          <w:bCs/>
        </w:rPr>
        <w:t>及通路中</w:t>
      </w:r>
      <w:r w:rsidR="007A2E56" w:rsidRPr="001D3710">
        <w:rPr>
          <w:rFonts w:hint="eastAsia"/>
          <w:b w:val="0"/>
          <w:bCs/>
        </w:rPr>
        <w:t>占比率最高之「終身保險」</w:t>
      </w:r>
      <w:r w:rsidR="00A63437">
        <w:rPr>
          <w:rFonts w:hint="eastAsia"/>
          <w:b w:val="0"/>
          <w:bCs/>
        </w:rPr>
        <w:t>及</w:t>
      </w:r>
      <w:r w:rsidR="00A63437" w:rsidRPr="001D3710">
        <w:rPr>
          <w:rFonts w:hint="eastAsia"/>
          <w:b w:val="0"/>
          <w:bCs/>
        </w:rPr>
        <w:t>「專屬保代」</w:t>
      </w:r>
      <w:r w:rsidR="00A63437">
        <w:rPr>
          <w:rFonts w:hint="eastAsia"/>
          <w:b w:val="0"/>
          <w:bCs/>
        </w:rPr>
        <w:t>，</w:t>
      </w:r>
      <w:r w:rsidR="007A2E56" w:rsidRPr="001D3710">
        <w:rPr>
          <w:rFonts w:hint="eastAsia"/>
          <w:b w:val="0"/>
          <w:bCs/>
        </w:rPr>
        <w:t>達成率</w:t>
      </w:r>
      <w:r w:rsidR="00A63437">
        <w:rPr>
          <w:rFonts w:hint="eastAsia"/>
          <w:b w:val="0"/>
          <w:bCs/>
        </w:rPr>
        <w:t>分別為</w:t>
      </w:r>
      <w:r w:rsidR="007A2E56" w:rsidRPr="001D3710">
        <w:rPr>
          <w:rFonts w:hint="eastAsia"/>
          <w:b w:val="0"/>
          <w:bCs/>
        </w:rPr>
        <w:t>78.1%</w:t>
      </w:r>
      <w:r w:rsidR="00A63437">
        <w:rPr>
          <w:rFonts w:hint="eastAsia"/>
          <w:b w:val="0"/>
          <w:bCs/>
        </w:rPr>
        <w:t>及</w:t>
      </w:r>
      <w:r w:rsidR="007A2E56" w:rsidRPr="001D3710">
        <w:rPr>
          <w:rFonts w:hint="eastAsia"/>
          <w:b w:val="0"/>
          <w:bCs/>
        </w:rPr>
        <w:t>75.73%</w:t>
      </w:r>
      <w:r w:rsidR="000A3713">
        <w:rPr>
          <w:rFonts w:hint="eastAsia"/>
          <w:b w:val="0"/>
          <w:bCs/>
        </w:rPr>
        <w:t>相對</w:t>
      </w:r>
      <w:r w:rsidR="00BB6F3A">
        <w:rPr>
          <w:rFonts w:hint="eastAsia"/>
          <w:b w:val="0"/>
          <w:bCs/>
        </w:rPr>
        <w:t>偏低所致</w:t>
      </w:r>
      <w:r w:rsidR="007A2E56" w:rsidRPr="001D3710">
        <w:rPr>
          <w:rFonts w:hint="eastAsia"/>
          <w:b w:val="0"/>
          <w:bCs/>
        </w:rPr>
        <w:t>。</w:t>
      </w:r>
    </w:p>
    <w:p w:rsidR="00D87EB3" w:rsidRPr="0090626F" w:rsidRDefault="001D3710" w:rsidP="0090626F">
      <w:pPr>
        <w:pStyle w:val="123"/>
        <w:ind w:left="1133" w:hanging="283"/>
        <w:rPr>
          <w:rFonts w:hAnsi="標楷體" w:hint="eastAsia"/>
          <w:b w:val="0"/>
        </w:rPr>
      </w:pPr>
      <w:r>
        <w:rPr>
          <w:rFonts w:hint="eastAsia"/>
          <w:b w:val="0"/>
          <w:bCs/>
        </w:rPr>
        <w:t>2.</w:t>
      </w:r>
      <w:r w:rsidR="004F0577">
        <w:rPr>
          <w:rFonts w:hint="eastAsia"/>
          <w:b w:val="0"/>
          <w:bCs/>
        </w:rPr>
        <w:t>臺銀人壽說明略以</w:t>
      </w:r>
      <w:r w:rsidR="00A63437">
        <w:rPr>
          <w:rFonts w:hint="eastAsia"/>
          <w:b w:val="0"/>
          <w:bCs/>
        </w:rPr>
        <w:t>，</w:t>
      </w:r>
      <w:r w:rsidR="00B17A1C">
        <w:rPr>
          <w:rFonts w:hint="eastAsia"/>
          <w:b w:val="0"/>
          <w:bCs/>
        </w:rPr>
        <w:t>113年度</w:t>
      </w:r>
      <w:r w:rsidR="00B17A1C" w:rsidRPr="00CD255E">
        <w:rPr>
          <w:rFonts w:hint="eastAsia"/>
          <w:b w:val="0"/>
          <w:bCs/>
        </w:rPr>
        <w:t>CSM設定</w:t>
      </w:r>
      <w:r w:rsidR="004D4FC5">
        <w:rPr>
          <w:rFonts w:hint="eastAsia"/>
          <w:b w:val="0"/>
          <w:bCs/>
        </w:rPr>
        <w:t>目標為</w:t>
      </w:r>
      <w:r w:rsidR="00B17A1C" w:rsidRPr="00CD255E">
        <w:rPr>
          <w:rFonts w:hint="eastAsia"/>
          <w:b w:val="0"/>
          <w:bCs/>
        </w:rPr>
        <w:t>較前一年度實際數成長51.61</w:t>
      </w:r>
      <w:r w:rsidR="00B17A1C" w:rsidRPr="00CD255E">
        <w:rPr>
          <w:b w:val="0"/>
          <w:bCs/>
        </w:rPr>
        <w:t>%</w:t>
      </w:r>
      <w:r w:rsidR="00B17A1C" w:rsidRPr="00CD255E">
        <w:rPr>
          <w:rFonts w:hint="eastAsia"/>
          <w:b w:val="0"/>
          <w:bCs/>
        </w:rPr>
        <w:t>，列為業務推展重點，並納入年度考核項目，激勵業務單位銷售利潤貢獻度高之商品</w:t>
      </w:r>
      <w:r w:rsidR="00B17A1C">
        <w:rPr>
          <w:rFonts w:hint="eastAsia"/>
          <w:b w:val="0"/>
          <w:bCs/>
        </w:rPr>
        <w:t>，</w:t>
      </w:r>
      <w:r w:rsidR="00B17A1C" w:rsidRPr="00CD255E">
        <w:rPr>
          <w:rFonts w:hint="eastAsia"/>
          <w:b w:val="0"/>
          <w:bCs/>
        </w:rPr>
        <w:t>考量銀行拉高美元優惠定存利率積極搶市以及其他業別金融商品較受客戶青睞等不利因素</w:t>
      </w:r>
      <w:r w:rsidR="00B17A1C">
        <w:rPr>
          <w:rFonts w:hint="eastAsia"/>
          <w:b w:val="0"/>
          <w:bCs/>
        </w:rPr>
        <w:t>，</w:t>
      </w:r>
      <w:r w:rsidR="00B17A1C" w:rsidRPr="00CD255E">
        <w:rPr>
          <w:rFonts w:hint="eastAsia"/>
          <w:b w:val="0"/>
          <w:bCs/>
        </w:rPr>
        <w:t>並參酌112年實際執行情形，未訂定</w:t>
      </w:r>
      <w:r w:rsidR="00B17A1C" w:rsidRPr="00CD255E">
        <w:rPr>
          <w:b w:val="0"/>
          <w:bCs/>
        </w:rPr>
        <w:t>美元保單目標數</w:t>
      </w:r>
      <w:r w:rsidR="00B17A1C" w:rsidRPr="00CD255E">
        <w:rPr>
          <w:rFonts w:hint="eastAsia"/>
          <w:b w:val="0"/>
          <w:bCs/>
        </w:rPr>
        <w:t>，另配合新臺幣利變壽險之推出，新增利變壽險目標數。</w:t>
      </w:r>
      <w:r w:rsidR="00D87EB3" w:rsidRPr="0090626F">
        <w:rPr>
          <w:rFonts w:hAnsi="標楷體" w:hint="eastAsia"/>
          <w:b w:val="0"/>
        </w:rPr>
        <w:t>114年度CSM預定目標為56.55億元，較113年度目標數37.34億元成長51.45%，主</w:t>
      </w:r>
      <w:r w:rsidR="000A3713">
        <w:rPr>
          <w:rFonts w:hAnsi="標楷體" w:hint="eastAsia"/>
          <w:b w:val="0"/>
        </w:rPr>
        <w:t>因</w:t>
      </w:r>
      <w:r w:rsidR="00D87EB3" w:rsidRPr="0090626F">
        <w:rPr>
          <w:rFonts w:hAnsi="標楷體" w:hint="eastAsia"/>
          <w:b w:val="0"/>
        </w:rPr>
        <w:t>為美元保單重新訂定目標</w:t>
      </w:r>
      <w:r w:rsidR="000A3713">
        <w:rPr>
          <w:rFonts w:hAnsi="標楷體" w:hint="eastAsia"/>
          <w:b w:val="0"/>
        </w:rPr>
        <w:t>，又</w:t>
      </w:r>
      <w:r w:rsidR="00D87EB3" w:rsidRPr="0090626F">
        <w:rPr>
          <w:rFonts w:hAnsi="標楷體" w:hint="eastAsia"/>
          <w:b w:val="0"/>
        </w:rPr>
        <w:t>美國聯準會終結升息循環開啟降息走勢，市場預期114年美國仍將持續降息政策，有利推動美元保單銷售。</w:t>
      </w:r>
    </w:p>
    <w:p w:rsidR="00EF779B" w:rsidRPr="00A63437" w:rsidRDefault="00EF779B" w:rsidP="00A63437">
      <w:pPr>
        <w:pStyle w:val="21"/>
        <w:ind w:left="850" w:firstLine="566"/>
        <w:rPr>
          <w:rFonts w:hint="eastAsia"/>
        </w:rPr>
      </w:pPr>
      <w:r w:rsidRPr="00A63437">
        <w:rPr>
          <w:rFonts w:hint="eastAsia"/>
        </w:rPr>
        <w:t>臺銀人壽112年度之</w:t>
      </w:r>
      <w:r w:rsidR="00A63437">
        <w:rPr>
          <w:rFonts w:hint="eastAsia"/>
        </w:rPr>
        <w:t>CSM</w:t>
      </w:r>
      <w:r w:rsidRPr="00A63437">
        <w:rPr>
          <w:rFonts w:hint="eastAsia"/>
        </w:rPr>
        <w:t>目標達成率81.3%，低於111年度90.71%，</w:t>
      </w:r>
      <w:r w:rsidR="00A63437">
        <w:rPr>
          <w:rFonts w:hint="eastAsia"/>
        </w:rPr>
        <w:t>雖</w:t>
      </w:r>
      <w:r w:rsidRPr="00A63437">
        <w:rPr>
          <w:rFonts w:hint="eastAsia"/>
        </w:rPr>
        <w:t>113年迄9月底止達成率78.42%，較112年度同期(61.63%)高，仍宜</w:t>
      </w:r>
      <w:r w:rsidR="00A63437">
        <w:rPr>
          <w:rFonts w:hint="eastAsia"/>
        </w:rPr>
        <w:t>審慎設計</w:t>
      </w:r>
      <w:r w:rsidRPr="00A63437">
        <w:rPr>
          <w:rFonts w:hint="eastAsia"/>
        </w:rPr>
        <w:t>保險商品</w:t>
      </w:r>
      <w:r w:rsidR="00A63437">
        <w:rPr>
          <w:rFonts w:hint="eastAsia"/>
        </w:rPr>
        <w:t>，並針對不同銷售通路妥謀</w:t>
      </w:r>
      <w:r w:rsidRPr="00A63437">
        <w:rPr>
          <w:rFonts w:hint="eastAsia"/>
        </w:rPr>
        <w:t>銷售策略，俾利</w:t>
      </w:r>
      <w:r w:rsidR="00BB6F3A" w:rsidRPr="00A63437">
        <w:rPr>
          <w:rFonts w:hint="eastAsia"/>
        </w:rPr>
        <w:t>提升</w:t>
      </w:r>
      <w:bookmarkStart w:id="14" w:name="_Hlk181940260"/>
      <w:r w:rsidR="00BB6F3A" w:rsidRPr="00A63437">
        <w:rPr>
          <w:rFonts w:hint="eastAsia"/>
        </w:rPr>
        <w:t>保單邊際貢獻</w:t>
      </w:r>
      <w:bookmarkEnd w:id="14"/>
      <w:r w:rsidR="00BB6F3A" w:rsidRPr="00A63437">
        <w:rPr>
          <w:rFonts w:hint="eastAsia"/>
        </w:rPr>
        <w:t>，</w:t>
      </w:r>
      <w:r w:rsidRPr="00A63437">
        <w:rPr>
          <w:rFonts w:hint="eastAsia"/>
        </w:rPr>
        <w:t>未來順利接軌</w:t>
      </w:r>
      <w:r w:rsidRPr="00A63437">
        <w:t>IFRS17</w:t>
      </w:r>
      <w:r w:rsidRPr="00A63437">
        <w:rPr>
          <w:rFonts w:hint="eastAsia"/>
        </w:rPr>
        <w:t>。</w:t>
      </w:r>
    </w:p>
    <w:p w:rsidR="00EF779B" w:rsidRPr="00EF779B" w:rsidRDefault="00EF779B" w:rsidP="00EF779B">
      <w:pPr>
        <w:ind w:left="566" w:firstLine="566"/>
        <w:rPr>
          <w:bCs/>
        </w:rPr>
      </w:pPr>
      <w:r w:rsidRPr="00EF779B">
        <w:rPr>
          <w:rFonts w:hint="eastAsia"/>
          <w:bCs/>
        </w:rPr>
        <w:t>綜上，</w:t>
      </w:r>
      <w:r w:rsidRPr="00EF779B">
        <w:rPr>
          <w:rFonts w:hint="eastAsia"/>
        </w:rPr>
        <w:t>臺銀人壽自</w:t>
      </w:r>
      <w:r w:rsidRPr="00EF779B">
        <w:t>111</w:t>
      </w:r>
      <w:r w:rsidRPr="00EF779B">
        <w:rPr>
          <w:rFonts w:hint="eastAsia"/>
        </w:rPr>
        <w:t>年起訂定</w:t>
      </w:r>
      <w:r w:rsidRPr="00EF779B">
        <w:t>CSM</w:t>
      </w:r>
      <w:r w:rsidRPr="00EF779B">
        <w:rPr>
          <w:rFonts w:hint="eastAsia"/>
        </w:rPr>
        <w:t>目標，要求業務單位推展商品時以</w:t>
      </w:r>
      <w:r w:rsidRPr="00EF779B">
        <w:t>CSM</w:t>
      </w:r>
      <w:r w:rsidRPr="00EF779B">
        <w:rPr>
          <w:rFonts w:hint="eastAsia"/>
        </w:rPr>
        <w:t>貢獻度高之險種或通路為推動重點，</w:t>
      </w:r>
      <w:r w:rsidR="003501ED" w:rsidRPr="00EF779B">
        <w:rPr>
          <w:rFonts w:hint="eastAsia"/>
        </w:rPr>
        <w:t>112年度</w:t>
      </w:r>
      <w:r w:rsidR="003501ED">
        <w:rPr>
          <w:rFonts w:hint="eastAsia"/>
        </w:rPr>
        <w:t>CSM目標</w:t>
      </w:r>
      <w:r w:rsidR="003501ED" w:rsidRPr="00EF779B">
        <w:rPr>
          <w:rFonts w:hint="eastAsia"/>
        </w:rPr>
        <w:t>達成率低於111年度，</w:t>
      </w:r>
      <w:r w:rsidRPr="00EF779B">
        <w:rPr>
          <w:rFonts w:hint="eastAsia"/>
        </w:rPr>
        <w:t>113年度迄9月底止，</w:t>
      </w:r>
      <w:r w:rsidR="003501ED">
        <w:rPr>
          <w:rFonts w:hint="eastAsia"/>
        </w:rPr>
        <w:t>達</w:t>
      </w:r>
      <w:r w:rsidRPr="00EF779B">
        <w:rPr>
          <w:rFonts w:hint="eastAsia"/>
        </w:rPr>
        <w:t>成率</w:t>
      </w:r>
      <w:r w:rsidR="003501ED">
        <w:rPr>
          <w:rFonts w:hint="eastAsia"/>
        </w:rPr>
        <w:t>雖</w:t>
      </w:r>
      <w:r w:rsidRPr="00EF779B">
        <w:rPr>
          <w:rFonts w:hint="eastAsia"/>
        </w:rPr>
        <w:t>高於112年度同期，</w:t>
      </w:r>
      <w:r w:rsidR="003501ED">
        <w:rPr>
          <w:rFonts w:hint="eastAsia"/>
        </w:rPr>
        <w:t>惟仍有改善空間，</w:t>
      </w:r>
      <w:r w:rsidRPr="00EF779B">
        <w:rPr>
          <w:rFonts w:hint="eastAsia"/>
        </w:rPr>
        <w:t>允宜</w:t>
      </w:r>
      <w:r w:rsidR="00A63437">
        <w:rPr>
          <w:rFonts w:hint="eastAsia"/>
        </w:rPr>
        <w:t>審慎規</w:t>
      </w:r>
      <w:r w:rsidR="001A1F33">
        <w:rPr>
          <w:rFonts w:hint="eastAsia"/>
        </w:rPr>
        <w:t>劃</w:t>
      </w:r>
      <w:r w:rsidR="003501ED">
        <w:rPr>
          <w:rFonts w:hint="eastAsia"/>
        </w:rPr>
        <w:t>保險</w:t>
      </w:r>
      <w:r w:rsidR="00F34D11">
        <w:rPr>
          <w:rFonts w:hint="eastAsia"/>
        </w:rPr>
        <w:t>商品</w:t>
      </w:r>
      <w:r w:rsidR="00A63437">
        <w:rPr>
          <w:rFonts w:hint="eastAsia"/>
        </w:rPr>
        <w:t>，並針對不同銷售通道妥謀</w:t>
      </w:r>
      <w:r w:rsidR="00F34D11">
        <w:rPr>
          <w:rFonts w:hint="eastAsia"/>
        </w:rPr>
        <w:t>銷售</w:t>
      </w:r>
      <w:r w:rsidR="00A63437">
        <w:rPr>
          <w:rFonts w:hint="eastAsia"/>
        </w:rPr>
        <w:t>策略</w:t>
      </w:r>
      <w:r w:rsidRPr="00EF779B">
        <w:rPr>
          <w:rFonts w:hint="eastAsia"/>
        </w:rPr>
        <w:t>，俾利</w:t>
      </w:r>
      <w:r w:rsidR="00F34D11">
        <w:rPr>
          <w:rFonts w:hint="eastAsia"/>
        </w:rPr>
        <w:t>提升</w:t>
      </w:r>
      <w:r w:rsidR="000A3713">
        <w:rPr>
          <w:rFonts w:hint="eastAsia"/>
        </w:rPr>
        <w:t>經營利潤</w:t>
      </w:r>
      <w:r w:rsidR="00F34D11">
        <w:rPr>
          <w:rFonts w:hint="eastAsia"/>
        </w:rPr>
        <w:t>，</w:t>
      </w:r>
      <w:r w:rsidR="000A3713">
        <w:rPr>
          <w:rFonts w:hint="eastAsia"/>
        </w:rPr>
        <w:t>因應未來</w:t>
      </w:r>
      <w:r w:rsidRPr="00EF779B">
        <w:rPr>
          <w:rFonts w:hint="eastAsia"/>
          <w:bCs/>
        </w:rPr>
        <w:t>接軌IFRS17。</w:t>
      </w:r>
    </w:p>
    <w:p w:rsidR="00FA2182" w:rsidRPr="00434D32" w:rsidRDefault="00FA2182" w:rsidP="00CF708B">
      <w:pPr>
        <w:tabs>
          <w:tab w:val="left" w:pos="709"/>
        </w:tabs>
        <w:spacing w:beforeLines="50" w:before="250" w:line="400" w:lineRule="exact"/>
        <w:ind w:leftChars="0" w:left="0" w:firstLineChars="0" w:firstLine="0"/>
        <w:rPr>
          <w:rFonts w:hAnsi="標楷體"/>
          <w:b/>
          <w:bCs/>
        </w:rPr>
      </w:pPr>
      <w:r w:rsidRPr="00434D32">
        <w:rPr>
          <w:rFonts w:hAnsi="標楷體" w:hint="eastAsia"/>
          <w:b/>
          <w:bCs/>
        </w:rPr>
        <w:t>表1  臺銀人壽1</w:t>
      </w:r>
      <w:r w:rsidRPr="00434D32">
        <w:rPr>
          <w:rFonts w:hAnsi="標楷體"/>
          <w:b/>
          <w:bCs/>
        </w:rPr>
        <w:t>11</w:t>
      </w:r>
      <w:r w:rsidRPr="00434D32">
        <w:rPr>
          <w:rFonts w:hAnsi="標楷體" w:hint="eastAsia"/>
          <w:b/>
          <w:bCs/>
        </w:rPr>
        <w:t>年度</w:t>
      </w:r>
      <w:r w:rsidR="001A1F33">
        <w:rPr>
          <w:rFonts w:hAnsi="標楷體" w:hint="eastAsia"/>
          <w:b/>
          <w:bCs/>
        </w:rPr>
        <w:t>至</w:t>
      </w:r>
      <w:r w:rsidRPr="00434D32">
        <w:rPr>
          <w:rFonts w:hAnsi="標楷體"/>
          <w:b/>
          <w:bCs/>
        </w:rPr>
        <w:t>11</w:t>
      </w:r>
      <w:r w:rsidR="002047F5" w:rsidRPr="00434D32">
        <w:rPr>
          <w:rFonts w:hAnsi="標楷體" w:hint="eastAsia"/>
          <w:b/>
          <w:bCs/>
        </w:rPr>
        <w:t>3</w:t>
      </w:r>
      <w:r w:rsidRPr="00434D32">
        <w:rPr>
          <w:rFonts w:hAnsi="標楷體"/>
          <w:b/>
          <w:bCs/>
        </w:rPr>
        <w:t>年</w:t>
      </w:r>
      <w:r w:rsidRPr="00434D32">
        <w:rPr>
          <w:rFonts w:hAnsi="標楷體" w:hint="eastAsia"/>
          <w:b/>
          <w:bCs/>
        </w:rPr>
        <w:t>度</w:t>
      </w:r>
      <w:r w:rsidRPr="00434D32">
        <w:rPr>
          <w:rFonts w:hAnsi="標楷體"/>
          <w:b/>
          <w:bCs/>
        </w:rPr>
        <w:t>截至9月</w:t>
      </w:r>
      <w:r w:rsidRPr="00434D32">
        <w:rPr>
          <w:rFonts w:hAnsi="標楷體" w:hint="eastAsia"/>
          <w:b/>
          <w:bCs/>
        </w:rPr>
        <w:t>底止</w:t>
      </w:r>
      <w:r w:rsidRPr="00434D32">
        <w:rPr>
          <w:rFonts w:hAnsi="標楷體"/>
          <w:b/>
          <w:bCs/>
        </w:rPr>
        <w:t>各</w:t>
      </w:r>
      <w:r w:rsidRPr="00434D32">
        <w:rPr>
          <w:rFonts w:hAnsi="標楷體" w:hint="eastAsia"/>
          <w:b/>
          <w:bCs/>
        </w:rPr>
        <w:t>險種</w:t>
      </w:r>
      <w:r w:rsidRPr="00434D32">
        <w:rPr>
          <w:rFonts w:hAnsi="標楷體"/>
          <w:b/>
          <w:bCs/>
        </w:rPr>
        <w:t>CSM明細表</w:t>
      </w:r>
    </w:p>
    <w:p w:rsidR="003A6CDD" w:rsidRPr="00434D32" w:rsidRDefault="003A6CDD" w:rsidP="003A6CDD">
      <w:pPr>
        <w:pStyle w:val="142"/>
        <w:ind w:left="850" w:firstLine="566"/>
        <w:jc w:val="right"/>
        <w:rPr>
          <w:rFonts w:ascii="Times New Roman"/>
        </w:rPr>
      </w:pPr>
      <w:r w:rsidRPr="00434D32">
        <w:rPr>
          <w:rFonts w:ascii="Times New Roman"/>
        </w:rPr>
        <w:t>單位：新臺幣億元</w:t>
      </w:r>
      <w:r w:rsidRPr="00C1659C">
        <w:rPr>
          <w:rFonts w:hAnsi="標楷體"/>
        </w:rPr>
        <w:t>；</w:t>
      </w:r>
      <w:r w:rsidR="00C1659C" w:rsidRPr="00C1659C">
        <w:rPr>
          <w:rFonts w:hAnsi="標楷體" w:hint="eastAsia"/>
        </w:rPr>
        <w:t>%</w:t>
      </w:r>
    </w:p>
    <w:tbl>
      <w:tblPr>
        <w:tblW w:w="8532"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276"/>
        <w:gridCol w:w="851"/>
        <w:gridCol w:w="850"/>
        <w:gridCol w:w="709"/>
        <w:gridCol w:w="850"/>
        <w:gridCol w:w="851"/>
        <w:gridCol w:w="709"/>
        <w:gridCol w:w="746"/>
        <w:gridCol w:w="845"/>
        <w:gridCol w:w="845"/>
      </w:tblGrid>
      <w:tr w:rsidR="00EF779B" w:rsidRPr="00434D32" w:rsidTr="001A4764">
        <w:trPr>
          <w:trHeight w:val="330"/>
        </w:trPr>
        <w:tc>
          <w:tcPr>
            <w:tcW w:w="1276" w:type="dxa"/>
            <w:vMerge w:val="restart"/>
            <w:shd w:val="clear" w:color="auto" w:fill="auto"/>
            <w:vAlign w:val="center"/>
          </w:tcPr>
          <w:p w:rsidR="00EF779B" w:rsidRPr="00434D32" w:rsidRDefault="00EF779B" w:rsidP="003A6CDD">
            <w:pPr>
              <w:pStyle w:val="14-12"/>
            </w:pPr>
            <w:r w:rsidRPr="00434D32">
              <w:t>險種別</w:t>
            </w:r>
          </w:p>
        </w:tc>
        <w:tc>
          <w:tcPr>
            <w:tcW w:w="1701" w:type="dxa"/>
            <w:gridSpan w:val="2"/>
          </w:tcPr>
          <w:p w:rsidR="00EF779B" w:rsidRPr="00434D32" w:rsidRDefault="00EF779B" w:rsidP="003A6CDD">
            <w:pPr>
              <w:pStyle w:val="14-12"/>
              <w:jc w:val="center"/>
            </w:pPr>
            <w:r w:rsidRPr="00434D32">
              <w:rPr>
                <w:rFonts w:hint="eastAsia"/>
              </w:rPr>
              <w:t>1</w:t>
            </w:r>
            <w:r w:rsidRPr="00434D32">
              <w:t>11</w:t>
            </w:r>
            <w:r w:rsidRPr="00434D32">
              <w:rPr>
                <w:rFonts w:hint="eastAsia"/>
              </w:rPr>
              <w:t>年度</w:t>
            </w:r>
          </w:p>
        </w:tc>
        <w:tc>
          <w:tcPr>
            <w:tcW w:w="1559" w:type="dxa"/>
            <w:gridSpan w:val="2"/>
          </w:tcPr>
          <w:p w:rsidR="00EF779B" w:rsidRPr="00434D32" w:rsidRDefault="00EF779B" w:rsidP="003A6CDD">
            <w:pPr>
              <w:pStyle w:val="14-12"/>
              <w:jc w:val="center"/>
            </w:pPr>
            <w:r w:rsidRPr="00434D32">
              <w:t>112年度</w:t>
            </w:r>
          </w:p>
        </w:tc>
        <w:tc>
          <w:tcPr>
            <w:tcW w:w="3996" w:type="dxa"/>
            <w:gridSpan w:val="5"/>
            <w:shd w:val="clear" w:color="auto" w:fill="auto"/>
            <w:vAlign w:val="center"/>
          </w:tcPr>
          <w:p w:rsidR="00EF779B" w:rsidRPr="00434D32" w:rsidRDefault="00EF779B" w:rsidP="003A6CDD">
            <w:pPr>
              <w:pStyle w:val="14-12"/>
              <w:jc w:val="center"/>
            </w:pPr>
            <w:r w:rsidRPr="00434D32">
              <w:t>113年度截至</w:t>
            </w:r>
            <w:r w:rsidRPr="00434D32">
              <w:rPr>
                <w:rFonts w:hint="eastAsia"/>
              </w:rPr>
              <w:t>9</w:t>
            </w:r>
            <w:r w:rsidRPr="00434D32">
              <w:t>月底止</w:t>
            </w:r>
          </w:p>
        </w:tc>
      </w:tr>
      <w:tr w:rsidR="002047F5" w:rsidRPr="00434D32" w:rsidTr="001A4764">
        <w:trPr>
          <w:trHeight w:val="330"/>
        </w:trPr>
        <w:tc>
          <w:tcPr>
            <w:tcW w:w="1276" w:type="dxa"/>
            <w:vMerge/>
            <w:shd w:val="clear" w:color="auto" w:fill="auto"/>
            <w:vAlign w:val="center"/>
          </w:tcPr>
          <w:p w:rsidR="002047F5" w:rsidRPr="00434D32" w:rsidRDefault="002047F5" w:rsidP="002047F5">
            <w:pPr>
              <w:pStyle w:val="14-12"/>
            </w:pPr>
          </w:p>
        </w:tc>
        <w:tc>
          <w:tcPr>
            <w:tcW w:w="851" w:type="dxa"/>
            <w:vAlign w:val="center"/>
          </w:tcPr>
          <w:p w:rsidR="002047F5" w:rsidRPr="00434D32" w:rsidRDefault="002047F5" w:rsidP="002047F5">
            <w:pPr>
              <w:pStyle w:val="14-2"/>
              <w:jc w:val="center"/>
            </w:pPr>
            <w:r w:rsidRPr="00434D32">
              <w:rPr>
                <w:rFonts w:hAnsi="標楷體"/>
              </w:rPr>
              <w:t>實際值</w:t>
            </w:r>
          </w:p>
        </w:tc>
        <w:tc>
          <w:tcPr>
            <w:tcW w:w="850" w:type="dxa"/>
            <w:vAlign w:val="center"/>
          </w:tcPr>
          <w:p w:rsidR="002047F5" w:rsidRPr="00434D32" w:rsidRDefault="002047F5" w:rsidP="002047F5">
            <w:pPr>
              <w:pStyle w:val="14-2"/>
              <w:jc w:val="center"/>
            </w:pPr>
            <w:r w:rsidRPr="00434D32">
              <w:rPr>
                <w:rFonts w:hAnsi="標楷體"/>
              </w:rPr>
              <w:t>達成率</w:t>
            </w:r>
          </w:p>
        </w:tc>
        <w:tc>
          <w:tcPr>
            <w:tcW w:w="709" w:type="dxa"/>
            <w:vAlign w:val="center"/>
          </w:tcPr>
          <w:p w:rsidR="002047F5" w:rsidRPr="00434D32" w:rsidRDefault="002047F5" w:rsidP="001A4764">
            <w:pPr>
              <w:pStyle w:val="14-12"/>
              <w:jc w:val="center"/>
            </w:pPr>
            <w:r w:rsidRPr="00434D32">
              <w:t>實際值</w:t>
            </w:r>
          </w:p>
        </w:tc>
        <w:tc>
          <w:tcPr>
            <w:tcW w:w="850" w:type="dxa"/>
            <w:vAlign w:val="center"/>
          </w:tcPr>
          <w:p w:rsidR="002047F5" w:rsidRPr="00434D32" w:rsidRDefault="002047F5" w:rsidP="001A4764">
            <w:pPr>
              <w:pStyle w:val="14-12"/>
              <w:jc w:val="center"/>
            </w:pPr>
            <w:r w:rsidRPr="00434D32">
              <w:t>達成率</w:t>
            </w:r>
          </w:p>
        </w:tc>
        <w:tc>
          <w:tcPr>
            <w:tcW w:w="851" w:type="dxa"/>
            <w:shd w:val="clear" w:color="auto" w:fill="auto"/>
            <w:vAlign w:val="center"/>
          </w:tcPr>
          <w:p w:rsidR="002047F5" w:rsidRPr="00434D32" w:rsidRDefault="002047F5" w:rsidP="001A4764">
            <w:pPr>
              <w:pStyle w:val="14-12"/>
              <w:jc w:val="center"/>
            </w:pPr>
            <w:r w:rsidRPr="00434D32">
              <w:t>實際值</w:t>
            </w:r>
          </w:p>
        </w:tc>
        <w:tc>
          <w:tcPr>
            <w:tcW w:w="709" w:type="dxa"/>
            <w:shd w:val="clear" w:color="auto" w:fill="auto"/>
            <w:vAlign w:val="center"/>
          </w:tcPr>
          <w:p w:rsidR="002047F5" w:rsidRPr="00434D32" w:rsidRDefault="002047F5" w:rsidP="002047F5">
            <w:pPr>
              <w:pStyle w:val="14-12"/>
              <w:jc w:val="center"/>
            </w:pPr>
            <w:r w:rsidRPr="00434D32">
              <w:t>占率</w:t>
            </w:r>
          </w:p>
        </w:tc>
        <w:tc>
          <w:tcPr>
            <w:tcW w:w="746" w:type="dxa"/>
            <w:vAlign w:val="center"/>
          </w:tcPr>
          <w:p w:rsidR="002047F5" w:rsidRPr="00434D32" w:rsidRDefault="002047F5" w:rsidP="001A4764">
            <w:pPr>
              <w:pStyle w:val="14-12"/>
              <w:jc w:val="center"/>
            </w:pPr>
            <w:r w:rsidRPr="00434D32">
              <w:t>目標值</w:t>
            </w:r>
          </w:p>
        </w:tc>
        <w:tc>
          <w:tcPr>
            <w:tcW w:w="845" w:type="dxa"/>
            <w:vAlign w:val="center"/>
          </w:tcPr>
          <w:p w:rsidR="002047F5" w:rsidRPr="00434D32" w:rsidRDefault="002047F5" w:rsidP="002047F5">
            <w:pPr>
              <w:pStyle w:val="14-12"/>
              <w:jc w:val="center"/>
            </w:pPr>
            <w:r w:rsidRPr="00434D32">
              <w:t>年度目標達成率</w:t>
            </w:r>
          </w:p>
        </w:tc>
        <w:tc>
          <w:tcPr>
            <w:tcW w:w="845" w:type="dxa"/>
          </w:tcPr>
          <w:p w:rsidR="002047F5" w:rsidRPr="00434D32" w:rsidRDefault="002047F5" w:rsidP="002047F5">
            <w:pPr>
              <w:pStyle w:val="14-12"/>
              <w:jc w:val="center"/>
            </w:pPr>
            <w:r w:rsidRPr="00434D32">
              <w:t>112年</w:t>
            </w:r>
            <w:r w:rsidR="00176EC4" w:rsidRPr="00434D32">
              <w:rPr>
                <w:rFonts w:hint="eastAsia"/>
              </w:rPr>
              <w:t>9</w:t>
            </w:r>
            <w:r w:rsidRPr="00434D32">
              <w:t>月同期成長率</w:t>
            </w:r>
          </w:p>
        </w:tc>
      </w:tr>
      <w:tr w:rsidR="002047F5" w:rsidRPr="00434D32" w:rsidTr="001A4764">
        <w:trPr>
          <w:trHeight w:val="185"/>
        </w:trPr>
        <w:tc>
          <w:tcPr>
            <w:tcW w:w="1276" w:type="dxa"/>
            <w:shd w:val="clear" w:color="auto" w:fill="auto"/>
            <w:vAlign w:val="center"/>
          </w:tcPr>
          <w:p w:rsidR="002047F5" w:rsidRPr="00434D32" w:rsidRDefault="002047F5" w:rsidP="002047F5">
            <w:pPr>
              <w:pStyle w:val="14-12"/>
            </w:pPr>
            <w:r w:rsidRPr="00434D32">
              <w:t>美元保單</w:t>
            </w:r>
          </w:p>
        </w:tc>
        <w:tc>
          <w:tcPr>
            <w:tcW w:w="851" w:type="dxa"/>
            <w:vAlign w:val="center"/>
          </w:tcPr>
          <w:p w:rsidR="002047F5" w:rsidRPr="00434D32" w:rsidRDefault="002047F5" w:rsidP="002047F5">
            <w:pPr>
              <w:pStyle w:val="14-12"/>
              <w:jc w:val="right"/>
            </w:pPr>
            <w:r w:rsidRPr="00434D32">
              <w:t>1.16</w:t>
            </w:r>
          </w:p>
        </w:tc>
        <w:tc>
          <w:tcPr>
            <w:tcW w:w="850" w:type="dxa"/>
            <w:vAlign w:val="center"/>
          </w:tcPr>
          <w:p w:rsidR="002047F5" w:rsidRPr="00434D32" w:rsidRDefault="002047F5" w:rsidP="002047F5">
            <w:pPr>
              <w:pStyle w:val="14-12"/>
              <w:jc w:val="right"/>
            </w:pPr>
            <w:r w:rsidRPr="00434D32">
              <w:t>33.55</w:t>
            </w:r>
          </w:p>
        </w:tc>
        <w:tc>
          <w:tcPr>
            <w:tcW w:w="709" w:type="dxa"/>
            <w:vAlign w:val="center"/>
          </w:tcPr>
          <w:p w:rsidR="002047F5" w:rsidRPr="00434D32" w:rsidRDefault="002047F5" w:rsidP="002047F5">
            <w:pPr>
              <w:pStyle w:val="14-12"/>
              <w:jc w:val="right"/>
            </w:pPr>
            <w:r w:rsidRPr="00434D32">
              <w:t>0.70</w:t>
            </w:r>
          </w:p>
        </w:tc>
        <w:tc>
          <w:tcPr>
            <w:tcW w:w="850" w:type="dxa"/>
            <w:vAlign w:val="center"/>
          </w:tcPr>
          <w:p w:rsidR="002047F5" w:rsidRPr="00434D32" w:rsidRDefault="002047F5" w:rsidP="002047F5">
            <w:pPr>
              <w:pStyle w:val="14-12"/>
              <w:jc w:val="right"/>
            </w:pPr>
            <w:r w:rsidRPr="00434D32">
              <w:t>46.02</w:t>
            </w:r>
          </w:p>
        </w:tc>
        <w:tc>
          <w:tcPr>
            <w:tcW w:w="851" w:type="dxa"/>
            <w:shd w:val="clear" w:color="auto" w:fill="auto"/>
            <w:vAlign w:val="center"/>
          </w:tcPr>
          <w:p w:rsidR="002047F5" w:rsidRPr="00434D32" w:rsidRDefault="002047F5" w:rsidP="002047F5">
            <w:pPr>
              <w:pStyle w:val="14-12"/>
              <w:jc w:val="right"/>
            </w:pPr>
            <w:r w:rsidRPr="00434D32">
              <w:t>-</w:t>
            </w:r>
          </w:p>
        </w:tc>
        <w:tc>
          <w:tcPr>
            <w:tcW w:w="709" w:type="dxa"/>
            <w:shd w:val="clear" w:color="auto" w:fill="auto"/>
            <w:vAlign w:val="center"/>
          </w:tcPr>
          <w:p w:rsidR="002047F5" w:rsidRPr="00434D32" w:rsidRDefault="002047F5" w:rsidP="002047F5">
            <w:pPr>
              <w:pStyle w:val="14-12"/>
              <w:jc w:val="right"/>
            </w:pPr>
            <w:r w:rsidRPr="00434D32">
              <w:t>-</w:t>
            </w:r>
          </w:p>
        </w:tc>
        <w:tc>
          <w:tcPr>
            <w:tcW w:w="746" w:type="dxa"/>
            <w:vAlign w:val="center"/>
          </w:tcPr>
          <w:p w:rsidR="002047F5" w:rsidRPr="00434D32" w:rsidRDefault="002047F5" w:rsidP="002047F5">
            <w:pPr>
              <w:pStyle w:val="14-12"/>
              <w:jc w:val="right"/>
            </w:pPr>
            <w:r w:rsidRPr="00434D32">
              <w:t>-</w:t>
            </w:r>
          </w:p>
        </w:tc>
        <w:tc>
          <w:tcPr>
            <w:tcW w:w="845" w:type="dxa"/>
            <w:vAlign w:val="center"/>
          </w:tcPr>
          <w:p w:rsidR="002047F5" w:rsidRPr="00434D32" w:rsidRDefault="002047F5" w:rsidP="002047F5">
            <w:pPr>
              <w:pStyle w:val="14-12"/>
              <w:jc w:val="right"/>
            </w:pPr>
            <w:r w:rsidRPr="00434D32">
              <w:t>-</w:t>
            </w:r>
          </w:p>
        </w:tc>
        <w:tc>
          <w:tcPr>
            <w:tcW w:w="845" w:type="dxa"/>
            <w:vAlign w:val="center"/>
          </w:tcPr>
          <w:p w:rsidR="002047F5" w:rsidRPr="00434D32" w:rsidRDefault="002047F5" w:rsidP="002047F5">
            <w:pPr>
              <w:pStyle w:val="14-12"/>
              <w:jc w:val="right"/>
            </w:pPr>
            <w:r w:rsidRPr="00434D32">
              <w:t>-</w:t>
            </w:r>
          </w:p>
        </w:tc>
      </w:tr>
      <w:tr w:rsidR="00176EC4" w:rsidRPr="00434D32" w:rsidTr="001A4764">
        <w:trPr>
          <w:trHeight w:val="47"/>
        </w:trPr>
        <w:tc>
          <w:tcPr>
            <w:tcW w:w="1276" w:type="dxa"/>
            <w:shd w:val="clear" w:color="auto" w:fill="auto"/>
            <w:vAlign w:val="center"/>
          </w:tcPr>
          <w:p w:rsidR="00176EC4" w:rsidRPr="00434D32" w:rsidRDefault="00176EC4" w:rsidP="00176EC4">
            <w:pPr>
              <w:pStyle w:val="14-12"/>
            </w:pPr>
            <w:r w:rsidRPr="00434D32">
              <w:t>房貸壽險及其他定期壽險</w:t>
            </w:r>
          </w:p>
        </w:tc>
        <w:tc>
          <w:tcPr>
            <w:tcW w:w="851" w:type="dxa"/>
            <w:vAlign w:val="center"/>
          </w:tcPr>
          <w:p w:rsidR="00176EC4" w:rsidRPr="00434D32" w:rsidRDefault="00176EC4" w:rsidP="00176EC4">
            <w:pPr>
              <w:pStyle w:val="14-12"/>
              <w:jc w:val="right"/>
            </w:pPr>
            <w:r w:rsidRPr="00434D32">
              <w:t>2.06</w:t>
            </w:r>
          </w:p>
        </w:tc>
        <w:tc>
          <w:tcPr>
            <w:tcW w:w="850" w:type="dxa"/>
            <w:vAlign w:val="center"/>
          </w:tcPr>
          <w:p w:rsidR="00176EC4" w:rsidRPr="00434D32" w:rsidRDefault="00176EC4" w:rsidP="00176EC4">
            <w:pPr>
              <w:pStyle w:val="14-12"/>
              <w:jc w:val="right"/>
            </w:pPr>
            <w:r w:rsidRPr="00434D32">
              <w:t>103.67</w:t>
            </w:r>
          </w:p>
        </w:tc>
        <w:tc>
          <w:tcPr>
            <w:tcW w:w="709" w:type="dxa"/>
            <w:vAlign w:val="center"/>
          </w:tcPr>
          <w:p w:rsidR="00176EC4" w:rsidRPr="00434D32" w:rsidRDefault="00176EC4" w:rsidP="00176EC4">
            <w:pPr>
              <w:pStyle w:val="14-12"/>
              <w:jc w:val="right"/>
            </w:pPr>
            <w:r w:rsidRPr="00434D32">
              <w:t>2.48</w:t>
            </w:r>
          </w:p>
        </w:tc>
        <w:tc>
          <w:tcPr>
            <w:tcW w:w="850" w:type="dxa"/>
            <w:vAlign w:val="center"/>
          </w:tcPr>
          <w:p w:rsidR="00176EC4" w:rsidRPr="00434D32" w:rsidRDefault="00176EC4" w:rsidP="00176EC4">
            <w:pPr>
              <w:pStyle w:val="14-12"/>
              <w:jc w:val="right"/>
            </w:pPr>
            <w:r w:rsidRPr="00434D32">
              <w:t>118.60</w:t>
            </w:r>
          </w:p>
        </w:tc>
        <w:tc>
          <w:tcPr>
            <w:tcW w:w="851" w:type="dxa"/>
            <w:shd w:val="clear" w:color="auto" w:fill="auto"/>
            <w:vAlign w:val="center"/>
          </w:tcPr>
          <w:p w:rsidR="00176EC4" w:rsidRPr="00434D32" w:rsidRDefault="00176EC4" w:rsidP="00176EC4">
            <w:pPr>
              <w:pStyle w:val="14-12"/>
              <w:jc w:val="right"/>
            </w:pPr>
            <w:r w:rsidRPr="00434D32">
              <w:t>2.46</w:t>
            </w:r>
          </w:p>
        </w:tc>
        <w:tc>
          <w:tcPr>
            <w:tcW w:w="709" w:type="dxa"/>
            <w:shd w:val="clear" w:color="auto" w:fill="auto"/>
            <w:vAlign w:val="center"/>
          </w:tcPr>
          <w:p w:rsidR="00176EC4" w:rsidRPr="00434D32" w:rsidRDefault="00176EC4" w:rsidP="00176EC4">
            <w:pPr>
              <w:pStyle w:val="14-12"/>
              <w:jc w:val="right"/>
            </w:pPr>
            <w:r w:rsidRPr="00434D32">
              <w:t>8.40</w:t>
            </w:r>
          </w:p>
        </w:tc>
        <w:tc>
          <w:tcPr>
            <w:tcW w:w="746" w:type="dxa"/>
            <w:vAlign w:val="center"/>
          </w:tcPr>
          <w:p w:rsidR="00176EC4" w:rsidRPr="00434D32" w:rsidRDefault="00176EC4" w:rsidP="00176EC4">
            <w:pPr>
              <w:pStyle w:val="14-12"/>
              <w:jc w:val="right"/>
            </w:pPr>
            <w:r w:rsidRPr="00434D32">
              <w:t>2.67</w:t>
            </w:r>
          </w:p>
        </w:tc>
        <w:tc>
          <w:tcPr>
            <w:tcW w:w="845" w:type="dxa"/>
            <w:vAlign w:val="center"/>
          </w:tcPr>
          <w:p w:rsidR="00176EC4" w:rsidRPr="00434D32" w:rsidRDefault="00176EC4" w:rsidP="00176EC4">
            <w:pPr>
              <w:pStyle w:val="14-12"/>
              <w:jc w:val="right"/>
            </w:pPr>
            <w:r w:rsidRPr="00434D32">
              <w:t>91.98</w:t>
            </w:r>
          </w:p>
        </w:tc>
        <w:tc>
          <w:tcPr>
            <w:tcW w:w="845" w:type="dxa"/>
            <w:vAlign w:val="center"/>
          </w:tcPr>
          <w:p w:rsidR="00176EC4" w:rsidRPr="00434D32" w:rsidRDefault="00176EC4" w:rsidP="00176EC4">
            <w:pPr>
              <w:pStyle w:val="14-12"/>
              <w:jc w:val="right"/>
            </w:pPr>
            <w:r w:rsidRPr="00434D32">
              <w:t>35.44</w:t>
            </w:r>
          </w:p>
        </w:tc>
      </w:tr>
      <w:tr w:rsidR="00176EC4" w:rsidRPr="00434D32" w:rsidTr="001A4764">
        <w:trPr>
          <w:trHeight w:val="47"/>
        </w:trPr>
        <w:tc>
          <w:tcPr>
            <w:tcW w:w="1276" w:type="dxa"/>
            <w:shd w:val="clear" w:color="auto" w:fill="auto"/>
            <w:vAlign w:val="center"/>
          </w:tcPr>
          <w:p w:rsidR="00176EC4" w:rsidRPr="00434D32" w:rsidRDefault="00176EC4" w:rsidP="00176EC4">
            <w:pPr>
              <w:pStyle w:val="14-12"/>
            </w:pPr>
            <w:r w:rsidRPr="00434D32">
              <w:t>終身保險</w:t>
            </w:r>
          </w:p>
        </w:tc>
        <w:tc>
          <w:tcPr>
            <w:tcW w:w="851" w:type="dxa"/>
            <w:vAlign w:val="center"/>
          </w:tcPr>
          <w:p w:rsidR="00176EC4" w:rsidRPr="00434D32" w:rsidRDefault="00176EC4" w:rsidP="00176EC4">
            <w:pPr>
              <w:pStyle w:val="14-12"/>
              <w:jc w:val="right"/>
            </w:pPr>
            <w:r w:rsidRPr="00434D32">
              <w:t>12.75</w:t>
            </w:r>
          </w:p>
        </w:tc>
        <w:tc>
          <w:tcPr>
            <w:tcW w:w="850" w:type="dxa"/>
            <w:vAlign w:val="center"/>
          </w:tcPr>
          <w:p w:rsidR="00176EC4" w:rsidRPr="00434D32" w:rsidRDefault="00176EC4" w:rsidP="00176EC4">
            <w:pPr>
              <w:pStyle w:val="14-12"/>
              <w:jc w:val="right"/>
            </w:pPr>
            <w:r w:rsidRPr="00434D32">
              <w:t>86.50</w:t>
            </w:r>
          </w:p>
        </w:tc>
        <w:tc>
          <w:tcPr>
            <w:tcW w:w="709" w:type="dxa"/>
            <w:vAlign w:val="center"/>
          </w:tcPr>
          <w:p w:rsidR="00176EC4" w:rsidRPr="00434D32" w:rsidRDefault="00176EC4" w:rsidP="00176EC4">
            <w:pPr>
              <w:pStyle w:val="14-12"/>
              <w:jc w:val="right"/>
            </w:pPr>
            <w:r w:rsidRPr="00434D32">
              <w:t>11.71</w:t>
            </w:r>
          </w:p>
        </w:tc>
        <w:tc>
          <w:tcPr>
            <w:tcW w:w="850" w:type="dxa"/>
            <w:vAlign w:val="center"/>
          </w:tcPr>
          <w:p w:rsidR="00176EC4" w:rsidRPr="00434D32" w:rsidRDefault="00176EC4" w:rsidP="00176EC4">
            <w:pPr>
              <w:pStyle w:val="14-12"/>
              <w:jc w:val="right"/>
            </w:pPr>
            <w:r w:rsidRPr="00434D32">
              <w:t>78.10</w:t>
            </w:r>
          </w:p>
        </w:tc>
        <w:tc>
          <w:tcPr>
            <w:tcW w:w="851" w:type="dxa"/>
            <w:shd w:val="clear" w:color="auto" w:fill="auto"/>
          </w:tcPr>
          <w:p w:rsidR="00176EC4" w:rsidRPr="00434D32" w:rsidRDefault="00176EC4" w:rsidP="00176EC4">
            <w:pPr>
              <w:pStyle w:val="14-12"/>
              <w:jc w:val="right"/>
            </w:pPr>
            <w:r w:rsidRPr="00434D32">
              <w:t>9.00</w:t>
            </w:r>
          </w:p>
        </w:tc>
        <w:tc>
          <w:tcPr>
            <w:tcW w:w="709" w:type="dxa"/>
            <w:shd w:val="clear" w:color="auto" w:fill="auto"/>
          </w:tcPr>
          <w:p w:rsidR="00176EC4" w:rsidRPr="00434D32" w:rsidRDefault="00176EC4" w:rsidP="00176EC4">
            <w:pPr>
              <w:pStyle w:val="14-12"/>
              <w:jc w:val="right"/>
            </w:pPr>
            <w:r w:rsidRPr="00434D32">
              <w:t>30.73</w:t>
            </w:r>
          </w:p>
        </w:tc>
        <w:tc>
          <w:tcPr>
            <w:tcW w:w="746" w:type="dxa"/>
          </w:tcPr>
          <w:p w:rsidR="00176EC4" w:rsidRPr="00434D32" w:rsidRDefault="00176EC4" w:rsidP="00176EC4">
            <w:pPr>
              <w:pStyle w:val="14-12"/>
              <w:jc w:val="right"/>
            </w:pPr>
            <w:r w:rsidRPr="00434D32">
              <w:t>15.51</w:t>
            </w:r>
          </w:p>
        </w:tc>
        <w:tc>
          <w:tcPr>
            <w:tcW w:w="845" w:type="dxa"/>
          </w:tcPr>
          <w:p w:rsidR="00176EC4" w:rsidRPr="00434D32" w:rsidRDefault="00176EC4" w:rsidP="00176EC4">
            <w:pPr>
              <w:pStyle w:val="14-12"/>
              <w:jc w:val="right"/>
            </w:pPr>
            <w:r w:rsidRPr="00434D32">
              <w:t>57.99</w:t>
            </w:r>
          </w:p>
        </w:tc>
        <w:tc>
          <w:tcPr>
            <w:tcW w:w="845" w:type="dxa"/>
          </w:tcPr>
          <w:p w:rsidR="00176EC4" w:rsidRPr="00434D32" w:rsidRDefault="00176EC4" w:rsidP="00176EC4">
            <w:pPr>
              <w:pStyle w:val="14-12"/>
              <w:jc w:val="right"/>
            </w:pPr>
            <w:r w:rsidRPr="00434D32">
              <w:t>5.01</w:t>
            </w:r>
          </w:p>
        </w:tc>
      </w:tr>
      <w:tr w:rsidR="00176EC4" w:rsidRPr="00434D32" w:rsidTr="001A4764">
        <w:trPr>
          <w:trHeight w:val="47"/>
        </w:trPr>
        <w:tc>
          <w:tcPr>
            <w:tcW w:w="1276" w:type="dxa"/>
            <w:shd w:val="clear" w:color="auto" w:fill="auto"/>
            <w:vAlign w:val="center"/>
          </w:tcPr>
          <w:p w:rsidR="00176EC4" w:rsidRPr="00434D32" w:rsidRDefault="00176EC4" w:rsidP="00176EC4">
            <w:pPr>
              <w:pStyle w:val="14-12"/>
            </w:pPr>
            <w:r w:rsidRPr="00434D32">
              <w:t>健康險</w:t>
            </w:r>
          </w:p>
        </w:tc>
        <w:tc>
          <w:tcPr>
            <w:tcW w:w="851" w:type="dxa"/>
            <w:vAlign w:val="center"/>
          </w:tcPr>
          <w:p w:rsidR="00176EC4" w:rsidRPr="00434D32" w:rsidRDefault="00176EC4" w:rsidP="00176EC4">
            <w:pPr>
              <w:pStyle w:val="14-12"/>
              <w:jc w:val="right"/>
            </w:pPr>
            <w:r w:rsidRPr="00434D32">
              <w:t>9.61</w:t>
            </w:r>
          </w:p>
        </w:tc>
        <w:tc>
          <w:tcPr>
            <w:tcW w:w="850" w:type="dxa"/>
            <w:vAlign w:val="center"/>
          </w:tcPr>
          <w:p w:rsidR="00176EC4" w:rsidRPr="00434D32" w:rsidRDefault="00176EC4" w:rsidP="00176EC4">
            <w:pPr>
              <w:pStyle w:val="14-12"/>
              <w:jc w:val="right"/>
            </w:pPr>
            <w:r w:rsidRPr="00434D32">
              <w:t>118.85</w:t>
            </w:r>
          </w:p>
        </w:tc>
        <w:tc>
          <w:tcPr>
            <w:tcW w:w="709" w:type="dxa"/>
            <w:vAlign w:val="center"/>
          </w:tcPr>
          <w:p w:rsidR="00176EC4" w:rsidRPr="00434D32" w:rsidRDefault="00176EC4" w:rsidP="00176EC4">
            <w:pPr>
              <w:pStyle w:val="14-12"/>
              <w:jc w:val="right"/>
            </w:pPr>
            <w:r w:rsidRPr="00434D32">
              <w:t>9.54</w:t>
            </w:r>
          </w:p>
        </w:tc>
        <w:tc>
          <w:tcPr>
            <w:tcW w:w="850" w:type="dxa"/>
            <w:vAlign w:val="center"/>
          </w:tcPr>
          <w:p w:rsidR="00176EC4" w:rsidRPr="00434D32" w:rsidRDefault="00176EC4" w:rsidP="00176EC4">
            <w:pPr>
              <w:pStyle w:val="14-12"/>
              <w:jc w:val="right"/>
            </w:pPr>
            <w:r w:rsidRPr="00434D32">
              <w:t>83.76</w:t>
            </w:r>
          </w:p>
        </w:tc>
        <w:tc>
          <w:tcPr>
            <w:tcW w:w="851" w:type="dxa"/>
            <w:shd w:val="clear" w:color="auto" w:fill="auto"/>
          </w:tcPr>
          <w:p w:rsidR="00176EC4" w:rsidRPr="00434D32" w:rsidRDefault="00176EC4" w:rsidP="00176EC4">
            <w:pPr>
              <w:pStyle w:val="14-12"/>
              <w:jc w:val="right"/>
            </w:pPr>
            <w:r w:rsidRPr="00434D32">
              <w:t>14.23</w:t>
            </w:r>
          </w:p>
        </w:tc>
        <w:tc>
          <w:tcPr>
            <w:tcW w:w="709" w:type="dxa"/>
            <w:shd w:val="clear" w:color="auto" w:fill="auto"/>
          </w:tcPr>
          <w:p w:rsidR="00176EC4" w:rsidRPr="00434D32" w:rsidRDefault="00176EC4" w:rsidP="00176EC4">
            <w:pPr>
              <w:pStyle w:val="14-12"/>
              <w:jc w:val="right"/>
            </w:pPr>
            <w:r w:rsidRPr="00434D32">
              <w:t>48.58</w:t>
            </w:r>
          </w:p>
        </w:tc>
        <w:tc>
          <w:tcPr>
            <w:tcW w:w="746" w:type="dxa"/>
          </w:tcPr>
          <w:p w:rsidR="00176EC4" w:rsidRPr="00434D32" w:rsidRDefault="00176EC4" w:rsidP="00176EC4">
            <w:pPr>
              <w:pStyle w:val="14-12"/>
              <w:jc w:val="right"/>
            </w:pPr>
            <w:r w:rsidRPr="00434D32">
              <w:t>10.88</w:t>
            </w:r>
          </w:p>
        </w:tc>
        <w:tc>
          <w:tcPr>
            <w:tcW w:w="845" w:type="dxa"/>
          </w:tcPr>
          <w:p w:rsidR="00176EC4" w:rsidRPr="00434D32" w:rsidRDefault="00176EC4" w:rsidP="00176EC4">
            <w:pPr>
              <w:pStyle w:val="14-12"/>
              <w:jc w:val="right"/>
            </w:pPr>
            <w:r w:rsidRPr="00434D32">
              <w:t>130.73</w:t>
            </w:r>
          </w:p>
        </w:tc>
        <w:tc>
          <w:tcPr>
            <w:tcW w:w="845" w:type="dxa"/>
          </w:tcPr>
          <w:p w:rsidR="00176EC4" w:rsidRPr="00434D32" w:rsidRDefault="00176EC4" w:rsidP="00176EC4">
            <w:pPr>
              <w:pStyle w:val="14-12"/>
              <w:jc w:val="right"/>
            </w:pPr>
            <w:r w:rsidRPr="00434D32">
              <w:t>99.02</w:t>
            </w:r>
          </w:p>
        </w:tc>
      </w:tr>
      <w:tr w:rsidR="00176EC4" w:rsidRPr="00434D32" w:rsidTr="001A4764">
        <w:trPr>
          <w:trHeight w:val="47"/>
        </w:trPr>
        <w:tc>
          <w:tcPr>
            <w:tcW w:w="1276" w:type="dxa"/>
            <w:shd w:val="clear" w:color="auto" w:fill="auto"/>
            <w:vAlign w:val="center"/>
          </w:tcPr>
          <w:p w:rsidR="00176EC4" w:rsidRPr="00434D32" w:rsidRDefault="00176EC4" w:rsidP="00176EC4">
            <w:pPr>
              <w:pStyle w:val="14-12"/>
            </w:pPr>
            <w:r w:rsidRPr="00434D32">
              <w:t>年金險及其他</w:t>
            </w:r>
          </w:p>
        </w:tc>
        <w:tc>
          <w:tcPr>
            <w:tcW w:w="851" w:type="dxa"/>
            <w:vAlign w:val="center"/>
          </w:tcPr>
          <w:p w:rsidR="00176EC4" w:rsidRPr="00434D32" w:rsidRDefault="00176EC4" w:rsidP="00176EC4">
            <w:pPr>
              <w:pStyle w:val="14-12"/>
              <w:jc w:val="right"/>
            </w:pPr>
            <w:r w:rsidRPr="00434D32">
              <w:t>0.22</w:t>
            </w:r>
          </w:p>
        </w:tc>
        <w:tc>
          <w:tcPr>
            <w:tcW w:w="850" w:type="dxa"/>
            <w:vAlign w:val="center"/>
          </w:tcPr>
          <w:p w:rsidR="00176EC4" w:rsidRPr="00434D32" w:rsidRDefault="00176EC4" w:rsidP="00176EC4">
            <w:pPr>
              <w:pStyle w:val="14-12"/>
              <w:jc w:val="right"/>
            </w:pPr>
            <w:r w:rsidRPr="00434D32">
              <w:t>122.90</w:t>
            </w:r>
          </w:p>
        </w:tc>
        <w:tc>
          <w:tcPr>
            <w:tcW w:w="709" w:type="dxa"/>
            <w:vAlign w:val="center"/>
          </w:tcPr>
          <w:p w:rsidR="00176EC4" w:rsidRPr="00434D32" w:rsidRDefault="00176EC4" w:rsidP="00176EC4">
            <w:pPr>
              <w:pStyle w:val="14-12"/>
              <w:jc w:val="right"/>
            </w:pPr>
            <w:r w:rsidRPr="00434D32">
              <w:t>0.20</w:t>
            </w:r>
          </w:p>
        </w:tc>
        <w:tc>
          <w:tcPr>
            <w:tcW w:w="850" w:type="dxa"/>
            <w:vAlign w:val="center"/>
          </w:tcPr>
          <w:p w:rsidR="00176EC4" w:rsidRPr="00434D32" w:rsidRDefault="00176EC4" w:rsidP="00176EC4">
            <w:pPr>
              <w:pStyle w:val="14-12"/>
              <w:jc w:val="right"/>
            </w:pPr>
            <w:r w:rsidRPr="00434D32">
              <w:t>67.66</w:t>
            </w:r>
          </w:p>
        </w:tc>
        <w:tc>
          <w:tcPr>
            <w:tcW w:w="851" w:type="dxa"/>
            <w:shd w:val="clear" w:color="auto" w:fill="auto"/>
            <w:vAlign w:val="center"/>
          </w:tcPr>
          <w:p w:rsidR="00176EC4" w:rsidRPr="00434D32" w:rsidRDefault="00176EC4" w:rsidP="00176EC4">
            <w:pPr>
              <w:pStyle w:val="14-12"/>
              <w:jc w:val="right"/>
            </w:pPr>
            <w:r w:rsidRPr="00434D32">
              <w:t>0.06</w:t>
            </w:r>
          </w:p>
        </w:tc>
        <w:tc>
          <w:tcPr>
            <w:tcW w:w="709" w:type="dxa"/>
            <w:shd w:val="clear" w:color="auto" w:fill="auto"/>
            <w:vAlign w:val="center"/>
          </w:tcPr>
          <w:p w:rsidR="00176EC4" w:rsidRPr="00434D32" w:rsidRDefault="00176EC4" w:rsidP="00176EC4">
            <w:pPr>
              <w:pStyle w:val="14-12"/>
              <w:jc w:val="right"/>
            </w:pPr>
            <w:r w:rsidRPr="00434D32">
              <w:t>0.19</w:t>
            </w:r>
          </w:p>
        </w:tc>
        <w:tc>
          <w:tcPr>
            <w:tcW w:w="746" w:type="dxa"/>
            <w:vAlign w:val="center"/>
          </w:tcPr>
          <w:p w:rsidR="00176EC4" w:rsidRPr="00434D32" w:rsidRDefault="00176EC4" w:rsidP="00176EC4">
            <w:pPr>
              <w:pStyle w:val="14-12"/>
              <w:jc w:val="right"/>
            </w:pPr>
            <w:r w:rsidRPr="00434D32">
              <w:t>0.75</w:t>
            </w:r>
          </w:p>
        </w:tc>
        <w:tc>
          <w:tcPr>
            <w:tcW w:w="845" w:type="dxa"/>
            <w:vAlign w:val="center"/>
          </w:tcPr>
          <w:p w:rsidR="00176EC4" w:rsidRPr="00434D32" w:rsidRDefault="00176EC4" w:rsidP="00176EC4">
            <w:pPr>
              <w:pStyle w:val="14-12"/>
              <w:jc w:val="right"/>
            </w:pPr>
            <w:r w:rsidRPr="00434D32">
              <w:t>7.42</w:t>
            </w:r>
          </w:p>
        </w:tc>
        <w:tc>
          <w:tcPr>
            <w:tcW w:w="845" w:type="dxa"/>
            <w:vAlign w:val="center"/>
          </w:tcPr>
          <w:p w:rsidR="00176EC4" w:rsidRPr="00434D32" w:rsidRDefault="00176EC4" w:rsidP="00176EC4">
            <w:pPr>
              <w:pStyle w:val="14-12"/>
              <w:jc w:val="right"/>
            </w:pPr>
            <w:r w:rsidRPr="00434D32">
              <w:t>-76.23</w:t>
            </w:r>
          </w:p>
        </w:tc>
      </w:tr>
      <w:tr w:rsidR="00176EC4" w:rsidRPr="00EF779B" w:rsidTr="001A4764">
        <w:trPr>
          <w:trHeight w:val="47"/>
        </w:trPr>
        <w:tc>
          <w:tcPr>
            <w:tcW w:w="1276" w:type="dxa"/>
            <w:shd w:val="clear" w:color="auto" w:fill="auto"/>
            <w:vAlign w:val="center"/>
          </w:tcPr>
          <w:p w:rsidR="00176EC4" w:rsidRPr="00EF779B" w:rsidRDefault="00176EC4" w:rsidP="00EF779B">
            <w:pPr>
              <w:pStyle w:val="14-12"/>
            </w:pPr>
            <w:r w:rsidRPr="00EF779B">
              <w:t>利變壽險</w:t>
            </w:r>
          </w:p>
        </w:tc>
        <w:tc>
          <w:tcPr>
            <w:tcW w:w="851" w:type="dxa"/>
            <w:vAlign w:val="center"/>
          </w:tcPr>
          <w:p w:rsidR="00176EC4" w:rsidRPr="00EF779B" w:rsidRDefault="00EF779B" w:rsidP="00EF779B">
            <w:pPr>
              <w:pStyle w:val="14-12"/>
              <w:jc w:val="right"/>
            </w:pPr>
            <w:r>
              <w:rPr>
                <w:rFonts w:hint="eastAsia"/>
              </w:rPr>
              <w:t>-</w:t>
            </w:r>
          </w:p>
        </w:tc>
        <w:tc>
          <w:tcPr>
            <w:tcW w:w="850" w:type="dxa"/>
            <w:vAlign w:val="center"/>
          </w:tcPr>
          <w:p w:rsidR="00176EC4" w:rsidRPr="00EF779B" w:rsidRDefault="00EF779B" w:rsidP="00EF779B">
            <w:pPr>
              <w:pStyle w:val="14-12"/>
              <w:jc w:val="right"/>
            </w:pPr>
            <w:r>
              <w:rPr>
                <w:rFonts w:hint="eastAsia"/>
              </w:rPr>
              <w:t>-</w:t>
            </w:r>
          </w:p>
        </w:tc>
        <w:tc>
          <w:tcPr>
            <w:tcW w:w="709" w:type="dxa"/>
            <w:vAlign w:val="center"/>
          </w:tcPr>
          <w:p w:rsidR="00176EC4" w:rsidRPr="00EF779B" w:rsidRDefault="00EF779B" w:rsidP="00EF779B">
            <w:pPr>
              <w:pStyle w:val="14-12"/>
              <w:jc w:val="right"/>
            </w:pPr>
            <w:r>
              <w:rPr>
                <w:rFonts w:hint="eastAsia"/>
              </w:rPr>
              <w:t>-</w:t>
            </w:r>
          </w:p>
        </w:tc>
        <w:tc>
          <w:tcPr>
            <w:tcW w:w="850" w:type="dxa"/>
            <w:vAlign w:val="center"/>
          </w:tcPr>
          <w:p w:rsidR="00176EC4" w:rsidRPr="00EF779B" w:rsidRDefault="00EF779B" w:rsidP="00EF779B">
            <w:pPr>
              <w:pStyle w:val="14-12"/>
              <w:jc w:val="right"/>
            </w:pPr>
            <w:r>
              <w:rPr>
                <w:rFonts w:hint="eastAsia"/>
              </w:rPr>
              <w:t>-</w:t>
            </w:r>
          </w:p>
        </w:tc>
        <w:tc>
          <w:tcPr>
            <w:tcW w:w="851" w:type="dxa"/>
            <w:shd w:val="clear" w:color="auto" w:fill="auto"/>
          </w:tcPr>
          <w:p w:rsidR="00176EC4" w:rsidRPr="00EF779B" w:rsidRDefault="00176EC4" w:rsidP="00EF779B">
            <w:pPr>
              <w:pStyle w:val="14-12"/>
              <w:jc w:val="right"/>
            </w:pPr>
            <w:r w:rsidRPr="00EF779B">
              <w:t>3.54</w:t>
            </w:r>
          </w:p>
        </w:tc>
        <w:tc>
          <w:tcPr>
            <w:tcW w:w="709" w:type="dxa"/>
            <w:shd w:val="clear" w:color="auto" w:fill="auto"/>
          </w:tcPr>
          <w:p w:rsidR="00176EC4" w:rsidRPr="00EF779B" w:rsidRDefault="00176EC4" w:rsidP="00EF779B">
            <w:pPr>
              <w:pStyle w:val="14-12"/>
              <w:jc w:val="right"/>
            </w:pPr>
            <w:r w:rsidRPr="00EF779B">
              <w:t>12.10</w:t>
            </w:r>
          </w:p>
        </w:tc>
        <w:tc>
          <w:tcPr>
            <w:tcW w:w="746" w:type="dxa"/>
          </w:tcPr>
          <w:p w:rsidR="00176EC4" w:rsidRPr="00EF779B" w:rsidRDefault="00176EC4" w:rsidP="00EF779B">
            <w:pPr>
              <w:pStyle w:val="14-12"/>
              <w:jc w:val="right"/>
            </w:pPr>
            <w:r w:rsidRPr="00EF779B">
              <w:t>7.52</w:t>
            </w:r>
          </w:p>
        </w:tc>
        <w:tc>
          <w:tcPr>
            <w:tcW w:w="845" w:type="dxa"/>
          </w:tcPr>
          <w:p w:rsidR="00176EC4" w:rsidRPr="00EF779B" w:rsidRDefault="00176EC4" w:rsidP="00EF779B">
            <w:pPr>
              <w:pStyle w:val="14-12"/>
              <w:jc w:val="right"/>
            </w:pPr>
            <w:r w:rsidRPr="00EF779B">
              <w:t>47.12</w:t>
            </w:r>
          </w:p>
        </w:tc>
        <w:tc>
          <w:tcPr>
            <w:tcW w:w="845" w:type="dxa"/>
          </w:tcPr>
          <w:p w:rsidR="00176EC4" w:rsidRPr="00EF779B" w:rsidRDefault="00176EC4" w:rsidP="00EF779B">
            <w:pPr>
              <w:pStyle w:val="14-12"/>
              <w:jc w:val="right"/>
            </w:pPr>
            <w:r w:rsidRPr="00EF779B">
              <w:t>913.09</w:t>
            </w:r>
          </w:p>
        </w:tc>
      </w:tr>
      <w:tr w:rsidR="00176EC4" w:rsidRPr="00434D32" w:rsidTr="001A4764">
        <w:trPr>
          <w:trHeight w:val="47"/>
        </w:trPr>
        <w:tc>
          <w:tcPr>
            <w:tcW w:w="1276" w:type="dxa"/>
            <w:shd w:val="clear" w:color="auto" w:fill="auto"/>
            <w:vAlign w:val="center"/>
          </w:tcPr>
          <w:p w:rsidR="00176EC4" w:rsidRPr="00434D32" w:rsidRDefault="00176EC4" w:rsidP="00176EC4">
            <w:pPr>
              <w:pStyle w:val="14-12"/>
            </w:pPr>
            <w:r w:rsidRPr="00434D32">
              <w:t>合計</w:t>
            </w:r>
          </w:p>
        </w:tc>
        <w:tc>
          <w:tcPr>
            <w:tcW w:w="851" w:type="dxa"/>
            <w:vAlign w:val="center"/>
          </w:tcPr>
          <w:p w:rsidR="00176EC4" w:rsidRPr="00434D32" w:rsidRDefault="00176EC4" w:rsidP="00176EC4">
            <w:pPr>
              <w:pStyle w:val="14-12"/>
              <w:jc w:val="right"/>
            </w:pPr>
            <w:r w:rsidRPr="00434D32">
              <w:t>25.80</w:t>
            </w:r>
          </w:p>
        </w:tc>
        <w:tc>
          <w:tcPr>
            <w:tcW w:w="850" w:type="dxa"/>
            <w:vAlign w:val="center"/>
          </w:tcPr>
          <w:p w:rsidR="00176EC4" w:rsidRPr="00434D32" w:rsidRDefault="00176EC4" w:rsidP="00176EC4">
            <w:pPr>
              <w:pStyle w:val="14-12"/>
              <w:jc w:val="right"/>
            </w:pPr>
            <w:r w:rsidRPr="00434D32">
              <w:t>90.71</w:t>
            </w:r>
          </w:p>
        </w:tc>
        <w:tc>
          <w:tcPr>
            <w:tcW w:w="709" w:type="dxa"/>
            <w:vAlign w:val="center"/>
          </w:tcPr>
          <w:p w:rsidR="00176EC4" w:rsidRPr="00434D32" w:rsidRDefault="00176EC4" w:rsidP="00176EC4">
            <w:pPr>
              <w:pStyle w:val="14-12"/>
              <w:jc w:val="right"/>
            </w:pPr>
            <w:r w:rsidRPr="00434D32">
              <w:t>24.63</w:t>
            </w:r>
          </w:p>
        </w:tc>
        <w:tc>
          <w:tcPr>
            <w:tcW w:w="850" w:type="dxa"/>
            <w:vAlign w:val="center"/>
          </w:tcPr>
          <w:p w:rsidR="00176EC4" w:rsidRPr="00434D32" w:rsidRDefault="00176EC4" w:rsidP="00176EC4">
            <w:pPr>
              <w:pStyle w:val="14-12"/>
              <w:jc w:val="right"/>
            </w:pPr>
            <w:r w:rsidRPr="00434D32">
              <w:t>81.30</w:t>
            </w:r>
          </w:p>
        </w:tc>
        <w:tc>
          <w:tcPr>
            <w:tcW w:w="851" w:type="dxa"/>
            <w:shd w:val="clear" w:color="auto" w:fill="auto"/>
          </w:tcPr>
          <w:p w:rsidR="00176EC4" w:rsidRPr="00434D32" w:rsidRDefault="00176EC4" w:rsidP="00176EC4">
            <w:pPr>
              <w:pStyle w:val="14-12"/>
              <w:jc w:val="right"/>
            </w:pPr>
            <w:r w:rsidRPr="00434D32">
              <w:t>29.28</w:t>
            </w:r>
          </w:p>
        </w:tc>
        <w:tc>
          <w:tcPr>
            <w:tcW w:w="709" w:type="dxa"/>
            <w:shd w:val="clear" w:color="auto" w:fill="auto"/>
          </w:tcPr>
          <w:p w:rsidR="00176EC4" w:rsidRPr="00434D32" w:rsidRDefault="00176EC4" w:rsidP="00176EC4">
            <w:pPr>
              <w:pStyle w:val="14-12"/>
              <w:jc w:val="right"/>
            </w:pPr>
            <w:r w:rsidRPr="00434D32">
              <w:t>100</w:t>
            </w:r>
          </w:p>
        </w:tc>
        <w:tc>
          <w:tcPr>
            <w:tcW w:w="746" w:type="dxa"/>
          </w:tcPr>
          <w:p w:rsidR="00176EC4" w:rsidRPr="00434D32" w:rsidRDefault="00176EC4" w:rsidP="00176EC4">
            <w:pPr>
              <w:pStyle w:val="14-12"/>
              <w:jc w:val="right"/>
            </w:pPr>
            <w:r w:rsidRPr="00434D32">
              <w:t>37.34</w:t>
            </w:r>
          </w:p>
        </w:tc>
        <w:tc>
          <w:tcPr>
            <w:tcW w:w="845" w:type="dxa"/>
          </w:tcPr>
          <w:p w:rsidR="00176EC4" w:rsidRPr="00434D32" w:rsidRDefault="00176EC4" w:rsidP="00176EC4">
            <w:pPr>
              <w:pStyle w:val="14-12"/>
              <w:jc w:val="right"/>
            </w:pPr>
            <w:r w:rsidRPr="00434D32">
              <w:t>78.42</w:t>
            </w:r>
          </w:p>
        </w:tc>
        <w:tc>
          <w:tcPr>
            <w:tcW w:w="845" w:type="dxa"/>
          </w:tcPr>
          <w:p w:rsidR="00176EC4" w:rsidRPr="00434D32" w:rsidRDefault="00176EC4" w:rsidP="00176EC4">
            <w:pPr>
              <w:pStyle w:val="14-12"/>
              <w:jc w:val="right"/>
            </w:pPr>
            <w:r w:rsidRPr="00434D32">
              <w:t>61.63</w:t>
            </w:r>
          </w:p>
        </w:tc>
      </w:tr>
    </w:tbl>
    <w:p w:rsidR="003A6CDD" w:rsidRDefault="003A6CDD" w:rsidP="00434D32">
      <w:pPr>
        <w:pStyle w:val="14-2"/>
      </w:pPr>
      <w:r w:rsidRPr="00434D32">
        <w:t>說　　明：表列比率係以「元」為計算標準，致有尾差。</w:t>
      </w:r>
    </w:p>
    <w:p w:rsidR="00925185" w:rsidRDefault="00434D32" w:rsidP="00925185">
      <w:pPr>
        <w:pStyle w:val="142"/>
      </w:pPr>
      <w:r w:rsidRPr="00215A80">
        <w:rPr>
          <w:rFonts w:hint="eastAsia"/>
        </w:rPr>
        <w:t>資料來源：臺銀人壽提供。</w:t>
      </w:r>
    </w:p>
    <w:p w:rsidR="00FA2182" w:rsidRPr="00F60D57" w:rsidRDefault="00873FD5" w:rsidP="00925185">
      <w:pPr>
        <w:pStyle w:val="142"/>
        <w:rPr>
          <w:color w:val="FF0000"/>
          <w:sz w:val="28"/>
          <w:szCs w:val="32"/>
        </w:rPr>
      </w:pPr>
      <w:r>
        <w:rPr>
          <w:rFonts w:hint="eastAsia"/>
          <w:bCs/>
          <w:color w:val="FF0000"/>
        </w:rPr>
        <w:t xml:space="preserve">                                                                                         </w:t>
      </w:r>
      <w:bookmarkStart w:id="15" w:name="_Hlk148600332"/>
      <w:r w:rsidR="00FA2182" w:rsidRPr="00F60D57">
        <w:rPr>
          <w:rFonts w:hint="eastAsia"/>
          <w:b/>
          <w:bCs/>
          <w:sz w:val="28"/>
          <w:szCs w:val="32"/>
        </w:rPr>
        <w:t>表2  臺銀人壽1</w:t>
      </w:r>
      <w:r w:rsidR="00FA2182" w:rsidRPr="00F60D57">
        <w:rPr>
          <w:b/>
          <w:bCs/>
          <w:sz w:val="28"/>
          <w:szCs w:val="32"/>
        </w:rPr>
        <w:t>11</w:t>
      </w:r>
      <w:r w:rsidR="0052073F" w:rsidRPr="00F60D57">
        <w:rPr>
          <w:rFonts w:hint="eastAsia"/>
          <w:b/>
          <w:bCs/>
          <w:sz w:val="28"/>
          <w:szCs w:val="32"/>
        </w:rPr>
        <w:t>年度</w:t>
      </w:r>
      <w:r w:rsidR="00B17A1C" w:rsidRPr="00F60D57">
        <w:rPr>
          <w:rFonts w:hint="eastAsia"/>
          <w:b/>
          <w:bCs/>
          <w:sz w:val="28"/>
          <w:szCs w:val="32"/>
        </w:rPr>
        <w:t>至</w:t>
      </w:r>
      <w:r w:rsidR="00FA2182" w:rsidRPr="00F60D57">
        <w:rPr>
          <w:b/>
          <w:bCs/>
          <w:sz w:val="28"/>
          <w:szCs w:val="32"/>
        </w:rPr>
        <w:t>11</w:t>
      </w:r>
      <w:r w:rsidR="00EF779B" w:rsidRPr="00F60D57">
        <w:rPr>
          <w:rFonts w:hint="eastAsia"/>
          <w:b/>
          <w:bCs/>
          <w:sz w:val="28"/>
          <w:szCs w:val="32"/>
        </w:rPr>
        <w:t>3</w:t>
      </w:r>
      <w:r w:rsidR="00FA2182" w:rsidRPr="00F60D57">
        <w:rPr>
          <w:rFonts w:hAnsi="標楷體"/>
          <w:b/>
          <w:bCs/>
          <w:sz w:val="28"/>
          <w:szCs w:val="32"/>
        </w:rPr>
        <w:t>年</w:t>
      </w:r>
      <w:r w:rsidR="00FA2182" w:rsidRPr="00F60D57">
        <w:rPr>
          <w:rFonts w:hAnsi="標楷體" w:hint="eastAsia"/>
          <w:b/>
          <w:bCs/>
          <w:sz w:val="28"/>
          <w:szCs w:val="32"/>
        </w:rPr>
        <w:t>度</w:t>
      </w:r>
      <w:r w:rsidR="00FA2182" w:rsidRPr="00F60D57">
        <w:rPr>
          <w:rFonts w:hAnsi="標楷體"/>
          <w:b/>
          <w:bCs/>
          <w:sz w:val="28"/>
          <w:szCs w:val="32"/>
        </w:rPr>
        <w:t>截至</w:t>
      </w:r>
      <w:r w:rsidR="00FA2182" w:rsidRPr="00F60D57">
        <w:rPr>
          <w:b/>
          <w:bCs/>
          <w:sz w:val="28"/>
          <w:szCs w:val="32"/>
        </w:rPr>
        <w:t>9</w:t>
      </w:r>
      <w:r w:rsidR="00FA2182" w:rsidRPr="00F60D57">
        <w:rPr>
          <w:rFonts w:hAnsi="標楷體"/>
          <w:b/>
          <w:bCs/>
          <w:sz w:val="28"/>
          <w:szCs w:val="32"/>
        </w:rPr>
        <w:t>月</w:t>
      </w:r>
      <w:r w:rsidR="00FA2182" w:rsidRPr="00F60D57">
        <w:rPr>
          <w:rFonts w:hAnsi="標楷體" w:hint="eastAsia"/>
          <w:b/>
          <w:bCs/>
          <w:sz w:val="28"/>
          <w:szCs w:val="32"/>
        </w:rPr>
        <w:t>底止</w:t>
      </w:r>
      <w:r w:rsidR="00FA2182" w:rsidRPr="00F60D57">
        <w:rPr>
          <w:rFonts w:hAnsi="標楷體"/>
          <w:b/>
          <w:bCs/>
          <w:sz w:val="28"/>
          <w:szCs w:val="32"/>
        </w:rPr>
        <w:t>各通路</w:t>
      </w:r>
      <w:r w:rsidR="00FA2182" w:rsidRPr="00F60D57">
        <w:rPr>
          <w:b/>
          <w:bCs/>
          <w:sz w:val="28"/>
          <w:szCs w:val="32"/>
        </w:rPr>
        <w:t>CSM</w:t>
      </w:r>
      <w:r w:rsidR="00FA2182" w:rsidRPr="00F60D57">
        <w:rPr>
          <w:rFonts w:hAnsi="標楷體"/>
          <w:b/>
          <w:bCs/>
          <w:sz w:val="28"/>
          <w:szCs w:val="32"/>
        </w:rPr>
        <w:t>明細表</w:t>
      </w:r>
    </w:p>
    <w:bookmarkEnd w:id="15"/>
    <w:p w:rsidR="002047F5" w:rsidRPr="00EF779B" w:rsidRDefault="00FA2182" w:rsidP="00EF779B">
      <w:pPr>
        <w:pStyle w:val="142"/>
        <w:jc w:val="right"/>
      </w:pPr>
      <w:r w:rsidRPr="00EF779B">
        <w:rPr>
          <w:rFonts w:hint="eastAsia"/>
        </w:rPr>
        <w:t>單位：新臺幣億元；%</w:t>
      </w:r>
    </w:p>
    <w:tbl>
      <w:tblPr>
        <w:tblW w:w="8532"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241"/>
        <w:gridCol w:w="827"/>
        <w:gridCol w:w="767"/>
        <w:gridCol w:w="766"/>
        <w:gridCol w:w="836"/>
        <w:gridCol w:w="802"/>
        <w:gridCol w:w="838"/>
        <w:gridCol w:w="785"/>
        <w:gridCol w:w="790"/>
        <w:gridCol w:w="880"/>
      </w:tblGrid>
      <w:tr w:rsidR="00EF779B" w:rsidRPr="00092F2F" w:rsidTr="00405615">
        <w:trPr>
          <w:trHeight w:val="330"/>
          <w:tblHeader/>
        </w:trPr>
        <w:tc>
          <w:tcPr>
            <w:tcW w:w="1241" w:type="dxa"/>
            <w:vMerge w:val="restart"/>
            <w:tcBorders>
              <w:top w:val="single" w:sz="12" w:space="0" w:color="auto"/>
              <w:left w:val="single" w:sz="12" w:space="0" w:color="auto"/>
              <w:bottom w:val="single" w:sz="4" w:space="0" w:color="auto"/>
              <w:right w:val="single" w:sz="4" w:space="0" w:color="auto"/>
            </w:tcBorders>
            <w:vAlign w:val="center"/>
          </w:tcPr>
          <w:p w:rsidR="00EF779B" w:rsidRPr="00092F2F" w:rsidRDefault="00EF779B" w:rsidP="00935978">
            <w:pPr>
              <w:pStyle w:val="14-2"/>
              <w:jc w:val="center"/>
            </w:pPr>
            <w:r w:rsidRPr="00092F2F">
              <w:t>通路別</w:t>
            </w:r>
          </w:p>
        </w:tc>
        <w:tc>
          <w:tcPr>
            <w:tcW w:w="1594" w:type="dxa"/>
            <w:gridSpan w:val="2"/>
            <w:tcBorders>
              <w:top w:val="single" w:sz="12" w:space="0" w:color="auto"/>
              <w:left w:val="single" w:sz="4" w:space="0" w:color="auto"/>
              <w:bottom w:val="single" w:sz="4" w:space="0" w:color="auto"/>
              <w:right w:val="single" w:sz="4" w:space="0" w:color="auto"/>
            </w:tcBorders>
          </w:tcPr>
          <w:p w:rsidR="00EF779B" w:rsidRPr="00092F2F" w:rsidRDefault="00EF779B" w:rsidP="00EF779B">
            <w:pPr>
              <w:pStyle w:val="14-2"/>
              <w:jc w:val="center"/>
            </w:pPr>
            <w:r w:rsidRPr="00092F2F">
              <w:t>11</w:t>
            </w:r>
            <w:r>
              <w:t>1</w:t>
            </w:r>
            <w:r w:rsidRPr="00092F2F">
              <w:t>年度</w:t>
            </w:r>
          </w:p>
        </w:tc>
        <w:tc>
          <w:tcPr>
            <w:tcW w:w="1602" w:type="dxa"/>
            <w:gridSpan w:val="2"/>
            <w:tcBorders>
              <w:top w:val="single" w:sz="12" w:space="0" w:color="auto"/>
              <w:left w:val="single" w:sz="4" w:space="0" w:color="auto"/>
              <w:bottom w:val="single" w:sz="4" w:space="0" w:color="auto"/>
              <w:right w:val="single" w:sz="4" w:space="0" w:color="auto"/>
            </w:tcBorders>
          </w:tcPr>
          <w:p w:rsidR="00EF779B" w:rsidRPr="00092F2F" w:rsidRDefault="00EF779B" w:rsidP="00EF779B">
            <w:pPr>
              <w:pStyle w:val="14-2"/>
              <w:jc w:val="center"/>
            </w:pPr>
            <w:r w:rsidRPr="00092F2F">
              <w:t>112年度</w:t>
            </w:r>
          </w:p>
        </w:tc>
        <w:tc>
          <w:tcPr>
            <w:tcW w:w="4095" w:type="dxa"/>
            <w:gridSpan w:val="5"/>
            <w:tcBorders>
              <w:top w:val="single" w:sz="12" w:space="0" w:color="auto"/>
              <w:left w:val="single" w:sz="4" w:space="0" w:color="auto"/>
              <w:bottom w:val="single" w:sz="4" w:space="0" w:color="auto"/>
              <w:right w:val="single" w:sz="12" w:space="0" w:color="auto"/>
            </w:tcBorders>
            <w:vAlign w:val="center"/>
          </w:tcPr>
          <w:p w:rsidR="00EF779B" w:rsidRPr="00092F2F" w:rsidRDefault="00EF779B" w:rsidP="002047F5">
            <w:pPr>
              <w:pStyle w:val="14-2"/>
            </w:pPr>
            <w:r w:rsidRPr="00092F2F">
              <w:t>113年度截至</w:t>
            </w:r>
            <w:r>
              <w:rPr>
                <w:rFonts w:hint="eastAsia"/>
              </w:rPr>
              <w:t>9</w:t>
            </w:r>
            <w:r w:rsidRPr="00092F2F">
              <w:t>月底止</w:t>
            </w:r>
          </w:p>
        </w:tc>
      </w:tr>
      <w:tr w:rsidR="002047F5" w:rsidRPr="00092F2F" w:rsidTr="00935978">
        <w:trPr>
          <w:trHeight w:val="330"/>
          <w:tblHeader/>
        </w:trPr>
        <w:tc>
          <w:tcPr>
            <w:tcW w:w="0" w:type="auto"/>
            <w:vMerge/>
            <w:tcBorders>
              <w:top w:val="single" w:sz="12" w:space="0" w:color="auto"/>
              <w:left w:val="single" w:sz="12" w:space="0" w:color="auto"/>
              <w:bottom w:val="single" w:sz="4" w:space="0" w:color="auto"/>
              <w:right w:val="single" w:sz="4" w:space="0" w:color="auto"/>
            </w:tcBorders>
            <w:vAlign w:val="center"/>
          </w:tcPr>
          <w:p w:rsidR="002047F5" w:rsidRPr="00092F2F" w:rsidRDefault="002047F5" w:rsidP="002047F5">
            <w:pPr>
              <w:pStyle w:val="14-2"/>
            </w:pPr>
          </w:p>
        </w:tc>
        <w:tc>
          <w:tcPr>
            <w:tcW w:w="827" w:type="dxa"/>
            <w:tcBorders>
              <w:top w:val="single" w:sz="4" w:space="0" w:color="auto"/>
              <w:left w:val="single" w:sz="4" w:space="0" w:color="auto"/>
              <w:bottom w:val="single" w:sz="4" w:space="0" w:color="auto"/>
              <w:right w:val="single" w:sz="4" w:space="0" w:color="auto"/>
            </w:tcBorders>
            <w:vAlign w:val="center"/>
          </w:tcPr>
          <w:p w:rsidR="002047F5" w:rsidRPr="00092F2F" w:rsidRDefault="002047F5" w:rsidP="002047F5">
            <w:pPr>
              <w:pStyle w:val="14-2"/>
            </w:pPr>
            <w:r w:rsidRPr="00092F2F">
              <w:t>實際值</w:t>
            </w:r>
          </w:p>
        </w:tc>
        <w:tc>
          <w:tcPr>
            <w:tcW w:w="767" w:type="dxa"/>
            <w:tcBorders>
              <w:top w:val="single" w:sz="4" w:space="0" w:color="auto"/>
              <w:left w:val="single" w:sz="4" w:space="0" w:color="auto"/>
              <w:bottom w:val="single" w:sz="4" w:space="0" w:color="auto"/>
              <w:right w:val="single" w:sz="4" w:space="0" w:color="auto"/>
            </w:tcBorders>
            <w:vAlign w:val="center"/>
          </w:tcPr>
          <w:p w:rsidR="002047F5" w:rsidRPr="00935978" w:rsidRDefault="002047F5" w:rsidP="002047F5">
            <w:pPr>
              <w:pStyle w:val="14-2"/>
              <w:ind w:left="71" w:hanging="57"/>
              <w:rPr>
                <w:spacing w:val="-20"/>
              </w:rPr>
            </w:pPr>
            <w:r w:rsidRPr="00935978">
              <w:rPr>
                <w:spacing w:val="-20"/>
              </w:rPr>
              <w:t>達成率</w:t>
            </w:r>
          </w:p>
        </w:tc>
        <w:tc>
          <w:tcPr>
            <w:tcW w:w="766" w:type="dxa"/>
            <w:tcBorders>
              <w:top w:val="single" w:sz="4" w:space="0" w:color="auto"/>
              <w:left w:val="single" w:sz="4" w:space="0" w:color="auto"/>
              <w:bottom w:val="single" w:sz="4" w:space="0" w:color="auto"/>
              <w:right w:val="single" w:sz="4" w:space="0" w:color="auto"/>
            </w:tcBorders>
            <w:vAlign w:val="center"/>
          </w:tcPr>
          <w:p w:rsidR="002047F5" w:rsidRPr="00092F2F" w:rsidRDefault="002047F5" w:rsidP="00935978">
            <w:pPr>
              <w:pStyle w:val="14-2"/>
              <w:ind w:left="71" w:hanging="57"/>
            </w:pPr>
            <w:r w:rsidRPr="00935978">
              <w:rPr>
                <w:spacing w:val="-20"/>
              </w:rPr>
              <w:t>實際值</w:t>
            </w:r>
          </w:p>
        </w:tc>
        <w:tc>
          <w:tcPr>
            <w:tcW w:w="836" w:type="dxa"/>
            <w:tcBorders>
              <w:top w:val="single" w:sz="4" w:space="0" w:color="auto"/>
              <w:left w:val="single" w:sz="4" w:space="0" w:color="auto"/>
              <w:bottom w:val="single" w:sz="4" w:space="0" w:color="auto"/>
              <w:right w:val="single" w:sz="4" w:space="0" w:color="auto"/>
            </w:tcBorders>
            <w:vAlign w:val="center"/>
          </w:tcPr>
          <w:p w:rsidR="002047F5" w:rsidRPr="00092F2F" w:rsidRDefault="002047F5" w:rsidP="00935978">
            <w:pPr>
              <w:pStyle w:val="14-2"/>
            </w:pPr>
            <w:r w:rsidRPr="00092F2F">
              <w:t>達成率</w:t>
            </w:r>
          </w:p>
        </w:tc>
        <w:tc>
          <w:tcPr>
            <w:tcW w:w="802" w:type="dxa"/>
            <w:tcBorders>
              <w:top w:val="single" w:sz="4" w:space="0" w:color="auto"/>
              <w:left w:val="single" w:sz="4" w:space="0" w:color="auto"/>
              <w:bottom w:val="single" w:sz="4" w:space="0" w:color="auto"/>
              <w:right w:val="single" w:sz="4" w:space="0" w:color="auto"/>
            </w:tcBorders>
            <w:vAlign w:val="center"/>
          </w:tcPr>
          <w:p w:rsidR="002047F5" w:rsidRPr="00092F2F" w:rsidRDefault="002047F5" w:rsidP="00935978">
            <w:pPr>
              <w:pStyle w:val="14-2"/>
            </w:pPr>
            <w:r w:rsidRPr="00092F2F">
              <w:t>實際值</w:t>
            </w:r>
          </w:p>
        </w:tc>
        <w:tc>
          <w:tcPr>
            <w:tcW w:w="838" w:type="dxa"/>
            <w:tcBorders>
              <w:top w:val="single" w:sz="4" w:space="0" w:color="auto"/>
              <w:left w:val="single" w:sz="4" w:space="0" w:color="auto"/>
              <w:bottom w:val="single" w:sz="4" w:space="0" w:color="auto"/>
              <w:right w:val="single" w:sz="4" w:space="0" w:color="auto"/>
            </w:tcBorders>
            <w:vAlign w:val="center"/>
          </w:tcPr>
          <w:p w:rsidR="002047F5" w:rsidRPr="00092F2F" w:rsidRDefault="002047F5" w:rsidP="002047F5">
            <w:pPr>
              <w:pStyle w:val="14-2"/>
            </w:pPr>
            <w:r w:rsidRPr="00092F2F">
              <w:t>占率</w:t>
            </w:r>
          </w:p>
        </w:tc>
        <w:tc>
          <w:tcPr>
            <w:tcW w:w="785" w:type="dxa"/>
            <w:tcBorders>
              <w:top w:val="single" w:sz="4" w:space="0" w:color="auto"/>
              <w:left w:val="single" w:sz="4" w:space="0" w:color="auto"/>
              <w:bottom w:val="single" w:sz="4" w:space="0" w:color="auto"/>
              <w:right w:val="single" w:sz="4" w:space="0" w:color="auto"/>
            </w:tcBorders>
            <w:vAlign w:val="center"/>
          </w:tcPr>
          <w:p w:rsidR="002047F5" w:rsidRPr="00935978" w:rsidRDefault="002047F5" w:rsidP="002047F5">
            <w:pPr>
              <w:pStyle w:val="14-2"/>
              <w:ind w:left="71" w:hanging="57"/>
              <w:rPr>
                <w:spacing w:val="-20"/>
              </w:rPr>
            </w:pPr>
            <w:r w:rsidRPr="00935978">
              <w:rPr>
                <w:spacing w:val="-20"/>
              </w:rPr>
              <w:t>目標值</w:t>
            </w:r>
          </w:p>
        </w:tc>
        <w:tc>
          <w:tcPr>
            <w:tcW w:w="790" w:type="dxa"/>
            <w:tcBorders>
              <w:top w:val="single" w:sz="4" w:space="0" w:color="auto"/>
              <w:left w:val="single" w:sz="4" w:space="0" w:color="auto"/>
              <w:bottom w:val="single" w:sz="4" w:space="0" w:color="auto"/>
              <w:right w:val="single" w:sz="4" w:space="0" w:color="auto"/>
            </w:tcBorders>
            <w:vAlign w:val="center"/>
          </w:tcPr>
          <w:p w:rsidR="002047F5" w:rsidRPr="00092F2F" w:rsidRDefault="002047F5" w:rsidP="002047F5">
            <w:pPr>
              <w:pStyle w:val="14-2"/>
              <w:ind w:left="71" w:hanging="57"/>
              <w:rPr>
                <w:spacing w:val="-20"/>
              </w:rPr>
            </w:pPr>
            <w:r w:rsidRPr="00092F2F">
              <w:rPr>
                <w:spacing w:val="-20"/>
              </w:rPr>
              <w:t>年度目標達成率</w:t>
            </w:r>
          </w:p>
        </w:tc>
        <w:tc>
          <w:tcPr>
            <w:tcW w:w="880" w:type="dxa"/>
            <w:tcBorders>
              <w:top w:val="single" w:sz="4" w:space="0" w:color="auto"/>
              <w:left w:val="single" w:sz="4" w:space="0" w:color="auto"/>
              <w:bottom w:val="single" w:sz="4" w:space="0" w:color="auto"/>
              <w:right w:val="single" w:sz="12" w:space="0" w:color="auto"/>
            </w:tcBorders>
          </w:tcPr>
          <w:p w:rsidR="002047F5" w:rsidRPr="00092F2F" w:rsidRDefault="002047F5" w:rsidP="002047F5">
            <w:pPr>
              <w:pStyle w:val="14-2"/>
              <w:ind w:left="71" w:hanging="57"/>
              <w:rPr>
                <w:spacing w:val="-20"/>
              </w:rPr>
            </w:pPr>
            <w:r w:rsidRPr="00092F2F">
              <w:rPr>
                <w:spacing w:val="-20"/>
              </w:rPr>
              <w:t>112年</w:t>
            </w:r>
            <w:r w:rsidR="00176EC4">
              <w:rPr>
                <w:rFonts w:hint="eastAsia"/>
                <w:spacing w:val="-20"/>
              </w:rPr>
              <w:t>9</w:t>
            </w:r>
            <w:r w:rsidRPr="00092F2F">
              <w:rPr>
                <w:spacing w:val="-20"/>
              </w:rPr>
              <w:t>月同期成長率</w:t>
            </w:r>
          </w:p>
        </w:tc>
      </w:tr>
      <w:tr w:rsidR="00176EC4" w:rsidRPr="00092F2F" w:rsidTr="00935978">
        <w:trPr>
          <w:trHeight w:val="47"/>
        </w:trPr>
        <w:tc>
          <w:tcPr>
            <w:tcW w:w="1241" w:type="dxa"/>
            <w:tcBorders>
              <w:top w:val="single" w:sz="4" w:space="0" w:color="auto"/>
              <w:left w:val="single" w:sz="12" w:space="0" w:color="auto"/>
              <w:bottom w:val="single" w:sz="4" w:space="0" w:color="auto"/>
              <w:right w:val="single" w:sz="4" w:space="0" w:color="auto"/>
            </w:tcBorders>
          </w:tcPr>
          <w:p w:rsidR="00176EC4" w:rsidRPr="00092F2F" w:rsidRDefault="00176EC4" w:rsidP="00176EC4">
            <w:pPr>
              <w:pStyle w:val="14-2"/>
            </w:pPr>
            <w:r w:rsidRPr="00092F2F">
              <w:t>臺灣銀行</w:t>
            </w:r>
          </w:p>
        </w:tc>
        <w:tc>
          <w:tcPr>
            <w:tcW w:w="827" w:type="dxa"/>
            <w:tcBorders>
              <w:top w:val="single" w:sz="4" w:space="0" w:color="auto"/>
              <w:left w:val="single" w:sz="4" w:space="0" w:color="auto"/>
              <w:bottom w:val="single" w:sz="4" w:space="0" w:color="auto"/>
              <w:right w:val="single" w:sz="4" w:space="0" w:color="auto"/>
            </w:tcBorders>
            <w:vAlign w:val="center"/>
          </w:tcPr>
          <w:p w:rsidR="00176EC4" w:rsidRPr="002047F5" w:rsidRDefault="00176EC4" w:rsidP="00EF779B">
            <w:pPr>
              <w:pStyle w:val="14-2"/>
              <w:jc w:val="right"/>
            </w:pPr>
            <w:r w:rsidRPr="002047F5">
              <w:rPr>
                <w:rFonts w:hint="eastAsia"/>
              </w:rPr>
              <w:t>2.46</w:t>
            </w:r>
          </w:p>
        </w:tc>
        <w:tc>
          <w:tcPr>
            <w:tcW w:w="767" w:type="dxa"/>
            <w:tcBorders>
              <w:top w:val="single" w:sz="4" w:space="0" w:color="auto"/>
              <w:left w:val="single" w:sz="4" w:space="0" w:color="auto"/>
              <w:bottom w:val="single" w:sz="4" w:space="0" w:color="auto"/>
              <w:right w:val="single" w:sz="4" w:space="0" w:color="auto"/>
            </w:tcBorders>
            <w:vAlign w:val="center"/>
          </w:tcPr>
          <w:p w:rsidR="00176EC4" w:rsidRPr="002047F5" w:rsidRDefault="00176EC4" w:rsidP="00EF779B">
            <w:pPr>
              <w:pStyle w:val="14-2"/>
              <w:jc w:val="right"/>
            </w:pPr>
            <w:r w:rsidRPr="002047F5">
              <w:rPr>
                <w:rFonts w:hint="eastAsia"/>
              </w:rPr>
              <w:t>-</w:t>
            </w:r>
          </w:p>
        </w:tc>
        <w:tc>
          <w:tcPr>
            <w:tcW w:w="766" w:type="dxa"/>
            <w:tcBorders>
              <w:top w:val="single" w:sz="4" w:space="0" w:color="auto"/>
              <w:left w:val="single" w:sz="4" w:space="0" w:color="auto"/>
              <w:bottom w:val="single" w:sz="4" w:space="0" w:color="auto"/>
              <w:right w:val="single" w:sz="4" w:space="0" w:color="auto"/>
            </w:tcBorders>
            <w:vAlign w:val="center"/>
          </w:tcPr>
          <w:p w:rsidR="00176EC4" w:rsidRPr="002047F5" w:rsidRDefault="00176EC4" w:rsidP="00EF779B">
            <w:pPr>
              <w:pStyle w:val="14-2"/>
              <w:jc w:val="right"/>
            </w:pPr>
            <w:r w:rsidRPr="002047F5">
              <w:t>3.08</w:t>
            </w:r>
          </w:p>
        </w:tc>
        <w:tc>
          <w:tcPr>
            <w:tcW w:w="836" w:type="dxa"/>
            <w:tcBorders>
              <w:top w:val="single" w:sz="4" w:space="0" w:color="auto"/>
              <w:left w:val="single" w:sz="4" w:space="0" w:color="auto"/>
              <w:bottom w:val="single" w:sz="4" w:space="0" w:color="auto"/>
              <w:right w:val="single" w:sz="4" w:space="0" w:color="auto"/>
            </w:tcBorders>
            <w:vAlign w:val="center"/>
          </w:tcPr>
          <w:p w:rsidR="00176EC4" w:rsidRPr="002047F5" w:rsidRDefault="00176EC4" w:rsidP="00EF779B">
            <w:pPr>
              <w:pStyle w:val="14-2"/>
              <w:jc w:val="right"/>
            </w:pPr>
            <w:r w:rsidRPr="002047F5">
              <w:t>123.59</w:t>
            </w:r>
          </w:p>
        </w:tc>
        <w:tc>
          <w:tcPr>
            <w:tcW w:w="802" w:type="dxa"/>
            <w:tcBorders>
              <w:top w:val="single" w:sz="4" w:space="0" w:color="auto"/>
              <w:left w:val="single" w:sz="4" w:space="0" w:color="auto"/>
              <w:bottom w:val="single" w:sz="4" w:space="0" w:color="auto"/>
              <w:right w:val="single" w:sz="4" w:space="0" w:color="auto"/>
            </w:tcBorders>
          </w:tcPr>
          <w:p w:rsidR="00176EC4" w:rsidRPr="002047F5" w:rsidRDefault="00176EC4" w:rsidP="00EF779B">
            <w:pPr>
              <w:pStyle w:val="14-2"/>
              <w:jc w:val="right"/>
            </w:pPr>
            <w:r w:rsidRPr="00EF500D">
              <w:t>4.94</w:t>
            </w:r>
          </w:p>
        </w:tc>
        <w:tc>
          <w:tcPr>
            <w:tcW w:w="838" w:type="dxa"/>
            <w:tcBorders>
              <w:top w:val="single" w:sz="4" w:space="0" w:color="auto"/>
              <w:left w:val="single" w:sz="4" w:space="0" w:color="auto"/>
              <w:bottom w:val="single" w:sz="4" w:space="0" w:color="auto"/>
              <w:right w:val="single" w:sz="4" w:space="0" w:color="auto"/>
            </w:tcBorders>
          </w:tcPr>
          <w:p w:rsidR="00176EC4" w:rsidRPr="002047F5" w:rsidRDefault="00176EC4" w:rsidP="00EF779B">
            <w:pPr>
              <w:pStyle w:val="14-2"/>
              <w:jc w:val="right"/>
            </w:pPr>
            <w:r w:rsidRPr="00EF500D">
              <w:t>16.86</w:t>
            </w:r>
          </w:p>
        </w:tc>
        <w:tc>
          <w:tcPr>
            <w:tcW w:w="785" w:type="dxa"/>
            <w:tcBorders>
              <w:top w:val="single" w:sz="4" w:space="0" w:color="auto"/>
              <w:left w:val="single" w:sz="4" w:space="0" w:color="auto"/>
              <w:bottom w:val="single" w:sz="4" w:space="0" w:color="auto"/>
              <w:right w:val="single" w:sz="4" w:space="0" w:color="auto"/>
            </w:tcBorders>
          </w:tcPr>
          <w:p w:rsidR="00176EC4" w:rsidRPr="002047F5" w:rsidRDefault="00176EC4" w:rsidP="00EF779B">
            <w:pPr>
              <w:pStyle w:val="14-2"/>
              <w:jc w:val="right"/>
            </w:pPr>
            <w:r w:rsidRPr="00EF500D">
              <w:t>5.91</w:t>
            </w:r>
          </w:p>
        </w:tc>
        <w:tc>
          <w:tcPr>
            <w:tcW w:w="790" w:type="dxa"/>
            <w:tcBorders>
              <w:top w:val="single" w:sz="4" w:space="0" w:color="auto"/>
              <w:left w:val="single" w:sz="4" w:space="0" w:color="auto"/>
              <w:bottom w:val="single" w:sz="4" w:space="0" w:color="auto"/>
              <w:right w:val="single" w:sz="4" w:space="0" w:color="auto"/>
            </w:tcBorders>
          </w:tcPr>
          <w:p w:rsidR="00176EC4" w:rsidRPr="002047F5" w:rsidRDefault="00176EC4" w:rsidP="00EF779B">
            <w:pPr>
              <w:pStyle w:val="14-2"/>
              <w:jc w:val="right"/>
            </w:pPr>
            <w:r w:rsidRPr="00EF500D">
              <w:t>83.51</w:t>
            </w:r>
          </w:p>
        </w:tc>
        <w:tc>
          <w:tcPr>
            <w:tcW w:w="880" w:type="dxa"/>
            <w:tcBorders>
              <w:top w:val="single" w:sz="4" w:space="0" w:color="auto"/>
              <w:left w:val="single" w:sz="4" w:space="0" w:color="auto"/>
              <w:bottom w:val="single" w:sz="4" w:space="0" w:color="auto"/>
              <w:right w:val="single" w:sz="12" w:space="0" w:color="auto"/>
            </w:tcBorders>
          </w:tcPr>
          <w:p w:rsidR="00176EC4" w:rsidRPr="002047F5" w:rsidRDefault="00176EC4" w:rsidP="00EF779B">
            <w:pPr>
              <w:pStyle w:val="14-2"/>
              <w:jc w:val="right"/>
            </w:pPr>
            <w:r w:rsidRPr="00EF500D">
              <w:t>152.19</w:t>
            </w:r>
          </w:p>
        </w:tc>
      </w:tr>
      <w:tr w:rsidR="00176EC4" w:rsidRPr="00092F2F" w:rsidTr="00935978">
        <w:trPr>
          <w:trHeight w:val="47"/>
        </w:trPr>
        <w:tc>
          <w:tcPr>
            <w:tcW w:w="1241" w:type="dxa"/>
            <w:tcBorders>
              <w:top w:val="single" w:sz="4" w:space="0" w:color="auto"/>
              <w:left w:val="single" w:sz="12" w:space="0" w:color="auto"/>
              <w:bottom w:val="single" w:sz="4" w:space="0" w:color="auto"/>
              <w:right w:val="single" w:sz="4" w:space="0" w:color="auto"/>
            </w:tcBorders>
          </w:tcPr>
          <w:p w:rsidR="00176EC4" w:rsidRPr="00092F2F" w:rsidRDefault="00176EC4" w:rsidP="00176EC4">
            <w:pPr>
              <w:pStyle w:val="14-2"/>
            </w:pPr>
            <w:r w:rsidRPr="00092F2F">
              <w:t>其他銀行</w:t>
            </w:r>
          </w:p>
        </w:tc>
        <w:tc>
          <w:tcPr>
            <w:tcW w:w="827" w:type="dxa"/>
            <w:tcBorders>
              <w:top w:val="single" w:sz="4" w:space="0" w:color="auto"/>
              <w:left w:val="single" w:sz="4" w:space="0" w:color="auto"/>
              <w:bottom w:val="single" w:sz="4" w:space="0" w:color="auto"/>
              <w:right w:val="single" w:sz="4" w:space="0" w:color="auto"/>
            </w:tcBorders>
            <w:vAlign w:val="center"/>
          </w:tcPr>
          <w:p w:rsidR="00176EC4" w:rsidRPr="002047F5" w:rsidRDefault="00176EC4" w:rsidP="00EF779B">
            <w:pPr>
              <w:pStyle w:val="14-2"/>
              <w:jc w:val="right"/>
            </w:pPr>
            <w:r w:rsidRPr="002047F5">
              <w:rPr>
                <w:rFonts w:hint="eastAsia"/>
              </w:rPr>
              <w:t>0.84</w:t>
            </w:r>
          </w:p>
        </w:tc>
        <w:tc>
          <w:tcPr>
            <w:tcW w:w="767" w:type="dxa"/>
            <w:tcBorders>
              <w:top w:val="single" w:sz="4" w:space="0" w:color="auto"/>
              <w:left w:val="single" w:sz="4" w:space="0" w:color="auto"/>
              <w:bottom w:val="single" w:sz="4" w:space="0" w:color="auto"/>
              <w:right w:val="single" w:sz="4" w:space="0" w:color="auto"/>
            </w:tcBorders>
            <w:vAlign w:val="center"/>
          </w:tcPr>
          <w:p w:rsidR="00176EC4" w:rsidRPr="002047F5" w:rsidRDefault="00176EC4" w:rsidP="00EF779B">
            <w:pPr>
              <w:pStyle w:val="14-2"/>
              <w:jc w:val="right"/>
            </w:pPr>
            <w:r w:rsidRPr="002047F5">
              <w:rPr>
                <w:rFonts w:hint="eastAsia"/>
              </w:rPr>
              <w:t>-</w:t>
            </w:r>
          </w:p>
        </w:tc>
        <w:tc>
          <w:tcPr>
            <w:tcW w:w="766" w:type="dxa"/>
            <w:tcBorders>
              <w:top w:val="single" w:sz="4" w:space="0" w:color="auto"/>
              <w:left w:val="single" w:sz="4" w:space="0" w:color="auto"/>
              <w:bottom w:val="single" w:sz="4" w:space="0" w:color="auto"/>
              <w:right w:val="single" w:sz="4" w:space="0" w:color="auto"/>
            </w:tcBorders>
            <w:vAlign w:val="center"/>
          </w:tcPr>
          <w:p w:rsidR="00176EC4" w:rsidRPr="002047F5" w:rsidRDefault="00176EC4" w:rsidP="00EF779B">
            <w:pPr>
              <w:pStyle w:val="14-2"/>
              <w:jc w:val="right"/>
            </w:pPr>
            <w:r w:rsidRPr="002047F5">
              <w:t>1.20</w:t>
            </w:r>
          </w:p>
        </w:tc>
        <w:tc>
          <w:tcPr>
            <w:tcW w:w="836" w:type="dxa"/>
            <w:tcBorders>
              <w:top w:val="single" w:sz="4" w:space="0" w:color="auto"/>
              <w:left w:val="single" w:sz="4" w:space="0" w:color="auto"/>
              <w:bottom w:val="single" w:sz="4" w:space="0" w:color="auto"/>
              <w:right w:val="single" w:sz="4" w:space="0" w:color="auto"/>
            </w:tcBorders>
            <w:vAlign w:val="center"/>
          </w:tcPr>
          <w:p w:rsidR="00176EC4" w:rsidRPr="002047F5" w:rsidRDefault="00176EC4" w:rsidP="00EF779B">
            <w:pPr>
              <w:pStyle w:val="14-2"/>
              <w:jc w:val="right"/>
            </w:pPr>
            <w:r w:rsidRPr="002047F5">
              <w:t>101.52</w:t>
            </w:r>
          </w:p>
        </w:tc>
        <w:tc>
          <w:tcPr>
            <w:tcW w:w="802" w:type="dxa"/>
            <w:tcBorders>
              <w:top w:val="single" w:sz="4" w:space="0" w:color="auto"/>
              <w:left w:val="single" w:sz="4" w:space="0" w:color="auto"/>
              <w:bottom w:val="single" w:sz="4" w:space="0" w:color="auto"/>
              <w:right w:val="single" w:sz="4" w:space="0" w:color="auto"/>
            </w:tcBorders>
          </w:tcPr>
          <w:p w:rsidR="00176EC4" w:rsidRPr="002047F5" w:rsidRDefault="00176EC4" w:rsidP="00EF779B">
            <w:pPr>
              <w:pStyle w:val="14-2"/>
              <w:jc w:val="right"/>
            </w:pPr>
            <w:r w:rsidRPr="00EF500D">
              <w:t>2.11</w:t>
            </w:r>
          </w:p>
        </w:tc>
        <w:tc>
          <w:tcPr>
            <w:tcW w:w="838" w:type="dxa"/>
            <w:tcBorders>
              <w:top w:val="single" w:sz="4" w:space="0" w:color="auto"/>
              <w:left w:val="single" w:sz="4" w:space="0" w:color="auto"/>
              <w:bottom w:val="single" w:sz="4" w:space="0" w:color="auto"/>
              <w:right w:val="single" w:sz="4" w:space="0" w:color="auto"/>
            </w:tcBorders>
          </w:tcPr>
          <w:p w:rsidR="00176EC4" w:rsidRPr="002047F5" w:rsidRDefault="00176EC4" w:rsidP="00EF779B">
            <w:pPr>
              <w:pStyle w:val="14-2"/>
              <w:jc w:val="right"/>
            </w:pPr>
            <w:r w:rsidRPr="00EF500D">
              <w:t>7.19</w:t>
            </w:r>
          </w:p>
        </w:tc>
        <w:tc>
          <w:tcPr>
            <w:tcW w:w="785" w:type="dxa"/>
            <w:tcBorders>
              <w:top w:val="single" w:sz="4" w:space="0" w:color="auto"/>
              <w:left w:val="single" w:sz="4" w:space="0" w:color="auto"/>
              <w:bottom w:val="single" w:sz="4" w:space="0" w:color="auto"/>
              <w:right w:val="single" w:sz="4" w:space="0" w:color="auto"/>
            </w:tcBorders>
          </w:tcPr>
          <w:p w:rsidR="00176EC4" w:rsidRPr="002047F5" w:rsidRDefault="00176EC4" w:rsidP="00EF779B">
            <w:pPr>
              <w:pStyle w:val="14-2"/>
              <w:jc w:val="right"/>
            </w:pPr>
            <w:r w:rsidRPr="00EF500D">
              <w:t>2.44</w:t>
            </w:r>
          </w:p>
        </w:tc>
        <w:tc>
          <w:tcPr>
            <w:tcW w:w="790" w:type="dxa"/>
            <w:tcBorders>
              <w:top w:val="single" w:sz="4" w:space="0" w:color="auto"/>
              <w:left w:val="single" w:sz="4" w:space="0" w:color="auto"/>
              <w:bottom w:val="single" w:sz="4" w:space="0" w:color="auto"/>
              <w:right w:val="single" w:sz="4" w:space="0" w:color="auto"/>
            </w:tcBorders>
          </w:tcPr>
          <w:p w:rsidR="00176EC4" w:rsidRPr="002047F5" w:rsidRDefault="00176EC4" w:rsidP="00EF779B">
            <w:pPr>
              <w:pStyle w:val="14-2"/>
              <w:jc w:val="right"/>
            </w:pPr>
            <w:r w:rsidRPr="00EF500D">
              <w:t>86.39</w:t>
            </w:r>
          </w:p>
        </w:tc>
        <w:tc>
          <w:tcPr>
            <w:tcW w:w="880" w:type="dxa"/>
            <w:tcBorders>
              <w:top w:val="single" w:sz="4" w:space="0" w:color="auto"/>
              <w:left w:val="single" w:sz="4" w:space="0" w:color="auto"/>
              <w:bottom w:val="single" w:sz="4" w:space="0" w:color="auto"/>
              <w:right w:val="single" w:sz="12" w:space="0" w:color="auto"/>
            </w:tcBorders>
          </w:tcPr>
          <w:p w:rsidR="00176EC4" w:rsidRPr="002047F5" w:rsidRDefault="00176EC4" w:rsidP="00EF779B">
            <w:pPr>
              <w:pStyle w:val="14-2"/>
              <w:jc w:val="right"/>
            </w:pPr>
            <w:r w:rsidRPr="00EF500D">
              <w:t>150.71</w:t>
            </w:r>
          </w:p>
        </w:tc>
      </w:tr>
      <w:tr w:rsidR="00176EC4" w:rsidRPr="00092F2F" w:rsidTr="00935978">
        <w:trPr>
          <w:trHeight w:val="47"/>
        </w:trPr>
        <w:tc>
          <w:tcPr>
            <w:tcW w:w="1241" w:type="dxa"/>
            <w:tcBorders>
              <w:top w:val="single" w:sz="4" w:space="0" w:color="auto"/>
              <w:left w:val="single" w:sz="12" w:space="0" w:color="auto"/>
              <w:bottom w:val="single" w:sz="4" w:space="0" w:color="auto"/>
              <w:right w:val="single" w:sz="4" w:space="0" w:color="auto"/>
            </w:tcBorders>
          </w:tcPr>
          <w:p w:rsidR="00176EC4" w:rsidRPr="00092F2F" w:rsidRDefault="00176EC4" w:rsidP="00176EC4">
            <w:pPr>
              <w:pStyle w:val="14-2"/>
            </w:pPr>
            <w:r w:rsidRPr="00092F2F">
              <w:t>專屬保代</w:t>
            </w:r>
          </w:p>
        </w:tc>
        <w:tc>
          <w:tcPr>
            <w:tcW w:w="827" w:type="dxa"/>
            <w:tcBorders>
              <w:top w:val="single" w:sz="4" w:space="0" w:color="auto"/>
              <w:left w:val="single" w:sz="4" w:space="0" w:color="auto"/>
              <w:bottom w:val="single" w:sz="4" w:space="0" w:color="auto"/>
              <w:right w:val="single" w:sz="4" w:space="0" w:color="auto"/>
            </w:tcBorders>
            <w:vAlign w:val="center"/>
          </w:tcPr>
          <w:p w:rsidR="00176EC4" w:rsidRPr="002047F5" w:rsidRDefault="00176EC4" w:rsidP="00EF779B">
            <w:pPr>
              <w:pStyle w:val="14-2"/>
              <w:jc w:val="right"/>
            </w:pPr>
            <w:r w:rsidRPr="002047F5">
              <w:rPr>
                <w:rFonts w:hint="eastAsia"/>
              </w:rPr>
              <w:t>21.10</w:t>
            </w:r>
          </w:p>
        </w:tc>
        <w:tc>
          <w:tcPr>
            <w:tcW w:w="767" w:type="dxa"/>
            <w:tcBorders>
              <w:top w:val="single" w:sz="4" w:space="0" w:color="auto"/>
              <w:left w:val="single" w:sz="4" w:space="0" w:color="auto"/>
              <w:bottom w:val="single" w:sz="4" w:space="0" w:color="auto"/>
              <w:right w:val="single" w:sz="4" w:space="0" w:color="auto"/>
            </w:tcBorders>
            <w:vAlign w:val="center"/>
          </w:tcPr>
          <w:p w:rsidR="00176EC4" w:rsidRPr="002047F5" w:rsidRDefault="00176EC4" w:rsidP="00EF779B">
            <w:pPr>
              <w:pStyle w:val="14-2"/>
              <w:jc w:val="right"/>
            </w:pPr>
            <w:r w:rsidRPr="002047F5">
              <w:rPr>
                <w:rFonts w:hint="eastAsia"/>
              </w:rPr>
              <w:t>-</w:t>
            </w:r>
          </w:p>
        </w:tc>
        <w:tc>
          <w:tcPr>
            <w:tcW w:w="766" w:type="dxa"/>
            <w:tcBorders>
              <w:top w:val="single" w:sz="4" w:space="0" w:color="auto"/>
              <w:left w:val="single" w:sz="4" w:space="0" w:color="auto"/>
              <w:bottom w:val="single" w:sz="4" w:space="0" w:color="auto"/>
              <w:right w:val="single" w:sz="4" w:space="0" w:color="auto"/>
            </w:tcBorders>
            <w:vAlign w:val="center"/>
          </w:tcPr>
          <w:p w:rsidR="00176EC4" w:rsidRPr="002047F5" w:rsidRDefault="00176EC4" w:rsidP="00EF779B">
            <w:pPr>
              <w:pStyle w:val="14-2"/>
              <w:jc w:val="right"/>
            </w:pPr>
            <w:r w:rsidRPr="002047F5">
              <w:t>18.65</w:t>
            </w:r>
          </w:p>
        </w:tc>
        <w:tc>
          <w:tcPr>
            <w:tcW w:w="836" w:type="dxa"/>
            <w:tcBorders>
              <w:top w:val="single" w:sz="4" w:space="0" w:color="auto"/>
              <w:left w:val="single" w:sz="4" w:space="0" w:color="auto"/>
              <w:bottom w:val="single" w:sz="4" w:space="0" w:color="auto"/>
              <w:right w:val="single" w:sz="4" w:space="0" w:color="auto"/>
            </w:tcBorders>
            <w:vAlign w:val="center"/>
          </w:tcPr>
          <w:p w:rsidR="00176EC4" w:rsidRPr="002047F5" w:rsidRDefault="00176EC4" w:rsidP="00EF779B">
            <w:pPr>
              <w:pStyle w:val="14-2"/>
              <w:jc w:val="right"/>
            </w:pPr>
            <w:r w:rsidRPr="002047F5">
              <w:t>75.73</w:t>
            </w:r>
          </w:p>
        </w:tc>
        <w:tc>
          <w:tcPr>
            <w:tcW w:w="802" w:type="dxa"/>
            <w:tcBorders>
              <w:top w:val="single" w:sz="4" w:space="0" w:color="auto"/>
              <w:left w:val="single" w:sz="4" w:space="0" w:color="auto"/>
              <w:bottom w:val="single" w:sz="4" w:space="0" w:color="auto"/>
              <w:right w:val="single" w:sz="4" w:space="0" w:color="auto"/>
            </w:tcBorders>
          </w:tcPr>
          <w:p w:rsidR="00176EC4" w:rsidRPr="002047F5" w:rsidRDefault="00176EC4" w:rsidP="00EF779B">
            <w:pPr>
              <w:pStyle w:val="14-2"/>
              <w:jc w:val="right"/>
            </w:pPr>
            <w:r w:rsidRPr="00EF500D">
              <w:t>13.14</w:t>
            </w:r>
          </w:p>
        </w:tc>
        <w:tc>
          <w:tcPr>
            <w:tcW w:w="838" w:type="dxa"/>
            <w:tcBorders>
              <w:top w:val="single" w:sz="4" w:space="0" w:color="auto"/>
              <w:left w:val="single" w:sz="4" w:space="0" w:color="auto"/>
              <w:bottom w:val="single" w:sz="4" w:space="0" w:color="auto"/>
              <w:right w:val="single" w:sz="4" w:space="0" w:color="auto"/>
            </w:tcBorders>
          </w:tcPr>
          <w:p w:rsidR="00176EC4" w:rsidRPr="002047F5" w:rsidRDefault="00176EC4" w:rsidP="00EF779B">
            <w:pPr>
              <w:pStyle w:val="14-2"/>
              <w:jc w:val="right"/>
            </w:pPr>
            <w:r w:rsidRPr="00EF500D">
              <w:t>44.89</w:t>
            </w:r>
          </w:p>
        </w:tc>
        <w:tc>
          <w:tcPr>
            <w:tcW w:w="785" w:type="dxa"/>
            <w:tcBorders>
              <w:top w:val="single" w:sz="4" w:space="0" w:color="auto"/>
              <w:left w:val="single" w:sz="4" w:space="0" w:color="auto"/>
              <w:bottom w:val="single" w:sz="4" w:space="0" w:color="auto"/>
              <w:right w:val="single" w:sz="4" w:space="0" w:color="auto"/>
            </w:tcBorders>
          </w:tcPr>
          <w:p w:rsidR="00176EC4" w:rsidRPr="002047F5" w:rsidRDefault="00176EC4" w:rsidP="00EF779B">
            <w:pPr>
              <w:pStyle w:val="14-2"/>
              <w:jc w:val="right"/>
            </w:pPr>
            <w:r w:rsidRPr="00EF500D">
              <w:t>24.36</w:t>
            </w:r>
          </w:p>
        </w:tc>
        <w:tc>
          <w:tcPr>
            <w:tcW w:w="790" w:type="dxa"/>
            <w:tcBorders>
              <w:top w:val="single" w:sz="4" w:space="0" w:color="auto"/>
              <w:left w:val="single" w:sz="4" w:space="0" w:color="auto"/>
              <w:bottom w:val="single" w:sz="4" w:space="0" w:color="auto"/>
              <w:right w:val="single" w:sz="4" w:space="0" w:color="auto"/>
            </w:tcBorders>
          </w:tcPr>
          <w:p w:rsidR="00176EC4" w:rsidRPr="002047F5" w:rsidRDefault="00176EC4" w:rsidP="00EF779B">
            <w:pPr>
              <w:pStyle w:val="14-2"/>
              <w:jc w:val="right"/>
            </w:pPr>
            <w:r w:rsidRPr="00EF500D">
              <w:t>53.95</w:t>
            </w:r>
          </w:p>
        </w:tc>
        <w:tc>
          <w:tcPr>
            <w:tcW w:w="880" w:type="dxa"/>
            <w:tcBorders>
              <w:top w:val="single" w:sz="4" w:space="0" w:color="auto"/>
              <w:left w:val="single" w:sz="4" w:space="0" w:color="auto"/>
              <w:bottom w:val="single" w:sz="4" w:space="0" w:color="auto"/>
              <w:right w:val="single" w:sz="12" w:space="0" w:color="auto"/>
            </w:tcBorders>
          </w:tcPr>
          <w:p w:rsidR="00176EC4" w:rsidRPr="002047F5" w:rsidRDefault="00176EC4" w:rsidP="00EF779B">
            <w:pPr>
              <w:pStyle w:val="14-2"/>
              <w:jc w:val="right"/>
            </w:pPr>
            <w:r w:rsidRPr="00EF500D">
              <w:t>-7.74</w:t>
            </w:r>
          </w:p>
        </w:tc>
      </w:tr>
      <w:tr w:rsidR="00176EC4" w:rsidRPr="00092F2F" w:rsidTr="00EF779B">
        <w:trPr>
          <w:trHeight w:val="47"/>
        </w:trPr>
        <w:tc>
          <w:tcPr>
            <w:tcW w:w="1241" w:type="dxa"/>
            <w:tcBorders>
              <w:top w:val="single" w:sz="4" w:space="0" w:color="auto"/>
              <w:left w:val="single" w:sz="12" w:space="0" w:color="auto"/>
              <w:bottom w:val="single" w:sz="4" w:space="0" w:color="auto"/>
              <w:right w:val="single" w:sz="4" w:space="0" w:color="auto"/>
            </w:tcBorders>
          </w:tcPr>
          <w:p w:rsidR="00176EC4" w:rsidRPr="00092F2F" w:rsidRDefault="00176EC4" w:rsidP="00176EC4">
            <w:pPr>
              <w:pStyle w:val="14-2"/>
            </w:pPr>
            <w:r w:rsidRPr="00092F2F">
              <w:t>普通經代</w:t>
            </w:r>
          </w:p>
        </w:tc>
        <w:tc>
          <w:tcPr>
            <w:tcW w:w="827" w:type="dxa"/>
            <w:tcBorders>
              <w:top w:val="single" w:sz="4" w:space="0" w:color="auto"/>
              <w:left w:val="single" w:sz="4" w:space="0" w:color="auto"/>
              <w:bottom w:val="single" w:sz="4" w:space="0" w:color="auto"/>
              <w:right w:val="single" w:sz="4" w:space="0" w:color="auto"/>
            </w:tcBorders>
            <w:vAlign w:val="center"/>
          </w:tcPr>
          <w:p w:rsidR="00176EC4" w:rsidRPr="002047F5" w:rsidRDefault="00176EC4" w:rsidP="00EF779B">
            <w:pPr>
              <w:pStyle w:val="14-2"/>
              <w:jc w:val="right"/>
            </w:pPr>
            <w:r w:rsidRPr="002047F5">
              <w:rPr>
                <w:rFonts w:hint="eastAsia"/>
              </w:rPr>
              <w:t>0.68</w:t>
            </w:r>
          </w:p>
        </w:tc>
        <w:tc>
          <w:tcPr>
            <w:tcW w:w="767" w:type="dxa"/>
            <w:tcBorders>
              <w:top w:val="single" w:sz="4" w:space="0" w:color="auto"/>
              <w:left w:val="single" w:sz="4" w:space="0" w:color="auto"/>
              <w:bottom w:val="single" w:sz="4" w:space="0" w:color="auto"/>
              <w:right w:val="single" w:sz="4" w:space="0" w:color="auto"/>
            </w:tcBorders>
            <w:vAlign w:val="center"/>
          </w:tcPr>
          <w:p w:rsidR="00176EC4" w:rsidRPr="002047F5" w:rsidRDefault="00176EC4" w:rsidP="00EF779B">
            <w:pPr>
              <w:pStyle w:val="14-2"/>
              <w:jc w:val="right"/>
            </w:pPr>
            <w:r w:rsidRPr="002047F5">
              <w:rPr>
                <w:rFonts w:hint="eastAsia"/>
              </w:rPr>
              <w:t>-</w:t>
            </w:r>
          </w:p>
        </w:tc>
        <w:tc>
          <w:tcPr>
            <w:tcW w:w="766" w:type="dxa"/>
            <w:tcBorders>
              <w:top w:val="single" w:sz="4" w:space="0" w:color="auto"/>
              <w:left w:val="single" w:sz="4" w:space="0" w:color="auto"/>
              <w:bottom w:val="single" w:sz="4" w:space="0" w:color="auto"/>
              <w:right w:val="single" w:sz="4" w:space="0" w:color="auto"/>
            </w:tcBorders>
            <w:vAlign w:val="center"/>
          </w:tcPr>
          <w:p w:rsidR="00176EC4" w:rsidRPr="002047F5" w:rsidRDefault="00176EC4" w:rsidP="00EF779B">
            <w:pPr>
              <w:pStyle w:val="14-2"/>
              <w:jc w:val="right"/>
            </w:pPr>
            <w:r w:rsidRPr="002047F5">
              <w:t>1.28</w:t>
            </w:r>
          </w:p>
        </w:tc>
        <w:tc>
          <w:tcPr>
            <w:tcW w:w="836" w:type="dxa"/>
            <w:tcBorders>
              <w:top w:val="single" w:sz="4" w:space="0" w:color="auto"/>
              <w:left w:val="single" w:sz="4" w:space="0" w:color="auto"/>
              <w:bottom w:val="single" w:sz="4" w:space="0" w:color="auto"/>
              <w:right w:val="single" w:sz="4" w:space="0" w:color="auto"/>
            </w:tcBorders>
            <w:vAlign w:val="center"/>
          </w:tcPr>
          <w:p w:rsidR="00176EC4" w:rsidRPr="002047F5" w:rsidRDefault="00176EC4" w:rsidP="00EF779B">
            <w:pPr>
              <w:pStyle w:val="14-2"/>
              <w:jc w:val="right"/>
            </w:pPr>
            <w:r w:rsidRPr="002047F5">
              <w:t>121.80</w:t>
            </w:r>
          </w:p>
        </w:tc>
        <w:tc>
          <w:tcPr>
            <w:tcW w:w="802" w:type="dxa"/>
            <w:tcBorders>
              <w:top w:val="single" w:sz="4" w:space="0" w:color="auto"/>
              <w:left w:val="single" w:sz="4" w:space="0" w:color="auto"/>
              <w:bottom w:val="single" w:sz="4" w:space="0" w:color="auto"/>
              <w:right w:val="single" w:sz="4" w:space="0" w:color="auto"/>
            </w:tcBorders>
            <w:vAlign w:val="center"/>
          </w:tcPr>
          <w:p w:rsidR="00176EC4" w:rsidRPr="002047F5" w:rsidRDefault="00176EC4" w:rsidP="00EF779B">
            <w:pPr>
              <w:pStyle w:val="14-2"/>
              <w:jc w:val="right"/>
            </w:pPr>
            <w:r w:rsidRPr="00EF500D">
              <w:t>8.19</w:t>
            </w:r>
          </w:p>
        </w:tc>
        <w:tc>
          <w:tcPr>
            <w:tcW w:w="838" w:type="dxa"/>
            <w:tcBorders>
              <w:top w:val="single" w:sz="4" w:space="0" w:color="auto"/>
              <w:left w:val="single" w:sz="4" w:space="0" w:color="auto"/>
              <w:bottom w:val="single" w:sz="4" w:space="0" w:color="auto"/>
              <w:right w:val="single" w:sz="4" w:space="0" w:color="auto"/>
            </w:tcBorders>
            <w:vAlign w:val="center"/>
          </w:tcPr>
          <w:p w:rsidR="00176EC4" w:rsidRPr="002047F5" w:rsidRDefault="00176EC4" w:rsidP="00EF779B">
            <w:pPr>
              <w:pStyle w:val="14-2"/>
              <w:jc w:val="right"/>
            </w:pPr>
            <w:r w:rsidRPr="00EF500D">
              <w:t>27.97</w:t>
            </w:r>
          </w:p>
        </w:tc>
        <w:tc>
          <w:tcPr>
            <w:tcW w:w="785" w:type="dxa"/>
            <w:tcBorders>
              <w:top w:val="single" w:sz="4" w:space="0" w:color="auto"/>
              <w:left w:val="single" w:sz="4" w:space="0" w:color="auto"/>
              <w:bottom w:val="single" w:sz="4" w:space="0" w:color="auto"/>
              <w:right w:val="single" w:sz="4" w:space="0" w:color="auto"/>
            </w:tcBorders>
            <w:vAlign w:val="center"/>
          </w:tcPr>
          <w:p w:rsidR="00176EC4" w:rsidRPr="002047F5" w:rsidRDefault="00176EC4" w:rsidP="00EF779B">
            <w:pPr>
              <w:pStyle w:val="14-2"/>
              <w:jc w:val="right"/>
            </w:pPr>
            <w:r w:rsidRPr="00EF500D">
              <w:t>2.65</w:t>
            </w:r>
          </w:p>
        </w:tc>
        <w:tc>
          <w:tcPr>
            <w:tcW w:w="790" w:type="dxa"/>
            <w:tcBorders>
              <w:top w:val="single" w:sz="4" w:space="0" w:color="auto"/>
              <w:left w:val="single" w:sz="4" w:space="0" w:color="auto"/>
              <w:bottom w:val="single" w:sz="4" w:space="0" w:color="auto"/>
              <w:right w:val="single" w:sz="4" w:space="0" w:color="auto"/>
            </w:tcBorders>
            <w:vAlign w:val="center"/>
          </w:tcPr>
          <w:p w:rsidR="00176EC4" w:rsidRPr="00EF779B" w:rsidRDefault="00176EC4" w:rsidP="00EF779B">
            <w:pPr>
              <w:pStyle w:val="14-2"/>
              <w:ind w:left="71" w:hanging="57"/>
              <w:jc w:val="right"/>
              <w:rPr>
                <w:spacing w:val="-20"/>
              </w:rPr>
            </w:pPr>
            <w:r w:rsidRPr="00EF779B">
              <w:rPr>
                <w:spacing w:val="-20"/>
              </w:rPr>
              <w:t>309.14</w:t>
            </w:r>
          </w:p>
        </w:tc>
        <w:tc>
          <w:tcPr>
            <w:tcW w:w="880" w:type="dxa"/>
            <w:tcBorders>
              <w:top w:val="single" w:sz="4" w:space="0" w:color="auto"/>
              <w:left w:val="single" w:sz="4" w:space="0" w:color="auto"/>
              <w:bottom w:val="single" w:sz="4" w:space="0" w:color="auto"/>
              <w:right w:val="single" w:sz="12" w:space="0" w:color="auto"/>
            </w:tcBorders>
            <w:vAlign w:val="center"/>
          </w:tcPr>
          <w:p w:rsidR="00176EC4" w:rsidRPr="002047F5" w:rsidRDefault="00176EC4" w:rsidP="00EF779B">
            <w:pPr>
              <w:pStyle w:val="14-2"/>
              <w:jc w:val="right"/>
            </w:pPr>
            <w:r w:rsidRPr="00EF500D">
              <w:t>942.67</w:t>
            </w:r>
          </w:p>
        </w:tc>
      </w:tr>
      <w:tr w:rsidR="00176EC4" w:rsidRPr="00092F2F" w:rsidTr="00935978">
        <w:trPr>
          <w:trHeight w:val="47"/>
        </w:trPr>
        <w:tc>
          <w:tcPr>
            <w:tcW w:w="1241" w:type="dxa"/>
            <w:tcBorders>
              <w:top w:val="single" w:sz="4" w:space="0" w:color="auto"/>
              <w:left w:val="single" w:sz="12" w:space="0" w:color="auto"/>
              <w:bottom w:val="single" w:sz="4" w:space="0" w:color="auto"/>
              <w:right w:val="single" w:sz="4" w:space="0" w:color="auto"/>
            </w:tcBorders>
          </w:tcPr>
          <w:p w:rsidR="00176EC4" w:rsidRPr="00935978" w:rsidRDefault="00176EC4" w:rsidP="00176EC4">
            <w:pPr>
              <w:pStyle w:val="14-2"/>
              <w:ind w:left="71" w:hanging="57"/>
              <w:rPr>
                <w:spacing w:val="-20"/>
              </w:rPr>
            </w:pPr>
            <w:r w:rsidRPr="00935978">
              <w:rPr>
                <w:spacing w:val="-20"/>
              </w:rPr>
              <w:t>自展通訊處</w:t>
            </w:r>
          </w:p>
        </w:tc>
        <w:tc>
          <w:tcPr>
            <w:tcW w:w="827" w:type="dxa"/>
            <w:tcBorders>
              <w:top w:val="single" w:sz="4" w:space="0" w:color="auto"/>
              <w:left w:val="single" w:sz="4" w:space="0" w:color="auto"/>
              <w:bottom w:val="single" w:sz="4" w:space="0" w:color="auto"/>
              <w:right w:val="single" w:sz="4" w:space="0" w:color="auto"/>
            </w:tcBorders>
            <w:vAlign w:val="center"/>
          </w:tcPr>
          <w:p w:rsidR="00176EC4" w:rsidRPr="002047F5" w:rsidRDefault="00176EC4" w:rsidP="00EF779B">
            <w:pPr>
              <w:pStyle w:val="14-2"/>
              <w:jc w:val="right"/>
            </w:pPr>
            <w:r w:rsidRPr="002047F5">
              <w:rPr>
                <w:rFonts w:hint="eastAsia"/>
              </w:rPr>
              <w:t>0.73</w:t>
            </w:r>
          </w:p>
        </w:tc>
        <w:tc>
          <w:tcPr>
            <w:tcW w:w="767" w:type="dxa"/>
            <w:tcBorders>
              <w:top w:val="single" w:sz="4" w:space="0" w:color="auto"/>
              <w:left w:val="single" w:sz="4" w:space="0" w:color="auto"/>
              <w:bottom w:val="single" w:sz="4" w:space="0" w:color="auto"/>
              <w:right w:val="single" w:sz="4" w:space="0" w:color="auto"/>
            </w:tcBorders>
            <w:vAlign w:val="center"/>
          </w:tcPr>
          <w:p w:rsidR="00176EC4" w:rsidRPr="002047F5" w:rsidRDefault="00176EC4" w:rsidP="00EF779B">
            <w:pPr>
              <w:pStyle w:val="14-2"/>
              <w:jc w:val="right"/>
            </w:pPr>
            <w:r w:rsidRPr="002047F5">
              <w:rPr>
                <w:rFonts w:hint="eastAsia"/>
              </w:rPr>
              <w:t>-</w:t>
            </w:r>
          </w:p>
        </w:tc>
        <w:tc>
          <w:tcPr>
            <w:tcW w:w="766" w:type="dxa"/>
            <w:tcBorders>
              <w:top w:val="single" w:sz="4" w:space="0" w:color="auto"/>
              <w:left w:val="single" w:sz="4" w:space="0" w:color="auto"/>
              <w:bottom w:val="single" w:sz="4" w:space="0" w:color="auto"/>
              <w:right w:val="single" w:sz="4" w:space="0" w:color="auto"/>
            </w:tcBorders>
            <w:vAlign w:val="center"/>
          </w:tcPr>
          <w:p w:rsidR="00176EC4" w:rsidRPr="002047F5" w:rsidRDefault="00176EC4" w:rsidP="00EF779B">
            <w:pPr>
              <w:pStyle w:val="14-2"/>
              <w:jc w:val="right"/>
            </w:pPr>
            <w:r w:rsidRPr="002047F5">
              <w:t>0.43</w:t>
            </w:r>
          </w:p>
        </w:tc>
        <w:tc>
          <w:tcPr>
            <w:tcW w:w="836" w:type="dxa"/>
            <w:tcBorders>
              <w:top w:val="single" w:sz="4" w:space="0" w:color="auto"/>
              <w:left w:val="single" w:sz="4" w:space="0" w:color="auto"/>
              <w:bottom w:val="single" w:sz="4" w:space="0" w:color="auto"/>
              <w:right w:val="single" w:sz="4" w:space="0" w:color="auto"/>
            </w:tcBorders>
            <w:vAlign w:val="center"/>
          </w:tcPr>
          <w:p w:rsidR="00176EC4" w:rsidRPr="002047F5" w:rsidRDefault="00176EC4" w:rsidP="00EF779B">
            <w:pPr>
              <w:pStyle w:val="14-2"/>
              <w:jc w:val="right"/>
            </w:pPr>
            <w:r w:rsidRPr="002047F5">
              <w:t>45.20</w:t>
            </w:r>
          </w:p>
        </w:tc>
        <w:tc>
          <w:tcPr>
            <w:tcW w:w="802" w:type="dxa"/>
            <w:tcBorders>
              <w:top w:val="single" w:sz="4" w:space="0" w:color="auto"/>
              <w:left w:val="single" w:sz="4" w:space="0" w:color="auto"/>
              <w:bottom w:val="single" w:sz="4" w:space="0" w:color="auto"/>
              <w:right w:val="single" w:sz="4" w:space="0" w:color="auto"/>
            </w:tcBorders>
          </w:tcPr>
          <w:p w:rsidR="00176EC4" w:rsidRPr="002047F5" w:rsidRDefault="00176EC4" w:rsidP="00EF779B">
            <w:pPr>
              <w:pStyle w:val="14-2"/>
              <w:jc w:val="right"/>
            </w:pPr>
            <w:r w:rsidRPr="00EF500D">
              <w:t>0.90</w:t>
            </w:r>
          </w:p>
        </w:tc>
        <w:tc>
          <w:tcPr>
            <w:tcW w:w="838" w:type="dxa"/>
            <w:tcBorders>
              <w:top w:val="single" w:sz="4" w:space="0" w:color="auto"/>
              <w:left w:val="single" w:sz="4" w:space="0" w:color="auto"/>
              <w:bottom w:val="single" w:sz="4" w:space="0" w:color="auto"/>
              <w:right w:val="single" w:sz="4" w:space="0" w:color="auto"/>
            </w:tcBorders>
          </w:tcPr>
          <w:p w:rsidR="00176EC4" w:rsidRPr="002047F5" w:rsidRDefault="00176EC4" w:rsidP="00EF779B">
            <w:pPr>
              <w:pStyle w:val="14-2"/>
              <w:jc w:val="right"/>
            </w:pPr>
            <w:r w:rsidRPr="00EF500D">
              <w:t>3.08</w:t>
            </w:r>
          </w:p>
        </w:tc>
        <w:tc>
          <w:tcPr>
            <w:tcW w:w="785" w:type="dxa"/>
            <w:tcBorders>
              <w:top w:val="single" w:sz="4" w:space="0" w:color="auto"/>
              <w:left w:val="single" w:sz="4" w:space="0" w:color="auto"/>
              <w:bottom w:val="single" w:sz="4" w:space="0" w:color="auto"/>
              <w:right w:val="single" w:sz="4" w:space="0" w:color="auto"/>
            </w:tcBorders>
          </w:tcPr>
          <w:p w:rsidR="00176EC4" w:rsidRPr="002047F5" w:rsidRDefault="00176EC4" w:rsidP="00EF779B">
            <w:pPr>
              <w:pStyle w:val="14-2"/>
              <w:jc w:val="right"/>
            </w:pPr>
            <w:r w:rsidRPr="00EF500D">
              <w:t>1.97</w:t>
            </w:r>
          </w:p>
        </w:tc>
        <w:tc>
          <w:tcPr>
            <w:tcW w:w="790" w:type="dxa"/>
            <w:tcBorders>
              <w:top w:val="single" w:sz="4" w:space="0" w:color="auto"/>
              <w:left w:val="single" w:sz="4" w:space="0" w:color="auto"/>
              <w:bottom w:val="single" w:sz="4" w:space="0" w:color="auto"/>
              <w:right w:val="single" w:sz="4" w:space="0" w:color="auto"/>
            </w:tcBorders>
          </w:tcPr>
          <w:p w:rsidR="00176EC4" w:rsidRPr="002047F5" w:rsidRDefault="00176EC4" w:rsidP="00EF779B">
            <w:pPr>
              <w:pStyle w:val="14-2"/>
              <w:jc w:val="right"/>
            </w:pPr>
            <w:r w:rsidRPr="00EF500D">
              <w:t>45.76</w:t>
            </w:r>
          </w:p>
        </w:tc>
        <w:tc>
          <w:tcPr>
            <w:tcW w:w="880" w:type="dxa"/>
            <w:tcBorders>
              <w:top w:val="single" w:sz="4" w:space="0" w:color="auto"/>
              <w:left w:val="single" w:sz="4" w:space="0" w:color="auto"/>
              <w:bottom w:val="single" w:sz="4" w:space="0" w:color="auto"/>
              <w:right w:val="single" w:sz="12" w:space="0" w:color="auto"/>
            </w:tcBorders>
          </w:tcPr>
          <w:p w:rsidR="00176EC4" w:rsidRPr="002047F5" w:rsidRDefault="00176EC4" w:rsidP="00EF779B">
            <w:pPr>
              <w:pStyle w:val="14-2"/>
              <w:jc w:val="right"/>
            </w:pPr>
            <w:r w:rsidRPr="00EF500D">
              <w:t>216.59</w:t>
            </w:r>
          </w:p>
        </w:tc>
      </w:tr>
      <w:tr w:rsidR="00176EC4" w:rsidRPr="00092F2F" w:rsidTr="00935978">
        <w:trPr>
          <w:trHeight w:val="47"/>
        </w:trPr>
        <w:tc>
          <w:tcPr>
            <w:tcW w:w="1241" w:type="dxa"/>
            <w:tcBorders>
              <w:top w:val="single" w:sz="4" w:space="0" w:color="auto"/>
              <w:left w:val="single" w:sz="12" w:space="0" w:color="auto"/>
              <w:bottom w:val="single" w:sz="12" w:space="0" w:color="auto"/>
              <w:right w:val="single" w:sz="4" w:space="0" w:color="auto"/>
            </w:tcBorders>
          </w:tcPr>
          <w:p w:rsidR="00176EC4" w:rsidRPr="00092F2F" w:rsidRDefault="00176EC4" w:rsidP="00176EC4">
            <w:pPr>
              <w:pStyle w:val="14-2"/>
            </w:pPr>
            <w:r w:rsidRPr="00092F2F">
              <w:t>合計</w:t>
            </w:r>
          </w:p>
        </w:tc>
        <w:tc>
          <w:tcPr>
            <w:tcW w:w="827" w:type="dxa"/>
            <w:tcBorders>
              <w:top w:val="single" w:sz="4" w:space="0" w:color="auto"/>
              <w:left w:val="single" w:sz="4" w:space="0" w:color="auto"/>
              <w:bottom w:val="single" w:sz="12" w:space="0" w:color="auto"/>
              <w:right w:val="single" w:sz="4" w:space="0" w:color="auto"/>
            </w:tcBorders>
            <w:vAlign w:val="center"/>
          </w:tcPr>
          <w:p w:rsidR="00176EC4" w:rsidRPr="002047F5" w:rsidRDefault="00176EC4" w:rsidP="00EF779B">
            <w:pPr>
              <w:pStyle w:val="14-2"/>
              <w:jc w:val="right"/>
            </w:pPr>
            <w:r w:rsidRPr="002047F5">
              <w:rPr>
                <w:rFonts w:hint="eastAsia"/>
              </w:rPr>
              <w:t>25.80</w:t>
            </w:r>
          </w:p>
        </w:tc>
        <w:tc>
          <w:tcPr>
            <w:tcW w:w="767" w:type="dxa"/>
            <w:tcBorders>
              <w:top w:val="single" w:sz="4" w:space="0" w:color="auto"/>
              <w:left w:val="single" w:sz="4" w:space="0" w:color="auto"/>
              <w:bottom w:val="single" w:sz="12" w:space="0" w:color="auto"/>
              <w:right w:val="single" w:sz="4" w:space="0" w:color="auto"/>
            </w:tcBorders>
            <w:vAlign w:val="center"/>
          </w:tcPr>
          <w:p w:rsidR="00176EC4" w:rsidRPr="002047F5" w:rsidRDefault="00176EC4" w:rsidP="00EF779B">
            <w:pPr>
              <w:pStyle w:val="14-2"/>
              <w:jc w:val="right"/>
            </w:pPr>
            <w:r w:rsidRPr="002047F5">
              <w:rPr>
                <w:rFonts w:hint="eastAsia"/>
              </w:rPr>
              <w:t>90.71</w:t>
            </w:r>
          </w:p>
        </w:tc>
        <w:tc>
          <w:tcPr>
            <w:tcW w:w="766" w:type="dxa"/>
            <w:tcBorders>
              <w:top w:val="single" w:sz="4" w:space="0" w:color="auto"/>
              <w:left w:val="single" w:sz="4" w:space="0" w:color="auto"/>
              <w:bottom w:val="single" w:sz="12" w:space="0" w:color="auto"/>
              <w:right w:val="single" w:sz="4" w:space="0" w:color="auto"/>
            </w:tcBorders>
            <w:vAlign w:val="center"/>
          </w:tcPr>
          <w:p w:rsidR="00176EC4" w:rsidRPr="002047F5" w:rsidRDefault="00176EC4" w:rsidP="00EF779B">
            <w:pPr>
              <w:pStyle w:val="14-2"/>
              <w:jc w:val="right"/>
            </w:pPr>
            <w:r w:rsidRPr="002047F5">
              <w:t>24.63</w:t>
            </w:r>
          </w:p>
        </w:tc>
        <w:tc>
          <w:tcPr>
            <w:tcW w:w="836" w:type="dxa"/>
            <w:tcBorders>
              <w:top w:val="single" w:sz="4" w:space="0" w:color="auto"/>
              <w:left w:val="single" w:sz="4" w:space="0" w:color="auto"/>
              <w:bottom w:val="single" w:sz="12" w:space="0" w:color="auto"/>
              <w:right w:val="single" w:sz="4" w:space="0" w:color="auto"/>
            </w:tcBorders>
            <w:vAlign w:val="center"/>
          </w:tcPr>
          <w:p w:rsidR="00176EC4" w:rsidRPr="002047F5" w:rsidRDefault="00176EC4" w:rsidP="00EF779B">
            <w:pPr>
              <w:pStyle w:val="14-2"/>
              <w:jc w:val="right"/>
            </w:pPr>
            <w:r w:rsidRPr="002047F5">
              <w:t>81.30</w:t>
            </w:r>
          </w:p>
        </w:tc>
        <w:tc>
          <w:tcPr>
            <w:tcW w:w="802" w:type="dxa"/>
            <w:tcBorders>
              <w:top w:val="single" w:sz="4" w:space="0" w:color="auto"/>
              <w:left w:val="single" w:sz="4" w:space="0" w:color="auto"/>
              <w:bottom w:val="single" w:sz="12" w:space="0" w:color="auto"/>
              <w:right w:val="single" w:sz="4" w:space="0" w:color="auto"/>
            </w:tcBorders>
          </w:tcPr>
          <w:p w:rsidR="00176EC4" w:rsidRPr="002047F5" w:rsidRDefault="00176EC4" w:rsidP="00EF779B">
            <w:pPr>
              <w:pStyle w:val="14-2"/>
              <w:jc w:val="right"/>
            </w:pPr>
            <w:r w:rsidRPr="00EF500D">
              <w:t>29.28</w:t>
            </w:r>
          </w:p>
        </w:tc>
        <w:tc>
          <w:tcPr>
            <w:tcW w:w="838" w:type="dxa"/>
            <w:tcBorders>
              <w:top w:val="single" w:sz="4" w:space="0" w:color="auto"/>
              <w:left w:val="single" w:sz="4" w:space="0" w:color="auto"/>
              <w:bottom w:val="single" w:sz="12" w:space="0" w:color="auto"/>
              <w:right w:val="single" w:sz="4" w:space="0" w:color="auto"/>
            </w:tcBorders>
          </w:tcPr>
          <w:p w:rsidR="00176EC4" w:rsidRPr="002047F5" w:rsidRDefault="00176EC4" w:rsidP="00EF779B">
            <w:pPr>
              <w:pStyle w:val="14-2"/>
              <w:jc w:val="right"/>
            </w:pPr>
            <w:r w:rsidRPr="00EF500D">
              <w:t>100</w:t>
            </w:r>
          </w:p>
        </w:tc>
        <w:tc>
          <w:tcPr>
            <w:tcW w:w="785" w:type="dxa"/>
            <w:tcBorders>
              <w:top w:val="single" w:sz="4" w:space="0" w:color="auto"/>
              <w:left w:val="single" w:sz="4" w:space="0" w:color="auto"/>
              <w:bottom w:val="single" w:sz="12" w:space="0" w:color="auto"/>
              <w:right w:val="single" w:sz="4" w:space="0" w:color="auto"/>
            </w:tcBorders>
          </w:tcPr>
          <w:p w:rsidR="00176EC4" w:rsidRPr="002047F5" w:rsidRDefault="00176EC4" w:rsidP="00EF779B">
            <w:pPr>
              <w:pStyle w:val="14-2"/>
              <w:jc w:val="right"/>
            </w:pPr>
            <w:r w:rsidRPr="00EF500D">
              <w:t>37.34</w:t>
            </w:r>
          </w:p>
        </w:tc>
        <w:tc>
          <w:tcPr>
            <w:tcW w:w="790" w:type="dxa"/>
            <w:tcBorders>
              <w:top w:val="single" w:sz="4" w:space="0" w:color="auto"/>
              <w:left w:val="single" w:sz="4" w:space="0" w:color="auto"/>
              <w:bottom w:val="single" w:sz="12" w:space="0" w:color="auto"/>
              <w:right w:val="single" w:sz="4" w:space="0" w:color="auto"/>
            </w:tcBorders>
          </w:tcPr>
          <w:p w:rsidR="00176EC4" w:rsidRPr="002047F5" w:rsidRDefault="00176EC4" w:rsidP="00EF779B">
            <w:pPr>
              <w:pStyle w:val="14-2"/>
              <w:jc w:val="right"/>
            </w:pPr>
            <w:r w:rsidRPr="00EF500D">
              <w:t>78.42</w:t>
            </w:r>
          </w:p>
        </w:tc>
        <w:tc>
          <w:tcPr>
            <w:tcW w:w="880" w:type="dxa"/>
            <w:tcBorders>
              <w:top w:val="single" w:sz="4" w:space="0" w:color="auto"/>
              <w:left w:val="single" w:sz="4" w:space="0" w:color="auto"/>
              <w:bottom w:val="single" w:sz="12" w:space="0" w:color="auto"/>
              <w:right w:val="single" w:sz="12" w:space="0" w:color="auto"/>
            </w:tcBorders>
          </w:tcPr>
          <w:p w:rsidR="00176EC4" w:rsidRPr="002047F5" w:rsidRDefault="00176EC4" w:rsidP="00EF779B">
            <w:pPr>
              <w:pStyle w:val="14-2"/>
              <w:jc w:val="right"/>
            </w:pPr>
            <w:r w:rsidRPr="00EF500D">
              <w:t>61.63</w:t>
            </w:r>
          </w:p>
        </w:tc>
      </w:tr>
    </w:tbl>
    <w:p w:rsidR="00FA2182" w:rsidRPr="00EF779B" w:rsidRDefault="00FA2182" w:rsidP="00A43F37">
      <w:pPr>
        <w:pStyle w:val="14-2"/>
      </w:pPr>
      <w:r w:rsidRPr="00EF779B">
        <w:rPr>
          <w:rFonts w:hint="eastAsia"/>
        </w:rPr>
        <w:t>說　　明：1.</w:t>
      </w:r>
      <w:r w:rsidRPr="00EF779B">
        <w:t>111</w:t>
      </w:r>
      <w:r w:rsidRPr="00EF779B">
        <w:rPr>
          <w:rFonts w:hint="eastAsia"/>
        </w:rPr>
        <w:t>年度未訂定各通路銷售目標數。</w:t>
      </w:r>
    </w:p>
    <w:p w:rsidR="00FA2182" w:rsidRPr="00EF779B" w:rsidRDefault="00FA2182" w:rsidP="00A43F37">
      <w:pPr>
        <w:pStyle w:val="14-2"/>
        <w:ind w:leftChars="401" w:left="1418" w:hangingChars="116" w:hanging="282"/>
        <w:rPr>
          <w:rFonts w:hint="eastAsia"/>
        </w:rPr>
      </w:pPr>
      <w:r w:rsidRPr="00EF779B">
        <w:rPr>
          <w:rFonts w:hint="eastAsia"/>
        </w:rPr>
        <w:t>2.「專屬保代」指專屬保險代理人公司，與臺銀人壽簽訂專屬保險代理人合約。「普通經代」普通保險代理人公司及保險經紀人公司，與臺銀人壽簽訂普通保險代理人合約及保險經紀人合約。</w:t>
      </w:r>
    </w:p>
    <w:p w:rsidR="00FA2182" w:rsidRPr="00EF779B" w:rsidRDefault="00FA2182" w:rsidP="00A43F37">
      <w:pPr>
        <w:pStyle w:val="14-2"/>
        <w:ind w:leftChars="401" w:left="1418" w:hangingChars="116" w:hanging="282"/>
        <w:rPr>
          <w:rFonts w:ascii="Times New Roman" w:hint="eastAsia"/>
        </w:rPr>
      </w:pPr>
      <w:r w:rsidRPr="00EF779B">
        <w:rPr>
          <w:rFonts w:hint="eastAsia"/>
        </w:rPr>
        <w:t>3.表列比率係以「元」為計算標準，致有尾差。</w:t>
      </w:r>
    </w:p>
    <w:p w:rsidR="007D225E" w:rsidRDefault="00FA2182" w:rsidP="00BB6F3A">
      <w:pPr>
        <w:pStyle w:val="14-2"/>
        <w:rPr>
          <w:color w:val="FF0000"/>
        </w:rPr>
      </w:pPr>
      <w:r w:rsidRPr="00EF779B">
        <w:rPr>
          <w:rFonts w:hint="eastAsia"/>
        </w:rPr>
        <w:t>資料來源：臺銀人壽提供。</w:t>
      </w:r>
      <w:bookmarkStart w:id="16" w:name="_Toc24372876"/>
      <w:bookmarkEnd w:id="8"/>
    </w:p>
    <w:p w:rsidR="00F34167" w:rsidRDefault="00F34167" w:rsidP="00216A88">
      <w:pPr>
        <w:pStyle w:val="14"/>
        <w:ind w:left="567" w:hanging="567"/>
        <w:rPr>
          <w:rFonts w:hAnsi="標楷體"/>
          <w:color w:val="FF0000"/>
        </w:rPr>
      </w:pPr>
    </w:p>
    <w:p w:rsidR="00FA2182" w:rsidRPr="003128E8" w:rsidRDefault="00093051" w:rsidP="00216A88">
      <w:pPr>
        <w:pStyle w:val="14"/>
        <w:ind w:left="567" w:hanging="567"/>
        <w:rPr>
          <w:rFonts w:hint="eastAsia"/>
        </w:rPr>
      </w:pPr>
      <w:bookmarkStart w:id="17" w:name="_Toc182575059"/>
      <w:r w:rsidRPr="00093051">
        <w:rPr>
          <w:rFonts w:hAnsi="標楷體" w:hint="eastAsia"/>
        </w:rPr>
        <w:t>四、112年度投資性不動產</w:t>
      </w:r>
      <w:r w:rsidR="00694730">
        <w:rPr>
          <w:rFonts w:hAnsi="標楷體" w:hint="eastAsia"/>
        </w:rPr>
        <w:t>購置與</w:t>
      </w:r>
      <w:r w:rsidRPr="00093051">
        <w:rPr>
          <w:rFonts w:hAnsi="標楷體" w:hint="eastAsia"/>
        </w:rPr>
        <w:t>收益</w:t>
      </w:r>
      <w:r w:rsidR="00694730">
        <w:rPr>
          <w:rFonts w:hAnsi="標楷體" w:hint="eastAsia"/>
        </w:rPr>
        <w:t>情形</w:t>
      </w:r>
      <w:r w:rsidR="00BB6F3A">
        <w:rPr>
          <w:rFonts w:hAnsi="標楷體" w:hint="eastAsia"/>
        </w:rPr>
        <w:t>均</w:t>
      </w:r>
      <w:r w:rsidRPr="00093051">
        <w:rPr>
          <w:rFonts w:hAnsi="標楷體" w:hint="eastAsia"/>
        </w:rPr>
        <w:t>不符預期，允宜</w:t>
      </w:r>
      <w:r w:rsidR="00E066B7" w:rsidRPr="003128E8">
        <w:rPr>
          <w:rFonts w:hAnsi="標楷體" w:hint="eastAsia"/>
        </w:rPr>
        <w:t>慎</w:t>
      </w:r>
      <w:r w:rsidR="00E066B7">
        <w:rPr>
          <w:rFonts w:hAnsi="標楷體" w:hint="eastAsia"/>
        </w:rPr>
        <w:t>選</w:t>
      </w:r>
      <w:r w:rsidR="00E066B7" w:rsidRPr="003128E8">
        <w:rPr>
          <w:rFonts w:hAnsi="標楷體" w:hint="eastAsia"/>
        </w:rPr>
        <w:t>投資標的</w:t>
      </w:r>
      <w:r w:rsidR="00BB6F3A">
        <w:rPr>
          <w:rFonts w:hAnsi="標楷體" w:hint="eastAsia"/>
        </w:rPr>
        <w:t>並</w:t>
      </w:r>
      <w:r w:rsidR="00E066B7">
        <w:rPr>
          <w:rFonts w:hAnsi="標楷體" w:hint="eastAsia"/>
        </w:rPr>
        <w:t>強</w:t>
      </w:r>
      <w:r w:rsidR="001360B6">
        <w:rPr>
          <w:rFonts w:hAnsi="標楷體" w:hint="eastAsia"/>
        </w:rPr>
        <w:t>化</w:t>
      </w:r>
      <w:r w:rsidR="00E066B7">
        <w:rPr>
          <w:rFonts w:hAnsi="標楷體" w:hint="eastAsia"/>
        </w:rPr>
        <w:t>租賃管理</w:t>
      </w:r>
      <w:r w:rsidR="001360B6">
        <w:rPr>
          <w:rFonts w:hAnsi="標楷體" w:hint="eastAsia"/>
        </w:rPr>
        <w:t>機制</w:t>
      </w:r>
      <w:r w:rsidRPr="00093051">
        <w:rPr>
          <w:rFonts w:hAnsi="標楷體" w:hint="eastAsia"/>
        </w:rPr>
        <w:t>，</w:t>
      </w:r>
      <w:r w:rsidR="00E066B7">
        <w:rPr>
          <w:rFonts w:hAnsi="標楷體" w:hint="eastAsia"/>
        </w:rPr>
        <w:t>俾利提</w:t>
      </w:r>
      <w:r w:rsidRPr="003128E8">
        <w:rPr>
          <w:rFonts w:hAnsi="標楷體" w:hint="eastAsia"/>
        </w:rPr>
        <w:t>升投資</w:t>
      </w:r>
      <w:r w:rsidR="00902242">
        <w:rPr>
          <w:rFonts w:hAnsi="標楷體" w:hint="eastAsia"/>
        </w:rPr>
        <w:t>績</w:t>
      </w:r>
      <w:r w:rsidRPr="003128E8">
        <w:rPr>
          <w:rFonts w:hAnsi="標楷體" w:hint="eastAsia"/>
        </w:rPr>
        <w:t>效</w:t>
      </w:r>
      <w:bookmarkEnd w:id="17"/>
    </w:p>
    <w:bookmarkEnd w:id="16"/>
    <w:p w:rsidR="006B1D36" w:rsidRPr="00FC75D1" w:rsidRDefault="006B1D36" w:rsidP="000409BD">
      <w:pPr>
        <w:ind w:left="566" w:firstLine="566"/>
      </w:pPr>
      <w:r w:rsidRPr="00FC75D1">
        <w:rPr>
          <w:rFonts w:hint="eastAsia"/>
        </w:rPr>
        <w:t>臺銀人壽</w:t>
      </w:r>
      <w:r w:rsidR="00DE53D2" w:rsidRPr="00FC75D1">
        <w:rPr>
          <w:rFonts w:hint="eastAsia"/>
        </w:rPr>
        <w:t>11</w:t>
      </w:r>
      <w:r w:rsidR="00AD6C75" w:rsidRPr="00FC75D1">
        <w:rPr>
          <w:rFonts w:hint="eastAsia"/>
        </w:rPr>
        <w:t>4</w:t>
      </w:r>
      <w:r w:rsidR="00DE53D2" w:rsidRPr="00FC75D1">
        <w:rPr>
          <w:rFonts w:hint="eastAsia"/>
        </w:rPr>
        <w:t>年度</w:t>
      </w:r>
      <w:r w:rsidR="002D69D4" w:rsidRPr="00FC75D1">
        <w:rPr>
          <w:rFonts w:hint="eastAsia"/>
        </w:rPr>
        <w:t>預算案編列</w:t>
      </w:r>
      <w:r w:rsidR="000409BD" w:rsidRPr="00FC75D1">
        <w:rPr>
          <w:rFonts w:hint="eastAsia"/>
        </w:rPr>
        <w:t>「</w:t>
      </w:r>
      <w:r w:rsidR="000409BD" w:rsidRPr="00FC75D1">
        <w:rPr>
          <w:rFonts w:hint="eastAsia"/>
          <w:lang w:eastAsia="zh-HK"/>
        </w:rPr>
        <w:t>投資性不動產收入」</w:t>
      </w:r>
      <w:r w:rsidR="000409BD" w:rsidRPr="00FC75D1">
        <w:rPr>
          <w:rFonts w:hint="eastAsia"/>
        </w:rPr>
        <w:t>4</w:t>
      </w:r>
      <w:r w:rsidR="000409BD" w:rsidRPr="00FC75D1">
        <w:rPr>
          <w:rFonts w:hint="eastAsia"/>
          <w:lang w:eastAsia="zh-HK"/>
        </w:rPr>
        <w:t>億</w:t>
      </w:r>
      <w:r w:rsidR="000409BD" w:rsidRPr="00FC75D1">
        <w:rPr>
          <w:rFonts w:hint="eastAsia"/>
        </w:rPr>
        <w:t>1,541萬2千元及「</w:t>
      </w:r>
      <w:r w:rsidR="000409BD" w:rsidRPr="00FC75D1">
        <w:rPr>
          <w:rFonts w:hint="eastAsia"/>
          <w:lang w:eastAsia="zh-HK"/>
        </w:rPr>
        <w:t>投資性不動產費用」</w:t>
      </w:r>
      <w:r w:rsidR="000409BD" w:rsidRPr="00FC75D1">
        <w:rPr>
          <w:rFonts w:hint="eastAsia"/>
        </w:rPr>
        <w:t>1億6</w:t>
      </w:r>
      <w:r w:rsidR="000409BD" w:rsidRPr="00FC75D1">
        <w:t>,</w:t>
      </w:r>
      <w:r w:rsidR="000409BD" w:rsidRPr="00FC75D1">
        <w:rPr>
          <w:rFonts w:hint="eastAsia"/>
        </w:rPr>
        <w:t>534萬1</w:t>
      </w:r>
      <w:r w:rsidR="000409BD" w:rsidRPr="00FC75D1">
        <w:rPr>
          <w:rFonts w:hint="eastAsia"/>
          <w:lang w:eastAsia="zh-HK"/>
        </w:rPr>
        <w:t>千元</w:t>
      </w:r>
      <w:r w:rsidR="00A715E5">
        <w:rPr>
          <w:rFonts w:hint="eastAsia"/>
          <w:lang w:eastAsia="zh-HK"/>
        </w:rPr>
        <w:t>；</w:t>
      </w:r>
      <w:r w:rsidR="00A715E5">
        <w:rPr>
          <w:rFonts w:hint="eastAsia"/>
        </w:rPr>
        <w:t>另編列</w:t>
      </w:r>
      <w:r w:rsidR="00A715E5" w:rsidRPr="00FC75D1">
        <w:rPr>
          <w:rFonts w:hint="eastAsia"/>
        </w:rPr>
        <w:t>「投資性不動產」6.5億元</w:t>
      </w:r>
      <w:r w:rsidR="000409BD" w:rsidRPr="00FC75D1">
        <w:rPr>
          <w:rFonts w:hint="eastAsia"/>
        </w:rPr>
        <w:t>。</w:t>
      </w:r>
      <w:r w:rsidRPr="00FC75D1">
        <w:rPr>
          <w:rFonts w:hint="eastAsia"/>
        </w:rPr>
        <w:t>經查：</w:t>
      </w:r>
    </w:p>
    <w:p w:rsidR="00216A88" w:rsidRPr="00F57255" w:rsidRDefault="006B1D36" w:rsidP="00216A88">
      <w:pPr>
        <w:pStyle w:val="a4"/>
        <w:ind w:left="849" w:hanging="283"/>
        <w:rPr>
          <w:lang w:eastAsia="zh-HK"/>
        </w:rPr>
      </w:pPr>
      <w:r w:rsidRPr="007240FF">
        <w:rPr>
          <w:rFonts w:hAnsi="標楷體" w:hint="eastAsia"/>
        </w:rPr>
        <w:t>(一</w:t>
      </w:r>
      <w:r w:rsidR="00E55AC9" w:rsidRPr="007240FF">
        <w:rPr>
          <w:rFonts w:hAnsi="標楷體" w:hint="eastAsia"/>
        </w:rPr>
        <w:t>)</w:t>
      </w:r>
      <w:r w:rsidR="00AD6C75" w:rsidRPr="007240FF">
        <w:rPr>
          <w:rFonts w:hAnsi="標楷體" w:hint="eastAsia"/>
        </w:rPr>
        <w:t>按</w:t>
      </w:r>
      <w:r w:rsidR="00864ED4" w:rsidRPr="007240FF">
        <w:rPr>
          <w:rFonts w:hint="eastAsia"/>
          <w:bCs/>
        </w:rPr>
        <w:t>保險業</w:t>
      </w:r>
      <w:r w:rsidR="00AD6C75" w:rsidRPr="007240FF">
        <w:rPr>
          <w:rFonts w:hint="eastAsia"/>
          <w:bCs/>
        </w:rPr>
        <w:t>法規定，保險業</w:t>
      </w:r>
      <w:r w:rsidR="00864ED4" w:rsidRPr="007240FF">
        <w:rPr>
          <w:rFonts w:hint="eastAsia"/>
          <w:bCs/>
        </w:rPr>
        <w:t>對不動產之投資，以所投資不動產即時利用並有收益者為限</w:t>
      </w:r>
      <w:r w:rsidR="00F57255">
        <w:rPr>
          <w:rFonts w:hint="eastAsia"/>
          <w:bCs/>
        </w:rPr>
        <w:t>，114年度預計投資</w:t>
      </w:r>
      <w:r w:rsidR="001360B6">
        <w:rPr>
          <w:rFonts w:hint="eastAsia"/>
          <w:bCs/>
        </w:rPr>
        <w:t>6.5</w:t>
      </w:r>
      <w:r w:rsidR="00F57255">
        <w:rPr>
          <w:rFonts w:hint="eastAsia"/>
          <w:bCs/>
        </w:rPr>
        <w:t>億元</w:t>
      </w:r>
    </w:p>
    <w:p w:rsidR="00005295" w:rsidRDefault="006B1D36" w:rsidP="000409BD">
      <w:pPr>
        <w:pStyle w:val="21"/>
        <w:ind w:left="850" w:firstLine="566"/>
        <w:rPr>
          <w:rFonts w:hAnsi="標楷體"/>
        </w:rPr>
      </w:pPr>
      <w:r w:rsidRPr="007240FF">
        <w:rPr>
          <w:rFonts w:hint="eastAsia"/>
        </w:rPr>
        <w:t>保險法第146條之2第1項規定：「保險業對不動產之投資，以所投資不動產即時利用並有收益者為限；其投資總額，除自用不動產外，不得超過其資金百分之三十。但購買自用不動產總額不得超過其業主權益之總額。」</w:t>
      </w:r>
      <w:r w:rsidR="00B87982" w:rsidRPr="007240FF">
        <w:rPr>
          <w:rFonts w:hAnsi="標楷體" w:hint="eastAsia"/>
          <w:lang w:eastAsia="zh-HK"/>
        </w:rPr>
        <w:t>臺銀人壽自97年成立以來，</w:t>
      </w:r>
      <w:r w:rsidR="00B87982" w:rsidRPr="007240FF">
        <w:rPr>
          <w:rFonts w:hAnsi="標楷體" w:hint="eastAsia"/>
        </w:rPr>
        <w:t>逐年進行</w:t>
      </w:r>
      <w:r w:rsidR="00B87982" w:rsidRPr="007240FF">
        <w:rPr>
          <w:rFonts w:hAnsi="標楷體" w:hint="eastAsia"/>
          <w:lang w:eastAsia="zh-HK"/>
        </w:rPr>
        <w:t>不動產投資，</w:t>
      </w:r>
      <w:r w:rsidR="009349F8" w:rsidRPr="007240FF">
        <w:rPr>
          <w:rFonts w:hAnsi="標楷體" w:hint="eastAsia"/>
          <w:lang w:eastAsia="zh-HK"/>
        </w:rPr>
        <w:t>按</w:t>
      </w:r>
      <w:r w:rsidR="009349F8" w:rsidRPr="007240FF">
        <w:rPr>
          <w:rFonts w:hAnsi="標楷體" w:hint="eastAsia"/>
        </w:rPr>
        <w:t>11</w:t>
      </w:r>
      <w:r w:rsidR="00AD6C75" w:rsidRPr="007240FF">
        <w:rPr>
          <w:rFonts w:hAnsi="標楷體" w:hint="eastAsia"/>
        </w:rPr>
        <w:t>4</w:t>
      </w:r>
      <w:r w:rsidR="009349F8" w:rsidRPr="007240FF">
        <w:rPr>
          <w:rFonts w:hAnsi="標楷體" w:hint="eastAsia"/>
          <w:lang w:eastAsia="zh-HK"/>
        </w:rPr>
        <w:t>年度</w:t>
      </w:r>
      <w:r w:rsidR="007F251C" w:rsidRPr="007240FF">
        <w:rPr>
          <w:rFonts w:hAnsi="標楷體" w:hint="eastAsia"/>
          <w:lang w:eastAsia="zh-HK"/>
        </w:rPr>
        <w:t>預算案</w:t>
      </w:r>
      <w:r w:rsidR="00EE11BD" w:rsidRPr="007240FF">
        <w:rPr>
          <w:rFonts w:hAnsi="標楷體" w:hint="eastAsia"/>
          <w:lang w:eastAsia="zh-HK"/>
        </w:rPr>
        <w:t>編列投資</w:t>
      </w:r>
      <w:r w:rsidR="00FD2F89">
        <w:rPr>
          <w:rFonts w:hAnsi="標楷體" w:hint="eastAsia"/>
          <w:lang w:eastAsia="zh-HK"/>
        </w:rPr>
        <w:t>性</w:t>
      </w:r>
      <w:r w:rsidR="00EE11BD" w:rsidRPr="007240FF">
        <w:rPr>
          <w:rFonts w:hAnsi="標楷體" w:hint="eastAsia"/>
          <w:lang w:eastAsia="zh-HK"/>
        </w:rPr>
        <w:t>不動產金額為</w:t>
      </w:r>
      <w:r w:rsidR="00EE11BD" w:rsidRPr="007240FF">
        <w:rPr>
          <w:rFonts w:hAnsi="標楷體" w:hint="eastAsia"/>
        </w:rPr>
        <w:t>6.5</w:t>
      </w:r>
      <w:r w:rsidR="00EE11BD" w:rsidRPr="007240FF">
        <w:rPr>
          <w:rFonts w:hAnsi="標楷體" w:hint="eastAsia"/>
          <w:lang w:eastAsia="zh-HK"/>
        </w:rPr>
        <w:t>億元，</w:t>
      </w:r>
      <w:r w:rsidR="004743D7">
        <w:rPr>
          <w:rFonts w:hAnsi="標楷體" w:hint="eastAsia"/>
          <w:lang w:eastAsia="zh-HK"/>
        </w:rPr>
        <w:t>近</w:t>
      </w:r>
      <w:r w:rsidR="00F57255">
        <w:rPr>
          <w:rFonts w:hAnsi="標楷體" w:hint="eastAsia"/>
          <w:lang w:eastAsia="zh-HK"/>
        </w:rPr>
        <w:t>年實際投資情形詳表</w:t>
      </w:r>
      <w:r w:rsidR="00F57255">
        <w:rPr>
          <w:rFonts w:hAnsi="標楷體" w:hint="eastAsia"/>
        </w:rPr>
        <w:t>1</w:t>
      </w:r>
      <w:r w:rsidR="00F57255">
        <w:rPr>
          <w:rFonts w:hAnsi="標楷體" w:hint="eastAsia"/>
          <w:lang w:eastAsia="zh-HK"/>
        </w:rPr>
        <w:t>，</w:t>
      </w:r>
      <w:r w:rsidR="00005295">
        <w:rPr>
          <w:rFonts w:hAnsi="標楷體" w:hint="eastAsia"/>
        </w:rPr>
        <w:t>112年度執行數3.91億元(執行率</w:t>
      </w:r>
      <w:r w:rsidR="003128E8">
        <w:rPr>
          <w:rFonts w:hAnsi="標楷體" w:hint="eastAsia"/>
        </w:rPr>
        <w:t>78.2</w:t>
      </w:r>
      <w:r w:rsidR="00005295">
        <w:rPr>
          <w:rFonts w:hAnsi="標楷體" w:hint="eastAsia"/>
        </w:rPr>
        <w:t>%)，113年度預計投資10億元，惟迄9月底尚未執行。</w:t>
      </w:r>
    </w:p>
    <w:p w:rsidR="00864ED4" w:rsidRPr="00FC75D1" w:rsidRDefault="00864ED4" w:rsidP="00864ED4">
      <w:pPr>
        <w:pStyle w:val="a4"/>
        <w:ind w:left="849" w:hanging="283"/>
        <w:rPr>
          <w:lang w:eastAsia="zh-HK"/>
        </w:rPr>
      </w:pPr>
      <w:r w:rsidRPr="00FC75D1">
        <w:rPr>
          <w:rFonts w:hAnsi="標楷體" w:hint="eastAsia"/>
        </w:rPr>
        <w:t>(二)</w:t>
      </w:r>
      <w:r w:rsidR="00FC75D1" w:rsidRPr="00FC75D1">
        <w:rPr>
          <w:rFonts w:hAnsi="標楷體" w:hint="eastAsia"/>
        </w:rPr>
        <w:t>112年度部分投資性不動產出租情形不符預期，允宜研謀改善，以提</w:t>
      </w:r>
      <w:r w:rsidR="0022485D">
        <w:rPr>
          <w:rFonts w:hAnsi="標楷體" w:hint="eastAsia"/>
        </w:rPr>
        <w:t>高</w:t>
      </w:r>
      <w:r w:rsidR="00E066B7">
        <w:rPr>
          <w:rFonts w:hAnsi="標楷體" w:hint="eastAsia"/>
        </w:rPr>
        <w:t>投資績效</w:t>
      </w:r>
    </w:p>
    <w:p w:rsidR="00E33CC1" w:rsidRDefault="003128E8" w:rsidP="001D2731">
      <w:pPr>
        <w:pStyle w:val="21"/>
        <w:ind w:left="850" w:firstLine="566"/>
        <w:rPr>
          <w:rFonts w:hAnsi="標楷體" w:hint="eastAsia"/>
        </w:rPr>
      </w:pPr>
      <w:r>
        <w:rPr>
          <w:rFonts w:hAnsi="標楷體" w:hint="eastAsia"/>
          <w:lang w:eastAsia="zh-HK"/>
        </w:rPr>
        <w:t>臺銀人壽</w:t>
      </w:r>
      <w:r w:rsidR="00631D80">
        <w:rPr>
          <w:rFonts w:hAnsi="標楷體" w:hint="eastAsia"/>
        </w:rPr>
        <w:t>112</w:t>
      </w:r>
      <w:r w:rsidR="00631D80">
        <w:rPr>
          <w:rFonts w:hAnsi="標楷體" w:hint="eastAsia"/>
          <w:lang w:eastAsia="zh-HK"/>
        </w:rPr>
        <w:t>年度</w:t>
      </w:r>
      <w:r w:rsidR="00631D80" w:rsidRPr="007240FF">
        <w:rPr>
          <w:rFonts w:hAnsi="標楷體" w:hint="eastAsia"/>
          <w:lang w:eastAsia="zh-HK"/>
        </w:rPr>
        <w:t>「投資性不動產收入」及「投資性不動產費用」</w:t>
      </w:r>
      <w:r w:rsidR="00631D80">
        <w:rPr>
          <w:rFonts w:hAnsi="標楷體" w:hint="eastAsia"/>
          <w:lang w:eastAsia="zh-HK"/>
        </w:rPr>
        <w:t>決算數分別為</w:t>
      </w:r>
      <w:r w:rsidR="00631D80" w:rsidRPr="003128E8">
        <w:rPr>
          <w:rFonts w:hAnsi="標楷體"/>
          <w:lang w:eastAsia="zh-HK"/>
        </w:rPr>
        <w:t>3</w:t>
      </w:r>
      <w:r w:rsidR="00631D80">
        <w:rPr>
          <w:rFonts w:hAnsi="標楷體" w:hint="eastAsia"/>
          <w:lang w:eastAsia="zh-HK"/>
        </w:rPr>
        <w:t>億</w:t>
      </w:r>
      <w:r w:rsidR="00631D80" w:rsidRPr="003128E8">
        <w:rPr>
          <w:rFonts w:hAnsi="標楷體"/>
          <w:lang w:eastAsia="zh-HK"/>
        </w:rPr>
        <w:t>6</w:t>
      </w:r>
      <w:r w:rsidR="00631D80">
        <w:rPr>
          <w:rFonts w:hAnsi="標楷體"/>
          <w:lang w:eastAsia="zh-HK"/>
        </w:rPr>
        <w:t>,</w:t>
      </w:r>
      <w:r w:rsidR="00631D80" w:rsidRPr="003128E8">
        <w:rPr>
          <w:rFonts w:hAnsi="標楷體"/>
          <w:lang w:eastAsia="zh-HK"/>
        </w:rPr>
        <w:t>826</w:t>
      </w:r>
      <w:r w:rsidR="00631D80">
        <w:rPr>
          <w:rFonts w:hAnsi="標楷體" w:hint="eastAsia"/>
          <w:lang w:eastAsia="zh-HK"/>
        </w:rPr>
        <w:t>萬</w:t>
      </w:r>
      <w:r w:rsidR="00631D80" w:rsidRPr="003128E8">
        <w:rPr>
          <w:rFonts w:hAnsi="標楷體"/>
          <w:lang w:eastAsia="zh-HK"/>
        </w:rPr>
        <w:t>7</w:t>
      </w:r>
      <w:r w:rsidR="00631D80">
        <w:rPr>
          <w:rFonts w:hAnsi="標楷體" w:hint="eastAsia"/>
          <w:lang w:eastAsia="zh-HK"/>
        </w:rPr>
        <w:t>千元及</w:t>
      </w:r>
      <w:r w:rsidR="00631D80" w:rsidRPr="003128E8">
        <w:rPr>
          <w:rFonts w:hAnsi="標楷體"/>
          <w:lang w:eastAsia="zh-HK"/>
        </w:rPr>
        <w:t>1</w:t>
      </w:r>
      <w:r w:rsidR="00631D80">
        <w:rPr>
          <w:rFonts w:hAnsi="標楷體" w:hint="eastAsia"/>
          <w:lang w:eastAsia="zh-HK"/>
        </w:rPr>
        <w:t>億</w:t>
      </w:r>
      <w:r w:rsidR="00631D80" w:rsidRPr="003128E8">
        <w:rPr>
          <w:rFonts w:hAnsi="標楷體"/>
          <w:lang w:eastAsia="zh-HK"/>
        </w:rPr>
        <w:t>4</w:t>
      </w:r>
      <w:r w:rsidR="00631D80">
        <w:rPr>
          <w:rFonts w:hAnsi="標楷體"/>
          <w:lang w:eastAsia="zh-HK"/>
        </w:rPr>
        <w:t>,</w:t>
      </w:r>
      <w:r w:rsidR="00631D80" w:rsidRPr="003128E8">
        <w:rPr>
          <w:rFonts w:hAnsi="標楷體"/>
          <w:lang w:eastAsia="zh-HK"/>
        </w:rPr>
        <w:t>569</w:t>
      </w:r>
      <w:r w:rsidR="00631D80">
        <w:rPr>
          <w:rFonts w:hAnsi="標楷體" w:hint="eastAsia"/>
          <w:lang w:eastAsia="zh-HK"/>
        </w:rPr>
        <w:t>萬</w:t>
      </w:r>
      <w:r w:rsidR="00631D80" w:rsidRPr="003128E8">
        <w:rPr>
          <w:rFonts w:hAnsi="標楷體"/>
          <w:lang w:eastAsia="zh-HK"/>
        </w:rPr>
        <w:t>6</w:t>
      </w:r>
      <w:r w:rsidR="00631D80">
        <w:rPr>
          <w:rFonts w:hAnsi="標楷體" w:hint="eastAsia"/>
          <w:lang w:eastAsia="zh-HK"/>
        </w:rPr>
        <w:t>千元</w:t>
      </w:r>
      <w:r w:rsidR="001D2731">
        <w:rPr>
          <w:rFonts w:hAnsi="標楷體" w:hint="eastAsia"/>
        </w:rPr>
        <w:t>(詳表2)</w:t>
      </w:r>
      <w:r w:rsidR="00631D80">
        <w:rPr>
          <w:rFonts w:hAnsi="標楷體" w:hint="eastAsia"/>
          <w:lang w:eastAsia="zh-HK"/>
        </w:rPr>
        <w:t>，</w:t>
      </w:r>
      <w:r w:rsidR="00631D80" w:rsidRPr="007240FF">
        <w:rPr>
          <w:rFonts w:hAnsi="標楷體" w:hint="eastAsia"/>
          <w:lang w:eastAsia="zh-HK"/>
        </w:rPr>
        <w:t>「投資性不動產</w:t>
      </w:r>
      <w:r w:rsidR="00631D80">
        <w:rPr>
          <w:rFonts w:hAnsi="標楷體" w:hint="eastAsia"/>
          <w:lang w:eastAsia="zh-HK"/>
        </w:rPr>
        <w:t>收益</w:t>
      </w:r>
      <w:r w:rsidR="00631D80" w:rsidRPr="007240FF">
        <w:rPr>
          <w:rFonts w:hAnsi="標楷體" w:hint="eastAsia"/>
          <w:lang w:eastAsia="zh-HK"/>
        </w:rPr>
        <w:t>」</w:t>
      </w:r>
      <w:r w:rsidR="00631D80">
        <w:rPr>
          <w:rFonts w:hAnsi="標楷體" w:hint="eastAsia"/>
          <w:lang w:eastAsia="zh-HK"/>
        </w:rPr>
        <w:t>決算數</w:t>
      </w:r>
      <w:r w:rsidR="00631D80" w:rsidRPr="003128E8">
        <w:rPr>
          <w:rFonts w:hAnsi="標楷體"/>
          <w:lang w:eastAsia="zh-HK"/>
        </w:rPr>
        <w:t>2</w:t>
      </w:r>
      <w:r w:rsidR="00631D80">
        <w:rPr>
          <w:rFonts w:hAnsi="標楷體" w:hint="eastAsia"/>
          <w:lang w:eastAsia="zh-HK"/>
        </w:rPr>
        <w:t>億</w:t>
      </w:r>
      <w:r w:rsidR="00631D80" w:rsidRPr="003128E8">
        <w:rPr>
          <w:rFonts w:hAnsi="標楷體"/>
          <w:lang w:eastAsia="zh-HK"/>
        </w:rPr>
        <w:t>2</w:t>
      </w:r>
      <w:r w:rsidR="00631D80">
        <w:rPr>
          <w:rFonts w:hAnsi="標楷體"/>
          <w:lang w:eastAsia="zh-HK"/>
        </w:rPr>
        <w:t>,</w:t>
      </w:r>
      <w:r w:rsidR="00631D80" w:rsidRPr="003128E8">
        <w:rPr>
          <w:rFonts w:hAnsi="標楷體"/>
          <w:lang w:eastAsia="zh-HK"/>
        </w:rPr>
        <w:t>257</w:t>
      </w:r>
      <w:r w:rsidR="00631D80">
        <w:rPr>
          <w:rFonts w:hAnsi="標楷體" w:hint="eastAsia"/>
          <w:lang w:eastAsia="zh-HK"/>
        </w:rPr>
        <w:t>萬</w:t>
      </w:r>
      <w:r w:rsidR="00631D80" w:rsidRPr="003128E8">
        <w:rPr>
          <w:rFonts w:hAnsi="標楷體"/>
          <w:lang w:eastAsia="zh-HK"/>
        </w:rPr>
        <w:t>1</w:t>
      </w:r>
      <w:r w:rsidR="00631D80">
        <w:rPr>
          <w:rFonts w:hAnsi="標楷體" w:hint="eastAsia"/>
          <w:lang w:eastAsia="zh-HK"/>
        </w:rPr>
        <w:t>千元，</w:t>
      </w:r>
      <w:r w:rsidR="0052073F">
        <w:rPr>
          <w:rFonts w:hAnsi="標楷體" w:hint="eastAsia"/>
          <w:lang w:eastAsia="zh-HK"/>
        </w:rPr>
        <w:t>收益</w:t>
      </w:r>
      <w:r w:rsidR="00631D80">
        <w:rPr>
          <w:rFonts w:hAnsi="標楷體" w:hint="eastAsia"/>
          <w:lang w:eastAsia="zh-HK"/>
        </w:rPr>
        <w:t>預算</w:t>
      </w:r>
      <w:r w:rsidR="0052073F">
        <w:rPr>
          <w:rFonts w:hAnsi="標楷體" w:hint="eastAsia"/>
          <w:lang w:eastAsia="zh-HK"/>
        </w:rPr>
        <w:t>達成</w:t>
      </w:r>
      <w:r w:rsidR="00631D80">
        <w:rPr>
          <w:rFonts w:hAnsi="標楷體" w:hint="eastAsia"/>
          <w:lang w:eastAsia="zh-HK"/>
        </w:rPr>
        <w:t>率僅達</w:t>
      </w:r>
      <w:r w:rsidR="00631D80">
        <w:rPr>
          <w:rFonts w:hAnsi="標楷體" w:hint="eastAsia"/>
        </w:rPr>
        <w:t>72.4</w:t>
      </w:r>
      <w:r w:rsidR="00D0071E">
        <w:rPr>
          <w:rFonts w:hAnsi="標楷體" w:hint="eastAsia"/>
        </w:rPr>
        <w:t>6</w:t>
      </w:r>
      <w:r w:rsidR="00631D80">
        <w:rPr>
          <w:rFonts w:hAnsi="標楷體" w:hint="eastAsia"/>
        </w:rPr>
        <w:t>%</w:t>
      </w:r>
      <w:r w:rsidR="001D2731">
        <w:rPr>
          <w:rFonts w:hAnsi="標楷體" w:hint="eastAsia"/>
        </w:rPr>
        <w:t>；</w:t>
      </w:r>
      <w:r w:rsidR="00631D80">
        <w:rPr>
          <w:rFonts w:hAnsi="標楷體" w:hint="eastAsia"/>
        </w:rPr>
        <w:t>另</w:t>
      </w:r>
      <w:r>
        <w:rPr>
          <w:rFonts w:hAnsi="標楷體" w:hint="eastAsia"/>
        </w:rPr>
        <w:t>112</w:t>
      </w:r>
      <w:r>
        <w:rPr>
          <w:rFonts w:hAnsi="標楷體" w:hint="eastAsia"/>
          <w:lang w:eastAsia="zh-HK"/>
        </w:rPr>
        <w:t>年度</w:t>
      </w:r>
      <w:r w:rsidR="00631D80">
        <w:rPr>
          <w:rFonts w:hAnsi="標楷體" w:hint="eastAsia"/>
          <w:lang w:eastAsia="zh-HK"/>
        </w:rPr>
        <w:t>決算</w:t>
      </w:r>
      <w:r w:rsidR="00E33CC1">
        <w:rPr>
          <w:rFonts w:hAnsi="標楷體" w:hint="eastAsia"/>
          <w:lang w:eastAsia="zh-HK"/>
        </w:rPr>
        <w:t>投資性不動產收益</w:t>
      </w:r>
      <w:r w:rsidR="00E33CC1">
        <w:rPr>
          <w:rFonts w:hAnsi="標楷體" w:hint="eastAsia"/>
        </w:rPr>
        <w:t>率2.28%，較預算</w:t>
      </w:r>
      <w:r w:rsidR="00631D80">
        <w:rPr>
          <w:rFonts w:hAnsi="標楷體" w:hint="eastAsia"/>
        </w:rPr>
        <w:t>收益率</w:t>
      </w:r>
      <w:r w:rsidR="00E33CC1">
        <w:rPr>
          <w:rFonts w:hAnsi="標楷體" w:hint="eastAsia"/>
        </w:rPr>
        <w:t>2.4%低</w:t>
      </w:r>
      <w:r w:rsidR="001D2731">
        <w:rPr>
          <w:rFonts w:hAnsi="標楷體" w:hint="eastAsia"/>
        </w:rPr>
        <w:t>。</w:t>
      </w:r>
    </w:p>
    <w:p w:rsidR="001742E8" w:rsidRDefault="001742E8" w:rsidP="003128E8">
      <w:pPr>
        <w:pStyle w:val="21"/>
        <w:ind w:left="850" w:firstLine="566"/>
        <w:rPr>
          <w:rFonts w:hAnsi="標楷體" w:hint="eastAsia"/>
          <w:lang w:eastAsia="zh-HK"/>
        </w:rPr>
      </w:pPr>
      <w:r>
        <w:rPr>
          <w:rFonts w:hAnsi="標楷體" w:hint="eastAsia"/>
        </w:rPr>
        <w:t>詢據臺銀人壽說明略以，</w:t>
      </w:r>
      <w:r w:rsidRPr="001742E8">
        <w:rPr>
          <w:rFonts w:hAnsi="標楷體" w:hint="eastAsia"/>
        </w:rPr>
        <w:t>投資性不動產收益主要係受到央行短期內多次調升利率，保險業投資不動產須符合即時利用收益率之最低標準亦隨之提高至2.97%，賣方若無急迫變現需求多不願釋出物件求售，市場上不易覓得合適標的，使預計增加投資性不動產部位較預算低；另112年度仍持續受到疫情影響，陸續有富比仕</w:t>
      </w:r>
      <w:r>
        <w:rPr>
          <w:rFonts w:hAnsi="標楷體" w:hint="eastAsia"/>
        </w:rPr>
        <w:t>大樓</w:t>
      </w:r>
      <w:r w:rsidRPr="001742E8">
        <w:rPr>
          <w:rFonts w:hAnsi="標楷體" w:hint="eastAsia"/>
        </w:rPr>
        <w:t>承租戶申請降租後並退租，且葉財記世貿大樓及富鼎大樓均有承租戶退租，</w:t>
      </w:r>
      <w:r>
        <w:rPr>
          <w:rFonts w:hAnsi="標楷體" w:hint="eastAsia"/>
        </w:rPr>
        <w:t>又因</w:t>
      </w:r>
      <w:r w:rsidRPr="001742E8">
        <w:rPr>
          <w:rFonts w:hAnsi="標楷體" w:hint="eastAsia"/>
        </w:rPr>
        <w:t>實際修繕支出比預計少</w:t>
      </w:r>
      <w:r>
        <w:rPr>
          <w:rFonts w:hAnsi="標楷體" w:hint="eastAsia"/>
        </w:rPr>
        <w:t>等原因</w:t>
      </w:r>
      <w:r w:rsidR="003501ED">
        <w:rPr>
          <w:rFonts w:hAnsi="標楷體" w:hint="eastAsia"/>
        </w:rPr>
        <w:t>，致投資性不動產收益不如預期</w:t>
      </w:r>
      <w:r>
        <w:rPr>
          <w:rFonts w:hAnsi="標楷體" w:hint="eastAsia"/>
        </w:rPr>
        <w:t>。</w:t>
      </w:r>
    </w:p>
    <w:p w:rsidR="006F32A0" w:rsidRDefault="001D2731" w:rsidP="00FC75D1">
      <w:pPr>
        <w:pStyle w:val="21"/>
        <w:ind w:left="850" w:firstLine="566"/>
        <w:rPr>
          <w:rFonts w:hAnsi="標楷體"/>
          <w:lang w:eastAsia="zh-HK"/>
        </w:rPr>
      </w:pPr>
      <w:r>
        <w:rPr>
          <w:rFonts w:hAnsi="標楷體" w:hint="eastAsia"/>
        </w:rPr>
        <w:t>另114</w:t>
      </w:r>
      <w:r>
        <w:rPr>
          <w:rFonts w:hAnsi="標楷體" w:hint="eastAsia"/>
          <w:lang w:eastAsia="zh-HK"/>
        </w:rPr>
        <w:t>年度預算案編列投資性不動產</w:t>
      </w:r>
      <w:r w:rsidRPr="001D2731">
        <w:rPr>
          <w:rFonts w:hAnsi="標楷體" w:hint="eastAsia"/>
          <w:lang w:eastAsia="zh-HK"/>
        </w:rPr>
        <w:t>收益率2.09%，較112年決算</w:t>
      </w:r>
      <w:r>
        <w:rPr>
          <w:rFonts w:hAnsi="標楷體" w:hint="eastAsia"/>
          <w:lang w:eastAsia="zh-HK"/>
        </w:rPr>
        <w:t>收益率</w:t>
      </w:r>
      <w:r w:rsidRPr="001D2731">
        <w:rPr>
          <w:rFonts w:hAnsi="標楷體" w:hint="eastAsia"/>
          <w:lang w:eastAsia="zh-HK"/>
        </w:rPr>
        <w:t>2.28%低，未來投資績效恐不樂觀</w:t>
      </w:r>
      <w:r>
        <w:rPr>
          <w:rFonts w:hAnsi="標楷體" w:hint="eastAsia"/>
          <w:lang w:eastAsia="zh-HK"/>
        </w:rPr>
        <w:t>，</w:t>
      </w:r>
      <w:r w:rsidR="00C15BCF">
        <w:rPr>
          <w:rFonts w:hAnsi="標楷體" w:hint="eastAsia"/>
          <w:lang w:eastAsia="zh-HK"/>
        </w:rPr>
        <w:t>允宜研議提升投資性不動產</w:t>
      </w:r>
      <w:r w:rsidR="003501ED">
        <w:rPr>
          <w:rFonts w:hAnsi="標楷體" w:hint="eastAsia"/>
          <w:lang w:eastAsia="zh-HK"/>
        </w:rPr>
        <w:t>之投資績效</w:t>
      </w:r>
      <w:r w:rsidR="00C15BCF">
        <w:rPr>
          <w:rFonts w:hAnsi="標楷體" w:hint="eastAsia"/>
          <w:lang w:eastAsia="zh-HK"/>
        </w:rPr>
        <w:t>，</w:t>
      </w:r>
      <w:r w:rsidR="001360B6">
        <w:rPr>
          <w:rFonts w:hAnsi="標楷體" w:hint="eastAsia"/>
          <w:lang w:eastAsia="zh-HK"/>
        </w:rPr>
        <w:t>強</w:t>
      </w:r>
      <w:r w:rsidR="003501ED">
        <w:rPr>
          <w:rFonts w:hAnsi="標楷體" w:hint="eastAsia"/>
          <w:lang w:eastAsia="zh-HK"/>
        </w:rPr>
        <w:t>化租賃管理機制，</w:t>
      </w:r>
      <w:r w:rsidR="00C15BCF">
        <w:rPr>
          <w:rFonts w:hAnsi="標楷體" w:hint="eastAsia"/>
          <w:lang w:eastAsia="zh-HK"/>
        </w:rPr>
        <w:t>並審慎選擇</w:t>
      </w:r>
      <w:r w:rsidR="003501ED">
        <w:rPr>
          <w:rFonts w:hAnsi="標楷體" w:hint="eastAsia"/>
          <w:lang w:eastAsia="zh-HK"/>
        </w:rPr>
        <w:t>妥適</w:t>
      </w:r>
      <w:r w:rsidR="00C15BCF">
        <w:rPr>
          <w:rFonts w:hAnsi="標楷體" w:hint="eastAsia"/>
          <w:lang w:eastAsia="zh-HK"/>
        </w:rPr>
        <w:t>投資標的，俾</w:t>
      </w:r>
      <w:r w:rsidR="00E066B7">
        <w:rPr>
          <w:rFonts w:hAnsi="標楷體" w:hint="eastAsia"/>
          <w:lang w:eastAsia="zh-HK"/>
        </w:rPr>
        <w:t>利提升</w:t>
      </w:r>
      <w:r w:rsidR="0022485D">
        <w:rPr>
          <w:rFonts w:hAnsi="標楷體" w:hint="eastAsia"/>
          <w:lang w:eastAsia="zh-HK"/>
        </w:rPr>
        <w:t>投資性</w:t>
      </w:r>
      <w:r w:rsidR="00E066B7">
        <w:rPr>
          <w:rFonts w:hAnsi="標楷體" w:hint="eastAsia"/>
          <w:lang w:eastAsia="zh-HK"/>
        </w:rPr>
        <w:t>不動產</w:t>
      </w:r>
      <w:r w:rsidR="0022485D">
        <w:rPr>
          <w:rFonts w:hAnsi="標楷體" w:hint="eastAsia"/>
          <w:lang w:eastAsia="zh-HK"/>
        </w:rPr>
        <w:t>之</w:t>
      </w:r>
      <w:r w:rsidR="00E066B7">
        <w:rPr>
          <w:rFonts w:hAnsi="標楷體" w:hint="eastAsia"/>
          <w:lang w:eastAsia="zh-HK"/>
        </w:rPr>
        <w:t>投資報酬</w:t>
      </w:r>
      <w:r w:rsidR="00F57255" w:rsidRPr="007240FF">
        <w:rPr>
          <w:rFonts w:hAnsi="標楷體" w:hint="eastAsia"/>
          <w:lang w:eastAsia="zh-HK"/>
        </w:rPr>
        <w:t>。</w:t>
      </w:r>
    </w:p>
    <w:p w:rsidR="0071615B" w:rsidRPr="0071615B" w:rsidRDefault="0071615B" w:rsidP="004C537C">
      <w:pPr>
        <w:ind w:left="566" w:firstLine="566"/>
        <w:rPr>
          <w:rFonts w:hint="eastAsia"/>
          <w:b/>
          <w:color w:val="FF0000"/>
        </w:rPr>
      </w:pPr>
      <w:r w:rsidRPr="00215A80">
        <w:rPr>
          <w:rFonts w:hint="eastAsia"/>
        </w:rPr>
        <w:t>綜上，臺銀人壽</w:t>
      </w:r>
      <w:r w:rsidR="001D2731">
        <w:rPr>
          <w:rFonts w:hint="eastAsia"/>
        </w:rPr>
        <w:t>114年度預算案編列投資性不動產6.5億元，投資性不動產收益率2.09%，有鑑於</w:t>
      </w:r>
      <w:r w:rsidRPr="00215A80">
        <w:rPr>
          <w:rFonts w:hint="eastAsia"/>
        </w:rPr>
        <w:t>11</w:t>
      </w:r>
      <w:r>
        <w:rPr>
          <w:rFonts w:hint="eastAsia"/>
        </w:rPr>
        <w:t>2</w:t>
      </w:r>
      <w:r w:rsidRPr="00215A80">
        <w:rPr>
          <w:rFonts w:hint="eastAsia"/>
        </w:rPr>
        <w:t>年度</w:t>
      </w:r>
      <w:r w:rsidR="0052073F">
        <w:rPr>
          <w:rFonts w:hint="eastAsia"/>
        </w:rPr>
        <w:t>決算</w:t>
      </w:r>
      <w:r w:rsidRPr="00215A80">
        <w:rPr>
          <w:rFonts w:hint="eastAsia"/>
        </w:rPr>
        <w:t>投資性不動產</w:t>
      </w:r>
      <w:r w:rsidR="00694730">
        <w:rPr>
          <w:rFonts w:hint="eastAsia"/>
        </w:rPr>
        <w:t>之購置與</w:t>
      </w:r>
      <w:r>
        <w:rPr>
          <w:rFonts w:hint="eastAsia"/>
        </w:rPr>
        <w:t>收益</w:t>
      </w:r>
      <w:r w:rsidR="00694730">
        <w:rPr>
          <w:rFonts w:hint="eastAsia"/>
        </w:rPr>
        <w:t>率均</w:t>
      </w:r>
      <w:r>
        <w:rPr>
          <w:rFonts w:hint="eastAsia"/>
        </w:rPr>
        <w:t>不符預期，允宜慎選</w:t>
      </w:r>
      <w:r w:rsidR="00694730">
        <w:rPr>
          <w:rFonts w:hint="eastAsia"/>
        </w:rPr>
        <w:t>投資性不動產</w:t>
      </w:r>
      <w:r>
        <w:rPr>
          <w:rFonts w:hint="eastAsia"/>
        </w:rPr>
        <w:t>標的</w:t>
      </w:r>
      <w:r w:rsidRPr="00215A80">
        <w:rPr>
          <w:rFonts w:hint="eastAsia"/>
        </w:rPr>
        <w:t>，</w:t>
      </w:r>
      <w:r w:rsidR="00694730">
        <w:rPr>
          <w:rFonts w:hint="eastAsia"/>
        </w:rPr>
        <w:t>積極辦理招租並</w:t>
      </w:r>
      <w:r w:rsidR="001360B6">
        <w:rPr>
          <w:rFonts w:hint="eastAsia"/>
        </w:rPr>
        <w:t>強</w:t>
      </w:r>
      <w:r w:rsidR="00694730">
        <w:rPr>
          <w:rFonts w:hint="eastAsia"/>
        </w:rPr>
        <w:t>化租</w:t>
      </w:r>
      <w:r w:rsidR="001D2731">
        <w:rPr>
          <w:rFonts w:hint="eastAsia"/>
        </w:rPr>
        <w:t>賃</w:t>
      </w:r>
      <w:r w:rsidR="00694730">
        <w:rPr>
          <w:rFonts w:hint="eastAsia"/>
        </w:rPr>
        <w:t>管理</w:t>
      </w:r>
      <w:r w:rsidR="001D2731">
        <w:rPr>
          <w:rFonts w:hint="eastAsia"/>
        </w:rPr>
        <w:t>機制</w:t>
      </w:r>
      <w:r w:rsidR="00694730">
        <w:rPr>
          <w:rFonts w:hint="eastAsia"/>
        </w:rPr>
        <w:t>，俾利</w:t>
      </w:r>
      <w:r w:rsidR="0022485D">
        <w:rPr>
          <w:rFonts w:hint="eastAsia"/>
        </w:rPr>
        <w:t>提升</w:t>
      </w:r>
      <w:r w:rsidR="00694730" w:rsidRPr="00694730">
        <w:rPr>
          <w:rFonts w:hint="eastAsia"/>
        </w:rPr>
        <w:t>投資</w:t>
      </w:r>
      <w:r w:rsidR="0022485D">
        <w:rPr>
          <w:rFonts w:hint="eastAsia"/>
        </w:rPr>
        <w:t>性</w:t>
      </w:r>
      <w:r w:rsidR="00694730" w:rsidRPr="00694730">
        <w:rPr>
          <w:rFonts w:hint="eastAsia"/>
        </w:rPr>
        <w:t>不動產</w:t>
      </w:r>
      <w:r w:rsidR="0022485D">
        <w:rPr>
          <w:rFonts w:hint="eastAsia"/>
        </w:rPr>
        <w:t>之</w:t>
      </w:r>
      <w:r w:rsidR="00694730" w:rsidRPr="00694730">
        <w:rPr>
          <w:rFonts w:hint="eastAsia"/>
        </w:rPr>
        <w:t>投資績效</w:t>
      </w:r>
      <w:r w:rsidRPr="00215A80">
        <w:rPr>
          <w:rFonts w:hint="eastAsia"/>
        </w:rPr>
        <w:t>。</w:t>
      </w:r>
    </w:p>
    <w:p w:rsidR="0071615B" w:rsidRPr="00FC75D1" w:rsidRDefault="0071615B" w:rsidP="0071615B">
      <w:pPr>
        <w:widowControl/>
        <w:spacing w:line="400" w:lineRule="exact"/>
        <w:ind w:leftChars="0" w:left="0" w:firstLineChars="0" w:firstLine="0"/>
        <w:rPr>
          <w:rFonts w:ascii="Times New Roman"/>
          <w:snapToGrid/>
          <w:sz w:val="24"/>
          <w:szCs w:val="24"/>
          <w:lang w:eastAsia="zh-HK"/>
        </w:rPr>
      </w:pPr>
      <w:r w:rsidRPr="00FC75D1">
        <w:rPr>
          <w:rFonts w:hAnsi="標楷體" w:hint="eastAsia"/>
          <w:b/>
          <w:bCs/>
        </w:rPr>
        <w:t>表</w:t>
      </w:r>
      <w:r>
        <w:rPr>
          <w:rFonts w:hAnsi="標楷體" w:hint="eastAsia"/>
          <w:b/>
          <w:bCs/>
        </w:rPr>
        <w:t>1</w:t>
      </w:r>
      <w:r w:rsidRPr="00FC75D1">
        <w:rPr>
          <w:rFonts w:hAnsi="標楷體" w:hint="eastAsia"/>
          <w:b/>
          <w:bCs/>
        </w:rPr>
        <w:t xml:space="preserve">  臺銀人壽投資性不動產辦理情形              </w:t>
      </w:r>
      <w:r w:rsidRPr="00FC75D1">
        <w:rPr>
          <w:rFonts w:hAnsi="標楷體" w:hint="eastAsia"/>
          <w:sz w:val="24"/>
          <w:szCs w:val="24"/>
        </w:rPr>
        <w:t>單</w:t>
      </w:r>
      <w:r w:rsidRPr="00FC75D1">
        <w:rPr>
          <w:rFonts w:ascii="Times New Roman"/>
          <w:snapToGrid/>
          <w:sz w:val="24"/>
          <w:szCs w:val="24"/>
        </w:rPr>
        <w:t>位</w:t>
      </w:r>
      <w:r w:rsidRPr="00FC75D1">
        <w:rPr>
          <w:rFonts w:ascii="Times New Roman"/>
          <w:snapToGrid/>
          <w:sz w:val="24"/>
          <w:szCs w:val="24"/>
        </w:rPr>
        <w:t>:</w:t>
      </w:r>
      <w:r w:rsidRPr="00FC75D1">
        <w:rPr>
          <w:rFonts w:ascii="Times New Roman"/>
          <w:snapToGrid/>
          <w:sz w:val="24"/>
          <w:szCs w:val="24"/>
        </w:rPr>
        <w:t>新臺幣</w:t>
      </w:r>
      <w:r w:rsidRPr="00FC75D1">
        <w:rPr>
          <w:rFonts w:ascii="Times New Roman" w:hint="eastAsia"/>
          <w:snapToGrid/>
          <w:sz w:val="24"/>
          <w:szCs w:val="24"/>
        </w:rPr>
        <w:t>億</w:t>
      </w:r>
      <w:r w:rsidRPr="00FC75D1">
        <w:rPr>
          <w:rFonts w:ascii="Times New Roman"/>
          <w:snapToGrid/>
          <w:sz w:val="24"/>
          <w:szCs w:val="24"/>
          <w:lang w:eastAsia="zh-HK"/>
        </w:rPr>
        <w:t>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63"/>
        <w:gridCol w:w="1063"/>
        <w:gridCol w:w="1063"/>
        <w:gridCol w:w="1063"/>
        <w:gridCol w:w="1063"/>
        <w:gridCol w:w="1063"/>
        <w:gridCol w:w="1063"/>
        <w:gridCol w:w="1064"/>
      </w:tblGrid>
      <w:tr w:rsidR="0071615B" w:rsidRPr="00FC75D1" w:rsidTr="003827CE">
        <w:trPr>
          <w:tblHeader/>
        </w:trPr>
        <w:tc>
          <w:tcPr>
            <w:tcW w:w="1063" w:type="dxa"/>
            <w:shd w:val="clear" w:color="auto" w:fill="auto"/>
            <w:vAlign w:val="center"/>
          </w:tcPr>
          <w:p w:rsidR="0071615B" w:rsidRPr="00FC75D1" w:rsidRDefault="0071615B" w:rsidP="003827CE">
            <w:pPr>
              <w:pStyle w:val="14-2"/>
              <w:jc w:val="center"/>
            </w:pPr>
            <w:r w:rsidRPr="00FC75D1">
              <w:t>年度</w:t>
            </w:r>
          </w:p>
        </w:tc>
        <w:tc>
          <w:tcPr>
            <w:tcW w:w="1063" w:type="dxa"/>
            <w:vAlign w:val="center"/>
          </w:tcPr>
          <w:p w:rsidR="0071615B" w:rsidRPr="00FC75D1" w:rsidRDefault="0071615B" w:rsidP="003827CE">
            <w:pPr>
              <w:pStyle w:val="14-2"/>
              <w:jc w:val="center"/>
            </w:pPr>
            <w:r w:rsidRPr="00FC75D1">
              <w:t>108</w:t>
            </w:r>
          </w:p>
        </w:tc>
        <w:tc>
          <w:tcPr>
            <w:tcW w:w="1063" w:type="dxa"/>
            <w:vAlign w:val="center"/>
          </w:tcPr>
          <w:p w:rsidR="0071615B" w:rsidRPr="00FC75D1" w:rsidRDefault="0071615B" w:rsidP="003827CE">
            <w:pPr>
              <w:pStyle w:val="14-2"/>
              <w:jc w:val="center"/>
            </w:pPr>
            <w:r w:rsidRPr="00FC75D1">
              <w:t>109</w:t>
            </w:r>
          </w:p>
        </w:tc>
        <w:tc>
          <w:tcPr>
            <w:tcW w:w="1063" w:type="dxa"/>
            <w:shd w:val="clear" w:color="auto" w:fill="auto"/>
            <w:vAlign w:val="center"/>
          </w:tcPr>
          <w:p w:rsidR="0071615B" w:rsidRPr="00FC75D1" w:rsidRDefault="0071615B" w:rsidP="003827CE">
            <w:pPr>
              <w:pStyle w:val="14-2"/>
              <w:jc w:val="center"/>
            </w:pPr>
            <w:r w:rsidRPr="00FC75D1">
              <w:t>110</w:t>
            </w:r>
          </w:p>
        </w:tc>
        <w:tc>
          <w:tcPr>
            <w:tcW w:w="1063" w:type="dxa"/>
            <w:shd w:val="clear" w:color="auto" w:fill="auto"/>
            <w:vAlign w:val="center"/>
          </w:tcPr>
          <w:p w:rsidR="0071615B" w:rsidRPr="00FC75D1" w:rsidRDefault="0071615B" w:rsidP="003827CE">
            <w:pPr>
              <w:pStyle w:val="14-2"/>
              <w:jc w:val="center"/>
            </w:pPr>
            <w:r w:rsidRPr="00FC75D1">
              <w:t>111</w:t>
            </w:r>
          </w:p>
        </w:tc>
        <w:tc>
          <w:tcPr>
            <w:tcW w:w="1063" w:type="dxa"/>
            <w:shd w:val="clear" w:color="auto" w:fill="auto"/>
            <w:vAlign w:val="center"/>
          </w:tcPr>
          <w:p w:rsidR="0071615B" w:rsidRPr="00FC75D1" w:rsidRDefault="0071615B" w:rsidP="003827CE">
            <w:pPr>
              <w:pStyle w:val="14-2"/>
              <w:jc w:val="center"/>
            </w:pPr>
            <w:r w:rsidRPr="00FC75D1">
              <w:t>112</w:t>
            </w:r>
          </w:p>
        </w:tc>
        <w:tc>
          <w:tcPr>
            <w:tcW w:w="1063" w:type="dxa"/>
            <w:shd w:val="clear" w:color="auto" w:fill="auto"/>
            <w:vAlign w:val="center"/>
          </w:tcPr>
          <w:p w:rsidR="0071615B" w:rsidRPr="00FC75D1" w:rsidRDefault="0071615B" w:rsidP="003827CE">
            <w:pPr>
              <w:pStyle w:val="14-2"/>
              <w:jc w:val="center"/>
            </w:pPr>
            <w:r w:rsidRPr="00FC75D1">
              <w:t>113</w:t>
            </w:r>
          </w:p>
        </w:tc>
        <w:tc>
          <w:tcPr>
            <w:tcW w:w="1064" w:type="dxa"/>
            <w:shd w:val="clear" w:color="auto" w:fill="auto"/>
            <w:vAlign w:val="center"/>
          </w:tcPr>
          <w:p w:rsidR="0071615B" w:rsidRPr="00FC75D1" w:rsidRDefault="0071615B" w:rsidP="003827CE">
            <w:pPr>
              <w:pStyle w:val="14-2"/>
              <w:jc w:val="center"/>
            </w:pPr>
            <w:r w:rsidRPr="00FC75D1">
              <w:t>114</w:t>
            </w:r>
          </w:p>
        </w:tc>
      </w:tr>
      <w:tr w:rsidR="0071615B" w:rsidRPr="00FC75D1" w:rsidTr="003827CE">
        <w:trPr>
          <w:tblHeader/>
        </w:trPr>
        <w:tc>
          <w:tcPr>
            <w:tcW w:w="1063" w:type="dxa"/>
            <w:shd w:val="clear" w:color="auto" w:fill="auto"/>
            <w:vAlign w:val="center"/>
          </w:tcPr>
          <w:p w:rsidR="0071615B" w:rsidRPr="00FC75D1" w:rsidRDefault="0071615B" w:rsidP="003827CE">
            <w:pPr>
              <w:pStyle w:val="14-2"/>
              <w:jc w:val="center"/>
            </w:pPr>
            <w:r w:rsidRPr="00FC75D1">
              <w:t>預算數</w:t>
            </w:r>
          </w:p>
        </w:tc>
        <w:tc>
          <w:tcPr>
            <w:tcW w:w="1063" w:type="dxa"/>
            <w:vAlign w:val="center"/>
          </w:tcPr>
          <w:p w:rsidR="0071615B" w:rsidRPr="00FC75D1" w:rsidRDefault="0071615B" w:rsidP="00DC6CA9">
            <w:pPr>
              <w:pStyle w:val="14-2"/>
              <w:jc w:val="right"/>
            </w:pPr>
            <w:r w:rsidRPr="00FC75D1">
              <w:t>10.00</w:t>
            </w:r>
          </w:p>
        </w:tc>
        <w:tc>
          <w:tcPr>
            <w:tcW w:w="1063" w:type="dxa"/>
            <w:vAlign w:val="center"/>
          </w:tcPr>
          <w:p w:rsidR="0071615B" w:rsidRPr="00FC75D1" w:rsidRDefault="0071615B" w:rsidP="00DC6CA9">
            <w:pPr>
              <w:pStyle w:val="14-2"/>
              <w:jc w:val="right"/>
            </w:pPr>
            <w:r w:rsidRPr="00FC75D1">
              <w:t>20.00</w:t>
            </w:r>
          </w:p>
        </w:tc>
        <w:tc>
          <w:tcPr>
            <w:tcW w:w="1063" w:type="dxa"/>
            <w:shd w:val="clear" w:color="auto" w:fill="auto"/>
            <w:vAlign w:val="center"/>
          </w:tcPr>
          <w:p w:rsidR="0071615B" w:rsidRPr="00FC75D1" w:rsidRDefault="0071615B" w:rsidP="00DC6CA9">
            <w:pPr>
              <w:pStyle w:val="14-2"/>
              <w:jc w:val="right"/>
            </w:pPr>
            <w:r w:rsidRPr="00FC75D1">
              <w:t>5.00</w:t>
            </w:r>
          </w:p>
        </w:tc>
        <w:tc>
          <w:tcPr>
            <w:tcW w:w="1063" w:type="dxa"/>
            <w:shd w:val="clear" w:color="auto" w:fill="auto"/>
            <w:vAlign w:val="center"/>
          </w:tcPr>
          <w:p w:rsidR="0071615B" w:rsidRPr="00FC75D1" w:rsidRDefault="0071615B" w:rsidP="00DC6CA9">
            <w:pPr>
              <w:pStyle w:val="14-2"/>
              <w:jc w:val="right"/>
            </w:pPr>
            <w:r w:rsidRPr="00FC75D1">
              <w:t>5.00</w:t>
            </w:r>
          </w:p>
        </w:tc>
        <w:tc>
          <w:tcPr>
            <w:tcW w:w="1063" w:type="dxa"/>
            <w:shd w:val="clear" w:color="auto" w:fill="auto"/>
            <w:vAlign w:val="center"/>
          </w:tcPr>
          <w:p w:rsidR="0071615B" w:rsidRPr="00FC75D1" w:rsidRDefault="0071615B" w:rsidP="00DC6CA9">
            <w:pPr>
              <w:pStyle w:val="14-2"/>
              <w:jc w:val="right"/>
            </w:pPr>
            <w:r w:rsidRPr="00FC75D1">
              <w:t>5.00</w:t>
            </w:r>
          </w:p>
        </w:tc>
        <w:tc>
          <w:tcPr>
            <w:tcW w:w="1063" w:type="dxa"/>
            <w:shd w:val="clear" w:color="auto" w:fill="auto"/>
            <w:vAlign w:val="center"/>
          </w:tcPr>
          <w:p w:rsidR="0071615B" w:rsidRPr="00FC75D1" w:rsidRDefault="0071615B" w:rsidP="00DC6CA9">
            <w:pPr>
              <w:pStyle w:val="14-2"/>
              <w:jc w:val="right"/>
            </w:pPr>
            <w:r w:rsidRPr="00FC75D1">
              <w:t>10.00</w:t>
            </w:r>
          </w:p>
        </w:tc>
        <w:tc>
          <w:tcPr>
            <w:tcW w:w="1064" w:type="dxa"/>
            <w:shd w:val="clear" w:color="auto" w:fill="auto"/>
            <w:vAlign w:val="center"/>
          </w:tcPr>
          <w:p w:rsidR="0071615B" w:rsidRPr="00FC75D1" w:rsidRDefault="0071615B" w:rsidP="00DC6CA9">
            <w:pPr>
              <w:pStyle w:val="14-2"/>
              <w:jc w:val="right"/>
            </w:pPr>
            <w:r w:rsidRPr="00FC75D1">
              <w:t>6.5</w:t>
            </w:r>
          </w:p>
        </w:tc>
      </w:tr>
      <w:tr w:rsidR="0071615B" w:rsidRPr="00FC75D1" w:rsidTr="003827CE">
        <w:trPr>
          <w:tblHeader/>
        </w:trPr>
        <w:tc>
          <w:tcPr>
            <w:tcW w:w="1063" w:type="dxa"/>
            <w:shd w:val="clear" w:color="auto" w:fill="auto"/>
            <w:vAlign w:val="center"/>
          </w:tcPr>
          <w:p w:rsidR="0071615B" w:rsidRPr="00FC75D1" w:rsidRDefault="0071615B" w:rsidP="003827CE">
            <w:pPr>
              <w:pStyle w:val="14-2"/>
              <w:jc w:val="center"/>
            </w:pPr>
            <w:r w:rsidRPr="00FC75D1">
              <w:t>決算數</w:t>
            </w:r>
          </w:p>
        </w:tc>
        <w:tc>
          <w:tcPr>
            <w:tcW w:w="1063" w:type="dxa"/>
            <w:vAlign w:val="center"/>
          </w:tcPr>
          <w:p w:rsidR="0071615B" w:rsidRPr="00FC75D1" w:rsidRDefault="0071615B" w:rsidP="00DC6CA9">
            <w:pPr>
              <w:pStyle w:val="14-2"/>
              <w:jc w:val="right"/>
            </w:pPr>
            <w:r w:rsidRPr="00FC75D1">
              <w:t>14.11</w:t>
            </w:r>
          </w:p>
        </w:tc>
        <w:tc>
          <w:tcPr>
            <w:tcW w:w="1063" w:type="dxa"/>
            <w:vAlign w:val="center"/>
          </w:tcPr>
          <w:p w:rsidR="0071615B" w:rsidRPr="00FC75D1" w:rsidRDefault="0071615B" w:rsidP="00DC6CA9">
            <w:pPr>
              <w:pStyle w:val="14-2"/>
              <w:jc w:val="right"/>
            </w:pPr>
            <w:r w:rsidRPr="00FC75D1">
              <w:t>0</w:t>
            </w:r>
          </w:p>
        </w:tc>
        <w:tc>
          <w:tcPr>
            <w:tcW w:w="1063" w:type="dxa"/>
            <w:shd w:val="clear" w:color="auto" w:fill="auto"/>
            <w:vAlign w:val="center"/>
          </w:tcPr>
          <w:p w:rsidR="0071615B" w:rsidRPr="00FC75D1" w:rsidRDefault="0071615B" w:rsidP="00DC6CA9">
            <w:pPr>
              <w:pStyle w:val="14-2"/>
              <w:jc w:val="right"/>
            </w:pPr>
            <w:r w:rsidRPr="00FC75D1">
              <w:t>7.86</w:t>
            </w:r>
          </w:p>
        </w:tc>
        <w:tc>
          <w:tcPr>
            <w:tcW w:w="1063" w:type="dxa"/>
            <w:shd w:val="clear" w:color="auto" w:fill="auto"/>
            <w:vAlign w:val="center"/>
          </w:tcPr>
          <w:p w:rsidR="0071615B" w:rsidRPr="00FC75D1" w:rsidRDefault="0071615B" w:rsidP="00DC6CA9">
            <w:pPr>
              <w:pStyle w:val="14-2"/>
              <w:jc w:val="right"/>
            </w:pPr>
            <w:r w:rsidRPr="00FC75D1">
              <w:t>0</w:t>
            </w:r>
          </w:p>
        </w:tc>
        <w:tc>
          <w:tcPr>
            <w:tcW w:w="1063" w:type="dxa"/>
            <w:shd w:val="clear" w:color="auto" w:fill="auto"/>
            <w:vAlign w:val="center"/>
          </w:tcPr>
          <w:p w:rsidR="0071615B" w:rsidRPr="00FC75D1" w:rsidRDefault="0071615B" w:rsidP="00DC6CA9">
            <w:pPr>
              <w:pStyle w:val="14-2"/>
              <w:jc w:val="right"/>
            </w:pPr>
            <w:r w:rsidRPr="00FC75D1">
              <w:t>3.91</w:t>
            </w:r>
          </w:p>
        </w:tc>
        <w:tc>
          <w:tcPr>
            <w:tcW w:w="1063" w:type="dxa"/>
            <w:shd w:val="clear" w:color="auto" w:fill="auto"/>
            <w:vAlign w:val="center"/>
          </w:tcPr>
          <w:p w:rsidR="0071615B" w:rsidRPr="00FC75D1" w:rsidRDefault="0071615B" w:rsidP="00DC6CA9">
            <w:pPr>
              <w:pStyle w:val="14-2"/>
              <w:jc w:val="right"/>
            </w:pPr>
            <w:r w:rsidRPr="00FC75D1">
              <w:rPr>
                <w:rFonts w:hint="eastAsia"/>
              </w:rPr>
              <w:t>0</w:t>
            </w:r>
          </w:p>
        </w:tc>
        <w:tc>
          <w:tcPr>
            <w:tcW w:w="1064" w:type="dxa"/>
            <w:shd w:val="clear" w:color="auto" w:fill="auto"/>
            <w:vAlign w:val="center"/>
          </w:tcPr>
          <w:p w:rsidR="0071615B" w:rsidRPr="00694730" w:rsidRDefault="00694730" w:rsidP="00DC6CA9">
            <w:pPr>
              <w:pStyle w:val="14-2"/>
              <w:jc w:val="right"/>
              <w:rPr>
                <w:rFonts w:hint="eastAsia"/>
              </w:rPr>
            </w:pPr>
            <w:r>
              <w:t>-</w:t>
            </w:r>
          </w:p>
        </w:tc>
      </w:tr>
    </w:tbl>
    <w:p w:rsidR="0071615B" w:rsidRPr="00FC75D1" w:rsidRDefault="0071615B" w:rsidP="0071615B">
      <w:pPr>
        <w:pStyle w:val="14-12"/>
        <w:ind w:leftChars="-1" w:left="1274" w:hangingChars="525" w:hanging="1277"/>
        <w:rPr>
          <w:rFonts w:hint="eastAsia"/>
          <w:spacing w:val="0"/>
        </w:rPr>
      </w:pPr>
      <w:r w:rsidRPr="00FC75D1">
        <w:rPr>
          <w:rFonts w:hint="eastAsia"/>
          <w:spacing w:val="0"/>
        </w:rPr>
        <w:t>說</w:t>
      </w:r>
      <w:r w:rsidRPr="00FC75D1">
        <w:rPr>
          <w:spacing w:val="0"/>
        </w:rPr>
        <w:t xml:space="preserve">    </w:t>
      </w:r>
      <w:r w:rsidRPr="00FC75D1">
        <w:rPr>
          <w:rFonts w:hint="eastAsia"/>
          <w:spacing w:val="0"/>
        </w:rPr>
        <w:t>明：113年度決算數統計至9月底止實支數。</w:t>
      </w:r>
    </w:p>
    <w:p w:rsidR="0071615B" w:rsidRPr="00FC75D1" w:rsidRDefault="0071615B" w:rsidP="0071615B">
      <w:pPr>
        <w:pStyle w:val="14-12"/>
        <w:ind w:leftChars="-1" w:left="-3" w:firstLineChars="1" w:firstLine="2"/>
        <w:rPr>
          <w:rFonts w:hint="eastAsia"/>
        </w:rPr>
      </w:pPr>
      <w:r w:rsidRPr="00FC75D1">
        <w:rPr>
          <w:rFonts w:hint="eastAsia"/>
          <w:spacing w:val="0"/>
        </w:rPr>
        <w:t>資料來源：臺銀人壽提供。</w:t>
      </w:r>
    </w:p>
    <w:p w:rsidR="001360B6" w:rsidRDefault="001360B6" w:rsidP="00AC2E8D">
      <w:pPr>
        <w:ind w:leftChars="0" w:left="567" w:hangingChars="200" w:hanging="567"/>
        <w:rPr>
          <w:rFonts w:hAnsi="標楷體"/>
          <w:b/>
          <w:bCs/>
          <w:snapToGrid/>
        </w:rPr>
      </w:pPr>
    </w:p>
    <w:p w:rsidR="007F1A01" w:rsidRPr="00FC75D1" w:rsidRDefault="00AC2E8D" w:rsidP="00AC2E8D">
      <w:pPr>
        <w:ind w:leftChars="0" w:left="567" w:hangingChars="200" w:hanging="567"/>
        <w:rPr>
          <w:b/>
          <w:bCs/>
        </w:rPr>
      </w:pPr>
      <w:r w:rsidRPr="00FC75D1">
        <w:rPr>
          <w:rFonts w:hAnsi="標楷體" w:hint="eastAsia"/>
          <w:b/>
          <w:bCs/>
          <w:snapToGrid/>
        </w:rPr>
        <w:t>表</w:t>
      </w:r>
      <w:r w:rsidR="001360B6">
        <w:rPr>
          <w:rFonts w:hAnsi="標楷體" w:hint="eastAsia"/>
          <w:b/>
          <w:bCs/>
          <w:snapToGrid/>
        </w:rPr>
        <w:t>2</w:t>
      </w:r>
      <w:r w:rsidRPr="00FC75D1">
        <w:rPr>
          <w:rFonts w:hAnsi="標楷體"/>
          <w:b/>
          <w:bCs/>
          <w:snapToGrid/>
        </w:rPr>
        <w:t xml:space="preserve"> </w:t>
      </w:r>
      <w:r w:rsidR="007240FF" w:rsidRPr="00FC75D1">
        <w:rPr>
          <w:rFonts w:hAnsi="標楷體" w:hint="eastAsia"/>
          <w:b/>
          <w:bCs/>
          <w:snapToGrid/>
        </w:rPr>
        <w:t>臺銀人壽112至114年度投資性不動產收益</w:t>
      </w:r>
      <w:r w:rsidR="001742E8" w:rsidRPr="00FC75D1">
        <w:rPr>
          <w:rFonts w:hAnsi="標楷體" w:hint="eastAsia"/>
          <w:b/>
          <w:bCs/>
          <w:snapToGrid/>
        </w:rPr>
        <w:t>情形</w:t>
      </w:r>
      <w:r w:rsidR="007240FF" w:rsidRPr="00FC75D1">
        <w:rPr>
          <w:rFonts w:hAnsi="標楷體" w:hint="eastAsia"/>
          <w:b/>
          <w:bCs/>
          <w:snapToGrid/>
        </w:rPr>
        <w:t>統計表</w:t>
      </w:r>
    </w:p>
    <w:p w:rsidR="00AC2E8D" w:rsidRPr="00FC75D1" w:rsidRDefault="00AC2E8D" w:rsidP="007F1A01">
      <w:pPr>
        <w:pStyle w:val="14-2"/>
        <w:jc w:val="right"/>
      </w:pPr>
      <w:r w:rsidRPr="00FC75D1">
        <w:rPr>
          <w:rFonts w:hint="eastAsia"/>
        </w:rPr>
        <w:t>單位：</w:t>
      </w:r>
      <w:r w:rsidR="007F1A01" w:rsidRPr="00FC75D1">
        <w:rPr>
          <w:rFonts w:hint="eastAsia"/>
        </w:rPr>
        <w:t>件；</w:t>
      </w:r>
      <w:r w:rsidRPr="00FC75D1">
        <w:rPr>
          <w:rFonts w:hint="eastAsia"/>
        </w:rPr>
        <w:t>新臺幣千元</w:t>
      </w:r>
      <w:r w:rsidR="003128E8" w:rsidRPr="00FC75D1">
        <w:rPr>
          <w:rFonts w:hint="eastAsia"/>
        </w:rPr>
        <w:t>；%</w:t>
      </w:r>
    </w:p>
    <w:tbl>
      <w:tblPr>
        <w:tblW w:w="8532"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276"/>
        <w:gridCol w:w="1209"/>
        <w:gridCol w:w="1209"/>
        <w:gridCol w:w="1210"/>
        <w:gridCol w:w="1209"/>
        <w:gridCol w:w="1209"/>
        <w:gridCol w:w="1210"/>
      </w:tblGrid>
      <w:tr w:rsidR="000409BD" w:rsidRPr="00FC75D1" w:rsidTr="001B638E">
        <w:trPr>
          <w:trHeight w:val="173"/>
        </w:trPr>
        <w:tc>
          <w:tcPr>
            <w:tcW w:w="1276" w:type="dxa"/>
            <w:tcBorders>
              <w:top w:val="single" w:sz="12" w:space="0" w:color="auto"/>
              <w:bottom w:val="single" w:sz="4" w:space="0" w:color="auto"/>
              <w:right w:val="single" w:sz="4" w:space="0" w:color="auto"/>
            </w:tcBorders>
            <w:shd w:val="clear" w:color="000000" w:fill="FFFFFF"/>
          </w:tcPr>
          <w:p w:rsidR="000409BD" w:rsidRPr="00FC75D1" w:rsidRDefault="000409BD" w:rsidP="004850E0">
            <w:pPr>
              <w:pStyle w:val="14-12"/>
              <w:jc w:val="center"/>
            </w:pPr>
            <w:r w:rsidRPr="00FC75D1">
              <w:t>年度</w:t>
            </w:r>
          </w:p>
        </w:tc>
        <w:tc>
          <w:tcPr>
            <w:tcW w:w="4837" w:type="dxa"/>
            <w:gridSpan w:val="4"/>
            <w:tcBorders>
              <w:top w:val="single" w:sz="12" w:space="0" w:color="auto"/>
              <w:left w:val="single" w:sz="4" w:space="0" w:color="auto"/>
              <w:bottom w:val="single" w:sz="4" w:space="0" w:color="auto"/>
              <w:right w:val="single" w:sz="4" w:space="0" w:color="auto"/>
            </w:tcBorders>
            <w:shd w:val="clear" w:color="000000" w:fill="FFFFFF"/>
            <w:vAlign w:val="center"/>
          </w:tcPr>
          <w:p w:rsidR="000409BD" w:rsidRPr="00FC75D1" w:rsidRDefault="000409BD" w:rsidP="000409BD">
            <w:pPr>
              <w:pStyle w:val="14-12"/>
              <w:jc w:val="center"/>
              <w:rPr>
                <w:spacing w:val="0"/>
              </w:rPr>
            </w:pPr>
            <w:r w:rsidRPr="00FC75D1">
              <w:rPr>
                <w:rFonts w:hint="eastAsia"/>
                <w:spacing w:val="0"/>
              </w:rPr>
              <w:t>112</w:t>
            </w:r>
          </w:p>
        </w:tc>
        <w:tc>
          <w:tcPr>
            <w:tcW w:w="1209" w:type="dxa"/>
            <w:tcBorders>
              <w:top w:val="single" w:sz="12" w:space="0" w:color="auto"/>
              <w:left w:val="single" w:sz="4" w:space="0" w:color="auto"/>
              <w:bottom w:val="single" w:sz="4" w:space="0" w:color="auto"/>
              <w:right w:val="single" w:sz="4" w:space="0" w:color="auto"/>
            </w:tcBorders>
            <w:shd w:val="clear" w:color="000000" w:fill="FFFFFF"/>
            <w:vAlign w:val="center"/>
          </w:tcPr>
          <w:p w:rsidR="000409BD" w:rsidRPr="00FC75D1" w:rsidRDefault="000409BD" w:rsidP="000409BD">
            <w:pPr>
              <w:pStyle w:val="14-12"/>
              <w:jc w:val="center"/>
              <w:rPr>
                <w:spacing w:val="0"/>
              </w:rPr>
            </w:pPr>
            <w:r w:rsidRPr="00FC75D1">
              <w:rPr>
                <w:rFonts w:hint="eastAsia"/>
                <w:spacing w:val="0"/>
              </w:rPr>
              <w:t>113</w:t>
            </w:r>
          </w:p>
        </w:tc>
        <w:tc>
          <w:tcPr>
            <w:tcW w:w="1210" w:type="dxa"/>
            <w:tcBorders>
              <w:top w:val="single" w:sz="12" w:space="0" w:color="auto"/>
              <w:left w:val="single" w:sz="4" w:space="0" w:color="auto"/>
              <w:bottom w:val="single" w:sz="4" w:space="0" w:color="auto"/>
            </w:tcBorders>
            <w:shd w:val="clear" w:color="000000" w:fill="FFFFFF"/>
            <w:vAlign w:val="center"/>
          </w:tcPr>
          <w:p w:rsidR="000409BD" w:rsidRPr="00FC75D1" w:rsidRDefault="000409BD" w:rsidP="000409BD">
            <w:pPr>
              <w:pStyle w:val="14-12"/>
              <w:jc w:val="center"/>
              <w:rPr>
                <w:spacing w:val="0"/>
              </w:rPr>
            </w:pPr>
            <w:r w:rsidRPr="00FC75D1">
              <w:rPr>
                <w:rFonts w:hint="eastAsia"/>
                <w:spacing w:val="0"/>
              </w:rPr>
              <w:t>114</w:t>
            </w:r>
          </w:p>
        </w:tc>
      </w:tr>
      <w:tr w:rsidR="000409BD" w:rsidRPr="00FC75D1" w:rsidTr="000409BD">
        <w:trPr>
          <w:trHeight w:val="173"/>
        </w:trPr>
        <w:tc>
          <w:tcPr>
            <w:tcW w:w="1276" w:type="dxa"/>
            <w:tcBorders>
              <w:top w:val="single" w:sz="4" w:space="0" w:color="auto"/>
              <w:bottom w:val="single" w:sz="4" w:space="0" w:color="auto"/>
              <w:right w:val="single" w:sz="4" w:space="0" w:color="auto"/>
            </w:tcBorders>
            <w:shd w:val="clear" w:color="000000" w:fill="FFFFFF"/>
          </w:tcPr>
          <w:p w:rsidR="000409BD" w:rsidRPr="00FC75D1" w:rsidRDefault="000409BD" w:rsidP="000409BD">
            <w:pPr>
              <w:pStyle w:val="14-12"/>
              <w:jc w:val="center"/>
            </w:pPr>
            <w:r w:rsidRPr="00FC75D1">
              <w:t>項目</w:t>
            </w:r>
          </w:p>
        </w:tc>
        <w:tc>
          <w:tcPr>
            <w:tcW w:w="1209" w:type="dxa"/>
            <w:tcBorders>
              <w:top w:val="single" w:sz="4" w:space="0" w:color="auto"/>
              <w:left w:val="single" w:sz="4" w:space="0" w:color="auto"/>
              <w:bottom w:val="single" w:sz="4" w:space="0" w:color="auto"/>
              <w:right w:val="single" w:sz="4" w:space="0" w:color="auto"/>
            </w:tcBorders>
            <w:shd w:val="clear" w:color="000000" w:fill="FFFFFF"/>
            <w:vAlign w:val="center"/>
          </w:tcPr>
          <w:p w:rsidR="000409BD" w:rsidRPr="00FC75D1" w:rsidRDefault="000409BD" w:rsidP="000409BD">
            <w:pPr>
              <w:pStyle w:val="14-12"/>
              <w:jc w:val="center"/>
              <w:rPr>
                <w:rFonts w:hint="eastAsia"/>
                <w:spacing w:val="0"/>
              </w:rPr>
            </w:pPr>
            <w:r w:rsidRPr="00FC75D1">
              <w:rPr>
                <w:rFonts w:hint="eastAsia"/>
                <w:spacing w:val="0"/>
              </w:rPr>
              <w:t>預算數</w:t>
            </w:r>
          </w:p>
        </w:tc>
        <w:tc>
          <w:tcPr>
            <w:tcW w:w="1209" w:type="dxa"/>
            <w:tcBorders>
              <w:top w:val="single" w:sz="4" w:space="0" w:color="auto"/>
              <w:left w:val="single" w:sz="4" w:space="0" w:color="auto"/>
              <w:bottom w:val="single" w:sz="4" w:space="0" w:color="auto"/>
              <w:right w:val="single" w:sz="4" w:space="0" w:color="auto"/>
            </w:tcBorders>
            <w:shd w:val="clear" w:color="000000" w:fill="FFFFFF"/>
            <w:vAlign w:val="center"/>
          </w:tcPr>
          <w:p w:rsidR="000409BD" w:rsidRPr="00FC75D1" w:rsidRDefault="000409BD" w:rsidP="000409BD">
            <w:pPr>
              <w:pStyle w:val="14-12"/>
              <w:jc w:val="center"/>
              <w:rPr>
                <w:spacing w:val="0"/>
              </w:rPr>
            </w:pPr>
            <w:r w:rsidRPr="00FC75D1">
              <w:rPr>
                <w:rFonts w:hint="eastAsia"/>
                <w:spacing w:val="0"/>
              </w:rPr>
              <w:t>決算數</w:t>
            </w:r>
          </w:p>
        </w:tc>
        <w:tc>
          <w:tcPr>
            <w:tcW w:w="1210" w:type="dxa"/>
            <w:tcBorders>
              <w:top w:val="single" w:sz="4" w:space="0" w:color="auto"/>
              <w:left w:val="single" w:sz="4" w:space="0" w:color="auto"/>
              <w:bottom w:val="single" w:sz="4" w:space="0" w:color="auto"/>
              <w:right w:val="single" w:sz="4" w:space="0" w:color="auto"/>
            </w:tcBorders>
            <w:shd w:val="clear" w:color="000000" w:fill="FFFFFF"/>
          </w:tcPr>
          <w:p w:rsidR="000409BD" w:rsidRPr="00FC75D1" w:rsidRDefault="000409BD" w:rsidP="000409BD">
            <w:pPr>
              <w:pStyle w:val="14-12"/>
              <w:jc w:val="center"/>
              <w:rPr>
                <w:spacing w:val="0"/>
              </w:rPr>
            </w:pPr>
            <w:r w:rsidRPr="00FC75D1">
              <w:rPr>
                <w:spacing w:val="0"/>
              </w:rPr>
              <w:t>差額</w:t>
            </w:r>
          </w:p>
        </w:tc>
        <w:tc>
          <w:tcPr>
            <w:tcW w:w="1209" w:type="dxa"/>
            <w:tcBorders>
              <w:top w:val="single" w:sz="4" w:space="0" w:color="auto"/>
              <w:left w:val="single" w:sz="4" w:space="0" w:color="auto"/>
              <w:bottom w:val="single" w:sz="4" w:space="0" w:color="auto"/>
              <w:right w:val="single" w:sz="4" w:space="0" w:color="auto"/>
            </w:tcBorders>
            <w:shd w:val="clear" w:color="000000" w:fill="FFFFFF"/>
          </w:tcPr>
          <w:p w:rsidR="000409BD" w:rsidRPr="00FC75D1" w:rsidRDefault="003128E8" w:rsidP="000409BD">
            <w:pPr>
              <w:pStyle w:val="14-12"/>
              <w:jc w:val="center"/>
              <w:rPr>
                <w:spacing w:val="0"/>
              </w:rPr>
            </w:pPr>
            <w:r w:rsidRPr="00FC75D1">
              <w:rPr>
                <w:rFonts w:hint="eastAsia"/>
                <w:spacing w:val="0"/>
              </w:rPr>
              <w:t>執行率</w:t>
            </w:r>
          </w:p>
        </w:tc>
        <w:tc>
          <w:tcPr>
            <w:tcW w:w="1209" w:type="dxa"/>
            <w:tcBorders>
              <w:top w:val="single" w:sz="4" w:space="0" w:color="auto"/>
              <w:left w:val="single" w:sz="4" w:space="0" w:color="auto"/>
              <w:bottom w:val="single" w:sz="4" w:space="0" w:color="auto"/>
              <w:right w:val="single" w:sz="4" w:space="0" w:color="auto"/>
            </w:tcBorders>
            <w:shd w:val="clear" w:color="000000" w:fill="FFFFFF"/>
            <w:vAlign w:val="center"/>
          </w:tcPr>
          <w:p w:rsidR="000409BD" w:rsidRPr="00FC75D1" w:rsidRDefault="000409BD" w:rsidP="007240FF">
            <w:pPr>
              <w:pStyle w:val="14-12"/>
              <w:jc w:val="center"/>
              <w:rPr>
                <w:spacing w:val="0"/>
              </w:rPr>
            </w:pPr>
            <w:r w:rsidRPr="00FC75D1">
              <w:rPr>
                <w:spacing w:val="0"/>
              </w:rPr>
              <w:t>預算數</w:t>
            </w:r>
          </w:p>
        </w:tc>
        <w:tc>
          <w:tcPr>
            <w:tcW w:w="1210" w:type="dxa"/>
            <w:tcBorders>
              <w:top w:val="single" w:sz="4" w:space="0" w:color="auto"/>
              <w:left w:val="single" w:sz="4" w:space="0" w:color="auto"/>
              <w:bottom w:val="single" w:sz="4" w:space="0" w:color="auto"/>
            </w:tcBorders>
            <w:shd w:val="clear" w:color="000000" w:fill="FFFFFF"/>
            <w:vAlign w:val="center"/>
          </w:tcPr>
          <w:p w:rsidR="000409BD" w:rsidRPr="00FC75D1" w:rsidRDefault="000409BD" w:rsidP="007240FF">
            <w:pPr>
              <w:pStyle w:val="14-12"/>
              <w:jc w:val="center"/>
              <w:rPr>
                <w:spacing w:val="0"/>
              </w:rPr>
            </w:pPr>
            <w:r w:rsidRPr="00FC75D1">
              <w:rPr>
                <w:spacing w:val="0"/>
              </w:rPr>
              <w:t>預算數</w:t>
            </w:r>
          </w:p>
        </w:tc>
      </w:tr>
      <w:tr w:rsidR="003128E8" w:rsidRPr="00FC75D1" w:rsidTr="000409BD">
        <w:trPr>
          <w:trHeight w:val="173"/>
        </w:trPr>
        <w:tc>
          <w:tcPr>
            <w:tcW w:w="1276" w:type="dxa"/>
            <w:tcBorders>
              <w:top w:val="single" w:sz="4" w:space="0" w:color="auto"/>
              <w:bottom w:val="single" w:sz="4" w:space="0" w:color="auto"/>
              <w:right w:val="single" w:sz="4" w:space="0" w:color="auto"/>
            </w:tcBorders>
            <w:shd w:val="clear" w:color="000000" w:fill="FFFFFF"/>
          </w:tcPr>
          <w:p w:rsidR="003128E8" w:rsidRPr="00FC75D1" w:rsidRDefault="003128E8" w:rsidP="004850E0">
            <w:pPr>
              <w:pStyle w:val="14-12"/>
            </w:pPr>
            <w:r w:rsidRPr="00FC75D1">
              <w:t>收入</w:t>
            </w:r>
            <w:r w:rsidR="003501ED">
              <w:rPr>
                <w:rFonts w:hint="eastAsia"/>
              </w:rPr>
              <w:t>(</w:t>
            </w:r>
            <w:r w:rsidR="003501ED">
              <w:t>A)</w:t>
            </w:r>
          </w:p>
        </w:tc>
        <w:tc>
          <w:tcPr>
            <w:tcW w:w="1209" w:type="dxa"/>
            <w:tcBorders>
              <w:top w:val="single" w:sz="4" w:space="0" w:color="auto"/>
              <w:left w:val="single" w:sz="4" w:space="0" w:color="auto"/>
              <w:bottom w:val="single" w:sz="4" w:space="0" w:color="auto"/>
            </w:tcBorders>
            <w:shd w:val="clear" w:color="000000" w:fill="FFFFFF"/>
            <w:vAlign w:val="center"/>
          </w:tcPr>
          <w:p w:rsidR="003128E8" w:rsidRPr="00FC75D1" w:rsidRDefault="003128E8" w:rsidP="003128E8">
            <w:pPr>
              <w:pStyle w:val="14-12"/>
              <w:jc w:val="right"/>
              <w:rPr>
                <w:spacing w:val="0"/>
              </w:rPr>
            </w:pPr>
            <w:r w:rsidRPr="00FC75D1">
              <w:rPr>
                <w:spacing w:val="0"/>
              </w:rPr>
              <w:t>495,341</w:t>
            </w:r>
          </w:p>
        </w:tc>
        <w:tc>
          <w:tcPr>
            <w:tcW w:w="1209" w:type="dxa"/>
            <w:tcBorders>
              <w:top w:val="single" w:sz="4" w:space="0" w:color="auto"/>
              <w:left w:val="single" w:sz="4" w:space="0" w:color="auto"/>
              <w:bottom w:val="single" w:sz="4" w:space="0" w:color="auto"/>
              <w:right w:val="single" w:sz="4" w:space="0" w:color="auto"/>
            </w:tcBorders>
            <w:shd w:val="clear" w:color="000000" w:fill="FFFFFF"/>
            <w:vAlign w:val="center"/>
          </w:tcPr>
          <w:p w:rsidR="003128E8" w:rsidRPr="00FC75D1" w:rsidRDefault="003128E8" w:rsidP="003128E8">
            <w:pPr>
              <w:pStyle w:val="14-12"/>
              <w:jc w:val="right"/>
              <w:rPr>
                <w:spacing w:val="0"/>
              </w:rPr>
            </w:pPr>
            <w:r w:rsidRPr="00FC75D1">
              <w:rPr>
                <w:spacing w:val="0"/>
              </w:rPr>
              <w:t>368,267</w:t>
            </w:r>
          </w:p>
        </w:tc>
        <w:tc>
          <w:tcPr>
            <w:tcW w:w="1210" w:type="dxa"/>
            <w:tcBorders>
              <w:top w:val="single" w:sz="4" w:space="0" w:color="auto"/>
              <w:left w:val="single" w:sz="4" w:space="0" w:color="auto"/>
              <w:bottom w:val="single" w:sz="4" w:space="0" w:color="auto"/>
              <w:right w:val="single" w:sz="4" w:space="0" w:color="auto"/>
            </w:tcBorders>
            <w:shd w:val="clear" w:color="000000" w:fill="FFFFFF"/>
          </w:tcPr>
          <w:p w:rsidR="003128E8" w:rsidRPr="00FC75D1" w:rsidRDefault="003128E8" w:rsidP="003128E8">
            <w:pPr>
              <w:pStyle w:val="14-12"/>
              <w:jc w:val="right"/>
              <w:rPr>
                <w:spacing w:val="0"/>
              </w:rPr>
            </w:pPr>
            <w:r w:rsidRPr="00FC75D1">
              <w:t>-127,074</w:t>
            </w:r>
          </w:p>
        </w:tc>
        <w:tc>
          <w:tcPr>
            <w:tcW w:w="1209" w:type="dxa"/>
            <w:tcBorders>
              <w:top w:val="single" w:sz="4" w:space="0" w:color="auto"/>
              <w:left w:val="single" w:sz="4" w:space="0" w:color="auto"/>
              <w:bottom w:val="single" w:sz="4" w:space="0" w:color="auto"/>
              <w:right w:val="single" w:sz="4" w:space="0" w:color="auto"/>
            </w:tcBorders>
            <w:shd w:val="clear" w:color="000000" w:fill="FFFFFF"/>
          </w:tcPr>
          <w:p w:rsidR="003128E8" w:rsidRPr="00FC75D1" w:rsidRDefault="003128E8" w:rsidP="003128E8">
            <w:pPr>
              <w:pStyle w:val="14-12"/>
              <w:jc w:val="right"/>
              <w:rPr>
                <w:spacing w:val="0"/>
              </w:rPr>
            </w:pPr>
            <w:r w:rsidRPr="00FC75D1">
              <w:t>74.35</w:t>
            </w:r>
          </w:p>
        </w:tc>
        <w:tc>
          <w:tcPr>
            <w:tcW w:w="1209" w:type="dxa"/>
            <w:tcBorders>
              <w:top w:val="single" w:sz="4" w:space="0" w:color="auto"/>
              <w:left w:val="single" w:sz="4" w:space="0" w:color="auto"/>
              <w:bottom w:val="single" w:sz="4" w:space="0" w:color="auto"/>
            </w:tcBorders>
            <w:shd w:val="clear" w:color="000000" w:fill="FFFFFF"/>
            <w:vAlign w:val="center"/>
          </w:tcPr>
          <w:p w:rsidR="003128E8" w:rsidRPr="00FC75D1" w:rsidRDefault="003128E8" w:rsidP="003128E8">
            <w:pPr>
              <w:pStyle w:val="14-12"/>
              <w:jc w:val="right"/>
              <w:rPr>
                <w:spacing w:val="0"/>
              </w:rPr>
            </w:pPr>
            <w:r w:rsidRPr="00FC75D1">
              <w:rPr>
                <w:spacing w:val="0"/>
              </w:rPr>
              <w:t>407,841</w:t>
            </w:r>
          </w:p>
        </w:tc>
        <w:tc>
          <w:tcPr>
            <w:tcW w:w="1210" w:type="dxa"/>
            <w:tcBorders>
              <w:top w:val="single" w:sz="4" w:space="0" w:color="auto"/>
              <w:left w:val="single" w:sz="4" w:space="0" w:color="auto"/>
              <w:bottom w:val="single" w:sz="4" w:space="0" w:color="auto"/>
            </w:tcBorders>
            <w:shd w:val="clear" w:color="000000" w:fill="FFFFFF"/>
            <w:vAlign w:val="center"/>
          </w:tcPr>
          <w:p w:rsidR="003128E8" w:rsidRPr="00FC75D1" w:rsidRDefault="003128E8" w:rsidP="003128E8">
            <w:pPr>
              <w:pStyle w:val="14-12"/>
              <w:jc w:val="right"/>
              <w:rPr>
                <w:spacing w:val="0"/>
              </w:rPr>
            </w:pPr>
            <w:r w:rsidRPr="00FC75D1">
              <w:rPr>
                <w:spacing w:val="0"/>
              </w:rPr>
              <w:t>415,412</w:t>
            </w:r>
          </w:p>
        </w:tc>
      </w:tr>
      <w:tr w:rsidR="003128E8" w:rsidRPr="00FC75D1" w:rsidTr="000409BD">
        <w:trPr>
          <w:trHeight w:val="164"/>
        </w:trPr>
        <w:tc>
          <w:tcPr>
            <w:tcW w:w="1276" w:type="dxa"/>
            <w:tcBorders>
              <w:top w:val="single" w:sz="4" w:space="0" w:color="auto"/>
              <w:bottom w:val="single" w:sz="4" w:space="0" w:color="auto"/>
              <w:right w:val="single" w:sz="4" w:space="0" w:color="auto"/>
            </w:tcBorders>
            <w:shd w:val="clear" w:color="000000" w:fill="FFFFFF"/>
            <w:vAlign w:val="center"/>
          </w:tcPr>
          <w:p w:rsidR="003128E8" w:rsidRPr="00FC75D1" w:rsidRDefault="003128E8" w:rsidP="004850E0">
            <w:pPr>
              <w:pStyle w:val="14-12"/>
              <w:rPr>
                <w:rFonts w:hint="eastAsia"/>
              </w:rPr>
            </w:pPr>
            <w:r w:rsidRPr="00FC75D1">
              <w:t>費用</w:t>
            </w:r>
            <w:r w:rsidR="003501ED">
              <w:rPr>
                <w:rFonts w:hint="eastAsia"/>
              </w:rPr>
              <w:t>(B</w:t>
            </w:r>
            <w:r w:rsidR="003501ED">
              <w:t>)</w:t>
            </w:r>
          </w:p>
        </w:tc>
        <w:tc>
          <w:tcPr>
            <w:tcW w:w="1209" w:type="dxa"/>
            <w:tcBorders>
              <w:top w:val="single" w:sz="4" w:space="0" w:color="auto"/>
              <w:left w:val="single" w:sz="4" w:space="0" w:color="auto"/>
              <w:bottom w:val="single" w:sz="4" w:space="0" w:color="auto"/>
            </w:tcBorders>
            <w:shd w:val="clear" w:color="000000" w:fill="FFFFFF"/>
            <w:vAlign w:val="center"/>
          </w:tcPr>
          <w:p w:rsidR="003128E8" w:rsidRPr="00FC75D1" w:rsidRDefault="003128E8" w:rsidP="003128E8">
            <w:pPr>
              <w:pStyle w:val="14-12"/>
              <w:jc w:val="right"/>
              <w:rPr>
                <w:spacing w:val="0"/>
              </w:rPr>
            </w:pPr>
            <w:r w:rsidRPr="00FC75D1">
              <w:rPr>
                <w:spacing w:val="0"/>
              </w:rPr>
              <w:t>188,177</w:t>
            </w:r>
          </w:p>
        </w:tc>
        <w:tc>
          <w:tcPr>
            <w:tcW w:w="1209" w:type="dxa"/>
            <w:tcBorders>
              <w:top w:val="single" w:sz="4" w:space="0" w:color="auto"/>
              <w:left w:val="single" w:sz="4" w:space="0" w:color="auto"/>
              <w:bottom w:val="single" w:sz="4" w:space="0" w:color="auto"/>
              <w:right w:val="single" w:sz="4" w:space="0" w:color="auto"/>
            </w:tcBorders>
            <w:shd w:val="clear" w:color="000000" w:fill="FFFFFF"/>
            <w:vAlign w:val="center"/>
          </w:tcPr>
          <w:p w:rsidR="003128E8" w:rsidRPr="00FC75D1" w:rsidRDefault="003128E8" w:rsidP="003128E8">
            <w:pPr>
              <w:pStyle w:val="14-12"/>
              <w:jc w:val="right"/>
              <w:rPr>
                <w:spacing w:val="0"/>
              </w:rPr>
            </w:pPr>
            <w:r w:rsidRPr="00FC75D1">
              <w:rPr>
                <w:spacing w:val="0"/>
              </w:rPr>
              <w:t>145,696</w:t>
            </w:r>
          </w:p>
        </w:tc>
        <w:tc>
          <w:tcPr>
            <w:tcW w:w="1210" w:type="dxa"/>
            <w:tcBorders>
              <w:top w:val="single" w:sz="4" w:space="0" w:color="auto"/>
              <w:left w:val="single" w:sz="4" w:space="0" w:color="auto"/>
              <w:bottom w:val="single" w:sz="4" w:space="0" w:color="auto"/>
              <w:right w:val="single" w:sz="4" w:space="0" w:color="auto"/>
            </w:tcBorders>
            <w:shd w:val="clear" w:color="000000" w:fill="FFFFFF"/>
          </w:tcPr>
          <w:p w:rsidR="003128E8" w:rsidRPr="00FC75D1" w:rsidRDefault="003128E8" w:rsidP="003128E8">
            <w:pPr>
              <w:pStyle w:val="14-12"/>
              <w:jc w:val="right"/>
              <w:rPr>
                <w:spacing w:val="0"/>
              </w:rPr>
            </w:pPr>
            <w:r w:rsidRPr="00FC75D1">
              <w:t>-42,481</w:t>
            </w:r>
          </w:p>
        </w:tc>
        <w:tc>
          <w:tcPr>
            <w:tcW w:w="1209" w:type="dxa"/>
            <w:tcBorders>
              <w:top w:val="single" w:sz="4" w:space="0" w:color="auto"/>
              <w:left w:val="single" w:sz="4" w:space="0" w:color="auto"/>
              <w:bottom w:val="single" w:sz="4" w:space="0" w:color="auto"/>
              <w:right w:val="single" w:sz="4" w:space="0" w:color="auto"/>
            </w:tcBorders>
            <w:shd w:val="clear" w:color="000000" w:fill="FFFFFF"/>
          </w:tcPr>
          <w:p w:rsidR="003128E8" w:rsidRPr="00FC75D1" w:rsidRDefault="003128E8" w:rsidP="003128E8">
            <w:pPr>
              <w:pStyle w:val="14-12"/>
              <w:jc w:val="right"/>
              <w:rPr>
                <w:spacing w:val="0"/>
              </w:rPr>
            </w:pPr>
            <w:r w:rsidRPr="00FC75D1">
              <w:t>77.42</w:t>
            </w:r>
          </w:p>
        </w:tc>
        <w:tc>
          <w:tcPr>
            <w:tcW w:w="1209" w:type="dxa"/>
            <w:tcBorders>
              <w:top w:val="single" w:sz="4" w:space="0" w:color="auto"/>
              <w:left w:val="single" w:sz="4" w:space="0" w:color="auto"/>
              <w:bottom w:val="single" w:sz="4" w:space="0" w:color="auto"/>
            </w:tcBorders>
            <w:shd w:val="clear" w:color="000000" w:fill="FFFFFF"/>
            <w:vAlign w:val="center"/>
          </w:tcPr>
          <w:p w:rsidR="003128E8" w:rsidRPr="00FC75D1" w:rsidRDefault="003128E8" w:rsidP="003128E8">
            <w:pPr>
              <w:pStyle w:val="14-12"/>
              <w:jc w:val="right"/>
              <w:rPr>
                <w:spacing w:val="0"/>
              </w:rPr>
            </w:pPr>
            <w:r w:rsidRPr="00FC75D1">
              <w:rPr>
                <w:spacing w:val="0"/>
              </w:rPr>
              <w:t>168,757</w:t>
            </w:r>
          </w:p>
        </w:tc>
        <w:tc>
          <w:tcPr>
            <w:tcW w:w="1210" w:type="dxa"/>
            <w:tcBorders>
              <w:top w:val="single" w:sz="4" w:space="0" w:color="auto"/>
              <w:left w:val="single" w:sz="4" w:space="0" w:color="auto"/>
              <w:bottom w:val="single" w:sz="4" w:space="0" w:color="auto"/>
            </w:tcBorders>
            <w:shd w:val="clear" w:color="000000" w:fill="FFFFFF"/>
            <w:vAlign w:val="center"/>
          </w:tcPr>
          <w:p w:rsidR="003128E8" w:rsidRPr="00FC75D1" w:rsidRDefault="003128E8" w:rsidP="003128E8">
            <w:pPr>
              <w:pStyle w:val="14-12"/>
              <w:jc w:val="right"/>
              <w:rPr>
                <w:spacing w:val="0"/>
              </w:rPr>
            </w:pPr>
            <w:r w:rsidRPr="00FC75D1">
              <w:rPr>
                <w:spacing w:val="0"/>
              </w:rPr>
              <w:t>165,341</w:t>
            </w:r>
          </w:p>
        </w:tc>
      </w:tr>
      <w:tr w:rsidR="003128E8" w:rsidRPr="00FC75D1" w:rsidTr="000409BD">
        <w:trPr>
          <w:trHeight w:val="45"/>
        </w:trPr>
        <w:tc>
          <w:tcPr>
            <w:tcW w:w="1276" w:type="dxa"/>
            <w:tcBorders>
              <w:top w:val="single" w:sz="4" w:space="0" w:color="auto"/>
              <w:bottom w:val="single" w:sz="4" w:space="0" w:color="auto"/>
              <w:right w:val="single" w:sz="4" w:space="0" w:color="auto"/>
            </w:tcBorders>
            <w:shd w:val="clear" w:color="000000" w:fill="FFFFFF"/>
            <w:vAlign w:val="center"/>
          </w:tcPr>
          <w:p w:rsidR="003128E8" w:rsidRPr="00FC75D1" w:rsidRDefault="003128E8" w:rsidP="004850E0">
            <w:pPr>
              <w:pStyle w:val="14-12"/>
            </w:pPr>
            <w:r w:rsidRPr="00FC75D1">
              <w:t>收益</w:t>
            </w:r>
            <w:r w:rsidR="003501ED">
              <w:rPr>
                <w:rFonts w:hint="eastAsia"/>
              </w:rPr>
              <w:t>(</w:t>
            </w:r>
            <w:r w:rsidR="003501ED">
              <w:t>C=A-B)</w:t>
            </w:r>
          </w:p>
        </w:tc>
        <w:tc>
          <w:tcPr>
            <w:tcW w:w="1209" w:type="dxa"/>
            <w:tcBorders>
              <w:top w:val="single" w:sz="4" w:space="0" w:color="auto"/>
              <w:left w:val="single" w:sz="4" w:space="0" w:color="auto"/>
              <w:bottom w:val="single" w:sz="4" w:space="0" w:color="auto"/>
            </w:tcBorders>
            <w:shd w:val="clear" w:color="000000" w:fill="FFFFFF"/>
            <w:vAlign w:val="center"/>
          </w:tcPr>
          <w:p w:rsidR="003128E8" w:rsidRPr="00FC75D1" w:rsidRDefault="003128E8" w:rsidP="003128E8">
            <w:pPr>
              <w:pStyle w:val="14-12"/>
              <w:jc w:val="right"/>
              <w:rPr>
                <w:spacing w:val="0"/>
              </w:rPr>
            </w:pPr>
            <w:r w:rsidRPr="00FC75D1">
              <w:rPr>
                <w:spacing w:val="0"/>
              </w:rPr>
              <w:t>307,164</w:t>
            </w:r>
          </w:p>
        </w:tc>
        <w:tc>
          <w:tcPr>
            <w:tcW w:w="1209" w:type="dxa"/>
            <w:tcBorders>
              <w:top w:val="single" w:sz="4" w:space="0" w:color="auto"/>
              <w:left w:val="single" w:sz="4" w:space="0" w:color="auto"/>
              <w:bottom w:val="single" w:sz="4" w:space="0" w:color="auto"/>
              <w:right w:val="single" w:sz="4" w:space="0" w:color="auto"/>
            </w:tcBorders>
            <w:shd w:val="clear" w:color="000000" w:fill="FFFFFF"/>
            <w:vAlign w:val="center"/>
          </w:tcPr>
          <w:p w:rsidR="003128E8" w:rsidRPr="00FC75D1" w:rsidRDefault="003128E8" w:rsidP="003128E8">
            <w:pPr>
              <w:pStyle w:val="14-12"/>
              <w:jc w:val="right"/>
              <w:rPr>
                <w:spacing w:val="0"/>
              </w:rPr>
            </w:pPr>
            <w:r w:rsidRPr="00FC75D1">
              <w:rPr>
                <w:spacing w:val="0"/>
              </w:rPr>
              <w:t>222,571</w:t>
            </w:r>
          </w:p>
        </w:tc>
        <w:tc>
          <w:tcPr>
            <w:tcW w:w="1210" w:type="dxa"/>
            <w:tcBorders>
              <w:top w:val="single" w:sz="4" w:space="0" w:color="auto"/>
              <w:left w:val="single" w:sz="4" w:space="0" w:color="auto"/>
              <w:bottom w:val="single" w:sz="4" w:space="0" w:color="auto"/>
              <w:right w:val="single" w:sz="4" w:space="0" w:color="auto"/>
            </w:tcBorders>
            <w:shd w:val="clear" w:color="000000" w:fill="FFFFFF"/>
          </w:tcPr>
          <w:p w:rsidR="003128E8" w:rsidRPr="00FC75D1" w:rsidRDefault="003128E8" w:rsidP="003128E8">
            <w:pPr>
              <w:pStyle w:val="14-12"/>
              <w:jc w:val="right"/>
              <w:rPr>
                <w:spacing w:val="0"/>
              </w:rPr>
            </w:pPr>
            <w:r w:rsidRPr="00FC75D1">
              <w:t>-84,593</w:t>
            </w:r>
          </w:p>
        </w:tc>
        <w:tc>
          <w:tcPr>
            <w:tcW w:w="1209" w:type="dxa"/>
            <w:tcBorders>
              <w:top w:val="single" w:sz="4" w:space="0" w:color="auto"/>
              <w:left w:val="single" w:sz="4" w:space="0" w:color="auto"/>
              <w:bottom w:val="single" w:sz="4" w:space="0" w:color="auto"/>
              <w:right w:val="single" w:sz="4" w:space="0" w:color="auto"/>
            </w:tcBorders>
            <w:shd w:val="clear" w:color="000000" w:fill="FFFFFF"/>
          </w:tcPr>
          <w:p w:rsidR="003128E8" w:rsidRPr="00FC75D1" w:rsidRDefault="003128E8" w:rsidP="003128E8">
            <w:pPr>
              <w:pStyle w:val="14-12"/>
              <w:jc w:val="right"/>
              <w:rPr>
                <w:spacing w:val="0"/>
              </w:rPr>
            </w:pPr>
            <w:r w:rsidRPr="00FC75D1">
              <w:t>72.46</w:t>
            </w:r>
          </w:p>
        </w:tc>
        <w:tc>
          <w:tcPr>
            <w:tcW w:w="1209" w:type="dxa"/>
            <w:tcBorders>
              <w:top w:val="single" w:sz="4" w:space="0" w:color="auto"/>
              <w:left w:val="single" w:sz="4" w:space="0" w:color="auto"/>
              <w:bottom w:val="single" w:sz="4" w:space="0" w:color="auto"/>
            </w:tcBorders>
            <w:shd w:val="clear" w:color="000000" w:fill="FFFFFF"/>
            <w:vAlign w:val="center"/>
          </w:tcPr>
          <w:p w:rsidR="003128E8" w:rsidRPr="00FC75D1" w:rsidRDefault="003128E8" w:rsidP="003128E8">
            <w:pPr>
              <w:pStyle w:val="14-12"/>
              <w:jc w:val="right"/>
              <w:rPr>
                <w:spacing w:val="0"/>
              </w:rPr>
            </w:pPr>
            <w:r w:rsidRPr="00FC75D1">
              <w:rPr>
                <w:spacing w:val="0"/>
              </w:rPr>
              <w:t>239,084</w:t>
            </w:r>
          </w:p>
        </w:tc>
        <w:tc>
          <w:tcPr>
            <w:tcW w:w="1210" w:type="dxa"/>
            <w:tcBorders>
              <w:top w:val="single" w:sz="4" w:space="0" w:color="auto"/>
              <w:left w:val="single" w:sz="4" w:space="0" w:color="auto"/>
              <w:bottom w:val="single" w:sz="4" w:space="0" w:color="auto"/>
            </w:tcBorders>
            <w:shd w:val="clear" w:color="000000" w:fill="FFFFFF"/>
            <w:vAlign w:val="center"/>
          </w:tcPr>
          <w:p w:rsidR="003128E8" w:rsidRPr="00FC75D1" w:rsidRDefault="003128E8" w:rsidP="003128E8">
            <w:pPr>
              <w:pStyle w:val="14-12"/>
              <w:jc w:val="right"/>
              <w:rPr>
                <w:spacing w:val="0"/>
              </w:rPr>
            </w:pPr>
            <w:r w:rsidRPr="00FC75D1">
              <w:rPr>
                <w:spacing w:val="0"/>
              </w:rPr>
              <w:t>250,071</w:t>
            </w:r>
          </w:p>
        </w:tc>
      </w:tr>
      <w:tr w:rsidR="00FC75D1" w:rsidRPr="00FC75D1" w:rsidTr="000409BD">
        <w:trPr>
          <w:trHeight w:val="45"/>
        </w:trPr>
        <w:tc>
          <w:tcPr>
            <w:tcW w:w="1276" w:type="dxa"/>
            <w:tcBorders>
              <w:top w:val="single" w:sz="4" w:space="0" w:color="auto"/>
              <w:bottom w:val="single" w:sz="12" w:space="0" w:color="auto"/>
              <w:right w:val="single" w:sz="4" w:space="0" w:color="auto"/>
            </w:tcBorders>
            <w:shd w:val="clear" w:color="000000" w:fill="FFFFFF"/>
            <w:vAlign w:val="center"/>
          </w:tcPr>
          <w:p w:rsidR="003128E8" w:rsidRPr="00FC75D1" w:rsidRDefault="003128E8" w:rsidP="004850E0">
            <w:pPr>
              <w:pStyle w:val="14-12"/>
            </w:pPr>
            <w:r w:rsidRPr="00FC75D1">
              <w:t>收益率</w:t>
            </w:r>
          </w:p>
        </w:tc>
        <w:tc>
          <w:tcPr>
            <w:tcW w:w="1209" w:type="dxa"/>
            <w:tcBorders>
              <w:top w:val="single" w:sz="4" w:space="0" w:color="auto"/>
              <w:left w:val="single" w:sz="4" w:space="0" w:color="auto"/>
              <w:bottom w:val="single" w:sz="12" w:space="0" w:color="auto"/>
            </w:tcBorders>
            <w:shd w:val="clear" w:color="000000" w:fill="FFFFFF"/>
          </w:tcPr>
          <w:p w:rsidR="003128E8" w:rsidRPr="00FC75D1" w:rsidRDefault="003128E8" w:rsidP="003128E8">
            <w:pPr>
              <w:pStyle w:val="14-12"/>
              <w:jc w:val="right"/>
              <w:rPr>
                <w:spacing w:val="0"/>
              </w:rPr>
            </w:pPr>
            <w:r w:rsidRPr="00FC75D1">
              <w:rPr>
                <w:spacing w:val="0"/>
              </w:rPr>
              <w:t>2.40</w:t>
            </w:r>
          </w:p>
        </w:tc>
        <w:tc>
          <w:tcPr>
            <w:tcW w:w="1209" w:type="dxa"/>
            <w:tcBorders>
              <w:top w:val="single" w:sz="4" w:space="0" w:color="auto"/>
              <w:left w:val="single" w:sz="4" w:space="0" w:color="auto"/>
              <w:bottom w:val="single" w:sz="12" w:space="0" w:color="auto"/>
              <w:right w:val="single" w:sz="4" w:space="0" w:color="auto"/>
            </w:tcBorders>
            <w:shd w:val="clear" w:color="000000" w:fill="FFFFFF"/>
          </w:tcPr>
          <w:p w:rsidR="003128E8" w:rsidRPr="00FC75D1" w:rsidRDefault="003128E8" w:rsidP="003128E8">
            <w:pPr>
              <w:pStyle w:val="14-12"/>
              <w:jc w:val="right"/>
              <w:rPr>
                <w:spacing w:val="0"/>
              </w:rPr>
            </w:pPr>
            <w:r w:rsidRPr="00FC75D1">
              <w:rPr>
                <w:spacing w:val="0"/>
              </w:rPr>
              <w:t>2.28</w:t>
            </w:r>
          </w:p>
        </w:tc>
        <w:tc>
          <w:tcPr>
            <w:tcW w:w="1210" w:type="dxa"/>
            <w:tcBorders>
              <w:top w:val="single" w:sz="4" w:space="0" w:color="auto"/>
              <w:left w:val="single" w:sz="4" w:space="0" w:color="auto"/>
              <w:bottom w:val="single" w:sz="12" w:space="0" w:color="auto"/>
              <w:right w:val="single" w:sz="4" w:space="0" w:color="auto"/>
            </w:tcBorders>
            <w:shd w:val="clear" w:color="000000" w:fill="FFFFFF"/>
          </w:tcPr>
          <w:p w:rsidR="003128E8" w:rsidRPr="00FC75D1" w:rsidRDefault="008A435A" w:rsidP="003128E8">
            <w:pPr>
              <w:pStyle w:val="14-12"/>
              <w:jc w:val="right"/>
              <w:rPr>
                <w:spacing w:val="0"/>
              </w:rPr>
            </w:pPr>
            <w:r>
              <w:rPr>
                <w:rFonts w:hint="eastAsia"/>
              </w:rPr>
              <w:t>-</w:t>
            </w:r>
            <w:r w:rsidR="003128E8" w:rsidRPr="00FC75D1">
              <w:t>0</w:t>
            </w:r>
            <w:r w:rsidR="003128E8" w:rsidRPr="00FC75D1">
              <w:rPr>
                <w:rFonts w:hint="eastAsia"/>
              </w:rPr>
              <w:t>.12</w:t>
            </w:r>
          </w:p>
        </w:tc>
        <w:tc>
          <w:tcPr>
            <w:tcW w:w="1209" w:type="dxa"/>
            <w:tcBorders>
              <w:top w:val="single" w:sz="4" w:space="0" w:color="auto"/>
              <w:left w:val="single" w:sz="4" w:space="0" w:color="auto"/>
              <w:bottom w:val="single" w:sz="12" w:space="0" w:color="auto"/>
              <w:right w:val="single" w:sz="4" w:space="0" w:color="auto"/>
            </w:tcBorders>
            <w:shd w:val="clear" w:color="000000" w:fill="FFFFFF"/>
          </w:tcPr>
          <w:p w:rsidR="003128E8" w:rsidRPr="00FC75D1" w:rsidRDefault="003128E8" w:rsidP="003128E8">
            <w:pPr>
              <w:pStyle w:val="14-12"/>
              <w:jc w:val="right"/>
              <w:rPr>
                <w:spacing w:val="0"/>
              </w:rPr>
            </w:pPr>
            <w:r w:rsidRPr="00FC75D1">
              <w:t>95.00</w:t>
            </w:r>
          </w:p>
        </w:tc>
        <w:tc>
          <w:tcPr>
            <w:tcW w:w="1209" w:type="dxa"/>
            <w:tcBorders>
              <w:top w:val="single" w:sz="4" w:space="0" w:color="auto"/>
              <w:left w:val="single" w:sz="4" w:space="0" w:color="auto"/>
              <w:bottom w:val="single" w:sz="12" w:space="0" w:color="auto"/>
            </w:tcBorders>
            <w:shd w:val="clear" w:color="000000" w:fill="FFFFFF"/>
            <w:vAlign w:val="center"/>
          </w:tcPr>
          <w:p w:rsidR="003128E8" w:rsidRPr="00FC75D1" w:rsidRDefault="003128E8" w:rsidP="003128E8">
            <w:pPr>
              <w:pStyle w:val="14-12"/>
              <w:jc w:val="right"/>
              <w:rPr>
                <w:spacing w:val="0"/>
              </w:rPr>
            </w:pPr>
            <w:r w:rsidRPr="00FC75D1">
              <w:rPr>
                <w:spacing w:val="0"/>
              </w:rPr>
              <w:t>1.99</w:t>
            </w:r>
          </w:p>
        </w:tc>
        <w:tc>
          <w:tcPr>
            <w:tcW w:w="1210" w:type="dxa"/>
            <w:tcBorders>
              <w:top w:val="single" w:sz="4" w:space="0" w:color="auto"/>
              <w:left w:val="single" w:sz="4" w:space="0" w:color="auto"/>
              <w:bottom w:val="single" w:sz="12" w:space="0" w:color="auto"/>
            </w:tcBorders>
            <w:shd w:val="clear" w:color="000000" w:fill="FFFFFF"/>
            <w:vAlign w:val="center"/>
          </w:tcPr>
          <w:p w:rsidR="003128E8" w:rsidRPr="00FC75D1" w:rsidRDefault="003128E8" w:rsidP="003128E8">
            <w:pPr>
              <w:pStyle w:val="14-12"/>
              <w:jc w:val="right"/>
              <w:rPr>
                <w:spacing w:val="0"/>
              </w:rPr>
            </w:pPr>
            <w:r w:rsidRPr="00FC75D1">
              <w:rPr>
                <w:spacing w:val="0"/>
              </w:rPr>
              <w:t>2.09</w:t>
            </w:r>
          </w:p>
        </w:tc>
      </w:tr>
    </w:tbl>
    <w:p w:rsidR="00C06411" w:rsidRPr="00FC75D1" w:rsidRDefault="00C06411" w:rsidP="00C06411">
      <w:pPr>
        <w:pStyle w:val="14-12"/>
        <w:ind w:leftChars="-1" w:left="1274" w:hangingChars="525" w:hanging="1277"/>
        <w:rPr>
          <w:rFonts w:hint="eastAsia"/>
          <w:spacing w:val="0"/>
        </w:rPr>
      </w:pPr>
      <w:r w:rsidRPr="00FC75D1">
        <w:rPr>
          <w:rFonts w:hint="eastAsia"/>
          <w:spacing w:val="0"/>
        </w:rPr>
        <w:t>說</w:t>
      </w:r>
      <w:r w:rsidRPr="00FC75D1">
        <w:rPr>
          <w:spacing w:val="0"/>
        </w:rPr>
        <w:t xml:space="preserve">    </w:t>
      </w:r>
      <w:r w:rsidRPr="00FC75D1">
        <w:rPr>
          <w:rFonts w:hint="eastAsia"/>
          <w:spacing w:val="0"/>
        </w:rPr>
        <w:t>明：</w:t>
      </w:r>
      <w:r w:rsidR="0071615B" w:rsidRPr="0071615B">
        <w:rPr>
          <w:rFonts w:hint="eastAsia"/>
          <w:spacing w:val="0"/>
        </w:rPr>
        <w:t>收益率= 2*投資收益/(期初投資性不動產淨額+期末投資性不動產淨額-投資收益)</w:t>
      </w:r>
      <w:r w:rsidRPr="00FC75D1">
        <w:rPr>
          <w:rFonts w:hint="eastAsia"/>
          <w:spacing w:val="0"/>
        </w:rPr>
        <w:t>。</w:t>
      </w:r>
    </w:p>
    <w:p w:rsidR="00C06411" w:rsidRDefault="00C06411" w:rsidP="00C06411">
      <w:pPr>
        <w:pStyle w:val="14-12"/>
        <w:ind w:leftChars="-1" w:left="-3" w:firstLineChars="1" w:firstLine="2"/>
        <w:rPr>
          <w:spacing w:val="0"/>
        </w:rPr>
      </w:pPr>
      <w:r w:rsidRPr="00FC75D1">
        <w:rPr>
          <w:rFonts w:hint="eastAsia"/>
          <w:spacing w:val="0"/>
        </w:rPr>
        <w:t>資料來源：臺銀人壽提供。</w:t>
      </w:r>
    </w:p>
    <w:p w:rsidR="00F34167" w:rsidRDefault="00F34167" w:rsidP="00C06411">
      <w:pPr>
        <w:pStyle w:val="14-12"/>
        <w:ind w:leftChars="-1" w:left="-3" w:firstLineChars="1" w:firstLine="2"/>
        <w:rPr>
          <w:spacing w:val="0"/>
        </w:rPr>
      </w:pPr>
    </w:p>
    <w:p w:rsidR="00093051" w:rsidRPr="000F69B2" w:rsidRDefault="00093051" w:rsidP="00FF7FEA">
      <w:pPr>
        <w:pStyle w:val="14"/>
        <w:tabs>
          <w:tab w:val="left" w:pos="3828"/>
        </w:tabs>
        <w:spacing w:beforeLines="20" w:before="100"/>
        <w:ind w:left="567" w:hanging="567"/>
      </w:pPr>
      <w:bookmarkStart w:id="18" w:name="_Toc182575060"/>
      <w:r>
        <w:rPr>
          <w:rFonts w:hint="eastAsia"/>
        </w:rPr>
        <w:t>五</w:t>
      </w:r>
      <w:r w:rsidRPr="000F69B2">
        <w:rPr>
          <w:rFonts w:hint="eastAsia"/>
        </w:rPr>
        <w:t>、</w:t>
      </w:r>
      <w:r w:rsidR="00D03A61">
        <w:rPr>
          <w:rFonts w:hint="eastAsia"/>
        </w:rPr>
        <w:t>自</w:t>
      </w:r>
      <w:r w:rsidR="00FF7FEA">
        <w:rPr>
          <w:rFonts w:hint="eastAsia"/>
        </w:rPr>
        <w:t>112年度</w:t>
      </w:r>
      <w:r w:rsidR="00D03A61">
        <w:rPr>
          <w:rFonts w:hint="eastAsia"/>
        </w:rPr>
        <w:t>至</w:t>
      </w:r>
      <w:r w:rsidR="00FF7FEA">
        <w:rPr>
          <w:rFonts w:hint="eastAsia"/>
        </w:rPr>
        <w:t>113年</w:t>
      </w:r>
      <w:r w:rsidR="00D03A61">
        <w:rPr>
          <w:rFonts w:hint="eastAsia"/>
        </w:rPr>
        <w:t>9月底止，</w:t>
      </w:r>
      <w:r w:rsidRPr="000F69B2">
        <w:rPr>
          <w:rFonts w:hint="eastAsia"/>
        </w:rPr>
        <w:t>發生作業風</w:t>
      </w:r>
      <w:r w:rsidR="001360B6">
        <w:rPr>
          <w:rFonts w:hint="eastAsia"/>
        </w:rPr>
        <w:t>險事件</w:t>
      </w:r>
      <w:r w:rsidR="00D03A61">
        <w:rPr>
          <w:rFonts w:hint="eastAsia"/>
        </w:rPr>
        <w:t>已有</w:t>
      </w:r>
      <w:r w:rsidR="00085240">
        <w:rPr>
          <w:rFonts w:hint="eastAsia"/>
        </w:rPr>
        <w:t>改善</w:t>
      </w:r>
      <w:r w:rsidR="004C537C">
        <w:rPr>
          <w:rFonts w:hint="eastAsia"/>
        </w:rPr>
        <w:t>，</w:t>
      </w:r>
      <w:r w:rsidRPr="000F69B2">
        <w:rPr>
          <w:rFonts w:hint="eastAsia"/>
        </w:rPr>
        <w:t>允宜持續精進</w:t>
      </w:r>
      <w:r w:rsidR="00DC6CA9">
        <w:rPr>
          <w:rFonts w:hint="eastAsia"/>
        </w:rPr>
        <w:t>並落實執行</w:t>
      </w:r>
      <w:r w:rsidR="00FF7FEA" w:rsidRPr="00FF7FEA">
        <w:rPr>
          <w:rFonts w:hint="eastAsia"/>
        </w:rPr>
        <w:t>風險管理機制</w:t>
      </w:r>
      <w:r w:rsidRPr="000F69B2">
        <w:rPr>
          <w:rFonts w:hint="eastAsia"/>
        </w:rPr>
        <w:t>，俾利</w:t>
      </w:r>
      <w:r w:rsidR="00085240">
        <w:rPr>
          <w:rFonts w:hint="eastAsia"/>
        </w:rPr>
        <w:t>公司穩健營</w:t>
      </w:r>
      <w:r w:rsidR="00DC6CA9">
        <w:rPr>
          <w:rFonts w:hint="eastAsia"/>
        </w:rPr>
        <w:t>運</w:t>
      </w:r>
      <w:bookmarkEnd w:id="18"/>
    </w:p>
    <w:p w:rsidR="00093051" w:rsidRPr="00215A80" w:rsidRDefault="00093051" w:rsidP="00093051">
      <w:pPr>
        <w:ind w:left="566" w:firstLine="566"/>
      </w:pPr>
      <w:r w:rsidRPr="00215A80">
        <w:rPr>
          <w:rFonts w:hint="eastAsia"/>
        </w:rPr>
        <w:t>臺銀人壽11</w:t>
      </w:r>
      <w:r>
        <w:rPr>
          <w:rFonts w:hint="eastAsia"/>
        </w:rPr>
        <w:t>4</w:t>
      </w:r>
      <w:r w:rsidRPr="00215A80">
        <w:rPr>
          <w:rFonts w:hint="eastAsia"/>
        </w:rPr>
        <w:t>年度預算案「營業費用</w:t>
      </w:r>
      <w:r>
        <w:rPr>
          <w:rFonts w:hint="eastAsia"/>
        </w:rPr>
        <w:t>-</w:t>
      </w:r>
      <w:r w:rsidRPr="00215A80">
        <w:rPr>
          <w:rFonts w:hint="eastAsia"/>
        </w:rPr>
        <w:t>業務費用」項下</w:t>
      </w:r>
      <w:r>
        <w:rPr>
          <w:rFonts w:hint="eastAsia"/>
        </w:rPr>
        <w:t>之</w:t>
      </w:r>
      <w:r w:rsidRPr="00215A80">
        <w:rPr>
          <w:rFonts w:hint="eastAsia"/>
        </w:rPr>
        <w:t>「專業服務費」編列</w:t>
      </w:r>
      <w:r w:rsidRPr="000F69B2">
        <w:rPr>
          <w:rFonts w:hint="eastAsia"/>
        </w:rPr>
        <w:t>733萬7千元，</w:t>
      </w:r>
      <w:r w:rsidR="0052073F">
        <w:rPr>
          <w:rFonts w:hint="eastAsia"/>
        </w:rPr>
        <w:t>用以</w:t>
      </w:r>
      <w:r w:rsidRPr="000F69B2">
        <w:rPr>
          <w:rFonts w:hint="eastAsia"/>
        </w:rPr>
        <w:t>辦理防制洗錢及打擊資恐諮詢服務、法遵管理系統顧問、個人資料資訊管理制度、資訊安全顧問諮詢及電腦系統資訊安全評估作業</w:t>
      </w:r>
      <w:r w:rsidR="000455B7">
        <w:rPr>
          <w:rFonts w:hint="eastAsia"/>
        </w:rPr>
        <w:t>；另於</w:t>
      </w:r>
      <w:r w:rsidRPr="000F69B2">
        <w:rPr>
          <w:rFonts w:hint="eastAsia"/>
        </w:rPr>
        <w:t>「其他營業費用-服務費用」項下之「專業服務費」編列70萬元，</w:t>
      </w:r>
      <w:r w:rsidR="0052073F">
        <w:rPr>
          <w:rFonts w:hint="eastAsia"/>
        </w:rPr>
        <w:t>係</w:t>
      </w:r>
      <w:r w:rsidR="000455B7">
        <w:rPr>
          <w:rFonts w:hint="eastAsia"/>
        </w:rPr>
        <w:t>辦理</w:t>
      </w:r>
      <w:r w:rsidRPr="000F69B2">
        <w:rPr>
          <w:rFonts w:hint="eastAsia"/>
        </w:rPr>
        <w:t>持續管理導入及驗證顧問諮詢服務</w:t>
      </w:r>
      <w:r w:rsidR="0052073F">
        <w:rPr>
          <w:rFonts w:hint="eastAsia"/>
        </w:rPr>
        <w:t>所需</w:t>
      </w:r>
      <w:r w:rsidRPr="000F69B2">
        <w:rPr>
          <w:rFonts w:hint="eastAsia"/>
        </w:rPr>
        <w:t>，合計803萬7千元，</w:t>
      </w:r>
      <w:r w:rsidR="00E066B7">
        <w:rPr>
          <w:rFonts w:hint="eastAsia"/>
        </w:rPr>
        <w:t>預計</w:t>
      </w:r>
      <w:r w:rsidRPr="000F69B2">
        <w:rPr>
          <w:rFonts w:hint="eastAsia"/>
        </w:rPr>
        <w:t>辦理</w:t>
      </w:r>
      <w:r w:rsidR="004D7138">
        <w:rPr>
          <w:rFonts w:hint="eastAsia"/>
        </w:rPr>
        <w:t>多項</w:t>
      </w:r>
      <w:r w:rsidRPr="00215A80">
        <w:rPr>
          <w:rFonts w:hint="eastAsia"/>
        </w:rPr>
        <w:t>降低作業風險措施</w:t>
      </w:r>
      <w:r>
        <w:rPr>
          <w:rFonts w:hint="eastAsia"/>
        </w:rPr>
        <w:t>。</w:t>
      </w:r>
      <w:r w:rsidRPr="00215A80">
        <w:t xml:space="preserve"> </w:t>
      </w:r>
    </w:p>
    <w:p w:rsidR="00093051" w:rsidRDefault="00093051" w:rsidP="00093051">
      <w:pPr>
        <w:ind w:left="566" w:firstLine="566"/>
      </w:pPr>
      <w:r>
        <w:rPr>
          <w:rFonts w:hint="eastAsia"/>
        </w:rPr>
        <w:t>依據金管會</w:t>
      </w:r>
      <w:r w:rsidR="00DC6CA9">
        <w:rPr>
          <w:rFonts w:hint="eastAsia"/>
        </w:rPr>
        <w:t>訂定</w:t>
      </w:r>
      <w:r>
        <w:rPr>
          <w:rFonts w:hint="eastAsia"/>
        </w:rPr>
        <w:t>「</w:t>
      </w:r>
      <w:r w:rsidRPr="00585FCD">
        <w:rPr>
          <w:rFonts w:hint="eastAsia"/>
        </w:rPr>
        <w:t>保險業風險管理實務守則</w:t>
      </w:r>
      <w:r>
        <w:rPr>
          <w:rFonts w:hint="eastAsia"/>
        </w:rPr>
        <w:t>」所規範之</w:t>
      </w:r>
      <w:r w:rsidRPr="00013974">
        <w:rPr>
          <w:rFonts w:hint="eastAsia"/>
        </w:rPr>
        <w:t>作業風險</w:t>
      </w:r>
      <w:r>
        <w:rPr>
          <w:rFonts w:hint="eastAsia"/>
        </w:rPr>
        <w:t>，</w:t>
      </w:r>
      <w:r w:rsidRPr="00013974">
        <w:rPr>
          <w:rFonts w:hint="eastAsia"/>
        </w:rPr>
        <w:t>係指因內部作業流程、人員及系統之不當或失誤，或因外部事件造成之直接或間接損失之風險</w:t>
      </w:r>
      <w:r w:rsidR="000455B7">
        <w:rPr>
          <w:rFonts w:hint="eastAsia"/>
        </w:rPr>
        <w:t>，</w:t>
      </w:r>
      <w:r w:rsidRPr="00013974">
        <w:rPr>
          <w:rFonts w:hint="eastAsia"/>
        </w:rPr>
        <w:t>其內容包括法律風險，但不包括策略風險及信譽風險</w:t>
      </w:r>
      <w:r w:rsidR="00E734F8">
        <w:rPr>
          <w:rFonts w:hint="eastAsia"/>
        </w:rPr>
        <w:t>。</w:t>
      </w:r>
      <w:r w:rsidRPr="00013974">
        <w:rPr>
          <w:rFonts w:hint="eastAsia"/>
        </w:rPr>
        <w:t>保險業對於作業風險應訂定適當之風險管理機制，其內容包含但不限於下列各項：1.作業風險控管措施。2.作業風險辨識。3.作業風險衡量。4.作業風險管理工具</w:t>
      </w:r>
      <w:r>
        <w:rPr>
          <w:rFonts w:hint="eastAsia"/>
        </w:rPr>
        <w:t>。</w:t>
      </w:r>
      <w:r w:rsidR="004850E0">
        <w:rPr>
          <w:rFonts w:hint="eastAsia"/>
        </w:rPr>
        <w:t>臺銀人壽</w:t>
      </w:r>
      <w:r w:rsidR="0077679F" w:rsidRPr="001C656A">
        <w:rPr>
          <w:rFonts w:hint="eastAsia"/>
        </w:rPr>
        <w:t>111年度</w:t>
      </w:r>
      <w:r w:rsidR="0077679F">
        <w:rPr>
          <w:rFonts w:hint="eastAsia"/>
        </w:rPr>
        <w:t>發生</w:t>
      </w:r>
      <w:r w:rsidR="0077679F" w:rsidRPr="001C656A">
        <w:rPr>
          <w:rFonts w:hint="eastAsia"/>
        </w:rPr>
        <w:t>作業風險事件共計18件，發生實際損失事件計5件，損失金額共計88萬餘元</w:t>
      </w:r>
      <w:r w:rsidR="00563575">
        <w:rPr>
          <w:rFonts w:hint="eastAsia"/>
        </w:rPr>
        <w:t>；</w:t>
      </w:r>
      <w:r w:rsidR="0077679F">
        <w:rPr>
          <w:rFonts w:hint="eastAsia"/>
        </w:rPr>
        <w:t>112年度</w:t>
      </w:r>
      <w:r w:rsidR="00DC6CA9">
        <w:rPr>
          <w:rFonts w:hint="eastAsia"/>
        </w:rPr>
        <w:t>則</w:t>
      </w:r>
      <w:r w:rsidR="0077679F">
        <w:rPr>
          <w:rFonts w:hint="eastAsia"/>
        </w:rPr>
        <w:t>發生3件</w:t>
      </w:r>
      <w:r w:rsidR="006D3F59">
        <w:rPr>
          <w:rStyle w:val="af5"/>
        </w:rPr>
        <w:footnoteReference w:id="6"/>
      </w:r>
      <w:r w:rsidR="0077679F">
        <w:rPr>
          <w:rFonts w:hint="eastAsia"/>
        </w:rPr>
        <w:t>(詳表1)，發生</w:t>
      </w:r>
      <w:r w:rsidR="004850E0">
        <w:rPr>
          <w:rFonts w:hint="eastAsia"/>
        </w:rPr>
        <w:t>實際</w:t>
      </w:r>
      <w:r w:rsidR="0077679F">
        <w:rPr>
          <w:rFonts w:hint="eastAsia"/>
        </w:rPr>
        <w:t>損失者1件，損失金額</w:t>
      </w:r>
      <w:r w:rsidR="0077679F" w:rsidRPr="0077679F">
        <w:rPr>
          <w:rFonts w:hint="eastAsia"/>
        </w:rPr>
        <w:t>2萬8,933元</w:t>
      </w:r>
      <w:r w:rsidR="0077679F">
        <w:rPr>
          <w:rFonts w:hint="eastAsia"/>
        </w:rPr>
        <w:t>；113年度截至迄9月底止共發生4件</w:t>
      </w:r>
      <w:r w:rsidR="004C537C">
        <w:rPr>
          <w:rFonts w:hint="eastAsia"/>
        </w:rPr>
        <w:t>，</w:t>
      </w:r>
      <w:r w:rsidR="004850E0">
        <w:rPr>
          <w:rFonts w:hint="eastAsia"/>
        </w:rPr>
        <w:t>發生實際</w:t>
      </w:r>
      <w:r w:rsidR="00DC6CA9">
        <w:rPr>
          <w:rFonts w:hint="eastAsia"/>
        </w:rPr>
        <w:t>損失</w:t>
      </w:r>
      <w:r w:rsidR="004850E0">
        <w:rPr>
          <w:rFonts w:hint="eastAsia"/>
        </w:rPr>
        <w:t>者</w:t>
      </w:r>
      <w:r w:rsidR="00DC6CA9">
        <w:rPr>
          <w:rFonts w:hint="eastAsia"/>
        </w:rPr>
        <w:t>1件，</w:t>
      </w:r>
      <w:r w:rsidR="004C537C">
        <w:rPr>
          <w:rFonts w:hint="eastAsia"/>
        </w:rPr>
        <w:t>損失金額37元</w:t>
      </w:r>
      <w:r w:rsidR="0077679F">
        <w:rPr>
          <w:rFonts w:hint="eastAsia"/>
        </w:rPr>
        <w:t>；</w:t>
      </w:r>
      <w:r w:rsidR="000455B7">
        <w:rPr>
          <w:rFonts w:hint="eastAsia"/>
        </w:rPr>
        <w:t>112年度</w:t>
      </w:r>
      <w:r w:rsidR="004C537C">
        <w:rPr>
          <w:rFonts w:hint="eastAsia"/>
        </w:rPr>
        <w:t>至</w:t>
      </w:r>
      <w:r w:rsidR="000455B7">
        <w:rPr>
          <w:rFonts w:hint="eastAsia"/>
        </w:rPr>
        <w:t>113年</w:t>
      </w:r>
      <w:r w:rsidR="004C537C">
        <w:rPr>
          <w:rFonts w:hint="eastAsia"/>
        </w:rPr>
        <w:t>9月底止</w:t>
      </w:r>
      <w:r w:rsidR="0077679F">
        <w:rPr>
          <w:rFonts w:hint="eastAsia"/>
        </w:rPr>
        <w:t>發生作業</w:t>
      </w:r>
      <w:r w:rsidR="00DC6CA9">
        <w:rPr>
          <w:rFonts w:hint="eastAsia"/>
        </w:rPr>
        <w:t>風險</w:t>
      </w:r>
      <w:r w:rsidR="001360B6">
        <w:rPr>
          <w:rFonts w:hint="eastAsia"/>
        </w:rPr>
        <w:t>事件</w:t>
      </w:r>
      <w:r w:rsidR="000455B7">
        <w:rPr>
          <w:rFonts w:hint="eastAsia"/>
        </w:rPr>
        <w:t>雖較</w:t>
      </w:r>
      <w:r w:rsidR="00F6446F">
        <w:rPr>
          <w:rFonts w:hint="eastAsia"/>
        </w:rPr>
        <w:t>111年度</w:t>
      </w:r>
      <w:r w:rsidR="000455B7">
        <w:rPr>
          <w:rFonts w:hint="eastAsia"/>
        </w:rPr>
        <w:t>改善，</w:t>
      </w:r>
      <w:r w:rsidR="0077679F">
        <w:rPr>
          <w:rFonts w:hint="eastAsia"/>
        </w:rPr>
        <w:t>仍</w:t>
      </w:r>
      <w:r>
        <w:rPr>
          <w:rFonts w:hint="eastAsia"/>
        </w:rPr>
        <w:t>宜</w:t>
      </w:r>
      <w:r w:rsidR="00F6446F">
        <w:rPr>
          <w:rFonts w:hint="eastAsia"/>
        </w:rPr>
        <w:t>賡續</w:t>
      </w:r>
      <w:r w:rsidR="00DC6CA9">
        <w:rPr>
          <w:rFonts w:hint="eastAsia"/>
        </w:rPr>
        <w:t>精進</w:t>
      </w:r>
      <w:r w:rsidR="00F6446F">
        <w:rPr>
          <w:rFonts w:hint="eastAsia"/>
        </w:rPr>
        <w:t>作業風險管控機制</w:t>
      </w:r>
      <w:r w:rsidRPr="001C656A">
        <w:rPr>
          <w:rFonts w:hint="eastAsia"/>
        </w:rPr>
        <w:t>。</w:t>
      </w:r>
    </w:p>
    <w:p w:rsidR="00093051" w:rsidRPr="00215A80" w:rsidRDefault="00093051" w:rsidP="00093051">
      <w:pPr>
        <w:ind w:left="566" w:firstLine="566"/>
      </w:pPr>
      <w:r w:rsidRPr="00215A80">
        <w:rPr>
          <w:rFonts w:hint="eastAsia"/>
        </w:rPr>
        <w:t>綜上，臺銀人壽</w:t>
      </w:r>
      <w:r w:rsidR="00E35CD6">
        <w:rPr>
          <w:rFonts w:hint="eastAsia"/>
        </w:rPr>
        <w:t>自</w:t>
      </w:r>
      <w:r w:rsidRPr="00215A80">
        <w:rPr>
          <w:rFonts w:hint="eastAsia"/>
        </w:rPr>
        <w:t>11</w:t>
      </w:r>
      <w:r>
        <w:rPr>
          <w:rFonts w:hint="eastAsia"/>
        </w:rPr>
        <w:t>2年度</w:t>
      </w:r>
      <w:r w:rsidR="00E35CD6">
        <w:rPr>
          <w:rFonts w:hint="eastAsia"/>
        </w:rPr>
        <w:t>至</w:t>
      </w:r>
      <w:r>
        <w:rPr>
          <w:rFonts w:hint="eastAsia"/>
        </w:rPr>
        <w:t>113年</w:t>
      </w:r>
      <w:r w:rsidR="00E35CD6">
        <w:rPr>
          <w:rFonts w:hint="eastAsia"/>
        </w:rPr>
        <w:t>9月底止，</w:t>
      </w:r>
      <w:r w:rsidR="00E35CD6" w:rsidRPr="00E35CD6">
        <w:rPr>
          <w:rFonts w:hint="eastAsia"/>
        </w:rPr>
        <w:t>因內部作業流程、人員及系統之不當或失誤，或因外部事件造成之直接或間接損失之</w:t>
      </w:r>
      <w:r w:rsidR="001360B6">
        <w:rPr>
          <w:rFonts w:hint="eastAsia"/>
        </w:rPr>
        <w:t>事</w:t>
      </w:r>
      <w:r w:rsidR="00E35CD6">
        <w:rPr>
          <w:rFonts w:hint="eastAsia"/>
        </w:rPr>
        <w:t>件</w:t>
      </w:r>
      <w:r>
        <w:rPr>
          <w:rFonts w:hint="eastAsia"/>
        </w:rPr>
        <w:t>共計7件，雖然已較111年度</w:t>
      </w:r>
      <w:r w:rsidR="00DC6CA9">
        <w:rPr>
          <w:rFonts w:hint="eastAsia"/>
        </w:rPr>
        <w:t>減少</w:t>
      </w:r>
      <w:r>
        <w:rPr>
          <w:rFonts w:hint="eastAsia"/>
        </w:rPr>
        <w:t>，</w:t>
      </w:r>
      <w:r w:rsidR="004C537C">
        <w:rPr>
          <w:rFonts w:hint="eastAsia"/>
        </w:rPr>
        <w:t>惟尚有改善空間，</w:t>
      </w:r>
      <w:r>
        <w:rPr>
          <w:rFonts w:hint="eastAsia"/>
        </w:rPr>
        <w:t>允宜</w:t>
      </w:r>
      <w:r w:rsidR="00F6446F">
        <w:rPr>
          <w:rFonts w:hint="eastAsia"/>
        </w:rPr>
        <w:t>賡續</w:t>
      </w:r>
      <w:r w:rsidR="00FF7FEA">
        <w:rPr>
          <w:rFonts w:hint="eastAsia"/>
        </w:rPr>
        <w:t>精進並落實</w:t>
      </w:r>
      <w:r w:rsidR="00DC6CA9">
        <w:rPr>
          <w:rFonts w:hint="eastAsia"/>
        </w:rPr>
        <w:t>執行</w:t>
      </w:r>
      <w:r w:rsidR="00FF7FEA" w:rsidRPr="00FF7FEA">
        <w:rPr>
          <w:rFonts w:hint="eastAsia"/>
        </w:rPr>
        <w:t>風險管理機制</w:t>
      </w:r>
      <w:r w:rsidRPr="00215A80">
        <w:rPr>
          <w:rFonts w:hint="eastAsia"/>
        </w:rPr>
        <w:t>，俾利</w:t>
      </w:r>
      <w:r w:rsidR="00DC6CA9">
        <w:rPr>
          <w:rFonts w:hint="eastAsia"/>
        </w:rPr>
        <w:t>公司穩健</w:t>
      </w:r>
      <w:r w:rsidR="00FF7FEA" w:rsidRPr="00FF7FEA">
        <w:rPr>
          <w:rFonts w:hint="eastAsia"/>
        </w:rPr>
        <w:t>營</w:t>
      </w:r>
      <w:r w:rsidR="00DC6CA9">
        <w:rPr>
          <w:rFonts w:hint="eastAsia"/>
        </w:rPr>
        <w:t>運</w:t>
      </w:r>
      <w:r w:rsidRPr="00215A80">
        <w:rPr>
          <w:rFonts w:hint="eastAsia"/>
        </w:rPr>
        <w:t>。</w:t>
      </w:r>
    </w:p>
    <w:p w:rsidR="00093051" w:rsidRDefault="00093051" w:rsidP="00093051">
      <w:pPr>
        <w:pStyle w:val="21"/>
        <w:ind w:leftChars="0" w:left="850" w:hangingChars="300" w:hanging="850"/>
        <w:rPr>
          <w:b/>
          <w:bCs/>
        </w:rPr>
      </w:pPr>
      <w:bookmarkStart w:id="19" w:name="_Hlk181107328"/>
      <w:r w:rsidRPr="00DE000E">
        <w:rPr>
          <w:rFonts w:hint="eastAsia"/>
          <w:b/>
          <w:bCs/>
        </w:rPr>
        <w:t>表</w:t>
      </w:r>
      <w:r w:rsidR="00563575" w:rsidRPr="00DE000E">
        <w:rPr>
          <w:rFonts w:hint="eastAsia"/>
          <w:b/>
          <w:bCs/>
        </w:rPr>
        <w:t>1</w:t>
      </w:r>
      <w:r w:rsidRPr="00DE000E">
        <w:rPr>
          <w:rFonts w:hint="eastAsia"/>
          <w:b/>
          <w:bCs/>
        </w:rPr>
        <w:t xml:space="preserve"> 臺銀人壽11</w:t>
      </w:r>
      <w:r w:rsidRPr="00DE000E">
        <w:rPr>
          <w:b/>
          <w:bCs/>
        </w:rPr>
        <w:t>2</w:t>
      </w:r>
      <w:r w:rsidR="004C537C" w:rsidRPr="00DE000E">
        <w:rPr>
          <w:rFonts w:hint="eastAsia"/>
          <w:b/>
          <w:bCs/>
        </w:rPr>
        <w:t>年度至</w:t>
      </w:r>
      <w:r w:rsidRPr="00DE000E">
        <w:rPr>
          <w:b/>
          <w:bCs/>
        </w:rPr>
        <w:t>113</w:t>
      </w:r>
      <w:r w:rsidRPr="00DE000E">
        <w:rPr>
          <w:rFonts w:hint="eastAsia"/>
          <w:b/>
          <w:bCs/>
        </w:rPr>
        <w:t>年度作業風險</w:t>
      </w:r>
      <w:r w:rsidR="001360B6" w:rsidRPr="00DE000E">
        <w:rPr>
          <w:rFonts w:hint="eastAsia"/>
          <w:b/>
          <w:bCs/>
        </w:rPr>
        <w:t>事</w:t>
      </w:r>
      <w:r w:rsidR="00563575" w:rsidRPr="00DE000E">
        <w:rPr>
          <w:rFonts w:hint="eastAsia"/>
          <w:b/>
          <w:bCs/>
        </w:rPr>
        <w:t>件</w:t>
      </w:r>
      <w:r w:rsidRPr="00DE000E">
        <w:rPr>
          <w:rFonts w:hint="eastAsia"/>
          <w:b/>
          <w:bCs/>
        </w:rPr>
        <w:t>明細表</w:t>
      </w:r>
    </w:p>
    <w:p w:rsidR="0052073F" w:rsidRPr="001C656A" w:rsidRDefault="0052073F" w:rsidP="009602BB">
      <w:pPr>
        <w:pStyle w:val="1420"/>
        <w:ind w:left="859" w:hanging="236"/>
        <w:jc w:val="right"/>
        <w:rPr>
          <w:rFonts w:hint="eastAsia"/>
        </w:rPr>
      </w:pPr>
      <w:r>
        <w:rPr>
          <w:rFonts w:hint="eastAsia"/>
        </w:rPr>
        <w:t>單位：新臺幣元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457"/>
        <w:gridCol w:w="536"/>
        <w:gridCol w:w="1150"/>
        <w:gridCol w:w="4350"/>
        <w:gridCol w:w="943"/>
        <w:gridCol w:w="1176"/>
      </w:tblGrid>
      <w:tr w:rsidR="004850E0" w:rsidRPr="00215A80" w:rsidTr="009602BB">
        <w:trPr>
          <w:tblHeader/>
        </w:trPr>
        <w:tc>
          <w:tcPr>
            <w:tcW w:w="457" w:type="dxa"/>
            <w:vAlign w:val="center"/>
          </w:tcPr>
          <w:p w:rsidR="004850E0" w:rsidRPr="00026A25" w:rsidRDefault="004850E0" w:rsidP="0061790A">
            <w:pPr>
              <w:pStyle w:val="142"/>
              <w:jc w:val="center"/>
              <w:rPr>
                <w:rFonts w:hint="eastAsia"/>
              </w:rPr>
            </w:pPr>
            <w:r>
              <w:rPr>
                <w:rFonts w:hint="eastAsia"/>
              </w:rPr>
              <w:t>序號</w:t>
            </w:r>
          </w:p>
        </w:tc>
        <w:tc>
          <w:tcPr>
            <w:tcW w:w="536" w:type="dxa"/>
            <w:shd w:val="clear" w:color="auto" w:fill="auto"/>
            <w:vAlign w:val="center"/>
          </w:tcPr>
          <w:p w:rsidR="004850E0" w:rsidRPr="00026A25" w:rsidRDefault="004850E0" w:rsidP="0061790A">
            <w:pPr>
              <w:pStyle w:val="142"/>
              <w:jc w:val="center"/>
            </w:pPr>
            <w:r w:rsidRPr="00026A25">
              <w:rPr>
                <w:rFonts w:hint="eastAsia"/>
              </w:rPr>
              <w:t>分類</w:t>
            </w:r>
          </w:p>
        </w:tc>
        <w:tc>
          <w:tcPr>
            <w:tcW w:w="1150" w:type="dxa"/>
            <w:vAlign w:val="center"/>
          </w:tcPr>
          <w:p w:rsidR="004850E0" w:rsidRDefault="004850E0" w:rsidP="006D3F59">
            <w:pPr>
              <w:pStyle w:val="142"/>
              <w:jc w:val="center"/>
            </w:pPr>
            <w:r w:rsidRPr="00026A25">
              <w:rPr>
                <w:rFonts w:hint="eastAsia"/>
              </w:rPr>
              <w:t>損失</w:t>
            </w:r>
          </w:p>
          <w:p w:rsidR="004850E0" w:rsidRPr="00026A25" w:rsidRDefault="004850E0" w:rsidP="006D3F59">
            <w:pPr>
              <w:pStyle w:val="142"/>
              <w:jc w:val="center"/>
            </w:pPr>
            <w:r w:rsidRPr="00026A25">
              <w:rPr>
                <w:rFonts w:hint="eastAsia"/>
              </w:rPr>
              <w:t>類型</w:t>
            </w:r>
          </w:p>
        </w:tc>
        <w:tc>
          <w:tcPr>
            <w:tcW w:w="4350" w:type="dxa"/>
            <w:shd w:val="clear" w:color="auto" w:fill="auto"/>
            <w:vAlign w:val="center"/>
          </w:tcPr>
          <w:p w:rsidR="004850E0" w:rsidRPr="00026A25" w:rsidRDefault="004850E0" w:rsidP="0061790A">
            <w:pPr>
              <w:pStyle w:val="142"/>
              <w:jc w:val="center"/>
            </w:pPr>
            <w:r w:rsidRPr="00026A25">
              <w:rPr>
                <w:rFonts w:hint="eastAsia"/>
              </w:rPr>
              <w:t>事件摘要</w:t>
            </w:r>
          </w:p>
        </w:tc>
        <w:tc>
          <w:tcPr>
            <w:tcW w:w="943" w:type="dxa"/>
            <w:shd w:val="clear" w:color="auto" w:fill="auto"/>
            <w:vAlign w:val="center"/>
          </w:tcPr>
          <w:p w:rsidR="004850E0" w:rsidRDefault="004850E0" w:rsidP="0061790A">
            <w:pPr>
              <w:pStyle w:val="142"/>
              <w:jc w:val="center"/>
            </w:pPr>
            <w:r>
              <w:rPr>
                <w:rFonts w:hint="eastAsia"/>
              </w:rPr>
              <w:t>損失</w:t>
            </w:r>
          </w:p>
          <w:p w:rsidR="004850E0" w:rsidRPr="00026A25" w:rsidRDefault="004850E0" w:rsidP="0061790A">
            <w:pPr>
              <w:pStyle w:val="142"/>
              <w:jc w:val="center"/>
            </w:pPr>
            <w:r>
              <w:rPr>
                <w:rFonts w:hint="eastAsia"/>
              </w:rPr>
              <w:t xml:space="preserve">金額 </w:t>
            </w:r>
          </w:p>
        </w:tc>
        <w:tc>
          <w:tcPr>
            <w:tcW w:w="1069" w:type="dxa"/>
            <w:vAlign w:val="center"/>
          </w:tcPr>
          <w:p w:rsidR="004850E0" w:rsidRDefault="004850E0" w:rsidP="0061790A">
            <w:pPr>
              <w:pStyle w:val="142"/>
              <w:jc w:val="center"/>
              <w:rPr>
                <w:rFonts w:hint="eastAsia"/>
              </w:rPr>
            </w:pPr>
            <w:r>
              <w:rPr>
                <w:rFonts w:hint="eastAsia"/>
              </w:rPr>
              <w:t>通報日期</w:t>
            </w:r>
          </w:p>
        </w:tc>
      </w:tr>
      <w:tr w:rsidR="00DE000E" w:rsidRPr="00A21C22" w:rsidTr="009602BB">
        <w:tc>
          <w:tcPr>
            <w:tcW w:w="457" w:type="dxa"/>
            <w:vAlign w:val="center"/>
          </w:tcPr>
          <w:p w:rsidR="00DE000E" w:rsidRPr="00026A25" w:rsidRDefault="00DE000E" w:rsidP="00DE000E">
            <w:pPr>
              <w:pStyle w:val="142"/>
              <w:jc w:val="center"/>
              <w:rPr>
                <w:rFonts w:hint="eastAsia"/>
              </w:rPr>
            </w:pPr>
            <w:r>
              <w:rPr>
                <w:rFonts w:hint="eastAsia"/>
              </w:rPr>
              <w:t>1</w:t>
            </w:r>
          </w:p>
        </w:tc>
        <w:tc>
          <w:tcPr>
            <w:tcW w:w="536" w:type="dxa"/>
            <w:shd w:val="clear" w:color="auto" w:fill="auto"/>
            <w:vAlign w:val="center"/>
          </w:tcPr>
          <w:p w:rsidR="00DE000E" w:rsidRPr="00026A25" w:rsidRDefault="00DE000E" w:rsidP="00DE000E">
            <w:pPr>
              <w:pStyle w:val="142"/>
            </w:pPr>
            <w:r w:rsidRPr="00026A25">
              <w:rPr>
                <w:rFonts w:hint="eastAsia"/>
              </w:rPr>
              <w:t>收付清算</w:t>
            </w:r>
          </w:p>
        </w:tc>
        <w:tc>
          <w:tcPr>
            <w:tcW w:w="1150" w:type="dxa"/>
            <w:vAlign w:val="center"/>
          </w:tcPr>
          <w:p w:rsidR="00DE000E" w:rsidRPr="00026A25" w:rsidRDefault="00DE000E" w:rsidP="00DE000E">
            <w:pPr>
              <w:pStyle w:val="142"/>
              <w:jc w:val="both"/>
            </w:pPr>
            <w:r w:rsidRPr="00026A25">
              <w:rPr>
                <w:rFonts w:hint="eastAsia"/>
              </w:rPr>
              <w:t>執行、運送及作業流程之管理</w:t>
            </w:r>
          </w:p>
        </w:tc>
        <w:tc>
          <w:tcPr>
            <w:tcW w:w="4350" w:type="dxa"/>
            <w:shd w:val="clear" w:color="auto" w:fill="auto"/>
          </w:tcPr>
          <w:p w:rsidR="00DE000E" w:rsidRPr="00026A25" w:rsidRDefault="00DE000E" w:rsidP="00DE000E">
            <w:pPr>
              <w:pStyle w:val="142"/>
            </w:pPr>
            <w:r>
              <w:rPr>
                <w:rFonts w:hint="eastAsia"/>
              </w:rPr>
              <w:t>臺銀人壽</w:t>
            </w:r>
            <w:r w:rsidRPr="00026A25">
              <w:rPr>
                <w:rFonts w:hint="eastAsia"/>
              </w:rPr>
              <w:t>於112年1月9日重複寄發停效逾兩年退保價金支票，計52件、金額197</w:t>
            </w:r>
            <w:r w:rsidR="0052073F">
              <w:rPr>
                <w:rFonts w:hint="eastAsia"/>
              </w:rPr>
              <w:t>萬</w:t>
            </w:r>
            <w:r w:rsidRPr="00026A25">
              <w:rPr>
                <w:rFonts w:hint="eastAsia"/>
              </w:rPr>
              <w:t>497元，</w:t>
            </w:r>
            <w:r>
              <w:rPr>
                <w:rFonts w:hint="eastAsia"/>
              </w:rPr>
              <w:t>臺銀人壽</w:t>
            </w:r>
            <w:r w:rsidRPr="00026A25">
              <w:rPr>
                <w:rFonts w:hint="eastAsia"/>
              </w:rPr>
              <w:t>於112年1月13日發現後，後續已辦理追回支票，並辦理資訊流程改善及修訂作業流程表。</w:t>
            </w:r>
          </w:p>
        </w:tc>
        <w:tc>
          <w:tcPr>
            <w:tcW w:w="943" w:type="dxa"/>
            <w:shd w:val="clear" w:color="auto" w:fill="auto"/>
            <w:vAlign w:val="center"/>
          </w:tcPr>
          <w:p w:rsidR="00DE000E" w:rsidRPr="00026A25" w:rsidRDefault="00DE000E" w:rsidP="00DE000E">
            <w:pPr>
              <w:pStyle w:val="142"/>
              <w:jc w:val="right"/>
            </w:pPr>
            <w:r>
              <w:rPr>
                <w:rFonts w:hint="eastAsia"/>
              </w:rPr>
              <w:t>0</w:t>
            </w:r>
          </w:p>
        </w:tc>
        <w:tc>
          <w:tcPr>
            <w:tcW w:w="1069" w:type="dxa"/>
            <w:vAlign w:val="center"/>
          </w:tcPr>
          <w:p w:rsidR="00DE000E" w:rsidRDefault="00DE000E" w:rsidP="00DE000E">
            <w:pPr>
              <w:pStyle w:val="142"/>
              <w:jc w:val="right"/>
              <w:rPr>
                <w:rFonts w:hint="eastAsia"/>
              </w:rPr>
            </w:pPr>
            <w:r w:rsidRPr="000618CA">
              <w:t>112/1/13</w:t>
            </w:r>
          </w:p>
        </w:tc>
      </w:tr>
      <w:tr w:rsidR="00DE000E" w:rsidRPr="00A21C22" w:rsidTr="009602BB">
        <w:tc>
          <w:tcPr>
            <w:tcW w:w="457" w:type="dxa"/>
            <w:vAlign w:val="center"/>
          </w:tcPr>
          <w:p w:rsidR="00DE000E" w:rsidRPr="00026A25" w:rsidRDefault="00DE000E" w:rsidP="00DE000E">
            <w:pPr>
              <w:pStyle w:val="142"/>
              <w:jc w:val="center"/>
              <w:rPr>
                <w:rFonts w:hint="eastAsia"/>
              </w:rPr>
            </w:pPr>
            <w:r>
              <w:rPr>
                <w:rFonts w:hint="eastAsia"/>
              </w:rPr>
              <w:t>2</w:t>
            </w:r>
          </w:p>
        </w:tc>
        <w:tc>
          <w:tcPr>
            <w:tcW w:w="536" w:type="dxa"/>
            <w:shd w:val="clear" w:color="auto" w:fill="auto"/>
            <w:vAlign w:val="center"/>
          </w:tcPr>
          <w:p w:rsidR="00DE000E" w:rsidRPr="00026A25" w:rsidRDefault="00DE000E" w:rsidP="00DE000E">
            <w:pPr>
              <w:pStyle w:val="142"/>
            </w:pPr>
            <w:r w:rsidRPr="00026A25">
              <w:rPr>
                <w:rFonts w:hint="eastAsia"/>
              </w:rPr>
              <w:t>收付清算</w:t>
            </w:r>
          </w:p>
        </w:tc>
        <w:tc>
          <w:tcPr>
            <w:tcW w:w="1150" w:type="dxa"/>
            <w:vAlign w:val="center"/>
          </w:tcPr>
          <w:p w:rsidR="00DE000E" w:rsidRPr="00026A25" w:rsidRDefault="00DE000E" w:rsidP="00DE000E">
            <w:pPr>
              <w:pStyle w:val="142"/>
              <w:jc w:val="both"/>
            </w:pPr>
            <w:r w:rsidRPr="00026A25">
              <w:rPr>
                <w:rFonts w:hint="eastAsia"/>
              </w:rPr>
              <w:t>客戶、產品、營業行為</w:t>
            </w:r>
          </w:p>
        </w:tc>
        <w:tc>
          <w:tcPr>
            <w:tcW w:w="4350" w:type="dxa"/>
            <w:shd w:val="clear" w:color="auto" w:fill="auto"/>
            <w:vAlign w:val="center"/>
          </w:tcPr>
          <w:p w:rsidR="00DE000E" w:rsidRPr="00026A25" w:rsidRDefault="00DE000E" w:rsidP="00DE000E">
            <w:pPr>
              <w:pStyle w:val="142"/>
              <w:jc w:val="both"/>
            </w:pPr>
            <w:r w:rsidRPr="00026A25">
              <w:rPr>
                <w:rFonts w:hint="eastAsia"/>
              </w:rPr>
              <w:t>保戶吳君申辦保單解約，因實際獲得解約金數額與自</w:t>
            </w:r>
            <w:r>
              <w:rPr>
                <w:rFonts w:hint="eastAsia"/>
              </w:rPr>
              <w:t>臺銀人壽</w:t>
            </w:r>
            <w:r w:rsidRPr="00026A25">
              <w:rPr>
                <w:rFonts w:hint="eastAsia"/>
              </w:rPr>
              <w:t>網站查詢之保單解約金數值存有差異，提出申訴，經查係因網站顯示供保戶參考之解約金係為未扣除解約費用之數值，致參考數值高於保戶實際獲得之解約金，</w:t>
            </w:r>
            <w:r>
              <w:rPr>
                <w:rFonts w:hint="eastAsia"/>
              </w:rPr>
              <w:t>臺銀人壽</w:t>
            </w:r>
            <w:r w:rsidRPr="00026A25">
              <w:rPr>
                <w:rFonts w:hint="eastAsia"/>
              </w:rPr>
              <w:t>已於112年2月15日召集案關單位研討，本於維護公司誠信經營形象，經長官裁示就吳君保單實際給付解約金與</w:t>
            </w:r>
            <w:r>
              <w:rPr>
                <w:rFonts w:hint="eastAsia"/>
              </w:rPr>
              <w:t>臺銀人壽</w:t>
            </w:r>
            <w:r w:rsidRPr="00026A25">
              <w:rPr>
                <w:rFonts w:hint="eastAsia"/>
              </w:rPr>
              <w:t>網站查詢數值差額2</w:t>
            </w:r>
            <w:r>
              <w:rPr>
                <w:rFonts w:hint="eastAsia"/>
              </w:rPr>
              <w:t>萬</w:t>
            </w:r>
            <w:r w:rsidRPr="00026A25">
              <w:rPr>
                <w:rFonts w:hint="eastAsia"/>
              </w:rPr>
              <w:t>8,933元，予以給付。另經考量</w:t>
            </w:r>
            <w:r>
              <w:rPr>
                <w:rFonts w:hint="eastAsia"/>
              </w:rPr>
              <w:t>臺銀人壽</w:t>
            </w:r>
            <w:r w:rsidRPr="00026A25">
              <w:rPr>
                <w:rFonts w:hint="eastAsia"/>
              </w:rPr>
              <w:t>已優化系統查詢功能，已能滿足保戶需求，且為杜絕類似爭議事件發生，已於112年2月17日移除</w:t>
            </w:r>
            <w:r>
              <w:rPr>
                <w:rFonts w:hint="eastAsia"/>
              </w:rPr>
              <w:t>臺銀人壽</w:t>
            </w:r>
            <w:r w:rsidRPr="00026A25">
              <w:rPr>
                <w:rFonts w:hint="eastAsia"/>
              </w:rPr>
              <w:t>網站會員專區保單基本資料中解約金項目，另加強向保戶推廣及宣導可多加利用線上查詢功能，獲知各項數值資訊。</w:t>
            </w:r>
          </w:p>
        </w:tc>
        <w:tc>
          <w:tcPr>
            <w:tcW w:w="943" w:type="dxa"/>
            <w:shd w:val="clear" w:color="auto" w:fill="auto"/>
            <w:vAlign w:val="center"/>
          </w:tcPr>
          <w:p w:rsidR="00DE000E" w:rsidRPr="00026A25" w:rsidRDefault="00DE000E" w:rsidP="00DE000E">
            <w:pPr>
              <w:pStyle w:val="142"/>
              <w:jc w:val="right"/>
              <w:rPr>
                <w:rFonts w:hint="eastAsia"/>
              </w:rPr>
            </w:pPr>
            <w:r>
              <w:rPr>
                <w:rFonts w:hint="eastAsia"/>
              </w:rPr>
              <w:t>28,933</w:t>
            </w:r>
          </w:p>
        </w:tc>
        <w:tc>
          <w:tcPr>
            <w:tcW w:w="1069" w:type="dxa"/>
            <w:vAlign w:val="center"/>
          </w:tcPr>
          <w:p w:rsidR="00DE000E" w:rsidRDefault="00DE000E" w:rsidP="00DE000E">
            <w:pPr>
              <w:pStyle w:val="142"/>
              <w:jc w:val="right"/>
              <w:rPr>
                <w:rFonts w:hint="eastAsia"/>
              </w:rPr>
            </w:pPr>
            <w:r w:rsidRPr="000618CA">
              <w:t>112/2/15</w:t>
            </w:r>
          </w:p>
        </w:tc>
      </w:tr>
      <w:tr w:rsidR="00DE000E" w:rsidRPr="00A21C22" w:rsidTr="009602BB">
        <w:tc>
          <w:tcPr>
            <w:tcW w:w="457" w:type="dxa"/>
            <w:vAlign w:val="center"/>
          </w:tcPr>
          <w:p w:rsidR="00DE000E" w:rsidRPr="00026A25" w:rsidRDefault="00DE000E" w:rsidP="00DE000E">
            <w:pPr>
              <w:pStyle w:val="142"/>
              <w:jc w:val="center"/>
              <w:rPr>
                <w:rFonts w:hint="eastAsia"/>
              </w:rPr>
            </w:pPr>
            <w:r>
              <w:rPr>
                <w:rFonts w:hint="eastAsia"/>
              </w:rPr>
              <w:t>3</w:t>
            </w:r>
          </w:p>
        </w:tc>
        <w:tc>
          <w:tcPr>
            <w:tcW w:w="536" w:type="dxa"/>
            <w:shd w:val="clear" w:color="auto" w:fill="auto"/>
            <w:vAlign w:val="center"/>
          </w:tcPr>
          <w:p w:rsidR="00DE000E" w:rsidRPr="00026A25" w:rsidRDefault="00DE000E" w:rsidP="00DE000E">
            <w:pPr>
              <w:pStyle w:val="142"/>
            </w:pPr>
            <w:r w:rsidRPr="00026A25">
              <w:rPr>
                <w:rFonts w:hint="eastAsia"/>
              </w:rPr>
              <w:t>收付清算</w:t>
            </w:r>
          </w:p>
        </w:tc>
        <w:tc>
          <w:tcPr>
            <w:tcW w:w="1150" w:type="dxa"/>
            <w:vAlign w:val="center"/>
          </w:tcPr>
          <w:p w:rsidR="00DE000E" w:rsidRPr="00026A25" w:rsidRDefault="00DE000E" w:rsidP="00DE000E">
            <w:pPr>
              <w:pStyle w:val="142"/>
              <w:jc w:val="both"/>
            </w:pPr>
            <w:r w:rsidRPr="00026A25">
              <w:rPr>
                <w:rFonts w:hint="eastAsia"/>
              </w:rPr>
              <w:t>執行、運送及作業流程之管理</w:t>
            </w:r>
          </w:p>
        </w:tc>
        <w:tc>
          <w:tcPr>
            <w:tcW w:w="4350" w:type="dxa"/>
            <w:shd w:val="clear" w:color="auto" w:fill="auto"/>
          </w:tcPr>
          <w:p w:rsidR="00DE000E" w:rsidRPr="00026A25" w:rsidRDefault="00DE000E" w:rsidP="00DE000E">
            <w:pPr>
              <w:pStyle w:val="142"/>
            </w:pPr>
            <w:r>
              <w:rPr>
                <w:rFonts w:hint="eastAsia"/>
              </w:rPr>
              <w:t>臺銀人壽</w:t>
            </w:r>
            <w:r w:rsidRPr="00026A25">
              <w:rPr>
                <w:rFonts w:hint="eastAsia"/>
              </w:rPr>
              <w:t>於112年6月4日重覆就112年5月22日國泰世華銀行保單轉帳件重覆扣款，</w:t>
            </w:r>
            <w:r>
              <w:rPr>
                <w:rFonts w:hint="eastAsia"/>
              </w:rPr>
              <w:t>臺銀人壽</w:t>
            </w:r>
            <w:r w:rsidRPr="00026A25">
              <w:rPr>
                <w:rFonts w:hint="eastAsia"/>
              </w:rPr>
              <w:t>於112年6月6日發現後即告知業務員並聯繫保戶真摯道歉並獲保戶理解，後續依保戶之意願完成退費或抵繳保費事宜。另已提出資訊需求強化系統管控並加強帳務核對。</w:t>
            </w:r>
          </w:p>
        </w:tc>
        <w:tc>
          <w:tcPr>
            <w:tcW w:w="943" w:type="dxa"/>
            <w:shd w:val="clear" w:color="auto" w:fill="auto"/>
            <w:vAlign w:val="center"/>
          </w:tcPr>
          <w:p w:rsidR="00DE000E" w:rsidRPr="00026A25" w:rsidRDefault="00DE000E" w:rsidP="00DE000E">
            <w:pPr>
              <w:pStyle w:val="142"/>
              <w:jc w:val="right"/>
            </w:pPr>
            <w:r>
              <w:rPr>
                <w:rFonts w:hint="eastAsia"/>
              </w:rPr>
              <w:t>0</w:t>
            </w:r>
          </w:p>
        </w:tc>
        <w:tc>
          <w:tcPr>
            <w:tcW w:w="1069" w:type="dxa"/>
            <w:vAlign w:val="center"/>
          </w:tcPr>
          <w:p w:rsidR="00DE000E" w:rsidRDefault="00DE000E" w:rsidP="00DE000E">
            <w:pPr>
              <w:pStyle w:val="142"/>
              <w:jc w:val="right"/>
              <w:rPr>
                <w:rFonts w:hint="eastAsia"/>
              </w:rPr>
            </w:pPr>
            <w:r w:rsidRPr="000618CA">
              <w:t>112/6/6</w:t>
            </w:r>
          </w:p>
        </w:tc>
      </w:tr>
      <w:tr w:rsidR="00DE000E" w:rsidRPr="00215A80" w:rsidTr="009602BB">
        <w:tc>
          <w:tcPr>
            <w:tcW w:w="457" w:type="dxa"/>
            <w:vAlign w:val="center"/>
          </w:tcPr>
          <w:p w:rsidR="00DE000E" w:rsidRPr="00026A25" w:rsidRDefault="00DE000E" w:rsidP="00DE000E">
            <w:pPr>
              <w:pStyle w:val="142"/>
              <w:jc w:val="center"/>
              <w:rPr>
                <w:rFonts w:hint="eastAsia"/>
              </w:rPr>
            </w:pPr>
            <w:r>
              <w:rPr>
                <w:rFonts w:hint="eastAsia"/>
              </w:rPr>
              <w:t>4</w:t>
            </w:r>
          </w:p>
        </w:tc>
        <w:tc>
          <w:tcPr>
            <w:tcW w:w="536" w:type="dxa"/>
            <w:shd w:val="clear" w:color="auto" w:fill="auto"/>
            <w:vAlign w:val="center"/>
          </w:tcPr>
          <w:p w:rsidR="00DE000E" w:rsidRPr="00026A25" w:rsidRDefault="00DE000E" w:rsidP="00DE000E">
            <w:pPr>
              <w:pStyle w:val="142"/>
            </w:pPr>
            <w:r w:rsidRPr="00026A25">
              <w:rPr>
                <w:rFonts w:hint="eastAsia"/>
              </w:rPr>
              <w:t>零售經紀</w:t>
            </w:r>
          </w:p>
        </w:tc>
        <w:tc>
          <w:tcPr>
            <w:tcW w:w="1150" w:type="dxa"/>
            <w:vAlign w:val="center"/>
          </w:tcPr>
          <w:p w:rsidR="00DE000E" w:rsidRPr="00026A25" w:rsidRDefault="00DE000E" w:rsidP="00DE000E">
            <w:pPr>
              <w:pStyle w:val="142"/>
              <w:jc w:val="both"/>
            </w:pPr>
            <w:r w:rsidRPr="00026A25">
              <w:rPr>
                <w:rFonts w:hint="eastAsia"/>
              </w:rPr>
              <w:t>執行、運送及作業流程之管理</w:t>
            </w:r>
          </w:p>
        </w:tc>
        <w:tc>
          <w:tcPr>
            <w:tcW w:w="4350" w:type="dxa"/>
            <w:shd w:val="clear" w:color="auto" w:fill="auto"/>
          </w:tcPr>
          <w:p w:rsidR="00DE000E" w:rsidRPr="00026A25" w:rsidRDefault="00DE000E" w:rsidP="00DE000E">
            <w:pPr>
              <w:pStyle w:val="142"/>
              <w:jc w:val="both"/>
            </w:pPr>
            <w:r w:rsidRPr="00026A25">
              <w:rPr>
                <w:rFonts w:hint="eastAsia"/>
              </w:rPr>
              <w:t>113年初發生保戶申請文件誤銷作業風險，係因近期新契約業務量較多，整理文件後不慎將保戶申請文件掉落應回收銷毀置物箱並已將該等資料銷毀。</w:t>
            </w:r>
            <w:r>
              <w:rPr>
                <w:rFonts w:hint="eastAsia"/>
              </w:rPr>
              <w:t>臺銀人壽</w:t>
            </w:r>
            <w:r w:rsidRPr="00026A25">
              <w:rPr>
                <w:rFonts w:hint="eastAsia"/>
              </w:rPr>
              <w:t>於113年1月19日確認後即辦理重大偶發事件通報，另除立即聯繫告知客戶資料無外洩外，</w:t>
            </w:r>
            <w:r>
              <w:rPr>
                <w:rFonts w:hint="eastAsia"/>
              </w:rPr>
              <w:t>臺銀人壽</w:t>
            </w:r>
            <w:r w:rsidRPr="00026A25">
              <w:rPr>
                <w:rFonts w:hint="eastAsia"/>
              </w:rPr>
              <w:t>後續已訂定相關矯正預防措施。</w:t>
            </w:r>
          </w:p>
        </w:tc>
        <w:tc>
          <w:tcPr>
            <w:tcW w:w="943" w:type="dxa"/>
            <w:shd w:val="clear" w:color="auto" w:fill="auto"/>
            <w:vAlign w:val="center"/>
          </w:tcPr>
          <w:p w:rsidR="00DE000E" w:rsidRPr="00026A25" w:rsidRDefault="00DE000E" w:rsidP="00DE000E">
            <w:pPr>
              <w:pStyle w:val="142"/>
              <w:jc w:val="right"/>
            </w:pPr>
            <w:r>
              <w:rPr>
                <w:rFonts w:hint="eastAsia"/>
              </w:rPr>
              <w:t>0</w:t>
            </w:r>
          </w:p>
        </w:tc>
        <w:tc>
          <w:tcPr>
            <w:tcW w:w="1069" w:type="dxa"/>
            <w:vAlign w:val="center"/>
          </w:tcPr>
          <w:p w:rsidR="00DE000E" w:rsidRDefault="00DE000E" w:rsidP="00DE000E">
            <w:pPr>
              <w:pStyle w:val="142"/>
              <w:jc w:val="right"/>
              <w:rPr>
                <w:rFonts w:hint="eastAsia"/>
              </w:rPr>
            </w:pPr>
            <w:r w:rsidRPr="000618CA">
              <w:t>113/1/19</w:t>
            </w:r>
          </w:p>
        </w:tc>
      </w:tr>
      <w:tr w:rsidR="00DE000E" w:rsidRPr="00215A80" w:rsidTr="009602BB">
        <w:tc>
          <w:tcPr>
            <w:tcW w:w="457" w:type="dxa"/>
            <w:vAlign w:val="center"/>
          </w:tcPr>
          <w:p w:rsidR="00DE000E" w:rsidRPr="00026A25" w:rsidRDefault="00DE000E" w:rsidP="00DE000E">
            <w:pPr>
              <w:pStyle w:val="142"/>
              <w:jc w:val="center"/>
              <w:rPr>
                <w:rFonts w:hint="eastAsia"/>
              </w:rPr>
            </w:pPr>
            <w:r>
              <w:rPr>
                <w:rFonts w:hint="eastAsia"/>
              </w:rPr>
              <w:t>5</w:t>
            </w:r>
          </w:p>
        </w:tc>
        <w:tc>
          <w:tcPr>
            <w:tcW w:w="536" w:type="dxa"/>
            <w:shd w:val="clear" w:color="auto" w:fill="auto"/>
            <w:vAlign w:val="center"/>
          </w:tcPr>
          <w:p w:rsidR="00DE000E" w:rsidRPr="00026A25" w:rsidRDefault="00DE000E" w:rsidP="00DE000E">
            <w:pPr>
              <w:pStyle w:val="142"/>
            </w:pPr>
            <w:r w:rsidRPr="00026A25">
              <w:rPr>
                <w:rFonts w:hint="eastAsia"/>
              </w:rPr>
              <w:t>零售經紀</w:t>
            </w:r>
          </w:p>
        </w:tc>
        <w:tc>
          <w:tcPr>
            <w:tcW w:w="1150" w:type="dxa"/>
            <w:vAlign w:val="center"/>
          </w:tcPr>
          <w:p w:rsidR="00DE000E" w:rsidRPr="00026A25" w:rsidRDefault="00DE000E" w:rsidP="00DE000E">
            <w:pPr>
              <w:pStyle w:val="142"/>
              <w:jc w:val="both"/>
            </w:pPr>
            <w:r w:rsidRPr="00026A25">
              <w:rPr>
                <w:rFonts w:hint="eastAsia"/>
              </w:rPr>
              <w:t>執行、運送及作業流程之管理</w:t>
            </w:r>
          </w:p>
        </w:tc>
        <w:tc>
          <w:tcPr>
            <w:tcW w:w="4350" w:type="dxa"/>
            <w:shd w:val="clear" w:color="auto" w:fill="auto"/>
          </w:tcPr>
          <w:p w:rsidR="00DE000E" w:rsidRPr="00026A25" w:rsidRDefault="00DE000E" w:rsidP="00DE000E">
            <w:pPr>
              <w:pStyle w:val="142"/>
              <w:jc w:val="both"/>
            </w:pPr>
            <w:r>
              <w:rPr>
                <w:rFonts w:hint="eastAsia"/>
              </w:rPr>
              <w:t>臺銀人壽</w:t>
            </w:r>
            <w:r w:rsidRPr="00026A25">
              <w:rPr>
                <w:rFonts w:hint="eastAsia"/>
              </w:rPr>
              <w:t>於112年10月至12月保險業通報作業資訊系統延遲通報，壽險公會於113年4月23日依「保險業通報作業缺失處理作業原則」記點達3點。已完成清查所有通報排程及相關排程改寫，並增加連線異常狀況之電郵警告措施、安排邏輯判斷優化及檔案處理例外控制等措施，避免收檔失敗。另亦依來函請內部稽核單位辦理查核，</w:t>
            </w:r>
            <w:r>
              <w:rPr>
                <w:rFonts w:hint="eastAsia"/>
              </w:rPr>
              <w:t>臺銀人壽</w:t>
            </w:r>
            <w:r w:rsidRPr="00026A25">
              <w:rPr>
                <w:rFonts w:hint="eastAsia"/>
              </w:rPr>
              <w:t>內部稽核單位於113年8月9日提出稽核報告，資訊單位將依稽核報告相關建議辦理改善作業，預計於113年12月31日前完成所有建議事項。</w:t>
            </w:r>
          </w:p>
        </w:tc>
        <w:tc>
          <w:tcPr>
            <w:tcW w:w="943" w:type="dxa"/>
            <w:shd w:val="clear" w:color="auto" w:fill="auto"/>
            <w:vAlign w:val="center"/>
          </w:tcPr>
          <w:p w:rsidR="00DE000E" w:rsidRPr="00026A25" w:rsidRDefault="00DE000E" w:rsidP="00DE000E">
            <w:pPr>
              <w:pStyle w:val="142"/>
              <w:jc w:val="right"/>
            </w:pPr>
            <w:r>
              <w:rPr>
                <w:rFonts w:hint="eastAsia"/>
              </w:rPr>
              <w:t>0</w:t>
            </w:r>
          </w:p>
        </w:tc>
        <w:tc>
          <w:tcPr>
            <w:tcW w:w="1069" w:type="dxa"/>
            <w:vAlign w:val="center"/>
          </w:tcPr>
          <w:p w:rsidR="00DE000E" w:rsidRDefault="00DE000E" w:rsidP="00DE000E">
            <w:pPr>
              <w:pStyle w:val="142"/>
              <w:jc w:val="right"/>
              <w:rPr>
                <w:rFonts w:hint="eastAsia"/>
              </w:rPr>
            </w:pPr>
            <w:r w:rsidRPr="000618CA">
              <w:t>113/4/24</w:t>
            </w:r>
          </w:p>
        </w:tc>
      </w:tr>
      <w:tr w:rsidR="00DE000E" w:rsidRPr="00215A80" w:rsidTr="009602BB">
        <w:tc>
          <w:tcPr>
            <w:tcW w:w="457" w:type="dxa"/>
            <w:vAlign w:val="center"/>
          </w:tcPr>
          <w:p w:rsidR="00DE000E" w:rsidRPr="00026A25" w:rsidRDefault="00DE000E" w:rsidP="00DE000E">
            <w:pPr>
              <w:pStyle w:val="142"/>
              <w:jc w:val="center"/>
              <w:rPr>
                <w:rFonts w:hint="eastAsia"/>
              </w:rPr>
            </w:pPr>
            <w:r>
              <w:rPr>
                <w:rFonts w:hint="eastAsia"/>
              </w:rPr>
              <w:t>6</w:t>
            </w:r>
          </w:p>
        </w:tc>
        <w:tc>
          <w:tcPr>
            <w:tcW w:w="536" w:type="dxa"/>
            <w:shd w:val="clear" w:color="auto" w:fill="auto"/>
            <w:vAlign w:val="center"/>
          </w:tcPr>
          <w:p w:rsidR="00DE000E" w:rsidRPr="00026A25" w:rsidRDefault="00DE000E" w:rsidP="00DE000E">
            <w:pPr>
              <w:pStyle w:val="142"/>
            </w:pPr>
            <w:r w:rsidRPr="00026A25">
              <w:rPr>
                <w:rFonts w:hint="eastAsia"/>
              </w:rPr>
              <w:t>收付清算</w:t>
            </w:r>
          </w:p>
        </w:tc>
        <w:tc>
          <w:tcPr>
            <w:tcW w:w="1150" w:type="dxa"/>
            <w:vAlign w:val="center"/>
          </w:tcPr>
          <w:p w:rsidR="00DE000E" w:rsidRPr="00026A25" w:rsidRDefault="00DE000E" w:rsidP="00DE000E">
            <w:pPr>
              <w:pStyle w:val="142"/>
              <w:jc w:val="both"/>
            </w:pPr>
            <w:r w:rsidRPr="00026A25">
              <w:rPr>
                <w:rFonts w:hint="eastAsia"/>
              </w:rPr>
              <w:t>執行、運送及作業流程之管理</w:t>
            </w:r>
          </w:p>
        </w:tc>
        <w:tc>
          <w:tcPr>
            <w:tcW w:w="4350" w:type="dxa"/>
            <w:shd w:val="clear" w:color="auto" w:fill="auto"/>
          </w:tcPr>
          <w:p w:rsidR="00DE000E" w:rsidRPr="00026A25" w:rsidRDefault="00DE000E" w:rsidP="00DE000E">
            <w:pPr>
              <w:pStyle w:val="142"/>
            </w:pPr>
            <w:r w:rsidRPr="00026A25">
              <w:rPr>
                <w:rFonts w:hint="eastAsia"/>
              </w:rPr>
              <w:t>辦理112年12月1日生存金給付作業時，因處理退匯後重匯作業不及，延遲於112年12月4日(逢週休二日)，已完成給付並加計延遲息37元。</w:t>
            </w:r>
            <w:r>
              <w:rPr>
                <w:rFonts w:hint="eastAsia"/>
              </w:rPr>
              <w:t>臺銀人壽</w:t>
            </w:r>
            <w:r w:rsidRPr="00026A25">
              <w:rPr>
                <w:rFonts w:hint="eastAsia"/>
              </w:rPr>
              <w:t>於113年5月21日檢陳本案事件說明，於113年5月22日奉首長核定。</w:t>
            </w:r>
          </w:p>
        </w:tc>
        <w:tc>
          <w:tcPr>
            <w:tcW w:w="943" w:type="dxa"/>
            <w:shd w:val="clear" w:color="auto" w:fill="auto"/>
            <w:vAlign w:val="center"/>
          </w:tcPr>
          <w:p w:rsidR="00DE000E" w:rsidRPr="00026A25" w:rsidRDefault="00DE000E" w:rsidP="00DE000E">
            <w:pPr>
              <w:pStyle w:val="142"/>
              <w:jc w:val="right"/>
              <w:rPr>
                <w:rFonts w:hint="eastAsia"/>
              </w:rPr>
            </w:pPr>
            <w:r>
              <w:rPr>
                <w:rFonts w:hint="eastAsia"/>
              </w:rPr>
              <w:t>37</w:t>
            </w:r>
          </w:p>
        </w:tc>
        <w:tc>
          <w:tcPr>
            <w:tcW w:w="1069" w:type="dxa"/>
            <w:vAlign w:val="center"/>
          </w:tcPr>
          <w:p w:rsidR="00DE000E" w:rsidRDefault="00DE000E" w:rsidP="00DE000E">
            <w:pPr>
              <w:pStyle w:val="142"/>
              <w:jc w:val="right"/>
              <w:rPr>
                <w:rFonts w:hint="eastAsia"/>
              </w:rPr>
            </w:pPr>
            <w:r w:rsidRPr="000618CA">
              <w:t>113/5/22</w:t>
            </w:r>
          </w:p>
        </w:tc>
      </w:tr>
      <w:tr w:rsidR="00DE000E" w:rsidRPr="00215A80" w:rsidTr="009602BB">
        <w:tc>
          <w:tcPr>
            <w:tcW w:w="457" w:type="dxa"/>
            <w:tcBorders>
              <w:bottom w:val="single" w:sz="4" w:space="0" w:color="auto"/>
            </w:tcBorders>
            <w:vAlign w:val="center"/>
          </w:tcPr>
          <w:p w:rsidR="00DE000E" w:rsidRPr="00026A25" w:rsidRDefault="00DE000E" w:rsidP="00DE000E">
            <w:pPr>
              <w:pStyle w:val="142"/>
              <w:jc w:val="center"/>
              <w:rPr>
                <w:rFonts w:hint="eastAsia"/>
              </w:rPr>
            </w:pPr>
            <w:r>
              <w:rPr>
                <w:rFonts w:hint="eastAsia"/>
              </w:rPr>
              <w:t>7</w:t>
            </w:r>
          </w:p>
        </w:tc>
        <w:tc>
          <w:tcPr>
            <w:tcW w:w="536" w:type="dxa"/>
            <w:tcBorders>
              <w:bottom w:val="single" w:sz="4" w:space="0" w:color="auto"/>
            </w:tcBorders>
            <w:shd w:val="clear" w:color="auto" w:fill="auto"/>
            <w:vAlign w:val="center"/>
          </w:tcPr>
          <w:p w:rsidR="00DE000E" w:rsidRPr="00026A25" w:rsidRDefault="00DE000E" w:rsidP="00DE000E">
            <w:pPr>
              <w:pStyle w:val="142"/>
            </w:pPr>
            <w:r w:rsidRPr="00026A25">
              <w:rPr>
                <w:rFonts w:hint="eastAsia"/>
              </w:rPr>
              <w:t>收付清算</w:t>
            </w:r>
          </w:p>
        </w:tc>
        <w:tc>
          <w:tcPr>
            <w:tcW w:w="1150" w:type="dxa"/>
            <w:tcBorders>
              <w:bottom w:val="single" w:sz="4" w:space="0" w:color="auto"/>
            </w:tcBorders>
            <w:vAlign w:val="center"/>
          </w:tcPr>
          <w:p w:rsidR="00DE000E" w:rsidRPr="00026A25" w:rsidRDefault="00DE000E" w:rsidP="00DE000E">
            <w:pPr>
              <w:pStyle w:val="142"/>
              <w:jc w:val="both"/>
            </w:pPr>
            <w:r w:rsidRPr="00026A25">
              <w:rPr>
                <w:rFonts w:hint="eastAsia"/>
              </w:rPr>
              <w:t>執行、運送及作業流程之管理</w:t>
            </w:r>
          </w:p>
        </w:tc>
        <w:tc>
          <w:tcPr>
            <w:tcW w:w="4350" w:type="dxa"/>
            <w:tcBorders>
              <w:bottom w:val="single" w:sz="4" w:space="0" w:color="auto"/>
            </w:tcBorders>
            <w:shd w:val="clear" w:color="auto" w:fill="auto"/>
          </w:tcPr>
          <w:p w:rsidR="00DE000E" w:rsidRPr="00026A25" w:rsidRDefault="00DE000E" w:rsidP="00DE000E">
            <w:pPr>
              <w:pStyle w:val="142"/>
              <w:jc w:val="both"/>
            </w:pPr>
            <w:r>
              <w:rPr>
                <w:rFonts w:hint="eastAsia"/>
              </w:rPr>
              <w:t>臺銀人壽</w:t>
            </w:r>
            <w:r w:rsidRPr="00026A25">
              <w:rPr>
                <w:rFonts w:hint="eastAsia"/>
              </w:rPr>
              <w:t>於113年5月7日辦理理賠作業時，溢付手術醫療保險金。該保戶於同年7月再次申請理賠，</w:t>
            </w:r>
            <w:r>
              <w:rPr>
                <w:rFonts w:hint="eastAsia"/>
              </w:rPr>
              <w:t>臺銀人壽</w:t>
            </w:r>
            <w:r w:rsidRPr="00026A25">
              <w:rPr>
                <w:rFonts w:hint="eastAsia"/>
              </w:rPr>
              <w:t>於7月15日收文在案，承辦人員於7月17日審件時發現前揭缺失。已與保戶及業務員溝通並取得理解將陸續扣除溢付款外，本案已增加系統提示並納入教育宣導。</w:t>
            </w:r>
            <w:r w:rsidRPr="00C67689">
              <w:rPr>
                <w:rFonts w:hint="eastAsia"/>
              </w:rPr>
              <w:t>此案因溢付款項尚執行扣回中，若全額扣回，則無損失金額。</w:t>
            </w:r>
          </w:p>
        </w:tc>
        <w:tc>
          <w:tcPr>
            <w:tcW w:w="943" w:type="dxa"/>
            <w:tcBorders>
              <w:bottom w:val="single" w:sz="4" w:space="0" w:color="auto"/>
            </w:tcBorders>
            <w:shd w:val="clear" w:color="auto" w:fill="auto"/>
            <w:vAlign w:val="center"/>
          </w:tcPr>
          <w:p w:rsidR="00DE000E" w:rsidRPr="00026A25" w:rsidRDefault="00DE000E" w:rsidP="00DE000E">
            <w:pPr>
              <w:pStyle w:val="142"/>
              <w:jc w:val="right"/>
            </w:pPr>
            <w:r>
              <w:rPr>
                <w:rFonts w:hint="eastAsia"/>
              </w:rPr>
              <w:t>0</w:t>
            </w:r>
          </w:p>
        </w:tc>
        <w:tc>
          <w:tcPr>
            <w:tcW w:w="1069" w:type="dxa"/>
            <w:tcBorders>
              <w:bottom w:val="single" w:sz="4" w:space="0" w:color="auto"/>
            </w:tcBorders>
            <w:vAlign w:val="center"/>
          </w:tcPr>
          <w:p w:rsidR="00DE000E" w:rsidRDefault="00DE000E" w:rsidP="00DE000E">
            <w:pPr>
              <w:pStyle w:val="142"/>
              <w:jc w:val="right"/>
              <w:rPr>
                <w:rFonts w:hint="eastAsia"/>
              </w:rPr>
            </w:pPr>
            <w:r w:rsidRPr="000618CA">
              <w:t>113/7/17</w:t>
            </w:r>
          </w:p>
        </w:tc>
      </w:tr>
      <w:tr w:rsidR="004850E0" w:rsidRPr="00215A80" w:rsidTr="009602BB">
        <w:tc>
          <w:tcPr>
            <w:tcW w:w="993" w:type="dxa"/>
            <w:gridSpan w:val="2"/>
            <w:tcBorders>
              <w:top w:val="single" w:sz="4" w:space="0" w:color="auto"/>
              <w:bottom w:val="single" w:sz="12" w:space="0" w:color="auto"/>
            </w:tcBorders>
            <w:vAlign w:val="center"/>
          </w:tcPr>
          <w:p w:rsidR="004850E0" w:rsidRPr="00026A25" w:rsidRDefault="004850E0" w:rsidP="0061790A">
            <w:pPr>
              <w:pStyle w:val="142"/>
              <w:rPr>
                <w:rFonts w:hint="eastAsia"/>
              </w:rPr>
            </w:pPr>
            <w:r>
              <w:rPr>
                <w:rFonts w:hint="eastAsia"/>
              </w:rPr>
              <w:t>合計</w:t>
            </w:r>
          </w:p>
        </w:tc>
        <w:tc>
          <w:tcPr>
            <w:tcW w:w="1150" w:type="dxa"/>
            <w:tcBorders>
              <w:top w:val="single" w:sz="4" w:space="0" w:color="auto"/>
              <w:bottom w:val="single" w:sz="12" w:space="0" w:color="auto"/>
            </w:tcBorders>
            <w:vAlign w:val="center"/>
          </w:tcPr>
          <w:p w:rsidR="004850E0" w:rsidRPr="00026A25" w:rsidRDefault="004850E0" w:rsidP="0061790A">
            <w:pPr>
              <w:pStyle w:val="142"/>
              <w:jc w:val="both"/>
              <w:rPr>
                <w:rFonts w:hint="eastAsia"/>
              </w:rPr>
            </w:pPr>
          </w:p>
        </w:tc>
        <w:tc>
          <w:tcPr>
            <w:tcW w:w="4350" w:type="dxa"/>
            <w:tcBorders>
              <w:top w:val="single" w:sz="4" w:space="0" w:color="auto"/>
              <w:bottom w:val="single" w:sz="12" w:space="0" w:color="auto"/>
            </w:tcBorders>
            <w:shd w:val="clear" w:color="auto" w:fill="auto"/>
          </w:tcPr>
          <w:p w:rsidR="004850E0" w:rsidRDefault="004850E0" w:rsidP="0061790A">
            <w:pPr>
              <w:pStyle w:val="142"/>
              <w:jc w:val="both"/>
              <w:rPr>
                <w:rFonts w:hint="eastAsia"/>
              </w:rPr>
            </w:pPr>
          </w:p>
        </w:tc>
        <w:tc>
          <w:tcPr>
            <w:tcW w:w="943" w:type="dxa"/>
            <w:tcBorders>
              <w:top w:val="single" w:sz="4" w:space="0" w:color="auto"/>
              <w:bottom w:val="single" w:sz="12" w:space="0" w:color="auto"/>
            </w:tcBorders>
            <w:shd w:val="clear" w:color="auto" w:fill="auto"/>
            <w:vAlign w:val="center"/>
          </w:tcPr>
          <w:p w:rsidR="004850E0" w:rsidRDefault="004850E0" w:rsidP="0061790A">
            <w:pPr>
              <w:pStyle w:val="142"/>
              <w:jc w:val="right"/>
              <w:rPr>
                <w:rFonts w:hint="eastAsia"/>
              </w:rPr>
            </w:pPr>
            <w:r>
              <w:rPr>
                <w:rFonts w:hint="eastAsia"/>
              </w:rPr>
              <w:t>28</w:t>
            </w:r>
            <w:r>
              <w:t>,</w:t>
            </w:r>
            <w:r>
              <w:rPr>
                <w:rFonts w:hint="eastAsia"/>
              </w:rPr>
              <w:t>970</w:t>
            </w:r>
          </w:p>
        </w:tc>
        <w:tc>
          <w:tcPr>
            <w:tcW w:w="1069" w:type="dxa"/>
            <w:tcBorders>
              <w:top w:val="single" w:sz="4" w:space="0" w:color="auto"/>
              <w:bottom w:val="single" w:sz="12" w:space="0" w:color="auto"/>
            </w:tcBorders>
          </w:tcPr>
          <w:p w:rsidR="004850E0" w:rsidRDefault="004850E0" w:rsidP="0061790A">
            <w:pPr>
              <w:pStyle w:val="142"/>
              <w:jc w:val="right"/>
              <w:rPr>
                <w:rFonts w:hint="eastAsia"/>
              </w:rPr>
            </w:pPr>
          </w:p>
        </w:tc>
      </w:tr>
    </w:tbl>
    <w:p w:rsidR="004C537C" w:rsidRDefault="00574707" w:rsidP="0046467D">
      <w:pPr>
        <w:pStyle w:val="142"/>
        <w:ind w:left="1418" w:hangingChars="583" w:hanging="1418"/>
        <w:rPr>
          <w:rFonts w:hint="eastAsia"/>
        </w:rPr>
      </w:pPr>
      <w:r>
        <w:rPr>
          <w:rFonts w:hint="eastAsia"/>
        </w:rPr>
        <w:t>說    明：</w:t>
      </w:r>
      <w:r w:rsidR="004C537C">
        <w:rPr>
          <w:rFonts w:hint="eastAsia"/>
        </w:rPr>
        <w:t>113年度統計至9月底止。</w:t>
      </w:r>
    </w:p>
    <w:p w:rsidR="001742E8" w:rsidRPr="00215A80" w:rsidRDefault="00093051" w:rsidP="000D1801">
      <w:pPr>
        <w:pStyle w:val="142"/>
        <w:rPr>
          <w:rFonts w:hint="eastAsia"/>
          <w:color w:val="FF0000"/>
        </w:rPr>
      </w:pPr>
      <w:r w:rsidRPr="00923B18">
        <w:rPr>
          <w:rFonts w:hint="eastAsia"/>
        </w:rPr>
        <w:t>資料來源：臺銀人壽。</w:t>
      </w:r>
      <w:bookmarkEnd w:id="19"/>
      <w:r w:rsidR="000D1801">
        <w:rPr>
          <w:rFonts w:hint="eastAsia"/>
        </w:rPr>
        <w:t xml:space="preserve">                                </w:t>
      </w:r>
      <w:r w:rsidR="001360B6" w:rsidRPr="001360B6">
        <w:rPr>
          <w:szCs w:val="24"/>
        </w:rPr>
        <w:t>(</w:t>
      </w:r>
      <w:r w:rsidR="001360B6" w:rsidRPr="001360B6">
        <w:rPr>
          <w:rFonts w:hint="eastAsia"/>
          <w:szCs w:val="24"/>
        </w:rPr>
        <w:t>分機：1915 楊莉敏)</w:t>
      </w:r>
    </w:p>
    <w:sectPr w:rsidR="001742E8" w:rsidRPr="00215A80" w:rsidSect="006B1D36">
      <w:headerReference w:type="even" r:id="rId14"/>
      <w:headerReference w:type="default" r:id="rId15"/>
      <w:footerReference w:type="even" r:id="rId16"/>
      <w:footerReference w:type="default" r:id="rId17"/>
      <w:headerReference w:type="first" r:id="rId18"/>
      <w:footerReference w:type="first" r:id="rId19"/>
      <w:pgSz w:w="11906" w:h="16838" w:code="9"/>
      <w:pgMar w:top="1701" w:right="1701" w:bottom="1701" w:left="1701" w:header="0" w:footer="567"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588C" w:rsidRDefault="009B588C" w:rsidP="00B50BB8">
      <w:pPr>
        <w:spacing w:line="240" w:lineRule="auto"/>
        <w:ind w:left="560" w:firstLine="560"/>
      </w:pPr>
      <w:r>
        <w:separator/>
      </w:r>
    </w:p>
  </w:endnote>
  <w:endnote w:type="continuationSeparator" w:id="0">
    <w:p w:rsidR="009B588C" w:rsidRDefault="009B588C" w:rsidP="00B50BB8">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32A8" w:rsidRDefault="002332A8" w:rsidP="002F70EC">
    <w:pPr>
      <w:pStyle w:val="af1"/>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32A8" w:rsidRDefault="002332A8" w:rsidP="006B1D36">
    <w:pPr>
      <w:pStyle w:val="af1"/>
      <w:ind w:leftChars="3" w:left="558" w:hangingChars="275" w:hanging="550"/>
      <w:jc w:val="center"/>
    </w:pPr>
    <w:r>
      <w:fldChar w:fldCharType="begin"/>
    </w:r>
    <w:r>
      <w:instrText>PAGE   \* MERGEFORMAT</w:instrText>
    </w:r>
    <w:r>
      <w:fldChar w:fldCharType="separate"/>
    </w:r>
    <w:r w:rsidR="00DF56E4" w:rsidRPr="00DF56E4">
      <w:rPr>
        <w:noProof/>
        <w:lang w:val="zh-TW"/>
      </w:rPr>
      <w:t>1</w:t>
    </w:r>
    <w:r>
      <w:fldChar w:fldCharType="end"/>
    </w:r>
  </w:p>
  <w:p w:rsidR="002332A8" w:rsidRDefault="002332A8" w:rsidP="000421DE">
    <w:pPr>
      <w:pStyle w:val="af1"/>
      <w:ind w:leftChars="0" w:left="0" w:firstLineChars="0" w:firstLine="0"/>
      <w:rPr>
        <w:rFonts w:hint="eastAsia"/>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32A8" w:rsidRDefault="002332A8" w:rsidP="002F70EC">
    <w:pPr>
      <w:pStyle w:val="af1"/>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32A8" w:rsidRDefault="002332A8" w:rsidP="002F70EC">
    <w:pPr>
      <w:pStyle w:val="af1"/>
      <w:ind w:left="560" w:firstLine="40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32A8" w:rsidRDefault="002332A8" w:rsidP="006B1D36">
    <w:pPr>
      <w:pStyle w:val="af1"/>
      <w:ind w:leftChars="3" w:left="558" w:hangingChars="275" w:hanging="550"/>
      <w:jc w:val="center"/>
    </w:pPr>
    <w:r>
      <w:fldChar w:fldCharType="begin"/>
    </w:r>
    <w:r>
      <w:instrText>PAGE   \* MERGEFORMAT</w:instrText>
    </w:r>
    <w:r>
      <w:fldChar w:fldCharType="separate"/>
    </w:r>
    <w:r w:rsidR="00DF56E4" w:rsidRPr="00DF56E4">
      <w:rPr>
        <w:noProof/>
        <w:lang w:val="zh-TW"/>
      </w:rPr>
      <w:t>1</w:t>
    </w:r>
    <w:r>
      <w:fldChar w:fldCharType="end"/>
    </w:r>
  </w:p>
  <w:p w:rsidR="002332A8" w:rsidRDefault="002332A8" w:rsidP="000421DE">
    <w:pPr>
      <w:pStyle w:val="af1"/>
      <w:ind w:leftChars="0" w:left="0" w:firstLineChars="0" w:firstLine="0"/>
      <w:rPr>
        <w:rFonts w:hint="eastAsia"/>
      </w:rP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32A8" w:rsidRDefault="002332A8" w:rsidP="002F70EC">
    <w:pPr>
      <w:pStyle w:val="a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588C" w:rsidRDefault="009B588C" w:rsidP="002332A8">
      <w:pPr>
        <w:spacing w:line="240" w:lineRule="auto"/>
        <w:ind w:left="560" w:firstLine="560"/>
      </w:pPr>
      <w:r>
        <w:separator/>
      </w:r>
    </w:p>
  </w:footnote>
  <w:footnote w:type="continuationSeparator" w:id="0">
    <w:p w:rsidR="009B588C" w:rsidRDefault="009B588C" w:rsidP="00B50BB8">
      <w:pPr>
        <w:spacing w:line="240" w:lineRule="auto"/>
        <w:ind w:left="560" w:firstLine="560"/>
      </w:pPr>
      <w:r>
        <w:continuationSeparator/>
      </w:r>
    </w:p>
  </w:footnote>
  <w:footnote w:id="1">
    <w:p w:rsidR="00FA2182" w:rsidRPr="004F35B6" w:rsidRDefault="00FA2182" w:rsidP="00FA2182">
      <w:pPr>
        <w:pStyle w:val="af3"/>
        <w:ind w:left="141" w:hangingChars="58" w:hanging="141"/>
        <w:rPr>
          <w:rFonts w:hint="eastAsia"/>
        </w:rPr>
      </w:pPr>
      <w:r>
        <w:rPr>
          <w:rStyle w:val="af5"/>
        </w:rPr>
        <w:footnoteRef/>
      </w:r>
      <w:r>
        <w:t xml:space="preserve"> </w:t>
      </w:r>
      <w:r w:rsidRPr="00DD5890">
        <w:rPr>
          <w:rFonts w:hint="eastAsia"/>
        </w:rPr>
        <w:t>國際保險資本標準(Insurance Capital Standard,ICS</w:t>
      </w:r>
      <w:r>
        <w:t>)</w:t>
      </w:r>
      <w:r>
        <w:rPr>
          <w:rFonts w:hint="eastAsia"/>
        </w:rPr>
        <w:t>，係</w:t>
      </w:r>
      <w:r w:rsidRPr="004F35B6">
        <w:rPr>
          <w:rFonts w:hint="eastAsia"/>
        </w:rPr>
        <w:t>國際保險監理官協會</w:t>
      </w:r>
      <w:r w:rsidRPr="004F35B6">
        <w:t>IAIS</w:t>
      </w:r>
      <w:r w:rsidRPr="004F35B6">
        <w:rPr>
          <w:rFonts w:hint="eastAsia"/>
        </w:rPr>
        <w:t>發布，以公允價值衡量資產與負債，為有助公司全面落實資產負債管理、增強財務體質並承擔各種風險之能力</w:t>
      </w:r>
      <w:r>
        <w:rPr>
          <w:rFonts w:hint="eastAsia"/>
        </w:rPr>
        <w:t>；其</w:t>
      </w:r>
      <w:r w:rsidRPr="004F35B6">
        <w:rPr>
          <w:rFonts w:hint="eastAsia"/>
        </w:rPr>
        <w:t>保險業清償能力制度</w:t>
      </w:r>
      <w:r>
        <w:rPr>
          <w:rFonts w:hint="eastAsia"/>
        </w:rPr>
        <w:t>，係指保險公司履行保險契約責任或償還公司債務之能力</w:t>
      </w:r>
      <w:r w:rsidRPr="004F35B6">
        <w:rPr>
          <w:rFonts w:hint="eastAsia"/>
        </w:rPr>
        <w:t>。</w:t>
      </w:r>
    </w:p>
  </w:footnote>
  <w:footnote w:id="2">
    <w:p w:rsidR="004832A1" w:rsidRPr="004832A1" w:rsidRDefault="004832A1">
      <w:pPr>
        <w:pStyle w:val="af3"/>
        <w:ind w:left="73" w:hanging="73"/>
        <w:rPr>
          <w:rFonts w:hint="eastAsia"/>
        </w:rPr>
      </w:pPr>
      <w:r>
        <w:rPr>
          <w:rStyle w:val="af5"/>
        </w:rPr>
        <w:footnoteRef/>
      </w:r>
      <w:r>
        <w:t xml:space="preserve"> </w:t>
      </w:r>
      <w:r w:rsidRPr="004832A1">
        <w:rPr>
          <w:rFonts w:hint="eastAsia"/>
        </w:rPr>
        <w:t>審計部，</w:t>
      </w:r>
      <w:r w:rsidRPr="004832A1">
        <w:t>112</w:t>
      </w:r>
      <w:r w:rsidRPr="004832A1">
        <w:rPr>
          <w:rFonts w:hint="eastAsia"/>
        </w:rPr>
        <w:t>年中央政府總決算審核報告</w:t>
      </w:r>
      <w:r>
        <w:rPr>
          <w:rFonts w:hint="eastAsia"/>
        </w:rPr>
        <w:t>營業部分</w:t>
      </w:r>
      <w:r w:rsidRPr="004832A1">
        <w:rPr>
          <w:rFonts w:hint="eastAsia"/>
        </w:rPr>
        <w:t>，頁</w:t>
      </w:r>
      <w:r>
        <w:rPr>
          <w:rFonts w:hint="eastAsia"/>
        </w:rPr>
        <w:t>乙</w:t>
      </w:r>
      <w:r w:rsidRPr="004832A1">
        <w:t>-</w:t>
      </w:r>
      <w:r>
        <w:rPr>
          <w:rFonts w:hint="eastAsia"/>
        </w:rPr>
        <w:t>178</w:t>
      </w:r>
      <w:r w:rsidRPr="004832A1">
        <w:t>(2024</w:t>
      </w:r>
      <w:r w:rsidRPr="004832A1">
        <w:rPr>
          <w:rFonts w:hint="eastAsia"/>
        </w:rPr>
        <w:t>版</w:t>
      </w:r>
      <w:r w:rsidRPr="004832A1">
        <w:t>)</w:t>
      </w:r>
    </w:p>
  </w:footnote>
  <w:footnote w:id="3">
    <w:p w:rsidR="00FA2182" w:rsidRPr="004D56D5" w:rsidRDefault="00FA2182" w:rsidP="003B5FF2">
      <w:pPr>
        <w:pStyle w:val="af3"/>
        <w:ind w:left="141" w:hangingChars="58" w:hanging="141"/>
        <w:rPr>
          <w:rFonts w:hint="eastAsia"/>
        </w:rPr>
      </w:pPr>
      <w:r>
        <w:rPr>
          <w:rStyle w:val="af5"/>
        </w:rPr>
        <w:footnoteRef/>
      </w:r>
      <w:r>
        <w:t xml:space="preserve"> </w:t>
      </w:r>
      <w:r>
        <w:rPr>
          <w:rFonts w:hint="eastAsia"/>
        </w:rPr>
        <w:t>依據</w:t>
      </w:r>
      <w:bookmarkStart w:id="13" w:name="_Hlk149124150"/>
      <w:r>
        <w:rPr>
          <w:rFonts w:hint="eastAsia"/>
        </w:rPr>
        <w:t>金融監督管理委員會</w:t>
      </w:r>
      <w:bookmarkEnd w:id="13"/>
      <w:r>
        <w:rPr>
          <w:rFonts w:hint="eastAsia"/>
        </w:rPr>
        <w:t>訂頒之「人身保險商品審查應注意事項」辦理</w:t>
      </w:r>
      <w:r w:rsidR="000A3713">
        <w:rPr>
          <w:rFonts w:hint="eastAsia"/>
        </w:rPr>
        <w:t>，</w:t>
      </w:r>
      <w:r w:rsidRPr="0044072B">
        <w:rPr>
          <w:rFonts w:hint="eastAsia"/>
        </w:rPr>
        <w:t>合約服務邊際（CSM）</w:t>
      </w:r>
      <w:r>
        <w:rPr>
          <w:rFonts w:hint="eastAsia"/>
        </w:rPr>
        <w:t>，係指保險合約群組之資產或負債之組成部分，其代表個體將於未來提供合約服務時認列之未賺得利潤。</w:t>
      </w:r>
    </w:p>
  </w:footnote>
  <w:footnote w:id="4">
    <w:p w:rsidR="00FA2182" w:rsidRPr="004B609C" w:rsidRDefault="00FA2182" w:rsidP="00A43F37">
      <w:pPr>
        <w:pStyle w:val="146"/>
        <w:rPr>
          <w:rFonts w:hint="eastAsia"/>
        </w:rPr>
      </w:pPr>
      <w:r>
        <w:rPr>
          <w:rStyle w:val="af5"/>
        </w:rPr>
        <w:footnoteRef/>
      </w:r>
      <w:r>
        <w:t xml:space="preserve"> IFRS 17「保險合約」係規範保險合約衡量及表達之會計處理準則</w:t>
      </w:r>
      <w:r w:rsidR="002A30A8">
        <w:rPr>
          <w:rFonts w:hint="eastAsia"/>
        </w:rPr>
        <w:t>，</w:t>
      </w:r>
      <w:r>
        <w:t>我國自102年全面採用IFRSs，107年實施IFRS 9以公允價值衡量金融資產，並訂於115年實施IFRS 17以公允價值衡量負債，自此保險業資產負債將全面採用公允價值評估</w:t>
      </w:r>
      <w:r>
        <w:rPr>
          <w:rFonts w:hint="eastAsia"/>
        </w:rPr>
        <w:t>。</w:t>
      </w:r>
    </w:p>
  </w:footnote>
  <w:footnote w:id="5">
    <w:p w:rsidR="00FA2182" w:rsidRPr="004B6D40" w:rsidRDefault="00FA2182" w:rsidP="00A43F37">
      <w:pPr>
        <w:pStyle w:val="af3"/>
        <w:ind w:left="141" w:hangingChars="58" w:hanging="141"/>
        <w:rPr>
          <w:rFonts w:hint="eastAsia"/>
        </w:rPr>
      </w:pPr>
      <w:r>
        <w:rPr>
          <w:rStyle w:val="af5"/>
        </w:rPr>
        <w:footnoteRef/>
      </w:r>
      <w:r>
        <w:t xml:space="preserve"> </w:t>
      </w:r>
      <w:r w:rsidRPr="00026A23">
        <w:rPr>
          <w:bCs/>
        </w:rPr>
        <w:t>CSM</w:t>
      </w:r>
      <w:r w:rsidRPr="00026A23">
        <w:rPr>
          <w:rFonts w:hAnsi="標楷體"/>
          <w:bCs/>
        </w:rPr>
        <w:t>目標</w:t>
      </w:r>
      <w:r>
        <w:rPr>
          <w:rFonts w:hAnsi="標楷體"/>
          <w:bCs/>
        </w:rPr>
        <w:t>值</w:t>
      </w:r>
      <w:r w:rsidRPr="00026A23">
        <w:rPr>
          <w:rFonts w:hAnsi="標楷體"/>
          <w:bCs/>
        </w:rPr>
        <w:t>係依各險種保費目標數推估各商品保費目標數，再依各商品保費目標數</w:t>
      </w:r>
      <w:r w:rsidRPr="00026A23">
        <w:t>*</w:t>
      </w:r>
      <w:r w:rsidRPr="00026A23">
        <w:rPr>
          <w:rFonts w:hAnsi="標楷體"/>
        </w:rPr>
        <w:t>各商品</w:t>
      </w:r>
      <w:r w:rsidRPr="00026A23">
        <w:t>CSM</w:t>
      </w:r>
      <w:r w:rsidRPr="00026A23">
        <w:rPr>
          <w:rFonts w:hAnsi="標楷體"/>
        </w:rPr>
        <w:t>係數</w:t>
      </w:r>
      <w:r w:rsidRPr="00026A23">
        <w:rPr>
          <w:rFonts w:hAnsi="標楷體"/>
          <w:kern w:val="0"/>
        </w:rPr>
        <w:t>加總計算而成</w:t>
      </w:r>
      <w:r>
        <w:rPr>
          <w:rFonts w:hAnsi="標楷體" w:hint="eastAsia"/>
          <w:kern w:val="0"/>
        </w:rPr>
        <w:t>；</w:t>
      </w:r>
      <w:r w:rsidRPr="00026A23">
        <w:t>CSM</w:t>
      </w:r>
      <w:r w:rsidRPr="00026A23">
        <w:rPr>
          <w:rFonts w:hAnsi="標楷體"/>
        </w:rPr>
        <w:t>係數係參酌精算顧問公司負債公允價值評估報告之各商品利潤率中</w:t>
      </w:r>
      <w:r w:rsidRPr="00026A23">
        <w:t>CSM</w:t>
      </w:r>
      <w:r w:rsidRPr="00026A23">
        <w:t>÷</w:t>
      </w:r>
      <w:r w:rsidRPr="00026A23">
        <w:t>FYP</w:t>
      </w:r>
      <w:r>
        <w:rPr>
          <w:rFonts w:hint="eastAsia"/>
        </w:rPr>
        <w:t>(初年保費收入)</w:t>
      </w:r>
      <w:r w:rsidRPr="00026A23">
        <w:rPr>
          <w:rFonts w:hAnsi="標楷體"/>
        </w:rPr>
        <w:t>之數值，新上架商品則依該商品上架前所計算之</w:t>
      </w:r>
      <w:r w:rsidRPr="00026A23">
        <w:t>CSM</w:t>
      </w:r>
      <w:r w:rsidRPr="00026A23">
        <w:rPr>
          <w:rFonts w:hAnsi="標楷體"/>
        </w:rPr>
        <w:t>為基礎。</w:t>
      </w:r>
    </w:p>
  </w:footnote>
  <w:footnote w:id="6">
    <w:p w:rsidR="006D3F59" w:rsidRDefault="006D3F59">
      <w:pPr>
        <w:pStyle w:val="af3"/>
        <w:ind w:left="73" w:hanging="73"/>
        <w:rPr>
          <w:rFonts w:hint="eastAsia"/>
        </w:rPr>
      </w:pPr>
      <w:r>
        <w:rPr>
          <w:rStyle w:val="af5"/>
        </w:rPr>
        <w:footnoteRef/>
      </w:r>
      <w:r>
        <w:t xml:space="preserve"> </w:t>
      </w:r>
      <w:r>
        <w:rPr>
          <w:rFonts w:hint="eastAsia"/>
        </w:rPr>
        <w:t>按事件通報風險主管單位之年度統計件數。</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32A8" w:rsidRDefault="002332A8" w:rsidP="002F70EC">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32A8" w:rsidRDefault="002332A8" w:rsidP="00B50BB8">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32A8" w:rsidRDefault="002332A8" w:rsidP="002F70EC">
    <w:pPr>
      <w:pStyle w:val="af"/>
      <w:ind w:left="560" w:firstLine="4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32A8" w:rsidRDefault="002332A8" w:rsidP="002F70EC">
    <w:pPr>
      <w:pStyle w:val="af"/>
      <w:ind w:left="560" w:firstLine="40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32A8" w:rsidRDefault="002332A8" w:rsidP="00B50BB8">
    <w:pPr>
      <w:pStyle w:val="af"/>
      <w:ind w:left="560" w:firstLine="40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32A8" w:rsidRDefault="002332A8" w:rsidP="002F70EC">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614CFF6"/>
    <w:lvl w:ilvl="0">
      <w:start w:val="1"/>
      <w:numFmt w:val="decimal"/>
      <w:lvlText w:val="%1."/>
      <w:lvlJc w:val="left"/>
      <w:pPr>
        <w:tabs>
          <w:tab w:val="num" w:pos="2281"/>
        </w:tabs>
        <w:ind w:leftChars="1000" w:left="2281" w:hangingChars="200" w:hanging="360"/>
      </w:pPr>
    </w:lvl>
  </w:abstractNum>
  <w:abstractNum w:abstractNumId="1" w15:restartNumberingAfterBreak="0">
    <w:nsid w:val="FFFFFF7D"/>
    <w:multiLevelType w:val="singleLevel"/>
    <w:tmpl w:val="1D5CD804"/>
    <w:lvl w:ilvl="0">
      <w:start w:val="1"/>
      <w:numFmt w:val="decimal"/>
      <w:lvlText w:val="%1."/>
      <w:lvlJc w:val="left"/>
      <w:pPr>
        <w:tabs>
          <w:tab w:val="num" w:pos="1801"/>
        </w:tabs>
        <w:ind w:leftChars="800" w:left="1801" w:hangingChars="200" w:hanging="360"/>
      </w:pPr>
    </w:lvl>
  </w:abstractNum>
  <w:abstractNum w:abstractNumId="2" w15:restartNumberingAfterBreak="0">
    <w:nsid w:val="FFFFFF7E"/>
    <w:multiLevelType w:val="singleLevel"/>
    <w:tmpl w:val="7210511C"/>
    <w:lvl w:ilvl="0">
      <w:start w:val="1"/>
      <w:numFmt w:val="decimal"/>
      <w:lvlText w:val="%1."/>
      <w:lvlJc w:val="left"/>
      <w:pPr>
        <w:tabs>
          <w:tab w:val="num" w:pos="1321"/>
        </w:tabs>
        <w:ind w:leftChars="600" w:left="1321" w:hangingChars="200" w:hanging="360"/>
      </w:pPr>
    </w:lvl>
  </w:abstractNum>
  <w:abstractNum w:abstractNumId="3" w15:restartNumberingAfterBreak="0">
    <w:nsid w:val="FFFFFF7F"/>
    <w:multiLevelType w:val="singleLevel"/>
    <w:tmpl w:val="59ACAAE4"/>
    <w:lvl w:ilvl="0">
      <w:start w:val="1"/>
      <w:numFmt w:val="decimal"/>
      <w:lvlText w:val="%1."/>
      <w:lvlJc w:val="left"/>
      <w:pPr>
        <w:tabs>
          <w:tab w:val="num" w:pos="841"/>
        </w:tabs>
        <w:ind w:leftChars="400" w:left="841" w:hangingChars="200" w:hanging="360"/>
      </w:pPr>
    </w:lvl>
  </w:abstractNum>
  <w:abstractNum w:abstractNumId="4" w15:restartNumberingAfterBreak="0">
    <w:nsid w:val="FFFFFF80"/>
    <w:multiLevelType w:val="singleLevel"/>
    <w:tmpl w:val="5D12DE5E"/>
    <w:lvl w:ilvl="0">
      <w:start w:val="1"/>
      <w:numFmt w:val="bullet"/>
      <w:lvlText w:val=""/>
      <w:lvlJc w:val="left"/>
      <w:pPr>
        <w:tabs>
          <w:tab w:val="num" w:pos="2281"/>
        </w:tabs>
        <w:ind w:leftChars="1000" w:left="2281" w:hangingChars="200" w:hanging="360"/>
      </w:pPr>
      <w:rPr>
        <w:rFonts w:ascii="Wingdings" w:hAnsi="Wingdings" w:hint="default"/>
      </w:rPr>
    </w:lvl>
  </w:abstractNum>
  <w:abstractNum w:abstractNumId="5" w15:restartNumberingAfterBreak="0">
    <w:nsid w:val="FFFFFF81"/>
    <w:multiLevelType w:val="singleLevel"/>
    <w:tmpl w:val="610A279E"/>
    <w:lvl w:ilvl="0">
      <w:start w:val="1"/>
      <w:numFmt w:val="bullet"/>
      <w:lvlText w:val=""/>
      <w:lvlJc w:val="left"/>
      <w:pPr>
        <w:tabs>
          <w:tab w:val="num" w:pos="1801"/>
        </w:tabs>
        <w:ind w:leftChars="800" w:left="1801" w:hangingChars="200" w:hanging="360"/>
      </w:pPr>
      <w:rPr>
        <w:rFonts w:ascii="Wingdings" w:hAnsi="Wingdings" w:hint="default"/>
      </w:rPr>
    </w:lvl>
  </w:abstractNum>
  <w:abstractNum w:abstractNumId="6" w15:restartNumberingAfterBreak="0">
    <w:nsid w:val="FFFFFF82"/>
    <w:multiLevelType w:val="singleLevel"/>
    <w:tmpl w:val="087AB5AE"/>
    <w:lvl w:ilvl="0">
      <w:start w:val="1"/>
      <w:numFmt w:val="bullet"/>
      <w:lvlText w:val=""/>
      <w:lvlJc w:val="left"/>
      <w:pPr>
        <w:tabs>
          <w:tab w:val="num" w:pos="1321"/>
        </w:tabs>
        <w:ind w:leftChars="600" w:left="1321" w:hangingChars="200" w:hanging="360"/>
      </w:pPr>
      <w:rPr>
        <w:rFonts w:ascii="Wingdings" w:hAnsi="Wingdings" w:hint="default"/>
      </w:rPr>
    </w:lvl>
  </w:abstractNum>
  <w:abstractNum w:abstractNumId="7" w15:restartNumberingAfterBreak="0">
    <w:nsid w:val="FFFFFF83"/>
    <w:multiLevelType w:val="singleLevel"/>
    <w:tmpl w:val="7C880A78"/>
    <w:lvl w:ilvl="0">
      <w:start w:val="1"/>
      <w:numFmt w:val="bullet"/>
      <w:lvlText w:val=""/>
      <w:lvlJc w:val="left"/>
      <w:pPr>
        <w:tabs>
          <w:tab w:val="num" w:pos="841"/>
        </w:tabs>
        <w:ind w:leftChars="400" w:left="841" w:hangingChars="200" w:hanging="360"/>
      </w:pPr>
      <w:rPr>
        <w:rFonts w:ascii="Wingdings" w:hAnsi="Wingdings" w:hint="default"/>
      </w:rPr>
    </w:lvl>
  </w:abstractNum>
  <w:abstractNum w:abstractNumId="8" w15:restartNumberingAfterBreak="0">
    <w:nsid w:val="FFFFFF88"/>
    <w:multiLevelType w:val="singleLevel"/>
    <w:tmpl w:val="C71CFE96"/>
    <w:lvl w:ilvl="0">
      <w:start w:val="1"/>
      <w:numFmt w:val="decimal"/>
      <w:lvlText w:val="%1."/>
      <w:lvlJc w:val="left"/>
      <w:pPr>
        <w:tabs>
          <w:tab w:val="num" w:pos="361"/>
        </w:tabs>
        <w:ind w:leftChars="200" w:left="361" w:hangingChars="200" w:hanging="360"/>
      </w:pPr>
    </w:lvl>
  </w:abstractNum>
  <w:abstractNum w:abstractNumId="9" w15:restartNumberingAfterBreak="0">
    <w:nsid w:val="FFFFFF89"/>
    <w:multiLevelType w:val="singleLevel"/>
    <w:tmpl w:val="A8A67CD6"/>
    <w:lvl w:ilvl="0">
      <w:start w:val="1"/>
      <w:numFmt w:val="bullet"/>
      <w:lvlText w:val=""/>
      <w:lvlJc w:val="left"/>
      <w:pPr>
        <w:tabs>
          <w:tab w:val="num" w:pos="361"/>
        </w:tabs>
        <w:ind w:leftChars="200" w:left="361" w:hangingChars="200" w:hanging="360"/>
      </w:pPr>
      <w:rPr>
        <w:rFonts w:ascii="Wingdings" w:hAnsi="Wingdings" w:hint="default"/>
      </w:rPr>
    </w:lvl>
  </w:abstractNum>
  <w:abstractNum w:abstractNumId="10" w15:restartNumberingAfterBreak="0">
    <w:nsid w:val="068B3846"/>
    <w:multiLevelType w:val="hybridMultilevel"/>
    <w:tmpl w:val="7804ACB2"/>
    <w:lvl w:ilvl="0" w:tplc="B0761D0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1" w15:restartNumberingAfterBreak="0">
    <w:nsid w:val="0CC210D6"/>
    <w:multiLevelType w:val="hybridMultilevel"/>
    <w:tmpl w:val="CC7C4048"/>
    <w:lvl w:ilvl="0" w:tplc="C8309564">
      <w:start w:val="1"/>
      <w:numFmt w:val="decimal"/>
      <w:lvlText w:val="(%1）"/>
      <w:lvlJc w:val="left"/>
      <w:pPr>
        <w:tabs>
          <w:tab w:val="num" w:pos="1570"/>
        </w:tabs>
        <w:ind w:left="1570" w:hanging="72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2" w15:restartNumberingAfterBreak="0">
    <w:nsid w:val="0FE1660A"/>
    <w:multiLevelType w:val="hybridMultilevel"/>
    <w:tmpl w:val="8222F406"/>
    <w:lvl w:ilvl="0" w:tplc="0362151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2B43654"/>
    <w:multiLevelType w:val="hybridMultilevel"/>
    <w:tmpl w:val="3DAEB6AC"/>
    <w:lvl w:ilvl="0" w:tplc="2D00AE38">
      <w:start w:val="1"/>
      <w:numFmt w:val="decimal"/>
      <w:lvlText w:val="%1."/>
      <w:lvlJc w:val="left"/>
      <w:pPr>
        <w:ind w:left="1285" w:hanging="435"/>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18E950BD"/>
    <w:multiLevelType w:val="hybridMultilevel"/>
    <w:tmpl w:val="4BFEB158"/>
    <w:lvl w:ilvl="0" w:tplc="0409000F">
      <w:start w:val="1"/>
      <w:numFmt w:val="decimal"/>
      <w:lvlText w:val="%1."/>
      <w:lvlJc w:val="left"/>
      <w:pPr>
        <w:ind w:left="1896" w:hanging="480"/>
      </w:p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5" w15:restartNumberingAfterBreak="0">
    <w:nsid w:val="1EF566A9"/>
    <w:multiLevelType w:val="hybridMultilevel"/>
    <w:tmpl w:val="432C7C20"/>
    <w:lvl w:ilvl="0" w:tplc="45B6E8B0">
      <w:start w:val="1"/>
      <w:numFmt w:val="decimal"/>
      <w:lvlText w:val="%1."/>
      <w:lvlJc w:val="left"/>
      <w:pPr>
        <w:ind w:left="926" w:hanging="36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6" w15:restartNumberingAfterBreak="0">
    <w:nsid w:val="209350CF"/>
    <w:multiLevelType w:val="hybridMultilevel"/>
    <w:tmpl w:val="C184755E"/>
    <w:lvl w:ilvl="0" w:tplc="3634EC0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A8827F1"/>
    <w:multiLevelType w:val="hybridMultilevel"/>
    <w:tmpl w:val="3DC64580"/>
    <w:lvl w:ilvl="0" w:tplc="F73EAB9E">
      <w:start w:val="1"/>
      <w:numFmt w:val="taiwaneseCountingThousand"/>
      <w:lvlText w:val="%1、"/>
      <w:lvlJc w:val="left"/>
      <w:pPr>
        <w:ind w:left="864" w:hanging="72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18" w15:restartNumberingAfterBreak="0">
    <w:nsid w:val="3B986C4D"/>
    <w:multiLevelType w:val="hybridMultilevel"/>
    <w:tmpl w:val="BAA270D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C4979A8"/>
    <w:multiLevelType w:val="hybridMultilevel"/>
    <w:tmpl w:val="640A6006"/>
    <w:lvl w:ilvl="0" w:tplc="063A4A12">
      <w:start w:val="1"/>
      <w:numFmt w:val="taiwaneseCountingThousand"/>
      <w:lvlText w:val="%1、"/>
      <w:lvlJc w:val="left"/>
      <w:pPr>
        <w:ind w:left="720" w:hanging="720"/>
      </w:pPr>
      <w:rPr>
        <w:rFonts w:ascii="標楷體" w:eastAsia="標楷體" w:hAnsi="標楷體" w:hint="default"/>
      </w:rPr>
    </w:lvl>
    <w:lvl w:ilvl="1" w:tplc="5F3268B4">
      <w:start w:val="1"/>
      <w:numFmt w:val="taiwaneseCountingThousand"/>
      <w:lvlText w:val="(%2)"/>
      <w:lvlJc w:val="left"/>
      <w:pPr>
        <w:tabs>
          <w:tab w:val="num" w:pos="1200"/>
        </w:tabs>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48A7C65"/>
    <w:multiLevelType w:val="hybridMultilevel"/>
    <w:tmpl w:val="1F8470D4"/>
    <w:lvl w:ilvl="0" w:tplc="A2926A6C">
      <w:start w:val="1"/>
      <w:numFmt w:val="taiwaneseCountingThousand"/>
      <w:lvlText w:val="%1、"/>
      <w:lvlJc w:val="left"/>
      <w:pPr>
        <w:ind w:left="864" w:hanging="72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21" w15:restartNumberingAfterBreak="0">
    <w:nsid w:val="56B0725B"/>
    <w:multiLevelType w:val="hybridMultilevel"/>
    <w:tmpl w:val="EAA69806"/>
    <w:lvl w:ilvl="0" w:tplc="156064D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2" w15:restartNumberingAfterBreak="0">
    <w:nsid w:val="5832492C"/>
    <w:multiLevelType w:val="hybridMultilevel"/>
    <w:tmpl w:val="CC54545C"/>
    <w:lvl w:ilvl="0" w:tplc="085AB248">
      <w:start w:val="1"/>
      <w:numFmt w:val="taiwaneseCountingThousand"/>
      <w:lvlText w:val="(%1)"/>
      <w:lvlJc w:val="left"/>
      <w:pPr>
        <w:ind w:left="480" w:hanging="480"/>
      </w:pPr>
      <w:rPr>
        <w:rFonts w:ascii="Times New Roman" w:hAnsi="Times New Roman" w:cs="Times New Roman" w:hint="default"/>
        <w:spacing w:val="0"/>
        <w:position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86B55C6"/>
    <w:multiLevelType w:val="hybridMultilevel"/>
    <w:tmpl w:val="D12C3266"/>
    <w:lvl w:ilvl="0" w:tplc="EA24004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5E3A1932"/>
    <w:multiLevelType w:val="hybridMultilevel"/>
    <w:tmpl w:val="1DA8F762"/>
    <w:lvl w:ilvl="0" w:tplc="04090001">
      <w:start w:val="1"/>
      <w:numFmt w:val="bullet"/>
      <w:lvlText w:val=""/>
      <w:lvlJc w:val="left"/>
      <w:pPr>
        <w:ind w:left="920" w:hanging="720"/>
      </w:pPr>
      <w:rPr>
        <w:rFonts w:ascii="Wingdings" w:hAnsi="Wingdings" w:hint="default"/>
      </w:rPr>
    </w:lvl>
    <w:lvl w:ilvl="1" w:tplc="04090019" w:tentative="1">
      <w:start w:val="1"/>
      <w:numFmt w:val="ideographTraditional"/>
      <w:lvlText w:val="%2、"/>
      <w:lvlJc w:val="left"/>
      <w:pPr>
        <w:ind w:left="1160" w:hanging="480"/>
      </w:pPr>
    </w:lvl>
    <w:lvl w:ilvl="2" w:tplc="0409001B" w:tentative="1">
      <w:start w:val="1"/>
      <w:numFmt w:val="lowerRoman"/>
      <w:lvlText w:val="%3."/>
      <w:lvlJc w:val="right"/>
      <w:pPr>
        <w:ind w:left="1640" w:hanging="480"/>
      </w:pPr>
    </w:lvl>
    <w:lvl w:ilvl="3" w:tplc="0409000F" w:tentative="1">
      <w:start w:val="1"/>
      <w:numFmt w:val="decimal"/>
      <w:lvlText w:val="%4."/>
      <w:lvlJc w:val="left"/>
      <w:pPr>
        <w:ind w:left="2120" w:hanging="480"/>
      </w:pPr>
    </w:lvl>
    <w:lvl w:ilvl="4" w:tplc="04090019" w:tentative="1">
      <w:start w:val="1"/>
      <w:numFmt w:val="ideographTraditional"/>
      <w:lvlText w:val="%5、"/>
      <w:lvlJc w:val="left"/>
      <w:pPr>
        <w:ind w:left="2600" w:hanging="480"/>
      </w:pPr>
    </w:lvl>
    <w:lvl w:ilvl="5" w:tplc="0409001B" w:tentative="1">
      <w:start w:val="1"/>
      <w:numFmt w:val="lowerRoman"/>
      <w:lvlText w:val="%6."/>
      <w:lvlJc w:val="right"/>
      <w:pPr>
        <w:ind w:left="3080" w:hanging="480"/>
      </w:pPr>
    </w:lvl>
    <w:lvl w:ilvl="6" w:tplc="0409000F" w:tentative="1">
      <w:start w:val="1"/>
      <w:numFmt w:val="decimal"/>
      <w:lvlText w:val="%7."/>
      <w:lvlJc w:val="left"/>
      <w:pPr>
        <w:ind w:left="3560" w:hanging="480"/>
      </w:pPr>
    </w:lvl>
    <w:lvl w:ilvl="7" w:tplc="04090019" w:tentative="1">
      <w:start w:val="1"/>
      <w:numFmt w:val="ideographTraditional"/>
      <w:lvlText w:val="%8、"/>
      <w:lvlJc w:val="left"/>
      <w:pPr>
        <w:ind w:left="4040" w:hanging="480"/>
      </w:pPr>
    </w:lvl>
    <w:lvl w:ilvl="8" w:tplc="0409001B" w:tentative="1">
      <w:start w:val="1"/>
      <w:numFmt w:val="lowerRoman"/>
      <w:lvlText w:val="%9."/>
      <w:lvlJc w:val="right"/>
      <w:pPr>
        <w:ind w:left="4520" w:hanging="480"/>
      </w:pPr>
    </w:lvl>
  </w:abstractNum>
  <w:abstractNum w:abstractNumId="25" w15:restartNumberingAfterBreak="0">
    <w:nsid w:val="6B9C0A41"/>
    <w:multiLevelType w:val="hybridMultilevel"/>
    <w:tmpl w:val="81D89C38"/>
    <w:lvl w:ilvl="0" w:tplc="085AB248">
      <w:start w:val="1"/>
      <w:numFmt w:val="taiwaneseCountingThousand"/>
      <w:lvlText w:val="(%1)"/>
      <w:lvlJc w:val="left"/>
      <w:pPr>
        <w:ind w:left="480" w:hanging="480"/>
      </w:pPr>
      <w:rPr>
        <w:rFonts w:ascii="Times New Roman" w:hAnsi="Times New Roman" w:cs="Times New Roman" w:hint="default"/>
        <w:spacing w:val="0"/>
        <w:position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EB60CAB"/>
    <w:multiLevelType w:val="hybridMultilevel"/>
    <w:tmpl w:val="E5BA9998"/>
    <w:lvl w:ilvl="0" w:tplc="A33CD8C0">
      <w:start w:val="1"/>
      <w:numFmt w:val="taiwaneseCountingThousand"/>
      <w:lvlText w:val="%1、"/>
      <w:lvlJc w:val="left"/>
      <w:pPr>
        <w:ind w:left="864" w:hanging="72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7"/>
  </w:num>
  <w:num w:numId="12">
    <w:abstractNumId w:val="20"/>
  </w:num>
  <w:num w:numId="13">
    <w:abstractNumId w:val="26"/>
  </w:num>
  <w:num w:numId="14">
    <w:abstractNumId w:val="12"/>
  </w:num>
  <w:num w:numId="15">
    <w:abstractNumId w:val="23"/>
  </w:num>
  <w:num w:numId="16">
    <w:abstractNumId w:val="21"/>
  </w:num>
  <w:num w:numId="17">
    <w:abstractNumId w:val="14"/>
  </w:num>
  <w:num w:numId="18">
    <w:abstractNumId w:val="11"/>
  </w:num>
  <w:num w:numId="19">
    <w:abstractNumId w:val="10"/>
  </w:num>
  <w:num w:numId="20">
    <w:abstractNumId w:val="24"/>
  </w:num>
  <w:num w:numId="21">
    <w:abstractNumId w:val="25"/>
  </w:num>
  <w:num w:numId="22">
    <w:abstractNumId w:val="18"/>
  </w:num>
  <w:num w:numId="23">
    <w:abstractNumId w:val="22"/>
  </w:num>
  <w:num w:numId="24">
    <w:abstractNumId w:val="19"/>
  </w:num>
  <w:num w:numId="25">
    <w:abstractNumId w:val="15"/>
  </w:num>
  <w:num w:numId="26">
    <w:abstractNumId w:val="16"/>
  </w:num>
  <w:num w:numId="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B04" w:allStyles="0" w:customStyles="0" w:latentStyles="1" w:stylesInUse="0" w:headingStyles="0" w:numberingStyles="0" w:tableStyles="0" w:directFormattingOnRuns="1" w:directFormattingOnParagraphs="1"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36BA6"/>
    <w:rsid w:val="00000C3C"/>
    <w:rsid w:val="0000397A"/>
    <w:rsid w:val="000049CF"/>
    <w:rsid w:val="00005295"/>
    <w:rsid w:val="00007502"/>
    <w:rsid w:val="00007AAC"/>
    <w:rsid w:val="0001216A"/>
    <w:rsid w:val="000126DD"/>
    <w:rsid w:val="00013974"/>
    <w:rsid w:val="00014E2D"/>
    <w:rsid w:val="0001644A"/>
    <w:rsid w:val="00017740"/>
    <w:rsid w:val="00020FF2"/>
    <w:rsid w:val="00021D53"/>
    <w:rsid w:val="00022350"/>
    <w:rsid w:val="000255C2"/>
    <w:rsid w:val="00025968"/>
    <w:rsid w:val="00025CBF"/>
    <w:rsid w:val="00026694"/>
    <w:rsid w:val="00026A25"/>
    <w:rsid w:val="00033360"/>
    <w:rsid w:val="00034691"/>
    <w:rsid w:val="0003547E"/>
    <w:rsid w:val="00035F7E"/>
    <w:rsid w:val="000365E0"/>
    <w:rsid w:val="00036BA6"/>
    <w:rsid w:val="000409BD"/>
    <w:rsid w:val="000421DE"/>
    <w:rsid w:val="00044E7B"/>
    <w:rsid w:val="000455B7"/>
    <w:rsid w:val="00046A6A"/>
    <w:rsid w:val="0004728A"/>
    <w:rsid w:val="00050697"/>
    <w:rsid w:val="000519AD"/>
    <w:rsid w:val="0005261C"/>
    <w:rsid w:val="00053229"/>
    <w:rsid w:val="000544EB"/>
    <w:rsid w:val="000550DC"/>
    <w:rsid w:val="00061FE0"/>
    <w:rsid w:val="00062D98"/>
    <w:rsid w:val="0007086F"/>
    <w:rsid w:val="00072CF4"/>
    <w:rsid w:val="00073AC6"/>
    <w:rsid w:val="000767B8"/>
    <w:rsid w:val="00076841"/>
    <w:rsid w:val="0008340B"/>
    <w:rsid w:val="00085240"/>
    <w:rsid w:val="000862DE"/>
    <w:rsid w:val="00093051"/>
    <w:rsid w:val="00093186"/>
    <w:rsid w:val="0009359B"/>
    <w:rsid w:val="00096303"/>
    <w:rsid w:val="000975FF"/>
    <w:rsid w:val="000A21BE"/>
    <w:rsid w:val="000A3713"/>
    <w:rsid w:val="000A477D"/>
    <w:rsid w:val="000A5795"/>
    <w:rsid w:val="000B0CD6"/>
    <w:rsid w:val="000B1F17"/>
    <w:rsid w:val="000C0D73"/>
    <w:rsid w:val="000D1801"/>
    <w:rsid w:val="000D1868"/>
    <w:rsid w:val="000D2997"/>
    <w:rsid w:val="000D38F5"/>
    <w:rsid w:val="000D3E27"/>
    <w:rsid w:val="000D50A5"/>
    <w:rsid w:val="000D59E8"/>
    <w:rsid w:val="000D7D13"/>
    <w:rsid w:val="000E033E"/>
    <w:rsid w:val="000E1538"/>
    <w:rsid w:val="000E416D"/>
    <w:rsid w:val="000E5B35"/>
    <w:rsid w:val="000E6971"/>
    <w:rsid w:val="000F016A"/>
    <w:rsid w:val="000F051B"/>
    <w:rsid w:val="000F2213"/>
    <w:rsid w:val="000F4241"/>
    <w:rsid w:val="000F57E2"/>
    <w:rsid w:val="000F5E9E"/>
    <w:rsid w:val="000F63F8"/>
    <w:rsid w:val="000F69B2"/>
    <w:rsid w:val="00101B28"/>
    <w:rsid w:val="00103AB0"/>
    <w:rsid w:val="00111F37"/>
    <w:rsid w:val="00112792"/>
    <w:rsid w:val="00112876"/>
    <w:rsid w:val="0011407C"/>
    <w:rsid w:val="0011481A"/>
    <w:rsid w:val="00116414"/>
    <w:rsid w:val="0011784C"/>
    <w:rsid w:val="0012267C"/>
    <w:rsid w:val="00122E23"/>
    <w:rsid w:val="00123EF4"/>
    <w:rsid w:val="001255FE"/>
    <w:rsid w:val="00126AE1"/>
    <w:rsid w:val="0013080C"/>
    <w:rsid w:val="00133DC3"/>
    <w:rsid w:val="00135E3E"/>
    <w:rsid w:val="00135ECE"/>
    <w:rsid w:val="001360B6"/>
    <w:rsid w:val="0014012C"/>
    <w:rsid w:val="00144B0C"/>
    <w:rsid w:val="00145C9B"/>
    <w:rsid w:val="001463B5"/>
    <w:rsid w:val="00155205"/>
    <w:rsid w:val="00155544"/>
    <w:rsid w:val="00156845"/>
    <w:rsid w:val="0016227A"/>
    <w:rsid w:val="00167BDF"/>
    <w:rsid w:val="00167F98"/>
    <w:rsid w:val="0017000C"/>
    <w:rsid w:val="001742E8"/>
    <w:rsid w:val="00176EC4"/>
    <w:rsid w:val="00183930"/>
    <w:rsid w:val="00184B7A"/>
    <w:rsid w:val="00185C4B"/>
    <w:rsid w:val="001860D4"/>
    <w:rsid w:val="00187A03"/>
    <w:rsid w:val="0019025D"/>
    <w:rsid w:val="00190F5C"/>
    <w:rsid w:val="00193266"/>
    <w:rsid w:val="00194682"/>
    <w:rsid w:val="0019549F"/>
    <w:rsid w:val="00197E62"/>
    <w:rsid w:val="001A1C43"/>
    <w:rsid w:val="001A1F33"/>
    <w:rsid w:val="001A4764"/>
    <w:rsid w:val="001A52E8"/>
    <w:rsid w:val="001B25E5"/>
    <w:rsid w:val="001B2F73"/>
    <w:rsid w:val="001B3EAA"/>
    <w:rsid w:val="001B638E"/>
    <w:rsid w:val="001C4CE7"/>
    <w:rsid w:val="001C656A"/>
    <w:rsid w:val="001D09B2"/>
    <w:rsid w:val="001D1D92"/>
    <w:rsid w:val="001D2731"/>
    <w:rsid w:val="001D3710"/>
    <w:rsid w:val="001D5878"/>
    <w:rsid w:val="001D58D0"/>
    <w:rsid w:val="001D78C0"/>
    <w:rsid w:val="001E1173"/>
    <w:rsid w:val="001E1D57"/>
    <w:rsid w:val="001E278C"/>
    <w:rsid w:val="001E688B"/>
    <w:rsid w:val="001E6F7B"/>
    <w:rsid w:val="001F1D11"/>
    <w:rsid w:val="001F3C43"/>
    <w:rsid w:val="001F401D"/>
    <w:rsid w:val="001F458E"/>
    <w:rsid w:val="0020345D"/>
    <w:rsid w:val="002047F5"/>
    <w:rsid w:val="00204D18"/>
    <w:rsid w:val="002074F1"/>
    <w:rsid w:val="00211B93"/>
    <w:rsid w:val="00215A80"/>
    <w:rsid w:val="0021649A"/>
    <w:rsid w:val="00216A88"/>
    <w:rsid w:val="00216C6C"/>
    <w:rsid w:val="00221279"/>
    <w:rsid w:val="00221352"/>
    <w:rsid w:val="00221AA8"/>
    <w:rsid w:val="00221FF7"/>
    <w:rsid w:val="00223F9E"/>
    <w:rsid w:val="0022485D"/>
    <w:rsid w:val="00225BCE"/>
    <w:rsid w:val="002332A8"/>
    <w:rsid w:val="002338DA"/>
    <w:rsid w:val="002348DC"/>
    <w:rsid w:val="002351AE"/>
    <w:rsid w:val="00235632"/>
    <w:rsid w:val="00236CE6"/>
    <w:rsid w:val="002402D7"/>
    <w:rsid w:val="00244FB1"/>
    <w:rsid w:val="00245F58"/>
    <w:rsid w:val="00251CE2"/>
    <w:rsid w:val="00253589"/>
    <w:rsid w:val="00254C24"/>
    <w:rsid w:val="002557EC"/>
    <w:rsid w:val="0026011B"/>
    <w:rsid w:val="00262375"/>
    <w:rsid w:val="00262798"/>
    <w:rsid w:val="00265FB5"/>
    <w:rsid w:val="00267E47"/>
    <w:rsid w:val="0027208D"/>
    <w:rsid w:val="00273D24"/>
    <w:rsid w:val="002767DA"/>
    <w:rsid w:val="00276D17"/>
    <w:rsid w:val="00280366"/>
    <w:rsid w:val="002826E6"/>
    <w:rsid w:val="0028685F"/>
    <w:rsid w:val="002933D9"/>
    <w:rsid w:val="0029532B"/>
    <w:rsid w:val="00295606"/>
    <w:rsid w:val="0029767D"/>
    <w:rsid w:val="002A051A"/>
    <w:rsid w:val="002A0714"/>
    <w:rsid w:val="002A30A8"/>
    <w:rsid w:val="002A33C9"/>
    <w:rsid w:val="002A58BF"/>
    <w:rsid w:val="002A5FBC"/>
    <w:rsid w:val="002A6288"/>
    <w:rsid w:val="002A6BCF"/>
    <w:rsid w:val="002B0E0F"/>
    <w:rsid w:val="002B13B5"/>
    <w:rsid w:val="002B2044"/>
    <w:rsid w:val="002B3C80"/>
    <w:rsid w:val="002B4C40"/>
    <w:rsid w:val="002B5FAF"/>
    <w:rsid w:val="002B792B"/>
    <w:rsid w:val="002B79D5"/>
    <w:rsid w:val="002C06D8"/>
    <w:rsid w:val="002C0E6C"/>
    <w:rsid w:val="002C178B"/>
    <w:rsid w:val="002C3324"/>
    <w:rsid w:val="002C4362"/>
    <w:rsid w:val="002C444E"/>
    <w:rsid w:val="002C5B20"/>
    <w:rsid w:val="002C6B8B"/>
    <w:rsid w:val="002D0D32"/>
    <w:rsid w:val="002D1521"/>
    <w:rsid w:val="002D31DC"/>
    <w:rsid w:val="002D354F"/>
    <w:rsid w:val="002D412A"/>
    <w:rsid w:val="002D5A21"/>
    <w:rsid w:val="002D69D4"/>
    <w:rsid w:val="002E04CA"/>
    <w:rsid w:val="002E3718"/>
    <w:rsid w:val="002E4926"/>
    <w:rsid w:val="002E5854"/>
    <w:rsid w:val="002F096F"/>
    <w:rsid w:val="002F09E7"/>
    <w:rsid w:val="002F53C7"/>
    <w:rsid w:val="002F5FFA"/>
    <w:rsid w:val="002F70EC"/>
    <w:rsid w:val="00301AE5"/>
    <w:rsid w:val="00301C5C"/>
    <w:rsid w:val="00303989"/>
    <w:rsid w:val="003043CF"/>
    <w:rsid w:val="00306FC8"/>
    <w:rsid w:val="00307072"/>
    <w:rsid w:val="00311251"/>
    <w:rsid w:val="00311F1D"/>
    <w:rsid w:val="003128E8"/>
    <w:rsid w:val="00315338"/>
    <w:rsid w:val="0031767E"/>
    <w:rsid w:val="00320125"/>
    <w:rsid w:val="003201BF"/>
    <w:rsid w:val="00320B05"/>
    <w:rsid w:val="00322FD3"/>
    <w:rsid w:val="0032342A"/>
    <w:rsid w:val="0032454E"/>
    <w:rsid w:val="00324E2E"/>
    <w:rsid w:val="0032536D"/>
    <w:rsid w:val="003275E7"/>
    <w:rsid w:val="00334F32"/>
    <w:rsid w:val="00335D10"/>
    <w:rsid w:val="00340441"/>
    <w:rsid w:val="0034063D"/>
    <w:rsid w:val="00340E22"/>
    <w:rsid w:val="0034204D"/>
    <w:rsid w:val="00345EF3"/>
    <w:rsid w:val="003501ED"/>
    <w:rsid w:val="00350876"/>
    <w:rsid w:val="00353001"/>
    <w:rsid w:val="00354EA6"/>
    <w:rsid w:val="003663C1"/>
    <w:rsid w:val="00370ACF"/>
    <w:rsid w:val="00373785"/>
    <w:rsid w:val="00373A17"/>
    <w:rsid w:val="00376663"/>
    <w:rsid w:val="003769E5"/>
    <w:rsid w:val="003826D1"/>
    <w:rsid w:val="003827CE"/>
    <w:rsid w:val="003829DE"/>
    <w:rsid w:val="00387A95"/>
    <w:rsid w:val="003904A3"/>
    <w:rsid w:val="00394277"/>
    <w:rsid w:val="00397EC3"/>
    <w:rsid w:val="003A004D"/>
    <w:rsid w:val="003A0F77"/>
    <w:rsid w:val="003A2AD7"/>
    <w:rsid w:val="003A67EC"/>
    <w:rsid w:val="003A6CDD"/>
    <w:rsid w:val="003A6FFC"/>
    <w:rsid w:val="003B24FA"/>
    <w:rsid w:val="003B589A"/>
    <w:rsid w:val="003B5C7A"/>
    <w:rsid w:val="003B5FF2"/>
    <w:rsid w:val="003B6040"/>
    <w:rsid w:val="003C0B4D"/>
    <w:rsid w:val="003C1A5E"/>
    <w:rsid w:val="003C1CCB"/>
    <w:rsid w:val="003C6B69"/>
    <w:rsid w:val="003C7961"/>
    <w:rsid w:val="003E0E8B"/>
    <w:rsid w:val="003E153F"/>
    <w:rsid w:val="003F07CD"/>
    <w:rsid w:val="003F25A6"/>
    <w:rsid w:val="00400526"/>
    <w:rsid w:val="0040226F"/>
    <w:rsid w:val="00402B59"/>
    <w:rsid w:val="00404881"/>
    <w:rsid w:val="00405615"/>
    <w:rsid w:val="00407CE6"/>
    <w:rsid w:val="004125CE"/>
    <w:rsid w:val="004143CE"/>
    <w:rsid w:val="00414F81"/>
    <w:rsid w:val="004216B0"/>
    <w:rsid w:val="00423A6A"/>
    <w:rsid w:val="00425999"/>
    <w:rsid w:val="004259D9"/>
    <w:rsid w:val="00426674"/>
    <w:rsid w:val="00426C80"/>
    <w:rsid w:val="0043430B"/>
    <w:rsid w:val="00434360"/>
    <w:rsid w:val="00434D32"/>
    <w:rsid w:val="00435EC0"/>
    <w:rsid w:val="00437B13"/>
    <w:rsid w:val="0044072B"/>
    <w:rsid w:val="00442316"/>
    <w:rsid w:val="00442684"/>
    <w:rsid w:val="0044283D"/>
    <w:rsid w:val="00444F43"/>
    <w:rsid w:val="00445AA8"/>
    <w:rsid w:val="00450717"/>
    <w:rsid w:val="004515DB"/>
    <w:rsid w:val="004531AC"/>
    <w:rsid w:val="00454285"/>
    <w:rsid w:val="0045578B"/>
    <w:rsid w:val="00456A80"/>
    <w:rsid w:val="00456F35"/>
    <w:rsid w:val="00457BA8"/>
    <w:rsid w:val="00463E25"/>
    <w:rsid w:val="0046467D"/>
    <w:rsid w:val="00464982"/>
    <w:rsid w:val="0046612C"/>
    <w:rsid w:val="004743D7"/>
    <w:rsid w:val="00474B24"/>
    <w:rsid w:val="00474C99"/>
    <w:rsid w:val="00480B2D"/>
    <w:rsid w:val="004810FF"/>
    <w:rsid w:val="004830C6"/>
    <w:rsid w:val="004832A1"/>
    <w:rsid w:val="004850E0"/>
    <w:rsid w:val="004860DC"/>
    <w:rsid w:val="00486465"/>
    <w:rsid w:val="00486644"/>
    <w:rsid w:val="0048709A"/>
    <w:rsid w:val="0049107D"/>
    <w:rsid w:val="0049532E"/>
    <w:rsid w:val="004955AD"/>
    <w:rsid w:val="004A1F9D"/>
    <w:rsid w:val="004A4C17"/>
    <w:rsid w:val="004A6B7E"/>
    <w:rsid w:val="004A7ED3"/>
    <w:rsid w:val="004B06D2"/>
    <w:rsid w:val="004B3014"/>
    <w:rsid w:val="004B5684"/>
    <w:rsid w:val="004B6D40"/>
    <w:rsid w:val="004C0839"/>
    <w:rsid w:val="004C0D23"/>
    <w:rsid w:val="004C3C97"/>
    <w:rsid w:val="004C537C"/>
    <w:rsid w:val="004C53C9"/>
    <w:rsid w:val="004D09E5"/>
    <w:rsid w:val="004D0D03"/>
    <w:rsid w:val="004D118B"/>
    <w:rsid w:val="004D218F"/>
    <w:rsid w:val="004D2193"/>
    <w:rsid w:val="004D4FC5"/>
    <w:rsid w:val="004D56D5"/>
    <w:rsid w:val="004D6697"/>
    <w:rsid w:val="004D7138"/>
    <w:rsid w:val="004E00E9"/>
    <w:rsid w:val="004E19DD"/>
    <w:rsid w:val="004E5163"/>
    <w:rsid w:val="004E699D"/>
    <w:rsid w:val="004F0577"/>
    <w:rsid w:val="004F1823"/>
    <w:rsid w:val="004F35B6"/>
    <w:rsid w:val="004F386A"/>
    <w:rsid w:val="004F78B9"/>
    <w:rsid w:val="005003D5"/>
    <w:rsid w:val="00501945"/>
    <w:rsid w:val="00502617"/>
    <w:rsid w:val="00512802"/>
    <w:rsid w:val="00512BBB"/>
    <w:rsid w:val="00514A59"/>
    <w:rsid w:val="00516552"/>
    <w:rsid w:val="00520613"/>
    <w:rsid w:val="0052073F"/>
    <w:rsid w:val="005218EF"/>
    <w:rsid w:val="00521F0B"/>
    <w:rsid w:val="00524D0A"/>
    <w:rsid w:val="00524F8B"/>
    <w:rsid w:val="00532C60"/>
    <w:rsid w:val="0053345A"/>
    <w:rsid w:val="00533756"/>
    <w:rsid w:val="00534E30"/>
    <w:rsid w:val="0053544E"/>
    <w:rsid w:val="0053619B"/>
    <w:rsid w:val="0053674E"/>
    <w:rsid w:val="0054003F"/>
    <w:rsid w:val="005462C9"/>
    <w:rsid w:val="00546B52"/>
    <w:rsid w:val="00551CE2"/>
    <w:rsid w:val="005540D1"/>
    <w:rsid w:val="00555942"/>
    <w:rsid w:val="00557E3E"/>
    <w:rsid w:val="00563136"/>
    <w:rsid w:val="00563575"/>
    <w:rsid w:val="0056456B"/>
    <w:rsid w:val="0056532A"/>
    <w:rsid w:val="00565518"/>
    <w:rsid w:val="005657BC"/>
    <w:rsid w:val="00565FCD"/>
    <w:rsid w:val="005673BD"/>
    <w:rsid w:val="00573A8A"/>
    <w:rsid w:val="00574707"/>
    <w:rsid w:val="00574836"/>
    <w:rsid w:val="005767BA"/>
    <w:rsid w:val="00576B47"/>
    <w:rsid w:val="00581633"/>
    <w:rsid w:val="00581AD6"/>
    <w:rsid w:val="00582F41"/>
    <w:rsid w:val="00583DCF"/>
    <w:rsid w:val="005846A8"/>
    <w:rsid w:val="00585FCD"/>
    <w:rsid w:val="00586539"/>
    <w:rsid w:val="00592399"/>
    <w:rsid w:val="00592C81"/>
    <w:rsid w:val="00593458"/>
    <w:rsid w:val="005957CD"/>
    <w:rsid w:val="00597BE4"/>
    <w:rsid w:val="005A3E2D"/>
    <w:rsid w:val="005A60B5"/>
    <w:rsid w:val="005A7D11"/>
    <w:rsid w:val="005B0804"/>
    <w:rsid w:val="005B2273"/>
    <w:rsid w:val="005B24BA"/>
    <w:rsid w:val="005B3B2E"/>
    <w:rsid w:val="005B43B3"/>
    <w:rsid w:val="005B7C46"/>
    <w:rsid w:val="005C1207"/>
    <w:rsid w:val="005C58D5"/>
    <w:rsid w:val="005C5D8A"/>
    <w:rsid w:val="005D0EC4"/>
    <w:rsid w:val="005D1C89"/>
    <w:rsid w:val="005D58E4"/>
    <w:rsid w:val="005D7A2D"/>
    <w:rsid w:val="005E032B"/>
    <w:rsid w:val="005E07AB"/>
    <w:rsid w:val="005E431D"/>
    <w:rsid w:val="005E6399"/>
    <w:rsid w:val="005E7EA7"/>
    <w:rsid w:val="005F29D3"/>
    <w:rsid w:val="005F3EE1"/>
    <w:rsid w:val="005F4111"/>
    <w:rsid w:val="005F6950"/>
    <w:rsid w:val="005F7489"/>
    <w:rsid w:val="00602123"/>
    <w:rsid w:val="00602793"/>
    <w:rsid w:val="00602B5F"/>
    <w:rsid w:val="0060646C"/>
    <w:rsid w:val="006072D9"/>
    <w:rsid w:val="006131A3"/>
    <w:rsid w:val="0061406D"/>
    <w:rsid w:val="0061590A"/>
    <w:rsid w:val="0061790A"/>
    <w:rsid w:val="00625E4E"/>
    <w:rsid w:val="0062656A"/>
    <w:rsid w:val="00631D80"/>
    <w:rsid w:val="006330EB"/>
    <w:rsid w:val="006403FC"/>
    <w:rsid w:val="006415F9"/>
    <w:rsid w:val="006421D4"/>
    <w:rsid w:val="00642DC2"/>
    <w:rsid w:val="00643D24"/>
    <w:rsid w:val="00650739"/>
    <w:rsid w:val="006534CC"/>
    <w:rsid w:val="00655702"/>
    <w:rsid w:val="006568CF"/>
    <w:rsid w:val="00661D8D"/>
    <w:rsid w:val="00666C4B"/>
    <w:rsid w:val="00670E55"/>
    <w:rsid w:val="00671756"/>
    <w:rsid w:val="00671844"/>
    <w:rsid w:val="00671ED4"/>
    <w:rsid w:val="006743C6"/>
    <w:rsid w:val="00674DA9"/>
    <w:rsid w:val="0067686F"/>
    <w:rsid w:val="006768DB"/>
    <w:rsid w:val="00677BD9"/>
    <w:rsid w:val="00681C98"/>
    <w:rsid w:val="00683271"/>
    <w:rsid w:val="0068365E"/>
    <w:rsid w:val="0068467B"/>
    <w:rsid w:val="00684B48"/>
    <w:rsid w:val="00686988"/>
    <w:rsid w:val="0068791F"/>
    <w:rsid w:val="00694730"/>
    <w:rsid w:val="00695356"/>
    <w:rsid w:val="0069547A"/>
    <w:rsid w:val="006A5C23"/>
    <w:rsid w:val="006A73C4"/>
    <w:rsid w:val="006B0E20"/>
    <w:rsid w:val="006B1D36"/>
    <w:rsid w:val="006B2DC0"/>
    <w:rsid w:val="006B3C3D"/>
    <w:rsid w:val="006B4E6E"/>
    <w:rsid w:val="006B52B8"/>
    <w:rsid w:val="006B640F"/>
    <w:rsid w:val="006C0AD8"/>
    <w:rsid w:val="006C1685"/>
    <w:rsid w:val="006C1CBE"/>
    <w:rsid w:val="006D2071"/>
    <w:rsid w:val="006D2613"/>
    <w:rsid w:val="006D3F59"/>
    <w:rsid w:val="006D4168"/>
    <w:rsid w:val="006D70DE"/>
    <w:rsid w:val="006E224A"/>
    <w:rsid w:val="006E2D13"/>
    <w:rsid w:val="006E68C6"/>
    <w:rsid w:val="006E6F12"/>
    <w:rsid w:val="006F21BE"/>
    <w:rsid w:val="006F32A0"/>
    <w:rsid w:val="006F3648"/>
    <w:rsid w:val="006F7265"/>
    <w:rsid w:val="006F7DDE"/>
    <w:rsid w:val="00700A1D"/>
    <w:rsid w:val="00701367"/>
    <w:rsid w:val="007015A1"/>
    <w:rsid w:val="0070192C"/>
    <w:rsid w:val="00707D14"/>
    <w:rsid w:val="00707DFD"/>
    <w:rsid w:val="00710E45"/>
    <w:rsid w:val="00713682"/>
    <w:rsid w:val="007138CC"/>
    <w:rsid w:val="0071615B"/>
    <w:rsid w:val="00716D5F"/>
    <w:rsid w:val="00717743"/>
    <w:rsid w:val="0072176F"/>
    <w:rsid w:val="007227A8"/>
    <w:rsid w:val="00723354"/>
    <w:rsid w:val="00723DCD"/>
    <w:rsid w:val="007240FF"/>
    <w:rsid w:val="0072592C"/>
    <w:rsid w:val="00725A19"/>
    <w:rsid w:val="00726105"/>
    <w:rsid w:val="00726B24"/>
    <w:rsid w:val="00735345"/>
    <w:rsid w:val="00736651"/>
    <w:rsid w:val="00736FAC"/>
    <w:rsid w:val="00744408"/>
    <w:rsid w:val="00745056"/>
    <w:rsid w:val="007475FD"/>
    <w:rsid w:val="00752AC3"/>
    <w:rsid w:val="00753126"/>
    <w:rsid w:val="00754566"/>
    <w:rsid w:val="00755183"/>
    <w:rsid w:val="00756507"/>
    <w:rsid w:val="007600F1"/>
    <w:rsid w:val="007614C3"/>
    <w:rsid w:val="00763B4B"/>
    <w:rsid w:val="00763F07"/>
    <w:rsid w:val="007648DC"/>
    <w:rsid w:val="007659B2"/>
    <w:rsid w:val="00765FFC"/>
    <w:rsid w:val="00767E5C"/>
    <w:rsid w:val="0077636D"/>
    <w:rsid w:val="0077679F"/>
    <w:rsid w:val="00776855"/>
    <w:rsid w:val="00776AFA"/>
    <w:rsid w:val="00780F85"/>
    <w:rsid w:val="0078114B"/>
    <w:rsid w:val="00792B5D"/>
    <w:rsid w:val="00795E46"/>
    <w:rsid w:val="007A2DB9"/>
    <w:rsid w:val="007A2E56"/>
    <w:rsid w:val="007A320D"/>
    <w:rsid w:val="007A3EF5"/>
    <w:rsid w:val="007A445C"/>
    <w:rsid w:val="007A6031"/>
    <w:rsid w:val="007A6293"/>
    <w:rsid w:val="007A697A"/>
    <w:rsid w:val="007A6B49"/>
    <w:rsid w:val="007B2893"/>
    <w:rsid w:val="007B40BA"/>
    <w:rsid w:val="007B7E65"/>
    <w:rsid w:val="007C2B53"/>
    <w:rsid w:val="007C3673"/>
    <w:rsid w:val="007C56F7"/>
    <w:rsid w:val="007C6185"/>
    <w:rsid w:val="007C6FDB"/>
    <w:rsid w:val="007D1100"/>
    <w:rsid w:val="007D20D1"/>
    <w:rsid w:val="007D225E"/>
    <w:rsid w:val="007D235D"/>
    <w:rsid w:val="007D2628"/>
    <w:rsid w:val="007D3D14"/>
    <w:rsid w:val="007D68DB"/>
    <w:rsid w:val="007D7C41"/>
    <w:rsid w:val="007F1A01"/>
    <w:rsid w:val="007F22CC"/>
    <w:rsid w:val="007F251C"/>
    <w:rsid w:val="007F255F"/>
    <w:rsid w:val="007F6CAD"/>
    <w:rsid w:val="00803E17"/>
    <w:rsid w:val="00805D79"/>
    <w:rsid w:val="008131F7"/>
    <w:rsid w:val="008177DE"/>
    <w:rsid w:val="0082005F"/>
    <w:rsid w:val="00822CD8"/>
    <w:rsid w:val="00824789"/>
    <w:rsid w:val="0083710E"/>
    <w:rsid w:val="00837F37"/>
    <w:rsid w:val="0084106A"/>
    <w:rsid w:val="008423DD"/>
    <w:rsid w:val="008507BE"/>
    <w:rsid w:val="008526F3"/>
    <w:rsid w:val="008531AE"/>
    <w:rsid w:val="008549DD"/>
    <w:rsid w:val="00855987"/>
    <w:rsid w:val="00855FC9"/>
    <w:rsid w:val="00856060"/>
    <w:rsid w:val="00860735"/>
    <w:rsid w:val="00863E26"/>
    <w:rsid w:val="00864ED4"/>
    <w:rsid w:val="00865384"/>
    <w:rsid w:val="008711FC"/>
    <w:rsid w:val="00873FD5"/>
    <w:rsid w:val="00876FE9"/>
    <w:rsid w:val="00877F77"/>
    <w:rsid w:val="00882046"/>
    <w:rsid w:val="008830DD"/>
    <w:rsid w:val="008834BB"/>
    <w:rsid w:val="0088431A"/>
    <w:rsid w:val="00886E6E"/>
    <w:rsid w:val="00891429"/>
    <w:rsid w:val="00893842"/>
    <w:rsid w:val="00895776"/>
    <w:rsid w:val="008A00DD"/>
    <w:rsid w:val="008A15D7"/>
    <w:rsid w:val="008A223A"/>
    <w:rsid w:val="008A3CD1"/>
    <w:rsid w:val="008A435A"/>
    <w:rsid w:val="008A6325"/>
    <w:rsid w:val="008A6D3F"/>
    <w:rsid w:val="008A74CE"/>
    <w:rsid w:val="008B0B6A"/>
    <w:rsid w:val="008B177C"/>
    <w:rsid w:val="008B3167"/>
    <w:rsid w:val="008B680D"/>
    <w:rsid w:val="008B7225"/>
    <w:rsid w:val="008C060A"/>
    <w:rsid w:val="008C1E30"/>
    <w:rsid w:val="008C51A1"/>
    <w:rsid w:val="008D0C21"/>
    <w:rsid w:val="008D111B"/>
    <w:rsid w:val="008D4C07"/>
    <w:rsid w:val="008D65FD"/>
    <w:rsid w:val="008E0051"/>
    <w:rsid w:val="008E1EEB"/>
    <w:rsid w:val="008E2FA3"/>
    <w:rsid w:val="008E43B8"/>
    <w:rsid w:val="008F2DAA"/>
    <w:rsid w:val="008F5F03"/>
    <w:rsid w:val="008F6823"/>
    <w:rsid w:val="00901064"/>
    <w:rsid w:val="00902242"/>
    <w:rsid w:val="0090286D"/>
    <w:rsid w:val="00905C8A"/>
    <w:rsid w:val="0090626F"/>
    <w:rsid w:val="00906622"/>
    <w:rsid w:val="00907754"/>
    <w:rsid w:val="0091332F"/>
    <w:rsid w:val="00914488"/>
    <w:rsid w:val="00916FEF"/>
    <w:rsid w:val="00917687"/>
    <w:rsid w:val="00920973"/>
    <w:rsid w:val="00923B18"/>
    <w:rsid w:val="00925185"/>
    <w:rsid w:val="00925EAD"/>
    <w:rsid w:val="00926679"/>
    <w:rsid w:val="009271AB"/>
    <w:rsid w:val="00932AA4"/>
    <w:rsid w:val="009349F8"/>
    <w:rsid w:val="00935978"/>
    <w:rsid w:val="0094084A"/>
    <w:rsid w:val="00941307"/>
    <w:rsid w:val="0094492B"/>
    <w:rsid w:val="00944D7A"/>
    <w:rsid w:val="00945999"/>
    <w:rsid w:val="00950BFC"/>
    <w:rsid w:val="00951676"/>
    <w:rsid w:val="009529F4"/>
    <w:rsid w:val="00954A43"/>
    <w:rsid w:val="0095593F"/>
    <w:rsid w:val="00957541"/>
    <w:rsid w:val="00957773"/>
    <w:rsid w:val="009602BB"/>
    <w:rsid w:val="009653A9"/>
    <w:rsid w:val="009667EE"/>
    <w:rsid w:val="00970314"/>
    <w:rsid w:val="00972569"/>
    <w:rsid w:val="0097297B"/>
    <w:rsid w:val="00974619"/>
    <w:rsid w:val="00974F0F"/>
    <w:rsid w:val="0097695C"/>
    <w:rsid w:val="009769C4"/>
    <w:rsid w:val="009778B1"/>
    <w:rsid w:val="00977CF9"/>
    <w:rsid w:val="0098052E"/>
    <w:rsid w:val="0098080E"/>
    <w:rsid w:val="00982FC3"/>
    <w:rsid w:val="00983E1E"/>
    <w:rsid w:val="00985202"/>
    <w:rsid w:val="009860C9"/>
    <w:rsid w:val="00990A5D"/>
    <w:rsid w:val="00990FD2"/>
    <w:rsid w:val="00992EBF"/>
    <w:rsid w:val="009957A8"/>
    <w:rsid w:val="009A0C1C"/>
    <w:rsid w:val="009A5C2E"/>
    <w:rsid w:val="009A5DE7"/>
    <w:rsid w:val="009A60F2"/>
    <w:rsid w:val="009B0AA3"/>
    <w:rsid w:val="009B112D"/>
    <w:rsid w:val="009B38A2"/>
    <w:rsid w:val="009B588C"/>
    <w:rsid w:val="009B5EB7"/>
    <w:rsid w:val="009B5FF2"/>
    <w:rsid w:val="009B60CD"/>
    <w:rsid w:val="009B6597"/>
    <w:rsid w:val="009B7C55"/>
    <w:rsid w:val="009C37D6"/>
    <w:rsid w:val="009C5188"/>
    <w:rsid w:val="009C5AAC"/>
    <w:rsid w:val="009D388F"/>
    <w:rsid w:val="009D5AC3"/>
    <w:rsid w:val="009D6A09"/>
    <w:rsid w:val="009D743D"/>
    <w:rsid w:val="009E4054"/>
    <w:rsid w:val="009E4B3F"/>
    <w:rsid w:val="00A025D4"/>
    <w:rsid w:val="00A046A0"/>
    <w:rsid w:val="00A05009"/>
    <w:rsid w:val="00A057FF"/>
    <w:rsid w:val="00A068DB"/>
    <w:rsid w:val="00A07CB1"/>
    <w:rsid w:val="00A106B2"/>
    <w:rsid w:val="00A15059"/>
    <w:rsid w:val="00A1663A"/>
    <w:rsid w:val="00A20F0F"/>
    <w:rsid w:val="00A24E39"/>
    <w:rsid w:val="00A26B49"/>
    <w:rsid w:val="00A27404"/>
    <w:rsid w:val="00A31C1B"/>
    <w:rsid w:val="00A3637D"/>
    <w:rsid w:val="00A4027E"/>
    <w:rsid w:val="00A43F37"/>
    <w:rsid w:val="00A46652"/>
    <w:rsid w:val="00A47113"/>
    <w:rsid w:val="00A51743"/>
    <w:rsid w:val="00A536BF"/>
    <w:rsid w:val="00A57D5B"/>
    <w:rsid w:val="00A61F89"/>
    <w:rsid w:val="00A63437"/>
    <w:rsid w:val="00A65CE1"/>
    <w:rsid w:val="00A67ECC"/>
    <w:rsid w:val="00A701A4"/>
    <w:rsid w:val="00A715E5"/>
    <w:rsid w:val="00A718BB"/>
    <w:rsid w:val="00A747DA"/>
    <w:rsid w:val="00A748B3"/>
    <w:rsid w:val="00A808D2"/>
    <w:rsid w:val="00A820A7"/>
    <w:rsid w:val="00A8557A"/>
    <w:rsid w:val="00A85BB3"/>
    <w:rsid w:val="00A908DE"/>
    <w:rsid w:val="00A960B8"/>
    <w:rsid w:val="00A976A4"/>
    <w:rsid w:val="00AA4840"/>
    <w:rsid w:val="00AA6914"/>
    <w:rsid w:val="00AA7732"/>
    <w:rsid w:val="00AB00EB"/>
    <w:rsid w:val="00AB1167"/>
    <w:rsid w:val="00AB3527"/>
    <w:rsid w:val="00AB4846"/>
    <w:rsid w:val="00AB5D5F"/>
    <w:rsid w:val="00AB6BFE"/>
    <w:rsid w:val="00AC18E4"/>
    <w:rsid w:val="00AC2E8D"/>
    <w:rsid w:val="00AC4CB6"/>
    <w:rsid w:val="00AC4E53"/>
    <w:rsid w:val="00AC5FBC"/>
    <w:rsid w:val="00AC6D06"/>
    <w:rsid w:val="00AC7B4F"/>
    <w:rsid w:val="00AD1AC7"/>
    <w:rsid w:val="00AD59A3"/>
    <w:rsid w:val="00AD5FA2"/>
    <w:rsid w:val="00AD63A9"/>
    <w:rsid w:val="00AD6C75"/>
    <w:rsid w:val="00AE4FF1"/>
    <w:rsid w:val="00AE5102"/>
    <w:rsid w:val="00AE56EB"/>
    <w:rsid w:val="00AE617C"/>
    <w:rsid w:val="00AE68EC"/>
    <w:rsid w:val="00AF0ED7"/>
    <w:rsid w:val="00AF2C14"/>
    <w:rsid w:val="00AF3D86"/>
    <w:rsid w:val="00B00573"/>
    <w:rsid w:val="00B00AF8"/>
    <w:rsid w:val="00B015CA"/>
    <w:rsid w:val="00B022CC"/>
    <w:rsid w:val="00B12DA2"/>
    <w:rsid w:val="00B1694E"/>
    <w:rsid w:val="00B16D87"/>
    <w:rsid w:val="00B17A1C"/>
    <w:rsid w:val="00B17C29"/>
    <w:rsid w:val="00B20C0E"/>
    <w:rsid w:val="00B250AB"/>
    <w:rsid w:val="00B27AE6"/>
    <w:rsid w:val="00B3167D"/>
    <w:rsid w:val="00B32CEF"/>
    <w:rsid w:val="00B345D9"/>
    <w:rsid w:val="00B372DF"/>
    <w:rsid w:val="00B41D58"/>
    <w:rsid w:val="00B43306"/>
    <w:rsid w:val="00B433E9"/>
    <w:rsid w:val="00B44CDE"/>
    <w:rsid w:val="00B46BBE"/>
    <w:rsid w:val="00B46C26"/>
    <w:rsid w:val="00B47348"/>
    <w:rsid w:val="00B50BB8"/>
    <w:rsid w:val="00B52E05"/>
    <w:rsid w:val="00B53D6D"/>
    <w:rsid w:val="00B560B2"/>
    <w:rsid w:val="00B569EA"/>
    <w:rsid w:val="00B6182F"/>
    <w:rsid w:val="00B6381C"/>
    <w:rsid w:val="00B71250"/>
    <w:rsid w:val="00B7127E"/>
    <w:rsid w:val="00B735E1"/>
    <w:rsid w:val="00B76C0F"/>
    <w:rsid w:val="00B84004"/>
    <w:rsid w:val="00B84528"/>
    <w:rsid w:val="00B87982"/>
    <w:rsid w:val="00B93889"/>
    <w:rsid w:val="00B97CDD"/>
    <w:rsid w:val="00BA2104"/>
    <w:rsid w:val="00BA6877"/>
    <w:rsid w:val="00BB69EB"/>
    <w:rsid w:val="00BB6F3A"/>
    <w:rsid w:val="00BB7206"/>
    <w:rsid w:val="00BB7972"/>
    <w:rsid w:val="00BC1AD5"/>
    <w:rsid w:val="00BC28C1"/>
    <w:rsid w:val="00BC417C"/>
    <w:rsid w:val="00BC44DD"/>
    <w:rsid w:val="00BC4BE4"/>
    <w:rsid w:val="00BD27EF"/>
    <w:rsid w:val="00BD2E68"/>
    <w:rsid w:val="00BD4621"/>
    <w:rsid w:val="00BE0C95"/>
    <w:rsid w:val="00BE0E65"/>
    <w:rsid w:val="00BE2A77"/>
    <w:rsid w:val="00BE32B1"/>
    <w:rsid w:val="00BE3D9E"/>
    <w:rsid w:val="00BE4FF8"/>
    <w:rsid w:val="00BE563C"/>
    <w:rsid w:val="00BE77FD"/>
    <w:rsid w:val="00BF0482"/>
    <w:rsid w:val="00BF2B91"/>
    <w:rsid w:val="00BF2F7E"/>
    <w:rsid w:val="00BF79F4"/>
    <w:rsid w:val="00BF7D0B"/>
    <w:rsid w:val="00C015DD"/>
    <w:rsid w:val="00C04174"/>
    <w:rsid w:val="00C057F8"/>
    <w:rsid w:val="00C06411"/>
    <w:rsid w:val="00C0798C"/>
    <w:rsid w:val="00C07B23"/>
    <w:rsid w:val="00C145B3"/>
    <w:rsid w:val="00C15BCF"/>
    <w:rsid w:val="00C15CB8"/>
    <w:rsid w:val="00C1659C"/>
    <w:rsid w:val="00C17666"/>
    <w:rsid w:val="00C178C4"/>
    <w:rsid w:val="00C222C4"/>
    <w:rsid w:val="00C22643"/>
    <w:rsid w:val="00C23E15"/>
    <w:rsid w:val="00C26F03"/>
    <w:rsid w:val="00C30E65"/>
    <w:rsid w:val="00C369F4"/>
    <w:rsid w:val="00C37E31"/>
    <w:rsid w:val="00C46296"/>
    <w:rsid w:val="00C46CE6"/>
    <w:rsid w:val="00C475DB"/>
    <w:rsid w:val="00C47C2C"/>
    <w:rsid w:val="00C50841"/>
    <w:rsid w:val="00C517BB"/>
    <w:rsid w:val="00C55885"/>
    <w:rsid w:val="00C60338"/>
    <w:rsid w:val="00C60806"/>
    <w:rsid w:val="00C608AE"/>
    <w:rsid w:val="00C62045"/>
    <w:rsid w:val="00C64172"/>
    <w:rsid w:val="00C67689"/>
    <w:rsid w:val="00C738C7"/>
    <w:rsid w:val="00C75EB6"/>
    <w:rsid w:val="00C769F5"/>
    <w:rsid w:val="00C8099E"/>
    <w:rsid w:val="00C81304"/>
    <w:rsid w:val="00C82799"/>
    <w:rsid w:val="00C846E1"/>
    <w:rsid w:val="00C848A9"/>
    <w:rsid w:val="00C91A7D"/>
    <w:rsid w:val="00C92347"/>
    <w:rsid w:val="00C95CAF"/>
    <w:rsid w:val="00CA040C"/>
    <w:rsid w:val="00CA3288"/>
    <w:rsid w:val="00CA585B"/>
    <w:rsid w:val="00CA7F04"/>
    <w:rsid w:val="00CB2C8C"/>
    <w:rsid w:val="00CB468C"/>
    <w:rsid w:val="00CB6C3F"/>
    <w:rsid w:val="00CC1A58"/>
    <w:rsid w:val="00CC1D1B"/>
    <w:rsid w:val="00CC2BB9"/>
    <w:rsid w:val="00CC38C9"/>
    <w:rsid w:val="00CC404D"/>
    <w:rsid w:val="00CC443D"/>
    <w:rsid w:val="00CC4E33"/>
    <w:rsid w:val="00CC50C6"/>
    <w:rsid w:val="00CC5A82"/>
    <w:rsid w:val="00CD14F5"/>
    <w:rsid w:val="00CD1CF5"/>
    <w:rsid w:val="00CD1FC3"/>
    <w:rsid w:val="00CD255E"/>
    <w:rsid w:val="00CD2786"/>
    <w:rsid w:val="00CE2072"/>
    <w:rsid w:val="00CE3D63"/>
    <w:rsid w:val="00CF0FCB"/>
    <w:rsid w:val="00CF0FDF"/>
    <w:rsid w:val="00CF1E5B"/>
    <w:rsid w:val="00CF3C81"/>
    <w:rsid w:val="00CF44EE"/>
    <w:rsid w:val="00CF60AE"/>
    <w:rsid w:val="00CF6159"/>
    <w:rsid w:val="00CF6571"/>
    <w:rsid w:val="00CF708B"/>
    <w:rsid w:val="00CF72FC"/>
    <w:rsid w:val="00CF73A4"/>
    <w:rsid w:val="00D00222"/>
    <w:rsid w:val="00D0071E"/>
    <w:rsid w:val="00D00AB2"/>
    <w:rsid w:val="00D0254C"/>
    <w:rsid w:val="00D03A61"/>
    <w:rsid w:val="00D05098"/>
    <w:rsid w:val="00D1364A"/>
    <w:rsid w:val="00D147EA"/>
    <w:rsid w:val="00D219F2"/>
    <w:rsid w:val="00D2460D"/>
    <w:rsid w:val="00D2601C"/>
    <w:rsid w:val="00D27E33"/>
    <w:rsid w:val="00D31091"/>
    <w:rsid w:val="00D34B19"/>
    <w:rsid w:val="00D42278"/>
    <w:rsid w:val="00D43337"/>
    <w:rsid w:val="00D4527D"/>
    <w:rsid w:val="00D46279"/>
    <w:rsid w:val="00D466B7"/>
    <w:rsid w:val="00D47614"/>
    <w:rsid w:val="00D52DDF"/>
    <w:rsid w:val="00D54A22"/>
    <w:rsid w:val="00D5659C"/>
    <w:rsid w:val="00D62F66"/>
    <w:rsid w:val="00D63681"/>
    <w:rsid w:val="00D70747"/>
    <w:rsid w:val="00D71573"/>
    <w:rsid w:val="00D71B2D"/>
    <w:rsid w:val="00D76EE4"/>
    <w:rsid w:val="00D7739D"/>
    <w:rsid w:val="00D83B9C"/>
    <w:rsid w:val="00D853D9"/>
    <w:rsid w:val="00D8668A"/>
    <w:rsid w:val="00D87EB3"/>
    <w:rsid w:val="00D90C2B"/>
    <w:rsid w:val="00D93A83"/>
    <w:rsid w:val="00D93DBB"/>
    <w:rsid w:val="00D95C75"/>
    <w:rsid w:val="00DA2ACD"/>
    <w:rsid w:val="00DA5B2A"/>
    <w:rsid w:val="00DA5DFA"/>
    <w:rsid w:val="00DB1008"/>
    <w:rsid w:val="00DB2165"/>
    <w:rsid w:val="00DB409A"/>
    <w:rsid w:val="00DB44A5"/>
    <w:rsid w:val="00DB5C10"/>
    <w:rsid w:val="00DB66FF"/>
    <w:rsid w:val="00DB6995"/>
    <w:rsid w:val="00DB78E9"/>
    <w:rsid w:val="00DC06B5"/>
    <w:rsid w:val="00DC22F3"/>
    <w:rsid w:val="00DC2981"/>
    <w:rsid w:val="00DC3B58"/>
    <w:rsid w:val="00DC6CA9"/>
    <w:rsid w:val="00DC6DFC"/>
    <w:rsid w:val="00DD09B7"/>
    <w:rsid w:val="00DD1015"/>
    <w:rsid w:val="00DD15BB"/>
    <w:rsid w:val="00DD5519"/>
    <w:rsid w:val="00DD5890"/>
    <w:rsid w:val="00DD63B9"/>
    <w:rsid w:val="00DD6A26"/>
    <w:rsid w:val="00DE000E"/>
    <w:rsid w:val="00DE53D2"/>
    <w:rsid w:val="00DF0348"/>
    <w:rsid w:val="00DF1C3E"/>
    <w:rsid w:val="00DF56E4"/>
    <w:rsid w:val="00DF61D3"/>
    <w:rsid w:val="00DF71B9"/>
    <w:rsid w:val="00DF73BA"/>
    <w:rsid w:val="00E007B9"/>
    <w:rsid w:val="00E066B7"/>
    <w:rsid w:val="00E134AC"/>
    <w:rsid w:val="00E134D1"/>
    <w:rsid w:val="00E2568B"/>
    <w:rsid w:val="00E31BAC"/>
    <w:rsid w:val="00E325C5"/>
    <w:rsid w:val="00E33CC1"/>
    <w:rsid w:val="00E354B1"/>
    <w:rsid w:val="00E35BAA"/>
    <w:rsid w:val="00E35CD6"/>
    <w:rsid w:val="00E35E8C"/>
    <w:rsid w:val="00E36A6B"/>
    <w:rsid w:val="00E37493"/>
    <w:rsid w:val="00E37E2B"/>
    <w:rsid w:val="00E40252"/>
    <w:rsid w:val="00E4118D"/>
    <w:rsid w:val="00E44CE8"/>
    <w:rsid w:val="00E45044"/>
    <w:rsid w:val="00E47724"/>
    <w:rsid w:val="00E47908"/>
    <w:rsid w:val="00E51FA6"/>
    <w:rsid w:val="00E54227"/>
    <w:rsid w:val="00E54E93"/>
    <w:rsid w:val="00E558C9"/>
    <w:rsid w:val="00E55AC9"/>
    <w:rsid w:val="00E55E0B"/>
    <w:rsid w:val="00E56663"/>
    <w:rsid w:val="00E567B4"/>
    <w:rsid w:val="00E5759B"/>
    <w:rsid w:val="00E60A66"/>
    <w:rsid w:val="00E60D7F"/>
    <w:rsid w:val="00E61DCF"/>
    <w:rsid w:val="00E62719"/>
    <w:rsid w:val="00E63A72"/>
    <w:rsid w:val="00E64708"/>
    <w:rsid w:val="00E67C83"/>
    <w:rsid w:val="00E67EB6"/>
    <w:rsid w:val="00E70587"/>
    <w:rsid w:val="00E70764"/>
    <w:rsid w:val="00E71B7E"/>
    <w:rsid w:val="00E734F8"/>
    <w:rsid w:val="00E8032E"/>
    <w:rsid w:val="00E81572"/>
    <w:rsid w:val="00E85A06"/>
    <w:rsid w:val="00E908C8"/>
    <w:rsid w:val="00E9235E"/>
    <w:rsid w:val="00E92446"/>
    <w:rsid w:val="00E94246"/>
    <w:rsid w:val="00E96C1A"/>
    <w:rsid w:val="00EA0A52"/>
    <w:rsid w:val="00EA27B1"/>
    <w:rsid w:val="00EA362B"/>
    <w:rsid w:val="00EA3C14"/>
    <w:rsid w:val="00EA7D31"/>
    <w:rsid w:val="00EB036B"/>
    <w:rsid w:val="00EB1F46"/>
    <w:rsid w:val="00EB3C0C"/>
    <w:rsid w:val="00EB6068"/>
    <w:rsid w:val="00EC0E77"/>
    <w:rsid w:val="00EC17C2"/>
    <w:rsid w:val="00EC5C8E"/>
    <w:rsid w:val="00ED011D"/>
    <w:rsid w:val="00ED0586"/>
    <w:rsid w:val="00ED3881"/>
    <w:rsid w:val="00ED4CD6"/>
    <w:rsid w:val="00ED5AAC"/>
    <w:rsid w:val="00ED5B72"/>
    <w:rsid w:val="00EE11BD"/>
    <w:rsid w:val="00EE206B"/>
    <w:rsid w:val="00EE2969"/>
    <w:rsid w:val="00EE6AF4"/>
    <w:rsid w:val="00EF09F6"/>
    <w:rsid w:val="00EF170C"/>
    <w:rsid w:val="00EF6083"/>
    <w:rsid w:val="00EF779B"/>
    <w:rsid w:val="00F00DCA"/>
    <w:rsid w:val="00F01DED"/>
    <w:rsid w:val="00F01FBC"/>
    <w:rsid w:val="00F0245A"/>
    <w:rsid w:val="00F02BD9"/>
    <w:rsid w:val="00F053D4"/>
    <w:rsid w:val="00F06F8C"/>
    <w:rsid w:val="00F10B78"/>
    <w:rsid w:val="00F12FCE"/>
    <w:rsid w:val="00F16108"/>
    <w:rsid w:val="00F17048"/>
    <w:rsid w:val="00F2015A"/>
    <w:rsid w:val="00F217E5"/>
    <w:rsid w:val="00F2259D"/>
    <w:rsid w:val="00F22DD8"/>
    <w:rsid w:val="00F2393F"/>
    <w:rsid w:val="00F24D67"/>
    <w:rsid w:val="00F26A1E"/>
    <w:rsid w:val="00F30397"/>
    <w:rsid w:val="00F322D3"/>
    <w:rsid w:val="00F33BDC"/>
    <w:rsid w:val="00F34167"/>
    <w:rsid w:val="00F34D11"/>
    <w:rsid w:val="00F35326"/>
    <w:rsid w:val="00F44E3A"/>
    <w:rsid w:val="00F44FA4"/>
    <w:rsid w:val="00F45757"/>
    <w:rsid w:val="00F47847"/>
    <w:rsid w:val="00F47E7B"/>
    <w:rsid w:val="00F51B42"/>
    <w:rsid w:val="00F54130"/>
    <w:rsid w:val="00F5639A"/>
    <w:rsid w:val="00F57255"/>
    <w:rsid w:val="00F5758A"/>
    <w:rsid w:val="00F60B6D"/>
    <w:rsid w:val="00F60D57"/>
    <w:rsid w:val="00F612F3"/>
    <w:rsid w:val="00F6217F"/>
    <w:rsid w:val="00F6446F"/>
    <w:rsid w:val="00F674D3"/>
    <w:rsid w:val="00F67D73"/>
    <w:rsid w:val="00F70594"/>
    <w:rsid w:val="00F733EE"/>
    <w:rsid w:val="00F74ADD"/>
    <w:rsid w:val="00F74C59"/>
    <w:rsid w:val="00F816D4"/>
    <w:rsid w:val="00F8595C"/>
    <w:rsid w:val="00F915BB"/>
    <w:rsid w:val="00F93EE9"/>
    <w:rsid w:val="00F945F6"/>
    <w:rsid w:val="00F94EB4"/>
    <w:rsid w:val="00F95DA0"/>
    <w:rsid w:val="00F95E6D"/>
    <w:rsid w:val="00F96CD3"/>
    <w:rsid w:val="00F97D6D"/>
    <w:rsid w:val="00FA0EB7"/>
    <w:rsid w:val="00FA13BB"/>
    <w:rsid w:val="00FA2182"/>
    <w:rsid w:val="00FA304D"/>
    <w:rsid w:val="00FA5D21"/>
    <w:rsid w:val="00FA6193"/>
    <w:rsid w:val="00FB0CAE"/>
    <w:rsid w:val="00FB295E"/>
    <w:rsid w:val="00FB6737"/>
    <w:rsid w:val="00FC19C1"/>
    <w:rsid w:val="00FC7093"/>
    <w:rsid w:val="00FC75D1"/>
    <w:rsid w:val="00FD2F89"/>
    <w:rsid w:val="00FD53B5"/>
    <w:rsid w:val="00FE2B77"/>
    <w:rsid w:val="00FE38E8"/>
    <w:rsid w:val="00FE6626"/>
    <w:rsid w:val="00FE76C4"/>
    <w:rsid w:val="00FF4D61"/>
    <w:rsid w:val="00FF7FE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7E1AB8C5-255A-44E3-9354-4E13B65F5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7600F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F94EB4"/>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qFormat/>
    <w:rsid w:val="00A057FF"/>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qFormat/>
    <w:rsid w:val="00736651"/>
    <w:pPr>
      <w:keepNext/>
      <w:spacing w:line="720" w:lineRule="atLeast"/>
      <w:outlineLvl w:val="2"/>
    </w:pPr>
    <w:rPr>
      <w:rFonts w:ascii="Calibri Light" w:eastAsia="新細明體" w:hAnsi="Calibri Light"/>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rsid w:val="009529F4"/>
    <w:pPr>
      <w:ind w:left="300" w:hangingChars="100" w:hanging="100"/>
    </w:pPr>
    <w:rPr>
      <w:b/>
    </w:rPr>
  </w:style>
  <w:style w:type="paragraph" w:customStyle="1" w:styleId="a6">
    <w:name w:val="(一)下內文"/>
    <w:basedOn w:val="a4"/>
    <w:pPr>
      <w:adjustRightInd w:val="0"/>
      <w:ind w:leftChars="300" w:firstLineChars="0" w:firstLine="0"/>
    </w:pPr>
  </w:style>
  <w:style w:type="paragraph" w:customStyle="1" w:styleId="123">
    <w:name w:val="1.2.3."/>
    <w:basedOn w:val="a6"/>
    <w:link w:val="1231"/>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link w:val="ab"/>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f">
    <w:name w:val="header"/>
    <w:basedOn w:val="a"/>
    <w:link w:val="af0"/>
    <w:unhideWhenUsed/>
    <w:rsid w:val="002F70EC"/>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23"/>
    <w:next w:val="a"/>
    <w:autoRedefine/>
    <w:uiPriority w:val="39"/>
    <w:rsid w:val="00CC404D"/>
    <w:pPr>
      <w:ind w:left="427" w:rightChars="99" w:right="280" w:hangingChars="132" w:hanging="427"/>
    </w:pPr>
    <w:rPr>
      <w:sz w:val="24"/>
    </w:rPr>
  </w:style>
  <w:style w:type="paragraph" w:styleId="23">
    <w:name w:val="toc 2"/>
    <w:basedOn w:val="a"/>
    <w:next w:val="a"/>
    <w:autoRedefine/>
    <w:semiHidden/>
    <w:pPr>
      <w:tabs>
        <w:tab w:val="right" w:leader="hyphen" w:pos="8490"/>
      </w:tabs>
      <w:ind w:leftChars="0" w:left="566" w:hangingChars="200" w:hanging="566"/>
    </w:pPr>
  </w:style>
  <w:style w:type="character" w:customStyle="1" w:styleId="af0">
    <w:name w:val="頁首 字元"/>
    <w:link w:val="af"/>
    <w:uiPriority w:val="99"/>
    <w:rsid w:val="002F70EC"/>
    <w:rPr>
      <w:rFonts w:ascii="標楷體" w:eastAsia="標楷體"/>
      <w:snapToGrid w:val="0"/>
      <w:kern w:val="2"/>
    </w:rPr>
  </w:style>
  <w:style w:type="paragraph" w:styleId="af1">
    <w:name w:val="footer"/>
    <w:basedOn w:val="a"/>
    <w:link w:val="af2"/>
    <w:uiPriority w:val="99"/>
    <w:unhideWhenUsed/>
    <w:rsid w:val="002F70EC"/>
    <w:pPr>
      <w:tabs>
        <w:tab w:val="center" w:pos="4153"/>
        <w:tab w:val="right" w:pos="8306"/>
      </w:tabs>
      <w:snapToGrid w:val="0"/>
    </w:pPr>
    <w:rPr>
      <w:sz w:val="20"/>
      <w:szCs w:val="20"/>
    </w:rPr>
  </w:style>
  <w:style w:type="character" w:customStyle="1" w:styleId="af2">
    <w:name w:val="頁尾 字元"/>
    <w:link w:val="af1"/>
    <w:uiPriority w:val="99"/>
    <w:rsid w:val="002F70EC"/>
    <w:rPr>
      <w:rFonts w:ascii="標楷體" w:eastAsia="標楷體"/>
      <w:snapToGrid w:val="0"/>
      <w:kern w:val="2"/>
    </w:rPr>
  </w:style>
  <w:style w:type="paragraph" w:styleId="af3">
    <w:name w:val="footnote text"/>
    <w:basedOn w:val="a"/>
    <w:link w:val="af4"/>
    <w:unhideWhenUsed/>
    <w:rsid w:val="00036BA6"/>
    <w:pPr>
      <w:snapToGrid w:val="0"/>
      <w:spacing w:line="280" w:lineRule="exact"/>
      <w:ind w:leftChars="0" w:left="30" w:hangingChars="30" w:hanging="30"/>
    </w:pPr>
    <w:rPr>
      <w:sz w:val="24"/>
      <w:szCs w:val="20"/>
    </w:rPr>
  </w:style>
  <w:style w:type="character" w:customStyle="1" w:styleId="af4">
    <w:name w:val="註腳文字 字元"/>
    <w:link w:val="af3"/>
    <w:rsid w:val="00036BA6"/>
    <w:rPr>
      <w:rFonts w:ascii="標楷體" w:eastAsia="標楷體"/>
      <w:snapToGrid w:val="0"/>
      <w:kern w:val="2"/>
      <w:sz w:val="24"/>
    </w:rPr>
  </w:style>
  <w:style w:type="character" w:styleId="af5">
    <w:name w:val="footnote reference"/>
    <w:unhideWhenUsed/>
    <w:rsid w:val="00036BA6"/>
    <w:rPr>
      <w:vertAlign w:val="superscript"/>
    </w:rPr>
  </w:style>
  <w:style w:type="character" w:customStyle="1" w:styleId="143">
    <w:name w:val="表格內文(14行高) 字元"/>
    <w:link w:val="142"/>
    <w:rsid w:val="009529F4"/>
    <w:rPr>
      <w:rFonts w:ascii="標楷體" w:eastAsia="標楷體"/>
      <w:snapToGrid w:val="0"/>
      <w:kern w:val="2"/>
      <w:sz w:val="24"/>
      <w:szCs w:val="28"/>
    </w:rPr>
  </w:style>
  <w:style w:type="paragraph" w:customStyle="1" w:styleId="12">
    <w:name w:val="樣式1"/>
    <w:basedOn w:val="af3"/>
    <w:link w:val="13"/>
    <w:qFormat/>
    <w:rsid w:val="00036BA6"/>
    <w:pPr>
      <w:ind w:left="73" w:hanging="73"/>
    </w:pPr>
  </w:style>
  <w:style w:type="character" w:customStyle="1" w:styleId="13">
    <w:name w:val="樣式1 字元"/>
    <w:link w:val="12"/>
    <w:rsid w:val="00036BA6"/>
    <w:rPr>
      <w:rFonts w:ascii="標楷體" w:eastAsia="標楷體"/>
      <w:snapToGrid w:val="0"/>
      <w:kern w:val="2"/>
      <w:sz w:val="24"/>
    </w:rPr>
  </w:style>
  <w:style w:type="character" w:customStyle="1" w:styleId="145">
    <w:name w:val="表格內文(14行高) 字元 字元"/>
    <w:rsid w:val="009529F4"/>
    <w:rPr>
      <w:rFonts w:ascii="標楷體" w:eastAsia="標楷體"/>
      <w:snapToGrid w:val="0"/>
      <w:kern w:val="2"/>
      <w:sz w:val="24"/>
      <w:szCs w:val="28"/>
      <w:lang w:val="en-US" w:eastAsia="zh-TW" w:bidi="ar-SA"/>
    </w:rPr>
  </w:style>
  <w:style w:type="character" w:customStyle="1" w:styleId="201">
    <w:name w:val="表格內文(20行高) 字元1"/>
    <w:link w:val="200"/>
    <w:rsid w:val="00FE38E8"/>
    <w:rPr>
      <w:rFonts w:ascii="標楷體" w:eastAsia="標楷體"/>
      <w:snapToGrid w:val="0"/>
      <w:kern w:val="2"/>
      <w:sz w:val="24"/>
      <w:szCs w:val="28"/>
    </w:rPr>
  </w:style>
  <w:style w:type="character" w:customStyle="1" w:styleId="22">
    <w:name w:val="(一)下內文縮2 字元"/>
    <w:link w:val="21"/>
    <w:rsid w:val="00A65CE1"/>
    <w:rPr>
      <w:rFonts w:ascii="標楷體" w:eastAsia="標楷體"/>
      <w:snapToGrid w:val="0"/>
      <w:kern w:val="2"/>
      <w:sz w:val="28"/>
      <w:szCs w:val="28"/>
    </w:rPr>
  </w:style>
  <w:style w:type="character" w:customStyle="1" w:styleId="ad">
    <w:name w:val="姓名及分機 字元"/>
    <w:link w:val="ac"/>
    <w:rsid w:val="006B1D36"/>
    <w:rPr>
      <w:rFonts w:ascii="標楷體" w:eastAsia="標楷體"/>
      <w:snapToGrid w:val="0"/>
      <w:kern w:val="2"/>
      <w:sz w:val="24"/>
      <w:szCs w:val="28"/>
    </w:rPr>
  </w:style>
  <w:style w:type="character" w:styleId="af6">
    <w:name w:val="page number"/>
    <w:rsid w:val="006B1D36"/>
  </w:style>
  <w:style w:type="character" w:customStyle="1" w:styleId="ab">
    <w:name w:val="報告名稱 字元"/>
    <w:link w:val="aa"/>
    <w:rsid w:val="006B1D36"/>
    <w:rPr>
      <w:rFonts w:ascii="標楷體" w:eastAsia="標楷體"/>
      <w:b/>
      <w:snapToGrid w:val="0"/>
      <w:kern w:val="2"/>
      <w:sz w:val="36"/>
      <w:szCs w:val="28"/>
    </w:rPr>
  </w:style>
  <w:style w:type="character" w:styleId="af7">
    <w:name w:val="Hyperlink"/>
    <w:uiPriority w:val="99"/>
    <w:unhideWhenUsed/>
    <w:rsid w:val="006B1D36"/>
    <w:rPr>
      <w:color w:val="0563C1"/>
      <w:u w:val="single"/>
    </w:rPr>
  </w:style>
  <w:style w:type="character" w:customStyle="1" w:styleId="10">
    <w:name w:val="標題 1 字元"/>
    <w:link w:val="1"/>
    <w:uiPriority w:val="9"/>
    <w:rsid w:val="00F94EB4"/>
    <w:rPr>
      <w:rFonts w:ascii="Calibri Light" w:eastAsia="新細明體" w:hAnsi="Calibri Light" w:cs="Times New Roman"/>
      <w:b/>
      <w:bCs/>
      <w:snapToGrid w:val="0"/>
      <w:kern w:val="52"/>
      <w:sz w:val="52"/>
      <w:szCs w:val="52"/>
    </w:rPr>
  </w:style>
  <w:style w:type="character" w:customStyle="1" w:styleId="140">
    <w:name w:val="第二層(14號字) 字元"/>
    <w:link w:val="14"/>
    <w:rsid w:val="00516552"/>
    <w:rPr>
      <w:rFonts w:ascii="標楷體" w:eastAsia="標楷體"/>
      <w:b/>
      <w:snapToGrid w:val="0"/>
      <w:kern w:val="2"/>
      <w:sz w:val="28"/>
    </w:rPr>
  </w:style>
  <w:style w:type="paragraph" w:customStyle="1" w:styleId="14-12">
    <w:name w:val="表格內文（14行高-12)"/>
    <w:basedOn w:val="142"/>
    <w:qFormat/>
    <w:rsid w:val="00516552"/>
    <w:rPr>
      <w:rFonts w:hAnsi="標楷體"/>
      <w:spacing w:val="-20"/>
      <w:szCs w:val="24"/>
    </w:rPr>
  </w:style>
  <w:style w:type="paragraph" w:customStyle="1" w:styleId="1420">
    <w:name w:val="表格內文(14行高註2)"/>
    <w:basedOn w:val="142"/>
    <w:qFormat/>
    <w:rsid w:val="00DC22F3"/>
    <w:pPr>
      <w:ind w:leftChars="220" w:left="317" w:hangingChars="97" w:hanging="97"/>
    </w:pPr>
  </w:style>
  <w:style w:type="paragraph" w:customStyle="1" w:styleId="14-2">
    <w:name w:val="表格內文(14行-2高)"/>
    <w:basedOn w:val="142"/>
    <w:qFormat/>
    <w:rsid w:val="00516552"/>
    <w:pPr>
      <w:ind w:leftChars="5" w:left="82" w:hangingChars="28" w:hanging="68"/>
      <w:jc w:val="both"/>
    </w:pPr>
  </w:style>
  <w:style w:type="paragraph" w:customStyle="1" w:styleId="122218">
    <w:name w:val="12 點 靠右 左:  2 字元 第一行:  2 字元 行距:  固定行高 18 點"/>
    <w:basedOn w:val="a"/>
    <w:rsid w:val="00DF71B9"/>
    <w:pPr>
      <w:spacing w:line="360" w:lineRule="exact"/>
      <w:ind w:leftChars="0" w:left="0" w:firstLineChars="0" w:firstLine="0"/>
      <w:jc w:val="right"/>
    </w:pPr>
    <w:rPr>
      <w:rFonts w:cs="新細明體"/>
      <w:sz w:val="24"/>
      <w:szCs w:val="20"/>
    </w:rPr>
  </w:style>
  <w:style w:type="character" w:customStyle="1" w:styleId="30">
    <w:name w:val="標題 3 字元"/>
    <w:link w:val="3"/>
    <w:uiPriority w:val="9"/>
    <w:semiHidden/>
    <w:rsid w:val="00736651"/>
    <w:rPr>
      <w:rFonts w:ascii="Calibri Light" w:eastAsia="新細明體" w:hAnsi="Calibri Light" w:cs="Times New Roman"/>
      <w:b/>
      <w:bCs/>
      <w:snapToGrid w:val="0"/>
      <w:kern w:val="2"/>
      <w:sz w:val="36"/>
      <w:szCs w:val="36"/>
    </w:rPr>
  </w:style>
  <w:style w:type="paragraph" w:styleId="af8">
    <w:name w:val="Balloon Text"/>
    <w:basedOn w:val="a"/>
    <w:link w:val="af9"/>
    <w:uiPriority w:val="99"/>
    <w:semiHidden/>
    <w:unhideWhenUsed/>
    <w:rsid w:val="001F458E"/>
    <w:pPr>
      <w:spacing w:line="240" w:lineRule="auto"/>
    </w:pPr>
    <w:rPr>
      <w:rFonts w:ascii="Calibri Light" w:eastAsia="新細明體" w:hAnsi="Calibri Light"/>
      <w:sz w:val="18"/>
      <w:szCs w:val="18"/>
    </w:rPr>
  </w:style>
  <w:style w:type="character" w:customStyle="1" w:styleId="af9">
    <w:name w:val="註解方塊文字 字元"/>
    <w:link w:val="af8"/>
    <w:uiPriority w:val="99"/>
    <w:semiHidden/>
    <w:rsid w:val="001F458E"/>
    <w:rPr>
      <w:rFonts w:ascii="Calibri Light" w:eastAsia="新細明體" w:hAnsi="Calibri Light" w:cs="Times New Roman"/>
      <w:snapToGrid w:val="0"/>
      <w:kern w:val="2"/>
      <w:sz w:val="18"/>
      <w:szCs w:val="18"/>
    </w:rPr>
  </w:style>
  <w:style w:type="table" w:styleId="afa">
    <w:name w:val="Table Grid"/>
    <w:basedOn w:val="a1"/>
    <w:uiPriority w:val="59"/>
    <w:rsid w:val="005A60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b">
    <w:name w:val="annotation reference"/>
    <w:uiPriority w:val="99"/>
    <w:semiHidden/>
    <w:unhideWhenUsed/>
    <w:rsid w:val="00D63681"/>
    <w:rPr>
      <w:sz w:val="18"/>
      <w:szCs w:val="18"/>
    </w:rPr>
  </w:style>
  <w:style w:type="paragraph" w:styleId="afc">
    <w:name w:val="annotation text"/>
    <w:basedOn w:val="a"/>
    <w:link w:val="afd"/>
    <w:uiPriority w:val="99"/>
    <w:semiHidden/>
    <w:unhideWhenUsed/>
    <w:rsid w:val="00D63681"/>
    <w:pPr>
      <w:jc w:val="left"/>
    </w:pPr>
  </w:style>
  <w:style w:type="character" w:customStyle="1" w:styleId="afd">
    <w:name w:val="註解文字 字元"/>
    <w:link w:val="afc"/>
    <w:uiPriority w:val="99"/>
    <w:semiHidden/>
    <w:rsid w:val="00D63681"/>
    <w:rPr>
      <w:rFonts w:ascii="標楷體" w:eastAsia="標楷體"/>
      <w:snapToGrid w:val="0"/>
      <w:kern w:val="2"/>
      <w:sz w:val="28"/>
      <w:szCs w:val="28"/>
    </w:rPr>
  </w:style>
  <w:style w:type="paragraph" w:styleId="afe">
    <w:name w:val="annotation subject"/>
    <w:basedOn w:val="afc"/>
    <w:next w:val="afc"/>
    <w:link w:val="aff"/>
    <w:uiPriority w:val="99"/>
    <w:semiHidden/>
    <w:unhideWhenUsed/>
    <w:rsid w:val="00D63681"/>
    <w:rPr>
      <w:b/>
      <w:bCs/>
    </w:rPr>
  </w:style>
  <w:style w:type="character" w:customStyle="1" w:styleId="aff">
    <w:name w:val="註解主旨 字元"/>
    <w:link w:val="afe"/>
    <w:uiPriority w:val="99"/>
    <w:semiHidden/>
    <w:rsid w:val="00D63681"/>
    <w:rPr>
      <w:rFonts w:ascii="標楷體" w:eastAsia="標楷體"/>
      <w:b/>
      <w:bCs/>
      <w:snapToGrid w:val="0"/>
      <w:kern w:val="2"/>
      <w:sz w:val="28"/>
      <w:szCs w:val="28"/>
    </w:rPr>
  </w:style>
  <w:style w:type="character" w:customStyle="1" w:styleId="a5">
    <w:name w:val="(一)(二)(三) 字元"/>
    <w:link w:val="a4"/>
    <w:locked/>
    <w:rsid w:val="00E47724"/>
    <w:rPr>
      <w:rFonts w:ascii="標楷體" w:eastAsia="標楷體"/>
      <w:b/>
      <w:snapToGrid w:val="0"/>
      <w:kern w:val="2"/>
      <w:sz w:val="28"/>
      <w:szCs w:val="28"/>
    </w:rPr>
  </w:style>
  <w:style w:type="character" w:customStyle="1" w:styleId="20">
    <w:name w:val="標題 2 字元"/>
    <w:link w:val="2"/>
    <w:uiPriority w:val="9"/>
    <w:semiHidden/>
    <w:rsid w:val="00A057FF"/>
    <w:rPr>
      <w:rFonts w:ascii="Calibri Light" w:eastAsia="新細明體" w:hAnsi="Calibri Light" w:cs="Times New Roman"/>
      <w:b/>
      <w:bCs/>
      <w:snapToGrid w:val="0"/>
      <w:kern w:val="2"/>
      <w:sz w:val="48"/>
      <w:szCs w:val="48"/>
    </w:rPr>
  </w:style>
  <w:style w:type="paragraph" w:customStyle="1" w:styleId="aff0">
    <w:name w:val="List Paragraph"/>
    <w:aliases w:val="清單段落2,表格正文"/>
    <w:basedOn w:val="a"/>
    <w:link w:val="aff1"/>
    <w:uiPriority w:val="34"/>
    <w:qFormat/>
    <w:rsid w:val="00ED011D"/>
    <w:pPr>
      <w:spacing w:line="240" w:lineRule="auto"/>
      <w:ind w:left="480" w:firstLineChars="0" w:firstLine="0"/>
      <w:jc w:val="left"/>
    </w:pPr>
    <w:rPr>
      <w:rFonts w:ascii="Calibri" w:eastAsia="新細明體" w:hAnsi="Calibri"/>
      <w:snapToGrid/>
      <w:sz w:val="24"/>
      <w:szCs w:val="22"/>
      <w:lang w:val="x-none" w:eastAsia="x-none"/>
    </w:rPr>
  </w:style>
  <w:style w:type="character" w:customStyle="1" w:styleId="aff1">
    <w:name w:val="清單段落 字元"/>
    <w:aliases w:val="清單段落2 字元,表格正文 字元"/>
    <w:link w:val="aff0"/>
    <w:uiPriority w:val="34"/>
    <w:locked/>
    <w:rsid w:val="00ED011D"/>
    <w:rPr>
      <w:rFonts w:ascii="Calibri" w:hAnsi="Calibri"/>
      <w:kern w:val="2"/>
      <w:sz w:val="24"/>
      <w:szCs w:val="22"/>
      <w:lang w:val="x-none" w:eastAsia="x-none"/>
    </w:rPr>
  </w:style>
  <w:style w:type="paragraph" w:styleId="aff2">
    <w:name w:val="Salutation"/>
    <w:basedOn w:val="a"/>
    <w:next w:val="a"/>
    <w:rsid w:val="00C15CB8"/>
  </w:style>
  <w:style w:type="paragraph" w:styleId="aff3">
    <w:name w:val="Closing"/>
    <w:basedOn w:val="a"/>
    <w:rsid w:val="00C15CB8"/>
    <w:pPr>
      <w:ind w:leftChars="1800" w:left="100"/>
    </w:pPr>
  </w:style>
  <w:style w:type="paragraph" w:customStyle="1" w:styleId="146">
    <w:name w:val="註腳(表格內文14行高左右齊)"/>
    <w:basedOn w:val="142"/>
    <w:qFormat/>
    <w:rsid w:val="00D853D9"/>
    <w:pPr>
      <w:wordWrap w:val="0"/>
      <w:ind w:leftChars="-15" w:left="153" w:hangingChars="80" w:hanging="195"/>
      <w:jc w:val="both"/>
    </w:pPr>
  </w:style>
  <w:style w:type="character" w:customStyle="1" w:styleId="aff4">
    <w:name w:val="未解析的提及"/>
    <w:uiPriority w:val="99"/>
    <w:semiHidden/>
    <w:unhideWhenUsed/>
    <w:rsid w:val="00376663"/>
    <w:rPr>
      <w:color w:val="605E5C"/>
      <w:shd w:val="clear" w:color="auto" w:fill="E1DFDD"/>
    </w:rPr>
  </w:style>
  <w:style w:type="character" w:customStyle="1" w:styleId="1231">
    <w:name w:val="1.2.3. 字元1"/>
    <w:link w:val="123"/>
    <w:rsid w:val="00BE3D9E"/>
    <w:rPr>
      <w:rFonts w:ascii="標楷體" w:eastAsia="標楷體"/>
      <w:b/>
      <w:snapToGrid w:val="0"/>
      <w:kern w:val="2"/>
      <w:sz w:val="28"/>
      <w:szCs w:val="28"/>
    </w:rPr>
  </w:style>
  <w:style w:type="character" w:customStyle="1" w:styleId="24">
    <w:name w:val="(一)(二)(三) 字元2"/>
    <w:qFormat/>
    <w:rsid w:val="00BE3D9E"/>
    <w:rPr>
      <w:rFonts w:ascii="標楷體" w:eastAsia="標楷體"/>
      <w:snapToGrid w:val="0"/>
      <w:kern w:val="2"/>
      <w:sz w:val="28"/>
      <w:szCs w:val="28"/>
      <w:lang w:val="en-US" w:eastAsia="zh-TW" w:bidi="ar-SA"/>
    </w:rPr>
  </w:style>
  <w:style w:type="character" w:customStyle="1" w:styleId="220">
    <w:name w:val="(一)下內文縮2 字元2"/>
    <w:rsid w:val="00BE3D9E"/>
    <w:rPr>
      <w:rFonts w:ascii="標楷體" w:eastAsia="標楷體"/>
      <w:snapToGrid w:val="0"/>
      <w:kern w:val="2"/>
      <w:sz w:val="28"/>
      <w:szCs w:val="28"/>
      <w:lang w:val="en-US" w:eastAsia="zh-TW" w:bidi="ar-SA"/>
    </w:rPr>
  </w:style>
  <w:style w:type="character" w:customStyle="1" w:styleId="1410">
    <w:name w:val="表格內文(14行高) 字元1"/>
    <w:rsid w:val="00BE3D9E"/>
    <w:rPr>
      <w:rFonts w:ascii="標楷體" w:eastAsia="標楷體"/>
      <w:snapToGrid w:val="0"/>
      <w:kern w:val="2"/>
      <w:sz w:val="24"/>
      <w:szCs w:val="28"/>
    </w:rPr>
  </w:style>
  <w:style w:type="character" w:customStyle="1" w:styleId="1411">
    <w:name w:val="第二層(14號字) 字元1"/>
    <w:rsid w:val="00BE3D9E"/>
    <w:rPr>
      <w:rFonts w:ascii="標楷體" w:eastAsia="標楷體"/>
      <w:b/>
      <w:snapToGrid w:val="0"/>
      <w:kern w:val="2"/>
      <w:sz w:val="28"/>
    </w:rPr>
  </w:style>
  <w:style w:type="paragraph" w:styleId="aff5">
    <w:name w:val="List Paragraph"/>
    <w:basedOn w:val="a"/>
    <w:uiPriority w:val="34"/>
    <w:qFormat/>
    <w:rsid w:val="00273D24"/>
    <w:pPr>
      <w:spacing w:line="240" w:lineRule="auto"/>
      <w:ind w:left="480" w:firstLineChars="0" w:firstLine="0"/>
      <w:jc w:val="left"/>
    </w:pPr>
    <w:rPr>
      <w:rFonts w:ascii="Times New Roman" w:eastAsia="新細明體"/>
      <w:snapToGr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802885">
      <w:bodyDiv w:val="1"/>
      <w:marLeft w:val="0"/>
      <w:marRight w:val="0"/>
      <w:marTop w:val="0"/>
      <w:marBottom w:val="0"/>
      <w:divBdr>
        <w:top w:val="none" w:sz="0" w:space="0" w:color="auto"/>
        <w:left w:val="none" w:sz="0" w:space="0" w:color="auto"/>
        <w:bottom w:val="none" w:sz="0" w:space="0" w:color="auto"/>
        <w:right w:val="none" w:sz="0" w:space="0" w:color="auto"/>
      </w:divBdr>
      <w:divsChild>
        <w:div w:id="1794322762">
          <w:marLeft w:val="0"/>
          <w:marRight w:val="0"/>
          <w:marTop w:val="225"/>
          <w:marBottom w:val="0"/>
          <w:divBdr>
            <w:top w:val="none" w:sz="0" w:space="0" w:color="auto"/>
            <w:left w:val="none" w:sz="0" w:space="0" w:color="auto"/>
            <w:bottom w:val="none" w:sz="0" w:space="0" w:color="auto"/>
            <w:right w:val="none" w:sz="0" w:space="0" w:color="auto"/>
          </w:divBdr>
          <w:divsChild>
            <w:div w:id="2112117215">
              <w:marLeft w:val="0"/>
              <w:marRight w:val="0"/>
              <w:marTop w:val="0"/>
              <w:marBottom w:val="450"/>
              <w:divBdr>
                <w:top w:val="single" w:sz="6" w:space="0" w:color="EAEAEA"/>
                <w:left w:val="single" w:sz="6" w:space="0" w:color="EAEAEA"/>
                <w:bottom w:val="single" w:sz="6" w:space="0" w:color="EAEAEA"/>
                <w:right w:val="single" w:sz="6" w:space="0" w:color="EAEAEA"/>
              </w:divBdr>
              <w:divsChild>
                <w:div w:id="1614098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9987406">
      <w:bodyDiv w:val="1"/>
      <w:marLeft w:val="0"/>
      <w:marRight w:val="0"/>
      <w:marTop w:val="0"/>
      <w:marBottom w:val="0"/>
      <w:divBdr>
        <w:top w:val="none" w:sz="0" w:space="0" w:color="auto"/>
        <w:left w:val="none" w:sz="0" w:space="0" w:color="auto"/>
        <w:bottom w:val="none" w:sz="0" w:space="0" w:color="auto"/>
        <w:right w:val="none" w:sz="0" w:space="0" w:color="auto"/>
      </w:divBdr>
    </w:div>
    <w:div w:id="732511098">
      <w:bodyDiv w:val="1"/>
      <w:marLeft w:val="0"/>
      <w:marRight w:val="0"/>
      <w:marTop w:val="0"/>
      <w:marBottom w:val="0"/>
      <w:divBdr>
        <w:top w:val="none" w:sz="0" w:space="0" w:color="auto"/>
        <w:left w:val="none" w:sz="0" w:space="0" w:color="auto"/>
        <w:bottom w:val="none" w:sz="0" w:space="0" w:color="auto"/>
        <w:right w:val="none" w:sz="0" w:space="0" w:color="auto"/>
      </w:divBdr>
    </w:div>
    <w:div w:id="813913229">
      <w:bodyDiv w:val="1"/>
      <w:marLeft w:val="0"/>
      <w:marRight w:val="0"/>
      <w:marTop w:val="0"/>
      <w:marBottom w:val="0"/>
      <w:divBdr>
        <w:top w:val="none" w:sz="0" w:space="0" w:color="auto"/>
        <w:left w:val="none" w:sz="0" w:space="0" w:color="auto"/>
        <w:bottom w:val="none" w:sz="0" w:space="0" w:color="auto"/>
        <w:right w:val="none" w:sz="0" w:space="0" w:color="auto"/>
      </w:divBdr>
    </w:div>
    <w:div w:id="1250506827">
      <w:bodyDiv w:val="1"/>
      <w:marLeft w:val="0"/>
      <w:marRight w:val="0"/>
      <w:marTop w:val="0"/>
      <w:marBottom w:val="0"/>
      <w:divBdr>
        <w:top w:val="none" w:sz="0" w:space="0" w:color="auto"/>
        <w:left w:val="none" w:sz="0" w:space="0" w:color="auto"/>
        <w:bottom w:val="none" w:sz="0" w:space="0" w:color="auto"/>
        <w:right w:val="none" w:sz="0" w:space="0" w:color="auto"/>
      </w:divBdr>
    </w:div>
    <w:div w:id="1284000517">
      <w:bodyDiv w:val="1"/>
      <w:marLeft w:val="0"/>
      <w:marRight w:val="0"/>
      <w:marTop w:val="0"/>
      <w:marBottom w:val="0"/>
      <w:divBdr>
        <w:top w:val="none" w:sz="0" w:space="0" w:color="auto"/>
        <w:left w:val="none" w:sz="0" w:space="0" w:color="auto"/>
        <w:bottom w:val="none" w:sz="0" w:space="0" w:color="auto"/>
        <w:right w:val="none" w:sz="0" w:space="0" w:color="auto"/>
      </w:divBdr>
    </w:div>
    <w:div w:id="1332829226">
      <w:bodyDiv w:val="1"/>
      <w:marLeft w:val="0"/>
      <w:marRight w:val="0"/>
      <w:marTop w:val="0"/>
      <w:marBottom w:val="0"/>
      <w:divBdr>
        <w:top w:val="none" w:sz="0" w:space="0" w:color="auto"/>
        <w:left w:val="none" w:sz="0" w:space="0" w:color="auto"/>
        <w:bottom w:val="none" w:sz="0" w:space="0" w:color="auto"/>
        <w:right w:val="none" w:sz="0" w:space="0" w:color="auto"/>
      </w:divBdr>
    </w:div>
    <w:div w:id="1525824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ly40649\Desktop\word&#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4E4D11-1C66-473D-8ABB-2D7CE8802E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word範本.dot</Template>
  <TotalTime>0</TotalTime>
  <Pages>3</Pages>
  <Words>1728</Words>
  <Characters>9854</Characters>
  <Application>Microsoft Office Word</Application>
  <DocSecurity>0</DocSecurity>
  <Lines>82</Lines>
  <Paragraphs>23</Paragraphs>
  <ScaleCrop>false</ScaleCrop>
  <Company>HOME</Company>
  <LinksUpToDate>false</LinksUpToDate>
  <CharactersWithSpaces>11559</CharactersWithSpaces>
  <SharedDoc>false</SharedDoc>
  <HLinks>
    <vt:vector size="30" baseType="variant">
      <vt:variant>
        <vt:i4>1638452</vt:i4>
      </vt:variant>
      <vt:variant>
        <vt:i4>26</vt:i4>
      </vt:variant>
      <vt:variant>
        <vt:i4>0</vt:i4>
      </vt:variant>
      <vt:variant>
        <vt:i4>5</vt:i4>
      </vt:variant>
      <vt:variant>
        <vt:lpwstr/>
      </vt:variant>
      <vt:variant>
        <vt:lpwstr>_Toc182575060</vt:lpwstr>
      </vt:variant>
      <vt:variant>
        <vt:i4>1703988</vt:i4>
      </vt:variant>
      <vt:variant>
        <vt:i4>20</vt:i4>
      </vt:variant>
      <vt:variant>
        <vt:i4>0</vt:i4>
      </vt:variant>
      <vt:variant>
        <vt:i4>5</vt:i4>
      </vt:variant>
      <vt:variant>
        <vt:lpwstr/>
      </vt:variant>
      <vt:variant>
        <vt:lpwstr>_Toc182575059</vt:lpwstr>
      </vt:variant>
      <vt:variant>
        <vt:i4>1703988</vt:i4>
      </vt:variant>
      <vt:variant>
        <vt:i4>14</vt:i4>
      </vt:variant>
      <vt:variant>
        <vt:i4>0</vt:i4>
      </vt:variant>
      <vt:variant>
        <vt:i4>5</vt:i4>
      </vt:variant>
      <vt:variant>
        <vt:lpwstr/>
      </vt:variant>
      <vt:variant>
        <vt:lpwstr>_Toc182575058</vt:lpwstr>
      </vt:variant>
      <vt:variant>
        <vt:i4>1703988</vt:i4>
      </vt:variant>
      <vt:variant>
        <vt:i4>8</vt:i4>
      </vt:variant>
      <vt:variant>
        <vt:i4>0</vt:i4>
      </vt:variant>
      <vt:variant>
        <vt:i4>5</vt:i4>
      </vt:variant>
      <vt:variant>
        <vt:lpwstr/>
      </vt:variant>
      <vt:variant>
        <vt:lpwstr>_Toc182575057</vt:lpwstr>
      </vt:variant>
      <vt:variant>
        <vt:i4>1703988</vt:i4>
      </vt:variant>
      <vt:variant>
        <vt:i4>2</vt:i4>
      </vt:variant>
      <vt:variant>
        <vt:i4>0</vt:i4>
      </vt:variant>
      <vt:variant>
        <vt:i4>5</vt:i4>
      </vt:variant>
      <vt:variant>
        <vt:lpwstr/>
      </vt:variant>
      <vt:variant>
        <vt:lpwstr>_Toc182575056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Administrator</cp:lastModifiedBy>
  <cp:revision>2</cp:revision>
  <cp:lastPrinted>2024-11-15T06:58:00Z</cp:lastPrinted>
  <dcterms:created xsi:type="dcterms:W3CDTF">2024-11-19T01:51:00Z</dcterms:created>
  <dcterms:modified xsi:type="dcterms:W3CDTF">2024-11-19T01:51:00Z</dcterms:modified>
</cp:coreProperties>
</file>