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D89" w:rsidRPr="00A41D89" w:rsidRDefault="00A41D89" w:rsidP="00A41D89">
      <w:pPr>
        <w:pStyle w:val="aa"/>
        <w:rPr>
          <w:rFonts w:hint="eastAsia"/>
        </w:rPr>
      </w:pPr>
      <w:bookmarkStart w:id="0" w:name="_GoBack"/>
      <w:bookmarkEnd w:id="0"/>
      <w:r w:rsidRPr="00A41D89">
        <w:rPr>
          <w:rFonts w:hint="eastAsia"/>
        </w:rPr>
        <w:t>中國輸出入銀行11</w:t>
      </w:r>
      <w:r w:rsidR="0089055F">
        <w:rPr>
          <w:rFonts w:hint="eastAsia"/>
        </w:rPr>
        <w:t>4</w:t>
      </w:r>
      <w:r w:rsidRPr="00A41D89">
        <w:rPr>
          <w:rFonts w:hint="eastAsia"/>
        </w:rPr>
        <w:t>年度營業預算評估報告</w:t>
      </w:r>
    </w:p>
    <w:p w:rsidR="00A41D89" w:rsidRDefault="0089055F" w:rsidP="007706F1">
      <w:pPr>
        <w:pStyle w:val="a8"/>
        <w:ind w:firstLine="566"/>
      </w:pPr>
      <w:r>
        <w:rPr>
          <w:rFonts w:hint="eastAsia"/>
        </w:rPr>
        <w:t>中國輸出入銀</w:t>
      </w:r>
      <w:r w:rsidR="00A41D89" w:rsidRPr="00A41D89">
        <w:rPr>
          <w:rFonts w:hint="eastAsia"/>
        </w:rPr>
        <w:t>行</w:t>
      </w:r>
      <w:r>
        <w:rPr>
          <w:rFonts w:hint="eastAsia"/>
        </w:rPr>
        <w:t>(以下簡稱輸出入銀行</w:t>
      </w:r>
      <w:r>
        <w:t>)</w:t>
      </w:r>
      <w:r>
        <w:rPr>
          <w:rFonts w:hint="eastAsia"/>
        </w:rPr>
        <w:t>係依</w:t>
      </w:r>
      <w:r w:rsidR="00A41D89" w:rsidRPr="00A41D89">
        <w:rPr>
          <w:rFonts w:hint="eastAsia"/>
        </w:rPr>
        <w:t>中國輸出入銀行條例設立</w:t>
      </w:r>
      <w:r>
        <w:rPr>
          <w:rFonts w:hAnsi="標楷體" w:hint="eastAsia"/>
        </w:rPr>
        <w:t>，由財政部監管</w:t>
      </w:r>
      <w:r w:rsidR="00A41D89" w:rsidRPr="00A41D89">
        <w:rPr>
          <w:rFonts w:hint="eastAsia"/>
        </w:rPr>
        <w:t>之</w:t>
      </w:r>
      <w:r>
        <w:rPr>
          <w:rFonts w:hint="eastAsia"/>
        </w:rPr>
        <w:t>國營</w:t>
      </w:r>
      <w:r w:rsidR="00A41D89" w:rsidRPr="00A41D89">
        <w:rPr>
          <w:rFonts w:hint="eastAsia"/>
        </w:rPr>
        <w:t>輸出入信用專業銀行，主要</w:t>
      </w:r>
      <w:r>
        <w:rPr>
          <w:rFonts w:hint="eastAsia"/>
        </w:rPr>
        <w:t>業務係配合政府經貿政策</w:t>
      </w:r>
      <w:r>
        <w:rPr>
          <w:rFonts w:hAnsi="標楷體" w:hint="eastAsia"/>
        </w:rPr>
        <w:t>，</w:t>
      </w:r>
      <w:r>
        <w:rPr>
          <w:rFonts w:hint="eastAsia"/>
        </w:rPr>
        <w:t>為出口業者提供融資</w:t>
      </w:r>
      <w:r w:rsidRPr="00A41D89">
        <w:rPr>
          <w:rFonts w:hint="eastAsia"/>
        </w:rPr>
        <w:t>、</w:t>
      </w:r>
      <w:r>
        <w:rPr>
          <w:rFonts w:hint="eastAsia"/>
        </w:rPr>
        <w:t>保證及</w:t>
      </w:r>
      <w:r w:rsidR="00A41D89" w:rsidRPr="00A41D89">
        <w:rPr>
          <w:rFonts w:hint="eastAsia"/>
        </w:rPr>
        <w:t>輸出保險等業務。該行11</w:t>
      </w:r>
      <w:r>
        <w:rPr>
          <w:rFonts w:hint="eastAsia"/>
        </w:rPr>
        <w:t>4</w:t>
      </w:r>
      <w:r w:rsidR="00A41D89" w:rsidRPr="00A41D89">
        <w:rPr>
          <w:rFonts w:hint="eastAsia"/>
        </w:rPr>
        <w:t>年度預算案編列營業收入</w:t>
      </w:r>
      <w:r>
        <w:rPr>
          <w:rFonts w:hint="eastAsia"/>
        </w:rPr>
        <w:t>58</w:t>
      </w:r>
      <w:r w:rsidR="00E75CBB">
        <w:rPr>
          <w:rFonts w:hint="eastAsia"/>
        </w:rPr>
        <w:t>億</w:t>
      </w:r>
      <w:r>
        <w:rPr>
          <w:rFonts w:hint="eastAsia"/>
        </w:rPr>
        <w:t>7</w:t>
      </w:r>
      <w:r w:rsidR="00E75CBB">
        <w:t>,</w:t>
      </w:r>
      <w:r>
        <w:rPr>
          <w:rFonts w:hint="eastAsia"/>
        </w:rPr>
        <w:t>218</w:t>
      </w:r>
      <w:r w:rsidR="00E75CBB">
        <w:rPr>
          <w:rFonts w:hint="eastAsia"/>
        </w:rPr>
        <w:t>萬</w:t>
      </w:r>
      <w:r>
        <w:rPr>
          <w:rFonts w:hint="eastAsia"/>
        </w:rPr>
        <w:t>1</w:t>
      </w:r>
      <w:r w:rsidR="00820CEA">
        <w:rPr>
          <w:rFonts w:hint="eastAsia"/>
        </w:rPr>
        <w:t>千</w:t>
      </w:r>
      <w:r w:rsidR="00A41D89" w:rsidRPr="00A41D89">
        <w:rPr>
          <w:rFonts w:hint="eastAsia"/>
        </w:rPr>
        <w:t>元，營業成本</w:t>
      </w:r>
      <w:r>
        <w:rPr>
          <w:rFonts w:hint="eastAsia"/>
        </w:rPr>
        <w:t>36</w:t>
      </w:r>
      <w:r w:rsidR="00E75CBB">
        <w:rPr>
          <w:rFonts w:hint="eastAsia"/>
        </w:rPr>
        <w:t>億</w:t>
      </w:r>
      <w:r>
        <w:rPr>
          <w:rFonts w:hint="eastAsia"/>
        </w:rPr>
        <w:t>8</w:t>
      </w:r>
      <w:r w:rsidR="00E75CBB">
        <w:t>,</w:t>
      </w:r>
      <w:r>
        <w:rPr>
          <w:rFonts w:hint="eastAsia"/>
        </w:rPr>
        <w:t>651</w:t>
      </w:r>
      <w:r w:rsidR="00E75CBB">
        <w:rPr>
          <w:rFonts w:hint="eastAsia"/>
        </w:rPr>
        <w:t>萬</w:t>
      </w:r>
      <w:r>
        <w:rPr>
          <w:rFonts w:hint="eastAsia"/>
        </w:rPr>
        <w:t>1</w:t>
      </w:r>
      <w:r w:rsidR="00E75CBB">
        <w:rPr>
          <w:rFonts w:hint="eastAsia"/>
        </w:rPr>
        <w:t>千</w:t>
      </w:r>
      <w:r w:rsidR="00A41D89" w:rsidRPr="00A41D89">
        <w:rPr>
          <w:rFonts w:hint="eastAsia"/>
        </w:rPr>
        <w:t>元，營業費用</w:t>
      </w:r>
      <w:r w:rsidR="00C1796A">
        <w:t>8</w:t>
      </w:r>
      <w:r w:rsidR="00C1796A">
        <w:rPr>
          <w:rFonts w:hint="eastAsia"/>
        </w:rPr>
        <w:t>億</w:t>
      </w:r>
      <w:r>
        <w:rPr>
          <w:rFonts w:hint="eastAsia"/>
        </w:rPr>
        <w:t>9</w:t>
      </w:r>
      <w:r w:rsidR="00C1796A">
        <w:t>,</w:t>
      </w:r>
      <w:r>
        <w:rPr>
          <w:rFonts w:hint="eastAsia"/>
        </w:rPr>
        <w:t>664</w:t>
      </w:r>
      <w:r w:rsidR="00C1796A">
        <w:rPr>
          <w:rFonts w:hint="eastAsia"/>
        </w:rPr>
        <w:t>萬</w:t>
      </w:r>
      <w:r w:rsidR="00A41D89" w:rsidRPr="00A41D89">
        <w:rPr>
          <w:rFonts w:hint="eastAsia"/>
        </w:rPr>
        <w:t>元，營業外收入200萬元，營業外費用</w:t>
      </w:r>
      <w:r w:rsidR="00C1796A">
        <w:t>6,</w:t>
      </w:r>
      <w:r>
        <w:rPr>
          <w:rFonts w:hint="eastAsia"/>
        </w:rPr>
        <w:t>883</w:t>
      </w:r>
      <w:r w:rsidR="00C1796A">
        <w:rPr>
          <w:rFonts w:hint="eastAsia"/>
        </w:rPr>
        <w:t>萬</w:t>
      </w:r>
      <w:r>
        <w:rPr>
          <w:rFonts w:hint="eastAsia"/>
        </w:rPr>
        <w:t>5</w:t>
      </w:r>
      <w:r w:rsidR="00A41D89" w:rsidRPr="00A41D89">
        <w:rPr>
          <w:rFonts w:hint="eastAsia"/>
        </w:rPr>
        <w:t>千元，所得稅費用</w:t>
      </w:r>
      <w:r>
        <w:rPr>
          <w:rFonts w:hint="eastAsia"/>
        </w:rPr>
        <w:t>1億1</w:t>
      </w:r>
      <w:r w:rsidR="00C1796A">
        <w:t>,</w:t>
      </w:r>
      <w:r>
        <w:rPr>
          <w:rFonts w:hint="eastAsia"/>
        </w:rPr>
        <w:t>271</w:t>
      </w:r>
      <w:r w:rsidR="00C1796A">
        <w:rPr>
          <w:rFonts w:hint="eastAsia"/>
        </w:rPr>
        <w:t>萬</w:t>
      </w:r>
      <w:r>
        <w:rPr>
          <w:rFonts w:hint="eastAsia"/>
        </w:rPr>
        <w:t>2</w:t>
      </w:r>
      <w:r w:rsidR="00C1796A">
        <w:rPr>
          <w:rFonts w:hint="eastAsia"/>
        </w:rPr>
        <w:t>千</w:t>
      </w:r>
      <w:r w:rsidR="00A41D89" w:rsidRPr="00A41D89">
        <w:rPr>
          <w:rFonts w:hint="eastAsia"/>
        </w:rPr>
        <w:t>元，本期淨利</w:t>
      </w:r>
      <w:r>
        <w:rPr>
          <w:rFonts w:hint="eastAsia"/>
        </w:rPr>
        <w:t>11</w:t>
      </w:r>
      <w:r w:rsidR="00A617E2">
        <w:rPr>
          <w:rFonts w:hint="eastAsia"/>
        </w:rPr>
        <w:t>億</w:t>
      </w:r>
      <w:r w:rsidR="00A617E2">
        <w:t>9</w:t>
      </w:r>
      <w:r>
        <w:rPr>
          <w:rFonts w:hint="eastAsia"/>
        </w:rPr>
        <w:t>48</w:t>
      </w:r>
      <w:r w:rsidR="00A617E2">
        <w:rPr>
          <w:rFonts w:hint="eastAsia"/>
        </w:rPr>
        <w:t>萬</w:t>
      </w:r>
      <w:r>
        <w:rPr>
          <w:rFonts w:hint="eastAsia"/>
        </w:rPr>
        <w:t>3</w:t>
      </w:r>
      <w:r w:rsidR="00820CEA">
        <w:rPr>
          <w:rFonts w:hint="eastAsia"/>
        </w:rPr>
        <w:t>千</w:t>
      </w:r>
      <w:r w:rsidR="00A41D89" w:rsidRPr="00A41D89">
        <w:rPr>
          <w:rFonts w:hint="eastAsia"/>
        </w:rPr>
        <w:t>元</w:t>
      </w:r>
      <w:r w:rsidR="004C665A">
        <w:rPr>
          <w:rFonts w:hint="eastAsia"/>
        </w:rPr>
        <w:t>，較11</w:t>
      </w:r>
      <w:r w:rsidR="00A655B9">
        <w:rPr>
          <w:rFonts w:hint="eastAsia"/>
        </w:rPr>
        <w:t>3</w:t>
      </w:r>
      <w:r w:rsidR="004C665A">
        <w:rPr>
          <w:rFonts w:hint="eastAsia"/>
        </w:rPr>
        <w:t>年度預算</w:t>
      </w:r>
      <w:r w:rsidR="00A617E2">
        <w:rPr>
          <w:rFonts w:hint="eastAsia"/>
        </w:rPr>
        <w:t>數</w:t>
      </w:r>
      <w:r w:rsidR="00A655B9">
        <w:rPr>
          <w:rFonts w:hint="eastAsia"/>
        </w:rPr>
        <w:t>8</w:t>
      </w:r>
      <w:r w:rsidR="00A617E2">
        <w:rPr>
          <w:rFonts w:hint="eastAsia"/>
        </w:rPr>
        <w:t>億</w:t>
      </w:r>
      <w:r w:rsidR="00A655B9">
        <w:rPr>
          <w:rFonts w:hint="eastAsia"/>
        </w:rPr>
        <w:t>3</w:t>
      </w:r>
      <w:r w:rsidR="00A617E2">
        <w:t>,</w:t>
      </w:r>
      <w:r w:rsidR="00A655B9">
        <w:rPr>
          <w:rFonts w:hint="eastAsia"/>
        </w:rPr>
        <w:t>989</w:t>
      </w:r>
      <w:r w:rsidR="00A617E2">
        <w:rPr>
          <w:rFonts w:hint="eastAsia"/>
        </w:rPr>
        <w:t>萬</w:t>
      </w:r>
      <w:r w:rsidR="00A655B9">
        <w:rPr>
          <w:rFonts w:hint="eastAsia"/>
        </w:rPr>
        <w:t>6</w:t>
      </w:r>
      <w:r w:rsidR="00A617E2">
        <w:rPr>
          <w:rFonts w:hint="eastAsia"/>
        </w:rPr>
        <w:t>千</w:t>
      </w:r>
      <w:r w:rsidR="004C665A">
        <w:rPr>
          <w:rFonts w:hint="eastAsia"/>
        </w:rPr>
        <w:t>元增加</w:t>
      </w:r>
      <w:r w:rsidR="007706F1">
        <w:rPr>
          <w:rFonts w:hint="eastAsia"/>
        </w:rPr>
        <w:t>2億6</w:t>
      </w:r>
      <w:r w:rsidR="007706F1">
        <w:t>,</w:t>
      </w:r>
      <w:r w:rsidR="007706F1">
        <w:rPr>
          <w:rFonts w:hint="eastAsia"/>
        </w:rPr>
        <w:t>958</w:t>
      </w:r>
      <w:r w:rsidR="000225AB">
        <w:rPr>
          <w:rFonts w:hint="eastAsia"/>
        </w:rPr>
        <w:t>萬</w:t>
      </w:r>
      <w:r w:rsidR="007706F1">
        <w:rPr>
          <w:rFonts w:hint="eastAsia"/>
        </w:rPr>
        <w:t>7</w:t>
      </w:r>
      <w:r w:rsidR="004C665A">
        <w:rPr>
          <w:rFonts w:hint="eastAsia"/>
        </w:rPr>
        <w:t>千元(增幅</w:t>
      </w:r>
      <w:r w:rsidR="007706F1">
        <w:rPr>
          <w:rFonts w:hint="eastAsia"/>
        </w:rPr>
        <w:t>3</w:t>
      </w:r>
      <w:r w:rsidR="007706F1">
        <w:t>2</w:t>
      </w:r>
      <w:r w:rsidR="000225AB">
        <w:t>.</w:t>
      </w:r>
      <w:r w:rsidR="007706F1">
        <w:t>1</w:t>
      </w:r>
      <w:r w:rsidR="004C665A">
        <w:t>%</w:t>
      </w:r>
      <w:r w:rsidR="004C665A">
        <w:rPr>
          <w:rFonts w:hint="eastAsia"/>
        </w:rPr>
        <w:t>)，較11</w:t>
      </w:r>
      <w:r w:rsidR="00A655B9">
        <w:rPr>
          <w:rFonts w:hint="eastAsia"/>
        </w:rPr>
        <w:t>2</w:t>
      </w:r>
      <w:r w:rsidR="004C665A">
        <w:rPr>
          <w:rFonts w:hint="eastAsia"/>
        </w:rPr>
        <w:t>年度決算數</w:t>
      </w:r>
      <w:r w:rsidR="00A655B9">
        <w:rPr>
          <w:rFonts w:hint="eastAsia"/>
        </w:rPr>
        <w:t>11</w:t>
      </w:r>
      <w:r w:rsidR="008835E8">
        <w:rPr>
          <w:rFonts w:hint="eastAsia"/>
        </w:rPr>
        <w:t>億</w:t>
      </w:r>
      <w:r w:rsidR="00A655B9">
        <w:rPr>
          <w:rFonts w:hint="eastAsia"/>
        </w:rPr>
        <w:t>3</w:t>
      </w:r>
      <w:r w:rsidR="008835E8">
        <w:t>,</w:t>
      </w:r>
      <w:r w:rsidR="00A655B9">
        <w:rPr>
          <w:rFonts w:hint="eastAsia"/>
        </w:rPr>
        <w:t>881</w:t>
      </w:r>
      <w:r w:rsidR="008835E8">
        <w:rPr>
          <w:rFonts w:hint="eastAsia"/>
        </w:rPr>
        <w:t>萬</w:t>
      </w:r>
      <w:r w:rsidR="004C665A">
        <w:rPr>
          <w:rFonts w:hint="eastAsia"/>
        </w:rPr>
        <w:t>元則</w:t>
      </w:r>
      <w:r w:rsidR="007706F1">
        <w:rPr>
          <w:rFonts w:hint="eastAsia"/>
        </w:rPr>
        <w:t>減少2,932</w:t>
      </w:r>
      <w:r w:rsidR="00F4776F">
        <w:rPr>
          <w:rFonts w:hint="eastAsia"/>
        </w:rPr>
        <w:t>萬</w:t>
      </w:r>
      <w:r w:rsidR="007706F1">
        <w:rPr>
          <w:rFonts w:hint="eastAsia"/>
        </w:rPr>
        <w:t>7</w:t>
      </w:r>
      <w:r w:rsidR="004C665A">
        <w:rPr>
          <w:rFonts w:hint="eastAsia"/>
        </w:rPr>
        <w:t>千元(</w:t>
      </w:r>
      <w:r w:rsidR="007706F1">
        <w:rPr>
          <w:rFonts w:hint="eastAsia"/>
        </w:rPr>
        <w:t>減</w:t>
      </w:r>
      <w:r w:rsidR="004C665A">
        <w:rPr>
          <w:rFonts w:hint="eastAsia"/>
        </w:rPr>
        <w:t>幅</w:t>
      </w:r>
      <w:r w:rsidR="007706F1">
        <w:rPr>
          <w:rFonts w:hint="eastAsia"/>
        </w:rPr>
        <w:t>2</w:t>
      </w:r>
      <w:r w:rsidR="00850D3D">
        <w:t>.</w:t>
      </w:r>
      <w:r w:rsidR="007706F1">
        <w:rPr>
          <w:rFonts w:hint="eastAsia"/>
        </w:rPr>
        <w:t>58</w:t>
      </w:r>
      <w:r w:rsidR="004C665A">
        <w:rPr>
          <w:rFonts w:hint="eastAsia"/>
        </w:rPr>
        <w:t>%)</w:t>
      </w:r>
      <w:r w:rsidR="00A41D89" w:rsidRPr="00A41D89">
        <w:rPr>
          <w:rFonts w:hint="eastAsia"/>
        </w:rPr>
        <w:t>。茲就該行11</w:t>
      </w:r>
      <w:r w:rsidR="00A655B9">
        <w:rPr>
          <w:rFonts w:hint="eastAsia"/>
        </w:rPr>
        <w:t>4</w:t>
      </w:r>
      <w:r w:rsidR="00A41D89" w:rsidRPr="00A41D89">
        <w:rPr>
          <w:rFonts w:hint="eastAsia"/>
        </w:rPr>
        <w:t>年度預算案評</w:t>
      </w:r>
      <w:r w:rsidR="00AA6C12">
        <w:rPr>
          <w:rFonts w:hint="eastAsia"/>
        </w:rPr>
        <w:t>析</w:t>
      </w:r>
      <w:r w:rsidR="00A41D89" w:rsidRPr="00A41D89">
        <w:rPr>
          <w:rFonts w:hint="eastAsia"/>
        </w:rPr>
        <w:t>如</w:t>
      </w:r>
      <w:r w:rsidR="00A655B9">
        <w:rPr>
          <w:rFonts w:hint="eastAsia"/>
        </w:rPr>
        <w:t>次</w:t>
      </w:r>
      <w:r w:rsidR="00A41D89" w:rsidRPr="00A41D89">
        <w:rPr>
          <w:rFonts w:hint="eastAsia"/>
        </w:rPr>
        <w:t>：</w:t>
      </w:r>
    </w:p>
    <w:p w:rsidR="00AA4E92" w:rsidRDefault="00AA4E92" w:rsidP="00AA4E92">
      <w:pPr>
        <w:pStyle w:val="14"/>
        <w:ind w:left="567" w:hanging="567"/>
        <w:rPr>
          <w:lang w:eastAsia="zh-HK"/>
        </w:rPr>
      </w:pPr>
      <w:bookmarkStart w:id="1" w:name="_Toc90050258"/>
      <w:bookmarkStart w:id="2" w:name="_Toc117097005"/>
      <w:bookmarkStart w:id="3" w:name="_Toc182991503"/>
      <w:r>
        <w:rPr>
          <w:rFonts w:hint="eastAsia"/>
        </w:rPr>
        <w:t>一</w:t>
      </w:r>
      <w:r>
        <w:rPr>
          <w:rFonts w:hint="eastAsia"/>
          <w:lang w:eastAsia="zh-HK"/>
        </w:rPr>
        <w:t>、</w:t>
      </w:r>
      <w:r w:rsidR="006C53A7">
        <w:rPr>
          <w:rFonts w:hint="eastAsia"/>
        </w:rPr>
        <w:t>執行</w:t>
      </w:r>
      <w:r>
        <w:rPr>
          <w:rFonts w:hint="eastAsia"/>
        </w:rPr>
        <w:t>國家融資保證機制</w:t>
      </w:r>
      <w:r w:rsidR="0074246A">
        <w:rPr>
          <w:rFonts w:hAnsi="標楷體" w:hint="eastAsia"/>
        </w:rPr>
        <w:t>，</w:t>
      </w:r>
      <w:r w:rsidR="0074246A">
        <w:rPr>
          <w:rFonts w:hint="eastAsia"/>
        </w:rPr>
        <w:t>惟近年僅</w:t>
      </w:r>
      <w:r w:rsidR="008D1E16">
        <w:rPr>
          <w:rFonts w:hint="eastAsia"/>
        </w:rPr>
        <w:t>有</w:t>
      </w:r>
      <w:r w:rsidR="0058752E">
        <w:rPr>
          <w:rFonts w:hint="eastAsia"/>
        </w:rPr>
        <w:t>部分</w:t>
      </w:r>
      <w:r w:rsidR="008D1E16">
        <w:rPr>
          <w:rFonts w:hint="eastAsia"/>
        </w:rPr>
        <w:t>類別</w:t>
      </w:r>
      <w:r w:rsidR="0074246A">
        <w:rPr>
          <w:rFonts w:hint="eastAsia"/>
        </w:rPr>
        <w:t>有核准案件</w:t>
      </w:r>
      <w:r>
        <w:rPr>
          <w:rFonts w:hint="eastAsia"/>
        </w:rPr>
        <w:t>，允宜</w:t>
      </w:r>
      <w:r w:rsidR="0074246A">
        <w:rPr>
          <w:rFonts w:hint="eastAsia"/>
        </w:rPr>
        <w:t>加強推廣</w:t>
      </w:r>
      <w:r w:rsidR="0074246A">
        <w:rPr>
          <w:rFonts w:hAnsi="標楷體" w:hint="eastAsia"/>
        </w:rPr>
        <w:t>，</w:t>
      </w:r>
      <w:r w:rsidR="0074246A">
        <w:rPr>
          <w:rFonts w:hint="eastAsia"/>
        </w:rPr>
        <w:t>俾落實政策目標</w:t>
      </w:r>
      <w:bookmarkEnd w:id="2"/>
      <w:bookmarkEnd w:id="3"/>
    </w:p>
    <w:p w:rsidR="00AA4E92" w:rsidRDefault="009138D3" w:rsidP="00AA4E92">
      <w:pPr>
        <w:ind w:left="566" w:firstLine="566"/>
        <w:rPr>
          <w:lang w:eastAsia="zh-HK"/>
        </w:rPr>
      </w:pPr>
      <w:r w:rsidRPr="009138D3">
        <w:rPr>
          <w:rFonts w:hint="eastAsia"/>
        </w:rPr>
        <w:t>輸出入銀行114年度預算案預計承做</w:t>
      </w:r>
      <w:r w:rsidR="005B41D3">
        <w:rPr>
          <w:rFonts w:hint="eastAsia"/>
        </w:rPr>
        <w:t>保證</w:t>
      </w:r>
      <w:r w:rsidRPr="009138D3">
        <w:rPr>
          <w:rFonts w:hint="eastAsia"/>
        </w:rPr>
        <w:t>業務</w:t>
      </w:r>
      <w:r w:rsidR="005B41D3">
        <w:rPr>
          <w:rFonts w:hint="eastAsia"/>
        </w:rPr>
        <w:t>378</w:t>
      </w:r>
      <w:r w:rsidRPr="009138D3">
        <w:rPr>
          <w:rFonts w:hint="eastAsia"/>
        </w:rPr>
        <w:t>億元，較113年度預算營運量</w:t>
      </w:r>
      <w:r w:rsidR="00A45BA8">
        <w:rPr>
          <w:rFonts w:hint="eastAsia"/>
        </w:rPr>
        <w:t>325</w:t>
      </w:r>
      <w:r w:rsidRPr="009138D3">
        <w:rPr>
          <w:rFonts w:hint="eastAsia"/>
        </w:rPr>
        <w:t>億元增加</w:t>
      </w:r>
      <w:r w:rsidR="00A45BA8">
        <w:rPr>
          <w:rFonts w:hint="eastAsia"/>
        </w:rPr>
        <w:t>53</w:t>
      </w:r>
      <w:r w:rsidRPr="009138D3">
        <w:rPr>
          <w:rFonts w:hint="eastAsia"/>
        </w:rPr>
        <w:t>億元，成長</w:t>
      </w:r>
      <w:r w:rsidR="00A215AB">
        <w:rPr>
          <w:rFonts w:hint="eastAsia"/>
        </w:rPr>
        <w:t>16</w:t>
      </w:r>
      <w:r w:rsidRPr="009138D3">
        <w:rPr>
          <w:rFonts w:hint="eastAsia"/>
        </w:rPr>
        <w:t>.</w:t>
      </w:r>
      <w:r w:rsidR="00A215AB">
        <w:rPr>
          <w:rFonts w:hint="eastAsia"/>
        </w:rPr>
        <w:t>31</w:t>
      </w:r>
      <w:r w:rsidRPr="009138D3">
        <w:rPr>
          <w:rFonts w:hint="eastAsia"/>
        </w:rPr>
        <w:t>%</w:t>
      </w:r>
      <w:r w:rsidR="00AA4E92">
        <w:rPr>
          <w:rFonts w:hint="eastAsia"/>
          <w:lang w:eastAsia="zh-HK"/>
        </w:rPr>
        <w:t>。</w:t>
      </w:r>
      <w:r w:rsidR="008D4C68">
        <w:rPr>
          <w:rFonts w:hint="eastAsia"/>
        </w:rPr>
        <w:t>有關該行近年推動</w:t>
      </w:r>
      <w:r w:rsidR="008D4C68" w:rsidRPr="008D4C68">
        <w:rPr>
          <w:rFonts w:hint="eastAsia"/>
        </w:rPr>
        <w:t>國家融資保證機制</w:t>
      </w:r>
      <w:r w:rsidR="008D4C68">
        <w:rPr>
          <w:rFonts w:hint="eastAsia"/>
        </w:rPr>
        <w:t>雖有初步成果</w:t>
      </w:r>
      <w:r w:rsidR="008D4C68">
        <w:rPr>
          <w:rFonts w:hAnsi="標楷體" w:hint="eastAsia"/>
        </w:rPr>
        <w:t>，</w:t>
      </w:r>
      <w:r w:rsidR="008D4C68">
        <w:rPr>
          <w:rFonts w:hint="eastAsia"/>
        </w:rPr>
        <w:t>惟</w:t>
      </w:r>
      <w:r w:rsidR="00463EA0">
        <w:rPr>
          <w:rFonts w:hint="eastAsia"/>
        </w:rPr>
        <w:t>截至113年</w:t>
      </w:r>
      <w:r w:rsidR="0058752E">
        <w:t>10</w:t>
      </w:r>
      <w:r w:rsidR="00463EA0">
        <w:rPr>
          <w:rFonts w:hint="eastAsia"/>
        </w:rPr>
        <w:t>月底核准之融資保證案件類別僅</w:t>
      </w:r>
      <w:r w:rsidR="0058752E">
        <w:rPr>
          <w:rFonts w:hint="eastAsia"/>
        </w:rPr>
        <w:t>有綠能建設</w:t>
      </w:r>
      <w:r w:rsidR="0058752E">
        <w:rPr>
          <w:rFonts w:hAnsi="標楷體" w:hint="eastAsia"/>
        </w:rPr>
        <w:t>、</w:t>
      </w:r>
      <w:r w:rsidR="00463EA0">
        <w:rPr>
          <w:rFonts w:hint="eastAsia"/>
        </w:rPr>
        <w:t>綠能設備與服務</w:t>
      </w:r>
      <w:r w:rsidR="0058752E">
        <w:rPr>
          <w:rFonts w:hint="eastAsia"/>
        </w:rPr>
        <w:t>等2類有核准案件</w:t>
      </w:r>
      <w:r w:rsidR="00463EA0">
        <w:rPr>
          <w:rFonts w:hAnsi="標楷體" w:hint="eastAsia"/>
        </w:rPr>
        <w:t>，</w:t>
      </w:r>
      <w:r w:rsidR="00463EA0">
        <w:rPr>
          <w:rFonts w:hint="eastAsia"/>
        </w:rPr>
        <w:t>謹敘明</w:t>
      </w:r>
      <w:r w:rsidR="00AA4E92">
        <w:rPr>
          <w:rFonts w:hint="eastAsia"/>
        </w:rPr>
        <w:t>如</w:t>
      </w:r>
      <w:r w:rsidR="00463EA0">
        <w:rPr>
          <w:rFonts w:hint="eastAsia"/>
        </w:rPr>
        <w:t>次</w:t>
      </w:r>
      <w:r w:rsidR="00AA4E92">
        <w:rPr>
          <w:rFonts w:hint="eastAsia"/>
          <w:lang w:eastAsia="zh-HK"/>
        </w:rPr>
        <w:t>：</w:t>
      </w:r>
    </w:p>
    <w:p w:rsidR="00AA4E92" w:rsidRPr="00A63148" w:rsidRDefault="00AA4E92" w:rsidP="00AA4E92">
      <w:pPr>
        <w:pStyle w:val="a4"/>
        <w:ind w:left="849" w:hanging="283"/>
        <w:rPr>
          <w:b/>
          <w:lang w:eastAsia="zh-HK"/>
        </w:rPr>
      </w:pPr>
      <w:r w:rsidRPr="00A63148">
        <w:rPr>
          <w:rFonts w:hint="eastAsia"/>
          <w:b/>
        </w:rPr>
        <w:t>(一)</w:t>
      </w:r>
      <w:r w:rsidRPr="00B8473F">
        <w:rPr>
          <w:rFonts w:hint="eastAsia"/>
          <w:b/>
        </w:rPr>
        <w:t>國家融資保證機制推動方案</w:t>
      </w:r>
      <w:r w:rsidR="00CB2360">
        <w:rPr>
          <w:rFonts w:hint="eastAsia"/>
          <w:b/>
        </w:rPr>
        <w:t>係由政府及</w:t>
      </w:r>
      <w:r w:rsidR="00F1056A">
        <w:rPr>
          <w:rFonts w:hint="eastAsia"/>
          <w:b/>
        </w:rPr>
        <w:t>所</w:t>
      </w:r>
      <w:r w:rsidR="00CB2360">
        <w:rPr>
          <w:rFonts w:hint="eastAsia"/>
          <w:b/>
        </w:rPr>
        <w:t>持股之金融機構</w:t>
      </w:r>
      <w:r w:rsidR="00F1056A">
        <w:rPr>
          <w:rFonts w:hint="eastAsia"/>
          <w:b/>
        </w:rPr>
        <w:t>共同出</w:t>
      </w:r>
      <w:r w:rsidR="00CB2360">
        <w:rPr>
          <w:rFonts w:hint="eastAsia"/>
          <w:b/>
        </w:rPr>
        <w:t>資並設立專戶</w:t>
      </w:r>
      <w:r w:rsidR="00CB2360">
        <w:rPr>
          <w:rFonts w:hAnsi="標楷體" w:hint="eastAsia"/>
          <w:b/>
        </w:rPr>
        <w:t>，</w:t>
      </w:r>
      <w:r w:rsidR="00CB2360">
        <w:rPr>
          <w:rFonts w:hint="eastAsia"/>
          <w:b/>
        </w:rPr>
        <w:t>提供授信保證</w:t>
      </w:r>
      <w:r w:rsidR="00F1056A">
        <w:rPr>
          <w:rFonts w:hAnsi="標楷體" w:hint="eastAsia"/>
          <w:b/>
        </w:rPr>
        <w:t>，</w:t>
      </w:r>
      <w:r w:rsidR="00F1056A">
        <w:rPr>
          <w:rFonts w:hint="eastAsia"/>
          <w:b/>
        </w:rPr>
        <w:t>以促進我國綠能相關產業之發展</w:t>
      </w:r>
      <w:r w:rsidR="00F1056A">
        <w:rPr>
          <w:rFonts w:hAnsi="標楷體" w:hint="eastAsia"/>
          <w:b/>
        </w:rPr>
        <w:t>，</w:t>
      </w:r>
      <w:r w:rsidR="00F1056A">
        <w:rPr>
          <w:rFonts w:hint="eastAsia"/>
          <w:b/>
        </w:rPr>
        <w:t>並達成能源轉型之目標</w:t>
      </w:r>
    </w:p>
    <w:p w:rsidR="00824FFD" w:rsidRDefault="00AA4E92" w:rsidP="00003EF3">
      <w:pPr>
        <w:pStyle w:val="21"/>
        <w:ind w:left="850" w:firstLine="566"/>
        <w:rPr>
          <w:rFonts w:hAnsi="標楷體"/>
        </w:rPr>
      </w:pPr>
      <w:r>
        <w:rPr>
          <w:rFonts w:hint="eastAsia"/>
          <w:lang w:eastAsia="zh-HK"/>
        </w:rPr>
        <w:t>為推動國內綠能與重大公共建設，行政院109年11月</w:t>
      </w:r>
      <w:r w:rsidR="00217D7C">
        <w:rPr>
          <w:rFonts w:hint="eastAsia"/>
          <w:lang w:eastAsia="zh-HK"/>
        </w:rPr>
        <w:t>核定「國家融資保證機制推動方案」</w:t>
      </w:r>
      <w:r w:rsidR="00217D7C">
        <w:rPr>
          <w:rFonts w:hAnsi="標楷體" w:hint="eastAsia"/>
          <w:lang w:eastAsia="zh-HK"/>
        </w:rPr>
        <w:t>，</w:t>
      </w:r>
      <w:r w:rsidR="00217D7C">
        <w:rPr>
          <w:rFonts w:hint="eastAsia"/>
        </w:rPr>
        <w:t>輸出入銀行受託</w:t>
      </w:r>
      <w:r w:rsidR="00217D7C" w:rsidRPr="00217D7C">
        <w:rPr>
          <w:rFonts w:hint="eastAsia"/>
        </w:rPr>
        <w:t>擔任「國家融資保證機制推動方案」之執行單位</w:t>
      </w:r>
      <w:r w:rsidR="00217D7C">
        <w:rPr>
          <w:rFonts w:hAnsi="標楷體" w:hint="eastAsia"/>
        </w:rPr>
        <w:t>，</w:t>
      </w:r>
      <w:r w:rsidR="008D1E16">
        <w:rPr>
          <w:rFonts w:hAnsi="標楷體" w:hint="eastAsia"/>
        </w:rPr>
        <w:t>於110年1月成立國家融資保證中心，</w:t>
      </w:r>
      <w:r>
        <w:rPr>
          <w:rFonts w:hint="eastAsia"/>
          <w:lang w:eastAsia="zh-HK"/>
        </w:rPr>
        <w:t>由</w:t>
      </w:r>
      <w:r w:rsidR="002B7EB9">
        <w:rPr>
          <w:rFonts w:hint="eastAsia"/>
        </w:rPr>
        <w:t>行政院</w:t>
      </w:r>
      <w:r>
        <w:rPr>
          <w:rFonts w:hint="eastAsia"/>
          <w:lang w:eastAsia="zh-HK"/>
        </w:rPr>
        <w:t>國</w:t>
      </w:r>
      <w:r w:rsidR="002B7EB9">
        <w:rPr>
          <w:rFonts w:hint="eastAsia"/>
        </w:rPr>
        <w:t>家</w:t>
      </w:r>
      <w:r>
        <w:rPr>
          <w:rFonts w:hint="eastAsia"/>
          <w:lang w:eastAsia="zh-HK"/>
        </w:rPr>
        <w:t>發</w:t>
      </w:r>
      <w:r w:rsidR="002B7EB9">
        <w:rPr>
          <w:rFonts w:hint="eastAsia"/>
        </w:rPr>
        <w:t>展</w:t>
      </w:r>
      <w:r>
        <w:rPr>
          <w:rFonts w:hint="eastAsia"/>
          <w:lang w:eastAsia="zh-HK"/>
        </w:rPr>
        <w:t>基金</w:t>
      </w:r>
      <w:r w:rsidR="00614CCC">
        <w:rPr>
          <w:rFonts w:hint="eastAsia"/>
        </w:rPr>
        <w:t>(以下簡稱</w:t>
      </w:r>
      <w:r w:rsidR="00217D7C">
        <w:rPr>
          <w:rFonts w:hint="eastAsia"/>
        </w:rPr>
        <w:t>國發基金</w:t>
      </w:r>
      <w:r w:rsidR="00614CCC">
        <w:t>)</w:t>
      </w:r>
      <w:r w:rsidR="002B7EB9">
        <w:rPr>
          <w:rFonts w:hint="eastAsia"/>
        </w:rPr>
        <w:t>管理會</w:t>
      </w:r>
      <w:r>
        <w:rPr>
          <w:rFonts w:hint="eastAsia"/>
          <w:lang w:eastAsia="zh-HK"/>
        </w:rPr>
        <w:t>與</w:t>
      </w:r>
      <w:r w:rsidR="002B7EB9">
        <w:rPr>
          <w:rFonts w:hint="eastAsia"/>
        </w:rPr>
        <w:t>臺灣銀行等8家政府持股之金融機構</w:t>
      </w:r>
      <w:r w:rsidR="00F1056A">
        <w:rPr>
          <w:rFonts w:hint="eastAsia"/>
        </w:rPr>
        <w:t>簽約並共同出資</w:t>
      </w:r>
      <w:r w:rsidR="002B7EB9">
        <w:rPr>
          <w:rStyle w:val="af0"/>
        </w:rPr>
        <w:footnoteReference w:id="1"/>
      </w:r>
      <w:r w:rsidR="00F1056A">
        <w:rPr>
          <w:rFonts w:hint="eastAsia"/>
        </w:rPr>
        <w:t>並設</w:t>
      </w:r>
      <w:r w:rsidR="00F1056A">
        <w:rPr>
          <w:rFonts w:hint="eastAsia"/>
        </w:rPr>
        <w:lastRenderedPageBreak/>
        <w:t>立專戶</w:t>
      </w:r>
      <w:r w:rsidR="00F1056A">
        <w:rPr>
          <w:rFonts w:hint="eastAsia"/>
          <w:lang w:eastAsia="zh-HK"/>
        </w:rPr>
        <w:t>，</w:t>
      </w:r>
      <w:r w:rsidR="00F1056A">
        <w:rPr>
          <w:rFonts w:hint="eastAsia"/>
        </w:rPr>
        <w:t>提供融資</w:t>
      </w:r>
      <w:r>
        <w:rPr>
          <w:rFonts w:hint="eastAsia"/>
          <w:lang w:eastAsia="zh-HK"/>
        </w:rPr>
        <w:t>保證，</w:t>
      </w:r>
      <w:r w:rsidR="00CB2360">
        <w:rPr>
          <w:rFonts w:hint="eastAsia"/>
        </w:rPr>
        <w:t>透過降低</w:t>
      </w:r>
      <w:r w:rsidR="00F1056A">
        <w:rPr>
          <w:rFonts w:hint="eastAsia"/>
        </w:rPr>
        <w:t>金融機構承</w:t>
      </w:r>
      <w:r w:rsidR="00017D29">
        <w:rPr>
          <w:rFonts w:hint="eastAsia"/>
        </w:rPr>
        <w:t>擔</w:t>
      </w:r>
      <w:r w:rsidR="00F1056A">
        <w:rPr>
          <w:rFonts w:hint="eastAsia"/>
        </w:rPr>
        <w:t>綠能產業及重大公共建設之專案融資風險</w:t>
      </w:r>
      <w:r w:rsidR="00F1056A">
        <w:rPr>
          <w:rFonts w:hAnsi="標楷體" w:hint="eastAsia"/>
        </w:rPr>
        <w:t>，</w:t>
      </w:r>
      <w:r w:rsidR="00F1056A">
        <w:rPr>
          <w:rFonts w:hint="eastAsia"/>
        </w:rPr>
        <w:t>提升該等機構支持國內重大公共建設融資計畫意願</w:t>
      </w:r>
      <w:r w:rsidR="002B7EB9">
        <w:rPr>
          <w:rFonts w:hAnsi="標楷體" w:hint="eastAsia"/>
        </w:rPr>
        <w:t>，</w:t>
      </w:r>
      <w:r w:rsidR="002B7EB9" w:rsidRPr="002B7EB9">
        <w:rPr>
          <w:rFonts w:hint="eastAsia"/>
        </w:rPr>
        <w:t>以促進我國綠能相關產業之發展，並達成能源轉型之目標</w:t>
      </w:r>
      <w:r w:rsidR="00A9307F">
        <w:rPr>
          <w:rFonts w:hAnsi="標楷體" w:hint="eastAsia"/>
        </w:rPr>
        <w:t>，</w:t>
      </w:r>
      <w:r w:rsidR="00A9307F">
        <w:rPr>
          <w:rFonts w:hint="eastAsia"/>
        </w:rPr>
        <w:t>111年11月已完成出資</w:t>
      </w:r>
      <w:r w:rsidR="00EB02DB">
        <w:rPr>
          <w:rFonts w:hAnsi="標楷體" w:hint="eastAsia"/>
        </w:rPr>
        <w:t>，</w:t>
      </w:r>
      <w:r w:rsidR="00003EF3">
        <w:rPr>
          <w:rFonts w:hAnsi="標楷體" w:hint="eastAsia"/>
        </w:rPr>
        <w:t>合計</w:t>
      </w:r>
      <w:r w:rsidR="00EB02DB">
        <w:rPr>
          <w:rFonts w:hint="eastAsia"/>
        </w:rPr>
        <w:t>金額</w:t>
      </w:r>
      <w:r w:rsidR="00003EF3">
        <w:rPr>
          <w:rFonts w:hint="eastAsia"/>
        </w:rPr>
        <w:t>90</w:t>
      </w:r>
      <w:r w:rsidR="00EB02DB">
        <w:rPr>
          <w:rFonts w:hint="eastAsia"/>
        </w:rPr>
        <w:t>億</w:t>
      </w:r>
      <w:r w:rsidR="00003EF3">
        <w:rPr>
          <w:rFonts w:hint="eastAsia"/>
        </w:rPr>
        <w:t>2</w:t>
      </w:r>
      <w:r w:rsidR="00003EF3">
        <w:t>,</w:t>
      </w:r>
      <w:r w:rsidR="00003EF3">
        <w:rPr>
          <w:rFonts w:hint="eastAsia"/>
        </w:rPr>
        <w:t>099</w:t>
      </w:r>
      <w:r w:rsidR="00EB02DB">
        <w:rPr>
          <w:rFonts w:hint="eastAsia"/>
        </w:rPr>
        <w:t>萬</w:t>
      </w:r>
      <w:r w:rsidR="00003EF3">
        <w:rPr>
          <w:rFonts w:hint="eastAsia"/>
        </w:rPr>
        <w:t>3千</w:t>
      </w:r>
      <w:r w:rsidR="00EB02DB">
        <w:rPr>
          <w:rFonts w:hint="eastAsia"/>
        </w:rPr>
        <w:t>元</w:t>
      </w:r>
      <w:r>
        <w:rPr>
          <w:rFonts w:hint="eastAsia"/>
          <w:lang w:eastAsia="zh-HK"/>
        </w:rPr>
        <w:t>。</w:t>
      </w:r>
      <w:r w:rsidR="00217D7C">
        <w:rPr>
          <w:rFonts w:hint="eastAsia"/>
        </w:rPr>
        <w:t>經徵詢各方意見</w:t>
      </w:r>
      <w:r w:rsidR="00217D7C">
        <w:rPr>
          <w:rFonts w:hAnsi="標楷體" w:hint="eastAsia"/>
        </w:rPr>
        <w:t>，</w:t>
      </w:r>
      <w:r w:rsidR="00217D7C">
        <w:rPr>
          <w:rFonts w:hint="eastAsia"/>
        </w:rPr>
        <w:t>行政院滾動式檢討並</w:t>
      </w:r>
      <w:r w:rsidR="00E80755">
        <w:rPr>
          <w:rFonts w:hint="eastAsia"/>
        </w:rPr>
        <w:t>於112年12月</w:t>
      </w:r>
      <w:r w:rsidR="00217D7C">
        <w:rPr>
          <w:rFonts w:hint="eastAsia"/>
        </w:rPr>
        <w:t>修訂</w:t>
      </w:r>
      <w:r w:rsidR="00217D7C" w:rsidRPr="00217D7C">
        <w:rPr>
          <w:rFonts w:hint="eastAsia"/>
        </w:rPr>
        <w:t>「國家融資保證機制推動方案」</w:t>
      </w:r>
      <w:r w:rsidR="00217D7C">
        <w:rPr>
          <w:rFonts w:hAnsi="標楷體" w:hint="eastAsia"/>
        </w:rPr>
        <w:t>，</w:t>
      </w:r>
      <w:r w:rsidR="00217D7C">
        <w:rPr>
          <w:rFonts w:hint="eastAsia"/>
        </w:rPr>
        <w:t>該方案推動時程</w:t>
      </w:r>
      <w:r w:rsidR="008D1E16">
        <w:rPr>
          <w:rFonts w:hint="eastAsia"/>
        </w:rPr>
        <w:t>已</w:t>
      </w:r>
      <w:r w:rsidR="00217D7C">
        <w:rPr>
          <w:rFonts w:hint="eastAsia"/>
        </w:rPr>
        <w:t>延長5年至119年</w:t>
      </w:r>
      <w:r w:rsidR="00217D7C">
        <w:rPr>
          <w:rFonts w:hAnsi="標楷體" w:hint="eastAsia"/>
        </w:rPr>
        <w:t>，</w:t>
      </w:r>
      <w:r w:rsidR="00824FFD">
        <w:rPr>
          <w:rFonts w:hAnsi="標楷體" w:hint="eastAsia"/>
        </w:rPr>
        <w:t>並透過</w:t>
      </w:r>
      <w:r w:rsidR="00824FFD">
        <w:rPr>
          <w:rFonts w:hint="eastAsia"/>
        </w:rPr>
        <w:t>逐步擴大融資保證範疇</w:t>
      </w:r>
      <w:r w:rsidR="00824FFD">
        <w:rPr>
          <w:rFonts w:hAnsi="標楷體" w:hint="eastAsia"/>
        </w:rPr>
        <w:t>，俾強化政策果效。</w:t>
      </w:r>
    </w:p>
    <w:p w:rsidR="002B7EB9" w:rsidRDefault="00824FFD" w:rsidP="00003EF3">
      <w:pPr>
        <w:pStyle w:val="21"/>
        <w:ind w:left="850" w:firstLine="566"/>
        <w:rPr>
          <w:rFonts w:hAnsi="標楷體"/>
        </w:rPr>
      </w:pPr>
      <w:r>
        <w:rPr>
          <w:rFonts w:hAnsi="標楷體" w:hint="eastAsia"/>
        </w:rPr>
        <w:t>在適用融資保證之用途類別方面，</w:t>
      </w:r>
      <w:r w:rsidR="00003EF3">
        <w:rPr>
          <w:rFonts w:hint="eastAsia"/>
        </w:rPr>
        <w:t>依國家融資保證作業要點</w:t>
      </w:r>
      <w:r>
        <w:rPr>
          <w:rFonts w:hint="eastAsia"/>
        </w:rPr>
        <w:t>最新版(113年3月1日國家發展委員會核備修正)</w:t>
      </w:r>
      <w:r w:rsidR="00003EF3">
        <w:rPr>
          <w:rFonts w:hint="eastAsia"/>
        </w:rPr>
        <w:t>第4點</w:t>
      </w:r>
      <w:r>
        <w:rPr>
          <w:rFonts w:hint="eastAsia"/>
        </w:rPr>
        <w:t>規定</w:t>
      </w:r>
      <w:r w:rsidR="00003EF3">
        <w:rPr>
          <w:rFonts w:hint="eastAsia"/>
        </w:rPr>
        <w:t>包括綠能建設</w:t>
      </w:r>
      <w:r w:rsidR="00003EF3">
        <w:rPr>
          <w:rFonts w:hAnsi="標楷體" w:hint="eastAsia"/>
        </w:rPr>
        <w:t>、</w:t>
      </w:r>
      <w:r w:rsidR="00396ADE" w:rsidRPr="00396ADE">
        <w:rPr>
          <w:rFonts w:hAnsi="標楷體" w:hint="eastAsia"/>
        </w:rPr>
        <w:t>綠能設備與服務</w:t>
      </w:r>
      <w:r w:rsidR="00396ADE">
        <w:rPr>
          <w:rFonts w:hAnsi="標楷體" w:hint="eastAsia"/>
        </w:rPr>
        <w:t>、儲能、購電及重大公共建設</w:t>
      </w:r>
      <w:r w:rsidR="00E95A51">
        <w:rPr>
          <w:rFonts w:hAnsi="標楷體" w:hint="eastAsia"/>
        </w:rPr>
        <w:t>等5類</w:t>
      </w:r>
      <w:r w:rsidR="007F3651">
        <w:rPr>
          <w:rFonts w:hAnsi="標楷體" w:hint="eastAsia"/>
        </w:rPr>
        <w:t>；保證成數除購電類最高8成外，其餘類別均為最高6成；授信期間除綠能建設、購電類最長20年外</w:t>
      </w:r>
      <w:r w:rsidR="00BC2968">
        <w:rPr>
          <w:rFonts w:hAnsi="標楷體" w:hint="eastAsia"/>
        </w:rPr>
        <w:t>，其餘類別最長均為10年；單一企業獲准融資保證額度最高金額除綠能建設類為300億元外，其餘類別介於5億元至</w:t>
      </w:r>
      <w:r w:rsidR="00E80755">
        <w:rPr>
          <w:rFonts w:hAnsi="標楷體" w:hint="eastAsia"/>
        </w:rPr>
        <w:t>8</w:t>
      </w:r>
      <w:r w:rsidR="00BC2968">
        <w:rPr>
          <w:rFonts w:hAnsi="標楷體" w:hint="eastAsia"/>
        </w:rPr>
        <w:t>0億元</w:t>
      </w:r>
      <w:r w:rsidR="006748D0">
        <w:rPr>
          <w:rFonts w:hAnsi="標楷體" w:hint="eastAsia"/>
        </w:rPr>
        <w:t>間，為避免融資保證申請者集中於單一企業集團，前揭作業要點就同一集團之企業獲准之保證融資額度另訂有上限規定</w:t>
      </w:r>
      <w:r>
        <w:rPr>
          <w:rFonts w:hAnsi="標楷體" w:hint="eastAsia"/>
        </w:rPr>
        <w:t>(詳表1)</w:t>
      </w:r>
      <w:r w:rsidR="00342E91">
        <w:rPr>
          <w:rFonts w:hAnsi="標楷體" w:hint="eastAsia"/>
        </w:rPr>
        <w:t>。</w:t>
      </w:r>
      <w:r>
        <w:rPr>
          <w:rFonts w:hAnsi="標楷體"/>
        </w:rPr>
        <w:t xml:space="preserve"> </w:t>
      </w:r>
    </w:p>
    <w:p w:rsidR="00824FFD" w:rsidRPr="004E731F" w:rsidRDefault="00824FFD" w:rsidP="00824FFD">
      <w:pPr>
        <w:ind w:leftChars="0" w:left="5953" w:hangingChars="2100" w:hanging="5953"/>
        <w:jc w:val="left"/>
        <w:rPr>
          <w:sz w:val="40"/>
        </w:rPr>
      </w:pPr>
      <w:r w:rsidRPr="001610E2">
        <w:rPr>
          <w:rFonts w:hint="eastAsia"/>
          <w:b/>
        </w:rPr>
        <w:t>表</w:t>
      </w:r>
      <w:r>
        <w:rPr>
          <w:b/>
        </w:rPr>
        <w:t>1</w:t>
      </w:r>
      <w:r>
        <w:rPr>
          <w:rFonts w:hint="eastAsia"/>
          <w:b/>
        </w:rPr>
        <w:t xml:space="preserve">國家融資保證作業要點主要規範            </w:t>
      </w:r>
    </w:p>
    <w:tbl>
      <w:tblPr>
        <w:tblW w:w="493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20"/>
        <w:gridCol w:w="1399"/>
        <w:gridCol w:w="1364"/>
        <w:gridCol w:w="1543"/>
        <w:gridCol w:w="1543"/>
        <w:gridCol w:w="1543"/>
      </w:tblGrid>
      <w:tr w:rsidR="00824FFD" w:rsidRPr="00566A77" w:rsidTr="009E108D">
        <w:trPr>
          <w:trHeight w:val="304"/>
          <w:tblHeader/>
        </w:trPr>
        <w:tc>
          <w:tcPr>
            <w:tcW w:w="708" w:type="pct"/>
            <w:tcBorders>
              <w:tl2br w:val="single" w:sz="4" w:space="0" w:color="auto"/>
            </w:tcBorders>
            <w:shd w:val="clear" w:color="auto" w:fill="auto"/>
          </w:tcPr>
          <w:p w:rsidR="00824FFD" w:rsidRDefault="00824FFD" w:rsidP="009E108D">
            <w:pPr>
              <w:pStyle w:val="142"/>
              <w:rPr>
                <w:rFonts w:hAnsi="Calibri"/>
              </w:rPr>
            </w:pPr>
            <w:r w:rsidRPr="00383D19">
              <w:rPr>
                <w:rFonts w:hAnsi="Calibri" w:hint="eastAsia"/>
              </w:rPr>
              <w:t xml:space="preserve"> 融資保</w:t>
            </w:r>
            <w:r>
              <w:rPr>
                <w:rFonts w:hAnsi="Calibri" w:hint="eastAsia"/>
              </w:rPr>
              <w:t xml:space="preserve"> </w:t>
            </w:r>
          </w:p>
          <w:p w:rsidR="00824FFD" w:rsidRDefault="00824FFD" w:rsidP="009E108D">
            <w:pPr>
              <w:pStyle w:val="142"/>
              <w:rPr>
                <w:rFonts w:hAnsi="Calibri"/>
              </w:rPr>
            </w:pPr>
            <w:r>
              <w:rPr>
                <w:rFonts w:hAnsi="Calibri" w:hint="eastAsia"/>
              </w:rPr>
              <w:t xml:space="preserve">  證類別  </w:t>
            </w:r>
          </w:p>
          <w:p w:rsidR="00824FFD" w:rsidRPr="00383D19" w:rsidRDefault="00824FFD" w:rsidP="009E108D">
            <w:pPr>
              <w:pStyle w:val="142"/>
              <w:rPr>
                <w:rFonts w:hAnsi="Calibri"/>
              </w:rPr>
            </w:pPr>
            <w:r>
              <w:rPr>
                <w:rFonts w:hAnsi="Calibri" w:hint="eastAsia"/>
              </w:rPr>
              <w:t xml:space="preserve">    </w:t>
            </w:r>
          </w:p>
          <w:p w:rsidR="00824FFD" w:rsidRPr="00383D19" w:rsidRDefault="00824FFD" w:rsidP="009E108D">
            <w:pPr>
              <w:pStyle w:val="142"/>
              <w:rPr>
                <w:rFonts w:hAnsi="Calibri" w:hint="eastAsia"/>
              </w:rPr>
            </w:pPr>
          </w:p>
          <w:p w:rsidR="00824FFD" w:rsidRPr="00383D19" w:rsidRDefault="00824FFD" w:rsidP="009E108D">
            <w:pPr>
              <w:pStyle w:val="142"/>
              <w:rPr>
                <w:rFonts w:hAnsi="Calibri" w:hint="eastAsia"/>
              </w:rPr>
            </w:pPr>
            <w:r w:rsidRPr="00383D19">
              <w:rPr>
                <w:rFonts w:hAnsi="Calibri" w:hint="eastAsia"/>
              </w:rPr>
              <w:t>項目</w:t>
            </w:r>
          </w:p>
        </w:tc>
        <w:tc>
          <w:tcPr>
            <w:tcW w:w="812" w:type="pct"/>
            <w:shd w:val="clear" w:color="auto" w:fill="auto"/>
            <w:vAlign w:val="center"/>
          </w:tcPr>
          <w:p w:rsidR="00824FFD" w:rsidRPr="00383D19" w:rsidRDefault="00824FFD" w:rsidP="009E108D">
            <w:pPr>
              <w:pStyle w:val="142"/>
              <w:jc w:val="center"/>
              <w:rPr>
                <w:rFonts w:hAnsi="Calibri"/>
              </w:rPr>
            </w:pPr>
            <w:r w:rsidRPr="00383D19">
              <w:rPr>
                <w:rFonts w:hAnsi="Calibri" w:hint="eastAsia"/>
              </w:rPr>
              <w:t>綠能建設</w:t>
            </w:r>
          </w:p>
        </w:tc>
        <w:tc>
          <w:tcPr>
            <w:tcW w:w="792" w:type="pct"/>
            <w:vAlign w:val="center"/>
          </w:tcPr>
          <w:p w:rsidR="00824FFD" w:rsidRPr="00383D19" w:rsidRDefault="00824FFD" w:rsidP="009E108D">
            <w:pPr>
              <w:pStyle w:val="142"/>
              <w:jc w:val="center"/>
              <w:rPr>
                <w:rFonts w:hAnsi="Calibri" w:hint="eastAsia"/>
              </w:rPr>
            </w:pPr>
            <w:r w:rsidRPr="00383D19">
              <w:rPr>
                <w:rFonts w:hAnsi="Calibri" w:hint="eastAsia"/>
              </w:rPr>
              <w:t>綠能設備與服務</w:t>
            </w:r>
          </w:p>
        </w:tc>
        <w:tc>
          <w:tcPr>
            <w:tcW w:w="896" w:type="pct"/>
            <w:vAlign w:val="center"/>
          </w:tcPr>
          <w:p w:rsidR="00824FFD" w:rsidRDefault="00824FFD" w:rsidP="009E108D">
            <w:pPr>
              <w:pStyle w:val="142"/>
              <w:jc w:val="center"/>
              <w:rPr>
                <w:rFonts w:hAnsi="Calibri"/>
              </w:rPr>
            </w:pPr>
            <w:r w:rsidRPr="00383D19">
              <w:rPr>
                <w:rFonts w:hAnsi="Calibri" w:hint="eastAsia"/>
              </w:rPr>
              <w:t>重大公共</w:t>
            </w:r>
          </w:p>
          <w:p w:rsidR="00824FFD" w:rsidRPr="00383D19" w:rsidRDefault="00824FFD" w:rsidP="009E108D">
            <w:pPr>
              <w:pStyle w:val="142"/>
              <w:jc w:val="center"/>
              <w:rPr>
                <w:rFonts w:hAnsi="Calibri" w:hint="eastAsia"/>
              </w:rPr>
            </w:pPr>
            <w:r w:rsidRPr="00383D19">
              <w:rPr>
                <w:rFonts w:hAnsi="Calibri" w:hint="eastAsia"/>
              </w:rPr>
              <w:t>建設</w:t>
            </w:r>
          </w:p>
        </w:tc>
        <w:tc>
          <w:tcPr>
            <w:tcW w:w="896" w:type="pct"/>
            <w:shd w:val="clear" w:color="auto" w:fill="auto"/>
            <w:vAlign w:val="center"/>
          </w:tcPr>
          <w:p w:rsidR="00824FFD" w:rsidRPr="00383D19" w:rsidRDefault="00824FFD" w:rsidP="009E108D">
            <w:pPr>
              <w:pStyle w:val="142"/>
              <w:jc w:val="center"/>
              <w:rPr>
                <w:rFonts w:hAnsi="Calibri"/>
              </w:rPr>
            </w:pPr>
            <w:r>
              <w:rPr>
                <w:rFonts w:hAnsi="Calibri" w:hint="eastAsia"/>
              </w:rPr>
              <w:t>儲能</w:t>
            </w:r>
          </w:p>
        </w:tc>
        <w:tc>
          <w:tcPr>
            <w:tcW w:w="896" w:type="pct"/>
            <w:shd w:val="clear" w:color="auto" w:fill="auto"/>
            <w:vAlign w:val="center"/>
          </w:tcPr>
          <w:p w:rsidR="00824FFD" w:rsidRPr="00383D19" w:rsidRDefault="00824FFD" w:rsidP="009E108D">
            <w:pPr>
              <w:pStyle w:val="142"/>
              <w:jc w:val="center"/>
              <w:rPr>
                <w:rFonts w:hAnsi="Calibri"/>
              </w:rPr>
            </w:pPr>
            <w:r>
              <w:rPr>
                <w:rFonts w:hAnsi="Calibri" w:hint="eastAsia"/>
              </w:rPr>
              <w:t>購電</w:t>
            </w:r>
          </w:p>
        </w:tc>
      </w:tr>
      <w:tr w:rsidR="00824FFD" w:rsidRPr="00566A77" w:rsidTr="009E108D">
        <w:trPr>
          <w:trHeight w:val="260"/>
        </w:trPr>
        <w:tc>
          <w:tcPr>
            <w:tcW w:w="708" w:type="pct"/>
            <w:shd w:val="clear" w:color="auto" w:fill="auto"/>
          </w:tcPr>
          <w:p w:rsidR="00824FFD" w:rsidRPr="00383D19" w:rsidRDefault="00824FFD" w:rsidP="009E108D">
            <w:pPr>
              <w:pStyle w:val="142"/>
              <w:jc w:val="both"/>
              <w:rPr>
                <w:rFonts w:hAnsi="Calibri"/>
              </w:rPr>
            </w:pPr>
            <w:r w:rsidRPr="00383D19">
              <w:rPr>
                <w:rFonts w:hAnsi="Calibri" w:hint="eastAsia"/>
              </w:rPr>
              <w:t>保證成數</w:t>
            </w:r>
          </w:p>
        </w:tc>
        <w:tc>
          <w:tcPr>
            <w:tcW w:w="3396" w:type="pct"/>
            <w:gridSpan w:val="4"/>
            <w:shd w:val="clear" w:color="auto" w:fill="auto"/>
            <w:vAlign w:val="center"/>
          </w:tcPr>
          <w:p w:rsidR="00824FFD" w:rsidRPr="00383D19" w:rsidRDefault="00824FFD" w:rsidP="009E108D">
            <w:pPr>
              <w:pStyle w:val="142"/>
              <w:jc w:val="center"/>
              <w:rPr>
                <w:rFonts w:hAnsi="Calibri"/>
              </w:rPr>
            </w:pPr>
            <w:r w:rsidRPr="00383D19">
              <w:rPr>
                <w:rFonts w:hAnsi="Calibri" w:hint="eastAsia"/>
              </w:rPr>
              <w:t>最高6成</w:t>
            </w:r>
          </w:p>
        </w:tc>
        <w:tc>
          <w:tcPr>
            <w:tcW w:w="896" w:type="pct"/>
            <w:shd w:val="clear" w:color="auto" w:fill="auto"/>
            <w:vAlign w:val="center"/>
          </w:tcPr>
          <w:p w:rsidR="00824FFD" w:rsidRPr="00383D19" w:rsidRDefault="00824FFD" w:rsidP="009E108D">
            <w:pPr>
              <w:pStyle w:val="142"/>
              <w:jc w:val="center"/>
              <w:rPr>
                <w:rFonts w:hAnsi="Calibri"/>
              </w:rPr>
            </w:pPr>
            <w:r w:rsidRPr="00383D19">
              <w:rPr>
                <w:rFonts w:hAnsi="Calibri" w:hint="eastAsia"/>
              </w:rPr>
              <w:t>最高</w:t>
            </w:r>
            <w:r>
              <w:rPr>
                <w:rFonts w:hAnsi="Calibri" w:hint="eastAsia"/>
              </w:rPr>
              <w:t>8</w:t>
            </w:r>
            <w:r w:rsidRPr="00383D19">
              <w:rPr>
                <w:rFonts w:hAnsi="Calibri" w:hint="eastAsia"/>
              </w:rPr>
              <w:t>成</w:t>
            </w:r>
          </w:p>
        </w:tc>
      </w:tr>
      <w:tr w:rsidR="00824FFD" w:rsidRPr="00566A77" w:rsidTr="009E108D">
        <w:tc>
          <w:tcPr>
            <w:tcW w:w="708" w:type="pct"/>
            <w:shd w:val="clear" w:color="auto" w:fill="auto"/>
          </w:tcPr>
          <w:p w:rsidR="00824FFD" w:rsidRPr="00383D19" w:rsidRDefault="00824FFD" w:rsidP="009E108D">
            <w:pPr>
              <w:pStyle w:val="142"/>
              <w:jc w:val="both"/>
              <w:rPr>
                <w:rFonts w:hAnsi="Calibri"/>
              </w:rPr>
            </w:pPr>
            <w:r w:rsidRPr="00383D19">
              <w:rPr>
                <w:rFonts w:hAnsi="Calibri" w:hint="eastAsia"/>
              </w:rPr>
              <w:t>授信期間</w:t>
            </w:r>
          </w:p>
        </w:tc>
        <w:tc>
          <w:tcPr>
            <w:tcW w:w="812" w:type="pct"/>
            <w:shd w:val="clear" w:color="auto" w:fill="auto"/>
            <w:vAlign w:val="center"/>
          </w:tcPr>
          <w:p w:rsidR="00824FFD" w:rsidRPr="00383D19" w:rsidRDefault="00824FFD" w:rsidP="009E108D">
            <w:pPr>
              <w:pStyle w:val="142"/>
              <w:jc w:val="center"/>
              <w:rPr>
                <w:rFonts w:hAnsi="Calibri"/>
              </w:rPr>
            </w:pPr>
            <w:r w:rsidRPr="00383D19">
              <w:rPr>
                <w:rFonts w:hAnsi="Calibri" w:hint="eastAsia"/>
              </w:rPr>
              <w:t>最長20年</w:t>
            </w:r>
          </w:p>
        </w:tc>
        <w:tc>
          <w:tcPr>
            <w:tcW w:w="2584" w:type="pct"/>
            <w:gridSpan w:val="3"/>
            <w:vAlign w:val="center"/>
          </w:tcPr>
          <w:p w:rsidR="00824FFD" w:rsidRPr="00383D19" w:rsidRDefault="00824FFD" w:rsidP="009E108D">
            <w:pPr>
              <w:pStyle w:val="142"/>
              <w:jc w:val="center"/>
              <w:rPr>
                <w:rFonts w:hAnsi="Calibri"/>
              </w:rPr>
            </w:pPr>
            <w:r w:rsidRPr="00383D19">
              <w:rPr>
                <w:rFonts w:hAnsi="Calibri" w:hint="eastAsia"/>
              </w:rPr>
              <w:t>最長</w:t>
            </w:r>
            <w:r>
              <w:rPr>
                <w:rFonts w:hAnsi="Calibri" w:hint="eastAsia"/>
              </w:rPr>
              <w:t>10</w:t>
            </w:r>
            <w:r w:rsidRPr="00383D19">
              <w:rPr>
                <w:rFonts w:hAnsi="Calibri" w:hint="eastAsia"/>
              </w:rPr>
              <w:t>年</w:t>
            </w:r>
          </w:p>
        </w:tc>
        <w:tc>
          <w:tcPr>
            <w:tcW w:w="896" w:type="pct"/>
            <w:shd w:val="clear" w:color="auto" w:fill="auto"/>
            <w:vAlign w:val="center"/>
          </w:tcPr>
          <w:p w:rsidR="00824FFD" w:rsidRPr="00383D19" w:rsidRDefault="00824FFD" w:rsidP="009E108D">
            <w:pPr>
              <w:pStyle w:val="142"/>
              <w:jc w:val="center"/>
              <w:rPr>
                <w:rFonts w:hAnsi="Calibri"/>
              </w:rPr>
            </w:pPr>
            <w:r w:rsidRPr="00383D19">
              <w:rPr>
                <w:rFonts w:hAnsi="Calibri" w:hint="eastAsia"/>
              </w:rPr>
              <w:t>最長</w:t>
            </w:r>
            <w:r>
              <w:rPr>
                <w:rFonts w:hAnsi="Calibri" w:hint="eastAsia"/>
              </w:rPr>
              <w:t>2</w:t>
            </w:r>
            <w:r w:rsidRPr="00383D19">
              <w:rPr>
                <w:rFonts w:hAnsi="Calibri" w:hint="eastAsia"/>
              </w:rPr>
              <w:t>0年</w:t>
            </w:r>
          </w:p>
        </w:tc>
      </w:tr>
      <w:tr w:rsidR="00824FFD" w:rsidRPr="00566A77" w:rsidTr="009E108D">
        <w:trPr>
          <w:trHeight w:val="632"/>
        </w:trPr>
        <w:tc>
          <w:tcPr>
            <w:tcW w:w="708" w:type="pct"/>
            <w:shd w:val="clear" w:color="auto" w:fill="auto"/>
          </w:tcPr>
          <w:p w:rsidR="00824FFD" w:rsidRPr="00EF42DC" w:rsidRDefault="00824FFD" w:rsidP="009E108D">
            <w:pPr>
              <w:pStyle w:val="142"/>
              <w:jc w:val="both"/>
              <w:rPr>
                <w:rFonts w:hAnsi="Calibri"/>
                <w:szCs w:val="24"/>
              </w:rPr>
            </w:pPr>
            <w:r w:rsidRPr="00EF42DC">
              <w:rPr>
                <w:rFonts w:hAnsi="Calibri" w:hint="eastAsia"/>
                <w:szCs w:val="24"/>
              </w:rPr>
              <w:t>融資保證額度</w:t>
            </w:r>
          </w:p>
        </w:tc>
        <w:tc>
          <w:tcPr>
            <w:tcW w:w="812" w:type="pct"/>
            <w:shd w:val="clear" w:color="auto" w:fill="auto"/>
          </w:tcPr>
          <w:p w:rsidR="00824FFD" w:rsidRPr="00EF42DC" w:rsidRDefault="00824FFD" w:rsidP="009E108D">
            <w:pPr>
              <w:pStyle w:val="142"/>
              <w:jc w:val="both"/>
              <w:rPr>
                <w:rFonts w:hAnsi="Calibri"/>
                <w:szCs w:val="24"/>
              </w:rPr>
            </w:pPr>
            <w:r w:rsidRPr="00EF42DC">
              <w:rPr>
                <w:rFonts w:hAnsi="Calibri"/>
                <w:szCs w:val="24"/>
              </w:rPr>
              <w:t>單一企業</w:t>
            </w:r>
            <w:r w:rsidRPr="00EF42DC">
              <w:rPr>
                <w:rFonts w:hAnsi="Calibri" w:hint="eastAsia"/>
                <w:szCs w:val="24"/>
              </w:rPr>
              <w:t>保</w:t>
            </w:r>
            <w:r w:rsidRPr="00EF42DC">
              <w:rPr>
                <w:rFonts w:hAnsi="Calibri"/>
                <w:szCs w:val="24"/>
              </w:rPr>
              <w:t>證融資</w:t>
            </w:r>
            <w:r w:rsidRPr="00EF42DC">
              <w:rPr>
                <w:rFonts w:hAnsi="Calibri" w:hint="eastAsia"/>
                <w:szCs w:val="24"/>
              </w:rPr>
              <w:t>額</w:t>
            </w:r>
            <w:r w:rsidRPr="00EF42DC">
              <w:rPr>
                <w:rFonts w:hAnsi="Calibri"/>
                <w:szCs w:val="24"/>
              </w:rPr>
              <w:t>度最高</w:t>
            </w:r>
            <w:r w:rsidRPr="00EF42DC">
              <w:rPr>
                <w:rFonts w:hAnsi="Calibri" w:hint="eastAsia"/>
                <w:szCs w:val="24"/>
              </w:rPr>
              <w:t>300</w:t>
            </w:r>
            <w:r w:rsidRPr="00EF42DC">
              <w:rPr>
                <w:rFonts w:hAnsi="Calibri"/>
                <w:szCs w:val="24"/>
              </w:rPr>
              <w:t>億元</w:t>
            </w:r>
            <w:r w:rsidRPr="00EF42DC">
              <w:rPr>
                <w:rFonts w:hAnsi="Calibri" w:hint="eastAsia"/>
                <w:szCs w:val="24"/>
              </w:rPr>
              <w:t>。</w:t>
            </w:r>
          </w:p>
        </w:tc>
        <w:tc>
          <w:tcPr>
            <w:tcW w:w="792" w:type="pct"/>
          </w:tcPr>
          <w:p w:rsidR="00824FFD" w:rsidRPr="00EF42DC" w:rsidRDefault="00824FFD" w:rsidP="006C132E">
            <w:pPr>
              <w:pStyle w:val="142"/>
              <w:ind w:leftChars="-26" w:left="218" w:hangingChars="120" w:hanging="292"/>
              <w:jc w:val="both"/>
              <w:rPr>
                <w:rFonts w:hAnsi="Calibri"/>
                <w:szCs w:val="24"/>
              </w:rPr>
            </w:pPr>
            <w:r w:rsidRPr="00EF42DC">
              <w:rPr>
                <w:rFonts w:hAnsi="Calibri" w:hint="eastAsia"/>
                <w:szCs w:val="24"/>
              </w:rPr>
              <w:t>1.製造或服務供應之單一企業保</w:t>
            </w:r>
            <w:r w:rsidRPr="00EF42DC">
              <w:rPr>
                <w:rFonts w:hAnsi="Calibri" w:hint="eastAsia"/>
                <w:szCs w:val="24"/>
              </w:rPr>
              <w:lastRenderedPageBreak/>
              <w:t>證融資額度最高為新臺幣30億元(不得超過該訂單或合約金額之7成)，同一集團企業最高為新臺幣90億元</w:t>
            </w:r>
            <w:r w:rsidR="00E80755">
              <w:rPr>
                <w:rFonts w:hAnsi="標楷體" w:hint="eastAsia"/>
                <w:szCs w:val="24"/>
              </w:rPr>
              <w:t>。</w:t>
            </w:r>
          </w:p>
          <w:p w:rsidR="00824FFD" w:rsidRPr="00EF42DC" w:rsidRDefault="00824FFD" w:rsidP="006C132E">
            <w:pPr>
              <w:pStyle w:val="142"/>
              <w:ind w:leftChars="-31" w:left="192" w:hangingChars="115" w:hanging="280"/>
              <w:jc w:val="both"/>
              <w:rPr>
                <w:rFonts w:hAnsi="Calibri" w:hint="eastAsia"/>
                <w:szCs w:val="24"/>
              </w:rPr>
            </w:pPr>
            <w:r w:rsidRPr="00EF42DC">
              <w:rPr>
                <w:rFonts w:hAnsi="Calibri" w:hint="eastAsia"/>
                <w:szCs w:val="24"/>
              </w:rPr>
              <w:t>2.製造或服務輸出之單一企業保證融資額度最高為新臺幣5億元(</w:t>
            </w:r>
            <w:r>
              <w:rPr>
                <w:rFonts w:hAnsi="Calibri" w:hint="eastAsia"/>
                <w:szCs w:val="24"/>
              </w:rPr>
              <w:t>不得超過該訂單或合約金額之7</w:t>
            </w:r>
            <w:r w:rsidRPr="00EF42DC">
              <w:rPr>
                <w:rFonts w:hAnsi="Calibri" w:hint="eastAsia"/>
                <w:szCs w:val="24"/>
              </w:rPr>
              <w:t>成)，同一集團企業最高為新臺幣15億元。</w:t>
            </w:r>
          </w:p>
        </w:tc>
        <w:tc>
          <w:tcPr>
            <w:tcW w:w="896" w:type="pct"/>
            <w:shd w:val="clear" w:color="auto" w:fill="auto"/>
          </w:tcPr>
          <w:p w:rsidR="00824FFD" w:rsidRPr="00EF42DC" w:rsidRDefault="00824FFD" w:rsidP="009E108D">
            <w:pPr>
              <w:widowControl/>
              <w:spacing w:line="400" w:lineRule="exact"/>
              <w:ind w:leftChars="0" w:left="0" w:firstLineChars="0" w:firstLine="0"/>
              <w:rPr>
                <w:sz w:val="24"/>
                <w:szCs w:val="24"/>
                <w:lang w:eastAsia="zh-HK"/>
              </w:rPr>
            </w:pPr>
            <w:r w:rsidRPr="00EF42DC">
              <w:rPr>
                <w:rFonts w:hint="eastAsia"/>
                <w:sz w:val="24"/>
                <w:szCs w:val="24"/>
                <w:lang w:eastAsia="zh-HK"/>
              </w:rPr>
              <w:lastRenderedPageBreak/>
              <w:t>單一企業保證融資額度最高為新臺</w:t>
            </w:r>
            <w:r w:rsidRPr="00EF42DC">
              <w:rPr>
                <w:rFonts w:hint="eastAsia"/>
                <w:sz w:val="24"/>
                <w:szCs w:val="24"/>
                <w:lang w:eastAsia="zh-HK"/>
              </w:rPr>
              <w:lastRenderedPageBreak/>
              <w:t>幣</w:t>
            </w:r>
            <w:r w:rsidRPr="00EF42DC">
              <w:rPr>
                <w:rFonts w:hint="eastAsia"/>
                <w:sz w:val="24"/>
                <w:szCs w:val="24"/>
              </w:rPr>
              <w:t>10</w:t>
            </w:r>
            <w:r w:rsidRPr="00EF42DC">
              <w:rPr>
                <w:rFonts w:hint="eastAsia"/>
                <w:sz w:val="24"/>
                <w:szCs w:val="24"/>
                <w:lang w:eastAsia="zh-HK"/>
              </w:rPr>
              <w:t>億元(不得超過</w:t>
            </w:r>
          </w:p>
          <w:p w:rsidR="00824FFD" w:rsidRPr="00EF42DC" w:rsidRDefault="00824FFD" w:rsidP="009E108D">
            <w:pPr>
              <w:widowControl/>
              <w:spacing w:line="400" w:lineRule="exact"/>
              <w:ind w:leftChars="0" w:left="0" w:firstLineChars="0" w:firstLine="0"/>
              <w:rPr>
                <w:sz w:val="24"/>
                <w:szCs w:val="24"/>
                <w:lang w:eastAsia="zh-HK"/>
              </w:rPr>
            </w:pPr>
            <w:r w:rsidRPr="00EF42DC">
              <w:rPr>
                <w:rFonts w:hint="eastAsia"/>
                <w:sz w:val="24"/>
                <w:szCs w:val="24"/>
                <w:lang w:eastAsia="zh-HK"/>
              </w:rPr>
              <w:t>該訂單或合約金額之</w:t>
            </w:r>
            <w:r>
              <w:rPr>
                <w:rFonts w:hint="eastAsia"/>
                <w:sz w:val="24"/>
                <w:szCs w:val="24"/>
              </w:rPr>
              <w:t>7</w:t>
            </w:r>
            <w:r w:rsidRPr="00EF42DC">
              <w:rPr>
                <w:rFonts w:hint="eastAsia"/>
                <w:sz w:val="24"/>
                <w:szCs w:val="24"/>
                <w:lang w:eastAsia="zh-HK"/>
              </w:rPr>
              <w:t>成)，同一集團企業最高為新臺幣</w:t>
            </w:r>
            <w:r w:rsidRPr="00EF42DC">
              <w:rPr>
                <w:rFonts w:hint="eastAsia"/>
                <w:sz w:val="24"/>
                <w:szCs w:val="24"/>
              </w:rPr>
              <w:t>30</w:t>
            </w:r>
            <w:r w:rsidRPr="00EF42DC">
              <w:rPr>
                <w:rFonts w:hint="eastAsia"/>
                <w:sz w:val="24"/>
                <w:szCs w:val="24"/>
                <w:lang w:eastAsia="zh-HK"/>
              </w:rPr>
              <w:t>億元。</w:t>
            </w:r>
          </w:p>
        </w:tc>
        <w:tc>
          <w:tcPr>
            <w:tcW w:w="896" w:type="pct"/>
            <w:shd w:val="clear" w:color="auto" w:fill="auto"/>
          </w:tcPr>
          <w:p w:rsidR="00E80755" w:rsidRDefault="00E80755" w:rsidP="00E80755">
            <w:pPr>
              <w:widowControl/>
              <w:spacing w:line="400" w:lineRule="exact"/>
              <w:ind w:leftChars="-13" w:left="211" w:hangingChars="102" w:hanging="248"/>
              <w:rPr>
                <w:sz w:val="24"/>
                <w:szCs w:val="24"/>
                <w:lang w:eastAsia="zh-HK"/>
              </w:rPr>
            </w:pPr>
            <w:r>
              <w:rPr>
                <w:rFonts w:hint="eastAsia"/>
                <w:sz w:val="24"/>
                <w:szCs w:val="24"/>
              </w:rPr>
              <w:lastRenderedPageBreak/>
              <w:t>1.</w:t>
            </w:r>
            <w:r w:rsidR="00824FFD" w:rsidRPr="00EF42DC">
              <w:rPr>
                <w:rFonts w:hint="eastAsia"/>
                <w:sz w:val="24"/>
                <w:szCs w:val="24"/>
                <w:lang w:eastAsia="zh-HK"/>
              </w:rPr>
              <w:t>製造或服務之採購或供應之</w:t>
            </w:r>
            <w:r w:rsidR="00824FFD" w:rsidRPr="00EF42DC">
              <w:rPr>
                <w:rFonts w:hint="eastAsia"/>
                <w:sz w:val="24"/>
                <w:szCs w:val="24"/>
                <w:lang w:eastAsia="zh-HK"/>
              </w:rPr>
              <w:lastRenderedPageBreak/>
              <w:t>單一企業保證融資額度最高為新臺幣20億元，同一集團企業最高為新臺幣60億元</w:t>
            </w:r>
            <w:r>
              <w:rPr>
                <w:rFonts w:hAnsi="標楷體" w:hint="eastAsia"/>
                <w:sz w:val="24"/>
                <w:szCs w:val="24"/>
                <w:lang w:eastAsia="zh-HK"/>
              </w:rPr>
              <w:t>。</w:t>
            </w:r>
          </w:p>
          <w:p w:rsidR="00824FFD" w:rsidRPr="00EF42DC" w:rsidRDefault="00E80755" w:rsidP="00E80755">
            <w:pPr>
              <w:widowControl/>
              <w:spacing w:line="400" w:lineRule="exact"/>
              <w:ind w:leftChars="-8" w:left="283" w:hangingChars="126" w:hanging="306"/>
              <w:rPr>
                <w:sz w:val="24"/>
                <w:szCs w:val="24"/>
                <w:lang w:eastAsia="zh-HK"/>
              </w:rPr>
            </w:pPr>
            <w:r>
              <w:rPr>
                <w:rFonts w:hint="eastAsia"/>
                <w:sz w:val="24"/>
                <w:szCs w:val="24"/>
              </w:rPr>
              <w:t>2.</w:t>
            </w:r>
            <w:r w:rsidR="00824FFD" w:rsidRPr="00EF42DC">
              <w:rPr>
                <w:rFonts w:hint="eastAsia"/>
                <w:sz w:val="24"/>
                <w:szCs w:val="24"/>
                <w:lang w:eastAsia="zh-HK"/>
              </w:rPr>
              <w:t>製造或服務輸出之單一企業保證融資額度最高為新臺幣5億元，同一集團企業最高為新臺幣15億元。</w:t>
            </w:r>
          </w:p>
        </w:tc>
        <w:tc>
          <w:tcPr>
            <w:tcW w:w="896" w:type="pct"/>
            <w:shd w:val="clear" w:color="auto" w:fill="auto"/>
          </w:tcPr>
          <w:p w:rsidR="00824FFD" w:rsidRPr="00EF42DC" w:rsidRDefault="00824FFD" w:rsidP="009E108D">
            <w:pPr>
              <w:widowControl/>
              <w:spacing w:line="400" w:lineRule="exact"/>
              <w:ind w:leftChars="0" w:left="0" w:firstLineChars="0" w:firstLine="0"/>
              <w:rPr>
                <w:sz w:val="24"/>
                <w:szCs w:val="24"/>
                <w:lang w:eastAsia="zh-HK"/>
              </w:rPr>
            </w:pPr>
            <w:r w:rsidRPr="00EF42DC">
              <w:rPr>
                <w:rFonts w:hint="eastAsia"/>
                <w:sz w:val="24"/>
                <w:szCs w:val="24"/>
                <w:lang w:eastAsia="zh-HK"/>
              </w:rPr>
              <w:lastRenderedPageBreak/>
              <w:t>單一企業及同一集團企業與其持股</w:t>
            </w:r>
            <w:r w:rsidRPr="00EF42DC">
              <w:rPr>
                <w:rFonts w:hint="eastAsia"/>
                <w:sz w:val="24"/>
                <w:szCs w:val="24"/>
                <w:lang w:eastAsia="zh-HK"/>
              </w:rPr>
              <w:lastRenderedPageBreak/>
              <w:t>之購售電公司保證融資額度合計最</w:t>
            </w:r>
          </w:p>
          <w:p w:rsidR="00824FFD" w:rsidRPr="007A58CD" w:rsidRDefault="00824FFD" w:rsidP="009E108D">
            <w:pPr>
              <w:widowControl/>
              <w:spacing w:line="400" w:lineRule="exact"/>
              <w:ind w:leftChars="0" w:left="0" w:firstLineChars="0" w:firstLine="0"/>
            </w:pPr>
            <w:r w:rsidRPr="00EF42DC">
              <w:rPr>
                <w:rFonts w:hint="eastAsia"/>
                <w:sz w:val="24"/>
                <w:szCs w:val="24"/>
                <w:lang w:eastAsia="zh-HK"/>
              </w:rPr>
              <w:t>高為新臺幣80億元。</w:t>
            </w:r>
          </w:p>
        </w:tc>
      </w:tr>
    </w:tbl>
    <w:p w:rsidR="006748D0" w:rsidRDefault="006748D0" w:rsidP="006748D0">
      <w:pPr>
        <w:pStyle w:val="a8"/>
        <w:adjustRightInd/>
        <w:spacing w:line="240" w:lineRule="exact"/>
        <w:ind w:firstLineChars="0" w:firstLine="0"/>
        <w:contextualSpacing/>
        <w:mirrorIndents/>
        <w:rPr>
          <w:rFonts w:hint="eastAsia"/>
        </w:rPr>
      </w:pPr>
      <w:r w:rsidRPr="004E731F">
        <w:rPr>
          <w:rFonts w:hAnsi="標楷體" w:hint="eastAsia"/>
          <w:sz w:val="24"/>
          <w:szCs w:val="24"/>
          <w:lang w:eastAsia="zh-HK"/>
        </w:rPr>
        <w:lastRenderedPageBreak/>
        <w:t>資料來源</w:t>
      </w:r>
      <w:r w:rsidRPr="004E731F">
        <w:rPr>
          <w:rFonts w:hint="eastAsia"/>
          <w:sz w:val="24"/>
          <w:szCs w:val="24"/>
          <w:lang w:eastAsia="zh-HK"/>
        </w:rPr>
        <w:t>：</w:t>
      </w:r>
      <w:r w:rsidRPr="004E731F">
        <w:rPr>
          <w:rFonts w:hint="eastAsia"/>
          <w:sz w:val="24"/>
          <w:szCs w:val="24"/>
        </w:rPr>
        <w:t>輸出入銀行</w:t>
      </w:r>
      <w:r>
        <w:rPr>
          <w:rFonts w:hint="eastAsia"/>
          <w:sz w:val="24"/>
          <w:szCs w:val="24"/>
        </w:rPr>
        <w:t>提供</w:t>
      </w:r>
      <w:r w:rsidRPr="004E731F">
        <w:rPr>
          <w:rFonts w:hint="eastAsia"/>
          <w:sz w:val="24"/>
          <w:szCs w:val="24"/>
        </w:rPr>
        <w:t>。</w:t>
      </w:r>
    </w:p>
    <w:p w:rsidR="00AA4E92" w:rsidRPr="00265EFF" w:rsidRDefault="00A9307F" w:rsidP="00AA4E92">
      <w:pPr>
        <w:pStyle w:val="a4"/>
        <w:ind w:left="849" w:hanging="283"/>
        <w:rPr>
          <w:b/>
        </w:rPr>
      </w:pPr>
      <w:r w:rsidRPr="00265EFF">
        <w:rPr>
          <w:rFonts w:hint="eastAsia"/>
          <w:b/>
        </w:rPr>
        <w:t xml:space="preserve"> </w:t>
      </w:r>
      <w:r w:rsidR="00AA4E92" w:rsidRPr="00265EFF">
        <w:rPr>
          <w:rFonts w:hint="eastAsia"/>
          <w:b/>
        </w:rPr>
        <w:t>(二)</w:t>
      </w:r>
      <w:r w:rsidR="008D1E16">
        <w:rPr>
          <w:rFonts w:hint="eastAsia"/>
          <w:b/>
        </w:rPr>
        <w:t>國家融資保證中心自成立以來</w:t>
      </w:r>
      <w:r w:rsidR="008D1E16">
        <w:rPr>
          <w:rFonts w:hAnsi="標楷體" w:hint="eastAsia"/>
          <w:b/>
        </w:rPr>
        <w:t>，</w:t>
      </w:r>
      <w:r>
        <w:rPr>
          <w:rFonts w:hint="eastAsia"/>
          <w:b/>
        </w:rPr>
        <w:t>截至113年</w:t>
      </w:r>
      <w:r w:rsidR="00017D29">
        <w:rPr>
          <w:rFonts w:hint="eastAsia"/>
          <w:b/>
        </w:rPr>
        <w:t>10</w:t>
      </w:r>
      <w:r>
        <w:rPr>
          <w:rFonts w:hint="eastAsia"/>
          <w:b/>
        </w:rPr>
        <w:t>月底推動</w:t>
      </w:r>
      <w:r w:rsidR="00AA4E92">
        <w:rPr>
          <w:rFonts w:hint="eastAsia"/>
          <w:b/>
        </w:rPr>
        <w:t>融資保證業務</w:t>
      </w:r>
      <w:r>
        <w:rPr>
          <w:rFonts w:hint="eastAsia"/>
          <w:b/>
        </w:rPr>
        <w:t>雖已有初步成果</w:t>
      </w:r>
      <w:r>
        <w:rPr>
          <w:rFonts w:hAnsi="標楷體" w:hint="eastAsia"/>
          <w:b/>
        </w:rPr>
        <w:t>，惟核定之保證融資案件侷限於</w:t>
      </w:r>
      <w:r w:rsidR="008D1E16">
        <w:rPr>
          <w:rFonts w:hAnsi="標楷體" w:hint="eastAsia"/>
          <w:b/>
        </w:rPr>
        <w:t>綠能建設、綠能設備與服務等兩類，</w:t>
      </w:r>
      <w:r w:rsidR="009971C7">
        <w:rPr>
          <w:rFonts w:hAnsi="標楷體" w:hint="eastAsia"/>
          <w:b/>
        </w:rPr>
        <w:t>容</w:t>
      </w:r>
      <w:r w:rsidR="008D1E16">
        <w:rPr>
          <w:rFonts w:hAnsi="標楷體" w:hint="eastAsia"/>
          <w:b/>
        </w:rPr>
        <w:t>有</w:t>
      </w:r>
      <w:r w:rsidR="009971C7">
        <w:rPr>
          <w:rFonts w:hAnsi="標楷體" w:hint="eastAsia"/>
          <w:b/>
        </w:rPr>
        <w:t>拓展</w:t>
      </w:r>
      <w:r w:rsidR="008D1E16">
        <w:rPr>
          <w:rFonts w:hAnsi="標楷體" w:hint="eastAsia"/>
          <w:b/>
        </w:rPr>
        <w:t>空間</w:t>
      </w:r>
    </w:p>
    <w:p w:rsidR="00AA4E92" w:rsidRDefault="008D1E16" w:rsidP="00AA4E92">
      <w:pPr>
        <w:pStyle w:val="21"/>
        <w:ind w:left="850" w:firstLine="566"/>
      </w:pPr>
      <w:r>
        <w:rPr>
          <w:rFonts w:hint="eastAsia"/>
        </w:rPr>
        <w:t>依輸出入銀行提供</w:t>
      </w:r>
      <w:r w:rsidRPr="008D1E16">
        <w:rPr>
          <w:rFonts w:hAnsi="標楷體" w:hint="eastAsia"/>
        </w:rPr>
        <w:t>國家融資保證中心</w:t>
      </w:r>
      <w:r w:rsidR="00D9141D">
        <w:rPr>
          <w:rFonts w:hAnsi="標楷體" w:hint="eastAsia"/>
        </w:rPr>
        <w:t>110年度至</w:t>
      </w:r>
      <w:r w:rsidRPr="008D1E16">
        <w:rPr>
          <w:rFonts w:hAnsi="標楷體" w:hint="eastAsia"/>
        </w:rPr>
        <w:t>113年</w:t>
      </w:r>
      <w:r w:rsidR="00017D29">
        <w:rPr>
          <w:rFonts w:hAnsi="標楷體" w:hint="eastAsia"/>
        </w:rPr>
        <w:t>10</w:t>
      </w:r>
      <w:r w:rsidRPr="008D1E16">
        <w:rPr>
          <w:rFonts w:hAnsi="標楷體" w:hint="eastAsia"/>
        </w:rPr>
        <w:lastRenderedPageBreak/>
        <w:t>月底</w:t>
      </w:r>
      <w:r w:rsidR="009971C7">
        <w:rPr>
          <w:rFonts w:hAnsi="標楷體" w:hint="eastAsia"/>
        </w:rPr>
        <w:t>之辦理成果統計資料</w:t>
      </w:r>
      <w:r>
        <w:rPr>
          <w:rFonts w:hAnsi="標楷體" w:hint="eastAsia"/>
        </w:rPr>
        <w:t>，</w:t>
      </w:r>
      <w:r w:rsidR="0036203D">
        <w:rPr>
          <w:rFonts w:hAnsi="標楷體" w:hint="eastAsia"/>
        </w:rPr>
        <w:t>其中綠能建設</w:t>
      </w:r>
      <w:r w:rsidR="00D9141D">
        <w:rPr>
          <w:rFonts w:hAnsi="標楷體" w:hint="eastAsia"/>
        </w:rPr>
        <w:t>類</w:t>
      </w:r>
      <w:r w:rsidR="0036203D">
        <w:rPr>
          <w:rFonts w:hAnsi="標楷體" w:hint="eastAsia"/>
        </w:rPr>
        <w:t>僅112年度核准2件</w:t>
      </w:r>
      <w:r w:rsidR="00D9141D">
        <w:rPr>
          <w:rFonts w:hAnsi="標楷體" w:hint="eastAsia"/>
        </w:rPr>
        <w:t>，</w:t>
      </w:r>
      <w:r w:rsidR="00A35722">
        <w:rPr>
          <w:rFonts w:hAnsi="標楷體" w:hint="eastAsia"/>
        </w:rPr>
        <w:t>融資保證金額</w:t>
      </w:r>
      <w:r w:rsidR="00D9141D">
        <w:rPr>
          <w:rFonts w:hAnsi="標楷體" w:hint="eastAsia"/>
        </w:rPr>
        <w:t>6</w:t>
      </w:r>
      <w:r w:rsidR="00D9141D">
        <w:rPr>
          <w:rFonts w:hAnsi="標楷體"/>
        </w:rPr>
        <w:t>2</w:t>
      </w:r>
      <w:r w:rsidR="00D9141D">
        <w:rPr>
          <w:rFonts w:hAnsi="標楷體" w:hint="eastAsia"/>
        </w:rPr>
        <w:t>億餘元，同期間</w:t>
      </w:r>
      <w:r w:rsidR="00D9141D" w:rsidRPr="00D9141D">
        <w:rPr>
          <w:rFonts w:hAnsi="標楷體" w:hint="eastAsia"/>
        </w:rPr>
        <w:t>綠能設備與服務</w:t>
      </w:r>
      <w:r w:rsidR="00D9141D">
        <w:rPr>
          <w:rFonts w:hAnsi="標楷體" w:hint="eastAsia"/>
        </w:rPr>
        <w:t>類之年度核准件數介於1至4件</w:t>
      </w:r>
      <w:r w:rsidR="008A039E">
        <w:rPr>
          <w:rFonts w:hAnsi="標楷體" w:hint="eastAsia"/>
        </w:rPr>
        <w:t>間</w:t>
      </w:r>
      <w:r w:rsidR="00D9141D">
        <w:rPr>
          <w:rFonts w:hAnsi="標楷體" w:hint="eastAsia"/>
        </w:rPr>
        <w:t>，年度融資保證金額介於</w:t>
      </w:r>
      <w:r w:rsidR="009971C7">
        <w:rPr>
          <w:rFonts w:hAnsi="標楷體" w:hint="eastAsia"/>
        </w:rPr>
        <w:t>5</w:t>
      </w:r>
      <w:r w:rsidR="008A039E">
        <w:rPr>
          <w:rFonts w:hAnsi="標楷體" w:hint="eastAsia"/>
        </w:rPr>
        <w:t>億餘元至</w:t>
      </w:r>
      <w:r w:rsidR="009971C7">
        <w:rPr>
          <w:rFonts w:hAnsi="標楷體" w:hint="eastAsia"/>
        </w:rPr>
        <w:t>11億餘元</w:t>
      </w:r>
      <w:r w:rsidR="008A039E">
        <w:rPr>
          <w:rFonts w:hAnsi="標楷體" w:hint="eastAsia"/>
        </w:rPr>
        <w:t>間</w:t>
      </w:r>
      <w:r w:rsidR="00E66362">
        <w:rPr>
          <w:rFonts w:hAnsi="標楷體" w:hint="eastAsia"/>
        </w:rPr>
        <w:t>(詳表</w:t>
      </w:r>
      <w:r w:rsidR="00824FFD">
        <w:rPr>
          <w:rFonts w:hAnsi="標楷體" w:hint="eastAsia"/>
        </w:rPr>
        <w:t>2</w:t>
      </w:r>
      <w:r w:rsidR="00E66362">
        <w:rPr>
          <w:rFonts w:hAnsi="標楷體" w:hint="eastAsia"/>
        </w:rPr>
        <w:t>)</w:t>
      </w:r>
      <w:r w:rsidR="00AA4E92">
        <w:rPr>
          <w:rFonts w:hint="eastAsia"/>
        </w:rPr>
        <w:t>，</w:t>
      </w:r>
      <w:r w:rsidR="00017D29">
        <w:rPr>
          <w:rFonts w:hint="eastAsia"/>
        </w:rPr>
        <w:t>雖有初步成果</w:t>
      </w:r>
      <w:r w:rsidR="00017D29">
        <w:rPr>
          <w:rFonts w:hAnsi="標楷體" w:hint="eastAsia"/>
        </w:rPr>
        <w:t>，</w:t>
      </w:r>
      <w:r w:rsidR="00017D29">
        <w:rPr>
          <w:rFonts w:hint="eastAsia"/>
        </w:rPr>
        <w:t>惟</w:t>
      </w:r>
      <w:r w:rsidR="009971C7">
        <w:rPr>
          <w:rFonts w:hint="eastAsia"/>
        </w:rPr>
        <w:t>其餘類別均尚乏核准案件</w:t>
      </w:r>
      <w:r w:rsidR="009971C7">
        <w:rPr>
          <w:rFonts w:hAnsi="標楷體" w:hint="eastAsia"/>
        </w:rPr>
        <w:t>，</w:t>
      </w:r>
      <w:r w:rsidR="009971C7">
        <w:rPr>
          <w:rFonts w:hint="eastAsia"/>
        </w:rPr>
        <w:t>容有拓展空間</w:t>
      </w:r>
      <w:r w:rsidR="00AA4E92">
        <w:rPr>
          <w:rFonts w:hint="eastAsia"/>
        </w:rPr>
        <w:t>。</w:t>
      </w:r>
    </w:p>
    <w:p w:rsidR="00824FFD" w:rsidRPr="004E731F" w:rsidRDefault="00824FFD" w:rsidP="00DB4998">
      <w:pPr>
        <w:spacing w:line="360" w:lineRule="exact"/>
        <w:ind w:leftChars="0" w:left="5953" w:hangingChars="2100" w:hanging="5953"/>
        <w:jc w:val="left"/>
        <w:rPr>
          <w:sz w:val="40"/>
        </w:rPr>
      </w:pPr>
      <w:r w:rsidRPr="001610E2">
        <w:rPr>
          <w:rFonts w:hint="eastAsia"/>
          <w:b/>
        </w:rPr>
        <w:t>表</w:t>
      </w:r>
      <w:r>
        <w:rPr>
          <w:rFonts w:hint="eastAsia"/>
          <w:b/>
        </w:rPr>
        <w:t>2 截至113年10月底</w:t>
      </w:r>
      <w:r w:rsidRPr="00E31344">
        <w:rPr>
          <w:rFonts w:hint="eastAsia"/>
          <w:b/>
        </w:rPr>
        <w:t>國家融資保證中心</w:t>
      </w:r>
      <w:r>
        <w:rPr>
          <w:rFonts w:hint="eastAsia"/>
          <w:b/>
        </w:rPr>
        <w:t>辦理成果概況</w:t>
      </w:r>
      <w:r w:rsidRPr="001610E2">
        <w:rPr>
          <w:rFonts w:hint="eastAsia"/>
          <w:b/>
        </w:rPr>
        <w:t>表</w:t>
      </w:r>
      <w:r>
        <w:rPr>
          <w:rFonts w:hint="eastAsia"/>
          <w:b/>
        </w:rPr>
        <w:t xml:space="preserve">            </w:t>
      </w:r>
      <w:r w:rsidR="008171D0">
        <w:rPr>
          <w:rFonts w:hint="eastAsia"/>
          <w:b/>
        </w:rPr>
        <w:t xml:space="preserve"> </w:t>
      </w:r>
      <w:r w:rsidRPr="00FB12D5">
        <w:rPr>
          <w:rStyle w:val="143"/>
          <w:rFonts w:hint="eastAsia"/>
        </w:rPr>
        <w:t>單位：件；新臺幣千元</w:t>
      </w: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1679"/>
        <w:gridCol w:w="1296"/>
        <w:gridCol w:w="1296"/>
        <w:gridCol w:w="1239"/>
        <w:gridCol w:w="1145"/>
        <w:gridCol w:w="1134"/>
      </w:tblGrid>
      <w:tr w:rsidR="006748D0" w:rsidRPr="007414A0" w:rsidTr="008171D0">
        <w:tc>
          <w:tcPr>
            <w:tcW w:w="2261" w:type="dxa"/>
            <w:gridSpan w:val="2"/>
            <w:tcBorders>
              <w:top w:val="single" w:sz="12" w:space="0" w:color="auto"/>
              <w:left w:val="single" w:sz="12" w:space="0" w:color="auto"/>
              <w:tl2br w:val="single" w:sz="4" w:space="0" w:color="auto"/>
            </w:tcBorders>
            <w:shd w:val="clear" w:color="auto" w:fill="auto"/>
          </w:tcPr>
          <w:p w:rsidR="006748D0" w:rsidRPr="007414A0" w:rsidRDefault="006748D0" w:rsidP="006748D0">
            <w:pPr>
              <w:pStyle w:val="142"/>
              <w:rPr>
                <w:rFonts w:hAnsi="Calibri"/>
              </w:rPr>
            </w:pPr>
            <w:r w:rsidRPr="007414A0">
              <w:rPr>
                <w:rFonts w:hAnsi="Calibri" w:hint="eastAsia"/>
              </w:rPr>
              <w:t xml:space="preserve">    融資保證類別</w:t>
            </w:r>
          </w:p>
          <w:p w:rsidR="0023591D" w:rsidRPr="007414A0" w:rsidRDefault="0023591D" w:rsidP="006748D0">
            <w:pPr>
              <w:pStyle w:val="142"/>
              <w:rPr>
                <w:rFonts w:hAnsi="Calibri"/>
              </w:rPr>
            </w:pPr>
          </w:p>
          <w:p w:rsidR="006748D0" w:rsidRPr="007414A0" w:rsidRDefault="006748D0" w:rsidP="006748D0">
            <w:pPr>
              <w:pStyle w:val="142"/>
              <w:rPr>
                <w:rFonts w:hAnsi="Calibri" w:hint="eastAsia"/>
                <w:snapToGrid/>
              </w:rPr>
            </w:pPr>
            <w:r w:rsidRPr="007414A0">
              <w:rPr>
                <w:rFonts w:hAnsi="Calibri" w:hint="eastAsia"/>
              </w:rPr>
              <w:t>年度</w:t>
            </w:r>
            <w:r w:rsidRPr="007414A0">
              <w:rPr>
                <w:rFonts w:hAnsi="標楷體" w:hint="eastAsia"/>
              </w:rPr>
              <w:t>、</w:t>
            </w:r>
            <w:r w:rsidRPr="007414A0">
              <w:rPr>
                <w:rFonts w:hAnsi="Calibri" w:hint="eastAsia"/>
              </w:rPr>
              <w:t>項目</w:t>
            </w:r>
            <w:r w:rsidR="0023591D" w:rsidRPr="007414A0">
              <w:rPr>
                <w:rFonts w:hAnsi="Calibri" w:hint="eastAsia"/>
              </w:rPr>
              <w:t>別</w:t>
            </w:r>
          </w:p>
        </w:tc>
        <w:tc>
          <w:tcPr>
            <w:tcW w:w="1296" w:type="dxa"/>
            <w:tcBorders>
              <w:top w:val="single" w:sz="12" w:space="0" w:color="auto"/>
            </w:tcBorders>
            <w:shd w:val="clear" w:color="auto" w:fill="auto"/>
            <w:vAlign w:val="center"/>
          </w:tcPr>
          <w:p w:rsidR="006748D0" w:rsidRPr="007414A0" w:rsidRDefault="006748D0" w:rsidP="007414A0">
            <w:pPr>
              <w:pStyle w:val="142"/>
              <w:jc w:val="center"/>
              <w:rPr>
                <w:rFonts w:hAnsi="Calibri"/>
              </w:rPr>
            </w:pPr>
            <w:r w:rsidRPr="007414A0">
              <w:rPr>
                <w:rFonts w:hAnsi="Calibri" w:hint="eastAsia"/>
              </w:rPr>
              <w:t>綠能建設</w:t>
            </w:r>
          </w:p>
        </w:tc>
        <w:tc>
          <w:tcPr>
            <w:tcW w:w="1296" w:type="dxa"/>
            <w:tcBorders>
              <w:top w:val="single" w:sz="12" w:space="0" w:color="auto"/>
            </w:tcBorders>
            <w:shd w:val="clear" w:color="auto" w:fill="auto"/>
            <w:vAlign w:val="center"/>
          </w:tcPr>
          <w:p w:rsidR="006748D0" w:rsidRPr="007414A0" w:rsidRDefault="006748D0" w:rsidP="007414A0">
            <w:pPr>
              <w:pStyle w:val="142"/>
              <w:jc w:val="center"/>
              <w:rPr>
                <w:rFonts w:hAnsi="Calibri" w:hint="eastAsia"/>
              </w:rPr>
            </w:pPr>
            <w:r w:rsidRPr="007414A0">
              <w:rPr>
                <w:rFonts w:hAnsi="Calibri" w:hint="eastAsia"/>
              </w:rPr>
              <w:t>綠能設備與服務</w:t>
            </w:r>
          </w:p>
        </w:tc>
        <w:tc>
          <w:tcPr>
            <w:tcW w:w="1239" w:type="dxa"/>
            <w:tcBorders>
              <w:top w:val="single" w:sz="12" w:space="0" w:color="auto"/>
            </w:tcBorders>
            <w:shd w:val="clear" w:color="auto" w:fill="auto"/>
            <w:vAlign w:val="center"/>
          </w:tcPr>
          <w:p w:rsidR="006748D0" w:rsidRPr="007414A0" w:rsidRDefault="006748D0" w:rsidP="007414A0">
            <w:pPr>
              <w:pStyle w:val="142"/>
              <w:jc w:val="center"/>
              <w:rPr>
                <w:rFonts w:hAnsi="Calibri"/>
              </w:rPr>
            </w:pPr>
            <w:r w:rsidRPr="007414A0">
              <w:rPr>
                <w:rFonts w:hAnsi="Calibri" w:hint="eastAsia"/>
              </w:rPr>
              <w:t>重大公共</w:t>
            </w:r>
          </w:p>
          <w:p w:rsidR="006748D0" w:rsidRPr="007414A0" w:rsidRDefault="006748D0" w:rsidP="007414A0">
            <w:pPr>
              <w:pStyle w:val="142"/>
              <w:jc w:val="center"/>
              <w:rPr>
                <w:rFonts w:hAnsi="Calibri" w:hint="eastAsia"/>
              </w:rPr>
            </w:pPr>
            <w:r w:rsidRPr="007414A0">
              <w:rPr>
                <w:rFonts w:hAnsi="Calibri" w:hint="eastAsia"/>
              </w:rPr>
              <w:t>建設</w:t>
            </w:r>
          </w:p>
        </w:tc>
        <w:tc>
          <w:tcPr>
            <w:tcW w:w="1145" w:type="dxa"/>
            <w:tcBorders>
              <w:top w:val="single" w:sz="12" w:space="0" w:color="auto"/>
            </w:tcBorders>
            <w:shd w:val="clear" w:color="auto" w:fill="auto"/>
            <w:vAlign w:val="center"/>
          </w:tcPr>
          <w:p w:rsidR="006748D0" w:rsidRPr="007414A0" w:rsidRDefault="006748D0" w:rsidP="007414A0">
            <w:pPr>
              <w:pStyle w:val="142"/>
              <w:jc w:val="center"/>
              <w:rPr>
                <w:rFonts w:hAnsi="Calibri"/>
              </w:rPr>
            </w:pPr>
            <w:r w:rsidRPr="007414A0">
              <w:rPr>
                <w:rFonts w:hAnsi="Calibri" w:hint="eastAsia"/>
              </w:rPr>
              <w:t>儲能</w:t>
            </w:r>
          </w:p>
        </w:tc>
        <w:tc>
          <w:tcPr>
            <w:tcW w:w="1134" w:type="dxa"/>
            <w:tcBorders>
              <w:top w:val="single" w:sz="12" w:space="0" w:color="auto"/>
              <w:right w:val="single" w:sz="12" w:space="0" w:color="auto"/>
            </w:tcBorders>
            <w:shd w:val="clear" w:color="auto" w:fill="auto"/>
            <w:vAlign w:val="center"/>
          </w:tcPr>
          <w:p w:rsidR="006748D0" w:rsidRPr="007414A0" w:rsidRDefault="006748D0" w:rsidP="007414A0">
            <w:pPr>
              <w:pStyle w:val="142"/>
              <w:jc w:val="center"/>
              <w:rPr>
                <w:rFonts w:hAnsi="Calibri"/>
              </w:rPr>
            </w:pPr>
            <w:r w:rsidRPr="007414A0">
              <w:rPr>
                <w:rFonts w:hAnsi="Calibri" w:hint="eastAsia"/>
              </w:rPr>
              <w:t>購電</w:t>
            </w:r>
          </w:p>
        </w:tc>
      </w:tr>
      <w:tr w:rsidR="006748D0" w:rsidRPr="007414A0" w:rsidTr="008171D0">
        <w:tc>
          <w:tcPr>
            <w:tcW w:w="582" w:type="dxa"/>
            <w:vMerge w:val="restart"/>
            <w:tcBorders>
              <w:left w:val="single" w:sz="12" w:space="0" w:color="auto"/>
            </w:tcBorders>
            <w:shd w:val="clear" w:color="auto" w:fill="auto"/>
            <w:vAlign w:val="center"/>
          </w:tcPr>
          <w:p w:rsidR="006748D0" w:rsidRPr="007414A0" w:rsidRDefault="006748D0" w:rsidP="007414A0">
            <w:pPr>
              <w:pStyle w:val="142"/>
              <w:jc w:val="center"/>
              <w:rPr>
                <w:rFonts w:hAnsi="Calibri" w:hint="eastAsia"/>
                <w:snapToGrid/>
                <w:szCs w:val="24"/>
              </w:rPr>
            </w:pPr>
            <w:r w:rsidRPr="007414A0">
              <w:rPr>
                <w:rFonts w:hAnsi="Calibri" w:hint="eastAsia"/>
                <w:snapToGrid/>
                <w:szCs w:val="24"/>
              </w:rPr>
              <w:t>110</w:t>
            </w:r>
          </w:p>
        </w:tc>
        <w:tc>
          <w:tcPr>
            <w:tcW w:w="1679" w:type="dxa"/>
            <w:shd w:val="clear" w:color="auto" w:fill="auto"/>
            <w:vAlign w:val="center"/>
          </w:tcPr>
          <w:p w:rsidR="006748D0" w:rsidRPr="007414A0" w:rsidRDefault="006748D0" w:rsidP="007414A0">
            <w:pPr>
              <w:pStyle w:val="142"/>
              <w:jc w:val="center"/>
              <w:rPr>
                <w:rFonts w:hAnsi="Calibri" w:hint="eastAsia"/>
                <w:snapToGrid/>
                <w:szCs w:val="24"/>
              </w:rPr>
            </w:pPr>
            <w:r w:rsidRPr="007414A0">
              <w:rPr>
                <w:rFonts w:hAnsi="Calibri" w:hint="eastAsia"/>
                <w:snapToGrid/>
                <w:szCs w:val="24"/>
              </w:rPr>
              <w:t>核准保證件數</w:t>
            </w:r>
          </w:p>
        </w:tc>
        <w:tc>
          <w:tcPr>
            <w:tcW w:w="1296" w:type="dxa"/>
            <w:shd w:val="clear" w:color="auto" w:fill="auto"/>
            <w:vAlign w:val="center"/>
          </w:tcPr>
          <w:p w:rsidR="006748D0" w:rsidRPr="007414A0" w:rsidRDefault="006748D0" w:rsidP="007414A0">
            <w:pPr>
              <w:pStyle w:val="142"/>
              <w:jc w:val="right"/>
              <w:rPr>
                <w:rFonts w:hAnsi="Calibri" w:hint="eastAsia"/>
                <w:snapToGrid/>
                <w:szCs w:val="24"/>
              </w:rPr>
            </w:pPr>
            <w:r w:rsidRPr="007414A0">
              <w:rPr>
                <w:rFonts w:hAnsi="Calibri" w:hint="eastAsia"/>
                <w:snapToGrid/>
                <w:szCs w:val="24"/>
              </w:rPr>
              <w:t>0</w:t>
            </w:r>
          </w:p>
        </w:tc>
        <w:tc>
          <w:tcPr>
            <w:tcW w:w="1296" w:type="dxa"/>
            <w:shd w:val="clear" w:color="auto" w:fill="auto"/>
            <w:vAlign w:val="center"/>
          </w:tcPr>
          <w:p w:rsidR="006748D0" w:rsidRPr="007414A0" w:rsidRDefault="006748D0" w:rsidP="007414A0">
            <w:pPr>
              <w:pStyle w:val="142"/>
              <w:jc w:val="right"/>
              <w:rPr>
                <w:rFonts w:hAnsi="Calibri" w:hint="eastAsia"/>
              </w:rPr>
            </w:pPr>
            <w:r w:rsidRPr="007414A0">
              <w:rPr>
                <w:rFonts w:hAnsi="Calibri" w:hint="eastAsia"/>
              </w:rPr>
              <w:t>1</w:t>
            </w:r>
          </w:p>
        </w:tc>
        <w:tc>
          <w:tcPr>
            <w:tcW w:w="1239" w:type="dxa"/>
            <w:shd w:val="clear" w:color="auto" w:fill="auto"/>
            <w:vAlign w:val="center"/>
          </w:tcPr>
          <w:p w:rsidR="006748D0" w:rsidRPr="007414A0" w:rsidRDefault="006748D0" w:rsidP="007414A0">
            <w:pPr>
              <w:pStyle w:val="142"/>
              <w:jc w:val="right"/>
              <w:rPr>
                <w:rFonts w:hAnsi="Calibri" w:hint="eastAsia"/>
                <w:snapToGrid/>
              </w:rPr>
            </w:pPr>
            <w:r w:rsidRPr="007414A0">
              <w:rPr>
                <w:rFonts w:hAnsi="Calibri" w:hint="eastAsia"/>
                <w:snapToGrid/>
              </w:rPr>
              <w:t>0</w:t>
            </w:r>
          </w:p>
        </w:tc>
        <w:tc>
          <w:tcPr>
            <w:tcW w:w="2279" w:type="dxa"/>
            <w:gridSpan w:val="2"/>
            <w:vMerge w:val="restart"/>
            <w:tcBorders>
              <w:right w:val="single" w:sz="12" w:space="0" w:color="auto"/>
              <w:tr2bl w:val="single" w:sz="4" w:space="0" w:color="auto"/>
            </w:tcBorders>
            <w:shd w:val="clear" w:color="auto" w:fill="auto"/>
            <w:vAlign w:val="center"/>
          </w:tcPr>
          <w:p w:rsidR="006748D0" w:rsidRPr="007414A0" w:rsidRDefault="006748D0" w:rsidP="007414A0">
            <w:pPr>
              <w:pStyle w:val="142"/>
              <w:jc w:val="right"/>
              <w:rPr>
                <w:rFonts w:hAnsi="Calibri" w:hint="eastAsia"/>
                <w:snapToGrid/>
              </w:rPr>
            </w:pPr>
          </w:p>
        </w:tc>
      </w:tr>
      <w:tr w:rsidR="006748D0" w:rsidRPr="007414A0" w:rsidTr="008171D0">
        <w:tc>
          <w:tcPr>
            <w:tcW w:w="582" w:type="dxa"/>
            <w:vMerge/>
            <w:tcBorders>
              <w:left w:val="single" w:sz="12" w:space="0" w:color="auto"/>
            </w:tcBorders>
            <w:shd w:val="clear" w:color="auto" w:fill="auto"/>
            <w:vAlign w:val="center"/>
          </w:tcPr>
          <w:p w:rsidR="006748D0" w:rsidRPr="007414A0" w:rsidRDefault="006748D0" w:rsidP="007414A0">
            <w:pPr>
              <w:pStyle w:val="142"/>
              <w:jc w:val="center"/>
              <w:rPr>
                <w:rFonts w:hAnsi="Calibri" w:hint="eastAsia"/>
                <w:snapToGrid/>
                <w:szCs w:val="24"/>
              </w:rPr>
            </w:pPr>
          </w:p>
        </w:tc>
        <w:tc>
          <w:tcPr>
            <w:tcW w:w="1679" w:type="dxa"/>
            <w:shd w:val="clear" w:color="auto" w:fill="auto"/>
            <w:vAlign w:val="center"/>
          </w:tcPr>
          <w:p w:rsidR="006748D0" w:rsidRPr="007414A0" w:rsidRDefault="006748D0" w:rsidP="007414A0">
            <w:pPr>
              <w:pStyle w:val="142"/>
              <w:jc w:val="center"/>
              <w:rPr>
                <w:rFonts w:hAnsi="Calibri" w:hint="eastAsia"/>
                <w:snapToGrid/>
                <w:szCs w:val="24"/>
              </w:rPr>
            </w:pPr>
            <w:r w:rsidRPr="007414A0">
              <w:rPr>
                <w:rFonts w:hAnsi="Calibri" w:hint="eastAsia"/>
                <w:snapToGrid/>
                <w:szCs w:val="24"/>
              </w:rPr>
              <w:t>核准保證金額</w:t>
            </w:r>
          </w:p>
        </w:tc>
        <w:tc>
          <w:tcPr>
            <w:tcW w:w="1296" w:type="dxa"/>
            <w:shd w:val="clear" w:color="auto" w:fill="auto"/>
            <w:vAlign w:val="center"/>
          </w:tcPr>
          <w:p w:rsidR="006748D0" w:rsidRPr="007414A0" w:rsidRDefault="006748D0" w:rsidP="007414A0">
            <w:pPr>
              <w:pStyle w:val="142"/>
              <w:jc w:val="right"/>
              <w:rPr>
                <w:rFonts w:hAnsi="Calibri" w:hint="eastAsia"/>
                <w:snapToGrid/>
                <w:szCs w:val="24"/>
              </w:rPr>
            </w:pPr>
            <w:r w:rsidRPr="007414A0">
              <w:rPr>
                <w:rFonts w:hAnsi="Calibri" w:hint="eastAsia"/>
                <w:snapToGrid/>
                <w:szCs w:val="24"/>
              </w:rPr>
              <w:t>0</w:t>
            </w:r>
          </w:p>
        </w:tc>
        <w:tc>
          <w:tcPr>
            <w:tcW w:w="1296" w:type="dxa"/>
            <w:shd w:val="clear" w:color="auto" w:fill="auto"/>
            <w:vAlign w:val="center"/>
          </w:tcPr>
          <w:p w:rsidR="006748D0" w:rsidRPr="007414A0" w:rsidRDefault="006748D0" w:rsidP="007414A0">
            <w:pPr>
              <w:pStyle w:val="142"/>
              <w:jc w:val="right"/>
              <w:rPr>
                <w:rFonts w:hAnsi="Calibri" w:hint="eastAsia"/>
              </w:rPr>
            </w:pPr>
            <w:r w:rsidRPr="007414A0">
              <w:rPr>
                <w:rFonts w:hAnsi="Calibri" w:hint="eastAsia"/>
              </w:rPr>
              <w:t>575,318</w:t>
            </w:r>
          </w:p>
        </w:tc>
        <w:tc>
          <w:tcPr>
            <w:tcW w:w="1239" w:type="dxa"/>
            <w:shd w:val="clear" w:color="auto" w:fill="auto"/>
            <w:vAlign w:val="center"/>
          </w:tcPr>
          <w:p w:rsidR="006748D0" w:rsidRPr="007414A0" w:rsidRDefault="006748D0" w:rsidP="007414A0">
            <w:pPr>
              <w:pStyle w:val="142"/>
              <w:jc w:val="right"/>
              <w:rPr>
                <w:rFonts w:hAnsi="Calibri" w:hint="eastAsia"/>
                <w:snapToGrid/>
              </w:rPr>
            </w:pPr>
            <w:r w:rsidRPr="007414A0">
              <w:rPr>
                <w:rFonts w:hAnsi="Calibri" w:hint="eastAsia"/>
                <w:snapToGrid/>
              </w:rPr>
              <w:t>0</w:t>
            </w:r>
          </w:p>
        </w:tc>
        <w:tc>
          <w:tcPr>
            <w:tcW w:w="2279" w:type="dxa"/>
            <w:gridSpan w:val="2"/>
            <w:vMerge/>
            <w:tcBorders>
              <w:right w:val="single" w:sz="12" w:space="0" w:color="auto"/>
            </w:tcBorders>
            <w:shd w:val="clear" w:color="auto" w:fill="auto"/>
            <w:vAlign w:val="center"/>
          </w:tcPr>
          <w:p w:rsidR="006748D0" w:rsidRPr="007414A0" w:rsidRDefault="006748D0" w:rsidP="007414A0">
            <w:pPr>
              <w:pStyle w:val="142"/>
              <w:jc w:val="right"/>
              <w:rPr>
                <w:rFonts w:hAnsi="Calibri" w:hint="eastAsia"/>
                <w:snapToGrid/>
              </w:rPr>
            </w:pPr>
          </w:p>
        </w:tc>
      </w:tr>
      <w:tr w:rsidR="00DB3FDB" w:rsidRPr="007414A0" w:rsidTr="008171D0">
        <w:tc>
          <w:tcPr>
            <w:tcW w:w="582" w:type="dxa"/>
            <w:vMerge w:val="restart"/>
            <w:tcBorders>
              <w:left w:val="single" w:sz="12" w:space="0" w:color="auto"/>
            </w:tcBorders>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111</w:t>
            </w:r>
          </w:p>
        </w:tc>
        <w:tc>
          <w:tcPr>
            <w:tcW w:w="1679" w:type="dxa"/>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核准保證件數</w:t>
            </w:r>
          </w:p>
        </w:tc>
        <w:tc>
          <w:tcPr>
            <w:tcW w:w="1296" w:type="dxa"/>
            <w:shd w:val="clear" w:color="auto" w:fill="auto"/>
            <w:vAlign w:val="center"/>
          </w:tcPr>
          <w:p w:rsidR="00DB3FDB" w:rsidRPr="007414A0" w:rsidRDefault="00DB3FDB" w:rsidP="007414A0">
            <w:pPr>
              <w:pStyle w:val="142"/>
              <w:jc w:val="right"/>
              <w:rPr>
                <w:rFonts w:hAnsi="Calibri" w:hint="eastAsia"/>
                <w:snapToGrid/>
              </w:rPr>
            </w:pPr>
            <w:r w:rsidRPr="007414A0">
              <w:rPr>
                <w:rFonts w:hAnsi="Calibri" w:hint="eastAsia"/>
                <w:snapToGrid/>
              </w:rPr>
              <w:t>0</w:t>
            </w:r>
          </w:p>
        </w:tc>
        <w:tc>
          <w:tcPr>
            <w:tcW w:w="1296" w:type="dxa"/>
            <w:shd w:val="clear" w:color="auto" w:fill="auto"/>
            <w:vAlign w:val="center"/>
          </w:tcPr>
          <w:p w:rsidR="00DB3FDB" w:rsidRPr="007414A0" w:rsidRDefault="00DB3FDB" w:rsidP="007414A0">
            <w:pPr>
              <w:pStyle w:val="142"/>
              <w:jc w:val="right"/>
              <w:rPr>
                <w:rFonts w:hAnsi="Calibri" w:hint="eastAsia"/>
              </w:rPr>
            </w:pPr>
            <w:r w:rsidRPr="007414A0">
              <w:rPr>
                <w:rFonts w:hAnsi="Calibri" w:hint="eastAsia"/>
              </w:rPr>
              <w:t>4</w:t>
            </w:r>
          </w:p>
        </w:tc>
        <w:tc>
          <w:tcPr>
            <w:tcW w:w="1239" w:type="dxa"/>
            <w:shd w:val="clear" w:color="auto" w:fill="auto"/>
            <w:vAlign w:val="center"/>
          </w:tcPr>
          <w:p w:rsidR="00DB3FDB" w:rsidRPr="007414A0" w:rsidRDefault="00DB3FDB" w:rsidP="007414A0">
            <w:pPr>
              <w:pStyle w:val="142"/>
              <w:jc w:val="right"/>
              <w:rPr>
                <w:rFonts w:hAnsi="Calibri" w:hint="eastAsia"/>
                <w:snapToGrid/>
              </w:rPr>
            </w:pPr>
            <w:r w:rsidRPr="007414A0">
              <w:rPr>
                <w:rFonts w:hAnsi="Calibri" w:hint="eastAsia"/>
                <w:snapToGrid/>
              </w:rPr>
              <w:t>0</w:t>
            </w:r>
          </w:p>
        </w:tc>
        <w:tc>
          <w:tcPr>
            <w:tcW w:w="2279" w:type="dxa"/>
            <w:gridSpan w:val="2"/>
            <w:vMerge/>
            <w:tcBorders>
              <w:right w:val="single" w:sz="12" w:space="0" w:color="auto"/>
            </w:tcBorders>
            <w:shd w:val="clear" w:color="auto" w:fill="auto"/>
            <w:vAlign w:val="center"/>
          </w:tcPr>
          <w:p w:rsidR="00DB3FDB" w:rsidRPr="007414A0" w:rsidRDefault="00DB3FDB" w:rsidP="007414A0">
            <w:pPr>
              <w:pStyle w:val="142"/>
              <w:jc w:val="right"/>
              <w:rPr>
                <w:rFonts w:hAnsi="Calibri" w:hint="eastAsia"/>
                <w:snapToGrid/>
              </w:rPr>
            </w:pPr>
          </w:p>
        </w:tc>
      </w:tr>
      <w:tr w:rsidR="00DB3FDB" w:rsidRPr="007414A0" w:rsidTr="008171D0">
        <w:tc>
          <w:tcPr>
            <w:tcW w:w="582" w:type="dxa"/>
            <w:vMerge/>
            <w:tcBorders>
              <w:left w:val="single" w:sz="12" w:space="0" w:color="auto"/>
            </w:tcBorders>
            <w:shd w:val="clear" w:color="auto" w:fill="auto"/>
            <w:vAlign w:val="center"/>
          </w:tcPr>
          <w:p w:rsidR="00DB3FDB" w:rsidRPr="007414A0" w:rsidRDefault="00DB3FDB" w:rsidP="007414A0">
            <w:pPr>
              <w:pStyle w:val="142"/>
              <w:jc w:val="center"/>
              <w:rPr>
                <w:rFonts w:hAnsi="Calibri" w:hint="eastAsia"/>
                <w:snapToGrid/>
                <w:szCs w:val="24"/>
              </w:rPr>
            </w:pPr>
          </w:p>
        </w:tc>
        <w:tc>
          <w:tcPr>
            <w:tcW w:w="1679" w:type="dxa"/>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核准保證金額</w:t>
            </w:r>
          </w:p>
        </w:tc>
        <w:tc>
          <w:tcPr>
            <w:tcW w:w="1296" w:type="dxa"/>
            <w:shd w:val="clear" w:color="auto" w:fill="auto"/>
            <w:vAlign w:val="center"/>
          </w:tcPr>
          <w:p w:rsidR="00DB3FDB" w:rsidRPr="007414A0" w:rsidRDefault="00DB3FDB" w:rsidP="007414A0">
            <w:pPr>
              <w:pStyle w:val="142"/>
              <w:jc w:val="right"/>
              <w:rPr>
                <w:rFonts w:hAnsi="Calibri" w:hint="eastAsia"/>
                <w:snapToGrid/>
              </w:rPr>
            </w:pPr>
            <w:r w:rsidRPr="007414A0">
              <w:rPr>
                <w:rFonts w:hAnsi="Calibri" w:hint="eastAsia"/>
                <w:snapToGrid/>
              </w:rPr>
              <w:t>0</w:t>
            </w:r>
          </w:p>
        </w:tc>
        <w:tc>
          <w:tcPr>
            <w:tcW w:w="1296" w:type="dxa"/>
            <w:shd w:val="clear" w:color="auto" w:fill="auto"/>
            <w:vAlign w:val="center"/>
          </w:tcPr>
          <w:p w:rsidR="00DB3FDB" w:rsidRPr="007414A0" w:rsidRDefault="00DB3FDB" w:rsidP="007414A0">
            <w:pPr>
              <w:pStyle w:val="142"/>
              <w:jc w:val="right"/>
              <w:rPr>
                <w:rFonts w:hAnsi="Calibri" w:hint="eastAsia"/>
              </w:rPr>
            </w:pPr>
            <w:r w:rsidRPr="007414A0">
              <w:rPr>
                <w:rFonts w:hAnsi="Calibri" w:hint="eastAsia"/>
              </w:rPr>
              <w:t>1</w:t>
            </w:r>
            <w:r w:rsidRPr="007414A0">
              <w:rPr>
                <w:rFonts w:hAnsi="Calibri"/>
              </w:rPr>
              <w:t>,</w:t>
            </w:r>
            <w:r w:rsidRPr="007414A0">
              <w:rPr>
                <w:rFonts w:hAnsi="Calibri" w:hint="eastAsia"/>
              </w:rPr>
              <w:t>176</w:t>
            </w:r>
            <w:r w:rsidRPr="007414A0">
              <w:rPr>
                <w:rFonts w:hAnsi="Calibri"/>
              </w:rPr>
              <w:t>,</w:t>
            </w:r>
            <w:r w:rsidRPr="007414A0">
              <w:rPr>
                <w:rFonts w:hAnsi="Calibri" w:hint="eastAsia"/>
              </w:rPr>
              <w:t>000</w:t>
            </w:r>
          </w:p>
        </w:tc>
        <w:tc>
          <w:tcPr>
            <w:tcW w:w="1239" w:type="dxa"/>
            <w:shd w:val="clear" w:color="auto" w:fill="auto"/>
            <w:vAlign w:val="center"/>
          </w:tcPr>
          <w:p w:rsidR="00DB3FDB" w:rsidRPr="007414A0" w:rsidRDefault="00DB3FDB" w:rsidP="007414A0">
            <w:pPr>
              <w:pStyle w:val="142"/>
              <w:jc w:val="right"/>
              <w:rPr>
                <w:rFonts w:hAnsi="Calibri" w:hint="eastAsia"/>
                <w:snapToGrid/>
              </w:rPr>
            </w:pPr>
            <w:r w:rsidRPr="007414A0">
              <w:rPr>
                <w:rFonts w:hAnsi="Calibri" w:hint="eastAsia"/>
                <w:snapToGrid/>
              </w:rPr>
              <w:t>0</w:t>
            </w:r>
          </w:p>
        </w:tc>
        <w:tc>
          <w:tcPr>
            <w:tcW w:w="2279" w:type="dxa"/>
            <w:gridSpan w:val="2"/>
            <w:vMerge/>
            <w:tcBorders>
              <w:right w:val="single" w:sz="12" w:space="0" w:color="auto"/>
            </w:tcBorders>
            <w:shd w:val="clear" w:color="auto" w:fill="auto"/>
            <w:vAlign w:val="center"/>
          </w:tcPr>
          <w:p w:rsidR="00DB3FDB" w:rsidRPr="007414A0" w:rsidRDefault="00DB3FDB" w:rsidP="007414A0">
            <w:pPr>
              <w:pStyle w:val="142"/>
              <w:jc w:val="right"/>
              <w:rPr>
                <w:rFonts w:hAnsi="Calibri" w:hint="eastAsia"/>
                <w:snapToGrid/>
              </w:rPr>
            </w:pPr>
          </w:p>
        </w:tc>
      </w:tr>
      <w:tr w:rsidR="00DB3FDB" w:rsidRPr="007414A0" w:rsidTr="008171D0">
        <w:tc>
          <w:tcPr>
            <w:tcW w:w="582" w:type="dxa"/>
            <w:vMerge w:val="restart"/>
            <w:tcBorders>
              <w:left w:val="single" w:sz="12" w:space="0" w:color="auto"/>
            </w:tcBorders>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112</w:t>
            </w:r>
          </w:p>
        </w:tc>
        <w:tc>
          <w:tcPr>
            <w:tcW w:w="1679" w:type="dxa"/>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核准保證件數</w:t>
            </w:r>
          </w:p>
        </w:tc>
        <w:tc>
          <w:tcPr>
            <w:tcW w:w="1296" w:type="dxa"/>
            <w:shd w:val="clear" w:color="auto" w:fill="auto"/>
            <w:vAlign w:val="center"/>
          </w:tcPr>
          <w:p w:rsidR="00DB3FDB" w:rsidRPr="007414A0" w:rsidRDefault="00DB3FDB" w:rsidP="007414A0">
            <w:pPr>
              <w:pStyle w:val="142"/>
              <w:jc w:val="right"/>
              <w:rPr>
                <w:rFonts w:hAnsi="Calibri"/>
              </w:rPr>
            </w:pPr>
            <w:r w:rsidRPr="007414A0">
              <w:rPr>
                <w:rFonts w:hAnsi="Calibri" w:hint="eastAsia"/>
              </w:rPr>
              <w:t>2</w:t>
            </w:r>
          </w:p>
        </w:tc>
        <w:tc>
          <w:tcPr>
            <w:tcW w:w="1296" w:type="dxa"/>
            <w:shd w:val="clear" w:color="auto" w:fill="auto"/>
            <w:vAlign w:val="center"/>
          </w:tcPr>
          <w:p w:rsidR="00DB3FDB" w:rsidRPr="007414A0" w:rsidRDefault="00DB3FDB" w:rsidP="007414A0">
            <w:pPr>
              <w:pStyle w:val="142"/>
              <w:jc w:val="right"/>
              <w:rPr>
                <w:rFonts w:hAnsi="Calibri" w:hint="eastAsia"/>
              </w:rPr>
            </w:pPr>
            <w:r w:rsidRPr="007414A0">
              <w:rPr>
                <w:rFonts w:hAnsi="Calibri" w:hint="eastAsia"/>
              </w:rPr>
              <w:t>3</w:t>
            </w:r>
          </w:p>
        </w:tc>
        <w:tc>
          <w:tcPr>
            <w:tcW w:w="1239" w:type="dxa"/>
            <w:shd w:val="clear" w:color="auto" w:fill="auto"/>
            <w:vAlign w:val="center"/>
          </w:tcPr>
          <w:p w:rsidR="00DB3FDB" w:rsidRPr="007414A0" w:rsidRDefault="00DB3FDB" w:rsidP="007414A0">
            <w:pPr>
              <w:pStyle w:val="142"/>
              <w:jc w:val="right"/>
              <w:rPr>
                <w:rFonts w:hAnsi="Calibri" w:hint="eastAsia"/>
              </w:rPr>
            </w:pPr>
            <w:r w:rsidRPr="007414A0">
              <w:rPr>
                <w:rFonts w:hAnsi="Calibri" w:hint="eastAsia"/>
              </w:rPr>
              <w:t>0</w:t>
            </w:r>
          </w:p>
        </w:tc>
        <w:tc>
          <w:tcPr>
            <w:tcW w:w="1145" w:type="dxa"/>
            <w:tcBorders>
              <w:top w:val="single" w:sz="4" w:space="0" w:color="auto"/>
              <w:bottom w:val="single" w:sz="4" w:space="0" w:color="auto"/>
              <w:right w:val="single" w:sz="4"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134" w:type="dxa"/>
            <w:tcBorders>
              <w:top w:val="single" w:sz="4" w:space="0" w:color="auto"/>
              <w:left w:val="single" w:sz="4" w:space="0" w:color="auto"/>
              <w:bottom w:val="single" w:sz="4" w:space="0" w:color="auto"/>
              <w:right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r>
      <w:tr w:rsidR="00DB3FDB" w:rsidRPr="007414A0" w:rsidTr="008171D0">
        <w:tc>
          <w:tcPr>
            <w:tcW w:w="582" w:type="dxa"/>
            <w:vMerge/>
            <w:tcBorders>
              <w:left w:val="single" w:sz="12" w:space="0" w:color="auto"/>
            </w:tcBorders>
            <w:shd w:val="clear" w:color="auto" w:fill="auto"/>
            <w:vAlign w:val="center"/>
          </w:tcPr>
          <w:p w:rsidR="00DB3FDB" w:rsidRPr="007414A0" w:rsidRDefault="00DB3FDB" w:rsidP="007414A0">
            <w:pPr>
              <w:pStyle w:val="142"/>
              <w:jc w:val="center"/>
              <w:rPr>
                <w:rFonts w:hAnsi="Calibri" w:hint="eastAsia"/>
                <w:snapToGrid/>
                <w:szCs w:val="24"/>
              </w:rPr>
            </w:pPr>
          </w:p>
        </w:tc>
        <w:tc>
          <w:tcPr>
            <w:tcW w:w="1679" w:type="dxa"/>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核准保證金額</w:t>
            </w:r>
          </w:p>
        </w:tc>
        <w:tc>
          <w:tcPr>
            <w:tcW w:w="1296" w:type="dxa"/>
            <w:shd w:val="clear" w:color="auto" w:fill="auto"/>
            <w:vAlign w:val="center"/>
          </w:tcPr>
          <w:p w:rsidR="00DB3FDB" w:rsidRPr="007414A0" w:rsidRDefault="00DB3FDB" w:rsidP="007414A0">
            <w:pPr>
              <w:pStyle w:val="142"/>
              <w:jc w:val="right"/>
              <w:rPr>
                <w:rFonts w:hAnsi="Calibri"/>
              </w:rPr>
            </w:pPr>
            <w:r w:rsidRPr="007414A0">
              <w:rPr>
                <w:rFonts w:hAnsi="Calibri" w:hint="eastAsia"/>
              </w:rPr>
              <w:t>6</w:t>
            </w:r>
            <w:r w:rsidRPr="007414A0">
              <w:rPr>
                <w:rFonts w:hAnsi="Calibri"/>
              </w:rPr>
              <w:t>,207,120</w:t>
            </w:r>
          </w:p>
        </w:tc>
        <w:tc>
          <w:tcPr>
            <w:tcW w:w="1296" w:type="dxa"/>
            <w:shd w:val="clear" w:color="auto" w:fill="auto"/>
            <w:vAlign w:val="center"/>
          </w:tcPr>
          <w:p w:rsidR="00DB3FDB" w:rsidRPr="007414A0" w:rsidRDefault="00DB3FDB" w:rsidP="007414A0">
            <w:pPr>
              <w:pStyle w:val="142"/>
              <w:jc w:val="right"/>
              <w:rPr>
                <w:rFonts w:hAnsi="Calibri" w:hint="eastAsia"/>
              </w:rPr>
            </w:pPr>
            <w:r w:rsidRPr="007414A0">
              <w:rPr>
                <w:rFonts w:hAnsi="Calibri" w:hint="eastAsia"/>
              </w:rPr>
              <w:t>5</w:t>
            </w:r>
            <w:r w:rsidRPr="007414A0">
              <w:rPr>
                <w:rFonts w:hAnsi="Calibri"/>
              </w:rPr>
              <w:t>74,669</w:t>
            </w:r>
          </w:p>
        </w:tc>
        <w:tc>
          <w:tcPr>
            <w:tcW w:w="1239" w:type="dxa"/>
            <w:shd w:val="clear" w:color="auto" w:fill="auto"/>
            <w:vAlign w:val="center"/>
          </w:tcPr>
          <w:p w:rsidR="00DB3FDB" w:rsidRPr="007414A0" w:rsidRDefault="00DB3FDB" w:rsidP="007414A0">
            <w:pPr>
              <w:pStyle w:val="142"/>
              <w:jc w:val="right"/>
              <w:rPr>
                <w:rFonts w:hAnsi="Calibri" w:hint="eastAsia"/>
              </w:rPr>
            </w:pPr>
            <w:r w:rsidRPr="007414A0">
              <w:rPr>
                <w:rFonts w:hAnsi="Calibri" w:hint="eastAsia"/>
              </w:rPr>
              <w:t>0</w:t>
            </w:r>
          </w:p>
        </w:tc>
        <w:tc>
          <w:tcPr>
            <w:tcW w:w="1145" w:type="dxa"/>
            <w:tcBorders>
              <w:top w:val="single" w:sz="4" w:space="0" w:color="auto"/>
              <w:right w:val="single" w:sz="4"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134" w:type="dxa"/>
            <w:tcBorders>
              <w:top w:val="single" w:sz="4" w:space="0" w:color="auto"/>
              <w:left w:val="single" w:sz="4" w:space="0" w:color="auto"/>
              <w:right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r>
      <w:tr w:rsidR="00DB3FDB" w:rsidRPr="007414A0" w:rsidTr="008171D0">
        <w:tc>
          <w:tcPr>
            <w:tcW w:w="582" w:type="dxa"/>
            <w:vMerge w:val="restart"/>
            <w:tcBorders>
              <w:left w:val="single" w:sz="12" w:space="0" w:color="auto"/>
            </w:tcBorders>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113</w:t>
            </w:r>
          </w:p>
        </w:tc>
        <w:tc>
          <w:tcPr>
            <w:tcW w:w="1679" w:type="dxa"/>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核准保證件數</w:t>
            </w:r>
          </w:p>
        </w:tc>
        <w:tc>
          <w:tcPr>
            <w:tcW w:w="1296" w:type="dxa"/>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296" w:type="dxa"/>
            <w:shd w:val="clear" w:color="auto" w:fill="auto"/>
            <w:vAlign w:val="center"/>
          </w:tcPr>
          <w:p w:rsidR="00DB3FDB" w:rsidRPr="007414A0" w:rsidRDefault="00DB3FDB" w:rsidP="007414A0">
            <w:pPr>
              <w:pStyle w:val="142"/>
              <w:jc w:val="right"/>
              <w:rPr>
                <w:rFonts w:hAnsi="Calibri"/>
              </w:rPr>
            </w:pPr>
            <w:r w:rsidRPr="007414A0">
              <w:rPr>
                <w:rFonts w:hAnsi="Calibri" w:hint="eastAsia"/>
              </w:rPr>
              <w:t>1</w:t>
            </w:r>
          </w:p>
        </w:tc>
        <w:tc>
          <w:tcPr>
            <w:tcW w:w="1239" w:type="dxa"/>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145" w:type="dxa"/>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134" w:type="dxa"/>
            <w:tcBorders>
              <w:right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r>
      <w:tr w:rsidR="00DB3FDB" w:rsidRPr="007414A0" w:rsidTr="008171D0">
        <w:tc>
          <w:tcPr>
            <w:tcW w:w="582" w:type="dxa"/>
            <w:vMerge/>
            <w:tcBorders>
              <w:left w:val="single" w:sz="12" w:space="0" w:color="auto"/>
              <w:bottom w:val="single" w:sz="12" w:space="0" w:color="auto"/>
            </w:tcBorders>
            <w:shd w:val="clear" w:color="auto" w:fill="auto"/>
            <w:vAlign w:val="center"/>
          </w:tcPr>
          <w:p w:rsidR="00DB3FDB" w:rsidRPr="007414A0" w:rsidRDefault="00DB3FDB" w:rsidP="007414A0">
            <w:pPr>
              <w:pStyle w:val="142"/>
              <w:jc w:val="center"/>
              <w:rPr>
                <w:rFonts w:hAnsi="Calibri" w:hint="eastAsia"/>
                <w:snapToGrid/>
                <w:szCs w:val="24"/>
              </w:rPr>
            </w:pPr>
          </w:p>
        </w:tc>
        <w:tc>
          <w:tcPr>
            <w:tcW w:w="1679" w:type="dxa"/>
            <w:tcBorders>
              <w:bottom w:val="single" w:sz="12" w:space="0" w:color="auto"/>
            </w:tcBorders>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核准保證金額</w:t>
            </w:r>
          </w:p>
        </w:tc>
        <w:tc>
          <w:tcPr>
            <w:tcW w:w="1296" w:type="dxa"/>
            <w:tcBorders>
              <w:bottom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296" w:type="dxa"/>
            <w:tcBorders>
              <w:bottom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rPr>
              <w:t>603,000</w:t>
            </w:r>
          </w:p>
        </w:tc>
        <w:tc>
          <w:tcPr>
            <w:tcW w:w="1239" w:type="dxa"/>
            <w:tcBorders>
              <w:bottom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145" w:type="dxa"/>
            <w:tcBorders>
              <w:bottom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134" w:type="dxa"/>
            <w:tcBorders>
              <w:bottom w:val="single" w:sz="12" w:space="0" w:color="auto"/>
              <w:right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r>
    </w:tbl>
    <w:p w:rsidR="006748D0" w:rsidRDefault="006748D0" w:rsidP="006748D0">
      <w:pPr>
        <w:pStyle w:val="a8"/>
        <w:adjustRightInd/>
        <w:spacing w:line="240" w:lineRule="exact"/>
        <w:ind w:firstLineChars="0" w:firstLine="0"/>
        <w:contextualSpacing/>
        <w:mirrorIndents/>
        <w:rPr>
          <w:rFonts w:hAnsi="標楷體"/>
          <w:sz w:val="24"/>
          <w:szCs w:val="24"/>
        </w:rPr>
      </w:pPr>
      <w:r>
        <w:rPr>
          <w:rFonts w:hAnsi="標楷體" w:hint="eastAsia"/>
          <w:sz w:val="24"/>
          <w:szCs w:val="24"/>
        </w:rPr>
        <w:t>說    明</w:t>
      </w:r>
      <w:r w:rsidRPr="006748D0">
        <w:rPr>
          <w:rFonts w:hAnsi="標楷體" w:hint="eastAsia"/>
          <w:sz w:val="24"/>
          <w:szCs w:val="24"/>
        </w:rPr>
        <w:t>：</w:t>
      </w:r>
      <w:r w:rsidR="00DB3FDB">
        <w:rPr>
          <w:rFonts w:hAnsi="標楷體" w:hint="eastAsia"/>
          <w:sz w:val="24"/>
          <w:szCs w:val="24"/>
        </w:rPr>
        <w:t>1.儲能、</w:t>
      </w:r>
      <w:r>
        <w:rPr>
          <w:rFonts w:hAnsi="標楷體" w:hint="eastAsia"/>
          <w:sz w:val="24"/>
          <w:szCs w:val="24"/>
        </w:rPr>
        <w:t>購電</w:t>
      </w:r>
      <w:r w:rsidR="00DB3FDB">
        <w:rPr>
          <w:rFonts w:hAnsi="標楷體" w:hint="eastAsia"/>
          <w:sz w:val="24"/>
          <w:szCs w:val="24"/>
        </w:rPr>
        <w:t>類</w:t>
      </w:r>
      <w:r>
        <w:rPr>
          <w:rFonts w:hAnsi="標楷體" w:hint="eastAsia"/>
          <w:sz w:val="24"/>
          <w:szCs w:val="24"/>
        </w:rPr>
        <w:t>係自112年度起新增融資保證類別。</w:t>
      </w:r>
    </w:p>
    <w:p w:rsidR="00DB3FDB" w:rsidRPr="00DB3FDB" w:rsidRDefault="00DB3FDB" w:rsidP="00DB3FDB">
      <w:pPr>
        <w:pStyle w:val="a8"/>
        <w:adjustRightInd/>
        <w:spacing w:line="240" w:lineRule="exact"/>
        <w:ind w:left="122" w:hangingChars="50" w:hanging="122"/>
        <w:contextualSpacing/>
        <w:mirrorIndents/>
        <w:rPr>
          <w:rFonts w:hAnsi="標楷體" w:hint="eastAsia"/>
          <w:sz w:val="24"/>
          <w:szCs w:val="24"/>
        </w:rPr>
      </w:pPr>
      <w:r>
        <w:rPr>
          <w:rFonts w:hAnsi="標楷體" w:hint="eastAsia"/>
          <w:sz w:val="24"/>
          <w:szCs w:val="24"/>
        </w:rPr>
        <w:t xml:space="preserve">          2.113</w:t>
      </w:r>
      <w:r w:rsidR="0023591D">
        <w:rPr>
          <w:rFonts w:hAnsi="標楷體" w:hint="eastAsia"/>
          <w:sz w:val="24"/>
          <w:szCs w:val="24"/>
        </w:rPr>
        <w:t>年度為截至10月底統計資料。</w:t>
      </w:r>
    </w:p>
    <w:p w:rsidR="00824FFD" w:rsidRPr="006748D0" w:rsidRDefault="006748D0" w:rsidP="006748D0">
      <w:pPr>
        <w:pStyle w:val="a8"/>
        <w:adjustRightInd/>
        <w:spacing w:line="240" w:lineRule="exact"/>
        <w:ind w:firstLineChars="0" w:firstLine="0"/>
        <w:contextualSpacing/>
        <w:mirrorIndents/>
        <w:rPr>
          <w:rFonts w:hAnsi="標楷體" w:hint="eastAsia"/>
          <w:sz w:val="24"/>
          <w:szCs w:val="24"/>
        </w:rPr>
      </w:pPr>
      <w:r w:rsidRPr="004E731F">
        <w:rPr>
          <w:rFonts w:hAnsi="標楷體" w:hint="eastAsia"/>
          <w:sz w:val="24"/>
          <w:szCs w:val="24"/>
        </w:rPr>
        <w:t>資料來源</w:t>
      </w:r>
      <w:r w:rsidRPr="006748D0">
        <w:rPr>
          <w:rFonts w:hAnsi="標楷體" w:hint="eastAsia"/>
          <w:sz w:val="24"/>
          <w:szCs w:val="24"/>
        </w:rPr>
        <w:t>：輸出入銀行提供。</w:t>
      </w:r>
    </w:p>
    <w:p w:rsidR="00AA4E92" w:rsidRDefault="00AA4E92" w:rsidP="00AA4E92">
      <w:pPr>
        <w:ind w:left="566" w:firstLine="566"/>
      </w:pPr>
      <w:r w:rsidRPr="00265EFF">
        <w:rPr>
          <w:rFonts w:hint="eastAsia"/>
        </w:rPr>
        <w:t>綜上，</w:t>
      </w:r>
      <w:r w:rsidR="00017D29">
        <w:rPr>
          <w:rFonts w:hint="eastAsia"/>
        </w:rPr>
        <w:t>輸出入銀行受託辦理</w:t>
      </w:r>
      <w:r w:rsidR="00017D29" w:rsidRPr="00964F85">
        <w:rPr>
          <w:rFonts w:hint="eastAsia"/>
        </w:rPr>
        <w:t>「國家融資保證機制推動方案」，</w:t>
      </w:r>
      <w:r w:rsidR="00017D29">
        <w:rPr>
          <w:rFonts w:hint="eastAsia"/>
        </w:rPr>
        <w:t>成立</w:t>
      </w:r>
      <w:r w:rsidR="00017D29" w:rsidRPr="00792024">
        <w:rPr>
          <w:rFonts w:hint="eastAsia"/>
        </w:rPr>
        <w:t>國家融資保證中心</w:t>
      </w:r>
      <w:r w:rsidR="00017D29">
        <w:rPr>
          <w:rFonts w:hint="eastAsia"/>
        </w:rPr>
        <w:t>及專戶，受理申請融資保證，協助</w:t>
      </w:r>
      <w:r w:rsidRPr="00964F85">
        <w:rPr>
          <w:rFonts w:hint="eastAsia"/>
        </w:rPr>
        <w:t>推動國內綠能與重大公共建設</w:t>
      </w:r>
      <w:r>
        <w:rPr>
          <w:rFonts w:hint="eastAsia"/>
        </w:rPr>
        <w:t>，</w:t>
      </w:r>
      <w:r w:rsidR="00017D29">
        <w:rPr>
          <w:rFonts w:hint="eastAsia"/>
        </w:rPr>
        <w:t>截至</w:t>
      </w:r>
      <w:r>
        <w:rPr>
          <w:rFonts w:hint="eastAsia"/>
        </w:rPr>
        <w:t>11</w:t>
      </w:r>
      <w:r w:rsidR="00017D29">
        <w:rPr>
          <w:rFonts w:hint="eastAsia"/>
        </w:rPr>
        <w:t>3</w:t>
      </w:r>
      <w:r>
        <w:rPr>
          <w:rFonts w:hint="eastAsia"/>
        </w:rPr>
        <w:t>年</w:t>
      </w:r>
      <w:r w:rsidR="00E95A51">
        <w:rPr>
          <w:rFonts w:hint="eastAsia"/>
        </w:rPr>
        <w:t>10</w:t>
      </w:r>
      <w:r>
        <w:rPr>
          <w:rFonts w:hint="eastAsia"/>
        </w:rPr>
        <w:t>月底止，</w:t>
      </w:r>
      <w:r w:rsidR="00017D29">
        <w:rPr>
          <w:rFonts w:hint="eastAsia"/>
        </w:rPr>
        <w:t>雖有初步成果</w:t>
      </w:r>
      <w:r w:rsidR="00017D29">
        <w:rPr>
          <w:rFonts w:hAnsi="標楷體" w:hint="eastAsia"/>
        </w:rPr>
        <w:t>，</w:t>
      </w:r>
      <w:r w:rsidR="00DD1D8C" w:rsidRPr="00DD1D8C">
        <w:rPr>
          <w:rFonts w:hAnsi="標楷體" w:hint="eastAsia"/>
        </w:rPr>
        <w:t>惟核定之保證融資案件侷限於綠能建設、綠能設備與服務等兩類</w:t>
      </w:r>
      <w:r>
        <w:rPr>
          <w:rFonts w:hint="eastAsia"/>
        </w:rPr>
        <w:t>，</w:t>
      </w:r>
      <w:r w:rsidR="00DD1D8C">
        <w:rPr>
          <w:rFonts w:hint="eastAsia"/>
        </w:rPr>
        <w:t>允宜加強推廣周知相關服務訊息</w:t>
      </w:r>
      <w:r w:rsidR="00DD1D8C" w:rsidRPr="00DD1D8C">
        <w:rPr>
          <w:rFonts w:hint="eastAsia"/>
        </w:rPr>
        <w:t>，俾強化政策果效。</w:t>
      </w:r>
    </w:p>
    <w:bookmarkEnd w:id="1"/>
    <w:sectPr w:rsidR="00AA4E92" w:rsidSect="00A54F0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544" w:rsidRDefault="00A74544" w:rsidP="002C78D6">
      <w:pPr>
        <w:spacing w:line="240" w:lineRule="auto"/>
        <w:ind w:left="560" w:firstLine="560"/>
      </w:pPr>
      <w:r>
        <w:separator/>
      </w:r>
    </w:p>
  </w:endnote>
  <w:endnote w:type="continuationSeparator" w:id="0">
    <w:p w:rsidR="00A74544" w:rsidRDefault="00A74544"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framePr w:wrap="around" w:vAnchor="text" w:hAnchor="margin" w:xAlign="center" w:y="1"/>
      <w:ind w:left="560" w:right="365" w:firstLine="560"/>
      <w:textDirection w:val="btLr"/>
    </w:pPr>
    <w:r>
      <w:fldChar w:fldCharType="begin"/>
    </w:r>
    <w:r>
      <w:instrText xml:space="preserve">PAGE  </w:instrText>
    </w:r>
    <w:r>
      <w:fldChar w:fldCharType="separate"/>
    </w:r>
    <w:r>
      <w:rPr>
        <w:noProof/>
      </w:rPr>
      <w:t>1</w:t>
    </w:r>
    <w:r>
      <w:fldChar w:fldCharType="end"/>
    </w:r>
  </w:p>
  <w:p w:rsidR="007F0FAD" w:rsidRDefault="007F0FAD" w:rsidP="00F40BD4">
    <w:pPr>
      <w:ind w:left="560" w:right="365"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Pr="00B00A85" w:rsidRDefault="007F0FAD" w:rsidP="00A41D89">
    <w:pPr>
      <w:framePr w:wrap="around" w:vAnchor="text" w:hAnchor="margin" w:xAlign="center" w:y="1"/>
      <w:spacing w:line="360" w:lineRule="exact"/>
      <w:ind w:leftChars="0" w:left="566" w:right="365" w:firstLineChars="0" w:firstLine="566"/>
      <w:rPr>
        <w:sz w:val="20"/>
        <w:szCs w:val="20"/>
      </w:rPr>
    </w:pPr>
    <w:r w:rsidRPr="00B00A85">
      <w:rPr>
        <w:sz w:val="20"/>
        <w:szCs w:val="20"/>
      </w:rPr>
      <w:fldChar w:fldCharType="begin"/>
    </w:r>
    <w:r w:rsidRPr="00B00A85">
      <w:rPr>
        <w:sz w:val="20"/>
        <w:szCs w:val="20"/>
      </w:rPr>
      <w:instrText xml:space="preserve">PAGE  </w:instrText>
    </w:r>
    <w:r w:rsidRPr="00B00A85">
      <w:rPr>
        <w:sz w:val="20"/>
        <w:szCs w:val="20"/>
      </w:rPr>
      <w:fldChar w:fldCharType="separate"/>
    </w:r>
    <w:r w:rsidR="00BC6B45">
      <w:rPr>
        <w:noProof/>
        <w:sz w:val="20"/>
        <w:szCs w:val="20"/>
      </w:rPr>
      <w:t>2</w:t>
    </w:r>
    <w:r w:rsidRPr="00B00A85">
      <w:rPr>
        <w:sz w:val="20"/>
        <w:szCs w:val="20"/>
      </w:rPr>
      <w:fldChar w:fldCharType="end"/>
    </w:r>
  </w:p>
  <w:p w:rsidR="007F0FAD" w:rsidRPr="00657357" w:rsidRDefault="007F0FAD" w:rsidP="0044156C">
    <w:pPr>
      <w:ind w:leftChars="0" w:left="566" w:right="365" w:firstLineChars="0" w:firstLine="56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ind w:left="560" w:right="365"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544" w:rsidRDefault="00A74544" w:rsidP="002C78D6">
      <w:pPr>
        <w:spacing w:line="240" w:lineRule="auto"/>
        <w:ind w:left="560" w:firstLine="560"/>
      </w:pPr>
      <w:r>
        <w:separator/>
      </w:r>
    </w:p>
  </w:footnote>
  <w:footnote w:type="continuationSeparator" w:id="0">
    <w:p w:rsidR="00A74544" w:rsidRDefault="00A74544" w:rsidP="002C78D6">
      <w:pPr>
        <w:spacing w:line="240" w:lineRule="auto"/>
        <w:ind w:left="560" w:firstLine="560"/>
      </w:pPr>
      <w:r>
        <w:continuationSeparator/>
      </w:r>
    </w:p>
  </w:footnote>
  <w:footnote w:id="1">
    <w:p w:rsidR="007F0FAD" w:rsidRPr="002B7EB9" w:rsidRDefault="007F0FAD" w:rsidP="00715682">
      <w:pPr>
        <w:pStyle w:val="ae"/>
        <w:spacing w:line="280" w:lineRule="exact"/>
        <w:ind w:leftChars="-88" w:left="-69" w:hangingChars="74" w:hanging="180"/>
        <w:rPr>
          <w:rFonts w:hint="eastAsia"/>
          <w:sz w:val="24"/>
          <w:szCs w:val="24"/>
        </w:rPr>
      </w:pPr>
      <w:r w:rsidRPr="002B7EB9">
        <w:rPr>
          <w:rStyle w:val="af0"/>
          <w:sz w:val="24"/>
          <w:szCs w:val="24"/>
        </w:rPr>
        <w:footnoteRef/>
      </w:r>
      <w:r w:rsidRPr="002B7EB9">
        <w:rPr>
          <w:sz w:val="24"/>
          <w:szCs w:val="24"/>
        </w:rPr>
        <w:t xml:space="preserve"> </w:t>
      </w:r>
      <w:r>
        <w:rPr>
          <w:rFonts w:hint="eastAsia"/>
          <w:sz w:val="24"/>
          <w:szCs w:val="24"/>
        </w:rPr>
        <w:t>除</w:t>
      </w:r>
      <w:r w:rsidRPr="00614CCC">
        <w:rPr>
          <w:rFonts w:hint="eastAsia"/>
          <w:sz w:val="24"/>
          <w:szCs w:val="24"/>
        </w:rPr>
        <w:t>行政院國家發展基金管理會</w:t>
      </w:r>
      <w:r>
        <w:rPr>
          <w:rFonts w:hint="eastAsia"/>
          <w:sz w:val="24"/>
          <w:szCs w:val="24"/>
        </w:rPr>
        <w:t>出資70億元外</w:t>
      </w:r>
      <w:r>
        <w:rPr>
          <w:rFonts w:hAnsi="標楷體" w:hint="eastAsia"/>
          <w:sz w:val="24"/>
          <w:szCs w:val="24"/>
        </w:rPr>
        <w:t>，</w:t>
      </w:r>
      <w:r>
        <w:rPr>
          <w:rFonts w:hint="eastAsia"/>
          <w:sz w:val="24"/>
          <w:szCs w:val="24"/>
        </w:rPr>
        <w:t>參與</w:t>
      </w:r>
      <w:r w:rsidRPr="002B7EB9">
        <w:rPr>
          <w:rFonts w:hint="eastAsia"/>
          <w:sz w:val="24"/>
          <w:szCs w:val="24"/>
        </w:rPr>
        <w:t>「國家融資保證機制推動方案」</w:t>
      </w:r>
      <w:r>
        <w:rPr>
          <w:rFonts w:hint="eastAsia"/>
          <w:sz w:val="24"/>
          <w:szCs w:val="24"/>
        </w:rPr>
        <w:t>之8家政府持股之金融機構及其出資金額分別為</w:t>
      </w:r>
      <w:r>
        <w:rPr>
          <w:rFonts w:ascii="新細明體" w:eastAsia="新細明體" w:hAnsi="新細明體" w:hint="eastAsia"/>
          <w:sz w:val="24"/>
          <w:szCs w:val="24"/>
        </w:rPr>
        <w:t>：</w:t>
      </w:r>
      <w:r>
        <w:rPr>
          <w:rFonts w:hint="eastAsia"/>
          <w:sz w:val="24"/>
          <w:szCs w:val="24"/>
        </w:rPr>
        <w:t>臺灣銀行2億7</w:t>
      </w:r>
      <w:r>
        <w:rPr>
          <w:sz w:val="24"/>
          <w:szCs w:val="24"/>
        </w:rPr>
        <w:t>,</w:t>
      </w:r>
      <w:r>
        <w:rPr>
          <w:rFonts w:hint="eastAsia"/>
          <w:sz w:val="24"/>
          <w:szCs w:val="24"/>
        </w:rPr>
        <w:t>000萬元</w:t>
      </w:r>
      <w:r>
        <w:rPr>
          <w:rFonts w:hAnsi="標楷體" w:hint="eastAsia"/>
          <w:sz w:val="24"/>
          <w:szCs w:val="24"/>
        </w:rPr>
        <w:t>、臺灣土地銀行</w:t>
      </w:r>
      <w:r w:rsidRPr="00614CCC">
        <w:rPr>
          <w:rFonts w:hAnsi="標楷體" w:hint="eastAsia"/>
          <w:sz w:val="24"/>
          <w:szCs w:val="24"/>
        </w:rPr>
        <w:t>2億7,000萬元</w:t>
      </w:r>
      <w:r>
        <w:rPr>
          <w:rFonts w:hAnsi="標楷體" w:hint="eastAsia"/>
          <w:sz w:val="24"/>
          <w:szCs w:val="24"/>
        </w:rPr>
        <w:t>、兆豐國際商業銀行</w:t>
      </w:r>
      <w:r w:rsidRPr="00614CCC">
        <w:rPr>
          <w:rFonts w:hAnsi="標楷體" w:hint="eastAsia"/>
          <w:sz w:val="24"/>
          <w:szCs w:val="24"/>
        </w:rPr>
        <w:t>2億7,000萬元</w:t>
      </w:r>
      <w:r>
        <w:rPr>
          <w:rFonts w:hAnsi="標楷體" w:hint="eastAsia"/>
          <w:sz w:val="24"/>
          <w:szCs w:val="24"/>
        </w:rPr>
        <w:t>、第一商業銀行</w:t>
      </w:r>
      <w:r w:rsidRPr="00614CCC">
        <w:rPr>
          <w:rFonts w:hAnsi="標楷體" w:hint="eastAsia"/>
          <w:sz w:val="24"/>
          <w:szCs w:val="24"/>
        </w:rPr>
        <w:t>2億7,000萬元</w:t>
      </w:r>
      <w:r>
        <w:rPr>
          <w:rFonts w:hAnsi="標楷體" w:hint="eastAsia"/>
          <w:sz w:val="24"/>
          <w:szCs w:val="24"/>
        </w:rPr>
        <w:t>、華南商業銀行2億6,831萬餘元、彰化商業銀行2億2</w:t>
      </w:r>
      <w:r>
        <w:rPr>
          <w:rFonts w:hAnsi="標楷體"/>
          <w:sz w:val="24"/>
          <w:szCs w:val="24"/>
        </w:rPr>
        <w:t>,</w:t>
      </w:r>
      <w:r>
        <w:rPr>
          <w:rFonts w:hAnsi="標楷體" w:hint="eastAsia"/>
          <w:sz w:val="24"/>
          <w:szCs w:val="24"/>
        </w:rPr>
        <w:t>625萬餘元、合作金庫商業銀行</w:t>
      </w:r>
      <w:r w:rsidRPr="00614CCC">
        <w:rPr>
          <w:rFonts w:hAnsi="標楷體" w:hint="eastAsia"/>
          <w:sz w:val="24"/>
          <w:szCs w:val="24"/>
        </w:rPr>
        <w:t>2億7,000萬元</w:t>
      </w:r>
      <w:r w:rsidR="00515C4D">
        <w:rPr>
          <w:rFonts w:hAnsi="標楷體" w:hint="eastAsia"/>
          <w:sz w:val="24"/>
          <w:szCs w:val="24"/>
        </w:rPr>
        <w:t>及臺</w:t>
      </w:r>
      <w:r>
        <w:rPr>
          <w:rFonts w:hAnsi="標楷體" w:hint="eastAsia"/>
          <w:sz w:val="24"/>
          <w:szCs w:val="24"/>
        </w:rPr>
        <w:t>灣中小企業銀行1億7</w:t>
      </w:r>
      <w:r>
        <w:rPr>
          <w:rFonts w:hAnsi="標楷體"/>
          <w:sz w:val="24"/>
          <w:szCs w:val="24"/>
        </w:rPr>
        <w:t>,</w:t>
      </w:r>
      <w:r>
        <w:rPr>
          <w:rFonts w:hAnsi="標楷體" w:hint="eastAsia"/>
          <w:sz w:val="24"/>
          <w:szCs w:val="24"/>
        </w:rPr>
        <w:t>643萬餘元，合計90億2</w:t>
      </w:r>
      <w:r>
        <w:rPr>
          <w:rFonts w:hAnsi="標楷體"/>
          <w:sz w:val="24"/>
          <w:szCs w:val="24"/>
        </w:rPr>
        <w:t>,</w:t>
      </w:r>
      <w:r>
        <w:rPr>
          <w:rFonts w:hAnsi="標楷體" w:hint="eastAsia"/>
          <w:sz w:val="24"/>
          <w:szCs w:val="24"/>
        </w:rPr>
        <w:t>099萬餘元。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framePr w:w="1440" w:hSpace="1276" w:wrap="around" w:vAnchor="text" w:hAnchor="margin" w:xAlign="right" w:y="1"/>
      <w:ind w:left="560" w:firstLine="560"/>
      <w:textDirection w:val="btLr"/>
    </w:pPr>
    <w:r>
      <w:fldChar w:fldCharType="begin"/>
    </w:r>
    <w:r>
      <w:instrText xml:space="preserve">PAGE  </w:instrText>
    </w:r>
    <w:r>
      <w:fldChar w:fldCharType="separate"/>
    </w:r>
    <w:r>
      <w:rPr>
        <w:noProof/>
      </w:rPr>
      <w:t>1</w:t>
    </w:r>
    <w:r>
      <w:fldChar w:fldCharType="end"/>
    </w:r>
  </w:p>
  <w:p w:rsidR="007F0FAD" w:rsidRDefault="007F0FAD" w:rsidP="00F40BD4">
    <w:pPr>
      <w:framePr w:wrap="around" w:vAnchor="text" w:hAnchor="margin" w:xAlign="right" w:y="1"/>
      <w:ind w:left="560" w:right="360" w:firstLine="560"/>
    </w:pPr>
    <w:r>
      <w:fldChar w:fldCharType="begin"/>
    </w:r>
    <w:r>
      <w:instrText xml:space="preserve">PAGE  </w:instrText>
    </w:r>
    <w:r>
      <w:fldChar w:fldCharType="separate"/>
    </w:r>
    <w:r>
      <w:rPr>
        <w:noProof/>
      </w:rPr>
      <w:t>1</w:t>
    </w:r>
    <w:r>
      <w:fldChar w:fldCharType="end"/>
    </w:r>
  </w:p>
  <w:p w:rsidR="007F0FAD" w:rsidRDefault="007F0FAD" w:rsidP="00F40BD4">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Pr="00657357" w:rsidRDefault="007F0FAD" w:rsidP="00F40BD4">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ind w:left="560" w:right="365"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45847"/>
    <w:multiLevelType w:val="hybridMultilevel"/>
    <w:tmpl w:val="AFFE501E"/>
    <w:lvl w:ilvl="0" w:tplc="E2B8288A">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1FF93FB2"/>
    <w:multiLevelType w:val="hybridMultilevel"/>
    <w:tmpl w:val="8E605A96"/>
    <w:lvl w:ilvl="0" w:tplc="FFDEB3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5DF3D96"/>
    <w:multiLevelType w:val="hybridMultilevel"/>
    <w:tmpl w:val="7A801198"/>
    <w:lvl w:ilvl="0" w:tplc="A644EC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41D89"/>
    <w:rsid w:val="00000671"/>
    <w:rsid w:val="00001449"/>
    <w:rsid w:val="00003E98"/>
    <w:rsid w:val="00003EF3"/>
    <w:rsid w:val="00004FC3"/>
    <w:rsid w:val="00006626"/>
    <w:rsid w:val="00006B2A"/>
    <w:rsid w:val="0000768D"/>
    <w:rsid w:val="000100BF"/>
    <w:rsid w:val="00010168"/>
    <w:rsid w:val="0001032F"/>
    <w:rsid w:val="00011B02"/>
    <w:rsid w:val="00011E6F"/>
    <w:rsid w:val="0001280F"/>
    <w:rsid w:val="00013A83"/>
    <w:rsid w:val="0001405C"/>
    <w:rsid w:val="00014F0B"/>
    <w:rsid w:val="00017D29"/>
    <w:rsid w:val="00017DAB"/>
    <w:rsid w:val="0002039C"/>
    <w:rsid w:val="00021A99"/>
    <w:rsid w:val="00022140"/>
    <w:rsid w:val="000225AB"/>
    <w:rsid w:val="00022843"/>
    <w:rsid w:val="00025726"/>
    <w:rsid w:val="00026A0E"/>
    <w:rsid w:val="0003098B"/>
    <w:rsid w:val="00030FD5"/>
    <w:rsid w:val="000312CB"/>
    <w:rsid w:val="00031AFC"/>
    <w:rsid w:val="00033470"/>
    <w:rsid w:val="000348A3"/>
    <w:rsid w:val="00034914"/>
    <w:rsid w:val="000373E4"/>
    <w:rsid w:val="0004292C"/>
    <w:rsid w:val="00043817"/>
    <w:rsid w:val="00044CD2"/>
    <w:rsid w:val="000453B7"/>
    <w:rsid w:val="00045F6C"/>
    <w:rsid w:val="00047577"/>
    <w:rsid w:val="0005087B"/>
    <w:rsid w:val="000602F3"/>
    <w:rsid w:val="000624D5"/>
    <w:rsid w:val="00062613"/>
    <w:rsid w:val="00064C94"/>
    <w:rsid w:val="00065A01"/>
    <w:rsid w:val="000660F0"/>
    <w:rsid w:val="000706AE"/>
    <w:rsid w:val="00070B09"/>
    <w:rsid w:val="00072C81"/>
    <w:rsid w:val="00073697"/>
    <w:rsid w:val="00076D88"/>
    <w:rsid w:val="00081DD6"/>
    <w:rsid w:val="0008285A"/>
    <w:rsid w:val="00083AAF"/>
    <w:rsid w:val="00083D1C"/>
    <w:rsid w:val="00084472"/>
    <w:rsid w:val="00085314"/>
    <w:rsid w:val="000853DA"/>
    <w:rsid w:val="00085426"/>
    <w:rsid w:val="00085E44"/>
    <w:rsid w:val="00086BC8"/>
    <w:rsid w:val="00087ADB"/>
    <w:rsid w:val="00090669"/>
    <w:rsid w:val="0009215A"/>
    <w:rsid w:val="000952E9"/>
    <w:rsid w:val="000965DB"/>
    <w:rsid w:val="0009743F"/>
    <w:rsid w:val="000A2AA8"/>
    <w:rsid w:val="000A2C07"/>
    <w:rsid w:val="000A435E"/>
    <w:rsid w:val="000A47A3"/>
    <w:rsid w:val="000A4B58"/>
    <w:rsid w:val="000A4DF8"/>
    <w:rsid w:val="000A5D36"/>
    <w:rsid w:val="000A697B"/>
    <w:rsid w:val="000B0B1F"/>
    <w:rsid w:val="000B10BC"/>
    <w:rsid w:val="000B15E2"/>
    <w:rsid w:val="000B167E"/>
    <w:rsid w:val="000B2631"/>
    <w:rsid w:val="000B2EB2"/>
    <w:rsid w:val="000B37B8"/>
    <w:rsid w:val="000B40D4"/>
    <w:rsid w:val="000B4ACB"/>
    <w:rsid w:val="000B4D03"/>
    <w:rsid w:val="000B4EF9"/>
    <w:rsid w:val="000B4F26"/>
    <w:rsid w:val="000B4F2A"/>
    <w:rsid w:val="000C199E"/>
    <w:rsid w:val="000C3676"/>
    <w:rsid w:val="000C4225"/>
    <w:rsid w:val="000C42EC"/>
    <w:rsid w:val="000C5BE8"/>
    <w:rsid w:val="000D08AF"/>
    <w:rsid w:val="000D1DDA"/>
    <w:rsid w:val="000D27E9"/>
    <w:rsid w:val="000D40FF"/>
    <w:rsid w:val="000D51D9"/>
    <w:rsid w:val="000D57E9"/>
    <w:rsid w:val="000D59F6"/>
    <w:rsid w:val="000E0941"/>
    <w:rsid w:val="000E0F0B"/>
    <w:rsid w:val="000E3C18"/>
    <w:rsid w:val="000E5FE3"/>
    <w:rsid w:val="000E6679"/>
    <w:rsid w:val="000E6F43"/>
    <w:rsid w:val="000E702C"/>
    <w:rsid w:val="000E7B34"/>
    <w:rsid w:val="000E7B4F"/>
    <w:rsid w:val="000F0AB9"/>
    <w:rsid w:val="000F184F"/>
    <w:rsid w:val="000F32E0"/>
    <w:rsid w:val="000F3348"/>
    <w:rsid w:val="000F36BC"/>
    <w:rsid w:val="000F4356"/>
    <w:rsid w:val="000F4D22"/>
    <w:rsid w:val="000F4D24"/>
    <w:rsid w:val="000F5480"/>
    <w:rsid w:val="000F565F"/>
    <w:rsid w:val="000F5698"/>
    <w:rsid w:val="000F713D"/>
    <w:rsid w:val="000F71A1"/>
    <w:rsid w:val="000F7ADB"/>
    <w:rsid w:val="001011C6"/>
    <w:rsid w:val="00101EF8"/>
    <w:rsid w:val="00102CB4"/>
    <w:rsid w:val="00102F19"/>
    <w:rsid w:val="0010399B"/>
    <w:rsid w:val="00103D58"/>
    <w:rsid w:val="001054B0"/>
    <w:rsid w:val="00105694"/>
    <w:rsid w:val="00105896"/>
    <w:rsid w:val="00110668"/>
    <w:rsid w:val="0011089B"/>
    <w:rsid w:val="001130BA"/>
    <w:rsid w:val="00113412"/>
    <w:rsid w:val="0011406D"/>
    <w:rsid w:val="001141B9"/>
    <w:rsid w:val="001150BE"/>
    <w:rsid w:val="00115348"/>
    <w:rsid w:val="001158CC"/>
    <w:rsid w:val="00120CA6"/>
    <w:rsid w:val="001212FB"/>
    <w:rsid w:val="001226E3"/>
    <w:rsid w:val="00122ED8"/>
    <w:rsid w:val="00123284"/>
    <w:rsid w:val="001246B0"/>
    <w:rsid w:val="001248B2"/>
    <w:rsid w:val="00126A7B"/>
    <w:rsid w:val="00127ABB"/>
    <w:rsid w:val="00127FA1"/>
    <w:rsid w:val="001319EC"/>
    <w:rsid w:val="001327D2"/>
    <w:rsid w:val="001330DF"/>
    <w:rsid w:val="001342A2"/>
    <w:rsid w:val="00135748"/>
    <w:rsid w:val="00136766"/>
    <w:rsid w:val="00140D79"/>
    <w:rsid w:val="0014362F"/>
    <w:rsid w:val="00143975"/>
    <w:rsid w:val="001440D6"/>
    <w:rsid w:val="00147586"/>
    <w:rsid w:val="00147653"/>
    <w:rsid w:val="001506AA"/>
    <w:rsid w:val="001509F5"/>
    <w:rsid w:val="00151327"/>
    <w:rsid w:val="00151E2A"/>
    <w:rsid w:val="001541AC"/>
    <w:rsid w:val="0015478F"/>
    <w:rsid w:val="001548E3"/>
    <w:rsid w:val="00154C83"/>
    <w:rsid w:val="00156678"/>
    <w:rsid w:val="00156CA8"/>
    <w:rsid w:val="0015709B"/>
    <w:rsid w:val="00160F9E"/>
    <w:rsid w:val="001610E2"/>
    <w:rsid w:val="0016269A"/>
    <w:rsid w:val="00163DE9"/>
    <w:rsid w:val="00165616"/>
    <w:rsid w:val="001673EA"/>
    <w:rsid w:val="00170FC9"/>
    <w:rsid w:val="0017412D"/>
    <w:rsid w:val="00175284"/>
    <w:rsid w:val="00175FAB"/>
    <w:rsid w:val="00176387"/>
    <w:rsid w:val="00180D19"/>
    <w:rsid w:val="00181DE3"/>
    <w:rsid w:val="00182332"/>
    <w:rsid w:val="00185226"/>
    <w:rsid w:val="001861B9"/>
    <w:rsid w:val="00187E53"/>
    <w:rsid w:val="00190563"/>
    <w:rsid w:val="0019072B"/>
    <w:rsid w:val="0019092C"/>
    <w:rsid w:val="0019494C"/>
    <w:rsid w:val="001969DB"/>
    <w:rsid w:val="0019765E"/>
    <w:rsid w:val="001976C4"/>
    <w:rsid w:val="001A0601"/>
    <w:rsid w:val="001A0C95"/>
    <w:rsid w:val="001A0DE2"/>
    <w:rsid w:val="001A2C69"/>
    <w:rsid w:val="001A573C"/>
    <w:rsid w:val="001A607A"/>
    <w:rsid w:val="001A6450"/>
    <w:rsid w:val="001A79F3"/>
    <w:rsid w:val="001B36A6"/>
    <w:rsid w:val="001B3EE2"/>
    <w:rsid w:val="001B4507"/>
    <w:rsid w:val="001B5679"/>
    <w:rsid w:val="001B5717"/>
    <w:rsid w:val="001B5AE9"/>
    <w:rsid w:val="001B5D09"/>
    <w:rsid w:val="001B677B"/>
    <w:rsid w:val="001B7942"/>
    <w:rsid w:val="001C0615"/>
    <w:rsid w:val="001C0FAF"/>
    <w:rsid w:val="001C11B5"/>
    <w:rsid w:val="001C155D"/>
    <w:rsid w:val="001C20BC"/>
    <w:rsid w:val="001C45B1"/>
    <w:rsid w:val="001C7781"/>
    <w:rsid w:val="001D0416"/>
    <w:rsid w:val="001D155F"/>
    <w:rsid w:val="001D1634"/>
    <w:rsid w:val="001D22A4"/>
    <w:rsid w:val="001D243D"/>
    <w:rsid w:val="001D270D"/>
    <w:rsid w:val="001D4E52"/>
    <w:rsid w:val="001D4EC3"/>
    <w:rsid w:val="001D569C"/>
    <w:rsid w:val="001D5C01"/>
    <w:rsid w:val="001D6F42"/>
    <w:rsid w:val="001D6FB8"/>
    <w:rsid w:val="001E01B4"/>
    <w:rsid w:val="001E0247"/>
    <w:rsid w:val="001E1D03"/>
    <w:rsid w:val="001E600F"/>
    <w:rsid w:val="001E6079"/>
    <w:rsid w:val="001E7464"/>
    <w:rsid w:val="001E79D2"/>
    <w:rsid w:val="001F26FE"/>
    <w:rsid w:val="001F2A7B"/>
    <w:rsid w:val="001F342E"/>
    <w:rsid w:val="001F3D25"/>
    <w:rsid w:val="001F51F0"/>
    <w:rsid w:val="001F6845"/>
    <w:rsid w:val="002007D4"/>
    <w:rsid w:val="00202F3C"/>
    <w:rsid w:val="002059CA"/>
    <w:rsid w:val="00205B69"/>
    <w:rsid w:val="00205C76"/>
    <w:rsid w:val="00210BA0"/>
    <w:rsid w:val="00210DA3"/>
    <w:rsid w:val="00211CBB"/>
    <w:rsid w:val="00212215"/>
    <w:rsid w:val="0021393F"/>
    <w:rsid w:val="00213BBD"/>
    <w:rsid w:val="002148AB"/>
    <w:rsid w:val="00214B57"/>
    <w:rsid w:val="002157BF"/>
    <w:rsid w:val="0021592E"/>
    <w:rsid w:val="00216205"/>
    <w:rsid w:val="00216AA0"/>
    <w:rsid w:val="002170DE"/>
    <w:rsid w:val="00217D7C"/>
    <w:rsid w:val="00217E38"/>
    <w:rsid w:val="0022032A"/>
    <w:rsid w:val="00220732"/>
    <w:rsid w:val="00221FB8"/>
    <w:rsid w:val="00222024"/>
    <w:rsid w:val="002230FF"/>
    <w:rsid w:val="0022317B"/>
    <w:rsid w:val="00223BF6"/>
    <w:rsid w:val="0022489B"/>
    <w:rsid w:val="0022619A"/>
    <w:rsid w:val="0022644C"/>
    <w:rsid w:val="00226B5E"/>
    <w:rsid w:val="0022741C"/>
    <w:rsid w:val="002275C2"/>
    <w:rsid w:val="00230E0C"/>
    <w:rsid w:val="0023141D"/>
    <w:rsid w:val="00231B5F"/>
    <w:rsid w:val="00231D51"/>
    <w:rsid w:val="002326B8"/>
    <w:rsid w:val="002330F6"/>
    <w:rsid w:val="0023497B"/>
    <w:rsid w:val="00234AF1"/>
    <w:rsid w:val="0023591D"/>
    <w:rsid w:val="00235BB6"/>
    <w:rsid w:val="00236EDE"/>
    <w:rsid w:val="00236F3C"/>
    <w:rsid w:val="0024013A"/>
    <w:rsid w:val="0024140C"/>
    <w:rsid w:val="002428B7"/>
    <w:rsid w:val="00251478"/>
    <w:rsid w:val="00251E73"/>
    <w:rsid w:val="00252492"/>
    <w:rsid w:val="002544AA"/>
    <w:rsid w:val="00256BC5"/>
    <w:rsid w:val="002577F5"/>
    <w:rsid w:val="00257F20"/>
    <w:rsid w:val="00265EFF"/>
    <w:rsid w:val="002672F8"/>
    <w:rsid w:val="00275FBD"/>
    <w:rsid w:val="00276A67"/>
    <w:rsid w:val="00276C49"/>
    <w:rsid w:val="00277282"/>
    <w:rsid w:val="00277812"/>
    <w:rsid w:val="0027798D"/>
    <w:rsid w:val="00277E91"/>
    <w:rsid w:val="002841F5"/>
    <w:rsid w:val="00284FE0"/>
    <w:rsid w:val="0028525C"/>
    <w:rsid w:val="00286B91"/>
    <w:rsid w:val="00292EB9"/>
    <w:rsid w:val="002931A2"/>
    <w:rsid w:val="00294B97"/>
    <w:rsid w:val="00295644"/>
    <w:rsid w:val="002964CF"/>
    <w:rsid w:val="00297C87"/>
    <w:rsid w:val="00297CC0"/>
    <w:rsid w:val="002A0EE4"/>
    <w:rsid w:val="002A0F05"/>
    <w:rsid w:val="002A16D9"/>
    <w:rsid w:val="002A1735"/>
    <w:rsid w:val="002A4854"/>
    <w:rsid w:val="002A63F2"/>
    <w:rsid w:val="002A730F"/>
    <w:rsid w:val="002B22C4"/>
    <w:rsid w:val="002B3198"/>
    <w:rsid w:val="002B3CF5"/>
    <w:rsid w:val="002B6A53"/>
    <w:rsid w:val="002B6C4C"/>
    <w:rsid w:val="002B73DA"/>
    <w:rsid w:val="002B7DE2"/>
    <w:rsid w:val="002B7EB9"/>
    <w:rsid w:val="002C03FE"/>
    <w:rsid w:val="002C334F"/>
    <w:rsid w:val="002C5F8A"/>
    <w:rsid w:val="002C648A"/>
    <w:rsid w:val="002C6EF8"/>
    <w:rsid w:val="002C6FEB"/>
    <w:rsid w:val="002C77B1"/>
    <w:rsid w:val="002C78D6"/>
    <w:rsid w:val="002D01E7"/>
    <w:rsid w:val="002D0B71"/>
    <w:rsid w:val="002D22E6"/>
    <w:rsid w:val="002D7AAD"/>
    <w:rsid w:val="002E0DC9"/>
    <w:rsid w:val="002E0E43"/>
    <w:rsid w:val="002E136F"/>
    <w:rsid w:val="002E23CB"/>
    <w:rsid w:val="002E2F0E"/>
    <w:rsid w:val="002E447F"/>
    <w:rsid w:val="002E5417"/>
    <w:rsid w:val="002E6D10"/>
    <w:rsid w:val="002E7307"/>
    <w:rsid w:val="002F010B"/>
    <w:rsid w:val="002F22A0"/>
    <w:rsid w:val="002F35D4"/>
    <w:rsid w:val="002F3ABA"/>
    <w:rsid w:val="002F51DA"/>
    <w:rsid w:val="002F5234"/>
    <w:rsid w:val="002F7B16"/>
    <w:rsid w:val="00300ADC"/>
    <w:rsid w:val="00302EB2"/>
    <w:rsid w:val="003050E0"/>
    <w:rsid w:val="003059E7"/>
    <w:rsid w:val="00305AD7"/>
    <w:rsid w:val="00310DF7"/>
    <w:rsid w:val="00311F16"/>
    <w:rsid w:val="00312901"/>
    <w:rsid w:val="00312FE6"/>
    <w:rsid w:val="0031497E"/>
    <w:rsid w:val="00315BB2"/>
    <w:rsid w:val="00315E2A"/>
    <w:rsid w:val="003169CE"/>
    <w:rsid w:val="00316B0D"/>
    <w:rsid w:val="0032043D"/>
    <w:rsid w:val="003223C4"/>
    <w:rsid w:val="00322900"/>
    <w:rsid w:val="003241A8"/>
    <w:rsid w:val="00324A54"/>
    <w:rsid w:val="00324B93"/>
    <w:rsid w:val="00324D6F"/>
    <w:rsid w:val="00326D64"/>
    <w:rsid w:val="00326DA4"/>
    <w:rsid w:val="00330333"/>
    <w:rsid w:val="0033080F"/>
    <w:rsid w:val="00330B8F"/>
    <w:rsid w:val="003321A9"/>
    <w:rsid w:val="003326DB"/>
    <w:rsid w:val="00333737"/>
    <w:rsid w:val="0033406B"/>
    <w:rsid w:val="0033534F"/>
    <w:rsid w:val="003379D8"/>
    <w:rsid w:val="003412F4"/>
    <w:rsid w:val="003418B9"/>
    <w:rsid w:val="0034192E"/>
    <w:rsid w:val="00341A14"/>
    <w:rsid w:val="00341B51"/>
    <w:rsid w:val="00342B0E"/>
    <w:rsid w:val="00342D25"/>
    <w:rsid w:val="00342E91"/>
    <w:rsid w:val="0034750E"/>
    <w:rsid w:val="0035166F"/>
    <w:rsid w:val="00351C7C"/>
    <w:rsid w:val="003522DE"/>
    <w:rsid w:val="0035332E"/>
    <w:rsid w:val="00353DBD"/>
    <w:rsid w:val="00354535"/>
    <w:rsid w:val="00354A01"/>
    <w:rsid w:val="00354EEA"/>
    <w:rsid w:val="003559B6"/>
    <w:rsid w:val="00355BEE"/>
    <w:rsid w:val="0036203D"/>
    <w:rsid w:val="003660F3"/>
    <w:rsid w:val="00366108"/>
    <w:rsid w:val="003663BB"/>
    <w:rsid w:val="0036656A"/>
    <w:rsid w:val="003668DA"/>
    <w:rsid w:val="003671CF"/>
    <w:rsid w:val="00367255"/>
    <w:rsid w:val="00367B52"/>
    <w:rsid w:val="003711CF"/>
    <w:rsid w:val="003712BA"/>
    <w:rsid w:val="0037206E"/>
    <w:rsid w:val="00372E19"/>
    <w:rsid w:val="003730BB"/>
    <w:rsid w:val="00373CB1"/>
    <w:rsid w:val="00374572"/>
    <w:rsid w:val="00374F93"/>
    <w:rsid w:val="00376354"/>
    <w:rsid w:val="0038131E"/>
    <w:rsid w:val="00383D19"/>
    <w:rsid w:val="00383EF5"/>
    <w:rsid w:val="00384EAC"/>
    <w:rsid w:val="003855A8"/>
    <w:rsid w:val="00386E84"/>
    <w:rsid w:val="00387BA4"/>
    <w:rsid w:val="00387D47"/>
    <w:rsid w:val="00390215"/>
    <w:rsid w:val="00393887"/>
    <w:rsid w:val="00393FB3"/>
    <w:rsid w:val="003942DC"/>
    <w:rsid w:val="003948E0"/>
    <w:rsid w:val="00394EAB"/>
    <w:rsid w:val="003967A7"/>
    <w:rsid w:val="00396ADE"/>
    <w:rsid w:val="00397627"/>
    <w:rsid w:val="003A0526"/>
    <w:rsid w:val="003A16BD"/>
    <w:rsid w:val="003A1AED"/>
    <w:rsid w:val="003A2622"/>
    <w:rsid w:val="003A3ADF"/>
    <w:rsid w:val="003A416D"/>
    <w:rsid w:val="003A4526"/>
    <w:rsid w:val="003A63C7"/>
    <w:rsid w:val="003A6548"/>
    <w:rsid w:val="003A6CE9"/>
    <w:rsid w:val="003A728D"/>
    <w:rsid w:val="003B18BF"/>
    <w:rsid w:val="003B5459"/>
    <w:rsid w:val="003C1C08"/>
    <w:rsid w:val="003C3576"/>
    <w:rsid w:val="003C4B34"/>
    <w:rsid w:val="003C4B7C"/>
    <w:rsid w:val="003C56B0"/>
    <w:rsid w:val="003C6362"/>
    <w:rsid w:val="003C75B2"/>
    <w:rsid w:val="003C7922"/>
    <w:rsid w:val="003C7DEF"/>
    <w:rsid w:val="003D104A"/>
    <w:rsid w:val="003D3F93"/>
    <w:rsid w:val="003D42E7"/>
    <w:rsid w:val="003D567B"/>
    <w:rsid w:val="003D7F56"/>
    <w:rsid w:val="003E08A2"/>
    <w:rsid w:val="003E2A21"/>
    <w:rsid w:val="003E3433"/>
    <w:rsid w:val="003E371D"/>
    <w:rsid w:val="003E398F"/>
    <w:rsid w:val="003E3B3A"/>
    <w:rsid w:val="003E4366"/>
    <w:rsid w:val="003E5216"/>
    <w:rsid w:val="003E6312"/>
    <w:rsid w:val="003E69D5"/>
    <w:rsid w:val="003F023A"/>
    <w:rsid w:val="003F04B3"/>
    <w:rsid w:val="003F0A6C"/>
    <w:rsid w:val="003F0D01"/>
    <w:rsid w:val="003F6D18"/>
    <w:rsid w:val="00400261"/>
    <w:rsid w:val="004021A3"/>
    <w:rsid w:val="00402D17"/>
    <w:rsid w:val="0040434B"/>
    <w:rsid w:val="004050CB"/>
    <w:rsid w:val="004053EE"/>
    <w:rsid w:val="00406160"/>
    <w:rsid w:val="00406249"/>
    <w:rsid w:val="00406BDD"/>
    <w:rsid w:val="00407C26"/>
    <w:rsid w:val="00411A39"/>
    <w:rsid w:val="00414551"/>
    <w:rsid w:val="00414F8B"/>
    <w:rsid w:val="00417C9E"/>
    <w:rsid w:val="00420192"/>
    <w:rsid w:val="00420443"/>
    <w:rsid w:val="0042071D"/>
    <w:rsid w:val="0042382F"/>
    <w:rsid w:val="004238AB"/>
    <w:rsid w:val="00423AAD"/>
    <w:rsid w:val="00425F8F"/>
    <w:rsid w:val="004262A0"/>
    <w:rsid w:val="00426A30"/>
    <w:rsid w:val="00427C20"/>
    <w:rsid w:val="00431341"/>
    <w:rsid w:val="00431C05"/>
    <w:rsid w:val="004327B1"/>
    <w:rsid w:val="00432F08"/>
    <w:rsid w:val="0043513E"/>
    <w:rsid w:val="00437F3E"/>
    <w:rsid w:val="00440779"/>
    <w:rsid w:val="00440B2F"/>
    <w:rsid w:val="0044156C"/>
    <w:rsid w:val="00441DF3"/>
    <w:rsid w:val="00442473"/>
    <w:rsid w:val="00443AE6"/>
    <w:rsid w:val="00444B0E"/>
    <w:rsid w:val="00445898"/>
    <w:rsid w:val="004502A7"/>
    <w:rsid w:val="00450825"/>
    <w:rsid w:val="00454A9D"/>
    <w:rsid w:val="00454B31"/>
    <w:rsid w:val="00454FD6"/>
    <w:rsid w:val="00456023"/>
    <w:rsid w:val="004567EE"/>
    <w:rsid w:val="00457530"/>
    <w:rsid w:val="00461712"/>
    <w:rsid w:val="00462186"/>
    <w:rsid w:val="0046227C"/>
    <w:rsid w:val="00463446"/>
    <w:rsid w:val="00463E30"/>
    <w:rsid w:val="00463EA0"/>
    <w:rsid w:val="004640AA"/>
    <w:rsid w:val="00464100"/>
    <w:rsid w:val="00464C05"/>
    <w:rsid w:val="004651C3"/>
    <w:rsid w:val="0046720E"/>
    <w:rsid w:val="004731CF"/>
    <w:rsid w:val="00473462"/>
    <w:rsid w:val="00474695"/>
    <w:rsid w:val="00474B46"/>
    <w:rsid w:val="00475BE6"/>
    <w:rsid w:val="00475DD5"/>
    <w:rsid w:val="00476CF0"/>
    <w:rsid w:val="00477663"/>
    <w:rsid w:val="00477665"/>
    <w:rsid w:val="0047775C"/>
    <w:rsid w:val="00480182"/>
    <w:rsid w:val="004809E8"/>
    <w:rsid w:val="00482412"/>
    <w:rsid w:val="00483135"/>
    <w:rsid w:val="004837A7"/>
    <w:rsid w:val="00484F81"/>
    <w:rsid w:val="0048728F"/>
    <w:rsid w:val="00490A8A"/>
    <w:rsid w:val="00494166"/>
    <w:rsid w:val="004948E4"/>
    <w:rsid w:val="004951FE"/>
    <w:rsid w:val="0049658F"/>
    <w:rsid w:val="004A32DC"/>
    <w:rsid w:val="004A52CB"/>
    <w:rsid w:val="004A6C2A"/>
    <w:rsid w:val="004B0125"/>
    <w:rsid w:val="004B1988"/>
    <w:rsid w:val="004B347A"/>
    <w:rsid w:val="004B3D71"/>
    <w:rsid w:val="004B4478"/>
    <w:rsid w:val="004B4C50"/>
    <w:rsid w:val="004B5565"/>
    <w:rsid w:val="004B63CA"/>
    <w:rsid w:val="004B6EFB"/>
    <w:rsid w:val="004B71A7"/>
    <w:rsid w:val="004C1A21"/>
    <w:rsid w:val="004C1BAF"/>
    <w:rsid w:val="004C2C1E"/>
    <w:rsid w:val="004C34B6"/>
    <w:rsid w:val="004C4225"/>
    <w:rsid w:val="004C489D"/>
    <w:rsid w:val="004C665A"/>
    <w:rsid w:val="004C7438"/>
    <w:rsid w:val="004C7BBD"/>
    <w:rsid w:val="004D3116"/>
    <w:rsid w:val="004D3D2B"/>
    <w:rsid w:val="004D413A"/>
    <w:rsid w:val="004D4619"/>
    <w:rsid w:val="004D4B5A"/>
    <w:rsid w:val="004D5777"/>
    <w:rsid w:val="004D59EF"/>
    <w:rsid w:val="004D78C4"/>
    <w:rsid w:val="004D7F8E"/>
    <w:rsid w:val="004E3BCE"/>
    <w:rsid w:val="004E3EE2"/>
    <w:rsid w:val="004E4A79"/>
    <w:rsid w:val="004E55F2"/>
    <w:rsid w:val="004E6208"/>
    <w:rsid w:val="004E731F"/>
    <w:rsid w:val="004F2AC3"/>
    <w:rsid w:val="004F2CE1"/>
    <w:rsid w:val="004F3012"/>
    <w:rsid w:val="004F3E4E"/>
    <w:rsid w:val="004F7482"/>
    <w:rsid w:val="004F76C9"/>
    <w:rsid w:val="00504C1B"/>
    <w:rsid w:val="005056F5"/>
    <w:rsid w:val="00507812"/>
    <w:rsid w:val="005129AF"/>
    <w:rsid w:val="00512A8A"/>
    <w:rsid w:val="005145B1"/>
    <w:rsid w:val="005148C6"/>
    <w:rsid w:val="00515C4D"/>
    <w:rsid w:val="00517207"/>
    <w:rsid w:val="005173D3"/>
    <w:rsid w:val="00521860"/>
    <w:rsid w:val="00522CF0"/>
    <w:rsid w:val="00523467"/>
    <w:rsid w:val="00523C94"/>
    <w:rsid w:val="00523F11"/>
    <w:rsid w:val="00525149"/>
    <w:rsid w:val="005258B3"/>
    <w:rsid w:val="005278B5"/>
    <w:rsid w:val="0052791B"/>
    <w:rsid w:val="00530A67"/>
    <w:rsid w:val="00530C17"/>
    <w:rsid w:val="00531BC3"/>
    <w:rsid w:val="00533CD1"/>
    <w:rsid w:val="00535105"/>
    <w:rsid w:val="00535986"/>
    <w:rsid w:val="00537DC0"/>
    <w:rsid w:val="00540144"/>
    <w:rsid w:val="00540A0D"/>
    <w:rsid w:val="0054211A"/>
    <w:rsid w:val="0054546E"/>
    <w:rsid w:val="00551889"/>
    <w:rsid w:val="0055193C"/>
    <w:rsid w:val="00552164"/>
    <w:rsid w:val="005539AE"/>
    <w:rsid w:val="00555443"/>
    <w:rsid w:val="00555A13"/>
    <w:rsid w:val="005600E4"/>
    <w:rsid w:val="00560129"/>
    <w:rsid w:val="005606B6"/>
    <w:rsid w:val="00563432"/>
    <w:rsid w:val="00563EA5"/>
    <w:rsid w:val="00564CAE"/>
    <w:rsid w:val="00566708"/>
    <w:rsid w:val="005667B3"/>
    <w:rsid w:val="0057020F"/>
    <w:rsid w:val="00572B95"/>
    <w:rsid w:val="00572C4A"/>
    <w:rsid w:val="005736BF"/>
    <w:rsid w:val="00573DC0"/>
    <w:rsid w:val="00573FA1"/>
    <w:rsid w:val="00574F24"/>
    <w:rsid w:val="005751C3"/>
    <w:rsid w:val="00575356"/>
    <w:rsid w:val="005801BB"/>
    <w:rsid w:val="00586257"/>
    <w:rsid w:val="005868EF"/>
    <w:rsid w:val="00587296"/>
    <w:rsid w:val="0058752E"/>
    <w:rsid w:val="00587E8D"/>
    <w:rsid w:val="005918C9"/>
    <w:rsid w:val="00593F6D"/>
    <w:rsid w:val="0059443E"/>
    <w:rsid w:val="00594516"/>
    <w:rsid w:val="005A12CB"/>
    <w:rsid w:val="005A1F59"/>
    <w:rsid w:val="005A2F00"/>
    <w:rsid w:val="005A5B32"/>
    <w:rsid w:val="005B0033"/>
    <w:rsid w:val="005B1305"/>
    <w:rsid w:val="005B1E41"/>
    <w:rsid w:val="005B20A9"/>
    <w:rsid w:val="005B2ED8"/>
    <w:rsid w:val="005B41D3"/>
    <w:rsid w:val="005B5335"/>
    <w:rsid w:val="005B58EF"/>
    <w:rsid w:val="005B77A2"/>
    <w:rsid w:val="005B7F42"/>
    <w:rsid w:val="005C0C6A"/>
    <w:rsid w:val="005C3319"/>
    <w:rsid w:val="005C646B"/>
    <w:rsid w:val="005C67EE"/>
    <w:rsid w:val="005C6D20"/>
    <w:rsid w:val="005C6F27"/>
    <w:rsid w:val="005C7DC2"/>
    <w:rsid w:val="005D3A52"/>
    <w:rsid w:val="005D592B"/>
    <w:rsid w:val="005D690F"/>
    <w:rsid w:val="005D7475"/>
    <w:rsid w:val="005D775E"/>
    <w:rsid w:val="005D784A"/>
    <w:rsid w:val="005E1526"/>
    <w:rsid w:val="005E1F9A"/>
    <w:rsid w:val="005E2A12"/>
    <w:rsid w:val="005E48F8"/>
    <w:rsid w:val="005E6EB5"/>
    <w:rsid w:val="005F05A5"/>
    <w:rsid w:val="005F3269"/>
    <w:rsid w:val="005F35E9"/>
    <w:rsid w:val="005F3967"/>
    <w:rsid w:val="005F4A98"/>
    <w:rsid w:val="005F7EB6"/>
    <w:rsid w:val="00600813"/>
    <w:rsid w:val="00601322"/>
    <w:rsid w:val="00601C34"/>
    <w:rsid w:val="006021F5"/>
    <w:rsid w:val="0060236B"/>
    <w:rsid w:val="00602678"/>
    <w:rsid w:val="0060520F"/>
    <w:rsid w:val="0060664F"/>
    <w:rsid w:val="00606C76"/>
    <w:rsid w:val="00613341"/>
    <w:rsid w:val="00613B47"/>
    <w:rsid w:val="00614CCC"/>
    <w:rsid w:val="00615337"/>
    <w:rsid w:val="00615EF4"/>
    <w:rsid w:val="00620CE1"/>
    <w:rsid w:val="00621A76"/>
    <w:rsid w:val="00621F59"/>
    <w:rsid w:val="00623718"/>
    <w:rsid w:val="00623FCD"/>
    <w:rsid w:val="00624ABC"/>
    <w:rsid w:val="006262BF"/>
    <w:rsid w:val="0062664C"/>
    <w:rsid w:val="00626CDB"/>
    <w:rsid w:val="00627E54"/>
    <w:rsid w:val="00630D49"/>
    <w:rsid w:val="006310E2"/>
    <w:rsid w:val="006327F1"/>
    <w:rsid w:val="00633890"/>
    <w:rsid w:val="006341D0"/>
    <w:rsid w:val="00636E21"/>
    <w:rsid w:val="00637955"/>
    <w:rsid w:val="00637A43"/>
    <w:rsid w:val="0064048F"/>
    <w:rsid w:val="00640FF0"/>
    <w:rsid w:val="006414CE"/>
    <w:rsid w:val="006415E9"/>
    <w:rsid w:val="00642504"/>
    <w:rsid w:val="00643754"/>
    <w:rsid w:val="00643CC2"/>
    <w:rsid w:val="006447FE"/>
    <w:rsid w:val="00644AC5"/>
    <w:rsid w:val="00647AF4"/>
    <w:rsid w:val="00647DC8"/>
    <w:rsid w:val="00650287"/>
    <w:rsid w:val="00650C7D"/>
    <w:rsid w:val="00650DB3"/>
    <w:rsid w:val="00651BFF"/>
    <w:rsid w:val="00653314"/>
    <w:rsid w:val="00653CED"/>
    <w:rsid w:val="00654FDF"/>
    <w:rsid w:val="00656416"/>
    <w:rsid w:val="0065653B"/>
    <w:rsid w:val="0066033C"/>
    <w:rsid w:val="00660B79"/>
    <w:rsid w:val="00661478"/>
    <w:rsid w:val="00662701"/>
    <w:rsid w:val="00663907"/>
    <w:rsid w:val="0066394B"/>
    <w:rsid w:val="00664406"/>
    <w:rsid w:val="006651EF"/>
    <w:rsid w:val="00666405"/>
    <w:rsid w:val="006701A9"/>
    <w:rsid w:val="006718D4"/>
    <w:rsid w:val="00671B21"/>
    <w:rsid w:val="00672451"/>
    <w:rsid w:val="00673663"/>
    <w:rsid w:val="00673750"/>
    <w:rsid w:val="006746CA"/>
    <w:rsid w:val="006748D0"/>
    <w:rsid w:val="00680954"/>
    <w:rsid w:val="0068339C"/>
    <w:rsid w:val="00683D1B"/>
    <w:rsid w:val="00684D50"/>
    <w:rsid w:val="00684F68"/>
    <w:rsid w:val="00685987"/>
    <w:rsid w:val="00685A97"/>
    <w:rsid w:val="00687B4B"/>
    <w:rsid w:val="006913CF"/>
    <w:rsid w:val="006942F6"/>
    <w:rsid w:val="00694BFC"/>
    <w:rsid w:val="00694FA3"/>
    <w:rsid w:val="00695379"/>
    <w:rsid w:val="00695486"/>
    <w:rsid w:val="006964FA"/>
    <w:rsid w:val="006966AC"/>
    <w:rsid w:val="00697336"/>
    <w:rsid w:val="00697D77"/>
    <w:rsid w:val="006A085A"/>
    <w:rsid w:val="006A1ED9"/>
    <w:rsid w:val="006A2243"/>
    <w:rsid w:val="006A2FD6"/>
    <w:rsid w:val="006A33B5"/>
    <w:rsid w:val="006A4003"/>
    <w:rsid w:val="006A441C"/>
    <w:rsid w:val="006A5034"/>
    <w:rsid w:val="006A51E5"/>
    <w:rsid w:val="006A53EF"/>
    <w:rsid w:val="006A558B"/>
    <w:rsid w:val="006A6154"/>
    <w:rsid w:val="006A6ADF"/>
    <w:rsid w:val="006A7CFE"/>
    <w:rsid w:val="006B0EE9"/>
    <w:rsid w:val="006B104D"/>
    <w:rsid w:val="006B1122"/>
    <w:rsid w:val="006B14ED"/>
    <w:rsid w:val="006B185E"/>
    <w:rsid w:val="006B1B2C"/>
    <w:rsid w:val="006B20C9"/>
    <w:rsid w:val="006B3694"/>
    <w:rsid w:val="006B49E5"/>
    <w:rsid w:val="006B56F0"/>
    <w:rsid w:val="006C0DA5"/>
    <w:rsid w:val="006C132E"/>
    <w:rsid w:val="006C20BA"/>
    <w:rsid w:val="006C298A"/>
    <w:rsid w:val="006C3687"/>
    <w:rsid w:val="006C53A7"/>
    <w:rsid w:val="006C5E13"/>
    <w:rsid w:val="006C6BCE"/>
    <w:rsid w:val="006C6C7F"/>
    <w:rsid w:val="006C6F8C"/>
    <w:rsid w:val="006D047E"/>
    <w:rsid w:val="006D1046"/>
    <w:rsid w:val="006D116F"/>
    <w:rsid w:val="006D3BDD"/>
    <w:rsid w:val="006D5528"/>
    <w:rsid w:val="006D5DF7"/>
    <w:rsid w:val="006D6C83"/>
    <w:rsid w:val="006D736D"/>
    <w:rsid w:val="006E027F"/>
    <w:rsid w:val="006E1FFE"/>
    <w:rsid w:val="006E355C"/>
    <w:rsid w:val="006E53E6"/>
    <w:rsid w:val="006E59BC"/>
    <w:rsid w:val="006E5B39"/>
    <w:rsid w:val="006E7331"/>
    <w:rsid w:val="006E7CEF"/>
    <w:rsid w:val="006E7E51"/>
    <w:rsid w:val="006E7F40"/>
    <w:rsid w:val="006F00D4"/>
    <w:rsid w:val="006F1587"/>
    <w:rsid w:val="006F16B0"/>
    <w:rsid w:val="006F3AD2"/>
    <w:rsid w:val="006F5E48"/>
    <w:rsid w:val="006F7AE0"/>
    <w:rsid w:val="007015A1"/>
    <w:rsid w:val="00702F4C"/>
    <w:rsid w:val="00703632"/>
    <w:rsid w:val="00705292"/>
    <w:rsid w:val="00707A3E"/>
    <w:rsid w:val="00707EFA"/>
    <w:rsid w:val="00707F4E"/>
    <w:rsid w:val="00710380"/>
    <w:rsid w:val="007120E1"/>
    <w:rsid w:val="007122B3"/>
    <w:rsid w:val="0071452C"/>
    <w:rsid w:val="00715111"/>
    <w:rsid w:val="00715682"/>
    <w:rsid w:val="00715F73"/>
    <w:rsid w:val="00716E97"/>
    <w:rsid w:val="00720BF0"/>
    <w:rsid w:val="00721CE3"/>
    <w:rsid w:val="00723987"/>
    <w:rsid w:val="00724761"/>
    <w:rsid w:val="00724D8D"/>
    <w:rsid w:val="0072527F"/>
    <w:rsid w:val="007261FE"/>
    <w:rsid w:val="007262D3"/>
    <w:rsid w:val="007263C4"/>
    <w:rsid w:val="0072722C"/>
    <w:rsid w:val="007277A7"/>
    <w:rsid w:val="00727F2F"/>
    <w:rsid w:val="00730660"/>
    <w:rsid w:val="00730EA9"/>
    <w:rsid w:val="00732368"/>
    <w:rsid w:val="007327E4"/>
    <w:rsid w:val="00734210"/>
    <w:rsid w:val="00735512"/>
    <w:rsid w:val="00740109"/>
    <w:rsid w:val="007412B2"/>
    <w:rsid w:val="007414A0"/>
    <w:rsid w:val="0074246A"/>
    <w:rsid w:val="00742C9B"/>
    <w:rsid w:val="0074419C"/>
    <w:rsid w:val="00744408"/>
    <w:rsid w:val="00745A69"/>
    <w:rsid w:val="00746201"/>
    <w:rsid w:val="00750275"/>
    <w:rsid w:val="00750F52"/>
    <w:rsid w:val="00751B9F"/>
    <w:rsid w:val="007538FA"/>
    <w:rsid w:val="007560A7"/>
    <w:rsid w:val="007627EC"/>
    <w:rsid w:val="00762C0F"/>
    <w:rsid w:val="0076303C"/>
    <w:rsid w:val="00764AB6"/>
    <w:rsid w:val="007706F1"/>
    <w:rsid w:val="00770B36"/>
    <w:rsid w:val="00771259"/>
    <w:rsid w:val="00771DAC"/>
    <w:rsid w:val="00772204"/>
    <w:rsid w:val="00774799"/>
    <w:rsid w:val="0077615E"/>
    <w:rsid w:val="0077691B"/>
    <w:rsid w:val="0077741F"/>
    <w:rsid w:val="007776D1"/>
    <w:rsid w:val="00780139"/>
    <w:rsid w:val="00780FE0"/>
    <w:rsid w:val="00783415"/>
    <w:rsid w:val="007838A9"/>
    <w:rsid w:val="00784EAD"/>
    <w:rsid w:val="00784FD9"/>
    <w:rsid w:val="007856FC"/>
    <w:rsid w:val="007858A5"/>
    <w:rsid w:val="007860C6"/>
    <w:rsid w:val="007902E8"/>
    <w:rsid w:val="00790A14"/>
    <w:rsid w:val="00792024"/>
    <w:rsid w:val="00792F04"/>
    <w:rsid w:val="00794798"/>
    <w:rsid w:val="00794B01"/>
    <w:rsid w:val="007A2ACD"/>
    <w:rsid w:val="007A396D"/>
    <w:rsid w:val="007A4C31"/>
    <w:rsid w:val="007A69E7"/>
    <w:rsid w:val="007A6A89"/>
    <w:rsid w:val="007A6B74"/>
    <w:rsid w:val="007A789F"/>
    <w:rsid w:val="007A7A95"/>
    <w:rsid w:val="007B018C"/>
    <w:rsid w:val="007B1085"/>
    <w:rsid w:val="007B1484"/>
    <w:rsid w:val="007B15A8"/>
    <w:rsid w:val="007B290F"/>
    <w:rsid w:val="007B2964"/>
    <w:rsid w:val="007B4BCB"/>
    <w:rsid w:val="007B526B"/>
    <w:rsid w:val="007B635A"/>
    <w:rsid w:val="007B63B8"/>
    <w:rsid w:val="007C005E"/>
    <w:rsid w:val="007C05EC"/>
    <w:rsid w:val="007C11B6"/>
    <w:rsid w:val="007C1CD7"/>
    <w:rsid w:val="007C2681"/>
    <w:rsid w:val="007C3B68"/>
    <w:rsid w:val="007C3DEB"/>
    <w:rsid w:val="007C3E05"/>
    <w:rsid w:val="007C4252"/>
    <w:rsid w:val="007C5701"/>
    <w:rsid w:val="007D0A19"/>
    <w:rsid w:val="007D1474"/>
    <w:rsid w:val="007D1834"/>
    <w:rsid w:val="007D34D7"/>
    <w:rsid w:val="007D6FC9"/>
    <w:rsid w:val="007D7E2A"/>
    <w:rsid w:val="007E1F78"/>
    <w:rsid w:val="007E36EF"/>
    <w:rsid w:val="007E38C8"/>
    <w:rsid w:val="007E60E9"/>
    <w:rsid w:val="007F0FAD"/>
    <w:rsid w:val="007F3651"/>
    <w:rsid w:val="007F501A"/>
    <w:rsid w:val="007F50AC"/>
    <w:rsid w:val="007F51FA"/>
    <w:rsid w:val="007F5F9A"/>
    <w:rsid w:val="0080245E"/>
    <w:rsid w:val="008055DD"/>
    <w:rsid w:val="008060E2"/>
    <w:rsid w:val="0080646A"/>
    <w:rsid w:val="0081017B"/>
    <w:rsid w:val="0081021D"/>
    <w:rsid w:val="0081038F"/>
    <w:rsid w:val="0081058C"/>
    <w:rsid w:val="00810D63"/>
    <w:rsid w:val="00810DC4"/>
    <w:rsid w:val="00813127"/>
    <w:rsid w:val="00813EA6"/>
    <w:rsid w:val="008144DC"/>
    <w:rsid w:val="00814814"/>
    <w:rsid w:val="00816B4A"/>
    <w:rsid w:val="00816DDD"/>
    <w:rsid w:val="008171D0"/>
    <w:rsid w:val="00820568"/>
    <w:rsid w:val="00820CEA"/>
    <w:rsid w:val="00821C42"/>
    <w:rsid w:val="00822A67"/>
    <w:rsid w:val="00823070"/>
    <w:rsid w:val="008236D1"/>
    <w:rsid w:val="00824FFD"/>
    <w:rsid w:val="008254D5"/>
    <w:rsid w:val="0082561D"/>
    <w:rsid w:val="008257A6"/>
    <w:rsid w:val="008307B7"/>
    <w:rsid w:val="00830C84"/>
    <w:rsid w:val="00830EED"/>
    <w:rsid w:val="00830F58"/>
    <w:rsid w:val="00833032"/>
    <w:rsid w:val="008333DB"/>
    <w:rsid w:val="00834A80"/>
    <w:rsid w:val="00834E72"/>
    <w:rsid w:val="0083527B"/>
    <w:rsid w:val="0083699D"/>
    <w:rsid w:val="00837640"/>
    <w:rsid w:val="00837667"/>
    <w:rsid w:val="00837E57"/>
    <w:rsid w:val="0084033B"/>
    <w:rsid w:val="0084178F"/>
    <w:rsid w:val="00843DC1"/>
    <w:rsid w:val="00845165"/>
    <w:rsid w:val="00850D3D"/>
    <w:rsid w:val="00850E13"/>
    <w:rsid w:val="008517FE"/>
    <w:rsid w:val="008528D1"/>
    <w:rsid w:val="008535C6"/>
    <w:rsid w:val="0085379C"/>
    <w:rsid w:val="00853AD8"/>
    <w:rsid w:val="00854C54"/>
    <w:rsid w:val="008558BC"/>
    <w:rsid w:val="00855D59"/>
    <w:rsid w:val="00857715"/>
    <w:rsid w:val="0086077E"/>
    <w:rsid w:val="0086118D"/>
    <w:rsid w:val="0086141F"/>
    <w:rsid w:val="00863451"/>
    <w:rsid w:val="00863478"/>
    <w:rsid w:val="00863BC2"/>
    <w:rsid w:val="00867BA7"/>
    <w:rsid w:val="0087101D"/>
    <w:rsid w:val="00871270"/>
    <w:rsid w:val="00873D23"/>
    <w:rsid w:val="00873FF0"/>
    <w:rsid w:val="0087519D"/>
    <w:rsid w:val="00875F23"/>
    <w:rsid w:val="008762C3"/>
    <w:rsid w:val="0087727D"/>
    <w:rsid w:val="008803FB"/>
    <w:rsid w:val="00880FD8"/>
    <w:rsid w:val="00883361"/>
    <w:rsid w:val="008835E8"/>
    <w:rsid w:val="00883840"/>
    <w:rsid w:val="00884FF9"/>
    <w:rsid w:val="0089055F"/>
    <w:rsid w:val="00892F3D"/>
    <w:rsid w:val="00893821"/>
    <w:rsid w:val="00894278"/>
    <w:rsid w:val="00894EA9"/>
    <w:rsid w:val="00896A8F"/>
    <w:rsid w:val="00896F4F"/>
    <w:rsid w:val="008A039E"/>
    <w:rsid w:val="008A0870"/>
    <w:rsid w:val="008A35DC"/>
    <w:rsid w:val="008A3B7A"/>
    <w:rsid w:val="008B0808"/>
    <w:rsid w:val="008B32E4"/>
    <w:rsid w:val="008B3829"/>
    <w:rsid w:val="008B4A3B"/>
    <w:rsid w:val="008B4E12"/>
    <w:rsid w:val="008B5153"/>
    <w:rsid w:val="008B5ADF"/>
    <w:rsid w:val="008B7AFD"/>
    <w:rsid w:val="008C0A54"/>
    <w:rsid w:val="008C1E71"/>
    <w:rsid w:val="008C36E4"/>
    <w:rsid w:val="008C5A36"/>
    <w:rsid w:val="008D0014"/>
    <w:rsid w:val="008D0E1E"/>
    <w:rsid w:val="008D15C5"/>
    <w:rsid w:val="008D1E16"/>
    <w:rsid w:val="008D257A"/>
    <w:rsid w:val="008D41E4"/>
    <w:rsid w:val="008D48FB"/>
    <w:rsid w:val="008D4C68"/>
    <w:rsid w:val="008D565B"/>
    <w:rsid w:val="008D62AF"/>
    <w:rsid w:val="008D65C5"/>
    <w:rsid w:val="008D766C"/>
    <w:rsid w:val="008D7951"/>
    <w:rsid w:val="008E00AE"/>
    <w:rsid w:val="008E1162"/>
    <w:rsid w:val="008E150F"/>
    <w:rsid w:val="008E4B01"/>
    <w:rsid w:val="008F0F88"/>
    <w:rsid w:val="008F2AF0"/>
    <w:rsid w:val="008F35D6"/>
    <w:rsid w:val="008F5042"/>
    <w:rsid w:val="008F60C2"/>
    <w:rsid w:val="008F6335"/>
    <w:rsid w:val="008F6862"/>
    <w:rsid w:val="008F73C1"/>
    <w:rsid w:val="00901577"/>
    <w:rsid w:val="009026AE"/>
    <w:rsid w:val="0090326C"/>
    <w:rsid w:val="00904DE7"/>
    <w:rsid w:val="00905198"/>
    <w:rsid w:val="00905469"/>
    <w:rsid w:val="0090616D"/>
    <w:rsid w:val="00912671"/>
    <w:rsid w:val="00913380"/>
    <w:rsid w:val="009138D3"/>
    <w:rsid w:val="00914190"/>
    <w:rsid w:val="00914730"/>
    <w:rsid w:val="00914EB7"/>
    <w:rsid w:val="00915D43"/>
    <w:rsid w:val="009162C0"/>
    <w:rsid w:val="0091658A"/>
    <w:rsid w:val="00916ABC"/>
    <w:rsid w:val="0091789F"/>
    <w:rsid w:val="00920175"/>
    <w:rsid w:val="00920B66"/>
    <w:rsid w:val="00920C36"/>
    <w:rsid w:val="00920E81"/>
    <w:rsid w:val="00922345"/>
    <w:rsid w:val="00922BF4"/>
    <w:rsid w:val="00922D5F"/>
    <w:rsid w:val="00923123"/>
    <w:rsid w:val="009263C3"/>
    <w:rsid w:val="009269ED"/>
    <w:rsid w:val="009279B4"/>
    <w:rsid w:val="00931885"/>
    <w:rsid w:val="0093190B"/>
    <w:rsid w:val="00932592"/>
    <w:rsid w:val="00934C35"/>
    <w:rsid w:val="009358CA"/>
    <w:rsid w:val="009372DE"/>
    <w:rsid w:val="00940305"/>
    <w:rsid w:val="00941670"/>
    <w:rsid w:val="00941FDA"/>
    <w:rsid w:val="009427CC"/>
    <w:rsid w:val="009435B0"/>
    <w:rsid w:val="00945414"/>
    <w:rsid w:val="00945979"/>
    <w:rsid w:val="00947222"/>
    <w:rsid w:val="00953C62"/>
    <w:rsid w:val="009627EB"/>
    <w:rsid w:val="00962B58"/>
    <w:rsid w:val="00963787"/>
    <w:rsid w:val="00964C34"/>
    <w:rsid w:val="00964F85"/>
    <w:rsid w:val="0096543F"/>
    <w:rsid w:val="009665E5"/>
    <w:rsid w:val="009702D6"/>
    <w:rsid w:val="009705AE"/>
    <w:rsid w:val="009712B1"/>
    <w:rsid w:val="009729A9"/>
    <w:rsid w:val="00974796"/>
    <w:rsid w:val="009751C5"/>
    <w:rsid w:val="0097673A"/>
    <w:rsid w:val="00977383"/>
    <w:rsid w:val="0097782E"/>
    <w:rsid w:val="00980098"/>
    <w:rsid w:val="0098178F"/>
    <w:rsid w:val="009822A8"/>
    <w:rsid w:val="009830C9"/>
    <w:rsid w:val="0098380D"/>
    <w:rsid w:val="009839DD"/>
    <w:rsid w:val="00984EB0"/>
    <w:rsid w:val="00987228"/>
    <w:rsid w:val="00987B7B"/>
    <w:rsid w:val="009913EF"/>
    <w:rsid w:val="009931BD"/>
    <w:rsid w:val="009931C3"/>
    <w:rsid w:val="00993A0D"/>
    <w:rsid w:val="009940BD"/>
    <w:rsid w:val="00994B4F"/>
    <w:rsid w:val="00996C5E"/>
    <w:rsid w:val="009971C7"/>
    <w:rsid w:val="009A022F"/>
    <w:rsid w:val="009A0456"/>
    <w:rsid w:val="009A2F72"/>
    <w:rsid w:val="009A5A92"/>
    <w:rsid w:val="009A5C4A"/>
    <w:rsid w:val="009B1137"/>
    <w:rsid w:val="009B2785"/>
    <w:rsid w:val="009B2A54"/>
    <w:rsid w:val="009B38E1"/>
    <w:rsid w:val="009B4A97"/>
    <w:rsid w:val="009B4B9B"/>
    <w:rsid w:val="009B5558"/>
    <w:rsid w:val="009B59AC"/>
    <w:rsid w:val="009B5B1C"/>
    <w:rsid w:val="009B5DDA"/>
    <w:rsid w:val="009B6126"/>
    <w:rsid w:val="009B67B6"/>
    <w:rsid w:val="009C084A"/>
    <w:rsid w:val="009C4FD6"/>
    <w:rsid w:val="009C776C"/>
    <w:rsid w:val="009C7B9D"/>
    <w:rsid w:val="009D2350"/>
    <w:rsid w:val="009D2385"/>
    <w:rsid w:val="009D3C61"/>
    <w:rsid w:val="009D4A95"/>
    <w:rsid w:val="009D6810"/>
    <w:rsid w:val="009D7D12"/>
    <w:rsid w:val="009E0A2A"/>
    <w:rsid w:val="009E108D"/>
    <w:rsid w:val="009E16D6"/>
    <w:rsid w:val="009E1DB5"/>
    <w:rsid w:val="009E1EA8"/>
    <w:rsid w:val="009E375C"/>
    <w:rsid w:val="009E39E9"/>
    <w:rsid w:val="009E3B1C"/>
    <w:rsid w:val="009E6FAC"/>
    <w:rsid w:val="009E7D6D"/>
    <w:rsid w:val="009F110D"/>
    <w:rsid w:val="009F1606"/>
    <w:rsid w:val="009F21EE"/>
    <w:rsid w:val="009F2F58"/>
    <w:rsid w:val="009F354A"/>
    <w:rsid w:val="009F5928"/>
    <w:rsid w:val="009F5A93"/>
    <w:rsid w:val="009F5BEF"/>
    <w:rsid w:val="009F6211"/>
    <w:rsid w:val="00A000F5"/>
    <w:rsid w:val="00A012B5"/>
    <w:rsid w:val="00A014D0"/>
    <w:rsid w:val="00A02F91"/>
    <w:rsid w:val="00A04471"/>
    <w:rsid w:val="00A055AD"/>
    <w:rsid w:val="00A064C0"/>
    <w:rsid w:val="00A07FBB"/>
    <w:rsid w:val="00A13698"/>
    <w:rsid w:val="00A13ACD"/>
    <w:rsid w:val="00A15F6A"/>
    <w:rsid w:val="00A16F6B"/>
    <w:rsid w:val="00A175FA"/>
    <w:rsid w:val="00A215AB"/>
    <w:rsid w:val="00A22978"/>
    <w:rsid w:val="00A22C5F"/>
    <w:rsid w:val="00A23ECF"/>
    <w:rsid w:val="00A25BC2"/>
    <w:rsid w:val="00A277A9"/>
    <w:rsid w:val="00A305C5"/>
    <w:rsid w:val="00A30C2D"/>
    <w:rsid w:val="00A31EBF"/>
    <w:rsid w:val="00A329D5"/>
    <w:rsid w:val="00A32DE8"/>
    <w:rsid w:val="00A32E05"/>
    <w:rsid w:val="00A35722"/>
    <w:rsid w:val="00A35E41"/>
    <w:rsid w:val="00A36CC0"/>
    <w:rsid w:val="00A379E4"/>
    <w:rsid w:val="00A40AC7"/>
    <w:rsid w:val="00A411E9"/>
    <w:rsid w:val="00A41D89"/>
    <w:rsid w:val="00A43127"/>
    <w:rsid w:val="00A45BA8"/>
    <w:rsid w:val="00A45CC9"/>
    <w:rsid w:val="00A46AA9"/>
    <w:rsid w:val="00A47598"/>
    <w:rsid w:val="00A47F14"/>
    <w:rsid w:val="00A50625"/>
    <w:rsid w:val="00A50D96"/>
    <w:rsid w:val="00A50F68"/>
    <w:rsid w:val="00A516A4"/>
    <w:rsid w:val="00A5282C"/>
    <w:rsid w:val="00A53DA3"/>
    <w:rsid w:val="00A54F04"/>
    <w:rsid w:val="00A54FE1"/>
    <w:rsid w:val="00A55EAC"/>
    <w:rsid w:val="00A5631B"/>
    <w:rsid w:val="00A617E2"/>
    <w:rsid w:val="00A63148"/>
    <w:rsid w:val="00A63CBE"/>
    <w:rsid w:val="00A651CB"/>
    <w:rsid w:val="00A655B9"/>
    <w:rsid w:val="00A70458"/>
    <w:rsid w:val="00A71021"/>
    <w:rsid w:val="00A7147D"/>
    <w:rsid w:val="00A71E05"/>
    <w:rsid w:val="00A74544"/>
    <w:rsid w:val="00A74770"/>
    <w:rsid w:val="00A8018B"/>
    <w:rsid w:val="00A84008"/>
    <w:rsid w:val="00A85C5B"/>
    <w:rsid w:val="00A90011"/>
    <w:rsid w:val="00A903A4"/>
    <w:rsid w:val="00A903B6"/>
    <w:rsid w:val="00A91CC6"/>
    <w:rsid w:val="00A9307F"/>
    <w:rsid w:val="00A95844"/>
    <w:rsid w:val="00A9626F"/>
    <w:rsid w:val="00A97200"/>
    <w:rsid w:val="00AA068D"/>
    <w:rsid w:val="00AA139A"/>
    <w:rsid w:val="00AA1B5D"/>
    <w:rsid w:val="00AA2437"/>
    <w:rsid w:val="00AA2E91"/>
    <w:rsid w:val="00AA3B36"/>
    <w:rsid w:val="00AA449D"/>
    <w:rsid w:val="00AA4E92"/>
    <w:rsid w:val="00AA4F73"/>
    <w:rsid w:val="00AA648C"/>
    <w:rsid w:val="00AA6C12"/>
    <w:rsid w:val="00AA7A09"/>
    <w:rsid w:val="00AB0FD6"/>
    <w:rsid w:val="00AB19ED"/>
    <w:rsid w:val="00AB1DB6"/>
    <w:rsid w:val="00AB3FE6"/>
    <w:rsid w:val="00AB4189"/>
    <w:rsid w:val="00AB6711"/>
    <w:rsid w:val="00AC1E9F"/>
    <w:rsid w:val="00AC41FD"/>
    <w:rsid w:val="00AC50EE"/>
    <w:rsid w:val="00AC5A88"/>
    <w:rsid w:val="00AC7169"/>
    <w:rsid w:val="00AD1F90"/>
    <w:rsid w:val="00AD2B04"/>
    <w:rsid w:val="00AD34F5"/>
    <w:rsid w:val="00AD35EA"/>
    <w:rsid w:val="00AD4BFE"/>
    <w:rsid w:val="00AD588B"/>
    <w:rsid w:val="00AD67A4"/>
    <w:rsid w:val="00AD70AF"/>
    <w:rsid w:val="00AD7398"/>
    <w:rsid w:val="00AE0B00"/>
    <w:rsid w:val="00AE0D46"/>
    <w:rsid w:val="00AE1569"/>
    <w:rsid w:val="00AE494C"/>
    <w:rsid w:val="00AE4EFA"/>
    <w:rsid w:val="00AE509A"/>
    <w:rsid w:val="00AE6A7E"/>
    <w:rsid w:val="00AF0C88"/>
    <w:rsid w:val="00AF12D8"/>
    <w:rsid w:val="00AF237A"/>
    <w:rsid w:val="00AF4B66"/>
    <w:rsid w:val="00AF4BE7"/>
    <w:rsid w:val="00AF4CB3"/>
    <w:rsid w:val="00AF7BF1"/>
    <w:rsid w:val="00B01770"/>
    <w:rsid w:val="00B021BD"/>
    <w:rsid w:val="00B04173"/>
    <w:rsid w:val="00B04D8F"/>
    <w:rsid w:val="00B05A0D"/>
    <w:rsid w:val="00B05D64"/>
    <w:rsid w:val="00B07175"/>
    <w:rsid w:val="00B11D20"/>
    <w:rsid w:val="00B125A5"/>
    <w:rsid w:val="00B12B59"/>
    <w:rsid w:val="00B156D7"/>
    <w:rsid w:val="00B1571C"/>
    <w:rsid w:val="00B159E3"/>
    <w:rsid w:val="00B16329"/>
    <w:rsid w:val="00B16A88"/>
    <w:rsid w:val="00B16FB5"/>
    <w:rsid w:val="00B20F29"/>
    <w:rsid w:val="00B21E48"/>
    <w:rsid w:val="00B25E96"/>
    <w:rsid w:val="00B26249"/>
    <w:rsid w:val="00B27E3E"/>
    <w:rsid w:val="00B32646"/>
    <w:rsid w:val="00B32E41"/>
    <w:rsid w:val="00B33318"/>
    <w:rsid w:val="00B3398D"/>
    <w:rsid w:val="00B351E2"/>
    <w:rsid w:val="00B356B3"/>
    <w:rsid w:val="00B35D63"/>
    <w:rsid w:val="00B3677E"/>
    <w:rsid w:val="00B3691A"/>
    <w:rsid w:val="00B36F52"/>
    <w:rsid w:val="00B37725"/>
    <w:rsid w:val="00B42160"/>
    <w:rsid w:val="00B44B8E"/>
    <w:rsid w:val="00B45CEC"/>
    <w:rsid w:val="00B46F6E"/>
    <w:rsid w:val="00B47BEA"/>
    <w:rsid w:val="00B5087D"/>
    <w:rsid w:val="00B50A09"/>
    <w:rsid w:val="00B50AB6"/>
    <w:rsid w:val="00B50EF1"/>
    <w:rsid w:val="00B52B36"/>
    <w:rsid w:val="00B53145"/>
    <w:rsid w:val="00B5397D"/>
    <w:rsid w:val="00B53AF3"/>
    <w:rsid w:val="00B53E6E"/>
    <w:rsid w:val="00B54CCE"/>
    <w:rsid w:val="00B56D58"/>
    <w:rsid w:val="00B57E5A"/>
    <w:rsid w:val="00B60319"/>
    <w:rsid w:val="00B616DF"/>
    <w:rsid w:val="00B61A80"/>
    <w:rsid w:val="00B62114"/>
    <w:rsid w:val="00B623E5"/>
    <w:rsid w:val="00B6791A"/>
    <w:rsid w:val="00B70620"/>
    <w:rsid w:val="00B71629"/>
    <w:rsid w:val="00B717AD"/>
    <w:rsid w:val="00B71A81"/>
    <w:rsid w:val="00B72182"/>
    <w:rsid w:val="00B72ECC"/>
    <w:rsid w:val="00B75947"/>
    <w:rsid w:val="00B76BC8"/>
    <w:rsid w:val="00B77424"/>
    <w:rsid w:val="00B7788D"/>
    <w:rsid w:val="00B77C84"/>
    <w:rsid w:val="00B77E41"/>
    <w:rsid w:val="00B8051B"/>
    <w:rsid w:val="00B8059C"/>
    <w:rsid w:val="00B82DFD"/>
    <w:rsid w:val="00B8473F"/>
    <w:rsid w:val="00B84777"/>
    <w:rsid w:val="00B85044"/>
    <w:rsid w:val="00B90177"/>
    <w:rsid w:val="00B91757"/>
    <w:rsid w:val="00B923CF"/>
    <w:rsid w:val="00B9328F"/>
    <w:rsid w:val="00B9467B"/>
    <w:rsid w:val="00B9583C"/>
    <w:rsid w:val="00B97564"/>
    <w:rsid w:val="00BA0B55"/>
    <w:rsid w:val="00BA1365"/>
    <w:rsid w:val="00BA1888"/>
    <w:rsid w:val="00BA4FFC"/>
    <w:rsid w:val="00BA551B"/>
    <w:rsid w:val="00BA5905"/>
    <w:rsid w:val="00BA6A87"/>
    <w:rsid w:val="00BA6BEA"/>
    <w:rsid w:val="00BA6E7F"/>
    <w:rsid w:val="00BA73E7"/>
    <w:rsid w:val="00BA7B86"/>
    <w:rsid w:val="00BB024C"/>
    <w:rsid w:val="00BB13B2"/>
    <w:rsid w:val="00BB284A"/>
    <w:rsid w:val="00BB3496"/>
    <w:rsid w:val="00BB352D"/>
    <w:rsid w:val="00BB35AD"/>
    <w:rsid w:val="00BB4496"/>
    <w:rsid w:val="00BB4890"/>
    <w:rsid w:val="00BB570D"/>
    <w:rsid w:val="00BB6211"/>
    <w:rsid w:val="00BC0FA9"/>
    <w:rsid w:val="00BC2324"/>
    <w:rsid w:val="00BC2968"/>
    <w:rsid w:val="00BC3F28"/>
    <w:rsid w:val="00BC6B45"/>
    <w:rsid w:val="00BD015A"/>
    <w:rsid w:val="00BD0F90"/>
    <w:rsid w:val="00BD2554"/>
    <w:rsid w:val="00BD2801"/>
    <w:rsid w:val="00BD2CEF"/>
    <w:rsid w:val="00BD679D"/>
    <w:rsid w:val="00BD7B6C"/>
    <w:rsid w:val="00BE009C"/>
    <w:rsid w:val="00BE0348"/>
    <w:rsid w:val="00BE1A56"/>
    <w:rsid w:val="00BE1FCB"/>
    <w:rsid w:val="00BE33E9"/>
    <w:rsid w:val="00BE4E3B"/>
    <w:rsid w:val="00BE73D0"/>
    <w:rsid w:val="00BE7629"/>
    <w:rsid w:val="00BF015F"/>
    <w:rsid w:val="00BF02CD"/>
    <w:rsid w:val="00BF0F8B"/>
    <w:rsid w:val="00BF2CD1"/>
    <w:rsid w:val="00BF33B8"/>
    <w:rsid w:val="00BF4866"/>
    <w:rsid w:val="00BF66AB"/>
    <w:rsid w:val="00BF6939"/>
    <w:rsid w:val="00C01AE2"/>
    <w:rsid w:val="00C02122"/>
    <w:rsid w:val="00C03FFD"/>
    <w:rsid w:val="00C045FD"/>
    <w:rsid w:val="00C05563"/>
    <w:rsid w:val="00C05B58"/>
    <w:rsid w:val="00C06F42"/>
    <w:rsid w:val="00C073B0"/>
    <w:rsid w:val="00C07548"/>
    <w:rsid w:val="00C119E6"/>
    <w:rsid w:val="00C11EF2"/>
    <w:rsid w:val="00C1301B"/>
    <w:rsid w:val="00C137AF"/>
    <w:rsid w:val="00C1796A"/>
    <w:rsid w:val="00C22735"/>
    <w:rsid w:val="00C23C13"/>
    <w:rsid w:val="00C270C0"/>
    <w:rsid w:val="00C303BC"/>
    <w:rsid w:val="00C31E4F"/>
    <w:rsid w:val="00C32A60"/>
    <w:rsid w:val="00C32BE1"/>
    <w:rsid w:val="00C3574C"/>
    <w:rsid w:val="00C35AB3"/>
    <w:rsid w:val="00C3651E"/>
    <w:rsid w:val="00C37176"/>
    <w:rsid w:val="00C40499"/>
    <w:rsid w:val="00C40698"/>
    <w:rsid w:val="00C438D5"/>
    <w:rsid w:val="00C43E0F"/>
    <w:rsid w:val="00C4446A"/>
    <w:rsid w:val="00C44D20"/>
    <w:rsid w:val="00C45740"/>
    <w:rsid w:val="00C4633D"/>
    <w:rsid w:val="00C46CBC"/>
    <w:rsid w:val="00C46E60"/>
    <w:rsid w:val="00C47FA5"/>
    <w:rsid w:val="00C5280F"/>
    <w:rsid w:val="00C53125"/>
    <w:rsid w:val="00C535D3"/>
    <w:rsid w:val="00C564C4"/>
    <w:rsid w:val="00C56FD8"/>
    <w:rsid w:val="00C61165"/>
    <w:rsid w:val="00C63D58"/>
    <w:rsid w:val="00C6487D"/>
    <w:rsid w:val="00C64DA2"/>
    <w:rsid w:val="00C65D8B"/>
    <w:rsid w:val="00C666C6"/>
    <w:rsid w:val="00C66C74"/>
    <w:rsid w:val="00C73DCA"/>
    <w:rsid w:val="00C741A8"/>
    <w:rsid w:val="00C7502D"/>
    <w:rsid w:val="00C77965"/>
    <w:rsid w:val="00C80979"/>
    <w:rsid w:val="00C82A30"/>
    <w:rsid w:val="00C83BC6"/>
    <w:rsid w:val="00C84DCF"/>
    <w:rsid w:val="00C905ED"/>
    <w:rsid w:val="00C90927"/>
    <w:rsid w:val="00C90A39"/>
    <w:rsid w:val="00C90F93"/>
    <w:rsid w:val="00C926A6"/>
    <w:rsid w:val="00C935B0"/>
    <w:rsid w:val="00C940F3"/>
    <w:rsid w:val="00C948FF"/>
    <w:rsid w:val="00C97F47"/>
    <w:rsid w:val="00CA1BA3"/>
    <w:rsid w:val="00CA29D4"/>
    <w:rsid w:val="00CA4A68"/>
    <w:rsid w:val="00CA5F15"/>
    <w:rsid w:val="00CA6149"/>
    <w:rsid w:val="00CA69B6"/>
    <w:rsid w:val="00CA7A0B"/>
    <w:rsid w:val="00CB2360"/>
    <w:rsid w:val="00CB26D2"/>
    <w:rsid w:val="00CB334A"/>
    <w:rsid w:val="00CB3EB1"/>
    <w:rsid w:val="00CB4D67"/>
    <w:rsid w:val="00CB528E"/>
    <w:rsid w:val="00CB5FFF"/>
    <w:rsid w:val="00CB63DF"/>
    <w:rsid w:val="00CB70F9"/>
    <w:rsid w:val="00CB7A91"/>
    <w:rsid w:val="00CB7B20"/>
    <w:rsid w:val="00CC0E9B"/>
    <w:rsid w:val="00CC1A32"/>
    <w:rsid w:val="00CC3445"/>
    <w:rsid w:val="00CC60D3"/>
    <w:rsid w:val="00CC667D"/>
    <w:rsid w:val="00CD16A9"/>
    <w:rsid w:val="00CD2ED2"/>
    <w:rsid w:val="00CD2F66"/>
    <w:rsid w:val="00CD3402"/>
    <w:rsid w:val="00CD406A"/>
    <w:rsid w:val="00CD49CA"/>
    <w:rsid w:val="00CD5C7B"/>
    <w:rsid w:val="00CE1A33"/>
    <w:rsid w:val="00CE4DBE"/>
    <w:rsid w:val="00CE56CD"/>
    <w:rsid w:val="00CE7C9D"/>
    <w:rsid w:val="00CF0A8A"/>
    <w:rsid w:val="00CF2A55"/>
    <w:rsid w:val="00CF3FD2"/>
    <w:rsid w:val="00D0047F"/>
    <w:rsid w:val="00D0171C"/>
    <w:rsid w:val="00D03AD3"/>
    <w:rsid w:val="00D06D6F"/>
    <w:rsid w:val="00D10DC9"/>
    <w:rsid w:val="00D10F12"/>
    <w:rsid w:val="00D1318E"/>
    <w:rsid w:val="00D13EAF"/>
    <w:rsid w:val="00D1425F"/>
    <w:rsid w:val="00D145E9"/>
    <w:rsid w:val="00D1524F"/>
    <w:rsid w:val="00D15DE6"/>
    <w:rsid w:val="00D1679B"/>
    <w:rsid w:val="00D176DA"/>
    <w:rsid w:val="00D179B5"/>
    <w:rsid w:val="00D17C57"/>
    <w:rsid w:val="00D232E9"/>
    <w:rsid w:val="00D23CE7"/>
    <w:rsid w:val="00D26134"/>
    <w:rsid w:val="00D2679A"/>
    <w:rsid w:val="00D3079B"/>
    <w:rsid w:val="00D307B0"/>
    <w:rsid w:val="00D314FC"/>
    <w:rsid w:val="00D32633"/>
    <w:rsid w:val="00D33C65"/>
    <w:rsid w:val="00D37854"/>
    <w:rsid w:val="00D43DD8"/>
    <w:rsid w:val="00D43E36"/>
    <w:rsid w:val="00D43EA2"/>
    <w:rsid w:val="00D449E2"/>
    <w:rsid w:val="00D44CC5"/>
    <w:rsid w:val="00D45E1E"/>
    <w:rsid w:val="00D460B5"/>
    <w:rsid w:val="00D47471"/>
    <w:rsid w:val="00D476DB"/>
    <w:rsid w:val="00D50093"/>
    <w:rsid w:val="00D51434"/>
    <w:rsid w:val="00D53618"/>
    <w:rsid w:val="00D5375B"/>
    <w:rsid w:val="00D5442E"/>
    <w:rsid w:val="00D55501"/>
    <w:rsid w:val="00D614BB"/>
    <w:rsid w:val="00D61673"/>
    <w:rsid w:val="00D624D7"/>
    <w:rsid w:val="00D6324F"/>
    <w:rsid w:val="00D64F03"/>
    <w:rsid w:val="00D708A3"/>
    <w:rsid w:val="00D7107B"/>
    <w:rsid w:val="00D71FBD"/>
    <w:rsid w:val="00D740D4"/>
    <w:rsid w:val="00D74A7E"/>
    <w:rsid w:val="00D757B9"/>
    <w:rsid w:val="00D774F8"/>
    <w:rsid w:val="00D77C67"/>
    <w:rsid w:val="00D77CFA"/>
    <w:rsid w:val="00D802C4"/>
    <w:rsid w:val="00D80A29"/>
    <w:rsid w:val="00D80F49"/>
    <w:rsid w:val="00D816D2"/>
    <w:rsid w:val="00D83449"/>
    <w:rsid w:val="00D84D26"/>
    <w:rsid w:val="00D8637B"/>
    <w:rsid w:val="00D878E1"/>
    <w:rsid w:val="00D9141D"/>
    <w:rsid w:val="00D93032"/>
    <w:rsid w:val="00D95310"/>
    <w:rsid w:val="00D973EA"/>
    <w:rsid w:val="00DA0909"/>
    <w:rsid w:val="00DA0B6B"/>
    <w:rsid w:val="00DA4591"/>
    <w:rsid w:val="00DA5191"/>
    <w:rsid w:val="00DA755B"/>
    <w:rsid w:val="00DA7F19"/>
    <w:rsid w:val="00DB0CAA"/>
    <w:rsid w:val="00DB1A1E"/>
    <w:rsid w:val="00DB2740"/>
    <w:rsid w:val="00DB3542"/>
    <w:rsid w:val="00DB37A1"/>
    <w:rsid w:val="00DB3AE5"/>
    <w:rsid w:val="00DB3FDB"/>
    <w:rsid w:val="00DB4998"/>
    <w:rsid w:val="00DB6C06"/>
    <w:rsid w:val="00DB75E3"/>
    <w:rsid w:val="00DC1ECA"/>
    <w:rsid w:val="00DC2B86"/>
    <w:rsid w:val="00DC4227"/>
    <w:rsid w:val="00DC4324"/>
    <w:rsid w:val="00DC7FB8"/>
    <w:rsid w:val="00DD121E"/>
    <w:rsid w:val="00DD1D8C"/>
    <w:rsid w:val="00DD297B"/>
    <w:rsid w:val="00DD463E"/>
    <w:rsid w:val="00DD5185"/>
    <w:rsid w:val="00DD6217"/>
    <w:rsid w:val="00DE036D"/>
    <w:rsid w:val="00DE0439"/>
    <w:rsid w:val="00DE2DF6"/>
    <w:rsid w:val="00DE3EBB"/>
    <w:rsid w:val="00DE6546"/>
    <w:rsid w:val="00DE7331"/>
    <w:rsid w:val="00DE7A08"/>
    <w:rsid w:val="00DE7CA1"/>
    <w:rsid w:val="00DF147F"/>
    <w:rsid w:val="00DF18D9"/>
    <w:rsid w:val="00DF1E1D"/>
    <w:rsid w:val="00DF2237"/>
    <w:rsid w:val="00DF44E9"/>
    <w:rsid w:val="00DF4B10"/>
    <w:rsid w:val="00DF5B08"/>
    <w:rsid w:val="00DF5C05"/>
    <w:rsid w:val="00DF5EBC"/>
    <w:rsid w:val="00DF7EF7"/>
    <w:rsid w:val="00E02AB8"/>
    <w:rsid w:val="00E05AFE"/>
    <w:rsid w:val="00E05FEB"/>
    <w:rsid w:val="00E06FA8"/>
    <w:rsid w:val="00E07AC0"/>
    <w:rsid w:val="00E10BD3"/>
    <w:rsid w:val="00E11140"/>
    <w:rsid w:val="00E114A8"/>
    <w:rsid w:val="00E12910"/>
    <w:rsid w:val="00E12B66"/>
    <w:rsid w:val="00E12BCA"/>
    <w:rsid w:val="00E162E2"/>
    <w:rsid w:val="00E169F3"/>
    <w:rsid w:val="00E17836"/>
    <w:rsid w:val="00E2155C"/>
    <w:rsid w:val="00E2179E"/>
    <w:rsid w:val="00E21CAD"/>
    <w:rsid w:val="00E221A6"/>
    <w:rsid w:val="00E22849"/>
    <w:rsid w:val="00E240BA"/>
    <w:rsid w:val="00E2666C"/>
    <w:rsid w:val="00E27171"/>
    <w:rsid w:val="00E303F2"/>
    <w:rsid w:val="00E31344"/>
    <w:rsid w:val="00E31FED"/>
    <w:rsid w:val="00E3206C"/>
    <w:rsid w:val="00E32B44"/>
    <w:rsid w:val="00E32E48"/>
    <w:rsid w:val="00E3331E"/>
    <w:rsid w:val="00E33750"/>
    <w:rsid w:val="00E34145"/>
    <w:rsid w:val="00E34DD2"/>
    <w:rsid w:val="00E36E2A"/>
    <w:rsid w:val="00E41875"/>
    <w:rsid w:val="00E43457"/>
    <w:rsid w:val="00E4548E"/>
    <w:rsid w:val="00E45D64"/>
    <w:rsid w:val="00E47FAA"/>
    <w:rsid w:val="00E50530"/>
    <w:rsid w:val="00E51246"/>
    <w:rsid w:val="00E52C0D"/>
    <w:rsid w:val="00E52E1B"/>
    <w:rsid w:val="00E5327D"/>
    <w:rsid w:val="00E53C76"/>
    <w:rsid w:val="00E53F99"/>
    <w:rsid w:val="00E546AA"/>
    <w:rsid w:val="00E55382"/>
    <w:rsid w:val="00E56365"/>
    <w:rsid w:val="00E564E2"/>
    <w:rsid w:val="00E61786"/>
    <w:rsid w:val="00E61E99"/>
    <w:rsid w:val="00E62636"/>
    <w:rsid w:val="00E62809"/>
    <w:rsid w:val="00E66362"/>
    <w:rsid w:val="00E663CC"/>
    <w:rsid w:val="00E66A2A"/>
    <w:rsid w:val="00E677C2"/>
    <w:rsid w:val="00E70AD2"/>
    <w:rsid w:val="00E70CAB"/>
    <w:rsid w:val="00E72926"/>
    <w:rsid w:val="00E7450F"/>
    <w:rsid w:val="00E74AFE"/>
    <w:rsid w:val="00E75616"/>
    <w:rsid w:val="00E75732"/>
    <w:rsid w:val="00E75BA0"/>
    <w:rsid w:val="00E75CBB"/>
    <w:rsid w:val="00E804FD"/>
    <w:rsid w:val="00E80755"/>
    <w:rsid w:val="00E808D4"/>
    <w:rsid w:val="00E818D2"/>
    <w:rsid w:val="00E858DE"/>
    <w:rsid w:val="00E8619A"/>
    <w:rsid w:val="00E9210C"/>
    <w:rsid w:val="00E93784"/>
    <w:rsid w:val="00E95A51"/>
    <w:rsid w:val="00EA052A"/>
    <w:rsid w:val="00EA161E"/>
    <w:rsid w:val="00EA2300"/>
    <w:rsid w:val="00EA4078"/>
    <w:rsid w:val="00EA4315"/>
    <w:rsid w:val="00EA5011"/>
    <w:rsid w:val="00EB020A"/>
    <w:rsid w:val="00EB02DB"/>
    <w:rsid w:val="00EB1856"/>
    <w:rsid w:val="00EB1F59"/>
    <w:rsid w:val="00EB3685"/>
    <w:rsid w:val="00EB3CB3"/>
    <w:rsid w:val="00EB4C34"/>
    <w:rsid w:val="00EB5B4F"/>
    <w:rsid w:val="00EB6089"/>
    <w:rsid w:val="00EB6B9E"/>
    <w:rsid w:val="00EB7C9B"/>
    <w:rsid w:val="00EB7D11"/>
    <w:rsid w:val="00EB7E58"/>
    <w:rsid w:val="00EC2032"/>
    <w:rsid w:val="00EC3C96"/>
    <w:rsid w:val="00EC4252"/>
    <w:rsid w:val="00EC43A7"/>
    <w:rsid w:val="00EC546E"/>
    <w:rsid w:val="00EC5B98"/>
    <w:rsid w:val="00EC6595"/>
    <w:rsid w:val="00EC6EFC"/>
    <w:rsid w:val="00EC7934"/>
    <w:rsid w:val="00ED0FC8"/>
    <w:rsid w:val="00ED2183"/>
    <w:rsid w:val="00ED42B7"/>
    <w:rsid w:val="00ED4442"/>
    <w:rsid w:val="00ED4B69"/>
    <w:rsid w:val="00ED5324"/>
    <w:rsid w:val="00ED6557"/>
    <w:rsid w:val="00ED7D68"/>
    <w:rsid w:val="00EE0027"/>
    <w:rsid w:val="00EE0974"/>
    <w:rsid w:val="00EE0FCF"/>
    <w:rsid w:val="00EE4EF3"/>
    <w:rsid w:val="00EE70AA"/>
    <w:rsid w:val="00EF06C3"/>
    <w:rsid w:val="00EF088F"/>
    <w:rsid w:val="00EF0FD2"/>
    <w:rsid w:val="00EF1BE4"/>
    <w:rsid w:val="00EF2517"/>
    <w:rsid w:val="00EF317D"/>
    <w:rsid w:val="00EF38C1"/>
    <w:rsid w:val="00EF42DC"/>
    <w:rsid w:val="00EF55FA"/>
    <w:rsid w:val="00EF65CC"/>
    <w:rsid w:val="00EF696E"/>
    <w:rsid w:val="00F00F07"/>
    <w:rsid w:val="00F00FFC"/>
    <w:rsid w:val="00F01629"/>
    <w:rsid w:val="00F03202"/>
    <w:rsid w:val="00F03B0D"/>
    <w:rsid w:val="00F03FE0"/>
    <w:rsid w:val="00F1056A"/>
    <w:rsid w:val="00F10592"/>
    <w:rsid w:val="00F10D75"/>
    <w:rsid w:val="00F1200F"/>
    <w:rsid w:val="00F141F4"/>
    <w:rsid w:val="00F15149"/>
    <w:rsid w:val="00F16164"/>
    <w:rsid w:val="00F165DA"/>
    <w:rsid w:val="00F16B27"/>
    <w:rsid w:val="00F16BC8"/>
    <w:rsid w:val="00F17612"/>
    <w:rsid w:val="00F20E9C"/>
    <w:rsid w:val="00F223B3"/>
    <w:rsid w:val="00F224C3"/>
    <w:rsid w:val="00F233B8"/>
    <w:rsid w:val="00F23887"/>
    <w:rsid w:val="00F23B58"/>
    <w:rsid w:val="00F24B77"/>
    <w:rsid w:val="00F253B0"/>
    <w:rsid w:val="00F25D7B"/>
    <w:rsid w:val="00F271F8"/>
    <w:rsid w:val="00F2775F"/>
    <w:rsid w:val="00F3173C"/>
    <w:rsid w:val="00F32008"/>
    <w:rsid w:val="00F321EB"/>
    <w:rsid w:val="00F328CF"/>
    <w:rsid w:val="00F35752"/>
    <w:rsid w:val="00F36164"/>
    <w:rsid w:val="00F3647C"/>
    <w:rsid w:val="00F3655F"/>
    <w:rsid w:val="00F372A2"/>
    <w:rsid w:val="00F408B7"/>
    <w:rsid w:val="00F408D9"/>
    <w:rsid w:val="00F40BD4"/>
    <w:rsid w:val="00F40EB7"/>
    <w:rsid w:val="00F42F92"/>
    <w:rsid w:val="00F455CF"/>
    <w:rsid w:val="00F45CD0"/>
    <w:rsid w:val="00F46AE0"/>
    <w:rsid w:val="00F47383"/>
    <w:rsid w:val="00F4776F"/>
    <w:rsid w:val="00F47B7C"/>
    <w:rsid w:val="00F5053B"/>
    <w:rsid w:val="00F5172D"/>
    <w:rsid w:val="00F525CA"/>
    <w:rsid w:val="00F54ECF"/>
    <w:rsid w:val="00F54FFE"/>
    <w:rsid w:val="00F609B5"/>
    <w:rsid w:val="00F6261D"/>
    <w:rsid w:val="00F62E0B"/>
    <w:rsid w:val="00F6676C"/>
    <w:rsid w:val="00F66F38"/>
    <w:rsid w:val="00F70D33"/>
    <w:rsid w:val="00F7134A"/>
    <w:rsid w:val="00F71750"/>
    <w:rsid w:val="00F71930"/>
    <w:rsid w:val="00F7259F"/>
    <w:rsid w:val="00F72E8C"/>
    <w:rsid w:val="00F73545"/>
    <w:rsid w:val="00F74CEE"/>
    <w:rsid w:val="00F75B80"/>
    <w:rsid w:val="00F75CD5"/>
    <w:rsid w:val="00F82022"/>
    <w:rsid w:val="00F82E3B"/>
    <w:rsid w:val="00F82FB8"/>
    <w:rsid w:val="00F8485D"/>
    <w:rsid w:val="00F85B84"/>
    <w:rsid w:val="00F86A33"/>
    <w:rsid w:val="00F90719"/>
    <w:rsid w:val="00F907FC"/>
    <w:rsid w:val="00F90D01"/>
    <w:rsid w:val="00F91249"/>
    <w:rsid w:val="00F91C7A"/>
    <w:rsid w:val="00F91F4B"/>
    <w:rsid w:val="00F92989"/>
    <w:rsid w:val="00F95264"/>
    <w:rsid w:val="00F95519"/>
    <w:rsid w:val="00F9635C"/>
    <w:rsid w:val="00F97D23"/>
    <w:rsid w:val="00F97F38"/>
    <w:rsid w:val="00FA01A0"/>
    <w:rsid w:val="00FA23B3"/>
    <w:rsid w:val="00FA3601"/>
    <w:rsid w:val="00FA566F"/>
    <w:rsid w:val="00FA72DF"/>
    <w:rsid w:val="00FA74C8"/>
    <w:rsid w:val="00FB12D5"/>
    <w:rsid w:val="00FB14DC"/>
    <w:rsid w:val="00FB1700"/>
    <w:rsid w:val="00FB2276"/>
    <w:rsid w:val="00FB228F"/>
    <w:rsid w:val="00FB2958"/>
    <w:rsid w:val="00FB2AA5"/>
    <w:rsid w:val="00FB3DB3"/>
    <w:rsid w:val="00FB446C"/>
    <w:rsid w:val="00FB48CB"/>
    <w:rsid w:val="00FB4B54"/>
    <w:rsid w:val="00FB52C9"/>
    <w:rsid w:val="00FB551D"/>
    <w:rsid w:val="00FB685E"/>
    <w:rsid w:val="00FC12CA"/>
    <w:rsid w:val="00FC1E9E"/>
    <w:rsid w:val="00FC1F61"/>
    <w:rsid w:val="00FC1FBE"/>
    <w:rsid w:val="00FC2496"/>
    <w:rsid w:val="00FC5036"/>
    <w:rsid w:val="00FD04A4"/>
    <w:rsid w:val="00FD0BDA"/>
    <w:rsid w:val="00FD2042"/>
    <w:rsid w:val="00FE1C96"/>
    <w:rsid w:val="00FE339C"/>
    <w:rsid w:val="00FE4796"/>
    <w:rsid w:val="00FE5540"/>
    <w:rsid w:val="00FF0AF4"/>
    <w:rsid w:val="00FF0BEA"/>
    <w:rsid w:val="00FF40C2"/>
    <w:rsid w:val="00FF4B58"/>
    <w:rsid w:val="00FF4B7A"/>
    <w:rsid w:val="00FF4CF6"/>
    <w:rsid w:val="00FF76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EA0409F-FD53-4940-8367-CAFC86BE1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50AB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41D89"/>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41D89"/>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41D89"/>
    <w:pPr>
      <w:keepNext/>
      <w:spacing w:line="720" w:lineRule="atLeast"/>
      <w:outlineLvl w:val="2"/>
    </w:pPr>
    <w:rPr>
      <w:rFonts w:ascii="Calibri Light" w:eastAsia="新細明體" w:hAnsi="Calibri Light"/>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styleId="ad">
    <w:name w:val="Hyperlink"/>
    <w:uiPriority w:val="99"/>
    <w:unhideWhenUsed/>
    <w:rsid w:val="00A41D89"/>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E21CAD"/>
    <w:pPr>
      <w:tabs>
        <w:tab w:val="right" w:leader="hyphen" w:pos="8490"/>
      </w:tabs>
      <w:ind w:leftChars="0" w:hangingChars="200" w:hanging="200"/>
    </w:pPr>
    <w:rPr>
      <w:b/>
      <w:sz w:val="24"/>
    </w:rPr>
  </w:style>
  <w:style w:type="paragraph" w:styleId="23">
    <w:name w:val="toc 2"/>
    <w:basedOn w:val="a"/>
    <w:next w:val="a"/>
    <w:autoRedefine/>
    <w:uiPriority w:val="39"/>
    <w:rsid w:val="00EB1856"/>
    <w:pPr>
      <w:tabs>
        <w:tab w:val="right" w:leader="hyphen" w:pos="8490"/>
      </w:tabs>
      <w:ind w:leftChars="0" w:left="487" w:rightChars="150" w:right="425" w:hangingChars="200" w:hanging="487"/>
    </w:pPr>
    <w:rPr>
      <w:sz w:val="24"/>
    </w:rPr>
  </w:style>
  <w:style w:type="character" w:customStyle="1" w:styleId="a5">
    <w:name w:val="(一)(二)(三) 字元"/>
    <w:link w:val="a4"/>
    <w:rsid w:val="00A41D89"/>
    <w:rPr>
      <w:rFonts w:ascii="標楷體" w:eastAsia="標楷體"/>
      <w:snapToGrid w:val="0"/>
      <w:kern w:val="2"/>
      <w:sz w:val="28"/>
      <w:szCs w:val="28"/>
    </w:rPr>
  </w:style>
  <w:style w:type="character" w:customStyle="1" w:styleId="1230">
    <w:name w:val="1.2.3. 字元"/>
    <w:link w:val="123"/>
    <w:rsid w:val="00A41D89"/>
    <w:rPr>
      <w:rFonts w:ascii="標楷體" w:eastAsia="標楷體"/>
      <w:snapToGrid w:val="0"/>
      <w:kern w:val="2"/>
      <w:sz w:val="28"/>
      <w:szCs w:val="28"/>
    </w:rPr>
  </w:style>
  <w:style w:type="paragraph" w:styleId="ae">
    <w:name w:val="footnote text"/>
    <w:basedOn w:val="a"/>
    <w:link w:val="af"/>
    <w:uiPriority w:val="99"/>
    <w:unhideWhenUsed/>
    <w:rsid w:val="00A41D89"/>
    <w:pPr>
      <w:snapToGrid w:val="0"/>
      <w:jc w:val="left"/>
    </w:pPr>
    <w:rPr>
      <w:sz w:val="20"/>
      <w:szCs w:val="20"/>
    </w:rPr>
  </w:style>
  <w:style w:type="character" w:customStyle="1" w:styleId="af">
    <w:name w:val="註腳文字 字元"/>
    <w:link w:val="ae"/>
    <w:uiPriority w:val="99"/>
    <w:rsid w:val="00A41D89"/>
    <w:rPr>
      <w:rFonts w:ascii="標楷體" w:eastAsia="標楷體"/>
      <w:snapToGrid w:val="0"/>
      <w:kern w:val="2"/>
    </w:rPr>
  </w:style>
  <w:style w:type="character" w:styleId="af0">
    <w:name w:val="footnote reference"/>
    <w:unhideWhenUsed/>
    <w:rsid w:val="00A41D89"/>
    <w:rPr>
      <w:vertAlign w:val="superscript"/>
    </w:rPr>
  </w:style>
  <w:style w:type="character" w:customStyle="1" w:styleId="141">
    <w:name w:val="第二層(14號字) 字元1"/>
    <w:link w:val="14"/>
    <w:rsid w:val="00A41D89"/>
    <w:rPr>
      <w:rFonts w:ascii="標楷體" w:eastAsia="標楷體"/>
      <w:b/>
      <w:snapToGrid w:val="0"/>
      <w:kern w:val="2"/>
      <w:sz w:val="28"/>
    </w:rPr>
  </w:style>
  <w:style w:type="character" w:customStyle="1" w:styleId="201">
    <w:name w:val="表格內文(20行高) 字元"/>
    <w:link w:val="200"/>
    <w:rsid w:val="00A41D89"/>
    <w:rPr>
      <w:rFonts w:ascii="標楷體" w:eastAsia="標楷體"/>
      <w:snapToGrid w:val="0"/>
      <w:kern w:val="2"/>
      <w:sz w:val="24"/>
      <w:szCs w:val="28"/>
    </w:rPr>
  </w:style>
  <w:style w:type="character" w:customStyle="1" w:styleId="143">
    <w:name w:val="表格內文(14行高) 字元"/>
    <w:link w:val="142"/>
    <w:rsid w:val="00A41D89"/>
    <w:rPr>
      <w:rFonts w:ascii="標楷體" w:eastAsia="標楷體"/>
      <w:snapToGrid w:val="0"/>
      <w:kern w:val="2"/>
      <w:sz w:val="24"/>
      <w:szCs w:val="28"/>
    </w:rPr>
  </w:style>
  <w:style w:type="paragraph" w:styleId="HTML">
    <w:name w:val="HTML Preformatted"/>
    <w:basedOn w:val="a"/>
    <w:link w:val="HTML0"/>
    <w:uiPriority w:val="99"/>
    <w:unhideWhenUsed/>
    <w:rsid w:val="00A41D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A41D89"/>
    <w:rPr>
      <w:rFonts w:ascii="細明體" w:eastAsia="細明體" w:hAnsi="細明體" w:cs="細明體"/>
      <w:sz w:val="24"/>
      <w:szCs w:val="24"/>
    </w:rPr>
  </w:style>
  <w:style w:type="character" w:customStyle="1" w:styleId="22">
    <w:name w:val="(一)下內文縮2 字元"/>
    <w:link w:val="21"/>
    <w:rsid w:val="00A41D89"/>
    <w:rPr>
      <w:rFonts w:ascii="標楷體" w:eastAsia="標楷體"/>
      <w:snapToGrid w:val="0"/>
      <w:kern w:val="2"/>
      <w:sz w:val="28"/>
      <w:szCs w:val="28"/>
    </w:rPr>
  </w:style>
  <w:style w:type="character" w:customStyle="1" w:styleId="10">
    <w:name w:val="標題 1 字元"/>
    <w:link w:val="1"/>
    <w:uiPriority w:val="9"/>
    <w:rsid w:val="00A41D89"/>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41D89"/>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41D89"/>
    <w:rPr>
      <w:rFonts w:ascii="Calibri Light" w:eastAsia="新細明體" w:hAnsi="Calibri Light" w:cs="Times New Roman"/>
      <w:b/>
      <w:bCs/>
      <w:snapToGrid w:val="0"/>
      <w:kern w:val="2"/>
      <w:sz w:val="36"/>
      <w:szCs w:val="36"/>
    </w:rPr>
  </w:style>
  <w:style w:type="character" w:customStyle="1" w:styleId="145">
    <w:name w:val="第二層(14號字) 字元"/>
    <w:rsid w:val="006E7E51"/>
    <w:rPr>
      <w:rFonts w:ascii="標楷體" w:eastAsia="標楷體"/>
      <w:b/>
      <w:snapToGrid w:val="0"/>
      <w:kern w:val="2"/>
      <w:sz w:val="28"/>
    </w:rPr>
  </w:style>
  <w:style w:type="table" w:styleId="af1">
    <w:name w:val="Table Grid"/>
    <w:basedOn w:val="a1"/>
    <w:uiPriority w:val="59"/>
    <w:rsid w:val="00BD2CE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AA3B36"/>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AA3B36"/>
    <w:rPr>
      <w:rFonts w:ascii="Calibri Light" w:eastAsia="新細明體" w:hAnsi="Calibri Light" w:cs="Times New Roman"/>
      <w:snapToGrid w:val="0"/>
      <w:kern w:val="2"/>
      <w:sz w:val="18"/>
      <w:szCs w:val="18"/>
    </w:rPr>
  </w:style>
  <w:style w:type="paragraph" w:styleId="af4">
    <w:name w:val="footer"/>
    <w:basedOn w:val="a"/>
    <w:link w:val="af5"/>
    <w:uiPriority w:val="99"/>
    <w:semiHidden/>
    <w:unhideWhenUsed/>
    <w:rsid w:val="00EA4315"/>
    <w:pPr>
      <w:tabs>
        <w:tab w:val="center" w:pos="4153"/>
        <w:tab w:val="right" w:pos="8306"/>
      </w:tabs>
      <w:snapToGrid w:val="0"/>
    </w:pPr>
    <w:rPr>
      <w:sz w:val="20"/>
      <w:szCs w:val="20"/>
    </w:rPr>
  </w:style>
  <w:style w:type="character" w:customStyle="1" w:styleId="af5">
    <w:name w:val="頁尾 字元"/>
    <w:link w:val="af4"/>
    <w:uiPriority w:val="99"/>
    <w:semiHidden/>
    <w:rsid w:val="00EA4315"/>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9818">
      <w:bodyDiv w:val="1"/>
      <w:marLeft w:val="0"/>
      <w:marRight w:val="0"/>
      <w:marTop w:val="0"/>
      <w:marBottom w:val="0"/>
      <w:divBdr>
        <w:top w:val="none" w:sz="0" w:space="0" w:color="auto"/>
        <w:left w:val="none" w:sz="0" w:space="0" w:color="auto"/>
        <w:bottom w:val="none" w:sz="0" w:space="0" w:color="auto"/>
        <w:right w:val="none" w:sz="0" w:space="0" w:color="auto"/>
      </w:divBdr>
    </w:div>
    <w:div w:id="27417234">
      <w:bodyDiv w:val="1"/>
      <w:marLeft w:val="0"/>
      <w:marRight w:val="0"/>
      <w:marTop w:val="0"/>
      <w:marBottom w:val="0"/>
      <w:divBdr>
        <w:top w:val="none" w:sz="0" w:space="0" w:color="auto"/>
        <w:left w:val="none" w:sz="0" w:space="0" w:color="auto"/>
        <w:bottom w:val="none" w:sz="0" w:space="0" w:color="auto"/>
        <w:right w:val="none" w:sz="0" w:space="0" w:color="auto"/>
      </w:divBdr>
    </w:div>
    <w:div w:id="46104487">
      <w:bodyDiv w:val="1"/>
      <w:marLeft w:val="0"/>
      <w:marRight w:val="0"/>
      <w:marTop w:val="0"/>
      <w:marBottom w:val="0"/>
      <w:divBdr>
        <w:top w:val="none" w:sz="0" w:space="0" w:color="auto"/>
        <w:left w:val="none" w:sz="0" w:space="0" w:color="auto"/>
        <w:bottom w:val="none" w:sz="0" w:space="0" w:color="auto"/>
        <w:right w:val="none" w:sz="0" w:space="0" w:color="auto"/>
      </w:divBdr>
    </w:div>
    <w:div w:id="79720192">
      <w:bodyDiv w:val="1"/>
      <w:marLeft w:val="0"/>
      <w:marRight w:val="0"/>
      <w:marTop w:val="0"/>
      <w:marBottom w:val="0"/>
      <w:divBdr>
        <w:top w:val="none" w:sz="0" w:space="0" w:color="auto"/>
        <w:left w:val="none" w:sz="0" w:space="0" w:color="auto"/>
        <w:bottom w:val="none" w:sz="0" w:space="0" w:color="auto"/>
        <w:right w:val="none" w:sz="0" w:space="0" w:color="auto"/>
      </w:divBdr>
    </w:div>
    <w:div w:id="85467219">
      <w:bodyDiv w:val="1"/>
      <w:marLeft w:val="0"/>
      <w:marRight w:val="0"/>
      <w:marTop w:val="0"/>
      <w:marBottom w:val="0"/>
      <w:divBdr>
        <w:top w:val="none" w:sz="0" w:space="0" w:color="auto"/>
        <w:left w:val="none" w:sz="0" w:space="0" w:color="auto"/>
        <w:bottom w:val="none" w:sz="0" w:space="0" w:color="auto"/>
        <w:right w:val="none" w:sz="0" w:space="0" w:color="auto"/>
      </w:divBdr>
    </w:div>
    <w:div w:id="153228623">
      <w:bodyDiv w:val="1"/>
      <w:marLeft w:val="0"/>
      <w:marRight w:val="0"/>
      <w:marTop w:val="0"/>
      <w:marBottom w:val="0"/>
      <w:divBdr>
        <w:top w:val="none" w:sz="0" w:space="0" w:color="auto"/>
        <w:left w:val="none" w:sz="0" w:space="0" w:color="auto"/>
        <w:bottom w:val="none" w:sz="0" w:space="0" w:color="auto"/>
        <w:right w:val="none" w:sz="0" w:space="0" w:color="auto"/>
      </w:divBdr>
    </w:div>
    <w:div w:id="347100310">
      <w:bodyDiv w:val="1"/>
      <w:marLeft w:val="0"/>
      <w:marRight w:val="0"/>
      <w:marTop w:val="0"/>
      <w:marBottom w:val="0"/>
      <w:divBdr>
        <w:top w:val="none" w:sz="0" w:space="0" w:color="auto"/>
        <w:left w:val="none" w:sz="0" w:space="0" w:color="auto"/>
        <w:bottom w:val="none" w:sz="0" w:space="0" w:color="auto"/>
        <w:right w:val="none" w:sz="0" w:space="0" w:color="auto"/>
      </w:divBdr>
    </w:div>
    <w:div w:id="373775994">
      <w:bodyDiv w:val="1"/>
      <w:marLeft w:val="0"/>
      <w:marRight w:val="0"/>
      <w:marTop w:val="0"/>
      <w:marBottom w:val="0"/>
      <w:divBdr>
        <w:top w:val="none" w:sz="0" w:space="0" w:color="auto"/>
        <w:left w:val="none" w:sz="0" w:space="0" w:color="auto"/>
        <w:bottom w:val="none" w:sz="0" w:space="0" w:color="auto"/>
        <w:right w:val="none" w:sz="0" w:space="0" w:color="auto"/>
      </w:divBdr>
    </w:div>
    <w:div w:id="409618141">
      <w:bodyDiv w:val="1"/>
      <w:marLeft w:val="0"/>
      <w:marRight w:val="0"/>
      <w:marTop w:val="0"/>
      <w:marBottom w:val="0"/>
      <w:divBdr>
        <w:top w:val="none" w:sz="0" w:space="0" w:color="auto"/>
        <w:left w:val="none" w:sz="0" w:space="0" w:color="auto"/>
        <w:bottom w:val="none" w:sz="0" w:space="0" w:color="auto"/>
        <w:right w:val="none" w:sz="0" w:space="0" w:color="auto"/>
      </w:divBdr>
    </w:div>
    <w:div w:id="551770623">
      <w:bodyDiv w:val="1"/>
      <w:marLeft w:val="0"/>
      <w:marRight w:val="0"/>
      <w:marTop w:val="0"/>
      <w:marBottom w:val="0"/>
      <w:divBdr>
        <w:top w:val="none" w:sz="0" w:space="0" w:color="auto"/>
        <w:left w:val="none" w:sz="0" w:space="0" w:color="auto"/>
        <w:bottom w:val="none" w:sz="0" w:space="0" w:color="auto"/>
        <w:right w:val="none" w:sz="0" w:space="0" w:color="auto"/>
      </w:divBdr>
    </w:div>
    <w:div w:id="662666274">
      <w:bodyDiv w:val="1"/>
      <w:marLeft w:val="0"/>
      <w:marRight w:val="0"/>
      <w:marTop w:val="0"/>
      <w:marBottom w:val="0"/>
      <w:divBdr>
        <w:top w:val="none" w:sz="0" w:space="0" w:color="auto"/>
        <w:left w:val="none" w:sz="0" w:space="0" w:color="auto"/>
        <w:bottom w:val="none" w:sz="0" w:space="0" w:color="auto"/>
        <w:right w:val="none" w:sz="0" w:space="0" w:color="auto"/>
      </w:divBdr>
    </w:div>
    <w:div w:id="778793706">
      <w:bodyDiv w:val="1"/>
      <w:marLeft w:val="0"/>
      <w:marRight w:val="0"/>
      <w:marTop w:val="0"/>
      <w:marBottom w:val="0"/>
      <w:divBdr>
        <w:top w:val="none" w:sz="0" w:space="0" w:color="auto"/>
        <w:left w:val="none" w:sz="0" w:space="0" w:color="auto"/>
        <w:bottom w:val="none" w:sz="0" w:space="0" w:color="auto"/>
        <w:right w:val="none" w:sz="0" w:space="0" w:color="auto"/>
      </w:divBdr>
    </w:div>
    <w:div w:id="899098207">
      <w:bodyDiv w:val="1"/>
      <w:marLeft w:val="0"/>
      <w:marRight w:val="0"/>
      <w:marTop w:val="0"/>
      <w:marBottom w:val="0"/>
      <w:divBdr>
        <w:top w:val="none" w:sz="0" w:space="0" w:color="auto"/>
        <w:left w:val="none" w:sz="0" w:space="0" w:color="auto"/>
        <w:bottom w:val="none" w:sz="0" w:space="0" w:color="auto"/>
        <w:right w:val="none" w:sz="0" w:space="0" w:color="auto"/>
      </w:divBdr>
    </w:div>
    <w:div w:id="1354918167">
      <w:bodyDiv w:val="1"/>
      <w:marLeft w:val="0"/>
      <w:marRight w:val="0"/>
      <w:marTop w:val="0"/>
      <w:marBottom w:val="0"/>
      <w:divBdr>
        <w:top w:val="none" w:sz="0" w:space="0" w:color="auto"/>
        <w:left w:val="none" w:sz="0" w:space="0" w:color="auto"/>
        <w:bottom w:val="none" w:sz="0" w:space="0" w:color="auto"/>
        <w:right w:val="none" w:sz="0" w:space="0" w:color="auto"/>
      </w:divBdr>
    </w:div>
    <w:div w:id="1357078374">
      <w:bodyDiv w:val="1"/>
      <w:marLeft w:val="0"/>
      <w:marRight w:val="0"/>
      <w:marTop w:val="0"/>
      <w:marBottom w:val="0"/>
      <w:divBdr>
        <w:top w:val="none" w:sz="0" w:space="0" w:color="auto"/>
        <w:left w:val="none" w:sz="0" w:space="0" w:color="auto"/>
        <w:bottom w:val="none" w:sz="0" w:space="0" w:color="auto"/>
        <w:right w:val="none" w:sz="0" w:space="0" w:color="auto"/>
      </w:divBdr>
    </w:div>
    <w:div w:id="1803305309">
      <w:bodyDiv w:val="1"/>
      <w:marLeft w:val="0"/>
      <w:marRight w:val="0"/>
      <w:marTop w:val="0"/>
      <w:marBottom w:val="0"/>
      <w:divBdr>
        <w:top w:val="none" w:sz="0" w:space="0" w:color="auto"/>
        <w:left w:val="none" w:sz="0" w:space="0" w:color="auto"/>
        <w:bottom w:val="none" w:sz="0" w:space="0" w:color="auto"/>
        <w:right w:val="none" w:sz="0" w:space="0" w:color="auto"/>
      </w:divBdr>
    </w:div>
    <w:div w:id="211238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D1014-955E-4C9D-892D-A369B593D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5</Pages>
  <Words>356</Words>
  <Characters>2030</Characters>
  <Application>Microsoft Office Word</Application>
  <DocSecurity>0</DocSecurity>
  <Lines>16</Lines>
  <Paragraphs>4</Paragraphs>
  <ScaleCrop>false</ScaleCrop>
  <Company>HOME</Company>
  <LinksUpToDate>false</LinksUpToDate>
  <CharactersWithSpaces>2382</CharactersWithSpaces>
  <SharedDoc>false</SharedDoc>
  <HLinks>
    <vt:vector size="54" baseType="variant">
      <vt:variant>
        <vt:i4>1507391</vt:i4>
      </vt:variant>
      <vt:variant>
        <vt:i4>26</vt:i4>
      </vt:variant>
      <vt:variant>
        <vt:i4>0</vt:i4>
      </vt:variant>
      <vt:variant>
        <vt:i4>5</vt:i4>
      </vt:variant>
      <vt:variant>
        <vt:lpwstr/>
      </vt:variant>
      <vt:variant>
        <vt:lpwstr>_Toc182991507</vt:lpwstr>
      </vt:variant>
      <vt:variant>
        <vt:i4>1507391</vt:i4>
      </vt:variant>
      <vt:variant>
        <vt:i4>20</vt:i4>
      </vt:variant>
      <vt:variant>
        <vt:i4>0</vt:i4>
      </vt:variant>
      <vt:variant>
        <vt:i4>5</vt:i4>
      </vt:variant>
      <vt:variant>
        <vt:lpwstr/>
      </vt:variant>
      <vt:variant>
        <vt:lpwstr>_Toc182991506</vt:lpwstr>
      </vt:variant>
      <vt:variant>
        <vt:i4>1507391</vt:i4>
      </vt:variant>
      <vt:variant>
        <vt:i4>14</vt:i4>
      </vt:variant>
      <vt:variant>
        <vt:i4>0</vt:i4>
      </vt:variant>
      <vt:variant>
        <vt:i4>5</vt:i4>
      </vt:variant>
      <vt:variant>
        <vt:lpwstr/>
      </vt:variant>
      <vt:variant>
        <vt:lpwstr>_Toc182991505</vt:lpwstr>
      </vt:variant>
      <vt:variant>
        <vt:i4>1507391</vt:i4>
      </vt:variant>
      <vt:variant>
        <vt:i4>8</vt:i4>
      </vt:variant>
      <vt:variant>
        <vt:i4>0</vt:i4>
      </vt:variant>
      <vt:variant>
        <vt:i4>5</vt:i4>
      </vt:variant>
      <vt:variant>
        <vt:lpwstr/>
      </vt:variant>
      <vt:variant>
        <vt:lpwstr>_Toc182991504</vt:lpwstr>
      </vt:variant>
      <vt:variant>
        <vt:i4>1507391</vt:i4>
      </vt:variant>
      <vt:variant>
        <vt:i4>2</vt:i4>
      </vt:variant>
      <vt:variant>
        <vt:i4>0</vt:i4>
      </vt:variant>
      <vt:variant>
        <vt:i4>5</vt:i4>
      </vt:variant>
      <vt:variant>
        <vt:lpwstr/>
      </vt:variant>
      <vt:variant>
        <vt:lpwstr>_Toc182991503</vt:lpwstr>
      </vt:variant>
      <vt:variant>
        <vt:i4>-1663998634</vt:i4>
      </vt:variant>
      <vt:variant>
        <vt:i4>9</vt:i4>
      </vt:variant>
      <vt:variant>
        <vt:i4>0</vt:i4>
      </vt:variant>
      <vt:variant>
        <vt:i4>5</vt:i4>
      </vt:variant>
      <vt:variant>
        <vt:lpwstr>https://www.jcic.org.tw/main_member/fileRename.aspx?uid=1627&amp;fid=4640&amp;kid=2。查閱日期113年11月15</vt:lpwstr>
      </vt:variant>
      <vt:variant>
        <vt:lpwstr/>
      </vt:variant>
      <vt:variant>
        <vt:i4>1698124692</vt:i4>
      </vt:variant>
      <vt:variant>
        <vt:i4>6</vt:i4>
      </vt:variant>
      <vt:variant>
        <vt:i4>0</vt:i4>
      </vt:variant>
      <vt:variant>
        <vt:i4>5</vt:i4>
      </vt:variant>
      <vt:variant>
        <vt:lpwstr>https://www.unepfi.org/climate-change/net-zero-export-credit-agencies/，查閱日期113年11月18</vt:lpwstr>
      </vt:variant>
      <vt:variant>
        <vt:lpwstr/>
      </vt:variant>
      <vt:variant>
        <vt:i4>-586546619</vt:i4>
      </vt:variant>
      <vt:variant>
        <vt:i4>3</vt:i4>
      </vt:variant>
      <vt:variant>
        <vt:i4>0</vt:i4>
      </vt:variant>
      <vt:variant>
        <vt:i4>5</vt:i4>
      </vt:variant>
      <vt:variant>
        <vt:lpwstr>https://newsouthboundpolicy.trade.gov.tw/。查詢日期113</vt:lpwstr>
      </vt:variant>
      <vt:variant>
        <vt:lpwstr/>
      </vt:variant>
      <vt:variant>
        <vt:i4>-1030423169</vt:i4>
      </vt:variant>
      <vt:variant>
        <vt:i4>0</vt:i4>
      </vt:variant>
      <vt:variant>
        <vt:i4>0</vt:i4>
      </vt:variant>
      <vt:variant>
        <vt:i4>5</vt:i4>
      </vt:variant>
      <vt:variant>
        <vt:lpwstr>https://newsouthboundpolicy.trade.gov.tw/Content/Download/%E6%96%B0%E5%8D%97%E5%90%91%E6%94%BF%E7%AD%96%E5%B7%A5%E4%BD%9C%E8%A8%88%E7%95%AB.pdf。查閱日期：113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2024-11-18T03:36:00Z</cp:lastPrinted>
  <dcterms:created xsi:type="dcterms:W3CDTF">2024-11-21T03:29:00Z</dcterms:created>
  <dcterms:modified xsi:type="dcterms:W3CDTF">2024-11-21T03:29:00Z</dcterms:modified>
</cp:coreProperties>
</file>