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068" w:rsidRPr="00E608C5" w:rsidRDefault="00012068" w:rsidP="00012068">
      <w:pPr>
        <w:pStyle w:val="a9"/>
      </w:pPr>
      <w:bookmarkStart w:id="0" w:name="_GoBack"/>
      <w:bookmarkEnd w:id="0"/>
      <w:r w:rsidRPr="00FE7D49">
        <w:rPr>
          <w:rFonts w:hint="eastAsia"/>
          <w:w w:val="105"/>
        </w:rPr>
        <w:t>核能發電後端營運基金</w:t>
      </w:r>
      <w:r w:rsidR="00C26BC6">
        <w:rPr>
          <w:rFonts w:hint="eastAsia"/>
          <w:w w:val="105"/>
        </w:rPr>
        <w:t>114</w:t>
      </w:r>
      <w:r w:rsidRPr="00FE7D49">
        <w:rPr>
          <w:rFonts w:hint="eastAsia"/>
          <w:w w:val="105"/>
        </w:rPr>
        <w:t>年度預算評估報告</w:t>
      </w:r>
    </w:p>
    <w:p w:rsidR="00012068" w:rsidRDefault="00012068" w:rsidP="00012068">
      <w:pPr>
        <w:pStyle w:val="a7"/>
        <w:ind w:firstLine="566"/>
        <w:rPr>
          <w:rFonts w:hAnsi="標楷體"/>
        </w:rPr>
      </w:pPr>
      <w:r w:rsidRPr="00DD04C1">
        <w:rPr>
          <w:rFonts w:hint="eastAsia"/>
          <w:color w:val="000000"/>
        </w:rPr>
        <w:t>核能發電後端營運基金</w:t>
      </w:r>
      <w:r>
        <w:rPr>
          <w:rFonts w:hint="eastAsia"/>
          <w:color w:val="000000"/>
        </w:rPr>
        <w:t>(以下簡稱</w:t>
      </w:r>
      <w:r w:rsidRPr="0060269D">
        <w:rPr>
          <w:rFonts w:hint="eastAsia"/>
          <w:color w:val="000000"/>
        </w:rPr>
        <w:t>核後端基金</w:t>
      </w:r>
      <w:r>
        <w:rPr>
          <w:rFonts w:hint="eastAsia"/>
        </w:rPr>
        <w:t>)</w:t>
      </w:r>
      <w:r w:rsidR="00C26BC6">
        <w:rPr>
          <w:rFonts w:hint="eastAsia"/>
        </w:rPr>
        <w:t>114</w:t>
      </w:r>
      <w:r>
        <w:rPr>
          <w:rFonts w:hint="eastAsia"/>
        </w:rPr>
        <w:t>年度預算案編列基金來源</w:t>
      </w:r>
      <w:r w:rsidR="009239BF">
        <w:rPr>
          <w:rFonts w:hint="eastAsia"/>
        </w:rPr>
        <w:t>4</w:t>
      </w:r>
      <w:r w:rsidR="009239BF">
        <w:t>23</w:t>
      </w:r>
      <w:r w:rsidRPr="009B5BA0">
        <w:rPr>
          <w:rFonts w:hint="eastAsia"/>
        </w:rPr>
        <w:t>億</w:t>
      </w:r>
      <w:r w:rsidR="009239BF">
        <w:rPr>
          <w:rFonts w:hint="eastAsia"/>
        </w:rPr>
        <w:t>8</w:t>
      </w:r>
      <w:r w:rsidR="009239BF">
        <w:t>,185</w:t>
      </w:r>
      <w:r w:rsidRPr="009B5BA0">
        <w:rPr>
          <w:rFonts w:hint="eastAsia"/>
        </w:rPr>
        <w:t>萬</w:t>
      </w:r>
      <w:r w:rsidR="009239BF">
        <w:rPr>
          <w:rFonts w:hint="eastAsia"/>
        </w:rPr>
        <w:t>7</w:t>
      </w:r>
      <w:r w:rsidRPr="009B5BA0">
        <w:rPr>
          <w:rFonts w:hint="eastAsia"/>
        </w:rPr>
        <w:t>千元，基金用途</w:t>
      </w:r>
      <w:r w:rsidR="003968DA">
        <w:rPr>
          <w:rFonts w:hint="eastAsia"/>
        </w:rPr>
        <w:t>7</w:t>
      </w:r>
      <w:r w:rsidR="003968DA">
        <w:t>9</w:t>
      </w:r>
      <w:r w:rsidRPr="009B5BA0">
        <w:rPr>
          <w:rFonts w:hint="eastAsia"/>
        </w:rPr>
        <w:t>億</w:t>
      </w:r>
      <w:r w:rsidR="003968DA">
        <w:rPr>
          <w:rFonts w:hint="eastAsia"/>
        </w:rPr>
        <w:t>9</w:t>
      </w:r>
      <w:r w:rsidR="003968DA">
        <w:t>,064</w:t>
      </w:r>
      <w:r w:rsidRPr="009B5BA0">
        <w:rPr>
          <w:rFonts w:hint="eastAsia"/>
        </w:rPr>
        <w:t>萬</w:t>
      </w:r>
      <w:r w:rsidR="003968DA">
        <w:rPr>
          <w:rFonts w:hint="eastAsia"/>
        </w:rPr>
        <w:t>9</w:t>
      </w:r>
      <w:r w:rsidRPr="009B5BA0">
        <w:rPr>
          <w:rFonts w:hint="eastAsia"/>
        </w:rPr>
        <w:t>千元，本期賸餘</w:t>
      </w:r>
      <w:r w:rsidR="003968DA">
        <w:rPr>
          <w:rFonts w:hint="eastAsia"/>
        </w:rPr>
        <w:t>3</w:t>
      </w:r>
      <w:r w:rsidR="003968DA">
        <w:t>43</w:t>
      </w:r>
      <w:r w:rsidRPr="009B5BA0">
        <w:rPr>
          <w:rFonts w:hint="eastAsia"/>
        </w:rPr>
        <w:t>億</w:t>
      </w:r>
      <w:r w:rsidR="003968DA">
        <w:rPr>
          <w:rFonts w:hint="eastAsia"/>
        </w:rPr>
        <w:t>9</w:t>
      </w:r>
      <w:r w:rsidR="003968DA">
        <w:t>,120</w:t>
      </w:r>
      <w:r w:rsidRPr="009B5BA0">
        <w:rPr>
          <w:rFonts w:hint="eastAsia"/>
        </w:rPr>
        <w:t>萬</w:t>
      </w:r>
      <w:r w:rsidR="003968DA">
        <w:rPr>
          <w:rFonts w:hint="eastAsia"/>
        </w:rPr>
        <w:t>8</w:t>
      </w:r>
      <w:r>
        <w:rPr>
          <w:rFonts w:hint="eastAsia"/>
        </w:rPr>
        <w:t>千</w:t>
      </w:r>
      <w:r w:rsidRPr="009B5BA0">
        <w:rPr>
          <w:rFonts w:hint="eastAsia"/>
        </w:rPr>
        <w:t>元，較11</w:t>
      </w:r>
      <w:r w:rsidR="003968DA">
        <w:t>3</w:t>
      </w:r>
      <w:r w:rsidRPr="009B5BA0">
        <w:rPr>
          <w:rFonts w:hint="eastAsia"/>
        </w:rPr>
        <w:t>年度預算賸餘</w:t>
      </w:r>
      <w:r>
        <w:rPr>
          <w:rFonts w:hint="eastAsia"/>
        </w:rPr>
        <w:t>增加</w:t>
      </w:r>
      <w:r w:rsidR="003968DA">
        <w:rPr>
          <w:rFonts w:hint="eastAsia"/>
        </w:rPr>
        <w:t>1</w:t>
      </w:r>
      <w:r w:rsidR="003968DA">
        <w:t>40</w:t>
      </w:r>
      <w:r w:rsidRPr="009B5BA0">
        <w:rPr>
          <w:rFonts w:hint="eastAsia"/>
        </w:rPr>
        <w:t>億</w:t>
      </w:r>
      <w:r w:rsidR="003968DA">
        <w:rPr>
          <w:rFonts w:hint="eastAsia"/>
        </w:rPr>
        <w:t>6</w:t>
      </w:r>
      <w:r w:rsidR="003968DA">
        <w:t>,879</w:t>
      </w:r>
      <w:r w:rsidRPr="009B5BA0">
        <w:rPr>
          <w:rFonts w:hint="eastAsia"/>
        </w:rPr>
        <w:t>萬</w:t>
      </w:r>
      <w:r w:rsidR="003968DA">
        <w:rPr>
          <w:rFonts w:hint="eastAsia"/>
        </w:rPr>
        <w:t>3</w:t>
      </w:r>
      <w:r w:rsidRPr="009B5BA0">
        <w:rPr>
          <w:rFonts w:hint="eastAsia"/>
        </w:rPr>
        <w:t>千元</w:t>
      </w:r>
      <w:r w:rsidR="003968DA" w:rsidRPr="009B5BA0">
        <w:rPr>
          <w:rFonts w:hint="eastAsia"/>
        </w:rPr>
        <w:t>（</w:t>
      </w:r>
      <w:r w:rsidR="003968DA">
        <w:rPr>
          <w:rFonts w:hint="eastAsia"/>
        </w:rPr>
        <w:t>增</w:t>
      </w:r>
      <w:r w:rsidR="003968DA" w:rsidRPr="009B5BA0">
        <w:rPr>
          <w:rFonts w:hint="eastAsia"/>
        </w:rPr>
        <w:t>幅</w:t>
      </w:r>
      <w:r w:rsidR="003968DA">
        <w:rPr>
          <w:rFonts w:hint="eastAsia"/>
        </w:rPr>
        <w:t>6</w:t>
      </w:r>
      <w:r w:rsidR="003968DA">
        <w:t>9.23</w:t>
      </w:r>
      <w:r w:rsidR="003968DA" w:rsidRPr="009B5BA0">
        <w:rPr>
          <w:rFonts w:hint="eastAsia"/>
        </w:rPr>
        <w:t>%）</w:t>
      </w:r>
      <w:r w:rsidRPr="009B5BA0">
        <w:rPr>
          <w:rFonts w:hint="eastAsia"/>
        </w:rPr>
        <w:t>。</w:t>
      </w:r>
      <w:r>
        <w:rPr>
          <w:rFonts w:hint="eastAsia"/>
        </w:rPr>
        <w:t>謹</w:t>
      </w:r>
      <w:r w:rsidRPr="0007200A">
        <w:rPr>
          <w:rFonts w:hint="eastAsia"/>
        </w:rPr>
        <w:t>就</w:t>
      </w:r>
      <w:r>
        <w:rPr>
          <w:rFonts w:hint="eastAsia"/>
        </w:rPr>
        <w:t>核後端基金</w:t>
      </w:r>
      <w:r w:rsidR="00C26BC6">
        <w:rPr>
          <w:rFonts w:hint="eastAsia"/>
        </w:rPr>
        <w:t>114</w:t>
      </w:r>
      <w:r>
        <w:rPr>
          <w:rFonts w:hint="eastAsia"/>
        </w:rPr>
        <w:t>年度</w:t>
      </w:r>
      <w:r w:rsidRPr="0007200A">
        <w:rPr>
          <w:rFonts w:hint="eastAsia"/>
        </w:rPr>
        <w:t>預算</w:t>
      </w:r>
      <w:r>
        <w:rPr>
          <w:rFonts w:hint="eastAsia"/>
        </w:rPr>
        <w:t>案</w:t>
      </w:r>
      <w:r w:rsidRPr="0007200A">
        <w:rPr>
          <w:rFonts w:hint="eastAsia"/>
        </w:rPr>
        <w:t>評估如</w:t>
      </w:r>
      <w:r>
        <w:rPr>
          <w:rFonts w:hint="eastAsia"/>
        </w:rPr>
        <w:t>下</w:t>
      </w:r>
      <w:r>
        <w:rPr>
          <w:rFonts w:hAnsi="標楷體" w:hint="eastAsia"/>
        </w:rPr>
        <w:t>：</w:t>
      </w:r>
    </w:p>
    <w:p w:rsidR="00C07B45" w:rsidRPr="00D13DE7" w:rsidRDefault="00C07B45" w:rsidP="003D6900">
      <w:pPr>
        <w:pStyle w:val="14"/>
        <w:ind w:left="425" w:hangingChars="150" w:hanging="425"/>
        <w:rPr>
          <w:color w:val="000000"/>
        </w:rPr>
      </w:pPr>
      <w:bookmarkStart w:id="1" w:name="_Toc180742322"/>
      <w:r>
        <w:rPr>
          <w:rFonts w:hint="eastAsia"/>
        </w:rPr>
        <w:t>一、</w:t>
      </w:r>
      <w:r w:rsidR="00F73036">
        <w:rPr>
          <w:rFonts w:hint="eastAsia"/>
        </w:rPr>
        <w:t>經濟部於1</w:t>
      </w:r>
      <w:r w:rsidR="00F73036">
        <w:t>13</w:t>
      </w:r>
      <w:r w:rsidR="00F73036">
        <w:rPr>
          <w:rFonts w:hint="eastAsia"/>
        </w:rPr>
        <w:t>年</w:t>
      </w:r>
      <w:r w:rsidR="00F658B1">
        <w:rPr>
          <w:rFonts w:hint="eastAsia"/>
        </w:rPr>
        <w:t>1</w:t>
      </w:r>
      <w:r w:rsidR="00F658B1">
        <w:t>0</w:t>
      </w:r>
      <w:r w:rsidR="00F658B1">
        <w:rPr>
          <w:rFonts w:hint="eastAsia"/>
        </w:rPr>
        <w:t>月</w:t>
      </w:r>
      <w:r w:rsidR="00F73036">
        <w:rPr>
          <w:rFonts w:hint="eastAsia"/>
        </w:rPr>
        <w:t>核定</w:t>
      </w:r>
      <w:r w:rsidR="003968DA">
        <w:rPr>
          <w:rFonts w:hint="eastAsia"/>
        </w:rPr>
        <w:t>核能發電後端營運</w:t>
      </w:r>
      <w:r w:rsidR="00F73036">
        <w:rPr>
          <w:rFonts w:hint="eastAsia"/>
        </w:rPr>
        <w:t>總</w:t>
      </w:r>
      <w:r w:rsidR="003968DA">
        <w:rPr>
          <w:rFonts w:hint="eastAsia"/>
        </w:rPr>
        <w:t>費用</w:t>
      </w:r>
      <w:r w:rsidR="00F73036">
        <w:rPr>
          <w:rFonts w:hint="eastAsia"/>
        </w:rPr>
        <w:t>為</w:t>
      </w:r>
      <w:r w:rsidR="00F73036" w:rsidRPr="003D6900">
        <w:rPr>
          <w:rFonts w:hint="eastAsia"/>
        </w:rPr>
        <w:t>4</w:t>
      </w:r>
      <w:r w:rsidR="00F73036" w:rsidRPr="003D6900">
        <w:t>,774.69</w:t>
      </w:r>
      <w:r w:rsidR="00F73036" w:rsidRPr="003D6900">
        <w:rPr>
          <w:rFonts w:hint="eastAsia"/>
        </w:rPr>
        <w:t>億元</w:t>
      </w:r>
      <w:r w:rsidR="00F73036">
        <w:rPr>
          <w:rFonts w:hint="eastAsia"/>
        </w:rPr>
        <w:t>，較</w:t>
      </w:r>
      <w:r w:rsidR="003B33A4">
        <w:rPr>
          <w:rFonts w:hint="eastAsia"/>
        </w:rPr>
        <w:t>前次重估數</w:t>
      </w:r>
      <w:r w:rsidR="00FA4EEE" w:rsidRPr="00FA4EEE">
        <w:rPr>
          <w:rFonts w:hint="eastAsia"/>
        </w:rPr>
        <w:t>增加4</w:t>
      </w:r>
      <w:r w:rsidR="00FA4EEE" w:rsidRPr="00FA4EEE">
        <w:t>6.05</w:t>
      </w:r>
      <w:r w:rsidR="00FA4EEE" w:rsidRPr="00FA4EEE">
        <w:rPr>
          <w:rFonts w:hint="eastAsia"/>
        </w:rPr>
        <w:t>億元，</w:t>
      </w:r>
      <w:r w:rsidR="00FA4EEE">
        <w:rPr>
          <w:rFonts w:hint="eastAsia"/>
        </w:rPr>
        <w:t>允</w:t>
      </w:r>
      <w:r w:rsidR="0029488F">
        <w:rPr>
          <w:rFonts w:hint="eastAsia"/>
        </w:rPr>
        <w:t>宜</w:t>
      </w:r>
      <w:r w:rsidR="00F658B1">
        <w:rPr>
          <w:rFonts w:hint="eastAsia"/>
        </w:rPr>
        <w:t>促請台電公司</w:t>
      </w:r>
      <w:r w:rsidR="003B33A4">
        <w:rPr>
          <w:rFonts w:hint="eastAsia"/>
        </w:rPr>
        <w:t>依法</w:t>
      </w:r>
      <w:r w:rsidR="003D6900">
        <w:rPr>
          <w:rFonts w:hint="eastAsia"/>
        </w:rPr>
        <w:t>於</w:t>
      </w:r>
      <w:r w:rsidR="003D6900" w:rsidRPr="0057252A">
        <w:rPr>
          <w:rFonts w:hint="eastAsia"/>
        </w:rPr>
        <w:t>收繳期限</w:t>
      </w:r>
      <w:r w:rsidR="00FA4EEE">
        <w:rPr>
          <w:rFonts w:hint="eastAsia"/>
        </w:rPr>
        <w:t>(1</w:t>
      </w:r>
      <w:r w:rsidR="00FA4EEE">
        <w:t>14</w:t>
      </w:r>
      <w:r w:rsidR="00FA4EEE">
        <w:rPr>
          <w:rFonts w:hint="eastAsia"/>
        </w:rPr>
        <w:t>年)</w:t>
      </w:r>
      <w:r w:rsidR="0029488F">
        <w:rPr>
          <w:rFonts w:hint="eastAsia"/>
        </w:rPr>
        <w:t>內足額提</w:t>
      </w:r>
      <w:r>
        <w:rPr>
          <w:rFonts w:hint="eastAsia"/>
        </w:rPr>
        <w:t>撥，以</w:t>
      </w:r>
      <w:r w:rsidR="00AD2153">
        <w:rPr>
          <w:rFonts w:hint="eastAsia"/>
        </w:rPr>
        <w:t>因</w:t>
      </w:r>
      <w:r w:rsidR="009751D4">
        <w:rPr>
          <w:rFonts w:hint="eastAsia"/>
        </w:rPr>
        <w:t>應後續</w:t>
      </w:r>
      <w:r>
        <w:rPr>
          <w:rFonts w:hint="eastAsia"/>
        </w:rPr>
        <w:t>除役需求</w:t>
      </w:r>
      <w:bookmarkEnd w:id="1"/>
    </w:p>
    <w:p w:rsidR="00C07B45" w:rsidRPr="00E608C5" w:rsidRDefault="00C07B45" w:rsidP="00C07B45">
      <w:pPr>
        <w:ind w:left="566" w:firstLine="566"/>
        <w:rPr>
          <w:snapToGrid/>
        </w:rPr>
      </w:pPr>
      <w:r>
        <w:rPr>
          <w:rFonts w:hint="eastAsia"/>
        </w:rPr>
        <w:t>核後端基金</w:t>
      </w:r>
      <w:r w:rsidR="00C26BC6">
        <w:rPr>
          <w:rFonts w:hint="eastAsia"/>
        </w:rPr>
        <w:t>114</w:t>
      </w:r>
      <w:r>
        <w:rPr>
          <w:rFonts w:hint="eastAsia"/>
        </w:rPr>
        <w:t>年度預算案編列</w:t>
      </w:r>
      <w:r>
        <w:rPr>
          <w:rFonts w:hAnsi="標楷體" w:hint="eastAsia"/>
        </w:rPr>
        <w:t>「</w:t>
      </w:r>
      <w:r>
        <w:rPr>
          <w:rFonts w:hint="eastAsia"/>
        </w:rPr>
        <w:t>基金來源-核能發電後端營運提撥收入</w:t>
      </w:r>
      <w:r>
        <w:rPr>
          <w:rFonts w:hAnsi="標楷體" w:hint="eastAsia"/>
        </w:rPr>
        <w:t>」</w:t>
      </w:r>
      <w:r w:rsidR="00B05731">
        <w:rPr>
          <w:rFonts w:hAnsi="標楷體" w:hint="eastAsia"/>
        </w:rPr>
        <w:t>3</w:t>
      </w:r>
      <w:r w:rsidR="00B05731">
        <w:rPr>
          <w:rFonts w:hAnsi="標楷體"/>
        </w:rPr>
        <w:t>68</w:t>
      </w:r>
      <w:r>
        <w:rPr>
          <w:rFonts w:hint="eastAsia"/>
        </w:rPr>
        <w:t>億</w:t>
      </w:r>
      <w:r w:rsidR="00B05731">
        <w:rPr>
          <w:rFonts w:hint="eastAsia"/>
        </w:rPr>
        <w:t>6</w:t>
      </w:r>
      <w:r w:rsidR="00B05731">
        <w:t>,983</w:t>
      </w:r>
      <w:r w:rsidR="00B05731" w:rsidRPr="009B5BA0">
        <w:rPr>
          <w:rFonts w:hint="eastAsia"/>
        </w:rPr>
        <w:t>萬</w:t>
      </w:r>
      <w:r w:rsidR="00B05731">
        <w:rPr>
          <w:rFonts w:hint="eastAsia"/>
        </w:rPr>
        <w:t>9</w:t>
      </w:r>
      <w:r w:rsidR="00B05731" w:rsidRPr="009B5BA0">
        <w:rPr>
          <w:rFonts w:hint="eastAsia"/>
        </w:rPr>
        <w:t>千元</w:t>
      </w:r>
      <w:r>
        <w:rPr>
          <w:rFonts w:hint="eastAsia"/>
        </w:rPr>
        <w:t>，</w:t>
      </w:r>
      <w:r w:rsidR="00661128">
        <w:rPr>
          <w:rFonts w:hint="eastAsia"/>
        </w:rPr>
        <w:t>其中</w:t>
      </w:r>
      <w:r w:rsidR="00B05731">
        <w:rPr>
          <w:rFonts w:hint="eastAsia"/>
        </w:rPr>
        <w:t>包含每年固定年金提撥2</w:t>
      </w:r>
      <w:r w:rsidR="00B05731">
        <w:t>16</w:t>
      </w:r>
      <w:r w:rsidR="00B05731">
        <w:rPr>
          <w:rFonts w:hint="eastAsia"/>
        </w:rPr>
        <w:t>億6</w:t>
      </w:r>
      <w:r w:rsidR="00F1421D">
        <w:t>,</w:t>
      </w:r>
      <w:r w:rsidR="00B05731">
        <w:t>920</w:t>
      </w:r>
      <w:r w:rsidR="00B05731">
        <w:rPr>
          <w:rFonts w:hint="eastAsia"/>
        </w:rPr>
        <w:t>萬元，係依核能發電後端營運基金費用收取辦法第2條規定，依每年平均分攤固定金額方式提撥，擬向台</w:t>
      </w:r>
      <w:r w:rsidR="000F6519">
        <w:rPr>
          <w:rFonts w:hint="eastAsia"/>
        </w:rPr>
        <w:t>灣</w:t>
      </w:r>
      <w:r w:rsidR="00B05731">
        <w:rPr>
          <w:rFonts w:hint="eastAsia"/>
        </w:rPr>
        <w:t>電</w:t>
      </w:r>
      <w:r w:rsidR="000F6519">
        <w:rPr>
          <w:rFonts w:hint="eastAsia"/>
        </w:rPr>
        <w:t>力股份有限</w:t>
      </w:r>
      <w:r w:rsidR="00B05731">
        <w:rPr>
          <w:rFonts w:hint="eastAsia"/>
        </w:rPr>
        <w:t>公司</w:t>
      </w:r>
      <w:r w:rsidR="000F6519">
        <w:rPr>
          <w:rFonts w:hint="eastAsia"/>
        </w:rPr>
        <w:t>(以下稱台電公司)</w:t>
      </w:r>
      <w:r w:rsidR="00B05731">
        <w:rPr>
          <w:rFonts w:hint="eastAsia"/>
        </w:rPr>
        <w:t>收取之費用，以及1</w:t>
      </w:r>
      <w:r w:rsidR="00B05731">
        <w:t>07</w:t>
      </w:r>
      <w:r w:rsidR="00B05731">
        <w:rPr>
          <w:rFonts w:hint="eastAsia"/>
        </w:rPr>
        <w:t>及1</w:t>
      </w:r>
      <w:r w:rsidR="00B05731">
        <w:t>08</w:t>
      </w:r>
      <w:r w:rsidR="00B05731">
        <w:rPr>
          <w:rFonts w:hint="eastAsia"/>
        </w:rPr>
        <w:t>年度</w:t>
      </w:r>
      <w:r w:rsidR="008613C1">
        <w:rPr>
          <w:rFonts w:hint="eastAsia"/>
        </w:rPr>
        <w:t>台電公司</w:t>
      </w:r>
      <w:r w:rsidR="00661128">
        <w:rPr>
          <w:rFonts w:hint="eastAsia"/>
        </w:rPr>
        <w:t>未</w:t>
      </w:r>
      <w:r w:rsidR="00E45C11">
        <w:rPr>
          <w:rFonts w:hint="eastAsia"/>
        </w:rPr>
        <w:t>足</w:t>
      </w:r>
      <w:r w:rsidR="00661128">
        <w:rPr>
          <w:rFonts w:hint="eastAsia"/>
        </w:rPr>
        <w:t>額提撥數</w:t>
      </w:r>
      <w:r w:rsidR="00B05731">
        <w:rPr>
          <w:rFonts w:hint="eastAsia"/>
        </w:rPr>
        <w:t>1</w:t>
      </w:r>
      <w:r w:rsidR="00B05731">
        <w:t>52</w:t>
      </w:r>
      <w:r w:rsidR="00B05731">
        <w:rPr>
          <w:rFonts w:hint="eastAsia"/>
        </w:rPr>
        <w:t>億6</w:t>
      </w:r>
      <w:r w:rsidR="00B05731">
        <w:t>3</w:t>
      </w:r>
      <w:r w:rsidR="00B05731">
        <w:rPr>
          <w:rFonts w:hint="eastAsia"/>
        </w:rPr>
        <w:t>萬9千元</w:t>
      </w:r>
      <w:r w:rsidR="0021673E">
        <w:rPr>
          <w:rStyle w:val="af0"/>
        </w:rPr>
        <w:footnoteReference w:id="1"/>
      </w:r>
      <w:r>
        <w:rPr>
          <w:rFonts w:hint="eastAsia"/>
        </w:rPr>
        <w:t>。經查</w:t>
      </w:r>
      <w:r>
        <w:rPr>
          <w:rFonts w:hAnsi="標楷體" w:hint="eastAsia"/>
        </w:rPr>
        <w:t>：</w:t>
      </w:r>
    </w:p>
    <w:p w:rsidR="00C07B45" w:rsidRPr="00F01B77" w:rsidRDefault="00C07B45" w:rsidP="00C07B45">
      <w:pPr>
        <w:pStyle w:val="a4"/>
        <w:ind w:left="849" w:hanging="283"/>
        <w:rPr>
          <w:b/>
        </w:rPr>
      </w:pPr>
      <w:r w:rsidRPr="00F01B77">
        <w:rPr>
          <w:rFonts w:hint="eastAsia"/>
          <w:b/>
        </w:rPr>
        <w:t>(一)核能發電後端營運費用</w:t>
      </w:r>
      <w:r w:rsidR="00CD3A5C">
        <w:rPr>
          <w:rFonts w:hint="eastAsia"/>
          <w:b/>
        </w:rPr>
        <w:t>於核能機組運轉期間</w:t>
      </w:r>
      <w:r w:rsidRPr="00F01B77">
        <w:rPr>
          <w:rFonts w:hint="eastAsia"/>
          <w:b/>
        </w:rPr>
        <w:t>，以每年平均分攤固定金額方式提撥，</w:t>
      </w:r>
      <w:r>
        <w:rPr>
          <w:rFonts w:hint="eastAsia"/>
          <w:b/>
        </w:rPr>
        <w:t>繳交至114年止，</w:t>
      </w:r>
      <w:r w:rsidR="00661128">
        <w:rPr>
          <w:rFonts w:hint="eastAsia"/>
          <w:b/>
        </w:rPr>
        <w:t>並</w:t>
      </w:r>
      <w:r w:rsidRPr="00F01B77">
        <w:rPr>
          <w:rFonts w:hint="eastAsia"/>
          <w:b/>
        </w:rPr>
        <w:t>應每隔5年進行重估，</w:t>
      </w:r>
      <w:r w:rsidR="009127F8">
        <w:rPr>
          <w:rFonts w:hint="eastAsia"/>
          <w:b/>
        </w:rPr>
        <w:t>俾</w:t>
      </w:r>
      <w:r w:rsidR="009127F8" w:rsidRPr="009127F8">
        <w:rPr>
          <w:rFonts w:hint="eastAsia"/>
          <w:b/>
        </w:rPr>
        <w:t>精準反映國內核廢料處理現況與費用總需求</w:t>
      </w:r>
    </w:p>
    <w:p w:rsidR="00CD3A5C" w:rsidRDefault="00CD3A5C" w:rsidP="00C07B45">
      <w:pPr>
        <w:pStyle w:val="21"/>
        <w:ind w:left="850" w:firstLine="566"/>
      </w:pPr>
      <w:r w:rsidRPr="00CD3A5C">
        <w:rPr>
          <w:rFonts w:hint="eastAsia"/>
        </w:rPr>
        <w:t>電業法第89條規定：「發電業設有核能發電廠者，於其核能發電廠營運期間，應提撥充足之費用，充作核能發電後端營運基金，作為放射性廢棄物處理、運送、貯存、最終處置、除</w:t>
      </w:r>
      <w:r w:rsidRPr="00CD3A5C">
        <w:rPr>
          <w:rFonts w:hint="eastAsia"/>
        </w:rPr>
        <w:lastRenderedPageBreak/>
        <w:t>役及必要之回饋措施等所需後端處理與處置費經費。」</w:t>
      </w:r>
      <w:r w:rsidR="00FF0E83" w:rsidRPr="00FF0E83">
        <w:rPr>
          <w:rFonts w:hint="eastAsia"/>
        </w:rPr>
        <w:t>「前項費用之計算公式、繳交期限、收取程序及其他應遵行事項之辦法，由中央主管機關定之。」</w:t>
      </w:r>
    </w:p>
    <w:p w:rsidR="00FF0E83" w:rsidRDefault="00C07B45" w:rsidP="00445C77">
      <w:pPr>
        <w:pStyle w:val="21"/>
        <w:spacing w:line="480" w:lineRule="exact"/>
        <w:ind w:left="850" w:firstLine="566"/>
      </w:pPr>
      <w:r>
        <w:rPr>
          <w:rFonts w:hint="eastAsia"/>
        </w:rPr>
        <w:t>經濟部</w:t>
      </w:r>
      <w:r w:rsidRPr="00CC52C2">
        <w:rPr>
          <w:rFonts w:hint="eastAsia"/>
        </w:rPr>
        <w:t>依電業法第</w:t>
      </w:r>
      <w:r>
        <w:rPr>
          <w:rFonts w:hint="eastAsia"/>
        </w:rPr>
        <w:t>89</w:t>
      </w:r>
      <w:r w:rsidRPr="00CC52C2">
        <w:rPr>
          <w:rFonts w:hint="eastAsia"/>
        </w:rPr>
        <w:t>條第</w:t>
      </w:r>
      <w:r>
        <w:rPr>
          <w:rFonts w:hint="eastAsia"/>
        </w:rPr>
        <w:t>2</w:t>
      </w:r>
      <w:r w:rsidRPr="00CC52C2">
        <w:rPr>
          <w:rFonts w:hint="eastAsia"/>
        </w:rPr>
        <w:t>項規定訂定核能發電後端營運費用</w:t>
      </w:r>
      <w:r>
        <w:rPr>
          <w:rFonts w:hint="eastAsia"/>
        </w:rPr>
        <w:t>收取</w:t>
      </w:r>
      <w:r w:rsidRPr="00CC52C2">
        <w:rPr>
          <w:rFonts w:hint="eastAsia"/>
        </w:rPr>
        <w:t>辦法</w:t>
      </w:r>
      <w:r>
        <w:rPr>
          <w:rFonts w:hint="eastAsia"/>
        </w:rPr>
        <w:t>，該辦法第2條規定</w:t>
      </w:r>
      <w:r w:rsidR="003B33A4">
        <w:rPr>
          <w:rFonts w:hint="eastAsia"/>
        </w:rPr>
        <w:t>略以</w:t>
      </w:r>
      <w:r>
        <w:rPr>
          <w:rFonts w:hint="eastAsia"/>
        </w:rPr>
        <w:t>，核能發電後端營運費用以每年平均分攤固定金額方式提撥，其金額由經濟部定之，並應於當年度1月、7月底前提撥至核能發電後端營運基金</w:t>
      </w:r>
      <w:r w:rsidR="001B1C8C">
        <w:rPr>
          <w:rFonts w:hint="eastAsia"/>
        </w:rPr>
        <w:t>；</w:t>
      </w:r>
      <w:r w:rsidR="003B33A4">
        <w:rPr>
          <w:rFonts w:hint="eastAsia"/>
        </w:rPr>
        <w:t>且該</w:t>
      </w:r>
      <w:r w:rsidR="001B1C8C">
        <w:rPr>
          <w:rFonts w:hint="eastAsia"/>
        </w:rPr>
        <w:t>款</w:t>
      </w:r>
      <w:r>
        <w:rPr>
          <w:rFonts w:hint="eastAsia"/>
        </w:rPr>
        <w:t>費用之繳交期限至民國114年止。同</w:t>
      </w:r>
      <w:r w:rsidRPr="00CC52C2">
        <w:rPr>
          <w:rFonts w:hint="eastAsia"/>
        </w:rPr>
        <w:t>辦法</w:t>
      </w:r>
      <w:r>
        <w:rPr>
          <w:rFonts w:hint="eastAsia"/>
        </w:rPr>
        <w:t>第3條規定，核能發電後端營運費用之計算，應由後端處理與處置機構每隔5年進行重估並提報經濟部核定之</w:t>
      </w:r>
      <w:r>
        <w:rPr>
          <w:rStyle w:val="af0"/>
        </w:rPr>
        <w:footnoteReference w:id="2"/>
      </w:r>
      <w:r w:rsidR="00946C5F">
        <w:rPr>
          <w:rFonts w:hint="eastAsia"/>
        </w:rPr>
        <w:t>，以</w:t>
      </w:r>
      <w:r w:rsidR="00946C5F" w:rsidRPr="00946C5F">
        <w:rPr>
          <w:rFonts w:hint="eastAsia"/>
        </w:rPr>
        <w:t>精準反映國內核廢料處理現況與費用總需求</w:t>
      </w:r>
      <w:r w:rsidR="006E40B5">
        <w:rPr>
          <w:rFonts w:hint="eastAsia"/>
        </w:rPr>
        <w:t>。</w:t>
      </w:r>
    </w:p>
    <w:p w:rsidR="003D64DC" w:rsidRPr="00397F80" w:rsidRDefault="003D64DC" w:rsidP="00B66169">
      <w:pPr>
        <w:pStyle w:val="a4"/>
        <w:spacing w:line="480" w:lineRule="exact"/>
        <w:ind w:left="849" w:hanging="283"/>
        <w:rPr>
          <w:b/>
        </w:rPr>
      </w:pPr>
      <w:r w:rsidRPr="00B66169">
        <w:rPr>
          <w:rFonts w:hint="eastAsia"/>
          <w:b/>
        </w:rPr>
        <w:t>(</w:t>
      </w:r>
      <w:r w:rsidRPr="00397F80">
        <w:rPr>
          <w:rFonts w:hint="eastAsia"/>
          <w:b/>
        </w:rPr>
        <w:t>二)</w:t>
      </w:r>
      <w:r w:rsidR="00F73036">
        <w:rPr>
          <w:rFonts w:hint="eastAsia"/>
          <w:b/>
        </w:rPr>
        <w:t>經濟部於1</w:t>
      </w:r>
      <w:r w:rsidR="00F73036">
        <w:rPr>
          <w:b/>
        </w:rPr>
        <w:t>13</w:t>
      </w:r>
      <w:r w:rsidR="00F73036">
        <w:rPr>
          <w:rFonts w:hint="eastAsia"/>
          <w:b/>
        </w:rPr>
        <w:t>年1</w:t>
      </w:r>
      <w:r w:rsidR="00F73036">
        <w:rPr>
          <w:b/>
        </w:rPr>
        <w:t>0</w:t>
      </w:r>
      <w:r w:rsidR="00F73036">
        <w:rPr>
          <w:rFonts w:hint="eastAsia"/>
          <w:b/>
        </w:rPr>
        <w:t>月核定核能發電後端營運總費用為</w:t>
      </w:r>
      <w:r w:rsidR="00103B68" w:rsidRPr="00103B68">
        <w:rPr>
          <w:rFonts w:hint="eastAsia"/>
          <w:b/>
        </w:rPr>
        <w:t>4</w:t>
      </w:r>
      <w:r w:rsidR="00103B68" w:rsidRPr="00103B68">
        <w:rPr>
          <w:b/>
        </w:rPr>
        <w:t>,774.69</w:t>
      </w:r>
      <w:r w:rsidR="00103B68" w:rsidRPr="00103B68">
        <w:rPr>
          <w:rFonts w:hint="eastAsia"/>
          <w:b/>
        </w:rPr>
        <w:t>億元，</w:t>
      </w:r>
      <w:r w:rsidR="00B66169" w:rsidRPr="00B66169">
        <w:rPr>
          <w:rFonts w:hint="eastAsia"/>
          <w:b/>
        </w:rPr>
        <w:t>較</w:t>
      </w:r>
      <w:r w:rsidR="00F73036">
        <w:rPr>
          <w:rFonts w:hint="eastAsia"/>
          <w:b/>
        </w:rPr>
        <w:t>1</w:t>
      </w:r>
      <w:r w:rsidR="00F73036">
        <w:rPr>
          <w:b/>
        </w:rPr>
        <w:t>09</w:t>
      </w:r>
      <w:r w:rsidR="00F73036">
        <w:rPr>
          <w:rFonts w:hint="eastAsia"/>
          <w:b/>
        </w:rPr>
        <w:t>年核定</w:t>
      </w:r>
      <w:r w:rsidR="00103B68">
        <w:rPr>
          <w:rFonts w:hint="eastAsia"/>
          <w:b/>
        </w:rPr>
        <w:t>(</w:t>
      </w:r>
      <w:r w:rsidR="00103B68">
        <w:rPr>
          <w:b/>
        </w:rPr>
        <w:t>10</w:t>
      </w:r>
      <w:r w:rsidR="00F73036">
        <w:rPr>
          <w:b/>
        </w:rPr>
        <w:t>6</w:t>
      </w:r>
      <w:r w:rsidR="00103B68">
        <w:rPr>
          <w:rFonts w:hint="eastAsia"/>
          <w:b/>
        </w:rPr>
        <w:t>年</w:t>
      </w:r>
      <w:r w:rsidR="00F73036">
        <w:rPr>
          <w:rFonts w:hint="eastAsia"/>
          <w:b/>
        </w:rPr>
        <w:t>版</w:t>
      </w:r>
      <w:r w:rsidR="00103B68">
        <w:rPr>
          <w:rFonts w:hint="eastAsia"/>
          <w:b/>
        </w:rPr>
        <w:t>)</w:t>
      </w:r>
      <w:r w:rsidR="00B66169" w:rsidRPr="00B66169">
        <w:rPr>
          <w:rFonts w:hint="eastAsia"/>
          <w:b/>
        </w:rPr>
        <w:t>增加4</w:t>
      </w:r>
      <w:r w:rsidR="00B66169" w:rsidRPr="00B66169">
        <w:rPr>
          <w:b/>
        </w:rPr>
        <w:t>6.05</w:t>
      </w:r>
      <w:r w:rsidR="00B66169" w:rsidRPr="00B66169">
        <w:rPr>
          <w:rFonts w:hint="eastAsia"/>
          <w:b/>
        </w:rPr>
        <w:t>億元，允宜</w:t>
      </w:r>
      <w:r w:rsidR="00F658B1">
        <w:rPr>
          <w:rFonts w:hint="eastAsia"/>
          <w:b/>
        </w:rPr>
        <w:t>促請台電公司</w:t>
      </w:r>
      <w:r w:rsidR="00B66169" w:rsidRPr="00B66169">
        <w:rPr>
          <w:rFonts w:hint="eastAsia"/>
          <w:b/>
        </w:rPr>
        <w:t>於收繳期限內足額提撥，以應除役需求</w:t>
      </w:r>
    </w:p>
    <w:p w:rsidR="0057252A" w:rsidRPr="0057252A" w:rsidRDefault="003366D9" w:rsidP="0057252A">
      <w:pPr>
        <w:pStyle w:val="21"/>
        <w:spacing w:line="480" w:lineRule="exact"/>
        <w:ind w:left="850" w:firstLine="566"/>
      </w:pPr>
      <w:r>
        <w:rPr>
          <w:rFonts w:hint="eastAsia"/>
        </w:rPr>
        <w:t>據核後端基金說明，</w:t>
      </w:r>
      <w:r w:rsidR="00A811FF">
        <w:rPr>
          <w:rFonts w:hint="eastAsia"/>
        </w:rPr>
        <w:t>經濟部109年9月3日核定</w:t>
      </w:r>
      <w:r>
        <w:rPr>
          <w:rFonts w:hint="eastAsia"/>
        </w:rPr>
        <w:t>之</w:t>
      </w:r>
      <w:r w:rsidR="00A811FF">
        <w:rPr>
          <w:rFonts w:hint="eastAsia"/>
        </w:rPr>
        <w:t>「核能後端營運總費用估算與每度核能發電分攤率計算」報告，</w:t>
      </w:r>
      <w:r w:rsidR="00397F80">
        <w:rPr>
          <w:rFonts w:hint="eastAsia"/>
        </w:rPr>
        <w:t>係</w:t>
      </w:r>
      <w:r w:rsidR="00AE59B4">
        <w:rPr>
          <w:rFonts w:hint="eastAsia"/>
        </w:rPr>
        <w:t>10</w:t>
      </w:r>
      <w:r w:rsidR="00397F80">
        <w:rPr>
          <w:rFonts w:hint="eastAsia"/>
        </w:rPr>
        <w:t>6年重估版</w:t>
      </w:r>
      <w:r w:rsidR="00233A09">
        <w:rPr>
          <w:rFonts w:hint="eastAsia"/>
        </w:rPr>
        <w:t>本</w:t>
      </w:r>
      <w:r w:rsidR="00397F80">
        <w:rPr>
          <w:rFonts w:hint="eastAsia"/>
        </w:rPr>
        <w:t>，</w:t>
      </w:r>
      <w:r w:rsidR="006E40B5">
        <w:rPr>
          <w:rFonts w:hint="eastAsia"/>
        </w:rPr>
        <w:t>依法應</w:t>
      </w:r>
      <w:r w:rsidR="00413E45">
        <w:rPr>
          <w:rFonts w:hint="eastAsia"/>
        </w:rPr>
        <w:t>於</w:t>
      </w:r>
      <w:r w:rsidR="006E40B5">
        <w:rPr>
          <w:rFonts w:hint="eastAsia"/>
        </w:rPr>
        <w:t>1</w:t>
      </w:r>
      <w:r w:rsidR="006E40B5">
        <w:t>11</w:t>
      </w:r>
      <w:r w:rsidR="006E40B5">
        <w:rPr>
          <w:rFonts w:hint="eastAsia"/>
        </w:rPr>
        <w:t>年辦理重估，</w:t>
      </w:r>
      <w:r w:rsidR="0021673E">
        <w:rPr>
          <w:rFonts w:hint="eastAsia"/>
        </w:rPr>
        <w:t>台電公司</w:t>
      </w:r>
      <w:r w:rsidR="00F658B1">
        <w:rPr>
          <w:rFonts w:hint="eastAsia"/>
        </w:rPr>
        <w:t>爰</w:t>
      </w:r>
      <w:r w:rsidR="0021673E">
        <w:rPr>
          <w:rFonts w:hint="eastAsia"/>
        </w:rPr>
        <w:t>於</w:t>
      </w:r>
      <w:r w:rsidR="00E538EF">
        <w:rPr>
          <w:rFonts w:hint="eastAsia"/>
        </w:rPr>
        <w:t>1</w:t>
      </w:r>
      <w:r w:rsidR="00E538EF">
        <w:t>12</w:t>
      </w:r>
      <w:r w:rsidR="00E538EF">
        <w:rPr>
          <w:rFonts w:hint="eastAsia"/>
        </w:rPr>
        <w:t>年9月2</w:t>
      </w:r>
      <w:r w:rsidR="00E538EF">
        <w:t>8</w:t>
      </w:r>
      <w:r w:rsidR="00E538EF">
        <w:rPr>
          <w:rFonts w:hint="eastAsia"/>
        </w:rPr>
        <w:t>日</w:t>
      </w:r>
      <w:r w:rsidR="00103B68">
        <w:rPr>
          <w:rFonts w:hint="eastAsia"/>
        </w:rPr>
        <w:t>將</w:t>
      </w:r>
      <w:r w:rsidR="0021673E">
        <w:rPr>
          <w:rFonts w:hint="eastAsia"/>
        </w:rPr>
        <w:t>重估</w:t>
      </w:r>
      <w:r w:rsidR="00103B68">
        <w:rPr>
          <w:rFonts w:hint="eastAsia"/>
        </w:rPr>
        <w:t>結果函送</w:t>
      </w:r>
      <w:r w:rsidR="00E538EF">
        <w:rPr>
          <w:rFonts w:hint="eastAsia"/>
        </w:rPr>
        <w:t>經濟部審議</w:t>
      </w:r>
      <w:r w:rsidR="00B66169">
        <w:rPr>
          <w:rFonts w:hint="eastAsia"/>
        </w:rPr>
        <w:t>，</w:t>
      </w:r>
      <w:r w:rsidR="00F73036">
        <w:rPr>
          <w:rFonts w:hint="eastAsia"/>
        </w:rPr>
        <w:t>經濟部於1</w:t>
      </w:r>
      <w:r w:rsidR="00F73036">
        <w:t>13</w:t>
      </w:r>
      <w:r w:rsidR="00F73036">
        <w:rPr>
          <w:rFonts w:hint="eastAsia"/>
        </w:rPr>
        <w:t>年1</w:t>
      </w:r>
      <w:r w:rsidR="00F73036">
        <w:t>0</w:t>
      </w:r>
      <w:r w:rsidR="00F73036">
        <w:rPr>
          <w:rFonts w:hint="eastAsia"/>
        </w:rPr>
        <w:t>月</w:t>
      </w:r>
      <w:r w:rsidR="00567AF4">
        <w:rPr>
          <w:rFonts w:hint="eastAsia"/>
        </w:rPr>
        <w:t>4日</w:t>
      </w:r>
      <w:r w:rsidR="00F73036">
        <w:rPr>
          <w:rFonts w:hint="eastAsia"/>
        </w:rPr>
        <w:t>核定</w:t>
      </w:r>
      <w:r w:rsidR="003D6900">
        <w:rPr>
          <w:rFonts w:hint="eastAsia"/>
        </w:rPr>
        <w:t>核</w:t>
      </w:r>
      <w:r w:rsidR="00F73036">
        <w:rPr>
          <w:rFonts w:hint="eastAsia"/>
        </w:rPr>
        <w:t>能發電</w:t>
      </w:r>
      <w:r w:rsidR="003D6900">
        <w:rPr>
          <w:rFonts w:hint="eastAsia"/>
        </w:rPr>
        <w:t>後端</w:t>
      </w:r>
      <w:r w:rsidR="0029488F">
        <w:rPr>
          <w:rFonts w:hint="eastAsia"/>
        </w:rPr>
        <w:t>營運總費用</w:t>
      </w:r>
      <w:r w:rsidR="003B33A4">
        <w:rPr>
          <w:rFonts w:hint="eastAsia"/>
        </w:rPr>
        <w:t>最新重估數</w:t>
      </w:r>
      <w:r w:rsidR="0029488F">
        <w:rPr>
          <w:rFonts w:hint="eastAsia"/>
        </w:rPr>
        <w:t>為4</w:t>
      </w:r>
      <w:r w:rsidR="00B66169">
        <w:t>,</w:t>
      </w:r>
      <w:r w:rsidR="0029488F">
        <w:t>774.69</w:t>
      </w:r>
      <w:r w:rsidR="0029488F">
        <w:rPr>
          <w:rFonts w:hint="eastAsia"/>
        </w:rPr>
        <w:t>億元</w:t>
      </w:r>
      <w:r w:rsidR="00B66169">
        <w:rPr>
          <w:rFonts w:hint="eastAsia"/>
        </w:rPr>
        <w:t>，較</w:t>
      </w:r>
      <w:r w:rsidR="00F73036">
        <w:rPr>
          <w:rFonts w:hint="eastAsia"/>
        </w:rPr>
        <w:t>1</w:t>
      </w:r>
      <w:r w:rsidR="00F73036">
        <w:t>09</w:t>
      </w:r>
      <w:r w:rsidR="00F73036">
        <w:rPr>
          <w:rFonts w:hint="eastAsia"/>
        </w:rPr>
        <w:t>年</w:t>
      </w:r>
      <w:r w:rsidR="00103B68">
        <w:rPr>
          <w:rFonts w:hint="eastAsia"/>
        </w:rPr>
        <w:t>(</w:t>
      </w:r>
      <w:r w:rsidR="00F73036">
        <w:t>106</w:t>
      </w:r>
      <w:r w:rsidR="00F73036">
        <w:rPr>
          <w:rFonts w:hint="eastAsia"/>
        </w:rPr>
        <w:t>年版</w:t>
      </w:r>
      <w:r w:rsidR="00103B68">
        <w:rPr>
          <w:rFonts w:hint="eastAsia"/>
        </w:rPr>
        <w:t>)</w:t>
      </w:r>
      <w:r w:rsidR="00B66169">
        <w:rPr>
          <w:rFonts w:hint="eastAsia"/>
        </w:rPr>
        <w:t>4</w:t>
      </w:r>
      <w:r w:rsidR="00B66169">
        <w:t>,728.64</w:t>
      </w:r>
      <w:r w:rsidR="00B66169">
        <w:rPr>
          <w:rFonts w:hint="eastAsia"/>
        </w:rPr>
        <w:t>億元增加4</w:t>
      </w:r>
      <w:r w:rsidR="00B66169">
        <w:t>6.05</w:t>
      </w:r>
      <w:r w:rsidR="00B66169">
        <w:rPr>
          <w:rFonts w:hint="eastAsia"/>
        </w:rPr>
        <w:t>億元(增幅0</w:t>
      </w:r>
      <w:r w:rsidR="00B66169">
        <w:t>.9</w:t>
      </w:r>
      <w:r w:rsidR="008613C1">
        <w:t>7</w:t>
      </w:r>
      <w:r w:rsidR="00B66169">
        <w:t>%</w:t>
      </w:r>
      <w:r w:rsidR="004E4135">
        <w:rPr>
          <w:rFonts w:hint="eastAsia"/>
        </w:rPr>
        <w:t>，</w:t>
      </w:r>
      <w:r w:rsidR="00F73036">
        <w:rPr>
          <w:rFonts w:hint="eastAsia"/>
        </w:rPr>
        <w:t>詳表1</w:t>
      </w:r>
      <w:r w:rsidR="00F73036">
        <w:t>)</w:t>
      </w:r>
      <w:r w:rsidR="00F658B1">
        <w:rPr>
          <w:rFonts w:hint="eastAsia"/>
        </w:rPr>
        <w:t>。又</w:t>
      </w:r>
      <w:r w:rsidR="00B66169">
        <w:rPr>
          <w:rFonts w:hint="eastAsia"/>
        </w:rPr>
        <w:t>核後端基金表示，</w:t>
      </w:r>
      <w:r w:rsidR="0057252A">
        <w:rPr>
          <w:rFonts w:hint="eastAsia"/>
        </w:rPr>
        <w:t>刻</w:t>
      </w:r>
      <w:r w:rsidR="00F658B1">
        <w:rPr>
          <w:rFonts w:hint="eastAsia"/>
        </w:rPr>
        <w:t>正依經濟部指示辦理後續</w:t>
      </w:r>
      <w:r w:rsidR="0057252A">
        <w:rPr>
          <w:rFonts w:hint="eastAsia"/>
        </w:rPr>
        <w:t>相關作業，</w:t>
      </w:r>
      <w:r w:rsidR="00F658B1">
        <w:rPr>
          <w:rFonts w:hint="eastAsia"/>
        </w:rPr>
        <w:t>台電公司將</w:t>
      </w:r>
      <w:r w:rsidR="0057252A">
        <w:rPr>
          <w:rFonts w:hint="eastAsia"/>
        </w:rPr>
        <w:t>依法於</w:t>
      </w:r>
      <w:r w:rsidR="0057252A" w:rsidRPr="0057252A">
        <w:rPr>
          <w:rFonts w:hint="eastAsia"/>
        </w:rPr>
        <w:t>114年屆期</w:t>
      </w:r>
      <w:r w:rsidR="0057252A">
        <w:rPr>
          <w:rFonts w:hint="eastAsia"/>
        </w:rPr>
        <w:t>前足額繳清</w:t>
      </w:r>
      <w:r w:rsidR="0057252A">
        <w:rPr>
          <w:rStyle w:val="af0"/>
        </w:rPr>
        <w:footnoteReference w:id="3"/>
      </w:r>
      <w:r w:rsidR="00103B68">
        <w:rPr>
          <w:rFonts w:hint="eastAsia"/>
        </w:rPr>
        <w:t>。鑒於</w:t>
      </w:r>
      <w:r w:rsidR="00A80529" w:rsidRPr="00F73036">
        <w:rPr>
          <w:rFonts w:hint="eastAsia"/>
        </w:rPr>
        <w:lastRenderedPageBreak/>
        <w:t>核能發電後端營運總費用</w:t>
      </w:r>
      <w:r w:rsidR="00103B68" w:rsidRPr="0057252A">
        <w:rPr>
          <w:rFonts w:hint="eastAsia"/>
        </w:rPr>
        <w:t>之收繳期限將於114年屆期</w:t>
      </w:r>
      <w:r w:rsidR="00103B68">
        <w:rPr>
          <w:rFonts w:hint="eastAsia"/>
        </w:rPr>
        <w:t>，</w:t>
      </w:r>
      <w:r w:rsidR="0057252A" w:rsidRPr="0057252A">
        <w:rPr>
          <w:rFonts w:hint="eastAsia"/>
        </w:rPr>
        <w:t>允宜</w:t>
      </w:r>
      <w:r w:rsidR="004F79E5">
        <w:rPr>
          <w:rFonts w:hint="eastAsia"/>
        </w:rPr>
        <w:t>促請台電公司</w:t>
      </w:r>
      <w:r w:rsidR="0057252A" w:rsidRPr="0057252A">
        <w:rPr>
          <w:rFonts w:hint="eastAsia"/>
        </w:rPr>
        <w:t>於收繳期限內足額提撥，以因應後續除役需求</w:t>
      </w:r>
      <w:r w:rsidR="004F79E5">
        <w:rPr>
          <w:rFonts w:hint="eastAsia"/>
        </w:rPr>
        <w:t>。</w:t>
      </w:r>
    </w:p>
    <w:p w:rsidR="001E3071" w:rsidRDefault="001E3071" w:rsidP="00445C77">
      <w:pPr>
        <w:spacing w:line="480" w:lineRule="exact"/>
        <w:ind w:left="566" w:firstLine="566"/>
      </w:pPr>
      <w:r>
        <w:rPr>
          <w:rFonts w:hint="eastAsia"/>
        </w:rPr>
        <w:t>綜上，</w:t>
      </w:r>
      <w:r w:rsidR="00F73036" w:rsidRPr="00F73036">
        <w:rPr>
          <w:rFonts w:hint="eastAsia"/>
        </w:rPr>
        <w:t>經濟部於1</w:t>
      </w:r>
      <w:r w:rsidR="00F73036" w:rsidRPr="00F73036">
        <w:t>13</w:t>
      </w:r>
      <w:r w:rsidR="00F73036" w:rsidRPr="00F73036">
        <w:rPr>
          <w:rFonts w:hint="eastAsia"/>
        </w:rPr>
        <w:t>年1</w:t>
      </w:r>
      <w:r w:rsidR="00F73036" w:rsidRPr="00F73036">
        <w:t>0</w:t>
      </w:r>
      <w:r w:rsidR="00F73036" w:rsidRPr="00F73036">
        <w:rPr>
          <w:rFonts w:hint="eastAsia"/>
        </w:rPr>
        <w:t>月核定核能發電後端營運總費用為4</w:t>
      </w:r>
      <w:r w:rsidR="00F73036" w:rsidRPr="00F73036">
        <w:t>,774.69</w:t>
      </w:r>
      <w:r w:rsidR="00F73036" w:rsidRPr="00F73036">
        <w:rPr>
          <w:rFonts w:hint="eastAsia"/>
        </w:rPr>
        <w:t>億元</w:t>
      </w:r>
      <w:r w:rsidR="0057252A" w:rsidRPr="00F73036">
        <w:rPr>
          <w:rFonts w:hint="eastAsia"/>
        </w:rPr>
        <w:t>，</w:t>
      </w:r>
      <w:r w:rsidR="00F73036">
        <w:rPr>
          <w:rFonts w:hint="eastAsia"/>
        </w:rPr>
        <w:t>較1</w:t>
      </w:r>
      <w:r w:rsidR="00F73036">
        <w:t>09</w:t>
      </w:r>
      <w:r w:rsidR="00F73036">
        <w:rPr>
          <w:rFonts w:hint="eastAsia"/>
        </w:rPr>
        <w:t>年(</w:t>
      </w:r>
      <w:r w:rsidR="00F73036">
        <w:t>106</w:t>
      </w:r>
      <w:r w:rsidR="00F73036">
        <w:rPr>
          <w:rFonts w:hint="eastAsia"/>
        </w:rPr>
        <w:t>年版)核定4</w:t>
      </w:r>
      <w:r w:rsidR="00F73036">
        <w:t>,728.64</w:t>
      </w:r>
      <w:r w:rsidR="00F73036">
        <w:rPr>
          <w:rFonts w:hint="eastAsia"/>
        </w:rPr>
        <w:t>億元</w:t>
      </w:r>
      <w:r w:rsidR="00103B68" w:rsidRPr="00103B68">
        <w:rPr>
          <w:rFonts w:hint="eastAsia"/>
          <w:spacing w:val="-4"/>
        </w:rPr>
        <w:t>增加4</w:t>
      </w:r>
      <w:r w:rsidR="00103B68" w:rsidRPr="00103B68">
        <w:rPr>
          <w:spacing w:val="-4"/>
        </w:rPr>
        <w:t>6.05</w:t>
      </w:r>
      <w:r w:rsidR="00103B68" w:rsidRPr="00103B68">
        <w:rPr>
          <w:rFonts w:hint="eastAsia"/>
          <w:spacing w:val="-4"/>
        </w:rPr>
        <w:t>億元</w:t>
      </w:r>
      <w:r w:rsidR="00103B68">
        <w:rPr>
          <w:rFonts w:hint="eastAsia"/>
          <w:spacing w:val="-4"/>
        </w:rPr>
        <w:t>，</w:t>
      </w:r>
      <w:r w:rsidR="0057252A">
        <w:rPr>
          <w:rFonts w:hint="eastAsia"/>
        </w:rPr>
        <w:t>鑒於</w:t>
      </w:r>
      <w:r w:rsidR="009F2DA3">
        <w:rPr>
          <w:rFonts w:hint="eastAsia"/>
        </w:rPr>
        <w:t>該</w:t>
      </w:r>
      <w:r w:rsidR="0057252A" w:rsidRPr="0057252A">
        <w:rPr>
          <w:rFonts w:hint="eastAsia"/>
        </w:rPr>
        <w:t>費用之收繳期限將於114年屆期，允宜</w:t>
      </w:r>
      <w:r w:rsidR="00F658B1">
        <w:rPr>
          <w:rFonts w:hint="eastAsia"/>
        </w:rPr>
        <w:t>促請台電公司</w:t>
      </w:r>
      <w:r w:rsidR="0057252A" w:rsidRPr="0057252A">
        <w:rPr>
          <w:rFonts w:hint="eastAsia"/>
        </w:rPr>
        <w:t>依法</w:t>
      </w:r>
      <w:r w:rsidR="00043A02">
        <w:rPr>
          <w:rFonts w:hint="eastAsia"/>
        </w:rPr>
        <w:t>於</w:t>
      </w:r>
      <w:r w:rsidR="0057252A" w:rsidRPr="0057252A">
        <w:rPr>
          <w:rFonts w:hint="eastAsia"/>
        </w:rPr>
        <w:t>收繳期限內足額提撥，以因應後續除役需求</w:t>
      </w:r>
      <w:r w:rsidR="0085508B" w:rsidRPr="0057252A">
        <w:rPr>
          <w:rFonts w:hint="eastAsia"/>
        </w:rPr>
        <w:t>。</w:t>
      </w:r>
    </w:p>
    <w:p w:rsidR="0029488F" w:rsidRDefault="0029488F" w:rsidP="00D961E8">
      <w:pPr>
        <w:adjustRightInd w:val="0"/>
        <w:spacing w:line="440" w:lineRule="exact"/>
        <w:ind w:leftChars="5" w:left="850" w:hangingChars="295" w:hanging="836"/>
        <w:rPr>
          <w:sz w:val="24"/>
        </w:rPr>
      </w:pPr>
      <w:bookmarkStart w:id="2" w:name="_Toc117244439"/>
      <w:r w:rsidRPr="00E77411">
        <w:rPr>
          <w:rFonts w:hint="eastAsia"/>
          <w:b/>
        </w:rPr>
        <w:t xml:space="preserve">表1  </w:t>
      </w:r>
      <w:r w:rsidR="009F2DA3">
        <w:rPr>
          <w:rFonts w:hint="eastAsia"/>
          <w:b/>
        </w:rPr>
        <w:t>經濟部於1</w:t>
      </w:r>
      <w:r w:rsidR="009F2DA3">
        <w:rPr>
          <w:b/>
        </w:rPr>
        <w:t>13</w:t>
      </w:r>
      <w:r w:rsidR="009F2DA3">
        <w:rPr>
          <w:rFonts w:hint="eastAsia"/>
          <w:b/>
        </w:rPr>
        <w:t>年1</w:t>
      </w:r>
      <w:r w:rsidR="009F2DA3">
        <w:rPr>
          <w:b/>
        </w:rPr>
        <w:t>0</w:t>
      </w:r>
      <w:r w:rsidR="009F2DA3">
        <w:rPr>
          <w:rFonts w:hint="eastAsia"/>
          <w:b/>
        </w:rPr>
        <w:t>月4日及1</w:t>
      </w:r>
      <w:r w:rsidR="009F2DA3">
        <w:rPr>
          <w:b/>
        </w:rPr>
        <w:t>09</w:t>
      </w:r>
      <w:r w:rsidR="009F2DA3">
        <w:rPr>
          <w:rFonts w:hint="eastAsia"/>
          <w:b/>
        </w:rPr>
        <w:t>年9月3日核定</w:t>
      </w:r>
      <w:r w:rsidR="009F2DA3" w:rsidRPr="009F2DA3">
        <w:rPr>
          <w:rFonts w:hint="eastAsia"/>
          <w:b/>
        </w:rPr>
        <w:t>核能發電後端營運總費用</w:t>
      </w:r>
      <w:r w:rsidR="003B33A4">
        <w:rPr>
          <w:rFonts w:hint="eastAsia"/>
          <w:b/>
        </w:rPr>
        <w:t>比較</w:t>
      </w:r>
      <w:r w:rsidRPr="0029488F">
        <w:rPr>
          <w:rFonts w:hint="eastAsia"/>
          <w:b/>
        </w:rPr>
        <w:t>表</w:t>
      </w:r>
      <w:r w:rsidR="0057252A">
        <w:rPr>
          <w:rFonts w:hint="eastAsia"/>
          <w:b/>
        </w:rPr>
        <w:t xml:space="preserve"> </w:t>
      </w:r>
      <w:r w:rsidR="009F2DA3">
        <w:rPr>
          <w:b/>
        </w:rPr>
        <w:t xml:space="preserve">    </w:t>
      </w:r>
      <w:r w:rsidR="00D961E8">
        <w:rPr>
          <w:b/>
        </w:rPr>
        <w:t xml:space="preserve">          </w:t>
      </w:r>
      <w:r w:rsidR="0057252A">
        <w:rPr>
          <w:b/>
        </w:rPr>
        <w:t xml:space="preserve">       </w:t>
      </w:r>
      <w:r>
        <w:rPr>
          <w:b/>
        </w:rPr>
        <w:t xml:space="preserve"> </w:t>
      </w:r>
      <w:r w:rsidRPr="0029488F">
        <w:rPr>
          <w:rFonts w:hint="eastAsia"/>
          <w:sz w:val="24"/>
        </w:rPr>
        <w:t>單位：新臺幣億元；%</w:t>
      </w:r>
    </w:p>
    <w:tbl>
      <w:tblPr>
        <w:tblW w:w="8647" w:type="dxa"/>
        <w:tblInd w:w="108" w:type="dxa"/>
        <w:tblLayout w:type="fixed"/>
        <w:tblCellMar>
          <w:left w:w="10" w:type="dxa"/>
          <w:right w:w="10" w:type="dxa"/>
        </w:tblCellMar>
        <w:tblLook w:val="0000" w:firstRow="0" w:lastRow="0" w:firstColumn="0" w:lastColumn="0" w:noHBand="0" w:noVBand="0"/>
      </w:tblPr>
      <w:tblGrid>
        <w:gridCol w:w="1985"/>
        <w:gridCol w:w="1843"/>
        <w:gridCol w:w="1559"/>
        <w:gridCol w:w="1984"/>
        <w:gridCol w:w="1276"/>
      </w:tblGrid>
      <w:tr w:rsidR="00A4180C" w:rsidRPr="00A4180C" w:rsidTr="00B12BE9">
        <w:tblPrEx>
          <w:tblCellMar>
            <w:top w:w="0" w:type="dxa"/>
            <w:bottom w:w="0" w:type="dxa"/>
          </w:tblCellMar>
        </w:tblPrEx>
        <w:trPr>
          <w:trHeight w:val="467"/>
          <w:tblHeader/>
        </w:trPr>
        <w:tc>
          <w:tcPr>
            <w:tcW w:w="1985"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napToGrid w:val="0"/>
              <w:spacing w:line="240" w:lineRule="atLeast"/>
              <w:ind w:leftChars="0" w:left="0" w:firstLineChars="0" w:firstLine="0"/>
              <w:jc w:val="center"/>
              <w:rPr>
                <w:rFonts w:hAnsi="標楷體"/>
                <w:snapToGrid/>
                <w:kern w:val="3"/>
              </w:rPr>
            </w:pPr>
            <w:r w:rsidRPr="00A4180C">
              <w:rPr>
                <w:rFonts w:hAnsi="標楷體" w:cs="Arial"/>
                <w:b/>
                <w:snapToGrid/>
                <w:kern w:val="0"/>
                <w:sz w:val="32"/>
                <w:szCs w:val="32"/>
              </w:rPr>
              <w:t>項 目</w:t>
            </w:r>
          </w:p>
        </w:tc>
        <w:tc>
          <w:tcPr>
            <w:tcW w:w="3402"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220" w:lineRule="exact"/>
              <w:ind w:leftChars="0" w:left="0" w:firstLineChars="0" w:firstLine="0"/>
              <w:jc w:val="center"/>
              <w:rPr>
                <w:rFonts w:hAnsi="標楷體"/>
                <w:b/>
                <w:snapToGrid/>
                <w:kern w:val="3"/>
                <w:sz w:val="24"/>
              </w:rPr>
            </w:pPr>
            <w:r w:rsidRPr="00A4180C">
              <w:rPr>
                <w:rFonts w:hAnsi="標楷體"/>
                <w:b/>
                <w:snapToGrid/>
                <w:kern w:val="3"/>
                <w:sz w:val="24"/>
              </w:rPr>
              <w:t>113年10月4日核定(111年版)</w:t>
            </w:r>
          </w:p>
        </w:tc>
        <w:tc>
          <w:tcPr>
            <w:tcW w:w="3260"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220" w:lineRule="exact"/>
              <w:ind w:leftChars="0" w:left="0" w:firstLineChars="0" w:firstLine="0"/>
              <w:jc w:val="center"/>
              <w:rPr>
                <w:rFonts w:hAnsi="標楷體"/>
                <w:b/>
                <w:snapToGrid/>
                <w:kern w:val="3"/>
                <w:sz w:val="24"/>
              </w:rPr>
            </w:pPr>
            <w:r w:rsidRPr="00A4180C">
              <w:rPr>
                <w:rFonts w:hAnsi="標楷體"/>
                <w:b/>
                <w:snapToGrid/>
                <w:kern w:val="3"/>
                <w:sz w:val="24"/>
              </w:rPr>
              <w:t>109年9月3日核定(106年版)</w:t>
            </w:r>
          </w:p>
        </w:tc>
      </w:tr>
      <w:tr w:rsidR="00A4180C" w:rsidRPr="00A4180C" w:rsidTr="00B12BE9">
        <w:tblPrEx>
          <w:tblCellMar>
            <w:top w:w="0" w:type="dxa"/>
            <w:bottom w:w="0" w:type="dxa"/>
          </w:tblCellMar>
        </w:tblPrEx>
        <w:trPr>
          <w:trHeight w:val="361"/>
          <w:tblHeader/>
        </w:trPr>
        <w:tc>
          <w:tcPr>
            <w:tcW w:w="1985"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220" w:lineRule="exact"/>
              <w:ind w:leftChars="0" w:left="0" w:firstLineChars="0" w:firstLine="0"/>
              <w:jc w:val="center"/>
              <w:rPr>
                <w:rFonts w:hAnsi="標楷體" w:cs="Arial"/>
                <w:b/>
                <w:snapToGrid/>
                <w:kern w:val="0"/>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220" w:lineRule="exact"/>
              <w:ind w:leftChars="0" w:left="0" w:firstLineChars="0" w:firstLine="0"/>
              <w:jc w:val="center"/>
              <w:rPr>
                <w:rFonts w:hAnsi="標楷體"/>
                <w:snapToGrid/>
                <w:kern w:val="3"/>
              </w:rPr>
            </w:pPr>
            <w:r w:rsidRPr="00A4180C">
              <w:rPr>
                <w:rFonts w:hAnsi="標楷體" w:cs="Arial"/>
                <w:b/>
                <w:snapToGrid/>
                <w:kern w:val="0"/>
                <w:sz w:val="24"/>
                <w:szCs w:val="24"/>
              </w:rPr>
              <w:t>費 用</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B12BE9">
            <w:pPr>
              <w:suppressAutoHyphens/>
              <w:autoSpaceDN w:val="0"/>
              <w:spacing w:line="220" w:lineRule="exact"/>
              <w:ind w:leftChars="0" w:left="0" w:firstLineChars="0" w:firstLine="0"/>
              <w:jc w:val="center"/>
              <w:rPr>
                <w:rFonts w:hAnsi="標楷體"/>
                <w:snapToGrid/>
                <w:kern w:val="3"/>
              </w:rPr>
            </w:pPr>
            <w:r w:rsidRPr="00A4180C">
              <w:rPr>
                <w:rFonts w:hAnsi="標楷體"/>
                <w:b/>
                <w:snapToGrid/>
                <w:kern w:val="3"/>
                <w:sz w:val="24"/>
                <w:szCs w:val="24"/>
              </w:rPr>
              <w:t>占比</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220" w:lineRule="exact"/>
              <w:ind w:leftChars="0" w:left="0" w:firstLineChars="0" w:firstLine="0"/>
              <w:jc w:val="center"/>
              <w:rPr>
                <w:rFonts w:hAnsi="標楷體"/>
                <w:snapToGrid/>
                <w:kern w:val="3"/>
              </w:rPr>
            </w:pPr>
            <w:r w:rsidRPr="00A4180C">
              <w:rPr>
                <w:rFonts w:hAnsi="標楷體" w:cs="Arial"/>
                <w:b/>
                <w:snapToGrid/>
                <w:kern w:val="0"/>
                <w:sz w:val="24"/>
                <w:szCs w:val="24"/>
              </w:rPr>
              <w:t>費 用</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B12BE9">
            <w:pPr>
              <w:suppressAutoHyphens/>
              <w:autoSpaceDN w:val="0"/>
              <w:spacing w:line="280" w:lineRule="exact"/>
              <w:ind w:leftChars="0" w:left="0" w:firstLineChars="0" w:firstLine="0"/>
              <w:jc w:val="center"/>
              <w:rPr>
                <w:rFonts w:hAnsi="標楷體"/>
                <w:snapToGrid/>
                <w:kern w:val="3"/>
              </w:rPr>
            </w:pPr>
            <w:r w:rsidRPr="00A4180C">
              <w:rPr>
                <w:rFonts w:hAnsi="標楷體"/>
                <w:b/>
                <w:snapToGrid/>
                <w:kern w:val="3"/>
                <w:sz w:val="24"/>
                <w:szCs w:val="24"/>
              </w:rPr>
              <w:t>占比</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1.除役拆廠</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1,586.00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33.2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1,166.43</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24.7</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2.蘭嶼低放貯存</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17.59</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0.4</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15.64</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0.3</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3.乾式貯存</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520.70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10.9</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631.78</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13.4</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300" w:lineRule="exact"/>
              <w:ind w:leftChars="0" w:left="240" w:firstLineChars="0" w:hanging="240"/>
              <w:rPr>
                <w:rFonts w:hAnsi="標楷體" w:cs="Arial"/>
                <w:snapToGrid/>
                <w:kern w:val="0"/>
                <w:sz w:val="24"/>
                <w:szCs w:val="24"/>
              </w:rPr>
            </w:pPr>
            <w:r w:rsidRPr="00A4180C">
              <w:rPr>
                <w:rFonts w:hAnsi="標楷體" w:cs="Arial"/>
                <w:snapToGrid/>
                <w:kern w:val="0"/>
                <w:sz w:val="24"/>
                <w:szCs w:val="24"/>
              </w:rPr>
              <w:t>4.集中式中期暫時貯存(詳說明1)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589.89</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12.4</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438.68</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9.3</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5.低放最終處置</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190.23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4.0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335.77</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7.1</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6.高放最終處置</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1,314.76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27.5</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w:t>
            </w:r>
            <w:r w:rsidR="00C828E1">
              <w:rPr>
                <w:rFonts w:hAnsi="標楷體" w:cs="Arial"/>
                <w:snapToGrid/>
                <w:kern w:val="0"/>
                <w:sz w:val="24"/>
                <w:szCs w:val="24"/>
              </w:rPr>
              <w:t>,</w:t>
            </w:r>
            <w:r w:rsidRPr="00A4180C">
              <w:rPr>
                <w:rFonts w:hAnsi="標楷體" w:cs="Arial"/>
                <w:snapToGrid/>
                <w:kern w:val="0"/>
                <w:sz w:val="24"/>
                <w:szCs w:val="24"/>
              </w:rPr>
              <w:t>355.05</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28.7</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7.回饋金</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425.25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8.9</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353.30</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7.5</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8.營運管理 (詳說明2)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130.26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2.7</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248.03</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5.2</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5038CE">
            <w:pPr>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9.運輸(詳說明3)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183.96</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3.9</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300" w:lineRule="exact"/>
              <w:ind w:leftChars="0" w:left="0" w:firstLineChars="0" w:firstLine="0"/>
              <w:jc w:val="center"/>
              <w:rPr>
                <w:rFonts w:hAnsi="標楷體"/>
                <w:snapToGrid/>
                <w:kern w:val="3"/>
              </w:rPr>
            </w:pPr>
            <w:r w:rsidRPr="00A4180C">
              <w:rPr>
                <w:rFonts w:hAnsi="標楷體" w:cs="Arial"/>
                <w:b/>
                <w:snapToGrid/>
                <w:kern w:val="0"/>
                <w:sz w:val="24"/>
                <w:szCs w:val="24"/>
              </w:rPr>
              <w:t>合計</w:t>
            </w:r>
            <w:r w:rsidRPr="00A4180C">
              <w:rPr>
                <w:rFonts w:hAnsi="標楷體" w:cs="Arial"/>
                <w:snapToGrid/>
                <w:kern w:val="0"/>
                <w:sz w:val="24"/>
                <w:szCs w:val="24"/>
              </w:rPr>
              <w:t>(詳說明4)</w:t>
            </w:r>
          </w:p>
        </w:tc>
        <w:tc>
          <w:tcPr>
            <w:tcW w:w="184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b/>
                <w:snapToGrid/>
                <w:kern w:val="0"/>
                <w:sz w:val="24"/>
                <w:szCs w:val="24"/>
              </w:rPr>
            </w:pPr>
            <w:r w:rsidRPr="00A4180C">
              <w:rPr>
                <w:rFonts w:hAnsi="標楷體" w:cs="Arial"/>
                <w:b/>
                <w:snapToGrid/>
                <w:kern w:val="0"/>
                <w:sz w:val="24"/>
                <w:szCs w:val="24"/>
              </w:rPr>
              <w:t>4,774.69</w:t>
            </w:r>
          </w:p>
        </w:tc>
        <w:tc>
          <w:tcPr>
            <w:tcW w:w="1559"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b/>
                <w:snapToGrid/>
                <w:kern w:val="0"/>
                <w:sz w:val="24"/>
                <w:szCs w:val="24"/>
              </w:rPr>
            </w:pPr>
            <w:r w:rsidRPr="00A4180C">
              <w:rPr>
                <w:rFonts w:hAnsi="標楷體" w:cs="Arial"/>
                <w:b/>
                <w:snapToGrid/>
                <w:kern w:val="0"/>
                <w:sz w:val="24"/>
                <w:szCs w:val="24"/>
              </w:rPr>
              <w:t>100.00</w:t>
            </w:r>
          </w:p>
        </w:tc>
        <w:tc>
          <w:tcPr>
            <w:tcW w:w="1984"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240" w:firstLineChars="0" w:hanging="240"/>
              <w:jc w:val="right"/>
              <w:rPr>
                <w:rFonts w:hAnsi="標楷體" w:cs="Arial"/>
                <w:b/>
                <w:snapToGrid/>
                <w:kern w:val="0"/>
                <w:sz w:val="24"/>
                <w:szCs w:val="24"/>
              </w:rPr>
            </w:pPr>
            <w:r w:rsidRPr="00A4180C">
              <w:rPr>
                <w:rFonts w:hAnsi="標楷體" w:cs="Arial"/>
                <w:b/>
                <w:snapToGrid/>
                <w:kern w:val="0"/>
                <w:sz w:val="24"/>
                <w:szCs w:val="24"/>
              </w:rPr>
              <w:t>4,728.64</w:t>
            </w:r>
          </w:p>
        </w:tc>
        <w:tc>
          <w:tcPr>
            <w:tcW w:w="1276" w:type="dxa"/>
            <w:tcBorders>
              <w:top w:val="single" w:sz="6"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b/>
                <w:snapToGrid/>
                <w:kern w:val="0"/>
                <w:sz w:val="24"/>
                <w:szCs w:val="24"/>
              </w:rPr>
            </w:pPr>
            <w:r w:rsidRPr="00A4180C">
              <w:rPr>
                <w:rFonts w:hAnsi="標楷體" w:cs="Arial"/>
                <w:b/>
                <w:snapToGrid/>
                <w:kern w:val="0"/>
                <w:sz w:val="24"/>
                <w:szCs w:val="24"/>
              </w:rPr>
              <w:t>100.00</w:t>
            </w:r>
          </w:p>
        </w:tc>
      </w:tr>
    </w:tbl>
    <w:p w:rsidR="00A4180C" w:rsidRPr="00A4180C" w:rsidRDefault="00A4180C" w:rsidP="00C828E1">
      <w:pPr>
        <w:suppressAutoHyphens/>
        <w:autoSpaceDN w:val="0"/>
        <w:spacing w:line="280" w:lineRule="exact"/>
        <w:ind w:leftChars="0" w:left="1418" w:firstLineChars="0" w:hanging="1418"/>
        <w:jc w:val="left"/>
        <w:rPr>
          <w:rFonts w:hAnsi="標楷體"/>
          <w:snapToGrid/>
          <w:kern w:val="3"/>
          <w:sz w:val="24"/>
        </w:rPr>
      </w:pPr>
      <w:r w:rsidRPr="00A4180C">
        <w:rPr>
          <w:rFonts w:hAnsi="標楷體"/>
          <w:snapToGrid/>
          <w:kern w:val="3"/>
          <w:sz w:val="24"/>
        </w:rPr>
        <w:t>說    明：1.依據108年3月15日行政院非核家園推動專案小組第四次會議共識同意優先推動「中期暫時貯存設施」。</w:t>
      </w:r>
    </w:p>
    <w:p w:rsidR="00A4180C" w:rsidRPr="00A4180C" w:rsidRDefault="00A4180C" w:rsidP="00C828E1">
      <w:pPr>
        <w:suppressAutoHyphens/>
        <w:autoSpaceDN w:val="0"/>
        <w:spacing w:line="280" w:lineRule="exact"/>
        <w:ind w:leftChars="400" w:left="1984" w:hangingChars="350" w:hanging="851"/>
        <w:jc w:val="left"/>
        <w:rPr>
          <w:rFonts w:hAnsi="標楷體"/>
          <w:snapToGrid/>
          <w:kern w:val="3"/>
          <w:sz w:val="24"/>
        </w:rPr>
      </w:pPr>
      <w:r w:rsidRPr="00A4180C">
        <w:rPr>
          <w:rFonts w:hAnsi="標楷體"/>
          <w:snapToGrid/>
          <w:kern w:val="3"/>
          <w:sz w:val="24"/>
        </w:rPr>
        <w:t>2.核後端基金管理會相關推動組織之運作費用。</w:t>
      </w:r>
    </w:p>
    <w:p w:rsidR="00A4180C" w:rsidRPr="00A4180C" w:rsidRDefault="00A4180C" w:rsidP="00C828E1">
      <w:pPr>
        <w:suppressAutoHyphens/>
        <w:autoSpaceDN w:val="0"/>
        <w:spacing w:line="280" w:lineRule="exact"/>
        <w:ind w:leftChars="400" w:left="1984" w:hangingChars="350" w:hanging="851"/>
        <w:jc w:val="left"/>
        <w:rPr>
          <w:rFonts w:hAnsi="標楷體"/>
          <w:snapToGrid/>
          <w:kern w:val="3"/>
          <w:sz w:val="24"/>
        </w:rPr>
      </w:pPr>
      <w:r w:rsidRPr="00A4180C">
        <w:rPr>
          <w:rFonts w:hAnsi="標楷體"/>
          <w:snapToGrid/>
          <w:kern w:val="3"/>
          <w:sz w:val="24"/>
        </w:rPr>
        <w:t>3.運輸費列入各計畫項目，不另設項。</w:t>
      </w:r>
    </w:p>
    <w:p w:rsidR="00A4180C" w:rsidRPr="00A4180C" w:rsidRDefault="00A4180C" w:rsidP="00C828E1">
      <w:pPr>
        <w:suppressAutoHyphens/>
        <w:autoSpaceDN w:val="0"/>
        <w:spacing w:line="280" w:lineRule="exact"/>
        <w:ind w:leftChars="400" w:left="1984" w:hangingChars="350" w:hanging="851"/>
        <w:jc w:val="left"/>
        <w:rPr>
          <w:rFonts w:hAnsi="標楷體" w:hint="eastAsia"/>
          <w:snapToGrid/>
          <w:kern w:val="3"/>
          <w:sz w:val="24"/>
        </w:rPr>
      </w:pPr>
      <w:r w:rsidRPr="00A4180C">
        <w:rPr>
          <w:rFonts w:hAnsi="標楷體"/>
          <w:snapToGrid/>
          <w:kern w:val="3"/>
          <w:sz w:val="24"/>
        </w:rPr>
        <w:t>4.合計數因四捨五入致有尾差。</w:t>
      </w:r>
      <w:r w:rsidR="00B76292" w:rsidRPr="00A4180C">
        <w:rPr>
          <w:rFonts w:hAnsi="標楷體" w:hint="eastAsia"/>
          <w:snapToGrid/>
          <w:kern w:val="3"/>
          <w:sz w:val="24"/>
        </w:rPr>
        <w:t xml:space="preserve"> </w:t>
      </w:r>
    </w:p>
    <w:p w:rsidR="00C825EB" w:rsidRDefault="00B66169" w:rsidP="00CC6599">
      <w:pPr>
        <w:suppressAutoHyphens/>
        <w:autoSpaceDN w:val="0"/>
        <w:spacing w:line="280" w:lineRule="exact"/>
        <w:ind w:leftChars="0" w:left="1191" w:firstLineChars="0" w:hanging="1191"/>
        <w:jc w:val="left"/>
      </w:pPr>
      <w:r w:rsidRPr="00B76292">
        <w:rPr>
          <w:rFonts w:hAnsi="標楷體" w:hint="eastAsia"/>
          <w:snapToGrid/>
          <w:kern w:val="3"/>
          <w:sz w:val="24"/>
        </w:rPr>
        <w:t>資料來源：</w:t>
      </w:r>
      <w:r w:rsidR="00CE2A93" w:rsidRPr="00B76292">
        <w:rPr>
          <w:rFonts w:hAnsi="標楷體" w:hint="eastAsia"/>
          <w:snapToGrid/>
          <w:kern w:val="3"/>
          <w:sz w:val="24"/>
        </w:rPr>
        <w:t>核後端基金</w:t>
      </w:r>
      <w:r w:rsidRPr="00B76292">
        <w:rPr>
          <w:rFonts w:hAnsi="標楷體" w:hint="eastAsia"/>
          <w:snapToGrid/>
          <w:kern w:val="3"/>
          <w:sz w:val="24"/>
        </w:rPr>
        <w:t>提供</w:t>
      </w:r>
      <w:r w:rsidR="00B76292" w:rsidRPr="00B76292">
        <w:rPr>
          <w:rFonts w:hAnsi="標楷體" w:hint="eastAsia"/>
          <w:snapToGrid/>
          <w:kern w:val="3"/>
          <w:sz w:val="24"/>
        </w:rPr>
        <w:t>(</w:t>
      </w:r>
      <w:r w:rsidR="00B76292">
        <w:rPr>
          <w:rFonts w:hAnsi="標楷體" w:hint="eastAsia"/>
          <w:snapToGrid/>
          <w:kern w:val="3"/>
          <w:sz w:val="24"/>
        </w:rPr>
        <w:t>本表為核後端基金1</w:t>
      </w:r>
      <w:r w:rsidR="00B76292">
        <w:rPr>
          <w:rFonts w:hAnsi="標楷體"/>
          <w:snapToGrid/>
          <w:kern w:val="3"/>
          <w:sz w:val="24"/>
        </w:rPr>
        <w:t>13</w:t>
      </w:r>
      <w:r w:rsidR="00B76292">
        <w:rPr>
          <w:rFonts w:hAnsi="標楷體" w:hint="eastAsia"/>
          <w:snapToGrid/>
          <w:kern w:val="3"/>
          <w:sz w:val="24"/>
        </w:rPr>
        <w:t>年1</w:t>
      </w:r>
      <w:r w:rsidR="00B76292">
        <w:rPr>
          <w:rFonts w:hAnsi="標楷體"/>
          <w:snapToGrid/>
          <w:kern w:val="3"/>
          <w:sz w:val="24"/>
        </w:rPr>
        <w:t>1</w:t>
      </w:r>
      <w:r w:rsidR="00B76292">
        <w:rPr>
          <w:rFonts w:hAnsi="標楷體" w:hint="eastAsia"/>
          <w:snapToGrid/>
          <w:kern w:val="3"/>
          <w:sz w:val="24"/>
        </w:rPr>
        <w:t>月2</w:t>
      </w:r>
      <w:r w:rsidR="005038CE">
        <w:rPr>
          <w:rFonts w:hAnsi="標楷體"/>
          <w:snapToGrid/>
          <w:kern w:val="3"/>
          <w:sz w:val="24"/>
        </w:rPr>
        <w:t>1</w:t>
      </w:r>
      <w:r w:rsidR="00B76292">
        <w:rPr>
          <w:rFonts w:hAnsi="標楷體" w:hint="eastAsia"/>
          <w:snapToGrid/>
          <w:kern w:val="3"/>
          <w:sz w:val="24"/>
        </w:rPr>
        <w:t>日更新未含準備金版本。</w:t>
      </w:r>
      <w:r w:rsidR="00B76292" w:rsidRPr="00B76292">
        <w:rPr>
          <w:rFonts w:hAnsi="標楷體" w:hint="eastAsia"/>
          <w:snapToGrid/>
          <w:kern w:val="3"/>
          <w:sz w:val="24"/>
        </w:rPr>
        <w:t>)</w:t>
      </w:r>
      <w:bookmarkEnd w:id="2"/>
    </w:p>
    <w:sectPr w:rsidR="00C825EB" w:rsidSect="00AE225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2AE" w:rsidRDefault="00C072AE" w:rsidP="00D760F2">
      <w:pPr>
        <w:spacing w:line="240" w:lineRule="auto"/>
        <w:ind w:left="560" w:firstLine="560"/>
      </w:pPr>
      <w:r>
        <w:separator/>
      </w:r>
    </w:p>
  </w:endnote>
  <w:endnote w:type="continuationSeparator" w:id="0">
    <w:p w:rsidR="00C072AE" w:rsidRDefault="00C072AE"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AE225B">
    <w:pPr>
      <w:pStyle w:val="ae"/>
      <w:ind w:leftChars="0" w:left="566" w:firstLineChars="0" w:firstLine="566"/>
      <w:jc w:val="center"/>
    </w:pPr>
    <w:r>
      <w:fldChar w:fldCharType="begin"/>
    </w:r>
    <w:r>
      <w:instrText>PAGE   \* MERGEFORMAT</w:instrText>
    </w:r>
    <w:r>
      <w:fldChar w:fldCharType="separate"/>
    </w:r>
    <w:r w:rsidR="00CC6599" w:rsidRPr="00CC659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2AE" w:rsidRDefault="00C072AE" w:rsidP="00D760F2">
      <w:pPr>
        <w:spacing w:line="240" w:lineRule="auto"/>
        <w:ind w:left="560" w:firstLine="560"/>
      </w:pPr>
      <w:r>
        <w:separator/>
      </w:r>
    </w:p>
  </w:footnote>
  <w:footnote w:type="continuationSeparator" w:id="0">
    <w:p w:rsidR="00C072AE" w:rsidRDefault="00C072AE" w:rsidP="00D760F2">
      <w:pPr>
        <w:spacing w:line="240" w:lineRule="auto"/>
        <w:ind w:left="560" w:firstLine="560"/>
      </w:pPr>
      <w:r>
        <w:continuationSeparator/>
      </w:r>
    </w:p>
  </w:footnote>
  <w:footnote w:id="1">
    <w:p w:rsidR="0021673E" w:rsidRPr="0021673E" w:rsidRDefault="0021673E" w:rsidP="003D6900">
      <w:pPr>
        <w:pStyle w:val="142"/>
        <w:spacing w:line="300" w:lineRule="exact"/>
        <w:ind w:left="170" w:hangingChars="70" w:hanging="170"/>
        <w:jc w:val="both"/>
        <w:rPr>
          <w:rFonts w:hint="eastAsia"/>
        </w:rPr>
      </w:pPr>
      <w:r>
        <w:rPr>
          <w:rStyle w:val="af0"/>
        </w:rPr>
        <w:footnoteRef/>
      </w:r>
      <w:r>
        <w:t xml:space="preserve"> </w:t>
      </w:r>
      <w:r w:rsidRPr="0021673E">
        <w:rPr>
          <w:rFonts w:hAnsi="標楷體" w:hint="eastAsia"/>
          <w:szCs w:val="24"/>
        </w:rPr>
        <w:t>依「核能發電後端營運基金費用收取辦法」第3條規定：「應收取之核能發電後端營運費用之計算，應由後端處理與處置機構每隔五年進行重估並提報經濟部核定之；…</w:t>
      </w:r>
      <w:r w:rsidR="001748DA">
        <w:rPr>
          <w:rFonts w:hAnsi="標楷體" w:hint="eastAsia"/>
          <w:szCs w:val="24"/>
        </w:rPr>
        <w:t>。</w:t>
      </w:r>
      <w:r w:rsidRPr="0021673E">
        <w:rPr>
          <w:rFonts w:hAnsi="標楷體" w:hint="eastAsia"/>
          <w:szCs w:val="24"/>
        </w:rPr>
        <w:t>」依106年版核能發電後端營運總費用報告之估算，台電公司原應於107至</w:t>
      </w:r>
      <w:r w:rsidRPr="0021673E">
        <w:rPr>
          <w:rFonts w:hint="eastAsia"/>
          <w:szCs w:val="24"/>
        </w:rPr>
        <w:t>114</w:t>
      </w:r>
      <w:r w:rsidRPr="0021673E">
        <w:rPr>
          <w:rFonts w:hAnsi="標楷體" w:hint="eastAsia"/>
          <w:szCs w:val="24"/>
        </w:rPr>
        <w:t>年度每年提撥216.69億元至</w:t>
      </w:r>
      <w:r>
        <w:rPr>
          <w:rFonts w:hAnsi="標楷體" w:hint="eastAsia"/>
          <w:szCs w:val="24"/>
        </w:rPr>
        <w:t>核</w:t>
      </w:r>
      <w:r w:rsidRPr="0021673E">
        <w:rPr>
          <w:rFonts w:hAnsi="標楷體" w:hint="eastAsia"/>
          <w:szCs w:val="24"/>
        </w:rPr>
        <w:t>後端基金，惟前述106年版核能發電後端營運總費用報告於109年9月3日經營字第10900071320號函核定，故台電公司自109年起採用年金法，每年提撥216.69億元至核後端基金</w:t>
      </w:r>
      <w:r w:rsidR="001748DA">
        <w:rPr>
          <w:rFonts w:hAnsi="標楷體" w:hint="eastAsia"/>
          <w:szCs w:val="24"/>
        </w:rPr>
        <w:t>；另</w:t>
      </w:r>
      <w:r>
        <w:rPr>
          <w:rFonts w:hAnsi="標楷體" w:hint="eastAsia"/>
          <w:szCs w:val="24"/>
        </w:rPr>
        <w:t>1</w:t>
      </w:r>
      <w:r w:rsidRPr="0021673E">
        <w:rPr>
          <w:rFonts w:hAnsi="標楷體" w:hint="eastAsia"/>
          <w:szCs w:val="24"/>
        </w:rPr>
        <w:t>07</w:t>
      </w:r>
      <w:r>
        <w:rPr>
          <w:rFonts w:hAnsi="標楷體" w:hint="eastAsia"/>
          <w:szCs w:val="24"/>
        </w:rPr>
        <w:t>及</w:t>
      </w:r>
      <w:r w:rsidRPr="0021673E">
        <w:rPr>
          <w:rFonts w:hAnsi="標楷體" w:hint="eastAsia"/>
          <w:szCs w:val="24"/>
        </w:rPr>
        <w:t>108年度台電公司</w:t>
      </w:r>
      <w:r w:rsidR="001748DA">
        <w:rPr>
          <w:rFonts w:hAnsi="標楷體" w:hint="eastAsia"/>
          <w:szCs w:val="24"/>
        </w:rPr>
        <w:t>因</w:t>
      </w:r>
      <w:r w:rsidRPr="0021673E">
        <w:rPr>
          <w:rFonts w:hAnsi="標楷體" w:hint="eastAsia"/>
          <w:szCs w:val="24"/>
        </w:rPr>
        <w:t>以實際帳列除役成本金額</w:t>
      </w:r>
      <w:r w:rsidR="001748DA" w:rsidRPr="0021673E">
        <w:rPr>
          <w:rFonts w:hAnsi="標楷體" w:hint="eastAsia"/>
          <w:szCs w:val="24"/>
        </w:rPr>
        <w:t>分別提撥133.98億元及147.40億元</w:t>
      </w:r>
      <w:r w:rsidR="001748DA">
        <w:rPr>
          <w:rFonts w:hAnsi="標楷體" w:hint="eastAsia"/>
          <w:szCs w:val="24"/>
        </w:rPr>
        <w:t>，</w:t>
      </w:r>
      <w:r w:rsidRPr="0021673E">
        <w:rPr>
          <w:rFonts w:hAnsi="標楷體" w:hint="eastAsia"/>
          <w:szCs w:val="24"/>
        </w:rPr>
        <w:t>較每年固定應提撥216.69億元，</w:t>
      </w:r>
      <w:r w:rsidR="001748DA">
        <w:rPr>
          <w:rFonts w:hAnsi="標楷體" w:hint="eastAsia"/>
          <w:szCs w:val="24"/>
        </w:rPr>
        <w:t>分別</w:t>
      </w:r>
      <w:r w:rsidRPr="0021673E">
        <w:rPr>
          <w:rFonts w:hAnsi="標楷體" w:hint="eastAsia"/>
          <w:szCs w:val="24"/>
        </w:rPr>
        <w:t>不足82.71億元及69.29億元</w:t>
      </w:r>
      <w:r w:rsidR="008613C1">
        <w:rPr>
          <w:rFonts w:hAnsi="標楷體" w:hint="eastAsia"/>
          <w:szCs w:val="24"/>
        </w:rPr>
        <w:t>(合共1</w:t>
      </w:r>
      <w:r w:rsidR="008613C1">
        <w:rPr>
          <w:rFonts w:hAnsi="標楷體"/>
          <w:szCs w:val="24"/>
        </w:rPr>
        <w:t>52</w:t>
      </w:r>
      <w:r w:rsidR="008613C1">
        <w:rPr>
          <w:rFonts w:hAnsi="標楷體" w:hint="eastAsia"/>
          <w:szCs w:val="24"/>
        </w:rPr>
        <w:t>億元)</w:t>
      </w:r>
      <w:r>
        <w:rPr>
          <w:rFonts w:hAnsi="標楷體" w:hint="eastAsia"/>
          <w:szCs w:val="24"/>
        </w:rPr>
        <w:t>，</w:t>
      </w:r>
      <w:r w:rsidR="008613C1">
        <w:rPr>
          <w:rFonts w:hAnsi="標楷體" w:hint="eastAsia"/>
          <w:szCs w:val="24"/>
        </w:rPr>
        <w:t>全數</w:t>
      </w:r>
      <w:r>
        <w:rPr>
          <w:rFonts w:hAnsi="標楷體" w:hint="eastAsia"/>
          <w:szCs w:val="24"/>
        </w:rPr>
        <w:t>於1</w:t>
      </w:r>
      <w:r>
        <w:rPr>
          <w:rFonts w:hAnsi="標楷體"/>
          <w:szCs w:val="24"/>
        </w:rPr>
        <w:t>14</w:t>
      </w:r>
      <w:r>
        <w:rPr>
          <w:rFonts w:hAnsi="標楷體" w:hint="eastAsia"/>
          <w:szCs w:val="24"/>
        </w:rPr>
        <w:t>年度</w:t>
      </w:r>
      <w:r w:rsidR="001748DA">
        <w:rPr>
          <w:rFonts w:hAnsi="標楷體" w:hint="eastAsia"/>
          <w:szCs w:val="24"/>
        </w:rPr>
        <w:t>補足</w:t>
      </w:r>
      <w:r w:rsidRPr="0021673E">
        <w:rPr>
          <w:rFonts w:hAnsi="標楷體" w:hint="eastAsia"/>
          <w:szCs w:val="24"/>
        </w:rPr>
        <w:t>。</w:t>
      </w:r>
    </w:p>
  </w:footnote>
  <w:footnote w:id="2">
    <w:p w:rsidR="00761D8B" w:rsidRPr="00E71B93" w:rsidRDefault="00761D8B" w:rsidP="00C07B45">
      <w:pPr>
        <w:pStyle w:val="142"/>
        <w:spacing w:line="300" w:lineRule="exact"/>
        <w:ind w:left="170" w:hangingChars="70" w:hanging="170"/>
        <w:jc w:val="both"/>
      </w:pPr>
      <w:r>
        <w:rPr>
          <w:rStyle w:val="af0"/>
        </w:rPr>
        <w:footnoteRef/>
      </w:r>
      <w:r>
        <w:rPr>
          <w:rFonts w:hint="eastAsia"/>
        </w:rPr>
        <w:t xml:space="preserve"> </w:t>
      </w:r>
      <w:r w:rsidRPr="00E71B93">
        <w:rPr>
          <w:rFonts w:hint="eastAsia"/>
        </w:rPr>
        <w:t>核能發電後端營運</w:t>
      </w:r>
      <w:r>
        <w:rPr>
          <w:rFonts w:hint="eastAsia"/>
        </w:rPr>
        <w:t>基金</w:t>
      </w:r>
      <w:r w:rsidRPr="00E71B93">
        <w:rPr>
          <w:rFonts w:hint="eastAsia"/>
        </w:rPr>
        <w:t>費用收取辦法</w:t>
      </w:r>
      <w:r>
        <w:rPr>
          <w:rFonts w:hint="eastAsia"/>
        </w:rPr>
        <w:t>第2條規定：「發電業設有核能發電廠者，收取其核能發電後端營運費用，依下列規定辦理：一、費用之計算與收取方式，以每年平均分攤固定金額方式提撥核能發電後端營運費用，其金額由經濟部定之，並應於當年度1月、7月底前提撥至核能發電後端營運基金。二、本款費用之繳交期限，至中華民國114年止。」同</w:t>
      </w:r>
      <w:r w:rsidRPr="00E71B93">
        <w:rPr>
          <w:rFonts w:hint="eastAsia"/>
        </w:rPr>
        <w:t>辦法</w:t>
      </w:r>
      <w:r>
        <w:rPr>
          <w:rFonts w:hint="eastAsia"/>
        </w:rPr>
        <w:t>第3條規定：「前條應收取之核能發電後端營運費用之計算，應由後端處理與處置機構每隔5年進行重估並提報經濟部核定之；應繳交之期間內有重大情事變更時，應適時因應並重新估算送核。」</w:t>
      </w:r>
    </w:p>
  </w:footnote>
  <w:footnote w:id="3">
    <w:p w:rsidR="0057252A" w:rsidRPr="0057252A" w:rsidRDefault="0057252A" w:rsidP="0057252A">
      <w:pPr>
        <w:pStyle w:val="142"/>
        <w:spacing w:line="300" w:lineRule="exact"/>
        <w:ind w:left="170" w:hangingChars="70" w:hanging="170"/>
        <w:jc w:val="both"/>
        <w:rPr>
          <w:rFonts w:hint="eastAsia"/>
        </w:rPr>
      </w:pPr>
      <w:r>
        <w:rPr>
          <w:rStyle w:val="af0"/>
        </w:rPr>
        <w:footnoteRef/>
      </w:r>
      <w:r>
        <w:t xml:space="preserve"> </w:t>
      </w:r>
      <w:r>
        <w:rPr>
          <w:rFonts w:hint="eastAsia"/>
        </w:rPr>
        <w:t>核後端基金</w:t>
      </w:r>
      <w:r w:rsidR="003B33A4">
        <w:rPr>
          <w:rFonts w:hint="eastAsia"/>
        </w:rPr>
        <w:t>1</w:t>
      </w:r>
      <w:r w:rsidR="003B33A4">
        <w:t>14</w:t>
      </w:r>
      <w:r w:rsidR="003B33A4">
        <w:rPr>
          <w:rFonts w:hint="eastAsia"/>
        </w:rPr>
        <w:t>年度預算案尚未及編列重新估算後所增加差額數4</w:t>
      </w:r>
      <w:r w:rsidR="003B33A4">
        <w:t>6.05</w:t>
      </w:r>
      <w:r w:rsidR="003B33A4">
        <w:rPr>
          <w:rFonts w:hint="eastAsia"/>
        </w:rPr>
        <w:t>億元；又核後端基金表示</w:t>
      </w:r>
      <w:r>
        <w:rPr>
          <w:rFonts w:hint="eastAsia"/>
        </w:rPr>
        <w:t>表示可能採收支併決算方式辦理</w:t>
      </w:r>
      <w:r w:rsidR="00F658B1">
        <w:rPr>
          <w:rFonts w:hint="eastAsia"/>
        </w:rPr>
        <w:t>，惟細節仍在規劃中</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1E68"/>
    <w:multiLevelType w:val="hybridMultilevel"/>
    <w:tmpl w:val="33CC78F4"/>
    <w:lvl w:ilvl="0" w:tplc="FFFFFFFF">
      <w:start w:val="1"/>
      <w:numFmt w:val="decimal"/>
      <w:lvlText w:val="%1."/>
      <w:lvlJc w:val="left"/>
      <w:pPr>
        <w:ind w:left="1368" w:hanging="480"/>
      </w:pPr>
    </w:lvl>
    <w:lvl w:ilvl="1" w:tplc="FFFFFFFF" w:tentative="1">
      <w:start w:val="1"/>
      <w:numFmt w:val="ideographTraditional"/>
      <w:lvlText w:val="%2、"/>
      <w:lvlJc w:val="left"/>
      <w:pPr>
        <w:ind w:left="1848" w:hanging="480"/>
      </w:pPr>
    </w:lvl>
    <w:lvl w:ilvl="2" w:tplc="FFFFFFFF" w:tentative="1">
      <w:start w:val="1"/>
      <w:numFmt w:val="lowerRoman"/>
      <w:lvlText w:val="%3."/>
      <w:lvlJc w:val="right"/>
      <w:pPr>
        <w:ind w:left="2328" w:hanging="480"/>
      </w:pPr>
    </w:lvl>
    <w:lvl w:ilvl="3" w:tplc="FFFFFFFF" w:tentative="1">
      <w:start w:val="1"/>
      <w:numFmt w:val="decimal"/>
      <w:lvlText w:val="%4."/>
      <w:lvlJc w:val="left"/>
      <w:pPr>
        <w:ind w:left="2808" w:hanging="480"/>
      </w:pPr>
    </w:lvl>
    <w:lvl w:ilvl="4" w:tplc="FFFFFFFF" w:tentative="1">
      <w:start w:val="1"/>
      <w:numFmt w:val="ideographTraditional"/>
      <w:lvlText w:val="%5、"/>
      <w:lvlJc w:val="left"/>
      <w:pPr>
        <w:ind w:left="3288" w:hanging="480"/>
      </w:pPr>
    </w:lvl>
    <w:lvl w:ilvl="5" w:tplc="FFFFFFFF" w:tentative="1">
      <w:start w:val="1"/>
      <w:numFmt w:val="lowerRoman"/>
      <w:lvlText w:val="%6."/>
      <w:lvlJc w:val="right"/>
      <w:pPr>
        <w:ind w:left="3768" w:hanging="480"/>
      </w:pPr>
    </w:lvl>
    <w:lvl w:ilvl="6" w:tplc="FFFFFFFF" w:tentative="1">
      <w:start w:val="1"/>
      <w:numFmt w:val="decimal"/>
      <w:lvlText w:val="%7."/>
      <w:lvlJc w:val="left"/>
      <w:pPr>
        <w:ind w:left="4248" w:hanging="480"/>
      </w:pPr>
    </w:lvl>
    <w:lvl w:ilvl="7" w:tplc="FFFFFFFF" w:tentative="1">
      <w:start w:val="1"/>
      <w:numFmt w:val="ideographTraditional"/>
      <w:lvlText w:val="%8、"/>
      <w:lvlJc w:val="left"/>
      <w:pPr>
        <w:ind w:left="4728" w:hanging="480"/>
      </w:pPr>
    </w:lvl>
    <w:lvl w:ilvl="8" w:tplc="FFFFFFFF" w:tentative="1">
      <w:start w:val="1"/>
      <w:numFmt w:val="lowerRoman"/>
      <w:lvlText w:val="%9."/>
      <w:lvlJc w:val="right"/>
      <w:pPr>
        <w:ind w:left="5208" w:hanging="480"/>
      </w:pPr>
    </w:lvl>
  </w:abstractNum>
  <w:abstractNum w:abstractNumId="1" w15:restartNumberingAfterBreak="0">
    <w:nsid w:val="76F60904"/>
    <w:multiLevelType w:val="hybridMultilevel"/>
    <w:tmpl w:val="A7ACE394"/>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12068"/>
    <w:rsid w:val="00012068"/>
    <w:rsid w:val="00014151"/>
    <w:rsid w:val="0001432E"/>
    <w:rsid w:val="00014F57"/>
    <w:rsid w:val="000153BB"/>
    <w:rsid w:val="000209C4"/>
    <w:rsid w:val="00040184"/>
    <w:rsid w:val="00043541"/>
    <w:rsid w:val="00043A02"/>
    <w:rsid w:val="000464D1"/>
    <w:rsid w:val="000513FA"/>
    <w:rsid w:val="0006290B"/>
    <w:rsid w:val="00064DB5"/>
    <w:rsid w:val="00064F6B"/>
    <w:rsid w:val="00065B87"/>
    <w:rsid w:val="00066878"/>
    <w:rsid w:val="000728A3"/>
    <w:rsid w:val="00082C1F"/>
    <w:rsid w:val="000976CB"/>
    <w:rsid w:val="000A5547"/>
    <w:rsid w:val="000B146E"/>
    <w:rsid w:val="000B7EFE"/>
    <w:rsid w:val="000C0B8B"/>
    <w:rsid w:val="000C44E2"/>
    <w:rsid w:val="000D3DD0"/>
    <w:rsid w:val="000D683C"/>
    <w:rsid w:val="000D7CA3"/>
    <w:rsid w:val="000E19C5"/>
    <w:rsid w:val="000E21D5"/>
    <w:rsid w:val="000F444F"/>
    <w:rsid w:val="000F6519"/>
    <w:rsid w:val="000F6C6C"/>
    <w:rsid w:val="0010393B"/>
    <w:rsid w:val="00103B68"/>
    <w:rsid w:val="001217ED"/>
    <w:rsid w:val="001521DD"/>
    <w:rsid w:val="00154BAB"/>
    <w:rsid w:val="0015664B"/>
    <w:rsid w:val="00164F45"/>
    <w:rsid w:val="0016767F"/>
    <w:rsid w:val="001702B9"/>
    <w:rsid w:val="00170442"/>
    <w:rsid w:val="00172886"/>
    <w:rsid w:val="001748DA"/>
    <w:rsid w:val="00180C58"/>
    <w:rsid w:val="001935F2"/>
    <w:rsid w:val="001938E6"/>
    <w:rsid w:val="00194749"/>
    <w:rsid w:val="00197C42"/>
    <w:rsid w:val="001A213A"/>
    <w:rsid w:val="001A27DF"/>
    <w:rsid w:val="001A373F"/>
    <w:rsid w:val="001A6BE2"/>
    <w:rsid w:val="001B0325"/>
    <w:rsid w:val="001B1C8C"/>
    <w:rsid w:val="001B507D"/>
    <w:rsid w:val="001C1CD2"/>
    <w:rsid w:val="001C2150"/>
    <w:rsid w:val="001C2710"/>
    <w:rsid w:val="001C692F"/>
    <w:rsid w:val="001D71AA"/>
    <w:rsid w:val="001E05DB"/>
    <w:rsid w:val="001E3071"/>
    <w:rsid w:val="001E3B51"/>
    <w:rsid w:val="00200843"/>
    <w:rsid w:val="0021673E"/>
    <w:rsid w:val="00217859"/>
    <w:rsid w:val="002244E7"/>
    <w:rsid w:val="002309C5"/>
    <w:rsid w:val="00232AD3"/>
    <w:rsid w:val="00233A09"/>
    <w:rsid w:val="00265697"/>
    <w:rsid w:val="0029385C"/>
    <w:rsid w:val="0029488F"/>
    <w:rsid w:val="00297FA1"/>
    <w:rsid w:val="002A6038"/>
    <w:rsid w:val="002B1641"/>
    <w:rsid w:val="002B2EF1"/>
    <w:rsid w:val="002B4CBF"/>
    <w:rsid w:val="002B4E9F"/>
    <w:rsid w:val="002B712F"/>
    <w:rsid w:val="002D0BC1"/>
    <w:rsid w:val="002D22BF"/>
    <w:rsid w:val="002D6C47"/>
    <w:rsid w:val="002F7D08"/>
    <w:rsid w:val="003117C7"/>
    <w:rsid w:val="003366D9"/>
    <w:rsid w:val="003424F4"/>
    <w:rsid w:val="00345931"/>
    <w:rsid w:val="00351CB1"/>
    <w:rsid w:val="00360976"/>
    <w:rsid w:val="00362C86"/>
    <w:rsid w:val="00365A1F"/>
    <w:rsid w:val="00386E54"/>
    <w:rsid w:val="00386F23"/>
    <w:rsid w:val="00395B34"/>
    <w:rsid w:val="003968DA"/>
    <w:rsid w:val="00397F80"/>
    <w:rsid w:val="003B0517"/>
    <w:rsid w:val="003B33A4"/>
    <w:rsid w:val="003B6A4F"/>
    <w:rsid w:val="003C34F2"/>
    <w:rsid w:val="003D64DC"/>
    <w:rsid w:val="003D6900"/>
    <w:rsid w:val="003E1D8C"/>
    <w:rsid w:val="003F089A"/>
    <w:rsid w:val="003F1F40"/>
    <w:rsid w:val="00406A58"/>
    <w:rsid w:val="0040785D"/>
    <w:rsid w:val="00411E8C"/>
    <w:rsid w:val="00412A49"/>
    <w:rsid w:val="00413E45"/>
    <w:rsid w:val="00420EFA"/>
    <w:rsid w:val="004314EF"/>
    <w:rsid w:val="00445C77"/>
    <w:rsid w:val="00447900"/>
    <w:rsid w:val="00452744"/>
    <w:rsid w:val="00455149"/>
    <w:rsid w:val="00455E49"/>
    <w:rsid w:val="0047306D"/>
    <w:rsid w:val="0047414D"/>
    <w:rsid w:val="00491225"/>
    <w:rsid w:val="00495F7F"/>
    <w:rsid w:val="004C0F94"/>
    <w:rsid w:val="004E03F9"/>
    <w:rsid w:val="004E3197"/>
    <w:rsid w:val="004E4135"/>
    <w:rsid w:val="004F5E13"/>
    <w:rsid w:val="004F79E5"/>
    <w:rsid w:val="005031D5"/>
    <w:rsid w:val="005038CE"/>
    <w:rsid w:val="00506EE7"/>
    <w:rsid w:val="00516DA1"/>
    <w:rsid w:val="00521A7D"/>
    <w:rsid w:val="00525698"/>
    <w:rsid w:val="00533DF9"/>
    <w:rsid w:val="00542CBF"/>
    <w:rsid w:val="00565730"/>
    <w:rsid w:val="00567AF4"/>
    <w:rsid w:val="0057252A"/>
    <w:rsid w:val="00595822"/>
    <w:rsid w:val="005B4261"/>
    <w:rsid w:val="005B476F"/>
    <w:rsid w:val="005B4EA8"/>
    <w:rsid w:val="005C18AB"/>
    <w:rsid w:val="005C6760"/>
    <w:rsid w:val="005C6CE4"/>
    <w:rsid w:val="005D2F02"/>
    <w:rsid w:val="005E3B9D"/>
    <w:rsid w:val="005F62B6"/>
    <w:rsid w:val="00610142"/>
    <w:rsid w:val="00623C9C"/>
    <w:rsid w:val="0062419E"/>
    <w:rsid w:val="00641B7A"/>
    <w:rsid w:val="00650A72"/>
    <w:rsid w:val="00661128"/>
    <w:rsid w:val="00661634"/>
    <w:rsid w:val="006707B5"/>
    <w:rsid w:val="00677F2C"/>
    <w:rsid w:val="0069024D"/>
    <w:rsid w:val="00696E7F"/>
    <w:rsid w:val="006B754E"/>
    <w:rsid w:val="006C71E8"/>
    <w:rsid w:val="006D30B6"/>
    <w:rsid w:val="006D3F43"/>
    <w:rsid w:val="006E3DAE"/>
    <w:rsid w:val="006E40B5"/>
    <w:rsid w:val="006E518C"/>
    <w:rsid w:val="006E5E74"/>
    <w:rsid w:val="006E7E1E"/>
    <w:rsid w:val="007015A1"/>
    <w:rsid w:val="007023F8"/>
    <w:rsid w:val="00722756"/>
    <w:rsid w:val="007313DC"/>
    <w:rsid w:val="00744408"/>
    <w:rsid w:val="0074638B"/>
    <w:rsid w:val="007478ED"/>
    <w:rsid w:val="00747BB1"/>
    <w:rsid w:val="0075421B"/>
    <w:rsid w:val="0075437C"/>
    <w:rsid w:val="00761D8B"/>
    <w:rsid w:val="00762A47"/>
    <w:rsid w:val="00766FDB"/>
    <w:rsid w:val="007A0641"/>
    <w:rsid w:val="007B7D33"/>
    <w:rsid w:val="007C0344"/>
    <w:rsid w:val="007C0D18"/>
    <w:rsid w:val="007F387D"/>
    <w:rsid w:val="007F6A09"/>
    <w:rsid w:val="00803D27"/>
    <w:rsid w:val="00807BD3"/>
    <w:rsid w:val="00807C89"/>
    <w:rsid w:val="0081376F"/>
    <w:rsid w:val="0081693C"/>
    <w:rsid w:val="00822D09"/>
    <w:rsid w:val="00840997"/>
    <w:rsid w:val="0085183D"/>
    <w:rsid w:val="0085508B"/>
    <w:rsid w:val="008613C1"/>
    <w:rsid w:val="00864455"/>
    <w:rsid w:val="00865CA2"/>
    <w:rsid w:val="008677E1"/>
    <w:rsid w:val="00881FE7"/>
    <w:rsid w:val="008821F8"/>
    <w:rsid w:val="0088348B"/>
    <w:rsid w:val="0088517B"/>
    <w:rsid w:val="00891555"/>
    <w:rsid w:val="008A4F01"/>
    <w:rsid w:val="008D3C54"/>
    <w:rsid w:val="008E21D6"/>
    <w:rsid w:val="008F5B34"/>
    <w:rsid w:val="009127F8"/>
    <w:rsid w:val="0091409D"/>
    <w:rsid w:val="009162E4"/>
    <w:rsid w:val="00917002"/>
    <w:rsid w:val="009239BF"/>
    <w:rsid w:val="009253AA"/>
    <w:rsid w:val="0094031A"/>
    <w:rsid w:val="00945975"/>
    <w:rsid w:val="00946C5F"/>
    <w:rsid w:val="00946E21"/>
    <w:rsid w:val="00957F19"/>
    <w:rsid w:val="009652FD"/>
    <w:rsid w:val="009733AC"/>
    <w:rsid w:val="009751D4"/>
    <w:rsid w:val="00975D88"/>
    <w:rsid w:val="00985767"/>
    <w:rsid w:val="0099368F"/>
    <w:rsid w:val="009B66F3"/>
    <w:rsid w:val="009C3355"/>
    <w:rsid w:val="009C50CE"/>
    <w:rsid w:val="009C58DC"/>
    <w:rsid w:val="009D4EE9"/>
    <w:rsid w:val="009E313A"/>
    <w:rsid w:val="009E412C"/>
    <w:rsid w:val="009F2DA3"/>
    <w:rsid w:val="009F589F"/>
    <w:rsid w:val="009F7F6B"/>
    <w:rsid w:val="00A016F3"/>
    <w:rsid w:val="00A0276B"/>
    <w:rsid w:val="00A103CB"/>
    <w:rsid w:val="00A14053"/>
    <w:rsid w:val="00A1640D"/>
    <w:rsid w:val="00A1725E"/>
    <w:rsid w:val="00A17A64"/>
    <w:rsid w:val="00A22A17"/>
    <w:rsid w:val="00A2664A"/>
    <w:rsid w:val="00A30EF2"/>
    <w:rsid w:val="00A4180C"/>
    <w:rsid w:val="00A42BD7"/>
    <w:rsid w:val="00A468F7"/>
    <w:rsid w:val="00A540A8"/>
    <w:rsid w:val="00A80529"/>
    <w:rsid w:val="00A811FF"/>
    <w:rsid w:val="00A86FBA"/>
    <w:rsid w:val="00A92CB1"/>
    <w:rsid w:val="00A94299"/>
    <w:rsid w:val="00A94B00"/>
    <w:rsid w:val="00A959AC"/>
    <w:rsid w:val="00A96F7C"/>
    <w:rsid w:val="00AA068C"/>
    <w:rsid w:val="00AA498C"/>
    <w:rsid w:val="00AA66AE"/>
    <w:rsid w:val="00AA7219"/>
    <w:rsid w:val="00AB3995"/>
    <w:rsid w:val="00AB66C4"/>
    <w:rsid w:val="00AC1ECE"/>
    <w:rsid w:val="00AC631F"/>
    <w:rsid w:val="00AD2153"/>
    <w:rsid w:val="00AE225B"/>
    <w:rsid w:val="00AE59B4"/>
    <w:rsid w:val="00AE5D36"/>
    <w:rsid w:val="00AE5E46"/>
    <w:rsid w:val="00AF07E6"/>
    <w:rsid w:val="00AF7C36"/>
    <w:rsid w:val="00B03301"/>
    <w:rsid w:val="00B05731"/>
    <w:rsid w:val="00B12BE9"/>
    <w:rsid w:val="00B26CF5"/>
    <w:rsid w:val="00B322DB"/>
    <w:rsid w:val="00B35E04"/>
    <w:rsid w:val="00B36EF3"/>
    <w:rsid w:val="00B41D3A"/>
    <w:rsid w:val="00B526E0"/>
    <w:rsid w:val="00B66169"/>
    <w:rsid w:val="00B737DC"/>
    <w:rsid w:val="00B76292"/>
    <w:rsid w:val="00B804F4"/>
    <w:rsid w:val="00B83746"/>
    <w:rsid w:val="00B83D2E"/>
    <w:rsid w:val="00B908C2"/>
    <w:rsid w:val="00BA241E"/>
    <w:rsid w:val="00BB437F"/>
    <w:rsid w:val="00BD3283"/>
    <w:rsid w:val="00BE3F03"/>
    <w:rsid w:val="00BF3A93"/>
    <w:rsid w:val="00BF6331"/>
    <w:rsid w:val="00BF6532"/>
    <w:rsid w:val="00C00573"/>
    <w:rsid w:val="00C072AE"/>
    <w:rsid w:val="00C07B45"/>
    <w:rsid w:val="00C21977"/>
    <w:rsid w:val="00C23F11"/>
    <w:rsid w:val="00C24E57"/>
    <w:rsid w:val="00C26BC6"/>
    <w:rsid w:val="00C312F8"/>
    <w:rsid w:val="00C313DE"/>
    <w:rsid w:val="00C41932"/>
    <w:rsid w:val="00C42D95"/>
    <w:rsid w:val="00C4380C"/>
    <w:rsid w:val="00C719BD"/>
    <w:rsid w:val="00C757F3"/>
    <w:rsid w:val="00C8030B"/>
    <w:rsid w:val="00C81A7B"/>
    <w:rsid w:val="00C825EB"/>
    <w:rsid w:val="00C828E1"/>
    <w:rsid w:val="00C9505A"/>
    <w:rsid w:val="00C97C4F"/>
    <w:rsid w:val="00CA33B6"/>
    <w:rsid w:val="00CA3508"/>
    <w:rsid w:val="00CA3878"/>
    <w:rsid w:val="00CA7C72"/>
    <w:rsid w:val="00CB2AA7"/>
    <w:rsid w:val="00CB4D7D"/>
    <w:rsid w:val="00CB790A"/>
    <w:rsid w:val="00CC0534"/>
    <w:rsid w:val="00CC6599"/>
    <w:rsid w:val="00CC6759"/>
    <w:rsid w:val="00CD3A5C"/>
    <w:rsid w:val="00CD4D9B"/>
    <w:rsid w:val="00CE2A93"/>
    <w:rsid w:val="00CE41A3"/>
    <w:rsid w:val="00CE4B2C"/>
    <w:rsid w:val="00D23AF3"/>
    <w:rsid w:val="00D2622A"/>
    <w:rsid w:val="00D271B2"/>
    <w:rsid w:val="00D31039"/>
    <w:rsid w:val="00D3331C"/>
    <w:rsid w:val="00D44A0A"/>
    <w:rsid w:val="00D45474"/>
    <w:rsid w:val="00D51162"/>
    <w:rsid w:val="00D71B67"/>
    <w:rsid w:val="00D7233B"/>
    <w:rsid w:val="00D74406"/>
    <w:rsid w:val="00D74C33"/>
    <w:rsid w:val="00D760F2"/>
    <w:rsid w:val="00D961E8"/>
    <w:rsid w:val="00DB0C19"/>
    <w:rsid w:val="00DB379F"/>
    <w:rsid w:val="00DC20DD"/>
    <w:rsid w:val="00DC62EB"/>
    <w:rsid w:val="00DC6969"/>
    <w:rsid w:val="00DD0A74"/>
    <w:rsid w:val="00DD3EAB"/>
    <w:rsid w:val="00DD6048"/>
    <w:rsid w:val="00DE7BDC"/>
    <w:rsid w:val="00DE7DEF"/>
    <w:rsid w:val="00DF252E"/>
    <w:rsid w:val="00E0018F"/>
    <w:rsid w:val="00E00DCA"/>
    <w:rsid w:val="00E0778D"/>
    <w:rsid w:val="00E14C63"/>
    <w:rsid w:val="00E23C8A"/>
    <w:rsid w:val="00E45C11"/>
    <w:rsid w:val="00E538EF"/>
    <w:rsid w:val="00E5789D"/>
    <w:rsid w:val="00E640A8"/>
    <w:rsid w:val="00E70092"/>
    <w:rsid w:val="00E736DD"/>
    <w:rsid w:val="00E75BF1"/>
    <w:rsid w:val="00E76B3A"/>
    <w:rsid w:val="00E77411"/>
    <w:rsid w:val="00E85BF0"/>
    <w:rsid w:val="00EA06FA"/>
    <w:rsid w:val="00EB1EE0"/>
    <w:rsid w:val="00EB59BC"/>
    <w:rsid w:val="00EB6DB5"/>
    <w:rsid w:val="00EF357E"/>
    <w:rsid w:val="00EF3B89"/>
    <w:rsid w:val="00EF71C5"/>
    <w:rsid w:val="00EF7D03"/>
    <w:rsid w:val="00F1421D"/>
    <w:rsid w:val="00F154F8"/>
    <w:rsid w:val="00F17A2F"/>
    <w:rsid w:val="00F21CD1"/>
    <w:rsid w:val="00F31942"/>
    <w:rsid w:val="00F41F2A"/>
    <w:rsid w:val="00F5285D"/>
    <w:rsid w:val="00F54974"/>
    <w:rsid w:val="00F5783D"/>
    <w:rsid w:val="00F60845"/>
    <w:rsid w:val="00F658B1"/>
    <w:rsid w:val="00F67381"/>
    <w:rsid w:val="00F73036"/>
    <w:rsid w:val="00F8134A"/>
    <w:rsid w:val="00F872A1"/>
    <w:rsid w:val="00F9036F"/>
    <w:rsid w:val="00F907EB"/>
    <w:rsid w:val="00F96311"/>
    <w:rsid w:val="00FA4EEE"/>
    <w:rsid w:val="00FB33A2"/>
    <w:rsid w:val="00FB5D57"/>
    <w:rsid w:val="00FC449C"/>
    <w:rsid w:val="00FC4935"/>
    <w:rsid w:val="00FC78EF"/>
    <w:rsid w:val="00FD5F15"/>
    <w:rsid w:val="00FF0E83"/>
    <w:rsid w:val="00FF5A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3752073-03F6-43C3-8FA7-EC85FE8EF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E225B"/>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E225B"/>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E22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1935F2"/>
    <w:pPr>
      <w:tabs>
        <w:tab w:val="right" w:leader="hyphen" w:pos="8490"/>
      </w:tabs>
      <w:ind w:leftChars="0" w:left="487" w:rightChars="100" w:right="283"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aliases w:val="FR,Ref,de nota al pie,註腳內容,Error-Fußnotenzeichen5,Error-Fußnotenzeichen6,Error-Fußnotenzeichen3"/>
    <w:unhideWhenUsed/>
    <w:rsid w:val="00865CA2"/>
    <w:rPr>
      <w:vertAlign w:val="superscript"/>
    </w:rPr>
  </w:style>
  <w:style w:type="character" w:customStyle="1" w:styleId="143">
    <w:name w:val="表格內文(14行高) 字元"/>
    <w:link w:val="142"/>
    <w:rsid w:val="00865CA2"/>
    <w:rPr>
      <w:rFonts w:ascii="標楷體" w:eastAsia="標楷體"/>
      <w:snapToGrid w:val="0"/>
      <w:kern w:val="2"/>
      <w:sz w:val="24"/>
      <w:szCs w:val="28"/>
    </w:rPr>
  </w:style>
  <w:style w:type="character" w:customStyle="1" w:styleId="11">
    <w:name w:val="(一)(二)(三) 字元1"/>
    <w:link w:val="a4"/>
    <w:rsid w:val="00865CA2"/>
    <w:rPr>
      <w:rFonts w:ascii="標楷體" w:eastAsia="標楷體"/>
      <w:snapToGrid w:val="0"/>
      <w:kern w:val="2"/>
      <w:sz w:val="28"/>
      <w:szCs w:val="28"/>
    </w:rPr>
  </w:style>
  <w:style w:type="character" w:customStyle="1" w:styleId="22">
    <w:name w:val="(一)下內文縮2 字元"/>
    <w:link w:val="21"/>
    <w:rsid w:val="00865CA2"/>
    <w:rPr>
      <w:rFonts w:ascii="標楷體" w:eastAsia="標楷體"/>
      <w:snapToGrid w:val="0"/>
      <w:kern w:val="2"/>
      <w:sz w:val="28"/>
      <w:szCs w:val="28"/>
    </w:rPr>
  </w:style>
  <w:style w:type="character" w:customStyle="1" w:styleId="140">
    <w:name w:val="第二層(14號字) 字元"/>
    <w:link w:val="14"/>
    <w:rsid w:val="00865CA2"/>
    <w:rPr>
      <w:rFonts w:ascii="標楷體" w:eastAsia="標楷體"/>
      <w:b/>
      <w:snapToGrid w:val="0"/>
      <w:kern w:val="2"/>
      <w:sz w:val="28"/>
    </w:rPr>
  </w:style>
  <w:style w:type="paragraph" w:styleId="af1">
    <w:name w:val="footnote text"/>
    <w:basedOn w:val="a"/>
    <w:link w:val="af2"/>
    <w:unhideWhenUsed/>
    <w:rsid w:val="003F1F40"/>
    <w:pPr>
      <w:snapToGrid w:val="0"/>
      <w:jc w:val="left"/>
    </w:pPr>
    <w:rPr>
      <w:sz w:val="20"/>
      <w:szCs w:val="20"/>
    </w:rPr>
  </w:style>
  <w:style w:type="character" w:customStyle="1" w:styleId="af2">
    <w:name w:val="註腳文字 字元"/>
    <w:link w:val="af1"/>
    <w:rsid w:val="003F1F40"/>
    <w:rPr>
      <w:rFonts w:ascii="標楷體" w:eastAsia="標楷體"/>
      <w:snapToGrid w:val="0"/>
      <w:kern w:val="2"/>
    </w:rPr>
  </w:style>
  <w:style w:type="character" w:customStyle="1" w:styleId="10">
    <w:name w:val="標題 1 字元"/>
    <w:link w:val="1"/>
    <w:uiPriority w:val="9"/>
    <w:rsid w:val="00AE225B"/>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E225B"/>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E225B"/>
    <w:rPr>
      <w:rFonts w:ascii="Calibri Light" w:eastAsia="新細明體" w:hAnsi="Calibri Light" w:cs="Times New Roman"/>
      <w:b/>
      <w:bCs/>
      <w:snapToGrid w:val="0"/>
      <w:kern w:val="2"/>
      <w:sz w:val="36"/>
      <w:szCs w:val="36"/>
    </w:rPr>
  </w:style>
  <w:style w:type="character" w:styleId="af3">
    <w:name w:val="Hyperlink"/>
    <w:uiPriority w:val="99"/>
    <w:unhideWhenUsed/>
    <w:rsid w:val="00AE225B"/>
    <w:rPr>
      <w:color w:val="0563C1"/>
      <w:u w:val="single"/>
    </w:rPr>
  </w:style>
  <w:style w:type="table" w:styleId="af4">
    <w:name w:val="Table Grid"/>
    <w:basedOn w:val="a1"/>
    <w:uiPriority w:val="59"/>
    <w:rsid w:val="00040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
    <w:link w:val="af6"/>
    <w:uiPriority w:val="99"/>
    <w:semiHidden/>
    <w:unhideWhenUsed/>
    <w:rsid w:val="000976CB"/>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0976CB"/>
    <w:rPr>
      <w:rFonts w:ascii="Calibri Light" w:eastAsia="新細明體" w:hAnsi="Calibri Light" w:cs="Times New Roman"/>
      <w:snapToGrid w:val="0"/>
      <w:kern w:val="2"/>
      <w:sz w:val="18"/>
      <w:szCs w:val="18"/>
    </w:rPr>
  </w:style>
  <w:style w:type="paragraph" w:customStyle="1" w:styleId="13">
    <w:name w:val="1"/>
    <w:basedOn w:val="a"/>
    <w:semiHidden/>
    <w:rsid w:val="00065B8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7">
    <w:name w:val="(一)(二)(三) 字元"/>
    <w:rsid w:val="00065B87"/>
    <w:rPr>
      <w:rFonts w:ascii="標楷體" w:eastAsia="標楷體"/>
      <w:snapToGrid w:val="0"/>
      <w:kern w:val="2"/>
      <w:sz w:val="28"/>
      <w:szCs w:val="28"/>
      <w:lang w:val="en-US" w:eastAsia="zh-TW" w:bidi="ar-SA"/>
    </w:rPr>
  </w:style>
  <w:style w:type="character" w:customStyle="1" w:styleId="1410">
    <w:name w:val="第二層(14號字) 字元1"/>
    <w:rsid w:val="00065B87"/>
    <w:rPr>
      <w:rFonts w:ascii="標楷體" w:eastAsia="標楷體"/>
      <w:b/>
      <w:snapToGrid w:val="0"/>
      <w:kern w:val="2"/>
      <w:sz w:val="28"/>
      <w:lang w:val="en-US" w:eastAsia="zh-TW" w:bidi="ar-SA"/>
    </w:rPr>
  </w:style>
  <w:style w:type="character" w:customStyle="1" w:styleId="24">
    <w:name w:val="(一)(二)(三) 字元2"/>
    <w:rsid w:val="00A86FBA"/>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21673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21673E"/>
    <w:rPr>
      <w:rFonts w:ascii="Calibri" w:hAnsi="Calibri"/>
      <w:kern w:val="2"/>
      <w:sz w:val="24"/>
      <w:szCs w:val="22"/>
    </w:rPr>
  </w:style>
  <w:style w:type="paragraph" w:styleId="Web">
    <w:name w:val="Normal (Web)"/>
    <w:basedOn w:val="a"/>
    <w:uiPriority w:val="99"/>
    <w:semiHidden/>
    <w:unhideWhenUsed/>
    <w:rsid w:val="0029488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357602">
      <w:bodyDiv w:val="1"/>
      <w:marLeft w:val="0"/>
      <w:marRight w:val="0"/>
      <w:marTop w:val="0"/>
      <w:marBottom w:val="0"/>
      <w:divBdr>
        <w:top w:val="none" w:sz="0" w:space="0" w:color="auto"/>
        <w:left w:val="none" w:sz="0" w:space="0" w:color="auto"/>
        <w:bottom w:val="none" w:sz="0" w:space="0" w:color="auto"/>
        <w:right w:val="none" w:sz="0" w:space="0" w:color="auto"/>
      </w:divBdr>
      <w:divsChild>
        <w:div w:id="2056000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94214-3ADD-4908-BFDF-82C6C2CE6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299</Words>
  <Characters>1706</Characters>
  <Application>Microsoft Office Word</Application>
  <DocSecurity>0</DocSecurity>
  <Lines>14</Lines>
  <Paragraphs>4</Paragraphs>
  <ScaleCrop>false</ScaleCrop>
  <Company>HOME</Company>
  <LinksUpToDate>false</LinksUpToDate>
  <CharactersWithSpaces>2001</CharactersWithSpaces>
  <SharedDoc>false</SharedDoc>
  <HLinks>
    <vt:vector size="30" baseType="variant">
      <vt:variant>
        <vt:i4>1572918</vt:i4>
      </vt:variant>
      <vt:variant>
        <vt:i4>26</vt:i4>
      </vt:variant>
      <vt:variant>
        <vt:i4>0</vt:i4>
      </vt:variant>
      <vt:variant>
        <vt:i4>5</vt:i4>
      </vt:variant>
      <vt:variant>
        <vt:lpwstr/>
      </vt:variant>
      <vt:variant>
        <vt:lpwstr>_Toc180742326</vt:lpwstr>
      </vt:variant>
      <vt:variant>
        <vt:i4>1572918</vt:i4>
      </vt:variant>
      <vt:variant>
        <vt:i4>20</vt:i4>
      </vt:variant>
      <vt:variant>
        <vt:i4>0</vt:i4>
      </vt:variant>
      <vt:variant>
        <vt:i4>5</vt:i4>
      </vt:variant>
      <vt:variant>
        <vt:lpwstr/>
      </vt:variant>
      <vt:variant>
        <vt:lpwstr>_Toc180742325</vt:lpwstr>
      </vt:variant>
      <vt:variant>
        <vt:i4>1572918</vt:i4>
      </vt:variant>
      <vt:variant>
        <vt:i4>14</vt:i4>
      </vt:variant>
      <vt:variant>
        <vt:i4>0</vt:i4>
      </vt:variant>
      <vt:variant>
        <vt:i4>5</vt:i4>
      </vt:variant>
      <vt:variant>
        <vt:lpwstr/>
      </vt:variant>
      <vt:variant>
        <vt:lpwstr>_Toc180742324</vt:lpwstr>
      </vt:variant>
      <vt:variant>
        <vt:i4>1572918</vt:i4>
      </vt:variant>
      <vt:variant>
        <vt:i4>8</vt:i4>
      </vt:variant>
      <vt:variant>
        <vt:i4>0</vt:i4>
      </vt:variant>
      <vt:variant>
        <vt:i4>5</vt:i4>
      </vt:variant>
      <vt:variant>
        <vt:lpwstr/>
      </vt:variant>
      <vt:variant>
        <vt:lpwstr>_Toc180742323</vt:lpwstr>
      </vt:variant>
      <vt:variant>
        <vt:i4>1572918</vt:i4>
      </vt:variant>
      <vt:variant>
        <vt:i4>2</vt:i4>
      </vt:variant>
      <vt:variant>
        <vt:i4>0</vt:i4>
      </vt:variant>
      <vt:variant>
        <vt:i4>5</vt:i4>
      </vt:variant>
      <vt:variant>
        <vt:lpwstr/>
      </vt:variant>
      <vt:variant>
        <vt:lpwstr>_Toc180742322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2024-11-21T06:18:00Z</cp:lastPrinted>
  <dcterms:created xsi:type="dcterms:W3CDTF">2024-11-21T06:39:00Z</dcterms:created>
  <dcterms:modified xsi:type="dcterms:W3CDTF">2024-11-21T06:39:00Z</dcterms:modified>
</cp:coreProperties>
</file>