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183A" w:rsidRPr="00C208F9" w:rsidRDefault="00F741C8" w:rsidP="008A58BE">
      <w:pPr>
        <w:pStyle w:val="aa"/>
        <w:rPr>
          <w:rFonts w:hAnsi="標楷體" w:hint="eastAsia"/>
        </w:rPr>
      </w:pPr>
      <w:bookmarkStart w:id="0" w:name="_GoBack"/>
      <w:bookmarkEnd w:id="0"/>
      <w:r w:rsidRPr="00C208F9">
        <w:rPr>
          <w:rFonts w:hAnsi="標楷體" w:hint="eastAsia"/>
        </w:rPr>
        <w:t>財團法人法律扶助基金會</w:t>
      </w:r>
      <w:r w:rsidR="008303AF">
        <w:rPr>
          <w:rFonts w:hAnsi="標楷體" w:hint="eastAsia"/>
        </w:rPr>
        <w:t>11</w:t>
      </w:r>
      <w:r w:rsidR="00207A94">
        <w:rPr>
          <w:rFonts w:hAnsi="標楷體"/>
        </w:rPr>
        <w:t>4</w:t>
      </w:r>
      <w:r w:rsidRPr="00C208F9">
        <w:rPr>
          <w:rFonts w:hAnsi="標楷體" w:hint="eastAsia"/>
        </w:rPr>
        <w:t>年度</w:t>
      </w:r>
      <w:r w:rsidR="001E183A" w:rsidRPr="00C208F9">
        <w:rPr>
          <w:rFonts w:hAnsi="標楷體" w:hint="eastAsia"/>
        </w:rPr>
        <w:t>預</w:t>
      </w:r>
      <w:r w:rsidRPr="00C208F9">
        <w:rPr>
          <w:rFonts w:hAnsi="標楷體" w:hint="eastAsia"/>
        </w:rPr>
        <w:t>算評估報告</w:t>
      </w:r>
      <w:bookmarkStart w:id="1" w:name="_Toc278465170"/>
    </w:p>
    <w:p w:rsidR="00A4443E" w:rsidRDefault="002E5364" w:rsidP="00A4443E">
      <w:pPr>
        <w:pStyle w:val="a8"/>
        <w:ind w:firstLine="566"/>
      </w:pPr>
      <w:bookmarkStart w:id="2" w:name="_Toc278528462"/>
      <w:r w:rsidRPr="002E5364">
        <w:rPr>
          <w:rFonts w:hint="eastAsia"/>
        </w:rPr>
        <w:t>財團法人法律扶助基金會(以下簡稱法扶基金會)係</w:t>
      </w:r>
      <w:r w:rsidR="002175E5">
        <w:rPr>
          <w:rFonts w:hint="eastAsia"/>
        </w:rPr>
        <w:t>依據法律扶助法第3條第1項設置，</w:t>
      </w:r>
      <w:r w:rsidRPr="002E5364">
        <w:rPr>
          <w:rFonts w:hint="eastAsia"/>
        </w:rPr>
        <w:t>以提供人民法律扶助，保障人民基本訴訟權利為宗旨，</w:t>
      </w:r>
      <w:r w:rsidR="00EB54D5">
        <w:rPr>
          <w:rFonts w:hint="eastAsia"/>
        </w:rPr>
        <w:t>於</w:t>
      </w:r>
      <w:r w:rsidR="002175E5">
        <w:rPr>
          <w:rFonts w:hint="eastAsia"/>
        </w:rPr>
        <w:t>93年4月22日完成法人設立登記後，同年7月1日</w:t>
      </w:r>
      <w:r w:rsidR="00EB54D5">
        <w:rPr>
          <w:rFonts w:hint="eastAsia"/>
        </w:rPr>
        <w:t>即</w:t>
      </w:r>
      <w:r w:rsidR="002175E5">
        <w:rPr>
          <w:rFonts w:hint="eastAsia"/>
        </w:rPr>
        <w:t>正式開辦受理民眾申請。其</w:t>
      </w:r>
      <w:r w:rsidR="00B37435" w:rsidRPr="00B37435">
        <w:rPr>
          <w:rFonts w:hint="eastAsia"/>
        </w:rPr>
        <w:t>扶助對象主要針對無資力，或因其</w:t>
      </w:r>
      <w:r w:rsidR="00B37435">
        <w:rPr>
          <w:rFonts w:hint="eastAsia"/>
        </w:rPr>
        <w:t>他</w:t>
      </w:r>
      <w:r w:rsidR="00B37435" w:rsidRPr="00B37435">
        <w:rPr>
          <w:rFonts w:hint="eastAsia"/>
        </w:rPr>
        <w:t>原因無法受到法律適當保護</w:t>
      </w:r>
      <w:r w:rsidR="001B53A7">
        <w:rPr>
          <w:rFonts w:hint="eastAsia"/>
        </w:rPr>
        <w:t>者</w:t>
      </w:r>
      <w:r w:rsidR="00B37435" w:rsidRPr="00B37435">
        <w:rPr>
          <w:rFonts w:hint="eastAsia"/>
        </w:rPr>
        <w:t>，</w:t>
      </w:r>
      <w:r w:rsidR="00B37435">
        <w:rPr>
          <w:rFonts w:hint="eastAsia"/>
        </w:rPr>
        <w:t>提供</w:t>
      </w:r>
      <w:r w:rsidR="00B37435" w:rsidRPr="00B37435">
        <w:rPr>
          <w:rFonts w:hint="eastAsia"/>
        </w:rPr>
        <w:t>法律諮詢、調解、和解、法律文件撰擬及訴訟之代理或辯護等</w:t>
      </w:r>
      <w:r w:rsidR="00E81197" w:rsidRPr="00E81197">
        <w:rPr>
          <w:rFonts w:hint="eastAsia"/>
        </w:rPr>
        <w:t>法律扶助</w:t>
      </w:r>
      <w:r w:rsidR="00B37435">
        <w:rPr>
          <w:rFonts w:hint="eastAsia"/>
        </w:rPr>
        <w:t>服務</w:t>
      </w:r>
      <w:r w:rsidR="002175E5">
        <w:rPr>
          <w:rFonts w:hint="eastAsia"/>
        </w:rPr>
        <w:t>。謹就</w:t>
      </w:r>
      <w:r w:rsidR="00B37435">
        <w:rPr>
          <w:rFonts w:hint="eastAsia"/>
        </w:rPr>
        <w:t>該基金會</w:t>
      </w:r>
      <w:r w:rsidR="008303AF">
        <w:rPr>
          <w:rFonts w:hint="eastAsia"/>
        </w:rPr>
        <w:t>11</w:t>
      </w:r>
      <w:r w:rsidR="00C240DC">
        <w:rPr>
          <w:rFonts w:hint="eastAsia"/>
        </w:rPr>
        <w:t>4</w:t>
      </w:r>
      <w:r w:rsidRPr="002E5364">
        <w:rPr>
          <w:rFonts w:hint="eastAsia"/>
        </w:rPr>
        <w:t>年度預算</w:t>
      </w:r>
      <w:r w:rsidR="00E81197">
        <w:rPr>
          <w:rFonts w:hint="eastAsia"/>
        </w:rPr>
        <w:t>案</w:t>
      </w:r>
      <w:r w:rsidRPr="002E5364">
        <w:rPr>
          <w:rFonts w:hint="eastAsia"/>
        </w:rPr>
        <w:t>評</w:t>
      </w:r>
      <w:r w:rsidR="002175E5">
        <w:rPr>
          <w:rFonts w:hint="eastAsia"/>
        </w:rPr>
        <w:t>估如</w:t>
      </w:r>
      <w:r w:rsidRPr="002E5364">
        <w:rPr>
          <w:rFonts w:hint="eastAsia"/>
        </w:rPr>
        <w:t>下：</w:t>
      </w:r>
    </w:p>
    <w:p w:rsidR="000B409D" w:rsidRPr="003C54E4" w:rsidRDefault="000B409D" w:rsidP="000B409D">
      <w:pPr>
        <w:pStyle w:val="14"/>
        <w:ind w:left="567" w:hanging="567"/>
      </w:pPr>
      <w:bookmarkStart w:id="3" w:name="_Toc146823393"/>
      <w:bookmarkStart w:id="4" w:name="_Toc182558509"/>
      <w:r w:rsidRPr="003C54E4">
        <w:rPr>
          <w:rFonts w:hint="eastAsia"/>
        </w:rPr>
        <w:t>五、</w:t>
      </w:r>
      <w:r w:rsidRPr="00FD0EC3">
        <w:rPr>
          <w:rFonts w:hint="eastAsia"/>
        </w:rPr>
        <w:t>108至112年度</w:t>
      </w:r>
      <w:r>
        <w:rPr>
          <w:rFonts w:hint="eastAsia"/>
        </w:rPr>
        <w:t>法扶基金會</w:t>
      </w:r>
      <w:r w:rsidRPr="00FD0EC3">
        <w:rPr>
          <w:rFonts w:hint="eastAsia"/>
        </w:rPr>
        <w:t>原民中心准予扶助案件中，屬原民文化衝突案件之占比</w:t>
      </w:r>
      <w:r>
        <w:rPr>
          <w:rFonts w:hint="eastAsia"/>
        </w:rPr>
        <w:t>概</w:t>
      </w:r>
      <w:r w:rsidRPr="00FD0EC3">
        <w:rPr>
          <w:rFonts w:hint="eastAsia"/>
        </w:rPr>
        <w:t>呈下滑趨勢</w:t>
      </w:r>
      <w:r w:rsidRPr="003C54E4">
        <w:rPr>
          <w:rFonts w:hint="eastAsia"/>
        </w:rPr>
        <w:t>，</w:t>
      </w:r>
      <w:r w:rsidR="005B0E05">
        <w:rPr>
          <w:rFonts w:hint="eastAsia"/>
        </w:rPr>
        <w:t>允</w:t>
      </w:r>
      <w:r w:rsidR="008D2A2B">
        <w:rPr>
          <w:rFonts w:hint="eastAsia"/>
        </w:rPr>
        <w:t>待</w:t>
      </w:r>
      <w:r w:rsidR="00257236">
        <w:rPr>
          <w:rFonts w:hint="eastAsia"/>
        </w:rPr>
        <w:t>加強辦理</w:t>
      </w:r>
      <w:r w:rsidRPr="003C54E4">
        <w:rPr>
          <w:rFonts w:hint="eastAsia"/>
        </w:rPr>
        <w:t>，</w:t>
      </w:r>
      <w:bookmarkEnd w:id="3"/>
      <w:r w:rsidRPr="00F924A1">
        <w:rPr>
          <w:rFonts w:hint="eastAsia"/>
        </w:rPr>
        <w:t>以</w:t>
      </w:r>
      <w:r w:rsidR="005B0E05">
        <w:rPr>
          <w:rFonts w:hint="eastAsia"/>
        </w:rPr>
        <w:t>提升</w:t>
      </w:r>
      <w:r w:rsidRPr="00F924A1">
        <w:rPr>
          <w:rFonts w:hint="eastAsia"/>
        </w:rPr>
        <w:t>服務效能</w:t>
      </w:r>
      <w:bookmarkEnd w:id="4"/>
    </w:p>
    <w:p w:rsidR="000B409D" w:rsidRDefault="000B409D" w:rsidP="000B409D">
      <w:pPr>
        <w:ind w:left="566" w:firstLine="566"/>
      </w:pPr>
      <w:r w:rsidRPr="00203844">
        <w:rPr>
          <w:rFonts w:hint="eastAsia"/>
        </w:rPr>
        <w:t>法扶基金會原住民法律服務中心</w:t>
      </w:r>
      <w:r w:rsidR="00645B7E">
        <w:rPr>
          <w:rFonts w:hint="eastAsia"/>
        </w:rPr>
        <w:t>(</w:t>
      </w:r>
      <w:r w:rsidR="00645B7E" w:rsidRPr="003C54E4">
        <w:rPr>
          <w:rFonts w:hint="eastAsia"/>
        </w:rPr>
        <w:t>下稱原民中心</w:t>
      </w:r>
      <w:r w:rsidR="00645B7E">
        <w:rPr>
          <w:rFonts w:hint="eastAsia"/>
        </w:rPr>
        <w:t>)</w:t>
      </w:r>
      <w:r w:rsidRPr="00203844">
        <w:rPr>
          <w:rFonts w:hint="eastAsia"/>
        </w:rPr>
        <w:t>11</w:t>
      </w:r>
      <w:r w:rsidRPr="00203844">
        <w:t>4</w:t>
      </w:r>
      <w:r w:rsidRPr="00203844">
        <w:rPr>
          <w:rFonts w:hint="eastAsia"/>
        </w:rPr>
        <w:t>年度預算案「業務成本及管理費用」編列</w:t>
      </w:r>
      <w:r w:rsidRPr="00203844">
        <w:t>1,277</w:t>
      </w:r>
      <w:r w:rsidRPr="00203844">
        <w:rPr>
          <w:rFonts w:hint="eastAsia"/>
        </w:rPr>
        <w:t>萬</w:t>
      </w:r>
      <w:r w:rsidRPr="00203844">
        <w:t>9</w:t>
      </w:r>
      <w:r w:rsidRPr="00203844">
        <w:rPr>
          <w:rFonts w:hint="eastAsia"/>
        </w:rPr>
        <w:t>千元，較11</w:t>
      </w:r>
      <w:r w:rsidRPr="00203844">
        <w:t>3</w:t>
      </w:r>
      <w:r w:rsidRPr="00203844">
        <w:rPr>
          <w:rFonts w:hint="eastAsia"/>
        </w:rPr>
        <w:t>年度預算數</w:t>
      </w:r>
      <w:r w:rsidRPr="00203844">
        <w:t>1,228</w:t>
      </w:r>
      <w:r w:rsidRPr="00203844">
        <w:rPr>
          <w:rFonts w:hint="eastAsia"/>
        </w:rPr>
        <w:t>萬4千元，增加4</w:t>
      </w:r>
      <w:r w:rsidRPr="00203844">
        <w:t>9</w:t>
      </w:r>
      <w:r w:rsidRPr="00203844">
        <w:rPr>
          <w:rFonts w:hint="eastAsia"/>
        </w:rPr>
        <w:t>萬5千元(增幅</w:t>
      </w:r>
      <w:r w:rsidRPr="00203844">
        <w:t>4.03</w:t>
      </w:r>
      <w:r w:rsidRPr="00203844">
        <w:rPr>
          <w:rFonts w:hint="eastAsia"/>
        </w:rPr>
        <w:t>%)；</w:t>
      </w:r>
      <w:r w:rsidRPr="003C54E4">
        <w:rPr>
          <w:rFonts w:hint="eastAsia"/>
        </w:rPr>
        <w:t>原民中心應以承辦原民文化衝突案件為優先</w:t>
      </w:r>
      <w:r w:rsidR="00257236">
        <w:rPr>
          <w:rStyle w:val="af1"/>
        </w:rPr>
        <w:footnoteReference w:id="1"/>
      </w:r>
      <w:r w:rsidRPr="003C54E4">
        <w:rPr>
          <w:rFonts w:hint="eastAsia"/>
        </w:rPr>
        <w:t>，惟</w:t>
      </w:r>
      <w:r>
        <w:rPr>
          <w:rFonts w:hint="eastAsia"/>
        </w:rPr>
        <w:t>近年(</w:t>
      </w:r>
      <w:r w:rsidRPr="00FD0EC3">
        <w:rPr>
          <w:rFonts w:hint="eastAsia"/>
          <w:color w:val="000000"/>
        </w:rPr>
        <w:t>108至112年度</w:t>
      </w:r>
      <w:r>
        <w:rPr>
          <w:rFonts w:hint="eastAsia"/>
          <w:color w:val="000000"/>
        </w:rPr>
        <w:t>)</w:t>
      </w:r>
      <w:r w:rsidRPr="00FD0EC3">
        <w:rPr>
          <w:rFonts w:hint="eastAsia"/>
          <w:color w:val="000000"/>
        </w:rPr>
        <w:t>原民中心准予扶助案件中，屬原民文化衝突案件之占比</w:t>
      </w:r>
      <w:r>
        <w:rPr>
          <w:rFonts w:hint="eastAsia"/>
          <w:color w:val="000000"/>
        </w:rPr>
        <w:t>概</w:t>
      </w:r>
      <w:r w:rsidRPr="00FD0EC3">
        <w:rPr>
          <w:rFonts w:hint="eastAsia"/>
          <w:color w:val="000000"/>
        </w:rPr>
        <w:t>呈下滑趨勢</w:t>
      </w:r>
      <w:r w:rsidRPr="003C54E4">
        <w:rPr>
          <w:rFonts w:hint="eastAsia"/>
          <w:color w:val="000000"/>
        </w:rPr>
        <w:t>，</w:t>
      </w:r>
      <w:r w:rsidR="00480BC3">
        <w:rPr>
          <w:rFonts w:hint="eastAsia"/>
          <w:color w:val="000000"/>
        </w:rPr>
        <w:t>恐</w:t>
      </w:r>
      <w:r w:rsidRPr="003C54E4">
        <w:rPr>
          <w:rFonts w:hint="eastAsia"/>
        </w:rPr>
        <w:t>不利發揮服務效能，</w:t>
      </w:r>
      <w:r w:rsidR="00645B7E">
        <w:rPr>
          <w:rFonts w:hint="eastAsia"/>
        </w:rPr>
        <w:t>謹</w:t>
      </w:r>
      <w:r w:rsidRPr="003C54E4">
        <w:rPr>
          <w:rFonts w:hint="eastAsia"/>
        </w:rPr>
        <w:t>說明如下：</w:t>
      </w:r>
    </w:p>
    <w:p w:rsidR="000B409D" w:rsidRPr="003C54E4" w:rsidRDefault="000B409D" w:rsidP="000B409D">
      <w:pPr>
        <w:ind w:left="849" w:hangingChars="100" w:hanging="283"/>
        <w:rPr>
          <w:b/>
        </w:rPr>
      </w:pPr>
      <w:r w:rsidRPr="003C54E4">
        <w:rPr>
          <w:rFonts w:hint="eastAsia"/>
          <w:b/>
        </w:rPr>
        <w:t>(一</w:t>
      </w:r>
      <w:r w:rsidRPr="003C54E4">
        <w:rPr>
          <w:b/>
        </w:rPr>
        <w:t>)</w:t>
      </w:r>
      <w:r w:rsidRPr="003C54E4">
        <w:rPr>
          <w:rFonts w:hint="eastAsia"/>
          <w:b/>
        </w:rPr>
        <w:t>原民中心成立宗旨主要係協助原住民族傳統文化慣習與國家</w:t>
      </w:r>
      <w:r w:rsidRPr="003C54E4">
        <w:rPr>
          <w:rFonts w:hint="eastAsia"/>
          <w:b/>
        </w:rPr>
        <w:lastRenderedPageBreak/>
        <w:t>法制之對話與調和，故應以承辦該類案件為最優先</w:t>
      </w:r>
    </w:p>
    <w:p w:rsidR="000B409D" w:rsidRDefault="000B409D" w:rsidP="000B409D">
      <w:pPr>
        <w:adjustRightInd w:val="0"/>
        <w:ind w:leftChars="300" w:left="850" w:firstLine="566"/>
        <w:rPr>
          <w:rFonts w:hAnsi="標楷體"/>
          <w:szCs w:val="24"/>
        </w:rPr>
      </w:pPr>
      <w:r w:rsidRPr="003C54E4">
        <w:rPr>
          <w:rFonts w:hAnsi="標楷體" w:hint="eastAsia"/>
          <w:szCs w:val="24"/>
        </w:rPr>
        <w:t>為協助原住民族傳統文化慣習與國家法制之對話與調和，以實踐憲法、憲法增修條文、兩人權公約、原住民族基本法相關法律保障原住民族司法權，法扶基金會107年3月12日及109年8月19日分別於花蓮、新竹成立原民中心、並啟用原民中心西部辦公室；</w:t>
      </w:r>
      <w:r w:rsidRPr="00257236">
        <w:rPr>
          <w:rFonts w:hAnsi="標楷體" w:hint="eastAsia"/>
          <w:szCs w:val="24"/>
        </w:rPr>
        <w:t>原民中心目前置主任1人、專職律師6人、助理及會計人員</w:t>
      </w:r>
      <w:r w:rsidR="00746B3C" w:rsidRPr="00257236">
        <w:rPr>
          <w:rFonts w:hAnsi="標楷體"/>
          <w:szCs w:val="24"/>
        </w:rPr>
        <w:t>3</w:t>
      </w:r>
      <w:r w:rsidRPr="00257236">
        <w:rPr>
          <w:rFonts w:hAnsi="標楷體" w:hint="eastAsia"/>
          <w:szCs w:val="24"/>
        </w:rPr>
        <w:t>人</w:t>
      </w:r>
      <w:r w:rsidRPr="003C54E4">
        <w:rPr>
          <w:rFonts w:hAnsi="標楷體" w:hint="eastAsia"/>
          <w:szCs w:val="24"/>
        </w:rPr>
        <w:t>，分別辦理相關事項。</w:t>
      </w:r>
      <w:r>
        <w:rPr>
          <w:rFonts w:hAnsi="標楷體" w:hint="eastAsia"/>
          <w:szCs w:val="24"/>
        </w:rPr>
        <w:t>另據監察院</w:t>
      </w:r>
      <w:r w:rsidRPr="00B831CC">
        <w:rPr>
          <w:rFonts w:hAnsi="標楷體"/>
          <w:szCs w:val="24"/>
        </w:rPr>
        <w:t>111</w:t>
      </w:r>
      <w:r>
        <w:rPr>
          <w:rFonts w:hAnsi="標楷體" w:hint="eastAsia"/>
          <w:szCs w:val="24"/>
        </w:rPr>
        <w:t>年</w:t>
      </w:r>
      <w:r w:rsidRPr="00B831CC">
        <w:rPr>
          <w:rFonts w:hAnsi="標楷體"/>
          <w:szCs w:val="24"/>
        </w:rPr>
        <w:t>8</w:t>
      </w:r>
      <w:r>
        <w:rPr>
          <w:rFonts w:hAnsi="標楷體" w:hint="eastAsia"/>
          <w:szCs w:val="24"/>
        </w:rPr>
        <w:t>月</w:t>
      </w:r>
      <w:r w:rsidRPr="00B831CC">
        <w:rPr>
          <w:rFonts w:hAnsi="標楷體"/>
          <w:szCs w:val="24"/>
        </w:rPr>
        <w:lastRenderedPageBreak/>
        <w:t>15</w:t>
      </w:r>
      <w:r>
        <w:rPr>
          <w:rFonts w:hAnsi="標楷體" w:hint="eastAsia"/>
          <w:szCs w:val="24"/>
        </w:rPr>
        <w:t>日調查報告，</w:t>
      </w:r>
      <w:r w:rsidRPr="00B4270B">
        <w:rPr>
          <w:rFonts w:hAnsi="標楷體" w:hint="eastAsia"/>
          <w:szCs w:val="24"/>
        </w:rPr>
        <w:t>法扶基金會成立原民中心</w:t>
      </w:r>
      <w:r>
        <w:rPr>
          <w:rFonts w:hAnsi="標楷體" w:hint="eastAsia"/>
          <w:szCs w:val="24"/>
        </w:rPr>
        <w:t>，旨在</w:t>
      </w:r>
      <w:r w:rsidRPr="00B831CC">
        <w:rPr>
          <w:rFonts w:hAnsi="標楷體" w:hint="eastAsia"/>
          <w:szCs w:val="24"/>
        </w:rPr>
        <w:t>協助調和原住民族傳統文化慣習與國家法制之衝突，</w:t>
      </w:r>
      <w:r>
        <w:rPr>
          <w:rFonts w:hAnsi="標楷體" w:hint="eastAsia"/>
          <w:szCs w:val="24"/>
        </w:rPr>
        <w:t>爰應</w:t>
      </w:r>
      <w:r w:rsidRPr="00B831CC">
        <w:rPr>
          <w:rFonts w:hAnsi="標楷體" w:hint="eastAsia"/>
          <w:szCs w:val="24"/>
        </w:rPr>
        <w:t>落實優先承辦原民文化衝突案件之功能</w:t>
      </w:r>
      <w:r>
        <w:rPr>
          <w:rStyle w:val="af1"/>
          <w:rFonts w:hAnsi="標楷體"/>
          <w:szCs w:val="24"/>
        </w:rPr>
        <w:footnoteReference w:id="2"/>
      </w:r>
      <w:r w:rsidR="00AA3B97" w:rsidRPr="00AA3B97">
        <w:rPr>
          <w:rFonts w:hAnsi="標楷體" w:hint="eastAsia"/>
          <w:szCs w:val="24"/>
        </w:rPr>
        <w:t>，俾期有限</w:t>
      </w:r>
      <w:r w:rsidR="005F1FBD" w:rsidRPr="00AA3B97">
        <w:rPr>
          <w:rFonts w:hAnsi="標楷體" w:hint="eastAsia"/>
          <w:szCs w:val="24"/>
        </w:rPr>
        <w:t>法律扶助</w:t>
      </w:r>
      <w:r w:rsidR="00AA3B97" w:rsidRPr="00AA3B97">
        <w:rPr>
          <w:rFonts w:hAnsi="標楷體" w:hint="eastAsia"/>
          <w:szCs w:val="24"/>
        </w:rPr>
        <w:t>資源合理分配及妥善運用。</w:t>
      </w:r>
    </w:p>
    <w:p w:rsidR="00F5280D" w:rsidRPr="003C54E4" w:rsidRDefault="00F5280D" w:rsidP="00F5280D">
      <w:pPr>
        <w:ind w:left="849" w:hangingChars="100" w:hanging="283"/>
        <w:rPr>
          <w:b/>
        </w:rPr>
      </w:pPr>
      <w:r w:rsidRPr="003C54E4">
        <w:rPr>
          <w:rFonts w:hint="eastAsia"/>
          <w:b/>
        </w:rPr>
        <w:t>(</w:t>
      </w:r>
      <w:r>
        <w:rPr>
          <w:rFonts w:hint="eastAsia"/>
          <w:b/>
        </w:rPr>
        <w:t>二</w:t>
      </w:r>
      <w:r w:rsidRPr="003C54E4">
        <w:rPr>
          <w:b/>
        </w:rPr>
        <w:t>)</w:t>
      </w:r>
      <w:r w:rsidRPr="00936DF5">
        <w:rPr>
          <w:rFonts w:hint="eastAsia"/>
          <w:b/>
        </w:rPr>
        <w:t>108至112年度原民中心</w:t>
      </w:r>
      <w:r w:rsidRPr="00936DF5">
        <w:rPr>
          <w:rFonts w:hAnsi="標楷體" w:hint="eastAsia"/>
          <w:b/>
          <w:szCs w:val="24"/>
        </w:rPr>
        <w:t>准予扶助案件</w:t>
      </w:r>
      <w:r>
        <w:rPr>
          <w:rFonts w:hint="eastAsia"/>
          <w:b/>
        </w:rPr>
        <w:t>中，屬</w:t>
      </w:r>
      <w:r w:rsidRPr="002B7448">
        <w:rPr>
          <w:rFonts w:hint="eastAsia"/>
          <w:b/>
        </w:rPr>
        <w:t>原民文化衝突案件</w:t>
      </w:r>
      <w:r>
        <w:rPr>
          <w:rFonts w:hint="eastAsia"/>
          <w:b/>
        </w:rPr>
        <w:t>之</w:t>
      </w:r>
      <w:r w:rsidRPr="002B7448">
        <w:rPr>
          <w:rFonts w:hint="eastAsia"/>
          <w:b/>
        </w:rPr>
        <w:t>占比</w:t>
      </w:r>
      <w:r>
        <w:rPr>
          <w:rFonts w:hint="eastAsia"/>
          <w:b/>
        </w:rPr>
        <w:t>概呈下滑趨勢</w:t>
      </w:r>
      <w:r w:rsidR="00CA0BFE" w:rsidRPr="00CA0BFE">
        <w:rPr>
          <w:rFonts w:hint="eastAsia"/>
          <w:b/>
        </w:rPr>
        <w:t>，</w:t>
      </w:r>
      <w:r w:rsidR="00CA0BFE">
        <w:rPr>
          <w:rFonts w:hint="eastAsia"/>
          <w:b/>
        </w:rPr>
        <w:t>亟</w:t>
      </w:r>
      <w:r w:rsidR="00CA0BFE" w:rsidRPr="00CA0BFE">
        <w:rPr>
          <w:rFonts w:hint="eastAsia"/>
          <w:b/>
        </w:rPr>
        <w:t>待加強辦理</w:t>
      </w:r>
    </w:p>
    <w:p w:rsidR="00F5280D" w:rsidRDefault="00F5280D" w:rsidP="00F5280D">
      <w:pPr>
        <w:adjustRightInd w:val="0"/>
        <w:ind w:leftChars="300" w:left="850" w:firstLine="566"/>
        <w:rPr>
          <w:rFonts w:hAnsi="標楷體"/>
          <w:szCs w:val="24"/>
        </w:rPr>
      </w:pPr>
      <w:r>
        <w:rPr>
          <w:rFonts w:hAnsi="標楷體" w:hint="eastAsia"/>
          <w:szCs w:val="24"/>
        </w:rPr>
        <w:t>由表1所示，</w:t>
      </w:r>
      <w:r>
        <w:rPr>
          <w:rFonts w:hAnsi="標楷體"/>
          <w:szCs w:val="24"/>
        </w:rPr>
        <w:t>108</w:t>
      </w:r>
      <w:r>
        <w:rPr>
          <w:rFonts w:hAnsi="標楷體" w:hint="eastAsia"/>
          <w:szCs w:val="24"/>
        </w:rPr>
        <w:t>至1</w:t>
      </w:r>
      <w:r>
        <w:rPr>
          <w:rFonts w:hAnsi="標楷體"/>
          <w:szCs w:val="24"/>
        </w:rPr>
        <w:t>12</w:t>
      </w:r>
      <w:r>
        <w:rPr>
          <w:rFonts w:hAnsi="標楷體" w:hint="eastAsia"/>
          <w:szCs w:val="24"/>
        </w:rPr>
        <w:t>年度</w:t>
      </w:r>
      <w:r w:rsidRPr="00471EFC">
        <w:rPr>
          <w:rFonts w:hAnsi="標楷體" w:hint="eastAsia"/>
          <w:szCs w:val="24"/>
        </w:rPr>
        <w:t>法扶基金會原民中心受理申請案件</w:t>
      </w:r>
      <w:r>
        <w:rPr>
          <w:rFonts w:hAnsi="標楷體" w:hint="eastAsia"/>
          <w:szCs w:val="24"/>
        </w:rPr>
        <w:t>數及</w:t>
      </w:r>
      <w:r w:rsidRPr="00241CCB">
        <w:rPr>
          <w:rFonts w:hAnsi="標楷體" w:hint="eastAsia"/>
          <w:szCs w:val="24"/>
        </w:rPr>
        <w:t>准予扶助案件數</w:t>
      </w:r>
      <w:r>
        <w:rPr>
          <w:rFonts w:hAnsi="標楷體" w:hint="eastAsia"/>
          <w:szCs w:val="24"/>
        </w:rPr>
        <w:t>概呈增加趨勢，由1</w:t>
      </w:r>
      <w:r>
        <w:rPr>
          <w:rFonts w:hAnsi="標楷體"/>
          <w:szCs w:val="24"/>
        </w:rPr>
        <w:t>08</w:t>
      </w:r>
      <w:r>
        <w:rPr>
          <w:rFonts w:hAnsi="標楷體" w:hint="eastAsia"/>
          <w:szCs w:val="24"/>
        </w:rPr>
        <w:t>年之</w:t>
      </w:r>
      <w:r w:rsidRPr="00950093">
        <w:rPr>
          <w:rFonts w:hAnsi="標楷體"/>
          <w:szCs w:val="24"/>
        </w:rPr>
        <w:t>132</w:t>
      </w:r>
      <w:r>
        <w:rPr>
          <w:rFonts w:hAnsi="標楷體" w:hint="eastAsia"/>
          <w:szCs w:val="24"/>
        </w:rPr>
        <w:t>件、</w:t>
      </w:r>
      <w:r w:rsidRPr="00241CCB">
        <w:rPr>
          <w:rFonts w:hAnsi="標楷體"/>
          <w:szCs w:val="24"/>
        </w:rPr>
        <w:t>121</w:t>
      </w:r>
      <w:r w:rsidRPr="00241CCB">
        <w:rPr>
          <w:rFonts w:hAnsi="標楷體" w:hint="eastAsia"/>
          <w:szCs w:val="24"/>
        </w:rPr>
        <w:t>件</w:t>
      </w:r>
      <w:r w:rsidRPr="00950C74">
        <w:rPr>
          <w:rFonts w:hAnsi="標楷體" w:hint="eastAsia"/>
          <w:szCs w:val="24"/>
        </w:rPr>
        <w:t>增加至112年之</w:t>
      </w:r>
      <w:r w:rsidRPr="00950C74">
        <w:rPr>
          <w:rFonts w:hAnsi="標楷體"/>
          <w:szCs w:val="24"/>
        </w:rPr>
        <w:t>479</w:t>
      </w:r>
      <w:r>
        <w:rPr>
          <w:rFonts w:hAnsi="標楷體" w:hint="eastAsia"/>
          <w:szCs w:val="24"/>
        </w:rPr>
        <w:t>件、</w:t>
      </w:r>
      <w:r w:rsidRPr="00241CCB">
        <w:rPr>
          <w:rFonts w:hAnsi="標楷體" w:hint="eastAsia"/>
          <w:szCs w:val="24"/>
        </w:rPr>
        <w:t>4</w:t>
      </w:r>
      <w:r>
        <w:rPr>
          <w:rFonts w:hAnsi="標楷體"/>
          <w:szCs w:val="24"/>
        </w:rPr>
        <w:t>16</w:t>
      </w:r>
      <w:r w:rsidRPr="00241CCB">
        <w:rPr>
          <w:rFonts w:hAnsi="標楷體" w:hint="eastAsia"/>
          <w:szCs w:val="24"/>
        </w:rPr>
        <w:t>件</w:t>
      </w:r>
      <w:r w:rsidRPr="00950C74">
        <w:rPr>
          <w:rFonts w:hAnsi="標楷體" w:hint="eastAsia"/>
          <w:szCs w:val="24"/>
        </w:rPr>
        <w:t>，增加</w:t>
      </w:r>
      <w:r>
        <w:rPr>
          <w:rFonts w:hAnsi="標楷體" w:hint="eastAsia"/>
          <w:szCs w:val="24"/>
        </w:rPr>
        <w:t>3</w:t>
      </w:r>
      <w:r>
        <w:rPr>
          <w:rFonts w:hAnsi="標楷體"/>
          <w:szCs w:val="24"/>
        </w:rPr>
        <w:t>47</w:t>
      </w:r>
      <w:r>
        <w:rPr>
          <w:rFonts w:hAnsi="標楷體" w:hint="eastAsia"/>
          <w:szCs w:val="24"/>
        </w:rPr>
        <w:t>件</w:t>
      </w:r>
      <w:r w:rsidRPr="00950C74">
        <w:rPr>
          <w:rFonts w:hAnsi="標楷體" w:hint="eastAsia"/>
          <w:szCs w:val="24"/>
        </w:rPr>
        <w:t>(增幅高達</w:t>
      </w:r>
      <w:r>
        <w:rPr>
          <w:rFonts w:hAnsi="標楷體"/>
          <w:szCs w:val="24"/>
        </w:rPr>
        <w:t>262</w:t>
      </w:r>
      <w:r w:rsidRPr="00950C74">
        <w:rPr>
          <w:rFonts w:hAnsi="標楷體" w:hint="eastAsia"/>
          <w:szCs w:val="24"/>
        </w:rPr>
        <w:t>.</w:t>
      </w:r>
      <w:r>
        <w:rPr>
          <w:rFonts w:hAnsi="標楷體"/>
          <w:szCs w:val="24"/>
        </w:rPr>
        <w:t>88</w:t>
      </w:r>
      <w:r w:rsidRPr="00950C74">
        <w:rPr>
          <w:rFonts w:hAnsi="標楷體" w:hint="eastAsia"/>
          <w:szCs w:val="24"/>
        </w:rPr>
        <w:t>%</w:t>
      </w:r>
      <w:r>
        <w:rPr>
          <w:rFonts w:hAnsi="標楷體" w:hint="eastAsia"/>
          <w:szCs w:val="24"/>
        </w:rPr>
        <w:t>，以下同</w:t>
      </w:r>
      <w:r w:rsidRPr="00950C74">
        <w:rPr>
          <w:rFonts w:hAnsi="標楷體" w:hint="eastAsia"/>
          <w:szCs w:val="24"/>
        </w:rPr>
        <w:t>)</w:t>
      </w:r>
      <w:r>
        <w:rPr>
          <w:rFonts w:hAnsi="標楷體" w:hint="eastAsia"/>
          <w:szCs w:val="24"/>
        </w:rPr>
        <w:t>及</w:t>
      </w:r>
      <w:r>
        <w:rPr>
          <w:rFonts w:hAnsi="標楷體"/>
          <w:szCs w:val="24"/>
        </w:rPr>
        <w:t>295</w:t>
      </w:r>
      <w:r w:rsidRPr="00241CCB">
        <w:rPr>
          <w:rFonts w:hAnsi="標楷體" w:hint="eastAsia"/>
          <w:szCs w:val="24"/>
        </w:rPr>
        <w:t>件(2</w:t>
      </w:r>
      <w:r>
        <w:rPr>
          <w:rFonts w:hAnsi="標楷體"/>
          <w:szCs w:val="24"/>
        </w:rPr>
        <w:t>43</w:t>
      </w:r>
      <w:r w:rsidRPr="00241CCB">
        <w:rPr>
          <w:rFonts w:hAnsi="標楷體" w:hint="eastAsia"/>
          <w:szCs w:val="24"/>
        </w:rPr>
        <w:t>.8</w:t>
      </w:r>
      <w:r>
        <w:rPr>
          <w:rFonts w:hAnsi="標楷體"/>
          <w:szCs w:val="24"/>
        </w:rPr>
        <w:t>0</w:t>
      </w:r>
      <w:r w:rsidRPr="00241CCB">
        <w:rPr>
          <w:rFonts w:hAnsi="標楷體" w:hint="eastAsia"/>
          <w:szCs w:val="24"/>
        </w:rPr>
        <w:t>%)</w:t>
      </w:r>
      <w:r>
        <w:rPr>
          <w:rFonts w:hAnsi="標楷體" w:hint="eastAsia"/>
          <w:szCs w:val="24"/>
        </w:rPr>
        <w:t>；又</w:t>
      </w:r>
      <w:r w:rsidRPr="00596688">
        <w:rPr>
          <w:rFonts w:hAnsi="標楷體" w:hint="eastAsia"/>
          <w:szCs w:val="24"/>
        </w:rPr>
        <w:t>108至112年度</w:t>
      </w:r>
      <w:r w:rsidRPr="00363F41">
        <w:rPr>
          <w:rFonts w:hAnsi="標楷體" w:hint="eastAsia"/>
          <w:szCs w:val="24"/>
        </w:rPr>
        <w:t>准予扶助案件</w:t>
      </w:r>
      <w:r>
        <w:rPr>
          <w:rFonts w:hAnsi="標楷體" w:hint="eastAsia"/>
          <w:szCs w:val="24"/>
        </w:rPr>
        <w:t>中</w:t>
      </w:r>
      <w:r w:rsidRPr="00B06789">
        <w:rPr>
          <w:rFonts w:hAnsi="標楷體" w:hint="eastAsia"/>
          <w:szCs w:val="24"/>
        </w:rPr>
        <w:t>屬原民文化衝突案件數</w:t>
      </w:r>
      <w:r>
        <w:rPr>
          <w:rFonts w:hAnsi="標楷體" w:hint="eastAsia"/>
          <w:szCs w:val="24"/>
        </w:rPr>
        <w:t>介於3</w:t>
      </w:r>
      <w:r>
        <w:rPr>
          <w:rFonts w:hAnsi="標楷體"/>
          <w:szCs w:val="24"/>
        </w:rPr>
        <w:t>0</w:t>
      </w:r>
      <w:r>
        <w:rPr>
          <w:rFonts w:hAnsi="標楷體" w:hint="eastAsia"/>
          <w:szCs w:val="24"/>
        </w:rPr>
        <w:t>件至1</w:t>
      </w:r>
      <w:r>
        <w:rPr>
          <w:rFonts w:hAnsi="標楷體"/>
          <w:szCs w:val="24"/>
        </w:rPr>
        <w:t>02</w:t>
      </w:r>
      <w:r>
        <w:rPr>
          <w:rFonts w:hAnsi="標楷體" w:hint="eastAsia"/>
          <w:szCs w:val="24"/>
        </w:rPr>
        <w:t>件，占比則概呈下滑趨勢，</w:t>
      </w:r>
      <w:r w:rsidRPr="00B06789">
        <w:rPr>
          <w:rFonts w:hAnsi="標楷體" w:hint="eastAsia"/>
          <w:szCs w:val="24"/>
        </w:rPr>
        <w:t>由108年之</w:t>
      </w:r>
      <w:r w:rsidRPr="00B06789">
        <w:rPr>
          <w:rFonts w:hAnsi="標楷體"/>
          <w:szCs w:val="24"/>
        </w:rPr>
        <w:t>36.36%</w:t>
      </w:r>
      <w:r>
        <w:rPr>
          <w:rFonts w:hAnsi="標楷體" w:hint="eastAsia"/>
          <w:szCs w:val="24"/>
        </w:rPr>
        <w:t>減少</w:t>
      </w:r>
      <w:r w:rsidRPr="00B06789">
        <w:rPr>
          <w:rFonts w:hAnsi="標楷體" w:hint="eastAsia"/>
          <w:szCs w:val="24"/>
        </w:rPr>
        <w:t>至112年之</w:t>
      </w:r>
      <w:r w:rsidRPr="00B06789">
        <w:rPr>
          <w:rFonts w:hAnsi="標楷體"/>
          <w:szCs w:val="24"/>
        </w:rPr>
        <w:t>19.23%</w:t>
      </w:r>
      <w:r w:rsidRPr="00B06789">
        <w:rPr>
          <w:rFonts w:hAnsi="標楷體" w:hint="eastAsia"/>
          <w:szCs w:val="24"/>
        </w:rPr>
        <w:t>，</w:t>
      </w:r>
      <w:r>
        <w:rPr>
          <w:rFonts w:hAnsi="標楷體" w:hint="eastAsia"/>
          <w:szCs w:val="24"/>
        </w:rPr>
        <w:t>減少1</w:t>
      </w:r>
      <w:r>
        <w:rPr>
          <w:rFonts w:hAnsi="標楷體"/>
          <w:szCs w:val="24"/>
        </w:rPr>
        <w:t>7.13</w:t>
      </w:r>
      <w:r w:rsidRPr="00B06789">
        <w:rPr>
          <w:rFonts w:hAnsi="標楷體" w:hint="eastAsia"/>
          <w:szCs w:val="24"/>
        </w:rPr>
        <w:t>個百分點</w:t>
      </w:r>
      <w:r>
        <w:rPr>
          <w:rFonts w:hAnsi="標楷體" w:hint="eastAsia"/>
          <w:szCs w:val="24"/>
        </w:rPr>
        <w:t>，允待檢討提升，以發揮原民中心服務效能</w:t>
      </w:r>
      <w:r>
        <w:rPr>
          <w:rFonts w:hAnsi="標楷體" w:hint="eastAsia"/>
          <w:szCs w:val="24"/>
        </w:rPr>
        <w:lastRenderedPageBreak/>
        <w:t>及設置效益</w:t>
      </w:r>
      <w:r w:rsidRPr="00B06789">
        <w:rPr>
          <w:rFonts w:hAnsi="標楷體" w:hint="eastAsia"/>
          <w:szCs w:val="24"/>
        </w:rPr>
        <w:t>。</w:t>
      </w:r>
    </w:p>
    <w:p w:rsidR="000B409D" w:rsidRDefault="000B409D" w:rsidP="000B409D">
      <w:pPr>
        <w:adjustRightInd w:val="0"/>
        <w:ind w:leftChars="0" w:left="0" w:firstLineChars="0" w:firstLine="0"/>
        <w:rPr>
          <w:rFonts w:hAnsi="標楷體"/>
          <w:b/>
          <w:smallCaps/>
          <w:snapToGrid/>
        </w:rPr>
      </w:pPr>
      <w:r w:rsidRPr="00475B65">
        <w:rPr>
          <w:rFonts w:hAnsi="標楷體" w:hint="eastAsia"/>
          <w:b/>
          <w:smallCaps/>
          <w:snapToGrid/>
        </w:rPr>
        <w:t>表</w:t>
      </w:r>
      <w:r w:rsidRPr="00475B65">
        <w:rPr>
          <w:rFonts w:hAnsi="標楷體"/>
          <w:b/>
          <w:smallCaps/>
          <w:snapToGrid/>
        </w:rPr>
        <w:t>1</w:t>
      </w:r>
      <w:r w:rsidRPr="00475B65">
        <w:rPr>
          <w:rFonts w:hAnsi="標楷體" w:hint="eastAsia"/>
          <w:b/>
          <w:smallCaps/>
          <w:snapToGrid/>
        </w:rPr>
        <w:t xml:space="preserve"> </w:t>
      </w:r>
      <w:r w:rsidRPr="00475B65">
        <w:rPr>
          <w:rFonts w:hAnsi="標楷體"/>
          <w:b/>
          <w:smallCaps/>
          <w:snapToGrid/>
        </w:rPr>
        <w:t xml:space="preserve"> </w:t>
      </w:r>
      <w:r w:rsidRPr="00475B65">
        <w:rPr>
          <w:rFonts w:hAnsi="標楷體" w:hint="eastAsia"/>
          <w:b/>
          <w:smallCaps/>
          <w:snapToGrid/>
        </w:rPr>
        <w:t>1</w:t>
      </w:r>
      <w:r w:rsidRPr="00475B65">
        <w:rPr>
          <w:rFonts w:hAnsi="標楷體"/>
          <w:b/>
          <w:smallCaps/>
          <w:snapToGrid/>
        </w:rPr>
        <w:t>0</w:t>
      </w:r>
      <w:r>
        <w:rPr>
          <w:rFonts w:hAnsi="標楷體"/>
          <w:b/>
          <w:smallCaps/>
          <w:snapToGrid/>
        </w:rPr>
        <w:t>8</w:t>
      </w:r>
      <w:r w:rsidRPr="00475B65">
        <w:rPr>
          <w:rFonts w:hAnsi="標楷體" w:hint="eastAsia"/>
          <w:b/>
          <w:smallCaps/>
          <w:snapToGrid/>
        </w:rPr>
        <w:t>至1</w:t>
      </w:r>
      <w:r w:rsidRPr="00475B65">
        <w:rPr>
          <w:rFonts w:hAnsi="標楷體"/>
          <w:b/>
          <w:smallCaps/>
          <w:snapToGrid/>
        </w:rPr>
        <w:t>13</w:t>
      </w:r>
      <w:r w:rsidR="00596688" w:rsidRPr="00475B65">
        <w:rPr>
          <w:rFonts w:hAnsi="標楷體" w:hint="eastAsia"/>
          <w:b/>
          <w:smallCaps/>
          <w:snapToGrid/>
        </w:rPr>
        <w:t>年度</w:t>
      </w:r>
      <w:r w:rsidRPr="00475B65">
        <w:rPr>
          <w:rFonts w:hAnsi="標楷體" w:hint="eastAsia"/>
          <w:b/>
          <w:smallCaps/>
          <w:snapToGrid/>
        </w:rPr>
        <w:t>8月</w:t>
      </w:r>
      <w:r w:rsidR="00596688">
        <w:rPr>
          <w:rFonts w:hAnsi="標楷體" w:hint="eastAsia"/>
          <w:b/>
          <w:smallCaps/>
          <w:snapToGrid/>
        </w:rPr>
        <w:t>底</w:t>
      </w:r>
      <w:r w:rsidRPr="00475B65">
        <w:rPr>
          <w:rFonts w:hAnsi="標楷體" w:hint="eastAsia"/>
          <w:b/>
          <w:smallCaps/>
          <w:snapToGrid/>
        </w:rPr>
        <w:t>法扶基金會原民中心業務運作概況表</w:t>
      </w:r>
    </w:p>
    <w:p w:rsidR="000B409D" w:rsidRPr="008E2F5F" w:rsidRDefault="000B409D" w:rsidP="000B409D">
      <w:pPr>
        <w:adjustRightInd w:val="0"/>
        <w:spacing w:line="300" w:lineRule="exact"/>
        <w:ind w:leftChars="0" w:left="0" w:firstLineChars="0" w:firstLine="0"/>
        <w:jc w:val="right"/>
        <w:rPr>
          <w:rFonts w:hAnsi="標楷體" w:hint="eastAsia"/>
          <w:smallCaps/>
          <w:snapToGrid/>
          <w:sz w:val="24"/>
          <w:szCs w:val="24"/>
        </w:rPr>
      </w:pPr>
      <w:r w:rsidRPr="008E2F5F">
        <w:rPr>
          <w:rFonts w:hAnsi="標楷體" w:hint="eastAsia"/>
          <w:smallCaps/>
          <w:snapToGrid/>
          <w:sz w:val="24"/>
          <w:szCs w:val="24"/>
        </w:rPr>
        <w:t>單位：</w:t>
      </w:r>
      <w:r>
        <w:rPr>
          <w:rFonts w:hAnsi="標楷體" w:hint="eastAsia"/>
          <w:smallCaps/>
          <w:snapToGrid/>
          <w:sz w:val="24"/>
          <w:szCs w:val="24"/>
        </w:rPr>
        <w:t>件數</w:t>
      </w:r>
      <w:r w:rsidRPr="008E2F5F">
        <w:rPr>
          <w:rFonts w:hAnsi="標楷體" w:hint="eastAsia"/>
          <w:smallCaps/>
          <w:snapToGrid/>
          <w:sz w:val="24"/>
          <w:szCs w:val="24"/>
        </w:rPr>
        <w:t>；</w:t>
      </w:r>
      <w:r>
        <w:rPr>
          <w:rFonts w:hAnsi="標楷體" w:hint="eastAsia"/>
          <w:smallCaps/>
          <w:snapToGrid/>
          <w:sz w:val="24"/>
          <w:szCs w:val="24"/>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701"/>
        <w:gridCol w:w="1701"/>
        <w:gridCol w:w="1701"/>
        <w:gridCol w:w="1701"/>
      </w:tblGrid>
      <w:tr w:rsidR="000B409D" w:rsidRPr="007C2DDB" w:rsidTr="00A06572">
        <w:trPr>
          <w:trHeight w:val="51"/>
        </w:trPr>
        <w:tc>
          <w:tcPr>
            <w:tcW w:w="1701" w:type="dxa"/>
            <w:tcBorders>
              <w:top w:val="single" w:sz="12" w:space="0" w:color="auto"/>
              <w:left w:val="single" w:sz="12" w:space="0" w:color="auto"/>
              <w:tl2br w:val="single" w:sz="6" w:space="0" w:color="auto"/>
            </w:tcBorders>
            <w:shd w:val="clear" w:color="auto" w:fill="auto"/>
            <w:vAlign w:val="center"/>
          </w:tcPr>
          <w:p w:rsidR="000B409D" w:rsidRPr="00E04C6B" w:rsidRDefault="000B409D" w:rsidP="00A06572">
            <w:pPr>
              <w:pStyle w:val="142"/>
              <w:spacing w:line="240" w:lineRule="exact"/>
              <w:jc w:val="right"/>
              <w:rPr>
                <w:b/>
                <w:sz w:val="22"/>
                <w:szCs w:val="22"/>
              </w:rPr>
            </w:pPr>
            <w:r w:rsidRPr="00E04C6B">
              <w:rPr>
                <w:rFonts w:hint="eastAsia"/>
                <w:b/>
                <w:sz w:val="22"/>
                <w:szCs w:val="22"/>
              </w:rPr>
              <w:t>項目</w:t>
            </w:r>
          </w:p>
          <w:p w:rsidR="000B409D" w:rsidRPr="00E04C6B" w:rsidRDefault="000B409D" w:rsidP="00A06572">
            <w:pPr>
              <w:pStyle w:val="142"/>
              <w:spacing w:line="240" w:lineRule="exact"/>
              <w:jc w:val="center"/>
              <w:rPr>
                <w:rFonts w:hint="eastAsia"/>
                <w:b/>
                <w:sz w:val="22"/>
                <w:szCs w:val="22"/>
              </w:rPr>
            </w:pPr>
          </w:p>
          <w:p w:rsidR="000B409D" w:rsidRPr="00E04C6B" w:rsidRDefault="000B409D" w:rsidP="00A06572">
            <w:pPr>
              <w:pStyle w:val="142"/>
              <w:spacing w:line="240" w:lineRule="exact"/>
              <w:rPr>
                <w:rFonts w:hint="eastAsia"/>
                <w:b/>
                <w:color w:val="215868"/>
              </w:rPr>
            </w:pPr>
            <w:r w:rsidRPr="00E04C6B">
              <w:rPr>
                <w:rFonts w:hint="eastAsia"/>
                <w:b/>
                <w:sz w:val="22"/>
                <w:szCs w:val="22"/>
              </w:rPr>
              <w:t>年度</w:t>
            </w:r>
          </w:p>
        </w:tc>
        <w:tc>
          <w:tcPr>
            <w:tcW w:w="1701" w:type="dxa"/>
            <w:tcBorders>
              <w:top w:val="single" w:sz="12" w:space="0" w:color="auto"/>
            </w:tcBorders>
            <w:shd w:val="clear" w:color="auto" w:fill="auto"/>
            <w:vAlign w:val="center"/>
          </w:tcPr>
          <w:p w:rsidR="000B409D" w:rsidRPr="00E04C6B" w:rsidRDefault="000B409D" w:rsidP="00A06572">
            <w:pPr>
              <w:pStyle w:val="142"/>
              <w:spacing w:line="240" w:lineRule="exact"/>
              <w:jc w:val="center"/>
              <w:rPr>
                <w:b/>
              </w:rPr>
            </w:pPr>
            <w:r w:rsidRPr="00E04C6B">
              <w:rPr>
                <w:rFonts w:hint="eastAsia"/>
                <w:b/>
              </w:rPr>
              <w:t xml:space="preserve">申 </w:t>
            </w:r>
            <w:r w:rsidRPr="00E04C6B">
              <w:rPr>
                <w:b/>
              </w:rPr>
              <w:t xml:space="preserve"> </w:t>
            </w:r>
            <w:r w:rsidRPr="00E04C6B">
              <w:rPr>
                <w:rFonts w:hint="eastAsia"/>
                <w:b/>
              </w:rPr>
              <w:t>請</w:t>
            </w:r>
          </w:p>
          <w:p w:rsidR="000B409D" w:rsidRPr="00E04C6B" w:rsidRDefault="000B409D" w:rsidP="00A06572">
            <w:pPr>
              <w:pStyle w:val="142"/>
              <w:spacing w:line="240" w:lineRule="exact"/>
              <w:jc w:val="center"/>
              <w:rPr>
                <w:b/>
              </w:rPr>
            </w:pPr>
            <w:r w:rsidRPr="00E04C6B">
              <w:rPr>
                <w:rFonts w:hint="eastAsia"/>
                <w:b/>
              </w:rPr>
              <w:t>案件數</w:t>
            </w:r>
          </w:p>
          <w:p w:rsidR="000B409D" w:rsidRPr="00E04C6B" w:rsidRDefault="000B409D" w:rsidP="00A06572">
            <w:pPr>
              <w:pStyle w:val="142"/>
              <w:spacing w:line="240" w:lineRule="exact"/>
              <w:jc w:val="center"/>
              <w:rPr>
                <w:b/>
                <w:color w:val="215868"/>
                <w:sz w:val="20"/>
                <w:szCs w:val="20"/>
              </w:rPr>
            </w:pPr>
            <w:r w:rsidRPr="00E04C6B">
              <w:rPr>
                <w:rFonts w:hint="eastAsia"/>
                <w:b/>
                <w:sz w:val="20"/>
                <w:szCs w:val="20"/>
              </w:rPr>
              <w:t>(</w:t>
            </w:r>
            <w:r w:rsidRPr="00E04C6B">
              <w:rPr>
                <w:b/>
                <w:sz w:val="20"/>
                <w:szCs w:val="20"/>
              </w:rPr>
              <w:t>1)</w:t>
            </w:r>
          </w:p>
        </w:tc>
        <w:tc>
          <w:tcPr>
            <w:tcW w:w="1701" w:type="dxa"/>
            <w:tcBorders>
              <w:top w:val="single" w:sz="12" w:space="0" w:color="auto"/>
            </w:tcBorders>
            <w:shd w:val="clear" w:color="auto" w:fill="auto"/>
            <w:vAlign w:val="center"/>
          </w:tcPr>
          <w:p w:rsidR="000B409D" w:rsidRPr="00E04C6B" w:rsidRDefault="000B409D" w:rsidP="00A06572">
            <w:pPr>
              <w:pStyle w:val="142"/>
              <w:spacing w:line="240" w:lineRule="exact"/>
              <w:jc w:val="center"/>
              <w:rPr>
                <w:b/>
              </w:rPr>
            </w:pPr>
            <w:r w:rsidRPr="00E04C6B">
              <w:rPr>
                <w:rFonts w:hint="eastAsia"/>
                <w:b/>
              </w:rPr>
              <w:t>准予扶助</w:t>
            </w:r>
          </w:p>
          <w:p w:rsidR="000B409D" w:rsidRPr="00E04C6B" w:rsidRDefault="000B409D" w:rsidP="00A06572">
            <w:pPr>
              <w:pStyle w:val="142"/>
              <w:spacing w:line="240" w:lineRule="exact"/>
              <w:jc w:val="center"/>
              <w:rPr>
                <w:b/>
              </w:rPr>
            </w:pPr>
            <w:r w:rsidRPr="00E04C6B">
              <w:rPr>
                <w:rFonts w:hint="eastAsia"/>
                <w:b/>
              </w:rPr>
              <w:t>案 件 數</w:t>
            </w:r>
          </w:p>
          <w:p w:rsidR="000B409D" w:rsidRPr="00E04C6B" w:rsidRDefault="000B409D" w:rsidP="00A06572">
            <w:pPr>
              <w:pStyle w:val="142"/>
              <w:spacing w:line="240" w:lineRule="exact"/>
              <w:jc w:val="center"/>
              <w:rPr>
                <w:rFonts w:hint="eastAsia"/>
                <w:b/>
                <w:color w:val="215868"/>
                <w:sz w:val="20"/>
                <w:szCs w:val="20"/>
              </w:rPr>
            </w:pPr>
            <w:r w:rsidRPr="00E04C6B">
              <w:rPr>
                <w:rFonts w:hint="eastAsia"/>
                <w:b/>
                <w:sz w:val="20"/>
                <w:szCs w:val="20"/>
              </w:rPr>
              <w:t>(</w:t>
            </w:r>
            <w:r w:rsidRPr="00E04C6B">
              <w:rPr>
                <w:b/>
                <w:sz w:val="20"/>
                <w:szCs w:val="20"/>
              </w:rPr>
              <w:t>2)</w:t>
            </w:r>
          </w:p>
        </w:tc>
        <w:tc>
          <w:tcPr>
            <w:tcW w:w="1701" w:type="dxa"/>
            <w:tcBorders>
              <w:top w:val="single" w:sz="12" w:space="0" w:color="auto"/>
            </w:tcBorders>
            <w:shd w:val="clear" w:color="auto" w:fill="auto"/>
            <w:vAlign w:val="center"/>
          </w:tcPr>
          <w:p w:rsidR="000B409D" w:rsidRPr="00E04C6B" w:rsidRDefault="000B409D" w:rsidP="00A06572">
            <w:pPr>
              <w:pStyle w:val="142"/>
              <w:spacing w:line="240" w:lineRule="exact"/>
              <w:jc w:val="center"/>
              <w:rPr>
                <w:b/>
              </w:rPr>
            </w:pPr>
            <w:r w:rsidRPr="00E04C6B">
              <w:rPr>
                <w:rFonts w:hint="eastAsia"/>
                <w:b/>
              </w:rPr>
              <w:t>屬原民文化</w:t>
            </w:r>
          </w:p>
          <w:p w:rsidR="000B409D" w:rsidRPr="00E04C6B" w:rsidRDefault="000B409D" w:rsidP="00A06572">
            <w:pPr>
              <w:pStyle w:val="142"/>
              <w:spacing w:line="240" w:lineRule="exact"/>
              <w:jc w:val="center"/>
              <w:rPr>
                <w:b/>
              </w:rPr>
            </w:pPr>
            <w:r w:rsidRPr="00E04C6B">
              <w:rPr>
                <w:rFonts w:hint="eastAsia"/>
                <w:b/>
              </w:rPr>
              <w:t>衝突案件數</w:t>
            </w:r>
          </w:p>
          <w:p w:rsidR="000B409D" w:rsidRPr="00E04C6B" w:rsidRDefault="000B409D" w:rsidP="00A06572">
            <w:pPr>
              <w:pStyle w:val="142"/>
              <w:spacing w:line="240" w:lineRule="exact"/>
              <w:jc w:val="center"/>
              <w:rPr>
                <w:b/>
                <w:color w:val="215868"/>
                <w:sz w:val="20"/>
                <w:szCs w:val="20"/>
              </w:rPr>
            </w:pPr>
            <w:r w:rsidRPr="00E04C6B">
              <w:rPr>
                <w:rFonts w:hint="eastAsia"/>
                <w:b/>
                <w:sz w:val="20"/>
                <w:szCs w:val="20"/>
              </w:rPr>
              <w:t>(</w:t>
            </w:r>
            <w:r w:rsidRPr="00E04C6B">
              <w:rPr>
                <w:b/>
                <w:sz w:val="20"/>
                <w:szCs w:val="20"/>
              </w:rPr>
              <w:t>3)</w:t>
            </w:r>
          </w:p>
        </w:tc>
        <w:tc>
          <w:tcPr>
            <w:tcW w:w="1701" w:type="dxa"/>
            <w:tcBorders>
              <w:top w:val="single" w:sz="12" w:space="0" w:color="auto"/>
              <w:right w:val="single" w:sz="12" w:space="0" w:color="auto"/>
            </w:tcBorders>
            <w:shd w:val="clear" w:color="auto" w:fill="auto"/>
            <w:vAlign w:val="center"/>
          </w:tcPr>
          <w:p w:rsidR="000B409D" w:rsidRPr="00E04C6B" w:rsidRDefault="000B409D" w:rsidP="00A06572">
            <w:pPr>
              <w:pStyle w:val="142"/>
              <w:spacing w:line="240" w:lineRule="exact"/>
              <w:jc w:val="center"/>
              <w:rPr>
                <w:b/>
              </w:rPr>
            </w:pPr>
            <w:r w:rsidRPr="00E04C6B">
              <w:rPr>
                <w:rFonts w:hint="eastAsia"/>
                <w:b/>
              </w:rPr>
              <w:t>占比</w:t>
            </w:r>
          </w:p>
          <w:p w:rsidR="000B409D" w:rsidRPr="00E04C6B" w:rsidRDefault="000B409D" w:rsidP="00A06572">
            <w:pPr>
              <w:pStyle w:val="142"/>
              <w:spacing w:line="240" w:lineRule="exact"/>
              <w:jc w:val="center"/>
              <w:rPr>
                <w:rFonts w:hint="eastAsia"/>
                <w:b/>
                <w:color w:val="215868"/>
                <w:sz w:val="20"/>
                <w:szCs w:val="20"/>
              </w:rPr>
            </w:pPr>
            <w:r w:rsidRPr="00E04C6B">
              <w:rPr>
                <w:rFonts w:hint="eastAsia"/>
                <w:b/>
                <w:sz w:val="20"/>
                <w:szCs w:val="20"/>
              </w:rPr>
              <w:t>(</w:t>
            </w:r>
            <w:r w:rsidRPr="00E04C6B">
              <w:rPr>
                <w:b/>
                <w:sz w:val="20"/>
                <w:szCs w:val="20"/>
              </w:rPr>
              <w:t>4)=(</w:t>
            </w:r>
            <w:r>
              <w:rPr>
                <w:b/>
                <w:sz w:val="20"/>
                <w:szCs w:val="20"/>
              </w:rPr>
              <w:t>3</w:t>
            </w:r>
            <w:r w:rsidRPr="00E04C6B">
              <w:rPr>
                <w:b/>
                <w:sz w:val="20"/>
                <w:szCs w:val="20"/>
              </w:rPr>
              <w:t>)/(</w:t>
            </w:r>
            <w:r>
              <w:rPr>
                <w:b/>
                <w:sz w:val="20"/>
                <w:szCs w:val="20"/>
              </w:rPr>
              <w:t>2</w:t>
            </w:r>
            <w:r w:rsidRPr="00E04C6B">
              <w:rPr>
                <w:b/>
                <w:sz w:val="20"/>
                <w:szCs w:val="20"/>
              </w:rPr>
              <w:t>)</w:t>
            </w:r>
          </w:p>
        </w:tc>
      </w:tr>
      <w:tr w:rsidR="000B409D" w:rsidRPr="007C2DDB" w:rsidTr="00A06572">
        <w:trPr>
          <w:trHeight w:val="51"/>
        </w:trPr>
        <w:tc>
          <w:tcPr>
            <w:tcW w:w="1701" w:type="dxa"/>
            <w:tcBorders>
              <w:left w:val="single" w:sz="12" w:space="0" w:color="auto"/>
            </w:tcBorders>
            <w:shd w:val="clear" w:color="auto" w:fill="auto"/>
            <w:vAlign w:val="center"/>
          </w:tcPr>
          <w:p w:rsidR="000B409D" w:rsidRPr="00E04C6B" w:rsidRDefault="000B409D" w:rsidP="00A06572">
            <w:pPr>
              <w:pStyle w:val="142"/>
              <w:jc w:val="center"/>
            </w:pPr>
            <w:r w:rsidRPr="00E04C6B">
              <w:rPr>
                <w:rFonts w:hint="eastAsia"/>
              </w:rPr>
              <w:t>1</w:t>
            </w:r>
            <w:r w:rsidRPr="00E04C6B">
              <w:t>08</w:t>
            </w:r>
          </w:p>
        </w:tc>
        <w:tc>
          <w:tcPr>
            <w:tcW w:w="1701" w:type="dxa"/>
            <w:shd w:val="clear" w:color="auto" w:fill="auto"/>
            <w:vAlign w:val="center"/>
          </w:tcPr>
          <w:p w:rsidR="000B409D" w:rsidRPr="00E04C6B" w:rsidRDefault="000B409D" w:rsidP="00A06572">
            <w:pPr>
              <w:pStyle w:val="142"/>
              <w:jc w:val="right"/>
            </w:pPr>
            <w:r w:rsidRPr="00E04C6B">
              <w:t>132</w:t>
            </w:r>
          </w:p>
        </w:tc>
        <w:tc>
          <w:tcPr>
            <w:tcW w:w="1701" w:type="dxa"/>
            <w:shd w:val="clear" w:color="auto" w:fill="auto"/>
            <w:vAlign w:val="center"/>
          </w:tcPr>
          <w:p w:rsidR="000B409D" w:rsidRPr="00E04C6B" w:rsidRDefault="000B409D" w:rsidP="00A06572">
            <w:pPr>
              <w:pStyle w:val="142"/>
              <w:jc w:val="right"/>
            </w:pPr>
            <w:r w:rsidRPr="00E04C6B">
              <w:t>121</w:t>
            </w:r>
          </w:p>
        </w:tc>
        <w:tc>
          <w:tcPr>
            <w:tcW w:w="1701" w:type="dxa"/>
            <w:shd w:val="clear" w:color="auto" w:fill="auto"/>
            <w:vAlign w:val="center"/>
          </w:tcPr>
          <w:p w:rsidR="000B409D" w:rsidRPr="00E04C6B" w:rsidRDefault="000B409D" w:rsidP="00A06572">
            <w:pPr>
              <w:pStyle w:val="142"/>
              <w:jc w:val="right"/>
            </w:pPr>
            <w:r w:rsidRPr="00E04C6B">
              <w:t>44</w:t>
            </w:r>
          </w:p>
        </w:tc>
        <w:tc>
          <w:tcPr>
            <w:tcW w:w="1701" w:type="dxa"/>
            <w:tcBorders>
              <w:right w:val="single" w:sz="12" w:space="0" w:color="auto"/>
            </w:tcBorders>
            <w:shd w:val="clear" w:color="auto" w:fill="auto"/>
            <w:vAlign w:val="center"/>
          </w:tcPr>
          <w:p w:rsidR="000B409D" w:rsidRPr="00E04C6B" w:rsidRDefault="000B409D" w:rsidP="00A06572">
            <w:pPr>
              <w:pStyle w:val="142"/>
              <w:jc w:val="right"/>
            </w:pPr>
            <w:r w:rsidRPr="00E04C6B">
              <w:t>36.36%</w:t>
            </w:r>
          </w:p>
        </w:tc>
      </w:tr>
      <w:tr w:rsidR="000B409D" w:rsidRPr="007C2DDB" w:rsidTr="00A06572">
        <w:trPr>
          <w:trHeight w:val="51"/>
        </w:trPr>
        <w:tc>
          <w:tcPr>
            <w:tcW w:w="1701" w:type="dxa"/>
            <w:tcBorders>
              <w:left w:val="single" w:sz="12" w:space="0" w:color="auto"/>
            </w:tcBorders>
            <w:shd w:val="clear" w:color="auto" w:fill="auto"/>
            <w:vAlign w:val="center"/>
          </w:tcPr>
          <w:p w:rsidR="000B409D" w:rsidRPr="00E04C6B" w:rsidRDefault="000B409D" w:rsidP="00A06572">
            <w:pPr>
              <w:pStyle w:val="142"/>
              <w:jc w:val="center"/>
              <w:rPr>
                <w:rFonts w:hAnsi="標楷體"/>
              </w:rPr>
            </w:pPr>
            <w:r w:rsidRPr="00E04C6B">
              <w:rPr>
                <w:rFonts w:hAnsi="標楷體"/>
              </w:rPr>
              <w:t>109</w:t>
            </w:r>
          </w:p>
        </w:tc>
        <w:tc>
          <w:tcPr>
            <w:tcW w:w="1701" w:type="dxa"/>
            <w:shd w:val="clear" w:color="auto" w:fill="auto"/>
            <w:vAlign w:val="center"/>
          </w:tcPr>
          <w:p w:rsidR="000B409D" w:rsidRPr="00E04C6B" w:rsidRDefault="000B409D" w:rsidP="00A06572">
            <w:pPr>
              <w:pStyle w:val="142"/>
              <w:jc w:val="right"/>
            </w:pPr>
            <w:r w:rsidRPr="00E04C6B">
              <w:t>300</w:t>
            </w:r>
          </w:p>
        </w:tc>
        <w:tc>
          <w:tcPr>
            <w:tcW w:w="1701" w:type="dxa"/>
            <w:shd w:val="clear" w:color="auto" w:fill="auto"/>
            <w:vAlign w:val="center"/>
          </w:tcPr>
          <w:p w:rsidR="000B409D" w:rsidRPr="00E04C6B" w:rsidRDefault="000B409D" w:rsidP="00A06572">
            <w:pPr>
              <w:pStyle w:val="142"/>
              <w:jc w:val="right"/>
            </w:pPr>
            <w:r w:rsidRPr="00E04C6B">
              <w:t>282</w:t>
            </w:r>
          </w:p>
        </w:tc>
        <w:tc>
          <w:tcPr>
            <w:tcW w:w="1701" w:type="dxa"/>
            <w:shd w:val="clear" w:color="auto" w:fill="auto"/>
            <w:vAlign w:val="center"/>
          </w:tcPr>
          <w:p w:rsidR="000B409D" w:rsidRPr="00E04C6B" w:rsidRDefault="000B409D" w:rsidP="00A06572">
            <w:pPr>
              <w:pStyle w:val="142"/>
              <w:jc w:val="right"/>
            </w:pPr>
            <w:r w:rsidRPr="00E04C6B">
              <w:t>102</w:t>
            </w:r>
          </w:p>
        </w:tc>
        <w:tc>
          <w:tcPr>
            <w:tcW w:w="1701" w:type="dxa"/>
            <w:tcBorders>
              <w:right w:val="single" w:sz="12" w:space="0" w:color="auto"/>
            </w:tcBorders>
            <w:shd w:val="clear" w:color="auto" w:fill="auto"/>
            <w:vAlign w:val="center"/>
          </w:tcPr>
          <w:p w:rsidR="000B409D" w:rsidRPr="00E04C6B" w:rsidRDefault="000B409D" w:rsidP="00A06572">
            <w:pPr>
              <w:pStyle w:val="142"/>
              <w:jc w:val="right"/>
            </w:pPr>
            <w:r w:rsidRPr="00E04C6B">
              <w:t>36.17%</w:t>
            </w:r>
          </w:p>
        </w:tc>
      </w:tr>
      <w:tr w:rsidR="000B409D" w:rsidRPr="007C2DDB" w:rsidTr="00A06572">
        <w:trPr>
          <w:trHeight w:val="54"/>
        </w:trPr>
        <w:tc>
          <w:tcPr>
            <w:tcW w:w="1701" w:type="dxa"/>
            <w:tcBorders>
              <w:left w:val="single" w:sz="12" w:space="0" w:color="auto"/>
            </w:tcBorders>
            <w:shd w:val="clear" w:color="auto" w:fill="auto"/>
            <w:vAlign w:val="center"/>
          </w:tcPr>
          <w:p w:rsidR="000B409D" w:rsidRPr="00E04C6B" w:rsidRDefault="000B409D" w:rsidP="00A06572">
            <w:pPr>
              <w:pStyle w:val="142"/>
              <w:jc w:val="center"/>
              <w:rPr>
                <w:rFonts w:hAnsi="標楷體"/>
              </w:rPr>
            </w:pPr>
            <w:r w:rsidRPr="00E04C6B">
              <w:rPr>
                <w:rFonts w:hAnsi="標楷體"/>
              </w:rPr>
              <w:t>110</w:t>
            </w:r>
          </w:p>
        </w:tc>
        <w:tc>
          <w:tcPr>
            <w:tcW w:w="1701" w:type="dxa"/>
            <w:shd w:val="clear" w:color="auto" w:fill="auto"/>
            <w:vAlign w:val="center"/>
          </w:tcPr>
          <w:p w:rsidR="000B409D" w:rsidRPr="00E04C6B" w:rsidRDefault="000B409D" w:rsidP="00A06572">
            <w:pPr>
              <w:pStyle w:val="142"/>
              <w:jc w:val="right"/>
            </w:pPr>
            <w:r w:rsidRPr="00E04C6B">
              <w:t>325</w:t>
            </w:r>
          </w:p>
        </w:tc>
        <w:tc>
          <w:tcPr>
            <w:tcW w:w="1701" w:type="dxa"/>
            <w:shd w:val="clear" w:color="auto" w:fill="auto"/>
            <w:vAlign w:val="center"/>
          </w:tcPr>
          <w:p w:rsidR="000B409D" w:rsidRPr="00E04C6B" w:rsidRDefault="000B409D" w:rsidP="00A06572">
            <w:pPr>
              <w:pStyle w:val="142"/>
              <w:jc w:val="right"/>
            </w:pPr>
            <w:r w:rsidRPr="00E04C6B">
              <w:t>291</w:t>
            </w:r>
          </w:p>
        </w:tc>
        <w:tc>
          <w:tcPr>
            <w:tcW w:w="1701" w:type="dxa"/>
            <w:shd w:val="clear" w:color="auto" w:fill="auto"/>
            <w:vAlign w:val="center"/>
          </w:tcPr>
          <w:p w:rsidR="000B409D" w:rsidRPr="00E04C6B" w:rsidRDefault="000B409D" w:rsidP="00A06572">
            <w:pPr>
              <w:pStyle w:val="142"/>
              <w:jc w:val="right"/>
            </w:pPr>
            <w:r w:rsidRPr="00E04C6B">
              <w:t>30</w:t>
            </w:r>
          </w:p>
        </w:tc>
        <w:tc>
          <w:tcPr>
            <w:tcW w:w="1701" w:type="dxa"/>
            <w:tcBorders>
              <w:right w:val="single" w:sz="12" w:space="0" w:color="auto"/>
            </w:tcBorders>
            <w:shd w:val="clear" w:color="auto" w:fill="auto"/>
            <w:vAlign w:val="center"/>
          </w:tcPr>
          <w:p w:rsidR="000B409D" w:rsidRPr="00E04C6B" w:rsidRDefault="000B409D" w:rsidP="00A06572">
            <w:pPr>
              <w:pStyle w:val="142"/>
              <w:jc w:val="right"/>
            </w:pPr>
            <w:r w:rsidRPr="00E04C6B">
              <w:t>10.31%</w:t>
            </w:r>
          </w:p>
        </w:tc>
      </w:tr>
      <w:tr w:rsidR="000B409D" w:rsidRPr="007C2DDB" w:rsidTr="00A06572">
        <w:trPr>
          <w:trHeight w:val="51"/>
        </w:trPr>
        <w:tc>
          <w:tcPr>
            <w:tcW w:w="1701" w:type="dxa"/>
            <w:tcBorders>
              <w:left w:val="single" w:sz="12" w:space="0" w:color="auto"/>
            </w:tcBorders>
            <w:shd w:val="clear" w:color="auto" w:fill="auto"/>
            <w:vAlign w:val="center"/>
          </w:tcPr>
          <w:p w:rsidR="000B409D" w:rsidRPr="00E04C6B" w:rsidRDefault="000B409D" w:rsidP="00A06572">
            <w:pPr>
              <w:pStyle w:val="142"/>
              <w:jc w:val="center"/>
              <w:rPr>
                <w:rFonts w:hAnsi="標楷體"/>
              </w:rPr>
            </w:pPr>
            <w:r w:rsidRPr="00E04C6B">
              <w:rPr>
                <w:rFonts w:hAnsi="標楷體"/>
              </w:rPr>
              <w:t>111</w:t>
            </w:r>
          </w:p>
        </w:tc>
        <w:tc>
          <w:tcPr>
            <w:tcW w:w="1701" w:type="dxa"/>
            <w:shd w:val="clear" w:color="auto" w:fill="auto"/>
            <w:vAlign w:val="center"/>
          </w:tcPr>
          <w:p w:rsidR="000B409D" w:rsidRPr="00E04C6B" w:rsidRDefault="000B409D" w:rsidP="00A06572">
            <w:pPr>
              <w:pStyle w:val="142"/>
              <w:jc w:val="right"/>
            </w:pPr>
            <w:r w:rsidRPr="00E04C6B">
              <w:t>450</w:t>
            </w:r>
          </w:p>
        </w:tc>
        <w:tc>
          <w:tcPr>
            <w:tcW w:w="1701" w:type="dxa"/>
            <w:shd w:val="clear" w:color="auto" w:fill="auto"/>
            <w:vAlign w:val="center"/>
          </w:tcPr>
          <w:p w:rsidR="000B409D" w:rsidRPr="00E04C6B" w:rsidRDefault="000B409D" w:rsidP="00A06572">
            <w:pPr>
              <w:pStyle w:val="142"/>
              <w:jc w:val="right"/>
            </w:pPr>
            <w:r w:rsidRPr="00E04C6B">
              <w:t>418</w:t>
            </w:r>
          </w:p>
        </w:tc>
        <w:tc>
          <w:tcPr>
            <w:tcW w:w="1701" w:type="dxa"/>
            <w:shd w:val="clear" w:color="auto" w:fill="auto"/>
            <w:vAlign w:val="center"/>
          </w:tcPr>
          <w:p w:rsidR="000B409D" w:rsidRPr="00E04C6B" w:rsidRDefault="000B409D" w:rsidP="00A06572">
            <w:pPr>
              <w:pStyle w:val="142"/>
              <w:jc w:val="right"/>
            </w:pPr>
            <w:r w:rsidRPr="00E04C6B">
              <w:t>60</w:t>
            </w:r>
          </w:p>
        </w:tc>
        <w:tc>
          <w:tcPr>
            <w:tcW w:w="1701" w:type="dxa"/>
            <w:tcBorders>
              <w:right w:val="single" w:sz="12" w:space="0" w:color="auto"/>
            </w:tcBorders>
            <w:shd w:val="clear" w:color="auto" w:fill="auto"/>
            <w:vAlign w:val="center"/>
          </w:tcPr>
          <w:p w:rsidR="000B409D" w:rsidRPr="00E04C6B" w:rsidRDefault="000B409D" w:rsidP="00A06572">
            <w:pPr>
              <w:pStyle w:val="142"/>
              <w:jc w:val="right"/>
            </w:pPr>
            <w:r w:rsidRPr="00E04C6B">
              <w:t>14.35%</w:t>
            </w:r>
          </w:p>
        </w:tc>
      </w:tr>
      <w:tr w:rsidR="000B409D" w:rsidRPr="007C2DDB" w:rsidTr="00A06572">
        <w:trPr>
          <w:trHeight w:val="56"/>
        </w:trPr>
        <w:tc>
          <w:tcPr>
            <w:tcW w:w="1701" w:type="dxa"/>
            <w:tcBorders>
              <w:left w:val="single" w:sz="12" w:space="0" w:color="auto"/>
            </w:tcBorders>
            <w:shd w:val="clear" w:color="auto" w:fill="auto"/>
            <w:vAlign w:val="center"/>
          </w:tcPr>
          <w:p w:rsidR="000B409D" w:rsidRPr="00E04C6B" w:rsidRDefault="000B409D" w:rsidP="00A06572">
            <w:pPr>
              <w:pStyle w:val="142"/>
              <w:jc w:val="center"/>
            </w:pPr>
            <w:r w:rsidRPr="00E04C6B">
              <w:rPr>
                <w:rFonts w:hint="eastAsia"/>
              </w:rPr>
              <w:t>1</w:t>
            </w:r>
            <w:r w:rsidRPr="00E04C6B">
              <w:t>12</w:t>
            </w:r>
          </w:p>
        </w:tc>
        <w:tc>
          <w:tcPr>
            <w:tcW w:w="1701" w:type="dxa"/>
            <w:shd w:val="clear" w:color="auto" w:fill="auto"/>
            <w:vAlign w:val="center"/>
          </w:tcPr>
          <w:p w:rsidR="000B409D" w:rsidRPr="00E04C6B" w:rsidRDefault="000B409D" w:rsidP="00A06572">
            <w:pPr>
              <w:pStyle w:val="142"/>
              <w:jc w:val="right"/>
            </w:pPr>
            <w:r w:rsidRPr="00E04C6B">
              <w:t>479</w:t>
            </w:r>
          </w:p>
        </w:tc>
        <w:tc>
          <w:tcPr>
            <w:tcW w:w="1701" w:type="dxa"/>
            <w:shd w:val="clear" w:color="auto" w:fill="auto"/>
            <w:vAlign w:val="center"/>
          </w:tcPr>
          <w:p w:rsidR="000B409D" w:rsidRPr="00E04C6B" w:rsidRDefault="000B409D" w:rsidP="00A06572">
            <w:pPr>
              <w:pStyle w:val="142"/>
              <w:jc w:val="right"/>
            </w:pPr>
            <w:r w:rsidRPr="00E04C6B">
              <w:t>416</w:t>
            </w:r>
          </w:p>
        </w:tc>
        <w:tc>
          <w:tcPr>
            <w:tcW w:w="1701" w:type="dxa"/>
            <w:shd w:val="clear" w:color="auto" w:fill="auto"/>
            <w:vAlign w:val="center"/>
          </w:tcPr>
          <w:p w:rsidR="000B409D" w:rsidRPr="00E04C6B" w:rsidRDefault="000B409D" w:rsidP="00A06572">
            <w:pPr>
              <w:pStyle w:val="142"/>
              <w:jc w:val="right"/>
            </w:pPr>
            <w:r w:rsidRPr="00E04C6B">
              <w:t>80</w:t>
            </w:r>
          </w:p>
        </w:tc>
        <w:tc>
          <w:tcPr>
            <w:tcW w:w="1701" w:type="dxa"/>
            <w:tcBorders>
              <w:right w:val="single" w:sz="12" w:space="0" w:color="auto"/>
            </w:tcBorders>
            <w:shd w:val="clear" w:color="auto" w:fill="auto"/>
            <w:vAlign w:val="center"/>
          </w:tcPr>
          <w:p w:rsidR="000B409D" w:rsidRPr="00E04C6B" w:rsidRDefault="000B409D" w:rsidP="00A06572">
            <w:pPr>
              <w:pStyle w:val="142"/>
              <w:jc w:val="right"/>
            </w:pPr>
            <w:r w:rsidRPr="00E04C6B">
              <w:t>19.23%</w:t>
            </w:r>
          </w:p>
        </w:tc>
      </w:tr>
      <w:tr w:rsidR="000B409D" w:rsidRPr="007C2DDB" w:rsidTr="00A06572">
        <w:trPr>
          <w:trHeight w:val="62"/>
        </w:trPr>
        <w:tc>
          <w:tcPr>
            <w:tcW w:w="1701" w:type="dxa"/>
            <w:tcBorders>
              <w:left w:val="single" w:sz="12" w:space="0" w:color="auto"/>
              <w:bottom w:val="single" w:sz="12" w:space="0" w:color="auto"/>
            </w:tcBorders>
            <w:shd w:val="clear" w:color="auto" w:fill="auto"/>
            <w:vAlign w:val="center"/>
          </w:tcPr>
          <w:p w:rsidR="000B409D" w:rsidRPr="00E04C6B" w:rsidRDefault="000B409D" w:rsidP="00A06572">
            <w:pPr>
              <w:pStyle w:val="142"/>
              <w:jc w:val="center"/>
            </w:pPr>
            <w:r w:rsidRPr="00E04C6B">
              <w:rPr>
                <w:rFonts w:hint="eastAsia"/>
              </w:rPr>
              <w:lastRenderedPageBreak/>
              <w:t>1</w:t>
            </w:r>
            <w:r w:rsidRPr="00E04C6B">
              <w:t>13/8</w:t>
            </w:r>
          </w:p>
        </w:tc>
        <w:tc>
          <w:tcPr>
            <w:tcW w:w="1701" w:type="dxa"/>
            <w:tcBorders>
              <w:bottom w:val="single" w:sz="12" w:space="0" w:color="auto"/>
            </w:tcBorders>
            <w:shd w:val="clear" w:color="auto" w:fill="auto"/>
            <w:vAlign w:val="center"/>
          </w:tcPr>
          <w:p w:rsidR="000B409D" w:rsidRPr="00E04C6B" w:rsidRDefault="000B409D" w:rsidP="00A06572">
            <w:pPr>
              <w:pStyle w:val="142"/>
              <w:jc w:val="right"/>
            </w:pPr>
            <w:r w:rsidRPr="00E04C6B">
              <w:t>337</w:t>
            </w:r>
          </w:p>
        </w:tc>
        <w:tc>
          <w:tcPr>
            <w:tcW w:w="1701" w:type="dxa"/>
            <w:tcBorders>
              <w:bottom w:val="single" w:sz="12" w:space="0" w:color="auto"/>
            </w:tcBorders>
            <w:shd w:val="clear" w:color="auto" w:fill="auto"/>
            <w:vAlign w:val="center"/>
          </w:tcPr>
          <w:p w:rsidR="000B409D" w:rsidRPr="00E04C6B" w:rsidRDefault="000B409D" w:rsidP="00A06572">
            <w:pPr>
              <w:pStyle w:val="142"/>
              <w:jc w:val="right"/>
            </w:pPr>
            <w:r w:rsidRPr="00E04C6B">
              <w:t>293</w:t>
            </w:r>
          </w:p>
        </w:tc>
        <w:tc>
          <w:tcPr>
            <w:tcW w:w="1701" w:type="dxa"/>
            <w:tcBorders>
              <w:bottom w:val="single" w:sz="12" w:space="0" w:color="auto"/>
            </w:tcBorders>
            <w:shd w:val="clear" w:color="auto" w:fill="auto"/>
            <w:vAlign w:val="center"/>
          </w:tcPr>
          <w:p w:rsidR="000B409D" w:rsidRPr="00E04C6B" w:rsidRDefault="000B409D" w:rsidP="00A06572">
            <w:pPr>
              <w:pStyle w:val="142"/>
              <w:jc w:val="right"/>
            </w:pPr>
            <w:r w:rsidRPr="00E04C6B">
              <w:t>61</w:t>
            </w:r>
          </w:p>
        </w:tc>
        <w:tc>
          <w:tcPr>
            <w:tcW w:w="1701" w:type="dxa"/>
            <w:tcBorders>
              <w:bottom w:val="single" w:sz="12" w:space="0" w:color="auto"/>
              <w:right w:val="single" w:sz="12" w:space="0" w:color="auto"/>
            </w:tcBorders>
            <w:shd w:val="clear" w:color="auto" w:fill="auto"/>
            <w:vAlign w:val="center"/>
          </w:tcPr>
          <w:p w:rsidR="000B409D" w:rsidRPr="00E04C6B" w:rsidRDefault="000B409D" w:rsidP="00A06572">
            <w:pPr>
              <w:pStyle w:val="142"/>
              <w:jc w:val="right"/>
            </w:pPr>
            <w:r w:rsidRPr="00E04C6B">
              <w:t>20.82%</w:t>
            </w:r>
          </w:p>
        </w:tc>
      </w:tr>
    </w:tbl>
    <w:p w:rsidR="000B409D" w:rsidRDefault="000B409D" w:rsidP="000B409D">
      <w:pPr>
        <w:adjustRightInd w:val="0"/>
        <w:spacing w:line="300" w:lineRule="exact"/>
        <w:ind w:leftChars="0" w:left="973" w:hangingChars="400" w:hanging="973"/>
        <w:rPr>
          <w:sz w:val="24"/>
          <w:szCs w:val="24"/>
        </w:rPr>
      </w:pPr>
      <w:r w:rsidRPr="00490B7C">
        <w:rPr>
          <w:rFonts w:hint="eastAsia"/>
          <w:sz w:val="24"/>
          <w:szCs w:val="24"/>
        </w:rPr>
        <w:t>資料來源：</w:t>
      </w:r>
      <w:r>
        <w:rPr>
          <w:rFonts w:hint="eastAsia"/>
          <w:sz w:val="24"/>
          <w:szCs w:val="24"/>
        </w:rPr>
        <w:t>法扶基金會提供</w:t>
      </w:r>
      <w:r w:rsidRPr="00490B7C">
        <w:rPr>
          <w:rFonts w:hint="eastAsia"/>
          <w:sz w:val="24"/>
          <w:szCs w:val="24"/>
        </w:rPr>
        <w:t>。</w:t>
      </w:r>
    </w:p>
    <w:bookmarkEnd w:id="1"/>
    <w:bookmarkEnd w:id="2"/>
    <w:p w:rsidR="00F5280D" w:rsidRPr="003C54E4" w:rsidRDefault="00F5280D" w:rsidP="00F5280D">
      <w:pPr>
        <w:ind w:left="849" w:hangingChars="100" w:hanging="283"/>
        <w:rPr>
          <w:b/>
        </w:rPr>
      </w:pPr>
      <w:r w:rsidRPr="003C54E4">
        <w:rPr>
          <w:rFonts w:hint="eastAsia"/>
          <w:b/>
        </w:rPr>
        <w:t>(</w:t>
      </w:r>
      <w:r>
        <w:rPr>
          <w:rFonts w:hint="eastAsia"/>
          <w:b/>
        </w:rPr>
        <w:t>三</w:t>
      </w:r>
      <w:r w:rsidRPr="003C54E4">
        <w:rPr>
          <w:rFonts w:hint="eastAsia"/>
          <w:b/>
        </w:rPr>
        <w:t>)</w:t>
      </w:r>
      <w:r w:rsidRPr="007B4951">
        <w:rPr>
          <w:rFonts w:hint="eastAsia"/>
          <w:b/>
        </w:rPr>
        <w:t>111及112年度</w:t>
      </w:r>
      <w:r w:rsidRPr="003C54E4">
        <w:rPr>
          <w:rFonts w:hint="eastAsia"/>
          <w:b/>
        </w:rPr>
        <w:t>司法院</w:t>
      </w:r>
      <w:r>
        <w:rPr>
          <w:rFonts w:hint="eastAsia"/>
          <w:b/>
        </w:rPr>
        <w:t>對法扶基金會之效益評估提及，</w:t>
      </w:r>
      <w:r w:rsidRPr="003C54E4">
        <w:rPr>
          <w:rFonts w:hint="eastAsia"/>
          <w:b/>
        </w:rPr>
        <w:t>原民中心受理原民文化衝突案件比率</w:t>
      </w:r>
      <w:r>
        <w:rPr>
          <w:rFonts w:hint="eastAsia"/>
          <w:b/>
        </w:rPr>
        <w:t>偏</w:t>
      </w:r>
      <w:r w:rsidRPr="003C54E4">
        <w:rPr>
          <w:rFonts w:hint="eastAsia"/>
          <w:b/>
        </w:rPr>
        <w:t>低，</w:t>
      </w:r>
      <w:r>
        <w:rPr>
          <w:rFonts w:hint="eastAsia"/>
          <w:b/>
        </w:rPr>
        <w:t>允宜檢討改善，</w:t>
      </w:r>
      <w:r w:rsidRPr="003C54E4">
        <w:rPr>
          <w:rFonts w:hint="eastAsia"/>
          <w:b/>
        </w:rPr>
        <w:t>以落實成立宗旨</w:t>
      </w:r>
    </w:p>
    <w:p w:rsidR="00F5280D" w:rsidRDefault="00F5280D" w:rsidP="00F5280D">
      <w:pPr>
        <w:adjustRightInd w:val="0"/>
        <w:ind w:leftChars="300" w:left="850" w:firstLine="566"/>
        <w:rPr>
          <w:rFonts w:hAnsi="標楷體"/>
          <w:szCs w:val="24"/>
        </w:rPr>
      </w:pPr>
      <w:r w:rsidRPr="003C54E4">
        <w:rPr>
          <w:rFonts w:hAnsi="標楷體" w:hint="eastAsia"/>
          <w:szCs w:val="24"/>
        </w:rPr>
        <w:t>依</w:t>
      </w:r>
      <w:r>
        <w:rPr>
          <w:rFonts w:hAnsi="標楷體" w:hint="eastAsia"/>
          <w:szCs w:val="24"/>
        </w:rPr>
        <w:t>各</w:t>
      </w:r>
      <w:r w:rsidRPr="003C54E4">
        <w:rPr>
          <w:rFonts w:hAnsi="標楷體" w:hint="eastAsia"/>
          <w:szCs w:val="24"/>
        </w:rPr>
        <w:t>年度司法院主管決算書所</w:t>
      </w:r>
      <w:r w:rsidRPr="00BF26C9">
        <w:rPr>
          <w:rFonts w:hAnsi="標楷體" w:hint="eastAsia"/>
          <w:szCs w:val="24"/>
        </w:rPr>
        <w:t>載</w:t>
      </w:r>
      <w:r w:rsidRPr="003C54E4">
        <w:rPr>
          <w:rFonts w:hAnsi="標楷體" w:hint="eastAsia"/>
          <w:szCs w:val="24"/>
        </w:rPr>
        <w:t>列「司法院對各部門捐助財團法人之效益評估表」</w:t>
      </w:r>
      <w:r w:rsidRPr="003C54E4">
        <w:rPr>
          <w:rFonts w:hAnsi="標楷體"/>
          <w:szCs w:val="24"/>
          <w:vertAlign w:val="superscript"/>
        </w:rPr>
        <w:footnoteReference w:id="3"/>
      </w:r>
      <w:r w:rsidRPr="003C54E4">
        <w:rPr>
          <w:rFonts w:hAnsi="標楷體" w:hint="eastAsia"/>
          <w:szCs w:val="24"/>
        </w:rPr>
        <w:t>，司法院針對法扶基金會重要業務辦理情形之效益評估項目</w:t>
      </w:r>
      <w:r w:rsidR="0098727C">
        <w:rPr>
          <w:rFonts w:hAnsi="標楷體" w:hint="eastAsia"/>
          <w:szCs w:val="24"/>
        </w:rPr>
        <w:t>，</w:t>
      </w:r>
      <w:r w:rsidRPr="003C54E4">
        <w:rPr>
          <w:rFonts w:hAnsi="標楷體" w:hint="eastAsia"/>
          <w:szCs w:val="24"/>
        </w:rPr>
        <w:t>包括法規訂定或修訂情形、專職律師辦理案件成效、原民中心業務運作情形、案件辦理情形、募款效能及效益評估分析說明等，其中有關原民中心業務運作情形之效益評估，</w:t>
      </w:r>
      <w:r w:rsidRPr="00F76298">
        <w:rPr>
          <w:rFonts w:hAnsi="標楷體" w:hint="eastAsia"/>
          <w:szCs w:val="24"/>
        </w:rPr>
        <w:t>司法院</w:t>
      </w:r>
      <w:r>
        <w:rPr>
          <w:rFonts w:hAnsi="標楷體" w:hint="eastAsia"/>
          <w:szCs w:val="24"/>
        </w:rPr>
        <w:t>已連續2年(</w:t>
      </w:r>
      <w:r w:rsidRPr="00F76298">
        <w:rPr>
          <w:rFonts w:hAnsi="標楷體" w:hint="eastAsia"/>
          <w:szCs w:val="24"/>
        </w:rPr>
        <w:t>111及112年度</w:t>
      </w:r>
      <w:r>
        <w:rPr>
          <w:rFonts w:hAnsi="標楷體" w:hint="eastAsia"/>
          <w:szCs w:val="24"/>
        </w:rPr>
        <w:t>)於其主管決算書內提及，</w:t>
      </w:r>
      <w:r w:rsidRPr="003C54E4">
        <w:rPr>
          <w:rFonts w:hint="eastAsia"/>
        </w:rPr>
        <w:t>原民中心成立目的旨在協助調和原住民族傳統文化慣習與國家法制之衝突，故應以承辦原民文化衝突案件為優先</w:t>
      </w:r>
      <w:r>
        <w:rPr>
          <w:rFonts w:hint="eastAsia"/>
        </w:rPr>
        <w:t>；惟</w:t>
      </w:r>
      <w:r w:rsidR="0098727C" w:rsidRPr="0098727C">
        <w:rPr>
          <w:rFonts w:hint="eastAsia"/>
        </w:rPr>
        <w:t>111及112年度</w:t>
      </w:r>
      <w:r>
        <w:rPr>
          <w:rFonts w:hint="eastAsia"/>
        </w:rPr>
        <w:t>原民中心</w:t>
      </w:r>
      <w:r w:rsidRPr="00241CCB">
        <w:rPr>
          <w:rFonts w:hAnsi="標楷體" w:hint="eastAsia"/>
          <w:szCs w:val="24"/>
        </w:rPr>
        <w:t>准予扶助案件</w:t>
      </w:r>
      <w:r>
        <w:rPr>
          <w:rFonts w:hAnsi="標楷體" w:hint="eastAsia"/>
          <w:szCs w:val="24"/>
        </w:rPr>
        <w:t>中，</w:t>
      </w:r>
      <w:r w:rsidRPr="00B06789">
        <w:rPr>
          <w:rFonts w:hAnsi="標楷體" w:hint="eastAsia"/>
          <w:szCs w:val="24"/>
        </w:rPr>
        <w:t>屬原民文化衝突案件數</w:t>
      </w:r>
      <w:r>
        <w:rPr>
          <w:rFonts w:hAnsi="標楷體" w:hint="eastAsia"/>
          <w:szCs w:val="24"/>
        </w:rPr>
        <w:t>偏低，</w:t>
      </w:r>
      <w:r w:rsidRPr="003C54E4">
        <w:rPr>
          <w:rFonts w:hAnsi="標楷體" w:hint="eastAsia"/>
          <w:szCs w:val="24"/>
        </w:rPr>
        <w:t>可能係</w:t>
      </w:r>
      <w:r>
        <w:rPr>
          <w:rFonts w:hAnsi="標楷體" w:hint="eastAsia"/>
          <w:szCs w:val="24"/>
        </w:rPr>
        <w:t>因</w:t>
      </w:r>
      <w:r w:rsidRPr="003C54E4">
        <w:rPr>
          <w:rFonts w:hAnsi="標楷體" w:hint="eastAsia"/>
          <w:szCs w:val="24"/>
        </w:rPr>
        <w:t>原民中心與同地區分會</w:t>
      </w:r>
      <w:r>
        <w:rPr>
          <w:rFonts w:hAnsi="標楷體" w:hint="eastAsia"/>
          <w:szCs w:val="24"/>
        </w:rPr>
        <w:t>(如</w:t>
      </w:r>
      <w:r w:rsidRPr="00F924A1">
        <w:rPr>
          <w:rFonts w:hAnsi="標楷體" w:hint="eastAsia"/>
          <w:szCs w:val="24"/>
        </w:rPr>
        <w:t>花蓮</w:t>
      </w:r>
      <w:r>
        <w:rPr>
          <w:rFonts w:hAnsi="標楷體" w:hint="eastAsia"/>
          <w:szCs w:val="24"/>
        </w:rPr>
        <w:t>分會</w:t>
      </w:r>
      <w:r>
        <w:rPr>
          <w:rFonts w:hAnsi="標楷體"/>
          <w:szCs w:val="24"/>
        </w:rPr>
        <w:t>)</w:t>
      </w:r>
      <w:r w:rsidRPr="003C54E4">
        <w:rPr>
          <w:rFonts w:hAnsi="標楷體" w:hint="eastAsia"/>
          <w:szCs w:val="24"/>
        </w:rPr>
        <w:lastRenderedPageBreak/>
        <w:t>之業務</w:t>
      </w:r>
      <w:r>
        <w:rPr>
          <w:rFonts w:hAnsi="標楷體" w:hint="eastAsia"/>
          <w:szCs w:val="24"/>
        </w:rPr>
        <w:t>及</w:t>
      </w:r>
      <w:r w:rsidRPr="005349BD">
        <w:rPr>
          <w:rFonts w:hAnsi="標楷體" w:hint="eastAsia"/>
          <w:szCs w:val="24"/>
        </w:rPr>
        <w:t>發展方向</w:t>
      </w:r>
      <w:r>
        <w:rPr>
          <w:rFonts w:hAnsi="標楷體" w:hint="eastAsia"/>
          <w:szCs w:val="24"/>
        </w:rPr>
        <w:t>區隔未</w:t>
      </w:r>
      <w:r w:rsidRPr="00220B35">
        <w:rPr>
          <w:rFonts w:hAnsi="標楷體" w:hint="eastAsia"/>
          <w:szCs w:val="24"/>
        </w:rPr>
        <w:t>臻</w:t>
      </w:r>
      <w:r>
        <w:rPr>
          <w:rFonts w:hAnsi="標楷體" w:hint="eastAsia"/>
          <w:szCs w:val="24"/>
        </w:rPr>
        <w:t>明確，致在</w:t>
      </w:r>
      <w:r w:rsidRPr="00220B35">
        <w:rPr>
          <w:rFonts w:hAnsi="標楷體" w:hint="eastAsia"/>
          <w:szCs w:val="24"/>
        </w:rPr>
        <w:t>解決原民文化衝突問題之任務與</w:t>
      </w:r>
      <w:r>
        <w:rPr>
          <w:rFonts w:hAnsi="標楷體" w:hint="eastAsia"/>
          <w:szCs w:val="24"/>
        </w:rPr>
        <w:t>其他</w:t>
      </w:r>
      <w:r w:rsidRPr="00220B35">
        <w:rPr>
          <w:rFonts w:hAnsi="標楷體" w:hint="eastAsia"/>
          <w:szCs w:val="24"/>
        </w:rPr>
        <w:t>分會</w:t>
      </w:r>
      <w:r w:rsidRPr="003C54E4">
        <w:rPr>
          <w:rFonts w:hAnsi="標楷體" w:hint="eastAsia"/>
          <w:szCs w:val="24"/>
        </w:rPr>
        <w:t>功能</w:t>
      </w:r>
      <w:r w:rsidRPr="00220B35">
        <w:rPr>
          <w:rFonts w:hAnsi="標楷體" w:hint="eastAsia"/>
          <w:szCs w:val="24"/>
        </w:rPr>
        <w:t>有所重疊</w:t>
      </w:r>
      <w:r>
        <w:rPr>
          <w:rStyle w:val="af1"/>
        </w:rPr>
        <w:footnoteReference w:id="4"/>
      </w:r>
      <w:r>
        <w:rPr>
          <w:rFonts w:hAnsi="標楷體" w:hint="eastAsia"/>
          <w:szCs w:val="24"/>
        </w:rPr>
        <w:t>，允</w:t>
      </w:r>
      <w:r w:rsidR="00194D81">
        <w:rPr>
          <w:rFonts w:hAnsi="標楷體" w:hint="eastAsia"/>
          <w:szCs w:val="24"/>
        </w:rPr>
        <w:t>待</w:t>
      </w:r>
      <w:r>
        <w:rPr>
          <w:rFonts w:hAnsi="標楷體" w:hint="eastAsia"/>
          <w:szCs w:val="24"/>
        </w:rPr>
        <w:t>研謀改善之道</w:t>
      </w:r>
      <w:r w:rsidRPr="00CF5BBD">
        <w:rPr>
          <w:rFonts w:hAnsi="標楷體" w:hint="eastAsia"/>
          <w:szCs w:val="24"/>
        </w:rPr>
        <w:t>，</w:t>
      </w:r>
      <w:r>
        <w:rPr>
          <w:rFonts w:hAnsi="標楷體" w:hint="eastAsia"/>
          <w:szCs w:val="24"/>
        </w:rPr>
        <w:t>以</w:t>
      </w:r>
      <w:r w:rsidRPr="00CF5BBD">
        <w:rPr>
          <w:rFonts w:hAnsi="標楷體" w:hint="eastAsia"/>
          <w:szCs w:val="24"/>
        </w:rPr>
        <w:t>落實原民中心成立宗旨</w:t>
      </w:r>
      <w:r>
        <w:rPr>
          <w:rStyle w:val="af1"/>
          <w:rFonts w:hAnsi="標楷體"/>
          <w:szCs w:val="24"/>
        </w:rPr>
        <w:footnoteReference w:id="5"/>
      </w:r>
      <w:r>
        <w:rPr>
          <w:rFonts w:hAnsi="標楷體" w:hint="eastAsia"/>
          <w:szCs w:val="24"/>
        </w:rPr>
        <w:t>。</w:t>
      </w:r>
    </w:p>
    <w:p w:rsidR="00F5280D" w:rsidRDefault="00F5280D" w:rsidP="00F5280D">
      <w:pPr>
        <w:ind w:left="566" w:firstLine="566"/>
      </w:pPr>
      <w:r w:rsidRPr="003C54E4">
        <w:rPr>
          <w:rFonts w:hint="eastAsia"/>
        </w:rPr>
        <w:lastRenderedPageBreak/>
        <w:t>綜上，原民中心成立目的旨在協助調和原住民族傳統文化慣習與國家法制之衝突，故應以承辦原民文化衝突案件為優先</w:t>
      </w:r>
      <w:r w:rsidR="00E7671A">
        <w:rPr>
          <w:rFonts w:hint="eastAsia"/>
        </w:rPr>
        <w:t>；</w:t>
      </w:r>
      <w:r w:rsidRPr="003C54E4">
        <w:rPr>
          <w:rFonts w:hint="eastAsia"/>
        </w:rPr>
        <w:t>惟</w:t>
      </w:r>
      <w:r>
        <w:rPr>
          <w:rFonts w:hint="eastAsia"/>
        </w:rPr>
        <w:t>近年</w:t>
      </w:r>
      <w:r w:rsidR="002A7D4F">
        <w:rPr>
          <w:rFonts w:hint="eastAsia"/>
        </w:rPr>
        <w:t>(</w:t>
      </w:r>
      <w:r w:rsidR="002A7D4F" w:rsidRPr="002A7D4F">
        <w:rPr>
          <w:rFonts w:hint="eastAsia"/>
        </w:rPr>
        <w:t>108至112年度</w:t>
      </w:r>
      <w:r w:rsidR="002A7D4F">
        <w:rPr>
          <w:rFonts w:hint="eastAsia"/>
        </w:rPr>
        <w:t>)</w:t>
      </w:r>
      <w:r w:rsidRPr="003E1F3E">
        <w:rPr>
          <w:rFonts w:hint="eastAsia"/>
        </w:rPr>
        <w:t>原民中心准予扶助案件中，屬原民文化衝突案件之占比</w:t>
      </w:r>
      <w:r>
        <w:rPr>
          <w:rFonts w:hint="eastAsia"/>
        </w:rPr>
        <w:t>概</w:t>
      </w:r>
      <w:r w:rsidRPr="003E1F3E">
        <w:rPr>
          <w:rFonts w:hint="eastAsia"/>
        </w:rPr>
        <w:t>呈下滑趨勢</w:t>
      </w:r>
      <w:r w:rsidRPr="003C54E4">
        <w:rPr>
          <w:rFonts w:hint="eastAsia"/>
        </w:rPr>
        <w:t>，</w:t>
      </w:r>
      <w:r w:rsidR="00191113">
        <w:rPr>
          <w:rFonts w:hint="eastAsia"/>
        </w:rPr>
        <w:t>且</w:t>
      </w:r>
      <w:r w:rsidR="00191113" w:rsidRPr="00191113">
        <w:rPr>
          <w:rFonts w:hint="eastAsia"/>
        </w:rPr>
        <w:t>司法院已連續2年(111及112年度)</w:t>
      </w:r>
      <w:r w:rsidR="009017A7">
        <w:rPr>
          <w:rFonts w:hint="eastAsia"/>
        </w:rPr>
        <w:t>建</w:t>
      </w:r>
      <w:r w:rsidR="00FA73D3">
        <w:rPr>
          <w:rFonts w:hint="eastAsia"/>
        </w:rPr>
        <w:t>請法扶基金會改善</w:t>
      </w:r>
      <w:r w:rsidR="007137F4" w:rsidRPr="007137F4">
        <w:rPr>
          <w:rFonts w:hint="eastAsia"/>
        </w:rPr>
        <w:t>原民中心受理原民文化衝突案件比率偏低</w:t>
      </w:r>
      <w:r w:rsidR="007137F4">
        <w:rPr>
          <w:rFonts w:hint="eastAsia"/>
        </w:rPr>
        <w:t>問題</w:t>
      </w:r>
      <w:r w:rsidR="007137F4" w:rsidRPr="007137F4">
        <w:rPr>
          <w:rFonts w:hint="eastAsia"/>
        </w:rPr>
        <w:t>，</w:t>
      </w:r>
      <w:r w:rsidR="007137F4">
        <w:rPr>
          <w:rFonts w:hint="eastAsia"/>
        </w:rPr>
        <w:t>爰</w:t>
      </w:r>
      <w:r w:rsidR="002A7D4F">
        <w:rPr>
          <w:rFonts w:hint="eastAsia"/>
        </w:rPr>
        <w:t>法扶</w:t>
      </w:r>
      <w:r w:rsidR="007137F4" w:rsidRPr="00F76298">
        <w:rPr>
          <w:rFonts w:hAnsi="標楷體" w:hint="eastAsia"/>
          <w:szCs w:val="24"/>
        </w:rPr>
        <w:t>基金會</w:t>
      </w:r>
      <w:r w:rsidR="00C64193">
        <w:rPr>
          <w:rFonts w:hAnsi="標楷體" w:hint="eastAsia"/>
          <w:szCs w:val="24"/>
        </w:rPr>
        <w:t>宜</w:t>
      </w:r>
      <w:r w:rsidR="00FA73D3">
        <w:rPr>
          <w:rFonts w:hAnsi="標楷體" w:hint="eastAsia"/>
          <w:szCs w:val="24"/>
        </w:rPr>
        <w:t>審酌司法院評估意見</w:t>
      </w:r>
      <w:r w:rsidR="009017A7">
        <w:rPr>
          <w:rFonts w:hAnsi="標楷體" w:hint="eastAsia"/>
          <w:szCs w:val="24"/>
        </w:rPr>
        <w:t>賡</w:t>
      </w:r>
      <w:r w:rsidR="00D73006">
        <w:rPr>
          <w:rFonts w:hAnsi="標楷體" w:hint="eastAsia"/>
          <w:szCs w:val="24"/>
        </w:rPr>
        <w:t>續</w:t>
      </w:r>
      <w:r w:rsidR="002A7D4F" w:rsidRPr="002A7D4F">
        <w:rPr>
          <w:rFonts w:hAnsi="標楷體" w:hint="eastAsia"/>
          <w:szCs w:val="24"/>
        </w:rPr>
        <w:t>督促</w:t>
      </w:r>
      <w:r w:rsidR="00DD25E8" w:rsidRPr="002A7D4F">
        <w:rPr>
          <w:rFonts w:hAnsi="標楷體" w:hint="eastAsia"/>
          <w:szCs w:val="24"/>
        </w:rPr>
        <w:t>原民中心</w:t>
      </w:r>
      <w:r w:rsidR="00FA73D3" w:rsidRPr="00FA73D3">
        <w:rPr>
          <w:rFonts w:hAnsi="標楷體" w:hint="eastAsia"/>
          <w:szCs w:val="24"/>
        </w:rPr>
        <w:t>專職律師</w:t>
      </w:r>
      <w:r w:rsidR="00FA73D3">
        <w:rPr>
          <w:rFonts w:hAnsi="標楷體" w:hint="eastAsia"/>
          <w:szCs w:val="24"/>
        </w:rPr>
        <w:t>應優先</w:t>
      </w:r>
      <w:r w:rsidR="00E55A15">
        <w:rPr>
          <w:rFonts w:hAnsi="標楷體" w:hint="eastAsia"/>
          <w:szCs w:val="24"/>
        </w:rPr>
        <w:t>承辦</w:t>
      </w:r>
      <w:r w:rsidR="00FA73D3" w:rsidRPr="00FA73D3">
        <w:rPr>
          <w:rFonts w:hAnsi="標楷體" w:hint="eastAsia"/>
          <w:szCs w:val="24"/>
        </w:rPr>
        <w:t>原民文化衝突案件</w:t>
      </w:r>
      <w:r w:rsidR="002A7D4F" w:rsidRPr="002A7D4F">
        <w:rPr>
          <w:rFonts w:hAnsi="標楷體" w:hint="eastAsia"/>
          <w:szCs w:val="24"/>
        </w:rPr>
        <w:t>，藉以強化專職律師對原民案件涉及傳統文化抗辯之專業性，</w:t>
      </w:r>
      <w:r w:rsidR="00CA0BFE">
        <w:rPr>
          <w:rFonts w:hAnsi="標楷體" w:hint="eastAsia"/>
          <w:szCs w:val="24"/>
        </w:rPr>
        <w:t>期</w:t>
      </w:r>
      <w:r w:rsidR="00FA73D3">
        <w:rPr>
          <w:rFonts w:hAnsi="標楷體" w:hint="eastAsia"/>
          <w:szCs w:val="24"/>
        </w:rPr>
        <w:t>提升</w:t>
      </w:r>
      <w:r w:rsidR="002A7D4F" w:rsidRPr="002A7D4F">
        <w:rPr>
          <w:rFonts w:hAnsi="標楷體" w:hint="eastAsia"/>
          <w:szCs w:val="24"/>
        </w:rPr>
        <w:t>服務效能，</w:t>
      </w:r>
      <w:r w:rsidR="00FA73D3">
        <w:rPr>
          <w:rFonts w:hAnsi="標楷體" w:hint="eastAsia"/>
          <w:szCs w:val="24"/>
        </w:rPr>
        <w:t>並</w:t>
      </w:r>
      <w:r w:rsidR="002A7D4F" w:rsidRPr="002A7D4F">
        <w:rPr>
          <w:rFonts w:hAnsi="標楷體" w:hint="eastAsia"/>
          <w:szCs w:val="24"/>
        </w:rPr>
        <w:t>落實原民中心成立宗旨</w:t>
      </w:r>
      <w:r w:rsidR="002A7D4F">
        <w:rPr>
          <w:rFonts w:hAnsi="標楷體" w:hint="eastAsia"/>
          <w:szCs w:val="24"/>
        </w:rPr>
        <w:t>及</w:t>
      </w:r>
      <w:r w:rsidRPr="005349BD">
        <w:rPr>
          <w:rFonts w:hint="eastAsia"/>
          <w:szCs w:val="20"/>
        </w:rPr>
        <w:t>建置效益</w:t>
      </w:r>
      <w:r w:rsidRPr="003C54E4">
        <w:rPr>
          <w:rFonts w:hint="eastAsia"/>
        </w:rPr>
        <w:t>。</w:t>
      </w:r>
    </w:p>
    <w:p w:rsidR="001B5317" w:rsidRPr="00C208F9" w:rsidRDefault="00C877F1" w:rsidP="00BC79B3">
      <w:pPr>
        <w:pStyle w:val="ac"/>
      </w:pPr>
      <w:r w:rsidRPr="00C208F9">
        <w:rPr>
          <w:rFonts w:hint="eastAsia"/>
        </w:rPr>
        <w:t>（分機：86</w:t>
      </w:r>
      <w:r w:rsidR="00932B3E" w:rsidRPr="00C208F9">
        <w:rPr>
          <w:rFonts w:hint="eastAsia"/>
        </w:rPr>
        <w:t>6</w:t>
      </w:r>
      <w:r w:rsidR="003B1E89">
        <w:rPr>
          <w:rFonts w:hint="eastAsia"/>
        </w:rPr>
        <w:t>5鍾俊華</w:t>
      </w:r>
      <w:r w:rsidRPr="00C208F9">
        <w:rPr>
          <w:rFonts w:hint="eastAsia"/>
        </w:rPr>
        <w:t>）</w:t>
      </w:r>
    </w:p>
    <w:sectPr w:rsidR="001B5317" w:rsidRPr="00C208F9" w:rsidSect="004237C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44F0" w:rsidRDefault="00BB44F0" w:rsidP="00474543">
      <w:pPr>
        <w:ind w:left="560" w:firstLine="560"/>
      </w:pPr>
    </w:p>
    <w:p w:rsidR="00BB44F0" w:rsidRDefault="00BB44F0" w:rsidP="00474543">
      <w:pPr>
        <w:ind w:left="560" w:firstLine="560"/>
      </w:pPr>
    </w:p>
  </w:endnote>
  <w:endnote w:type="continuationSeparator" w:id="0">
    <w:p w:rsidR="00BB44F0" w:rsidRDefault="00BB44F0" w:rsidP="00474543">
      <w:pPr>
        <w:ind w:left="560" w:firstLine="560"/>
      </w:pPr>
    </w:p>
    <w:p w:rsidR="00BB44F0" w:rsidRDefault="00BB44F0" w:rsidP="00474543">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2201" w:rsidRDefault="00842201" w:rsidP="00474543">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2201" w:rsidRPr="004A22ED" w:rsidRDefault="00842201" w:rsidP="00ED1371">
    <w:pPr>
      <w:pStyle w:val="af5"/>
      <w:jc w:val="center"/>
      <w:rPr>
        <w:rFonts w:ascii="標楷體" w:eastAsia="標楷體" w:hAnsi="標楷體"/>
      </w:rPr>
    </w:pPr>
    <w:r w:rsidRPr="004A22ED">
      <w:rPr>
        <w:rFonts w:ascii="標楷體" w:eastAsia="標楷體" w:hAnsi="標楷體"/>
      </w:rPr>
      <w:fldChar w:fldCharType="begin"/>
    </w:r>
    <w:r w:rsidRPr="004A22ED">
      <w:rPr>
        <w:rFonts w:ascii="標楷體" w:eastAsia="標楷體" w:hAnsi="標楷體"/>
      </w:rPr>
      <w:instrText>PAGE   \* MERGEFORMAT</w:instrText>
    </w:r>
    <w:r w:rsidRPr="004A22ED">
      <w:rPr>
        <w:rFonts w:ascii="標楷體" w:eastAsia="標楷體" w:hAnsi="標楷體"/>
      </w:rPr>
      <w:fldChar w:fldCharType="separate"/>
    </w:r>
    <w:r w:rsidR="00394D36" w:rsidRPr="00394D36">
      <w:rPr>
        <w:rFonts w:ascii="標楷體" w:eastAsia="標楷體" w:hAnsi="標楷體"/>
        <w:noProof/>
        <w:lang w:val="zh-TW"/>
      </w:rPr>
      <w:t>2</w:t>
    </w:r>
    <w:r w:rsidRPr="004A22ED">
      <w:rPr>
        <w:rFonts w:ascii="標楷體" w:eastAsia="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44F0" w:rsidRDefault="00BB44F0" w:rsidP="00962EC0">
      <w:pPr>
        <w:ind w:left="560" w:firstLine="560"/>
      </w:pPr>
      <w:r>
        <w:separator/>
      </w:r>
    </w:p>
  </w:footnote>
  <w:footnote w:type="continuationSeparator" w:id="0">
    <w:p w:rsidR="00BB44F0" w:rsidRDefault="00BB44F0" w:rsidP="00D80394">
      <w:pPr>
        <w:ind w:left="560" w:firstLine="560"/>
      </w:pPr>
      <w:r>
        <w:continuationSeparator/>
      </w:r>
    </w:p>
  </w:footnote>
  <w:footnote w:id="1">
    <w:p w:rsidR="00257236" w:rsidRPr="00452B73" w:rsidRDefault="00257236" w:rsidP="000E0FCE">
      <w:pPr>
        <w:pStyle w:val="142"/>
        <w:ind w:left="78" w:hangingChars="32" w:hanging="78"/>
        <w:jc w:val="both"/>
        <w:rPr>
          <w:rFonts w:hint="eastAsia"/>
        </w:rPr>
      </w:pPr>
      <w:r>
        <w:rPr>
          <w:rStyle w:val="af1"/>
        </w:rPr>
        <w:footnoteRef/>
      </w:r>
      <w:r>
        <w:rPr>
          <w:rFonts w:hint="eastAsia"/>
        </w:rPr>
        <w:t>據</w:t>
      </w:r>
      <w:r w:rsidRPr="00452B73">
        <w:rPr>
          <w:rFonts w:hint="eastAsia"/>
        </w:rPr>
        <w:t>112年度司法院主管決算書所列「司法院對各部門捐助財團法人之效益評估表」</w:t>
      </w:r>
      <w:r>
        <w:rPr>
          <w:rFonts w:hint="eastAsia"/>
        </w:rPr>
        <w:t>略以，</w:t>
      </w:r>
      <w:r w:rsidRPr="00452B73">
        <w:rPr>
          <w:rFonts w:hint="eastAsia"/>
        </w:rPr>
        <w:t>(六)…。3.原民中心業務運作情形：原民中心成立目的在於協助調和原住民族傳統文化慣習與國家法制之衝突，故應以承辦原民文化衝突案件為優先。</w:t>
      </w:r>
    </w:p>
  </w:footnote>
  <w:footnote w:id="2">
    <w:p w:rsidR="000B409D" w:rsidRPr="009B3389" w:rsidRDefault="000B409D" w:rsidP="005F7FC5">
      <w:pPr>
        <w:pStyle w:val="142"/>
        <w:ind w:left="78" w:hangingChars="32" w:hanging="78"/>
        <w:jc w:val="both"/>
        <w:rPr>
          <w:rFonts w:hint="eastAsia"/>
        </w:rPr>
      </w:pPr>
      <w:r>
        <w:rPr>
          <w:rStyle w:val="af1"/>
        </w:rPr>
        <w:footnoteRef/>
      </w:r>
      <w:r w:rsidRPr="009B3389">
        <w:rPr>
          <w:rFonts w:hint="eastAsia"/>
        </w:rPr>
        <w:t>監察院調查報告(浦忠成委員、高涌誠委員)，111司調0029，審議日期(111年8月10日)及公告日期 111年8月15日。</w:t>
      </w:r>
      <w:r>
        <w:rPr>
          <w:rFonts w:hint="eastAsia"/>
        </w:rPr>
        <w:t>其內容略以</w:t>
      </w:r>
      <w:r w:rsidR="00F266FC">
        <w:rPr>
          <w:rFonts w:hint="eastAsia"/>
        </w:rPr>
        <w:t>，</w:t>
      </w:r>
      <w:r w:rsidR="00FF5337" w:rsidRPr="00FF5337">
        <w:rPr>
          <w:rFonts w:hAnsi="標楷體"/>
        </w:rPr>
        <w:t>…</w:t>
      </w:r>
      <w:r w:rsidRPr="00AD5C3D">
        <w:rPr>
          <w:rFonts w:hint="eastAsia"/>
        </w:rPr>
        <w:t>原住民族文化為憲法所保障，國家有積極維護發展之義務。</w:t>
      </w:r>
      <w:r w:rsidR="00FF5337" w:rsidRPr="00FF5337">
        <w:rPr>
          <w:rFonts w:hAnsi="標楷體"/>
        </w:rPr>
        <w:t>…</w:t>
      </w:r>
      <w:r w:rsidRPr="00AD5C3D">
        <w:rPr>
          <w:rFonts w:hint="eastAsia"/>
        </w:rPr>
        <w:t>。又為保障原住民族訴訟權益，法扶基金會於105年提出「建置原住民族法律服務中心計畫」，建立具有文化敏感度之「原住民族法律服務中心」，緩和原住民族傳統文化與現行國家法律規範間衝突。…，法扶基金會107年3月12日於花蓮成立原住民族法律服務中心(下稱原民中心)，迄108年4月底，辦理之案件為各分會轉入之原民文化衝突案件，自108年5月起，受理一般案件之申請。…。然依審計部109年度中央政府總決算審核報告，法扶基金會成立原民中心，協助調和原住民族傳統文化慣習與國家法制之衝突，</w:t>
      </w:r>
      <w:r w:rsidRPr="00E5746E">
        <w:rPr>
          <w:rFonts w:hint="eastAsia"/>
          <w:b/>
          <w:u w:val="single"/>
        </w:rPr>
        <w:t>惟尚待落實優先承辦原民文化衝突案件之功能</w:t>
      </w:r>
      <w:r w:rsidRPr="00AD5C3D">
        <w:rPr>
          <w:rFonts w:hint="eastAsia"/>
        </w:rPr>
        <w:t>；…。</w:t>
      </w:r>
    </w:p>
  </w:footnote>
  <w:footnote w:id="3">
    <w:p w:rsidR="00F5280D" w:rsidRDefault="00F5280D" w:rsidP="00BB1516">
      <w:pPr>
        <w:pStyle w:val="142"/>
        <w:ind w:left="78" w:hangingChars="32" w:hanging="78"/>
        <w:jc w:val="both"/>
      </w:pPr>
      <w:r>
        <w:rPr>
          <w:rStyle w:val="af1"/>
        </w:rPr>
        <w:footnoteRef/>
      </w:r>
      <w:r w:rsidRPr="001F5C45">
        <w:rPr>
          <w:rFonts w:hint="eastAsia"/>
        </w:rPr>
        <w:t>政府捐助設立財團法人，係基於特定政策目的所為，故有必要就該等法人之運作成效加強監督管理，並核實評估是否達成設置宗旨，爰預算法第41條第3項規定，政府捐助之財團法人，每年應由主管機關就以前年度捐助之效益評估，納入主管決算，以強化監督機制。基此，司法院主管每年應就其對法扶基金會之捐助，編製「司法院對各部門捐助財團法人之效益評估表」，並納入各該年度司法院主管決算表達，以妥適揭露法扶基金會營運及效益評估結果，以及是否合於政府原始捐助目的。</w:t>
      </w:r>
    </w:p>
  </w:footnote>
  <w:footnote w:id="4">
    <w:p w:rsidR="00F5280D" w:rsidRPr="002139E8" w:rsidRDefault="00F5280D" w:rsidP="00BB1516">
      <w:pPr>
        <w:pStyle w:val="142"/>
        <w:ind w:left="78" w:hangingChars="32" w:hanging="78"/>
        <w:jc w:val="both"/>
        <w:rPr>
          <w:rFonts w:hint="eastAsia"/>
        </w:rPr>
      </w:pPr>
      <w:r>
        <w:rPr>
          <w:rStyle w:val="af1"/>
        </w:rPr>
        <w:footnoteRef/>
      </w:r>
      <w:r w:rsidRPr="002139E8">
        <w:rPr>
          <w:rFonts w:hint="eastAsia"/>
        </w:rPr>
        <w:t>111及112年度司法院主管決算書</w:t>
      </w:r>
      <w:r>
        <w:rPr>
          <w:rFonts w:hint="eastAsia"/>
        </w:rPr>
        <w:t>，</w:t>
      </w:r>
      <w:r w:rsidRPr="002139E8">
        <w:rPr>
          <w:rFonts w:hint="eastAsia"/>
        </w:rPr>
        <w:t>…。原民中心111 年准予扶助案件中，屬原民文化衝突者，僅16.23%，…，原民中心112年准予扶助案件中，屬原民文化衝突者，僅18.98%(較111年增加2.75%)，</w:t>
      </w:r>
      <w:r w:rsidRPr="002206C8">
        <w:rPr>
          <w:rFonts w:hint="eastAsia"/>
        </w:rPr>
        <w:t>…，</w:t>
      </w:r>
      <w:r w:rsidRPr="002139E8">
        <w:rPr>
          <w:rFonts w:hint="eastAsia"/>
        </w:rPr>
        <w:t>可能係因原民中心與同地區分會之業務、功能有部分重疊之情形，…。</w:t>
      </w:r>
    </w:p>
  </w:footnote>
  <w:footnote w:id="5">
    <w:p w:rsidR="00F5280D" w:rsidRPr="00536971" w:rsidRDefault="00F5280D" w:rsidP="00BB1516">
      <w:pPr>
        <w:pStyle w:val="142"/>
        <w:ind w:left="78" w:hangingChars="32" w:hanging="78"/>
        <w:jc w:val="both"/>
        <w:rPr>
          <w:rFonts w:hint="eastAsia"/>
        </w:rPr>
      </w:pPr>
      <w:r>
        <w:rPr>
          <w:rStyle w:val="af1"/>
        </w:rPr>
        <w:footnoteRef/>
      </w:r>
      <w:r>
        <w:rPr>
          <w:rFonts w:hint="eastAsia"/>
        </w:rPr>
        <w:t>參見</w:t>
      </w:r>
      <w:r w:rsidRPr="00F76298">
        <w:rPr>
          <w:rFonts w:hint="eastAsia"/>
        </w:rPr>
        <w:t>111</w:t>
      </w:r>
      <w:r>
        <w:rPr>
          <w:rFonts w:hint="eastAsia"/>
        </w:rPr>
        <w:t>及1</w:t>
      </w:r>
      <w:r>
        <w:t>12</w:t>
      </w:r>
      <w:r w:rsidRPr="00F76298">
        <w:rPr>
          <w:rFonts w:hint="eastAsia"/>
        </w:rPr>
        <w:t>年度司法院主管決算書</w:t>
      </w:r>
      <w:r>
        <w:rPr>
          <w:rFonts w:hint="eastAsia"/>
        </w:rPr>
        <w:t>，</w:t>
      </w:r>
      <w:r w:rsidRPr="00536971">
        <w:rPr>
          <w:rFonts w:hint="eastAsia"/>
        </w:rPr>
        <w:t>…，本院將持續促請基金會督促原民中心專職律師應優先以累積辦理實際案件經驗為主，改善原民中心專職律師受理原民文化衝突案件比率過低之問題，藉以強化專職律師對原民案件涉及傳統文化抗辯之專業性，將原民中心專職律師服務效能最大化，落實原民中心成立宗旨。</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2201" w:rsidRDefault="00842201" w:rsidP="00474543">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2201" w:rsidRDefault="00842201" w:rsidP="00474543">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2201" w:rsidRDefault="00842201" w:rsidP="00DE54F5">
    <w:pPr>
      <w:ind w:left="560" w:firstLine="400"/>
    </w:pPr>
    <w:r w:rsidRPr="005F32FE">
      <w:rPr>
        <w:sz w:val="20"/>
        <w:szCs w:val="20"/>
      </w:rPr>
      <w:t>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76821B0"/>
    <w:lvl w:ilvl="0">
      <w:start w:val="1"/>
      <w:numFmt w:val="decimal"/>
      <w:lvlText w:val="%1."/>
      <w:lvlJc w:val="left"/>
      <w:pPr>
        <w:tabs>
          <w:tab w:val="num" w:pos="2281"/>
        </w:tabs>
        <w:ind w:leftChars="1000" w:left="2281" w:hangingChars="200" w:hanging="360"/>
      </w:pPr>
    </w:lvl>
  </w:abstractNum>
  <w:abstractNum w:abstractNumId="1" w15:restartNumberingAfterBreak="0">
    <w:nsid w:val="FFFFFF7D"/>
    <w:multiLevelType w:val="singleLevel"/>
    <w:tmpl w:val="7938FF34"/>
    <w:lvl w:ilvl="0">
      <w:start w:val="1"/>
      <w:numFmt w:val="decimal"/>
      <w:lvlText w:val="%1."/>
      <w:lvlJc w:val="left"/>
      <w:pPr>
        <w:tabs>
          <w:tab w:val="num" w:pos="1801"/>
        </w:tabs>
        <w:ind w:leftChars="800" w:left="1801" w:hangingChars="200" w:hanging="360"/>
      </w:pPr>
    </w:lvl>
  </w:abstractNum>
  <w:abstractNum w:abstractNumId="2" w15:restartNumberingAfterBreak="0">
    <w:nsid w:val="FFFFFF7E"/>
    <w:multiLevelType w:val="singleLevel"/>
    <w:tmpl w:val="B1EAE9EA"/>
    <w:lvl w:ilvl="0">
      <w:start w:val="1"/>
      <w:numFmt w:val="decimal"/>
      <w:lvlText w:val="%1."/>
      <w:lvlJc w:val="left"/>
      <w:pPr>
        <w:tabs>
          <w:tab w:val="num" w:pos="1321"/>
        </w:tabs>
        <w:ind w:leftChars="600" w:left="1321" w:hangingChars="200" w:hanging="360"/>
      </w:pPr>
    </w:lvl>
  </w:abstractNum>
  <w:abstractNum w:abstractNumId="3" w15:restartNumberingAfterBreak="0">
    <w:nsid w:val="FFFFFF7F"/>
    <w:multiLevelType w:val="singleLevel"/>
    <w:tmpl w:val="0BDEC81E"/>
    <w:lvl w:ilvl="0">
      <w:start w:val="1"/>
      <w:numFmt w:val="decimal"/>
      <w:lvlText w:val="%1."/>
      <w:lvlJc w:val="left"/>
      <w:pPr>
        <w:tabs>
          <w:tab w:val="num" w:pos="841"/>
        </w:tabs>
        <w:ind w:leftChars="400" w:left="841" w:hangingChars="200" w:hanging="360"/>
      </w:pPr>
    </w:lvl>
  </w:abstractNum>
  <w:abstractNum w:abstractNumId="4" w15:restartNumberingAfterBreak="0">
    <w:nsid w:val="FFFFFF80"/>
    <w:multiLevelType w:val="singleLevel"/>
    <w:tmpl w:val="585416A2"/>
    <w:lvl w:ilvl="0">
      <w:start w:val="1"/>
      <w:numFmt w:val="bullet"/>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B71A17BE"/>
    <w:lvl w:ilvl="0">
      <w:start w:val="1"/>
      <w:numFmt w:val="bullet"/>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9EBE640C"/>
    <w:lvl w:ilvl="0">
      <w:start w:val="1"/>
      <w:numFmt w:val="bullet"/>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B36823C4"/>
    <w:lvl w:ilvl="0">
      <w:start w:val="1"/>
      <w:numFmt w:val="bullet"/>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C69E1DA8"/>
    <w:lvl w:ilvl="0">
      <w:start w:val="1"/>
      <w:numFmt w:val="decimal"/>
      <w:lvlText w:val="%1."/>
      <w:lvlJc w:val="left"/>
      <w:pPr>
        <w:tabs>
          <w:tab w:val="num" w:pos="361"/>
        </w:tabs>
        <w:ind w:leftChars="200" w:left="361" w:hangingChars="200" w:hanging="360"/>
      </w:pPr>
    </w:lvl>
  </w:abstractNum>
  <w:abstractNum w:abstractNumId="9" w15:restartNumberingAfterBreak="0">
    <w:nsid w:val="FFFFFF89"/>
    <w:multiLevelType w:val="singleLevel"/>
    <w:tmpl w:val="C41863EC"/>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30FE4729"/>
    <w:multiLevelType w:val="hybridMultilevel"/>
    <w:tmpl w:val="1D40A646"/>
    <w:lvl w:ilvl="0" w:tplc="2C1460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9993037"/>
    <w:multiLevelType w:val="hybridMultilevel"/>
    <w:tmpl w:val="951A6F18"/>
    <w:lvl w:ilvl="0" w:tplc="E0AA9CD2">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15:restartNumberingAfterBreak="0">
    <w:nsid w:val="539D6B3D"/>
    <w:multiLevelType w:val="hybridMultilevel"/>
    <w:tmpl w:val="13CA89F2"/>
    <w:lvl w:ilvl="0" w:tplc="696CDF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2390217"/>
    <w:multiLevelType w:val="hybridMultilevel"/>
    <w:tmpl w:val="D5BAFBC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1150636"/>
    <w:multiLevelType w:val="hybridMultilevel"/>
    <w:tmpl w:val="94703736"/>
    <w:lvl w:ilvl="0" w:tplc="07EAD6F2">
      <w:start w:val="76"/>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5" w15:restartNumberingAfterBreak="0">
    <w:nsid w:val="7BD91029"/>
    <w:multiLevelType w:val="multilevel"/>
    <w:tmpl w:val="523E6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2"/>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E1F43"/>
    <w:rsid w:val="00001372"/>
    <w:rsid w:val="00001B0D"/>
    <w:rsid w:val="00003113"/>
    <w:rsid w:val="000031D2"/>
    <w:rsid w:val="00003777"/>
    <w:rsid w:val="00003C36"/>
    <w:rsid w:val="00004A21"/>
    <w:rsid w:val="00004C94"/>
    <w:rsid w:val="00005058"/>
    <w:rsid w:val="00006534"/>
    <w:rsid w:val="00006DCD"/>
    <w:rsid w:val="0000725C"/>
    <w:rsid w:val="000077A0"/>
    <w:rsid w:val="00007983"/>
    <w:rsid w:val="00010004"/>
    <w:rsid w:val="000100BA"/>
    <w:rsid w:val="000105EB"/>
    <w:rsid w:val="000115BC"/>
    <w:rsid w:val="000115CE"/>
    <w:rsid w:val="00011F29"/>
    <w:rsid w:val="0001243E"/>
    <w:rsid w:val="00013072"/>
    <w:rsid w:val="00013524"/>
    <w:rsid w:val="000140F1"/>
    <w:rsid w:val="0001511D"/>
    <w:rsid w:val="00015970"/>
    <w:rsid w:val="00016003"/>
    <w:rsid w:val="00016565"/>
    <w:rsid w:val="00016584"/>
    <w:rsid w:val="0001715E"/>
    <w:rsid w:val="000171B2"/>
    <w:rsid w:val="0001797E"/>
    <w:rsid w:val="000210AD"/>
    <w:rsid w:val="000212B7"/>
    <w:rsid w:val="00021A42"/>
    <w:rsid w:val="00022532"/>
    <w:rsid w:val="000228E4"/>
    <w:rsid w:val="00023F10"/>
    <w:rsid w:val="00024616"/>
    <w:rsid w:val="0002650B"/>
    <w:rsid w:val="00026E5B"/>
    <w:rsid w:val="0003054A"/>
    <w:rsid w:val="00030CA1"/>
    <w:rsid w:val="00030E24"/>
    <w:rsid w:val="000319C3"/>
    <w:rsid w:val="00031A09"/>
    <w:rsid w:val="00031A34"/>
    <w:rsid w:val="00031DFD"/>
    <w:rsid w:val="000321C1"/>
    <w:rsid w:val="000325E3"/>
    <w:rsid w:val="00033815"/>
    <w:rsid w:val="00034612"/>
    <w:rsid w:val="000374C4"/>
    <w:rsid w:val="00037BDE"/>
    <w:rsid w:val="00040B84"/>
    <w:rsid w:val="00041373"/>
    <w:rsid w:val="00041483"/>
    <w:rsid w:val="00041CA2"/>
    <w:rsid w:val="000426F4"/>
    <w:rsid w:val="0004283A"/>
    <w:rsid w:val="00042C43"/>
    <w:rsid w:val="00042EE2"/>
    <w:rsid w:val="0004540C"/>
    <w:rsid w:val="00045A11"/>
    <w:rsid w:val="00047027"/>
    <w:rsid w:val="000476CA"/>
    <w:rsid w:val="00047F56"/>
    <w:rsid w:val="000512B3"/>
    <w:rsid w:val="0005262C"/>
    <w:rsid w:val="00052ECC"/>
    <w:rsid w:val="00053EAE"/>
    <w:rsid w:val="00054637"/>
    <w:rsid w:val="00054A1D"/>
    <w:rsid w:val="00055FFA"/>
    <w:rsid w:val="0005608A"/>
    <w:rsid w:val="00056343"/>
    <w:rsid w:val="00056A80"/>
    <w:rsid w:val="0005748A"/>
    <w:rsid w:val="000574D9"/>
    <w:rsid w:val="000575EB"/>
    <w:rsid w:val="00060201"/>
    <w:rsid w:val="000604C1"/>
    <w:rsid w:val="00060A41"/>
    <w:rsid w:val="00063904"/>
    <w:rsid w:val="00064380"/>
    <w:rsid w:val="000643C8"/>
    <w:rsid w:val="00064411"/>
    <w:rsid w:val="00065AC2"/>
    <w:rsid w:val="00066221"/>
    <w:rsid w:val="00066865"/>
    <w:rsid w:val="00066A58"/>
    <w:rsid w:val="00066F71"/>
    <w:rsid w:val="000678A8"/>
    <w:rsid w:val="00067F39"/>
    <w:rsid w:val="00070144"/>
    <w:rsid w:val="00070465"/>
    <w:rsid w:val="00070DA6"/>
    <w:rsid w:val="000711B9"/>
    <w:rsid w:val="00071474"/>
    <w:rsid w:val="00072F34"/>
    <w:rsid w:val="000730FA"/>
    <w:rsid w:val="0007367F"/>
    <w:rsid w:val="00073C57"/>
    <w:rsid w:val="000740A9"/>
    <w:rsid w:val="000753EB"/>
    <w:rsid w:val="00075588"/>
    <w:rsid w:val="00076602"/>
    <w:rsid w:val="00076BDE"/>
    <w:rsid w:val="000776C4"/>
    <w:rsid w:val="00081F6C"/>
    <w:rsid w:val="00082274"/>
    <w:rsid w:val="00083E5E"/>
    <w:rsid w:val="00084188"/>
    <w:rsid w:val="000848B4"/>
    <w:rsid w:val="00084F33"/>
    <w:rsid w:val="0008548C"/>
    <w:rsid w:val="000855E9"/>
    <w:rsid w:val="00086056"/>
    <w:rsid w:val="00086290"/>
    <w:rsid w:val="000877C1"/>
    <w:rsid w:val="00091126"/>
    <w:rsid w:val="0009179F"/>
    <w:rsid w:val="000933B9"/>
    <w:rsid w:val="000936A5"/>
    <w:rsid w:val="000944EE"/>
    <w:rsid w:val="00095A96"/>
    <w:rsid w:val="00096288"/>
    <w:rsid w:val="0009639E"/>
    <w:rsid w:val="000967B6"/>
    <w:rsid w:val="00096F3D"/>
    <w:rsid w:val="0009704B"/>
    <w:rsid w:val="0009766F"/>
    <w:rsid w:val="00097B32"/>
    <w:rsid w:val="00097F06"/>
    <w:rsid w:val="000A1832"/>
    <w:rsid w:val="000A30B6"/>
    <w:rsid w:val="000A3816"/>
    <w:rsid w:val="000A3E74"/>
    <w:rsid w:val="000A5285"/>
    <w:rsid w:val="000A6FB2"/>
    <w:rsid w:val="000A729B"/>
    <w:rsid w:val="000A7FA2"/>
    <w:rsid w:val="000B08EE"/>
    <w:rsid w:val="000B0A8F"/>
    <w:rsid w:val="000B409D"/>
    <w:rsid w:val="000B4BFC"/>
    <w:rsid w:val="000B4D33"/>
    <w:rsid w:val="000B539C"/>
    <w:rsid w:val="000B5842"/>
    <w:rsid w:val="000B665E"/>
    <w:rsid w:val="000B6816"/>
    <w:rsid w:val="000B6A33"/>
    <w:rsid w:val="000B7930"/>
    <w:rsid w:val="000B7B3E"/>
    <w:rsid w:val="000C0510"/>
    <w:rsid w:val="000C0840"/>
    <w:rsid w:val="000C085A"/>
    <w:rsid w:val="000C09F4"/>
    <w:rsid w:val="000C1460"/>
    <w:rsid w:val="000C1481"/>
    <w:rsid w:val="000C214D"/>
    <w:rsid w:val="000C3275"/>
    <w:rsid w:val="000C3CF2"/>
    <w:rsid w:val="000C4291"/>
    <w:rsid w:val="000C4DF1"/>
    <w:rsid w:val="000C5138"/>
    <w:rsid w:val="000C6B91"/>
    <w:rsid w:val="000C6F6B"/>
    <w:rsid w:val="000C7378"/>
    <w:rsid w:val="000C7BA5"/>
    <w:rsid w:val="000D0342"/>
    <w:rsid w:val="000D0C29"/>
    <w:rsid w:val="000D1A48"/>
    <w:rsid w:val="000D236E"/>
    <w:rsid w:val="000D2656"/>
    <w:rsid w:val="000D2667"/>
    <w:rsid w:val="000D38DD"/>
    <w:rsid w:val="000D3AB2"/>
    <w:rsid w:val="000D51BB"/>
    <w:rsid w:val="000D63CF"/>
    <w:rsid w:val="000D7E30"/>
    <w:rsid w:val="000E0FCE"/>
    <w:rsid w:val="000E142F"/>
    <w:rsid w:val="000E149A"/>
    <w:rsid w:val="000E1926"/>
    <w:rsid w:val="000E1E25"/>
    <w:rsid w:val="000E2C34"/>
    <w:rsid w:val="000E3688"/>
    <w:rsid w:val="000E4162"/>
    <w:rsid w:val="000E486B"/>
    <w:rsid w:val="000E4AFF"/>
    <w:rsid w:val="000E5467"/>
    <w:rsid w:val="000E5CE4"/>
    <w:rsid w:val="000F03AF"/>
    <w:rsid w:val="000F07D9"/>
    <w:rsid w:val="000F116A"/>
    <w:rsid w:val="000F182B"/>
    <w:rsid w:val="000F1CA5"/>
    <w:rsid w:val="000F218E"/>
    <w:rsid w:val="000F3704"/>
    <w:rsid w:val="000F420C"/>
    <w:rsid w:val="000F44A0"/>
    <w:rsid w:val="000F596A"/>
    <w:rsid w:val="000F7717"/>
    <w:rsid w:val="00100549"/>
    <w:rsid w:val="00101175"/>
    <w:rsid w:val="00101253"/>
    <w:rsid w:val="00101791"/>
    <w:rsid w:val="00103698"/>
    <w:rsid w:val="00103932"/>
    <w:rsid w:val="00103F04"/>
    <w:rsid w:val="001049C4"/>
    <w:rsid w:val="00105D5C"/>
    <w:rsid w:val="00106E5C"/>
    <w:rsid w:val="00107EBB"/>
    <w:rsid w:val="001106AB"/>
    <w:rsid w:val="0011075D"/>
    <w:rsid w:val="00112137"/>
    <w:rsid w:val="00112C20"/>
    <w:rsid w:val="00112D54"/>
    <w:rsid w:val="00112ECC"/>
    <w:rsid w:val="001132D5"/>
    <w:rsid w:val="001134EF"/>
    <w:rsid w:val="00113BCF"/>
    <w:rsid w:val="00113ED8"/>
    <w:rsid w:val="00115EA6"/>
    <w:rsid w:val="00116922"/>
    <w:rsid w:val="00116CBE"/>
    <w:rsid w:val="0011725F"/>
    <w:rsid w:val="00120BE3"/>
    <w:rsid w:val="0012183F"/>
    <w:rsid w:val="00121A83"/>
    <w:rsid w:val="00121DE4"/>
    <w:rsid w:val="00122D3C"/>
    <w:rsid w:val="00123864"/>
    <w:rsid w:val="00124939"/>
    <w:rsid w:val="00124A0D"/>
    <w:rsid w:val="00124AA0"/>
    <w:rsid w:val="00124B4B"/>
    <w:rsid w:val="00125490"/>
    <w:rsid w:val="00125516"/>
    <w:rsid w:val="00126C8E"/>
    <w:rsid w:val="001270A2"/>
    <w:rsid w:val="00127EA0"/>
    <w:rsid w:val="001319AB"/>
    <w:rsid w:val="0013287B"/>
    <w:rsid w:val="00132CA4"/>
    <w:rsid w:val="00133BAF"/>
    <w:rsid w:val="00135994"/>
    <w:rsid w:val="00135B12"/>
    <w:rsid w:val="0013644C"/>
    <w:rsid w:val="00136B06"/>
    <w:rsid w:val="00136BEA"/>
    <w:rsid w:val="001408FE"/>
    <w:rsid w:val="00142FF7"/>
    <w:rsid w:val="00143D58"/>
    <w:rsid w:val="00144CD5"/>
    <w:rsid w:val="00145C7B"/>
    <w:rsid w:val="00147EF6"/>
    <w:rsid w:val="00150030"/>
    <w:rsid w:val="00150FF4"/>
    <w:rsid w:val="001517D8"/>
    <w:rsid w:val="00151AC0"/>
    <w:rsid w:val="00151C8B"/>
    <w:rsid w:val="00153091"/>
    <w:rsid w:val="0015443C"/>
    <w:rsid w:val="001545B1"/>
    <w:rsid w:val="00155C5D"/>
    <w:rsid w:val="00156A34"/>
    <w:rsid w:val="00160B11"/>
    <w:rsid w:val="00160CC3"/>
    <w:rsid w:val="00160EEF"/>
    <w:rsid w:val="00161010"/>
    <w:rsid w:val="0016169D"/>
    <w:rsid w:val="001620B2"/>
    <w:rsid w:val="001628EB"/>
    <w:rsid w:val="001633A0"/>
    <w:rsid w:val="00164DFB"/>
    <w:rsid w:val="001653F9"/>
    <w:rsid w:val="0016643D"/>
    <w:rsid w:val="00166D46"/>
    <w:rsid w:val="001671F1"/>
    <w:rsid w:val="0016732C"/>
    <w:rsid w:val="00167E00"/>
    <w:rsid w:val="00170258"/>
    <w:rsid w:val="00170403"/>
    <w:rsid w:val="001723F5"/>
    <w:rsid w:val="001729D3"/>
    <w:rsid w:val="00172A03"/>
    <w:rsid w:val="00172D68"/>
    <w:rsid w:val="00172F80"/>
    <w:rsid w:val="00173E12"/>
    <w:rsid w:val="0017488C"/>
    <w:rsid w:val="00174E6A"/>
    <w:rsid w:val="00175B5A"/>
    <w:rsid w:val="00175CBC"/>
    <w:rsid w:val="00176357"/>
    <w:rsid w:val="001766AE"/>
    <w:rsid w:val="00177A46"/>
    <w:rsid w:val="00180E03"/>
    <w:rsid w:val="0018149F"/>
    <w:rsid w:val="00181B4D"/>
    <w:rsid w:val="00182581"/>
    <w:rsid w:val="001837E4"/>
    <w:rsid w:val="00184387"/>
    <w:rsid w:val="0018448E"/>
    <w:rsid w:val="00184657"/>
    <w:rsid w:val="00184DFD"/>
    <w:rsid w:val="001859C2"/>
    <w:rsid w:val="0018614B"/>
    <w:rsid w:val="00186153"/>
    <w:rsid w:val="00186E2D"/>
    <w:rsid w:val="00186FEB"/>
    <w:rsid w:val="00187350"/>
    <w:rsid w:val="00187367"/>
    <w:rsid w:val="00187509"/>
    <w:rsid w:val="00187B66"/>
    <w:rsid w:val="00190102"/>
    <w:rsid w:val="00190115"/>
    <w:rsid w:val="00190691"/>
    <w:rsid w:val="00191113"/>
    <w:rsid w:val="00191367"/>
    <w:rsid w:val="00192F90"/>
    <w:rsid w:val="00193389"/>
    <w:rsid w:val="00193703"/>
    <w:rsid w:val="00193942"/>
    <w:rsid w:val="00193BD5"/>
    <w:rsid w:val="0019412A"/>
    <w:rsid w:val="00194D81"/>
    <w:rsid w:val="00194DAA"/>
    <w:rsid w:val="00194FCA"/>
    <w:rsid w:val="001959BF"/>
    <w:rsid w:val="00195D8C"/>
    <w:rsid w:val="00196331"/>
    <w:rsid w:val="00197FBC"/>
    <w:rsid w:val="001A1195"/>
    <w:rsid w:val="001A1F76"/>
    <w:rsid w:val="001A2A1D"/>
    <w:rsid w:val="001A2D31"/>
    <w:rsid w:val="001A31C6"/>
    <w:rsid w:val="001A348E"/>
    <w:rsid w:val="001A3513"/>
    <w:rsid w:val="001A35A2"/>
    <w:rsid w:val="001A3678"/>
    <w:rsid w:val="001A3D98"/>
    <w:rsid w:val="001A41DA"/>
    <w:rsid w:val="001A4AE5"/>
    <w:rsid w:val="001A50D8"/>
    <w:rsid w:val="001A578E"/>
    <w:rsid w:val="001A6335"/>
    <w:rsid w:val="001A6366"/>
    <w:rsid w:val="001A68F7"/>
    <w:rsid w:val="001A7D4A"/>
    <w:rsid w:val="001A7F54"/>
    <w:rsid w:val="001B1206"/>
    <w:rsid w:val="001B1FB4"/>
    <w:rsid w:val="001B2437"/>
    <w:rsid w:val="001B24D7"/>
    <w:rsid w:val="001B2B10"/>
    <w:rsid w:val="001B3B27"/>
    <w:rsid w:val="001B4162"/>
    <w:rsid w:val="001B5317"/>
    <w:rsid w:val="001B53A7"/>
    <w:rsid w:val="001B57A7"/>
    <w:rsid w:val="001B634E"/>
    <w:rsid w:val="001B6A13"/>
    <w:rsid w:val="001B73CD"/>
    <w:rsid w:val="001B74C6"/>
    <w:rsid w:val="001C130B"/>
    <w:rsid w:val="001C2C7D"/>
    <w:rsid w:val="001C35E1"/>
    <w:rsid w:val="001C3E23"/>
    <w:rsid w:val="001C3EDF"/>
    <w:rsid w:val="001C4178"/>
    <w:rsid w:val="001C417F"/>
    <w:rsid w:val="001C5492"/>
    <w:rsid w:val="001C6006"/>
    <w:rsid w:val="001C6328"/>
    <w:rsid w:val="001C65D8"/>
    <w:rsid w:val="001C6ABC"/>
    <w:rsid w:val="001C79F2"/>
    <w:rsid w:val="001D08DE"/>
    <w:rsid w:val="001D10D8"/>
    <w:rsid w:val="001D2991"/>
    <w:rsid w:val="001D385D"/>
    <w:rsid w:val="001D50D0"/>
    <w:rsid w:val="001D772F"/>
    <w:rsid w:val="001D7AB1"/>
    <w:rsid w:val="001D7E1D"/>
    <w:rsid w:val="001E025A"/>
    <w:rsid w:val="001E183A"/>
    <w:rsid w:val="001E1A8C"/>
    <w:rsid w:val="001E1DE1"/>
    <w:rsid w:val="001E2C34"/>
    <w:rsid w:val="001E2E29"/>
    <w:rsid w:val="001E2E64"/>
    <w:rsid w:val="001E2F70"/>
    <w:rsid w:val="001E3EB7"/>
    <w:rsid w:val="001E4796"/>
    <w:rsid w:val="001E487A"/>
    <w:rsid w:val="001E61FF"/>
    <w:rsid w:val="001E6418"/>
    <w:rsid w:val="001E6523"/>
    <w:rsid w:val="001E7F54"/>
    <w:rsid w:val="001F351C"/>
    <w:rsid w:val="001F3568"/>
    <w:rsid w:val="001F55C0"/>
    <w:rsid w:val="001F5C45"/>
    <w:rsid w:val="001F67D5"/>
    <w:rsid w:val="001F686B"/>
    <w:rsid w:val="001F687B"/>
    <w:rsid w:val="002008F8"/>
    <w:rsid w:val="00200D94"/>
    <w:rsid w:val="002013E2"/>
    <w:rsid w:val="0020162C"/>
    <w:rsid w:val="00202007"/>
    <w:rsid w:val="002030D8"/>
    <w:rsid w:val="002035F6"/>
    <w:rsid w:val="00203789"/>
    <w:rsid w:val="00203844"/>
    <w:rsid w:val="002044FF"/>
    <w:rsid w:val="002058EE"/>
    <w:rsid w:val="00205BF7"/>
    <w:rsid w:val="002061C9"/>
    <w:rsid w:val="002070F3"/>
    <w:rsid w:val="00207A94"/>
    <w:rsid w:val="00207B0D"/>
    <w:rsid w:val="00207CB8"/>
    <w:rsid w:val="00211CB8"/>
    <w:rsid w:val="00211D89"/>
    <w:rsid w:val="0021228F"/>
    <w:rsid w:val="002137AF"/>
    <w:rsid w:val="002139E8"/>
    <w:rsid w:val="00214054"/>
    <w:rsid w:val="0021426E"/>
    <w:rsid w:val="002156D3"/>
    <w:rsid w:val="00216583"/>
    <w:rsid w:val="00216943"/>
    <w:rsid w:val="002175E5"/>
    <w:rsid w:val="00217A60"/>
    <w:rsid w:val="002202EF"/>
    <w:rsid w:val="002206C8"/>
    <w:rsid w:val="002207DC"/>
    <w:rsid w:val="00220B35"/>
    <w:rsid w:val="00220E15"/>
    <w:rsid w:val="00221323"/>
    <w:rsid w:val="002222E9"/>
    <w:rsid w:val="00222D3C"/>
    <w:rsid w:val="0022346B"/>
    <w:rsid w:val="00223739"/>
    <w:rsid w:val="00223821"/>
    <w:rsid w:val="00223E85"/>
    <w:rsid w:val="00224928"/>
    <w:rsid w:val="002256BB"/>
    <w:rsid w:val="0022684F"/>
    <w:rsid w:val="00226F13"/>
    <w:rsid w:val="00226FD9"/>
    <w:rsid w:val="00227DB8"/>
    <w:rsid w:val="002307C5"/>
    <w:rsid w:val="00230842"/>
    <w:rsid w:val="00230AC5"/>
    <w:rsid w:val="002329DC"/>
    <w:rsid w:val="00233360"/>
    <w:rsid w:val="00234712"/>
    <w:rsid w:val="00236F93"/>
    <w:rsid w:val="00237587"/>
    <w:rsid w:val="002400CA"/>
    <w:rsid w:val="00241CCB"/>
    <w:rsid w:val="002429D9"/>
    <w:rsid w:val="00242C35"/>
    <w:rsid w:val="002430E1"/>
    <w:rsid w:val="002432C5"/>
    <w:rsid w:val="00243A75"/>
    <w:rsid w:val="00243AD8"/>
    <w:rsid w:val="00244459"/>
    <w:rsid w:val="002445F8"/>
    <w:rsid w:val="00244C01"/>
    <w:rsid w:val="00244F7A"/>
    <w:rsid w:val="002453EF"/>
    <w:rsid w:val="00245CC8"/>
    <w:rsid w:val="00246A9A"/>
    <w:rsid w:val="00247123"/>
    <w:rsid w:val="0024738A"/>
    <w:rsid w:val="00247EF7"/>
    <w:rsid w:val="0025192F"/>
    <w:rsid w:val="00251C4A"/>
    <w:rsid w:val="00251D62"/>
    <w:rsid w:val="00252746"/>
    <w:rsid w:val="002532D9"/>
    <w:rsid w:val="00253B96"/>
    <w:rsid w:val="002563D2"/>
    <w:rsid w:val="002567D1"/>
    <w:rsid w:val="00257236"/>
    <w:rsid w:val="00257D62"/>
    <w:rsid w:val="0026064F"/>
    <w:rsid w:val="00261ED6"/>
    <w:rsid w:val="00262392"/>
    <w:rsid w:val="002625B8"/>
    <w:rsid w:val="0026261C"/>
    <w:rsid w:val="00262C57"/>
    <w:rsid w:val="00263F5B"/>
    <w:rsid w:val="002645EC"/>
    <w:rsid w:val="00265663"/>
    <w:rsid w:val="002661DC"/>
    <w:rsid w:val="00266294"/>
    <w:rsid w:val="0026681D"/>
    <w:rsid w:val="00267F57"/>
    <w:rsid w:val="002706A6"/>
    <w:rsid w:val="0027098F"/>
    <w:rsid w:val="00270EAA"/>
    <w:rsid w:val="00271004"/>
    <w:rsid w:val="0027165F"/>
    <w:rsid w:val="0027221F"/>
    <w:rsid w:val="00272435"/>
    <w:rsid w:val="002726E8"/>
    <w:rsid w:val="00272A97"/>
    <w:rsid w:val="00275212"/>
    <w:rsid w:val="00275C80"/>
    <w:rsid w:val="002764C5"/>
    <w:rsid w:val="002766C9"/>
    <w:rsid w:val="00276E82"/>
    <w:rsid w:val="002774FB"/>
    <w:rsid w:val="002779CE"/>
    <w:rsid w:val="00277FDF"/>
    <w:rsid w:val="0028013B"/>
    <w:rsid w:val="002824FA"/>
    <w:rsid w:val="00283051"/>
    <w:rsid w:val="00283B62"/>
    <w:rsid w:val="0028432F"/>
    <w:rsid w:val="00284A5F"/>
    <w:rsid w:val="00284FFA"/>
    <w:rsid w:val="00285C4D"/>
    <w:rsid w:val="00285EA7"/>
    <w:rsid w:val="00286741"/>
    <w:rsid w:val="00286B42"/>
    <w:rsid w:val="00287084"/>
    <w:rsid w:val="00287521"/>
    <w:rsid w:val="00290719"/>
    <w:rsid w:val="00291412"/>
    <w:rsid w:val="00291E08"/>
    <w:rsid w:val="0029296D"/>
    <w:rsid w:val="00292DE5"/>
    <w:rsid w:val="002934A2"/>
    <w:rsid w:val="002936EF"/>
    <w:rsid w:val="00293DC7"/>
    <w:rsid w:val="00294653"/>
    <w:rsid w:val="00294768"/>
    <w:rsid w:val="002948B5"/>
    <w:rsid w:val="002952F1"/>
    <w:rsid w:val="00297370"/>
    <w:rsid w:val="00297873"/>
    <w:rsid w:val="00297917"/>
    <w:rsid w:val="00297B82"/>
    <w:rsid w:val="002A1986"/>
    <w:rsid w:val="002A1B1E"/>
    <w:rsid w:val="002A1F0B"/>
    <w:rsid w:val="002A29DB"/>
    <w:rsid w:val="002A2DE9"/>
    <w:rsid w:val="002A323C"/>
    <w:rsid w:val="002A36BD"/>
    <w:rsid w:val="002A4AA4"/>
    <w:rsid w:val="002A4D78"/>
    <w:rsid w:val="002A4DB1"/>
    <w:rsid w:val="002A5406"/>
    <w:rsid w:val="002A5902"/>
    <w:rsid w:val="002A6A05"/>
    <w:rsid w:val="002A6EB4"/>
    <w:rsid w:val="002A7D4F"/>
    <w:rsid w:val="002B090F"/>
    <w:rsid w:val="002B0D1E"/>
    <w:rsid w:val="002B0D71"/>
    <w:rsid w:val="002B2236"/>
    <w:rsid w:val="002B2499"/>
    <w:rsid w:val="002B2568"/>
    <w:rsid w:val="002B29FE"/>
    <w:rsid w:val="002B2A2B"/>
    <w:rsid w:val="002B2DFE"/>
    <w:rsid w:val="002B4AEB"/>
    <w:rsid w:val="002B518F"/>
    <w:rsid w:val="002B5EC8"/>
    <w:rsid w:val="002B66F9"/>
    <w:rsid w:val="002B6D53"/>
    <w:rsid w:val="002B720F"/>
    <w:rsid w:val="002B72CA"/>
    <w:rsid w:val="002B730F"/>
    <w:rsid w:val="002B7448"/>
    <w:rsid w:val="002B7C85"/>
    <w:rsid w:val="002C01C4"/>
    <w:rsid w:val="002C108A"/>
    <w:rsid w:val="002C1122"/>
    <w:rsid w:val="002C1219"/>
    <w:rsid w:val="002C132E"/>
    <w:rsid w:val="002C1A8B"/>
    <w:rsid w:val="002C1F04"/>
    <w:rsid w:val="002C2118"/>
    <w:rsid w:val="002C38CF"/>
    <w:rsid w:val="002C3DD3"/>
    <w:rsid w:val="002C412B"/>
    <w:rsid w:val="002C43A2"/>
    <w:rsid w:val="002C4D88"/>
    <w:rsid w:val="002C5237"/>
    <w:rsid w:val="002C530B"/>
    <w:rsid w:val="002C5D10"/>
    <w:rsid w:val="002C6757"/>
    <w:rsid w:val="002C6EFA"/>
    <w:rsid w:val="002C7BB4"/>
    <w:rsid w:val="002D0487"/>
    <w:rsid w:val="002D0F42"/>
    <w:rsid w:val="002D11FC"/>
    <w:rsid w:val="002D14B3"/>
    <w:rsid w:val="002D1648"/>
    <w:rsid w:val="002D268B"/>
    <w:rsid w:val="002D2A78"/>
    <w:rsid w:val="002D2D7C"/>
    <w:rsid w:val="002D33D8"/>
    <w:rsid w:val="002D3B60"/>
    <w:rsid w:val="002D4329"/>
    <w:rsid w:val="002D45DB"/>
    <w:rsid w:val="002D73BE"/>
    <w:rsid w:val="002D77CE"/>
    <w:rsid w:val="002D7905"/>
    <w:rsid w:val="002E1103"/>
    <w:rsid w:val="002E12F0"/>
    <w:rsid w:val="002E1570"/>
    <w:rsid w:val="002E18A0"/>
    <w:rsid w:val="002E1AC7"/>
    <w:rsid w:val="002E2034"/>
    <w:rsid w:val="002E3DCD"/>
    <w:rsid w:val="002E3E6E"/>
    <w:rsid w:val="002E4B92"/>
    <w:rsid w:val="002E4CAC"/>
    <w:rsid w:val="002E5229"/>
    <w:rsid w:val="002E5364"/>
    <w:rsid w:val="002E671E"/>
    <w:rsid w:val="002E6A41"/>
    <w:rsid w:val="002E6DC5"/>
    <w:rsid w:val="002E70AA"/>
    <w:rsid w:val="002E77D7"/>
    <w:rsid w:val="002F0BB2"/>
    <w:rsid w:val="002F18EE"/>
    <w:rsid w:val="002F1DB0"/>
    <w:rsid w:val="002F1FB2"/>
    <w:rsid w:val="002F2F15"/>
    <w:rsid w:val="002F30BE"/>
    <w:rsid w:val="002F3CB6"/>
    <w:rsid w:val="002F3F61"/>
    <w:rsid w:val="002F4340"/>
    <w:rsid w:val="002F501D"/>
    <w:rsid w:val="002F5200"/>
    <w:rsid w:val="002F54D9"/>
    <w:rsid w:val="002F5EE3"/>
    <w:rsid w:val="002F67FB"/>
    <w:rsid w:val="002F74C4"/>
    <w:rsid w:val="002F7DC1"/>
    <w:rsid w:val="00300305"/>
    <w:rsid w:val="003011E0"/>
    <w:rsid w:val="003012A8"/>
    <w:rsid w:val="00302DD6"/>
    <w:rsid w:val="00303432"/>
    <w:rsid w:val="003035BA"/>
    <w:rsid w:val="003039B0"/>
    <w:rsid w:val="00304655"/>
    <w:rsid w:val="00305080"/>
    <w:rsid w:val="0030580D"/>
    <w:rsid w:val="00305E07"/>
    <w:rsid w:val="00306016"/>
    <w:rsid w:val="00306C31"/>
    <w:rsid w:val="00307ED8"/>
    <w:rsid w:val="00307F93"/>
    <w:rsid w:val="00310872"/>
    <w:rsid w:val="00312378"/>
    <w:rsid w:val="0031326D"/>
    <w:rsid w:val="003145A1"/>
    <w:rsid w:val="00314752"/>
    <w:rsid w:val="003147D8"/>
    <w:rsid w:val="00315B43"/>
    <w:rsid w:val="00315E70"/>
    <w:rsid w:val="00316AFC"/>
    <w:rsid w:val="00320296"/>
    <w:rsid w:val="003203A4"/>
    <w:rsid w:val="00320F61"/>
    <w:rsid w:val="003210BC"/>
    <w:rsid w:val="003213D5"/>
    <w:rsid w:val="003238BD"/>
    <w:rsid w:val="003239FB"/>
    <w:rsid w:val="00324203"/>
    <w:rsid w:val="00324337"/>
    <w:rsid w:val="00326193"/>
    <w:rsid w:val="0032719E"/>
    <w:rsid w:val="00327717"/>
    <w:rsid w:val="003279DC"/>
    <w:rsid w:val="0033026B"/>
    <w:rsid w:val="00330341"/>
    <w:rsid w:val="00330797"/>
    <w:rsid w:val="00331362"/>
    <w:rsid w:val="00332516"/>
    <w:rsid w:val="003329F2"/>
    <w:rsid w:val="00332A0E"/>
    <w:rsid w:val="00332D28"/>
    <w:rsid w:val="003344B2"/>
    <w:rsid w:val="003354B7"/>
    <w:rsid w:val="0033558A"/>
    <w:rsid w:val="00336C85"/>
    <w:rsid w:val="00337551"/>
    <w:rsid w:val="00340341"/>
    <w:rsid w:val="00340531"/>
    <w:rsid w:val="00340BA4"/>
    <w:rsid w:val="003415C5"/>
    <w:rsid w:val="003429F0"/>
    <w:rsid w:val="003431FE"/>
    <w:rsid w:val="00343A69"/>
    <w:rsid w:val="00344862"/>
    <w:rsid w:val="00345AF1"/>
    <w:rsid w:val="00345B9D"/>
    <w:rsid w:val="00345E3D"/>
    <w:rsid w:val="00345FCE"/>
    <w:rsid w:val="003467E5"/>
    <w:rsid w:val="00347246"/>
    <w:rsid w:val="003475DC"/>
    <w:rsid w:val="0034791E"/>
    <w:rsid w:val="00347E42"/>
    <w:rsid w:val="00351EE4"/>
    <w:rsid w:val="00351F5A"/>
    <w:rsid w:val="00352B68"/>
    <w:rsid w:val="00353556"/>
    <w:rsid w:val="003540F4"/>
    <w:rsid w:val="003544B9"/>
    <w:rsid w:val="00354875"/>
    <w:rsid w:val="003555AE"/>
    <w:rsid w:val="00356446"/>
    <w:rsid w:val="0035691C"/>
    <w:rsid w:val="0035697B"/>
    <w:rsid w:val="00356C0B"/>
    <w:rsid w:val="00356F00"/>
    <w:rsid w:val="00357A65"/>
    <w:rsid w:val="00357E0F"/>
    <w:rsid w:val="00357F66"/>
    <w:rsid w:val="00360966"/>
    <w:rsid w:val="00362C76"/>
    <w:rsid w:val="00362FBC"/>
    <w:rsid w:val="00363554"/>
    <w:rsid w:val="00363F41"/>
    <w:rsid w:val="00363FF5"/>
    <w:rsid w:val="0036542C"/>
    <w:rsid w:val="003658A8"/>
    <w:rsid w:val="00365BAA"/>
    <w:rsid w:val="00367462"/>
    <w:rsid w:val="00367A87"/>
    <w:rsid w:val="00370DBA"/>
    <w:rsid w:val="003712AA"/>
    <w:rsid w:val="00371E39"/>
    <w:rsid w:val="00372843"/>
    <w:rsid w:val="00372915"/>
    <w:rsid w:val="00372A32"/>
    <w:rsid w:val="003730BF"/>
    <w:rsid w:val="00373DC5"/>
    <w:rsid w:val="003741EB"/>
    <w:rsid w:val="00374281"/>
    <w:rsid w:val="00374652"/>
    <w:rsid w:val="00374D7A"/>
    <w:rsid w:val="00374FBE"/>
    <w:rsid w:val="003769D2"/>
    <w:rsid w:val="00376C9E"/>
    <w:rsid w:val="00376D5F"/>
    <w:rsid w:val="003770E9"/>
    <w:rsid w:val="0038021C"/>
    <w:rsid w:val="003802F4"/>
    <w:rsid w:val="00380549"/>
    <w:rsid w:val="003808BD"/>
    <w:rsid w:val="0038110F"/>
    <w:rsid w:val="0038142B"/>
    <w:rsid w:val="00381E10"/>
    <w:rsid w:val="003822EB"/>
    <w:rsid w:val="00382D46"/>
    <w:rsid w:val="00385180"/>
    <w:rsid w:val="003854C8"/>
    <w:rsid w:val="003867F5"/>
    <w:rsid w:val="00386B4F"/>
    <w:rsid w:val="00386C74"/>
    <w:rsid w:val="00387CC1"/>
    <w:rsid w:val="00387CF6"/>
    <w:rsid w:val="00387D53"/>
    <w:rsid w:val="003906E5"/>
    <w:rsid w:val="0039141B"/>
    <w:rsid w:val="00391848"/>
    <w:rsid w:val="003926EC"/>
    <w:rsid w:val="00392A1A"/>
    <w:rsid w:val="003930D7"/>
    <w:rsid w:val="00393773"/>
    <w:rsid w:val="003945E2"/>
    <w:rsid w:val="00394D36"/>
    <w:rsid w:val="00396C43"/>
    <w:rsid w:val="00397684"/>
    <w:rsid w:val="00397EFD"/>
    <w:rsid w:val="003A2872"/>
    <w:rsid w:val="003A2A2E"/>
    <w:rsid w:val="003A2B10"/>
    <w:rsid w:val="003A2F77"/>
    <w:rsid w:val="003A30D6"/>
    <w:rsid w:val="003A38D4"/>
    <w:rsid w:val="003A3BD3"/>
    <w:rsid w:val="003A43B1"/>
    <w:rsid w:val="003A4521"/>
    <w:rsid w:val="003A519B"/>
    <w:rsid w:val="003A5D51"/>
    <w:rsid w:val="003A67B0"/>
    <w:rsid w:val="003A69D3"/>
    <w:rsid w:val="003A6C69"/>
    <w:rsid w:val="003A72A5"/>
    <w:rsid w:val="003A7495"/>
    <w:rsid w:val="003A7F90"/>
    <w:rsid w:val="003B0D0B"/>
    <w:rsid w:val="003B1113"/>
    <w:rsid w:val="003B113B"/>
    <w:rsid w:val="003B1443"/>
    <w:rsid w:val="003B1D66"/>
    <w:rsid w:val="003B1E89"/>
    <w:rsid w:val="003B1F7F"/>
    <w:rsid w:val="003B2552"/>
    <w:rsid w:val="003B2B7A"/>
    <w:rsid w:val="003B36B4"/>
    <w:rsid w:val="003B42E2"/>
    <w:rsid w:val="003B494A"/>
    <w:rsid w:val="003B5DF2"/>
    <w:rsid w:val="003B7ABF"/>
    <w:rsid w:val="003C0429"/>
    <w:rsid w:val="003C0B8D"/>
    <w:rsid w:val="003C13B2"/>
    <w:rsid w:val="003C1905"/>
    <w:rsid w:val="003C1F5C"/>
    <w:rsid w:val="003C2776"/>
    <w:rsid w:val="003C360B"/>
    <w:rsid w:val="003C422E"/>
    <w:rsid w:val="003C4DFD"/>
    <w:rsid w:val="003C54E4"/>
    <w:rsid w:val="003C6111"/>
    <w:rsid w:val="003C6238"/>
    <w:rsid w:val="003C678B"/>
    <w:rsid w:val="003C70F0"/>
    <w:rsid w:val="003C7876"/>
    <w:rsid w:val="003C7D45"/>
    <w:rsid w:val="003D049B"/>
    <w:rsid w:val="003D26F7"/>
    <w:rsid w:val="003D2705"/>
    <w:rsid w:val="003D2916"/>
    <w:rsid w:val="003D2974"/>
    <w:rsid w:val="003D353F"/>
    <w:rsid w:val="003D38C1"/>
    <w:rsid w:val="003D393F"/>
    <w:rsid w:val="003D49FB"/>
    <w:rsid w:val="003D4ACC"/>
    <w:rsid w:val="003D4D84"/>
    <w:rsid w:val="003D4E83"/>
    <w:rsid w:val="003D5312"/>
    <w:rsid w:val="003D57E6"/>
    <w:rsid w:val="003D5C58"/>
    <w:rsid w:val="003D5CFE"/>
    <w:rsid w:val="003D6131"/>
    <w:rsid w:val="003D657E"/>
    <w:rsid w:val="003E0676"/>
    <w:rsid w:val="003E1E26"/>
    <w:rsid w:val="003E1F3E"/>
    <w:rsid w:val="003E35E0"/>
    <w:rsid w:val="003E3DA6"/>
    <w:rsid w:val="003E3F04"/>
    <w:rsid w:val="003E4916"/>
    <w:rsid w:val="003E5BB8"/>
    <w:rsid w:val="003E5DFB"/>
    <w:rsid w:val="003E653A"/>
    <w:rsid w:val="003E7DCB"/>
    <w:rsid w:val="003F0063"/>
    <w:rsid w:val="003F0F73"/>
    <w:rsid w:val="003F2496"/>
    <w:rsid w:val="003F2863"/>
    <w:rsid w:val="003F2B07"/>
    <w:rsid w:val="003F2B25"/>
    <w:rsid w:val="003F4E2E"/>
    <w:rsid w:val="003F51BB"/>
    <w:rsid w:val="003F536A"/>
    <w:rsid w:val="003F5D69"/>
    <w:rsid w:val="003F6357"/>
    <w:rsid w:val="003F6CB8"/>
    <w:rsid w:val="0040209C"/>
    <w:rsid w:val="00402121"/>
    <w:rsid w:val="00402189"/>
    <w:rsid w:val="00402CC5"/>
    <w:rsid w:val="00402FB8"/>
    <w:rsid w:val="00402FFC"/>
    <w:rsid w:val="004039F5"/>
    <w:rsid w:val="00404729"/>
    <w:rsid w:val="0040504F"/>
    <w:rsid w:val="004050DF"/>
    <w:rsid w:val="00406573"/>
    <w:rsid w:val="00406830"/>
    <w:rsid w:val="0040782A"/>
    <w:rsid w:val="00411D7D"/>
    <w:rsid w:val="00412091"/>
    <w:rsid w:val="00412731"/>
    <w:rsid w:val="00412DFC"/>
    <w:rsid w:val="00413015"/>
    <w:rsid w:val="0041311B"/>
    <w:rsid w:val="00414333"/>
    <w:rsid w:val="00414EA2"/>
    <w:rsid w:val="00415C2E"/>
    <w:rsid w:val="00416904"/>
    <w:rsid w:val="00416DF2"/>
    <w:rsid w:val="004171E7"/>
    <w:rsid w:val="00417348"/>
    <w:rsid w:val="004179C4"/>
    <w:rsid w:val="00420D46"/>
    <w:rsid w:val="00421FBE"/>
    <w:rsid w:val="00421FDA"/>
    <w:rsid w:val="004220EB"/>
    <w:rsid w:val="00423660"/>
    <w:rsid w:val="004237C0"/>
    <w:rsid w:val="00423DD6"/>
    <w:rsid w:val="00423DF9"/>
    <w:rsid w:val="00423F0B"/>
    <w:rsid w:val="00424334"/>
    <w:rsid w:val="004243DA"/>
    <w:rsid w:val="00425CA5"/>
    <w:rsid w:val="00426066"/>
    <w:rsid w:val="00426D8C"/>
    <w:rsid w:val="00426E5C"/>
    <w:rsid w:val="00427278"/>
    <w:rsid w:val="004272F2"/>
    <w:rsid w:val="00427634"/>
    <w:rsid w:val="00427A60"/>
    <w:rsid w:val="00427BA2"/>
    <w:rsid w:val="00430C04"/>
    <w:rsid w:val="00430D23"/>
    <w:rsid w:val="00430E84"/>
    <w:rsid w:val="004318BF"/>
    <w:rsid w:val="00432A9F"/>
    <w:rsid w:val="004330B2"/>
    <w:rsid w:val="00433406"/>
    <w:rsid w:val="00433598"/>
    <w:rsid w:val="00433808"/>
    <w:rsid w:val="0043446D"/>
    <w:rsid w:val="00434D8A"/>
    <w:rsid w:val="00434F23"/>
    <w:rsid w:val="00436360"/>
    <w:rsid w:val="004364D9"/>
    <w:rsid w:val="00436F86"/>
    <w:rsid w:val="00437369"/>
    <w:rsid w:val="00437429"/>
    <w:rsid w:val="00437F16"/>
    <w:rsid w:val="004409AC"/>
    <w:rsid w:val="00440F95"/>
    <w:rsid w:val="004420FB"/>
    <w:rsid w:val="004428B2"/>
    <w:rsid w:val="00443A32"/>
    <w:rsid w:val="00445396"/>
    <w:rsid w:val="0044595B"/>
    <w:rsid w:val="004459EA"/>
    <w:rsid w:val="00445E29"/>
    <w:rsid w:val="0044610B"/>
    <w:rsid w:val="0044631B"/>
    <w:rsid w:val="00451141"/>
    <w:rsid w:val="00451298"/>
    <w:rsid w:val="0045185A"/>
    <w:rsid w:val="00451A50"/>
    <w:rsid w:val="00451EE7"/>
    <w:rsid w:val="00452011"/>
    <w:rsid w:val="0045249A"/>
    <w:rsid w:val="00452B73"/>
    <w:rsid w:val="004531B5"/>
    <w:rsid w:val="0045447D"/>
    <w:rsid w:val="00456044"/>
    <w:rsid w:val="00456C8C"/>
    <w:rsid w:val="00456D2E"/>
    <w:rsid w:val="00457342"/>
    <w:rsid w:val="00457DC7"/>
    <w:rsid w:val="00460D00"/>
    <w:rsid w:val="00461AD7"/>
    <w:rsid w:val="00463BDA"/>
    <w:rsid w:val="00464D02"/>
    <w:rsid w:val="00464E51"/>
    <w:rsid w:val="004652B4"/>
    <w:rsid w:val="004652D9"/>
    <w:rsid w:val="00465AEC"/>
    <w:rsid w:val="00465EBB"/>
    <w:rsid w:val="00466230"/>
    <w:rsid w:val="00466520"/>
    <w:rsid w:val="00466533"/>
    <w:rsid w:val="004670DE"/>
    <w:rsid w:val="00467105"/>
    <w:rsid w:val="00467A86"/>
    <w:rsid w:val="00470C88"/>
    <w:rsid w:val="004715D0"/>
    <w:rsid w:val="00471EFC"/>
    <w:rsid w:val="0047218D"/>
    <w:rsid w:val="00472BDF"/>
    <w:rsid w:val="004730C7"/>
    <w:rsid w:val="004735B5"/>
    <w:rsid w:val="00473B69"/>
    <w:rsid w:val="00474099"/>
    <w:rsid w:val="00474146"/>
    <w:rsid w:val="0047431C"/>
    <w:rsid w:val="004743E3"/>
    <w:rsid w:val="00474543"/>
    <w:rsid w:val="00474925"/>
    <w:rsid w:val="00474BF3"/>
    <w:rsid w:val="00475B65"/>
    <w:rsid w:val="00475FCE"/>
    <w:rsid w:val="00476E95"/>
    <w:rsid w:val="00477525"/>
    <w:rsid w:val="00480285"/>
    <w:rsid w:val="00480AD9"/>
    <w:rsid w:val="00480BC3"/>
    <w:rsid w:val="004813F2"/>
    <w:rsid w:val="00481C96"/>
    <w:rsid w:val="00482629"/>
    <w:rsid w:val="004837DD"/>
    <w:rsid w:val="004838BC"/>
    <w:rsid w:val="00483A0D"/>
    <w:rsid w:val="004848F6"/>
    <w:rsid w:val="00484A70"/>
    <w:rsid w:val="00484C34"/>
    <w:rsid w:val="00485342"/>
    <w:rsid w:val="004855D1"/>
    <w:rsid w:val="0048583B"/>
    <w:rsid w:val="00486246"/>
    <w:rsid w:val="00486425"/>
    <w:rsid w:val="00486712"/>
    <w:rsid w:val="00486EAE"/>
    <w:rsid w:val="00486ED4"/>
    <w:rsid w:val="004872A2"/>
    <w:rsid w:val="004873DC"/>
    <w:rsid w:val="004901B6"/>
    <w:rsid w:val="004905A9"/>
    <w:rsid w:val="00490A06"/>
    <w:rsid w:val="004922DE"/>
    <w:rsid w:val="0049232C"/>
    <w:rsid w:val="00492C43"/>
    <w:rsid w:val="00493141"/>
    <w:rsid w:val="00493BEE"/>
    <w:rsid w:val="00493E0C"/>
    <w:rsid w:val="0049491A"/>
    <w:rsid w:val="00494B37"/>
    <w:rsid w:val="00494C60"/>
    <w:rsid w:val="00494E14"/>
    <w:rsid w:val="00496F18"/>
    <w:rsid w:val="00497560"/>
    <w:rsid w:val="00497ACD"/>
    <w:rsid w:val="00497C94"/>
    <w:rsid w:val="004A0103"/>
    <w:rsid w:val="004A12BA"/>
    <w:rsid w:val="004A151B"/>
    <w:rsid w:val="004A1EF1"/>
    <w:rsid w:val="004A22ED"/>
    <w:rsid w:val="004A28C6"/>
    <w:rsid w:val="004A2EC1"/>
    <w:rsid w:val="004A4095"/>
    <w:rsid w:val="004A4A96"/>
    <w:rsid w:val="004A5E81"/>
    <w:rsid w:val="004A6F99"/>
    <w:rsid w:val="004A7556"/>
    <w:rsid w:val="004B45F8"/>
    <w:rsid w:val="004B6099"/>
    <w:rsid w:val="004B627B"/>
    <w:rsid w:val="004B6441"/>
    <w:rsid w:val="004B65E1"/>
    <w:rsid w:val="004B65E4"/>
    <w:rsid w:val="004B7856"/>
    <w:rsid w:val="004C075B"/>
    <w:rsid w:val="004C0B77"/>
    <w:rsid w:val="004C1800"/>
    <w:rsid w:val="004C2632"/>
    <w:rsid w:val="004C273D"/>
    <w:rsid w:val="004C29D2"/>
    <w:rsid w:val="004C43FF"/>
    <w:rsid w:val="004C47B1"/>
    <w:rsid w:val="004C674B"/>
    <w:rsid w:val="004C7933"/>
    <w:rsid w:val="004C796A"/>
    <w:rsid w:val="004D0939"/>
    <w:rsid w:val="004D101A"/>
    <w:rsid w:val="004D1DA2"/>
    <w:rsid w:val="004D1E69"/>
    <w:rsid w:val="004D2116"/>
    <w:rsid w:val="004D22C2"/>
    <w:rsid w:val="004D2410"/>
    <w:rsid w:val="004D2ED1"/>
    <w:rsid w:val="004D34CB"/>
    <w:rsid w:val="004D689B"/>
    <w:rsid w:val="004D6EF8"/>
    <w:rsid w:val="004D7783"/>
    <w:rsid w:val="004E039E"/>
    <w:rsid w:val="004E14FA"/>
    <w:rsid w:val="004E1610"/>
    <w:rsid w:val="004E26E0"/>
    <w:rsid w:val="004E2B48"/>
    <w:rsid w:val="004E2B5F"/>
    <w:rsid w:val="004E32AF"/>
    <w:rsid w:val="004E3DE5"/>
    <w:rsid w:val="004E48DB"/>
    <w:rsid w:val="004E5E86"/>
    <w:rsid w:val="004E5FEB"/>
    <w:rsid w:val="004E6131"/>
    <w:rsid w:val="004E748B"/>
    <w:rsid w:val="004E7631"/>
    <w:rsid w:val="004F0AC5"/>
    <w:rsid w:val="004F2CC7"/>
    <w:rsid w:val="004F3F26"/>
    <w:rsid w:val="004F4058"/>
    <w:rsid w:val="004F56B2"/>
    <w:rsid w:val="004F6374"/>
    <w:rsid w:val="004F78F2"/>
    <w:rsid w:val="004F7E69"/>
    <w:rsid w:val="00501AC3"/>
    <w:rsid w:val="00502A8F"/>
    <w:rsid w:val="00502C6E"/>
    <w:rsid w:val="00504127"/>
    <w:rsid w:val="005046D5"/>
    <w:rsid w:val="005048D5"/>
    <w:rsid w:val="005050E2"/>
    <w:rsid w:val="00505824"/>
    <w:rsid w:val="0051026F"/>
    <w:rsid w:val="00511F5A"/>
    <w:rsid w:val="005127C6"/>
    <w:rsid w:val="00512B6C"/>
    <w:rsid w:val="00512E1C"/>
    <w:rsid w:val="00513223"/>
    <w:rsid w:val="00513703"/>
    <w:rsid w:val="00514E07"/>
    <w:rsid w:val="005156EE"/>
    <w:rsid w:val="00515BAF"/>
    <w:rsid w:val="00517ABA"/>
    <w:rsid w:val="005211CD"/>
    <w:rsid w:val="0052153F"/>
    <w:rsid w:val="00522ABE"/>
    <w:rsid w:val="00524063"/>
    <w:rsid w:val="00524156"/>
    <w:rsid w:val="0052443A"/>
    <w:rsid w:val="00525F7D"/>
    <w:rsid w:val="00526108"/>
    <w:rsid w:val="00526EDE"/>
    <w:rsid w:val="005305CC"/>
    <w:rsid w:val="00530D8B"/>
    <w:rsid w:val="00530E3E"/>
    <w:rsid w:val="00531235"/>
    <w:rsid w:val="005316BE"/>
    <w:rsid w:val="00531B76"/>
    <w:rsid w:val="00532AB6"/>
    <w:rsid w:val="0053354F"/>
    <w:rsid w:val="00533DEF"/>
    <w:rsid w:val="005342AD"/>
    <w:rsid w:val="005349BD"/>
    <w:rsid w:val="00534EA7"/>
    <w:rsid w:val="005351B6"/>
    <w:rsid w:val="00536132"/>
    <w:rsid w:val="0053675B"/>
    <w:rsid w:val="00536971"/>
    <w:rsid w:val="00537999"/>
    <w:rsid w:val="005400C1"/>
    <w:rsid w:val="0054151D"/>
    <w:rsid w:val="00541540"/>
    <w:rsid w:val="005415C0"/>
    <w:rsid w:val="0054297A"/>
    <w:rsid w:val="00543AD7"/>
    <w:rsid w:val="00543B41"/>
    <w:rsid w:val="00543C04"/>
    <w:rsid w:val="005443EC"/>
    <w:rsid w:val="005446B2"/>
    <w:rsid w:val="0054520B"/>
    <w:rsid w:val="00545289"/>
    <w:rsid w:val="005468EE"/>
    <w:rsid w:val="00546E58"/>
    <w:rsid w:val="00546F65"/>
    <w:rsid w:val="00547E0F"/>
    <w:rsid w:val="00550275"/>
    <w:rsid w:val="00551E33"/>
    <w:rsid w:val="005520DC"/>
    <w:rsid w:val="0055256D"/>
    <w:rsid w:val="005527B7"/>
    <w:rsid w:val="00553168"/>
    <w:rsid w:val="00553406"/>
    <w:rsid w:val="00553F81"/>
    <w:rsid w:val="005552A3"/>
    <w:rsid w:val="00555B65"/>
    <w:rsid w:val="00556038"/>
    <w:rsid w:val="0055608B"/>
    <w:rsid w:val="0055761F"/>
    <w:rsid w:val="00557A75"/>
    <w:rsid w:val="00557F44"/>
    <w:rsid w:val="00560CB3"/>
    <w:rsid w:val="005610DD"/>
    <w:rsid w:val="005626C1"/>
    <w:rsid w:val="00562BC5"/>
    <w:rsid w:val="0056338F"/>
    <w:rsid w:val="00563814"/>
    <w:rsid w:val="005650F7"/>
    <w:rsid w:val="00565505"/>
    <w:rsid w:val="0056622F"/>
    <w:rsid w:val="00567458"/>
    <w:rsid w:val="00570597"/>
    <w:rsid w:val="00571933"/>
    <w:rsid w:val="00572738"/>
    <w:rsid w:val="005729C2"/>
    <w:rsid w:val="005739DE"/>
    <w:rsid w:val="005748D0"/>
    <w:rsid w:val="00575523"/>
    <w:rsid w:val="00575571"/>
    <w:rsid w:val="00575C23"/>
    <w:rsid w:val="00576FAA"/>
    <w:rsid w:val="00577130"/>
    <w:rsid w:val="005774F9"/>
    <w:rsid w:val="00577E1E"/>
    <w:rsid w:val="00581D58"/>
    <w:rsid w:val="005835B2"/>
    <w:rsid w:val="0058439D"/>
    <w:rsid w:val="00584D1F"/>
    <w:rsid w:val="00584F55"/>
    <w:rsid w:val="0058606A"/>
    <w:rsid w:val="00587120"/>
    <w:rsid w:val="005878A1"/>
    <w:rsid w:val="00587D4F"/>
    <w:rsid w:val="00590B9A"/>
    <w:rsid w:val="005916AC"/>
    <w:rsid w:val="0059340F"/>
    <w:rsid w:val="00593705"/>
    <w:rsid w:val="00593B48"/>
    <w:rsid w:val="00593D1B"/>
    <w:rsid w:val="005951CB"/>
    <w:rsid w:val="00595EA8"/>
    <w:rsid w:val="00596688"/>
    <w:rsid w:val="0059679A"/>
    <w:rsid w:val="00596B2C"/>
    <w:rsid w:val="00596EB8"/>
    <w:rsid w:val="00597B67"/>
    <w:rsid w:val="00597D1A"/>
    <w:rsid w:val="005A0E4B"/>
    <w:rsid w:val="005A143E"/>
    <w:rsid w:val="005A1F53"/>
    <w:rsid w:val="005A34BD"/>
    <w:rsid w:val="005A3873"/>
    <w:rsid w:val="005A395A"/>
    <w:rsid w:val="005A40A4"/>
    <w:rsid w:val="005A4388"/>
    <w:rsid w:val="005A44E4"/>
    <w:rsid w:val="005A4953"/>
    <w:rsid w:val="005A4F90"/>
    <w:rsid w:val="005A5111"/>
    <w:rsid w:val="005A5582"/>
    <w:rsid w:val="005A5D26"/>
    <w:rsid w:val="005A6BF6"/>
    <w:rsid w:val="005A7934"/>
    <w:rsid w:val="005A7E60"/>
    <w:rsid w:val="005B023B"/>
    <w:rsid w:val="005B0E05"/>
    <w:rsid w:val="005B2997"/>
    <w:rsid w:val="005B2F8C"/>
    <w:rsid w:val="005B4168"/>
    <w:rsid w:val="005B448F"/>
    <w:rsid w:val="005B492E"/>
    <w:rsid w:val="005B4E76"/>
    <w:rsid w:val="005B6252"/>
    <w:rsid w:val="005B63C9"/>
    <w:rsid w:val="005B661D"/>
    <w:rsid w:val="005B6B5E"/>
    <w:rsid w:val="005B6B8D"/>
    <w:rsid w:val="005B6CE2"/>
    <w:rsid w:val="005B70ED"/>
    <w:rsid w:val="005B735C"/>
    <w:rsid w:val="005B7996"/>
    <w:rsid w:val="005B7D45"/>
    <w:rsid w:val="005B7EF6"/>
    <w:rsid w:val="005C0360"/>
    <w:rsid w:val="005C3178"/>
    <w:rsid w:val="005C32BF"/>
    <w:rsid w:val="005C52B8"/>
    <w:rsid w:val="005C5721"/>
    <w:rsid w:val="005C5C01"/>
    <w:rsid w:val="005C6120"/>
    <w:rsid w:val="005C621D"/>
    <w:rsid w:val="005C6912"/>
    <w:rsid w:val="005C6F7A"/>
    <w:rsid w:val="005C797F"/>
    <w:rsid w:val="005C7CFC"/>
    <w:rsid w:val="005D07DE"/>
    <w:rsid w:val="005D09E1"/>
    <w:rsid w:val="005D1512"/>
    <w:rsid w:val="005D3378"/>
    <w:rsid w:val="005D3513"/>
    <w:rsid w:val="005D387D"/>
    <w:rsid w:val="005D3B31"/>
    <w:rsid w:val="005D3D00"/>
    <w:rsid w:val="005D3E60"/>
    <w:rsid w:val="005D55D6"/>
    <w:rsid w:val="005D64AA"/>
    <w:rsid w:val="005D7049"/>
    <w:rsid w:val="005D7773"/>
    <w:rsid w:val="005E012D"/>
    <w:rsid w:val="005E0801"/>
    <w:rsid w:val="005E0D2C"/>
    <w:rsid w:val="005E17C7"/>
    <w:rsid w:val="005E1B8D"/>
    <w:rsid w:val="005E205C"/>
    <w:rsid w:val="005E283E"/>
    <w:rsid w:val="005E2889"/>
    <w:rsid w:val="005E2ACF"/>
    <w:rsid w:val="005E4214"/>
    <w:rsid w:val="005E4221"/>
    <w:rsid w:val="005E4A77"/>
    <w:rsid w:val="005E6312"/>
    <w:rsid w:val="005E645C"/>
    <w:rsid w:val="005E6FF3"/>
    <w:rsid w:val="005E739D"/>
    <w:rsid w:val="005E7784"/>
    <w:rsid w:val="005F0A3E"/>
    <w:rsid w:val="005F0AF9"/>
    <w:rsid w:val="005F152A"/>
    <w:rsid w:val="005F1FBD"/>
    <w:rsid w:val="005F24D0"/>
    <w:rsid w:val="005F296A"/>
    <w:rsid w:val="005F29E8"/>
    <w:rsid w:val="005F314F"/>
    <w:rsid w:val="005F32FE"/>
    <w:rsid w:val="005F35A8"/>
    <w:rsid w:val="005F4340"/>
    <w:rsid w:val="005F5584"/>
    <w:rsid w:val="005F679C"/>
    <w:rsid w:val="005F737F"/>
    <w:rsid w:val="005F786F"/>
    <w:rsid w:val="005F7FC5"/>
    <w:rsid w:val="0060033A"/>
    <w:rsid w:val="0060086C"/>
    <w:rsid w:val="006012D1"/>
    <w:rsid w:val="0060418E"/>
    <w:rsid w:val="00605761"/>
    <w:rsid w:val="00605823"/>
    <w:rsid w:val="00605A2C"/>
    <w:rsid w:val="0060604F"/>
    <w:rsid w:val="00606436"/>
    <w:rsid w:val="006064F4"/>
    <w:rsid w:val="0060746A"/>
    <w:rsid w:val="00610E64"/>
    <w:rsid w:val="006133E0"/>
    <w:rsid w:val="00613893"/>
    <w:rsid w:val="00613980"/>
    <w:rsid w:val="00613C24"/>
    <w:rsid w:val="0061490F"/>
    <w:rsid w:val="006149B7"/>
    <w:rsid w:val="00615E05"/>
    <w:rsid w:val="00617465"/>
    <w:rsid w:val="00622126"/>
    <w:rsid w:val="00622B41"/>
    <w:rsid w:val="006232B2"/>
    <w:rsid w:val="00623354"/>
    <w:rsid w:val="0062471A"/>
    <w:rsid w:val="00625023"/>
    <w:rsid w:val="0062541C"/>
    <w:rsid w:val="00625BCD"/>
    <w:rsid w:val="0062626F"/>
    <w:rsid w:val="006264D8"/>
    <w:rsid w:val="0062676E"/>
    <w:rsid w:val="00626F87"/>
    <w:rsid w:val="006303A6"/>
    <w:rsid w:val="00630ADC"/>
    <w:rsid w:val="006310B7"/>
    <w:rsid w:val="00631696"/>
    <w:rsid w:val="0063169D"/>
    <w:rsid w:val="00631806"/>
    <w:rsid w:val="00631B4B"/>
    <w:rsid w:val="00631FFE"/>
    <w:rsid w:val="006321C3"/>
    <w:rsid w:val="00633044"/>
    <w:rsid w:val="006334A9"/>
    <w:rsid w:val="006336FA"/>
    <w:rsid w:val="0063387B"/>
    <w:rsid w:val="0063461E"/>
    <w:rsid w:val="00634F99"/>
    <w:rsid w:val="00636209"/>
    <w:rsid w:val="00636E3C"/>
    <w:rsid w:val="00637AD2"/>
    <w:rsid w:val="00640AAF"/>
    <w:rsid w:val="00640F72"/>
    <w:rsid w:val="006422D9"/>
    <w:rsid w:val="00642E1E"/>
    <w:rsid w:val="006430AD"/>
    <w:rsid w:val="006435F8"/>
    <w:rsid w:val="0064372E"/>
    <w:rsid w:val="006441DF"/>
    <w:rsid w:val="006444A8"/>
    <w:rsid w:val="00644A87"/>
    <w:rsid w:val="00645600"/>
    <w:rsid w:val="00645B7E"/>
    <w:rsid w:val="00645C23"/>
    <w:rsid w:val="00647CC3"/>
    <w:rsid w:val="00650996"/>
    <w:rsid w:val="00650C4E"/>
    <w:rsid w:val="006514BF"/>
    <w:rsid w:val="00651E3D"/>
    <w:rsid w:val="0065468D"/>
    <w:rsid w:val="006552F5"/>
    <w:rsid w:val="0065604A"/>
    <w:rsid w:val="0065612A"/>
    <w:rsid w:val="006565F1"/>
    <w:rsid w:val="00656EEA"/>
    <w:rsid w:val="00660FF3"/>
    <w:rsid w:val="00661143"/>
    <w:rsid w:val="0066127B"/>
    <w:rsid w:val="00661A1E"/>
    <w:rsid w:val="00662159"/>
    <w:rsid w:val="006626FF"/>
    <w:rsid w:val="006634E8"/>
    <w:rsid w:val="00663AF0"/>
    <w:rsid w:val="00663D40"/>
    <w:rsid w:val="00663EF1"/>
    <w:rsid w:val="0066414C"/>
    <w:rsid w:val="006645E7"/>
    <w:rsid w:val="00665283"/>
    <w:rsid w:val="006659E6"/>
    <w:rsid w:val="00665A9E"/>
    <w:rsid w:val="00665D7B"/>
    <w:rsid w:val="00666BE3"/>
    <w:rsid w:val="00667770"/>
    <w:rsid w:val="00667C2D"/>
    <w:rsid w:val="006707DF"/>
    <w:rsid w:val="00671C1D"/>
    <w:rsid w:val="00671D79"/>
    <w:rsid w:val="006724E2"/>
    <w:rsid w:val="00674150"/>
    <w:rsid w:val="00675BCD"/>
    <w:rsid w:val="006769E0"/>
    <w:rsid w:val="00676FE9"/>
    <w:rsid w:val="006772D5"/>
    <w:rsid w:val="00677AFD"/>
    <w:rsid w:val="00677DBD"/>
    <w:rsid w:val="00677EA1"/>
    <w:rsid w:val="006810C2"/>
    <w:rsid w:val="006811BE"/>
    <w:rsid w:val="006817C1"/>
    <w:rsid w:val="00681845"/>
    <w:rsid w:val="00681BA6"/>
    <w:rsid w:val="006829E2"/>
    <w:rsid w:val="00682FAE"/>
    <w:rsid w:val="00683DFE"/>
    <w:rsid w:val="0068439F"/>
    <w:rsid w:val="0068453E"/>
    <w:rsid w:val="00684FD0"/>
    <w:rsid w:val="006853CD"/>
    <w:rsid w:val="00685E5E"/>
    <w:rsid w:val="00686F93"/>
    <w:rsid w:val="006875EF"/>
    <w:rsid w:val="00687AD9"/>
    <w:rsid w:val="00687BD2"/>
    <w:rsid w:val="006915DB"/>
    <w:rsid w:val="006924DA"/>
    <w:rsid w:val="00695693"/>
    <w:rsid w:val="00695F56"/>
    <w:rsid w:val="00696EF3"/>
    <w:rsid w:val="00697381"/>
    <w:rsid w:val="0069796B"/>
    <w:rsid w:val="00697F53"/>
    <w:rsid w:val="00697F82"/>
    <w:rsid w:val="00697FB1"/>
    <w:rsid w:val="006A0951"/>
    <w:rsid w:val="006A09BF"/>
    <w:rsid w:val="006A0A5A"/>
    <w:rsid w:val="006A0C66"/>
    <w:rsid w:val="006A522C"/>
    <w:rsid w:val="006A5942"/>
    <w:rsid w:val="006A5C1E"/>
    <w:rsid w:val="006A5D66"/>
    <w:rsid w:val="006A606E"/>
    <w:rsid w:val="006A6414"/>
    <w:rsid w:val="006A7D97"/>
    <w:rsid w:val="006A7F84"/>
    <w:rsid w:val="006B0406"/>
    <w:rsid w:val="006B0436"/>
    <w:rsid w:val="006B06F7"/>
    <w:rsid w:val="006B119E"/>
    <w:rsid w:val="006B1A8A"/>
    <w:rsid w:val="006B1AA0"/>
    <w:rsid w:val="006B2DA8"/>
    <w:rsid w:val="006B33E4"/>
    <w:rsid w:val="006B3454"/>
    <w:rsid w:val="006B347E"/>
    <w:rsid w:val="006B4B8F"/>
    <w:rsid w:val="006B4BCB"/>
    <w:rsid w:val="006B5023"/>
    <w:rsid w:val="006B7826"/>
    <w:rsid w:val="006C04FA"/>
    <w:rsid w:val="006C2408"/>
    <w:rsid w:val="006C2D39"/>
    <w:rsid w:val="006C3369"/>
    <w:rsid w:val="006C3591"/>
    <w:rsid w:val="006C3E2C"/>
    <w:rsid w:val="006C4380"/>
    <w:rsid w:val="006C4A0E"/>
    <w:rsid w:val="006C4B3A"/>
    <w:rsid w:val="006C4DC3"/>
    <w:rsid w:val="006C56BA"/>
    <w:rsid w:val="006C59B2"/>
    <w:rsid w:val="006C61C3"/>
    <w:rsid w:val="006C79B0"/>
    <w:rsid w:val="006D10B6"/>
    <w:rsid w:val="006D118A"/>
    <w:rsid w:val="006D3EA1"/>
    <w:rsid w:val="006D42F0"/>
    <w:rsid w:val="006D46D4"/>
    <w:rsid w:val="006D47F0"/>
    <w:rsid w:val="006D65FB"/>
    <w:rsid w:val="006D67CB"/>
    <w:rsid w:val="006D7B72"/>
    <w:rsid w:val="006E0D75"/>
    <w:rsid w:val="006E1094"/>
    <w:rsid w:val="006E10DD"/>
    <w:rsid w:val="006E20F5"/>
    <w:rsid w:val="006E24C7"/>
    <w:rsid w:val="006E2F9B"/>
    <w:rsid w:val="006E479E"/>
    <w:rsid w:val="006E5621"/>
    <w:rsid w:val="006E5DEB"/>
    <w:rsid w:val="006E64F8"/>
    <w:rsid w:val="006E6C0B"/>
    <w:rsid w:val="006E71F7"/>
    <w:rsid w:val="006E7959"/>
    <w:rsid w:val="006F074D"/>
    <w:rsid w:val="006F07D0"/>
    <w:rsid w:val="006F0C28"/>
    <w:rsid w:val="006F3E74"/>
    <w:rsid w:val="006F3FAC"/>
    <w:rsid w:val="006F6AFB"/>
    <w:rsid w:val="006F7734"/>
    <w:rsid w:val="0070002B"/>
    <w:rsid w:val="0070095C"/>
    <w:rsid w:val="00700D15"/>
    <w:rsid w:val="00700DB0"/>
    <w:rsid w:val="007010BE"/>
    <w:rsid w:val="0070110E"/>
    <w:rsid w:val="007015A1"/>
    <w:rsid w:val="00701F3B"/>
    <w:rsid w:val="007025BC"/>
    <w:rsid w:val="00702A2A"/>
    <w:rsid w:val="00703018"/>
    <w:rsid w:val="00703282"/>
    <w:rsid w:val="00704455"/>
    <w:rsid w:val="00704E79"/>
    <w:rsid w:val="00707ECA"/>
    <w:rsid w:val="00707ECE"/>
    <w:rsid w:val="00710222"/>
    <w:rsid w:val="0071289A"/>
    <w:rsid w:val="00712D84"/>
    <w:rsid w:val="0071314F"/>
    <w:rsid w:val="00713748"/>
    <w:rsid w:val="007137F4"/>
    <w:rsid w:val="00714061"/>
    <w:rsid w:val="00714AC8"/>
    <w:rsid w:val="00714C30"/>
    <w:rsid w:val="00715C44"/>
    <w:rsid w:val="00716149"/>
    <w:rsid w:val="00716589"/>
    <w:rsid w:val="00716CA0"/>
    <w:rsid w:val="0072034D"/>
    <w:rsid w:val="00720AB7"/>
    <w:rsid w:val="007216D6"/>
    <w:rsid w:val="0072195F"/>
    <w:rsid w:val="00721B86"/>
    <w:rsid w:val="00722552"/>
    <w:rsid w:val="00724E38"/>
    <w:rsid w:val="00725003"/>
    <w:rsid w:val="00726F5E"/>
    <w:rsid w:val="00727D33"/>
    <w:rsid w:val="00730760"/>
    <w:rsid w:val="007315A6"/>
    <w:rsid w:val="007318C0"/>
    <w:rsid w:val="007321C8"/>
    <w:rsid w:val="0073302F"/>
    <w:rsid w:val="007334A8"/>
    <w:rsid w:val="00733C29"/>
    <w:rsid w:val="00734633"/>
    <w:rsid w:val="00734886"/>
    <w:rsid w:val="00734BAD"/>
    <w:rsid w:val="00734C21"/>
    <w:rsid w:val="0073530D"/>
    <w:rsid w:val="0073583F"/>
    <w:rsid w:val="0073593C"/>
    <w:rsid w:val="007359BA"/>
    <w:rsid w:val="00735B94"/>
    <w:rsid w:val="007369AA"/>
    <w:rsid w:val="00737356"/>
    <w:rsid w:val="007376A6"/>
    <w:rsid w:val="0074049C"/>
    <w:rsid w:val="00740A38"/>
    <w:rsid w:val="00741299"/>
    <w:rsid w:val="00742622"/>
    <w:rsid w:val="00742A9F"/>
    <w:rsid w:val="00744408"/>
    <w:rsid w:val="0074495F"/>
    <w:rsid w:val="007461E2"/>
    <w:rsid w:val="0074650B"/>
    <w:rsid w:val="00746B3C"/>
    <w:rsid w:val="00746F4C"/>
    <w:rsid w:val="00746F5E"/>
    <w:rsid w:val="00747A62"/>
    <w:rsid w:val="007502AD"/>
    <w:rsid w:val="00750921"/>
    <w:rsid w:val="00750AF8"/>
    <w:rsid w:val="00751B2B"/>
    <w:rsid w:val="00751E6C"/>
    <w:rsid w:val="00751EDF"/>
    <w:rsid w:val="007531CA"/>
    <w:rsid w:val="007543BD"/>
    <w:rsid w:val="00755155"/>
    <w:rsid w:val="00755BAD"/>
    <w:rsid w:val="00757464"/>
    <w:rsid w:val="00757F15"/>
    <w:rsid w:val="00760050"/>
    <w:rsid w:val="00760635"/>
    <w:rsid w:val="00761493"/>
    <w:rsid w:val="00761527"/>
    <w:rsid w:val="00762ECB"/>
    <w:rsid w:val="007649AF"/>
    <w:rsid w:val="00764B4D"/>
    <w:rsid w:val="007652A6"/>
    <w:rsid w:val="00770D36"/>
    <w:rsid w:val="00772FAE"/>
    <w:rsid w:val="00773A7E"/>
    <w:rsid w:val="00775174"/>
    <w:rsid w:val="00775222"/>
    <w:rsid w:val="00775FBD"/>
    <w:rsid w:val="007764A7"/>
    <w:rsid w:val="00776E77"/>
    <w:rsid w:val="007778C7"/>
    <w:rsid w:val="00777D30"/>
    <w:rsid w:val="00780213"/>
    <w:rsid w:val="007803C8"/>
    <w:rsid w:val="00780E88"/>
    <w:rsid w:val="00781ABA"/>
    <w:rsid w:val="007821FE"/>
    <w:rsid w:val="00782C51"/>
    <w:rsid w:val="00782E37"/>
    <w:rsid w:val="007831CF"/>
    <w:rsid w:val="00783253"/>
    <w:rsid w:val="00783623"/>
    <w:rsid w:val="007838ED"/>
    <w:rsid w:val="00783AB1"/>
    <w:rsid w:val="0078468D"/>
    <w:rsid w:val="007851E8"/>
    <w:rsid w:val="00785713"/>
    <w:rsid w:val="0078659F"/>
    <w:rsid w:val="007868DA"/>
    <w:rsid w:val="00786C63"/>
    <w:rsid w:val="00787F6F"/>
    <w:rsid w:val="0079091B"/>
    <w:rsid w:val="007911FC"/>
    <w:rsid w:val="00791ABB"/>
    <w:rsid w:val="00791F65"/>
    <w:rsid w:val="00792DFC"/>
    <w:rsid w:val="007936E2"/>
    <w:rsid w:val="00793D3F"/>
    <w:rsid w:val="00795525"/>
    <w:rsid w:val="00796410"/>
    <w:rsid w:val="007970AB"/>
    <w:rsid w:val="00797C48"/>
    <w:rsid w:val="007A10A0"/>
    <w:rsid w:val="007A1AD1"/>
    <w:rsid w:val="007A2442"/>
    <w:rsid w:val="007A2706"/>
    <w:rsid w:val="007A2796"/>
    <w:rsid w:val="007A3AA4"/>
    <w:rsid w:val="007A4477"/>
    <w:rsid w:val="007A668F"/>
    <w:rsid w:val="007A6F68"/>
    <w:rsid w:val="007A757F"/>
    <w:rsid w:val="007B02B6"/>
    <w:rsid w:val="007B07AF"/>
    <w:rsid w:val="007B10B1"/>
    <w:rsid w:val="007B17D3"/>
    <w:rsid w:val="007B1C6D"/>
    <w:rsid w:val="007B21FE"/>
    <w:rsid w:val="007B3374"/>
    <w:rsid w:val="007B3C40"/>
    <w:rsid w:val="007B4951"/>
    <w:rsid w:val="007B4C4A"/>
    <w:rsid w:val="007B60E2"/>
    <w:rsid w:val="007B69A1"/>
    <w:rsid w:val="007B6B4B"/>
    <w:rsid w:val="007B6E8E"/>
    <w:rsid w:val="007B702E"/>
    <w:rsid w:val="007B754F"/>
    <w:rsid w:val="007C09CB"/>
    <w:rsid w:val="007C13C1"/>
    <w:rsid w:val="007C18C9"/>
    <w:rsid w:val="007C18D2"/>
    <w:rsid w:val="007C1DEB"/>
    <w:rsid w:val="007C2762"/>
    <w:rsid w:val="007C2DDB"/>
    <w:rsid w:val="007C3524"/>
    <w:rsid w:val="007C3ECE"/>
    <w:rsid w:val="007C4724"/>
    <w:rsid w:val="007C4736"/>
    <w:rsid w:val="007C473F"/>
    <w:rsid w:val="007C564D"/>
    <w:rsid w:val="007C5A1C"/>
    <w:rsid w:val="007C5D1A"/>
    <w:rsid w:val="007C6C6D"/>
    <w:rsid w:val="007C7684"/>
    <w:rsid w:val="007C7817"/>
    <w:rsid w:val="007C7DF6"/>
    <w:rsid w:val="007D023F"/>
    <w:rsid w:val="007D16CD"/>
    <w:rsid w:val="007D1CCB"/>
    <w:rsid w:val="007D244F"/>
    <w:rsid w:val="007D2B8F"/>
    <w:rsid w:val="007D4022"/>
    <w:rsid w:val="007D4CB4"/>
    <w:rsid w:val="007D57FF"/>
    <w:rsid w:val="007D5E62"/>
    <w:rsid w:val="007D62E7"/>
    <w:rsid w:val="007D63DB"/>
    <w:rsid w:val="007D6482"/>
    <w:rsid w:val="007D6B6D"/>
    <w:rsid w:val="007D6EDC"/>
    <w:rsid w:val="007D7AFF"/>
    <w:rsid w:val="007E1F43"/>
    <w:rsid w:val="007E2B48"/>
    <w:rsid w:val="007E4818"/>
    <w:rsid w:val="007E5CAE"/>
    <w:rsid w:val="007E635B"/>
    <w:rsid w:val="007E6E5E"/>
    <w:rsid w:val="007E78E6"/>
    <w:rsid w:val="007E7905"/>
    <w:rsid w:val="007E7CD8"/>
    <w:rsid w:val="007F01BD"/>
    <w:rsid w:val="007F024C"/>
    <w:rsid w:val="007F0BF9"/>
    <w:rsid w:val="007F105F"/>
    <w:rsid w:val="007F1AA0"/>
    <w:rsid w:val="007F4232"/>
    <w:rsid w:val="007F49CF"/>
    <w:rsid w:val="007F4B67"/>
    <w:rsid w:val="007F562F"/>
    <w:rsid w:val="007F6603"/>
    <w:rsid w:val="007F6BE3"/>
    <w:rsid w:val="007F6CA2"/>
    <w:rsid w:val="00800332"/>
    <w:rsid w:val="008010D9"/>
    <w:rsid w:val="008013CD"/>
    <w:rsid w:val="008046D2"/>
    <w:rsid w:val="0080477C"/>
    <w:rsid w:val="00804FBC"/>
    <w:rsid w:val="008051D2"/>
    <w:rsid w:val="00806E82"/>
    <w:rsid w:val="008074BB"/>
    <w:rsid w:val="0081063E"/>
    <w:rsid w:val="00810F3F"/>
    <w:rsid w:val="008118C4"/>
    <w:rsid w:val="00811FAA"/>
    <w:rsid w:val="0081248D"/>
    <w:rsid w:val="00812925"/>
    <w:rsid w:val="008145B3"/>
    <w:rsid w:val="00815BE3"/>
    <w:rsid w:val="00816159"/>
    <w:rsid w:val="008179F7"/>
    <w:rsid w:val="00817DB1"/>
    <w:rsid w:val="00821D86"/>
    <w:rsid w:val="00821DFE"/>
    <w:rsid w:val="00822928"/>
    <w:rsid w:val="00823123"/>
    <w:rsid w:val="008240FF"/>
    <w:rsid w:val="0082463B"/>
    <w:rsid w:val="00824C7E"/>
    <w:rsid w:val="008250D8"/>
    <w:rsid w:val="008252B2"/>
    <w:rsid w:val="008259ED"/>
    <w:rsid w:val="00825A84"/>
    <w:rsid w:val="00825D2A"/>
    <w:rsid w:val="008271E9"/>
    <w:rsid w:val="0082722F"/>
    <w:rsid w:val="008303AF"/>
    <w:rsid w:val="0083093E"/>
    <w:rsid w:val="008314CA"/>
    <w:rsid w:val="0083161B"/>
    <w:rsid w:val="0083326F"/>
    <w:rsid w:val="00833C5C"/>
    <w:rsid w:val="00833D9F"/>
    <w:rsid w:val="00833E58"/>
    <w:rsid w:val="008340B2"/>
    <w:rsid w:val="008341F6"/>
    <w:rsid w:val="00834B6F"/>
    <w:rsid w:val="00834EEF"/>
    <w:rsid w:val="00837047"/>
    <w:rsid w:val="00837402"/>
    <w:rsid w:val="00837502"/>
    <w:rsid w:val="008407E4"/>
    <w:rsid w:val="00840ACF"/>
    <w:rsid w:val="008411FC"/>
    <w:rsid w:val="00842201"/>
    <w:rsid w:val="00842B34"/>
    <w:rsid w:val="00843807"/>
    <w:rsid w:val="00843A55"/>
    <w:rsid w:val="008453EB"/>
    <w:rsid w:val="00845BE8"/>
    <w:rsid w:val="00847A23"/>
    <w:rsid w:val="00847B02"/>
    <w:rsid w:val="00850946"/>
    <w:rsid w:val="00850A21"/>
    <w:rsid w:val="008511EC"/>
    <w:rsid w:val="008513C8"/>
    <w:rsid w:val="00851AC9"/>
    <w:rsid w:val="00851C9A"/>
    <w:rsid w:val="008539D5"/>
    <w:rsid w:val="008549B1"/>
    <w:rsid w:val="00855797"/>
    <w:rsid w:val="00856A05"/>
    <w:rsid w:val="00856E1F"/>
    <w:rsid w:val="00856E81"/>
    <w:rsid w:val="00857EC0"/>
    <w:rsid w:val="008614BA"/>
    <w:rsid w:val="00863F99"/>
    <w:rsid w:val="00864479"/>
    <w:rsid w:val="0086496A"/>
    <w:rsid w:val="00864F40"/>
    <w:rsid w:val="00866935"/>
    <w:rsid w:val="00867110"/>
    <w:rsid w:val="008672EB"/>
    <w:rsid w:val="00867670"/>
    <w:rsid w:val="0087053B"/>
    <w:rsid w:val="00870CBC"/>
    <w:rsid w:val="00871506"/>
    <w:rsid w:val="008717A7"/>
    <w:rsid w:val="008720C0"/>
    <w:rsid w:val="00872854"/>
    <w:rsid w:val="00872D84"/>
    <w:rsid w:val="00872DEA"/>
    <w:rsid w:val="00873028"/>
    <w:rsid w:val="00873E33"/>
    <w:rsid w:val="00875E91"/>
    <w:rsid w:val="00875EC4"/>
    <w:rsid w:val="00875F35"/>
    <w:rsid w:val="00876606"/>
    <w:rsid w:val="00876859"/>
    <w:rsid w:val="00876AD2"/>
    <w:rsid w:val="00877079"/>
    <w:rsid w:val="008774FD"/>
    <w:rsid w:val="0087759A"/>
    <w:rsid w:val="00880426"/>
    <w:rsid w:val="008807F5"/>
    <w:rsid w:val="00880B9D"/>
    <w:rsid w:val="008814C0"/>
    <w:rsid w:val="00882109"/>
    <w:rsid w:val="00883B29"/>
    <w:rsid w:val="00883FF0"/>
    <w:rsid w:val="0088411C"/>
    <w:rsid w:val="00884223"/>
    <w:rsid w:val="00884522"/>
    <w:rsid w:val="00884CF1"/>
    <w:rsid w:val="00885357"/>
    <w:rsid w:val="00885606"/>
    <w:rsid w:val="0088589F"/>
    <w:rsid w:val="00886645"/>
    <w:rsid w:val="00886C3C"/>
    <w:rsid w:val="00886CCB"/>
    <w:rsid w:val="00887B81"/>
    <w:rsid w:val="008908BA"/>
    <w:rsid w:val="00891492"/>
    <w:rsid w:val="00891AC1"/>
    <w:rsid w:val="00892909"/>
    <w:rsid w:val="00893036"/>
    <w:rsid w:val="00893073"/>
    <w:rsid w:val="00893865"/>
    <w:rsid w:val="00893886"/>
    <w:rsid w:val="008939F6"/>
    <w:rsid w:val="00894931"/>
    <w:rsid w:val="00894B8A"/>
    <w:rsid w:val="00894CDE"/>
    <w:rsid w:val="00895349"/>
    <w:rsid w:val="008953C8"/>
    <w:rsid w:val="008957A1"/>
    <w:rsid w:val="00896672"/>
    <w:rsid w:val="00896DDF"/>
    <w:rsid w:val="00897604"/>
    <w:rsid w:val="00897FFC"/>
    <w:rsid w:val="008A02C4"/>
    <w:rsid w:val="008A03B4"/>
    <w:rsid w:val="008A040B"/>
    <w:rsid w:val="008A0630"/>
    <w:rsid w:val="008A0E3D"/>
    <w:rsid w:val="008A161C"/>
    <w:rsid w:val="008A1F4A"/>
    <w:rsid w:val="008A2985"/>
    <w:rsid w:val="008A2F9C"/>
    <w:rsid w:val="008A34C1"/>
    <w:rsid w:val="008A378B"/>
    <w:rsid w:val="008A3976"/>
    <w:rsid w:val="008A3B97"/>
    <w:rsid w:val="008A40B9"/>
    <w:rsid w:val="008A4139"/>
    <w:rsid w:val="008A42B0"/>
    <w:rsid w:val="008A4815"/>
    <w:rsid w:val="008A48CE"/>
    <w:rsid w:val="008A4A15"/>
    <w:rsid w:val="008A4D00"/>
    <w:rsid w:val="008A5575"/>
    <w:rsid w:val="008A58BE"/>
    <w:rsid w:val="008A712D"/>
    <w:rsid w:val="008A7487"/>
    <w:rsid w:val="008B0324"/>
    <w:rsid w:val="008B03DC"/>
    <w:rsid w:val="008B1041"/>
    <w:rsid w:val="008B1608"/>
    <w:rsid w:val="008B17C4"/>
    <w:rsid w:val="008B1D64"/>
    <w:rsid w:val="008B21AD"/>
    <w:rsid w:val="008B24E1"/>
    <w:rsid w:val="008B2A16"/>
    <w:rsid w:val="008B35F5"/>
    <w:rsid w:val="008B44FE"/>
    <w:rsid w:val="008B5221"/>
    <w:rsid w:val="008B5788"/>
    <w:rsid w:val="008B5911"/>
    <w:rsid w:val="008B5B72"/>
    <w:rsid w:val="008B663B"/>
    <w:rsid w:val="008B79E3"/>
    <w:rsid w:val="008B7EC3"/>
    <w:rsid w:val="008B7FA6"/>
    <w:rsid w:val="008C0FF1"/>
    <w:rsid w:val="008C2660"/>
    <w:rsid w:val="008C36DA"/>
    <w:rsid w:val="008C41F7"/>
    <w:rsid w:val="008D040D"/>
    <w:rsid w:val="008D0433"/>
    <w:rsid w:val="008D0931"/>
    <w:rsid w:val="008D1DA7"/>
    <w:rsid w:val="008D2A2B"/>
    <w:rsid w:val="008D56E0"/>
    <w:rsid w:val="008D626A"/>
    <w:rsid w:val="008D6C6C"/>
    <w:rsid w:val="008D7668"/>
    <w:rsid w:val="008D7A9A"/>
    <w:rsid w:val="008E07EA"/>
    <w:rsid w:val="008E0E12"/>
    <w:rsid w:val="008E0E6E"/>
    <w:rsid w:val="008E16BA"/>
    <w:rsid w:val="008E1739"/>
    <w:rsid w:val="008E18B5"/>
    <w:rsid w:val="008E1A04"/>
    <w:rsid w:val="008E1BD7"/>
    <w:rsid w:val="008E2268"/>
    <w:rsid w:val="008E2460"/>
    <w:rsid w:val="008E3C86"/>
    <w:rsid w:val="008E498C"/>
    <w:rsid w:val="008E5A97"/>
    <w:rsid w:val="008E65A1"/>
    <w:rsid w:val="008E6EED"/>
    <w:rsid w:val="008F040D"/>
    <w:rsid w:val="008F0F22"/>
    <w:rsid w:val="008F0F7D"/>
    <w:rsid w:val="008F1990"/>
    <w:rsid w:val="008F228D"/>
    <w:rsid w:val="008F2348"/>
    <w:rsid w:val="008F32A3"/>
    <w:rsid w:val="008F50BE"/>
    <w:rsid w:val="008F535F"/>
    <w:rsid w:val="008F673A"/>
    <w:rsid w:val="008F7694"/>
    <w:rsid w:val="008F76F9"/>
    <w:rsid w:val="0090011F"/>
    <w:rsid w:val="00900BD2"/>
    <w:rsid w:val="00900D5C"/>
    <w:rsid w:val="00901656"/>
    <w:rsid w:val="009017A7"/>
    <w:rsid w:val="00902535"/>
    <w:rsid w:val="00903CB3"/>
    <w:rsid w:val="0090430E"/>
    <w:rsid w:val="009050B4"/>
    <w:rsid w:val="0090531E"/>
    <w:rsid w:val="009057A6"/>
    <w:rsid w:val="00906886"/>
    <w:rsid w:val="0090695E"/>
    <w:rsid w:val="00906EF3"/>
    <w:rsid w:val="00907AF5"/>
    <w:rsid w:val="00910200"/>
    <w:rsid w:val="009103B4"/>
    <w:rsid w:val="009106C1"/>
    <w:rsid w:val="00910E28"/>
    <w:rsid w:val="0091189C"/>
    <w:rsid w:val="00912CB9"/>
    <w:rsid w:val="00912EE5"/>
    <w:rsid w:val="00913163"/>
    <w:rsid w:val="0091330D"/>
    <w:rsid w:val="00913595"/>
    <w:rsid w:val="00913D41"/>
    <w:rsid w:val="00914009"/>
    <w:rsid w:val="0091466E"/>
    <w:rsid w:val="00914AFB"/>
    <w:rsid w:val="00914C9B"/>
    <w:rsid w:val="00915AD3"/>
    <w:rsid w:val="00916014"/>
    <w:rsid w:val="009167F9"/>
    <w:rsid w:val="00916FC6"/>
    <w:rsid w:val="00921E9E"/>
    <w:rsid w:val="00922361"/>
    <w:rsid w:val="009227E1"/>
    <w:rsid w:val="00923B86"/>
    <w:rsid w:val="009253AD"/>
    <w:rsid w:val="009269C6"/>
    <w:rsid w:val="009272B4"/>
    <w:rsid w:val="00927F0E"/>
    <w:rsid w:val="00930879"/>
    <w:rsid w:val="00930BF4"/>
    <w:rsid w:val="009310E0"/>
    <w:rsid w:val="00931DBC"/>
    <w:rsid w:val="0093230B"/>
    <w:rsid w:val="0093284D"/>
    <w:rsid w:val="00932B3E"/>
    <w:rsid w:val="00932B8A"/>
    <w:rsid w:val="00932D26"/>
    <w:rsid w:val="00932E25"/>
    <w:rsid w:val="00932EB5"/>
    <w:rsid w:val="009335A4"/>
    <w:rsid w:val="009338E0"/>
    <w:rsid w:val="00934D13"/>
    <w:rsid w:val="0093555C"/>
    <w:rsid w:val="00935BDD"/>
    <w:rsid w:val="00936125"/>
    <w:rsid w:val="00936DF5"/>
    <w:rsid w:val="00937130"/>
    <w:rsid w:val="009374AB"/>
    <w:rsid w:val="00941F1F"/>
    <w:rsid w:val="009423A9"/>
    <w:rsid w:val="009449A7"/>
    <w:rsid w:val="00944B65"/>
    <w:rsid w:val="0094656C"/>
    <w:rsid w:val="00946623"/>
    <w:rsid w:val="00946A0B"/>
    <w:rsid w:val="00946DD6"/>
    <w:rsid w:val="00947AAA"/>
    <w:rsid w:val="00950093"/>
    <w:rsid w:val="0095098C"/>
    <w:rsid w:val="00950C74"/>
    <w:rsid w:val="00951757"/>
    <w:rsid w:val="009525B6"/>
    <w:rsid w:val="0095356E"/>
    <w:rsid w:val="00954A57"/>
    <w:rsid w:val="00955296"/>
    <w:rsid w:val="009556E2"/>
    <w:rsid w:val="00956CF4"/>
    <w:rsid w:val="00957132"/>
    <w:rsid w:val="00957D0A"/>
    <w:rsid w:val="0096049C"/>
    <w:rsid w:val="00961BE2"/>
    <w:rsid w:val="00961D41"/>
    <w:rsid w:val="00962A1F"/>
    <w:rsid w:val="00962B48"/>
    <w:rsid w:val="00962EC0"/>
    <w:rsid w:val="00963261"/>
    <w:rsid w:val="00963AB1"/>
    <w:rsid w:val="00963F41"/>
    <w:rsid w:val="00964558"/>
    <w:rsid w:val="00964786"/>
    <w:rsid w:val="00966472"/>
    <w:rsid w:val="009667B6"/>
    <w:rsid w:val="00967570"/>
    <w:rsid w:val="00967C2A"/>
    <w:rsid w:val="009712D5"/>
    <w:rsid w:val="00971D64"/>
    <w:rsid w:val="00973C3B"/>
    <w:rsid w:val="00974048"/>
    <w:rsid w:val="00975593"/>
    <w:rsid w:val="00976315"/>
    <w:rsid w:val="00977529"/>
    <w:rsid w:val="009778EF"/>
    <w:rsid w:val="00977BC0"/>
    <w:rsid w:val="009801CC"/>
    <w:rsid w:val="009807FE"/>
    <w:rsid w:val="00981FA3"/>
    <w:rsid w:val="00983734"/>
    <w:rsid w:val="00984E8A"/>
    <w:rsid w:val="0098525F"/>
    <w:rsid w:val="0098541B"/>
    <w:rsid w:val="00985B61"/>
    <w:rsid w:val="0098691B"/>
    <w:rsid w:val="00986FCC"/>
    <w:rsid w:val="00987129"/>
    <w:rsid w:val="00987216"/>
    <w:rsid w:val="0098727C"/>
    <w:rsid w:val="00990AB7"/>
    <w:rsid w:val="00991DB5"/>
    <w:rsid w:val="00992158"/>
    <w:rsid w:val="009922BE"/>
    <w:rsid w:val="00992EA6"/>
    <w:rsid w:val="009938DE"/>
    <w:rsid w:val="0099448D"/>
    <w:rsid w:val="00994638"/>
    <w:rsid w:val="00995036"/>
    <w:rsid w:val="009956C6"/>
    <w:rsid w:val="00995A53"/>
    <w:rsid w:val="00995B8C"/>
    <w:rsid w:val="00996198"/>
    <w:rsid w:val="009963A2"/>
    <w:rsid w:val="009965BE"/>
    <w:rsid w:val="00996BEA"/>
    <w:rsid w:val="009A053B"/>
    <w:rsid w:val="009A07E0"/>
    <w:rsid w:val="009A0C6D"/>
    <w:rsid w:val="009A0ECE"/>
    <w:rsid w:val="009A0F17"/>
    <w:rsid w:val="009A1004"/>
    <w:rsid w:val="009A13B4"/>
    <w:rsid w:val="009A15FE"/>
    <w:rsid w:val="009A18A6"/>
    <w:rsid w:val="009A25D1"/>
    <w:rsid w:val="009A2F1F"/>
    <w:rsid w:val="009A4168"/>
    <w:rsid w:val="009A41FF"/>
    <w:rsid w:val="009A5829"/>
    <w:rsid w:val="009A6E7F"/>
    <w:rsid w:val="009A7A35"/>
    <w:rsid w:val="009A7DEA"/>
    <w:rsid w:val="009A7FDF"/>
    <w:rsid w:val="009B02ED"/>
    <w:rsid w:val="009B16EF"/>
    <w:rsid w:val="009B25E9"/>
    <w:rsid w:val="009B2EE8"/>
    <w:rsid w:val="009B310E"/>
    <w:rsid w:val="009B3389"/>
    <w:rsid w:val="009B518C"/>
    <w:rsid w:val="009B561C"/>
    <w:rsid w:val="009B5C5D"/>
    <w:rsid w:val="009B6D57"/>
    <w:rsid w:val="009B7E8C"/>
    <w:rsid w:val="009C0EAD"/>
    <w:rsid w:val="009C1869"/>
    <w:rsid w:val="009C1F7B"/>
    <w:rsid w:val="009C23EC"/>
    <w:rsid w:val="009C48A6"/>
    <w:rsid w:val="009C5748"/>
    <w:rsid w:val="009C5FE8"/>
    <w:rsid w:val="009C79AA"/>
    <w:rsid w:val="009C7D05"/>
    <w:rsid w:val="009D0297"/>
    <w:rsid w:val="009D0B34"/>
    <w:rsid w:val="009D1721"/>
    <w:rsid w:val="009D2963"/>
    <w:rsid w:val="009D2A44"/>
    <w:rsid w:val="009D2D2A"/>
    <w:rsid w:val="009D3C0C"/>
    <w:rsid w:val="009D3E1B"/>
    <w:rsid w:val="009D3F10"/>
    <w:rsid w:val="009D3F23"/>
    <w:rsid w:val="009D411F"/>
    <w:rsid w:val="009D4137"/>
    <w:rsid w:val="009D5038"/>
    <w:rsid w:val="009D52CE"/>
    <w:rsid w:val="009D57DE"/>
    <w:rsid w:val="009D603D"/>
    <w:rsid w:val="009D699E"/>
    <w:rsid w:val="009D71F2"/>
    <w:rsid w:val="009D7A91"/>
    <w:rsid w:val="009E0AB8"/>
    <w:rsid w:val="009E280E"/>
    <w:rsid w:val="009E28AE"/>
    <w:rsid w:val="009E298C"/>
    <w:rsid w:val="009E29A9"/>
    <w:rsid w:val="009E3EDB"/>
    <w:rsid w:val="009E4FEA"/>
    <w:rsid w:val="009E5577"/>
    <w:rsid w:val="009E5A36"/>
    <w:rsid w:val="009E65F6"/>
    <w:rsid w:val="009E6C30"/>
    <w:rsid w:val="009F064B"/>
    <w:rsid w:val="009F0CCB"/>
    <w:rsid w:val="009F160A"/>
    <w:rsid w:val="009F1FFD"/>
    <w:rsid w:val="009F3031"/>
    <w:rsid w:val="009F3645"/>
    <w:rsid w:val="009F44E6"/>
    <w:rsid w:val="009F4A6B"/>
    <w:rsid w:val="009F5162"/>
    <w:rsid w:val="009F52DE"/>
    <w:rsid w:val="009F722E"/>
    <w:rsid w:val="00A00C62"/>
    <w:rsid w:val="00A011B5"/>
    <w:rsid w:val="00A018E4"/>
    <w:rsid w:val="00A02327"/>
    <w:rsid w:val="00A02E3F"/>
    <w:rsid w:val="00A03076"/>
    <w:rsid w:val="00A0328F"/>
    <w:rsid w:val="00A03E1B"/>
    <w:rsid w:val="00A055B5"/>
    <w:rsid w:val="00A0564C"/>
    <w:rsid w:val="00A057AA"/>
    <w:rsid w:val="00A05979"/>
    <w:rsid w:val="00A06572"/>
    <w:rsid w:val="00A07504"/>
    <w:rsid w:val="00A07C11"/>
    <w:rsid w:val="00A10379"/>
    <w:rsid w:val="00A10F27"/>
    <w:rsid w:val="00A13D50"/>
    <w:rsid w:val="00A14022"/>
    <w:rsid w:val="00A145AD"/>
    <w:rsid w:val="00A15534"/>
    <w:rsid w:val="00A15B58"/>
    <w:rsid w:val="00A169A1"/>
    <w:rsid w:val="00A16A43"/>
    <w:rsid w:val="00A16E2E"/>
    <w:rsid w:val="00A1727B"/>
    <w:rsid w:val="00A173BF"/>
    <w:rsid w:val="00A175CC"/>
    <w:rsid w:val="00A17EFE"/>
    <w:rsid w:val="00A20C80"/>
    <w:rsid w:val="00A20E93"/>
    <w:rsid w:val="00A20F9E"/>
    <w:rsid w:val="00A21442"/>
    <w:rsid w:val="00A21A5B"/>
    <w:rsid w:val="00A22325"/>
    <w:rsid w:val="00A230EB"/>
    <w:rsid w:val="00A23823"/>
    <w:rsid w:val="00A249BE"/>
    <w:rsid w:val="00A24EB5"/>
    <w:rsid w:val="00A26012"/>
    <w:rsid w:val="00A261CC"/>
    <w:rsid w:val="00A26248"/>
    <w:rsid w:val="00A26430"/>
    <w:rsid w:val="00A27CB3"/>
    <w:rsid w:val="00A30AAF"/>
    <w:rsid w:val="00A3196C"/>
    <w:rsid w:val="00A336F4"/>
    <w:rsid w:val="00A33872"/>
    <w:rsid w:val="00A34115"/>
    <w:rsid w:val="00A34FA2"/>
    <w:rsid w:val="00A35AA9"/>
    <w:rsid w:val="00A35F08"/>
    <w:rsid w:val="00A371F0"/>
    <w:rsid w:val="00A37868"/>
    <w:rsid w:val="00A37FCF"/>
    <w:rsid w:val="00A40B2B"/>
    <w:rsid w:val="00A40F29"/>
    <w:rsid w:val="00A416D8"/>
    <w:rsid w:val="00A4194C"/>
    <w:rsid w:val="00A4215B"/>
    <w:rsid w:val="00A42F4A"/>
    <w:rsid w:val="00A434FE"/>
    <w:rsid w:val="00A43624"/>
    <w:rsid w:val="00A43CE7"/>
    <w:rsid w:val="00A441E8"/>
    <w:rsid w:val="00A4443E"/>
    <w:rsid w:val="00A444E3"/>
    <w:rsid w:val="00A44888"/>
    <w:rsid w:val="00A4526F"/>
    <w:rsid w:val="00A45AC0"/>
    <w:rsid w:val="00A475CE"/>
    <w:rsid w:val="00A5059E"/>
    <w:rsid w:val="00A5078C"/>
    <w:rsid w:val="00A50C12"/>
    <w:rsid w:val="00A51152"/>
    <w:rsid w:val="00A52070"/>
    <w:rsid w:val="00A535BA"/>
    <w:rsid w:val="00A540D1"/>
    <w:rsid w:val="00A544E6"/>
    <w:rsid w:val="00A547E1"/>
    <w:rsid w:val="00A54AAD"/>
    <w:rsid w:val="00A550DF"/>
    <w:rsid w:val="00A55D94"/>
    <w:rsid w:val="00A56409"/>
    <w:rsid w:val="00A56480"/>
    <w:rsid w:val="00A614E4"/>
    <w:rsid w:val="00A6316C"/>
    <w:rsid w:val="00A6333A"/>
    <w:rsid w:val="00A6376E"/>
    <w:rsid w:val="00A63982"/>
    <w:rsid w:val="00A640DA"/>
    <w:rsid w:val="00A64D00"/>
    <w:rsid w:val="00A65AA4"/>
    <w:rsid w:val="00A66B75"/>
    <w:rsid w:val="00A67A64"/>
    <w:rsid w:val="00A70554"/>
    <w:rsid w:val="00A70EAD"/>
    <w:rsid w:val="00A71A86"/>
    <w:rsid w:val="00A71E57"/>
    <w:rsid w:val="00A71E73"/>
    <w:rsid w:val="00A72D65"/>
    <w:rsid w:val="00A73A1D"/>
    <w:rsid w:val="00A74FD0"/>
    <w:rsid w:val="00A76134"/>
    <w:rsid w:val="00A7624D"/>
    <w:rsid w:val="00A763B0"/>
    <w:rsid w:val="00A76B09"/>
    <w:rsid w:val="00A76B9B"/>
    <w:rsid w:val="00A77F31"/>
    <w:rsid w:val="00A8082D"/>
    <w:rsid w:val="00A80E3D"/>
    <w:rsid w:val="00A80FD8"/>
    <w:rsid w:val="00A81332"/>
    <w:rsid w:val="00A82080"/>
    <w:rsid w:val="00A823ED"/>
    <w:rsid w:val="00A828B7"/>
    <w:rsid w:val="00A83B57"/>
    <w:rsid w:val="00A83CD2"/>
    <w:rsid w:val="00A84030"/>
    <w:rsid w:val="00A84117"/>
    <w:rsid w:val="00A84E50"/>
    <w:rsid w:val="00A8588B"/>
    <w:rsid w:val="00A867C9"/>
    <w:rsid w:val="00A8686F"/>
    <w:rsid w:val="00A86C84"/>
    <w:rsid w:val="00A87D55"/>
    <w:rsid w:val="00A91467"/>
    <w:rsid w:val="00A91CC2"/>
    <w:rsid w:val="00A922D1"/>
    <w:rsid w:val="00A9243E"/>
    <w:rsid w:val="00A93BF1"/>
    <w:rsid w:val="00A94C3F"/>
    <w:rsid w:val="00A964F0"/>
    <w:rsid w:val="00A96844"/>
    <w:rsid w:val="00AA040E"/>
    <w:rsid w:val="00AA1243"/>
    <w:rsid w:val="00AA1429"/>
    <w:rsid w:val="00AA1DDA"/>
    <w:rsid w:val="00AA3249"/>
    <w:rsid w:val="00AA387F"/>
    <w:rsid w:val="00AA38A5"/>
    <w:rsid w:val="00AA39D8"/>
    <w:rsid w:val="00AA3B97"/>
    <w:rsid w:val="00AA46FF"/>
    <w:rsid w:val="00AA66A4"/>
    <w:rsid w:val="00AA764D"/>
    <w:rsid w:val="00AB190C"/>
    <w:rsid w:val="00AB2AAF"/>
    <w:rsid w:val="00AB3A65"/>
    <w:rsid w:val="00AB3EBF"/>
    <w:rsid w:val="00AB4732"/>
    <w:rsid w:val="00AB4B74"/>
    <w:rsid w:val="00AB5FB1"/>
    <w:rsid w:val="00AB65BB"/>
    <w:rsid w:val="00AB6E89"/>
    <w:rsid w:val="00AC0853"/>
    <w:rsid w:val="00AC0951"/>
    <w:rsid w:val="00AC0C44"/>
    <w:rsid w:val="00AC23AB"/>
    <w:rsid w:val="00AC2699"/>
    <w:rsid w:val="00AC2FC3"/>
    <w:rsid w:val="00AC50C7"/>
    <w:rsid w:val="00AC532E"/>
    <w:rsid w:val="00AC5DC4"/>
    <w:rsid w:val="00AC5FA0"/>
    <w:rsid w:val="00AC6DB5"/>
    <w:rsid w:val="00AD112B"/>
    <w:rsid w:val="00AD1265"/>
    <w:rsid w:val="00AD1680"/>
    <w:rsid w:val="00AD3FFA"/>
    <w:rsid w:val="00AD5C3D"/>
    <w:rsid w:val="00AD5F7C"/>
    <w:rsid w:val="00AD7F54"/>
    <w:rsid w:val="00AE02C8"/>
    <w:rsid w:val="00AE06BB"/>
    <w:rsid w:val="00AE0BEF"/>
    <w:rsid w:val="00AE17F7"/>
    <w:rsid w:val="00AE2E8E"/>
    <w:rsid w:val="00AE4543"/>
    <w:rsid w:val="00AE47AD"/>
    <w:rsid w:val="00AE48BA"/>
    <w:rsid w:val="00AE4C7F"/>
    <w:rsid w:val="00AE5092"/>
    <w:rsid w:val="00AE63A8"/>
    <w:rsid w:val="00AE64A4"/>
    <w:rsid w:val="00AE7934"/>
    <w:rsid w:val="00AE7962"/>
    <w:rsid w:val="00AE7CCE"/>
    <w:rsid w:val="00AE7D24"/>
    <w:rsid w:val="00AF0430"/>
    <w:rsid w:val="00AF052F"/>
    <w:rsid w:val="00AF06A8"/>
    <w:rsid w:val="00AF127E"/>
    <w:rsid w:val="00AF16E8"/>
    <w:rsid w:val="00AF20FE"/>
    <w:rsid w:val="00AF2243"/>
    <w:rsid w:val="00AF3037"/>
    <w:rsid w:val="00AF3536"/>
    <w:rsid w:val="00AF3ADA"/>
    <w:rsid w:val="00AF4417"/>
    <w:rsid w:val="00AF478B"/>
    <w:rsid w:val="00AF4922"/>
    <w:rsid w:val="00AF56EF"/>
    <w:rsid w:val="00AF5D1F"/>
    <w:rsid w:val="00AF6D05"/>
    <w:rsid w:val="00AF6D4E"/>
    <w:rsid w:val="00AF7636"/>
    <w:rsid w:val="00B000AF"/>
    <w:rsid w:val="00B004E0"/>
    <w:rsid w:val="00B00E47"/>
    <w:rsid w:val="00B014E7"/>
    <w:rsid w:val="00B02D0E"/>
    <w:rsid w:val="00B02D1A"/>
    <w:rsid w:val="00B039B2"/>
    <w:rsid w:val="00B04AF1"/>
    <w:rsid w:val="00B057FA"/>
    <w:rsid w:val="00B059CD"/>
    <w:rsid w:val="00B05F03"/>
    <w:rsid w:val="00B06789"/>
    <w:rsid w:val="00B06968"/>
    <w:rsid w:val="00B1012D"/>
    <w:rsid w:val="00B11A8C"/>
    <w:rsid w:val="00B11CB9"/>
    <w:rsid w:val="00B13016"/>
    <w:rsid w:val="00B13347"/>
    <w:rsid w:val="00B13D17"/>
    <w:rsid w:val="00B1419C"/>
    <w:rsid w:val="00B14AA9"/>
    <w:rsid w:val="00B15820"/>
    <w:rsid w:val="00B15856"/>
    <w:rsid w:val="00B173DF"/>
    <w:rsid w:val="00B176FA"/>
    <w:rsid w:val="00B20FCD"/>
    <w:rsid w:val="00B21C12"/>
    <w:rsid w:val="00B22442"/>
    <w:rsid w:val="00B230B9"/>
    <w:rsid w:val="00B23328"/>
    <w:rsid w:val="00B246FA"/>
    <w:rsid w:val="00B25457"/>
    <w:rsid w:val="00B25D98"/>
    <w:rsid w:val="00B261F0"/>
    <w:rsid w:val="00B26810"/>
    <w:rsid w:val="00B26CCF"/>
    <w:rsid w:val="00B274D0"/>
    <w:rsid w:val="00B30219"/>
    <w:rsid w:val="00B3042C"/>
    <w:rsid w:val="00B31040"/>
    <w:rsid w:val="00B310B3"/>
    <w:rsid w:val="00B31BFF"/>
    <w:rsid w:val="00B31C90"/>
    <w:rsid w:val="00B31FBE"/>
    <w:rsid w:val="00B3389B"/>
    <w:rsid w:val="00B33EA1"/>
    <w:rsid w:val="00B3450E"/>
    <w:rsid w:val="00B34ABC"/>
    <w:rsid w:val="00B35438"/>
    <w:rsid w:val="00B36214"/>
    <w:rsid w:val="00B36D19"/>
    <w:rsid w:val="00B37129"/>
    <w:rsid w:val="00B37435"/>
    <w:rsid w:val="00B3750A"/>
    <w:rsid w:val="00B41220"/>
    <w:rsid w:val="00B41AA0"/>
    <w:rsid w:val="00B42254"/>
    <w:rsid w:val="00B4270B"/>
    <w:rsid w:val="00B42CC5"/>
    <w:rsid w:val="00B42EE8"/>
    <w:rsid w:val="00B43F88"/>
    <w:rsid w:val="00B4415D"/>
    <w:rsid w:val="00B449F5"/>
    <w:rsid w:val="00B44F56"/>
    <w:rsid w:val="00B46812"/>
    <w:rsid w:val="00B46E55"/>
    <w:rsid w:val="00B47011"/>
    <w:rsid w:val="00B47CAB"/>
    <w:rsid w:val="00B500A8"/>
    <w:rsid w:val="00B50456"/>
    <w:rsid w:val="00B50CB3"/>
    <w:rsid w:val="00B50F23"/>
    <w:rsid w:val="00B51117"/>
    <w:rsid w:val="00B516B4"/>
    <w:rsid w:val="00B51A9D"/>
    <w:rsid w:val="00B51B26"/>
    <w:rsid w:val="00B520B1"/>
    <w:rsid w:val="00B53C1E"/>
    <w:rsid w:val="00B53DD7"/>
    <w:rsid w:val="00B54061"/>
    <w:rsid w:val="00B5473F"/>
    <w:rsid w:val="00B54DAD"/>
    <w:rsid w:val="00B56185"/>
    <w:rsid w:val="00B561CC"/>
    <w:rsid w:val="00B5658E"/>
    <w:rsid w:val="00B57201"/>
    <w:rsid w:val="00B57651"/>
    <w:rsid w:val="00B578A2"/>
    <w:rsid w:val="00B57C0B"/>
    <w:rsid w:val="00B61602"/>
    <w:rsid w:val="00B61647"/>
    <w:rsid w:val="00B62E62"/>
    <w:rsid w:val="00B63A2D"/>
    <w:rsid w:val="00B63FDF"/>
    <w:rsid w:val="00B677B8"/>
    <w:rsid w:val="00B67895"/>
    <w:rsid w:val="00B67A8F"/>
    <w:rsid w:val="00B67F43"/>
    <w:rsid w:val="00B7035B"/>
    <w:rsid w:val="00B72C05"/>
    <w:rsid w:val="00B73CB4"/>
    <w:rsid w:val="00B75861"/>
    <w:rsid w:val="00B75907"/>
    <w:rsid w:val="00B75E50"/>
    <w:rsid w:val="00B765D3"/>
    <w:rsid w:val="00B76C3A"/>
    <w:rsid w:val="00B76C60"/>
    <w:rsid w:val="00B76DEC"/>
    <w:rsid w:val="00B77212"/>
    <w:rsid w:val="00B778C7"/>
    <w:rsid w:val="00B77FE7"/>
    <w:rsid w:val="00B80166"/>
    <w:rsid w:val="00B80FD3"/>
    <w:rsid w:val="00B810DD"/>
    <w:rsid w:val="00B8141C"/>
    <w:rsid w:val="00B82B4B"/>
    <w:rsid w:val="00B831CC"/>
    <w:rsid w:val="00B83F09"/>
    <w:rsid w:val="00B845B8"/>
    <w:rsid w:val="00B84FC3"/>
    <w:rsid w:val="00B856BB"/>
    <w:rsid w:val="00B873CD"/>
    <w:rsid w:val="00B87F60"/>
    <w:rsid w:val="00B87F7E"/>
    <w:rsid w:val="00B90065"/>
    <w:rsid w:val="00B90867"/>
    <w:rsid w:val="00B922AC"/>
    <w:rsid w:val="00B924BE"/>
    <w:rsid w:val="00B9380D"/>
    <w:rsid w:val="00B93B53"/>
    <w:rsid w:val="00B94E24"/>
    <w:rsid w:val="00B94E28"/>
    <w:rsid w:val="00B95433"/>
    <w:rsid w:val="00B9628F"/>
    <w:rsid w:val="00B96AB7"/>
    <w:rsid w:val="00B97692"/>
    <w:rsid w:val="00B977C1"/>
    <w:rsid w:val="00B97BEE"/>
    <w:rsid w:val="00BA043F"/>
    <w:rsid w:val="00BA14B6"/>
    <w:rsid w:val="00BA161E"/>
    <w:rsid w:val="00BA16DF"/>
    <w:rsid w:val="00BA2B66"/>
    <w:rsid w:val="00BA408E"/>
    <w:rsid w:val="00BA49C7"/>
    <w:rsid w:val="00BA4A97"/>
    <w:rsid w:val="00BA6AA5"/>
    <w:rsid w:val="00BA73F5"/>
    <w:rsid w:val="00BB09A2"/>
    <w:rsid w:val="00BB0FE6"/>
    <w:rsid w:val="00BB1516"/>
    <w:rsid w:val="00BB1EB6"/>
    <w:rsid w:val="00BB216C"/>
    <w:rsid w:val="00BB28EA"/>
    <w:rsid w:val="00BB3C71"/>
    <w:rsid w:val="00BB3D47"/>
    <w:rsid w:val="00BB428A"/>
    <w:rsid w:val="00BB44F0"/>
    <w:rsid w:val="00BB4530"/>
    <w:rsid w:val="00BB4786"/>
    <w:rsid w:val="00BB521D"/>
    <w:rsid w:val="00BB5B9D"/>
    <w:rsid w:val="00BB63F8"/>
    <w:rsid w:val="00BB73C2"/>
    <w:rsid w:val="00BB77D4"/>
    <w:rsid w:val="00BC020D"/>
    <w:rsid w:val="00BC1251"/>
    <w:rsid w:val="00BC2FA7"/>
    <w:rsid w:val="00BC3277"/>
    <w:rsid w:val="00BC3AE7"/>
    <w:rsid w:val="00BC4173"/>
    <w:rsid w:val="00BC5590"/>
    <w:rsid w:val="00BC5A2E"/>
    <w:rsid w:val="00BC5E8B"/>
    <w:rsid w:val="00BC6406"/>
    <w:rsid w:val="00BC6FF2"/>
    <w:rsid w:val="00BC748D"/>
    <w:rsid w:val="00BC75DE"/>
    <w:rsid w:val="00BC79B3"/>
    <w:rsid w:val="00BD1A96"/>
    <w:rsid w:val="00BD1F9A"/>
    <w:rsid w:val="00BD235E"/>
    <w:rsid w:val="00BD245B"/>
    <w:rsid w:val="00BD29D1"/>
    <w:rsid w:val="00BD2D4C"/>
    <w:rsid w:val="00BD3FD6"/>
    <w:rsid w:val="00BD49E8"/>
    <w:rsid w:val="00BD4D85"/>
    <w:rsid w:val="00BD5871"/>
    <w:rsid w:val="00BD65C8"/>
    <w:rsid w:val="00BD6FAB"/>
    <w:rsid w:val="00BD7327"/>
    <w:rsid w:val="00BE199A"/>
    <w:rsid w:val="00BE1B37"/>
    <w:rsid w:val="00BE1DDD"/>
    <w:rsid w:val="00BE2059"/>
    <w:rsid w:val="00BE2361"/>
    <w:rsid w:val="00BE2686"/>
    <w:rsid w:val="00BE3844"/>
    <w:rsid w:val="00BE455B"/>
    <w:rsid w:val="00BE4B96"/>
    <w:rsid w:val="00BE5570"/>
    <w:rsid w:val="00BE590F"/>
    <w:rsid w:val="00BE6A5B"/>
    <w:rsid w:val="00BE6E82"/>
    <w:rsid w:val="00BE778E"/>
    <w:rsid w:val="00BF027B"/>
    <w:rsid w:val="00BF04BC"/>
    <w:rsid w:val="00BF084F"/>
    <w:rsid w:val="00BF0A9D"/>
    <w:rsid w:val="00BF113C"/>
    <w:rsid w:val="00BF193F"/>
    <w:rsid w:val="00BF1E4B"/>
    <w:rsid w:val="00BF2113"/>
    <w:rsid w:val="00BF26C9"/>
    <w:rsid w:val="00BF37CC"/>
    <w:rsid w:val="00BF3B02"/>
    <w:rsid w:val="00BF3F66"/>
    <w:rsid w:val="00BF4ACB"/>
    <w:rsid w:val="00BF54E9"/>
    <w:rsid w:val="00BF58AB"/>
    <w:rsid w:val="00BF5D38"/>
    <w:rsid w:val="00BF7BB1"/>
    <w:rsid w:val="00BF7C3A"/>
    <w:rsid w:val="00C00E35"/>
    <w:rsid w:val="00C0121C"/>
    <w:rsid w:val="00C04E77"/>
    <w:rsid w:val="00C05D1E"/>
    <w:rsid w:val="00C062F6"/>
    <w:rsid w:val="00C0676C"/>
    <w:rsid w:val="00C07221"/>
    <w:rsid w:val="00C074F8"/>
    <w:rsid w:val="00C07C26"/>
    <w:rsid w:val="00C10015"/>
    <w:rsid w:val="00C12862"/>
    <w:rsid w:val="00C133B3"/>
    <w:rsid w:val="00C1376C"/>
    <w:rsid w:val="00C13945"/>
    <w:rsid w:val="00C1431D"/>
    <w:rsid w:val="00C14D3E"/>
    <w:rsid w:val="00C14FCC"/>
    <w:rsid w:val="00C15536"/>
    <w:rsid w:val="00C15D4A"/>
    <w:rsid w:val="00C16245"/>
    <w:rsid w:val="00C17AA2"/>
    <w:rsid w:val="00C200C5"/>
    <w:rsid w:val="00C2019D"/>
    <w:rsid w:val="00C208F9"/>
    <w:rsid w:val="00C20B6C"/>
    <w:rsid w:val="00C2129D"/>
    <w:rsid w:val="00C2183B"/>
    <w:rsid w:val="00C219A4"/>
    <w:rsid w:val="00C21CE6"/>
    <w:rsid w:val="00C21F00"/>
    <w:rsid w:val="00C2219B"/>
    <w:rsid w:val="00C22299"/>
    <w:rsid w:val="00C222C9"/>
    <w:rsid w:val="00C23367"/>
    <w:rsid w:val="00C23664"/>
    <w:rsid w:val="00C23990"/>
    <w:rsid w:val="00C23FE7"/>
    <w:rsid w:val="00C240DC"/>
    <w:rsid w:val="00C24849"/>
    <w:rsid w:val="00C2490F"/>
    <w:rsid w:val="00C252B8"/>
    <w:rsid w:val="00C254FC"/>
    <w:rsid w:val="00C26F46"/>
    <w:rsid w:val="00C27958"/>
    <w:rsid w:val="00C27F0E"/>
    <w:rsid w:val="00C306AB"/>
    <w:rsid w:val="00C30BD6"/>
    <w:rsid w:val="00C31C92"/>
    <w:rsid w:val="00C329B8"/>
    <w:rsid w:val="00C32A5C"/>
    <w:rsid w:val="00C35469"/>
    <w:rsid w:val="00C360C3"/>
    <w:rsid w:val="00C365E8"/>
    <w:rsid w:val="00C37DCE"/>
    <w:rsid w:val="00C401A6"/>
    <w:rsid w:val="00C4054A"/>
    <w:rsid w:val="00C40DB0"/>
    <w:rsid w:val="00C41204"/>
    <w:rsid w:val="00C41A2E"/>
    <w:rsid w:val="00C420C0"/>
    <w:rsid w:val="00C42915"/>
    <w:rsid w:val="00C44DFA"/>
    <w:rsid w:val="00C453AB"/>
    <w:rsid w:val="00C456C3"/>
    <w:rsid w:val="00C46EEE"/>
    <w:rsid w:val="00C47089"/>
    <w:rsid w:val="00C475BE"/>
    <w:rsid w:val="00C5055B"/>
    <w:rsid w:val="00C5080B"/>
    <w:rsid w:val="00C50E97"/>
    <w:rsid w:val="00C5134A"/>
    <w:rsid w:val="00C5176D"/>
    <w:rsid w:val="00C518D0"/>
    <w:rsid w:val="00C52256"/>
    <w:rsid w:val="00C53274"/>
    <w:rsid w:val="00C5434E"/>
    <w:rsid w:val="00C545EE"/>
    <w:rsid w:val="00C5553E"/>
    <w:rsid w:val="00C555DE"/>
    <w:rsid w:val="00C570AA"/>
    <w:rsid w:val="00C57B42"/>
    <w:rsid w:val="00C6009B"/>
    <w:rsid w:val="00C60DB2"/>
    <w:rsid w:val="00C61743"/>
    <w:rsid w:val="00C6183E"/>
    <w:rsid w:val="00C61C87"/>
    <w:rsid w:val="00C61D64"/>
    <w:rsid w:val="00C622B8"/>
    <w:rsid w:val="00C624F3"/>
    <w:rsid w:val="00C62B1B"/>
    <w:rsid w:val="00C62C90"/>
    <w:rsid w:val="00C6301A"/>
    <w:rsid w:val="00C64193"/>
    <w:rsid w:val="00C6481E"/>
    <w:rsid w:val="00C65C35"/>
    <w:rsid w:val="00C66064"/>
    <w:rsid w:val="00C66811"/>
    <w:rsid w:val="00C66F44"/>
    <w:rsid w:val="00C67671"/>
    <w:rsid w:val="00C67770"/>
    <w:rsid w:val="00C7024F"/>
    <w:rsid w:val="00C70A62"/>
    <w:rsid w:val="00C70FBA"/>
    <w:rsid w:val="00C717B0"/>
    <w:rsid w:val="00C71A33"/>
    <w:rsid w:val="00C72270"/>
    <w:rsid w:val="00C72476"/>
    <w:rsid w:val="00C72E4B"/>
    <w:rsid w:val="00C731BD"/>
    <w:rsid w:val="00C73B91"/>
    <w:rsid w:val="00C73BC3"/>
    <w:rsid w:val="00C744F6"/>
    <w:rsid w:val="00C745CB"/>
    <w:rsid w:val="00C74AF2"/>
    <w:rsid w:val="00C754A9"/>
    <w:rsid w:val="00C76B11"/>
    <w:rsid w:val="00C76D72"/>
    <w:rsid w:val="00C777F0"/>
    <w:rsid w:val="00C77A4A"/>
    <w:rsid w:val="00C806EB"/>
    <w:rsid w:val="00C81C2D"/>
    <w:rsid w:val="00C820FD"/>
    <w:rsid w:val="00C82412"/>
    <w:rsid w:val="00C83204"/>
    <w:rsid w:val="00C8340D"/>
    <w:rsid w:val="00C83ABA"/>
    <w:rsid w:val="00C83B33"/>
    <w:rsid w:val="00C83F57"/>
    <w:rsid w:val="00C8490D"/>
    <w:rsid w:val="00C84C33"/>
    <w:rsid w:val="00C85789"/>
    <w:rsid w:val="00C86A95"/>
    <w:rsid w:val="00C86CE5"/>
    <w:rsid w:val="00C877F1"/>
    <w:rsid w:val="00C8789B"/>
    <w:rsid w:val="00C87E1B"/>
    <w:rsid w:val="00C903AB"/>
    <w:rsid w:val="00C90634"/>
    <w:rsid w:val="00C90B7E"/>
    <w:rsid w:val="00C92001"/>
    <w:rsid w:val="00C927AF"/>
    <w:rsid w:val="00C92A65"/>
    <w:rsid w:val="00C93311"/>
    <w:rsid w:val="00C9332E"/>
    <w:rsid w:val="00C939DC"/>
    <w:rsid w:val="00C941BB"/>
    <w:rsid w:val="00C9503E"/>
    <w:rsid w:val="00C9510B"/>
    <w:rsid w:val="00C952BD"/>
    <w:rsid w:val="00C96502"/>
    <w:rsid w:val="00C96630"/>
    <w:rsid w:val="00C96DEA"/>
    <w:rsid w:val="00C97D3C"/>
    <w:rsid w:val="00C97F95"/>
    <w:rsid w:val="00CA0492"/>
    <w:rsid w:val="00CA0746"/>
    <w:rsid w:val="00CA0BFE"/>
    <w:rsid w:val="00CA0DD4"/>
    <w:rsid w:val="00CA3850"/>
    <w:rsid w:val="00CA3C18"/>
    <w:rsid w:val="00CA3FB8"/>
    <w:rsid w:val="00CA56D3"/>
    <w:rsid w:val="00CA64DA"/>
    <w:rsid w:val="00CB0F79"/>
    <w:rsid w:val="00CB27F1"/>
    <w:rsid w:val="00CB2EFC"/>
    <w:rsid w:val="00CB3710"/>
    <w:rsid w:val="00CB4E3E"/>
    <w:rsid w:val="00CB5586"/>
    <w:rsid w:val="00CB6216"/>
    <w:rsid w:val="00CB66DE"/>
    <w:rsid w:val="00CB6A82"/>
    <w:rsid w:val="00CB7F89"/>
    <w:rsid w:val="00CC1F9B"/>
    <w:rsid w:val="00CC29E4"/>
    <w:rsid w:val="00CC30D8"/>
    <w:rsid w:val="00CC3314"/>
    <w:rsid w:val="00CC48C0"/>
    <w:rsid w:val="00CC5571"/>
    <w:rsid w:val="00CC5ED5"/>
    <w:rsid w:val="00CC62B8"/>
    <w:rsid w:val="00CC764B"/>
    <w:rsid w:val="00CC7711"/>
    <w:rsid w:val="00CD0B5E"/>
    <w:rsid w:val="00CD1510"/>
    <w:rsid w:val="00CD1F53"/>
    <w:rsid w:val="00CD30FC"/>
    <w:rsid w:val="00CD3F50"/>
    <w:rsid w:val="00CD4294"/>
    <w:rsid w:val="00CD4E5C"/>
    <w:rsid w:val="00CD5743"/>
    <w:rsid w:val="00CD5795"/>
    <w:rsid w:val="00CD5A79"/>
    <w:rsid w:val="00CD695D"/>
    <w:rsid w:val="00CD7178"/>
    <w:rsid w:val="00CD71A3"/>
    <w:rsid w:val="00CE023B"/>
    <w:rsid w:val="00CE0C52"/>
    <w:rsid w:val="00CE1202"/>
    <w:rsid w:val="00CE138F"/>
    <w:rsid w:val="00CE2FF2"/>
    <w:rsid w:val="00CE3248"/>
    <w:rsid w:val="00CE39D3"/>
    <w:rsid w:val="00CE457B"/>
    <w:rsid w:val="00CE50E6"/>
    <w:rsid w:val="00CE599A"/>
    <w:rsid w:val="00CE5E3D"/>
    <w:rsid w:val="00CE6CC2"/>
    <w:rsid w:val="00CE6E3E"/>
    <w:rsid w:val="00CE6FEA"/>
    <w:rsid w:val="00CF044C"/>
    <w:rsid w:val="00CF0694"/>
    <w:rsid w:val="00CF111C"/>
    <w:rsid w:val="00CF13A9"/>
    <w:rsid w:val="00CF1540"/>
    <w:rsid w:val="00CF194E"/>
    <w:rsid w:val="00CF1BD9"/>
    <w:rsid w:val="00CF3344"/>
    <w:rsid w:val="00CF3F8C"/>
    <w:rsid w:val="00CF474E"/>
    <w:rsid w:val="00CF487E"/>
    <w:rsid w:val="00CF4CB0"/>
    <w:rsid w:val="00CF5BBD"/>
    <w:rsid w:val="00CF6500"/>
    <w:rsid w:val="00CF6F84"/>
    <w:rsid w:val="00D0004B"/>
    <w:rsid w:val="00D00F80"/>
    <w:rsid w:val="00D021E7"/>
    <w:rsid w:val="00D023ED"/>
    <w:rsid w:val="00D0267C"/>
    <w:rsid w:val="00D026FE"/>
    <w:rsid w:val="00D03A9F"/>
    <w:rsid w:val="00D03DF5"/>
    <w:rsid w:val="00D04AE7"/>
    <w:rsid w:val="00D05670"/>
    <w:rsid w:val="00D0584C"/>
    <w:rsid w:val="00D05D4C"/>
    <w:rsid w:val="00D06E70"/>
    <w:rsid w:val="00D07151"/>
    <w:rsid w:val="00D07CAA"/>
    <w:rsid w:val="00D07F36"/>
    <w:rsid w:val="00D103B9"/>
    <w:rsid w:val="00D103C6"/>
    <w:rsid w:val="00D12151"/>
    <w:rsid w:val="00D12EE5"/>
    <w:rsid w:val="00D15474"/>
    <w:rsid w:val="00D1662E"/>
    <w:rsid w:val="00D16859"/>
    <w:rsid w:val="00D168EC"/>
    <w:rsid w:val="00D16E3A"/>
    <w:rsid w:val="00D17888"/>
    <w:rsid w:val="00D17EC9"/>
    <w:rsid w:val="00D2039C"/>
    <w:rsid w:val="00D2194B"/>
    <w:rsid w:val="00D21BD4"/>
    <w:rsid w:val="00D23240"/>
    <w:rsid w:val="00D2402F"/>
    <w:rsid w:val="00D24862"/>
    <w:rsid w:val="00D25017"/>
    <w:rsid w:val="00D260CB"/>
    <w:rsid w:val="00D2702E"/>
    <w:rsid w:val="00D27466"/>
    <w:rsid w:val="00D274BF"/>
    <w:rsid w:val="00D30281"/>
    <w:rsid w:val="00D31069"/>
    <w:rsid w:val="00D3149B"/>
    <w:rsid w:val="00D3190E"/>
    <w:rsid w:val="00D32612"/>
    <w:rsid w:val="00D32DB0"/>
    <w:rsid w:val="00D33288"/>
    <w:rsid w:val="00D33578"/>
    <w:rsid w:val="00D34342"/>
    <w:rsid w:val="00D353E0"/>
    <w:rsid w:val="00D35B95"/>
    <w:rsid w:val="00D37376"/>
    <w:rsid w:val="00D37C2A"/>
    <w:rsid w:val="00D40265"/>
    <w:rsid w:val="00D40600"/>
    <w:rsid w:val="00D42737"/>
    <w:rsid w:val="00D42CE8"/>
    <w:rsid w:val="00D43094"/>
    <w:rsid w:val="00D43DC5"/>
    <w:rsid w:val="00D44661"/>
    <w:rsid w:val="00D44797"/>
    <w:rsid w:val="00D44903"/>
    <w:rsid w:val="00D45332"/>
    <w:rsid w:val="00D459EB"/>
    <w:rsid w:val="00D45CAB"/>
    <w:rsid w:val="00D45EA3"/>
    <w:rsid w:val="00D465B0"/>
    <w:rsid w:val="00D467D8"/>
    <w:rsid w:val="00D5034F"/>
    <w:rsid w:val="00D50D73"/>
    <w:rsid w:val="00D51202"/>
    <w:rsid w:val="00D53FE6"/>
    <w:rsid w:val="00D548B1"/>
    <w:rsid w:val="00D55B32"/>
    <w:rsid w:val="00D55E8A"/>
    <w:rsid w:val="00D56637"/>
    <w:rsid w:val="00D56CD8"/>
    <w:rsid w:val="00D57B88"/>
    <w:rsid w:val="00D57C6C"/>
    <w:rsid w:val="00D57F40"/>
    <w:rsid w:val="00D6089D"/>
    <w:rsid w:val="00D61B15"/>
    <w:rsid w:val="00D61F34"/>
    <w:rsid w:val="00D62676"/>
    <w:rsid w:val="00D629A9"/>
    <w:rsid w:val="00D63090"/>
    <w:rsid w:val="00D6367A"/>
    <w:rsid w:val="00D64247"/>
    <w:rsid w:val="00D64271"/>
    <w:rsid w:val="00D6630E"/>
    <w:rsid w:val="00D66BB0"/>
    <w:rsid w:val="00D67AB2"/>
    <w:rsid w:val="00D67E26"/>
    <w:rsid w:val="00D707F5"/>
    <w:rsid w:val="00D70C41"/>
    <w:rsid w:val="00D71161"/>
    <w:rsid w:val="00D71722"/>
    <w:rsid w:val="00D72EF1"/>
    <w:rsid w:val="00D73006"/>
    <w:rsid w:val="00D73096"/>
    <w:rsid w:val="00D730F9"/>
    <w:rsid w:val="00D733CE"/>
    <w:rsid w:val="00D73438"/>
    <w:rsid w:val="00D7362C"/>
    <w:rsid w:val="00D7372E"/>
    <w:rsid w:val="00D752DB"/>
    <w:rsid w:val="00D75B1A"/>
    <w:rsid w:val="00D77092"/>
    <w:rsid w:val="00D77A87"/>
    <w:rsid w:val="00D80394"/>
    <w:rsid w:val="00D808BE"/>
    <w:rsid w:val="00D80AA0"/>
    <w:rsid w:val="00D81116"/>
    <w:rsid w:val="00D81CAB"/>
    <w:rsid w:val="00D81D93"/>
    <w:rsid w:val="00D81F75"/>
    <w:rsid w:val="00D821EA"/>
    <w:rsid w:val="00D8265D"/>
    <w:rsid w:val="00D82A97"/>
    <w:rsid w:val="00D839B5"/>
    <w:rsid w:val="00D84088"/>
    <w:rsid w:val="00D84BF9"/>
    <w:rsid w:val="00D854BE"/>
    <w:rsid w:val="00D864E7"/>
    <w:rsid w:val="00D86956"/>
    <w:rsid w:val="00D870BC"/>
    <w:rsid w:val="00D87291"/>
    <w:rsid w:val="00D909DF"/>
    <w:rsid w:val="00D91045"/>
    <w:rsid w:val="00D91593"/>
    <w:rsid w:val="00D919C8"/>
    <w:rsid w:val="00D919CA"/>
    <w:rsid w:val="00D91DBB"/>
    <w:rsid w:val="00D923F4"/>
    <w:rsid w:val="00D92CFA"/>
    <w:rsid w:val="00D92EAB"/>
    <w:rsid w:val="00D948B6"/>
    <w:rsid w:val="00D953C3"/>
    <w:rsid w:val="00D95F83"/>
    <w:rsid w:val="00D96822"/>
    <w:rsid w:val="00D969DE"/>
    <w:rsid w:val="00D96D5E"/>
    <w:rsid w:val="00D972CA"/>
    <w:rsid w:val="00D973E6"/>
    <w:rsid w:val="00D97A84"/>
    <w:rsid w:val="00DA0006"/>
    <w:rsid w:val="00DA03F6"/>
    <w:rsid w:val="00DA09F5"/>
    <w:rsid w:val="00DA21A5"/>
    <w:rsid w:val="00DA312A"/>
    <w:rsid w:val="00DA35C4"/>
    <w:rsid w:val="00DA4569"/>
    <w:rsid w:val="00DA4B5B"/>
    <w:rsid w:val="00DA4F68"/>
    <w:rsid w:val="00DA5B42"/>
    <w:rsid w:val="00DA6BB5"/>
    <w:rsid w:val="00DB03F6"/>
    <w:rsid w:val="00DB0D62"/>
    <w:rsid w:val="00DB1C85"/>
    <w:rsid w:val="00DB32B9"/>
    <w:rsid w:val="00DB344E"/>
    <w:rsid w:val="00DB513C"/>
    <w:rsid w:val="00DB6450"/>
    <w:rsid w:val="00DB7363"/>
    <w:rsid w:val="00DB765E"/>
    <w:rsid w:val="00DC06CB"/>
    <w:rsid w:val="00DC0BE4"/>
    <w:rsid w:val="00DC1894"/>
    <w:rsid w:val="00DC1B98"/>
    <w:rsid w:val="00DC2320"/>
    <w:rsid w:val="00DC4449"/>
    <w:rsid w:val="00DC4FAA"/>
    <w:rsid w:val="00DC61AA"/>
    <w:rsid w:val="00DC628F"/>
    <w:rsid w:val="00DC6F6C"/>
    <w:rsid w:val="00DC7FB4"/>
    <w:rsid w:val="00DD1061"/>
    <w:rsid w:val="00DD186F"/>
    <w:rsid w:val="00DD1E00"/>
    <w:rsid w:val="00DD1E69"/>
    <w:rsid w:val="00DD25E8"/>
    <w:rsid w:val="00DD2ACB"/>
    <w:rsid w:val="00DD3BFB"/>
    <w:rsid w:val="00DD440A"/>
    <w:rsid w:val="00DD4645"/>
    <w:rsid w:val="00DD4922"/>
    <w:rsid w:val="00DD51FE"/>
    <w:rsid w:val="00DD65CF"/>
    <w:rsid w:val="00DD6F84"/>
    <w:rsid w:val="00DD7006"/>
    <w:rsid w:val="00DD7041"/>
    <w:rsid w:val="00DD75A2"/>
    <w:rsid w:val="00DD7E85"/>
    <w:rsid w:val="00DE0A17"/>
    <w:rsid w:val="00DE18FB"/>
    <w:rsid w:val="00DE23D0"/>
    <w:rsid w:val="00DE2742"/>
    <w:rsid w:val="00DE2C92"/>
    <w:rsid w:val="00DE2F16"/>
    <w:rsid w:val="00DE3482"/>
    <w:rsid w:val="00DE4660"/>
    <w:rsid w:val="00DE4FF8"/>
    <w:rsid w:val="00DE4FFD"/>
    <w:rsid w:val="00DE54F5"/>
    <w:rsid w:val="00DE59A7"/>
    <w:rsid w:val="00DE7F75"/>
    <w:rsid w:val="00DF0F29"/>
    <w:rsid w:val="00DF14B8"/>
    <w:rsid w:val="00DF1F34"/>
    <w:rsid w:val="00DF2822"/>
    <w:rsid w:val="00DF28B9"/>
    <w:rsid w:val="00DF294C"/>
    <w:rsid w:val="00DF2C32"/>
    <w:rsid w:val="00DF2FBB"/>
    <w:rsid w:val="00DF3B54"/>
    <w:rsid w:val="00DF3C02"/>
    <w:rsid w:val="00DF4F29"/>
    <w:rsid w:val="00DF5EAF"/>
    <w:rsid w:val="00DF6ABD"/>
    <w:rsid w:val="00DF713D"/>
    <w:rsid w:val="00DF7A1B"/>
    <w:rsid w:val="00E00AE3"/>
    <w:rsid w:val="00E00E8C"/>
    <w:rsid w:val="00E0224C"/>
    <w:rsid w:val="00E02C96"/>
    <w:rsid w:val="00E0367D"/>
    <w:rsid w:val="00E03C21"/>
    <w:rsid w:val="00E045F7"/>
    <w:rsid w:val="00E04B19"/>
    <w:rsid w:val="00E04BB2"/>
    <w:rsid w:val="00E04C6B"/>
    <w:rsid w:val="00E053DE"/>
    <w:rsid w:val="00E05942"/>
    <w:rsid w:val="00E05D92"/>
    <w:rsid w:val="00E07411"/>
    <w:rsid w:val="00E0751E"/>
    <w:rsid w:val="00E07D01"/>
    <w:rsid w:val="00E118B3"/>
    <w:rsid w:val="00E11D41"/>
    <w:rsid w:val="00E11F31"/>
    <w:rsid w:val="00E12382"/>
    <w:rsid w:val="00E12894"/>
    <w:rsid w:val="00E12F84"/>
    <w:rsid w:val="00E1337B"/>
    <w:rsid w:val="00E139EB"/>
    <w:rsid w:val="00E13A50"/>
    <w:rsid w:val="00E14E9A"/>
    <w:rsid w:val="00E14EDF"/>
    <w:rsid w:val="00E16BC8"/>
    <w:rsid w:val="00E16BDD"/>
    <w:rsid w:val="00E17F4F"/>
    <w:rsid w:val="00E207D5"/>
    <w:rsid w:val="00E21044"/>
    <w:rsid w:val="00E220D5"/>
    <w:rsid w:val="00E22453"/>
    <w:rsid w:val="00E22D9C"/>
    <w:rsid w:val="00E23D04"/>
    <w:rsid w:val="00E241D2"/>
    <w:rsid w:val="00E25167"/>
    <w:rsid w:val="00E257CE"/>
    <w:rsid w:val="00E25C7C"/>
    <w:rsid w:val="00E2610C"/>
    <w:rsid w:val="00E26997"/>
    <w:rsid w:val="00E26B5D"/>
    <w:rsid w:val="00E27312"/>
    <w:rsid w:val="00E277DD"/>
    <w:rsid w:val="00E279B3"/>
    <w:rsid w:val="00E27E4E"/>
    <w:rsid w:val="00E3033C"/>
    <w:rsid w:val="00E30503"/>
    <w:rsid w:val="00E319E4"/>
    <w:rsid w:val="00E3295C"/>
    <w:rsid w:val="00E32C39"/>
    <w:rsid w:val="00E3390E"/>
    <w:rsid w:val="00E34078"/>
    <w:rsid w:val="00E342FE"/>
    <w:rsid w:val="00E343E1"/>
    <w:rsid w:val="00E34CB7"/>
    <w:rsid w:val="00E3591F"/>
    <w:rsid w:val="00E35CD7"/>
    <w:rsid w:val="00E35D29"/>
    <w:rsid w:val="00E35D79"/>
    <w:rsid w:val="00E35DBD"/>
    <w:rsid w:val="00E3687B"/>
    <w:rsid w:val="00E368BF"/>
    <w:rsid w:val="00E36FC5"/>
    <w:rsid w:val="00E40691"/>
    <w:rsid w:val="00E408DA"/>
    <w:rsid w:val="00E40BF5"/>
    <w:rsid w:val="00E40F31"/>
    <w:rsid w:val="00E41297"/>
    <w:rsid w:val="00E41D54"/>
    <w:rsid w:val="00E420C1"/>
    <w:rsid w:val="00E422E8"/>
    <w:rsid w:val="00E42439"/>
    <w:rsid w:val="00E427E9"/>
    <w:rsid w:val="00E42ED1"/>
    <w:rsid w:val="00E43556"/>
    <w:rsid w:val="00E43A85"/>
    <w:rsid w:val="00E43FA7"/>
    <w:rsid w:val="00E4489A"/>
    <w:rsid w:val="00E47090"/>
    <w:rsid w:val="00E471CD"/>
    <w:rsid w:val="00E4725D"/>
    <w:rsid w:val="00E47631"/>
    <w:rsid w:val="00E50FC8"/>
    <w:rsid w:val="00E532CF"/>
    <w:rsid w:val="00E53609"/>
    <w:rsid w:val="00E543A6"/>
    <w:rsid w:val="00E5457E"/>
    <w:rsid w:val="00E55472"/>
    <w:rsid w:val="00E55A15"/>
    <w:rsid w:val="00E5746E"/>
    <w:rsid w:val="00E5781D"/>
    <w:rsid w:val="00E578B5"/>
    <w:rsid w:val="00E57DAF"/>
    <w:rsid w:val="00E60042"/>
    <w:rsid w:val="00E6103F"/>
    <w:rsid w:val="00E61210"/>
    <w:rsid w:val="00E61E1B"/>
    <w:rsid w:val="00E620EF"/>
    <w:rsid w:val="00E62373"/>
    <w:rsid w:val="00E62607"/>
    <w:rsid w:val="00E626D8"/>
    <w:rsid w:val="00E62BFE"/>
    <w:rsid w:val="00E62E14"/>
    <w:rsid w:val="00E63298"/>
    <w:rsid w:val="00E6334F"/>
    <w:rsid w:val="00E63362"/>
    <w:rsid w:val="00E63808"/>
    <w:rsid w:val="00E64385"/>
    <w:rsid w:val="00E643BD"/>
    <w:rsid w:val="00E662B7"/>
    <w:rsid w:val="00E66802"/>
    <w:rsid w:val="00E67670"/>
    <w:rsid w:val="00E67C9C"/>
    <w:rsid w:val="00E67E86"/>
    <w:rsid w:val="00E708B5"/>
    <w:rsid w:val="00E710A0"/>
    <w:rsid w:val="00E71747"/>
    <w:rsid w:val="00E71E22"/>
    <w:rsid w:val="00E72FC0"/>
    <w:rsid w:val="00E73573"/>
    <w:rsid w:val="00E7372A"/>
    <w:rsid w:val="00E737DD"/>
    <w:rsid w:val="00E7463D"/>
    <w:rsid w:val="00E75A78"/>
    <w:rsid w:val="00E763C0"/>
    <w:rsid w:val="00E7671A"/>
    <w:rsid w:val="00E76C90"/>
    <w:rsid w:val="00E7721E"/>
    <w:rsid w:val="00E777C8"/>
    <w:rsid w:val="00E7797C"/>
    <w:rsid w:val="00E77EE2"/>
    <w:rsid w:val="00E80B1E"/>
    <w:rsid w:val="00E80C84"/>
    <w:rsid w:val="00E81197"/>
    <w:rsid w:val="00E81C5A"/>
    <w:rsid w:val="00E81DFC"/>
    <w:rsid w:val="00E8290C"/>
    <w:rsid w:val="00E82B96"/>
    <w:rsid w:val="00E8350A"/>
    <w:rsid w:val="00E844AA"/>
    <w:rsid w:val="00E84D34"/>
    <w:rsid w:val="00E855FF"/>
    <w:rsid w:val="00E85DDF"/>
    <w:rsid w:val="00E85FB7"/>
    <w:rsid w:val="00E878A7"/>
    <w:rsid w:val="00E90C39"/>
    <w:rsid w:val="00E912D4"/>
    <w:rsid w:val="00E914D6"/>
    <w:rsid w:val="00E916E1"/>
    <w:rsid w:val="00E91914"/>
    <w:rsid w:val="00E93EA5"/>
    <w:rsid w:val="00E943BE"/>
    <w:rsid w:val="00E94591"/>
    <w:rsid w:val="00E94612"/>
    <w:rsid w:val="00E951EC"/>
    <w:rsid w:val="00E96BBA"/>
    <w:rsid w:val="00E970A2"/>
    <w:rsid w:val="00E97D1A"/>
    <w:rsid w:val="00E97EE3"/>
    <w:rsid w:val="00EA0117"/>
    <w:rsid w:val="00EA0B83"/>
    <w:rsid w:val="00EA1113"/>
    <w:rsid w:val="00EA1265"/>
    <w:rsid w:val="00EA1D5E"/>
    <w:rsid w:val="00EA223D"/>
    <w:rsid w:val="00EA31E8"/>
    <w:rsid w:val="00EA369F"/>
    <w:rsid w:val="00EA3C74"/>
    <w:rsid w:val="00EA4663"/>
    <w:rsid w:val="00EA489C"/>
    <w:rsid w:val="00EA49DC"/>
    <w:rsid w:val="00EA4AB1"/>
    <w:rsid w:val="00EA4DBA"/>
    <w:rsid w:val="00EA6951"/>
    <w:rsid w:val="00EA6B94"/>
    <w:rsid w:val="00EA6D92"/>
    <w:rsid w:val="00EA71BD"/>
    <w:rsid w:val="00EA71EB"/>
    <w:rsid w:val="00EA7D60"/>
    <w:rsid w:val="00EB036B"/>
    <w:rsid w:val="00EB03A0"/>
    <w:rsid w:val="00EB1AD3"/>
    <w:rsid w:val="00EB1B60"/>
    <w:rsid w:val="00EB266E"/>
    <w:rsid w:val="00EB2B14"/>
    <w:rsid w:val="00EB2E01"/>
    <w:rsid w:val="00EB2E0F"/>
    <w:rsid w:val="00EB3281"/>
    <w:rsid w:val="00EB3343"/>
    <w:rsid w:val="00EB493B"/>
    <w:rsid w:val="00EB49B0"/>
    <w:rsid w:val="00EB54D5"/>
    <w:rsid w:val="00EB5EE6"/>
    <w:rsid w:val="00EB6008"/>
    <w:rsid w:val="00EB6906"/>
    <w:rsid w:val="00EB694A"/>
    <w:rsid w:val="00EB6982"/>
    <w:rsid w:val="00EB7146"/>
    <w:rsid w:val="00EB7528"/>
    <w:rsid w:val="00EB7941"/>
    <w:rsid w:val="00EB7968"/>
    <w:rsid w:val="00EB7E52"/>
    <w:rsid w:val="00EC0548"/>
    <w:rsid w:val="00EC0BB5"/>
    <w:rsid w:val="00EC0C2C"/>
    <w:rsid w:val="00EC10EF"/>
    <w:rsid w:val="00EC1329"/>
    <w:rsid w:val="00EC1D23"/>
    <w:rsid w:val="00EC3CF3"/>
    <w:rsid w:val="00EC43C2"/>
    <w:rsid w:val="00EC4E7A"/>
    <w:rsid w:val="00EC5023"/>
    <w:rsid w:val="00EC5AC8"/>
    <w:rsid w:val="00EC5F1D"/>
    <w:rsid w:val="00EC61E8"/>
    <w:rsid w:val="00EC7B67"/>
    <w:rsid w:val="00ED07B5"/>
    <w:rsid w:val="00ED08F2"/>
    <w:rsid w:val="00ED1371"/>
    <w:rsid w:val="00ED3327"/>
    <w:rsid w:val="00ED35C8"/>
    <w:rsid w:val="00ED3868"/>
    <w:rsid w:val="00ED4717"/>
    <w:rsid w:val="00ED5420"/>
    <w:rsid w:val="00ED5493"/>
    <w:rsid w:val="00ED6510"/>
    <w:rsid w:val="00ED7B6C"/>
    <w:rsid w:val="00ED7C4E"/>
    <w:rsid w:val="00EE0190"/>
    <w:rsid w:val="00EE1BA6"/>
    <w:rsid w:val="00EE1D51"/>
    <w:rsid w:val="00EE1D8C"/>
    <w:rsid w:val="00EE3EFF"/>
    <w:rsid w:val="00EE3F33"/>
    <w:rsid w:val="00EE46BA"/>
    <w:rsid w:val="00EE4967"/>
    <w:rsid w:val="00EE57F7"/>
    <w:rsid w:val="00EE59E2"/>
    <w:rsid w:val="00EE6072"/>
    <w:rsid w:val="00EE635F"/>
    <w:rsid w:val="00EE6FC7"/>
    <w:rsid w:val="00EE7A82"/>
    <w:rsid w:val="00EE7F9E"/>
    <w:rsid w:val="00EF0169"/>
    <w:rsid w:val="00EF2564"/>
    <w:rsid w:val="00EF2793"/>
    <w:rsid w:val="00EF3606"/>
    <w:rsid w:val="00EF38E9"/>
    <w:rsid w:val="00EF3A9F"/>
    <w:rsid w:val="00EF4354"/>
    <w:rsid w:val="00EF4697"/>
    <w:rsid w:val="00EF5251"/>
    <w:rsid w:val="00EF598E"/>
    <w:rsid w:val="00EF6362"/>
    <w:rsid w:val="00EF65B4"/>
    <w:rsid w:val="00EF6911"/>
    <w:rsid w:val="00EF7483"/>
    <w:rsid w:val="00EF7BE9"/>
    <w:rsid w:val="00EF7DF9"/>
    <w:rsid w:val="00F00032"/>
    <w:rsid w:val="00F00F1A"/>
    <w:rsid w:val="00F00FA0"/>
    <w:rsid w:val="00F0131D"/>
    <w:rsid w:val="00F01DA0"/>
    <w:rsid w:val="00F01E16"/>
    <w:rsid w:val="00F02305"/>
    <w:rsid w:val="00F023E7"/>
    <w:rsid w:val="00F02F5E"/>
    <w:rsid w:val="00F031C1"/>
    <w:rsid w:val="00F0456A"/>
    <w:rsid w:val="00F04F74"/>
    <w:rsid w:val="00F065B2"/>
    <w:rsid w:val="00F0676F"/>
    <w:rsid w:val="00F0716E"/>
    <w:rsid w:val="00F10724"/>
    <w:rsid w:val="00F107A6"/>
    <w:rsid w:val="00F12423"/>
    <w:rsid w:val="00F1293B"/>
    <w:rsid w:val="00F12BB4"/>
    <w:rsid w:val="00F12FA4"/>
    <w:rsid w:val="00F143BB"/>
    <w:rsid w:val="00F14E4C"/>
    <w:rsid w:val="00F15486"/>
    <w:rsid w:val="00F15B7B"/>
    <w:rsid w:val="00F16AC8"/>
    <w:rsid w:val="00F16E09"/>
    <w:rsid w:val="00F16E35"/>
    <w:rsid w:val="00F16E90"/>
    <w:rsid w:val="00F176CC"/>
    <w:rsid w:val="00F210CC"/>
    <w:rsid w:val="00F21279"/>
    <w:rsid w:val="00F21705"/>
    <w:rsid w:val="00F2196D"/>
    <w:rsid w:val="00F22234"/>
    <w:rsid w:val="00F223E4"/>
    <w:rsid w:val="00F2399D"/>
    <w:rsid w:val="00F23B17"/>
    <w:rsid w:val="00F24CC4"/>
    <w:rsid w:val="00F25192"/>
    <w:rsid w:val="00F25505"/>
    <w:rsid w:val="00F25EEE"/>
    <w:rsid w:val="00F266FC"/>
    <w:rsid w:val="00F26B58"/>
    <w:rsid w:val="00F271B4"/>
    <w:rsid w:val="00F27288"/>
    <w:rsid w:val="00F27C3C"/>
    <w:rsid w:val="00F30E57"/>
    <w:rsid w:val="00F30E7D"/>
    <w:rsid w:val="00F30F0A"/>
    <w:rsid w:val="00F31046"/>
    <w:rsid w:val="00F31C3A"/>
    <w:rsid w:val="00F31D0B"/>
    <w:rsid w:val="00F32395"/>
    <w:rsid w:val="00F326D9"/>
    <w:rsid w:val="00F332F8"/>
    <w:rsid w:val="00F33C2D"/>
    <w:rsid w:val="00F3437D"/>
    <w:rsid w:val="00F34550"/>
    <w:rsid w:val="00F34DA9"/>
    <w:rsid w:val="00F36062"/>
    <w:rsid w:val="00F360F4"/>
    <w:rsid w:val="00F36457"/>
    <w:rsid w:val="00F36586"/>
    <w:rsid w:val="00F36E25"/>
    <w:rsid w:val="00F36E28"/>
    <w:rsid w:val="00F36FAD"/>
    <w:rsid w:val="00F37B8D"/>
    <w:rsid w:val="00F42D21"/>
    <w:rsid w:val="00F43346"/>
    <w:rsid w:val="00F43840"/>
    <w:rsid w:val="00F45AF0"/>
    <w:rsid w:val="00F46297"/>
    <w:rsid w:val="00F46D74"/>
    <w:rsid w:val="00F47AE5"/>
    <w:rsid w:val="00F47D43"/>
    <w:rsid w:val="00F50416"/>
    <w:rsid w:val="00F50479"/>
    <w:rsid w:val="00F50BFD"/>
    <w:rsid w:val="00F50FDA"/>
    <w:rsid w:val="00F523D0"/>
    <w:rsid w:val="00F524B4"/>
    <w:rsid w:val="00F52523"/>
    <w:rsid w:val="00F5280D"/>
    <w:rsid w:val="00F52EC7"/>
    <w:rsid w:val="00F5303B"/>
    <w:rsid w:val="00F53CF0"/>
    <w:rsid w:val="00F53D70"/>
    <w:rsid w:val="00F543B9"/>
    <w:rsid w:val="00F54D37"/>
    <w:rsid w:val="00F55B6C"/>
    <w:rsid w:val="00F6023A"/>
    <w:rsid w:val="00F617FC"/>
    <w:rsid w:val="00F61F45"/>
    <w:rsid w:val="00F62691"/>
    <w:rsid w:val="00F62AE4"/>
    <w:rsid w:val="00F62BD0"/>
    <w:rsid w:val="00F64F2E"/>
    <w:rsid w:val="00F652B9"/>
    <w:rsid w:val="00F65DD6"/>
    <w:rsid w:val="00F6770C"/>
    <w:rsid w:val="00F67776"/>
    <w:rsid w:val="00F67E5A"/>
    <w:rsid w:val="00F700F2"/>
    <w:rsid w:val="00F718C7"/>
    <w:rsid w:val="00F7236C"/>
    <w:rsid w:val="00F724AD"/>
    <w:rsid w:val="00F72BF5"/>
    <w:rsid w:val="00F72CA7"/>
    <w:rsid w:val="00F73D48"/>
    <w:rsid w:val="00F73E36"/>
    <w:rsid w:val="00F741C8"/>
    <w:rsid w:val="00F74482"/>
    <w:rsid w:val="00F76298"/>
    <w:rsid w:val="00F7675D"/>
    <w:rsid w:val="00F76CD3"/>
    <w:rsid w:val="00F77658"/>
    <w:rsid w:val="00F7797A"/>
    <w:rsid w:val="00F77FD2"/>
    <w:rsid w:val="00F81A9D"/>
    <w:rsid w:val="00F82E99"/>
    <w:rsid w:val="00F832A6"/>
    <w:rsid w:val="00F84964"/>
    <w:rsid w:val="00F84C6A"/>
    <w:rsid w:val="00F85676"/>
    <w:rsid w:val="00F876AD"/>
    <w:rsid w:val="00F9143E"/>
    <w:rsid w:val="00F9249D"/>
    <w:rsid w:val="00F924A1"/>
    <w:rsid w:val="00F9268C"/>
    <w:rsid w:val="00F93073"/>
    <w:rsid w:val="00F95BD9"/>
    <w:rsid w:val="00F95E91"/>
    <w:rsid w:val="00F96E3E"/>
    <w:rsid w:val="00F972DE"/>
    <w:rsid w:val="00F972E0"/>
    <w:rsid w:val="00F974D9"/>
    <w:rsid w:val="00F9754C"/>
    <w:rsid w:val="00F97A02"/>
    <w:rsid w:val="00FA0674"/>
    <w:rsid w:val="00FA0B59"/>
    <w:rsid w:val="00FA14EA"/>
    <w:rsid w:val="00FA1D26"/>
    <w:rsid w:val="00FA20B1"/>
    <w:rsid w:val="00FA2A28"/>
    <w:rsid w:val="00FA373E"/>
    <w:rsid w:val="00FA4E85"/>
    <w:rsid w:val="00FA5CC6"/>
    <w:rsid w:val="00FA66A6"/>
    <w:rsid w:val="00FA734C"/>
    <w:rsid w:val="00FA73D3"/>
    <w:rsid w:val="00FB1E88"/>
    <w:rsid w:val="00FB1F16"/>
    <w:rsid w:val="00FB39BE"/>
    <w:rsid w:val="00FB460A"/>
    <w:rsid w:val="00FB47F9"/>
    <w:rsid w:val="00FB498B"/>
    <w:rsid w:val="00FB5046"/>
    <w:rsid w:val="00FB55D8"/>
    <w:rsid w:val="00FB5BC4"/>
    <w:rsid w:val="00FB5F87"/>
    <w:rsid w:val="00FB63B7"/>
    <w:rsid w:val="00FB6C3E"/>
    <w:rsid w:val="00FB6C7D"/>
    <w:rsid w:val="00FB6F35"/>
    <w:rsid w:val="00FB721F"/>
    <w:rsid w:val="00FB78CD"/>
    <w:rsid w:val="00FC038F"/>
    <w:rsid w:val="00FC0D70"/>
    <w:rsid w:val="00FC1094"/>
    <w:rsid w:val="00FC1E9A"/>
    <w:rsid w:val="00FC208A"/>
    <w:rsid w:val="00FC2777"/>
    <w:rsid w:val="00FC568F"/>
    <w:rsid w:val="00FC5F09"/>
    <w:rsid w:val="00FC68C9"/>
    <w:rsid w:val="00FC6A1D"/>
    <w:rsid w:val="00FC6ADC"/>
    <w:rsid w:val="00FC7120"/>
    <w:rsid w:val="00FD013D"/>
    <w:rsid w:val="00FD0192"/>
    <w:rsid w:val="00FD0362"/>
    <w:rsid w:val="00FD0383"/>
    <w:rsid w:val="00FD04AA"/>
    <w:rsid w:val="00FD0EC3"/>
    <w:rsid w:val="00FD2C15"/>
    <w:rsid w:val="00FD350B"/>
    <w:rsid w:val="00FD4740"/>
    <w:rsid w:val="00FD4D23"/>
    <w:rsid w:val="00FD62CA"/>
    <w:rsid w:val="00FD6AFA"/>
    <w:rsid w:val="00FD6F9C"/>
    <w:rsid w:val="00FD7D4D"/>
    <w:rsid w:val="00FD7DA8"/>
    <w:rsid w:val="00FE0517"/>
    <w:rsid w:val="00FE0850"/>
    <w:rsid w:val="00FE0BD6"/>
    <w:rsid w:val="00FE17DF"/>
    <w:rsid w:val="00FE23C5"/>
    <w:rsid w:val="00FE26D6"/>
    <w:rsid w:val="00FE445A"/>
    <w:rsid w:val="00FE5D18"/>
    <w:rsid w:val="00FE636D"/>
    <w:rsid w:val="00FE643F"/>
    <w:rsid w:val="00FE6DE6"/>
    <w:rsid w:val="00FE73B0"/>
    <w:rsid w:val="00FE74F9"/>
    <w:rsid w:val="00FE7F1B"/>
    <w:rsid w:val="00FF0836"/>
    <w:rsid w:val="00FF0AF8"/>
    <w:rsid w:val="00FF0B48"/>
    <w:rsid w:val="00FF150E"/>
    <w:rsid w:val="00FF1568"/>
    <w:rsid w:val="00FF3A16"/>
    <w:rsid w:val="00FF3C57"/>
    <w:rsid w:val="00FF3CBB"/>
    <w:rsid w:val="00FF5337"/>
    <w:rsid w:val="00FF6BC7"/>
    <w:rsid w:val="00FF7F6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4F11E80-E30A-470C-9572-16BF8CF94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9249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D864E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unhideWhenUsed/>
    <w:qFormat/>
    <w:rsid w:val="00D021E7"/>
    <w:pPr>
      <w:keepNext/>
      <w:spacing w:line="720" w:lineRule="atLeast"/>
      <w:outlineLvl w:val="1"/>
    </w:pPr>
    <w:rPr>
      <w:rFonts w:ascii="Cambria" w:eastAsia="新細明體" w:hAnsi="Cambria"/>
      <w:b/>
      <w:bCs/>
      <w:sz w:val="48"/>
      <w:szCs w:val="4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5">
    <w:name w:val=" 字元 字元5 字元"/>
    <w:basedOn w:val="a"/>
    <w:semiHidden/>
    <w:rsid w:val="00996BE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0776C4"/>
    <w:rPr>
      <w:rFonts w:ascii="標楷體" w:eastAsia="標楷體"/>
      <w:b/>
      <w:snapToGrid w:val="0"/>
      <w:kern w:val="2"/>
      <w:sz w:val="28"/>
      <w:lang w:val="en-US" w:eastAsia="zh-TW"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E7463D"/>
    <w:pPr>
      <w:ind w:left="300" w:hangingChars="100" w:hanging="100"/>
    </w:pPr>
  </w:style>
  <w:style w:type="character" w:customStyle="1" w:styleId="a5">
    <w:name w:val="(一)(二)(三) 字元"/>
    <w:link w:val="a4"/>
    <w:rsid w:val="00C306AB"/>
    <w:rPr>
      <w:rFonts w:ascii="標楷體" w:eastAsia="標楷體"/>
      <w:snapToGrid w:val="0"/>
      <w:kern w:val="2"/>
      <w:sz w:val="28"/>
      <w:szCs w:val="28"/>
      <w:lang w:val="en-US" w:eastAsia="zh-TW" w:bidi="ar-SA"/>
    </w:rPr>
  </w:style>
  <w:style w:type="paragraph" w:customStyle="1" w:styleId="a6">
    <w:name w:val="(一)下內文"/>
    <w:basedOn w:val="a4"/>
    <w:rsid w:val="004220EB"/>
    <w:pPr>
      <w:adjustRightInd w:val="0"/>
      <w:ind w:leftChars="300" w:firstLineChars="0" w:firstLine="0"/>
    </w:pPr>
  </w:style>
  <w:style w:type="paragraph" w:customStyle="1" w:styleId="123">
    <w:name w:val="1.2.3."/>
    <w:basedOn w:val="a6"/>
    <w:link w:val="1230"/>
    <w:qFormat/>
    <w:rsid w:val="00996198"/>
    <w:pPr>
      <w:topLinePunct/>
      <w:adjustRightInd/>
      <w:ind w:left="1133" w:hangingChars="100" w:hanging="283"/>
    </w:pPr>
  </w:style>
  <w:style w:type="character" w:customStyle="1" w:styleId="1230">
    <w:name w:val="1.2.3. 字元"/>
    <w:link w:val="123"/>
    <w:rsid w:val="00996198"/>
    <w:rPr>
      <w:rFonts w:ascii="標楷體" w:eastAsia="標楷體"/>
      <w:snapToGrid w:val="0"/>
      <w:kern w:val="2"/>
      <w:sz w:val="28"/>
      <w:szCs w:val="28"/>
    </w:rPr>
  </w:style>
  <w:style w:type="paragraph" w:customStyle="1" w:styleId="a7">
    <w:name w:val="結論"/>
    <w:basedOn w:val="a6"/>
    <w:autoRedefine/>
    <w:rsid w:val="004220EB"/>
    <w:pPr>
      <w:adjustRightInd/>
      <w:ind w:leftChars="200" w:left="200" w:firstLineChars="200" w:firstLine="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qFormat/>
    <w:rsid w:val="00070DA6"/>
    <w:rPr>
      <w:rFonts w:ascii="標楷體" w:eastAsia="標楷體"/>
      <w:snapToGrid w:val="0"/>
      <w:kern w:val="2"/>
      <w:sz w:val="24"/>
      <w:szCs w:val="28"/>
      <w:lang w:val="en-US" w:eastAsia="zh-TW" w:bidi="ar-SA"/>
    </w:rPr>
  </w:style>
  <w:style w:type="paragraph" w:customStyle="1" w:styleId="aa">
    <w:name w:val="報告名稱"/>
    <w:basedOn w:val="a"/>
    <w:link w:val="ab"/>
    <w:pPr>
      <w:adjustRightInd w:val="0"/>
      <w:ind w:leftChars="0" w:left="0" w:firstLineChars="0" w:firstLine="0"/>
    </w:pPr>
    <w:rPr>
      <w:b/>
      <w:sz w:val="36"/>
    </w:rPr>
  </w:style>
  <w:style w:type="character" w:customStyle="1" w:styleId="ab">
    <w:name w:val="報告名稱 字元"/>
    <w:link w:val="aa"/>
    <w:rsid w:val="00D864E7"/>
    <w:rPr>
      <w:rFonts w:ascii="標楷體" w:eastAsia="標楷體"/>
      <w:b/>
      <w:snapToGrid w:val="0"/>
      <w:kern w:val="2"/>
      <w:sz w:val="36"/>
      <w:szCs w:val="28"/>
      <w:lang w:val="en-US" w:eastAsia="zh-TW" w:bidi="ar-SA"/>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
    <w:link w:val="22"/>
    <w:qFormat/>
    <w:rsid w:val="00DE59A7"/>
    <w:pPr>
      <w:adjustRightInd w:val="0"/>
      <w:ind w:leftChars="300" w:left="300"/>
    </w:pPr>
    <w:rPr>
      <w:rFonts w:hAnsi="標楷體"/>
      <w:szCs w:val="24"/>
    </w:rPr>
  </w:style>
  <w:style w:type="character" w:customStyle="1" w:styleId="22">
    <w:name w:val="(一)下內文縮2 字元"/>
    <w:link w:val="21"/>
    <w:rsid w:val="001D772F"/>
    <w:rPr>
      <w:rFonts w:ascii="標楷體" w:eastAsia="標楷體" w:hAnsi="標楷體"/>
      <w:snapToGrid w:val="0"/>
      <w:kern w:val="2"/>
      <w:sz w:val="28"/>
      <w:szCs w:val="24"/>
      <w:lang w:val="en-US" w:eastAsia="zh-TW" w:bidi="ar-SA"/>
    </w:rPr>
  </w:style>
  <w:style w:type="paragraph" w:styleId="10">
    <w:name w:val="toc 1"/>
    <w:basedOn w:val="a"/>
    <w:next w:val="a"/>
    <w:autoRedefine/>
    <w:uiPriority w:val="39"/>
    <w:rsid w:val="00C16245"/>
    <w:pPr>
      <w:tabs>
        <w:tab w:val="right" w:leader="hyphen" w:pos="8490"/>
      </w:tabs>
      <w:ind w:leftChars="0" w:left="486" w:rightChars="100" w:right="283" w:hangingChars="200" w:hanging="486"/>
    </w:pPr>
    <w:rPr>
      <w:sz w:val="24"/>
    </w:rPr>
  </w:style>
  <w:style w:type="paragraph" w:styleId="23">
    <w:name w:val="toc 2"/>
    <w:basedOn w:val="a"/>
    <w:next w:val="a"/>
    <w:autoRedefine/>
    <w:semiHidden/>
    <w:pPr>
      <w:tabs>
        <w:tab w:val="right" w:leader="hyphen" w:pos="8490"/>
      </w:tabs>
      <w:ind w:leftChars="0" w:left="566" w:hangingChars="200" w:hanging="566"/>
    </w:pPr>
  </w:style>
  <w:style w:type="paragraph" w:styleId="ae">
    <w:name w:val="Balloon Text"/>
    <w:basedOn w:val="a"/>
    <w:semiHidden/>
    <w:rsid w:val="00F15B7B"/>
    <w:rPr>
      <w:rFonts w:ascii="Arial" w:eastAsia="新細明體" w:hAnsi="Arial"/>
      <w:sz w:val="18"/>
      <w:szCs w:val="18"/>
    </w:rPr>
  </w:style>
  <w:style w:type="paragraph" w:styleId="af">
    <w:name w:val="footnote text"/>
    <w:basedOn w:val="a"/>
    <w:link w:val="af0"/>
    <w:uiPriority w:val="99"/>
    <w:rsid w:val="004C47B1"/>
    <w:pPr>
      <w:snapToGrid w:val="0"/>
      <w:jc w:val="left"/>
    </w:pPr>
    <w:rPr>
      <w:sz w:val="20"/>
      <w:szCs w:val="20"/>
    </w:rPr>
  </w:style>
  <w:style w:type="character" w:styleId="af1">
    <w:name w:val="footnote reference"/>
    <w:aliases w:val="FR,Ref,de nota al pie,註腳內容,Error-Fußnotenzeichen5,Error-Fußnotenzeichen6,Error-Fußnotenzeichen3,Error-Fusnotßnotenzeichen5,Error-Fußnotenzeic"/>
    <w:uiPriority w:val="99"/>
    <w:rsid w:val="004C47B1"/>
    <w:rPr>
      <w:vertAlign w:val="superscript"/>
    </w:rPr>
  </w:style>
  <w:style w:type="paragraph" w:customStyle="1" w:styleId="4">
    <w:name w:val=" 字元 字元4 字元"/>
    <w:basedOn w:val="a"/>
    <w:semiHidden/>
    <w:rsid w:val="001D772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2">
    <w:name w:val="Hyperlink"/>
    <w:uiPriority w:val="99"/>
    <w:rsid w:val="00C877F1"/>
    <w:rPr>
      <w:color w:val="0000FF"/>
      <w:u w:val="single"/>
    </w:rPr>
  </w:style>
  <w:style w:type="paragraph" w:customStyle="1" w:styleId="af3">
    <w:name w:val=" 字元"/>
    <w:basedOn w:val="a"/>
    <w:link w:val="a0"/>
    <w:semiHidden/>
    <w:rsid w:val="004922D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4">
    <w:name w:val="Table Grid"/>
    <w:basedOn w:val="a1"/>
    <w:uiPriority w:val="59"/>
    <w:rsid w:val="003F2B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標題 2 字元"/>
    <w:link w:val="2"/>
    <w:rsid w:val="00D021E7"/>
    <w:rPr>
      <w:rFonts w:ascii="Cambria" w:eastAsia="新細明體" w:hAnsi="Cambria" w:cs="Times New Roman"/>
      <w:b/>
      <w:bCs/>
      <w:snapToGrid w:val="0"/>
      <w:kern w:val="2"/>
      <w:sz w:val="48"/>
      <w:szCs w:val="48"/>
    </w:rPr>
  </w:style>
  <w:style w:type="paragraph" w:styleId="af5">
    <w:name w:val="footer"/>
    <w:basedOn w:val="a"/>
    <w:link w:val="af6"/>
    <w:uiPriority w:val="99"/>
    <w:unhideWhenUsed/>
    <w:rsid w:val="00EC0548"/>
    <w:pPr>
      <w:widowControl/>
      <w:tabs>
        <w:tab w:val="center" w:pos="4680"/>
        <w:tab w:val="right" w:pos="9360"/>
      </w:tabs>
      <w:spacing w:line="240" w:lineRule="auto"/>
      <w:ind w:leftChars="0" w:left="0" w:firstLineChars="0" w:firstLine="0"/>
      <w:jc w:val="left"/>
    </w:pPr>
    <w:rPr>
      <w:rFonts w:ascii="Calibri" w:eastAsia="Calibri" w:hAnsi="Calibri"/>
      <w:snapToGrid/>
      <w:kern w:val="0"/>
      <w:sz w:val="21"/>
      <w:szCs w:val="21"/>
    </w:rPr>
  </w:style>
  <w:style w:type="character" w:customStyle="1" w:styleId="af6">
    <w:name w:val="頁尾 字元"/>
    <w:link w:val="af5"/>
    <w:uiPriority w:val="99"/>
    <w:rsid w:val="00EC0548"/>
    <w:rPr>
      <w:rFonts w:ascii="Calibri" w:eastAsia="Calibri" w:hAnsi="Calibri"/>
      <w:sz w:val="21"/>
      <w:szCs w:val="21"/>
    </w:rPr>
  </w:style>
  <w:style w:type="character" w:customStyle="1" w:styleId="1410">
    <w:name w:val="第二層(14號字) 字元1"/>
    <w:rsid w:val="00AD7F54"/>
    <w:rPr>
      <w:rFonts w:ascii="標楷體" w:eastAsia="標楷體"/>
      <w:b/>
      <w:snapToGrid w:val="0"/>
      <w:kern w:val="2"/>
      <w:sz w:val="28"/>
    </w:rPr>
  </w:style>
  <w:style w:type="character" w:customStyle="1" w:styleId="201">
    <w:name w:val="表格內文(20行高) 字元"/>
    <w:link w:val="200"/>
    <w:rsid w:val="00AD7F54"/>
    <w:rPr>
      <w:rFonts w:ascii="標楷體" w:eastAsia="標楷體"/>
      <w:snapToGrid w:val="0"/>
      <w:kern w:val="2"/>
      <w:sz w:val="24"/>
      <w:szCs w:val="28"/>
    </w:rPr>
  </w:style>
  <w:style w:type="character" w:customStyle="1" w:styleId="af0">
    <w:name w:val="註腳文字 字元"/>
    <w:link w:val="af"/>
    <w:uiPriority w:val="99"/>
    <w:rsid w:val="00AD7F54"/>
    <w:rPr>
      <w:rFonts w:ascii="標楷體" w:eastAsia="標楷體"/>
      <w:snapToGrid w:val="0"/>
      <w:kern w:val="2"/>
    </w:rPr>
  </w:style>
  <w:style w:type="paragraph" w:customStyle="1" w:styleId="160">
    <w:name w:val="表格內文(16行高)"/>
    <w:basedOn w:val="200"/>
    <w:rsid w:val="00243A75"/>
    <w:pPr>
      <w:ind w:left="560" w:firstLine="560"/>
      <w:jc w:val="center"/>
    </w:pPr>
  </w:style>
  <w:style w:type="character" w:customStyle="1" w:styleId="24">
    <w:name w:val="(一)(二)(三) 字元2"/>
    <w:rsid w:val="00277FDF"/>
    <w:rPr>
      <w:rFonts w:ascii="標楷體" w:eastAsia="標楷體"/>
      <w:snapToGrid w:val="0"/>
      <w:kern w:val="2"/>
      <w:sz w:val="28"/>
      <w:szCs w:val="28"/>
      <w:lang w:val="en-US" w:eastAsia="zh-TW" w:bidi="ar-SA"/>
    </w:rPr>
  </w:style>
  <w:style w:type="paragraph" w:styleId="af7">
    <w:name w:val="Body Text"/>
    <w:basedOn w:val="a"/>
    <w:link w:val="af8"/>
    <w:rsid w:val="004B6441"/>
    <w:pPr>
      <w:spacing w:line="240" w:lineRule="auto"/>
      <w:ind w:leftChars="0" w:left="0" w:firstLineChars="0" w:firstLine="0"/>
    </w:pPr>
    <w:rPr>
      <w:rFonts w:ascii="Times New Roman"/>
      <w:snapToGrid/>
      <w:sz w:val="32"/>
      <w:szCs w:val="24"/>
    </w:rPr>
  </w:style>
  <w:style w:type="character" w:customStyle="1" w:styleId="af8">
    <w:name w:val="本文 字元"/>
    <w:link w:val="af7"/>
    <w:rsid w:val="004B6441"/>
    <w:rPr>
      <w:rFonts w:eastAsia="標楷體"/>
      <w:kern w:val="2"/>
      <w:sz w:val="32"/>
      <w:szCs w:val="24"/>
    </w:rPr>
  </w:style>
  <w:style w:type="paragraph" w:styleId="af9">
    <w:name w:val="Date"/>
    <w:basedOn w:val="a"/>
    <w:next w:val="a"/>
    <w:link w:val="afa"/>
    <w:rsid w:val="004B6441"/>
    <w:pPr>
      <w:spacing w:line="240" w:lineRule="auto"/>
      <w:ind w:leftChars="0" w:left="0" w:firstLineChars="0" w:firstLine="0"/>
      <w:jc w:val="right"/>
    </w:pPr>
    <w:rPr>
      <w:rFonts w:ascii="Times New Roman"/>
      <w:b/>
      <w:bCs/>
      <w:snapToGrid/>
      <w:sz w:val="36"/>
      <w:szCs w:val="24"/>
    </w:rPr>
  </w:style>
  <w:style w:type="character" w:customStyle="1" w:styleId="afa">
    <w:name w:val="日期 字元"/>
    <w:link w:val="af9"/>
    <w:rsid w:val="004B6441"/>
    <w:rPr>
      <w:rFonts w:eastAsia="標楷體"/>
      <w:b/>
      <w:bCs/>
      <w:kern w:val="2"/>
      <w:sz w:val="36"/>
      <w:szCs w:val="24"/>
    </w:rPr>
  </w:style>
  <w:style w:type="table" w:customStyle="1" w:styleId="11">
    <w:name w:val="表格格線1"/>
    <w:basedOn w:val="a1"/>
    <w:next w:val="af4"/>
    <w:uiPriority w:val="59"/>
    <w:rsid w:val="003F5D69"/>
    <w:rPr>
      <w:rFonts w:ascii="Calibri" w:hAnsi="Calibri" w:cs="Arial"/>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header"/>
    <w:basedOn w:val="a"/>
    <w:link w:val="afc"/>
    <w:rsid w:val="002B2568"/>
    <w:pPr>
      <w:tabs>
        <w:tab w:val="center" w:pos="4153"/>
        <w:tab w:val="right" w:pos="8306"/>
      </w:tabs>
      <w:snapToGrid w:val="0"/>
    </w:pPr>
    <w:rPr>
      <w:sz w:val="20"/>
      <w:szCs w:val="20"/>
    </w:rPr>
  </w:style>
  <w:style w:type="character" w:customStyle="1" w:styleId="afc">
    <w:name w:val="頁首 字元"/>
    <w:link w:val="afb"/>
    <w:rsid w:val="002B2568"/>
    <w:rPr>
      <w:rFonts w:ascii="標楷體" w:eastAsia="標楷體"/>
      <w:snapToGrid w:val="0"/>
      <w:kern w:val="2"/>
    </w:rPr>
  </w:style>
  <w:style w:type="paragraph" w:customStyle="1" w:styleId="Default">
    <w:name w:val="Default"/>
    <w:rsid w:val="00A76B9B"/>
    <w:pPr>
      <w:widowControl w:val="0"/>
      <w:autoSpaceDE w:val="0"/>
      <w:autoSpaceDN w:val="0"/>
      <w:adjustRightInd w:val="0"/>
    </w:pPr>
    <w:rPr>
      <w:rFonts w:ascii="標楷體" w:eastAsia="標楷體" w:cs="標楷體"/>
      <w:color w:val="000000"/>
      <w:sz w:val="24"/>
      <w:szCs w:val="24"/>
    </w:rPr>
  </w:style>
  <w:style w:type="character" w:styleId="afd">
    <w:name w:val="annotation reference"/>
    <w:rsid w:val="009B02ED"/>
    <w:rPr>
      <w:sz w:val="18"/>
      <w:szCs w:val="18"/>
    </w:rPr>
  </w:style>
  <w:style w:type="paragraph" w:styleId="afe">
    <w:name w:val="annotation text"/>
    <w:basedOn w:val="a"/>
    <w:link w:val="aff"/>
    <w:rsid w:val="009B02ED"/>
    <w:pPr>
      <w:jc w:val="left"/>
    </w:pPr>
  </w:style>
  <w:style w:type="character" w:customStyle="1" w:styleId="aff">
    <w:name w:val="註解文字 字元"/>
    <w:link w:val="afe"/>
    <w:rsid w:val="009B02ED"/>
    <w:rPr>
      <w:rFonts w:ascii="標楷體" w:eastAsia="標楷體"/>
      <w:snapToGrid w:val="0"/>
      <w:kern w:val="2"/>
      <w:sz w:val="28"/>
      <w:szCs w:val="28"/>
    </w:rPr>
  </w:style>
  <w:style w:type="paragraph" w:styleId="aff0">
    <w:name w:val="annotation subject"/>
    <w:basedOn w:val="afe"/>
    <w:next w:val="afe"/>
    <w:link w:val="aff1"/>
    <w:rsid w:val="009B02ED"/>
    <w:rPr>
      <w:b/>
      <w:bCs/>
    </w:rPr>
  </w:style>
  <w:style w:type="character" w:customStyle="1" w:styleId="aff1">
    <w:name w:val="註解主旨 字元"/>
    <w:link w:val="aff0"/>
    <w:rsid w:val="009B02ED"/>
    <w:rPr>
      <w:rFonts w:ascii="標楷體" w:eastAsia="標楷體"/>
      <w:b/>
      <w:bCs/>
      <w:snapToGrid w:val="0"/>
      <w:kern w:val="2"/>
      <w:sz w:val="28"/>
      <w:szCs w:val="28"/>
    </w:rPr>
  </w:style>
  <w:style w:type="paragraph" w:customStyle="1" w:styleId="aff2">
    <w:name w:val=" 字元 字元"/>
    <w:basedOn w:val="a"/>
    <w:semiHidden/>
    <w:rsid w:val="004743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435266">
      <w:bodyDiv w:val="1"/>
      <w:marLeft w:val="0"/>
      <w:marRight w:val="0"/>
      <w:marTop w:val="0"/>
      <w:marBottom w:val="0"/>
      <w:divBdr>
        <w:top w:val="none" w:sz="0" w:space="0" w:color="auto"/>
        <w:left w:val="none" w:sz="0" w:space="0" w:color="auto"/>
        <w:bottom w:val="none" w:sz="0" w:space="0" w:color="auto"/>
        <w:right w:val="none" w:sz="0" w:space="0" w:color="auto"/>
      </w:divBdr>
    </w:div>
    <w:div w:id="106824388">
      <w:bodyDiv w:val="1"/>
      <w:marLeft w:val="0"/>
      <w:marRight w:val="0"/>
      <w:marTop w:val="0"/>
      <w:marBottom w:val="0"/>
      <w:divBdr>
        <w:top w:val="none" w:sz="0" w:space="0" w:color="auto"/>
        <w:left w:val="none" w:sz="0" w:space="0" w:color="auto"/>
        <w:bottom w:val="none" w:sz="0" w:space="0" w:color="auto"/>
        <w:right w:val="none" w:sz="0" w:space="0" w:color="auto"/>
      </w:divBdr>
    </w:div>
    <w:div w:id="112751498">
      <w:bodyDiv w:val="1"/>
      <w:marLeft w:val="0"/>
      <w:marRight w:val="0"/>
      <w:marTop w:val="0"/>
      <w:marBottom w:val="0"/>
      <w:divBdr>
        <w:top w:val="none" w:sz="0" w:space="0" w:color="auto"/>
        <w:left w:val="none" w:sz="0" w:space="0" w:color="auto"/>
        <w:bottom w:val="none" w:sz="0" w:space="0" w:color="auto"/>
        <w:right w:val="none" w:sz="0" w:space="0" w:color="auto"/>
      </w:divBdr>
    </w:div>
    <w:div w:id="126894669">
      <w:bodyDiv w:val="1"/>
      <w:marLeft w:val="0"/>
      <w:marRight w:val="0"/>
      <w:marTop w:val="0"/>
      <w:marBottom w:val="0"/>
      <w:divBdr>
        <w:top w:val="none" w:sz="0" w:space="0" w:color="auto"/>
        <w:left w:val="none" w:sz="0" w:space="0" w:color="auto"/>
        <w:bottom w:val="none" w:sz="0" w:space="0" w:color="auto"/>
        <w:right w:val="none" w:sz="0" w:space="0" w:color="auto"/>
      </w:divBdr>
      <w:divsChild>
        <w:div w:id="1664360528">
          <w:marLeft w:val="0"/>
          <w:marRight w:val="0"/>
          <w:marTop w:val="0"/>
          <w:marBottom w:val="0"/>
          <w:divBdr>
            <w:top w:val="none" w:sz="0" w:space="0" w:color="auto"/>
            <w:left w:val="none" w:sz="0" w:space="0" w:color="auto"/>
            <w:bottom w:val="none" w:sz="0" w:space="0" w:color="auto"/>
            <w:right w:val="none" w:sz="0" w:space="0" w:color="auto"/>
          </w:divBdr>
          <w:divsChild>
            <w:div w:id="380592978">
              <w:marLeft w:val="0"/>
              <w:marRight w:val="0"/>
              <w:marTop w:val="165"/>
              <w:marBottom w:val="0"/>
              <w:divBdr>
                <w:top w:val="none" w:sz="0" w:space="0" w:color="auto"/>
                <w:left w:val="none" w:sz="0" w:space="0" w:color="auto"/>
                <w:bottom w:val="none" w:sz="0" w:space="0" w:color="auto"/>
                <w:right w:val="none" w:sz="0" w:space="0" w:color="auto"/>
              </w:divBdr>
            </w:div>
            <w:div w:id="416287729">
              <w:marLeft w:val="0"/>
              <w:marRight w:val="0"/>
              <w:marTop w:val="165"/>
              <w:marBottom w:val="0"/>
              <w:divBdr>
                <w:top w:val="none" w:sz="0" w:space="0" w:color="auto"/>
                <w:left w:val="none" w:sz="0" w:space="0" w:color="auto"/>
                <w:bottom w:val="none" w:sz="0" w:space="0" w:color="auto"/>
                <w:right w:val="none" w:sz="0" w:space="0" w:color="auto"/>
              </w:divBdr>
            </w:div>
            <w:div w:id="789936957">
              <w:marLeft w:val="0"/>
              <w:marRight w:val="0"/>
              <w:marTop w:val="0"/>
              <w:marBottom w:val="0"/>
              <w:divBdr>
                <w:top w:val="none" w:sz="0" w:space="0" w:color="auto"/>
                <w:left w:val="none" w:sz="0" w:space="0" w:color="auto"/>
                <w:bottom w:val="none" w:sz="0" w:space="0" w:color="auto"/>
                <w:right w:val="none" w:sz="0" w:space="0" w:color="auto"/>
              </w:divBdr>
            </w:div>
            <w:div w:id="1073773199">
              <w:marLeft w:val="0"/>
              <w:marRight w:val="0"/>
              <w:marTop w:val="0"/>
              <w:marBottom w:val="180"/>
              <w:divBdr>
                <w:top w:val="none" w:sz="0" w:space="0" w:color="auto"/>
                <w:left w:val="none" w:sz="0" w:space="0" w:color="auto"/>
                <w:bottom w:val="none" w:sz="0" w:space="0" w:color="auto"/>
                <w:right w:val="none" w:sz="0" w:space="0" w:color="auto"/>
              </w:divBdr>
            </w:div>
            <w:div w:id="1441416388">
              <w:marLeft w:val="150"/>
              <w:marRight w:val="0"/>
              <w:marTop w:val="0"/>
              <w:marBottom w:val="0"/>
              <w:divBdr>
                <w:top w:val="none" w:sz="0" w:space="0" w:color="auto"/>
                <w:left w:val="none" w:sz="0" w:space="0" w:color="auto"/>
                <w:bottom w:val="none" w:sz="0" w:space="0" w:color="auto"/>
                <w:right w:val="none" w:sz="0" w:space="0" w:color="auto"/>
              </w:divBdr>
            </w:div>
            <w:div w:id="1646080037">
              <w:marLeft w:val="0"/>
              <w:marRight w:val="0"/>
              <w:marTop w:val="165"/>
              <w:marBottom w:val="0"/>
              <w:divBdr>
                <w:top w:val="none" w:sz="0" w:space="0" w:color="auto"/>
                <w:left w:val="none" w:sz="0" w:space="0" w:color="auto"/>
                <w:bottom w:val="none" w:sz="0" w:space="0" w:color="auto"/>
                <w:right w:val="none" w:sz="0" w:space="0" w:color="auto"/>
              </w:divBdr>
            </w:div>
          </w:divsChild>
        </w:div>
      </w:divsChild>
    </w:div>
    <w:div w:id="356086167">
      <w:bodyDiv w:val="1"/>
      <w:marLeft w:val="0"/>
      <w:marRight w:val="0"/>
      <w:marTop w:val="0"/>
      <w:marBottom w:val="0"/>
      <w:divBdr>
        <w:top w:val="none" w:sz="0" w:space="0" w:color="auto"/>
        <w:left w:val="none" w:sz="0" w:space="0" w:color="auto"/>
        <w:bottom w:val="none" w:sz="0" w:space="0" w:color="auto"/>
        <w:right w:val="none" w:sz="0" w:space="0" w:color="auto"/>
      </w:divBdr>
    </w:div>
    <w:div w:id="524293931">
      <w:bodyDiv w:val="1"/>
      <w:marLeft w:val="0"/>
      <w:marRight w:val="0"/>
      <w:marTop w:val="0"/>
      <w:marBottom w:val="0"/>
      <w:divBdr>
        <w:top w:val="none" w:sz="0" w:space="0" w:color="auto"/>
        <w:left w:val="none" w:sz="0" w:space="0" w:color="auto"/>
        <w:bottom w:val="none" w:sz="0" w:space="0" w:color="auto"/>
        <w:right w:val="none" w:sz="0" w:space="0" w:color="auto"/>
      </w:divBdr>
    </w:div>
    <w:div w:id="579409827">
      <w:bodyDiv w:val="1"/>
      <w:marLeft w:val="0"/>
      <w:marRight w:val="0"/>
      <w:marTop w:val="0"/>
      <w:marBottom w:val="0"/>
      <w:divBdr>
        <w:top w:val="none" w:sz="0" w:space="0" w:color="auto"/>
        <w:left w:val="none" w:sz="0" w:space="0" w:color="auto"/>
        <w:bottom w:val="none" w:sz="0" w:space="0" w:color="auto"/>
        <w:right w:val="none" w:sz="0" w:space="0" w:color="auto"/>
      </w:divBdr>
      <w:divsChild>
        <w:div w:id="19860864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865631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586871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679045300">
      <w:bodyDiv w:val="1"/>
      <w:marLeft w:val="0"/>
      <w:marRight w:val="0"/>
      <w:marTop w:val="0"/>
      <w:marBottom w:val="0"/>
      <w:divBdr>
        <w:top w:val="none" w:sz="0" w:space="0" w:color="auto"/>
        <w:left w:val="none" w:sz="0" w:space="0" w:color="auto"/>
        <w:bottom w:val="none" w:sz="0" w:space="0" w:color="auto"/>
        <w:right w:val="none" w:sz="0" w:space="0" w:color="auto"/>
      </w:divBdr>
    </w:div>
    <w:div w:id="793062422">
      <w:bodyDiv w:val="1"/>
      <w:marLeft w:val="0"/>
      <w:marRight w:val="0"/>
      <w:marTop w:val="0"/>
      <w:marBottom w:val="0"/>
      <w:divBdr>
        <w:top w:val="none" w:sz="0" w:space="0" w:color="auto"/>
        <w:left w:val="none" w:sz="0" w:space="0" w:color="auto"/>
        <w:bottom w:val="none" w:sz="0" w:space="0" w:color="auto"/>
        <w:right w:val="none" w:sz="0" w:space="0" w:color="auto"/>
      </w:divBdr>
    </w:div>
    <w:div w:id="871843903">
      <w:bodyDiv w:val="1"/>
      <w:marLeft w:val="0"/>
      <w:marRight w:val="0"/>
      <w:marTop w:val="0"/>
      <w:marBottom w:val="0"/>
      <w:divBdr>
        <w:top w:val="none" w:sz="0" w:space="0" w:color="auto"/>
        <w:left w:val="none" w:sz="0" w:space="0" w:color="auto"/>
        <w:bottom w:val="none" w:sz="0" w:space="0" w:color="auto"/>
        <w:right w:val="none" w:sz="0" w:space="0" w:color="auto"/>
      </w:divBdr>
    </w:div>
    <w:div w:id="899169278">
      <w:bodyDiv w:val="1"/>
      <w:marLeft w:val="0"/>
      <w:marRight w:val="0"/>
      <w:marTop w:val="0"/>
      <w:marBottom w:val="0"/>
      <w:divBdr>
        <w:top w:val="none" w:sz="0" w:space="0" w:color="auto"/>
        <w:left w:val="none" w:sz="0" w:space="0" w:color="auto"/>
        <w:bottom w:val="none" w:sz="0" w:space="0" w:color="auto"/>
        <w:right w:val="none" w:sz="0" w:space="0" w:color="auto"/>
      </w:divBdr>
    </w:div>
    <w:div w:id="925261604">
      <w:bodyDiv w:val="1"/>
      <w:marLeft w:val="0"/>
      <w:marRight w:val="0"/>
      <w:marTop w:val="0"/>
      <w:marBottom w:val="0"/>
      <w:divBdr>
        <w:top w:val="none" w:sz="0" w:space="0" w:color="auto"/>
        <w:left w:val="none" w:sz="0" w:space="0" w:color="auto"/>
        <w:bottom w:val="none" w:sz="0" w:space="0" w:color="auto"/>
        <w:right w:val="none" w:sz="0" w:space="0" w:color="auto"/>
      </w:divBdr>
    </w:div>
    <w:div w:id="962688321">
      <w:bodyDiv w:val="1"/>
      <w:marLeft w:val="0"/>
      <w:marRight w:val="0"/>
      <w:marTop w:val="0"/>
      <w:marBottom w:val="0"/>
      <w:divBdr>
        <w:top w:val="none" w:sz="0" w:space="0" w:color="auto"/>
        <w:left w:val="none" w:sz="0" w:space="0" w:color="auto"/>
        <w:bottom w:val="none" w:sz="0" w:space="0" w:color="auto"/>
        <w:right w:val="none" w:sz="0" w:space="0" w:color="auto"/>
      </w:divBdr>
    </w:div>
    <w:div w:id="992366323">
      <w:bodyDiv w:val="1"/>
      <w:marLeft w:val="0"/>
      <w:marRight w:val="0"/>
      <w:marTop w:val="0"/>
      <w:marBottom w:val="0"/>
      <w:divBdr>
        <w:top w:val="none" w:sz="0" w:space="0" w:color="auto"/>
        <w:left w:val="none" w:sz="0" w:space="0" w:color="auto"/>
        <w:bottom w:val="none" w:sz="0" w:space="0" w:color="auto"/>
        <w:right w:val="none" w:sz="0" w:space="0" w:color="auto"/>
      </w:divBdr>
    </w:div>
    <w:div w:id="1042559744">
      <w:bodyDiv w:val="1"/>
      <w:marLeft w:val="0"/>
      <w:marRight w:val="0"/>
      <w:marTop w:val="0"/>
      <w:marBottom w:val="0"/>
      <w:divBdr>
        <w:top w:val="none" w:sz="0" w:space="0" w:color="auto"/>
        <w:left w:val="none" w:sz="0" w:space="0" w:color="auto"/>
        <w:bottom w:val="none" w:sz="0" w:space="0" w:color="auto"/>
        <w:right w:val="none" w:sz="0" w:space="0" w:color="auto"/>
      </w:divBdr>
    </w:div>
    <w:div w:id="1434546201">
      <w:bodyDiv w:val="1"/>
      <w:marLeft w:val="0"/>
      <w:marRight w:val="0"/>
      <w:marTop w:val="0"/>
      <w:marBottom w:val="0"/>
      <w:divBdr>
        <w:top w:val="none" w:sz="0" w:space="0" w:color="auto"/>
        <w:left w:val="none" w:sz="0" w:space="0" w:color="auto"/>
        <w:bottom w:val="none" w:sz="0" w:space="0" w:color="auto"/>
        <w:right w:val="none" w:sz="0" w:space="0" w:color="auto"/>
      </w:divBdr>
    </w:div>
    <w:div w:id="1509103533">
      <w:bodyDiv w:val="1"/>
      <w:marLeft w:val="0"/>
      <w:marRight w:val="0"/>
      <w:marTop w:val="0"/>
      <w:marBottom w:val="0"/>
      <w:divBdr>
        <w:top w:val="none" w:sz="0" w:space="0" w:color="auto"/>
        <w:left w:val="none" w:sz="0" w:space="0" w:color="auto"/>
        <w:bottom w:val="none" w:sz="0" w:space="0" w:color="auto"/>
        <w:right w:val="none" w:sz="0" w:space="0" w:color="auto"/>
      </w:divBdr>
      <w:divsChild>
        <w:div w:id="12183993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95617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536382508">
      <w:bodyDiv w:val="1"/>
      <w:marLeft w:val="0"/>
      <w:marRight w:val="0"/>
      <w:marTop w:val="0"/>
      <w:marBottom w:val="0"/>
      <w:divBdr>
        <w:top w:val="none" w:sz="0" w:space="0" w:color="auto"/>
        <w:left w:val="none" w:sz="0" w:space="0" w:color="auto"/>
        <w:bottom w:val="none" w:sz="0" w:space="0" w:color="auto"/>
        <w:right w:val="none" w:sz="0" w:space="0" w:color="auto"/>
      </w:divBdr>
    </w:div>
    <w:div w:id="1547790568">
      <w:bodyDiv w:val="1"/>
      <w:marLeft w:val="0"/>
      <w:marRight w:val="0"/>
      <w:marTop w:val="0"/>
      <w:marBottom w:val="0"/>
      <w:divBdr>
        <w:top w:val="none" w:sz="0" w:space="0" w:color="auto"/>
        <w:left w:val="none" w:sz="0" w:space="0" w:color="auto"/>
        <w:bottom w:val="none" w:sz="0" w:space="0" w:color="auto"/>
        <w:right w:val="none" w:sz="0" w:space="0" w:color="auto"/>
      </w:divBdr>
    </w:div>
    <w:div w:id="1593049845">
      <w:bodyDiv w:val="1"/>
      <w:marLeft w:val="0"/>
      <w:marRight w:val="0"/>
      <w:marTop w:val="0"/>
      <w:marBottom w:val="0"/>
      <w:divBdr>
        <w:top w:val="none" w:sz="0" w:space="0" w:color="auto"/>
        <w:left w:val="none" w:sz="0" w:space="0" w:color="auto"/>
        <w:bottom w:val="none" w:sz="0" w:space="0" w:color="auto"/>
        <w:right w:val="none" w:sz="0" w:space="0" w:color="auto"/>
      </w:divBdr>
    </w:div>
    <w:div w:id="1604069793">
      <w:bodyDiv w:val="1"/>
      <w:marLeft w:val="0"/>
      <w:marRight w:val="0"/>
      <w:marTop w:val="0"/>
      <w:marBottom w:val="0"/>
      <w:divBdr>
        <w:top w:val="none" w:sz="0" w:space="0" w:color="auto"/>
        <w:left w:val="none" w:sz="0" w:space="0" w:color="auto"/>
        <w:bottom w:val="none" w:sz="0" w:space="0" w:color="auto"/>
        <w:right w:val="none" w:sz="0" w:space="0" w:color="auto"/>
      </w:divBdr>
    </w:div>
    <w:div w:id="1650746817">
      <w:bodyDiv w:val="1"/>
      <w:marLeft w:val="0"/>
      <w:marRight w:val="0"/>
      <w:marTop w:val="0"/>
      <w:marBottom w:val="0"/>
      <w:divBdr>
        <w:top w:val="none" w:sz="0" w:space="0" w:color="auto"/>
        <w:left w:val="none" w:sz="0" w:space="0" w:color="auto"/>
        <w:bottom w:val="none" w:sz="0" w:space="0" w:color="auto"/>
        <w:right w:val="none" w:sz="0" w:space="0" w:color="auto"/>
      </w:divBdr>
    </w:div>
    <w:div w:id="1683046152">
      <w:bodyDiv w:val="1"/>
      <w:marLeft w:val="0"/>
      <w:marRight w:val="0"/>
      <w:marTop w:val="0"/>
      <w:marBottom w:val="0"/>
      <w:divBdr>
        <w:top w:val="none" w:sz="0" w:space="0" w:color="auto"/>
        <w:left w:val="none" w:sz="0" w:space="0" w:color="auto"/>
        <w:bottom w:val="none" w:sz="0" w:space="0" w:color="auto"/>
        <w:right w:val="none" w:sz="0" w:space="0" w:color="auto"/>
      </w:divBdr>
    </w:div>
    <w:div w:id="1869442936">
      <w:bodyDiv w:val="1"/>
      <w:marLeft w:val="0"/>
      <w:marRight w:val="0"/>
      <w:marTop w:val="0"/>
      <w:marBottom w:val="0"/>
      <w:divBdr>
        <w:top w:val="none" w:sz="0" w:space="0" w:color="auto"/>
        <w:left w:val="none" w:sz="0" w:space="0" w:color="auto"/>
        <w:bottom w:val="none" w:sz="0" w:space="0" w:color="auto"/>
        <w:right w:val="none" w:sz="0" w:space="0" w:color="auto"/>
      </w:divBdr>
    </w:div>
    <w:div w:id="1910384632">
      <w:bodyDiv w:val="1"/>
      <w:marLeft w:val="0"/>
      <w:marRight w:val="0"/>
      <w:marTop w:val="0"/>
      <w:marBottom w:val="0"/>
      <w:divBdr>
        <w:top w:val="none" w:sz="0" w:space="0" w:color="auto"/>
        <w:left w:val="none" w:sz="0" w:space="0" w:color="auto"/>
        <w:bottom w:val="none" w:sz="0" w:space="0" w:color="auto"/>
        <w:right w:val="none" w:sz="0" w:space="0" w:color="auto"/>
      </w:divBdr>
    </w:div>
    <w:div w:id="1920171813">
      <w:bodyDiv w:val="1"/>
      <w:marLeft w:val="0"/>
      <w:marRight w:val="0"/>
      <w:marTop w:val="0"/>
      <w:marBottom w:val="0"/>
      <w:divBdr>
        <w:top w:val="none" w:sz="0" w:space="0" w:color="auto"/>
        <w:left w:val="none" w:sz="0" w:space="0" w:color="auto"/>
        <w:bottom w:val="none" w:sz="0" w:space="0" w:color="auto"/>
        <w:right w:val="none" w:sz="0" w:space="0" w:color="auto"/>
      </w:divBdr>
    </w:div>
    <w:div w:id="2026208888">
      <w:bodyDiv w:val="1"/>
      <w:marLeft w:val="0"/>
      <w:marRight w:val="0"/>
      <w:marTop w:val="0"/>
      <w:marBottom w:val="0"/>
      <w:divBdr>
        <w:top w:val="none" w:sz="0" w:space="0" w:color="auto"/>
        <w:left w:val="none" w:sz="0" w:space="0" w:color="auto"/>
        <w:bottom w:val="none" w:sz="0" w:space="0" w:color="auto"/>
        <w:right w:val="none" w:sz="0" w:space="0" w:color="auto"/>
      </w:divBdr>
    </w:div>
    <w:div w:id="2066027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CAC74C-77E8-45A3-AB81-BE72E2757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17</Pages>
  <Words>291</Words>
  <Characters>1661</Characters>
  <Application>Microsoft Office Word</Application>
  <DocSecurity>0</DocSecurity>
  <Lines>13</Lines>
  <Paragraphs>3</Paragraphs>
  <ScaleCrop>false</ScaleCrop>
  <Company/>
  <LinksUpToDate>false</LinksUpToDate>
  <CharactersWithSpaces>1949</CharactersWithSpaces>
  <SharedDoc>false</SharedDoc>
  <HLinks>
    <vt:vector size="30" baseType="variant">
      <vt:variant>
        <vt:i4>1179699</vt:i4>
      </vt:variant>
      <vt:variant>
        <vt:i4>26</vt:i4>
      </vt:variant>
      <vt:variant>
        <vt:i4>0</vt:i4>
      </vt:variant>
      <vt:variant>
        <vt:i4>5</vt:i4>
      </vt:variant>
      <vt:variant>
        <vt:lpwstr/>
      </vt:variant>
      <vt:variant>
        <vt:lpwstr>_Toc182558509</vt:lpwstr>
      </vt:variant>
      <vt:variant>
        <vt:i4>1179699</vt:i4>
      </vt:variant>
      <vt:variant>
        <vt:i4>20</vt:i4>
      </vt:variant>
      <vt:variant>
        <vt:i4>0</vt:i4>
      </vt:variant>
      <vt:variant>
        <vt:i4>5</vt:i4>
      </vt:variant>
      <vt:variant>
        <vt:lpwstr/>
      </vt:variant>
      <vt:variant>
        <vt:lpwstr>_Toc182558508</vt:lpwstr>
      </vt:variant>
      <vt:variant>
        <vt:i4>1179699</vt:i4>
      </vt:variant>
      <vt:variant>
        <vt:i4>14</vt:i4>
      </vt:variant>
      <vt:variant>
        <vt:i4>0</vt:i4>
      </vt:variant>
      <vt:variant>
        <vt:i4>5</vt:i4>
      </vt:variant>
      <vt:variant>
        <vt:lpwstr/>
      </vt:variant>
      <vt:variant>
        <vt:lpwstr>_Toc182558507</vt:lpwstr>
      </vt:variant>
      <vt:variant>
        <vt:i4>1179699</vt:i4>
      </vt:variant>
      <vt:variant>
        <vt:i4>8</vt:i4>
      </vt:variant>
      <vt:variant>
        <vt:i4>0</vt:i4>
      </vt:variant>
      <vt:variant>
        <vt:i4>5</vt:i4>
      </vt:variant>
      <vt:variant>
        <vt:lpwstr/>
      </vt:variant>
      <vt:variant>
        <vt:lpwstr>_Toc182558506</vt:lpwstr>
      </vt:variant>
      <vt:variant>
        <vt:i4>1179699</vt:i4>
      </vt:variant>
      <vt:variant>
        <vt:i4>2</vt:i4>
      </vt:variant>
      <vt:variant>
        <vt:i4>0</vt:i4>
      </vt:variant>
      <vt:variant>
        <vt:i4>5</vt:i4>
      </vt:variant>
      <vt:variant>
        <vt:lpwstr/>
      </vt:variant>
      <vt:variant>
        <vt:lpwstr>_Toc182558505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財團法人法律扶助基金會98年度預算評估報告</dc:title>
  <dc:subject/>
  <dc:creator>立法院</dc:creator>
  <cp:keywords/>
  <cp:lastModifiedBy>Administrator</cp:lastModifiedBy>
  <cp:revision>2</cp:revision>
  <cp:lastPrinted>2024-11-18T02:16:00Z</cp:lastPrinted>
  <dcterms:created xsi:type="dcterms:W3CDTF">2024-11-21T06:42:00Z</dcterms:created>
  <dcterms:modified xsi:type="dcterms:W3CDTF">2024-11-21T06:42:00Z</dcterms:modified>
</cp:coreProperties>
</file>