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082AF8" w:rsidRPr="00EE6EE0" w:rsidRDefault="00FE63B7" w:rsidP="00FE63B7">
      <w:pPr>
        <w:pStyle w:val="14"/>
        <w:ind w:left="567" w:hanging="567"/>
        <w:rPr>
          <w:rFonts w:hAnsi="標楷體" w:hint="eastAsia"/>
          <w:snapToGrid/>
        </w:rPr>
      </w:pPr>
      <w:bookmarkStart w:id="10" w:name="_Toc530682134"/>
      <w:bookmarkStart w:id="11" w:name="_Toc181611957"/>
      <w:r w:rsidRPr="00EE6EE0">
        <w:rPr>
          <w:rFonts w:hAnsi="標楷體" w:hint="eastAsia"/>
          <w:snapToGrid/>
          <w:lang w:eastAsia="zh-HK"/>
        </w:rPr>
        <w:t>一</w:t>
      </w:r>
      <w:r w:rsidRPr="00EE6EE0">
        <w:rPr>
          <w:rFonts w:hAnsi="標楷體" w:hint="eastAsia"/>
          <w:snapToGrid/>
        </w:rPr>
        <w:t>、</w:t>
      </w:r>
      <w:r w:rsidR="00DB3A22" w:rsidRPr="00EE6EE0">
        <w:rPr>
          <w:rFonts w:hAnsi="標楷體" w:hint="eastAsia"/>
          <w:snapToGrid/>
        </w:rPr>
        <w:t>臺銀人壽子公司</w:t>
      </w:r>
      <w:r w:rsidR="00A06A0D" w:rsidRPr="00EE6EE0">
        <w:rPr>
          <w:rFonts w:hAnsi="標楷體" w:hint="eastAsia"/>
          <w:snapToGrid/>
        </w:rPr>
        <w:t>持續虧損，</w:t>
      </w:r>
      <w:r w:rsidR="00AD5F34">
        <w:rPr>
          <w:rFonts w:hAnsi="標楷體" w:hint="eastAsia"/>
          <w:snapToGrid/>
        </w:rPr>
        <w:t>1</w:t>
      </w:r>
      <w:r w:rsidR="00AD5F34">
        <w:rPr>
          <w:rFonts w:hAnsi="標楷體"/>
          <w:snapToGrid/>
        </w:rPr>
        <w:t>14</w:t>
      </w:r>
      <w:r w:rsidR="00AD5F34">
        <w:rPr>
          <w:rFonts w:hAnsi="標楷體" w:hint="eastAsia"/>
          <w:snapToGrid/>
        </w:rPr>
        <w:t>年度</w:t>
      </w:r>
      <w:r w:rsidR="00DB3A22">
        <w:rPr>
          <w:rFonts w:hAnsi="標楷體" w:hint="eastAsia"/>
          <w:snapToGrid/>
        </w:rPr>
        <w:t>預計</w:t>
      </w:r>
      <w:r w:rsidR="00AD5F34">
        <w:rPr>
          <w:rFonts w:hAnsi="標楷體" w:hint="eastAsia"/>
          <w:snapToGrid/>
        </w:rPr>
        <w:t>再</w:t>
      </w:r>
      <w:r w:rsidR="00A06A0D" w:rsidRPr="00EE6EE0">
        <w:rPr>
          <w:rFonts w:hAnsi="標楷體" w:hint="eastAsia"/>
          <w:snapToGrid/>
        </w:rPr>
        <w:t>由</w:t>
      </w:r>
      <w:r w:rsidR="00AD5F34" w:rsidRPr="00AD5F34">
        <w:rPr>
          <w:rFonts w:hAnsi="標楷體" w:hint="eastAsia"/>
          <w:snapToGrid/>
        </w:rPr>
        <w:t>臺灣</w:t>
      </w:r>
      <w:r w:rsidR="00A06A0D" w:rsidRPr="00EE6EE0">
        <w:rPr>
          <w:rFonts w:hAnsi="標楷體" w:hint="eastAsia"/>
          <w:snapToGrid/>
        </w:rPr>
        <w:t>金控舉債</w:t>
      </w:r>
      <w:r w:rsidR="00AD5F34">
        <w:rPr>
          <w:rFonts w:hAnsi="標楷體" w:hint="eastAsia"/>
          <w:snapToGrid/>
        </w:rPr>
        <w:t>1</w:t>
      </w:r>
      <w:r w:rsidR="00AD5F34">
        <w:rPr>
          <w:rFonts w:hAnsi="標楷體"/>
          <w:snapToGrid/>
        </w:rPr>
        <w:t>00</w:t>
      </w:r>
      <w:r w:rsidR="00AD5F34">
        <w:rPr>
          <w:rFonts w:hAnsi="標楷體" w:hint="eastAsia"/>
          <w:snapToGrid/>
        </w:rPr>
        <w:t>億元，以支</w:t>
      </w:r>
      <w:r w:rsidR="00A06A0D" w:rsidRPr="00EE6EE0">
        <w:rPr>
          <w:rFonts w:hAnsi="標楷體" w:hint="eastAsia"/>
          <w:snapToGrid/>
        </w:rPr>
        <w:t>應</w:t>
      </w:r>
      <w:r w:rsidR="00AD5F34">
        <w:rPr>
          <w:rFonts w:hAnsi="標楷體" w:hint="eastAsia"/>
          <w:snapToGrid/>
        </w:rPr>
        <w:t>其</w:t>
      </w:r>
      <w:r w:rsidR="00A06A0D" w:rsidRPr="00EE6EE0">
        <w:rPr>
          <w:rFonts w:hAnsi="標楷體" w:hint="eastAsia"/>
          <w:snapToGrid/>
        </w:rPr>
        <w:t>現金增資，惟經營績效仍未見顯著改善，允應積極督促該子公司研謀業務良策</w:t>
      </w:r>
      <w:r w:rsidR="00AD5F34">
        <w:rPr>
          <w:rFonts w:hAnsi="標楷體" w:hint="eastAsia"/>
          <w:snapToGrid/>
        </w:rPr>
        <w:t>，以改善財務結構</w:t>
      </w:r>
      <w:bookmarkEnd w:id="11"/>
    </w:p>
    <w:p w:rsidR="00B32902" w:rsidRPr="00CD0CA3" w:rsidRDefault="00EE6EE0" w:rsidP="0061018B">
      <w:pPr>
        <w:ind w:left="567" w:firstLine="567"/>
        <w:rPr>
          <w:rFonts w:hAnsi="標楷體"/>
          <w:snapToGrid/>
        </w:rPr>
      </w:pPr>
      <w:r w:rsidRPr="00CD0CA3">
        <w:rPr>
          <w:rFonts w:hAnsi="標楷體" w:hint="eastAsia"/>
          <w:snapToGrid/>
        </w:rPr>
        <w:t>臺灣金控11</w:t>
      </w:r>
      <w:r w:rsidR="00DB3A22" w:rsidRPr="00CD0CA3">
        <w:rPr>
          <w:rFonts w:hAnsi="標楷體"/>
          <w:snapToGrid/>
        </w:rPr>
        <w:t>4</w:t>
      </w:r>
      <w:r w:rsidRPr="00CD0CA3">
        <w:rPr>
          <w:rFonts w:hAnsi="標楷體" w:hint="eastAsia"/>
          <w:snapToGrid/>
        </w:rPr>
        <w:t>年度預算案編列本期淨利</w:t>
      </w:r>
      <w:r w:rsidR="00DB3A22" w:rsidRPr="00CD0CA3">
        <w:rPr>
          <w:rFonts w:hAnsi="標楷體"/>
          <w:snapToGrid/>
        </w:rPr>
        <w:t>114</w:t>
      </w:r>
      <w:r w:rsidRPr="00CD0CA3">
        <w:rPr>
          <w:rFonts w:hAnsi="標楷體" w:hint="eastAsia"/>
          <w:snapToGrid/>
        </w:rPr>
        <w:t>億</w:t>
      </w:r>
      <w:r w:rsidR="00DB3A22" w:rsidRPr="00CD0CA3">
        <w:rPr>
          <w:rFonts w:hAnsi="標楷體" w:hint="eastAsia"/>
          <w:snapToGrid/>
        </w:rPr>
        <w:t>8</w:t>
      </w:r>
      <w:r w:rsidRPr="00CD0CA3">
        <w:rPr>
          <w:rFonts w:hAnsi="標楷體" w:hint="eastAsia"/>
          <w:snapToGrid/>
        </w:rPr>
        <w:t>,6</w:t>
      </w:r>
      <w:r w:rsidR="00DB3A22" w:rsidRPr="00CD0CA3">
        <w:rPr>
          <w:rFonts w:hAnsi="標楷體"/>
          <w:snapToGrid/>
        </w:rPr>
        <w:t>47</w:t>
      </w:r>
      <w:r w:rsidRPr="00CD0CA3">
        <w:rPr>
          <w:rFonts w:hAnsi="標楷體" w:hint="eastAsia"/>
          <w:snapToGrid/>
        </w:rPr>
        <w:t>萬元，主要係依權益法認列3家子公司投資利益</w:t>
      </w:r>
      <w:r w:rsidR="00CD0CA3" w:rsidRPr="00CD0CA3">
        <w:rPr>
          <w:rFonts w:hAnsi="標楷體"/>
          <w:snapToGrid/>
        </w:rPr>
        <w:t>124</w:t>
      </w:r>
      <w:r w:rsidRPr="00CD0CA3">
        <w:rPr>
          <w:rFonts w:hAnsi="標楷體" w:hint="eastAsia"/>
          <w:snapToGrid/>
        </w:rPr>
        <w:t>億</w:t>
      </w:r>
      <w:r w:rsidR="00CD0CA3" w:rsidRPr="00CD0CA3">
        <w:rPr>
          <w:rFonts w:hAnsi="標楷體" w:hint="eastAsia"/>
          <w:snapToGrid/>
        </w:rPr>
        <w:t>7</w:t>
      </w:r>
      <w:r w:rsidRPr="00CD0CA3">
        <w:rPr>
          <w:rFonts w:hAnsi="標楷體" w:hint="eastAsia"/>
          <w:snapToGrid/>
        </w:rPr>
        <w:t>,</w:t>
      </w:r>
      <w:r w:rsidR="00CD0CA3" w:rsidRPr="00CD0CA3">
        <w:rPr>
          <w:rFonts w:hAnsi="標楷體"/>
          <w:snapToGrid/>
        </w:rPr>
        <w:t>843</w:t>
      </w:r>
      <w:r w:rsidRPr="00CD0CA3">
        <w:rPr>
          <w:rFonts w:hAnsi="標楷體" w:hint="eastAsia"/>
          <w:snapToGrid/>
        </w:rPr>
        <w:t>萬2千元(包括臺灣銀行投資利益</w:t>
      </w:r>
      <w:r w:rsidR="00CD0CA3" w:rsidRPr="00CD0CA3">
        <w:rPr>
          <w:rFonts w:hAnsi="標楷體" w:hint="eastAsia"/>
          <w:snapToGrid/>
        </w:rPr>
        <w:t>1</w:t>
      </w:r>
      <w:r w:rsidR="00CD0CA3" w:rsidRPr="00CD0CA3">
        <w:rPr>
          <w:rFonts w:hAnsi="標楷體"/>
          <w:snapToGrid/>
        </w:rPr>
        <w:t>27</w:t>
      </w:r>
      <w:r w:rsidRPr="00CD0CA3">
        <w:rPr>
          <w:rFonts w:hAnsi="標楷體" w:hint="eastAsia"/>
          <w:snapToGrid/>
        </w:rPr>
        <w:t>億</w:t>
      </w:r>
      <w:r w:rsidR="00CD0CA3" w:rsidRPr="00CD0CA3">
        <w:rPr>
          <w:rFonts w:hAnsi="標楷體" w:hint="eastAsia"/>
          <w:snapToGrid/>
        </w:rPr>
        <w:t>6</w:t>
      </w:r>
      <w:r w:rsidRPr="00CD0CA3">
        <w:rPr>
          <w:rFonts w:hAnsi="標楷體" w:hint="eastAsia"/>
          <w:snapToGrid/>
        </w:rPr>
        <w:t>,</w:t>
      </w:r>
      <w:r w:rsidR="00CD0CA3" w:rsidRPr="00CD0CA3">
        <w:rPr>
          <w:rFonts w:hAnsi="標楷體"/>
          <w:snapToGrid/>
        </w:rPr>
        <w:t>456</w:t>
      </w:r>
      <w:r w:rsidRPr="00CD0CA3">
        <w:rPr>
          <w:rFonts w:hAnsi="標楷體" w:hint="eastAsia"/>
          <w:snapToGrid/>
        </w:rPr>
        <w:t>萬</w:t>
      </w:r>
      <w:r w:rsidR="00CD0CA3" w:rsidRPr="00CD0CA3">
        <w:rPr>
          <w:rFonts w:hAnsi="標楷體" w:hint="eastAsia"/>
          <w:snapToGrid/>
        </w:rPr>
        <w:t>3</w:t>
      </w:r>
      <w:r w:rsidRPr="00CD0CA3">
        <w:rPr>
          <w:rFonts w:hAnsi="標楷體" w:hint="eastAsia"/>
          <w:snapToGrid/>
        </w:rPr>
        <w:t>千元、臺銀人壽投資損失5億3,</w:t>
      </w:r>
      <w:r w:rsidR="00CD0CA3" w:rsidRPr="00CD0CA3">
        <w:rPr>
          <w:rFonts w:hAnsi="標楷體"/>
          <w:snapToGrid/>
        </w:rPr>
        <w:t>031</w:t>
      </w:r>
      <w:r w:rsidRPr="00CD0CA3">
        <w:rPr>
          <w:rFonts w:hAnsi="標楷體" w:hint="eastAsia"/>
          <w:snapToGrid/>
        </w:rPr>
        <w:t>萬</w:t>
      </w:r>
      <w:r w:rsidR="00CD0CA3" w:rsidRPr="00CD0CA3">
        <w:rPr>
          <w:rFonts w:hAnsi="標楷體" w:hint="eastAsia"/>
          <w:snapToGrid/>
        </w:rPr>
        <w:t>4</w:t>
      </w:r>
      <w:r w:rsidRPr="00CD0CA3">
        <w:rPr>
          <w:rFonts w:hAnsi="標楷體" w:hint="eastAsia"/>
          <w:snapToGrid/>
        </w:rPr>
        <w:t>千元及臺銀證券投資利益2億4,4</w:t>
      </w:r>
      <w:r w:rsidR="00CD0CA3" w:rsidRPr="00CD0CA3">
        <w:rPr>
          <w:rFonts w:hAnsi="標楷體"/>
          <w:snapToGrid/>
        </w:rPr>
        <w:t>18</w:t>
      </w:r>
      <w:r w:rsidRPr="00CD0CA3">
        <w:rPr>
          <w:rFonts w:hAnsi="標楷體" w:hint="eastAsia"/>
          <w:snapToGrid/>
        </w:rPr>
        <w:t>萬</w:t>
      </w:r>
      <w:r w:rsidR="00CD0CA3" w:rsidRPr="00CD0CA3">
        <w:rPr>
          <w:rFonts w:hAnsi="標楷體" w:hint="eastAsia"/>
          <w:snapToGrid/>
        </w:rPr>
        <w:t>3</w:t>
      </w:r>
      <w:r w:rsidRPr="00CD0CA3">
        <w:rPr>
          <w:rFonts w:hAnsi="標楷體" w:hint="eastAsia"/>
          <w:snapToGrid/>
        </w:rPr>
        <w:t>千元)及歸屬母公司收支相抵後之虧損</w:t>
      </w:r>
      <w:r w:rsidR="00CD0CA3" w:rsidRPr="00CD0CA3">
        <w:rPr>
          <w:rFonts w:hAnsi="標楷體" w:hint="eastAsia"/>
          <w:snapToGrid/>
        </w:rPr>
        <w:t>9</w:t>
      </w:r>
      <w:r w:rsidRPr="00CD0CA3">
        <w:rPr>
          <w:rFonts w:hAnsi="標楷體" w:hint="eastAsia"/>
          <w:snapToGrid/>
        </w:rPr>
        <w:t>億9,1</w:t>
      </w:r>
      <w:r w:rsidR="00CD0CA3" w:rsidRPr="00CD0CA3">
        <w:rPr>
          <w:rFonts w:hAnsi="標楷體"/>
          <w:snapToGrid/>
        </w:rPr>
        <w:t>9</w:t>
      </w:r>
      <w:r w:rsidRPr="00CD0CA3">
        <w:rPr>
          <w:rFonts w:hAnsi="標楷體" w:hint="eastAsia"/>
          <w:snapToGrid/>
        </w:rPr>
        <w:t>6萬</w:t>
      </w:r>
      <w:r w:rsidR="00CD0CA3" w:rsidRPr="00CD0CA3">
        <w:rPr>
          <w:rFonts w:hAnsi="標楷體" w:hint="eastAsia"/>
          <w:snapToGrid/>
        </w:rPr>
        <w:t>2</w:t>
      </w:r>
      <w:r w:rsidRPr="00CD0CA3">
        <w:rPr>
          <w:rFonts w:hAnsi="標楷體" w:hint="eastAsia"/>
          <w:snapToGrid/>
        </w:rPr>
        <w:t>千元。經查：</w:t>
      </w:r>
    </w:p>
    <w:p w:rsidR="00184EDE" w:rsidRPr="00CD0CA3" w:rsidRDefault="00184EDE" w:rsidP="00184EDE">
      <w:pPr>
        <w:pStyle w:val="ac"/>
        <w:ind w:left="851" w:hanging="284"/>
        <w:rPr>
          <w:rFonts w:hAnsi="標楷體" w:hint="eastAsia"/>
          <w:b/>
          <w:snapToGrid/>
        </w:rPr>
      </w:pPr>
      <w:r w:rsidRPr="00CD0CA3">
        <w:rPr>
          <w:rFonts w:hAnsi="標楷體" w:hint="eastAsia"/>
          <w:b/>
          <w:snapToGrid/>
        </w:rPr>
        <w:t>(一)</w:t>
      </w:r>
      <w:r w:rsidR="00CD0CA3" w:rsidRPr="00CD0CA3">
        <w:rPr>
          <w:rFonts w:hAnsi="標楷體" w:hint="eastAsia"/>
          <w:b/>
          <w:snapToGrid/>
        </w:rPr>
        <w:t>臺灣金控</w:t>
      </w:r>
      <w:r w:rsidR="00AD5F34">
        <w:rPr>
          <w:rFonts w:hAnsi="標楷體" w:hint="eastAsia"/>
          <w:b/>
          <w:snapToGrid/>
        </w:rPr>
        <w:t>連年</w:t>
      </w:r>
      <w:r w:rsidR="00CD0CA3" w:rsidRPr="00CD0CA3">
        <w:rPr>
          <w:rFonts w:hAnsi="標楷體" w:hint="eastAsia"/>
          <w:b/>
          <w:snapToGrid/>
        </w:rPr>
        <w:t>認列子公司臺銀人壽投資損失</w:t>
      </w:r>
      <w:r w:rsidR="0045462C">
        <w:rPr>
          <w:rFonts w:hAnsi="標楷體" w:hint="eastAsia"/>
          <w:b/>
          <w:snapToGrid/>
        </w:rPr>
        <w:t>，且部分年度損失逾2</w:t>
      </w:r>
      <w:r w:rsidR="0045462C">
        <w:rPr>
          <w:rFonts w:hAnsi="標楷體"/>
          <w:b/>
          <w:snapToGrid/>
        </w:rPr>
        <w:t>0</w:t>
      </w:r>
      <w:r w:rsidR="0045462C">
        <w:rPr>
          <w:rFonts w:hAnsi="標楷體" w:hint="eastAsia"/>
          <w:b/>
          <w:snapToGrid/>
        </w:rPr>
        <w:t>億元</w:t>
      </w:r>
    </w:p>
    <w:p w:rsidR="002354F9" w:rsidRPr="000F4FF2" w:rsidRDefault="00543F57" w:rsidP="00184EDE">
      <w:pPr>
        <w:ind w:leftChars="300" w:left="850" w:firstLine="567"/>
        <w:rPr>
          <w:rFonts w:hAnsi="標楷體" w:cs="全字庫正宋體"/>
          <w:snapToGrid/>
        </w:rPr>
      </w:pPr>
      <w:r w:rsidRPr="000F4FF2">
        <w:rPr>
          <w:rFonts w:hAnsi="標楷體" w:hint="eastAsia"/>
          <w:snapToGrid/>
        </w:rPr>
        <w:t>參據</w:t>
      </w:r>
      <w:r w:rsidR="00CD0CA3" w:rsidRPr="000F4FF2">
        <w:rPr>
          <w:rFonts w:hAnsi="標楷體" w:hint="eastAsia"/>
          <w:snapToGrid/>
        </w:rPr>
        <w:t>107至1</w:t>
      </w:r>
      <w:r w:rsidR="00CD0CA3" w:rsidRPr="000F4FF2">
        <w:rPr>
          <w:rFonts w:hAnsi="標楷體"/>
          <w:snapToGrid/>
        </w:rPr>
        <w:t>12</w:t>
      </w:r>
      <w:r w:rsidR="00CD0CA3" w:rsidRPr="000F4FF2">
        <w:rPr>
          <w:rFonts w:hAnsi="標楷體" w:hint="eastAsia"/>
          <w:snapToGrid/>
        </w:rPr>
        <w:t>年度臺銀金控採用權益法認列子公司投資損益情形(詳表1)，其中於臺灣銀行及臺銀證券</w:t>
      </w:r>
      <w:r w:rsidR="0045462C">
        <w:rPr>
          <w:rFonts w:hAnsi="標楷體" w:hint="eastAsia"/>
          <w:snapToGrid/>
        </w:rPr>
        <w:t>各年度</w:t>
      </w:r>
      <w:r w:rsidR="00CD0CA3" w:rsidRPr="000F4FF2">
        <w:rPr>
          <w:rFonts w:hAnsi="標楷體" w:hint="eastAsia"/>
          <w:snapToGrid/>
        </w:rPr>
        <w:t>均有認</w:t>
      </w:r>
      <w:r w:rsidR="00CD0CA3" w:rsidRPr="000F4FF2">
        <w:rPr>
          <w:rFonts w:hAnsi="標楷體" w:hint="eastAsia"/>
          <w:snapToGrid/>
        </w:rPr>
        <w:lastRenderedPageBreak/>
        <w:t>列投資利益及現金股利，1</w:t>
      </w:r>
      <w:r w:rsidR="00B41629" w:rsidRPr="000F4FF2">
        <w:rPr>
          <w:rFonts w:hAnsi="標楷體"/>
          <w:snapToGrid/>
        </w:rPr>
        <w:t>1</w:t>
      </w:r>
      <w:r w:rsidR="0045462C">
        <w:rPr>
          <w:rFonts w:hAnsi="標楷體"/>
          <w:snapToGrid/>
        </w:rPr>
        <w:t>2</w:t>
      </w:r>
      <w:r w:rsidR="00CD0CA3" w:rsidRPr="000F4FF2">
        <w:rPr>
          <w:rFonts w:hAnsi="標楷體" w:hint="eastAsia"/>
          <w:snapToGrid/>
        </w:rPr>
        <w:t>年度投資利益</w:t>
      </w:r>
      <w:r w:rsidR="0045462C" w:rsidRPr="000F4FF2">
        <w:rPr>
          <w:rFonts w:hAnsi="標楷體" w:hint="eastAsia"/>
          <w:snapToGrid/>
        </w:rPr>
        <w:t>分別認列</w:t>
      </w:r>
      <w:r w:rsidR="000E26C5" w:rsidRPr="00016344">
        <w:rPr>
          <w:rFonts w:hAnsi="標楷體"/>
          <w:snapToGrid/>
        </w:rPr>
        <w:t>238</w:t>
      </w:r>
      <w:r w:rsidR="000E26C5" w:rsidRPr="00016344">
        <w:rPr>
          <w:rFonts w:hAnsi="標楷體" w:hint="eastAsia"/>
          <w:snapToGrid/>
        </w:rPr>
        <w:t>億</w:t>
      </w:r>
      <w:r w:rsidR="000E26C5" w:rsidRPr="00016344">
        <w:rPr>
          <w:rFonts w:hAnsi="標楷體"/>
          <w:snapToGrid/>
        </w:rPr>
        <w:t>1,901</w:t>
      </w:r>
      <w:r w:rsidR="000E26C5" w:rsidRPr="00016344">
        <w:rPr>
          <w:rFonts w:hAnsi="標楷體" w:hint="eastAsia"/>
          <w:snapToGrid/>
        </w:rPr>
        <w:t>萬</w:t>
      </w:r>
      <w:r w:rsidR="000E26C5" w:rsidRPr="00016344">
        <w:rPr>
          <w:rFonts w:hAnsi="標楷體"/>
          <w:snapToGrid/>
        </w:rPr>
        <w:t>6</w:t>
      </w:r>
      <w:r w:rsidR="000E26C5" w:rsidRPr="00016344">
        <w:rPr>
          <w:rFonts w:hAnsi="標楷體" w:hint="eastAsia"/>
          <w:snapToGrid/>
        </w:rPr>
        <w:t>千元</w:t>
      </w:r>
      <w:r w:rsidR="008D7C4E" w:rsidRPr="00016344">
        <w:rPr>
          <w:rFonts w:hAnsi="標楷體" w:hint="eastAsia"/>
          <w:snapToGrid/>
        </w:rPr>
        <w:t>及</w:t>
      </w:r>
      <w:r w:rsidR="000E26C5" w:rsidRPr="00016344">
        <w:rPr>
          <w:rFonts w:hAnsi="標楷體"/>
          <w:snapToGrid/>
        </w:rPr>
        <w:t>4</w:t>
      </w:r>
      <w:r w:rsidR="000E26C5" w:rsidRPr="00016344">
        <w:rPr>
          <w:rFonts w:hAnsi="標楷體" w:hint="eastAsia"/>
          <w:snapToGrid/>
        </w:rPr>
        <w:t>億</w:t>
      </w:r>
      <w:r w:rsidR="000E26C5" w:rsidRPr="00016344">
        <w:rPr>
          <w:rFonts w:hAnsi="標楷體"/>
          <w:snapToGrid/>
        </w:rPr>
        <w:t>6</w:t>
      </w:r>
      <w:r w:rsidR="00016344" w:rsidRPr="00016344">
        <w:rPr>
          <w:rFonts w:hAnsi="標楷體"/>
          <w:snapToGrid/>
        </w:rPr>
        <w:t>,</w:t>
      </w:r>
      <w:r w:rsidR="000E26C5" w:rsidRPr="00016344">
        <w:rPr>
          <w:rFonts w:hAnsi="標楷體"/>
          <w:snapToGrid/>
        </w:rPr>
        <w:t>530</w:t>
      </w:r>
      <w:r w:rsidR="00016344" w:rsidRPr="00016344">
        <w:rPr>
          <w:rFonts w:hAnsi="標楷體" w:hint="eastAsia"/>
          <w:snapToGrid/>
        </w:rPr>
        <w:t>萬</w:t>
      </w:r>
      <w:r w:rsidR="000E26C5" w:rsidRPr="00016344">
        <w:rPr>
          <w:rFonts w:hAnsi="標楷體"/>
          <w:snapToGrid/>
        </w:rPr>
        <w:t>2</w:t>
      </w:r>
      <w:r w:rsidR="00016344" w:rsidRPr="00016344">
        <w:rPr>
          <w:rFonts w:hAnsi="標楷體" w:hint="eastAsia"/>
          <w:snapToGrid/>
        </w:rPr>
        <w:t>千元</w:t>
      </w:r>
      <w:r w:rsidR="00CD0CA3" w:rsidRPr="000F4FF2">
        <w:rPr>
          <w:rFonts w:hAnsi="標楷體" w:hint="eastAsia"/>
          <w:snapToGrid/>
        </w:rPr>
        <w:t>，現金股利</w:t>
      </w:r>
      <w:r w:rsidR="00021422">
        <w:rPr>
          <w:rFonts w:hAnsi="標楷體" w:hint="eastAsia"/>
          <w:snapToGrid/>
        </w:rPr>
        <w:t>分別認列</w:t>
      </w:r>
      <w:r w:rsidR="000E26C5" w:rsidRPr="00016344">
        <w:rPr>
          <w:rFonts w:hAnsi="標楷體"/>
          <w:snapToGrid/>
        </w:rPr>
        <w:t>40</w:t>
      </w:r>
      <w:r w:rsidR="00CD0CA3" w:rsidRPr="00016344">
        <w:rPr>
          <w:rFonts w:hAnsi="標楷體" w:hint="eastAsia"/>
          <w:snapToGrid/>
        </w:rPr>
        <w:t>億元與</w:t>
      </w:r>
      <w:r w:rsidR="000E26C5" w:rsidRPr="00016344">
        <w:rPr>
          <w:rFonts w:hAnsi="標楷體"/>
          <w:snapToGrid/>
        </w:rPr>
        <w:t>2</w:t>
      </w:r>
      <w:r w:rsidR="00016344" w:rsidRPr="00016344">
        <w:rPr>
          <w:rFonts w:hAnsi="標楷體" w:hint="eastAsia"/>
          <w:snapToGrid/>
        </w:rPr>
        <w:t>億</w:t>
      </w:r>
      <w:r w:rsidR="000E26C5" w:rsidRPr="00016344">
        <w:rPr>
          <w:rFonts w:hAnsi="標楷體"/>
          <w:snapToGrid/>
        </w:rPr>
        <w:t>851</w:t>
      </w:r>
      <w:r w:rsidR="00016344" w:rsidRPr="00016344">
        <w:rPr>
          <w:rFonts w:hAnsi="標楷體" w:hint="eastAsia"/>
          <w:snapToGrid/>
        </w:rPr>
        <w:t>萬</w:t>
      </w:r>
      <w:r w:rsidR="000E26C5" w:rsidRPr="00016344">
        <w:rPr>
          <w:rFonts w:hAnsi="標楷體"/>
          <w:snapToGrid/>
        </w:rPr>
        <w:t>8</w:t>
      </w:r>
      <w:r w:rsidR="00CD0CA3" w:rsidRPr="00016344">
        <w:rPr>
          <w:rFonts w:hAnsi="標楷體" w:hint="eastAsia"/>
          <w:snapToGrid/>
        </w:rPr>
        <w:t>千元；惟</w:t>
      </w:r>
      <w:r w:rsidR="008D7C4E" w:rsidRPr="00016344">
        <w:rPr>
          <w:rFonts w:hAnsi="標楷體" w:hint="eastAsia"/>
          <w:snapToGrid/>
        </w:rPr>
        <w:t>同期間卻</w:t>
      </w:r>
      <w:r w:rsidR="008D7C4E">
        <w:rPr>
          <w:rFonts w:hAnsi="標楷體" w:hint="eastAsia"/>
          <w:snapToGrid/>
        </w:rPr>
        <w:t>連年</w:t>
      </w:r>
      <w:r w:rsidR="00CD0CA3" w:rsidRPr="000F4FF2">
        <w:rPr>
          <w:rFonts w:hAnsi="標楷體" w:hint="eastAsia"/>
          <w:snapToGrid/>
        </w:rPr>
        <w:t>認列臺銀人壽投資損失</w:t>
      </w:r>
      <w:r w:rsidR="007A692C">
        <w:rPr>
          <w:rFonts w:hAnsi="標楷體" w:hint="eastAsia"/>
          <w:snapToGrid/>
        </w:rPr>
        <w:t>，其中10</w:t>
      </w:r>
      <w:r w:rsidR="007A692C">
        <w:rPr>
          <w:rFonts w:hAnsi="標楷體"/>
          <w:snapToGrid/>
        </w:rPr>
        <w:t>8</w:t>
      </w:r>
      <w:r w:rsidR="007A692C">
        <w:rPr>
          <w:rFonts w:hAnsi="標楷體" w:hint="eastAsia"/>
          <w:snapToGrid/>
        </w:rPr>
        <w:t>及1</w:t>
      </w:r>
      <w:r w:rsidR="007A692C">
        <w:rPr>
          <w:rFonts w:hAnsi="標楷體"/>
          <w:snapToGrid/>
        </w:rPr>
        <w:t>09</w:t>
      </w:r>
      <w:r w:rsidR="007A692C">
        <w:rPr>
          <w:rFonts w:hAnsi="標楷體" w:hint="eastAsia"/>
          <w:snapToGrid/>
        </w:rPr>
        <w:t>年度均認列損失逾2</w:t>
      </w:r>
      <w:r w:rsidR="007A692C">
        <w:rPr>
          <w:rFonts w:hAnsi="標楷體"/>
          <w:snapToGrid/>
        </w:rPr>
        <w:t>0</w:t>
      </w:r>
      <w:r w:rsidR="007A692C">
        <w:rPr>
          <w:rFonts w:hAnsi="標楷體" w:hint="eastAsia"/>
          <w:snapToGrid/>
        </w:rPr>
        <w:t>億元</w:t>
      </w:r>
      <w:r w:rsidR="00CD0CA3" w:rsidRPr="000F4FF2">
        <w:rPr>
          <w:rFonts w:hAnsi="標楷體" w:hint="eastAsia"/>
          <w:snapToGrid/>
        </w:rPr>
        <w:t>，顯示該金控受臺銀人壽經營績效不善</w:t>
      </w:r>
      <w:r w:rsidR="00B41629" w:rsidRPr="000F4FF2">
        <w:rPr>
          <w:rFonts w:hAnsi="標楷體" w:hint="eastAsia"/>
          <w:snapToGrid/>
        </w:rPr>
        <w:t>而承受之損失影響</w:t>
      </w:r>
      <w:r w:rsidR="007A692C">
        <w:rPr>
          <w:rFonts w:hAnsi="標楷體" w:hint="eastAsia"/>
          <w:snapToGrid/>
        </w:rPr>
        <w:t>頗鉅</w:t>
      </w:r>
      <w:r w:rsidR="00B41629" w:rsidRPr="000F4FF2">
        <w:rPr>
          <w:rFonts w:hAnsi="標楷體" w:hint="eastAsia"/>
          <w:snapToGrid/>
        </w:rPr>
        <w:t>，亟待改善對該子公司之管理效能</w:t>
      </w:r>
      <w:r w:rsidR="007A692C">
        <w:rPr>
          <w:rFonts w:hAnsi="標楷體" w:hint="eastAsia"/>
          <w:snapToGrid/>
        </w:rPr>
        <w:t>。</w:t>
      </w:r>
    </w:p>
    <w:p w:rsidR="00184EDE" w:rsidRPr="000F4FF2" w:rsidRDefault="00184EDE" w:rsidP="00184EDE">
      <w:pPr>
        <w:pStyle w:val="ac"/>
        <w:ind w:left="851" w:hanging="284"/>
        <w:rPr>
          <w:rFonts w:hAnsi="標楷體" w:cs="全字庫正宋體" w:hint="eastAsia"/>
          <w:b/>
          <w:snapToGrid/>
        </w:rPr>
      </w:pPr>
      <w:r w:rsidRPr="000F4FF2">
        <w:rPr>
          <w:rFonts w:hAnsi="標楷體" w:cs="全字庫正宋體" w:hint="eastAsia"/>
          <w:b/>
          <w:snapToGrid/>
        </w:rPr>
        <w:t>(二)</w:t>
      </w:r>
      <w:r w:rsidR="00B41629" w:rsidRPr="000F4FF2">
        <w:rPr>
          <w:rFonts w:hAnsi="標楷體" w:cs="全字庫正宋體" w:hint="eastAsia"/>
          <w:b/>
          <w:snapToGrid/>
        </w:rPr>
        <w:t>臺銀人壽子公司持續虧損，</w:t>
      </w:r>
      <w:r w:rsidR="007A692C">
        <w:rPr>
          <w:rFonts w:hAnsi="標楷體" w:cs="全字庫正宋體" w:hint="eastAsia"/>
          <w:b/>
          <w:snapToGrid/>
        </w:rPr>
        <w:t>歷次均</w:t>
      </w:r>
      <w:r w:rsidR="00B112A3" w:rsidRPr="00B112A3">
        <w:rPr>
          <w:rFonts w:hAnsi="標楷體" w:cs="全字庫正宋體" w:hint="eastAsia"/>
          <w:b/>
          <w:snapToGrid/>
        </w:rPr>
        <w:t>由</w:t>
      </w:r>
      <w:r w:rsidR="007A692C" w:rsidRPr="00612D4E">
        <w:rPr>
          <w:rFonts w:hAnsi="標楷體" w:cs="全字庫正宋體" w:hint="eastAsia"/>
          <w:b/>
          <w:snapToGrid/>
        </w:rPr>
        <w:t>臺灣</w:t>
      </w:r>
      <w:r w:rsidR="00B112A3" w:rsidRPr="00B112A3">
        <w:rPr>
          <w:rFonts w:hAnsi="標楷體" w:cs="全字庫正宋體" w:hint="eastAsia"/>
          <w:b/>
          <w:snapToGrid/>
        </w:rPr>
        <w:t>金控以舉債</w:t>
      </w:r>
      <w:r w:rsidR="007A692C">
        <w:rPr>
          <w:rFonts w:hAnsi="標楷體" w:cs="全字庫正宋體" w:hint="eastAsia"/>
          <w:b/>
          <w:snapToGrid/>
        </w:rPr>
        <w:t>支</w:t>
      </w:r>
      <w:r w:rsidR="00B112A3" w:rsidRPr="00B112A3">
        <w:rPr>
          <w:rFonts w:hAnsi="標楷體" w:cs="全字庫正宋體" w:hint="eastAsia"/>
          <w:b/>
          <w:snapToGrid/>
        </w:rPr>
        <w:t>應</w:t>
      </w:r>
      <w:r w:rsidR="007A692C">
        <w:rPr>
          <w:rFonts w:hAnsi="標楷體" w:cs="全字庫正宋體" w:hint="eastAsia"/>
          <w:b/>
          <w:snapToGrid/>
        </w:rPr>
        <w:t>其</w:t>
      </w:r>
      <w:r w:rsidR="00B112A3" w:rsidRPr="00B112A3">
        <w:rPr>
          <w:rFonts w:hAnsi="標楷體" w:cs="全字庫正宋體" w:hint="eastAsia"/>
          <w:b/>
          <w:snapToGrid/>
        </w:rPr>
        <w:t>現金增資，</w:t>
      </w:r>
      <w:r w:rsidR="00B41629" w:rsidRPr="000F4FF2">
        <w:rPr>
          <w:rFonts w:hAnsi="標楷體" w:cs="全字庫正宋體" w:hint="eastAsia"/>
          <w:b/>
          <w:snapToGrid/>
        </w:rPr>
        <w:t>惟各次增資後</w:t>
      </w:r>
      <w:r w:rsidR="007A692C">
        <w:rPr>
          <w:rFonts w:hAnsi="標楷體" w:cs="全字庫正宋體" w:hint="eastAsia"/>
          <w:b/>
          <w:snapToGrid/>
        </w:rPr>
        <w:t>之</w:t>
      </w:r>
      <w:r w:rsidR="00B41629" w:rsidRPr="000F4FF2">
        <w:rPr>
          <w:rFonts w:hAnsi="標楷體" w:cs="全字庫正宋體" w:hint="eastAsia"/>
          <w:b/>
          <w:snapToGrid/>
        </w:rPr>
        <w:t>經營績效</w:t>
      </w:r>
      <w:r w:rsidR="000F4FF2" w:rsidRPr="000F4FF2">
        <w:rPr>
          <w:rFonts w:hAnsi="標楷體" w:cs="全字庫正宋體" w:hint="eastAsia"/>
          <w:b/>
          <w:snapToGrid/>
        </w:rPr>
        <w:t>未見顯著改善</w:t>
      </w:r>
    </w:p>
    <w:p w:rsidR="00DD2CED" w:rsidRPr="00867B48" w:rsidRDefault="00DD2CED" w:rsidP="00DD2CED">
      <w:pPr>
        <w:ind w:leftChars="300" w:left="850" w:firstLine="567"/>
        <w:rPr>
          <w:rFonts w:hAnsi="標楷體" w:cs="全字庫正宋體" w:hint="eastAsia"/>
          <w:snapToGrid/>
        </w:rPr>
      </w:pPr>
      <w:r w:rsidRPr="00867B48">
        <w:rPr>
          <w:rFonts w:hAnsi="標楷體" w:cs="全字庫正宋體" w:hint="eastAsia"/>
          <w:snapToGrid/>
        </w:rPr>
        <w:t>按臺銀人壽(股)公司係臺灣金控100%持股子公司，於97年自金控另一子公司臺灣銀行之人壽保險業務部門分割營業資產及負債而設立；初期資本額50億元，嗣後為強化資本結構辦理多次私募現金增資，並均由母公司認購所發行增資股，迄11</w:t>
      </w:r>
      <w:r w:rsidR="00867B48" w:rsidRPr="00867B48">
        <w:rPr>
          <w:rFonts w:hAnsi="標楷體" w:cs="全字庫正宋體"/>
          <w:snapToGrid/>
        </w:rPr>
        <w:t>2</w:t>
      </w:r>
      <w:r w:rsidRPr="00867B48">
        <w:rPr>
          <w:rFonts w:hAnsi="標楷體" w:cs="全字庫正宋體" w:hint="eastAsia"/>
          <w:snapToGrid/>
        </w:rPr>
        <w:t>年已辦理</w:t>
      </w:r>
      <w:r w:rsidR="00867B48" w:rsidRPr="00867B48">
        <w:rPr>
          <w:rFonts w:hAnsi="標楷體" w:cs="全字庫正宋體" w:hint="eastAsia"/>
          <w:snapToGrid/>
        </w:rPr>
        <w:t>7</w:t>
      </w:r>
      <w:r w:rsidRPr="00867B48">
        <w:rPr>
          <w:rFonts w:hAnsi="標楷體" w:cs="全字庫正宋體" w:hint="eastAsia"/>
          <w:snapToGrid/>
        </w:rPr>
        <w:t>次增資，累計挹注資金達</w:t>
      </w:r>
      <w:r w:rsidR="00867B48" w:rsidRPr="00867B48">
        <w:rPr>
          <w:rFonts w:hAnsi="標楷體" w:cs="全字庫正宋體" w:hint="eastAsia"/>
          <w:snapToGrid/>
        </w:rPr>
        <w:t>4</w:t>
      </w:r>
      <w:r w:rsidR="00867B48" w:rsidRPr="00867B48">
        <w:rPr>
          <w:rFonts w:hAnsi="標楷體" w:cs="全字庫正宋體"/>
          <w:snapToGrid/>
        </w:rPr>
        <w:t>4</w:t>
      </w:r>
      <w:r w:rsidRPr="00867B48">
        <w:rPr>
          <w:rFonts w:hAnsi="標楷體" w:cs="全字庫正宋體" w:hint="eastAsia"/>
          <w:snapToGrid/>
        </w:rPr>
        <w:t>5億元</w:t>
      </w:r>
      <w:r w:rsidR="00EF196B">
        <w:rPr>
          <w:rFonts w:hAnsi="標楷體" w:cs="全字庫正宋體" w:hint="eastAsia"/>
          <w:snapToGrid/>
        </w:rPr>
        <w:t>，預計</w:t>
      </w:r>
      <w:r w:rsidR="00EF196B" w:rsidRPr="00016344">
        <w:rPr>
          <w:rFonts w:hAnsi="標楷體" w:cs="全字庫正宋體" w:hint="eastAsia"/>
          <w:snapToGrid/>
        </w:rPr>
        <w:t>1</w:t>
      </w:r>
      <w:r w:rsidR="00EF196B" w:rsidRPr="00016344">
        <w:rPr>
          <w:rFonts w:hAnsi="標楷體" w:cs="全字庫正宋體"/>
          <w:snapToGrid/>
        </w:rPr>
        <w:t>13</w:t>
      </w:r>
      <w:r w:rsidR="00EF196B" w:rsidRPr="00016344">
        <w:rPr>
          <w:rFonts w:hAnsi="標楷體" w:cs="全字庫正宋體" w:hint="eastAsia"/>
          <w:snapToGrid/>
        </w:rPr>
        <w:t>及1</w:t>
      </w:r>
      <w:r w:rsidR="00EF196B" w:rsidRPr="00016344">
        <w:rPr>
          <w:rFonts w:hAnsi="標楷體" w:cs="全字庫正宋體"/>
          <w:snapToGrid/>
        </w:rPr>
        <w:t>14</w:t>
      </w:r>
      <w:r w:rsidR="00EF196B" w:rsidRPr="00016344">
        <w:rPr>
          <w:rFonts w:hAnsi="標楷體" w:cs="全字庫正宋體" w:hint="eastAsia"/>
          <w:snapToGrid/>
        </w:rPr>
        <w:t>年度再辦理第8次及第9次增資</w:t>
      </w:r>
      <w:r w:rsidRPr="00016344">
        <w:rPr>
          <w:rFonts w:hAnsi="標楷體" w:cs="全字庫正宋體" w:hint="eastAsia"/>
          <w:snapToGrid/>
        </w:rPr>
        <w:t>，</w:t>
      </w:r>
      <w:r w:rsidR="00EF196B">
        <w:rPr>
          <w:rFonts w:hAnsi="標楷體" w:cs="全字庫正宋體" w:hint="eastAsia"/>
          <w:snapToGrid/>
        </w:rPr>
        <w:t>各為4</w:t>
      </w:r>
      <w:r w:rsidR="00EF196B">
        <w:rPr>
          <w:rFonts w:hAnsi="標楷體" w:cs="全字庫正宋體"/>
          <w:snapToGrid/>
        </w:rPr>
        <w:t>0</w:t>
      </w:r>
      <w:r w:rsidR="00EF196B">
        <w:rPr>
          <w:rFonts w:hAnsi="標楷體" w:cs="全字庫正宋體" w:hint="eastAsia"/>
          <w:snapToGrid/>
        </w:rPr>
        <w:t>億元及1</w:t>
      </w:r>
      <w:r w:rsidR="00EF196B">
        <w:rPr>
          <w:rFonts w:hAnsi="標楷體" w:cs="全字庫正宋體"/>
          <w:snapToGrid/>
        </w:rPr>
        <w:t>00</w:t>
      </w:r>
      <w:r w:rsidR="00EF196B">
        <w:rPr>
          <w:rFonts w:hAnsi="標楷體" w:cs="全字庫正宋體" w:hint="eastAsia"/>
          <w:snapToGrid/>
        </w:rPr>
        <w:t>億元。謹</w:t>
      </w:r>
      <w:r w:rsidRPr="00867B48">
        <w:rPr>
          <w:rFonts w:hAnsi="標楷體" w:cs="全字庫正宋體" w:hint="eastAsia"/>
          <w:snapToGrid/>
        </w:rPr>
        <w:t>分述如次：</w:t>
      </w:r>
    </w:p>
    <w:p w:rsidR="00DD2CED" w:rsidRPr="00DD2CED" w:rsidRDefault="00DD2CED" w:rsidP="00DD2CED">
      <w:pPr>
        <w:pStyle w:val="123"/>
        <w:ind w:left="1133" w:hanging="283"/>
        <w:rPr>
          <w:rFonts w:hint="eastAsia"/>
          <w:snapToGrid/>
          <w:color w:val="000000"/>
        </w:rPr>
      </w:pPr>
      <w:r w:rsidRPr="00DD2CED">
        <w:rPr>
          <w:rFonts w:hint="eastAsia"/>
          <w:snapToGrid/>
          <w:color w:val="000000"/>
        </w:rPr>
        <w:t>1.98年度及99年度辦理增資各20億元及40億元，以提升資本適足率。</w:t>
      </w:r>
    </w:p>
    <w:p w:rsidR="00DD2CED" w:rsidRPr="00DD2CED" w:rsidRDefault="00DD2CED" w:rsidP="00DD2CED">
      <w:pPr>
        <w:pStyle w:val="123"/>
        <w:ind w:left="1133" w:hanging="283"/>
        <w:rPr>
          <w:rFonts w:hint="eastAsia"/>
          <w:snapToGrid/>
          <w:color w:val="000000"/>
        </w:rPr>
      </w:pPr>
      <w:r w:rsidRPr="00DD2CED">
        <w:rPr>
          <w:rFonts w:hint="eastAsia"/>
          <w:snapToGrid/>
          <w:color w:val="000000"/>
        </w:rPr>
        <w:t>2.102年度為因應國際財務報導準則(IFRSs)實施及調整資產長期配置比重等，辦理第3度增資60億元。</w:t>
      </w:r>
    </w:p>
    <w:p w:rsidR="00DD2CED" w:rsidRPr="00DD2CED" w:rsidRDefault="00DD2CED" w:rsidP="00DD2CED">
      <w:pPr>
        <w:pStyle w:val="123"/>
        <w:ind w:left="1133" w:hanging="283"/>
        <w:rPr>
          <w:rFonts w:hint="eastAsia"/>
          <w:snapToGrid/>
          <w:color w:val="000000"/>
        </w:rPr>
      </w:pPr>
      <w:r w:rsidRPr="00DD2CED">
        <w:rPr>
          <w:rFonts w:hint="eastAsia"/>
          <w:snapToGrid/>
          <w:color w:val="000000"/>
        </w:rPr>
        <w:t>3.104年度受舊保單利差損及增提準備金等影響，辦理第4次增資55億元。</w:t>
      </w:r>
    </w:p>
    <w:p w:rsidR="00DD2CED" w:rsidRPr="00DD2CED" w:rsidRDefault="00DD2CED" w:rsidP="00DD2CED">
      <w:pPr>
        <w:pStyle w:val="123"/>
        <w:ind w:left="1133" w:hanging="283"/>
        <w:rPr>
          <w:rFonts w:hint="eastAsia"/>
          <w:snapToGrid/>
          <w:color w:val="000000"/>
        </w:rPr>
      </w:pPr>
      <w:r w:rsidRPr="00DD2CED">
        <w:rPr>
          <w:rFonts w:hint="eastAsia"/>
          <w:snapToGrid/>
          <w:color w:val="000000"/>
        </w:rPr>
        <w:t>4.107年度為強化資本結構並提升資產配置之風險承擔能力，辦理第5度增資100億元。</w:t>
      </w:r>
    </w:p>
    <w:p w:rsidR="002354F9" w:rsidRDefault="00DD2CED" w:rsidP="00DD2CED">
      <w:pPr>
        <w:pStyle w:val="123"/>
        <w:ind w:left="1133" w:hanging="283"/>
        <w:rPr>
          <w:snapToGrid/>
          <w:color w:val="000000"/>
        </w:rPr>
      </w:pPr>
      <w:r w:rsidRPr="00DD2CED">
        <w:rPr>
          <w:rFonts w:hint="eastAsia"/>
          <w:snapToGrid/>
          <w:color w:val="000000"/>
        </w:rPr>
        <w:t>5.110年度辦理第6度增資110億元。</w:t>
      </w:r>
    </w:p>
    <w:p w:rsidR="00867B48" w:rsidRDefault="00867B48" w:rsidP="00DD2CED">
      <w:pPr>
        <w:pStyle w:val="123"/>
        <w:ind w:left="1133" w:hanging="283"/>
        <w:rPr>
          <w:snapToGrid/>
          <w:color w:val="000000"/>
        </w:rPr>
      </w:pPr>
      <w:r>
        <w:rPr>
          <w:snapToGrid/>
          <w:color w:val="000000"/>
        </w:rPr>
        <w:t>6.</w:t>
      </w:r>
      <w:r w:rsidRPr="00DD2CED">
        <w:rPr>
          <w:rFonts w:hint="eastAsia"/>
          <w:snapToGrid/>
          <w:color w:val="000000"/>
        </w:rPr>
        <w:t>11</w:t>
      </w:r>
      <w:r>
        <w:rPr>
          <w:snapToGrid/>
          <w:color w:val="000000"/>
        </w:rPr>
        <w:t>2</w:t>
      </w:r>
      <w:r w:rsidRPr="00DD2CED">
        <w:rPr>
          <w:rFonts w:hint="eastAsia"/>
          <w:snapToGrid/>
          <w:color w:val="000000"/>
        </w:rPr>
        <w:t>年度辦理第</w:t>
      </w:r>
      <w:r w:rsidR="005D1D89">
        <w:rPr>
          <w:snapToGrid/>
          <w:color w:val="000000"/>
        </w:rPr>
        <w:t>7</w:t>
      </w:r>
      <w:r w:rsidRPr="00DD2CED">
        <w:rPr>
          <w:rFonts w:hint="eastAsia"/>
          <w:snapToGrid/>
          <w:color w:val="000000"/>
        </w:rPr>
        <w:t>度增資</w:t>
      </w:r>
      <w:r w:rsidR="005D1D89">
        <w:rPr>
          <w:snapToGrid/>
          <w:color w:val="000000"/>
        </w:rPr>
        <w:t>6</w:t>
      </w:r>
      <w:r w:rsidRPr="00DD2CED">
        <w:rPr>
          <w:rFonts w:hint="eastAsia"/>
          <w:snapToGrid/>
          <w:color w:val="000000"/>
        </w:rPr>
        <w:t>0億元。</w:t>
      </w:r>
    </w:p>
    <w:p w:rsidR="00EF196B" w:rsidRDefault="005D1D89" w:rsidP="00DD2CED">
      <w:pPr>
        <w:pStyle w:val="123"/>
        <w:ind w:left="1133" w:hanging="283"/>
        <w:rPr>
          <w:snapToGrid/>
          <w:color w:val="000000"/>
        </w:rPr>
      </w:pPr>
      <w:r>
        <w:rPr>
          <w:snapToGrid/>
          <w:color w:val="000000"/>
        </w:rPr>
        <w:t>7.</w:t>
      </w:r>
      <w:r w:rsidR="00EF196B" w:rsidRPr="005D1D89">
        <w:rPr>
          <w:rFonts w:hint="eastAsia"/>
          <w:snapToGrid/>
          <w:color w:val="000000"/>
        </w:rPr>
        <w:t>11</w:t>
      </w:r>
      <w:r w:rsidR="00EF196B">
        <w:rPr>
          <w:snapToGrid/>
          <w:color w:val="000000"/>
        </w:rPr>
        <w:t>3</w:t>
      </w:r>
      <w:r w:rsidR="00EF196B" w:rsidRPr="005D1D89">
        <w:rPr>
          <w:rFonts w:hint="eastAsia"/>
          <w:snapToGrid/>
          <w:color w:val="000000"/>
        </w:rPr>
        <w:t>年度</w:t>
      </w:r>
      <w:r w:rsidR="00EF196B">
        <w:rPr>
          <w:rFonts w:hint="eastAsia"/>
          <w:snapToGrid/>
          <w:color w:val="000000"/>
        </w:rPr>
        <w:t>擬</w:t>
      </w:r>
      <w:r w:rsidR="00EF196B" w:rsidRPr="005D1D89">
        <w:rPr>
          <w:rFonts w:hint="eastAsia"/>
          <w:snapToGrid/>
          <w:color w:val="000000"/>
        </w:rPr>
        <w:t>辦理第</w:t>
      </w:r>
      <w:r w:rsidR="00EF196B">
        <w:rPr>
          <w:rFonts w:hint="eastAsia"/>
          <w:snapToGrid/>
          <w:color w:val="000000"/>
        </w:rPr>
        <w:t>8</w:t>
      </w:r>
      <w:r w:rsidR="00EF196B" w:rsidRPr="005D1D89">
        <w:rPr>
          <w:rFonts w:hint="eastAsia"/>
          <w:snapToGrid/>
          <w:color w:val="000000"/>
        </w:rPr>
        <w:t>度增資</w:t>
      </w:r>
      <w:r w:rsidR="00EF196B">
        <w:rPr>
          <w:rFonts w:hint="eastAsia"/>
          <w:snapToGrid/>
          <w:color w:val="000000"/>
        </w:rPr>
        <w:t>4</w:t>
      </w:r>
      <w:r w:rsidR="00EF196B">
        <w:rPr>
          <w:snapToGrid/>
          <w:color w:val="000000"/>
        </w:rPr>
        <w:t>0</w:t>
      </w:r>
      <w:r w:rsidR="00EF196B" w:rsidRPr="005D1D89">
        <w:rPr>
          <w:rFonts w:hint="eastAsia"/>
          <w:snapToGrid/>
          <w:color w:val="000000"/>
        </w:rPr>
        <w:t>億元。</w:t>
      </w:r>
    </w:p>
    <w:p w:rsidR="005D1D89" w:rsidRPr="005D1D89" w:rsidRDefault="00EF196B" w:rsidP="00DD2CED">
      <w:pPr>
        <w:pStyle w:val="123"/>
        <w:ind w:left="1133" w:hanging="283"/>
        <w:rPr>
          <w:rFonts w:hint="eastAsia"/>
          <w:snapToGrid/>
          <w:color w:val="000000"/>
        </w:rPr>
      </w:pPr>
      <w:r>
        <w:rPr>
          <w:snapToGrid/>
          <w:color w:val="000000"/>
        </w:rPr>
        <w:lastRenderedPageBreak/>
        <w:t>8.</w:t>
      </w:r>
      <w:r w:rsidR="005D1D89" w:rsidRPr="005D1D89">
        <w:rPr>
          <w:rFonts w:hint="eastAsia"/>
          <w:snapToGrid/>
          <w:color w:val="000000"/>
        </w:rPr>
        <w:t>11</w:t>
      </w:r>
      <w:r w:rsidR="005D1D89">
        <w:rPr>
          <w:snapToGrid/>
          <w:color w:val="000000"/>
        </w:rPr>
        <w:t>4</w:t>
      </w:r>
      <w:r w:rsidR="005D1D89" w:rsidRPr="005D1D89">
        <w:rPr>
          <w:rFonts w:hint="eastAsia"/>
          <w:snapToGrid/>
          <w:color w:val="000000"/>
        </w:rPr>
        <w:t>年度</w:t>
      </w:r>
      <w:r w:rsidR="005D1D89">
        <w:rPr>
          <w:rFonts w:hint="eastAsia"/>
          <w:snapToGrid/>
          <w:color w:val="000000"/>
        </w:rPr>
        <w:t>擬</w:t>
      </w:r>
      <w:r w:rsidR="005D1D89" w:rsidRPr="005D1D89">
        <w:rPr>
          <w:rFonts w:hint="eastAsia"/>
          <w:snapToGrid/>
          <w:color w:val="000000"/>
        </w:rPr>
        <w:t>辦理第</w:t>
      </w:r>
      <w:r>
        <w:rPr>
          <w:rFonts w:hint="eastAsia"/>
          <w:snapToGrid/>
          <w:color w:val="000000"/>
        </w:rPr>
        <w:t>9</w:t>
      </w:r>
      <w:r w:rsidR="005D1D89" w:rsidRPr="005D1D89">
        <w:rPr>
          <w:rFonts w:hint="eastAsia"/>
          <w:snapToGrid/>
          <w:color w:val="000000"/>
        </w:rPr>
        <w:t>度增資10</w:t>
      </w:r>
      <w:r w:rsidR="005D1D89">
        <w:rPr>
          <w:snapToGrid/>
          <w:color w:val="000000"/>
        </w:rPr>
        <w:t>0</w:t>
      </w:r>
      <w:r w:rsidR="005D1D89" w:rsidRPr="005D1D89">
        <w:rPr>
          <w:rFonts w:hint="eastAsia"/>
          <w:snapToGrid/>
          <w:color w:val="000000"/>
        </w:rPr>
        <w:t>億元。</w:t>
      </w:r>
    </w:p>
    <w:p w:rsidR="005D1D89" w:rsidRDefault="00612D4E" w:rsidP="005D1D89">
      <w:pPr>
        <w:ind w:leftChars="300" w:left="850" w:firstLine="567"/>
        <w:rPr>
          <w:rFonts w:hAnsi="標楷體" w:cs="全字庫正宋體"/>
          <w:snapToGrid/>
        </w:rPr>
      </w:pPr>
      <w:r>
        <w:rPr>
          <w:rFonts w:hAnsi="標楷體" w:cs="全字庫正宋體" w:hint="eastAsia"/>
          <w:snapToGrid/>
        </w:rPr>
        <w:t>由於</w:t>
      </w:r>
      <w:r w:rsidR="005D1D89" w:rsidRPr="005D1D89">
        <w:rPr>
          <w:rFonts w:hAnsi="標楷體" w:cs="全字庫正宋體" w:hint="eastAsia"/>
          <w:snapToGrid/>
        </w:rPr>
        <w:t>該等現金增資之資金來源係由臺灣金控以舉債方式支應，據該金控說明，經考量市場利率水準及撙節利息支出，將預計舉借長期債務均改以短期債務支應</w:t>
      </w:r>
      <w:r w:rsidR="00021422">
        <w:rPr>
          <w:rFonts w:hAnsi="標楷體" w:cs="全字庫正宋體" w:hint="eastAsia"/>
          <w:snapToGrid/>
        </w:rPr>
        <w:t>。</w:t>
      </w:r>
      <w:r w:rsidR="005D1D89" w:rsidRPr="005D1D89">
        <w:rPr>
          <w:rFonts w:hAnsi="標楷體" w:cs="全字庫正宋體" w:hint="eastAsia"/>
          <w:snapToGrid/>
        </w:rPr>
        <w:t>參據該金控10</w:t>
      </w:r>
      <w:r w:rsidR="00DB6BF8">
        <w:rPr>
          <w:rFonts w:hAnsi="標楷體" w:cs="全字庫正宋體"/>
          <w:snapToGrid/>
        </w:rPr>
        <w:t>9</w:t>
      </w:r>
      <w:r w:rsidR="005D1D89" w:rsidRPr="005D1D89">
        <w:rPr>
          <w:rFonts w:hAnsi="標楷體" w:cs="全字庫正宋體" w:hint="eastAsia"/>
          <w:snapToGrid/>
        </w:rPr>
        <w:t>至11</w:t>
      </w:r>
      <w:r w:rsidR="00DB6BF8">
        <w:rPr>
          <w:rFonts w:hAnsi="標楷體" w:cs="全字庫正宋體"/>
          <w:snapToGrid/>
        </w:rPr>
        <w:t>4</w:t>
      </w:r>
      <w:r w:rsidR="005D1D89" w:rsidRPr="005D1D89">
        <w:rPr>
          <w:rFonts w:hAnsi="標楷體" w:cs="全字庫正宋體" w:hint="eastAsia"/>
          <w:snapToGrid/>
        </w:rPr>
        <w:t>年度借款及利息費用情形(詳表2)，11</w:t>
      </w:r>
      <w:r>
        <w:rPr>
          <w:rFonts w:hAnsi="標楷體" w:cs="全字庫正宋體"/>
          <w:snapToGrid/>
        </w:rPr>
        <w:t>4</w:t>
      </w:r>
      <w:r w:rsidR="005D1D89" w:rsidRPr="005D1D89">
        <w:rPr>
          <w:rFonts w:hAnsi="標楷體" w:cs="全字庫正宋體" w:hint="eastAsia"/>
          <w:snapToGrid/>
        </w:rPr>
        <w:t>年度因</w:t>
      </w:r>
      <w:r w:rsidRPr="00612D4E">
        <w:rPr>
          <w:rFonts w:hAnsi="標楷體" w:cs="全字庫正宋體" w:hint="eastAsia"/>
          <w:snapToGrid/>
        </w:rPr>
        <w:t>臺銀人壽</w:t>
      </w:r>
      <w:r>
        <w:rPr>
          <w:rFonts w:hAnsi="標楷體" w:cs="全字庫正宋體" w:hint="eastAsia"/>
          <w:snapToGrid/>
        </w:rPr>
        <w:t>子公司預計</w:t>
      </w:r>
      <w:r w:rsidR="005D1D89" w:rsidRPr="005D1D89">
        <w:rPr>
          <w:rFonts w:hAnsi="標楷體" w:cs="全字庫正宋體" w:hint="eastAsia"/>
          <w:snapToGrid/>
        </w:rPr>
        <w:t>現金增資</w:t>
      </w:r>
      <w:r>
        <w:rPr>
          <w:rFonts w:hAnsi="標楷體" w:cs="全字庫正宋體"/>
          <w:snapToGrid/>
        </w:rPr>
        <w:t>10</w:t>
      </w:r>
      <w:r w:rsidR="005D1D89" w:rsidRPr="005D1D89">
        <w:rPr>
          <w:rFonts w:hAnsi="標楷體" w:cs="全字庫正宋體" w:hint="eastAsia"/>
          <w:snapToGrid/>
        </w:rPr>
        <w:t>0億元，</w:t>
      </w:r>
      <w:r w:rsidRPr="00612D4E">
        <w:rPr>
          <w:rFonts w:hAnsi="標楷體" w:cs="全字庫正宋體" w:hint="eastAsia"/>
          <w:snapToGrid/>
        </w:rPr>
        <w:t>爰臺灣金控</w:t>
      </w:r>
      <w:r w:rsidR="005D1D89" w:rsidRPr="005D1D89">
        <w:rPr>
          <w:rFonts w:hAnsi="標楷體" w:cs="全字庫正宋體" w:hint="eastAsia"/>
          <w:snapToGrid/>
        </w:rPr>
        <w:t>借款</w:t>
      </w:r>
      <w:r>
        <w:rPr>
          <w:rFonts w:hAnsi="標楷體" w:cs="全字庫正宋體" w:hint="eastAsia"/>
          <w:snapToGrid/>
        </w:rPr>
        <w:t>餘</w:t>
      </w:r>
      <w:r w:rsidR="005D1D89" w:rsidRPr="005D1D89">
        <w:rPr>
          <w:rFonts w:hAnsi="標楷體" w:cs="全字庫正宋體" w:hint="eastAsia"/>
          <w:snapToGrid/>
        </w:rPr>
        <w:t>額增至</w:t>
      </w:r>
      <w:r w:rsidR="005D1D89">
        <w:rPr>
          <w:rFonts w:hAnsi="標楷體" w:cs="全字庫正宋體"/>
          <w:snapToGrid/>
        </w:rPr>
        <w:t>5</w:t>
      </w:r>
      <w:r>
        <w:rPr>
          <w:rFonts w:hAnsi="標楷體" w:cs="全字庫正宋體"/>
          <w:snapToGrid/>
        </w:rPr>
        <w:t>21</w:t>
      </w:r>
      <w:r w:rsidR="005D1D89" w:rsidRPr="005D1D89">
        <w:rPr>
          <w:rFonts w:hAnsi="標楷體" w:cs="全字庫正宋體" w:hint="eastAsia"/>
          <w:snapToGrid/>
        </w:rPr>
        <w:t>億元並編列利息費用</w:t>
      </w:r>
      <w:r>
        <w:rPr>
          <w:rFonts w:hAnsi="標楷體" w:cs="全字庫正宋體"/>
          <w:snapToGrid/>
        </w:rPr>
        <w:t>8</w:t>
      </w:r>
      <w:r w:rsidR="005D1D89" w:rsidRPr="005D1D89">
        <w:rPr>
          <w:rFonts w:hAnsi="標楷體" w:cs="全字庫正宋體" w:hint="eastAsia"/>
          <w:snapToGrid/>
        </w:rPr>
        <w:t>億</w:t>
      </w:r>
      <w:r>
        <w:rPr>
          <w:rFonts w:hAnsi="標楷體" w:cs="全字庫正宋體" w:hint="eastAsia"/>
          <w:snapToGrid/>
        </w:rPr>
        <w:t>8</w:t>
      </w:r>
      <w:r>
        <w:rPr>
          <w:rFonts w:hAnsi="標楷體" w:cs="全字庫正宋體"/>
          <w:snapToGrid/>
        </w:rPr>
        <w:t>,570</w:t>
      </w:r>
      <w:r w:rsidR="005D1D89" w:rsidRPr="005D1D89">
        <w:rPr>
          <w:rFonts w:hAnsi="標楷體" w:cs="全字庫正宋體" w:hint="eastAsia"/>
          <w:snapToGrid/>
        </w:rPr>
        <w:t>萬元；惟該金控以往年度利息費用實際支付係以借入短期債務支應核算，致各年度利息費用預算執行率</w:t>
      </w:r>
      <w:r w:rsidR="00117DA7">
        <w:rPr>
          <w:rFonts w:hAnsi="標楷體" w:cs="全字庫正宋體" w:hint="eastAsia"/>
          <w:snapToGrid/>
        </w:rPr>
        <w:t>多</w:t>
      </w:r>
      <w:r w:rsidR="005D1D89" w:rsidRPr="005D1D89">
        <w:rPr>
          <w:rFonts w:hAnsi="標楷體" w:cs="全字庫正宋體" w:hint="eastAsia"/>
          <w:snapToGrid/>
        </w:rPr>
        <w:t>低於</w:t>
      </w:r>
      <w:r w:rsidR="00117DA7">
        <w:rPr>
          <w:rFonts w:hAnsi="標楷體" w:cs="全字庫正宋體" w:hint="eastAsia"/>
          <w:snapToGrid/>
        </w:rPr>
        <w:t>7</w:t>
      </w:r>
      <w:r w:rsidR="005D1D89" w:rsidRPr="005D1D89">
        <w:rPr>
          <w:rFonts w:hAnsi="標楷體" w:cs="全字庫正宋體" w:hint="eastAsia"/>
          <w:snapToGrid/>
        </w:rPr>
        <w:t>成，允宜覈實編列所需預算。又該金控雖持續增資挹注臺銀人壽，期能改善其財務結構，惟虧損問題</w:t>
      </w:r>
      <w:r w:rsidR="00276F31">
        <w:rPr>
          <w:rFonts w:hAnsi="標楷體" w:cs="全字庫正宋體" w:hint="eastAsia"/>
          <w:snapToGrid/>
        </w:rPr>
        <w:t>未見明顯改善</w:t>
      </w:r>
      <w:r w:rsidR="005D1D89" w:rsidRPr="005D1D89">
        <w:rPr>
          <w:rFonts w:hAnsi="標楷體" w:cs="全字庫正宋體" w:hint="eastAsia"/>
          <w:snapToGrid/>
        </w:rPr>
        <w:t>，由102年度淨損4.11億元</w:t>
      </w:r>
      <w:r w:rsidR="00276F31">
        <w:rPr>
          <w:rFonts w:hAnsi="標楷體" w:cs="全字庫正宋體" w:hint="eastAsia"/>
          <w:snapToGrid/>
        </w:rPr>
        <w:t>概</w:t>
      </w:r>
      <w:r w:rsidR="005D1D89" w:rsidRPr="005D1D89">
        <w:rPr>
          <w:rFonts w:hAnsi="標楷體" w:cs="全字庫正宋體" w:hint="eastAsia"/>
          <w:snapToGrid/>
        </w:rPr>
        <w:t>擴增至1</w:t>
      </w:r>
      <w:r w:rsidR="00DB6BF8">
        <w:rPr>
          <w:rFonts w:hAnsi="標楷體" w:cs="全字庫正宋體"/>
          <w:snapToGrid/>
        </w:rPr>
        <w:t>11</w:t>
      </w:r>
      <w:r w:rsidR="005D1D89" w:rsidRPr="005D1D89">
        <w:rPr>
          <w:rFonts w:hAnsi="標楷體" w:cs="全字庫正宋體" w:hint="eastAsia"/>
          <w:snapToGrid/>
        </w:rPr>
        <w:t>年度</w:t>
      </w:r>
      <w:r w:rsidR="00DB6BF8">
        <w:rPr>
          <w:rFonts w:hAnsi="標楷體" w:cs="全字庫正宋體"/>
          <w:snapToGrid/>
        </w:rPr>
        <w:t>11</w:t>
      </w:r>
      <w:r w:rsidR="005D1D89" w:rsidRPr="005D1D89">
        <w:rPr>
          <w:rFonts w:hAnsi="標楷體" w:cs="全字庫正宋體" w:hint="eastAsia"/>
          <w:snapToGrid/>
        </w:rPr>
        <w:t>.</w:t>
      </w:r>
      <w:r w:rsidR="00DB6BF8">
        <w:rPr>
          <w:rFonts w:hAnsi="標楷體" w:cs="全字庫正宋體"/>
          <w:snapToGrid/>
        </w:rPr>
        <w:t>69</w:t>
      </w:r>
      <w:r w:rsidR="005D1D89" w:rsidRPr="005D1D89">
        <w:rPr>
          <w:rFonts w:hAnsi="標楷體" w:cs="全字庫正宋體" w:hint="eastAsia"/>
          <w:snapToGrid/>
        </w:rPr>
        <w:t>億元，</w:t>
      </w:r>
      <w:r w:rsidR="00276F31">
        <w:rPr>
          <w:rFonts w:hAnsi="標楷體" w:cs="全字庫正宋體" w:hint="eastAsia"/>
          <w:snapToGrid/>
        </w:rPr>
        <w:t>雖1</w:t>
      </w:r>
      <w:r w:rsidR="00276F31">
        <w:rPr>
          <w:rFonts w:hAnsi="標楷體" w:cs="全字庫正宋體"/>
          <w:snapToGrid/>
        </w:rPr>
        <w:t>12</w:t>
      </w:r>
      <w:r w:rsidR="00276F31">
        <w:rPr>
          <w:rFonts w:hAnsi="標楷體" w:cs="全字庫正宋體" w:hint="eastAsia"/>
          <w:snapToGrid/>
        </w:rPr>
        <w:t>年度虧損降至0</w:t>
      </w:r>
      <w:r w:rsidR="00276F31">
        <w:rPr>
          <w:rFonts w:hAnsi="標楷體" w:cs="全字庫正宋體"/>
          <w:snapToGrid/>
        </w:rPr>
        <w:t>.98</w:t>
      </w:r>
      <w:r w:rsidR="00276F31">
        <w:rPr>
          <w:rFonts w:hAnsi="標楷體" w:cs="全字庫正宋體" w:hint="eastAsia"/>
          <w:snapToGrid/>
        </w:rPr>
        <w:t>億元，然</w:t>
      </w:r>
      <w:r w:rsidR="005D1D89" w:rsidRPr="005D1D89">
        <w:rPr>
          <w:rFonts w:hAnsi="標楷體" w:cs="全字庫正宋體" w:hint="eastAsia"/>
          <w:snapToGrid/>
        </w:rPr>
        <w:t>整體經營體質未能因各次現金增資而有顯著改善。</w:t>
      </w:r>
    </w:p>
    <w:p w:rsidR="00DB6BF8" w:rsidRPr="00E031A7" w:rsidRDefault="00DB6BF8" w:rsidP="0026774E">
      <w:pPr>
        <w:spacing w:line="400" w:lineRule="exact"/>
        <w:ind w:leftChars="-200" w:left="-567" w:firstLineChars="0" w:firstLine="0"/>
        <w:jc w:val="left"/>
        <w:rPr>
          <w:rFonts w:hAnsi="標楷體" w:hint="eastAsia"/>
          <w:snapToGrid/>
        </w:rPr>
      </w:pPr>
      <w:r w:rsidRPr="00E031A7">
        <w:rPr>
          <w:rFonts w:hAnsi="標楷體" w:hint="eastAsia"/>
          <w:b/>
          <w:snapToGrid/>
          <w:lang w:eastAsia="zh-HK"/>
        </w:rPr>
        <w:t>表</w:t>
      </w:r>
      <w:r w:rsidRPr="00E031A7">
        <w:rPr>
          <w:rFonts w:hAnsi="標楷體" w:hint="eastAsia"/>
          <w:b/>
          <w:snapToGrid/>
        </w:rPr>
        <w:t>1臺灣金控</w:t>
      </w:r>
      <w:r>
        <w:rPr>
          <w:rFonts w:hAnsi="標楷體" w:hint="eastAsia"/>
          <w:b/>
          <w:snapToGrid/>
        </w:rPr>
        <w:t>107</w:t>
      </w:r>
      <w:r w:rsidR="00276F31">
        <w:rPr>
          <w:rFonts w:hAnsi="標楷體" w:hint="eastAsia"/>
          <w:b/>
          <w:snapToGrid/>
        </w:rPr>
        <w:t>至</w:t>
      </w:r>
      <w:r>
        <w:rPr>
          <w:rFonts w:hAnsi="標楷體" w:hint="eastAsia"/>
          <w:b/>
          <w:snapToGrid/>
        </w:rPr>
        <w:t>1</w:t>
      </w:r>
      <w:r>
        <w:rPr>
          <w:rFonts w:hAnsi="標楷體"/>
          <w:b/>
          <w:snapToGrid/>
        </w:rPr>
        <w:t>1</w:t>
      </w:r>
      <w:r w:rsidR="00276F31">
        <w:rPr>
          <w:rFonts w:hAnsi="標楷體"/>
          <w:b/>
          <w:snapToGrid/>
        </w:rPr>
        <w:t>3</w:t>
      </w:r>
      <w:r w:rsidRPr="00E031A7">
        <w:rPr>
          <w:rFonts w:hAnsi="標楷體" w:hint="eastAsia"/>
          <w:b/>
          <w:snapToGrid/>
        </w:rPr>
        <w:t>年</w:t>
      </w:r>
      <w:r>
        <w:rPr>
          <w:rFonts w:hAnsi="標楷體" w:hint="eastAsia"/>
          <w:b/>
          <w:snapToGrid/>
          <w:lang w:eastAsia="zh-HK"/>
        </w:rPr>
        <w:t>度依</w:t>
      </w:r>
      <w:r>
        <w:rPr>
          <w:rFonts w:hAnsi="標楷體" w:hint="eastAsia"/>
          <w:b/>
          <w:snapToGrid/>
        </w:rPr>
        <w:t>權益法認列</w:t>
      </w:r>
      <w:r>
        <w:rPr>
          <w:rFonts w:hAnsi="標楷體" w:hint="eastAsia"/>
          <w:b/>
          <w:snapToGrid/>
          <w:lang w:eastAsia="zh-HK"/>
        </w:rPr>
        <w:t>各</w:t>
      </w:r>
      <w:r w:rsidRPr="00E031A7">
        <w:rPr>
          <w:rFonts w:hAnsi="標楷體" w:hint="eastAsia"/>
          <w:b/>
          <w:snapToGrid/>
        </w:rPr>
        <w:t>子公司</w:t>
      </w:r>
      <w:r>
        <w:rPr>
          <w:rFonts w:hAnsi="標楷體" w:hint="eastAsia"/>
          <w:b/>
          <w:snapToGrid/>
          <w:lang w:eastAsia="zh-HK"/>
        </w:rPr>
        <w:t>之投資</w:t>
      </w:r>
      <w:r w:rsidRPr="00E031A7">
        <w:rPr>
          <w:rFonts w:hAnsi="標楷體" w:hint="eastAsia"/>
          <w:b/>
          <w:snapToGrid/>
        </w:rPr>
        <w:t>損益</w:t>
      </w:r>
      <w:r>
        <w:rPr>
          <w:rFonts w:hAnsi="標楷體" w:hint="eastAsia"/>
          <w:b/>
          <w:snapToGrid/>
          <w:lang w:eastAsia="zh-HK"/>
        </w:rPr>
        <w:t>情形</w:t>
      </w:r>
      <w:r w:rsidR="00276F31">
        <w:rPr>
          <w:rFonts w:hAnsi="標楷體" w:hint="eastAsia"/>
          <w:b/>
          <w:snapToGrid/>
        </w:rPr>
        <w:t>表</w:t>
      </w:r>
    </w:p>
    <w:p w:rsidR="00DB6BF8" w:rsidRPr="005E5B94" w:rsidRDefault="00DB6BF8" w:rsidP="0026774E">
      <w:pPr>
        <w:spacing w:line="400" w:lineRule="exact"/>
        <w:ind w:leftChars="0" w:left="0" w:rightChars="100" w:right="283" w:firstLineChars="0" w:firstLine="0"/>
        <w:jc w:val="right"/>
        <w:rPr>
          <w:rFonts w:hAnsi="標楷體" w:hint="eastAsia"/>
          <w:snapToGrid/>
          <w:sz w:val="24"/>
          <w:szCs w:val="24"/>
        </w:rPr>
      </w:pPr>
      <w:r w:rsidRPr="005E5B94">
        <w:rPr>
          <w:rFonts w:hAnsi="標楷體" w:hint="eastAsia"/>
          <w:snapToGrid/>
          <w:sz w:val="24"/>
          <w:szCs w:val="24"/>
        </w:rPr>
        <w:t>單位:新臺幣千元</w:t>
      </w:r>
    </w:p>
    <w:tbl>
      <w:tblPr>
        <w:tblW w:w="8931"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07"/>
        <w:gridCol w:w="1384"/>
        <w:gridCol w:w="1346"/>
        <w:gridCol w:w="1275"/>
        <w:gridCol w:w="1117"/>
        <w:gridCol w:w="1034"/>
        <w:gridCol w:w="1268"/>
      </w:tblGrid>
      <w:tr w:rsidR="00DB6BF8" w:rsidRPr="006471F7" w:rsidTr="0026774E">
        <w:tc>
          <w:tcPr>
            <w:tcW w:w="1507" w:type="dxa"/>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項目</w:t>
            </w:r>
          </w:p>
        </w:tc>
        <w:tc>
          <w:tcPr>
            <w:tcW w:w="2730" w:type="dxa"/>
            <w:gridSpan w:val="2"/>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臺灣銀行</w:t>
            </w:r>
          </w:p>
        </w:tc>
        <w:tc>
          <w:tcPr>
            <w:tcW w:w="2392" w:type="dxa"/>
            <w:gridSpan w:val="2"/>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臺銀人壽</w:t>
            </w:r>
          </w:p>
        </w:tc>
        <w:tc>
          <w:tcPr>
            <w:tcW w:w="2302" w:type="dxa"/>
            <w:gridSpan w:val="2"/>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臺銀證券</w:t>
            </w:r>
          </w:p>
        </w:tc>
      </w:tr>
      <w:tr w:rsidR="00DB6BF8" w:rsidRPr="006471F7" w:rsidTr="0026774E">
        <w:tc>
          <w:tcPr>
            <w:tcW w:w="1507" w:type="dxa"/>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年度</w:t>
            </w:r>
            <w:r w:rsidR="00276F31">
              <w:rPr>
                <w:rFonts w:hAnsi="標楷體" w:hint="eastAsia"/>
                <w:snapToGrid/>
                <w:color w:val="000000"/>
                <w:spacing w:val="-5"/>
                <w:kern w:val="0"/>
                <w:sz w:val="24"/>
                <w:szCs w:val="24"/>
              </w:rPr>
              <w:t>/月</w:t>
            </w:r>
          </w:p>
        </w:tc>
        <w:tc>
          <w:tcPr>
            <w:tcW w:w="1384"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346"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現金股利</w:t>
            </w:r>
          </w:p>
        </w:tc>
        <w:tc>
          <w:tcPr>
            <w:tcW w:w="1275"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117"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現金股利</w:t>
            </w:r>
          </w:p>
        </w:tc>
        <w:tc>
          <w:tcPr>
            <w:tcW w:w="1034"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268"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現金股利</w:t>
            </w:r>
          </w:p>
        </w:tc>
      </w:tr>
      <w:tr w:rsidR="00DB6BF8" w:rsidRPr="006471F7" w:rsidTr="0026774E">
        <w:tc>
          <w:tcPr>
            <w:tcW w:w="1507" w:type="dxa"/>
            <w:shd w:val="clear" w:color="auto" w:fill="auto"/>
          </w:tcPr>
          <w:p w:rsidR="00DB6BF8" w:rsidRPr="006471F7" w:rsidRDefault="00DB6BF8"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107</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10</w:t>
            </w:r>
            <w:r w:rsidRPr="006471F7">
              <w:rPr>
                <w:rFonts w:hAnsi="標楷體"/>
                <w:snapToGrid/>
                <w:color w:val="000000"/>
                <w:spacing w:val="-5"/>
                <w:kern w:val="0"/>
                <w:sz w:val="24"/>
                <w:szCs w:val="24"/>
              </w:rPr>
              <w:t>,245,206</w:t>
            </w:r>
          </w:p>
        </w:tc>
        <w:tc>
          <w:tcPr>
            <w:tcW w:w="1346" w:type="dxa"/>
            <w:shd w:val="clear" w:color="auto" w:fill="auto"/>
          </w:tcPr>
          <w:p w:rsidR="00DB6BF8" w:rsidRPr="006471F7" w:rsidRDefault="00DB6BF8" w:rsidP="00B07798">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800,000</w:t>
            </w:r>
          </w:p>
        </w:tc>
        <w:tc>
          <w:tcPr>
            <w:tcW w:w="1275"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-978,894</w:t>
            </w:r>
          </w:p>
        </w:tc>
        <w:tc>
          <w:tcPr>
            <w:tcW w:w="1117"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125,742</w:t>
            </w:r>
          </w:p>
        </w:tc>
        <w:tc>
          <w:tcPr>
            <w:tcW w:w="1268"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79,429</w:t>
            </w:r>
          </w:p>
        </w:tc>
      </w:tr>
      <w:tr w:rsidR="00DB6BF8" w:rsidRPr="006471F7" w:rsidTr="0026774E">
        <w:tc>
          <w:tcPr>
            <w:tcW w:w="1507" w:type="dxa"/>
            <w:shd w:val="clear" w:color="auto" w:fill="auto"/>
          </w:tcPr>
          <w:p w:rsidR="00DB6BF8" w:rsidRPr="006471F7" w:rsidRDefault="00DB6BF8"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108</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11,390,413</w:t>
            </w:r>
          </w:p>
        </w:tc>
        <w:tc>
          <w:tcPr>
            <w:tcW w:w="1346" w:type="dxa"/>
            <w:shd w:val="clear" w:color="auto" w:fill="auto"/>
          </w:tcPr>
          <w:p w:rsidR="00DB6BF8" w:rsidRPr="006471F7" w:rsidRDefault="00DB6BF8" w:rsidP="00B07798">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800,000</w:t>
            </w:r>
          </w:p>
        </w:tc>
        <w:tc>
          <w:tcPr>
            <w:tcW w:w="1275"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-2,239,815</w:t>
            </w:r>
          </w:p>
        </w:tc>
        <w:tc>
          <w:tcPr>
            <w:tcW w:w="1117"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197,434</w:t>
            </w:r>
          </w:p>
        </w:tc>
        <w:tc>
          <w:tcPr>
            <w:tcW w:w="1268"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115,523</w:t>
            </w:r>
          </w:p>
        </w:tc>
      </w:tr>
      <w:tr w:rsidR="00DB6BF8" w:rsidRPr="006471F7" w:rsidTr="0026774E">
        <w:tc>
          <w:tcPr>
            <w:tcW w:w="1507" w:type="dxa"/>
            <w:shd w:val="clear" w:color="auto" w:fill="auto"/>
          </w:tcPr>
          <w:p w:rsidR="00DB6BF8" w:rsidRPr="006471F7" w:rsidRDefault="00DB6BF8"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109</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11,515,350</w:t>
            </w:r>
          </w:p>
        </w:tc>
        <w:tc>
          <w:tcPr>
            <w:tcW w:w="1346" w:type="dxa"/>
            <w:shd w:val="clear" w:color="auto" w:fill="auto"/>
          </w:tcPr>
          <w:p w:rsidR="00DB6BF8" w:rsidRPr="006471F7" w:rsidRDefault="00DB6BF8" w:rsidP="00B07798">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2,125,912</w:t>
            </w:r>
          </w:p>
        </w:tc>
        <w:tc>
          <w:tcPr>
            <w:tcW w:w="1275"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-2,574,585</w:t>
            </w:r>
          </w:p>
        </w:tc>
        <w:tc>
          <w:tcPr>
            <w:tcW w:w="1117"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387,724</w:t>
            </w:r>
          </w:p>
        </w:tc>
        <w:tc>
          <w:tcPr>
            <w:tcW w:w="1268"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95,465</w:t>
            </w:r>
          </w:p>
        </w:tc>
      </w:tr>
      <w:tr w:rsidR="00DB6BF8" w:rsidRPr="006471F7" w:rsidTr="0026774E">
        <w:tc>
          <w:tcPr>
            <w:tcW w:w="1507" w:type="dxa"/>
            <w:shd w:val="clear" w:color="auto" w:fill="auto"/>
          </w:tcPr>
          <w:p w:rsidR="00DB6BF8" w:rsidRPr="006471F7" w:rsidRDefault="006F3B6A"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w:t>
            </w:r>
            <w:r w:rsidRPr="006471F7">
              <w:rPr>
                <w:rFonts w:hAnsi="標楷體" w:hint="eastAsia"/>
                <w:snapToGrid/>
                <w:color w:val="000000"/>
                <w:spacing w:val="-5"/>
                <w:kern w:val="0"/>
                <w:sz w:val="24"/>
                <w:szCs w:val="24"/>
              </w:rPr>
              <w:t>0</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6F3B6A" w:rsidP="00F056B3">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15,281,161</w:t>
            </w:r>
          </w:p>
        </w:tc>
        <w:tc>
          <w:tcPr>
            <w:tcW w:w="1346" w:type="dxa"/>
            <w:shd w:val="clear" w:color="auto" w:fill="auto"/>
          </w:tcPr>
          <w:p w:rsidR="00DB6BF8" w:rsidRPr="006471F7" w:rsidRDefault="006F3B6A" w:rsidP="00B07798">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3,181,976</w:t>
            </w:r>
          </w:p>
        </w:tc>
        <w:tc>
          <w:tcPr>
            <w:tcW w:w="1275" w:type="dxa"/>
            <w:shd w:val="clear" w:color="auto" w:fill="auto"/>
          </w:tcPr>
          <w:p w:rsidR="00DB6BF8" w:rsidRPr="006471F7" w:rsidRDefault="00B07798" w:rsidP="00F056B3">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-224,043</w:t>
            </w:r>
          </w:p>
        </w:tc>
        <w:tc>
          <w:tcPr>
            <w:tcW w:w="1117" w:type="dxa"/>
            <w:shd w:val="clear" w:color="auto" w:fill="auto"/>
          </w:tcPr>
          <w:p w:rsidR="00DB6BF8" w:rsidRPr="006471F7" w:rsidRDefault="00B07798" w:rsidP="00F056B3">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883,440</w:t>
            </w:r>
          </w:p>
        </w:tc>
        <w:tc>
          <w:tcPr>
            <w:tcW w:w="1268"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450,000</w:t>
            </w:r>
          </w:p>
        </w:tc>
      </w:tr>
      <w:tr w:rsidR="00DB6BF8" w:rsidRPr="006471F7" w:rsidTr="0026774E">
        <w:tc>
          <w:tcPr>
            <w:tcW w:w="1507" w:type="dxa"/>
            <w:shd w:val="clear" w:color="auto" w:fill="auto"/>
          </w:tcPr>
          <w:p w:rsidR="00DB6BF8" w:rsidRPr="006471F7" w:rsidRDefault="006F3B6A"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11</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6F3B6A" w:rsidP="00F056B3">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17,045,818</w:t>
            </w:r>
          </w:p>
        </w:tc>
        <w:tc>
          <w:tcPr>
            <w:tcW w:w="1346" w:type="dxa"/>
            <w:shd w:val="clear" w:color="auto" w:fill="auto"/>
          </w:tcPr>
          <w:p w:rsidR="00DB6BF8" w:rsidRPr="006471F7" w:rsidRDefault="006F3B6A" w:rsidP="00B07798">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3,300,000</w:t>
            </w:r>
          </w:p>
        </w:tc>
        <w:tc>
          <w:tcPr>
            <w:tcW w:w="1275" w:type="dxa"/>
            <w:shd w:val="clear" w:color="auto" w:fill="auto"/>
          </w:tcPr>
          <w:p w:rsidR="00DB6BF8" w:rsidRPr="006471F7" w:rsidRDefault="00B07798" w:rsidP="00F056B3">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-1,169,096</w:t>
            </w:r>
          </w:p>
        </w:tc>
        <w:tc>
          <w:tcPr>
            <w:tcW w:w="1117" w:type="dxa"/>
            <w:shd w:val="clear" w:color="auto" w:fill="auto"/>
          </w:tcPr>
          <w:p w:rsidR="00DB6BF8" w:rsidRPr="006471F7" w:rsidRDefault="00B07798" w:rsidP="00F056B3">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111,332</w:t>
            </w:r>
          </w:p>
        </w:tc>
        <w:tc>
          <w:tcPr>
            <w:tcW w:w="1268"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100,924</w:t>
            </w:r>
          </w:p>
        </w:tc>
      </w:tr>
      <w:tr w:rsidR="00DB6BF8" w:rsidRPr="006471F7" w:rsidTr="0026774E">
        <w:tc>
          <w:tcPr>
            <w:tcW w:w="1507" w:type="dxa"/>
            <w:shd w:val="clear" w:color="auto" w:fill="auto"/>
          </w:tcPr>
          <w:p w:rsidR="00DB6BF8" w:rsidRPr="006471F7" w:rsidRDefault="006F3B6A"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12</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6F3B6A" w:rsidP="00F056B3">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23,819,016</w:t>
            </w:r>
          </w:p>
        </w:tc>
        <w:tc>
          <w:tcPr>
            <w:tcW w:w="1346" w:type="dxa"/>
            <w:shd w:val="clear" w:color="auto" w:fill="auto"/>
          </w:tcPr>
          <w:p w:rsidR="00DB6BF8" w:rsidRPr="006471F7" w:rsidRDefault="00B07798" w:rsidP="00B07798">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4,000,000</w:t>
            </w:r>
          </w:p>
        </w:tc>
        <w:tc>
          <w:tcPr>
            <w:tcW w:w="1275" w:type="dxa"/>
            <w:shd w:val="clear" w:color="auto" w:fill="auto"/>
          </w:tcPr>
          <w:p w:rsidR="00DB6BF8" w:rsidRPr="006471F7" w:rsidRDefault="00B07798" w:rsidP="00F056B3">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-98,348</w:t>
            </w:r>
          </w:p>
        </w:tc>
        <w:tc>
          <w:tcPr>
            <w:tcW w:w="1117" w:type="dxa"/>
            <w:shd w:val="clear" w:color="auto" w:fill="auto"/>
          </w:tcPr>
          <w:p w:rsidR="00DB6BF8" w:rsidRPr="006471F7" w:rsidRDefault="00B07798" w:rsidP="00F056B3">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465,302</w:t>
            </w:r>
          </w:p>
        </w:tc>
        <w:tc>
          <w:tcPr>
            <w:tcW w:w="1268"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208,518</w:t>
            </w:r>
          </w:p>
        </w:tc>
      </w:tr>
      <w:tr w:rsidR="006F3B6A" w:rsidRPr="006471F7" w:rsidTr="0026774E">
        <w:tc>
          <w:tcPr>
            <w:tcW w:w="1507" w:type="dxa"/>
            <w:shd w:val="clear" w:color="auto" w:fill="auto"/>
          </w:tcPr>
          <w:p w:rsidR="006F3B6A" w:rsidRPr="006F3B6A" w:rsidRDefault="006F3B6A" w:rsidP="00276F31">
            <w:pPr>
              <w:widowControl/>
              <w:spacing w:line="360" w:lineRule="exact"/>
              <w:ind w:leftChars="0" w:left="0" w:firstLineChars="0" w:firstLine="0"/>
              <w:jc w:val="left"/>
              <w:rPr>
                <w:rFonts w:hAnsi="標楷體"/>
                <w:snapToGrid/>
                <w:color w:val="000000"/>
                <w:spacing w:val="-5"/>
                <w:kern w:val="0"/>
                <w:sz w:val="24"/>
                <w:szCs w:val="24"/>
              </w:rPr>
            </w:pPr>
            <w:r w:rsidRPr="006F3B6A">
              <w:rPr>
                <w:rFonts w:hAnsi="標楷體"/>
                <w:snapToGrid/>
                <w:color w:val="000000"/>
                <w:spacing w:val="-5"/>
                <w:kern w:val="0"/>
                <w:sz w:val="24"/>
                <w:szCs w:val="24"/>
              </w:rPr>
              <w:t>113</w:t>
            </w:r>
            <w:r w:rsidR="00276F31">
              <w:rPr>
                <w:rFonts w:hAnsi="標楷體"/>
                <w:snapToGrid/>
                <w:color w:val="000000"/>
                <w:spacing w:val="-5"/>
                <w:kern w:val="0"/>
                <w:sz w:val="24"/>
                <w:szCs w:val="24"/>
              </w:rPr>
              <w:t>/</w:t>
            </w:r>
            <w:r w:rsidRPr="006F3B6A">
              <w:rPr>
                <w:rFonts w:hAnsi="標楷體"/>
                <w:snapToGrid/>
                <w:color w:val="000000"/>
                <w:spacing w:val="-5"/>
                <w:kern w:val="0"/>
                <w:sz w:val="24"/>
                <w:szCs w:val="24"/>
              </w:rPr>
              <w:t>8</w:t>
            </w:r>
          </w:p>
        </w:tc>
        <w:tc>
          <w:tcPr>
            <w:tcW w:w="1384" w:type="dxa"/>
            <w:shd w:val="clear" w:color="auto" w:fill="auto"/>
          </w:tcPr>
          <w:p w:rsidR="006F3B6A" w:rsidRPr="006471F7" w:rsidRDefault="006F3B6A" w:rsidP="006F3B6A">
            <w:pPr>
              <w:widowControl/>
              <w:spacing w:line="360" w:lineRule="exact"/>
              <w:ind w:leftChars="0" w:left="0" w:firstLineChars="0" w:firstLine="0"/>
              <w:jc w:val="center"/>
              <w:rPr>
                <w:rFonts w:hAnsi="標楷體"/>
                <w:snapToGrid/>
                <w:color w:val="000000"/>
                <w:spacing w:val="-5"/>
                <w:kern w:val="0"/>
                <w:sz w:val="24"/>
                <w:szCs w:val="24"/>
              </w:rPr>
            </w:pPr>
            <w:r w:rsidRPr="006F3B6A">
              <w:rPr>
                <w:rFonts w:hAnsi="標楷體"/>
                <w:snapToGrid/>
                <w:color w:val="000000"/>
                <w:spacing w:val="-5"/>
                <w:kern w:val="0"/>
                <w:sz w:val="24"/>
                <w:szCs w:val="24"/>
              </w:rPr>
              <w:t>21,401,241</w:t>
            </w:r>
          </w:p>
        </w:tc>
        <w:tc>
          <w:tcPr>
            <w:tcW w:w="1346" w:type="dxa"/>
            <w:shd w:val="clear" w:color="auto" w:fill="auto"/>
          </w:tcPr>
          <w:p w:rsidR="006F3B6A" w:rsidRPr="006471F7" w:rsidRDefault="00B07798" w:rsidP="00B07798">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1,525,000</w:t>
            </w:r>
          </w:p>
        </w:tc>
        <w:tc>
          <w:tcPr>
            <w:tcW w:w="1275" w:type="dxa"/>
            <w:shd w:val="clear" w:color="auto" w:fill="auto"/>
          </w:tcPr>
          <w:p w:rsidR="006F3B6A" w:rsidRPr="006471F7" w:rsidRDefault="00B07798" w:rsidP="006F3B6A">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1,493,981</w:t>
            </w:r>
          </w:p>
        </w:tc>
        <w:tc>
          <w:tcPr>
            <w:tcW w:w="1117" w:type="dxa"/>
            <w:shd w:val="clear" w:color="auto" w:fill="auto"/>
          </w:tcPr>
          <w:p w:rsidR="006F3B6A" w:rsidRPr="006471F7" w:rsidRDefault="00B07798" w:rsidP="006F3B6A">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6F3B6A" w:rsidRPr="006471F7" w:rsidRDefault="00B07798" w:rsidP="006F3B6A">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380,299</w:t>
            </w:r>
          </w:p>
        </w:tc>
        <w:tc>
          <w:tcPr>
            <w:tcW w:w="1268" w:type="dxa"/>
            <w:shd w:val="clear" w:color="auto" w:fill="auto"/>
          </w:tcPr>
          <w:p w:rsidR="006F3B6A" w:rsidRPr="006471F7" w:rsidRDefault="00B07798" w:rsidP="006F3B6A">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72,504</w:t>
            </w:r>
          </w:p>
        </w:tc>
      </w:tr>
    </w:tbl>
    <w:p w:rsidR="00276F31" w:rsidRDefault="00276F31" w:rsidP="0026774E">
      <w:pPr>
        <w:spacing w:line="280" w:lineRule="exact"/>
        <w:ind w:leftChars="-200" w:left="-567" w:firstLineChars="0" w:firstLine="0"/>
        <w:rPr>
          <w:sz w:val="24"/>
          <w:szCs w:val="24"/>
        </w:rPr>
      </w:pPr>
      <w:r>
        <w:rPr>
          <w:rFonts w:hint="eastAsia"/>
          <w:sz w:val="24"/>
          <w:szCs w:val="24"/>
        </w:rPr>
        <w:t>說</w:t>
      </w:r>
      <w:r w:rsidR="0026774E">
        <w:rPr>
          <w:rFonts w:hint="eastAsia"/>
          <w:sz w:val="24"/>
          <w:szCs w:val="24"/>
        </w:rPr>
        <w:t xml:space="preserve"> </w:t>
      </w:r>
      <w:r w:rsidR="0026774E">
        <w:rPr>
          <w:sz w:val="24"/>
          <w:szCs w:val="24"/>
        </w:rPr>
        <w:t xml:space="preserve">   </w:t>
      </w:r>
      <w:r>
        <w:rPr>
          <w:rFonts w:hint="eastAsia"/>
          <w:sz w:val="24"/>
          <w:szCs w:val="24"/>
        </w:rPr>
        <w:t>明</w:t>
      </w:r>
      <w:r>
        <w:rPr>
          <w:rFonts w:hAnsi="標楷體" w:hint="eastAsia"/>
          <w:sz w:val="24"/>
          <w:szCs w:val="24"/>
        </w:rPr>
        <w:t>：</w:t>
      </w:r>
      <w:r>
        <w:rPr>
          <w:rFonts w:hint="eastAsia"/>
          <w:sz w:val="24"/>
          <w:szCs w:val="24"/>
        </w:rPr>
        <w:t>表內10</w:t>
      </w:r>
      <w:r>
        <w:rPr>
          <w:sz w:val="24"/>
          <w:szCs w:val="24"/>
        </w:rPr>
        <w:t>7</w:t>
      </w:r>
      <w:r>
        <w:rPr>
          <w:rFonts w:hint="eastAsia"/>
          <w:sz w:val="24"/>
          <w:szCs w:val="24"/>
        </w:rPr>
        <w:t>至1</w:t>
      </w:r>
      <w:r>
        <w:rPr>
          <w:sz w:val="24"/>
          <w:szCs w:val="24"/>
        </w:rPr>
        <w:t>12</w:t>
      </w:r>
      <w:r>
        <w:rPr>
          <w:rFonts w:hint="eastAsia"/>
          <w:sz w:val="24"/>
          <w:szCs w:val="24"/>
        </w:rPr>
        <w:t>年度為決算數</w:t>
      </w:r>
      <w:r>
        <w:rPr>
          <w:rFonts w:hAnsi="標楷體" w:hint="eastAsia"/>
          <w:sz w:val="24"/>
          <w:szCs w:val="24"/>
        </w:rPr>
        <w:t>，</w:t>
      </w:r>
      <w:r>
        <w:rPr>
          <w:rFonts w:hint="eastAsia"/>
          <w:sz w:val="24"/>
          <w:szCs w:val="24"/>
        </w:rPr>
        <w:t>1</w:t>
      </w:r>
      <w:r>
        <w:rPr>
          <w:sz w:val="24"/>
          <w:szCs w:val="24"/>
        </w:rPr>
        <w:t>13</w:t>
      </w:r>
      <w:r>
        <w:rPr>
          <w:rFonts w:hint="eastAsia"/>
          <w:sz w:val="24"/>
          <w:szCs w:val="24"/>
        </w:rPr>
        <w:t>年度為至8月執行數</w:t>
      </w:r>
      <w:r>
        <w:rPr>
          <w:rFonts w:hAnsi="標楷體" w:hint="eastAsia"/>
          <w:sz w:val="24"/>
          <w:szCs w:val="24"/>
        </w:rPr>
        <w:t>。</w:t>
      </w:r>
    </w:p>
    <w:p w:rsidR="00DB6BF8" w:rsidRDefault="00DB6BF8" w:rsidP="0026774E">
      <w:pPr>
        <w:spacing w:line="280" w:lineRule="exact"/>
        <w:ind w:leftChars="-200" w:left="-567" w:firstLineChars="0" w:firstLine="0"/>
        <w:rPr>
          <w:sz w:val="24"/>
          <w:szCs w:val="24"/>
        </w:rPr>
      </w:pPr>
      <w:r>
        <w:rPr>
          <w:rFonts w:hint="eastAsia"/>
          <w:sz w:val="24"/>
          <w:szCs w:val="24"/>
        </w:rPr>
        <w:t>資料來源：</w:t>
      </w:r>
      <w:r w:rsidRPr="002A044A">
        <w:rPr>
          <w:rFonts w:hint="eastAsia"/>
          <w:sz w:val="24"/>
          <w:szCs w:val="24"/>
        </w:rPr>
        <w:t>臺灣金控。</w:t>
      </w:r>
    </w:p>
    <w:p w:rsidR="00F93E05" w:rsidRDefault="00F93E05" w:rsidP="0026774E">
      <w:pPr>
        <w:spacing w:line="280" w:lineRule="exact"/>
        <w:ind w:leftChars="-200" w:left="-567" w:firstLineChars="0" w:firstLine="0"/>
        <w:rPr>
          <w:sz w:val="24"/>
          <w:szCs w:val="24"/>
        </w:rPr>
      </w:pPr>
    </w:p>
    <w:p w:rsidR="00F93E05" w:rsidRDefault="00F93E05" w:rsidP="0026774E">
      <w:pPr>
        <w:spacing w:line="280" w:lineRule="exact"/>
        <w:ind w:leftChars="-200" w:left="-567" w:firstLineChars="0" w:firstLine="0"/>
        <w:rPr>
          <w:sz w:val="24"/>
          <w:szCs w:val="24"/>
        </w:rPr>
      </w:pPr>
    </w:p>
    <w:p w:rsidR="00F93E05" w:rsidRDefault="00F93E05" w:rsidP="0026774E">
      <w:pPr>
        <w:spacing w:line="280" w:lineRule="exact"/>
        <w:ind w:leftChars="-200" w:left="-567" w:firstLineChars="0" w:firstLine="0"/>
        <w:rPr>
          <w:sz w:val="24"/>
          <w:szCs w:val="24"/>
        </w:rPr>
      </w:pPr>
    </w:p>
    <w:p w:rsidR="00F93E05" w:rsidRDefault="00F93E05" w:rsidP="0026774E">
      <w:pPr>
        <w:spacing w:line="280" w:lineRule="exact"/>
        <w:ind w:leftChars="-200" w:left="-567" w:firstLineChars="0" w:firstLine="0"/>
        <w:rPr>
          <w:sz w:val="24"/>
          <w:szCs w:val="24"/>
        </w:rPr>
      </w:pPr>
    </w:p>
    <w:p w:rsidR="00F93E05" w:rsidRPr="003912D8" w:rsidRDefault="00F93E05" w:rsidP="0026774E">
      <w:pPr>
        <w:spacing w:line="280" w:lineRule="exact"/>
        <w:ind w:leftChars="-200" w:left="-567" w:firstLineChars="0" w:firstLine="0"/>
        <w:rPr>
          <w:rFonts w:hint="eastAsia"/>
          <w:snapToGrid/>
        </w:rPr>
      </w:pPr>
    </w:p>
    <w:p w:rsidR="00DB6BF8" w:rsidRPr="003912D8" w:rsidRDefault="00DB6BF8" w:rsidP="0026774E">
      <w:pPr>
        <w:ind w:leftChars="-200" w:left="568" w:hangingChars="400" w:hanging="1135"/>
        <w:jc w:val="left"/>
        <w:rPr>
          <w:rFonts w:hAnsi="標楷體" w:hint="eastAsia"/>
          <w:b/>
        </w:rPr>
      </w:pPr>
      <w:r w:rsidRPr="003912D8">
        <w:rPr>
          <w:rFonts w:hAnsi="標楷體" w:hint="eastAsia"/>
          <w:b/>
          <w:lang w:eastAsia="zh-HK"/>
        </w:rPr>
        <w:t>表</w:t>
      </w:r>
      <w:r>
        <w:rPr>
          <w:rFonts w:hAnsi="標楷體" w:hint="eastAsia"/>
          <w:b/>
        </w:rPr>
        <w:t>2</w:t>
      </w:r>
      <w:r w:rsidR="002C2B52">
        <w:rPr>
          <w:rFonts w:hAnsi="標楷體"/>
          <w:b/>
        </w:rPr>
        <w:t xml:space="preserve"> </w:t>
      </w:r>
      <w:r w:rsidRPr="003912D8">
        <w:rPr>
          <w:rFonts w:hAnsi="標楷體" w:hint="eastAsia"/>
          <w:b/>
        </w:rPr>
        <w:t>臺灣金控10</w:t>
      </w:r>
      <w:r>
        <w:rPr>
          <w:rFonts w:hAnsi="標楷體"/>
          <w:b/>
        </w:rPr>
        <w:t>9</w:t>
      </w:r>
      <w:r w:rsidR="00276F31">
        <w:rPr>
          <w:rFonts w:hAnsi="標楷體" w:hint="eastAsia"/>
          <w:b/>
        </w:rPr>
        <w:t>至</w:t>
      </w:r>
      <w:r w:rsidRPr="003912D8">
        <w:rPr>
          <w:rFonts w:hAnsi="標楷體" w:hint="eastAsia"/>
          <w:b/>
        </w:rPr>
        <w:t>11</w:t>
      </w:r>
      <w:r>
        <w:rPr>
          <w:rFonts w:hAnsi="標楷體"/>
          <w:b/>
        </w:rPr>
        <w:t>4</w:t>
      </w:r>
      <w:r w:rsidRPr="003912D8">
        <w:rPr>
          <w:rFonts w:hAnsi="標楷體" w:hint="eastAsia"/>
          <w:b/>
          <w:lang w:eastAsia="zh-HK"/>
        </w:rPr>
        <w:t>年度</w:t>
      </w:r>
      <w:r w:rsidRPr="003912D8">
        <w:rPr>
          <w:rFonts w:hAnsi="標楷體" w:hint="eastAsia"/>
          <w:b/>
        </w:rPr>
        <w:t>債務利息費用之預、決算</w:t>
      </w:r>
      <w:r w:rsidRPr="003912D8">
        <w:rPr>
          <w:rFonts w:hAnsi="標楷體" w:hint="eastAsia"/>
          <w:b/>
          <w:lang w:eastAsia="zh-HK"/>
        </w:rPr>
        <w:t>數一覽</w:t>
      </w:r>
      <w:r w:rsidRPr="003912D8">
        <w:rPr>
          <w:rFonts w:hAnsi="標楷體" w:hint="eastAsia"/>
          <w:b/>
        </w:rPr>
        <w:t>表</w:t>
      </w:r>
    </w:p>
    <w:p w:rsidR="00DB6BF8" w:rsidRPr="003912D8" w:rsidRDefault="00DB6BF8" w:rsidP="0026774E">
      <w:pPr>
        <w:spacing w:line="420" w:lineRule="exact"/>
        <w:ind w:leftChars="0" w:left="1135" w:rightChars="100" w:right="283" w:hangingChars="400" w:hanging="1135"/>
        <w:jc w:val="right"/>
        <w:rPr>
          <w:rFonts w:hAnsi="標楷體" w:hint="eastAsia"/>
          <w:sz w:val="24"/>
          <w:szCs w:val="24"/>
        </w:rPr>
      </w:pPr>
      <w:r w:rsidRPr="003912D8">
        <w:rPr>
          <w:rFonts w:hAnsi="標楷體" w:hint="eastAsia"/>
          <w:b/>
        </w:rPr>
        <w:lastRenderedPageBreak/>
        <w:t xml:space="preserve">                                   </w:t>
      </w:r>
      <w:r w:rsidRPr="003912D8">
        <w:rPr>
          <w:rFonts w:hAnsi="標楷體" w:hint="eastAsia"/>
          <w:sz w:val="24"/>
          <w:szCs w:val="24"/>
        </w:rPr>
        <w:t>單位:新臺幣千元</w:t>
      </w:r>
    </w:p>
    <w:tbl>
      <w:tblPr>
        <w:tblW w:w="8931"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276"/>
        <w:gridCol w:w="1134"/>
        <w:gridCol w:w="1140"/>
        <w:gridCol w:w="1132"/>
        <w:gridCol w:w="1132"/>
        <w:gridCol w:w="1132"/>
      </w:tblGrid>
      <w:tr w:rsidR="002779EE" w:rsidRPr="002779EE" w:rsidTr="0026774E">
        <w:trPr>
          <w:tblHeader/>
        </w:trPr>
        <w:tc>
          <w:tcPr>
            <w:tcW w:w="1985" w:type="dxa"/>
            <w:shd w:val="clear" w:color="auto" w:fill="auto"/>
          </w:tcPr>
          <w:p w:rsidR="00DB6BF8" w:rsidRPr="002779EE" w:rsidRDefault="00DB6BF8" w:rsidP="00DB6BF8">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年度</w:t>
            </w:r>
          </w:p>
        </w:tc>
        <w:tc>
          <w:tcPr>
            <w:tcW w:w="1276" w:type="dxa"/>
          </w:tcPr>
          <w:p w:rsidR="00DB6BF8" w:rsidRPr="002779EE" w:rsidRDefault="00DB6BF8"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109</w:t>
            </w:r>
            <w:r w:rsidR="00276F31" w:rsidRPr="002779EE">
              <w:rPr>
                <w:rFonts w:hAnsi="標楷體" w:hint="eastAsia"/>
                <w:snapToGrid/>
                <w:spacing w:val="-5"/>
                <w:kern w:val="0"/>
                <w:sz w:val="24"/>
                <w:szCs w:val="24"/>
              </w:rPr>
              <w:t xml:space="preserve"> </w:t>
            </w:r>
          </w:p>
        </w:tc>
        <w:tc>
          <w:tcPr>
            <w:tcW w:w="1134" w:type="dxa"/>
          </w:tcPr>
          <w:p w:rsidR="00DB6BF8" w:rsidRPr="002779EE" w:rsidRDefault="00DB6BF8"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110</w:t>
            </w:r>
            <w:r w:rsidR="00276F31" w:rsidRPr="002779EE">
              <w:rPr>
                <w:rFonts w:hAnsi="標楷體" w:hint="eastAsia"/>
                <w:snapToGrid/>
                <w:spacing w:val="-5"/>
                <w:kern w:val="0"/>
                <w:sz w:val="24"/>
                <w:szCs w:val="24"/>
              </w:rPr>
              <w:t xml:space="preserve"> </w:t>
            </w:r>
          </w:p>
        </w:tc>
        <w:tc>
          <w:tcPr>
            <w:tcW w:w="1140" w:type="dxa"/>
          </w:tcPr>
          <w:p w:rsidR="00DB6BF8" w:rsidRPr="002779EE" w:rsidRDefault="00DB6BF8"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111</w:t>
            </w:r>
            <w:r w:rsidR="00276F31" w:rsidRPr="002779EE">
              <w:rPr>
                <w:rFonts w:hAnsi="標楷體" w:hint="eastAsia"/>
                <w:snapToGrid/>
                <w:spacing w:val="-5"/>
                <w:kern w:val="0"/>
                <w:sz w:val="24"/>
                <w:szCs w:val="24"/>
              </w:rPr>
              <w:t xml:space="preserve"> </w:t>
            </w:r>
          </w:p>
        </w:tc>
        <w:tc>
          <w:tcPr>
            <w:tcW w:w="1132" w:type="dxa"/>
            <w:shd w:val="clear" w:color="auto" w:fill="auto"/>
          </w:tcPr>
          <w:p w:rsidR="00DB6BF8" w:rsidRPr="002779EE" w:rsidRDefault="002779EE"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w:t>
            </w:r>
            <w:r w:rsidRPr="002779EE">
              <w:rPr>
                <w:rFonts w:hAnsi="標楷體"/>
                <w:snapToGrid/>
                <w:spacing w:val="-5"/>
                <w:kern w:val="0"/>
                <w:sz w:val="24"/>
                <w:szCs w:val="24"/>
              </w:rPr>
              <w:t>12</w:t>
            </w:r>
          </w:p>
        </w:tc>
        <w:tc>
          <w:tcPr>
            <w:tcW w:w="1132" w:type="dxa"/>
          </w:tcPr>
          <w:p w:rsidR="00DB6BF8" w:rsidRPr="002779EE" w:rsidRDefault="002779EE"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w:t>
            </w:r>
            <w:r w:rsidRPr="002779EE">
              <w:rPr>
                <w:rFonts w:hAnsi="標楷體"/>
                <w:snapToGrid/>
                <w:spacing w:val="-5"/>
                <w:kern w:val="0"/>
                <w:sz w:val="24"/>
                <w:szCs w:val="24"/>
              </w:rPr>
              <w:t>13</w:t>
            </w:r>
            <w:r w:rsidR="00276F31" w:rsidRPr="002779EE">
              <w:rPr>
                <w:rFonts w:hAnsi="標楷體" w:hint="eastAsia"/>
                <w:snapToGrid/>
                <w:spacing w:val="-5"/>
                <w:kern w:val="0"/>
                <w:sz w:val="24"/>
                <w:szCs w:val="24"/>
              </w:rPr>
              <w:t xml:space="preserve"> </w:t>
            </w:r>
          </w:p>
        </w:tc>
        <w:tc>
          <w:tcPr>
            <w:tcW w:w="1132" w:type="dxa"/>
          </w:tcPr>
          <w:p w:rsidR="00DB6BF8" w:rsidRPr="002779EE" w:rsidRDefault="002779EE"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w:t>
            </w:r>
            <w:r w:rsidRPr="002779EE">
              <w:rPr>
                <w:rFonts w:hAnsi="標楷體"/>
                <w:snapToGrid/>
                <w:spacing w:val="-5"/>
                <w:kern w:val="0"/>
                <w:sz w:val="24"/>
                <w:szCs w:val="24"/>
              </w:rPr>
              <w:t>14</w:t>
            </w:r>
            <w:r w:rsidR="00276F31" w:rsidRPr="002779EE">
              <w:rPr>
                <w:rFonts w:hAnsi="標楷體" w:hint="eastAsia"/>
                <w:snapToGrid/>
                <w:spacing w:val="-5"/>
                <w:kern w:val="0"/>
                <w:sz w:val="24"/>
                <w:szCs w:val="24"/>
              </w:rPr>
              <w:t xml:space="preserve"> </w:t>
            </w:r>
          </w:p>
        </w:tc>
      </w:tr>
      <w:tr w:rsidR="002779EE" w:rsidRPr="002779EE" w:rsidTr="0026774E">
        <w:tc>
          <w:tcPr>
            <w:tcW w:w="1985" w:type="dxa"/>
            <w:shd w:val="clear" w:color="auto" w:fill="auto"/>
          </w:tcPr>
          <w:p w:rsidR="00DB6BF8" w:rsidRPr="002779EE" w:rsidRDefault="00DB6BF8" w:rsidP="000E26C5">
            <w:pPr>
              <w:widowControl/>
              <w:spacing w:line="360" w:lineRule="exact"/>
              <w:ind w:leftChars="0" w:left="0" w:firstLineChars="0" w:firstLine="0"/>
              <w:jc w:val="left"/>
              <w:rPr>
                <w:rFonts w:hAnsi="標楷體" w:hint="eastAsia"/>
                <w:snapToGrid/>
                <w:spacing w:val="-5"/>
                <w:kern w:val="0"/>
                <w:sz w:val="24"/>
                <w:szCs w:val="24"/>
              </w:rPr>
            </w:pPr>
            <w:r w:rsidRPr="002779EE">
              <w:rPr>
                <w:rFonts w:hAnsi="標楷體" w:hint="eastAsia"/>
                <w:snapToGrid/>
                <w:spacing w:val="-5"/>
                <w:kern w:val="0"/>
                <w:sz w:val="24"/>
                <w:szCs w:val="24"/>
              </w:rPr>
              <w:t>借款</w:t>
            </w:r>
            <w:r w:rsidR="000E26C5">
              <w:rPr>
                <w:rFonts w:hAnsi="標楷體" w:hint="eastAsia"/>
                <w:snapToGrid/>
                <w:spacing w:val="-5"/>
                <w:kern w:val="0"/>
                <w:sz w:val="24"/>
                <w:szCs w:val="24"/>
              </w:rPr>
              <w:t>餘</w:t>
            </w:r>
            <w:r w:rsidRPr="002779EE">
              <w:rPr>
                <w:rFonts w:hAnsi="標楷體" w:hint="eastAsia"/>
                <w:snapToGrid/>
                <w:spacing w:val="-5"/>
                <w:kern w:val="0"/>
                <w:sz w:val="24"/>
                <w:szCs w:val="24"/>
              </w:rPr>
              <w:t>額</w:t>
            </w:r>
          </w:p>
        </w:tc>
        <w:tc>
          <w:tcPr>
            <w:tcW w:w="1276" w:type="dxa"/>
          </w:tcPr>
          <w:p w:rsidR="00DB6BF8" w:rsidRPr="002779EE" w:rsidRDefault="00DB6BF8"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258億元</w:t>
            </w:r>
          </w:p>
        </w:tc>
        <w:tc>
          <w:tcPr>
            <w:tcW w:w="1134" w:type="dxa"/>
          </w:tcPr>
          <w:p w:rsidR="00DB6BF8" w:rsidRPr="002779EE" w:rsidRDefault="00DB6BF8"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362億元</w:t>
            </w:r>
          </w:p>
        </w:tc>
        <w:tc>
          <w:tcPr>
            <w:tcW w:w="1140" w:type="dxa"/>
          </w:tcPr>
          <w:p w:rsidR="00DB6BF8" w:rsidRPr="002779EE" w:rsidRDefault="00DB6BF8"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356億元</w:t>
            </w:r>
          </w:p>
        </w:tc>
        <w:tc>
          <w:tcPr>
            <w:tcW w:w="1132" w:type="dxa"/>
            <w:shd w:val="clear" w:color="auto" w:fill="auto"/>
          </w:tcPr>
          <w:p w:rsidR="00DB6BF8" w:rsidRPr="002779EE"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395億元</w:t>
            </w:r>
          </w:p>
        </w:tc>
        <w:tc>
          <w:tcPr>
            <w:tcW w:w="1132" w:type="dxa"/>
          </w:tcPr>
          <w:p w:rsidR="00DB6BF8" w:rsidRPr="002779EE"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431億元</w:t>
            </w:r>
          </w:p>
        </w:tc>
        <w:tc>
          <w:tcPr>
            <w:tcW w:w="1132" w:type="dxa"/>
          </w:tcPr>
          <w:p w:rsidR="00DB6BF8" w:rsidRPr="002779EE" w:rsidRDefault="002779EE"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521億元</w:t>
            </w:r>
          </w:p>
        </w:tc>
      </w:tr>
      <w:tr w:rsidR="002779EE" w:rsidRPr="002779EE" w:rsidTr="0026774E">
        <w:tc>
          <w:tcPr>
            <w:tcW w:w="1985" w:type="dxa"/>
            <w:shd w:val="clear" w:color="auto" w:fill="auto"/>
          </w:tcPr>
          <w:p w:rsidR="00DB6BF8" w:rsidRPr="002779EE" w:rsidRDefault="00276F31" w:rsidP="000E26C5">
            <w:pPr>
              <w:widowControl/>
              <w:spacing w:line="360" w:lineRule="exact"/>
              <w:ind w:leftChars="0" w:left="0" w:firstLineChars="0" w:firstLine="0"/>
              <w:jc w:val="left"/>
              <w:rPr>
                <w:rFonts w:hAnsi="標楷體" w:hint="eastAsia"/>
                <w:snapToGrid/>
                <w:spacing w:val="-5"/>
                <w:kern w:val="0"/>
                <w:sz w:val="24"/>
                <w:szCs w:val="24"/>
              </w:rPr>
            </w:pPr>
            <w:r w:rsidRPr="00276F31">
              <w:rPr>
                <w:rFonts w:hAnsi="標楷體" w:hint="eastAsia"/>
                <w:snapToGrid/>
                <w:spacing w:val="-5"/>
                <w:kern w:val="0"/>
                <w:sz w:val="24"/>
                <w:szCs w:val="24"/>
              </w:rPr>
              <w:t>利息費用</w:t>
            </w:r>
            <w:r w:rsidR="00DB6BF8" w:rsidRPr="002779EE">
              <w:rPr>
                <w:rFonts w:hAnsi="標楷體" w:hint="eastAsia"/>
                <w:snapToGrid/>
                <w:spacing w:val="-5"/>
                <w:kern w:val="0"/>
                <w:sz w:val="24"/>
                <w:szCs w:val="24"/>
              </w:rPr>
              <w:t>預算數</w:t>
            </w:r>
          </w:p>
        </w:tc>
        <w:tc>
          <w:tcPr>
            <w:tcW w:w="1276" w:type="dxa"/>
          </w:tcPr>
          <w:p w:rsidR="00DB6BF8" w:rsidRPr="002779EE" w:rsidRDefault="00DB6BF8"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448</w:t>
            </w:r>
            <w:r w:rsidRPr="002779EE">
              <w:rPr>
                <w:rFonts w:hAnsi="標楷體"/>
                <w:snapToGrid/>
                <w:spacing w:val="-5"/>
                <w:kern w:val="0"/>
                <w:sz w:val="24"/>
                <w:szCs w:val="24"/>
              </w:rPr>
              <w:t>,</w:t>
            </w:r>
            <w:r w:rsidRPr="002779EE">
              <w:rPr>
                <w:rFonts w:hAnsi="標楷體" w:hint="eastAsia"/>
                <w:snapToGrid/>
                <w:spacing w:val="-5"/>
                <w:kern w:val="0"/>
                <w:sz w:val="24"/>
                <w:szCs w:val="24"/>
              </w:rPr>
              <w:t>920</w:t>
            </w:r>
          </w:p>
        </w:tc>
        <w:tc>
          <w:tcPr>
            <w:tcW w:w="1134" w:type="dxa"/>
          </w:tcPr>
          <w:p w:rsidR="00DB6BF8" w:rsidRPr="002779EE" w:rsidRDefault="00DB6BF8"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4</w:t>
            </w:r>
            <w:r w:rsidR="002779EE" w:rsidRPr="002779EE">
              <w:rPr>
                <w:rFonts w:hAnsi="標楷體"/>
                <w:snapToGrid/>
                <w:spacing w:val="-5"/>
                <w:kern w:val="0"/>
                <w:sz w:val="24"/>
                <w:szCs w:val="24"/>
              </w:rPr>
              <w:t>5</w:t>
            </w:r>
            <w:r w:rsidRPr="002779EE">
              <w:rPr>
                <w:rFonts w:hAnsi="標楷體" w:hint="eastAsia"/>
                <w:snapToGrid/>
                <w:spacing w:val="-5"/>
                <w:kern w:val="0"/>
                <w:sz w:val="24"/>
                <w:szCs w:val="24"/>
              </w:rPr>
              <w:t>9</w:t>
            </w:r>
            <w:r w:rsidRPr="002779EE">
              <w:rPr>
                <w:rFonts w:hAnsi="標楷體"/>
                <w:snapToGrid/>
                <w:spacing w:val="-5"/>
                <w:kern w:val="0"/>
                <w:sz w:val="24"/>
                <w:szCs w:val="24"/>
              </w:rPr>
              <w:t>,</w:t>
            </w:r>
            <w:r w:rsidRPr="002779EE">
              <w:rPr>
                <w:rFonts w:hAnsi="標楷體" w:hint="eastAsia"/>
                <w:snapToGrid/>
                <w:spacing w:val="-5"/>
                <w:kern w:val="0"/>
                <w:sz w:val="24"/>
                <w:szCs w:val="24"/>
              </w:rPr>
              <w:t>710</w:t>
            </w:r>
          </w:p>
        </w:tc>
        <w:tc>
          <w:tcPr>
            <w:tcW w:w="1140" w:type="dxa"/>
          </w:tcPr>
          <w:p w:rsidR="00DB6BF8" w:rsidRPr="002779EE" w:rsidRDefault="00DB6BF8"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462</w:t>
            </w:r>
            <w:r w:rsidRPr="002779EE">
              <w:rPr>
                <w:rFonts w:hAnsi="標楷體"/>
                <w:snapToGrid/>
                <w:spacing w:val="-5"/>
                <w:kern w:val="0"/>
                <w:sz w:val="24"/>
                <w:szCs w:val="24"/>
              </w:rPr>
              <w:t>,</w:t>
            </w:r>
            <w:r w:rsidRPr="002779EE">
              <w:rPr>
                <w:rFonts w:hAnsi="標楷體" w:hint="eastAsia"/>
                <w:snapToGrid/>
                <w:spacing w:val="-5"/>
                <w:kern w:val="0"/>
                <w:sz w:val="24"/>
                <w:szCs w:val="24"/>
              </w:rPr>
              <w:t>800</w:t>
            </w:r>
          </w:p>
        </w:tc>
        <w:tc>
          <w:tcPr>
            <w:tcW w:w="1132" w:type="dxa"/>
            <w:shd w:val="clear" w:color="auto" w:fill="auto"/>
          </w:tcPr>
          <w:p w:rsidR="00DB6BF8" w:rsidRPr="002779EE"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snapToGrid/>
                <w:spacing w:val="-5"/>
                <w:kern w:val="0"/>
                <w:sz w:val="24"/>
                <w:szCs w:val="24"/>
              </w:rPr>
              <w:t>404,500</w:t>
            </w:r>
          </w:p>
        </w:tc>
        <w:tc>
          <w:tcPr>
            <w:tcW w:w="1132" w:type="dxa"/>
          </w:tcPr>
          <w:p w:rsidR="00DB6BF8" w:rsidRPr="002779EE"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snapToGrid/>
                <w:spacing w:val="-5"/>
                <w:kern w:val="0"/>
                <w:sz w:val="24"/>
                <w:szCs w:val="24"/>
              </w:rPr>
              <w:t>672,360</w:t>
            </w:r>
          </w:p>
        </w:tc>
        <w:tc>
          <w:tcPr>
            <w:tcW w:w="1132"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snapToGrid/>
                <w:spacing w:val="-5"/>
                <w:kern w:val="0"/>
                <w:sz w:val="24"/>
                <w:szCs w:val="24"/>
              </w:rPr>
              <w:t>885,700</w:t>
            </w:r>
          </w:p>
        </w:tc>
      </w:tr>
      <w:tr w:rsidR="002779EE" w:rsidRPr="002779EE" w:rsidTr="0026774E">
        <w:tc>
          <w:tcPr>
            <w:tcW w:w="1985" w:type="dxa"/>
            <w:shd w:val="clear" w:color="auto" w:fill="auto"/>
          </w:tcPr>
          <w:p w:rsidR="00DB6BF8" w:rsidRPr="002779EE" w:rsidRDefault="00276F31" w:rsidP="000E26C5">
            <w:pPr>
              <w:widowControl/>
              <w:spacing w:line="360" w:lineRule="exact"/>
              <w:ind w:leftChars="0" w:left="0" w:firstLineChars="0" w:firstLine="0"/>
              <w:jc w:val="left"/>
              <w:rPr>
                <w:rFonts w:hAnsi="標楷體" w:hint="eastAsia"/>
                <w:snapToGrid/>
                <w:spacing w:val="-5"/>
                <w:kern w:val="0"/>
                <w:sz w:val="24"/>
                <w:szCs w:val="24"/>
              </w:rPr>
            </w:pPr>
            <w:r w:rsidRPr="00276F31">
              <w:rPr>
                <w:rFonts w:hAnsi="標楷體" w:hint="eastAsia"/>
                <w:snapToGrid/>
                <w:spacing w:val="-5"/>
                <w:kern w:val="0"/>
                <w:sz w:val="24"/>
                <w:szCs w:val="24"/>
              </w:rPr>
              <w:t>利息費用</w:t>
            </w:r>
            <w:r w:rsidR="00DB6BF8" w:rsidRPr="002779EE">
              <w:rPr>
                <w:rFonts w:hAnsi="標楷體" w:hint="eastAsia"/>
                <w:snapToGrid/>
                <w:spacing w:val="-5"/>
                <w:kern w:val="0"/>
                <w:sz w:val="24"/>
                <w:szCs w:val="24"/>
              </w:rPr>
              <w:t>決算數</w:t>
            </w:r>
          </w:p>
        </w:tc>
        <w:tc>
          <w:tcPr>
            <w:tcW w:w="1276" w:type="dxa"/>
          </w:tcPr>
          <w:p w:rsidR="00DB6BF8" w:rsidRPr="002779EE" w:rsidRDefault="00DB6BF8"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166,428</w:t>
            </w:r>
          </w:p>
        </w:tc>
        <w:tc>
          <w:tcPr>
            <w:tcW w:w="1134"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snapToGrid/>
                <w:spacing w:val="-5"/>
                <w:kern w:val="0"/>
                <w:sz w:val="24"/>
                <w:szCs w:val="24"/>
              </w:rPr>
              <w:t>204,199</w:t>
            </w:r>
          </w:p>
        </w:tc>
        <w:tc>
          <w:tcPr>
            <w:tcW w:w="1140"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snapToGrid/>
                <w:spacing w:val="-5"/>
                <w:kern w:val="0"/>
                <w:sz w:val="24"/>
                <w:szCs w:val="24"/>
              </w:rPr>
              <w:t>312,565</w:t>
            </w:r>
          </w:p>
        </w:tc>
        <w:tc>
          <w:tcPr>
            <w:tcW w:w="1132" w:type="dxa"/>
            <w:shd w:val="clear" w:color="auto" w:fill="auto"/>
          </w:tcPr>
          <w:p w:rsidR="00DB6BF8" w:rsidRPr="001B6D6A"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1B6D6A">
              <w:rPr>
                <w:rFonts w:hAnsi="標楷體"/>
                <w:snapToGrid/>
                <w:spacing w:val="-5"/>
                <w:kern w:val="0"/>
                <w:sz w:val="24"/>
                <w:szCs w:val="24"/>
              </w:rPr>
              <w:t>528,760</w:t>
            </w:r>
          </w:p>
        </w:tc>
        <w:tc>
          <w:tcPr>
            <w:tcW w:w="1132" w:type="dxa"/>
          </w:tcPr>
          <w:p w:rsidR="00DB6BF8" w:rsidRPr="001B6D6A"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1B6D6A">
              <w:rPr>
                <w:rFonts w:hAnsi="標楷體"/>
                <w:snapToGrid/>
                <w:spacing w:val="-5"/>
                <w:kern w:val="0"/>
                <w:sz w:val="24"/>
                <w:szCs w:val="24"/>
              </w:rPr>
              <w:t>429,039</w:t>
            </w:r>
          </w:p>
        </w:tc>
        <w:tc>
          <w:tcPr>
            <w:tcW w:w="1132"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w:t>
            </w:r>
          </w:p>
        </w:tc>
      </w:tr>
      <w:tr w:rsidR="002779EE" w:rsidRPr="002779EE" w:rsidTr="0026774E">
        <w:trPr>
          <w:trHeight w:val="160"/>
        </w:trPr>
        <w:tc>
          <w:tcPr>
            <w:tcW w:w="1985" w:type="dxa"/>
            <w:shd w:val="clear" w:color="auto" w:fill="auto"/>
          </w:tcPr>
          <w:p w:rsidR="00DB6BF8" w:rsidRPr="002779EE" w:rsidRDefault="00DB6BF8" w:rsidP="004B4675">
            <w:pPr>
              <w:widowControl/>
              <w:spacing w:line="360" w:lineRule="exact"/>
              <w:ind w:leftChars="0" w:left="0" w:firstLineChars="0" w:firstLine="0"/>
              <w:jc w:val="left"/>
              <w:rPr>
                <w:rFonts w:hAnsi="標楷體" w:hint="eastAsia"/>
                <w:snapToGrid/>
                <w:spacing w:val="-5"/>
                <w:kern w:val="0"/>
                <w:sz w:val="24"/>
                <w:szCs w:val="24"/>
              </w:rPr>
            </w:pPr>
            <w:r w:rsidRPr="002779EE">
              <w:rPr>
                <w:rFonts w:hAnsi="標楷體" w:hint="eastAsia"/>
                <w:snapToGrid/>
                <w:spacing w:val="-5"/>
                <w:kern w:val="0"/>
                <w:sz w:val="24"/>
                <w:szCs w:val="24"/>
              </w:rPr>
              <w:t>執行率(%)</w:t>
            </w:r>
          </w:p>
        </w:tc>
        <w:tc>
          <w:tcPr>
            <w:tcW w:w="1276" w:type="dxa"/>
          </w:tcPr>
          <w:p w:rsidR="00DB6BF8" w:rsidRPr="002779EE" w:rsidRDefault="00DB6BF8"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37.07</w:t>
            </w:r>
          </w:p>
        </w:tc>
        <w:tc>
          <w:tcPr>
            <w:tcW w:w="1134" w:type="dxa"/>
          </w:tcPr>
          <w:p w:rsidR="00DB6BF8" w:rsidRPr="002779EE" w:rsidRDefault="00BF16FD" w:rsidP="00DB6BF8">
            <w:pPr>
              <w:widowControl/>
              <w:spacing w:line="36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4.42</w:t>
            </w:r>
          </w:p>
        </w:tc>
        <w:tc>
          <w:tcPr>
            <w:tcW w:w="1140" w:type="dxa"/>
          </w:tcPr>
          <w:p w:rsidR="00DB6BF8" w:rsidRPr="002779EE" w:rsidRDefault="00BF16FD" w:rsidP="00DB6BF8">
            <w:pPr>
              <w:widowControl/>
              <w:spacing w:line="36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7.54</w:t>
            </w:r>
          </w:p>
        </w:tc>
        <w:tc>
          <w:tcPr>
            <w:tcW w:w="1132" w:type="dxa"/>
            <w:shd w:val="clear" w:color="auto" w:fill="auto"/>
          </w:tcPr>
          <w:p w:rsidR="00DB6BF8" w:rsidRPr="002779EE" w:rsidRDefault="00117DA7" w:rsidP="00DB6BF8">
            <w:pPr>
              <w:widowControl/>
              <w:spacing w:line="36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30.72</w:t>
            </w:r>
          </w:p>
        </w:tc>
        <w:tc>
          <w:tcPr>
            <w:tcW w:w="1132" w:type="dxa"/>
          </w:tcPr>
          <w:p w:rsidR="00DB6BF8" w:rsidRPr="002779EE" w:rsidRDefault="00117DA7" w:rsidP="00DB6BF8">
            <w:pPr>
              <w:widowControl/>
              <w:spacing w:line="36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3.81</w:t>
            </w:r>
          </w:p>
        </w:tc>
        <w:tc>
          <w:tcPr>
            <w:tcW w:w="1132"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w:t>
            </w:r>
          </w:p>
        </w:tc>
      </w:tr>
    </w:tbl>
    <w:p w:rsidR="00DB6BF8" w:rsidRDefault="00DB6BF8" w:rsidP="0026774E">
      <w:pPr>
        <w:spacing w:line="280" w:lineRule="exact"/>
        <w:ind w:leftChars="-200" w:left="894" w:rightChars="50" w:right="142" w:hangingChars="600" w:hanging="1461"/>
        <w:rPr>
          <w:sz w:val="24"/>
          <w:szCs w:val="24"/>
        </w:rPr>
      </w:pPr>
      <w:r w:rsidRPr="003912D8">
        <w:rPr>
          <w:rFonts w:hint="eastAsia"/>
          <w:sz w:val="24"/>
          <w:szCs w:val="24"/>
          <w:lang w:eastAsia="zh-HK"/>
        </w:rPr>
        <w:t>說</w:t>
      </w:r>
      <w:r w:rsidRPr="003912D8">
        <w:rPr>
          <w:rFonts w:hint="eastAsia"/>
          <w:sz w:val="24"/>
          <w:szCs w:val="24"/>
        </w:rPr>
        <w:t xml:space="preserve">    </w:t>
      </w:r>
      <w:r w:rsidRPr="003912D8">
        <w:rPr>
          <w:rFonts w:hint="eastAsia"/>
          <w:sz w:val="24"/>
          <w:szCs w:val="24"/>
          <w:lang w:eastAsia="zh-HK"/>
        </w:rPr>
        <w:t>明：</w:t>
      </w:r>
      <w:r w:rsidR="00A44E51">
        <w:rPr>
          <w:rFonts w:hint="eastAsia"/>
          <w:sz w:val="24"/>
          <w:szCs w:val="24"/>
        </w:rPr>
        <w:t>1</w:t>
      </w:r>
      <w:r w:rsidR="00A44E51">
        <w:rPr>
          <w:sz w:val="24"/>
          <w:szCs w:val="24"/>
        </w:rPr>
        <w:t>.</w:t>
      </w:r>
      <w:r w:rsidR="000E26C5">
        <w:rPr>
          <w:rFonts w:hint="eastAsia"/>
          <w:sz w:val="24"/>
          <w:szCs w:val="24"/>
        </w:rPr>
        <w:t>表內10</w:t>
      </w:r>
      <w:r w:rsidR="000E26C5">
        <w:rPr>
          <w:sz w:val="24"/>
          <w:szCs w:val="24"/>
        </w:rPr>
        <w:t>9</w:t>
      </w:r>
      <w:r w:rsidR="000E26C5">
        <w:rPr>
          <w:rFonts w:hint="eastAsia"/>
          <w:sz w:val="24"/>
          <w:szCs w:val="24"/>
        </w:rPr>
        <w:t>至</w:t>
      </w:r>
      <w:r w:rsidRPr="008D2710">
        <w:rPr>
          <w:rFonts w:hint="eastAsia"/>
          <w:sz w:val="24"/>
          <w:szCs w:val="24"/>
        </w:rPr>
        <w:t>1</w:t>
      </w:r>
      <w:r w:rsidR="002779EE">
        <w:rPr>
          <w:sz w:val="24"/>
          <w:szCs w:val="24"/>
        </w:rPr>
        <w:t>1</w:t>
      </w:r>
      <w:r w:rsidR="000E26C5">
        <w:rPr>
          <w:sz w:val="24"/>
          <w:szCs w:val="24"/>
        </w:rPr>
        <w:t>2</w:t>
      </w:r>
      <w:r w:rsidR="000E26C5">
        <w:rPr>
          <w:rFonts w:hint="eastAsia"/>
          <w:sz w:val="24"/>
          <w:szCs w:val="24"/>
        </w:rPr>
        <w:t>年度借款餘額為法定預算數</w:t>
      </w:r>
      <w:r w:rsidR="000E26C5">
        <w:rPr>
          <w:rFonts w:hAnsi="標楷體" w:hint="eastAsia"/>
          <w:sz w:val="24"/>
          <w:szCs w:val="24"/>
        </w:rPr>
        <w:t>，</w:t>
      </w:r>
      <w:r w:rsidR="000E26C5">
        <w:rPr>
          <w:sz w:val="24"/>
          <w:szCs w:val="24"/>
        </w:rPr>
        <w:t>113</w:t>
      </w:r>
      <w:r w:rsidR="000E26C5">
        <w:rPr>
          <w:rFonts w:hint="eastAsia"/>
          <w:sz w:val="24"/>
          <w:szCs w:val="24"/>
        </w:rPr>
        <w:t>至1</w:t>
      </w:r>
      <w:r w:rsidR="000E26C5">
        <w:rPr>
          <w:sz w:val="24"/>
          <w:szCs w:val="24"/>
        </w:rPr>
        <w:t>14</w:t>
      </w:r>
      <w:r w:rsidR="000E26C5">
        <w:rPr>
          <w:rFonts w:hint="eastAsia"/>
          <w:sz w:val="24"/>
          <w:szCs w:val="24"/>
        </w:rPr>
        <w:t>年度為預算案數</w:t>
      </w:r>
      <w:r w:rsidR="000E26C5">
        <w:rPr>
          <w:rFonts w:hAnsi="標楷體" w:hint="eastAsia"/>
          <w:sz w:val="24"/>
          <w:szCs w:val="24"/>
        </w:rPr>
        <w:t>。</w:t>
      </w:r>
      <w:r w:rsidR="000E26C5">
        <w:rPr>
          <w:rFonts w:hint="eastAsia"/>
          <w:sz w:val="24"/>
          <w:szCs w:val="24"/>
        </w:rPr>
        <w:t>1</w:t>
      </w:r>
      <w:r w:rsidR="000E26C5">
        <w:rPr>
          <w:sz w:val="24"/>
          <w:szCs w:val="24"/>
        </w:rPr>
        <w:t>13</w:t>
      </w:r>
      <w:r w:rsidRPr="008D2710">
        <w:rPr>
          <w:rFonts w:hint="eastAsia"/>
          <w:sz w:val="24"/>
          <w:szCs w:val="24"/>
        </w:rPr>
        <w:t>年度</w:t>
      </w:r>
      <w:r w:rsidR="000E26C5" w:rsidRPr="000E26C5">
        <w:rPr>
          <w:rFonts w:hint="eastAsia"/>
          <w:sz w:val="24"/>
          <w:szCs w:val="24"/>
        </w:rPr>
        <w:t>利息費用</w:t>
      </w:r>
      <w:r w:rsidRPr="008D2710">
        <w:rPr>
          <w:rFonts w:hint="eastAsia"/>
          <w:sz w:val="24"/>
          <w:szCs w:val="24"/>
        </w:rPr>
        <w:t>決算數為截至8月底止執行數。</w:t>
      </w:r>
    </w:p>
    <w:p w:rsidR="00A44E51" w:rsidRPr="003912D8" w:rsidRDefault="00A44E51" w:rsidP="0026774E">
      <w:pPr>
        <w:spacing w:line="280" w:lineRule="exact"/>
        <w:ind w:leftChars="230" w:left="895" w:rightChars="50" w:right="142" w:hangingChars="100" w:hanging="243"/>
        <w:rPr>
          <w:rFonts w:hint="eastAsia"/>
          <w:w w:val="94"/>
          <w:sz w:val="24"/>
          <w:szCs w:val="24"/>
        </w:rPr>
      </w:pPr>
      <w:r>
        <w:rPr>
          <w:rFonts w:hint="eastAsia"/>
          <w:sz w:val="24"/>
          <w:szCs w:val="24"/>
        </w:rPr>
        <w:t>2</w:t>
      </w:r>
      <w:r>
        <w:rPr>
          <w:sz w:val="24"/>
          <w:szCs w:val="24"/>
        </w:rPr>
        <w:t>.</w:t>
      </w:r>
      <w:r w:rsidRPr="00A44E51">
        <w:rPr>
          <w:rFonts w:hint="eastAsia"/>
          <w:sz w:val="24"/>
          <w:szCs w:val="24"/>
        </w:rPr>
        <w:t>112年度期初借款利率1.254%，</w:t>
      </w:r>
      <w:r w:rsidR="00F93E05">
        <w:rPr>
          <w:rFonts w:hint="eastAsia"/>
          <w:sz w:val="24"/>
          <w:szCs w:val="24"/>
        </w:rPr>
        <w:t>嗣</w:t>
      </w:r>
      <w:r w:rsidRPr="00A44E51">
        <w:rPr>
          <w:rFonts w:hint="eastAsia"/>
          <w:sz w:val="24"/>
          <w:szCs w:val="24"/>
        </w:rPr>
        <w:t>央行隨同國際調升利率</w:t>
      </w:r>
      <w:r w:rsidR="00F93E05">
        <w:rPr>
          <w:rFonts w:hint="eastAsia"/>
          <w:sz w:val="24"/>
          <w:szCs w:val="24"/>
        </w:rPr>
        <w:t>走</w:t>
      </w:r>
      <w:r w:rsidRPr="00A44E51">
        <w:rPr>
          <w:rFonts w:hint="eastAsia"/>
          <w:sz w:val="24"/>
          <w:szCs w:val="24"/>
        </w:rPr>
        <w:t>勢</w:t>
      </w:r>
      <w:r w:rsidR="00F93E05">
        <w:rPr>
          <w:rFonts w:hAnsi="標楷體" w:hint="eastAsia"/>
          <w:sz w:val="24"/>
          <w:szCs w:val="24"/>
        </w:rPr>
        <w:t>，</w:t>
      </w:r>
      <w:r w:rsidR="00F93E05">
        <w:rPr>
          <w:rFonts w:hint="eastAsia"/>
          <w:sz w:val="24"/>
          <w:szCs w:val="24"/>
        </w:rPr>
        <w:t>爰</w:t>
      </w:r>
      <w:r w:rsidRPr="00A44E51">
        <w:rPr>
          <w:rFonts w:hint="eastAsia"/>
          <w:sz w:val="24"/>
          <w:szCs w:val="24"/>
        </w:rPr>
        <w:t>112年8月借款利率已</w:t>
      </w:r>
      <w:r w:rsidR="00F93E05">
        <w:rPr>
          <w:rFonts w:hint="eastAsia"/>
          <w:sz w:val="24"/>
          <w:szCs w:val="24"/>
        </w:rPr>
        <w:t>增加</w:t>
      </w:r>
      <w:r w:rsidRPr="00A44E51">
        <w:rPr>
          <w:rFonts w:hint="eastAsia"/>
          <w:sz w:val="24"/>
          <w:szCs w:val="24"/>
        </w:rPr>
        <w:t>至1.56%，</w:t>
      </w:r>
      <w:r w:rsidR="00CE4F7A">
        <w:rPr>
          <w:rFonts w:hint="eastAsia"/>
          <w:sz w:val="24"/>
          <w:szCs w:val="24"/>
        </w:rPr>
        <w:t>致</w:t>
      </w:r>
      <w:r w:rsidRPr="00A44E51">
        <w:rPr>
          <w:rFonts w:hint="eastAsia"/>
          <w:sz w:val="24"/>
          <w:szCs w:val="24"/>
        </w:rPr>
        <w:t>全年利息費用</w:t>
      </w:r>
      <w:r w:rsidR="00CE4F7A">
        <w:rPr>
          <w:rFonts w:hint="eastAsia"/>
          <w:sz w:val="24"/>
          <w:szCs w:val="24"/>
        </w:rPr>
        <w:t>為</w:t>
      </w:r>
      <w:r w:rsidRPr="00A44E51">
        <w:rPr>
          <w:rFonts w:hint="eastAsia"/>
          <w:sz w:val="24"/>
          <w:szCs w:val="24"/>
        </w:rPr>
        <w:t>528,760千元。</w:t>
      </w:r>
    </w:p>
    <w:p w:rsidR="00DB6BF8" w:rsidRPr="003912D8" w:rsidRDefault="00DB6BF8" w:rsidP="0026774E">
      <w:pPr>
        <w:spacing w:line="280" w:lineRule="exact"/>
        <w:ind w:leftChars="-200" w:left="285" w:hangingChars="350" w:hanging="852"/>
        <w:rPr>
          <w:snapToGrid/>
          <w:sz w:val="24"/>
          <w:szCs w:val="24"/>
        </w:rPr>
      </w:pPr>
      <w:r w:rsidRPr="003912D8">
        <w:rPr>
          <w:rFonts w:hint="eastAsia"/>
          <w:sz w:val="24"/>
          <w:szCs w:val="24"/>
        </w:rPr>
        <w:t>資料來源：臺灣金控。</w:t>
      </w:r>
    </w:p>
    <w:p w:rsidR="007D4821" w:rsidRPr="002C2B52" w:rsidRDefault="00B07798" w:rsidP="00F15635">
      <w:pPr>
        <w:ind w:left="567" w:firstLine="567"/>
        <w:rPr>
          <w:rFonts w:hAnsi="標楷體"/>
          <w:snapToGrid/>
        </w:rPr>
      </w:pPr>
      <w:r w:rsidRPr="002C2B52">
        <w:rPr>
          <w:rFonts w:hAnsi="標楷體" w:hint="eastAsia"/>
          <w:snapToGrid/>
        </w:rPr>
        <w:t>綜上，金融控股公司成立旨在藉由金融跨業經營，以發揮綜合經營效益。惟近年來臺灣金控按權益法認列臺銀人壽子公司之投資損失逐年增加，</w:t>
      </w:r>
      <w:r w:rsidR="00016344">
        <w:rPr>
          <w:rFonts w:hAnsi="標楷體" w:hint="eastAsia"/>
          <w:snapToGrid/>
        </w:rPr>
        <w:t>截至1</w:t>
      </w:r>
      <w:r w:rsidR="00016344">
        <w:rPr>
          <w:rFonts w:hAnsi="標楷體"/>
          <w:snapToGrid/>
        </w:rPr>
        <w:t>12</w:t>
      </w:r>
      <w:r w:rsidR="00016344">
        <w:rPr>
          <w:rFonts w:hAnsi="標楷體" w:hint="eastAsia"/>
          <w:snapToGrid/>
        </w:rPr>
        <w:t>年底止，</w:t>
      </w:r>
      <w:r w:rsidR="00016344" w:rsidRPr="00016344">
        <w:rPr>
          <w:rFonts w:hAnsi="標楷體" w:hint="eastAsia"/>
          <w:snapToGrid/>
        </w:rPr>
        <w:t>臺灣金控</w:t>
      </w:r>
      <w:r w:rsidRPr="002C2B52">
        <w:rPr>
          <w:rFonts w:hAnsi="標楷體" w:hint="eastAsia"/>
          <w:snapToGrid/>
        </w:rPr>
        <w:t>雖已透過</w:t>
      </w:r>
      <w:r w:rsidR="00016344">
        <w:rPr>
          <w:rFonts w:hAnsi="標楷體" w:hint="eastAsia"/>
          <w:snapToGrid/>
        </w:rPr>
        <w:t>舉債支應該子公司</w:t>
      </w:r>
      <w:r w:rsidRPr="002C2B52">
        <w:rPr>
          <w:rFonts w:hAnsi="標楷體"/>
          <w:snapToGrid/>
        </w:rPr>
        <w:t>7</w:t>
      </w:r>
      <w:r w:rsidRPr="002C2B52">
        <w:rPr>
          <w:rFonts w:hAnsi="標楷體" w:hint="eastAsia"/>
          <w:snapToGrid/>
        </w:rPr>
        <w:t>次現金增資</w:t>
      </w:r>
      <w:r w:rsidR="00016344">
        <w:rPr>
          <w:rFonts w:hAnsi="標楷體" w:hint="eastAsia"/>
          <w:snapToGrid/>
        </w:rPr>
        <w:t>達</w:t>
      </w:r>
      <w:r w:rsidRPr="002C2B52">
        <w:rPr>
          <w:rFonts w:hAnsi="標楷體" w:hint="eastAsia"/>
          <w:snapToGrid/>
        </w:rPr>
        <w:t>4</w:t>
      </w:r>
      <w:r w:rsidRPr="002C2B52">
        <w:rPr>
          <w:rFonts w:hAnsi="標楷體"/>
          <w:snapToGrid/>
        </w:rPr>
        <w:t>45</w:t>
      </w:r>
      <w:r w:rsidRPr="002C2B52">
        <w:rPr>
          <w:rFonts w:hAnsi="標楷體" w:hint="eastAsia"/>
          <w:snapToGrid/>
        </w:rPr>
        <w:t>億元，</w:t>
      </w:r>
      <w:r w:rsidR="00016344">
        <w:rPr>
          <w:rFonts w:hAnsi="標楷體" w:hint="eastAsia"/>
          <w:snapToGrid/>
        </w:rPr>
        <w:t>且11</w:t>
      </w:r>
      <w:r w:rsidR="00016344">
        <w:rPr>
          <w:rFonts w:hAnsi="標楷體"/>
          <w:snapToGrid/>
        </w:rPr>
        <w:t>3</w:t>
      </w:r>
      <w:r w:rsidR="00016344">
        <w:rPr>
          <w:rFonts w:hAnsi="標楷體" w:hint="eastAsia"/>
          <w:snapToGrid/>
        </w:rPr>
        <w:t>及1</w:t>
      </w:r>
      <w:r w:rsidR="00016344">
        <w:rPr>
          <w:rFonts w:hAnsi="標楷體"/>
          <w:snapToGrid/>
        </w:rPr>
        <w:t>14</w:t>
      </w:r>
      <w:r w:rsidR="00016344">
        <w:rPr>
          <w:rFonts w:hAnsi="標楷體" w:hint="eastAsia"/>
          <w:snapToGrid/>
        </w:rPr>
        <w:t>年度預計各再舉債4</w:t>
      </w:r>
      <w:r w:rsidR="00016344">
        <w:rPr>
          <w:rFonts w:hAnsi="標楷體"/>
          <w:snapToGrid/>
        </w:rPr>
        <w:t>0</w:t>
      </w:r>
      <w:r w:rsidR="00016344">
        <w:rPr>
          <w:rFonts w:hAnsi="標楷體" w:hint="eastAsia"/>
          <w:snapToGrid/>
        </w:rPr>
        <w:t>億元及1</w:t>
      </w:r>
      <w:r w:rsidR="00016344">
        <w:rPr>
          <w:rFonts w:hAnsi="標楷體"/>
          <w:snapToGrid/>
        </w:rPr>
        <w:t>00</w:t>
      </w:r>
      <w:r w:rsidR="00016344">
        <w:rPr>
          <w:rFonts w:hAnsi="標楷體" w:hint="eastAsia"/>
          <w:snapToGrid/>
        </w:rPr>
        <w:t>億元，惟</w:t>
      </w:r>
      <w:r w:rsidRPr="002C2B52">
        <w:rPr>
          <w:rFonts w:hAnsi="標楷體" w:hint="eastAsia"/>
          <w:snapToGrid/>
        </w:rPr>
        <w:t>臺銀人壽</w:t>
      </w:r>
      <w:r w:rsidR="00016344">
        <w:rPr>
          <w:rFonts w:hAnsi="標楷體" w:hint="eastAsia"/>
          <w:snapToGrid/>
        </w:rPr>
        <w:t>連年虧損，且部分年度虧損逾2</w:t>
      </w:r>
      <w:r w:rsidR="00016344">
        <w:rPr>
          <w:rFonts w:hAnsi="標楷體"/>
          <w:snapToGrid/>
        </w:rPr>
        <w:t>0</w:t>
      </w:r>
      <w:r w:rsidR="00016344">
        <w:rPr>
          <w:rFonts w:hAnsi="標楷體" w:hint="eastAsia"/>
          <w:snapToGrid/>
        </w:rPr>
        <w:t>億元，</w:t>
      </w:r>
      <w:r w:rsidRPr="002C2B52">
        <w:rPr>
          <w:rFonts w:hAnsi="標楷體" w:hint="eastAsia"/>
          <w:snapToGrid/>
        </w:rPr>
        <w:t>整體經營績效未見顯著改善，</w:t>
      </w:r>
      <w:r w:rsidR="00D171AC" w:rsidRPr="00D171AC">
        <w:rPr>
          <w:rFonts w:hAnsi="標楷體" w:hint="eastAsia"/>
          <w:snapToGrid/>
        </w:rPr>
        <w:t>臺灣</w:t>
      </w:r>
      <w:r w:rsidRPr="002C2B52">
        <w:rPr>
          <w:rFonts w:hAnsi="標楷體" w:hint="eastAsia"/>
          <w:snapToGrid/>
        </w:rPr>
        <w:t>金控允應積極督促該子公司研謀業務改善對策，</w:t>
      </w:r>
      <w:r w:rsidR="00D171AC">
        <w:rPr>
          <w:rFonts w:hAnsi="標楷體" w:hint="eastAsia"/>
          <w:snapToGrid/>
        </w:rPr>
        <w:t>以提升營運績效及改善財務結構</w:t>
      </w:r>
      <w:r w:rsidRPr="002C2B52">
        <w:rPr>
          <w:rFonts w:hAnsi="標楷體" w:hint="eastAsia"/>
          <w:snapToGrid/>
        </w:rPr>
        <w:t>。</w:t>
      </w:r>
    </w:p>
    <w:bookmarkEnd w:id="10"/>
    <w:bookmarkEnd w:id="0"/>
    <w:bookmarkEnd w:id="1"/>
    <w:bookmarkEnd w:id="2"/>
    <w:bookmarkEnd w:id="3"/>
    <w:bookmarkEnd w:id="4"/>
    <w:bookmarkEnd w:id="5"/>
    <w:bookmarkEnd w:id="6"/>
    <w:bookmarkEnd w:id="7"/>
    <w:bookmarkEnd w:id="8"/>
    <w:sectPr w:rsidR="007D4821" w:rsidRPr="002C2B52"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791317" w:rsidRPr="00791317">
      <w:rPr>
        <w:rFonts w:ascii="標楷體" w:hAnsi="標楷體"/>
        <w:noProof/>
        <w:lang w:val="zh-TW"/>
      </w:rPr>
      <w:t>4</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17"/>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2665FA4A-3286-48F7-A9B9-12CFE3EC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D8EAF-4754-4AFD-A75A-AC3D625CA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431</Words>
  <Characters>2459</Characters>
  <Application>Microsoft Office Word</Application>
  <DocSecurity>0</DocSecurity>
  <Lines>20</Lines>
  <Paragraphs>5</Paragraphs>
  <ScaleCrop>false</ScaleCrop>
  <Company/>
  <LinksUpToDate>false</LinksUpToDate>
  <CharactersWithSpaces>2885</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