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635902" w:rsidRPr="00B876C7" w:rsidRDefault="00CE5A08" w:rsidP="00DD6A1E">
      <w:pPr>
        <w:pStyle w:val="14"/>
        <w:ind w:left="567" w:hanging="567"/>
        <w:rPr>
          <w:rStyle w:val="140"/>
          <w:rFonts w:hAnsi="標楷體"/>
          <w:b/>
        </w:rPr>
      </w:pPr>
      <w:bookmarkStart w:id="10" w:name="_Toc181611960"/>
      <w:r w:rsidRPr="00B876C7">
        <w:rPr>
          <w:rStyle w:val="140"/>
          <w:rFonts w:hAnsi="標楷體" w:hint="eastAsia"/>
          <w:b/>
        </w:rPr>
        <w:t>四、持續參與公股金融事業E</w:t>
      </w:r>
      <w:r w:rsidRPr="00B876C7">
        <w:rPr>
          <w:rStyle w:val="140"/>
          <w:rFonts w:hAnsi="標楷體"/>
          <w:b/>
        </w:rPr>
        <w:t>SG</w:t>
      </w:r>
      <w:r w:rsidRPr="00B876C7">
        <w:rPr>
          <w:rStyle w:val="140"/>
          <w:rFonts w:hAnsi="標楷體" w:hint="eastAsia"/>
          <w:b/>
        </w:rPr>
        <w:t>倡議平臺，與企業及客戶共同落實社會永續發展責任，惟</w:t>
      </w:r>
      <w:r>
        <w:rPr>
          <w:rStyle w:val="140"/>
          <w:rFonts w:hAnsi="標楷體" w:hint="eastAsia"/>
          <w:b/>
        </w:rPr>
        <w:t>永續指標確信項目仍有加強空間</w:t>
      </w:r>
      <w:r w:rsidRPr="00B876C7">
        <w:rPr>
          <w:rStyle w:val="140"/>
          <w:rFonts w:hAnsi="標楷體" w:hint="eastAsia"/>
          <w:b/>
        </w:rPr>
        <w:t>，</w:t>
      </w:r>
      <w:r>
        <w:rPr>
          <w:rStyle w:val="140"/>
          <w:rFonts w:hAnsi="標楷體" w:hint="eastAsia"/>
          <w:b/>
        </w:rPr>
        <w:t>以</w:t>
      </w:r>
      <w:r w:rsidR="000D52E5">
        <w:rPr>
          <w:rStyle w:val="140"/>
          <w:rFonts w:hAnsi="標楷體" w:hint="eastAsia"/>
          <w:b/>
        </w:rPr>
        <w:t>精</w:t>
      </w:r>
      <w:r>
        <w:rPr>
          <w:rStyle w:val="140"/>
          <w:rFonts w:hAnsi="標楷體" w:hint="eastAsia"/>
          <w:b/>
        </w:rPr>
        <w:t>進資訊揭露品質及完整性</w:t>
      </w:r>
      <w:bookmarkEnd w:id="10"/>
    </w:p>
    <w:p w:rsidR="002441FC" w:rsidRPr="00E9019F" w:rsidRDefault="002441FC" w:rsidP="002441FC">
      <w:pPr>
        <w:ind w:left="567" w:firstLine="567"/>
        <w:rPr>
          <w:rFonts w:hAnsi="標楷體"/>
          <w:snapToGrid/>
          <w:color w:val="000000"/>
        </w:rPr>
      </w:pPr>
      <w:r w:rsidRPr="00E9019F">
        <w:rPr>
          <w:rFonts w:hAnsi="標楷體" w:hint="eastAsia"/>
          <w:snapToGrid/>
          <w:color w:val="000000"/>
        </w:rPr>
        <w:t>臺銀金控於11</w:t>
      </w:r>
      <w:r>
        <w:rPr>
          <w:rFonts w:hAnsi="標楷體"/>
          <w:snapToGrid/>
          <w:color w:val="000000"/>
        </w:rPr>
        <w:t>4</w:t>
      </w:r>
      <w:r w:rsidRPr="00E9019F">
        <w:rPr>
          <w:rFonts w:hAnsi="標楷體" w:hint="eastAsia"/>
          <w:snapToGrid/>
          <w:color w:val="000000"/>
        </w:rPr>
        <w:t>年度預算案「其他營業費用」</w:t>
      </w:r>
      <w:r w:rsidR="000D52E5">
        <w:rPr>
          <w:rFonts w:hAnsi="標楷體" w:hint="eastAsia"/>
          <w:snapToGrid/>
          <w:color w:val="000000"/>
        </w:rPr>
        <w:t>之</w:t>
      </w:r>
      <w:r w:rsidRPr="00E9019F">
        <w:rPr>
          <w:rFonts w:hAnsi="標楷體" w:hint="eastAsia"/>
          <w:snapToGrid/>
          <w:color w:val="000000"/>
        </w:rPr>
        <w:t>「研究發展費用」科目編列</w:t>
      </w:r>
      <w:r>
        <w:rPr>
          <w:rFonts w:hAnsi="標楷體" w:hint="eastAsia"/>
          <w:snapToGrid/>
          <w:color w:val="000000"/>
        </w:rPr>
        <w:t>1</w:t>
      </w:r>
      <w:r>
        <w:rPr>
          <w:rFonts w:hAnsi="標楷體"/>
          <w:snapToGrid/>
          <w:color w:val="000000"/>
        </w:rPr>
        <w:t>,004</w:t>
      </w:r>
      <w:r w:rsidRPr="00E9019F">
        <w:rPr>
          <w:rFonts w:hAnsi="標楷體" w:hint="eastAsia"/>
          <w:snapToGrid/>
          <w:color w:val="000000"/>
        </w:rPr>
        <w:t>萬</w:t>
      </w:r>
      <w:r>
        <w:rPr>
          <w:rFonts w:hAnsi="標楷體" w:hint="eastAsia"/>
          <w:snapToGrid/>
          <w:color w:val="000000"/>
        </w:rPr>
        <w:t>3千</w:t>
      </w:r>
      <w:r w:rsidRPr="00E9019F">
        <w:rPr>
          <w:rFonts w:hAnsi="標楷體" w:hint="eastAsia"/>
          <w:snapToGrid/>
          <w:color w:val="000000"/>
        </w:rPr>
        <w:t>元，較11</w:t>
      </w:r>
      <w:r>
        <w:rPr>
          <w:rFonts w:hAnsi="標楷體"/>
          <w:snapToGrid/>
          <w:color w:val="000000"/>
        </w:rPr>
        <w:t>3</w:t>
      </w:r>
      <w:r w:rsidRPr="00E9019F">
        <w:rPr>
          <w:rFonts w:hAnsi="標楷體" w:hint="eastAsia"/>
          <w:snapToGrid/>
          <w:color w:val="000000"/>
        </w:rPr>
        <w:t>年度預算案</w:t>
      </w:r>
      <w:r>
        <w:rPr>
          <w:rFonts w:hAnsi="標楷體"/>
          <w:snapToGrid/>
          <w:color w:val="000000"/>
        </w:rPr>
        <w:t>311</w:t>
      </w:r>
      <w:r w:rsidRPr="00E9019F">
        <w:rPr>
          <w:rFonts w:hAnsi="標楷體" w:hint="eastAsia"/>
          <w:snapToGrid/>
          <w:color w:val="000000"/>
        </w:rPr>
        <w:t>萬</w:t>
      </w:r>
      <w:r>
        <w:rPr>
          <w:rFonts w:hAnsi="標楷體" w:hint="eastAsia"/>
          <w:snapToGrid/>
          <w:color w:val="000000"/>
        </w:rPr>
        <w:t>5千</w:t>
      </w:r>
      <w:r w:rsidRPr="00E9019F">
        <w:rPr>
          <w:rFonts w:hAnsi="標楷體" w:hint="eastAsia"/>
          <w:snapToGrid/>
          <w:color w:val="000000"/>
        </w:rPr>
        <w:t>元增編</w:t>
      </w:r>
      <w:r>
        <w:rPr>
          <w:rFonts w:hAnsi="標楷體" w:hint="eastAsia"/>
          <w:snapToGrid/>
          <w:color w:val="000000"/>
        </w:rPr>
        <w:t>2</w:t>
      </w:r>
      <w:r>
        <w:rPr>
          <w:rFonts w:hAnsi="標楷體"/>
          <w:snapToGrid/>
          <w:color w:val="000000"/>
        </w:rPr>
        <w:t>22</w:t>
      </w:r>
      <w:r w:rsidRPr="00E9019F">
        <w:rPr>
          <w:rFonts w:hAnsi="標楷體" w:hint="eastAsia"/>
          <w:snapToGrid/>
          <w:color w:val="000000"/>
        </w:rPr>
        <w:t>.</w:t>
      </w:r>
      <w:r>
        <w:rPr>
          <w:rFonts w:hAnsi="標楷體"/>
          <w:snapToGrid/>
          <w:color w:val="000000"/>
        </w:rPr>
        <w:t>41</w:t>
      </w:r>
      <w:r w:rsidRPr="00E9019F">
        <w:rPr>
          <w:rFonts w:hAnsi="標楷體" w:hint="eastAsia"/>
          <w:snapToGrid/>
          <w:color w:val="000000"/>
        </w:rPr>
        <w:t>%，係</w:t>
      </w:r>
      <w:r>
        <w:rPr>
          <w:rFonts w:hAnsi="標楷體" w:hint="eastAsia"/>
          <w:snapToGrid/>
          <w:color w:val="000000"/>
        </w:rPr>
        <w:t>依</w:t>
      </w:r>
      <w:r w:rsidRPr="00E9019F">
        <w:rPr>
          <w:rFonts w:hAnsi="標楷體" w:hint="eastAsia"/>
          <w:snapToGrid/>
          <w:color w:val="000000"/>
        </w:rPr>
        <w:t>金管會</w:t>
      </w:r>
      <w:r w:rsidRPr="002B4C62">
        <w:rPr>
          <w:rFonts w:hAnsi="標楷體" w:hint="eastAsia"/>
          <w:snapToGrid/>
        </w:rPr>
        <w:t>綠色金融行動方案</w:t>
      </w:r>
      <w:r w:rsidR="00DA6884" w:rsidRPr="002B4C62">
        <w:rPr>
          <w:rStyle w:val="aff0"/>
          <w:rFonts w:hAnsi="標楷體"/>
          <w:snapToGrid/>
        </w:rPr>
        <w:footnoteReference w:id="1"/>
      </w:r>
      <w:r w:rsidRPr="007D6C94">
        <w:rPr>
          <w:rFonts w:hAnsi="標楷體" w:hint="eastAsia"/>
          <w:snapToGrid/>
          <w:color w:val="000000"/>
        </w:rPr>
        <w:t>資訊揭露措施，編印永續報告書並取得第三方</w:t>
      </w:r>
      <w:r>
        <w:rPr>
          <w:rFonts w:hAnsi="標楷體" w:hint="eastAsia"/>
          <w:snapToGrid/>
          <w:color w:val="000000"/>
        </w:rPr>
        <w:t>確信或保證</w:t>
      </w:r>
      <w:r w:rsidRPr="007D6C94">
        <w:rPr>
          <w:rFonts w:hAnsi="標楷體" w:hint="eastAsia"/>
          <w:snapToGrid/>
          <w:color w:val="000000"/>
        </w:rPr>
        <w:t>等費用</w:t>
      </w:r>
      <w:r>
        <w:rPr>
          <w:rFonts w:hAnsi="標楷體" w:hint="eastAsia"/>
          <w:snapToGrid/>
          <w:color w:val="000000"/>
        </w:rPr>
        <w:t>。</w:t>
      </w:r>
      <w:r w:rsidRPr="00E9019F">
        <w:rPr>
          <w:rFonts w:hAnsi="標楷體" w:hint="eastAsia"/>
          <w:snapToGrid/>
          <w:color w:val="000000"/>
        </w:rPr>
        <w:t>該金控集團</w:t>
      </w:r>
      <w:r>
        <w:rPr>
          <w:rFonts w:hAnsi="標楷體" w:hint="eastAsia"/>
          <w:snapToGrid/>
          <w:color w:val="000000"/>
        </w:rPr>
        <w:t>近年</w:t>
      </w:r>
      <w:r w:rsidRPr="00E9019F">
        <w:rPr>
          <w:rFonts w:hAnsi="標楷體" w:hint="eastAsia"/>
          <w:snapToGrid/>
          <w:color w:val="000000"/>
        </w:rPr>
        <w:t>持續</w:t>
      </w:r>
      <w:r w:rsidR="00A51F72" w:rsidRPr="00A51F72">
        <w:rPr>
          <w:rFonts w:hAnsi="標楷體" w:hint="eastAsia"/>
          <w:snapToGrid/>
          <w:color w:val="000000"/>
        </w:rPr>
        <w:t>參與公股金融事業ESG</w:t>
      </w:r>
      <w:r w:rsidR="00DA6884" w:rsidRPr="00175837">
        <w:rPr>
          <w:rStyle w:val="aff0"/>
          <w:rFonts w:hAnsi="標楷體"/>
          <w:snapToGrid/>
          <w:color w:val="000000"/>
        </w:rPr>
        <w:footnoteReference w:id="2"/>
      </w:r>
      <w:r w:rsidR="00A51F72" w:rsidRPr="00A51F72">
        <w:rPr>
          <w:rFonts w:hAnsi="標楷體" w:hint="eastAsia"/>
          <w:snapToGrid/>
          <w:color w:val="000000"/>
        </w:rPr>
        <w:t>倡議平臺</w:t>
      </w:r>
      <w:r w:rsidRPr="00E9019F">
        <w:rPr>
          <w:rFonts w:hAnsi="標楷體" w:hint="eastAsia"/>
          <w:snapToGrid/>
          <w:color w:val="000000"/>
        </w:rPr>
        <w:t>，與企業及客戶共同落實社會永續發展責任</w:t>
      </w:r>
      <w:r w:rsidR="00C10048">
        <w:rPr>
          <w:rFonts w:hAnsi="標楷體" w:hint="eastAsia"/>
          <w:snapToGrid/>
          <w:color w:val="000000"/>
        </w:rPr>
        <w:t>。</w:t>
      </w:r>
      <w:r w:rsidRPr="007E2B4E">
        <w:rPr>
          <w:rFonts w:hAnsi="標楷體" w:hint="eastAsia"/>
          <w:snapToGrid/>
          <w:color w:val="000000"/>
        </w:rPr>
        <w:t>經查：</w:t>
      </w:r>
    </w:p>
    <w:p w:rsidR="002441FC" w:rsidRPr="00E9019F" w:rsidRDefault="002441FC" w:rsidP="002441FC">
      <w:pPr>
        <w:pStyle w:val="ac"/>
        <w:ind w:left="851" w:hanging="284"/>
        <w:rPr>
          <w:rFonts w:hAnsi="標楷體"/>
          <w:b/>
          <w:snapToGrid/>
        </w:rPr>
      </w:pPr>
      <w:r w:rsidRPr="00E9019F">
        <w:rPr>
          <w:rFonts w:hAnsi="標楷體" w:hint="eastAsia"/>
          <w:b/>
          <w:snapToGrid/>
        </w:rPr>
        <w:lastRenderedPageBreak/>
        <w:t>(一)自110年起9大公股金融事業共同推動財政部ESG倡議平臺具體執行方案</w:t>
      </w:r>
    </w:p>
    <w:p w:rsidR="00E35AB5" w:rsidRPr="00A2107B" w:rsidRDefault="002441FC" w:rsidP="002441FC">
      <w:pPr>
        <w:ind w:leftChars="300" w:left="850" w:firstLine="567"/>
        <w:rPr>
          <w:rFonts w:hAnsi="標楷體"/>
          <w:snapToGrid/>
        </w:rPr>
      </w:pPr>
      <w:r w:rsidRPr="00E9019F">
        <w:rPr>
          <w:rFonts w:hAnsi="標楷體" w:hint="eastAsia"/>
          <w:snapToGrid/>
          <w:color w:val="000000"/>
        </w:rPr>
        <w:t>財政部於110年10月正式啟動9大公股金融事業ESG倡議平臺，包括臺灣金控、臺灣土地行銀、輸出入銀行、合庫金控、兆豐金控、第一金控、華南金控、彰化銀行以及臺灣中小企業銀行等。將依「組織與ESG資訊揭露」、「責任金融」及「環境及社會績效」3大主軸於短期(110年至111年，12項)、中期(112年至114年，11項)及長期(115年及以後，11項)推動多項執行方案，如：簽署赤道原則</w:t>
      </w:r>
      <w:r w:rsidRPr="00E9019F">
        <w:rPr>
          <w:rStyle w:val="aff0"/>
          <w:rFonts w:hAnsi="標楷體"/>
          <w:snapToGrid/>
          <w:color w:val="000000"/>
        </w:rPr>
        <w:footnoteReference w:id="3"/>
      </w:r>
      <w:r w:rsidRPr="00E9019F">
        <w:rPr>
          <w:rFonts w:hAnsi="標楷體" w:hint="eastAsia"/>
          <w:snapToGrid/>
          <w:color w:val="000000"/>
        </w:rPr>
        <w:t>、推動綠建築及太陽能分行、發行綠色或可持續發展債券等，盼藉由公股金融事業聯合倡議，使更多企業重視ESG。據財政部說明</w:t>
      </w:r>
      <w:r w:rsidRPr="00A2107B">
        <w:rPr>
          <w:rFonts w:hAnsi="標楷體" w:hint="eastAsia"/>
          <w:snapToGrid/>
        </w:rPr>
        <w:t>，截至11</w:t>
      </w:r>
      <w:r w:rsidR="006C1034" w:rsidRPr="00A2107B">
        <w:rPr>
          <w:rFonts w:hAnsi="標楷體"/>
          <w:snapToGrid/>
        </w:rPr>
        <w:t>3</w:t>
      </w:r>
      <w:r w:rsidRPr="00A2107B">
        <w:rPr>
          <w:rFonts w:hAnsi="標楷體" w:hint="eastAsia"/>
          <w:snapToGrid/>
        </w:rPr>
        <w:t>年</w:t>
      </w:r>
      <w:r w:rsidR="006C1034" w:rsidRPr="00A2107B">
        <w:rPr>
          <w:rFonts w:hAnsi="標楷體" w:hint="eastAsia"/>
          <w:snapToGrid/>
        </w:rPr>
        <w:t>3</w:t>
      </w:r>
      <w:r w:rsidRPr="00A2107B">
        <w:rPr>
          <w:rFonts w:hAnsi="標楷體" w:hint="eastAsia"/>
          <w:snapToGrid/>
        </w:rPr>
        <w:t>月取得之初步成果</w:t>
      </w:r>
      <w:r w:rsidR="00E35AB5" w:rsidRPr="00A2107B">
        <w:rPr>
          <w:rFonts w:hAnsi="標楷體" w:hint="eastAsia"/>
          <w:snapToGrid/>
        </w:rPr>
        <w:t>分述如次</w:t>
      </w:r>
      <w:r w:rsidRPr="00A2107B">
        <w:rPr>
          <w:rFonts w:hAnsi="標楷體" w:hint="eastAsia"/>
          <w:snapToGrid/>
        </w:rPr>
        <w:t>：</w:t>
      </w:r>
    </w:p>
    <w:p w:rsidR="00E35AB5" w:rsidRPr="00A2107B" w:rsidRDefault="00E35AB5" w:rsidP="002B4C62">
      <w:pPr>
        <w:pStyle w:val="123"/>
        <w:numPr>
          <w:ilvl w:val="0"/>
          <w:numId w:val="15"/>
        </w:numPr>
        <w:ind w:leftChars="0" w:firstLineChars="0"/>
        <w:rPr>
          <w:rFonts w:hAnsi="標楷體"/>
        </w:rPr>
      </w:pPr>
      <w:r w:rsidRPr="00A2107B">
        <w:rPr>
          <w:rFonts w:hAnsi="標楷體" w:hint="eastAsia"/>
          <w:b/>
        </w:rPr>
        <w:t>短期具體執行方案：</w:t>
      </w:r>
      <w:r w:rsidRPr="00A2107B">
        <w:rPr>
          <w:rFonts w:hAnsi="標楷體" w:hint="eastAsia"/>
        </w:rPr>
        <w:t>已於111年底屆期並全數辦理完成，包含</w:t>
      </w:r>
      <w:r w:rsidRPr="002B4C62">
        <w:rPr>
          <w:rFonts w:hAnsi="標楷體" w:hint="eastAsia"/>
        </w:rPr>
        <w:t>簽署赤道原則</w:t>
      </w:r>
      <w:r w:rsidR="002B4C62" w:rsidRPr="00E9019F">
        <w:rPr>
          <w:rStyle w:val="aff0"/>
          <w:rFonts w:hAnsi="標楷體"/>
          <w:snapToGrid/>
          <w:color w:val="000000"/>
        </w:rPr>
        <w:footnoteReference w:id="4"/>
      </w:r>
      <w:r w:rsidRPr="00A2107B">
        <w:rPr>
          <w:rFonts w:hAnsi="標楷體" w:hint="eastAsia"/>
        </w:rPr>
        <w:t>，簽署支持並導入氣候相關財務揭露（TCFD）架構，依循全球報告倡議組織（GRI）準則編製ESG/企業社會責任（CSR）報告書並委請第三方辦理驗證等。</w:t>
      </w:r>
    </w:p>
    <w:p w:rsidR="00A2107B" w:rsidRPr="00A2107B" w:rsidRDefault="00A2107B" w:rsidP="00A2107B">
      <w:pPr>
        <w:pStyle w:val="123"/>
        <w:numPr>
          <w:ilvl w:val="0"/>
          <w:numId w:val="15"/>
        </w:numPr>
        <w:ind w:leftChars="0" w:firstLineChars="0"/>
        <w:rPr>
          <w:rFonts w:hAnsi="標楷體" w:hint="eastAsia"/>
          <w:b/>
        </w:rPr>
      </w:pPr>
      <w:r w:rsidRPr="00A2107B">
        <w:rPr>
          <w:rFonts w:hAnsi="標楷體" w:hint="eastAsia"/>
          <w:b/>
        </w:rPr>
        <w:t>中期具體執行方案：</w:t>
      </w:r>
      <w:r w:rsidRPr="00A2107B">
        <w:rPr>
          <w:rFonts w:hAnsi="標楷體" w:hint="eastAsia"/>
        </w:rPr>
        <w:t>截至112年底，已完成包含8家公股銀行發行綠色債券6檔、社會責任債券1檔、可持續發展債券15檔，並於投資、融資及商品審查流程納入ESG因子、將氣候變遷風險納入風險管理政策及上市之6家公股金融事業辦</w:t>
      </w:r>
      <w:r w:rsidRPr="00A2107B">
        <w:rPr>
          <w:rFonts w:hAnsi="標楷體" w:hint="eastAsia"/>
        </w:rPr>
        <w:lastRenderedPageBreak/>
        <w:t>理TCFD第三方驗證等。</w:t>
      </w:r>
    </w:p>
    <w:p w:rsidR="002441FC" w:rsidRPr="00E9019F" w:rsidRDefault="002441FC" w:rsidP="002441FC">
      <w:pPr>
        <w:pStyle w:val="ac"/>
        <w:ind w:left="851" w:hanging="284"/>
        <w:rPr>
          <w:rFonts w:hAnsi="標楷體"/>
          <w:b/>
          <w:snapToGrid/>
          <w:color w:val="000000"/>
        </w:rPr>
      </w:pPr>
      <w:r w:rsidRPr="00E9019F">
        <w:rPr>
          <w:rFonts w:hAnsi="標楷體" w:hint="eastAsia"/>
          <w:b/>
          <w:snapToGrid/>
          <w:color w:val="000000"/>
        </w:rPr>
        <w:t>(二)持續</w:t>
      </w:r>
      <w:r>
        <w:rPr>
          <w:rFonts w:hAnsi="標楷體" w:hint="eastAsia"/>
          <w:b/>
          <w:snapToGrid/>
          <w:color w:val="000000"/>
        </w:rPr>
        <w:t>參與公股金融事業</w:t>
      </w:r>
      <w:r w:rsidRPr="00E9019F">
        <w:rPr>
          <w:rFonts w:hAnsi="標楷體" w:hint="eastAsia"/>
          <w:b/>
          <w:snapToGrid/>
          <w:color w:val="000000"/>
        </w:rPr>
        <w:t>ESG倡議平臺，</w:t>
      </w:r>
      <w:r w:rsidR="00FA2D2A">
        <w:rPr>
          <w:rFonts w:hAnsi="標楷體" w:hint="eastAsia"/>
          <w:b/>
          <w:snapToGrid/>
          <w:color w:val="000000"/>
        </w:rPr>
        <w:t>永續報告書業取得第三方驗證，</w:t>
      </w:r>
      <w:r w:rsidR="00E4416C" w:rsidRPr="00E4416C">
        <w:rPr>
          <w:rFonts w:hAnsi="標楷體" w:hint="eastAsia"/>
          <w:b/>
          <w:snapToGrid/>
          <w:color w:val="000000"/>
        </w:rPr>
        <w:t>惟永續指標確信項目仍有加強空間</w:t>
      </w:r>
    </w:p>
    <w:p w:rsidR="000D52E5" w:rsidRDefault="002441FC" w:rsidP="00377D5F">
      <w:pPr>
        <w:ind w:leftChars="300" w:left="850" w:firstLine="567"/>
        <w:rPr>
          <w:rFonts w:hAnsi="標楷體"/>
          <w:snapToGrid/>
        </w:rPr>
      </w:pPr>
      <w:r w:rsidRPr="00E9019F">
        <w:rPr>
          <w:rFonts w:hAnsi="標楷體" w:hint="eastAsia"/>
          <w:snapToGrid/>
        </w:rPr>
        <w:t>據臺灣金控說明，該集團截至11</w:t>
      </w:r>
      <w:r>
        <w:rPr>
          <w:rFonts w:hAnsi="標楷體"/>
          <w:snapToGrid/>
        </w:rPr>
        <w:t>2</w:t>
      </w:r>
      <w:r w:rsidRPr="00E9019F">
        <w:rPr>
          <w:rFonts w:hAnsi="標楷體" w:hint="eastAsia"/>
          <w:snapToGrid/>
        </w:rPr>
        <w:t>年底止有關ESG理念落實之具體成果包括：1.集團各公司均設置企業永續發展委員會，專責推動ESG相關事務。2.金控及臺灣銀行業依循GRI準則</w:t>
      </w:r>
      <w:r w:rsidRPr="00E9019F">
        <w:rPr>
          <w:rStyle w:val="aff0"/>
          <w:rFonts w:hAnsi="標楷體"/>
          <w:snapToGrid/>
        </w:rPr>
        <w:footnoteReference w:id="5"/>
      </w:r>
      <w:r w:rsidRPr="00E9019F">
        <w:rPr>
          <w:rFonts w:hAnsi="標楷體" w:hint="eastAsia"/>
          <w:snapToGrid/>
        </w:rPr>
        <w:t>編製完成2021年永續報告書，並取得獨立第三方驗證通過。3.各公司均已通過「資訊安全管理制度ISO 27001」國際標準驗證。4.子公司臺灣銀行於110年發行新臺幣10億元綠色債券並將資金導入綠能發展相關用途。5.子公司臺灣銀行於111年5月已正式簽署加入赤道原則協會及簽署支持「氣候相關財務揭露建議」(TCFD)，為持續精進導入TCFD架構，於112年取得TCFD第三方最高級別認證。6.子公司臺灣銀行與第一銀行共同主辦友達光電連結永續指數聯貸案，為亞洲放款金額最大之連結永續指數聯貸案。</w:t>
      </w:r>
      <w:r w:rsidRPr="00887EFB">
        <w:rPr>
          <w:rFonts w:hAnsi="標楷體" w:hint="eastAsia"/>
          <w:snapToGrid/>
        </w:rPr>
        <w:t>7.推廣多元化普惠金融商品。8.善盡企業社會責任，參與多元公益活動。</w:t>
      </w:r>
    </w:p>
    <w:p w:rsidR="002441FC" w:rsidRDefault="00285248" w:rsidP="00377D5F">
      <w:pPr>
        <w:ind w:leftChars="300" w:left="850" w:firstLine="567"/>
        <w:rPr>
          <w:rFonts w:hAnsi="標楷體"/>
          <w:snapToGrid/>
        </w:rPr>
      </w:pPr>
      <w:r w:rsidRPr="00946116">
        <w:rPr>
          <w:rFonts w:hAnsi="標楷體" w:hint="eastAsia"/>
          <w:snapToGrid/>
        </w:rPr>
        <w:t>又</w:t>
      </w:r>
      <w:r w:rsidR="002441FC" w:rsidRPr="00946116">
        <w:rPr>
          <w:rFonts w:hAnsi="標楷體" w:hint="eastAsia"/>
          <w:snapToGrid/>
        </w:rPr>
        <w:t>參據</w:t>
      </w:r>
      <w:r w:rsidRPr="00946116">
        <w:rPr>
          <w:rFonts w:hAnsi="標楷體" w:hint="eastAsia"/>
          <w:snapToGrid/>
        </w:rPr>
        <w:t>金管會</w:t>
      </w:r>
      <w:r w:rsidR="00E24F2A" w:rsidRPr="00946116">
        <w:rPr>
          <w:rFonts w:hAnsi="標楷體" w:hint="eastAsia"/>
          <w:snapToGrid/>
        </w:rPr>
        <w:t>推動</w:t>
      </w:r>
      <w:r w:rsidRPr="00946116">
        <w:rPr>
          <w:rFonts w:hAnsi="標楷體" w:hint="eastAsia"/>
          <w:snapToGrid/>
        </w:rPr>
        <w:t>「</w:t>
      </w:r>
      <w:r w:rsidR="00E24F2A" w:rsidRPr="00946116">
        <w:rPr>
          <w:rFonts w:hAnsi="標楷體" w:hint="eastAsia"/>
          <w:snapToGrid/>
        </w:rPr>
        <w:t>公司治理3</w:t>
      </w:r>
      <w:r w:rsidR="00E24F2A" w:rsidRPr="00946116">
        <w:rPr>
          <w:rFonts w:hAnsi="標楷體"/>
          <w:snapToGrid/>
        </w:rPr>
        <w:t>.0-</w:t>
      </w:r>
      <w:r w:rsidR="00E24F2A" w:rsidRPr="00946116">
        <w:rPr>
          <w:rFonts w:hAnsi="標楷體" w:hint="eastAsia"/>
          <w:snapToGrid/>
        </w:rPr>
        <w:t>永續發展藍圖</w:t>
      </w:r>
      <w:r w:rsidRPr="00946116">
        <w:rPr>
          <w:rFonts w:hAnsi="標楷體" w:hint="eastAsia"/>
          <w:snapToGrid/>
        </w:rPr>
        <w:t>」</w:t>
      </w:r>
      <w:r w:rsidR="00E24F2A" w:rsidRPr="00946116">
        <w:rPr>
          <w:rFonts w:hAnsi="標楷體" w:hint="eastAsia"/>
          <w:snapToGrid/>
        </w:rPr>
        <w:t>之推動措施</w:t>
      </w:r>
      <w:r w:rsidR="00353799">
        <w:rPr>
          <w:rStyle w:val="aff0"/>
          <w:rFonts w:hAnsi="標楷體"/>
          <w:snapToGrid/>
        </w:rPr>
        <w:footnoteReference w:id="6"/>
      </w:r>
      <w:r w:rsidR="00E24F2A" w:rsidRPr="00946116">
        <w:rPr>
          <w:rFonts w:hAnsi="標楷體" w:hint="eastAsia"/>
          <w:snapToGrid/>
        </w:rPr>
        <w:t>，金融保險業應加強揭露「資訊外洩事件數量、與個資相關的資訊外洩事件占比、因資訊外洩事件而受影響的顧客數」、「對促進小型企業及社區發展的貸放件數及貸放餘額」、「對缺少銀行服務之弱勢族群提供金融教育之參與人數」、「各經營業務為創造環境效益或社會效益所設計之產品與服務」等 4 項永續指標，並應取得會計師出具意見書之規範。</w:t>
      </w:r>
      <w:r w:rsidR="00377D5F" w:rsidRPr="00946116">
        <w:rPr>
          <w:rFonts w:hAnsi="標楷體" w:hint="eastAsia"/>
          <w:snapToGrid/>
        </w:rPr>
        <w:t>經查</w:t>
      </w:r>
      <w:r w:rsidR="00946116" w:rsidRPr="00946116">
        <w:rPr>
          <w:rFonts w:hAnsi="標楷體" w:hint="eastAsia"/>
          <w:snapToGrid/>
        </w:rPr>
        <w:t>子公司</w:t>
      </w:r>
      <w:r w:rsidR="00377D5F" w:rsidRPr="00946116">
        <w:rPr>
          <w:rFonts w:hAnsi="標楷體" w:hint="eastAsia"/>
          <w:snapToGrid/>
        </w:rPr>
        <w:t>臺灣</w:t>
      </w:r>
      <w:r w:rsidR="00377D5F" w:rsidRPr="00946116">
        <w:rPr>
          <w:rFonts w:hAnsi="標楷體" w:hint="eastAsia"/>
          <w:snapToGrid/>
        </w:rPr>
        <w:lastRenderedPageBreak/>
        <w:t>銀行公司為提升永續報告書揭露品質及可信度，自 109 年起委託第三方驗證機構辦理永續報告書之外部查證，並於 111 年參照永續報告書作業辦法委請會計師事務所辦理上述 4 項永續指標之確信作業，惟整體確信項目仍低於第一商業銀行等 5 家公股銀行</w:t>
      </w:r>
      <w:r w:rsidR="00962391" w:rsidRPr="0057630B">
        <w:rPr>
          <w:rFonts w:hAnsi="標楷體" w:hint="eastAsia"/>
          <w:snapToGrid/>
        </w:rPr>
        <w:t>(詳表1)</w:t>
      </w:r>
      <w:r w:rsidR="00377D5F" w:rsidRPr="00946116">
        <w:rPr>
          <w:rFonts w:hAnsi="標楷體" w:hint="eastAsia"/>
          <w:snapToGrid/>
        </w:rPr>
        <w:t>，確信資訊揭露品質仍有精進空間</w:t>
      </w:r>
      <w:r w:rsidR="000D52E5">
        <w:rPr>
          <w:rFonts w:hAnsi="標楷體" w:hint="eastAsia"/>
          <w:snapToGrid/>
        </w:rPr>
        <w:t>，案經審計部提出重要審核意見在案</w:t>
      </w:r>
      <w:r w:rsidR="000D52E5">
        <w:rPr>
          <w:rStyle w:val="aff0"/>
          <w:rFonts w:hAnsi="標楷體"/>
          <w:snapToGrid/>
        </w:rPr>
        <w:footnoteReference w:id="7"/>
      </w:r>
      <w:r w:rsidR="00377D5F" w:rsidRPr="00946116">
        <w:rPr>
          <w:rFonts w:hAnsi="標楷體" w:hint="eastAsia"/>
          <w:snapToGrid/>
        </w:rPr>
        <w:t>。</w:t>
      </w:r>
    </w:p>
    <w:p w:rsidR="00962391" w:rsidRPr="00203371" w:rsidRDefault="00962391" w:rsidP="00570F10">
      <w:pPr>
        <w:ind w:leftChars="-50" w:left="-142" w:firstLineChars="0" w:firstLine="0"/>
        <w:rPr>
          <w:rFonts w:hAnsi="標楷體"/>
          <w:b/>
          <w:snapToGrid/>
        </w:rPr>
      </w:pPr>
      <w:r w:rsidRPr="00203371">
        <w:rPr>
          <w:rFonts w:hAnsi="標楷體" w:hint="eastAsia"/>
          <w:b/>
          <w:snapToGrid/>
        </w:rPr>
        <w:t xml:space="preserve">表1 </w:t>
      </w:r>
      <w:r w:rsidR="00C12A7F" w:rsidRPr="00203371">
        <w:rPr>
          <w:rFonts w:hAnsi="標楷體" w:hint="eastAsia"/>
          <w:b/>
          <w:snapToGrid/>
        </w:rPr>
        <w:t>公股銀行永續報告書永續指標確信</w:t>
      </w:r>
      <w:r w:rsidRPr="00203371">
        <w:rPr>
          <w:rFonts w:hAnsi="標楷體" w:hint="eastAsia"/>
          <w:b/>
          <w:snapToGrid/>
        </w:rPr>
        <w:t>情形表</w:t>
      </w:r>
      <w:r w:rsidR="00121837">
        <w:rPr>
          <w:rFonts w:hAnsi="標楷體" w:hint="eastAsia"/>
          <w:b/>
          <w:snapToGrid/>
        </w:rPr>
        <w:t xml:space="preserve"> </w:t>
      </w:r>
      <w:r w:rsidR="00121837">
        <w:rPr>
          <w:rFonts w:hAnsi="標楷體"/>
          <w:b/>
          <w:snapToGrid/>
        </w:rPr>
        <w:t xml:space="preserve">            </w:t>
      </w:r>
      <w:r w:rsidR="00121837" w:rsidRPr="00203371">
        <w:rPr>
          <w:rFonts w:hAnsi="標楷體" w:hint="eastAsia"/>
          <w:snapToGrid/>
          <w:sz w:val="24"/>
          <w:szCs w:val="24"/>
        </w:rPr>
        <w:t>單位：項</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7"/>
        <w:gridCol w:w="957"/>
        <w:gridCol w:w="957"/>
        <w:gridCol w:w="957"/>
        <w:gridCol w:w="957"/>
        <w:gridCol w:w="957"/>
        <w:gridCol w:w="957"/>
        <w:gridCol w:w="957"/>
        <w:gridCol w:w="957"/>
      </w:tblGrid>
      <w:tr w:rsidR="00203371" w:rsidRPr="00203371" w:rsidTr="000E135F">
        <w:trPr>
          <w:trHeight w:val="974"/>
        </w:trPr>
        <w:tc>
          <w:tcPr>
            <w:tcW w:w="957" w:type="dxa"/>
            <w:shd w:val="clear" w:color="auto" w:fill="auto"/>
          </w:tcPr>
          <w:p w:rsidR="00D1577B" w:rsidRPr="00203371" w:rsidRDefault="00962391" w:rsidP="00697512">
            <w:pPr>
              <w:spacing w:line="400" w:lineRule="exact"/>
              <w:ind w:leftChars="0" w:left="0" w:firstLineChars="0" w:firstLine="0"/>
              <w:jc w:val="center"/>
              <w:rPr>
                <w:rFonts w:hAnsi="標楷體"/>
                <w:snapToGrid/>
                <w:spacing w:val="-20"/>
                <w:sz w:val="24"/>
              </w:rPr>
            </w:pPr>
            <w:r w:rsidRPr="00203371">
              <w:rPr>
                <w:rFonts w:hAnsi="標楷體" w:hint="eastAsia"/>
                <w:snapToGrid/>
              </w:rPr>
              <w:t xml:space="preserve">                                          </w:t>
            </w:r>
            <w:r w:rsidR="00D1577B" w:rsidRPr="00203371">
              <w:rPr>
                <w:rFonts w:hAnsi="標楷體" w:hint="eastAsia"/>
                <w:snapToGrid/>
                <w:spacing w:val="-20"/>
                <w:sz w:val="24"/>
              </w:rPr>
              <w:t>公股銀</w:t>
            </w:r>
          </w:p>
          <w:p w:rsidR="00D1577B" w:rsidRPr="00203371" w:rsidRDefault="00D1577B" w:rsidP="00697512">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行名稱</w:t>
            </w:r>
          </w:p>
        </w:tc>
        <w:tc>
          <w:tcPr>
            <w:tcW w:w="957" w:type="dxa"/>
            <w:shd w:val="clear" w:color="auto" w:fill="auto"/>
          </w:tcPr>
          <w:p w:rsidR="00D1577B" w:rsidRPr="00203371" w:rsidRDefault="00D1577B" w:rsidP="00697512">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臺灣</w:t>
            </w:r>
          </w:p>
          <w:p w:rsidR="00D1577B" w:rsidRPr="00203371" w:rsidRDefault="00D1577B" w:rsidP="00697512">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shd w:val="clear" w:color="auto" w:fill="auto"/>
          </w:tcPr>
          <w:p w:rsidR="00D1577B" w:rsidRPr="00203371" w:rsidRDefault="00D1577B" w:rsidP="00697512">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臺灣土</w:t>
            </w:r>
          </w:p>
          <w:p w:rsidR="00D1577B" w:rsidRPr="00203371" w:rsidRDefault="00D1577B" w:rsidP="00697512">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地銀行</w:t>
            </w:r>
          </w:p>
        </w:tc>
        <w:tc>
          <w:tcPr>
            <w:tcW w:w="957" w:type="dxa"/>
            <w:shd w:val="clear" w:color="auto" w:fill="auto"/>
          </w:tcPr>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合作金庫銀行</w:t>
            </w:r>
          </w:p>
        </w:tc>
        <w:tc>
          <w:tcPr>
            <w:tcW w:w="957" w:type="dxa"/>
            <w:shd w:val="clear" w:color="auto" w:fill="auto"/>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第一</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shd w:val="clear" w:color="auto" w:fill="auto"/>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華南</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彰化</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兆豐</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銀行</w:t>
            </w:r>
          </w:p>
        </w:tc>
        <w:tc>
          <w:tcPr>
            <w:tcW w:w="957" w:type="dxa"/>
          </w:tcPr>
          <w:p w:rsidR="00203371" w:rsidRDefault="00D1577B" w:rsidP="00203371">
            <w:pPr>
              <w:spacing w:line="400" w:lineRule="exact"/>
              <w:ind w:leftChars="0" w:left="0" w:firstLineChars="0" w:firstLine="0"/>
              <w:jc w:val="center"/>
              <w:rPr>
                <w:rFonts w:hAnsi="標楷體"/>
                <w:snapToGrid/>
                <w:spacing w:val="-20"/>
                <w:sz w:val="24"/>
              </w:rPr>
            </w:pPr>
            <w:r w:rsidRPr="00203371">
              <w:rPr>
                <w:rFonts w:hAnsi="標楷體" w:hint="eastAsia"/>
                <w:snapToGrid/>
                <w:spacing w:val="-20"/>
                <w:sz w:val="24"/>
              </w:rPr>
              <w:t>臺灣</w:t>
            </w:r>
          </w:p>
          <w:p w:rsidR="00D1577B" w:rsidRPr="00203371" w:rsidRDefault="00D1577B" w:rsidP="00203371">
            <w:pPr>
              <w:spacing w:line="400" w:lineRule="exact"/>
              <w:ind w:leftChars="0" w:left="0" w:firstLineChars="0" w:firstLine="0"/>
              <w:jc w:val="center"/>
              <w:rPr>
                <w:rFonts w:hAnsi="標楷體" w:hint="eastAsia"/>
                <w:snapToGrid/>
                <w:spacing w:val="-20"/>
                <w:sz w:val="24"/>
              </w:rPr>
            </w:pPr>
            <w:r w:rsidRPr="00203371">
              <w:rPr>
                <w:rFonts w:hAnsi="標楷體" w:hint="eastAsia"/>
                <w:snapToGrid/>
                <w:spacing w:val="-20"/>
                <w:sz w:val="24"/>
              </w:rPr>
              <w:t>企銀</w:t>
            </w:r>
          </w:p>
        </w:tc>
      </w:tr>
      <w:tr w:rsidR="00203371" w:rsidRPr="00203371" w:rsidTr="00F409A6">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項數</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4</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4</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2</w:t>
            </w:r>
            <w:r w:rsidRPr="00203371">
              <w:rPr>
                <w:rFonts w:hAnsi="標楷體"/>
                <w:snapToGrid/>
                <w:sz w:val="24"/>
              </w:rPr>
              <w:t>0</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2</w:t>
            </w:r>
            <w:r w:rsidRPr="00203371">
              <w:rPr>
                <w:rFonts w:hAnsi="標楷體"/>
                <w:snapToGrid/>
                <w:sz w:val="24"/>
              </w:rPr>
              <w:t>3</w:t>
            </w:r>
          </w:p>
        </w:tc>
        <w:tc>
          <w:tcPr>
            <w:tcW w:w="957" w:type="dxa"/>
            <w:shd w:val="clear" w:color="auto" w:fill="auto"/>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1</w:t>
            </w:r>
            <w:r w:rsidRPr="00203371">
              <w:rPr>
                <w:rFonts w:hAnsi="標楷體"/>
                <w:snapToGrid/>
                <w:sz w:val="24"/>
              </w:rPr>
              <w:t>1</w:t>
            </w:r>
          </w:p>
        </w:tc>
        <w:tc>
          <w:tcPr>
            <w:tcW w:w="957" w:type="dxa"/>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4</w:t>
            </w:r>
          </w:p>
        </w:tc>
        <w:tc>
          <w:tcPr>
            <w:tcW w:w="957" w:type="dxa"/>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1</w:t>
            </w:r>
            <w:r w:rsidRPr="00203371">
              <w:rPr>
                <w:rFonts w:hAnsi="標楷體"/>
                <w:snapToGrid/>
                <w:sz w:val="24"/>
              </w:rPr>
              <w:t>1</w:t>
            </w:r>
          </w:p>
        </w:tc>
        <w:tc>
          <w:tcPr>
            <w:tcW w:w="957" w:type="dxa"/>
          </w:tcPr>
          <w:p w:rsidR="00D1577B" w:rsidRPr="00203371" w:rsidRDefault="00D1577B" w:rsidP="00F409A6">
            <w:pPr>
              <w:spacing w:line="400" w:lineRule="exact"/>
              <w:ind w:leftChars="0" w:left="0" w:firstLineChars="0" w:firstLine="0"/>
              <w:jc w:val="center"/>
              <w:rPr>
                <w:rFonts w:hAnsi="標楷體" w:hint="eastAsia"/>
                <w:snapToGrid/>
                <w:sz w:val="24"/>
              </w:rPr>
            </w:pPr>
            <w:r w:rsidRPr="00203371">
              <w:rPr>
                <w:rFonts w:hAnsi="標楷體" w:hint="eastAsia"/>
                <w:snapToGrid/>
                <w:sz w:val="24"/>
              </w:rPr>
              <w:t>1</w:t>
            </w:r>
            <w:r w:rsidRPr="00203371">
              <w:rPr>
                <w:rFonts w:hAnsi="標楷體"/>
                <w:snapToGrid/>
                <w:sz w:val="24"/>
              </w:rPr>
              <w:t>0</w:t>
            </w:r>
          </w:p>
        </w:tc>
      </w:tr>
    </w:tbl>
    <w:p w:rsidR="00962391" w:rsidRPr="00203371" w:rsidRDefault="00962391" w:rsidP="00570F10">
      <w:pPr>
        <w:spacing w:line="360" w:lineRule="exact"/>
        <w:ind w:leftChars="-50" w:left="-142" w:firstLineChars="0" w:firstLine="0"/>
        <w:jc w:val="left"/>
        <w:rPr>
          <w:rFonts w:hAnsi="標楷體" w:hint="eastAsia"/>
          <w:snapToGrid/>
          <w:sz w:val="24"/>
        </w:rPr>
      </w:pPr>
      <w:r w:rsidRPr="00203371">
        <w:rPr>
          <w:rFonts w:hAnsi="標楷體" w:hint="eastAsia"/>
          <w:snapToGrid/>
          <w:sz w:val="24"/>
        </w:rPr>
        <w:t>資料來源：</w:t>
      </w:r>
      <w:r w:rsidR="00BE1164">
        <w:rPr>
          <w:rFonts w:hAnsi="標楷體" w:hint="eastAsia"/>
          <w:snapToGrid/>
          <w:sz w:val="24"/>
        </w:rPr>
        <w:t>整理自</w:t>
      </w:r>
      <w:r w:rsidR="007605D5">
        <w:rPr>
          <w:rFonts w:hAnsi="標楷體" w:hint="eastAsia"/>
          <w:snapToGrid/>
          <w:sz w:val="24"/>
        </w:rPr>
        <w:t>1</w:t>
      </w:r>
      <w:r w:rsidR="007605D5">
        <w:rPr>
          <w:rFonts w:hAnsi="標楷體"/>
          <w:snapToGrid/>
          <w:sz w:val="24"/>
        </w:rPr>
        <w:t>12</w:t>
      </w:r>
      <w:r w:rsidR="007605D5">
        <w:rPr>
          <w:rFonts w:hAnsi="標楷體" w:hint="eastAsia"/>
          <w:snapToGrid/>
          <w:sz w:val="24"/>
        </w:rPr>
        <w:t>年度</w:t>
      </w:r>
      <w:r w:rsidR="00BE1164">
        <w:rPr>
          <w:rFonts w:hAnsi="標楷體" w:hint="eastAsia"/>
          <w:snapToGrid/>
          <w:sz w:val="24"/>
        </w:rPr>
        <w:t>審計部中央政府總決算審核報告</w:t>
      </w:r>
      <w:r w:rsidRPr="00203371">
        <w:rPr>
          <w:rFonts w:hAnsi="標楷體" w:hint="eastAsia"/>
          <w:snapToGrid/>
          <w:sz w:val="24"/>
        </w:rPr>
        <w:t>。</w:t>
      </w:r>
    </w:p>
    <w:p w:rsidR="002441FC" w:rsidRPr="00E9019F" w:rsidRDefault="002441FC" w:rsidP="002441FC">
      <w:pPr>
        <w:ind w:left="567" w:firstLine="567"/>
        <w:rPr>
          <w:rFonts w:hAnsi="標楷體"/>
          <w:snapToGrid/>
        </w:rPr>
      </w:pPr>
      <w:r w:rsidRPr="00E9019F">
        <w:rPr>
          <w:rFonts w:hAnsi="標楷體" w:hint="eastAsia"/>
          <w:snapToGrid/>
        </w:rPr>
        <w:t>綜上，臺灣金控於110年與其他8家公股金融事業共同成立並推動財政部ESG倡議平臺具體執行方案，建構金融企業與環境共生共榮之「永續金融生態圈」。截至11</w:t>
      </w:r>
      <w:r w:rsidR="00946116">
        <w:rPr>
          <w:rFonts w:hAnsi="標楷體"/>
          <w:snapToGrid/>
        </w:rPr>
        <w:t>2</w:t>
      </w:r>
      <w:r w:rsidRPr="00E9019F">
        <w:rPr>
          <w:rFonts w:hAnsi="標楷體" w:hint="eastAsia"/>
          <w:snapToGrid/>
        </w:rPr>
        <w:t>年止該集團與子公司已陸續完成多項成果，惟</w:t>
      </w:r>
      <w:r w:rsidR="00946116" w:rsidRPr="00946116">
        <w:rPr>
          <w:rFonts w:hAnsi="標楷體" w:hint="eastAsia"/>
          <w:snapToGrid/>
        </w:rPr>
        <w:t>永續指標確信項目仍有加強空間</w:t>
      </w:r>
      <w:r w:rsidRPr="00E9019F">
        <w:rPr>
          <w:rFonts w:hAnsi="標楷體" w:hint="eastAsia"/>
          <w:snapToGrid/>
        </w:rPr>
        <w:t>，允宜</w:t>
      </w:r>
      <w:r w:rsidR="00946116">
        <w:rPr>
          <w:rFonts w:hAnsi="標楷體" w:hint="eastAsia"/>
          <w:snapToGrid/>
        </w:rPr>
        <w:t>衡酌產業特性與同業作法以精進資訊揭露品質及可信度</w:t>
      </w:r>
      <w:r w:rsidRPr="00E9019F">
        <w:rPr>
          <w:rFonts w:hAnsi="標楷體" w:hint="eastAsia"/>
          <w:snapToGrid/>
        </w:rPr>
        <w:t>。</w:t>
      </w:r>
    </w:p>
    <w:bookmarkEnd w:id="0"/>
    <w:bookmarkEnd w:id="1"/>
    <w:bookmarkEnd w:id="2"/>
    <w:bookmarkEnd w:id="3"/>
    <w:bookmarkEnd w:id="4"/>
    <w:bookmarkEnd w:id="5"/>
    <w:bookmarkEnd w:id="6"/>
    <w:bookmarkEnd w:id="7"/>
    <w:bookmarkEnd w:id="8"/>
    <w:sectPr w:rsidR="002441FC" w:rsidRPr="00E9019F"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F219D0" w:rsidRPr="00F219D0">
      <w:rPr>
        <w:rFonts w:ascii="標楷體" w:hAnsi="標楷體"/>
        <w:noProof/>
        <w:lang w:val="zh-TW"/>
      </w:rPr>
      <w:t>4</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 w:id="1">
    <w:p w:rsidR="008A317F" w:rsidRPr="00175837" w:rsidRDefault="008A317F" w:rsidP="00DA6884">
      <w:pPr>
        <w:pStyle w:val="143"/>
        <w:jc w:val="both"/>
      </w:pPr>
      <w:r w:rsidRPr="00175837">
        <w:rPr>
          <w:rStyle w:val="aff0"/>
        </w:rPr>
        <w:footnoteRef/>
      </w:r>
      <w:r w:rsidRPr="00DA6884">
        <w:rPr>
          <w:rFonts w:hint="eastAsia"/>
        </w:rPr>
        <w:t>綠色金融行動方案</w:t>
      </w:r>
      <w:r>
        <w:rPr>
          <w:rFonts w:hint="eastAsia"/>
        </w:rPr>
        <w:t>係政府於1</w:t>
      </w:r>
      <w:r>
        <w:t>06</w:t>
      </w:r>
      <w:r>
        <w:rPr>
          <w:rFonts w:hint="eastAsia"/>
        </w:rPr>
        <w:t>年1</w:t>
      </w:r>
      <w:r>
        <w:t>1</w:t>
      </w:r>
      <w:r>
        <w:rPr>
          <w:rFonts w:hint="eastAsia"/>
        </w:rPr>
        <w:t>月6日核定</w:t>
      </w:r>
      <w:r>
        <w:rPr>
          <w:rFonts w:hAnsi="標楷體" w:hint="eastAsia"/>
        </w:rPr>
        <w:t>，</w:t>
      </w:r>
      <w:r>
        <w:rPr>
          <w:rFonts w:hint="eastAsia"/>
        </w:rPr>
        <w:t>透過跨部會運作機制</w:t>
      </w:r>
      <w:r>
        <w:rPr>
          <w:rFonts w:hAnsi="標楷體" w:hint="eastAsia"/>
        </w:rPr>
        <w:t>，</w:t>
      </w:r>
      <w:r>
        <w:rPr>
          <w:rFonts w:hint="eastAsia"/>
        </w:rPr>
        <w:t>協助綠能業者取得營業所需資金</w:t>
      </w:r>
      <w:r>
        <w:rPr>
          <w:rFonts w:hAnsi="標楷體" w:hint="eastAsia"/>
        </w:rPr>
        <w:t>，引導經濟轉型為綠色經濟</w:t>
      </w:r>
      <w:r w:rsidRPr="00175837">
        <w:rPr>
          <w:rFonts w:hint="eastAsia"/>
        </w:rPr>
        <w:t>。</w:t>
      </w:r>
    </w:p>
  </w:footnote>
  <w:footnote w:id="2">
    <w:p w:rsidR="008A317F" w:rsidRPr="00175837" w:rsidRDefault="008A317F" w:rsidP="00DA6884">
      <w:pPr>
        <w:pStyle w:val="143"/>
        <w:jc w:val="both"/>
      </w:pPr>
      <w:r w:rsidRPr="00175837">
        <w:rPr>
          <w:rStyle w:val="aff0"/>
        </w:rPr>
        <w:footnoteRef/>
      </w:r>
      <w:r w:rsidRPr="00175837">
        <w:rPr>
          <w:rFonts w:hint="eastAsia"/>
        </w:rPr>
        <w:t>ESG為環境保護(E，Environmental)、社會責任(S，Social)及公司治理(G，governance)縮寫，是一種新型態評估企業之數據與指標，代表企業社會責任，被視為評估企業是否永續經營之重要指標。</w:t>
      </w:r>
    </w:p>
  </w:footnote>
  <w:footnote w:id="3">
    <w:p w:rsidR="008A317F" w:rsidRDefault="008A317F" w:rsidP="002441FC">
      <w:pPr>
        <w:pStyle w:val="143"/>
        <w:jc w:val="both"/>
      </w:pPr>
      <w:r>
        <w:rPr>
          <w:rStyle w:val="aff0"/>
        </w:rPr>
        <w:footnoteRef/>
      </w:r>
      <w:r w:rsidRPr="00842B80">
        <w:rPr>
          <w:rFonts w:hint="eastAsia"/>
        </w:rPr>
        <w:t>赤道原則</w:t>
      </w:r>
      <w:r>
        <w:rPr>
          <w:rFonts w:hint="eastAsia"/>
        </w:rPr>
        <w:t>(</w:t>
      </w:r>
      <w:r w:rsidRPr="00842B80">
        <w:rPr>
          <w:rFonts w:hint="eastAsia"/>
        </w:rPr>
        <w:t>Equator Principles，EP</w:t>
      </w:r>
      <w:r>
        <w:rPr>
          <w:rFonts w:hint="eastAsia"/>
        </w:rPr>
        <w:t>)</w:t>
      </w:r>
      <w:r w:rsidRPr="00842B80">
        <w:rPr>
          <w:rFonts w:hint="eastAsia"/>
        </w:rPr>
        <w:t>是國際金融機構</w:t>
      </w:r>
      <w:r>
        <w:rPr>
          <w:rFonts w:hint="eastAsia"/>
        </w:rPr>
        <w:t>之</w:t>
      </w:r>
      <w:r w:rsidRPr="00842B80">
        <w:rPr>
          <w:rFonts w:hint="eastAsia"/>
        </w:rPr>
        <w:t>自願性行為規範，</w:t>
      </w:r>
      <w:r>
        <w:rPr>
          <w:rFonts w:hint="eastAsia"/>
        </w:rPr>
        <w:t>為</w:t>
      </w:r>
      <w:r w:rsidRPr="00842B80">
        <w:rPr>
          <w:rFonts w:hint="eastAsia"/>
        </w:rPr>
        <w:t>融資過程中判斷、評估和管理大型專案融資所涉及</w:t>
      </w:r>
      <w:r>
        <w:rPr>
          <w:rFonts w:hint="eastAsia"/>
        </w:rPr>
        <w:t>之</w:t>
      </w:r>
      <w:r w:rsidRPr="00842B80">
        <w:rPr>
          <w:rFonts w:hint="eastAsia"/>
        </w:rPr>
        <w:t>環境與社會風險</w:t>
      </w:r>
      <w:r>
        <w:rPr>
          <w:rFonts w:hint="eastAsia"/>
        </w:rPr>
        <w:t>之</w:t>
      </w:r>
      <w:r w:rsidRPr="00842B80">
        <w:rPr>
          <w:rFonts w:hint="eastAsia"/>
        </w:rPr>
        <w:t>金融行業基準。簽署銀行應對受規範</w:t>
      </w:r>
      <w:r>
        <w:rPr>
          <w:rFonts w:hint="eastAsia"/>
        </w:rPr>
        <w:t>之4</w:t>
      </w:r>
      <w:r w:rsidRPr="00842B80">
        <w:rPr>
          <w:rFonts w:hint="eastAsia"/>
        </w:rPr>
        <w:t>大類案件：專案融資顧問服務、專案融資、專案相關公司貸款及過渡性融資，依照潛在環境及社會風險分為A、B、C三個等級，並根據風險等級進行不同程度</w:t>
      </w:r>
      <w:r>
        <w:rPr>
          <w:rFonts w:hint="eastAsia"/>
        </w:rPr>
        <w:t>之</w:t>
      </w:r>
      <w:r w:rsidRPr="00842B80">
        <w:rPr>
          <w:rFonts w:hint="eastAsia"/>
        </w:rPr>
        <w:t>環境和社會風險審查，以此為基礎要求有融資需求客戶進行風險管理、降低對環境和社會衝擊，並透過合約規範及放款後</w:t>
      </w:r>
      <w:r>
        <w:rPr>
          <w:rFonts w:hint="eastAsia"/>
        </w:rPr>
        <w:t>之</w:t>
      </w:r>
      <w:r w:rsidRPr="00842B80">
        <w:rPr>
          <w:rFonts w:hint="eastAsia"/>
        </w:rPr>
        <w:t>持續性監控確保其遵守承諾。</w:t>
      </w:r>
    </w:p>
  </w:footnote>
  <w:footnote w:id="4">
    <w:p w:rsidR="008A317F" w:rsidRPr="00B04FFB" w:rsidRDefault="008A317F" w:rsidP="002B4C62">
      <w:pPr>
        <w:pStyle w:val="143"/>
        <w:jc w:val="both"/>
      </w:pPr>
      <w:r>
        <w:rPr>
          <w:rStyle w:val="aff0"/>
        </w:rPr>
        <w:footnoteRef/>
      </w:r>
      <w:r w:rsidRPr="00B04FFB">
        <w:rPr>
          <w:rFonts w:hint="eastAsia"/>
        </w:rPr>
        <w:t>依赤道原則協會規定，每個集團只允許</w:t>
      </w:r>
      <w:r>
        <w:rPr>
          <w:rFonts w:hint="eastAsia"/>
        </w:rPr>
        <w:t>1</w:t>
      </w:r>
      <w:r w:rsidRPr="00B04FFB">
        <w:rPr>
          <w:rFonts w:hint="eastAsia"/>
        </w:rPr>
        <w:t>名成員加入，對於報告、投票等，金控集團成員均被視為單一實體，</w:t>
      </w:r>
      <w:r>
        <w:rPr>
          <w:rFonts w:hint="eastAsia"/>
        </w:rPr>
        <w:t>如臺銀金控</w:t>
      </w:r>
      <w:r w:rsidRPr="00B04FFB">
        <w:rPr>
          <w:rFonts w:hint="eastAsia"/>
        </w:rPr>
        <w:t>集團係以子公司臺灣銀行代表取得並行使赤道原則協會會員資格與簽署赤道原則</w:t>
      </w:r>
      <w:r>
        <w:rPr>
          <w:rFonts w:hint="eastAsia"/>
        </w:rPr>
        <w:t>。</w:t>
      </w:r>
    </w:p>
  </w:footnote>
  <w:footnote w:id="5">
    <w:p w:rsidR="008A317F" w:rsidRPr="00CB497A" w:rsidRDefault="008A317F" w:rsidP="002441FC">
      <w:pPr>
        <w:pStyle w:val="143"/>
        <w:jc w:val="both"/>
      </w:pPr>
      <w:r>
        <w:rPr>
          <w:rStyle w:val="aff0"/>
        </w:rPr>
        <w:footnoteRef/>
      </w:r>
      <w:r w:rsidRPr="00CB497A">
        <w:rPr>
          <w:rFonts w:hint="eastAsia"/>
        </w:rPr>
        <w:t>GRI準則</w:t>
      </w:r>
      <w:r>
        <w:rPr>
          <w:rFonts w:hint="eastAsia"/>
        </w:rPr>
        <w:t>係</w:t>
      </w:r>
      <w:r w:rsidRPr="00CB497A">
        <w:rPr>
          <w:rFonts w:hint="eastAsia"/>
        </w:rPr>
        <w:t>獨立國際性組織</w:t>
      </w:r>
      <w:r>
        <w:rPr>
          <w:rFonts w:hint="eastAsia"/>
        </w:rPr>
        <w:t>-</w:t>
      </w:r>
      <w:r w:rsidRPr="00CB497A">
        <w:rPr>
          <w:rFonts w:hint="eastAsia"/>
        </w:rPr>
        <w:t>全球永續性報告協會</w:t>
      </w:r>
      <w:r w:rsidRPr="00CB497A">
        <w:rPr>
          <w:rFonts w:hint="eastAsia"/>
          <w:spacing w:val="-20"/>
        </w:rPr>
        <w:t>(Global Reporting Initiative，GRI)</w:t>
      </w:r>
      <w:r w:rsidRPr="00CB497A">
        <w:rPr>
          <w:rFonts w:hint="eastAsia"/>
        </w:rPr>
        <w:t>於2016年推出永續資訊揭露標準</w:t>
      </w:r>
      <w:r>
        <w:rPr>
          <w:rFonts w:hint="eastAsia"/>
        </w:rPr>
        <w:t>。</w:t>
      </w:r>
    </w:p>
  </w:footnote>
  <w:footnote w:id="6">
    <w:p w:rsidR="008A317F" w:rsidRPr="00353799" w:rsidRDefault="008A317F" w:rsidP="0071692E">
      <w:pPr>
        <w:pStyle w:val="143"/>
        <w:ind w:left="122" w:hangingChars="50" w:hanging="122"/>
        <w:jc w:val="both"/>
        <w:rPr>
          <w:rStyle w:val="aff0"/>
          <w:rFonts w:hint="eastAsia"/>
        </w:rPr>
      </w:pPr>
      <w:r>
        <w:rPr>
          <w:rStyle w:val="aff0"/>
        </w:rPr>
        <w:footnoteRef/>
      </w:r>
      <w:r w:rsidRPr="00353799">
        <w:rPr>
          <w:rStyle w:val="aff0"/>
        </w:rPr>
        <w:t xml:space="preserve"> </w:t>
      </w:r>
      <w:r>
        <w:rPr>
          <w:rFonts w:hint="eastAsia"/>
        </w:rPr>
        <w:t>證交所配合金管會</w:t>
      </w:r>
      <w:r>
        <w:rPr>
          <w:rFonts w:hAnsi="標楷體" w:hint="eastAsia"/>
        </w:rPr>
        <w:t>「公司治理3</w:t>
      </w:r>
      <w:r>
        <w:rPr>
          <w:rFonts w:hAnsi="標楷體"/>
        </w:rPr>
        <w:t>.0-</w:t>
      </w:r>
      <w:r>
        <w:rPr>
          <w:rFonts w:hAnsi="標楷體" w:hint="eastAsia"/>
        </w:rPr>
        <w:t>永續發展藍圖」推動指施，於1</w:t>
      </w:r>
      <w:r>
        <w:rPr>
          <w:rFonts w:hAnsi="標楷體"/>
        </w:rPr>
        <w:t>10</w:t>
      </w:r>
      <w:r>
        <w:rPr>
          <w:rFonts w:hAnsi="標楷體" w:hint="eastAsia"/>
        </w:rPr>
        <w:t>年1</w:t>
      </w:r>
      <w:r>
        <w:rPr>
          <w:rFonts w:hAnsi="標楷體"/>
        </w:rPr>
        <w:t>2</w:t>
      </w:r>
      <w:r>
        <w:rPr>
          <w:rFonts w:hAnsi="標楷體" w:hint="eastAsia"/>
        </w:rPr>
        <w:t>月修正發布「上市公司編製與申報永續報告書作業辦法」，增訂金融保險業應加揭露之永續指標，並應取得會計師出具意見書之規範。</w:t>
      </w:r>
    </w:p>
  </w:footnote>
  <w:footnote w:id="7">
    <w:p w:rsidR="008A317F" w:rsidRPr="000D52E5" w:rsidRDefault="008A317F" w:rsidP="00405720">
      <w:pPr>
        <w:pStyle w:val="afe"/>
        <w:spacing w:line="280" w:lineRule="exact"/>
        <w:ind w:leftChars="0" w:left="203" w:hangingChars="100" w:hanging="203"/>
        <w:rPr>
          <w:rFonts w:hint="eastAsia"/>
        </w:rPr>
      </w:pPr>
      <w:r>
        <w:rPr>
          <w:rStyle w:val="aff0"/>
        </w:rPr>
        <w:footnoteRef/>
      </w:r>
      <w:r w:rsidR="00405720">
        <w:rPr>
          <w:rFonts w:hint="eastAsia"/>
          <w:spacing w:val="-12"/>
          <w:sz w:val="24"/>
          <w:szCs w:val="24"/>
        </w:rPr>
        <w:t xml:space="preserve"> </w:t>
      </w:r>
      <w:r w:rsidRPr="00F93E05">
        <w:rPr>
          <w:rFonts w:hint="eastAsia"/>
          <w:spacing w:val="-12"/>
          <w:sz w:val="24"/>
          <w:szCs w:val="24"/>
        </w:rPr>
        <w:t>參審計部1</w:t>
      </w:r>
      <w:r w:rsidRPr="00F93E05">
        <w:rPr>
          <w:spacing w:val="-12"/>
          <w:sz w:val="24"/>
          <w:szCs w:val="24"/>
        </w:rPr>
        <w:t>12</w:t>
      </w:r>
      <w:r w:rsidRPr="00F93E05">
        <w:rPr>
          <w:rFonts w:hint="eastAsia"/>
          <w:spacing w:val="-12"/>
          <w:sz w:val="24"/>
          <w:szCs w:val="24"/>
        </w:rPr>
        <w:t>年度中央政府總決算附屬單位決算及綜計表審核報告</w:t>
      </w:r>
      <w:r w:rsidR="0071692E" w:rsidRPr="00F93E05">
        <w:rPr>
          <w:rFonts w:hint="eastAsia"/>
          <w:spacing w:val="-12"/>
          <w:sz w:val="24"/>
          <w:szCs w:val="24"/>
        </w:rPr>
        <w:t>(營業部分</w:t>
      </w:r>
      <w:r w:rsidR="0071692E" w:rsidRPr="00F93E05">
        <w:rPr>
          <w:spacing w:val="-12"/>
          <w:sz w:val="24"/>
          <w:szCs w:val="24"/>
        </w:rPr>
        <w:t>)</w:t>
      </w:r>
      <w:r w:rsidRPr="00F93E05">
        <w:rPr>
          <w:rFonts w:hAnsi="標楷體" w:hint="eastAsia"/>
          <w:spacing w:val="-12"/>
          <w:sz w:val="24"/>
          <w:szCs w:val="24"/>
        </w:rPr>
        <w:t>，</w:t>
      </w:r>
      <w:r w:rsidRPr="00F93E05">
        <w:rPr>
          <w:rFonts w:hint="eastAsia"/>
          <w:spacing w:val="-12"/>
          <w:sz w:val="24"/>
          <w:szCs w:val="24"/>
        </w:rPr>
        <w:t>第乙-</w:t>
      </w:r>
      <w:r w:rsidRPr="00F93E05">
        <w:rPr>
          <w:spacing w:val="-12"/>
          <w:sz w:val="24"/>
          <w:szCs w:val="24"/>
        </w:rPr>
        <w:t>1</w:t>
      </w:r>
      <w:r w:rsidRPr="00F93E05">
        <w:rPr>
          <w:rFonts w:hint="eastAsia"/>
          <w:spacing w:val="-12"/>
          <w:sz w:val="24"/>
          <w:szCs w:val="24"/>
        </w:rPr>
        <w:t>8</w:t>
      </w:r>
      <w:r w:rsidRPr="00F93E05">
        <w:rPr>
          <w:spacing w:val="-12"/>
          <w:sz w:val="24"/>
          <w:szCs w:val="24"/>
        </w:rPr>
        <w:t>4</w:t>
      </w:r>
      <w:r w:rsidRPr="00F93E05">
        <w:rPr>
          <w:rFonts w:hint="eastAsia"/>
          <w:spacing w:val="-12"/>
          <w:sz w:val="24"/>
          <w:szCs w:val="24"/>
        </w:rPr>
        <w:t>至乙-</w:t>
      </w:r>
      <w:r w:rsidRPr="00F93E05">
        <w:rPr>
          <w:spacing w:val="-12"/>
          <w:sz w:val="24"/>
          <w:szCs w:val="24"/>
        </w:rPr>
        <w:t>185</w:t>
      </w:r>
      <w:r w:rsidRPr="00F93E05">
        <w:rPr>
          <w:rFonts w:hint="eastAsia"/>
          <w:spacing w:val="-12"/>
          <w:sz w:val="24"/>
          <w:szCs w:val="24"/>
        </w:rPr>
        <w:t>頁</w:t>
      </w:r>
      <w:r w:rsidRPr="00F93E05">
        <w:rPr>
          <w:rFonts w:hAnsi="標楷體" w:hint="eastAsia"/>
          <w:spacing w:val="-12"/>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19D0"/>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690F245B-5098-45DC-91F3-A50453716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7FF18-74EF-42ED-8F2A-8BB4D9236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341</Words>
  <Characters>1945</Characters>
  <Application>Microsoft Office Word</Application>
  <DocSecurity>0</DocSecurity>
  <Lines>16</Lines>
  <Paragraphs>4</Paragraphs>
  <ScaleCrop>false</ScaleCrop>
  <Company/>
  <LinksUpToDate>false</LinksUpToDate>
  <CharactersWithSpaces>2282</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