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8112E6" w:rsidRPr="00D74C10" w:rsidRDefault="00C76769" w:rsidP="009C38DB">
      <w:pPr>
        <w:pStyle w:val="14"/>
        <w:ind w:left="567" w:hanging="567"/>
        <w:rPr>
          <w:rFonts w:hAnsi="標楷體" w:hint="eastAsia"/>
        </w:rPr>
      </w:pPr>
      <w:bookmarkStart w:id="10" w:name="_Toc278299520"/>
      <w:bookmarkStart w:id="11" w:name="_Toc181611962"/>
      <w:r w:rsidRPr="00D74C10">
        <w:rPr>
          <w:rStyle w:val="140"/>
          <w:rFonts w:hAnsi="標楷體" w:hint="eastAsia"/>
          <w:b/>
          <w:lang w:eastAsia="zh-HK"/>
        </w:rPr>
        <w:t>五</w:t>
      </w:r>
      <w:r w:rsidRPr="00D74C10">
        <w:rPr>
          <w:rStyle w:val="140"/>
          <w:rFonts w:hAnsi="標楷體" w:hint="eastAsia"/>
          <w:b/>
        </w:rPr>
        <w:t>、</w:t>
      </w:r>
      <w:r w:rsidR="00D74C10" w:rsidRPr="00D74C10">
        <w:rPr>
          <w:rStyle w:val="140"/>
          <w:rFonts w:hAnsi="標楷體" w:hint="eastAsia"/>
          <w:b/>
        </w:rPr>
        <w:t>賡</w:t>
      </w:r>
      <w:r w:rsidR="003351CB" w:rsidRPr="00D74C10">
        <w:rPr>
          <w:rStyle w:val="140"/>
          <w:rFonts w:hAnsi="標楷體" w:hint="eastAsia"/>
          <w:b/>
        </w:rPr>
        <w:t>續</w:t>
      </w:r>
      <w:r w:rsidR="0035137A">
        <w:rPr>
          <w:rStyle w:val="140"/>
          <w:rFonts w:hAnsi="標楷體" w:hint="eastAsia"/>
          <w:b/>
        </w:rPr>
        <w:t>辦理</w:t>
      </w:r>
      <w:r w:rsidR="003351CB" w:rsidRPr="00D74C10">
        <w:rPr>
          <w:rStyle w:val="140"/>
          <w:rFonts w:hAnsi="標楷體" w:hint="eastAsia"/>
          <w:b/>
        </w:rPr>
        <w:t>信託2.0「全方位信託」</w:t>
      </w:r>
      <w:r w:rsidR="002C58E4" w:rsidRPr="00D74C10">
        <w:rPr>
          <w:rStyle w:val="140"/>
          <w:rFonts w:hAnsi="標楷體" w:hint="eastAsia"/>
          <w:b/>
        </w:rPr>
        <w:t>推</w:t>
      </w:r>
      <w:r w:rsidR="003351CB" w:rsidRPr="00D74C10">
        <w:rPr>
          <w:rStyle w:val="140"/>
          <w:rFonts w:hAnsi="標楷體" w:hint="eastAsia"/>
          <w:b/>
        </w:rPr>
        <w:t>動計畫，惟實際業務推廣仍有拓展空</w:t>
      </w:r>
      <w:r w:rsidR="00C96CD0" w:rsidRPr="00D74C10">
        <w:rPr>
          <w:rStyle w:val="140"/>
          <w:rFonts w:hAnsi="標楷體" w:hint="eastAsia"/>
          <w:b/>
        </w:rPr>
        <w:t>間</w:t>
      </w:r>
      <w:r w:rsidR="003351CB" w:rsidRPr="00D74C10">
        <w:rPr>
          <w:rStyle w:val="140"/>
          <w:rFonts w:hAnsi="標楷體" w:hint="eastAsia"/>
          <w:b/>
        </w:rPr>
        <w:t>，</w:t>
      </w:r>
      <w:r w:rsidR="00D74C10" w:rsidRPr="00D74C10">
        <w:rPr>
          <w:rStyle w:val="140"/>
          <w:rFonts w:hAnsi="標楷體" w:hint="eastAsia"/>
          <w:b/>
        </w:rPr>
        <w:t>允宜極積宣導，</w:t>
      </w:r>
      <w:r w:rsidR="009449C3" w:rsidRPr="00D74C10">
        <w:rPr>
          <w:rStyle w:val="140"/>
          <w:rFonts w:hAnsi="標楷體" w:hint="eastAsia"/>
          <w:b/>
        </w:rPr>
        <w:t>俾</w:t>
      </w:r>
      <w:r w:rsidR="003351CB" w:rsidRPr="00D74C10">
        <w:rPr>
          <w:rStyle w:val="140"/>
          <w:rFonts w:hAnsi="標楷體" w:hint="eastAsia"/>
          <w:b/>
        </w:rPr>
        <w:t>發揮信託2.0政策效益</w:t>
      </w:r>
      <w:bookmarkEnd w:id="11"/>
    </w:p>
    <w:p w:rsidR="00C76769" w:rsidRPr="0035137A" w:rsidRDefault="00C76769" w:rsidP="00C76769">
      <w:pPr>
        <w:ind w:left="567" w:firstLine="567"/>
        <w:rPr>
          <w:rFonts w:hAnsi="標楷體" w:hint="eastAsia"/>
          <w:snapToGrid/>
        </w:rPr>
      </w:pPr>
      <w:r w:rsidRPr="0035137A">
        <w:rPr>
          <w:rFonts w:hAnsi="標楷體" w:hint="eastAsia"/>
          <w:snapToGrid/>
        </w:rPr>
        <w:t>臺灣銀行11</w:t>
      </w:r>
      <w:r w:rsidR="00D74C10" w:rsidRPr="0035137A">
        <w:rPr>
          <w:rFonts w:hAnsi="標楷體"/>
          <w:snapToGrid/>
        </w:rPr>
        <w:t>4</w:t>
      </w:r>
      <w:r w:rsidRPr="0035137A">
        <w:rPr>
          <w:rFonts w:hAnsi="標楷體" w:hint="eastAsia"/>
          <w:snapToGrid/>
        </w:rPr>
        <w:t>年度</w:t>
      </w:r>
      <w:r w:rsidR="000E5712" w:rsidRPr="0035137A">
        <w:rPr>
          <w:rFonts w:hAnsi="標楷體" w:hint="eastAsia"/>
          <w:snapToGrid/>
        </w:rPr>
        <w:t>預算</w:t>
      </w:r>
      <w:r w:rsidR="003351CB" w:rsidRPr="0035137A">
        <w:rPr>
          <w:rFonts w:hAnsi="標楷體" w:hint="eastAsia"/>
          <w:snapToGrid/>
        </w:rPr>
        <w:t>案</w:t>
      </w:r>
      <w:r w:rsidR="000E5712" w:rsidRPr="0035137A">
        <w:rPr>
          <w:rFonts w:hAnsi="標楷體" w:hint="eastAsia"/>
          <w:snapToGrid/>
        </w:rPr>
        <w:t>編列</w:t>
      </w:r>
      <w:r w:rsidR="00B44116" w:rsidRPr="0035137A">
        <w:rPr>
          <w:rFonts w:hAnsi="標楷體" w:hint="eastAsia"/>
          <w:snapToGrid/>
        </w:rPr>
        <w:t>「</w:t>
      </w:r>
      <w:r w:rsidR="00C96CD0" w:rsidRPr="0035137A">
        <w:rPr>
          <w:rFonts w:hAnsi="標楷體" w:hint="eastAsia"/>
          <w:snapToGrid/>
        </w:rPr>
        <w:t>信託業務營運量</w:t>
      </w:r>
      <w:r w:rsidR="00B44116" w:rsidRPr="0035137A">
        <w:rPr>
          <w:rFonts w:hAnsi="標楷體" w:hint="eastAsia"/>
          <w:snapToGrid/>
        </w:rPr>
        <w:t>」目標</w:t>
      </w:r>
      <w:r w:rsidR="00C96CD0" w:rsidRPr="0035137A">
        <w:rPr>
          <w:rFonts w:hAnsi="標楷體" w:hint="eastAsia"/>
          <w:snapToGrid/>
        </w:rPr>
        <w:t>為4</w:t>
      </w:r>
      <w:r w:rsidR="00C96CD0" w:rsidRPr="0035137A">
        <w:rPr>
          <w:rFonts w:hAnsi="標楷體"/>
          <w:snapToGrid/>
        </w:rPr>
        <w:t>,</w:t>
      </w:r>
      <w:r w:rsidR="0035137A" w:rsidRPr="0035137A">
        <w:rPr>
          <w:rFonts w:hAnsi="標楷體"/>
          <w:snapToGrid/>
        </w:rPr>
        <w:t>792</w:t>
      </w:r>
      <w:r w:rsidR="00C96CD0" w:rsidRPr="0035137A">
        <w:rPr>
          <w:rFonts w:hAnsi="標楷體" w:hint="eastAsia"/>
          <w:snapToGrid/>
        </w:rPr>
        <w:t>.</w:t>
      </w:r>
      <w:r w:rsidR="0035137A" w:rsidRPr="0035137A">
        <w:rPr>
          <w:rFonts w:hAnsi="標楷體"/>
          <w:snapToGrid/>
        </w:rPr>
        <w:t>9</w:t>
      </w:r>
      <w:r w:rsidR="00C96CD0" w:rsidRPr="0035137A">
        <w:rPr>
          <w:rFonts w:hAnsi="標楷體" w:hint="eastAsia"/>
          <w:snapToGrid/>
        </w:rPr>
        <w:t>億元，較11</w:t>
      </w:r>
      <w:r w:rsidR="0035137A" w:rsidRPr="0035137A">
        <w:rPr>
          <w:rFonts w:hAnsi="標楷體"/>
          <w:snapToGrid/>
        </w:rPr>
        <w:t>3</w:t>
      </w:r>
      <w:r w:rsidR="00C96CD0" w:rsidRPr="0035137A">
        <w:rPr>
          <w:rFonts w:hAnsi="標楷體" w:hint="eastAsia"/>
          <w:snapToGrid/>
        </w:rPr>
        <w:t>年度預算</w:t>
      </w:r>
      <w:r w:rsidR="00D74C10" w:rsidRPr="0035137A">
        <w:rPr>
          <w:rFonts w:hAnsi="標楷體"/>
          <w:snapToGrid/>
        </w:rPr>
        <w:t>4,680.3</w:t>
      </w:r>
      <w:r w:rsidR="00C96CD0" w:rsidRPr="0035137A">
        <w:rPr>
          <w:rFonts w:hAnsi="標楷體" w:hint="eastAsia"/>
          <w:snapToGrid/>
        </w:rPr>
        <w:t>億元</w:t>
      </w:r>
      <w:r w:rsidR="00EE60AB">
        <w:rPr>
          <w:rFonts w:hAnsi="標楷體" w:hint="eastAsia"/>
          <w:snapToGrid/>
        </w:rPr>
        <w:t>增加1</w:t>
      </w:r>
      <w:r w:rsidR="00EE60AB">
        <w:rPr>
          <w:rFonts w:hAnsi="標楷體"/>
          <w:snapToGrid/>
        </w:rPr>
        <w:t>12.6</w:t>
      </w:r>
      <w:r w:rsidR="00EE60AB">
        <w:rPr>
          <w:rFonts w:hAnsi="標楷體" w:hint="eastAsia"/>
          <w:snapToGrid/>
        </w:rPr>
        <w:t>億元</w:t>
      </w:r>
      <w:r w:rsidR="00C96CD0" w:rsidRPr="0035137A">
        <w:rPr>
          <w:rFonts w:hAnsi="標楷體" w:hint="eastAsia"/>
          <w:snapToGrid/>
        </w:rPr>
        <w:t>，增幅</w:t>
      </w:r>
      <w:r w:rsidR="00A35748">
        <w:rPr>
          <w:rFonts w:hAnsi="標楷體"/>
          <w:snapToGrid/>
        </w:rPr>
        <w:t>2</w:t>
      </w:r>
      <w:r w:rsidR="0035137A" w:rsidRPr="0035137A">
        <w:rPr>
          <w:rFonts w:hAnsi="標楷體"/>
          <w:snapToGrid/>
        </w:rPr>
        <w:t>.</w:t>
      </w:r>
      <w:r w:rsidR="00A35748">
        <w:rPr>
          <w:rFonts w:hAnsi="標楷體"/>
          <w:snapToGrid/>
        </w:rPr>
        <w:t>41</w:t>
      </w:r>
      <w:r w:rsidR="00C96CD0" w:rsidRPr="0035137A">
        <w:rPr>
          <w:rFonts w:hAnsi="標楷體" w:hint="eastAsia"/>
          <w:snapToGrid/>
        </w:rPr>
        <w:t>%，較11</w:t>
      </w:r>
      <w:r w:rsidR="0035137A" w:rsidRPr="0035137A">
        <w:rPr>
          <w:rFonts w:hAnsi="標楷體"/>
          <w:snapToGrid/>
        </w:rPr>
        <w:t>2</w:t>
      </w:r>
      <w:r w:rsidR="00C96CD0" w:rsidRPr="0035137A">
        <w:rPr>
          <w:rFonts w:hAnsi="標楷體" w:hint="eastAsia"/>
          <w:snapToGrid/>
        </w:rPr>
        <w:t>年度決算4</w:t>
      </w:r>
      <w:r w:rsidR="00C96CD0" w:rsidRPr="0035137A">
        <w:rPr>
          <w:rFonts w:hAnsi="標楷體"/>
          <w:snapToGrid/>
        </w:rPr>
        <w:t>,</w:t>
      </w:r>
      <w:r w:rsidR="0035137A" w:rsidRPr="0035137A">
        <w:rPr>
          <w:rFonts w:hAnsi="標楷體"/>
          <w:snapToGrid/>
        </w:rPr>
        <w:t>886</w:t>
      </w:r>
      <w:r w:rsidR="00C96CD0" w:rsidRPr="0035137A">
        <w:rPr>
          <w:rFonts w:hAnsi="標楷體" w:hint="eastAsia"/>
          <w:snapToGrid/>
        </w:rPr>
        <w:t>.</w:t>
      </w:r>
      <w:r w:rsidR="00EE60AB">
        <w:rPr>
          <w:rFonts w:hAnsi="標楷體"/>
          <w:snapToGrid/>
        </w:rPr>
        <w:t>3</w:t>
      </w:r>
      <w:r w:rsidR="00C96CD0" w:rsidRPr="0035137A">
        <w:rPr>
          <w:rFonts w:hAnsi="標楷體" w:hint="eastAsia"/>
          <w:snapToGrid/>
        </w:rPr>
        <w:t>億元</w:t>
      </w:r>
      <w:r w:rsidR="00EE60AB">
        <w:rPr>
          <w:rFonts w:hAnsi="標楷體" w:hint="eastAsia"/>
          <w:snapToGrid/>
        </w:rPr>
        <w:t>減少9</w:t>
      </w:r>
      <w:r w:rsidR="00EE60AB">
        <w:rPr>
          <w:rFonts w:hAnsi="標楷體"/>
          <w:snapToGrid/>
        </w:rPr>
        <w:t>3.4</w:t>
      </w:r>
      <w:r w:rsidR="00EE60AB">
        <w:rPr>
          <w:rFonts w:hAnsi="標楷體" w:hint="eastAsia"/>
          <w:snapToGrid/>
        </w:rPr>
        <w:t>億元</w:t>
      </w:r>
      <w:r w:rsidR="00C96CD0" w:rsidRPr="0035137A">
        <w:rPr>
          <w:rFonts w:hAnsi="標楷體" w:hint="eastAsia"/>
          <w:snapToGrid/>
        </w:rPr>
        <w:t>，減幅1</w:t>
      </w:r>
      <w:r w:rsidR="00C96CD0" w:rsidRPr="0035137A">
        <w:rPr>
          <w:rFonts w:hAnsi="標楷體"/>
          <w:snapToGrid/>
        </w:rPr>
        <w:t>.</w:t>
      </w:r>
      <w:r w:rsidR="0035137A" w:rsidRPr="0035137A">
        <w:rPr>
          <w:rFonts w:hAnsi="標楷體"/>
          <w:snapToGrid/>
        </w:rPr>
        <w:t>91</w:t>
      </w:r>
      <w:r w:rsidR="00C96CD0" w:rsidRPr="0035137A">
        <w:rPr>
          <w:rFonts w:hAnsi="標楷體"/>
          <w:snapToGrid/>
        </w:rPr>
        <w:t>%</w:t>
      </w:r>
      <w:r w:rsidR="00C96CD0" w:rsidRPr="0035137A">
        <w:rPr>
          <w:rFonts w:hAnsi="標楷體" w:hint="eastAsia"/>
          <w:snapToGrid/>
        </w:rPr>
        <w:t>。經查</w:t>
      </w:r>
      <w:r w:rsidRPr="0035137A">
        <w:rPr>
          <w:rFonts w:hAnsi="標楷體" w:hint="eastAsia"/>
          <w:snapToGrid/>
        </w:rPr>
        <w:t>：</w:t>
      </w:r>
      <w:r w:rsidR="00985993">
        <w:rPr>
          <w:rFonts w:hAnsi="標楷體" w:hint="eastAsia"/>
          <w:snapToGrid/>
        </w:rPr>
        <w:t xml:space="preserve"> </w:t>
      </w:r>
    </w:p>
    <w:p w:rsidR="00C76769" w:rsidRPr="0035137A" w:rsidRDefault="00C76769" w:rsidP="001A6DE2">
      <w:pPr>
        <w:pStyle w:val="ac"/>
        <w:ind w:left="851" w:hanging="284"/>
        <w:rPr>
          <w:rFonts w:hAnsi="標楷體" w:hint="eastAsia"/>
          <w:b/>
          <w:snapToGrid/>
        </w:rPr>
      </w:pPr>
      <w:r w:rsidRPr="0035137A">
        <w:rPr>
          <w:rFonts w:hAnsi="標楷體" w:hint="eastAsia"/>
          <w:b/>
          <w:snapToGrid/>
        </w:rPr>
        <w:t>(</w:t>
      </w:r>
      <w:r w:rsidRPr="0035137A">
        <w:rPr>
          <w:rFonts w:hAnsi="標楷體" w:hint="eastAsia"/>
          <w:b/>
          <w:snapToGrid/>
          <w:lang w:eastAsia="zh-HK"/>
        </w:rPr>
        <w:t>一</w:t>
      </w:r>
      <w:r w:rsidRPr="0035137A">
        <w:rPr>
          <w:rFonts w:hAnsi="標楷體" w:hint="eastAsia"/>
          <w:b/>
          <w:snapToGrid/>
        </w:rPr>
        <w:t>)</w:t>
      </w:r>
      <w:r w:rsidR="00C96CD0" w:rsidRPr="0035137A">
        <w:rPr>
          <w:rFonts w:hAnsi="標楷體" w:hint="eastAsia"/>
          <w:b/>
          <w:snapToGrid/>
        </w:rPr>
        <w:t>金管會於109年9月發布信託 2.0「全方位信託」推動計畫，</w:t>
      </w:r>
      <w:r w:rsidR="00D74C10" w:rsidRPr="0035137A">
        <w:rPr>
          <w:rFonts w:hAnsi="標楷體" w:hint="eastAsia"/>
          <w:b/>
          <w:snapToGrid/>
        </w:rPr>
        <w:t>又</w:t>
      </w:r>
      <w:r w:rsidR="00C96CD0" w:rsidRPr="0035137A">
        <w:rPr>
          <w:rFonts w:hAnsi="標楷體" w:hint="eastAsia"/>
          <w:b/>
          <w:snapToGrid/>
        </w:rPr>
        <w:t>於111年9月發布第二階段推動計畫</w:t>
      </w:r>
    </w:p>
    <w:p w:rsidR="00C76769" w:rsidRPr="0035137A" w:rsidRDefault="00C96CD0" w:rsidP="00C76769">
      <w:pPr>
        <w:adjustRightInd w:val="0"/>
        <w:ind w:leftChars="300" w:left="850" w:firstLine="567"/>
        <w:rPr>
          <w:rFonts w:hAnsi="標楷體" w:hint="eastAsia"/>
        </w:rPr>
      </w:pPr>
      <w:r w:rsidRPr="0035137A">
        <w:rPr>
          <w:rFonts w:hAnsi="標楷體" w:hint="eastAsia"/>
        </w:rPr>
        <w:t>金管會為因應高齡及少子化趨勢，於109年9月1日發布信託 2.0「全方位信託」推動計畫，辦理時程2 年，期許信託業積極投入適當資源調整部門組織及培育專業人才，並透過整合機構內部資源及對外跨業合作，改變以往過於偏重理財信託</w:t>
      </w:r>
      <w:r w:rsidRPr="0035137A">
        <w:rPr>
          <w:rFonts w:hAnsi="標楷體" w:hint="eastAsia"/>
        </w:rPr>
        <w:lastRenderedPageBreak/>
        <w:t>現況，發展為客戶量身訂作之全方位信託業務</w:t>
      </w:r>
      <w:r w:rsidR="006F78E4" w:rsidRPr="0035137A">
        <w:rPr>
          <w:rFonts w:hAnsi="標楷體" w:hint="eastAsia"/>
        </w:rPr>
        <w:t>。</w:t>
      </w:r>
      <w:r w:rsidR="003B2792" w:rsidRPr="0035137A">
        <w:rPr>
          <w:rFonts w:hAnsi="標楷體" w:hint="eastAsia"/>
        </w:rPr>
        <w:t>又</w:t>
      </w:r>
      <w:r w:rsidRPr="0035137A">
        <w:rPr>
          <w:rFonts w:hAnsi="標楷體" w:hint="eastAsia"/>
        </w:rPr>
        <w:t>考量信託業務須因應社會經濟發展情形及滿足客戶不同階段人生需求予以調整，再於111年9月29日發布信託2.0「全方位信託」第二階段推動計畫</w:t>
      </w:r>
      <w:r w:rsidR="003B2792" w:rsidRPr="0035137A">
        <w:rPr>
          <w:rFonts w:hAnsi="標楷體" w:hint="eastAsia"/>
        </w:rPr>
        <w:t>，辦理時程為111年9月1日至113年12月31日</w:t>
      </w:r>
      <w:r w:rsidRPr="0035137A">
        <w:rPr>
          <w:rFonts w:hAnsi="標楷體" w:hint="eastAsia"/>
        </w:rPr>
        <w:t>，在前述信託2.0計畫所奠定之全方位信託業務發展基礎上，持續鼓勵及推動信託業發展與時俱進之信託服務。</w:t>
      </w:r>
    </w:p>
    <w:p w:rsidR="00C76769" w:rsidRPr="0035137A" w:rsidRDefault="00C76769" w:rsidP="001A6DE2">
      <w:pPr>
        <w:pStyle w:val="ac"/>
        <w:ind w:left="851" w:hanging="284"/>
        <w:rPr>
          <w:rFonts w:hAnsi="標楷體"/>
          <w:b/>
          <w:snapToGrid/>
        </w:rPr>
      </w:pPr>
      <w:r w:rsidRPr="0035137A">
        <w:rPr>
          <w:rFonts w:hAnsi="標楷體" w:hint="eastAsia"/>
          <w:b/>
          <w:snapToGrid/>
        </w:rPr>
        <w:t>(</w:t>
      </w:r>
      <w:r w:rsidRPr="0035137A">
        <w:rPr>
          <w:rFonts w:hAnsi="標楷體" w:hint="eastAsia"/>
          <w:b/>
          <w:snapToGrid/>
          <w:lang w:eastAsia="zh-HK"/>
        </w:rPr>
        <w:t>二</w:t>
      </w:r>
      <w:r w:rsidRPr="0035137A">
        <w:rPr>
          <w:rFonts w:hAnsi="標楷體" w:hint="eastAsia"/>
          <w:b/>
          <w:snapToGrid/>
        </w:rPr>
        <w:t>)</w:t>
      </w:r>
      <w:r w:rsidR="00C96CD0" w:rsidRPr="0035137A">
        <w:rPr>
          <w:rFonts w:hAnsi="標楷體" w:hint="eastAsia"/>
          <w:b/>
        </w:rPr>
        <w:t>該行</w:t>
      </w:r>
      <w:r w:rsidR="0035137A" w:rsidRPr="0035137A">
        <w:rPr>
          <w:rFonts w:hAnsi="標楷體" w:hint="eastAsia"/>
          <w:b/>
          <w:snapToGrid/>
          <w:lang w:eastAsia="zh-HK"/>
        </w:rPr>
        <w:t>賡續</w:t>
      </w:r>
      <w:r w:rsidR="0035137A" w:rsidRPr="0035137A">
        <w:rPr>
          <w:rFonts w:hAnsi="標楷體" w:hint="eastAsia"/>
          <w:b/>
          <w:snapToGrid/>
        </w:rPr>
        <w:t>辦理</w:t>
      </w:r>
      <w:r w:rsidR="00C96CD0" w:rsidRPr="0035137A">
        <w:rPr>
          <w:rFonts w:hAnsi="標楷體" w:hint="eastAsia"/>
          <w:b/>
          <w:snapToGrid/>
          <w:lang w:eastAsia="zh-HK"/>
        </w:rPr>
        <w:t>信託2.0「全方位信託」</w:t>
      </w:r>
      <w:r w:rsidR="002C58E4" w:rsidRPr="0035137A">
        <w:rPr>
          <w:rFonts w:hAnsi="標楷體" w:hint="eastAsia"/>
          <w:b/>
          <w:snapToGrid/>
        </w:rPr>
        <w:t>推</w:t>
      </w:r>
      <w:r w:rsidR="00C96CD0" w:rsidRPr="0035137A">
        <w:rPr>
          <w:rFonts w:hAnsi="標楷體" w:hint="eastAsia"/>
          <w:b/>
          <w:snapToGrid/>
          <w:lang w:eastAsia="zh-HK"/>
        </w:rPr>
        <w:t>動計畫，惟實際業務推廣仍有拓展空間</w:t>
      </w:r>
      <w:r w:rsidR="00FC3907">
        <w:rPr>
          <w:rFonts w:hAnsi="標楷體"/>
          <w:b/>
          <w:snapToGrid/>
        </w:rPr>
        <w:t xml:space="preserve"> </w:t>
      </w:r>
    </w:p>
    <w:p w:rsidR="0083699C" w:rsidRPr="00DF6164" w:rsidRDefault="0075090C" w:rsidP="0083699C">
      <w:pPr>
        <w:adjustRightInd w:val="0"/>
        <w:ind w:leftChars="300" w:left="850" w:firstLine="567"/>
        <w:rPr>
          <w:rFonts w:hAnsi="標楷體"/>
          <w:snapToGrid/>
        </w:rPr>
      </w:pPr>
      <w:r w:rsidRPr="00DF6164">
        <w:rPr>
          <w:rFonts w:hAnsi="標楷體" w:hint="eastAsia"/>
          <w:snapToGrid/>
        </w:rPr>
        <w:t>該行</w:t>
      </w:r>
      <w:r w:rsidR="00335F30" w:rsidRPr="00DF6164">
        <w:rPr>
          <w:rFonts w:hAnsi="標楷體" w:hint="eastAsia"/>
          <w:snapToGrid/>
        </w:rPr>
        <w:t>為推展</w:t>
      </w:r>
      <w:r w:rsidRPr="00DF6164">
        <w:rPr>
          <w:rFonts w:hAnsi="標楷體" w:hint="eastAsia"/>
          <w:snapToGrid/>
        </w:rPr>
        <w:t>金管會</w:t>
      </w:r>
      <w:r w:rsidR="00B44116" w:rsidRPr="00DF6164">
        <w:rPr>
          <w:rFonts w:hAnsi="標楷體" w:hint="eastAsia"/>
          <w:snapToGrid/>
        </w:rPr>
        <w:t>信託</w:t>
      </w:r>
      <w:r w:rsidRPr="00DF6164">
        <w:rPr>
          <w:rFonts w:hAnsi="標楷體" w:hint="eastAsia"/>
          <w:snapToGrid/>
        </w:rPr>
        <w:t>2.0「全方位信託」推動計畫，整合相關部門資源及金融服務，發展符合民眾需求之多元信託商品，以達成協助民眾資產管理及確保經濟安全之功能，落實企業社會責任。並推出鼓勵民眾及早運用信託規劃退休生活之「預訂信託」、協助高齡者在地安養與資產活化之「安養信託結合以房養老」、協助高齡者以餘屋開創穩定金流之「以租養老安養信託」，及更符合機構養老者實際需求之「安養費用動態給付」等4 項升級服務，為高齡者建構全方位生活照顧整合性服務。</w:t>
      </w:r>
      <w:r w:rsidR="0083699C" w:rsidRPr="00DF6164">
        <w:rPr>
          <w:rFonts w:hAnsi="標楷體" w:hint="eastAsia"/>
          <w:snapToGrid/>
        </w:rPr>
        <w:t>又依循金管會信託 2.0「全方位信託」第二階段推動計畫，</w:t>
      </w:r>
      <w:r w:rsidR="00CD7EDB" w:rsidRPr="00DF6164">
        <w:rPr>
          <w:rFonts w:hAnsi="標楷體" w:hint="eastAsia"/>
          <w:snapToGrid/>
        </w:rPr>
        <w:t>秉持「促進公益、保障弱勢、滿足客戶需求」理念，</w:t>
      </w:r>
      <w:r w:rsidR="0083699C" w:rsidRPr="00DF6164">
        <w:rPr>
          <w:rFonts w:hAnsi="標楷體" w:hint="eastAsia"/>
          <w:snapToGrid/>
        </w:rPr>
        <w:t>擴展及深化信託業跨業結盟，發展滿足人生各階段所需之信託商品，增進高齡(失智)者及身心障礙者對信託服務之認識與觀念，賡續拓展信託 2.0相關業務。</w:t>
      </w:r>
    </w:p>
    <w:p w:rsidR="0075090C" w:rsidRPr="00DF6164" w:rsidRDefault="0075090C" w:rsidP="0075090C">
      <w:pPr>
        <w:adjustRightInd w:val="0"/>
        <w:ind w:leftChars="300" w:left="850" w:firstLine="567"/>
        <w:rPr>
          <w:rFonts w:hAnsi="標楷體"/>
          <w:snapToGrid/>
        </w:rPr>
      </w:pPr>
      <w:r w:rsidRPr="00DF6164">
        <w:rPr>
          <w:rFonts w:hAnsi="標楷體" w:hint="eastAsia"/>
          <w:snapToGrid/>
        </w:rPr>
        <w:t>參據</w:t>
      </w:r>
      <w:r w:rsidR="0083699C" w:rsidRPr="00DF6164">
        <w:rPr>
          <w:rFonts w:hAnsi="標楷體" w:hint="eastAsia"/>
          <w:snapToGrid/>
        </w:rPr>
        <w:t>前揭信託</w:t>
      </w:r>
      <w:r w:rsidRPr="00DF6164">
        <w:rPr>
          <w:rFonts w:hAnsi="標楷體" w:hint="eastAsia"/>
          <w:snapToGrid/>
        </w:rPr>
        <w:t>業務截至11</w:t>
      </w:r>
      <w:r w:rsidR="00335F30" w:rsidRPr="00DF6164">
        <w:rPr>
          <w:rFonts w:hAnsi="標楷體"/>
          <w:snapToGrid/>
        </w:rPr>
        <w:t>3</w:t>
      </w:r>
      <w:r w:rsidRPr="00DF6164">
        <w:rPr>
          <w:rFonts w:hAnsi="標楷體" w:hint="eastAsia"/>
          <w:snapToGrid/>
        </w:rPr>
        <w:t>年8月底止辦理情形(詳表1)，其中</w:t>
      </w:r>
      <w:r w:rsidR="00B44116" w:rsidRPr="00DF6164">
        <w:rPr>
          <w:rFonts w:hAnsi="標楷體" w:hint="eastAsia"/>
          <w:snapToGrid/>
        </w:rPr>
        <w:t>「</w:t>
      </w:r>
      <w:r w:rsidRPr="00DF6164">
        <w:rPr>
          <w:rFonts w:hAnsi="標楷體" w:hint="eastAsia"/>
          <w:snapToGrid/>
        </w:rPr>
        <w:t>預訂信託</w:t>
      </w:r>
      <w:r w:rsidR="00B44116" w:rsidRPr="00DF6164">
        <w:rPr>
          <w:rFonts w:hAnsi="標楷體" w:hint="eastAsia"/>
          <w:snapToGrid/>
        </w:rPr>
        <w:t>」</w:t>
      </w:r>
      <w:r w:rsidRPr="00DF6164">
        <w:rPr>
          <w:rFonts w:hAnsi="標楷體" w:hint="eastAsia"/>
          <w:snapToGrid/>
        </w:rPr>
        <w:t>111年度承作1,452件，承作金額</w:t>
      </w:r>
      <w:r w:rsidR="00EE60AB">
        <w:rPr>
          <w:rFonts w:hAnsi="標楷體" w:hint="eastAsia"/>
          <w:snapToGrid/>
        </w:rPr>
        <w:t>0</w:t>
      </w:r>
      <w:r w:rsidRPr="00DF6164">
        <w:rPr>
          <w:rFonts w:hAnsi="標楷體" w:hint="eastAsia"/>
          <w:snapToGrid/>
        </w:rPr>
        <w:t>.</w:t>
      </w:r>
      <w:r w:rsidR="00EE60AB" w:rsidRPr="00DF6164">
        <w:rPr>
          <w:rFonts w:hAnsi="標楷體" w:hint="eastAsia"/>
          <w:snapToGrid/>
        </w:rPr>
        <w:t>2</w:t>
      </w:r>
      <w:r w:rsidRPr="00DF6164">
        <w:rPr>
          <w:rFonts w:hAnsi="標楷體" w:hint="eastAsia"/>
          <w:snapToGrid/>
        </w:rPr>
        <w:t>71億元，</w:t>
      </w:r>
      <w:r w:rsidR="00335F30" w:rsidRPr="00DF6164">
        <w:rPr>
          <w:rFonts w:hAnsi="標楷體" w:hint="eastAsia"/>
          <w:snapToGrid/>
        </w:rPr>
        <w:t>11</w:t>
      </w:r>
      <w:r w:rsidR="00335F30" w:rsidRPr="00DF6164">
        <w:rPr>
          <w:rFonts w:hAnsi="標楷體"/>
          <w:snapToGrid/>
        </w:rPr>
        <w:t>2</w:t>
      </w:r>
      <w:r w:rsidR="00335F30" w:rsidRPr="00DF6164">
        <w:rPr>
          <w:rFonts w:hAnsi="標楷體" w:hint="eastAsia"/>
          <w:snapToGrid/>
        </w:rPr>
        <w:t>年度承作</w:t>
      </w:r>
      <w:r w:rsidR="00335F30" w:rsidRPr="00DF6164">
        <w:rPr>
          <w:rFonts w:hAnsi="標楷體"/>
          <w:snapToGrid/>
        </w:rPr>
        <w:t>23</w:t>
      </w:r>
      <w:r w:rsidR="00335F30" w:rsidRPr="00DF6164">
        <w:rPr>
          <w:rFonts w:hAnsi="標楷體" w:hint="eastAsia"/>
          <w:snapToGrid/>
        </w:rPr>
        <w:t>,</w:t>
      </w:r>
      <w:r w:rsidR="00335F30" w:rsidRPr="00DF6164">
        <w:rPr>
          <w:rFonts w:hAnsi="標楷體"/>
          <w:snapToGrid/>
        </w:rPr>
        <w:t>907</w:t>
      </w:r>
      <w:r w:rsidR="00335F30" w:rsidRPr="00DF6164">
        <w:rPr>
          <w:rFonts w:hAnsi="標楷體" w:hint="eastAsia"/>
          <w:snapToGrid/>
        </w:rPr>
        <w:t>件，承作金額</w:t>
      </w:r>
      <w:r w:rsidR="00EE60AB">
        <w:rPr>
          <w:rFonts w:hAnsi="標楷體" w:hint="eastAsia"/>
          <w:snapToGrid/>
        </w:rPr>
        <w:t>0</w:t>
      </w:r>
      <w:r w:rsidR="00EE60AB" w:rsidRPr="00DF6164">
        <w:rPr>
          <w:rFonts w:hAnsi="標楷體" w:hint="eastAsia"/>
          <w:snapToGrid/>
        </w:rPr>
        <w:t>.</w:t>
      </w:r>
      <w:r w:rsidR="00335F30" w:rsidRPr="00DF6164">
        <w:rPr>
          <w:rFonts w:hAnsi="標楷體" w:hint="eastAsia"/>
          <w:snapToGrid/>
        </w:rPr>
        <w:t>5</w:t>
      </w:r>
      <w:r w:rsidR="00335F30" w:rsidRPr="00DF6164">
        <w:rPr>
          <w:rFonts w:hAnsi="標楷體"/>
          <w:snapToGrid/>
        </w:rPr>
        <w:t>16</w:t>
      </w:r>
      <w:r w:rsidR="00335F30" w:rsidRPr="00DF6164">
        <w:rPr>
          <w:rFonts w:hAnsi="標楷體" w:hint="eastAsia"/>
          <w:snapToGrid/>
        </w:rPr>
        <w:t>億元，較1</w:t>
      </w:r>
      <w:r w:rsidR="00335F30" w:rsidRPr="00DF6164">
        <w:rPr>
          <w:rFonts w:hAnsi="標楷體"/>
          <w:snapToGrid/>
        </w:rPr>
        <w:t>11</w:t>
      </w:r>
      <w:r w:rsidR="00335F30" w:rsidRPr="00DF6164">
        <w:rPr>
          <w:rFonts w:hAnsi="標楷體" w:hint="eastAsia"/>
          <w:snapToGrid/>
        </w:rPr>
        <w:t>年度承作件收及承作金額分別增加</w:t>
      </w:r>
      <w:r w:rsidR="00A83969" w:rsidRPr="00DF6164">
        <w:rPr>
          <w:rFonts w:hAnsi="標楷體"/>
          <w:snapToGrid/>
        </w:rPr>
        <w:t>15</w:t>
      </w:r>
      <w:r w:rsidR="00EE60AB">
        <w:rPr>
          <w:rFonts w:hAnsi="標楷體"/>
          <w:snapToGrid/>
        </w:rPr>
        <w:t>.</w:t>
      </w:r>
      <w:r w:rsidR="00A83969" w:rsidRPr="00DF6164">
        <w:rPr>
          <w:rFonts w:hAnsi="標楷體"/>
          <w:snapToGrid/>
        </w:rPr>
        <w:t>46</w:t>
      </w:r>
      <w:r w:rsidR="00EE60AB">
        <w:rPr>
          <w:rFonts w:hAnsi="標楷體" w:hint="eastAsia"/>
          <w:snapToGrid/>
        </w:rPr>
        <w:t>倍</w:t>
      </w:r>
      <w:r w:rsidR="00335F30" w:rsidRPr="00DF6164">
        <w:rPr>
          <w:rFonts w:hAnsi="標楷體" w:hint="eastAsia"/>
          <w:snapToGrid/>
        </w:rPr>
        <w:t>及</w:t>
      </w:r>
      <w:r w:rsidR="00335F30" w:rsidRPr="00DF6164">
        <w:rPr>
          <w:rFonts w:hAnsi="標楷體"/>
          <w:snapToGrid/>
        </w:rPr>
        <w:t>9</w:t>
      </w:r>
      <w:r w:rsidR="00DF6164" w:rsidRPr="00DF6164">
        <w:rPr>
          <w:rFonts w:hAnsi="標楷體"/>
          <w:snapToGrid/>
        </w:rPr>
        <w:t>0</w:t>
      </w:r>
      <w:r w:rsidR="00335F30" w:rsidRPr="00DF6164">
        <w:rPr>
          <w:rFonts w:hAnsi="標楷體"/>
          <w:snapToGrid/>
        </w:rPr>
        <w:t>.</w:t>
      </w:r>
      <w:r w:rsidR="00DF6164" w:rsidRPr="00DF6164">
        <w:rPr>
          <w:rFonts w:hAnsi="標楷體"/>
          <w:snapToGrid/>
        </w:rPr>
        <w:t>58%</w:t>
      </w:r>
      <w:r w:rsidR="00CF38DE" w:rsidRPr="00DF6164">
        <w:rPr>
          <w:rFonts w:hAnsi="標楷體" w:hint="eastAsia"/>
          <w:snapToGrid/>
        </w:rPr>
        <w:t>，</w:t>
      </w:r>
      <w:r w:rsidRPr="00DF6164">
        <w:rPr>
          <w:rFonts w:hAnsi="標楷體" w:hint="eastAsia"/>
          <w:snapToGrid/>
        </w:rPr>
        <w:t>承作件數</w:t>
      </w:r>
      <w:r w:rsidR="00CF38DE" w:rsidRPr="00DF6164">
        <w:rPr>
          <w:rFonts w:hAnsi="標楷體" w:hint="eastAsia"/>
          <w:snapToGrid/>
        </w:rPr>
        <w:t>及承作金額均</w:t>
      </w:r>
      <w:r w:rsidRPr="00DF6164">
        <w:rPr>
          <w:rFonts w:hAnsi="標楷體" w:hint="eastAsia"/>
          <w:snapToGrid/>
        </w:rPr>
        <w:t>有增加，惟其他如</w:t>
      </w:r>
      <w:r w:rsidR="00B44116" w:rsidRPr="00DF6164">
        <w:rPr>
          <w:rFonts w:hAnsi="標楷體" w:hint="eastAsia"/>
          <w:snapToGrid/>
        </w:rPr>
        <w:t>「</w:t>
      </w:r>
      <w:r w:rsidRPr="00DF6164">
        <w:rPr>
          <w:rFonts w:hAnsi="標楷體" w:hint="eastAsia"/>
          <w:snapToGrid/>
        </w:rPr>
        <w:t>安養信託結合以房養老</w:t>
      </w:r>
      <w:r w:rsidR="00B44116" w:rsidRPr="00DF6164">
        <w:rPr>
          <w:rFonts w:hAnsi="標楷體" w:hint="eastAsia"/>
          <w:snapToGrid/>
        </w:rPr>
        <w:t>」</w:t>
      </w:r>
      <w:r w:rsidRPr="00DF6164">
        <w:rPr>
          <w:rFonts w:hAnsi="標楷體" w:hint="eastAsia"/>
          <w:snapToGrid/>
        </w:rPr>
        <w:t>、</w:t>
      </w:r>
      <w:r w:rsidR="00B44116" w:rsidRPr="00DF6164">
        <w:rPr>
          <w:rFonts w:hAnsi="標楷體" w:hint="eastAsia"/>
          <w:snapToGrid/>
        </w:rPr>
        <w:lastRenderedPageBreak/>
        <w:t>「</w:t>
      </w:r>
      <w:r w:rsidRPr="00DF6164">
        <w:rPr>
          <w:rFonts w:hAnsi="標楷體" w:hint="eastAsia"/>
          <w:snapToGrid/>
        </w:rPr>
        <w:t>以租養老安養信託</w:t>
      </w:r>
      <w:r w:rsidR="00B44116" w:rsidRPr="00DF6164">
        <w:rPr>
          <w:rFonts w:hAnsi="標楷體" w:hint="eastAsia"/>
          <w:snapToGrid/>
        </w:rPr>
        <w:t>」</w:t>
      </w:r>
      <w:r w:rsidRPr="00DF6164">
        <w:rPr>
          <w:rFonts w:hAnsi="標楷體" w:hint="eastAsia"/>
          <w:snapToGrid/>
        </w:rPr>
        <w:t>及</w:t>
      </w:r>
      <w:r w:rsidR="00B44116" w:rsidRPr="00DF6164">
        <w:rPr>
          <w:rFonts w:hAnsi="標楷體" w:hint="eastAsia"/>
          <w:snapToGrid/>
        </w:rPr>
        <w:t>「</w:t>
      </w:r>
      <w:r w:rsidRPr="00DF6164">
        <w:rPr>
          <w:rFonts w:hAnsi="標楷體" w:hint="eastAsia"/>
          <w:snapToGrid/>
        </w:rPr>
        <w:t>安養費用動態給付</w:t>
      </w:r>
      <w:r w:rsidR="00B44116" w:rsidRPr="00DF6164">
        <w:rPr>
          <w:rFonts w:hAnsi="標楷體" w:hint="eastAsia"/>
          <w:snapToGrid/>
        </w:rPr>
        <w:t>」</w:t>
      </w:r>
      <w:r w:rsidRPr="00DF6164">
        <w:rPr>
          <w:rFonts w:hAnsi="標楷體" w:hint="eastAsia"/>
          <w:snapToGrid/>
        </w:rPr>
        <w:t>等3項，承作件數零星或為零，高齡者信託資產管理之意願似乎</w:t>
      </w:r>
      <w:r w:rsidR="00CD7EDB" w:rsidRPr="00DF6164">
        <w:rPr>
          <w:rFonts w:hAnsi="標楷體" w:hint="eastAsia"/>
          <w:snapToGrid/>
        </w:rPr>
        <w:t>仍</w:t>
      </w:r>
      <w:r w:rsidR="0083699C" w:rsidRPr="00DF6164">
        <w:rPr>
          <w:rFonts w:hAnsi="標楷體" w:hint="eastAsia"/>
          <w:snapToGrid/>
        </w:rPr>
        <w:t>偏</w:t>
      </w:r>
      <w:r w:rsidRPr="00DF6164">
        <w:rPr>
          <w:rFonts w:hAnsi="標楷體" w:hint="eastAsia"/>
          <w:snapToGrid/>
        </w:rPr>
        <w:t>低，</w:t>
      </w:r>
      <w:r w:rsidR="0083699C" w:rsidRPr="00DF6164">
        <w:rPr>
          <w:rFonts w:hAnsi="標楷體" w:hint="eastAsia"/>
          <w:snapToGrid/>
        </w:rPr>
        <w:t>或因對信託服務認知未足，相關服務推廣及市場</w:t>
      </w:r>
      <w:r w:rsidRPr="00DF6164">
        <w:rPr>
          <w:rFonts w:hAnsi="標楷體" w:hint="eastAsia"/>
          <w:snapToGrid/>
        </w:rPr>
        <w:t>接受度</w:t>
      </w:r>
      <w:r w:rsidR="0083699C" w:rsidRPr="00DF6164">
        <w:rPr>
          <w:rFonts w:hAnsi="標楷體" w:hint="eastAsia"/>
          <w:snapToGrid/>
        </w:rPr>
        <w:t>均</w:t>
      </w:r>
      <w:r w:rsidRPr="00DF6164">
        <w:rPr>
          <w:rFonts w:hAnsi="標楷體" w:hint="eastAsia"/>
          <w:snapToGrid/>
        </w:rPr>
        <w:t>有拓展空間。</w:t>
      </w:r>
    </w:p>
    <w:p w:rsidR="0075090C" w:rsidRPr="00DF6164" w:rsidRDefault="0083699C" w:rsidP="002401C1">
      <w:pPr>
        <w:adjustRightInd w:val="0"/>
        <w:ind w:leftChars="-30" w:left="695" w:rightChars="50" w:right="142" w:hangingChars="275" w:hanging="780"/>
        <w:rPr>
          <w:rFonts w:hAnsi="標楷體"/>
          <w:snapToGrid/>
          <w:spacing w:val="-5"/>
          <w:kern w:val="0"/>
        </w:rPr>
      </w:pPr>
      <w:r w:rsidRPr="00DF6164">
        <w:rPr>
          <w:rFonts w:hAnsi="標楷體" w:hint="eastAsia"/>
          <w:b/>
          <w:snapToGrid/>
        </w:rPr>
        <w:t xml:space="preserve">表1 </w:t>
      </w:r>
      <w:r w:rsidR="00CF38DE" w:rsidRPr="00DF6164">
        <w:rPr>
          <w:rFonts w:hAnsi="標楷體" w:hint="eastAsia"/>
          <w:b/>
          <w:snapToGrid/>
        </w:rPr>
        <w:t>臺灣銀行近年</w:t>
      </w:r>
      <w:r w:rsidR="00B44116" w:rsidRPr="00DF6164">
        <w:rPr>
          <w:rFonts w:hAnsi="標楷體" w:hint="eastAsia"/>
          <w:b/>
          <w:snapToGrid/>
        </w:rPr>
        <w:t>信託</w:t>
      </w:r>
      <w:r w:rsidRPr="00DF6164">
        <w:rPr>
          <w:rFonts w:hAnsi="標楷體" w:hint="eastAsia"/>
          <w:b/>
          <w:snapToGrid/>
        </w:rPr>
        <w:t>2.0「全方位信託」推動計畫之相關業務辦理情形表</w:t>
      </w:r>
      <w:r w:rsidR="00B44116" w:rsidRPr="00DF6164">
        <w:rPr>
          <w:rFonts w:hAnsi="標楷體" w:hint="eastAsia"/>
          <w:b/>
          <w:snapToGrid/>
        </w:rPr>
        <w:t xml:space="preserve">               </w:t>
      </w:r>
      <w:r w:rsidR="00CF38DE" w:rsidRPr="00DF6164">
        <w:rPr>
          <w:rFonts w:hAnsi="標楷體"/>
          <w:b/>
          <w:snapToGrid/>
        </w:rPr>
        <w:t xml:space="preserve">               </w:t>
      </w:r>
      <w:r w:rsidRPr="00DF6164">
        <w:rPr>
          <w:rFonts w:hAnsi="標楷體" w:hint="eastAsia"/>
          <w:snapToGrid/>
          <w:spacing w:val="-5"/>
          <w:kern w:val="0"/>
          <w:sz w:val="24"/>
          <w:szCs w:val="24"/>
        </w:rPr>
        <w:t>單位：件；</w:t>
      </w:r>
      <w:r w:rsidR="00B44116" w:rsidRPr="00DF6164">
        <w:rPr>
          <w:rFonts w:hAnsi="標楷體" w:hint="eastAsia"/>
          <w:snapToGrid/>
          <w:spacing w:val="-5"/>
          <w:kern w:val="0"/>
          <w:sz w:val="24"/>
          <w:szCs w:val="24"/>
        </w:rPr>
        <w:t>新臺幣</w:t>
      </w:r>
      <w:r w:rsidRPr="00DF6164">
        <w:rPr>
          <w:rFonts w:hAnsi="標楷體" w:hint="eastAsia"/>
          <w:snapToGrid/>
          <w:spacing w:val="-5"/>
          <w:kern w:val="0"/>
          <w:sz w:val="24"/>
          <w:szCs w:val="24"/>
        </w:rPr>
        <w:t>百萬元</w:t>
      </w:r>
      <w:r w:rsidR="0075090C" w:rsidRPr="00DF6164">
        <w:rPr>
          <w:rStyle w:val="140"/>
          <w:rFonts w:hAnsi="標楷體" w:hint="eastAsia"/>
          <w:b w:val="0"/>
        </w:rPr>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60"/>
        <w:gridCol w:w="1150"/>
        <w:gridCol w:w="1126"/>
        <w:gridCol w:w="1134"/>
        <w:gridCol w:w="1134"/>
        <w:gridCol w:w="1275"/>
        <w:gridCol w:w="1134"/>
      </w:tblGrid>
      <w:tr w:rsidR="00DF6164" w:rsidRPr="00DF6164" w:rsidTr="00A83969">
        <w:tc>
          <w:tcPr>
            <w:tcW w:w="1660" w:type="dxa"/>
            <w:shd w:val="clear" w:color="auto" w:fill="auto"/>
          </w:tcPr>
          <w:p w:rsidR="00A83969" w:rsidRPr="00DF6164" w:rsidRDefault="00A83969" w:rsidP="002B6E2F">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年別</w:t>
            </w:r>
          </w:p>
        </w:tc>
        <w:tc>
          <w:tcPr>
            <w:tcW w:w="2276" w:type="dxa"/>
            <w:gridSpan w:val="2"/>
            <w:shd w:val="clear" w:color="auto" w:fill="auto"/>
          </w:tcPr>
          <w:p w:rsidR="00A83969" w:rsidRPr="00DF6164" w:rsidRDefault="00A83969" w:rsidP="002B6E2F">
            <w:pPr>
              <w:widowControl/>
              <w:spacing w:line="340" w:lineRule="exact"/>
              <w:ind w:leftChars="0" w:left="0" w:firstLineChars="0" w:firstLine="0"/>
              <w:jc w:val="center"/>
              <w:rPr>
                <w:rFonts w:hAnsi="標楷體"/>
                <w:snapToGrid/>
                <w:spacing w:val="-5"/>
                <w:kern w:val="0"/>
                <w:sz w:val="24"/>
                <w:szCs w:val="24"/>
              </w:rPr>
            </w:pPr>
            <w:r w:rsidRPr="00DF6164">
              <w:rPr>
                <w:rFonts w:hAnsi="標楷體"/>
                <w:snapToGrid/>
                <w:spacing w:val="-5"/>
                <w:kern w:val="0"/>
                <w:sz w:val="24"/>
                <w:szCs w:val="24"/>
              </w:rPr>
              <w:t>111年度</w:t>
            </w:r>
          </w:p>
        </w:tc>
        <w:tc>
          <w:tcPr>
            <w:tcW w:w="2268" w:type="dxa"/>
            <w:gridSpan w:val="2"/>
            <w:shd w:val="clear" w:color="auto" w:fill="auto"/>
          </w:tcPr>
          <w:p w:rsidR="00A83969" w:rsidRPr="00DF6164" w:rsidRDefault="00A83969" w:rsidP="002B6E2F">
            <w:pPr>
              <w:widowControl/>
              <w:spacing w:line="340" w:lineRule="exact"/>
              <w:ind w:leftChars="0" w:left="0" w:firstLineChars="0" w:firstLine="0"/>
              <w:jc w:val="center"/>
              <w:rPr>
                <w:rFonts w:hAnsi="標楷體"/>
                <w:snapToGrid/>
                <w:spacing w:val="-5"/>
                <w:kern w:val="0"/>
                <w:sz w:val="24"/>
                <w:szCs w:val="24"/>
              </w:rPr>
            </w:pPr>
            <w:r w:rsidRPr="00DF6164">
              <w:rPr>
                <w:rFonts w:hAnsi="標楷體"/>
                <w:snapToGrid/>
                <w:spacing w:val="-5"/>
                <w:kern w:val="0"/>
                <w:sz w:val="24"/>
                <w:szCs w:val="24"/>
              </w:rPr>
              <w:t>112年度</w:t>
            </w:r>
          </w:p>
        </w:tc>
        <w:tc>
          <w:tcPr>
            <w:tcW w:w="2409" w:type="dxa"/>
            <w:gridSpan w:val="2"/>
          </w:tcPr>
          <w:p w:rsidR="00A83969" w:rsidRPr="00DF6164" w:rsidRDefault="00A83969" w:rsidP="00A83969">
            <w:pPr>
              <w:widowControl/>
              <w:spacing w:line="340" w:lineRule="exact"/>
              <w:ind w:leftChars="0" w:left="0" w:firstLineChars="0" w:firstLine="0"/>
              <w:jc w:val="center"/>
              <w:rPr>
                <w:rFonts w:hAnsi="標楷體"/>
                <w:snapToGrid/>
                <w:spacing w:val="-5"/>
                <w:kern w:val="0"/>
                <w:sz w:val="24"/>
                <w:szCs w:val="24"/>
              </w:rPr>
            </w:pPr>
            <w:r w:rsidRPr="00DF6164">
              <w:rPr>
                <w:rFonts w:hAnsi="標楷體"/>
                <w:snapToGrid/>
                <w:spacing w:val="-5"/>
                <w:kern w:val="0"/>
                <w:sz w:val="24"/>
                <w:szCs w:val="24"/>
              </w:rPr>
              <w:t>113年8月底止</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項目</w:t>
            </w:r>
          </w:p>
        </w:tc>
        <w:tc>
          <w:tcPr>
            <w:tcW w:w="1150"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承作件數</w:t>
            </w:r>
          </w:p>
        </w:tc>
        <w:tc>
          <w:tcPr>
            <w:tcW w:w="1126"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承作金額</w:t>
            </w:r>
          </w:p>
        </w:tc>
        <w:tc>
          <w:tcPr>
            <w:tcW w:w="1134"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承作件數</w:t>
            </w:r>
          </w:p>
        </w:tc>
        <w:tc>
          <w:tcPr>
            <w:tcW w:w="1134" w:type="dxa"/>
            <w:shd w:val="clear" w:color="auto" w:fill="auto"/>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承作金額</w:t>
            </w:r>
          </w:p>
        </w:tc>
        <w:tc>
          <w:tcPr>
            <w:tcW w:w="1275" w:type="dxa"/>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承作件數</w:t>
            </w:r>
          </w:p>
        </w:tc>
        <w:tc>
          <w:tcPr>
            <w:tcW w:w="1134" w:type="dxa"/>
          </w:tcPr>
          <w:p w:rsidR="00A83969" w:rsidRPr="00DF6164" w:rsidRDefault="00A83969" w:rsidP="00A83969">
            <w:pPr>
              <w:widowControl/>
              <w:spacing w:line="340" w:lineRule="exact"/>
              <w:ind w:leftChars="0" w:left="0" w:firstLineChars="0" w:firstLine="0"/>
              <w:jc w:val="center"/>
              <w:rPr>
                <w:rFonts w:hAnsi="標楷體"/>
                <w:snapToGrid/>
                <w:spacing w:val="-12"/>
                <w:kern w:val="0"/>
                <w:sz w:val="24"/>
                <w:szCs w:val="24"/>
              </w:rPr>
            </w:pPr>
            <w:r w:rsidRPr="00DF6164">
              <w:rPr>
                <w:rFonts w:hAnsi="標楷體"/>
                <w:snapToGrid/>
                <w:spacing w:val="-12"/>
                <w:kern w:val="0"/>
                <w:sz w:val="24"/>
                <w:szCs w:val="24"/>
              </w:rPr>
              <w:t>承作金額</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預訂信託</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1,452</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27.1</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23,907</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51.648</w:t>
            </w:r>
          </w:p>
        </w:tc>
        <w:tc>
          <w:tcPr>
            <w:tcW w:w="1275" w:type="dxa"/>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8</w:t>
            </w:r>
            <w:r w:rsidRPr="00DF6164">
              <w:rPr>
                <w:rFonts w:hAnsi="標楷體"/>
                <w:snapToGrid/>
                <w:spacing w:val="-5"/>
                <w:kern w:val="0"/>
                <w:sz w:val="24"/>
                <w:szCs w:val="24"/>
              </w:rPr>
              <w:t>52</w:t>
            </w:r>
          </w:p>
        </w:tc>
        <w:tc>
          <w:tcPr>
            <w:tcW w:w="1134" w:type="dxa"/>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3</w:t>
            </w:r>
            <w:r w:rsidRPr="00DF6164">
              <w:rPr>
                <w:rFonts w:hAnsi="標楷體"/>
                <w:snapToGrid/>
                <w:spacing w:val="-5"/>
                <w:kern w:val="0"/>
                <w:sz w:val="24"/>
                <w:szCs w:val="24"/>
              </w:rPr>
              <w:t>.906</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安養信託結合以房養老</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3</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11.5</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275"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c>
          <w:tcPr>
            <w:tcW w:w="1134"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以租養老安養信託</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w:t>
            </w:r>
          </w:p>
        </w:tc>
        <w:tc>
          <w:tcPr>
            <w:tcW w:w="1275"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c>
          <w:tcPr>
            <w:tcW w:w="1134"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p>
        </w:tc>
      </w:tr>
      <w:tr w:rsidR="00DF6164" w:rsidRPr="00DF6164" w:rsidTr="00A83969">
        <w:tc>
          <w:tcPr>
            <w:tcW w:w="1660" w:type="dxa"/>
            <w:shd w:val="clear" w:color="auto" w:fill="auto"/>
          </w:tcPr>
          <w:p w:rsidR="00A83969" w:rsidRPr="00DF6164" w:rsidRDefault="00A83969" w:rsidP="00A83969">
            <w:pPr>
              <w:widowControl/>
              <w:spacing w:line="340" w:lineRule="exact"/>
              <w:ind w:leftChars="0" w:left="0" w:firstLineChars="0" w:firstLine="0"/>
              <w:rPr>
                <w:rFonts w:hAnsi="標楷體"/>
                <w:snapToGrid/>
                <w:spacing w:val="-5"/>
                <w:kern w:val="0"/>
                <w:sz w:val="24"/>
                <w:szCs w:val="24"/>
              </w:rPr>
            </w:pPr>
            <w:r w:rsidRPr="00DF6164">
              <w:rPr>
                <w:rFonts w:hAnsi="標楷體"/>
                <w:snapToGrid/>
                <w:spacing w:val="-5"/>
                <w:kern w:val="0"/>
                <w:sz w:val="24"/>
                <w:szCs w:val="24"/>
              </w:rPr>
              <w:t>安養費用動態給付</w:t>
            </w:r>
          </w:p>
        </w:tc>
        <w:tc>
          <w:tcPr>
            <w:tcW w:w="1150"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3</w:t>
            </w:r>
          </w:p>
        </w:tc>
        <w:tc>
          <w:tcPr>
            <w:tcW w:w="1126"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9.6</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4</w:t>
            </w:r>
          </w:p>
        </w:tc>
        <w:tc>
          <w:tcPr>
            <w:tcW w:w="1134" w:type="dxa"/>
            <w:shd w:val="clear" w:color="auto" w:fill="auto"/>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snapToGrid/>
                <w:spacing w:val="-5"/>
                <w:kern w:val="0"/>
                <w:sz w:val="24"/>
                <w:szCs w:val="24"/>
              </w:rPr>
              <w:t>0.196</w:t>
            </w:r>
          </w:p>
        </w:tc>
        <w:tc>
          <w:tcPr>
            <w:tcW w:w="1275"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3</w:t>
            </w:r>
          </w:p>
        </w:tc>
        <w:tc>
          <w:tcPr>
            <w:tcW w:w="1134" w:type="dxa"/>
            <w:vAlign w:val="center"/>
          </w:tcPr>
          <w:p w:rsidR="00A83969" w:rsidRPr="00DF6164" w:rsidRDefault="00A83969" w:rsidP="00A83969">
            <w:pPr>
              <w:widowControl/>
              <w:spacing w:line="340" w:lineRule="exact"/>
              <w:ind w:leftChars="0" w:left="0" w:firstLineChars="0" w:firstLine="0"/>
              <w:jc w:val="right"/>
              <w:rPr>
                <w:rFonts w:hAnsi="標楷體"/>
                <w:snapToGrid/>
                <w:spacing w:val="-5"/>
                <w:kern w:val="0"/>
                <w:sz w:val="24"/>
                <w:szCs w:val="24"/>
              </w:rPr>
            </w:pPr>
            <w:r w:rsidRPr="00DF6164">
              <w:rPr>
                <w:rFonts w:hAnsi="標楷體" w:hint="eastAsia"/>
                <w:snapToGrid/>
                <w:spacing w:val="-5"/>
                <w:kern w:val="0"/>
                <w:sz w:val="24"/>
                <w:szCs w:val="24"/>
              </w:rPr>
              <w:t>0</w:t>
            </w:r>
            <w:r w:rsidRPr="00DF6164">
              <w:rPr>
                <w:rFonts w:hAnsi="標楷體"/>
                <w:snapToGrid/>
                <w:spacing w:val="-5"/>
                <w:kern w:val="0"/>
                <w:sz w:val="24"/>
                <w:szCs w:val="24"/>
              </w:rPr>
              <w:t>.110</w:t>
            </w:r>
          </w:p>
        </w:tc>
      </w:tr>
    </w:tbl>
    <w:p w:rsidR="002C58E4" w:rsidRPr="00DF6164" w:rsidRDefault="0075090C" w:rsidP="00570F10">
      <w:pPr>
        <w:pStyle w:val="143"/>
        <w:ind w:leftChars="-50" w:left="-142"/>
        <w:rPr>
          <w:rFonts w:hAnsi="標楷體" w:hint="eastAsia"/>
          <w:szCs w:val="24"/>
        </w:rPr>
      </w:pPr>
      <w:r w:rsidRPr="00DF6164">
        <w:rPr>
          <w:rFonts w:hAnsi="標楷體" w:hint="eastAsia"/>
        </w:rPr>
        <w:t>資料來源：臺灣銀行提供。</w:t>
      </w:r>
    </w:p>
    <w:p w:rsidR="00E543A4" w:rsidRPr="00DF6164" w:rsidRDefault="00C76769" w:rsidP="003B2792">
      <w:pPr>
        <w:ind w:left="567" w:firstLine="567"/>
        <w:rPr>
          <w:rFonts w:hAnsi="標楷體" w:hint="eastAsia"/>
        </w:rPr>
      </w:pPr>
      <w:r w:rsidRPr="00DF6164">
        <w:rPr>
          <w:rFonts w:hAnsi="標楷體" w:hint="eastAsia"/>
        </w:rPr>
        <w:t>綜上，臺灣銀行</w:t>
      </w:r>
      <w:r w:rsidR="00D70E13" w:rsidRPr="00DF6164">
        <w:rPr>
          <w:rFonts w:hAnsi="標楷體" w:hint="eastAsia"/>
        </w:rPr>
        <w:t>賡續</w:t>
      </w:r>
      <w:r w:rsidR="00DF6164" w:rsidRPr="00DF6164">
        <w:rPr>
          <w:rFonts w:hAnsi="標楷體" w:hint="eastAsia"/>
        </w:rPr>
        <w:t>辦理</w:t>
      </w:r>
      <w:r w:rsidR="0075090C" w:rsidRPr="00DF6164">
        <w:rPr>
          <w:rFonts w:hAnsi="標楷體" w:hint="eastAsia"/>
        </w:rPr>
        <w:t>金管會</w:t>
      </w:r>
      <w:r w:rsidR="00B44116" w:rsidRPr="00DF6164">
        <w:rPr>
          <w:rFonts w:hAnsi="標楷體" w:hint="eastAsia"/>
        </w:rPr>
        <w:t>信託</w:t>
      </w:r>
      <w:r w:rsidR="0075090C" w:rsidRPr="00DF6164">
        <w:rPr>
          <w:rFonts w:hAnsi="標楷體" w:hint="eastAsia"/>
        </w:rPr>
        <w:t>2.0「全方位信託」</w:t>
      </w:r>
      <w:r w:rsidR="003B2792" w:rsidRPr="00DF6164">
        <w:rPr>
          <w:rFonts w:hAnsi="標楷體" w:hint="eastAsia"/>
        </w:rPr>
        <w:t>第一階段及第二階段</w:t>
      </w:r>
      <w:r w:rsidR="0075090C" w:rsidRPr="00DF6164">
        <w:rPr>
          <w:rFonts w:hAnsi="標楷體" w:hint="eastAsia"/>
        </w:rPr>
        <w:t>推動計畫，</w:t>
      </w:r>
      <w:r w:rsidR="00EE60AB">
        <w:rPr>
          <w:rFonts w:hAnsi="標楷體" w:hint="eastAsia"/>
        </w:rPr>
        <w:t>並</w:t>
      </w:r>
      <w:r w:rsidR="0075090C" w:rsidRPr="00DF6164">
        <w:rPr>
          <w:rFonts w:hAnsi="標楷體" w:hint="eastAsia"/>
        </w:rPr>
        <w:t>提出多項信託商品，期為高齡者建構全方位生活照顧整合性服務</w:t>
      </w:r>
      <w:r w:rsidR="00D70E13" w:rsidRPr="00DF6164">
        <w:rPr>
          <w:rFonts w:hAnsi="標楷體" w:hint="eastAsia"/>
        </w:rPr>
        <w:t>。</w:t>
      </w:r>
      <w:r w:rsidR="0075090C" w:rsidRPr="00DF6164">
        <w:rPr>
          <w:rFonts w:hAnsi="標楷體" w:hint="eastAsia"/>
        </w:rPr>
        <w:t>惟截至11</w:t>
      </w:r>
      <w:r w:rsidR="00DF6164" w:rsidRPr="00DF6164">
        <w:rPr>
          <w:rFonts w:hAnsi="標楷體"/>
        </w:rPr>
        <w:t>3</w:t>
      </w:r>
      <w:r w:rsidR="0075090C" w:rsidRPr="00DF6164">
        <w:rPr>
          <w:rFonts w:hAnsi="標楷體" w:hint="eastAsia"/>
        </w:rPr>
        <w:t>年8月底止，除預訂信託</w:t>
      </w:r>
      <w:r w:rsidR="00CE5D99" w:rsidRPr="00DF6164">
        <w:rPr>
          <w:rFonts w:hAnsi="標楷體" w:hint="eastAsia"/>
        </w:rPr>
        <w:t>外，其他</w:t>
      </w:r>
      <w:r w:rsidR="0075090C" w:rsidRPr="00DF6164">
        <w:rPr>
          <w:rFonts w:hAnsi="標楷體" w:hint="eastAsia"/>
        </w:rPr>
        <w:t>信託商品承作件數零星或為零，高齡者市場接受度不高，允宜加強宣導與推廣</w:t>
      </w:r>
      <w:r w:rsidR="00DF6164" w:rsidRPr="00DF6164">
        <w:rPr>
          <w:rFonts w:hAnsi="標楷體" w:hint="eastAsia"/>
        </w:rPr>
        <w:t>信託</w:t>
      </w:r>
      <w:r w:rsidR="0075090C" w:rsidRPr="00DF6164">
        <w:rPr>
          <w:rFonts w:hAnsi="標楷體" w:hint="eastAsia"/>
        </w:rPr>
        <w:t>安養</w:t>
      </w:r>
      <w:r w:rsidR="00DF6164" w:rsidRPr="00DF6164">
        <w:rPr>
          <w:rFonts w:hAnsi="標楷體" w:hint="eastAsia"/>
        </w:rPr>
        <w:t>商品</w:t>
      </w:r>
      <w:r w:rsidR="0075090C" w:rsidRPr="00DF6164">
        <w:rPr>
          <w:rFonts w:hAnsi="標楷體" w:hint="eastAsia"/>
        </w:rPr>
        <w:t>價值。</w:t>
      </w:r>
      <w:r w:rsidR="003B2792" w:rsidRPr="00DF6164">
        <w:rPr>
          <w:rFonts w:hAnsi="標楷體" w:hint="eastAsia"/>
        </w:rPr>
        <w:t xml:space="preserve"> </w:t>
      </w:r>
    </w:p>
    <w:bookmarkEnd w:id="10"/>
    <w:bookmarkEnd w:id="0"/>
    <w:bookmarkEnd w:id="1"/>
    <w:bookmarkEnd w:id="2"/>
    <w:bookmarkEnd w:id="3"/>
    <w:bookmarkEnd w:id="4"/>
    <w:bookmarkEnd w:id="5"/>
    <w:bookmarkEnd w:id="6"/>
    <w:bookmarkEnd w:id="7"/>
    <w:bookmarkEnd w:id="8"/>
    <w:sectPr w:rsidR="00E543A4" w:rsidRPr="00DF6164"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B65C79" w:rsidRPr="00B65C79">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C79"/>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E2DF3DC5-C4E7-4C40-94E5-0063D2FE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B82C9-9BC5-4CD4-8392-593380EE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288</Words>
  <Characters>1646</Characters>
  <Application>Microsoft Office Word</Application>
  <DocSecurity>0</DocSecurity>
  <Lines>13</Lines>
  <Paragraphs>3</Paragraphs>
  <ScaleCrop>false</ScaleCrop>
  <Company/>
  <LinksUpToDate>false</LinksUpToDate>
  <CharactersWithSpaces>1931</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