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7A720C" w:rsidRPr="00F26E06" w:rsidRDefault="004A46D8" w:rsidP="007A720C">
      <w:pPr>
        <w:pStyle w:val="14"/>
        <w:ind w:left="567" w:hanging="567"/>
        <w:rPr>
          <w:rFonts w:hAnsi="標楷體"/>
          <w:snapToGrid/>
        </w:rPr>
      </w:pPr>
      <w:bookmarkStart w:id="10" w:name="_Toc278299520"/>
      <w:bookmarkStart w:id="11" w:name="_Toc181611965"/>
      <w:r w:rsidRPr="00F26E06">
        <w:rPr>
          <w:rFonts w:hAnsi="標楷體" w:hint="eastAsia"/>
          <w:snapToGrid/>
        </w:rPr>
        <w:t>八、</w:t>
      </w:r>
      <w:r w:rsidR="00734E3B" w:rsidRPr="00F26E06">
        <w:rPr>
          <w:rFonts w:hAnsi="標楷體" w:hint="eastAsia"/>
          <w:snapToGrid/>
        </w:rPr>
        <w:t>為降低資金成本，</w:t>
      </w:r>
      <w:r w:rsidR="008D0707">
        <w:rPr>
          <w:rFonts w:hAnsi="標楷體" w:hint="eastAsia"/>
          <w:snapToGrid/>
        </w:rPr>
        <w:t>該行</w:t>
      </w:r>
      <w:r w:rsidR="00734E3B" w:rsidRPr="00F26E06">
        <w:rPr>
          <w:rFonts w:hAnsi="標楷體" w:hint="eastAsia"/>
          <w:snapToGrid/>
        </w:rPr>
        <w:t>賡</w:t>
      </w:r>
      <w:r w:rsidR="007A720C" w:rsidRPr="00F26E06">
        <w:rPr>
          <w:rFonts w:hAnsi="標楷體" w:hint="eastAsia"/>
          <w:snapToGrid/>
        </w:rPr>
        <w:t>續優化存款結構，惟</w:t>
      </w:r>
      <w:r w:rsidR="008D0707">
        <w:rPr>
          <w:rFonts w:hAnsi="標楷體" w:hint="eastAsia"/>
          <w:snapToGrid/>
        </w:rPr>
        <w:t>1</w:t>
      </w:r>
      <w:r w:rsidR="008D0707">
        <w:rPr>
          <w:rFonts w:hAnsi="標楷體"/>
          <w:snapToGrid/>
        </w:rPr>
        <w:t>10</w:t>
      </w:r>
      <w:r w:rsidR="008D0707">
        <w:rPr>
          <w:rFonts w:hAnsi="標楷體" w:hint="eastAsia"/>
          <w:snapToGrid/>
        </w:rPr>
        <w:t>至</w:t>
      </w:r>
      <w:r w:rsidR="007A720C" w:rsidRPr="00F26E06">
        <w:rPr>
          <w:rFonts w:hAnsi="標楷體" w:hint="eastAsia"/>
          <w:snapToGrid/>
        </w:rPr>
        <w:t>11</w:t>
      </w:r>
      <w:r w:rsidR="00734E3B" w:rsidRPr="00F26E06">
        <w:rPr>
          <w:rFonts w:hAnsi="標楷體"/>
          <w:snapToGrid/>
        </w:rPr>
        <w:t>2</w:t>
      </w:r>
      <w:r w:rsidR="007A720C" w:rsidRPr="00F26E06">
        <w:rPr>
          <w:rFonts w:hAnsi="標楷體" w:hint="eastAsia"/>
          <w:snapToGrid/>
        </w:rPr>
        <w:t>年度定期</w:t>
      </w:r>
      <w:r w:rsidR="008D0707">
        <w:rPr>
          <w:rFonts w:hAnsi="標楷體" w:hint="eastAsia"/>
          <w:snapToGrid/>
        </w:rPr>
        <w:t>性</w:t>
      </w:r>
      <w:r w:rsidR="007A720C" w:rsidRPr="00F26E06">
        <w:rPr>
          <w:rFonts w:hAnsi="標楷體" w:hint="eastAsia"/>
          <w:snapToGrid/>
        </w:rPr>
        <w:t>存款</w:t>
      </w:r>
      <w:r w:rsidR="008D0707">
        <w:rPr>
          <w:rFonts w:hAnsi="標楷體" w:hint="eastAsia"/>
          <w:snapToGrid/>
        </w:rPr>
        <w:t>金額及</w:t>
      </w:r>
      <w:r w:rsidR="00734E3B" w:rsidRPr="00F26E06">
        <w:rPr>
          <w:rFonts w:hAnsi="標楷體" w:hint="eastAsia"/>
          <w:snapToGrid/>
        </w:rPr>
        <w:t>占</w:t>
      </w:r>
      <w:r w:rsidR="007A720C" w:rsidRPr="00F26E06">
        <w:rPr>
          <w:rFonts w:hAnsi="標楷體" w:hint="eastAsia"/>
          <w:snapToGrid/>
        </w:rPr>
        <w:t>比</w:t>
      </w:r>
      <w:r w:rsidR="008D0707">
        <w:rPr>
          <w:rFonts w:hAnsi="標楷體" w:hint="eastAsia"/>
          <w:snapToGrid/>
        </w:rPr>
        <w:t>呈增加</w:t>
      </w:r>
      <w:r w:rsidR="00F26E06" w:rsidRPr="00F26E06">
        <w:rPr>
          <w:rFonts w:hAnsi="標楷體" w:hint="eastAsia"/>
          <w:snapToGrid/>
        </w:rPr>
        <w:t>趨勢</w:t>
      </w:r>
      <w:r w:rsidR="008D0707">
        <w:rPr>
          <w:rFonts w:hAnsi="標楷體" w:hint="eastAsia"/>
          <w:snapToGrid/>
        </w:rPr>
        <w:t>，且預計1</w:t>
      </w:r>
      <w:r w:rsidR="008D0707">
        <w:rPr>
          <w:rFonts w:hAnsi="標楷體"/>
          <w:snapToGrid/>
        </w:rPr>
        <w:t>14</w:t>
      </w:r>
      <w:r w:rsidR="008D0707">
        <w:rPr>
          <w:rFonts w:hAnsi="標楷體" w:hint="eastAsia"/>
          <w:snapToGrid/>
        </w:rPr>
        <w:t>年度占比持續攀升至5</w:t>
      </w:r>
      <w:r w:rsidR="008D0707">
        <w:rPr>
          <w:rFonts w:hAnsi="標楷體"/>
          <w:snapToGrid/>
        </w:rPr>
        <w:t>6.36%</w:t>
      </w:r>
      <w:r w:rsidR="007A720C" w:rsidRPr="00F26E06">
        <w:rPr>
          <w:rFonts w:hAnsi="標楷體" w:hint="eastAsia"/>
          <w:snapToGrid/>
        </w:rPr>
        <w:t>，</w:t>
      </w:r>
      <w:r w:rsidR="003431C9" w:rsidRPr="00F26E06">
        <w:rPr>
          <w:rFonts w:hAnsi="標楷體" w:hint="eastAsia"/>
          <w:snapToGrid/>
        </w:rPr>
        <w:t>允宜</w:t>
      </w:r>
      <w:r w:rsidR="00F26E06" w:rsidRPr="00F26E06">
        <w:rPr>
          <w:rFonts w:hAnsi="標楷體" w:hint="eastAsia"/>
          <w:snapToGrid/>
        </w:rPr>
        <w:t>妥適研謀</w:t>
      </w:r>
      <w:r w:rsidR="009E4C85" w:rsidRPr="00F26E06">
        <w:rPr>
          <w:rFonts w:hAnsi="標楷體" w:hint="eastAsia"/>
          <w:snapToGrid/>
        </w:rPr>
        <w:t>相關措施</w:t>
      </w:r>
      <w:r w:rsidR="00F26E06" w:rsidRPr="00F26E06">
        <w:rPr>
          <w:rFonts w:hAnsi="標楷體" w:hint="eastAsia"/>
          <w:snapToGrid/>
        </w:rPr>
        <w:t>，俾</w:t>
      </w:r>
      <w:r w:rsidR="008D0707">
        <w:rPr>
          <w:rFonts w:hAnsi="標楷體" w:hint="eastAsia"/>
          <w:snapToGrid/>
        </w:rPr>
        <w:t>符經營趨勢</w:t>
      </w:r>
      <w:bookmarkEnd w:id="11"/>
    </w:p>
    <w:p w:rsidR="007A720C" w:rsidRPr="00CE38C1" w:rsidRDefault="007A720C" w:rsidP="007A720C">
      <w:pPr>
        <w:ind w:left="567" w:firstLine="567"/>
        <w:rPr>
          <w:rFonts w:hAnsi="標楷體"/>
          <w:snapToGrid/>
        </w:rPr>
      </w:pPr>
      <w:r w:rsidRPr="00CE38C1">
        <w:rPr>
          <w:rFonts w:hAnsi="標楷體" w:hint="eastAsia"/>
          <w:snapToGrid/>
        </w:rPr>
        <w:t>臺灣</w:t>
      </w:r>
      <w:r w:rsidR="00052606" w:rsidRPr="00CE38C1">
        <w:rPr>
          <w:rFonts w:hAnsi="標楷體" w:hint="eastAsia"/>
          <w:snapToGrid/>
        </w:rPr>
        <w:t>銀行</w:t>
      </w:r>
      <w:r w:rsidRPr="00CE38C1">
        <w:rPr>
          <w:rFonts w:hAnsi="標楷體" w:hint="eastAsia"/>
          <w:snapToGrid/>
        </w:rPr>
        <w:t>11</w:t>
      </w:r>
      <w:r w:rsidR="00F26E06" w:rsidRPr="00CE38C1">
        <w:rPr>
          <w:rFonts w:hAnsi="標楷體"/>
          <w:snapToGrid/>
        </w:rPr>
        <w:t>4</w:t>
      </w:r>
      <w:r w:rsidRPr="00CE38C1">
        <w:rPr>
          <w:rFonts w:hAnsi="標楷體" w:hint="eastAsia"/>
          <w:snapToGrid/>
        </w:rPr>
        <w:t>年度預算案編列</w:t>
      </w:r>
      <w:r w:rsidR="001507CF" w:rsidRPr="00CE38C1">
        <w:rPr>
          <w:rFonts w:hAnsi="標楷體" w:hint="eastAsia"/>
          <w:snapToGrid/>
        </w:rPr>
        <w:t>「</w:t>
      </w:r>
      <w:r w:rsidRPr="00CE38C1">
        <w:rPr>
          <w:rFonts w:hAnsi="標楷體" w:hint="eastAsia"/>
          <w:snapToGrid/>
        </w:rPr>
        <w:t>存款業務營運量</w:t>
      </w:r>
      <w:r w:rsidR="001507CF" w:rsidRPr="00CE38C1">
        <w:rPr>
          <w:rFonts w:hAnsi="標楷體" w:hint="eastAsia"/>
          <w:snapToGrid/>
        </w:rPr>
        <w:t>」目標</w:t>
      </w:r>
      <w:r w:rsidRPr="00CE38C1">
        <w:rPr>
          <w:rFonts w:hAnsi="標楷體" w:hint="eastAsia"/>
          <w:snapToGrid/>
        </w:rPr>
        <w:t>為4兆</w:t>
      </w:r>
      <w:r w:rsidR="00243A9D" w:rsidRPr="00CE38C1">
        <w:rPr>
          <w:rFonts w:hAnsi="標楷體"/>
          <w:snapToGrid/>
        </w:rPr>
        <w:t>5,631</w:t>
      </w:r>
      <w:r w:rsidRPr="00CE38C1">
        <w:rPr>
          <w:rFonts w:hAnsi="標楷體" w:hint="eastAsia"/>
          <w:snapToGrid/>
        </w:rPr>
        <w:t>億</w:t>
      </w:r>
      <w:r w:rsidR="00077BBE" w:rsidRPr="00CE38C1">
        <w:rPr>
          <w:rFonts w:hAnsi="標楷體" w:hint="eastAsia"/>
          <w:snapToGrid/>
        </w:rPr>
        <w:t>5</w:t>
      </w:r>
      <w:r w:rsidR="00677CF5" w:rsidRPr="00CE38C1">
        <w:rPr>
          <w:rFonts w:hAnsi="標楷體"/>
          <w:snapToGrid/>
        </w:rPr>
        <w:t>,</w:t>
      </w:r>
      <w:r w:rsidR="00077BBE" w:rsidRPr="00CE38C1">
        <w:rPr>
          <w:rFonts w:hAnsi="標楷體"/>
          <w:snapToGrid/>
        </w:rPr>
        <w:t>1</w:t>
      </w:r>
      <w:r w:rsidR="00677CF5" w:rsidRPr="00CE38C1">
        <w:rPr>
          <w:rFonts w:hAnsi="標楷體" w:hint="eastAsia"/>
          <w:snapToGrid/>
        </w:rPr>
        <w:t>00萬</w:t>
      </w:r>
      <w:r w:rsidRPr="00CE38C1">
        <w:rPr>
          <w:rFonts w:hAnsi="標楷體" w:hint="eastAsia"/>
          <w:snapToGrid/>
        </w:rPr>
        <w:t>元，較11</w:t>
      </w:r>
      <w:r w:rsidR="00077BBE" w:rsidRPr="00CE38C1">
        <w:rPr>
          <w:rFonts w:hAnsi="標楷體"/>
          <w:snapToGrid/>
        </w:rPr>
        <w:t>3</w:t>
      </w:r>
      <w:r w:rsidRPr="00CE38C1">
        <w:rPr>
          <w:rFonts w:hAnsi="標楷體" w:hint="eastAsia"/>
          <w:snapToGrid/>
        </w:rPr>
        <w:t>年度</w:t>
      </w:r>
      <w:r w:rsidR="00CA68BE" w:rsidRPr="00CE38C1">
        <w:rPr>
          <w:rFonts w:hAnsi="標楷體" w:hint="eastAsia"/>
          <w:snapToGrid/>
        </w:rPr>
        <w:t>增加3</w:t>
      </w:r>
      <w:r w:rsidRPr="00CE38C1">
        <w:rPr>
          <w:rFonts w:hAnsi="標楷體"/>
          <w:snapToGrid/>
        </w:rPr>
        <w:t>,</w:t>
      </w:r>
      <w:r w:rsidR="00CA68BE" w:rsidRPr="00CE38C1">
        <w:rPr>
          <w:rFonts w:hAnsi="標楷體"/>
          <w:snapToGrid/>
        </w:rPr>
        <w:t>0</w:t>
      </w:r>
      <w:r w:rsidR="00077BBE" w:rsidRPr="00CE38C1">
        <w:rPr>
          <w:rFonts w:hAnsi="標楷體"/>
          <w:snapToGrid/>
        </w:rPr>
        <w:t>5</w:t>
      </w:r>
      <w:r w:rsidR="00CA68BE" w:rsidRPr="00CE38C1">
        <w:rPr>
          <w:rFonts w:hAnsi="標楷體"/>
          <w:snapToGrid/>
        </w:rPr>
        <w:t>0</w:t>
      </w:r>
      <w:r w:rsidRPr="00CE38C1">
        <w:rPr>
          <w:rFonts w:hAnsi="標楷體" w:hint="eastAsia"/>
          <w:snapToGrid/>
        </w:rPr>
        <w:t>億</w:t>
      </w:r>
      <w:r w:rsidR="00CA68BE" w:rsidRPr="00CE38C1">
        <w:rPr>
          <w:rFonts w:hAnsi="標楷體" w:hint="eastAsia"/>
          <w:snapToGrid/>
        </w:rPr>
        <w:t>3</w:t>
      </w:r>
      <w:r w:rsidR="00077BBE" w:rsidRPr="00CE38C1">
        <w:rPr>
          <w:rFonts w:hAnsi="標楷體"/>
          <w:snapToGrid/>
        </w:rPr>
        <w:t>,</w:t>
      </w:r>
      <w:r w:rsidR="00CA68BE" w:rsidRPr="00CE38C1">
        <w:rPr>
          <w:rFonts w:hAnsi="標楷體"/>
          <w:snapToGrid/>
        </w:rPr>
        <w:t>2</w:t>
      </w:r>
      <w:r w:rsidR="00077BBE" w:rsidRPr="00CE38C1">
        <w:rPr>
          <w:rFonts w:hAnsi="標楷體"/>
          <w:snapToGrid/>
        </w:rPr>
        <w:t>00</w:t>
      </w:r>
      <w:r w:rsidR="00077BBE" w:rsidRPr="00CE38C1">
        <w:rPr>
          <w:rFonts w:hAnsi="標楷體" w:hint="eastAsia"/>
          <w:snapToGrid/>
        </w:rPr>
        <w:t>萬</w:t>
      </w:r>
      <w:r w:rsidRPr="00CE38C1">
        <w:rPr>
          <w:rFonts w:hAnsi="標楷體" w:hint="eastAsia"/>
          <w:snapToGrid/>
        </w:rPr>
        <w:t>元</w:t>
      </w:r>
      <w:r w:rsidR="00CA68BE" w:rsidRPr="00CE38C1">
        <w:rPr>
          <w:rFonts w:hAnsi="標楷體" w:hint="eastAsia"/>
          <w:snapToGrid/>
        </w:rPr>
        <w:t>(</w:t>
      </w:r>
      <w:r w:rsidRPr="00CE38C1">
        <w:rPr>
          <w:rFonts w:hAnsi="標楷體" w:hint="eastAsia"/>
          <w:snapToGrid/>
        </w:rPr>
        <w:t>增幅</w:t>
      </w:r>
      <w:r w:rsidR="00CA68BE" w:rsidRPr="00CE38C1">
        <w:rPr>
          <w:rFonts w:hAnsi="標楷體"/>
          <w:snapToGrid/>
        </w:rPr>
        <w:t>7</w:t>
      </w:r>
      <w:r w:rsidR="00677CF5" w:rsidRPr="00CE38C1">
        <w:rPr>
          <w:rFonts w:hAnsi="標楷體"/>
          <w:snapToGrid/>
        </w:rPr>
        <w:t>.</w:t>
      </w:r>
      <w:r w:rsidR="00CA68BE" w:rsidRPr="00CE38C1">
        <w:rPr>
          <w:rFonts w:hAnsi="標楷體"/>
          <w:snapToGrid/>
        </w:rPr>
        <w:t>16</w:t>
      </w:r>
      <w:r w:rsidRPr="00CE38C1">
        <w:rPr>
          <w:rFonts w:hAnsi="標楷體" w:hint="eastAsia"/>
          <w:snapToGrid/>
        </w:rPr>
        <w:t>%</w:t>
      </w:r>
      <w:r w:rsidR="00CA68BE" w:rsidRPr="00CE38C1">
        <w:rPr>
          <w:rFonts w:hAnsi="標楷體"/>
          <w:snapToGrid/>
        </w:rPr>
        <w:t>)</w:t>
      </w:r>
      <w:r w:rsidRPr="00CE38C1">
        <w:rPr>
          <w:rFonts w:hAnsi="標楷體" w:hint="eastAsia"/>
          <w:snapToGrid/>
        </w:rPr>
        <w:t>，較11</w:t>
      </w:r>
      <w:r w:rsidR="00CA68BE" w:rsidRPr="00CE38C1">
        <w:rPr>
          <w:rFonts w:hAnsi="標楷體"/>
          <w:snapToGrid/>
        </w:rPr>
        <w:t>2</w:t>
      </w:r>
      <w:r w:rsidRPr="00CE38C1">
        <w:rPr>
          <w:rFonts w:hAnsi="標楷體" w:hint="eastAsia"/>
          <w:snapToGrid/>
        </w:rPr>
        <w:t>年度決算</w:t>
      </w:r>
      <w:r w:rsidR="00CA68BE" w:rsidRPr="00CE38C1">
        <w:rPr>
          <w:rFonts w:hAnsi="標楷體" w:hint="eastAsia"/>
          <w:snapToGrid/>
        </w:rPr>
        <w:t>減少2</w:t>
      </w:r>
      <w:r w:rsidRPr="00CE38C1">
        <w:rPr>
          <w:rFonts w:hAnsi="標楷體"/>
          <w:snapToGrid/>
        </w:rPr>
        <w:t>,</w:t>
      </w:r>
      <w:r w:rsidR="00CA68BE" w:rsidRPr="00CE38C1">
        <w:rPr>
          <w:rFonts w:hAnsi="標楷體"/>
          <w:snapToGrid/>
        </w:rPr>
        <w:t>396</w:t>
      </w:r>
      <w:r w:rsidR="00CA68BE" w:rsidRPr="00CE38C1">
        <w:rPr>
          <w:rFonts w:hAnsi="標楷體" w:hint="eastAsia"/>
          <w:snapToGrid/>
        </w:rPr>
        <w:t>億5</w:t>
      </w:r>
      <w:r w:rsidR="00CA68BE" w:rsidRPr="00CE38C1">
        <w:rPr>
          <w:rFonts w:hAnsi="標楷體"/>
          <w:snapToGrid/>
        </w:rPr>
        <w:t>,961</w:t>
      </w:r>
      <w:r w:rsidRPr="00CE38C1">
        <w:rPr>
          <w:rFonts w:hAnsi="標楷體" w:hint="eastAsia"/>
          <w:snapToGrid/>
        </w:rPr>
        <w:t>萬</w:t>
      </w:r>
      <w:r w:rsidR="00677CF5" w:rsidRPr="00CE38C1">
        <w:rPr>
          <w:rFonts w:hAnsi="標楷體" w:hint="eastAsia"/>
          <w:snapToGrid/>
        </w:rPr>
        <w:t>4</w:t>
      </w:r>
      <w:r w:rsidRPr="00CE38C1">
        <w:rPr>
          <w:rFonts w:hAnsi="標楷體" w:hint="eastAsia"/>
          <w:snapToGrid/>
        </w:rPr>
        <w:t>千元</w:t>
      </w:r>
      <w:r w:rsidR="00CE38C1" w:rsidRPr="00CE38C1">
        <w:rPr>
          <w:rFonts w:hAnsi="標楷體"/>
          <w:snapToGrid/>
        </w:rPr>
        <w:t>(</w:t>
      </w:r>
      <w:r w:rsidR="00677CF5" w:rsidRPr="00CE38C1">
        <w:rPr>
          <w:rFonts w:hAnsi="標楷體" w:hint="eastAsia"/>
          <w:snapToGrid/>
        </w:rPr>
        <w:t>減</w:t>
      </w:r>
      <w:r w:rsidRPr="00CE38C1">
        <w:rPr>
          <w:rFonts w:hAnsi="標楷體" w:hint="eastAsia"/>
          <w:snapToGrid/>
        </w:rPr>
        <w:t>幅</w:t>
      </w:r>
      <w:r w:rsidR="00677CF5" w:rsidRPr="00CE38C1">
        <w:rPr>
          <w:rFonts w:hAnsi="標楷體" w:hint="eastAsia"/>
          <w:snapToGrid/>
        </w:rPr>
        <w:t>4</w:t>
      </w:r>
      <w:r w:rsidRPr="00CE38C1">
        <w:rPr>
          <w:rFonts w:hAnsi="標楷體" w:hint="eastAsia"/>
          <w:snapToGrid/>
        </w:rPr>
        <w:t>.</w:t>
      </w:r>
      <w:r w:rsidR="00CE38C1" w:rsidRPr="00CE38C1">
        <w:rPr>
          <w:rFonts w:hAnsi="標楷體"/>
          <w:snapToGrid/>
        </w:rPr>
        <w:t>99</w:t>
      </w:r>
      <w:r w:rsidRPr="00CE38C1">
        <w:rPr>
          <w:rFonts w:hAnsi="標楷體" w:hint="eastAsia"/>
          <w:snapToGrid/>
        </w:rPr>
        <w:t>%</w:t>
      </w:r>
      <w:r w:rsidR="00CE38C1" w:rsidRPr="00CE38C1">
        <w:rPr>
          <w:rFonts w:hAnsi="標楷體"/>
          <w:snapToGrid/>
        </w:rPr>
        <w:t>)</w:t>
      </w:r>
      <w:r w:rsidRPr="00CE38C1">
        <w:rPr>
          <w:rFonts w:hAnsi="標楷體" w:hint="eastAsia"/>
          <w:snapToGrid/>
        </w:rPr>
        <w:t>。其中活期性存款1兆</w:t>
      </w:r>
      <w:r w:rsidR="00CE38C1" w:rsidRPr="00CE38C1">
        <w:rPr>
          <w:rFonts w:hAnsi="標楷體"/>
          <w:snapToGrid/>
        </w:rPr>
        <w:t>6</w:t>
      </w:r>
      <w:r w:rsidRPr="00CE38C1">
        <w:rPr>
          <w:rFonts w:hAnsi="標楷體"/>
          <w:snapToGrid/>
        </w:rPr>
        <w:t>,</w:t>
      </w:r>
      <w:r w:rsidR="00677CF5" w:rsidRPr="00CE38C1">
        <w:rPr>
          <w:rFonts w:hAnsi="標楷體" w:hint="eastAsia"/>
          <w:snapToGrid/>
        </w:rPr>
        <w:t>3</w:t>
      </w:r>
      <w:r w:rsidR="00CE38C1" w:rsidRPr="00CE38C1">
        <w:rPr>
          <w:rFonts w:hAnsi="標楷體"/>
          <w:snapToGrid/>
        </w:rPr>
        <w:t>87</w:t>
      </w:r>
      <w:r w:rsidRPr="00CE38C1">
        <w:rPr>
          <w:rFonts w:hAnsi="標楷體" w:hint="eastAsia"/>
          <w:snapToGrid/>
        </w:rPr>
        <w:t>億元</w:t>
      </w:r>
      <w:r w:rsidR="00E868F1" w:rsidRPr="00CE38C1">
        <w:rPr>
          <w:rFonts w:hAnsi="標楷體" w:hint="eastAsia"/>
          <w:snapToGrid/>
        </w:rPr>
        <w:t>、</w:t>
      </w:r>
      <w:r w:rsidRPr="00CE38C1">
        <w:rPr>
          <w:rFonts w:hAnsi="標楷體" w:hint="eastAsia"/>
          <w:snapToGrid/>
        </w:rPr>
        <w:t>定期性存款2兆</w:t>
      </w:r>
      <w:r w:rsidR="00CE38C1" w:rsidRPr="00CE38C1">
        <w:rPr>
          <w:rFonts w:hAnsi="標楷體" w:hint="eastAsia"/>
          <w:snapToGrid/>
        </w:rPr>
        <w:t>5</w:t>
      </w:r>
      <w:r w:rsidRPr="00CE38C1">
        <w:rPr>
          <w:rFonts w:hAnsi="標楷體"/>
          <w:snapToGrid/>
        </w:rPr>
        <w:t>,</w:t>
      </w:r>
      <w:r w:rsidR="00677CF5" w:rsidRPr="00CE38C1">
        <w:rPr>
          <w:rFonts w:hAnsi="標楷體" w:hint="eastAsia"/>
          <w:snapToGrid/>
        </w:rPr>
        <w:t>7</w:t>
      </w:r>
      <w:r w:rsidR="00CE38C1" w:rsidRPr="00CE38C1">
        <w:rPr>
          <w:rFonts w:hAnsi="標楷體"/>
          <w:snapToGrid/>
        </w:rPr>
        <w:t>17</w:t>
      </w:r>
      <w:r w:rsidRPr="00CE38C1">
        <w:rPr>
          <w:rFonts w:hAnsi="標楷體" w:hint="eastAsia"/>
          <w:snapToGrid/>
        </w:rPr>
        <w:t>億</w:t>
      </w:r>
      <w:r w:rsidR="00CE38C1" w:rsidRPr="00CE38C1">
        <w:rPr>
          <w:rFonts w:hAnsi="標楷體" w:hint="eastAsia"/>
          <w:snapToGrid/>
        </w:rPr>
        <w:t>2</w:t>
      </w:r>
      <w:r w:rsidRPr="00CE38C1">
        <w:rPr>
          <w:rFonts w:hAnsi="標楷體"/>
          <w:snapToGrid/>
        </w:rPr>
        <w:t>,</w:t>
      </w:r>
      <w:r w:rsidR="00CE38C1" w:rsidRPr="00CE38C1">
        <w:rPr>
          <w:rFonts w:hAnsi="標楷體"/>
          <w:snapToGrid/>
        </w:rPr>
        <w:t>1</w:t>
      </w:r>
      <w:r w:rsidRPr="00CE38C1">
        <w:rPr>
          <w:rFonts w:hAnsi="標楷體" w:hint="eastAsia"/>
          <w:snapToGrid/>
        </w:rPr>
        <w:t>00萬元</w:t>
      </w:r>
      <w:r w:rsidR="00E868F1" w:rsidRPr="00CE38C1">
        <w:rPr>
          <w:rFonts w:hAnsi="標楷體" w:hint="eastAsia"/>
          <w:snapToGrid/>
        </w:rPr>
        <w:t>及公庫存款3</w:t>
      </w:r>
      <w:r w:rsidR="00E868F1" w:rsidRPr="00CE38C1">
        <w:rPr>
          <w:rFonts w:hAnsi="標楷體"/>
          <w:snapToGrid/>
        </w:rPr>
        <w:t>,</w:t>
      </w:r>
      <w:r w:rsidR="00CE38C1" w:rsidRPr="00CE38C1">
        <w:rPr>
          <w:rFonts w:hAnsi="標楷體"/>
          <w:snapToGrid/>
        </w:rPr>
        <w:t>527</w:t>
      </w:r>
      <w:r w:rsidR="00E868F1" w:rsidRPr="00CE38C1">
        <w:rPr>
          <w:rFonts w:hAnsi="標楷體" w:hint="eastAsia"/>
          <w:snapToGrid/>
        </w:rPr>
        <w:t>億</w:t>
      </w:r>
      <w:r w:rsidR="00CE38C1" w:rsidRPr="00CE38C1">
        <w:rPr>
          <w:rFonts w:hAnsi="標楷體" w:hint="eastAsia"/>
          <w:snapToGrid/>
        </w:rPr>
        <w:t>3</w:t>
      </w:r>
      <w:r w:rsidR="00CE38C1" w:rsidRPr="00CE38C1">
        <w:rPr>
          <w:rFonts w:hAnsi="標楷體"/>
          <w:snapToGrid/>
        </w:rPr>
        <w:t>,000</w:t>
      </w:r>
      <w:r w:rsidR="00CE38C1" w:rsidRPr="00CE38C1">
        <w:rPr>
          <w:rFonts w:hAnsi="標楷體" w:hint="eastAsia"/>
          <w:snapToGrid/>
        </w:rPr>
        <w:t>萬</w:t>
      </w:r>
      <w:r w:rsidR="00E868F1" w:rsidRPr="00CE38C1">
        <w:rPr>
          <w:rFonts w:hAnsi="標楷體" w:hint="eastAsia"/>
          <w:snapToGrid/>
        </w:rPr>
        <w:t>元</w:t>
      </w:r>
      <w:r w:rsidRPr="00CE38C1">
        <w:rPr>
          <w:rFonts w:hAnsi="標楷體" w:hint="eastAsia"/>
          <w:snapToGrid/>
        </w:rPr>
        <w:t>。</w:t>
      </w:r>
      <w:r w:rsidR="00DC5E38" w:rsidRPr="00CE38C1">
        <w:rPr>
          <w:rFonts w:hAnsi="標楷體" w:hint="eastAsia"/>
          <w:snapToGrid/>
        </w:rPr>
        <w:t>經查</w:t>
      </w:r>
      <w:r w:rsidR="00DC5E38" w:rsidRPr="00CE38C1">
        <w:rPr>
          <w:rFonts w:hAnsi="標楷體" w:cs="全字庫正宋體" w:hint="eastAsia"/>
          <w:snapToGrid/>
        </w:rPr>
        <w:t>：</w:t>
      </w:r>
    </w:p>
    <w:p w:rsidR="00DC5E38" w:rsidRPr="007E4702" w:rsidRDefault="00DC5E38" w:rsidP="00DC5E38">
      <w:pPr>
        <w:pStyle w:val="ac"/>
        <w:ind w:left="851" w:hanging="284"/>
        <w:rPr>
          <w:rFonts w:hAnsi="標楷體" w:hint="eastAsia"/>
          <w:b/>
          <w:snapToGrid/>
        </w:rPr>
      </w:pPr>
      <w:r w:rsidRPr="007E4702">
        <w:rPr>
          <w:rFonts w:hAnsi="標楷體" w:hint="eastAsia"/>
          <w:b/>
          <w:snapToGrid/>
        </w:rPr>
        <w:t>(一)優化存款結構</w:t>
      </w:r>
      <w:r w:rsidR="00CE38C1" w:rsidRPr="007E4702">
        <w:rPr>
          <w:rFonts w:hAnsi="標楷體" w:hint="eastAsia"/>
          <w:b/>
          <w:snapToGrid/>
        </w:rPr>
        <w:t>為</w:t>
      </w:r>
      <w:r w:rsidRPr="007E4702">
        <w:rPr>
          <w:rFonts w:hAnsi="標楷體" w:hint="eastAsia"/>
          <w:b/>
          <w:snapToGrid/>
        </w:rPr>
        <w:t>主要</w:t>
      </w:r>
      <w:r w:rsidR="007E4702" w:rsidRPr="007E4702">
        <w:rPr>
          <w:rFonts w:hAnsi="標楷體" w:hint="eastAsia"/>
          <w:b/>
          <w:snapToGrid/>
        </w:rPr>
        <w:t>營運</w:t>
      </w:r>
      <w:r w:rsidR="00CE38C1" w:rsidRPr="007E4702">
        <w:rPr>
          <w:rFonts w:hAnsi="標楷體" w:hint="eastAsia"/>
          <w:b/>
          <w:snapToGrid/>
        </w:rPr>
        <w:t>項目</w:t>
      </w:r>
      <w:r w:rsidR="008D0707">
        <w:rPr>
          <w:rFonts w:hAnsi="標楷體" w:hint="eastAsia"/>
          <w:b/>
          <w:snapToGrid/>
        </w:rPr>
        <w:t>之</w:t>
      </w:r>
      <w:r w:rsidR="007E4702" w:rsidRPr="007E4702">
        <w:rPr>
          <w:rFonts w:hAnsi="標楷體" w:hint="eastAsia"/>
          <w:b/>
          <w:snapToGrid/>
        </w:rPr>
        <w:t>經營趨勢</w:t>
      </w:r>
      <w:r w:rsidRPr="007E4702">
        <w:rPr>
          <w:rFonts w:hAnsi="標楷體" w:hint="eastAsia"/>
          <w:b/>
          <w:snapToGrid/>
        </w:rPr>
        <w:t>，</w:t>
      </w:r>
      <w:r w:rsidR="008D0707">
        <w:rPr>
          <w:rFonts w:hAnsi="標楷體" w:hint="eastAsia"/>
          <w:b/>
          <w:snapToGrid/>
        </w:rPr>
        <w:t>該行</w:t>
      </w:r>
      <w:r w:rsidRPr="007E4702">
        <w:rPr>
          <w:rFonts w:hAnsi="標楷體" w:hint="eastAsia"/>
          <w:b/>
          <w:snapToGrid/>
        </w:rPr>
        <w:t>並</w:t>
      </w:r>
      <w:r w:rsidR="007E4702" w:rsidRPr="007E4702">
        <w:rPr>
          <w:rFonts w:hAnsi="標楷體" w:hint="eastAsia"/>
          <w:b/>
          <w:snapToGrid/>
        </w:rPr>
        <w:t>持續進行</w:t>
      </w:r>
      <w:r w:rsidRPr="007E4702">
        <w:rPr>
          <w:rFonts w:hAnsi="標楷體" w:hint="eastAsia"/>
          <w:b/>
          <w:snapToGrid/>
        </w:rPr>
        <w:t>相關配套措施</w:t>
      </w:r>
    </w:p>
    <w:p w:rsidR="00DC5E38" w:rsidRPr="0080083B" w:rsidRDefault="006F4C5B" w:rsidP="00DC5E38">
      <w:pPr>
        <w:ind w:leftChars="300" w:left="850" w:firstLine="567"/>
        <w:rPr>
          <w:rFonts w:hAnsi="標楷體"/>
          <w:snapToGrid/>
        </w:rPr>
      </w:pPr>
      <w:r w:rsidRPr="0080083B">
        <w:rPr>
          <w:rFonts w:hAnsi="標楷體" w:hint="eastAsia"/>
          <w:snapToGrid/>
        </w:rPr>
        <w:t>臺灣銀行</w:t>
      </w:r>
      <w:r w:rsidR="007A720C" w:rsidRPr="0080083B">
        <w:rPr>
          <w:rFonts w:hAnsi="標楷體" w:hint="eastAsia"/>
          <w:snapToGrid/>
        </w:rPr>
        <w:t>11</w:t>
      </w:r>
      <w:r w:rsidR="007E4702" w:rsidRPr="0080083B">
        <w:rPr>
          <w:rFonts w:hAnsi="標楷體"/>
          <w:snapToGrid/>
        </w:rPr>
        <w:t>4</w:t>
      </w:r>
      <w:r w:rsidR="007A720C" w:rsidRPr="0080083B">
        <w:rPr>
          <w:rFonts w:hAnsi="標楷體" w:hint="eastAsia"/>
          <w:snapToGrid/>
        </w:rPr>
        <w:t>年度</w:t>
      </w:r>
      <w:r w:rsidR="00052606" w:rsidRPr="0080083B">
        <w:rPr>
          <w:rFonts w:hAnsi="標楷體" w:hint="eastAsia"/>
          <w:snapToGrid/>
        </w:rPr>
        <w:t>主要營運項目</w:t>
      </w:r>
      <w:r w:rsidR="008D0707">
        <w:rPr>
          <w:rFonts w:hAnsi="標楷體" w:hint="eastAsia"/>
          <w:snapToGrid/>
        </w:rPr>
        <w:t>之</w:t>
      </w:r>
      <w:r w:rsidR="007A720C" w:rsidRPr="0080083B">
        <w:rPr>
          <w:rFonts w:hAnsi="標楷體" w:hint="eastAsia"/>
          <w:snapToGrid/>
        </w:rPr>
        <w:t>經營</w:t>
      </w:r>
      <w:r w:rsidR="00052606" w:rsidRPr="0080083B">
        <w:rPr>
          <w:rFonts w:hAnsi="標楷體" w:hint="eastAsia"/>
          <w:snapToGrid/>
        </w:rPr>
        <w:t>趨勢</w:t>
      </w:r>
      <w:r w:rsidR="008D0707">
        <w:rPr>
          <w:rFonts w:hAnsi="標楷體" w:hint="eastAsia"/>
          <w:snapToGrid/>
        </w:rPr>
        <w:t>含括</w:t>
      </w:r>
      <w:r w:rsidR="007A720C" w:rsidRPr="0080083B">
        <w:rPr>
          <w:rFonts w:hAnsi="標楷體" w:hint="eastAsia"/>
          <w:snapToGrid/>
        </w:rPr>
        <w:t>「</w:t>
      </w:r>
      <w:r w:rsidR="007E4702" w:rsidRPr="0080083B">
        <w:rPr>
          <w:rFonts w:hAnsi="標楷體" w:hint="eastAsia"/>
          <w:snapToGrid/>
        </w:rPr>
        <w:t>賡</w:t>
      </w:r>
      <w:r w:rsidR="00E868F1" w:rsidRPr="0080083B">
        <w:rPr>
          <w:rFonts w:hAnsi="標楷體" w:hint="eastAsia"/>
          <w:snapToGrid/>
        </w:rPr>
        <w:t>續</w:t>
      </w:r>
      <w:r w:rsidR="007A720C" w:rsidRPr="0080083B">
        <w:rPr>
          <w:rFonts w:hAnsi="標楷體" w:hint="eastAsia"/>
          <w:snapToGrid/>
        </w:rPr>
        <w:t>優化存款結構</w:t>
      </w:r>
      <w:r w:rsidR="00052606" w:rsidRPr="0080083B">
        <w:rPr>
          <w:rFonts w:hAnsi="標楷體" w:hint="eastAsia"/>
          <w:snapToGrid/>
        </w:rPr>
        <w:t>，降低資金成本</w:t>
      </w:r>
      <w:r w:rsidR="007A720C" w:rsidRPr="0080083B">
        <w:rPr>
          <w:rFonts w:hAnsi="標楷體" w:hint="eastAsia"/>
          <w:snapToGrid/>
        </w:rPr>
        <w:t>」，</w:t>
      </w:r>
      <w:r w:rsidR="008D0707">
        <w:rPr>
          <w:rFonts w:hAnsi="標楷體" w:hint="eastAsia"/>
          <w:snapToGrid/>
        </w:rPr>
        <w:t>按</w:t>
      </w:r>
      <w:r w:rsidR="00052606" w:rsidRPr="0080083B">
        <w:rPr>
          <w:rFonts w:hAnsi="標楷體" w:hint="eastAsia"/>
          <w:snapToGrid/>
        </w:rPr>
        <w:t>該行</w:t>
      </w:r>
      <w:r w:rsidR="007A720C" w:rsidRPr="0080083B">
        <w:rPr>
          <w:rFonts w:hAnsi="標楷體" w:hint="eastAsia"/>
          <w:snapToGrid/>
        </w:rPr>
        <w:t>肩負辦理軍公教退休(伍)</w:t>
      </w:r>
      <w:r w:rsidR="007A720C" w:rsidRPr="0080083B">
        <w:rPr>
          <w:rFonts w:hAnsi="標楷體" w:hint="eastAsia"/>
          <w:snapToGrid/>
        </w:rPr>
        <w:lastRenderedPageBreak/>
        <w:t>金優惠存款、國軍同袍儲蓄會存款等政策業務，致新臺幣定期存款比重偏高，</w:t>
      </w:r>
      <w:r w:rsidR="008D0707">
        <w:rPr>
          <w:rFonts w:hAnsi="標楷體" w:hint="eastAsia"/>
          <w:snapToGrid/>
        </w:rPr>
        <w:t>另</w:t>
      </w:r>
      <w:r w:rsidR="007A720C" w:rsidRPr="0080083B">
        <w:rPr>
          <w:rFonts w:hAnsi="標楷體" w:hint="eastAsia"/>
          <w:snapToGrid/>
        </w:rPr>
        <w:t>配合退休年金改革方案，已逐步調整新臺幣定期存款比重，優化存款結構，</w:t>
      </w:r>
      <w:r w:rsidR="00035232" w:rsidRPr="0080083B">
        <w:rPr>
          <w:rFonts w:hAnsi="標楷體" w:hint="eastAsia"/>
          <w:snapToGrid/>
        </w:rPr>
        <w:t>以</w:t>
      </w:r>
      <w:r w:rsidR="007A720C" w:rsidRPr="0080083B">
        <w:rPr>
          <w:rFonts w:hAnsi="標楷體" w:hint="eastAsia"/>
          <w:snapToGrid/>
        </w:rPr>
        <w:t>降低資金成本</w:t>
      </w:r>
      <w:r w:rsidR="007E4702" w:rsidRPr="0080083B">
        <w:rPr>
          <w:rFonts w:hAnsi="標楷體" w:hint="eastAsia"/>
          <w:snapToGrid/>
        </w:rPr>
        <w:t>；</w:t>
      </w:r>
      <w:r w:rsidR="008D0707" w:rsidRPr="008D0707">
        <w:rPr>
          <w:rFonts w:hAnsi="標楷體" w:hint="eastAsia"/>
          <w:snapToGrid/>
        </w:rPr>
        <w:t>該行</w:t>
      </w:r>
      <w:r w:rsidR="00E868F1" w:rsidRPr="0080083B">
        <w:rPr>
          <w:rFonts w:hAnsi="標楷體" w:hint="eastAsia"/>
          <w:snapToGrid/>
        </w:rPr>
        <w:t>並</w:t>
      </w:r>
      <w:r w:rsidR="00101623" w:rsidRPr="0080083B">
        <w:rPr>
          <w:rFonts w:hAnsi="標楷體" w:hint="eastAsia"/>
          <w:snapToGrid/>
        </w:rPr>
        <w:t>推動「新臺幣活期性存款激勵措施」，引導營業單位</w:t>
      </w:r>
      <w:r w:rsidR="007E4702" w:rsidRPr="0080083B">
        <w:rPr>
          <w:rFonts w:hAnsi="標楷體" w:hint="eastAsia"/>
          <w:snapToGrid/>
        </w:rPr>
        <w:t>拓展新臺幣活期性存款相關業務</w:t>
      </w:r>
      <w:r w:rsidR="004F4805" w:rsidRPr="0080083B">
        <w:rPr>
          <w:rFonts w:hAnsi="標楷體" w:hint="eastAsia"/>
          <w:snapToGrid/>
        </w:rPr>
        <w:t>、爭攬薪資轉帳訂約數、薪轉帳戶數及薪轉營運量。</w:t>
      </w:r>
    </w:p>
    <w:p w:rsidR="00DC5E38" w:rsidRPr="0080083B" w:rsidRDefault="004F4805" w:rsidP="00DC5E38">
      <w:pPr>
        <w:pStyle w:val="ac"/>
        <w:ind w:left="851" w:hanging="284"/>
        <w:rPr>
          <w:rFonts w:hAnsi="標楷體"/>
          <w:b/>
          <w:snapToGrid/>
        </w:rPr>
      </w:pPr>
      <w:r w:rsidRPr="0080083B">
        <w:rPr>
          <w:rFonts w:hAnsi="標楷體" w:hint="eastAsia"/>
          <w:b/>
          <w:snapToGrid/>
        </w:rPr>
        <w:t xml:space="preserve"> </w:t>
      </w:r>
      <w:r w:rsidR="00DC5E38" w:rsidRPr="0080083B">
        <w:rPr>
          <w:rFonts w:hAnsi="標楷體" w:hint="eastAsia"/>
          <w:b/>
          <w:snapToGrid/>
        </w:rPr>
        <w:t>(二)</w:t>
      </w:r>
      <w:r w:rsidR="008D0707">
        <w:rPr>
          <w:rFonts w:hAnsi="標楷體" w:hint="eastAsia"/>
          <w:b/>
          <w:snapToGrid/>
        </w:rPr>
        <w:t>1</w:t>
      </w:r>
      <w:r w:rsidR="008D0707">
        <w:rPr>
          <w:rFonts w:hAnsi="標楷體"/>
          <w:b/>
          <w:snapToGrid/>
        </w:rPr>
        <w:t>10</w:t>
      </w:r>
      <w:r w:rsidR="008D0707">
        <w:rPr>
          <w:rFonts w:hAnsi="標楷體" w:hint="eastAsia"/>
          <w:b/>
          <w:snapToGrid/>
        </w:rPr>
        <w:t>至1</w:t>
      </w:r>
      <w:r w:rsidR="008D0707">
        <w:rPr>
          <w:rFonts w:hAnsi="標楷體"/>
          <w:b/>
          <w:snapToGrid/>
        </w:rPr>
        <w:t>12</w:t>
      </w:r>
      <w:r w:rsidR="00DC5E38" w:rsidRPr="0080083B">
        <w:rPr>
          <w:rFonts w:hAnsi="標楷體" w:hint="eastAsia"/>
          <w:b/>
          <w:snapToGrid/>
        </w:rPr>
        <w:t>年</w:t>
      </w:r>
      <w:r w:rsidR="008D0707">
        <w:rPr>
          <w:rFonts w:hAnsi="標楷體" w:hint="eastAsia"/>
          <w:b/>
          <w:snapToGrid/>
        </w:rPr>
        <w:t>度</w:t>
      </w:r>
      <w:r w:rsidR="00DC5E38" w:rsidRPr="0080083B">
        <w:rPr>
          <w:rFonts w:hAnsi="標楷體" w:hint="eastAsia"/>
          <w:b/>
          <w:snapToGrid/>
        </w:rPr>
        <w:t>定期</w:t>
      </w:r>
      <w:r w:rsidR="004E5C73">
        <w:rPr>
          <w:rFonts w:hAnsi="標楷體" w:hint="eastAsia"/>
          <w:b/>
          <w:snapToGrid/>
        </w:rPr>
        <w:t>性</w:t>
      </w:r>
      <w:r w:rsidR="00DC5E38" w:rsidRPr="0080083B">
        <w:rPr>
          <w:rFonts w:hAnsi="標楷體" w:hint="eastAsia"/>
          <w:b/>
          <w:snapToGrid/>
        </w:rPr>
        <w:t>存款</w:t>
      </w:r>
      <w:r w:rsidR="0080083B" w:rsidRPr="0080083B">
        <w:rPr>
          <w:rFonts w:hAnsi="標楷體" w:hint="eastAsia"/>
          <w:b/>
          <w:snapToGrid/>
        </w:rPr>
        <w:t>金額</w:t>
      </w:r>
      <w:r w:rsidR="004E5C73">
        <w:rPr>
          <w:rFonts w:hAnsi="標楷體" w:hint="eastAsia"/>
          <w:b/>
          <w:snapToGrid/>
        </w:rPr>
        <w:t>及占比</w:t>
      </w:r>
      <w:r w:rsidR="0080083B" w:rsidRPr="0080083B">
        <w:rPr>
          <w:rFonts w:hAnsi="標楷體" w:hint="eastAsia"/>
          <w:b/>
          <w:snapToGrid/>
        </w:rPr>
        <w:t>呈</w:t>
      </w:r>
      <w:r w:rsidR="004E5C73">
        <w:rPr>
          <w:rFonts w:hAnsi="標楷體" w:hint="eastAsia"/>
          <w:b/>
          <w:snapToGrid/>
        </w:rPr>
        <w:t>增加</w:t>
      </w:r>
      <w:r w:rsidR="0080083B" w:rsidRPr="0080083B">
        <w:rPr>
          <w:rFonts w:hAnsi="標楷體" w:hint="eastAsia"/>
          <w:b/>
          <w:snapToGrid/>
        </w:rPr>
        <w:t>趨勢</w:t>
      </w:r>
      <w:r w:rsidR="00DC5E38" w:rsidRPr="0080083B">
        <w:rPr>
          <w:rFonts w:hAnsi="標楷體" w:hint="eastAsia"/>
          <w:b/>
          <w:snapToGrid/>
        </w:rPr>
        <w:t>，</w:t>
      </w:r>
      <w:r w:rsidR="004E5C73">
        <w:rPr>
          <w:rFonts w:hAnsi="標楷體" w:hint="eastAsia"/>
          <w:b/>
          <w:snapToGrid/>
        </w:rPr>
        <w:t>且預計1</w:t>
      </w:r>
      <w:r w:rsidR="004E5C73">
        <w:rPr>
          <w:rFonts w:hAnsi="標楷體"/>
          <w:b/>
          <w:snapToGrid/>
        </w:rPr>
        <w:t>13</w:t>
      </w:r>
      <w:r w:rsidR="004E5C73">
        <w:rPr>
          <w:rFonts w:hAnsi="標楷體" w:hint="eastAsia"/>
          <w:b/>
          <w:snapToGrid/>
        </w:rPr>
        <w:t>及1</w:t>
      </w:r>
      <w:r w:rsidR="004E5C73">
        <w:rPr>
          <w:rFonts w:hAnsi="標楷體"/>
          <w:b/>
          <w:snapToGrid/>
        </w:rPr>
        <w:t>14</w:t>
      </w:r>
      <w:r w:rsidR="004E5C73">
        <w:rPr>
          <w:rFonts w:hAnsi="標楷體" w:hint="eastAsia"/>
          <w:b/>
          <w:snapToGrid/>
        </w:rPr>
        <w:t>年度占比持續攀升</w:t>
      </w:r>
      <w:r w:rsidR="00CB1368">
        <w:rPr>
          <w:rFonts w:hAnsi="標楷體" w:hint="eastAsia"/>
          <w:b/>
          <w:snapToGrid/>
        </w:rPr>
        <w:t>，</w:t>
      </w:r>
      <w:r w:rsidR="003431C9" w:rsidRPr="0080083B">
        <w:rPr>
          <w:rFonts w:hAnsi="標楷體" w:hint="eastAsia"/>
          <w:b/>
          <w:snapToGrid/>
        </w:rPr>
        <w:t>允宜</w:t>
      </w:r>
      <w:r w:rsidR="0080083B" w:rsidRPr="0080083B">
        <w:rPr>
          <w:rFonts w:hAnsi="標楷體" w:hint="eastAsia"/>
          <w:b/>
          <w:snapToGrid/>
        </w:rPr>
        <w:t>研謀</w:t>
      </w:r>
      <w:r w:rsidR="003431C9" w:rsidRPr="0080083B">
        <w:rPr>
          <w:rFonts w:hAnsi="標楷體" w:hint="eastAsia"/>
          <w:b/>
          <w:snapToGrid/>
        </w:rPr>
        <w:t>相關調整措施</w:t>
      </w:r>
    </w:p>
    <w:p w:rsidR="008061C1" w:rsidRPr="00E84ECC" w:rsidRDefault="00DC5E38" w:rsidP="007B5FCE">
      <w:pPr>
        <w:ind w:leftChars="300" w:left="850" w:firstLine="567"/>
        <w:rPr>
          <w:rFonts w:hAnsi="標楷體"/>
          <w:snapToGrid/>
        </w:rPr>
      </w:pPr>
      <w:r w:rsidRPr="0065325B">
        <w:rPr>
          <w:rFonts w:hAnsi="標楷體" w:hint="eastAsia"/>
          <w:snapToGrid/>
        </w:rPr>
        <w:t>參據</w:t>
      </w:r>
      <w:r w:rsidR="006F4C5B" w:rsidRPr="0065325B">
        <w:rPr>
          <w:rFonts w:hAnsi="標楷體" w:hint="eastAsia"/>
          <w:snapToGrid/>
        </w:rPr>
        <w:t>臺灣銀行</w:t>
      </w:r>
      <w:r w:rsidR="00035232" w:rsidRPr="0065325B">
        <w:rPr>
          <w:rFonts w:hAnsi="標楷體" w:hint="eastAsia"/>
          <w:snapToGrid/>
        </w:rPr>
        <w:t>近</w:t>
      </w:r>
      <w:r w:rsidR="007A720C" w:rsidRPr="0065325B">
        <w:rPr>
          <w:rFonts w:hAnsi="標楷體" w:hint="eastAsia"/>
          <w:snapToGrid/>
        </w:rPr>
        <w:t>年度存款業務之辦理情形(詳表1)，存款業務營運量決算數由</w:t>
      </w:r>
      <w:r w:rsidR="0065325B" w:rsidRPr="0065325B">
        <w:rPr>
          <w:rFonts w:hAnsi="標楷體" w:hint="eastAsia"/>
          <w:snapToGrid/>
        </w:rPr>
        <w:t>1</w:t>
      </w:r>
      <w:r w:rsidR="007A720C" w:rsidRPr="0065325B">
        <w:rPr>
          <w:rFonts w:hAnsi="標楷體" w:hint="eastAsia"/>
          <w:snapToGrid/>
        </w:rPr>
        <w:t>10年度4兆</w:t>
      </w:r>
      <w:r w:rsidR="00466B28" w:rsidRPr="0065325B">
        <w:rPr>
          <w:rFonts w:hAnsi="標楷體" w:hint="eastAsia"/>
          <w:snapToGrid/>
        </w:rPr>
        <w:t>1</w:t>
      </w:r>
      <w:r w:rsidR="0065325B" w:rsidRPr="0065325B">
        <w:rPr>
          <w:rFonts w:hAnsi="標楷體"/>
          <w:snapToGrid/>
        </w:rPr>
        <w:t>,852</w:t>
      </w:r>
      <w:r w:rsidR="0065325B" w:rsidRPr="0065325B">
        <w:rPr>
          <w:rFonts w:hAnsi="標楷體" w:hint="eastAsia"/>
          <w:snapToGrid/>
        </w:rPr>
        <w:t>億</w:t>
      </w:r>
      <w:r w:rsidR="007A720C" w:rsidRPr="0065325B">
        <w:rPr>
          <w:rFonts w:hAnsi="標楷體" w:hint="eastAsia"/>
          <w:snapToGrid/>
        </w:rPr>
        <w:t>元增至11</w:t>
      </w:r>
      <w:r w:rsidR="0065325B" w:rsidRPr="0065325B">
        <w:rPr>
          <w:rFonts w:hAnsi="標楷體"/>
          <w:snapToGrid/>
        </w:rPr>
        <w:t>2</w:t>
      </w:r>
      <w:r w:rsidR="007A720C" w:rsidRPr="0065325B">
        <w:rPr>
          <w:rFonts w:hAnsi="標楷體" w:hint="eastAsia"/>
          <w:snapToGrid/>
        </w:rPr>
        <w:t>年度4</w:t>
      </w:r>
      <w:r w:rsidR="007A720C" w:rsidRPr="00E84ECC">
        <w:rPr>
          <w:rFonts w:hAnsi="標楷體" w:hint="eastAsia"/>
          <w:snapToGrid/>
        </w:rPr>
        <w:t>兆</w:t>
      </w:r>
      <w:r w:rsidR="00466B28" w:rsidRPr="00E84ECC">
        <w:rPr>
          <w:rFonts w:hAnsi="標楷體" w:hint="eastAsia"/>
          <w:snapToGrid/>
        </w:rPr>
        <w:t>8</w:t>
      </w:r>
      <w:r w:rsidR="0065325B" w:rsidRPr="00E84ECC">
        <w:rPr>
          <w:rFonts w:hAnsi="標楷體"/>
          <w:snapToGrid/>
        </w:rPr>
        <w:t>,028</w:t>
      </w:r>
      <w:r w:rsidR="0065325B" w:rsidRPr="00E84ECC">
        <w:rPr>
          <w:rFonts w:hAnsi="標楷體" w:hint="eastAsia"/>
          <w:snapToGrid/>
        </w:rPr>
        <w:t>億</w:t>
      </w:r>
      <w:r w:rsidR="007A720C" w:rsidRPr="00E84ECC">
        <w:rPr>
          <w:rFonts w:hAnsi="標楷體" w:hint="eastAsia"/>
          <w:snapToGrid/>
        </w:rPr>
        <w:t>元，增幅</w:t>
      </w:r>
      <w:r w:rsidR="0065325B" w:rsidRPr="00E84ECC">
        <w:rPr>
          <w:rFonts w:hAnsi="標楷體" w:hint="eastAsia"/>
          <w:snapToGrid/>
        </w:rPr>
        <w:t>1</w:t>
      </w:r>
      <w:r w:rsidR="0065325B" w:rsidRPr="00E84ECC">
        <w:rPr>
          <w:rFonts w:hAnsi="標楷體"/>
          <w:snapToGrid/>
        </w:rPr>
        <w:t>4</w:t>
      </w:r>
      <w:r w:rsidR="007A720C" w:rsidRPr="00E84ECC">
        <w:rPr>
          <w:rFonts w:hAnsi="標楷體" w:hint="eastAsia"/>
          <w:snapToGrid/>
        </w:rPr>
        <w:t>.</w:t>
      </w:r>
      <w:r w:rsidR="0065325B" w:rsidRPr="00E84ECC">
        <w:rPr>
          <w:rFonts w:hAnsi="標楷體"/>
          <w:snapToGrid/>
        </w:rPr>
        <w:t>7</w:t>
      </w:r>
      <w:r w:rsidR="007A720C" w:rsidRPr="00E84ECC">
        <w:rPr>
          <w:rFonts w:hAnsi="標楷體" w:hint="eastAsia"/>
          <w:snapToGrid/>
        </w:rPr>
        <w:t>6%</w:t>
      </w:r>
      <w:r w:rsidR="008061C1" w:rsidRPr="00E84ECC">
        <w:rPr>
          <w:rFonts w:hAnsi="標楷體" w:hint="eastAsia"/>
          <w:snapToGrid/>
        </w:rPr>
        <w:t>。</w:t>
      </w:r>
      <w:r w:rsidR="002933AD" w:rsidRPr="00E84ECC">
        <w:rPr>
          <w:rFonts w:hAnsi="標楷體" w:hint="eastAsia"/>
          <w:snapToGrid/>
        </w:rPr>
        <w:t>其中定期性存款決算金額由110年度2兆1,092億元增至11</w:t>
      </w:r>
      <w:r w:rsidR="0065325B" w:rsidRPr="00E84ECC">
        <w:rPr>
          <w:rFonts w:hAnsi="標楷體"/>
          <w:snapToGrid/>
        </w:rPr>
        <w:t>2</w:t>
      </w:r>
      <w:r w:rsidR="002933AD" w:rsidRPr="00E84ECC">
        <w:rPr>
          <w:rFonts w:hAnsi="標楷體" w:hint="eastAsia"/>
          <w:snapToGrid/>
        </w:rPr>
        <w:t>年度2兆6</w:t>
      </w:r>
      <w:r w:rsidR="0065325B" w:rsidRPr="00E84ECC">
        <w:rPr>
          <w:rFonts w:hAnsi="標楷體"/>
          <w:snapToGrid/>
        </w:rPr>
        <w:t>,286</w:t>
      </w:r>
      <w:r w:rsidR="0065325B" w:rsidRPr="00E84ECC">
        <w:rPr>
          <w:rFonts w:hAnsi="標楷體" w:hint="eastAsia"/>
          <w:snapToGrid/>
        </w:rPr>
        <w:t>億</w:t>
      </w:r>
      <w:r w:rsidR="002933AD" w:rsidRPr="00E84ECC">
        <w:rPr>
          <w:rFonts w:hAnsi="標楷體" w:hint="eastAsia"/>
          <w:snapToGrid/>
        </w:rPr>
        <w:t>元，增幅</w:t>
      </w:r>
      <w:r w:rsidR="0065325B" w:rsidRPr="00E84ECC">
        <w:rPr>
          <w:rFonts w:hAnsi="標楷體" w:hint="eastAsia"/>
          <w:snapToGrid/>
        </w:rPr>
        <w:t>2</w:t>
      </w:r>
      <w:r w:rsidR="0065325B" w:rsidRPr="00E84ECC">
        <w:rPr>
          <w:rFonts w:hAnsi="標楷體"/>
          <w:snapToGrid/>
        </w:rPr>
        <w:t>4</w:t>
      </w:r>
      <w:r w:rsidR="002933AD" w:rsidRPr="00E84ECC">
        <w:rPr>
          <w:rFonts w:hAnsi="標楷體" w:hint="eastAsia"/>
          <w:snapToGrid/>
        </w:rPr>
        <w:t>.</w:t>
      </w:r>
      <w:r w:rsidR="0065325B" w:rsidRPr="00E84ECC">
        <w:rPr>
          <w:rFonts w:hAnsi="標楷體"/>
          <w:snapToGrid/>
        </w:rPr>
        <w:t>63</w:t>
      </w:r>
      <w:r w:rsidR="002933AD" w:rsidRPr="00E84ECC">
        <w:rPr>
          <w:rFonts w:hAnsi="標楷體" w:hint="eastAsia"/>
          <w:snapToGrid/>
        </w:rPr>
        <w:t>%；其占存款比重由110年度之50.40%升至11</w:t>
      </w:r>
      <w:r w:rsidR="0065325B" w:rsidRPr="00E84ECC">
        <w:rPr>
          <w:rFonts w:hAnsi="標楷體"/>
          <w:snapToGrid/>
        </w:rPr>
        <w:t>2</w:t>
      </w:r>
      <w:r w:rsidR="002933AD" w:rsidRPr="00E84ECC">
        <w:rPr>
          <w:rFonts w:hAnsi="標楷體" w:hint="eastAsia"/>
          <w:snapToGrid/>
        </w:rPr>
        <w:t>年度之5</w:t>
      </w:r>
      <w:r w:rsidR="0065325B" w:rsidRPr="00E84ECC">
        <w:rPr>
          <w:rFonts w:hAnsi="標楷體"/>
          <w:snapToGrid/>
        </w:rPr>
        <w:t>4</w:t>
      </w:r>
      <w:r w:rsidR="002933AD" w:rsidRPr="00E84ECC">
        <w:rPr>
          <w:rFonts w:hAnsi="標楷體" w:hint="eastAsia"/>
          <w:snapToGrid/>
        </w:rPr>
        <w:t>.</w:t>
      </w:r>
      <w:r w:rsidR="0065325B" w:rsidRPr="00E84ECC">
        <w:rPr>
          <w:rFonts w:hAnsi="標楷體"/>
          <w:snapToGrid/>
        </w:rPr>
        <w:t>73</w:t>
      </w:r>
      <w:r w:rsidR="002933AD" w:rsidRPr="00E84ECC">
        <w:rPr>
          <w:rFonts w:hAnsi="標楷體" w:hint="eastAsia"/>
          <w:snapToGrid/>
        </w:rPr>
        <w:t>%，優化存款結構之成效</w:t>
      </w:r>
      <w:r w:rsidR="0065325B" w:rsidRPr="00E84ECC">
        <w:rPr>
          <w:rFonts w:hAnsi="標楷體" w:hint="eastAsia"/>
          <w:snapToGrid/>
        </w:rPr>
        <w:t>容待加強</w:t>
      </w:r>
      <w:r w:rsidR="002933AD" w:rsidRPr="00E84ECC">
        <w:rPr>
          <w:rFonts w:hAnsi="標楷體" w:hint="eastAsia"/>
          <w:snapToGrid/>
        </w:rPr>
        <w:t>。</w:t>
      </w:r>
      <w:r w:rsidR="008061C1" w:rsidRPr="00E84ECC">
        <w:rPr>
          <w:rFonts w:hAnsi="標楷體" w:hint="eastAsia"/>
          <w:snapToGrid/>
        </w:rPr>
        <w:t>該行說明係因中央銀行自111年3月啟動升息循環</w:t>
      </w:r>
      <w:r w:rsidR="0065325B" w:rsidRPr="00E84ECC">
        <w:rPr>
          <w:rFonts w:hAnsi="標楷體" w:hint="eastAsia"/>
          <w:snapToGrid/>
        </w:rPr>
        <w:t>，連續調高利率</w:t>
      </w:r>
      <w:r w:rsidR="008061C1" w:rsidRPr="00E84ECC">
        <w:rPr>
          <w:rFonts w:hAnsi="標楷體" w:hint="eastAsia"/>
          <w:snapToGrid/>
        </w:rPr>
        <w:t>，</w:t>
      </w:r>
      <w:r w:rsidR="0065325B" w:rsidRPr="00E84ECC">
        <w:rPr>
          <w:rFonts w:hAnsi="標楷體" w:hint="eastAsia"/>
          <w:snapToGrid/>
        </w:rPr>
        <w:t>致</w:t>
      </w:r>
      <w:r w:rsidR="008061C1" w:rsidRPr="00E84ECC">
        <w:rPr>
          <w:rFonts w:hAnsi="標楷體" w:hint="eastAsia"/>
          <w:snapToGrid/>
        </w:rPr>
        <w:t>貨幣市場利率上升，外幣存款牌告利率亦陸續調高，加劇資金流入定期性存款</w:t>
      </w:r>
      <w:r w:rsidR="004E5C73">
        <w:rPr>
          <w:rFonts w:hAnsi="標楷體" w:hint="eastAsia"/>
          <w:snapToGrid/>
        </w:rPr>
        <w:t>，致</w:t>
      </w:r>
      <w:r w:rsidR="008061C1" w:rsidRPr="00E84ECC">
        <w:rPr>
          <w:rFonts w:hAnsi="標楷體" w:hint="eastAsia"/>
          <w:snapToGrid/>
        </w:rPr>
        <w:t>比例升高。</w:t>
      </w:r>
    </w:p>
    <w:p w:rsidR="007A720C" w:rsidRPr="00E84ECC" w:rsidRDefault="00C92A4E" w:rsidP="00DC5E38">
      <w:pPr>
        <w:ind w:leftChars="300" w:left="850" w:firstLine="567"/>
        <w:rPr>
          <w:rFonts w:hAnsi="標楷體" w:hint="eastAsia"/>
          <w:snapToGrid/>
        </w:rPr>
      </w:pPr>
      <w:r w:rsidRPr="00E84ECC">
        <w:rPr>
          <w:rFonts w:hAnsi="標楷體" w:hint="eastAsia"/>
          <w:snapToGrid/>
        </w:rPr>
        <w:t>又</w:t>
      </w:r>
      <w:r w:rsidR="007A720C" w:rsidRPr="00E84ECC">
        <w:rPr>
          <w:rFonts w:hAnsi="標楷體" w:hint="eastAsia"/>
          <w:snapToGrid/>
        </w:rPr>
        <w:t>11</w:t>
      </w:r>
      <w:r w:rsidR="007B5FCE" w:rsidRPr="00E84ECC">
        <w:rPr>
          <w:rFonts w:hAnsi="標楷體"/>
          <w:snapToGrid/>
        </w:rPr>
        <w:t>4</w:t>
      </w:r>
      <w:r w:rsidR="007A720C" w:rsidRPr="00E84ECC">
        <w:rPr>
          <w:rFonts w:hAnsi="標楷體" w:hint="eastAsia"/>
          <w:snapToGrid/>
        </w:rPr>
        <w:t>年度預算案</w:t>
      </w:r>
      <w:r w:rsidRPr="00E84ECC">
        <w:rPr>
          <w:rFonts w:hAnsi="標楷體" w:hint="eastAsia"/>
          <w:snapToGrid/>
        </w:rPr>
        <w:t>營運計畫之存款業務</w:t>
      </w:r>
      <w:r w:rsidR="007A720C" w:rsidRPr="00E84ECC">
        <w:rPr>
          <w:rFonts w:hAnsi="標楷體" w:hint="eastAsia"/>
          <w:snapToGrid/>
        </w:rPr>
        <w:t>預計為4兆</w:t>
      </w:r>
      <w:r w:rsidR="007B5FCE" w:rsidRPr="00E84ECC">
        <w:rPr>
          <w:rFonts w:hAnsi="標楷體" w:hint="eastAsia"/>
          <w:snapToGrid/>
        </w:rPr>
        <w:t>5</w:t>
      </w:r>
      <w:r w:rsidR="00466B28" w:rsidRPr="00E84ECC">
        <w:rPr>
          <w:rFonts w:hAnsi="標楷體"/>
          <w:snapToGrid/>
        </w:rPr>
        <w:t>,</w:t>
      </w:r>
      <w:r w:rsidR="007B5FCE" w:rsidRPr="00E84ECC">
        <w:rPr>
          <w:rFonts w:hAnsi="標楷體"/>
          <w:snapToGrid/>
        </w:rPr>
        <w:t>632</w:t>
      </w:r>
      <w:r w:rsidR="007A720C" w:rsidRPr="00E84ECC">
        <w:rPr>
          <w:rFonts w:hAnsi="標楷體" w:hint="eastAsia"/>
          <w:snapToGrid/>
        </w:rPr>
        <w:t>億元，較11</w:t>
      </w:r>
      <w:r w:rsidR="007B5FCE" w:rsidRPr="00E84ECC">
        <w:rPr>
          <w:rFonts w:hAnsi="標楷體"/>
          <w:snapToGrid/>
        </w:rPr>
        <w:t>3</w:t>
      </w:r>
      <w:r w:rsidR="007A720C" w:rsidRPr="00E84ECC">
        <w:rPr>
          <w:rFonts w:hAnsi="標楷體" w:hint="eastAsia"/>
          <w:snapToGrid/>
        </w:rPr>
        <w:t>年度預算</w:t>
      </w:r>
      <w:r w:rsidR="007B5FCE" w:rsidRPr="00E84ECC">
        <w:rPr>
          <w:rFonts w:hAnsi="標楷體" w:hint="eastAsia"/>
          <w:snapToGrid/>
        </w:rPr>
        <w:t>增加3</w:t>
      </w:r>
      <w:r w:rsidR="007B5FCE" w:rsidRPr="00E84ECC">
        <w:rPr>
          <w:rFonts w:hAnsi="標楷體"/>
          <w:snapToGrid/>
        </w:rPr>
        <w:t>,051</w:t>
      </w:r>
      <w:r w:rsidR="007B5FCE" w:rsidRPr="00E84ECC">
        <w:rPr>
          <w:rFonts w:hAnsi="標楷體" w:hint="eastAsia"/>
          <w:snapToGrid/>
        </w:rPr>
        <w:t>億元(</w:t>
      </w:r>
      <w:r w:rsidR="007A720C" w:rsidRPr="00E84ECC">
        <w:rPr>
          <w:rFonts w:hAnsi="標楷體" w:hint="eastAsia"/>
          <w:snapToGrid/>
        </w:rPr>
        <w:t>增</w:t>
      </w:r>
      <w:r w:rsidR="00035232" w:rsidRPr="00E84ECC">
        <w:rPr>
          <w:rFonts w:hAnsi="標楷體" w:hint="eastAsia"/>
          <w:snapToGrid/>
        </w:rPr>
        <w:t>幅</w:t>
      </w:r>
      <w:r w:rsidR="007B5FCE" w:rsidRPr="00E84ECC">
        <w:rPr>
          <w:rFonts w:hAnsi="標楷體" w:hint="eastAsia"/>
          <w:snapToGrid/>
        </w:rPr>
        <w:t>7</w:t>
      </w:r>
      <w:r w:rsidR="007A720C" w:rsidRPr="00E84ECC">
        <w:rPr>
          <w:rFonts w:hAnsi="標楷體" w:hint="eastAsia"/>
          <w:snapToGrid/>
        </w:rPr>
        <w:t>.</w:t>
      </w:r>
      <w:r w:rsidR="007B5FCE" w:rsidRPr="00E84ECC">
        <w:rPr>
          <w:rFonts w:hAnsi="標楷體"/>
          <w:snapToGrid/>
        </w:rPr>
        <w:t>1</w:t>
      </w:r>
      <w:r w:rsidR="004E5C73">
        <w:rPr>
          <w:rFonts w:hAnsi="標楷體"/>
          <w:snapToGrid/>
        </w:rPr>
        <w:t>6</w:t>
      </w:r>
      <w:r w:rsidR="007A720C" w:rsidRPr="00E84ECC">
        <w:rPr>
          <w:rFonts w:hAnsi="標楷體" w:hint="eastAsia"/>
          <w:snapToGrid/>
        </w:rPr>
        <w:t>%</w:t>
      </w:r>
      <w:r w:rsidR="007B5FCE" w:rsidRPr="00E84ECC">
        <w:rPr>
          <w:rFonts w:hAnsi="標楷體"/>
          <w:snapToGrid/>
        </w:rPr>
        <w:t>)</w:t>
      </w:r>
      <w:r w:rsidR="002933AD" w:rsidRPr="00E84ECC">
        <w:rPr>
          <w:rFonts w:hAnsi="標楷體" w:hint="eastAsia"/>
          <w:snapToGrid/>
        </w:rPr>
        <w:t>，而</w:t>
      </w:r>
      <w:r w:rsidR="007A720C" w:rsidRPr="00E84ECC">
        <w:rPr>
          <w:rFonts w:hAnsi="標楷體" w:hint="eastAsia"/>
          <w:snapToGrid/>
        </w:rPr>
        <w:t>預計定期性存款比重</w:t>
      </w:r>
      <w:r w:rsidR="00466B28" w:rsidRPr="00E84ECC">
        <w:rPr>
          <w:rFonts w:hAnsi="標楷體" w:hint="eastAsia"/>
          <w:snapToGrid/>
        </w:rPr>
        <w:t>為</w:t>
      </w:r>
      <w:r w:rsidR="007A720C" w:rsidRPr="00E84ECC">
        <w:rPr>
          <w:rFonts w:hAnsi="標楷體" w:hint="eastAsia"/>
          <w:snapToGrid/>
        </w:rPr>
        <w:t>5</w:t>
      </w:r>
      <w:r w:rsidR="007B5FCE" w:rsidRPr="00E84ECC">
        <w:rPr>
          <w:rFonts w:hAnsi="標楷體"/>
          <w:snapToGrid/>
        </w:rPr>
        <w:t>6</w:t>
      </w:r>
      <w:r w:rsidR="007A720C" w:rsidRPr="00E84ECC">
        <w:rPr>
          <w:rFonts w:hAnsi="標楷體" w:hint="eastAsia"/>
          <w:snapToGrid/>
        </w:rPr>
        <w:t>.</w:t>
      </w:r>
      <w:r w:rsidR="007B5FCE" w:rsidRPr="00E84ECC">
        <w:rPr>
          <w:rFonts w:hAnsi="標楷體"/>
          <w:snapToGrid/>
        </w:rPr>
        <w:t>36</w:t>
      </w:r>
      <w:r w:rsidR="007A720C" w:rsidRPr="00E84ECC">
        <w:rPr>
          <w:rFonts w:hAnsi="標楷體" w:hint="eastAsia"/>
          <w:snapToGrid/>
        </w:rPr>
        <w:t>%，</w:t>
      </w:r>
      <w:r w:rsidR="001507CF" w:rsidRPr="00E84ECC">
        <w:rPr>
          <w:rFonts w:hAnsi="標楷體" w:hint="eastAsia"/>
          <w:snapToGrid/>
        </w:rPr>
        <w:t>相較1</w:t>
      </w:r>
      <w:r w:rsidR="007B5FCE" w:rsidRPr="00E84ECC">
        <w:rPr>
          <w:rFonts w:hAnsi="標楷體"/>
          <w:snapToGrid/>
        </w:rPr>
        <w:t>1</w:t>
      </w:r>
      <w:r w:rsidR="001507CF" w:rsidRPr="00E84ECC">
        <w:rPr>
          <w:rFonts w:hAnsi="標楷體" w:hint="eastAsia"/>
          <w:snapToGrid/>
        </w:rPr>
        <w:t>0至11</w:t>
      </w:r>
      <w:r w:rsidR="004E5C73">
        <w:rPr>
          <w:rFonts w:hAnsi="標楷體"/>
          <w:snapToGrid/>
        </w:rPr>
        <w:t>3</w:t>
      </w:r>
      <w:r w:rsidR="001507CF" w:rsidRPr="00E84ECC">
        <w:rPr>
          <w:rFonts w:hAnsi="標楷體" w:hint="eastAsia"/>
          <w:snapToGrid/>
        </w:rPr>
        <w:t>年度</w:t>
      </w:r>
      <w:r w:rsidR="004E5C73">
        <w:rPr>
          <w:rFonts w:hAnsi="標楷體" w:hint="eastAsia"/>
          <w:snapToGrid/>
        </w:rPr>
        <w:t>之</w:t>
      </w:r>
      <w:r w:rsidR="001507CF" w:rsidRPr="00E84ECC">
        <w:rPr>
          <w:rFonts w:hAnsi="標楷體" w:hint="eastAsia"/>
          <w:snapToGrid/>
        </w:rPr>
        <w:t>占</w:t>
      </w:r>
      <w:r w:rsidR="002B7527" w:rsidRPr="00E84ECC">
        <w:rPr>
          <w:rFonts w:hAnsi="標楷體" w:hint="eastAsia"/>
          <w:snapToGrid/>
        </w:rPr>
        <w:t>比</w:t>
      </w:r>
      <w:r w:rsidR="004E5C73">
        <w:rPr>
          <w:rFonts w:hAnsi="標楷體" w:hint="eastAsia"/>
          <w:snapToGrid/>
        </w:rPr>
        <w:t>，</w:t>
      </w:r>
      <w:r w:rsidR="002B7527" w:rsidRPr="00E84ECC">
        <w:rPr>
          <w:rFonts w:hAnsi="標楷體" w:hint="eastAsia"/>
          <w:snapToGrid/>
        </w:rPr>
        <w:t>仍</w:t>
      </w:r>
      <w:r w:rsidR="004E5C73">
        <w:rPr>
          <w:rFonts w:hAnsi="標楷體" w:hint="eastAsia"/>
          <w:snapToGrid/>
        </w:rPr>
        <w:t>持續攀升</w:t>
      </w:r>
      <w:r w:rsidR="002B7527" w:rsidRPr="00E84ECC">
        <w:rPr>
          <w:rFonts w:hAnsi="標楷體" w:hint="eastAsia"/>
          <w:snapToGrid/>
        </w:rPr>
        <w:t>，</w:t>
      </w:r>
      <w:r w:rsidR="007A720C" w:rsidRPr="00E84ECC">
        <w:rPr>
          <w:rFonts w:hAnsi="標楷體" w:hint="eastAsia"/>
          <w:snapToGrid/>
        </w:rPr>
        <w:t>優</w:t>
      </w:r>
      <w:r w:rsidR="00035232" w:rsidRPr="00E84ECC">
        <w:rPr>
          <w:rFonts w:hAnsi="標楷體" w:hint="eastAsia"/>
          <w:snapToGrid/>
        </w:rPr>
        <w:t>化</w:t>
      </w:r>
      <w:r w:rsidR="007A720C" w:rsidRPr="00E84ECC">
        <w:rPr>
          <w:rFonts w:hAnsi="標楷體" w:hint="eastAsia"/>
          <w:snapToGrid/>
        </w:rPr>
        <w:t>存款結構之</w:t>
      </w:r>
      <w:r w:rsidR="002B7527" w:rsidRPr="00E84ECC">
        <w:rPr>
          <w:rFonts w:hAnsi="標楷體" w:hint="eastAsia"/>
          <w:snapToGrid/>
        </w:rPr>
        <w:t>目標與</w:t>
      </w:r>
      <w:r w:rsidR="007A720C" w:rsidRPr="00E84ECC">
        <w:rPr>
          <w:rFonts w:hAnsi="標楷體" w:hint="eastAsia"/>
          <w:snapToGrid/>
        </w:rPr>
        <w:t>成效</w:t>
      </w:r>
      <w:r w:rsidR="007B5FCE" w:rsidRPr="00E84ECC">
        <w:rPr>
          <w:rFonts w:hAnsi="標楷體" w:hint="eastAsia"/>
          <w:snapToGrid/>
        </w:rPr>
        <w:t>容</w:t>
      </w:r>
      <w:r w:rsidR="007A720C" w:rsidRPr="00E84ECC">
        <w:rPr>
          <w:rFonts w:hAnsi="標楷體" w:hint="eastAsia"/>
          <w:snapToGrid/>
        </w:rPr>
        <w:t>有加強空間，允宜改善。</w:t>
      </w:r>
    </w:p>
    <w:p w:rsidR="007A720C" w:rsidRPr="00E84ECC" w:rsidRDefault="007A720C" w:rsidP="00CB1368">
      <w:pPr>
        <w:ind w:leftChars="-70" w:left="-198" w:firstLineChars="0" w:firstLine="0"/>
        <w:rPr>
          <w:rFonts w:hAnsi="標楷體"/>
          <w:b/>
          <w:snapToGrid/>
        </w:rPr>
      </w:pPr>
      <w:r w:rsidRPr="00E84ECC">
        <w:rPr>
          <w:rFonts w:hAnsi="標楷體" w:hint="eastAsia"/>
          <w:b/>
          <w:snapToGrid/>
        </w:rPr>
        <w:t xml:space="preserve">表1 </w:t>
      </w:r>
      <w:r w:rsidR="006F4C5B" w:rsidRPr="00E84ECC">
        <w:rPr>
          <w:rFonts w:hAnsi="標楷體" w:hint="eastAsia"/>
          <w:b/>
          <w:snapToGrid/>
        </w:rPr>
        <w:t>臺灣銀行</w:t>
      </w:r>
      <w:r w:rsidRPr="00E84ECC">
        <w:rPr>
          <w:rFonts w:hAnsi="標楷體" w:hint="eastAsia"/>
          <w:b/>
          <w:snapToGrid/>
        </w:rPr>
        <w:t>近年存款業務營運計畫</w:t>
      </w:r>
      <w:r w:rsidR="00035232" w:rsidRPr="00E84ECC">
        <w:rPr>
          <w:rFonts w:hAnsi="標楷體" w:hint="eastAsia"/>
          <w:b/>
          <w:snapToGrid/>
        </w:rPr>
        <w:t>情形表</w:t>
      </w:r>
      <w:r w:rsidRPr="00E84ECC">
        <w:rPr>
          <w:rFonts w:hAnsi="標楷體" w:hint="eastAsia"/>
          <w:b/>
          <w:snapToGrid/>
        </w:rPr>
        <w:t xml:space="preserve">     </w:t>
      </w:r>
      <w:r w:rsidRPr="00E84ECC">
        <w:rPr>
          <w:rFonts w:hAnsi="標楷體" w:hint="eastAsia"/>
          <w:snapToGrid/>
          <w:sz w:val="24"/>
          <w:szCs w:val="24"/>
        </w:rPr>
        <w:t xml:space="preserve">    </w:t>
      </w:r>
      <w:r w:rsidR="00677CF5" w:rsidRPr="00E84ECC">
        <w:rPr>
          <w:rFonts w:hAnsi="標楷體" w:hint="eastAsia"/>
          <w:snapToGrid/>
          <w:sz w:val="24"/>
          <w:szCs w:val="24"/>
        </w:rPr>
        <w:t>單位：新臺幣億</w:t>
      </w:r>
      <w:r w:rsidRPr="00E84ECC">
        <w:rPr>
          <w:rFonts w:hAnsi="標楷體" w:hint="eastAsia"/>
          <w:snapToGrid/>
          <w:sz w:val="24"/>
          <w:szCs w:val="24"/>
        </w:rPr>
        <w:t>元</w:t>
      </w:r>
    </w:p>
    <w:tbl>
      <w:tblPr>
        <w:tblW w:w="0" w:type="auto"/>
        <w:tblInd w:w="-121"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526"/>
        <w:gridCol w:w="1438"/>
        <w:gridCol w:w="1438"/>
        <w:gridCol w:w="1438"/>
        <w:gridCol w:w="1438"/>
        <w:gridCol w:w="1438"/>
      </w:tblGrid>
      <w:tr w:rsidR="00E84ECC" w:rsidRPr="00E84ECC" w:rsidTr="00CB1368">
        <w:tc>
          <w:tcPr>
            <w:tcW w:w="1526" w:type="dxa"/>
            <w:shd w:val="clear" w:color="auto" w:fill="auto"/>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項目</w:t>
            </w:r>
          </w:p>
        </w:tc>
        <w:tc>
          <w:tcPr>
            <w:tcW w:w="1438" w:type="dxa"/>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110年度</w:t>
            </w:r>
          </w:p>
        </w:tc>
        <w:tc>
          <w:tcPr>
            <w:tcW w:w="1438" w:type="dxa"/>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111年度</w:t>
            </w:r>
          </w:p>
        </w:tc>
        <w:tc>
          <w:tcPr>
            <w:tcW w:w="1438" w:type="dxa"/>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112年度</w:t>
            </w:r>
          </w:p>
        </w:tc>
        <w:tc>
          <w:tcPr>
            <w:tcW w:w="1438" w:type="dxa"/>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113年度</w:t>
            </w:r>
          </w:p>
        </w:tc>
        <w:tc>
          <w:tcPr>
            <w:tcW w:w="1438" w:type="dxa"/>
            <w:shd w:val="clear" w:color="auto" w:fill="auto"/>
          </w:tcPr>
          <w:p w:rsidR="00E84ECC" w:rsidRPr="00E84ECC" w:rsidRDefault="00E84ECC" w:rsidP="00E84ECC">
            <w:pPr>
              <w:pStyle w:val="200"/>
              <w:spacing w:line="320" w:lineRule="exact"/>
              <w:jc w:val="center"/>
              <w:rPr>
                <w:rFonts w:hAnsi="標楷體" w:hint="eastAsia"/>
                <w:snapToGrid/>
              </w:rPr>
            </w:pPr>
            <w:r w:rsidRPr="00E84ECC">
              <w:rPr>
                <w:rFonts w:hAnsi="標楷體" w:hint="eastAsia"/>
                <w:snapToGrid/>
              </w:rPr>
              <w:t>1</w:t>
            </w:r>
            <w:r w:rsidRPr="00E84ECC">
              <w:rPr>
                <w:rFonts w:hAnsi="標楷體"/>
                <w:snapToGrid/>
              </w:rPr>
              <w:t>14</w:t>
            </w:r>
            <w:r w:rsidRPr="00E84ECC">
              <w:rPr>
                <w:rFonts w:hAnsi="標楷體" w:hint="eastAsia"/>
                <w:snapToGrid/>
              </w:rPr>
              <w:t>年度</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snapToGrid/>
              </w:rPr>
            </w:pPr>
            <w:r w:rsidRPr="00E84ECC">
              <w:rPr>
                <w:rFonts w:hAnsi="標楷體" w:hint="eastAsia"/>
                <w:snapToGrid/>
              </w:rPr>
              <w:t>存款業務</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1</w:t>
            </w:r>
            <w:r w:rsidRPr="00E84ECC">
              <w:rPr>
                <w:rFonts w:hAnsi="標楷體" w:hint="eastAsia"/>
                <w:snapToGrid/>
              </w:rPr>
              <w:t>,</w:t>
            </w:r>
            <w:r w:rsidRPr="00E84ECC">
              <w:rPr>
                <w:rFonts w:hAnsi="標楷體"/>
                <w:snapToGrid/>
              </w:rPr>
              <w:t>852</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4,588</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8,028</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2,581</w:t>
            </w:r>
          </w:p>
        </w:tc>
        <w:tc>
          <w:tcPr>
            <w:tcW w:w="1438" w:type="dxa"/>
            <w:shd w:val="clear" w:color="auto" w:fill="auto"/>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5,632</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snapToGrid/>
              </w:rPr>
            </w:pPr>
            <w:r w:rsidRPr="00E84ECC">
              <w:rPr>
                <w:rFonts w:hAnsi="標楷體" w:hint="eastAsia"/>
                <w:snapToGrid/>
              </w:rPr>
              <w:t>活期性存款</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1</w:t>
            </w:r>
            <w:r w:rsidRPr="00E84ECC">
              <w:rPr>
                <w:rFonts w:hAnsi="標楷體"/>
                <w:snapToGrid/>
              </w:rPr>
              <w:t>7,405</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1</w:t>
            </w:r>
            <w:r w:rsidRPr="00E84ECC">
              <w:rPr>
                <w:rFonts w:hAnsi="標楷體"/>
                <w:snapToGrid/>
              </w:rPr>
              <w:t>8,258</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1</w:t>
            </w:r>
            <w:r w:rsidRPr="00E84ECC">
              <w:rPr>
                <w:rFonts w:hAnsi="標楷體"/>
                <w:snapToGrid/>
              </w:rPr>
              <w:t>7,926</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1</w:t>
            </w:r>
            <w:r w:rsidRPr="00E84ECC">
              <w:rPr>
                <w:rFonts w:hAnsi="標楷體"/>
                <w:snapToGrid/>
              </w:rPr>
              <w:t>5,993</w:t>
            </w:r>
          </w:p>
        </w:tc>
        <w:tc>
          <w:tcPr>
            <w:tcW w:w="1438" w:type="dxa"/>
            <w:shd w:val="clear" w:color="auto" w:fill="auto"/>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1</w:t>
            </w:r>
            <w:r w:rsidRPr="00E84ECC">
              <w:rPr>
                <w:rFonts w:hAnsi="標楷體"/>
                <w:snapToGrid/>
              </w:rPr>
              <w:t>6,387</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snapToGrid/>
              </w:rPr>
            </w:pPr>
            <w:r w:rsidRPr="00E84ECC">
              <w:rPr>
                <w:rFonts w:hAnsi="標楷體" w:hint="eastAsia"/>
                <w:snapToGrid/>
              </w:rPr>
              <w:t xml:space="preserve"> </w:t>
            </w:r>
            <w:r w:rsidRPr="00E84ECC">
              <w:rPr>
                <w:rFonts w:hAnsi="標楷體"/>
                <w:snapToGrid/>
              </w:rPr>
              <w:t xml:space="preserve">  </w:t>
            </w:r>
            <w:r w:rsidRPr="00E84ECC">
              <w:rPr>
                <w:rFonts w:hAnsi="標楷體" w:hint="eastAsia"/>
                <w:snapToGrid/>
              </w:rPr>
              <w:t>占比(%)</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1.59</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4</w:t>
            </w:r>
            <w:r w:rsidRPr="00E84ECC">
              <w:rPr>
                <w:rFonts w:hAnsi="標楷體"/>
                <w:snapToGrid/>
              </w:rPr>
              <w:t>0.95</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7.32</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7.56</w:t>
            </w:r>
          </w:p>
        </w:tc>
        <w:tc>
          <w:tcPr>
            <w:tcW w:w="1438" w:type="dxa"/>
            <w:shd w:val="clear" w:color="auto" w:fill="auto"/>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5.91</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b/>
                <w:snapToGrid/>
              </w:rPr>
            </w:pPr>
            <w:r w:rsidRPr="00E84ECC">
              <w:rPr>
                <w:rFonts w:hAnsi="標楷體" w:hint="eastAsia"/>
                <w:b/>
                <w:snapToGrid/>
              </w:rPr>
              <w:t>定期性存款</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2</w:t>
            </w:r>
            <w:r w:rsidRPr="00E84ECC">
              <w:rPr>
                <w:rFonts w:hAnsi="標楷體"/>
                <w:b/>
                <w:snapToGrid/>
              </w:rPr>
              <w:t>1,09</w:t>
            </w:r>
            <w:r w:rsidRPr="00E84ECC">
              <w:rPr>
                <w:rFonts w:hAnsi="標楷體" w:hint="eastAsia"/>
                <w:b/>
                <w:snapToGrid/>
              </w:rPr>
              <w:t>2</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2</w:t>
            </w:r>
            <w:r w:rsidRPr="00E84ECC">
              <w:rPr>
                <w:rFonts w:hAnsi="標楷體"/>
                <w:b/>
                <w:snapToGrid/>
              </w:rPr>
              <w:t>2,654</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2</w:t>
            </w:r>
            <w:r w:rsidRPr="00E84ECC">
              <w:rPr>
                <w:rFonts w:hAnsi="標楷體"/>
                <w:b/>
                <w:snapToGrid/>
              </w:rPr>
              <w:t>6,286</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2</w:t>
            </w:r>
            <w:r w:rsidRPr="00E84ECC">
              <w:rPr>
                <w:rFonts w:hAnsi="標楷體"/>
                <w:b/>
                <w:snapToGrid/>
              </w:rPr>
              <w:t>3,508</w:t>
            </w:r>
          </w:p>
        </w:tc>
        <w:tc>
          <w:tcPr>
            <w:tcW w:w="1438" w:type="dxa"/>
            <w:shd w:val="clear" w:color="auto" w:fill="auto"/>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2</w:t>
            </w:r>
            <w:r w:rsidRPr="00E84ECC">
              <w:rPr>
                <w:rFonts w:hAnsi="標楷體"/>
                <w:b/>
                <w:snapToGrid/>
              </w:rPr>
              <w:t>5,717</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b/>
                <w:snapToGrid/>
              </w:rPr>
            </w:pPr>
            <w:r w:rsidRPr="00E84ECC">
              <w:rPr>
                <w:rFonts w:hAnsi="標楷體" w:hint="eastAsia"/>
                <w:b/>
                <w:snapToGrid/>
              </w:rPr>
              <w:t xml:space="preserve">   占比(%)</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50.40</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5</w:t>
            </w:r>
            <w:r w:rsidRPr="00E84ECC">
              <w:rPr>
                <w:rFonts w:hAnsi="標楷體"/>
                <w:b/>
                <w:snapToGrid/>
              </w:rPr>
              <w:t>0.81</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5</w:t>
            </w:r>
            <w:r w:rsidRPr="00E84ECC">
              <w:rPr>
                <w:rFonts w:hAnsi="標楷體"/>
                <w:b/>
                <w:snapToGrid/>
              </w:rPr>
              <w:t>4</w:t>
            </w:r>
            <w:r w:rsidRPr="00E84ECC">
              <w:rPr>
                <w:rFonts w:hAnsi="標楷體" w:hint="eastAsia"/>
                <w:b/>
                <w:snapToGrid/>
              </w:rPr>
              <w:t>.</w:t>
            </w:r>
            <w:r w:rsidRPr="00E84ECC">
              <w:rPr>
                <w:rFonts w:hAnsi="標楷體"/>
                <w:b/>
                <w:snapToGrid/>
              </w:rPr>
              <w:t>73</w:t>
            </w:r>
          </w:p>
        </w:tc>
        <w:tc>
          <w:tcPr>
            <w:tcW w:w="1438" w:type="dxa"/>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5</w:t>
            </w:r>
            <w:r w:rsidRPr="00E84ECC">
              <w:rPr>
                <w:rFonts w:hAnsi="標楷體"/>
                <w:b/>
                <w:snapToGrid/>
              </w:rPr>
              <w:t>5.21</w:t>
            </w:r>
          </w:p>
        </w:tc>
        <w:tc>
          <w:tcPr>
            <w:tcW w:w="1438" w:type="dxa"/>
            <w:shd w:val="clear" w:color="auto" w:fill="auto"/>
          </w:tcPr>
          <w:p w:rsidR="00E84ECC" w:rsidRPr="00E84ECC" w:rsidRDefault="00E84ECC" w:rsidP="00E84ECC">
            <w:pPr>
              <w:pStyle w:val="200"/>
              <w:spacing w:line="320" w:lineRule="exact"/>
              <w:jc w:val="right"/>
              <w:rPr>
                <w:rFonts w:hAnsi="標楷體" w:hint="eastAsia"/>
                <w:b/>
                <w:snapToGrid/>
              </w:rPr>
            </w:pPr>
            <w:r w:rsidRPr="00E84ECC">
              <w:rPr>
                <w:rFonts w:hAnsi="標楷體" w:hint="eastAsia"/>
                <w:b/>
                <w:snapToGrid/>
              </w:rPr>
              <w:t>5</w:t>
            </w:r>
            <w:r w:rsidRPr="00E84ECC">
              <w:rPr>
                <w:rFonts w:hAnsi="標楷體"/>
                <w:b/>
                <w:snapToGrid/>
              </w:rPr>
              <w:t>6.36</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snapToGrid/>
              </w:rPr>
            </w:pPr>
            <w:r w:rsidRPr="00E84ECC">
              <w:rPr>
                <w:rFonts w:hAnsi="標楷體" w:hint="eastAsia"/>
                <w:snapToGrid/>
              </w:rPr>
              <w:t>公庫存款</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,35</w:t>
            </w:r>
            <w:r w:rsidRPr="00E84ECC">
              <w:rPr>
                <w:rFonts w:hAnsi="標楷體" w:hint="eastAsia"/>
                <w:snapToGrid/>
              </w:rPr>
              <w:t>6</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snapToGrid/>
              </w:rPr>
              <w:t>3,676</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,817</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3</w:t>
            </w:r>
            <w:r w:rsidRPr="00E84ECC">
              <w:rPr>
                <w:rFonts w:hAnsi="標楷體"/>
                <w:snapToGrid/>
              </w:rPr>
              <w:t>,080</w:t>
            </w:r>
          </w:p>
        </w:tc>
        <w:tc>
          <w:tcPr>
            <w:tcW w:w="1438" w:type="dxa"/>
            <w:shd w:val="clear" w:color="auto" w:fill="auto"/>
          </w:tcPr>
          <w:p w:rsidR="00E84ECC" w:rsidRPr="00E84ECC" w:rsidRDefault="00E84ECC" w:rsidP="00E84ECC">
            <w:pPr>
              <w:pStyle w:val="200"/>
              <w:spacing w:line="320" w:lineRule="exact"/>
              <w:jc w:val="right"/>
              <w:rPr>
                <w:rFonts w:hAnsi="標楷體" w:hint="eastAsia"/>
                <w:snapToGrid/>
              </w:rPr>
            </w:pPr>
            <w:r w:rsidRPr="00E84ECC">
              <w:rPr>
                <w:rFonts w:hAnsi="標楷體"/>
                <w:snapToGrid/>
              </w:rPr>
              <w:t>3,527</w:t>
            </w:r>
          </w:p>
        </w:tc>
      </w:tr>
      <w:tr w:rsidR="00E84ECC" w:rsidRPr="00E84ECC" w:rsidTr="00CB1368">
        <w:tc>
          <w:tcPr>
            <w:tcW w:w="1526" w:type="dxa"/>
            <w:shd w:val="clear" w:color="auto" w:fill="auto"/>
          </w:tcPr>
          <w:p w:rsidR="00E84ECC" w:rsidRPr="00E84ECC" w:rsidRDefault="00E84ECC" w:rsidP="00E84ECC">
            <w:pPr>
              <w:pStyle w:val="200"/>
              <w:spacing w:line="320" w:lineRule="exact"/>
              <w:rPr>
                <w:rFonts w:hAnsi="標楷體" w:hint="eastAsia"/>
                <w:snapToGrid/>
              </w:rPr>
            </w:pPr>
            <w:r w:rsidRPr="00E84ECC">
              <w:rPr>
                <w:rFonts w:hAnsi="標楷體" w:hint="eastAsia"/>
                <w:snapToGrid/>
              </w:rPr>
              <w:lastRenderedPageBreak/>
              <w:t xml:space="preserve">  占比(%)</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8</w:t>
            </w:r>
            <w:r w:rsidRPr="00E84ECC">
              <w:rPr>
                <w:rFonts w:hAnsi="標楷體"/>
                <w:snapToGrid/>
              </w:rPr>
              <w:t>.02</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8</w:t>
            </w:r>
            <w:r w:rsidRPr="00E84ECC">
              <w:rPr>
                <w:rFonts w:hAnsi="標楷體"/>
                <w:snapToGrid/>
              </w:rPr>
              <w:t>.24</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7</w:t>
            </w:r>
            <w:r w:rsidRPr="00E84ECC">
              <w:rPr>
                <w:rFonts w:hAnsi="標楷體"/>
                <w:snapToGrid/>
              </w:rPr>
              <w:t>.95</w:t>
            </w:r>
          </w:p>
        </w:tc>
        <w:tc>
          <w:tcPr>
            <w:tcW w:w="1438" w:type="dxa"/>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7</w:t>
            </w:r>
            <w:r w:rsidRPr="00E84ECC">
              <w:rPr>
                <w:rFonts w:hAnsi="標楷體"/>
                <w:snapToGrid/>
              </w:rPr>
              <w:t>.23</w:t>
            </w:r>
          </w:p>
        </w:tc>
        <w:tc>
          <w:tcPr>
            <w:tcW w:w="1438" w:type="dxa"/>
            <w:shd w:val="clear" w:color="auto" w:fill="auto"/>
          </w:tcPr>
          <w:p w:rsidR="00E84ECC" w:rsidRPr="00E84ECC" w:rsidRDefault="00E84ECC" w:rsidP="00E84ECC">
            <w:pPr>
              <w:pStyle w:val="200"/>
              <w:spacing w:line="320" w:lineRule="exact"/>
              <w:jc w:val="right"/>
              <w:rPr>
                <w:rFonts w:hAnsi="標楷體" w:hint="eastAsia"/>
                <w:snapToGrid/>
              </w:rPr>
            </w:pPr>
            <w:r w:rsidRPr="00E84ECC">
              <w:rPr>
                <w:rFonts w:hAnsi="標楷體" w:hint="eastAsia"/>
                <w:snapToGrid/>
              </w:rPr>
              <w:t>7</w:t>
            </w:r>
            <w:r w:rsidRPr="00E84ECC">
              <w:rPr>
                <w:rFonts w:hAnsi="標楷體"/>
                <w:snapToGrid/>
              </w:rPr>
              <w:t>.73</w:t>
            </w:r>
          </w:p>
        </w:tc>
      </w:tr>
    </w:tbl>
    <w:p w:rsidR="007A720C" w:rsidRPr="00E84ECC" w:rsidRDefault="007A720C" w:rsidP="00CB1368">
      <w:pPr>
        <w:pStyle w:val="143"/>
        <w:ind w:leftChars="-70" w:left="-198"/>
        <w:rPr>
          <w:rFonts w:hAnsi="標楷體"/>
          <w:snapToGrid/>
        </w:rPr>
      </w:pPr>
      <w:r w:rsidRPr="00E84ECC">
        <w:rPr>
          <w:rFonts w:hAnsi="標楷體" w:hint="eastAsia"/>
          <w:snapToGrid/>
        </w:rPr>
        <w:t>說    明：1</w:t>
      </w:r>
      <w:r w:rsidR="00E84ECC" w:rsidRPr="00E84ECC">
        <w:rPr>
          <w:rFonts w:hAnsi="標楷體"/>
          <w:snapToGrid/>
        </w:rPr>
        <w:t>1</w:t>
      </w:r>
      <w:r w:rsidRPr="00E84ECC">
        <w:rPr>
          <w:rFonts w:hAnsi="標楷體" w:hint="eastAsia"/>
          <w:snapToGrid/>
        </w:rPr>
        <w:t>0</w:t>
      </w:r>
      <w:r w:rsidR="003B12F8" w:rsidRPr="00E84ECC">
        <w:rPr>
          <w:rFonts w:hAnsi="標楷體" w:hint="eastAsia"/>
          <w:snapToGrid/>
        </w:rPr>
        <w:t>至</w:t>
      </w:r>
      <w:r w:rsidRPr="00E84ECC">
        <w:rPr>
          <w:rFonts w:hAnsi="標楷體" w:hint="eastAsia"/>
          <w:snapToGrid/>
        </w:rPr>
        <w:t>11</w:t>
      </w:r>
      <w:r w:rsidR="00E84ECC" w:rsidRPr="00E84ECC">
        <w:rPr>
          <w:rFonts w:hAnsi="標楷體"/>
          <w:snapToGrid/>
        </w:rPr>
        <w:t>2</w:t>
      </w:r>
      <w:r w:rsidRPr="00E84ECC">
        <w:rPr>
          <w:rFonts w:hAnsi="標楷體" w:hint="eastAsia"/>
          <w:snapToGrid/>
        </w:rPr>
        <w:t>年度為決算數，11</w:t>
      </w:r>
      <w:r w:rsidR="00E84ECC" w:rsidRPr="00E84ECC">
        <w:rPr>
          <w:rFonts w:hAnsi="標楷體"/>
          <w:snapToGrid/>
        </w:rPr>
        <w:t>3</w:t>
      </w:r>
      <w:r w:rsidR="00E84ECC" w:rsidRPr="00E84ECC">
        <w:rPr>
          <w:rFonts w:hAnsi="標楷體" w:hint="eastAsia"/>
          <w:snapToGrid/>
        </w:rPr>
        <w:t>及</w:t>
      </w:r>
      <w:r w:rsidRPr="00E84ECC">
        <w:rPr>
          <w:rFonts w:hAnsi="標楷體" w:hint="eastAsia"/>
          <w:snapToGrid/>
        </w:rPr>
        <w:t>11</w:t>
      </w:r>
      <w:r w:rsidR="00E84ECC" w:rsidRPr="00E84ECC">
        <w:rPr>
          <w:rFonts w:hAnsi="標楷體"/>
          <w:snapToGrid/>
        </w:rPr>
        <w:t>4</w:t>
      </w:r>
      <w:r w:rsidRPr="00E84ECC">
        <w:rPr>
          <w:rFonts w:hAnsi="標楷體" w:hint="eastAsia"/>
          <w:snapToGrid/>
        </w:rPr>
        <w:t>年度為預算案數。</w:t>
      </w:r>
    </w:p>
    <w:p w:rsidR="007A720C" w:rsidRPr="00E84ECC" w:rsidRDefault="007A720C" w:rsidP="00CB1368">
      <w:pPr>
        <w:pStyle w:val="143"/>
        <w:ind w:leftChars="-70" w:left="-198"/>
        <w:rPr>
          <w:rFonts w:hAnsi="標楷體" w:hint="eastAsia"/>
          <w:snapToGrid/>
        </w:rPr>
      </w:pPr>
      <w:r w:rsidRPr="00E84ECC">
        <w:rPr>
          <w:rFonts w:hAnsi="標楷體" w:hint="eastAsia"/>
          <w:snapToGrid/>
        </w:rPr>
        <w:t>資料來源：</w:t>
      </w:r>
      <w:r w:rsidR="006F4C5B" w:rsidRPr="00E84ECC">
        <w:rPr>
          <w:rFonts w:hAnsi="標楷體" w:hint="eastAsia"/>
          <w:snapToGrid/>
        </w:rPr>
        <w:t>臺灣銀行</w:t>
      </w:r>
      <w:r w:rsidRPr="00E84ECC">
        <w:rPr>
          <w:rFonts w:hAnsi="標楷體" w:hint="eastAsia"/>
          <w:snapToGrid/>
        </w:rPr>
        <w:t>各年度預、決算書。</w:t>
      </w:r>
    </w:p>
    <w:p w:rsidR="008A377C" w:rsidRDefault="007A720C" w:rsidP="00BC7E6C">
      <w:pPr>
        <w:ind w:left="567" w:firstLine="567"/>
        <w:rPr>
          <w:rFonts w:hAnsi="標楷體"/>
          <w:snapToGrid/>
        </w:rPr>
      </w:pPr>
      <w:r w:rsidRPr="007B084C">
        <w:rPr>
          <w:rFonts w:hAnsi="標楷體" w:hint="eastAsia"/>
          <w:snapToGrid/>
        </w:rPr>
        <w:t>綜上，</w:t>
      </w:r>
      <w:r w:rsidR="006F4C5B" w:rsidRPr="007B084C">
        <w:rPr>
          <w:rFonts w:hAnsi="標楷體" w:hint="eastAsia"/>
          <w:snapToGrid/>
        </w:rPr>
        <w:t>臺灣銀行</w:t>
      </w:r>
      <w:r w:rsidR="00CD7320">
        <w:rPr>
          <w:rFonts w:hAnsi="標楷體" w:hint="eastAsia"/>
          <w:snapToGrid/>
        </w:rPr>
        <w:t>為</w:t>
      </w:r>
      <w:r w:rsidR="00E868F1" w:rsidRPr="007B084C">
        <w:rPr>
          <w:rFonts w:hAnsi="標楷體" w:hint="eastAsia"/>
          <w:snapToGrid/>
        </w:rPr>
        <w:t>持續</w:t>
      </w:r>
      <w:r w:rsidRPr="007B084C">
        <w:rPr>
          <w:rFonts w:hAnsi="標楷體" w:hint="eastAsia"/>
          <w:snapToGrid/>
        </w:rPr>
        <w:t>優化存款結構，降低資金成本，逐步調整</w:t>
      </w:r>
      <w:r w:rsidR="00CB1368">
        <w:rPr>
          <w:rFonts w:hAnsi="標楷體" w:hint="eastAsia"/>
          <w:snapToGrid/>
        </w:rPr>
        <w:t>其</w:t>
      </w:r>
      <w:r w:rsidR="00CD7320" w:rsidRPr="007B084C">
        <w:rPr>
          <w:rFonts w:hAnsi="標楷體" w:hint="eastAsia"/>
          <w:snapToGrid/>
        </w:rPr>
        <w:t>營運項目</w:t>
      </w:r>
      <w:r w:rsidR="00CD7320">
        <w:rPr>
          <w:rFonts w:hAnsi="標楷體" w:hint="eastAsia"/>
          <w:snapToGrid/>
        </w:rPr>
        <w:t>之</w:t>
      </w:r>
      <w:r w:rsidRPr="007B084C">
        <w:rPr>
          <w:rFonts w:hAnsi="標楷體" w:hint="eastAsia"/>
          <w:snapToGrid/>
        </w:rPr>
        <w:t>定期存款比重</w:t>
      </w:r>
      <w:r w:rsidR="00E868F1" w:rsidRPr="007B084C">
        <w:rPr>
          <w:rFonts w:hAnsi="標楷體" w:hint="eastAsia"/>
          <w:snapToGrid/>
        </w:rPr>
        <w:t>。</w:t>
      </w:r>
      <w:r w:rsidR="00CD7320">
        <w:rPr>
          <w:rFonts w:hAnsi="標楷體" w:hint="eastAsia"/>
          <w:snapToGrid/>
        </w:rPr>
        <w:t>惟</w:t>
      </w:r>
      <w:r w:rsidR="00CD7320" w:rsidRPr="00CD7320">
        <w:rPr>
          <w:rFonts w:hAnsi="標楷體" w:hint="eastAsia"/>
          <w:snapToGrid/>
        </w:rPr>
        <w:t>110至112年度定期性存款金額及占比呈增加趨勢，且預計114年度占比持續攀升至56.36%</w:t>
      </w:r>
      <w:r w:rsidRPr="007B084C">
        <w:rPr>
          <w:rFonts w:hAnsi="標楷體" w:hint="eastAsia"/>
          <w:snapToGrid/>
        </w:rPr>
        <w:t>，允宜</w:t>
      </w:r>
      <w:r w:rsidR="007B084C" w:rsidRPr="007B084C">
        <w:rPr>
          <w:rFonts w:hAnsi="標楷體" w:hint="eastAsia"/>
          <w:snapToGrid/>
        </w:rPr>
        <w:t>研謀</w:t>
      </w:r>
      <w:r w:rsidRPr="007B084C">
        <w:rPr>
          <w:rFonts w:hAnsi="標楷體" w:hint="eastAsia"/>
          <w:snapToGrid/>
        </w:rPr>
        <w:t>調整</w:t>
      </w:r>
      <w:r w:rsidR="00035232" w:rsidRPr="007B084C">
        <w:rPr>
          <w:rFonts w:hAnsi="標楷體" w:hint="eastAsia"/>
          <w:snapToGrid/>
        </w:rPr>
        <w:t>並</w:t>
      </w:r>
      <w:r w:rsidRPr="007B084C">
        <w:rPr>
          <w:rFonts w:hAnsi="標楷體" w:hint="eastAsia"/>
          <w:snapToGrid/>
        </w:rPr>
        <w:t>強化相關存款業務拓展，俾達</w:t>
      </w:r>
      <w:r w:rsidR="00035232" w:rsidRPr="007B084C">
        <w:rPr>
          <w:rFonts w:hAnsi="標楷體" w:hint="eastAsia"/>
          <w:snapToGrid/>
        </w:rPr>
        <w:t>降</w:t>
      </w:r>
      <w:r w:rsidRPr="007B084C">
        <w:rPr>
          <w:rFonts w:hAnsi="標楷體" w:hint="eastAsia"/>
          <w:snapToGrid/>
        </w:rPr>
        <w:t>低資金成本之效益</w:t>
      </w:r>
      <w:r w:rsidR="001B10F3">
        <w:rPr>
          <w:rFonts w:hAnsi="標楷體" w:hint="eastAsia"/>
          <w:snapToGrid/>
        </w:rPr>
        <w:t>，並切合經營趨勢</w:t>
      </w:r>
      <w:r w:rsidRPr="007B084C">
        <w:rPr>
          <w:rFonts w:hAnsi="標楷體" w:hint="eastAsia"/>
          <w:snapToGrid/>
        </w:rPr>
        <w:t>。</w:t>
      </w:r>
    </w:p>
    <w:bookmarkEnd w:id="10"/>
    <w:bookmarkEnd w:id="0"/>
    <w:bookmarkEnd w:id="1"/>
    <w:bookmarkEnd w:id="2"/>
    <w:bookmarkEnd w:id="3"/>
    <w:bookmarkEnd w:id="4"/>
    <w:bookmarkEnd w:id="5"/>
    <w:bookmarkEnd w:id="6"/>
    <w:bookmarkEnd w:id="7"/>
    <w:bookmarkEnd w:id="8"/>
    <w:sectPr w:rsidR="008A377C"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4A16AF" w:rsidRPr="004A16AF">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6AF"/>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53F6FE38-C948-490C-B33E-0C84B328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DAA3F-BAB5-4C92-BB5E-84054A08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277</Words>
  <Characters>1579</Characters>
  <Application>Microsoft Office Word</Application>
  <DocSecurity>0</DocSecurity>
  <Lines>13</Lines>
  <Paragraphs>3</Paragraphs>
  <ScaleCrop>false</ScaleCrop>
  <Company/>
  <LinksUpToDate>false</LinksUpToDate>
  <CharactersWithSpaces>1853</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