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4704B3" w:rsidRPr="00C80D61" w:rsidRDefault="00C80D61" w:rsidP="00C80D61">
      <w:pPr>
        <w:pStyle w:val="14"/>
        <w:ind w:left="567" w:hanging="567"/>
      </w:pPr>
      <w:bookmarkStart w:id="1" w:name="_Toc524945231"/>
      <w:bookmarkStart w:id="2" w:name="_Toc525456766"/>
      <w:bookmarkStart w:id="3" w:name="_Toc525660536"/>
      <w:bookmarkStart w:id="4" w:name="_Toc181892117"/>
      <w:r>
        <w:rPr>
          <w:rFonts w:hint="eastAsia"/>
        </w:rPr>
        <w:t>一</w:t>
      </w:r>
      <w:r w:rsidR="00240E7B" w:rsidRPr="00C80D61">
        <w:rPr>
          <w:rFonts w:hint="eastAsia"/>
        </w:rPr>
        <w:t>、</w:t>
      </w:r>
      <w:r w:rsidR="008C5277" w:rsidRPr="00C80D61">
        <w:rPr>
          <w:rFonts w:hint="eastAsia"/>
        </w:rPr>
        <w:t>近年</w:t>
      </w:r>
      <w:r w:rsidR="00974BBA">
        <w:rPr>
          <w:rFonts w:hint="eastAsia"/>
        </w:rPr>
        <w:t>原屬</w:t>
      </w:r>
      <w:r w:rsidR="00023AEA">
        <w:rPr>
          <w:rFonts w:hint="eastAsia"/>
        </w:rPr>
        <w:t>社福</w:t>
      </w:r>
      <w:r w:rsidR="00974BBA">
        <w:rPr>
          <w:rFonts w:hint="eastAsia"/>
        </w:rPr>
        <w:t>基金最大來源之</w:t>
      </w:r>
      <w:r w:rsidR="00BD7E4A">
        <w:rPr>
          <w:rFonts w:hint="eastAsia"/>
        </w:rPr>
        <w:t>菸品健康福利捐分配收入</w:t>
      </w:r>
      <w:r w:rsidR="005D43C5">
        <w:rPr>
          <w:rFonts w:hint="eastAsia"/>
        </w:rPr>
        <w:t>金額銳減且</w:t>
      </w:r>
      <w:r w:rsidR="001623D3">
        <w:rPr>
          <w:rFonts w:hint="eastAsia"/>
        </w:rPr>
        <w:t>占比</w:t>
      </w:r>
      <w:r w:rsidR="004638E3">
        <w:rPr>
          <w:rFonts w:hint="eastAsia"/>
        </w:rPr>
        <w:t>已</w:t>
      </w:r>
      <w:r w:rsidR="005D43C5">
        <w:rPr>
          <w:rFonts w:hint="eastAsia"/>
        </w:rPr>
        <w:t>降</w:t>
      </w:r>
      <w:r w:rsidR="004638E3">
        <w:rPr>
          <w:rFonts w:hint="eastAsia"/>
        </w:rPr>
        <w:t>至約4成</w:t>
      </w:r>
      <w:r w:rsidR="004638E3">
        <w:rPr>
          <w:rFonts w:hAnsi="標楷體" w:hint="eastAsia"/>
        </w:rPr>
        <w:t>，</w:t>
      </w:r>
      <w:r w:rsidR="005D43C5">
        <w:rPr>
          <w:rFonts w:hAnsi="標楷體" w:hint="eastAsia"/>
        </w:rPr>
        <w:t>鑒於基金收支比率呈下滑趨勢，</w:t>
      </w:r>
      <w:r w:rsidR="00BD7E4A">
        <w:rPr>
          <w:rFonts w:hAnsi="標楷體" w:hint="eastAsia"/>
        </w:rPr>
        <w:t>允宜</w:t>
      </w:r>
      <w:r w:rsidR="005D43C5">
        <w:rPr>
          <w:rFonts w:hAnsi="標楷體" w:hint="eastAsia"/>
        </w:rPr>
        <w:t>妥為開源節流</w:t>
      </w:r>
      <w:r w:rsidR="00BD7E4A">
        <w:rPr>
          <w:rFonts w:hAnsi="標楷體" w:hint="eastAsia"/>
        </w:rPr>
        <w:t>，</w:t>
      </w:r>
      <w:r w:rsidR="004638E3">
        <w:rPr>
          <w:rFonts w:hAnsi="標楷體" w:hint="eastAsia"/>
        </w:rPr>
        <w:t>俾減輕公庫撥補負擔</w:t>
      </w:r>
      <w:bookmarkEnd w:id="4"/>
    </w:p>
    <w:p w:rsidR="004704B3" w:rsidRDefault="004704B3" w:rsidP="004704B3">
      <w:pPr>
        <w:adjustRightInd w:val="0"/>
        <w:ind w:leftChars="199" w:left="564" w:firstLine="566"/>
        <w:rPr>
          <w:rFonts w:ascii="新細明體" w:eastAsia="新細明體" w:hAnsi="新細明體"/>
          <w:lang w:eastAsia="zh-HK"/>
        </w:rPr>
      </w:pPr>
      <w:r w:rsidRPr="004704B3">
        <w:rPr>
          <w:rFonts w:hint="eastAsia"/>
        </w:rPr>
        <w:t>社福基金</w:t>
      </w:r>
      <w:r w:rsidRPr="004704B3">
        <w:rPr>
          <w:rFonts w:hint="eastAsia"/>
          <w:lang w:eastAsia="zh-HK"/>
        </w:rPr>
        <w:t>11</w:t>
      </w:r>
      <w:r w:rsidR="007425E7">
        <w:rPr>
          <w:rFonts w:hint="eastAsia"/>
        </w:rPr>
        <w:t>4</w:t>
      </w:r>
      <w:r w:rsidRPr="004704B3">
        <w:rPr>
          <w:rFonts w:hint="eastAsia"/>
          <w:lang w:eastAsia="zh-HK"/>
        </w:rPr>
        <w:t>年度預算案</w:t>
      </w:r>
      <w:r w:rsidR="007425E7">
        <w:rPr>
          <w:rFonts w:hint="eastAsia"/>
        </w:rPr>
        <w:t>之基金來源合計編列</w:t>
      </w:r>
      <w:r w:rsidR="0012048C">
        <w:rPr>
          <w:rFonts w:hint="eastAsia"/>
        </w:rPr>
        <w:t>35億3</w:t>
      </w:r>
      <w:r w:rsidR="0012048C">
        <w:t>,</w:t>
      </w:r>
      <w:r w:rsidR="0012048C">
        <w:rPr>
          <w:rFonts w:hint="eastAsia"/>
        </w:rPr>
        <w:t>641萬5千元</w:t>
      </w:r>
      <w:r w:rsidR="0012048C">
        <w:rPr>
          <w:rFonts w:hAnsi="標楷體" w:hint="eastAsia"/>
        </w:rPr>
        <w:t>，</w:t>
      </w:r>
      <w:r w:rsidR="000B3399">
        <w:rPr>
          <w:rFonts w:hAnsi="標楷體" w:hint="eastAsia"/>
        </w:rPr>
        <w:t>用以支應該基金推動年度各項業務計畫之所需，</w:t>
      </w:r>
      <w:r w:rsidR="00AB4509">
        <w:rPr>
          <w:rFonts w:hAnsi="標楷體" w:hint="eastAsia"/>
        </w:rPr>
        <w:t>其中源自菸品健康福利捐</w:t>
      </w:r>
      <w:r w:rsidR="007D5283">
        <w:rPr>
          <w:rFonts w:hAnsi="標楷體" w:hint="eastAsia"/>
        </w:rPr>
        <w:t>(以下簡稱菸捐)</w:t>
      </w:r>
      <w:r w:rsidR="00AB4509">
        <w:rPr>
          <w:rFonts w:hAnsi="標楷體" w:hint="eastAsia"/>
        </w:rPr>
        <w:t>分配收入13億4</w:t>
      </w:r>
      <w:r w:rsidR="00AB4509">
        <w:rPr>
          <w:rFonts w:hAnsi="標楷體"/>
        </w:rPr>
        <w:t>,</w:t>
      </w:r>
      <w:r w:rsidR="00AB4509">
        <w:rPr>
          <w:rFonts w:hAnsi="標楷體" w:hint="eastAsia"/>
        </w:rPr>
        <w:t>575萬元，較113年度增列4</w:t>
      </w:r>
      <w:r w:rsidR="00AB4509">
        <w:rPr>
          <w:rFonts w:hAnsi="標楷體"/>
        </w:rPr>
        <w:t>,</w:t>
      </w:r>
      <w:r w:rsidR="00AB4509">
        <w:rPr>
          <w:rFonts w:hAnsi="標楷體" w:hint="eastAsia"/>
        </w:rPr>
        <w:t>575萬元</w:t>
      </w:r>
      <w:r w:rsidR="002A7517">
        <w:rPr>
          <w:rFonts w:hAnsi="標楷體" w:hint="eastAsia"/>
        </w:rPr>
        <w:t>，係</w:t>
      </w:r>
      <w:r w:rsidR="000B3399">
        <w:rPr>
          <w:rFonts w:hAnsi="標楷體" w:hint="eastAsia"/>
        </w:rPr>
        <w:t>因</w:t>
      </w:r>
      <w:r w:rsidR="00A712CB">
        <w:rPr>
          <w:rFonts w:hAnsi="標楷體" w:hint="eastAsia"/>
        </w:rPr>
        <w:t>預估菸捐可課徵額度增加</w:t>
      </w:r>
      <w:r w:rsidR="00CE2749">
        <w:rPr>
          <w:rStyle w:val="af2"/>
          <w:rFonts w:hAnsi="標楷體"/>
        </w:rPr>
        <w:footnoteReference w:id="1"/>
      </w:r>
      <w:r w:rsidR="00A712CB">
        <w:rPr>
          <w:rFonts w:hAnsi="標楷體" w:hint="eastAsia"/>
        </w:rPr>
        <w:t>；</w:t>
      </w:r>
      <w:r w:rsidR="00AB4509">
        <w:rPr>
          <w:rFonts w:hAnsi="標楷體" w:hint="eastAsia"/>
        </w:rPr>
        <w:t>源自公庫撥款收入</w:t>
      </w:r>
      <w:r w:rsidR="002E560C">
        <w:rPr>
          <w:rFonts w:hAnsi="標楷體" w:hint="eastAsia"/>
        </w:rPr>
        <w:t>1億4</w:t>
      </w:r>
      <w:r w:rsidR="002E560C">
        <w:rPr>
          <w:rFonts w:hAnsi="標楷體"/>
        </w:rPr>
        <w:t>,</w:t>
      </w:r>
      <w:r w:rsidR="002E560C">
        <w:rPr>
          <w:rFonts w:hAnsi="標楷體" w:hint="eastAsia"/>
        </w:rPr>
        <w:t>383萬9千元</w:t>
      </w:r>
      <w:r w:rsidR="002A7517">
        <w:rPr>
          <w:rFonts w:hAnsi="標楷體" w:hint="eastAsia"/>
        </w:rPr>
        <w:t>則較113年度增列693萬2千元，主要係</w:t>
      </w:r>
      <w:r w:rsidR="000B3399">
        <w:rPr>
          <w:rFonts w:hAnsi="標楷體" w:hint="eastAsia"/>
        </w:rPr>
        <w:t>因</w:t>
      </w:r>
      <w:r w:rsidR="002A7517">
        <w:rPr>
          <w:rFonts w:hAnsi="標楷體" w:hint="eastAsia"/>
        </w:rPr>
        <w:t>前瞻基礎建設計畫</w:t>
      </w:r>
      <w:r w:rsidR="000B3399">
        <w:rPr>
          <w:rFonts w:hAnsi="標楷體" w:hint="eastAsia"/>
        </w:rPr>
        <w:t>特別預算公庫撥補挹注收入增加</w:t>
      </w:r>
      <w:r w:rsidR="008F2927">
        <w:rPr>
          <w:rStyle w:val="af2"/>
          <w:rFonts w:hAnsi="標楷體"/>
        </w:rPr>
        <w:footnoteReference w:id="2"/>
      </w:r>
      <w:r w:rsidR="00CB144A">
        <w:rPr>
          <w:rFonts w:hAnsi="標楷體" w:hint="eastAsia"/>
        </w:rPr>
        <w:t>。近年</w:t>
      </w:r>
      <w:r w:rsidR="00A712CB">
        <w:rPr>
          <w:rFonts w:hAnsi="標楷體" w:hint="eastAsia"/>
        </w:rPr>
        <w:t>原屬</w:t>
      </w:r>
      <w:r w:rsidR="00023AEA">
        <w:rPr>
          <w:rFonts w:hAnsi="標楷體" w:hint="eastAsia"/>
        </w:rPr>
        <w:t>社福</w:t>
      </w:r>
      <w:r w:rsidR="00BD7E4A">
        <w:rPr>
          <w:rFonts w:hAnsi="標楷體" w:hint="eastAsia"/>
        </w:rPr>
        <w:t>基金</w:t>
      </w:r>
      <w:r w:rsidR="00A712CB">
        <w:rPr>
          <w:rFonts w:hAnsi="標楷體" w:hint="eastAsia"/>
        </w:rPr>
        <w:t>最大</w:t>
      </w:r>
      <w:r w:rsidR="00CB144A">
        <w:rPr>
          <w:rFonts w:hAnsi="標楷體" w:hint="eastAsia"/>
        </w:rPr>
        <w:t>來源項目之</w:t>
      </w:r>
      <w:r w:rsidR="00BD7E4A" w:rsidRPr="00BD7E4A">
        <w:rPr>
          <w:rFonts w:hAnsi="標楷體" w:hint="eastAsia"/>
        </w:rPr>
        <w:t>菸捐分配收入</w:t>
      </w:r>
      <w:r w:rsidR="00BD7E4A">
        <w:rPr>
          <w:rFonts w:hAnsi="標楷體" w:hint="eastAsia"/>
        </w:rPr>
        <w:t>金額</w:t>
      </w:r>
      <w:r w:rsidR="00A712CB">
        <w:rPr>
          <w:rFonts w:hAnsi="標楷體" w:hint="eastAsia"/>
        </w:rPr>
        <w:t>明顯下滑之情形</w:t>
      </w:r>
      <w:r w:rsidR="00CB144A">
        <w:rPr>
          <w:rFonts w:hAnsi="標楷體" w:hint="eastAsia"/>
        </w:rPr>
        <w:t>，謹敘明如次</w:t>
      </w:r>
      <w:r w:rsidR="001623D3">
        <w:rPr>
          <w:rFonts w:ascii="新細明體" w:eastAsia="新細明體" w:hAnsi="新細明體" w:hint="eastAsia"/>
          <w:lang w:eastAsia="zh-HK"/>
        </w:rPr>
        <w:t>：</w:t>
      </w:r>
    </w:p>
    <w:p w:rsidR="002D7CB4" w:rsidRPr="00EA4373" w:rsidRDefault="002D7CB4" w:rsidP="002D7CB4">
      <w:pPr>
        <w:ind w:left="849" w:hangingChars="100" w:hanging="283"/>
        <w:rPr>
          <w:b/>
        </w:rPr>
      </w:pPr>
      <w:r w:rsidRPr="00EA4373">
        <w:rPr>
          <w:rFonts w:hint="eastAsia"/>
          <w:b/>
        </w:rPr>
        <w:t>(一)</w:t>
      </w:r>
      <w:r>
        <w:rPr>
          <w:rFonts w:hint="eastAsia"/>
          <w:b/>
        </w:rPr>
        <w:t>近年</w:t>
      </w:r>
      <w:r w:rsidR="00023AEA">
        <w:rPr>
          <w:rFonts w:hint="eastAsia"/>
          <w:b/>
        </w:rPr>
        <w:t>社福</w:t>
      </w:r>
      <w:r>
        <w:rPr>
          <w:rFonts w:hint="eastAsia"/>
          <w:b/>
        </w:rPr>
        <w:t>基金</w:t>
      </w:r>
      <w:r w:rsidR="00023AEA">
        <w:rPr>
          <w:rFonts w:hint="eastAsia"/>
          <w:b/>
        </w:rPr>
        <w:t>主要</w:t>
      </w:r>
      <w:r>
        <w:rPr>
          <w:rFonts w:hint="eastAsia"/>
          <w:b/>
        </w:rPr>
        <w:t>來源之一之菸捐分配收入金額與占比均呈下滑趨勢</w:t>
      </w:r>
      <w:r w:rsidR="0052585C">
        <w:rPr>
          <w:rFonts w:hAnsi="標楷體" w:hint="eastAsia"/>
          <w:b/>
        </w:rPr>
        <w:t>，</w:t>
      </w:r>
      <w:r w:rsidR="0052585C">
        <w:rPr>
          <w:rFonts w:hint="eastAsia"/>
          <w:b/>
        </w:rPr>
        <w:t>114年度預估13億餘元</w:t>
      </w:r>
      <w:r w:rsidR="0052585C">
        <w:rPr>
          <w:rFonts w:hAnsi="標楷體" w:hint="eastAsia"/>
          <w:b/>
        </w:rPr>
        <w:t>，</w:t>
      </w:r>
      <w:r w:rsidR="0052585C">
        <w:rPr>
          <w:rFonts w:hint="eastAsia"/>
          <w:b/>
        </w:rPr>
        <w:t>占比近4成</w:t>
      </w:r>
    </w:p>
    <w:p w:rsidR="008C1A7B" w:rsidRDefault="00691B4A" w:rsidP="002D7CB4">
      <w:pPr>
        <w:adjustRightInd w:val="0"/>
        <w:ind w:leftChars="300" w:left="850" w:firstLine="566"/>
      </w:pPr>
      <w:r>
        <w:rPr>
          <w:rFonts w:hint="eastAsia"/>
        </w:rPr>
        <w:t>按社福基金依預算法</w:t>
      </w:r>
      <w:r w:rsidRPr="00691B4A">
        <w:rPr>
          <w:rFonts w:hint="eastAsia"/>
        </w:rPr>
        <w:t>第4條第1項第2款第5目規定</w:t>
      </w:r>
      <w:r>
        <w:rPr>
          <w:rFonts w:hAnsi="標楷體" w:hint="eastAsia"/>
        </w:rPr>
        <w:t>，</w:t>
      </w:r>
      <w:r>
        <w:rPr>
          <w:rFonts w:hint="eastAsia"/>
        </w:rPr>
        <w:t>係屬</w:t>
      </w:r>
      <w:r w:rsidRPr="00691B4A">
        <w:rPr>
          <w:rFonts w:hint="eastAsia"/>
        </w:rPr>
        <w:t>有特定收入來源而供特殊用途</w:t>
      </w:r>
      <w:r>
        <w:rPr>
          <w:rFonts w:hint="eastAsia"/>
        </w:rPr>
        <w:t>之特別收入基金</w:t>
      </w:r>
      <w:r>
        <w:rPr>
          <w:rFonts w:hAnsi="標楷體" w:hint="eastAsia"/>
        </w:rPr>
        <w:t>，其特定收入來源</w:t>
      </w:r>
      <w:r w:rsidR="000B3399">
        <w:rPr>
          <w:rFonts w:hint="eastAsia"/>
        </w:rPr>
        <w:t>依</w:t>
      </w:r>
      <w:r w:rsidR="000B3399" w:rsidRPr="000B3399">
        <w:rPr>
          <w:rFonts w:hint="eastAsia"/>
        </w:rPr>
        <w:t>衛生福利特別收入基金收支保管及運用辦法</w:t>
      </w:r>
      <w:r>
        <w:rPr>
          <w:rFonts w:hint="eastAsia"/>
        </w:rPr>
        <w:t>第4條第7項規定</w:t>
      </w:r>
      <w:r w:rsidR="002E57FB">
        <w:rPr>
          <w:rFonts w:hAnsi="標楷體" w:hint="eastAsia"/>
        </w:rPr>
        <w:t>，</w:t>
      </w:r>
      <w:r>
        <w:rPr>
          <w:rFonts w:hAnsi="標楷體" w:hint="eastAsia"/>
        </w:rPr>
        <w:t>包括</w:t>
      </w:r>
      <w:r w:rsidRPr="00691B4A">
        <w:rPr>
          <w:rFonts w:hint="eastAsia"/>
        </w:rPr>
        <w:t>政府循預算程序之撥款</w:t>
      </w:r>
      <w:r>
        <w:rPr>
          <w:rFonts w:hAnsi="標楷體" w:hint="eastAsia"/>
        </w:rPr>
        <w:t>、</w:t>
      </w:r>
      <w:r w:rsidRPr="00691B4A">
        <w:rPr>
          <w:rFonts w:hint="eastAsia"/>
        </w:rPr>
        <w:t>菸</w:t>
      </w:r>
      <w:r>
        <w:rPr>
          <w:rFonts w:hint="eastAsia"/>
        </w:rPr>
        <w:t>捐分配之收入</w:t>
      </w:r>
      <w:r>
        <w:rPr>
          <w:rFonts w:hAnsi="標楷體" w:hint="eastAsia"/>
        </w:rPr>
        <w:t>、</w:t>
      </w:r>
      <w:r>
        <w:rPr>
          <w:rFonts w:hint="eastAsia"/>
        </w:rPr>
        <w:t>社會福利基金之孳息收入</w:t>
      </w:r>
      <w:r>
        <w:rPr>
          <w:rFonts w:hAnsi="標楷體" w:hint="eastAsia"/>
        </w:rPr>
        <w:t>、</w:t>
      </w:r>
      <w:r w:rsidR="001D3024">
        <w:rPr>
          <w:rFonts w:hAnsi="標楷體" w:hint="eastAsia"/>
        </w:rPr>
        <w:t>財政部</w:t>
      </w:r>
      <w:r>
        <w:rPr>
          <w:rFonts w:hint="eastAsia"/>
        </w:rPr>
        <w:t>公益彩券回饋金收入</w:t>
      </w:r>
      <w:r>
        <w:rPr>
          <w:rFonts w:hAnsi="標楷體" w:hint="eastAsia"/>
        </w:rPr>
        <w:t>、</w:t>
      </w:r>
      <w:r>
        <w:rPr>
          <w:rFonts w:hint="eastAsia"/>
        </w:rPr>
        <w:t>受贈收入</w:t>
      </w:r>
      <w:r>
        <w:rPr>
          <w:rFonts w:hAnsi="標楷體" w:hint="eastAsia"/>
        </w:rPr>
        <w:lastRenderedPageBreak/>
        <w:t>及</w:t>
      </w:r>
      <w:r w:rsidRPr="00691B4A">
        <w:rPr>
          <w:rFonts w:hint="eastAsia"/>
        </w:rPr>
        <w:t>其他收入。</w:t>
      </w:r>
    </w:p>
    <w:p w:rsidR="0052585C" w:rsidRDefault="00A712CB" w:rsidP="002D7CB4">
      <w:pPr>
        <w:adjustRightInd w:val="0"/>
        <w:ind w:leftChars="300" w:left="850" w:firstLine="566"/>
        <w:rPr>
          <w:rFonts w:ascii="新細明體" w:eastAsia="新細明體" w:hAnsi="新細明體"/>
        </w:rPr>
      </w:pPr>
      <w:r>
        <w:rPr>
          <w:rFonts w:hint="eastAsia"/>
        </w:rPr>
        <w:t>依</w:t>
      </w:r>
      <w:r w:rsidR="005B405F">
        <w:rPr>
          <w:rFonts w:hint="eastAsia"/>
        </w:rPr>
        <w:t>社福基金</w:t>
      </w:r>
      <w:r w:rsidR="00DD0C10">
        <w:rPr>
          <w:rFonts w:hint="eastAsia"/>
        </w:rPr>
        <w:t>106至114年度</w:t>
      </w:r>
      <w:r w:rsidR="00DC50FB">
        <w:rPr>
          <w:rFonts w:hint="eastAsia"/>
        </w:rPr>
        <w:t>各項基金來源</w:t>
      </w:r>
      <w:r w:rsidR="00DD0C10">
        <w:rPr>
          <w:rFonts w:hint="eastAsia"/>
        </w:rPr>
        <w:t>之</w:t>
      </w:r>
      <w:r w:rsidR="005B405F">
        <w:rPr>
          <w:rFonts w:hint="eastAsia"/>
        </w:rPr>
        <w:t>預</w:t>
      </w:r>
      <w:r w:rsidR="0060086A">
        <w:rPr>
          <w:rFonts w:hAnsi="標楷體" w:hint="eastAsia"/>
        </w:rPr>
        <w:t>、</w:t>
      </w:r>
      <w:r>
        <w:rPr>
          <w:rFonts w:hint="eastAsia"/>
        </w:rPr>
        <w:t>決算資料</w:t>
      </w:r>
      <w:r w:rsidR="0052585C">
        <w:rPr>
          <w:rFonts w:hAnsi="標楷體" w:hint="eastAsia"/>
        </w:rPr>
        <w:t>(詳表1)</w:t>
      </w:r>
      <w:r w:rsidR="005B405F">
        <w:rPr>
          <w:rFonts w:hAnsi="標楷體" w:hint="eastAsia"/>
        </w:rPr>
        <w:t>，</w:t>
      </w:r>
      <w:r w:rsidR="00951E75">
        <w:rPr>
          <w:rFonts w:hAnsi="標楷體" w:hint="eastAsia"/>
        </w:rPr>
        <w:t>居</w:t>
      </w:r>
      <w:r w:rsidR="005B405F">
        <w:rPr>
          <w:rFonts w:hAnsi="標楷體" w:hint="eastAsia"/>
        </w:rPr>
        <w:t>基金來源</w:t>
      </w:r>
      <w:r w:rsidR="00951E75">
        <w:rPr>
          <w:rFonts w:hAnsi="標楷體" w:hint="eastAsia"/>
        </w:rPr>
        <w:t>金額、占比前</w:t>
      </w:r>
      <w:r w:rsidR="002D7CB4">
        <w:rPr>
          <w:rFonts w:hAnsi="標楷體" w:hint="eastAsia"/>
        </w:rPr>
        <w:t>兩</w:t>
      </w:r>
      <w:r w:rsidR="00951E75">
        <w:rPr>
          <w:rFonts w:hAnsi="標楷體" w:hint="eastAsia"/>
        </w:rPr>
        <w:t>大者</w:t>
      </w:r>
      <w:r w:rsidR="002D7CB4">
        <w:rPr>
          <w:rFonts w:hAnsi="標楷體" w:hint="eastAsia"/>
        </w:rPr>
        <w:t>分別為</w:t>
      </w:r>
      <w:r w:rsidRPr="00A712CB">
        <w:rPr>
          <w:rFonts w:hAnsi="標楷體" w:hint="eastAsia"/>
        </w:rPr>
        <w:t>菸捐分配收入</w:t>
      </w:r>
      <w:r>
        <w:rPr>
          <w:rFonts w:hAnsi="標楷體" w:hint="eastAsia"/>
        </w:rPr>
        <w:t>、政府其他撥入收入</w:t>
      </w:r>
      <w:r w:rsidR="00DD0C10">
        <w:rPr>
          <w:rFonts w:hAnsi="標楷體" w:hint="eastAsia"/>
        </w:rPr>
        <w:t>，</w:t>
      </w:r>
      <w:r w:rsidR="001623D3">
        <w:rPr>
          <w:rFonts w:hAnsi="標楷體" w:hint="eastAsia"/>
        </w:rPr>
        <w:t>其金額、占比變動情形</w:t>
      </w:r>
      <w:r w:rsidR="000C142A">
        <w:rPr>
          <w:rFonts w:hAnsi="標楷體" w:hint="eastAsia"/>
        </w:rPr>
        <w:t>，</w:t>
      </w:r>
      <w:r w:rsidR="001623D3">
        <w:rPr>
          <w:rFonts w:hAnsi="標楷體" w:hint="eastAsia"/>
        </w:rPr>
        <w:t>謹簡述如次</w:t>
      </w:r>
      <w:r w:rsidR="002D7CB4">
        <w:rPr>
          <w:rFonts w:ascii="新細明體" w:eastAsia="新細明體" w:hAnsi="新細明體" w:hint="eastAsia"/>
        </w:rPr>
        <w:t>：</w:t>
      </w:r>
    </w:p>
    <w:p w:rsidR="000B3399" w:rsidRDefault="0052585C" w:rsidP="008C1A7B">
      <w:pPr>
        <w:adjustRightInd w:val="0"/>
        <w:ind w:leftChars="307" w:left="1147" w:hangingChars="98" w:hanging="278"/>
        <w:rPr>
          <w:rFonts w:hAnsi="標楷體"/>
        </w:rPr>
      </w:pPr>
      <w:r>
        <w:rPr>
          <w:rFonts w:hAnsi="標楷體" w:hint="eastAsia"/>
        </w:rPr>
        <w:t>1.</w:t>
      </w:r>
      <w:r w:rsidR="00DD0C10">
        <w:rPr>
          <w:rFonts w:hAnsi="標楷體" w:hint="eastAsia"/>
        </w:rPr>
        <w:t>菸捐分配收入</w:t>
      </w:r>
      <w:r>
        <w:rPr>
          <w:rFonts w:ascii="新細明體" w:eastAsia="新細明體" w:hAnsi="新細明體" w:hint="eastAsia"/>
        </w:rPr>
        <w:t>：</w:t>
      </w:r>
      <w:r w:rsidR="00DD0C10">
        <w:rPr>
          <w:rFonts w:hAnsi="標楷體" w:hint="eastAsia"/>
        </w:rPr>
        <w:t>金額自106年度</w:t>
      </w:r>
      <w:r w:rsidR="00DC50FB" w:rsidRPr="00DC50FB">
        <w:rPr>
          <w:rFonts w:hAnsi="標楷體" w:hint="eastAsia"/>
        </w:rPr>
        <w:t>決算</w:t>
      </w:r>
      <w:r w:rsidR="00DD0C10">
        <w:rPr>
          <w:rFonts w:hAnsi="標楷體" w:hint="eastAsia"/>
        </w:rPr>
        <w:t>之25億4</w:t>
      </w:r>
      <w:r w:rsidR="00DD0C10">
        <w:rPr>
          <w:rFonts w:hAnsi="標楷體"/>
        </w:rPr>
        <w:t>,</w:t>
      </w:r>
      <w:r w:rsidR="00DD0C10">
        <w:rPr>
          <w:rFonts w:hAnsi="標楷體" w:hint="eastAsia"/>
        </w:rPr>
        <w:t>374萬6千元降至112年度之13億7</w:t>
      </w:r>
      <w:r w:rsidR="00DD0C10">
        <w:rPr>
          <w:rFonts w:hAnsi="標楷體"/>
        </w:rPr>
        <w:t>,</w:t>
      </w:r>
      <w:r w:rsidR="00DD0C10">
        <w:rPr>
          <w:rFonts w:hAnsi="標楷體" w:hint="eastAsia"/>
        </w:rPr>
        <w:t>584萬3千元，占比率亦自57.15%滑落至38.49%</w:t>
      </w:r>
      <w:r w:rsidR="009B38AB">
        <w:rPr>
          <w:rFonts w:hAnsi="標楷體" w:hint="eastAsia"/>
        </w:rPr>
        <w:t>；</w:t>
      </w:r>
      <w:r w:rsidR="001623D3">
        <w:rPr>
          <w:rFonts w:hAnsi="標楷體" w:hint="eastAsia"/>
        </w:rPr>
        <w:t>至於113、114年度之預算案數均維持約13億元左右，占比</w:t>
      </w:r>
      <w:r>
        <w:rPr>
          <w:rFonts w:hAnsi="標楷體" w:hint="eastAsia"/>
        </w:rPr>
        <w:t>均</w:t>
      </w:r>
      <w:r w:rsidR="001623D3">
        <w:rPr>
          <w:rFonts w:hAnsi="標楷體" w:hint="eastAsia"/>
        </w:rPr>
        <w:t>接近4成</w:t>
      </w:r>
      <w:r w:rsidR="008C1A7B">
        <w:rPr>
          <w:rFonts w:hAnsi="標楷體" w:hint="eastAsia"/>
        </w:rPr>
        <w:t>。</w:t>
      </w:r>
    </w:p>
    <w:p w:rsidR="008C1A7B" w:rsidRPr="00691B4A" w:rsidRDefault="008C1A7B" w:rsidP="008C1A7B">
      <w:pPr>
        <w:adjustRightInd w:val="0"/>
        <w:ind w:leftChars="307" w:left="1147" w:hangingChars="98" w:hanging="278"/>
      </w:pPr>
      <w:r>
        <w:rPr>
          <w:rFonts w:hAnsi="標楷體" w:hint="eastAsia"/>
        </w:rPr>
        <w:t>2.</w:t>
      </w:r>
      <w:r w:rsidRPr="008C1A7B">
        <w:rPr>
          <w:rFonts w:hAnsi="標楷體" w:hint="eastAsia"/>
        </w:rPr>
        <w:t>政府其他撥入收入：</w:t>
      </w:r>
      <w:r w:rsidR="005157E7" w:rsidRPr="005157E7">
        <w:rPr>
          <w:rFonts w:hAnsi="標楷體" w:hint="eastAsia"/>
        </w:rPr>
        <w:t>以</w:t>
      </w:r>
      <w:r w:rsidR="001D3024">
        <w:rPr>
          <w:rFonts w:hAnsi="標楷體" w:hint="eastAsia"/>
        </w:rPr>
        <w:t>財政部</w:t>
      </w:r>
      <w:r w:rsidR="005157E7" w:rsidRPr="005157E7">
        <w:rPr>
          <w:rFonts w:hAnsi="標楷體" w:hint="eastAsia"/>
        </w:rPr>
        <w:t>公益彩券回饋金收入為大宗</w:t>
      </w:r>
      <w:r w:rsidR="005157E7">
        <w:rPr>
          <w:rFonts w:hAnsi="標楷體" w:hint="eastAsia"/>
        </w:rPr>
        <w:t>，</w:t>
      </w:r>
      <w:r w:rsidR="000C142A">
        <w:rPr>
          <w:rFonts w:hAnsi="標楷體" w:hint="eastAsia"/>
        </w:rPr>
        <w:t>106至112年度</w:t>
      </w:r>
      <w:r w:rsidR="00DC50FB">
        <w:rPr>
          <w:rFonts w:hAnsi="標楷體" w:hint="eastAsia"/>
        </w:rPr>
        <w:t>決算</w:t>
      </w:r>
      <w:r w:rsidRPr="008C1A7B">
        <w:rPr>
          <w:rFonts w:hAnsi="標楷體" w:hint="eastAsia"/>
        </w:rPr>
        <w:t>金額介於</w:t>
      </w:r>
      <w:r w:rsidR="005157E7">
        <w:rPr>
          <w:rFonts w:hAnsi="標楷體" w:hint="eastAsia"/>
        </w:rPr>
        <w:t>13億4</w:t>
      </w:r>
      <w:r w:rsidR="005157E7">
        <w:rPr>
          <w:rFonts w:hAnsi="標楷體"/>
        </w:rPr>
        <w:t>,</w:t>
      </w:r>
      <w:r w:rsidR="005157E7">
        <w:rPr>
          <w:rFonts w:hAnsi="標楷體" w:hint="eastAsia"/>
        </w:rPr>
        <w:t>822萬3</w:t>
      </w:r>
      <w:r w:rsidR="00DC50FB">
        <w:rPr>
          <w:rFonts w:hAnsi="標楷體" w:hint="eastAsia"/>
        </w:rPr>
        <w:t>千元至</w:t>
      </w:r>
      <w:r w:rsidR="005157E7">
        <w:rPr>
          <w:rFonts w:hAnsi="標楷體" w:hint="eastAsia"/>
        </w:rPr>
        <w:t>14億6</w:t>
      </w:r>
      <w:r w:rsidR="005157E7">
        <w:rPr>
          <w:rFonts w:hAnsi="標楷體"/>
        </w:rPr>
        <w:t>,</w:t>
      </w:r>
      <w:r w:rsidR="005157E7">
        <w:rPr>
          <w:rFonts w:hAnsi="標楷體" w:hint="eastAsia"/>
        </w:rPr>
        <w:t>793萬1千元</w:t>
      </w:r>
      <w:r w:rsidR="00DC50FB">
        <w:rPr>
          <w:rFonts w:hAnsi="標楷體" w:hint="eastAsia"/>
        </w:rPr>
        <w:t>間</w:t>
      </w:r>
      <w:r w:rsidR="00574700">
        <w:rPr>
          <w:rFonts w:hAnsi="標楷體" w:hint="eastAsia"/>
        </w:rPr>
        <w:t>，規模變動幅度相對穩定</w:t>
      </w:r>
      <w:r w:rsidR="005157E7">
        <w:rPr>
          <w:rFonts w:hAnsi="標楷體" w:hint="eastAsia"/>
        </w:rPr>
        <w:t>，占比</w:t>
      </w:r>
      <w:r w:rsidR="001D3024">
        <w:rPr>
          <w:rFonts w:hAnsi="標楷體" w:hint="eastAsia"/>
        </w:rPr>
        <w:t>除106</w:t>
      </w:r>
      <w:r w:rsidR="00DC50FB">
        <w:rPr>
          <w:rFonts w:hAnsi="標楷體" w:hint="eastAsia"/>
        </w:rPr>
        <w:t>年度為</w:t>
      </w:r>
      <w:r w:rsidR="001D3024">
        <w:rPr>
          <w:rFonts w:hAnsi="標楷體" w:hint="eastAsia"/>
        </w:rPr>
        <w:t>3成外，107至112年度均約4成</w:t>
      </w:r>
      <w:r w:rsidR="009B38AB">
        <w:rPr>
          <w:rFonts w:hAnsi="標楷體" w:hint="eastAsia"/>
        </w:rPr>
        <w:t>；</w:t>
      </w:r>
      <w:r w:rsidR="001D3024">
        <w:rPr>
          <w:rFonts w:hAnsi="標楷體" w:hint="eastAsia"/>
        </w:rPr>
        <w:t>至於113</w:t>
      </w:r>
      <w:r w:rsidR="001D3024" w:rsidRPr="001D3024">
        <w:rPr>
          <w:rFonts w:hAnsi="標楷體" w:hint="eastAsia"/>
        </w:rPr>
        <w:t>、114年度之預算案數</w:t>
      </w:r>
      <w:r w:rsidR="001D3024">
        <w:rPr>
          <w:rFonts w:hAnsi="標楷體" w:hint="eastAsia"/>
        </w:rPr>
        <w:t>分別為14億餘元、13億餘元，占比</w:t>
      </w:r>
      <w:r w:rsidR="00E34E7B">
        <w:rPr>
          <w:rFonts w:hAnsi="標楷體" w:hint="eastAsia"/>
        </w:rPr>
        <w:t>亦</w:t>
      </w:r>
      <w:r w:rsidR="001D3024">
        <w:rPr>
          <w:rFonts w:hAnsi="標楷體" w:hint="eastAsia"/>
        </w:rPr>
        <w:t>約4成左右。</w:t>
      </w:r>
    </w:p>
    <w:p w:rsidR="008E371E" w:rsidRDefault="00B60D2B" w:rsidP="00951E75">
      <w:pPr>
        <w:spacing w:beforeLines="25" w:before="125" w:line="440" w:lineRule="exact"/>
        <w:ind w:leftChars="0" w:left="6237" w:hangingChars="2200" w:hanging="6237"/>
        <w:jc w:val="left"/>
        <w:rPr>
          <w:b/>
        </w:rPr>
      </w:pPr>
      <w:r>
        <w:rPr>
          <w:rFonts w:hint="eastAsia"/>
          <w:b/>
        </w:rPr>
        <w:t xml:space="preserve">   </w:t>
      </w:r>
      <w:r w:rsidR="00AB35EB">
        <w:rPr>
          <w:rFonts w:hint="eastAsia"/>
          <w:b/>
        </w:rPr>
        <w:t xml:space="preserve">   </w:t>
      </w:r>
    </w:p>
    <w:p w:rsidR="008E371E" w:rsidRDefault="008E371E" w:rsidP="00951E75">
      <w:pPr>
        <w:spacing w:beforeLines="25" w:before="125" w:line="440" w:lineRule="exact"/>
        <w:ind w:leftChars="0" w:left="6237" w:hangingChars="2200" w:hanging="6237"/>
        <w:jc w:val="left"/>
        <w:rPr>
          <w:b/>
        </w:rPr>
      </w:pPr>
    </w:p>
    <w:p w:rsidR="00D75798" w:rsidRPr="006F47E3" w:rsidRDefault="006F47E3" w:rsidP="004A70E3">
      <w:pPr>
        <w:spacing w:beforeLines="25" w:before="125" w:line="400" w:lineRule="exact"/>
        <w:ind w:leftChars="159" w:left="6247" w:hangingChars="2045" w:hanging="5797"/>
        <w:jc w:val="left"/>
      </w:pPr>
      <w:r w:rsidRPr="004704B3">
        <w:rPr>
          <w:rFonts w:hint="eastAsia"/>
          <w:b/>
        </w:rPr>
        <w:t xml:space="preserve">表1 </w:t>
      </w:r>
      <w:r w:rsidR="00FC0072">
        <w:rPr>
          <w:rFonts w:hint="eastAsia"/>
          <w:b/>
        </w:rPr>
        <w:t>106至114年度</w:t>
      </w:r>
      <w:r w:rsidR="00951E75">
        <w:rPr>
          <w:rFonts w:hint="eastAsia"/>
          <w:b/>
        </w:rPr>
        <w:t>社福基金各項基金來源統計表</w:t>
      </w:r>
      <w:r w:rsidR="00FC0072">
        <w:rPr>
          <w:rFonts w:hint="eastAsia"/>
          <w:b/>
        </w:rPr>
        <w:t xml:space="preserve">             </w:t>
      </w:r>
      <w:r w:rsidR="00951E75">
        <w:rPr>
          <w:rFonts w:hint="eastAsia"/>
          <w:b/>
        </w:rPr>
        <w:t xml:space="preserve"> </w:t>
      </w:r>
      <w:r w:rsidR="00FC0072" w:rsidRPr="004704B3">
        <w:rPr>
          <w:snapToGrid/>
          <w:sz w:val="24"/>
        </w:rPr>
        <w:t>單位：</w:t>
      </w:r>
      <w:r w:rsidR="00FC0072" w:rsidRPr="004704B3">
        <w:rPr>
          <w:rFonts w:hint="eastAsia"/>
          <w:snapToGrid/>
          <w:sz w:val="24"/>
        </w:rPr>
        <w:t>新臺幣千元</w:t>
      </w:r>
      <w:r w:rsidR="00FC0072">
        <w:rPr>
          <w:rFonts w:hAnsi="標楷體" w:hint="eastAsia"/>
          <w:snapToGrid/>
          <w:sz w:val="24"/>
        </w:rPr>
        <w:t>；</w:t>
      </w:r>
      <w:r w:rsidR="00FC0072">
        <w:rPr>
          <w:rFonts w:hint="eastAsia"/>
          <w:snapToGrid/>
          <w:sz w:val="24"/>
        </w:rPr>
        <w:t xml:space="preserve">% </w:t>
      </w:r>
      <w:r w:rsidR="002B742F">
        <w:rPr>
          <w:rFonts w:hint="eastAsia"/>
          <w:b/>
          <w:sz w:val="24"/>
        </w:rPr>
        <w:t xml:space="preserve">                                                </w:t>
      </w:r>
      <w:r w:rsidR="00FC0072">
        <w:rPr>
          <w:rFonts w:hint="eastAsia"/>
          <w:b/>
          <w:sz w:val="24"/>
        </w:rPr>
        <w:t xml:space="preserve"> </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1208"/>
        <w:gridCol w:w="1208"/>
        <w:gridCol w:w="1196"/>
        <w:gridCol w:w="1196"/>
        <w:gridCol w:w="1196"/>
        <w:gridCol w:w="1208"/>
      </w:tblGrid>
      <w:tr w:rsidR="00951E75" w:rsidTr="00CB6F43">
        <w:trPr>
          <w:tblHeader/>
        </w:trPr>
        <w:tc>
          <w:tcPr>
            <w:tcW w:w="868" w:type="dxa"/>
            <w:tcBorders>
              <w:top w:val="single" w:sz="12" w:space="0" w:color="auto"/>
              <w:left w:val="single" w:sz="12" w:space="0" w:color="auto"/>
              <w:tl2br w:val="single" w:sz="4" w:space="0" w:color="auto"/>
            </w:tcBorders>
            <w:shd w:val="clear" w:color="auto" w:fill="auto"/>
            <w:vAlign w:val="center"/>
          </w:tcPr>
          <w:p w:rsidR="00FF7FAC" w:rsidRPr="00472480" w:rsidRDefault="002553AE" w:rsidP="00CB6F43">
            <w:pPr>
              <w:pStyle w:val="142"/>
              <w:jc w:val="center"/>
            </w:pPr>
            <w:r w:rsidRPr="00472480">
              <w:rPr>
                <w:rFonts w:hint="eastAsia"/>
              </w:rPr>
              <w:t>項目</w:t>
            </w:r>
          </w:p>
          <w:p w:rsidR="002553AE" w:rsidRPr="00472480" w:rsidRDefault="002553AE" w:rsidP="00CB6F43">
            <w:pPr>
              <w:pStyle w:val="142"/>
              <w:jc w:val="center"/>
            </w:pPr>
            <w:r w:rsidRPr="00472480">
              <w:rPr>
                <w:rFonts w:hint="eastAsia"/>
              </w:rPr>
              <w:t>年度</w:t>
            </w:r>
          </w:p>
        </w:tc>
        <w:tc>
          <w:tcPr>
            <w:tcW w:w="1206" w:type="dxa"/>
            <w:tcBorders>
              <w:top w:val="single" w:sz="12" w:space="0" w:color="auto"/>
              <w:bottom w:val="single" w:sz="4" w:space="0" w:color="auto"/>
            </w:tcBorders>
            <w:shd w:val="clear" w:color="auto" w:fill="auto"/>
            <w:vAlign w:val="center"/>
          </w:tcPr>
          <w:p w:rsidR="003311E5" w:rsidRPr="00472480" w:rsidRDefault="00FF7FAC" w:rsidP="00CB6F43">
            <w:pPr>
              <w:pStyle w:val="142"/>
              <w:jc w:val="center"/>
            </w:pPr>
            <w:r w:rsidRPr="00472480">
              <w:rPr>
                <w:rFonts w:hint="eastAsia"/>
              </w:rPr>
              <w:t>菸捐</w:t>
            </w:r>
          </w:p>
          <w:p w:rsidR="00951E75" w:rsidRPr="00472480" w:rsidRDefault="00FF7FAC" w:rsidP="00CB6F43">
            <w:pPr>
              <w:pStyle w:val="142"/>
              <w:jc w:val="center"/>
            </w:pPr>
            <w:r w:rsidRPr="00472480">
              <w:rPr>
                <w:rFonts w:hint="eastAsia"/>
              </w:rPr>
              <w:t>分配收入</w:t>
            </w:r>
          </w:p>
        </w:tc>
        <w:tc>
          <w:tcPr>
            <w:tcW w:w="120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政府其他撥入收入</w:t>
            </w:r>
          </w:p>
        </w:tc>
        <w:tc>
          <w:tcPr>
            <w:tcW w:w="119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服務收入</w:t>
            </w:r>
          </w:p>
        </w:tc>
        <w:tc>
          <w:tcPr>
            <w:tcW w:w="119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公庫撥補收入</w:t>
            </w:r>
          </w:p>
        </w:tc>
        <w:tc>
          <w:tcPr>
            <w:tcW w:w="1196" w:type="dxa"/>
            <w:tcBorders>
              <w:top w:val="single" w:sz="12" w:space="0" w:color="auto"/>
              <w:bottom w:val="single" w:sz="4" w:space="0" w:color="auto"/>
              <w:right w:val="double" w:sz="4" w:space="0" w:color="auto"/>
            </w:tcBorders>
            <w:shd w:val="clear" w:color="auto" w:fill="auto"/>
            <w:vAlign w:val="center"/>
          </w:tcPr>
          <w:p w:rsidR="00951E75" w:rsidRPr="00472480" w:rsidRDefault="00FF7FAC" w:rsidP="00CB6F43">
            <w:pPr>
              <w:pStyle w:val="142"/>
              <w:jc w:val="center"/>
            </w:pPr>
            <w:r w:rsidRPr="00472480">
              <w:rPr>
                <w:rFonts w:hint="eastAsia"/>
              </w:rPr>
              <w:t>其他</w:t>
            </w:r>
            <w:r w:rsidR="00E57AC6">
              <w:rPr>
                <w:rFonts w:hint="eastAsia"/>
              </w:rPr>
              <w:t>來源</w:t>
            </w:r>
            <w:r w:rsidRPr="00472480">
              <w:rPr>
                <w:rFonts w:hint="eastAsia"/>
              </w:rPr>
              <w:t>收入</w:t>
            </w:r>
          </w:p>
        </w:tc>
        <w:tc>
          <w:tcPr>
            <w:tcW w:w="1190" w:type="dxa"/>
            <w:tcBorders>
              <w:top w:val="single" w:sz="12" w:space="0" w:color="auto"/>
              <w:left w:val="double" w:sz="4" w:space="0" w:color="auto"/>
              <w:bottom w:val="single" w:sz="4" w:space="0" w:color="auto"/>
              <w:right w:val="single" w:sz="12" w:space="0" w:color="auto"/>
            </w:tcBorders>
            <w:shd w:val="clear" w:color="auto" w:fill="auto"/>
            <w:vAlign w:val="center"/>
          </w:tcPr>
          <w:p w:rsidR="00951E75" w:rsidRPr="00472480" w:rsidRDefault="00FF7FAC" w:rsidP="00CB6F43">
            <w:pPr>
              <w:pStyle w:val="142"/>
              <w:jc w:val="center"/>
            </w:pPr>
            <w:r w:rsidRPr="00472480">
              <w:rPr>
                <w:rFonts w:hint="eastAsia"/>
              </w:rPr>
              <w:t>基金來源合計數</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106</w:t>
            </w:r>
          </w:p>
        </w:tc>
        <w:tc>
          <w:tcPr>
            <w:tcW w:w="1206" w:type="dxa"/>
            <w:tcBorders>
              <w:top w:val="single" w:sz="4" w:space="0" w:color="auto"/>
              <w:left w:val="nil"/>
              <w:bottom w:val="single" w:sz="4" w:space="0" w:color="auto"/>
              <w:right w:val="single" w:sz="4" w:space="0" w:color="auto"/>
            </w:tcBorders>
            <w:shd w:val="clear" w:color="auto" w:fill="auto"/>
            <w:vAlign w:val="center"/>
          </w:tcPr>
          <w:p w:rsidR="006430CF" w:rsidRPr="00472480" w:rsidRDefault="006430CF" w:rsidP="00CB6F43">
            <w:pPr>
              <w:pStyle w:val="142"/>
              <w:jc w:val="right"/>
              <w:rPr>
                <w:color w:val="000000"/>
                <w:sz w:val="22"/>
                <w:szCs w:val="22"/>
              </w:rPr>
            </w:pPr>
            <w:r w:rsidRPr="00472480">
              <w:rPr>
                <w:rFonts w:hint="eastAsia"/>
                <w:color w:val="000000"/>
                <w:sz w:val="22"/>
                <w:szCs w:val="22"/>
              </w:rPr>
              <w:t>2,543,746</w:t>
            </w:r>
          </w:p>
          <w:p w:rsidR="006430CF" w:rsidRPr="00472480" w:rsidRDefault="006430CF" w:rsidP="00CB6F43">
            <w:pPr>
              <w:pStyle w:val="142"/>
              <w:jc w:val="right"/>
              <w:rPr>
                <w:sz w:val="22"/>
                <w:szCs w:val="22"/>
              </w:rPr>
            </w:pPr>
            <w:r w:rsidRPr="00472480">
              <w:rPr>
                <w:rFonts w:hint="eastAsia"/>
                <w:color w:val="000000"/>
                <w:sz w:val="22"/>
                <w:szCs w:val="22"/>
              </w:rPr>
              <w:t>(</w:t>
            </w:r>
            <w:r w:rsidR="00034F32" w:rsidRPr="00472480">
              <w:rPr>
                <w:rFonts w:hint="eastAsia"/>
                <w:color w:val="000000"/>
                <w:sz w:val="22"/>
                <w:szCs w:val="22"/>
              </w:rPr>
              <w:t>57.15</w:t>
            </w:r>
            <w:r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1,348,223</w:t>
            </w:r>
          </w:p>
          <w:p w:rsidR="006430CF" w:rsidRPr="00472480" w:rsidRDefault="00FF7351" w:rsidP="00CB6F43">
            <w:pPr>
              <w:pStyle w:val="142"/>
              <w:jc w:val="right"/>
              <w:rPr>
                <w:color w:val="000000"/>
                <w:sz w:val="22"/>
                <w:szCs w:val="22"/>
              </w:rPr>
            </w:pPr>
            <w:r w:rsidRPr="00472480">
              <w:rPr>
                <w:rFonts w:hint="eastAsia"/>
                <w:color w:val="000000"/>
                <w:sz w:val="22"/>
                <w:szCs w:val="22"/>
              </w:rPr>
              <w:t>(30.29)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368,612</w:t>
            </w:r>
          </w:p>
          <w:p w:rsidR="006430CF" w:rsidRPr="00472480" w:rsidRDefault="00971956" w:rsidP="00CB6F43">
            <w:pPr>
              <w:pStyle w:val="142"/>
              <w:jc w:val="right"/>
              <w:rPr>
                <w:sz w:val="22"/>
                <w:szCs w:val="22"/>
              </w:rPr>
            </w:pPr>
            <w:r w:rsidRPr="00472480">
              <w:rPr>
                <w:rFonts w:hint="eastAsia"/>
                <w:color w:val="000000"/>
                <w:sz w:val="22"/>
                <w:szCs w:val="22"/>
              </w:rPr>
              <w:t>(</w:t>
            </w:r>
            <w:r w:rsidR="003311E5" w:rsidRPr="00472480">
              <w:rPr>
                <w:rFonts w:hint="eastAsia"/>
                <w:color w:val="000000"/>
                <w:sz w:val="22"/>
                <w:szCs w:val="22"/>
              </w:rPr>
              <w:t>8.28</w:t>
            </w:r>
            <w:r w:rsidRPr="00472480">
              <w:rPr>
                <w:rFonts w:hint="eastAsia"/>
                <w:color w:val="000000"/>
                <w:sz w:val="22"/>
                <w:szCs w:val="22"/>
              </w:rPr>
              <w:t>)</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123,645</w:t>
            </w:r>
          </w:p>
          <w:p w:rsidR="006430CF" w:rsidRPr="00472480" w:rsidRDefault="00B04840" w:rsidP="00CB6F43">
            <w:pPr>
              <w:pStyle w:val="142"/>
              <w:jc w:val="right"/>
              <w:rPr>
                <w:sz w:val="22"/>
                <w:szCs w:val="22"/>
              </w:rPr>
            </w:pPr>
            <w:r w:rsidRPr="00472480">
              <w:rPr>
                <w:rFonts w:hint="eastAsia"/>
                <w:color w:val="000000"/>
                <w:sz w:val="22"/>
                <w:szCs w:val="22"/>
              </w:rPr>
              <w:t>(2.78)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66,635</w:t>
            </w:r>
          </w:p>
          <w:p w:rsidR="006430CF" w:rsidRPr="00472480" w:rsidRDefault="00B04840" w:rsidP="00CB6F43">
            <w:pPr>
              <w:pStyle w:val="142"/>
              <w:jc w:val="right"/>
              <w:rPr>
                <w:sz w:val="22"/>
                <w:szCs w:val="22"/>
              </w:rPr>
            </w:pPr>
            <w:r w:rsidRPr="00472480">
              <w:rPr>
                <w:rFonts w:hint="eastAsia"/>
                <w:color w:val="000000"/>
                <w:sz w:val="22"/>
                <w:szCs w:val="22"/>
              </w:rPr>
              <w:t>(1.50)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4,450,861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107</w:t>
            </w:r>
          </w:p>
        </w:tc>
        <w:tc>
          <w:tcPr>
            <w:tcW w:w="1206" w:type="dxa"/>
            <w:tcBorders>
              <w:top w:val="single" w:sz="4" w:space="0" w:color="auto"/>
              <w:left w:val="nil"/>
              <w:bottom w:val="single" w:sz="4" w:space="0" w:color="auto"/>
              <w:right w:val="single" w:sz="4" w:space="0" w:color="auto"/>
            </w:tcBorders>
            <w:shd w:val="clear" w:color="auto" w:fill="auto"/>
            <w:vAlign w:val="center"/>
          </w:tcPr>
          <w:p w:rsidR="00034F32" w:rsidRPr="00472480" w:rsidRDefault="006430CF" w:rsidP="00CB6F43">
            <w:pPr>
              <w:pStyle w:val="142"/>
              <w:jc w:val="right"/>
              <w:rPr>
                <w:color w:val="000000"/>
                <w:sz w:val="22"/>
                <w:szCs w:val="22"/>
              </w:rPr>
            </w:pPr>
            <w:r w:rsidRPr="00472480">
              <w:rPr>
                <w:rFonts w:hint="eastAsia"/>
                <w:color w:val="000000"/>
                <w:sz w:val="22"/>
                <w:szCs w:val="22"/>
              </w:rPr>
              <w:t>1,319,976</w:t>
            </w:r>
          </w:p>
          <w:p w:rsidR="006430CF" w:rsidRPr="00472480" w:rsidRDefault="00034F32" w:rsidP="00CB6F43">
            <w:pPr>
              <w:pStyle w:val="142"/>
              <w:jc w:val="right"/>
              <w:rPr>
                <w:sz w:val="22"/>
                <w:szCs w:val="22"/>
              </w:rPr>
            </w:pPr>
            <w:r w:rsidRPr="00472480">
              <w:rPr>
                <w:rFonts w:hint="eastAsia"/>
                <w:color w:val="000000"/>
                <w:sz w:val="22"/>
                <w:szCs w:val="22"/>
              </w:rPr>
              <w:t>(39.02)</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CE1050" w:rsidRPr="00472480" w:rsidRDefault="006430CF" w:rsidP="00CB6F43">
            <w:pPr>
              <w:pStyle w:val="142"/>
              <w:jc w:val="right"/>
              <w:rPr>
                <w:color w:val="000000"/>
                <w:sz w:val="22"/>
                <w:szCs w:val="22"/>
              </w:rPr>
            </w:pPr>
            <w:r w:rsidRPr="00472480">
              <w:rPr>
                <w:rFonts w:hint="eastAsia"/>
                <w:color w:val="000000"/>
                <w:sz w:val="22"/>
                <w:szCs w:val="22"/>
              </w:rPr>
              <w:t>1,467,931</w:t>
            </w:r>
          </w:p>
          <w:p w:rsidR="006430CF" w:rsidRPr="00472480" w:rsidRDefault="00CE1050" w:rsidP="00CB6F43">
            <w:pPr>
              <w:pStyle w:val="142"/>
              <w:jc w:val="right"/>
              <w:rPr>
                <w:color w:val="000000"/>
                <w:sz w:val="22"/>
                <w:szCs w:val="22"/>
              </w:rPr>
            </w:pPr>
            <w:r w:rsidRPr="00472480">
              <w:rPr>
                <w:rFonts w:hint="eastAsia"/>
                <w:color w:val="000000"/>
                <w:sz w:val="22"/>
                <w:szCs w:val="22"/>
              </w:rPr>
              <w:t>(43.40)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3311E5" w:rsidRPr="00472480" w:rsidRDefault="006430CF" w:rsidP="00CB6F43">
            <w:pPr>
              <w:pStyle w:val="142"/>
              <w:jc w:val="right"/>
              <w:rPr>
                <w:color w:val="000000"/>
                <w:sz w:val="22"/>
                <w:szCs w:val="22"/>
              </w:rPr>
            </w:pPr>
            <w:r w:rsidRPr="00472480">
              <w:rPr>
                <w:rFonts w:hint="eastAsia"/>
                <w:color w:val="000000"/>
                <w:sz w:val="22"/>
                <w:szCs w:val="22"/>
              </w:rPr>
              <w:t>385,455</w:t>
            </w:r>
          </w:p>
          <w:p w:rsidR="006430CF" w:rsidRPr="00472480" w:rsidRDefault="003311E5" w:rsidP="00CB6F43">
            <w:pPr>
              <w:pStyle w:val="142"/>
              <w:jc w:val="right"/>
              <w:rPr>
                <w:sz w:val="22"/>
                <w:szCs w:val="22"/>
              </w:rPr>
            </w:pPr>
            <w:r w:rsidRPr="00472480">
              <w:rPr>
                <w:rFonts w:hint="eastAsia"/>
                <w:color w:val="000000"/>
                <w:sz w:val="22"/>
                <w:szCs w:val="22"/>
              </w:rPr>
              <w:t>(11.40)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154,897</w:t>
            </w:r>
          </w:p>
          <w:p w:rsidR="006430CF" w:rsidRPr="00472480" w:rsidRDefault="00B04840" w:rsidP="00CB6F43">
            <w:pPr>
              <w:pStyle w:val="142"/>
              <w:jc w:val="right"/>
              <w:rPr>
                <w:sz w:val="22"/>
                <w:szCs w:val="22"/>
              </w:rPr>
            </w:pPr>
            <w:r w:rsidRPr="00472480">
              <w:rPr>
                <w:rFonts w:hint="eastAsia"/>
                <w:color w:val="000000"/>
                <w:sz w:val="22"/>
                <w:szCs w:val="22"/>
              </w:rPr>
              <w:t>(4.58)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54,256</w:t>
            </w:r>
          </w:p>
          <w:p w:rsidR="006430CF" w:rsidRPr="00472480" w:rsidRDefault="00B04840" w:rsidP="00CB6F43">
            <w:pPr>
              <w:pStyle w:val="142"/>
              <w:jc w:val="right"/>
              <w:rPr>
                <w:sz w:val="22"/>
                <w:szCs w:val="22"/>
              </w:rPr>
            </w:pPr>
            <w:r w:rsidRPr="00472480">
              <w:rPr>
                <w:rFonts w:hint="eastAsia"/>
                <w:color w:val="000000"/>
                <w:sz w:val="22"/>
                <w:szCs w:val="22"/>
              </w:rPr>
              <w:t>(1.60)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3,382,515</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108</w:t>
            </w:r>
          </w:p>
        </w:tc>
        <w:tc>
          <w:tcPr>
            <w:tcW w:w="1206" w:type="dxa"/>
            <w:tcBorders>
              <w:top w:val="single" w:sz="4" w:space="0" w:color="auto"/>
              <w:left w:val="nil"/>
              <w:bottom w:val="single" w:sz="4" w:space="0" w:color="auto"/>
              <w:right w:val="single" w:sz="4" w:space="0" w:color="auto"/>
            </w:tcBorders>
            <w:shd w:val="clear" w:color="auto" w:fill="auto"/>
            <w:vAlign w:val="center"/>
          </w:tcPr>
          <w:p w:rsidR="00034F32" w:rsidRPr="00472480" w:rsidRDefault="006430CF" w:rsidP="00CB6F43">
            <w:pPr>
              <w:pStyle w:val="142"/>
              <w:jc w:val="right"/>
              <w:rPr>
                <w:color w:val="000000"/>
                <w:sz w:val="22"/>
                <w:szCs w:val="22"/>
              </w:rPr>
            </w:pPr>
            <w:r w:rsidRPr="00472480">
              <w:rPr>
                <w:rFonts w:hint="eastAsia"/>
                <w:color w:val="000000"/>
                <w:sz w:val="22"/>
                <w:szCs w:val="22"/>
              </w:rPr>
              <w:t>1,388,149</w:t>
            </w:r>
          </w:p>
          <w:p w:rsidR="006430CF" w:rsidRPr="00472480" w:rsidRDefault="00034F32" w:rsidP="00CB6F43">
            <w:pPr>
              <w:pStyle w:val="142"/>
              <w:jc w:val="right"/>
              <w:rPr>
                <w:sz w:val="22"/>
                <w:szCs w:val="22"/>
              </w:rPr>
            </w:pPr>
            <w:r w:rsidRPr="00472480">
              <w:rPr>
                <w:rFonts w:hint="eastAsia"/>
                <w:color w:val="000000"/>
                <w:sz w:val="22"/>
                <w:szCs w:val="22"/>
              </w:rPr>
              <w:t>(40.41)</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CE1050" w:rsidRPr="00472480" w:rsidRDefault="006430CF" w:rsidP="00CB6F43">
            <w:pPr>
              <w:pStyle w:val="142"/>
              <w:jc w:val="right"/>
              <w:rPr>
                <w:color w:val="000000"/>
                <w:sz w:val="22"/>
                <w:szCs w:val="22"/>
              </w:rPr>
            </w:pPr>
            <w:r w:rsidRPr="00472480">
              <w:rPr>
                <w:rFonts w:hint="eastAsia"/>
                <w:color w:val="000000"/>
                <w:sz w:val="22"/>
                <w:szCs w:val="22"/>
              </w:rPr>
              <w:t>1,419,464</w:t>
            </w:r>
          </w:p>
          <w:p w:rsidR="006430CF" w:rsidRPr="00472480" w:rsidRDefault="00CE1050" w:rsidP="00CB6F43">
            <w:pPr>
              <w:pStyle w:val="142"/>
              <w:jc w:val="right"/>
              <w:rPr>
                <w:color w:val="000000"/>
                <w:sz w:val="22"/>
                <w:szCs w:val="22"/>
              </w:rPr>
            </w:pPr>
            <w:r w:rsidRPr="00472480">
              <w:rPr>
                <w:rFonts w:hint="eastAsia"/>
                <w:color w:val="000000"/>
                <w:sz w:val="22"/>
                <w:szCs w:val="22"/>
              </w:rPr>
              <w:t>(41.33)</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3311E5" w:rsidRPr="00472480" w:rsidRDefault="006430CF" w:rsidP="00CB6F43">
            <w:pPr>
              <w:pStyle w:val="142"/>
              <w:jc w:val="right"/>
              <w:rPr>
                <w:color w:val="000000"/>
                <w:sz w:val="22"/>
                <w:szCs w:val="22"/>
              </w:rPr>
            </w:pPr>
            <w:r w:rsidRPr="00472480">
              <w:rPr>
                <w:rFonts w:hint="eastAsia"/>
                <w:color w:val="000000"/>
                <w:sz w:val="22"/>
                <w:szCs w:val="22"/>
              </w:rPr>
              <w:t>390,397</w:t>
            </w:r>
          </w:p>
          <w:p w:rsidR="006430CF" w:rsidRPr="00472480" w:rsidRDefault="003311E5" w:rsidP="00CB6F43">
            <w:pPr>
              <w:pStyle w:val="142"/>
              <w:jc w:val="right"/>
              <w:rPr>
                <w:sz w:val="22"/>
                <w:szCs w:val="22"/>
              </w:rPr>
            </w:pPr>
            <w:r w:rsidRPr="00472480">
              <w:rPr>
                <w:rFonts w:hint="eastAsia"/>
                <w:color w:val="000000"/>
                <w:sz w:val="22"/>
                <w:szCs w:val="22"/>
              </w:rPr>
              <w:t>(11.37)</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161,177</w:t>
            </w:r>
          </w:p>
          <w:p w:rsidR="006430CF" w:rsidRPr="00472480" w:rsidRDefault="00B04840" w:rsidP="00CB6F43">
            <w:pPr>
              <w:pStyle w:val="142"/>
              <w:jc w:val="right"/>
              <w:rPr>
                <w:sz w:val="22"/>
                <w:szCs w:val="22"/>
              </w:rPr>
            </w:pPr>
            <w:r w:rsidRPr="00472480">
              <w:rPr>
                <w:rFonts w:hint="eastAsia"/>
                <w:color w:val="000000"/>
                <w:sz w:val="22"/>
                <w:szCs w:val="22"/>
              </w:rPr>
              <w:t>(4.69)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75,609</w:t>
            </w:r>
          </w:p>
          <w:p w:rsidR="006430CF" w:rsidRPr="00472480" w:rsidRDefault="00B04840" w:rsidP="00CB6F43">
            <w:pPr>
              <w:pStyle w:val="142"/>
              <w:jc w:val="right"/>
              <w:rPr>
                <w:sz w:val="22"/>
                <w:szCs w:val="22"/>
              </w:rPr>
            </w:pPr>
            <w:r w:rsidRPr="00472480">
              <w:rPr>
                <w:rFonts w:hint="eastAsia"/>
                <w:color w:val="000000"/>
                <w:sz w:val="22"/>
                <w:szCs w:val="22"/>
              </w:rPr>
              <w:t>(2.20)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3,434,796</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109</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1,473,137</w:t>
            </w:r>
          </w:p>
          <w:p w:rsidR="006430CF" w:rsidRPr="00472480" w:rsidRDefault="00FF7351" w:rsidP="00CB6F43">
            <w:pPr>
              <w:pStyle w:val="142"/>
              <w:jc w:val="right"/>
              <w:rPr>
                <w:sz w:val="22"/>
                <w:szCs w:val="22"/>
              </w:rPr>
            </w:pPr>
            <w:r w:rsidRPr="00472480">
              <w:rPr>
                <w:rFonts w:hint="eastAsia"/>
                <w:color w:val="000000"/>
                <w:sz w:val="22"/>
                <w:szCs w:val="22"/>
              </w:rPr>
              <w:t>(41.26)</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730E37" w:rsidRPr="00472480" w:rsidRDefault="006430CF" w:rsidP="00CB6F43">
            <w:pPr>
              <w:pStyle w:val="142"/>
              <w:jc w:val="right"/>
              <w:rPr>
                <w:color w:val="000000"/>
                <w:sz w:val="22"/>
                <w:szCs w:val="22"/>
              </w:rPr>
            </w:pPr>
            <w:r w:rsidRPr="00472480">
              <w:rPr>
                <w:rFonts w:hint="eastAsia"/>
                <w:color w:val="000000"/>
                <w:sz w:val="22"/>
                <w:szCs w:val="22"/>
              </w:rPr>
              <w:t>1,417,814</w:t>
            </w:r>
          </w:p>
          <w:p w:rsidR="006430CF" w:rsidRPr="00472480" w:rsidRDefault="00730E37" w:rsidP="00CB6F43">
            <w:pPr>
              <w:pStyle w:val="142"/>
              <w:jc w:val="right"/>
              <w:rPr>
                <w:color w:val="000000"/>
                <w:sz w:val="22"/>
                <w:szCs w:val="22"/>
              </w:rPr>
            </w:pPr>
            <w:r w:rsidRPr="00472480">
              <w:rPr>
                <w:rFonts w:hint="eastAsia"/>
                <w:color w:val="000000"/>
                <w:sz w:val="22"/>
                <w:szCs w:val="22"/>
              </w:rPr>
              <w:t>(</w:t>
            </w:r>
            <w:r w:rsidR="00971956" w:rsidRPr="00472480">
              <w:rPr>
                <w:rFonts w:hint="eastAsia"/>
                <w:color w:val="000000"/>
                <w:sz w:val="22"/>
                <w:szCs w:val="22"/>
              </w:rPr>
              <w:t>39.71</w:t>
            </w:r>
            <w:r w:rsidRPr="00472480">
              <w:rPr>
                <w:rFonts w:hint="eastAsia"/>
                <w:color w:val="000000"/>
                <w:sz w:val="22"/>
                <w:szCs w:val="22"/>
              </w:rPr>
              <w:t>)</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428,955</w:t>
            </w:r>
          </w:p>
          <w:p w:rsidR="006430CF" w:rsidRPr="00472480" w:rsidRDefault="0075602C" w:rsidP="00CB6F43">
            <w:pPr>
              <w:pStyle w:val="142"/>
              <w:jc w:val="right"/>
              <w:rPr>
                <w:sz w:val="22"/>
                <w:szCs w:val="22"/>
              </w:rPr>
            </w:pPr>
            <w:r w:rsidRPr="00472480">
              <w:rPr>
                <w:rFonts w:hint="eastAsia"/>
                <w:color w:val="000000"/>
                <w:sz w:val="22"/>
                <w:szCs w:val="22"/>
              </w:rPr>
              <w:t>(12.01)</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139,368</w:t>
            </w:r>
          </w:p>
          <w:p w:rsidR="006430CF" w:rsidRPr="00472480" w:rsidRDefault="00B04840" w:rsidP="00CB6F43">
            <w:pPr>
              <w:pStyle w:val="142"/>
              <w:jc w:val="right"/>
              <w:rPr>
                <w:sz w:val="22"/>
                <w:szCs w:val="22"/>
              </w:rPr>
            </w:pPr>
            <w:r w:rsidRPr="00472480">
              <w:rPr>
                <w:rFonts w:hint="eastAsia"/>
                <w:color w:val="000000"/>
                <w:sz w:val="22"/>
                <w:szCs w:val="22"/>
              </w:rPr>
              <w:t>(3.90)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111,307</w:t>
            </w:r>
          </w:p>
          <w:p w:rsidR="006430CF" w:rsidRPr="00472480" w:rsidRDefault="00B04840" w:rsidP="00CB6F43">
            <w:pPr>
              <w:pStyle w:val="142"/>
              <w:jc w:val="right"/>
              <w:rPr>
                <w:sz w:val="22"/>
                <w:szCs w:val="22"/>
              </w:rPr>
            </w:pPr>
            <w:r w:rsidRPr="00472480">
              <w:rPr>
                <w:rFonts w:hint="eastAsia"/>
                <w:color w:val="000000"/>
                <w:sz w:val="22"/>
                <w:szCs w:val="22"/>
              </w:rPr>
              <w:t>(3.12)</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3,570,581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110</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1,505,839</w:t>
            </w:r>
          </w:p>
          <w:p w:rsidR="006430CF" w:rsidRPr="00472480" w:rsidRDefault="00FF7351" w:rsidP="00CB6F43">
            <w:pPr>
              <w:pStyle w:val="142"/>
              <w:jc w:val="right"/>
              <w:rPr>
                <w:sz w:val="22"/>
                <w:szCs w:val="22"/>
              </w:rPr>
            </w:pPr>
            <w:r w:rsidRPr="00472480">
              <w:rPr>
                <w:rFonts w:hint="eastAsia"/>
                <w:color w:val="000000"/>
                <w:sz w:val="22"/>
                <w:szCs w:val="22"/>
              </w:rPr>
              <w:t>(41.93)</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1,445,396</w:t>
            </w:r>
          </w:p>
          <w:p w:rsidR="006430CF" w:rsidRPr="00472480" w:rsidRDefault="00971956" w:rsidP="00CB6F43">
            <w:pPr>
              <w:pStyle w:val="142"/>
              <w:jc w:val="right"/>
              <w:rPr>
                <w:color w:val="000000"/>
                <w:sz w:val="22"/>
                <w:szCs w:val="22"/>
              </w:rPr>
            </w:pPr>
            <w:r w:rsidRPr="00472480">
              <w:rPr>
                <w:rFonts w:hint="eastAsia"/>
                <w:color w:val="000000"/>
                <w:sz w:val="22"/>
                <w:szCs w:val="22"/>
              </w:rPr>
              <w:t>(40.25)</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426,320</w:t>
            </w:r>
          </w:p>
          <w:p w:rsidR="006430CF" w:rsidRPr="00472480" w:rsidRDefault="0075602C" w:rsidP="00CB6F43">
            <w:pPr>
              <w:pStyle w:val="142"/>
              <w:jc w:val="right"/>
              <w:rPr>
                <w:sz w:val="22"/>
                <w:szCs w:val="22"/>
              </w:rPr>
            </w:pPr>
            <w:r w:rsidRPr="00472480">
              <w:rPr>
                <w:rFonts w:hint="eastAsia"/>
                <w:color w:val="000000"/>
                <w:sz w:val="22"/>
                <w:szCs w:val="22"/>
              </w:rPr>
              <w:t>(11.87)</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100,000</w:t>
            </w:r>
          </w:p>
          <w:p w:rsidR="006430CF" w:rsidRPr="00472480" w:rsidRDefault="00B04840" w:rsidP="00CB6F43">
            <w:pPr>
              <w:pStyle w:val="142"/>
              <w:jc w:val="right"/>
              <w:rPr>
                <w:sz w:val="22"/>
                <w:szCs w:val="22"/>
              </w:rPr>
            </w:pPr>
            <w:r w:rsidRPr="00472480">
              <w:rPr>
                <w:rFonts w:hint="eastAsia"/>
                <w:color w:val="000000"/>
                <w:sz w:val="22"/>
                <w:szCs w:val="22"/>
              </w:rPr>
              <w:t>(2.78)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113,406</w:t>
            </w:r>
          </w:p>
          <w:p w:rsidR="006430CF" w:rsidRPr="00472480" w:rsidRDefault="00B04840" w:rsidP="00CB6F43">
            <w:pPr>
              <w:pStyle w:val="142"/>
              <w:jc w:val="right"/>
              <w:rPr>
                <w:sz w:val="22"/>
                <w:szCs w:val="22"/>
              </w:rPr>
            </w:pPr>
            <w:r w:rsidRPr="00472480">
              <w:rPr>
                <w:rFonts w:hint="eastAsia"/>
                <w:color w:val="000000"/>
                <w:sz w:val="22"/>
                <w:szCs w:val="22"/>
              </w:rPr>
              <w:t>(3.16)</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3,590,961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111</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1,483,837</w:t>
            </w:r>
          </w:p>
          <w:p w:rsidR="006430CF" w:rsidRPr="00472480" w:rsidRDefault="00FF7351" w:rsidP="00CB6F43">
            <w:pPr>
              <w:pStyle w:val="142"/>
              <w:jc w:val="right"/>
              <w:rPr>
                <w:sz w:val="22"/>
                <w:szCs w:val="22"/>
              </w:rPr>
            </w:pPr>
            <w:r w:rsidRPr="00472480">
              <w:rPr>
                <w:rFonts w:hint="eastAsia"/>
                <w:color w:val="000000"/>
                <w:sz w:val="22"/>
                <w:szCs w:val="22"/>
              </w:rPr>
              <w:t>(40.43)</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1,374,293</w:t>
            </w:r>
          </w:p>
          <w:p w:rsidR="006430CF" w:rsidRPr="00472480" w:rsidRDefault="00971956" w:rsidP="00CB6F43">
            <w:pPr>
              <w:pStyle w:val="142"/>
              <w:jc w:val="right"/>
              <w:rPr>
                <w:color w:val="000000"/>
                <w:sz w:val="22"/>
                <w:szCs w:val="22"/>
              </w:rPr>
            </w:pPr>
            <w:r w:rsidRPr="00472480">
              <w:rPr>
                <w:rFonts w:hint="eastAsia"/>
                <w:color w:val="000000"/>
                <w:sz w:val="22"/>
                <w:szCs w:val="22"/>
              </w:rPr>
              <w:t>(37.45)</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423,375</w:t>
            </w:r>
          </w:p>
          <w:p w:rsidR="006430CF" w:rsidRPr="00472480" w:rsidRDefault="0075602C" w:rsidP="00CB6F43">
            <w:pPr>
              <w:pStyle w:val="142"/>
              <w:jc w:val="right"/>
              <w:rPr>
                <w:sz w:val="22"/>
                <w:szCs w:val="22"/>
              </w:rPr>
            </w:pPr>
            <w:r w:rsidRPr="00472480">
              <w:rPr>
                <w:rFonts w:hint="eastAsia"/>
                <w:color w:val="000000"/>
                <w:sz w:val="22"/>
                <w:szCs w:val="22"/>
              </w:rPr>
              <w:t>(11.54)</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234,040</w:t>
            </w:r>
          </w:p>
          <w:p w:rsidR="006430CF" w:rsidRPr="00472480" w:rsidRDefault="00B04840" w:rsidP="00CB6F43">
            <w:pPr>
              <w:pStyle w:val="142"/>
              <w:jc w:val="right"/>
              <w:rPr>
                <w:sz w:val="22"/>
                <w:szCs w:val="22"/>
              </w:rPr>
            </w:pPr>
            <w:r w:rsidRPr="00472480">
              <w:rPr>
                <w:rFonts w:hint="eastAsia"/>
                <w:color w:val="000000"/>
                <w:sz w:val="22"/>
                <w:szCs w:val="22"/>
              </w:rPr>
              <w:t>(6.38)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154,194</w:t>
            </w:r>
          </w:p>
          <w:p w:rsidR="006430CF" w:rsidRPr="00472480" w:rsidRDefault="00B04840" w:rsidP="00CB6F43">
            <w:pPr>
              <w:pStyle w:val="142"/>
              <w:jc w:val="right"/>
              <w:rPr>
                <w:sz w:val="22"/>
                <w:szCs w:val="22"/>
              </w:rPr>
            </w:pPr>
            <w:r w:rsidRPr="00472480">
              <w:rPr>
                <w:rFonts w:hint="eastAsia"/>
                <w:color w:val="000000"/>
                <w:sz w:val="22"/>
                <w:szCs w:val="22"/>
              </w:rPr>
              <w:t>(4.20)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3,669,739</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112</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1,375,843</w:t>
            </w:r>
          </w:p>
          <w:p w:rsidR="006430CF" w:rsidRPr="00472480" w:rsidRDefault="00FF7351" w:rsidP="00CB6F43">
            <w:pPr>
              <w:pStyle w:val="142"/>
              <w:jc w:val="right"/>
              <w:rPr>
                <w:sz w:val="22"/>
                <w:szCs w:val="22"/>
              </w:rPr>
            </w:pPr>
            <w:r w:rsidRPr="00472480">
              <w:rPr>
                <w:rFonts w:hint="eastAsia"/>
                <w:color w:val="000000"/>
                <w:sz w:val="22"/>
                <w:szCs w:val="22"/>
              </w:rPr>
              <w:t>(38.49)</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1,388,050</w:t>
            </w:r>
          </w:p>
          <w:p w:rsidR="006430CF" w:rsidRPr="00472480" w:rsidRDefault="00971956" w:rsidP="00CB6F43">
            <w:pPr>
              <w:pStyle w:val="142"/>
              <w:jc w:val="right"/>
              <w:rPr>
                <w:color w:val="000000"/>
                <w:sz w:val="22"/>
                <w:szCs w:val="22"/>
              </w:rPr>
            </w:pPr>
            <w:r w:rsidRPr="00472480">
              <w:rPr>
                <w:rFonts w:hint="eastAsia"/>
                <w:color w:val="000000"/>
                <w:sz w:val="22"/>
                <w:szCs w:val="22"/>
              </w:rPr>
              <w:t>(38.83)</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493,088</w:t>
            </w:r>
          </w:p>
          <w:p w:rsidR="006430CF" w:rsidRPr="00472480" w:rsidRDefault="0075602C" w:rsidP="00CB6F43">
            <w:pPr>
              <w:pStyle w:val="142"/>
              <w:jc w:val="right"/>
              <w:rPr>
                <w:sz w:val="22"/>
                <w:szCs w:val="22"/>
              </w:rPr>
            </w:pPr>
            <w:r w:rsidRPr="00472480">
              <w:rPr>
                <w:rFonts w:hint="eastAsia"/>
                <w:color w:val="000000"/>
                <w:sz w:val="22"/>
                <w:szCs w:val="22"/>
              </w:rPr>
              <w:t>(13.79)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163,953</w:t>
            </w:r>
          </w:p>
          <w:p w:rsidR="006430CF" w:rsidRPr="00472480" w:rsidRDefault="00B04840" w:rsidP="00CB6F43">
            <w:pPr>
              <w:pStyle w:val="142"/>
              <w:jc w:val="right"/>
              <w:rPr>
                <w:sz w:val="22"/>
                <w:szCs w:val="22"/>
              </w:rPr>
            </w:pPr>
            <w:r w:rsidRPr="00472480">
              <w:rPr>
                <w:rFonts w:hint="eastAsia"/>
                <w:color w:val="000000"/>
                <w:sz w:val="22"/>
                <w:szCs w:val="22"/>
              </w:rPr>
              <w:t>(4.59)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153,915</w:t>
            </w:r>
          </w:p>
          <w:p w:rsidR="006430CF" w:rsidRPr="00472480" w:rsidRDefault="00B04840" w:rsidP="00CB6F43">
            <w:pPr>
              <w:pStyle w:val="142"/>
              <w:jc w:val="right"/>
              <w:rPr>
                <w:sz w:val="22"/>
                <w:szCs w:val="22"/>
              </w:rPr>
            </w:pPr>
            <w:r w:rsidRPr="00472480">
              <w:rPr>
                <w:rFonts w:hint="eastAsia"/>
                <w:color w:val="000000"/>
                <w:sz w:val="22"/>
                <w:szCs w:val="22"/>
              </w:rPr>
              <w:t>(4.31)</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3,574,849</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rPr>
                <w:b/>
              </w:rPr>
            </w:pPr>
            <w:r w:rsidRPr="00472480">
              <w:rPr>
                <w:rFonts w:hint="eastAsia"/>
                <w:b/>
              </w:rPr>
              <w:t>113</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b/>
                <w:color w:val="000000"/>
                <w:sz w:val="22"/>
                <w:szCs w:val="22"/>
              </w:rPr>
            </w:pPr>
            <w:r w:rsidRPr="00472480">
              <w:rPr>
                <w:rFonts w:hint="eastAsia"/>
                <w:b/>
                <w:color w:val="000000"/>
                <w:sz w:val="22"/>
                <w:szCs w:val="22"/>
              </w:rPr>
              <w:t>1,300,000</w:t>
            </w:r>
          </w:p>
          <w:p w:rsidR="006430CF" w:rsidRPr="00472480" w:rsidRDefault="00FF7351" w:rsidP="00CB6F43">
            <w:pPr>
              <w:pStyle w:val="142"/>
              <w:jc w:val="right"/>
              <w:rPr>
                <w:b/>
                <w:sz w:val="22"/>
                <w:szCs w:val="22"/>
              </w:rPr>
            </w:pPr>
            <w:r w:rsidRPr="00472480">
              <w:rPr>
                <w:rFonts w:hint="eastAsia"/>
                <w:b/>
                <w:color w:val="000000"/>
                <w:sz w:val="22"/>
                <w:szCs w:val="22"/>
              </w:rPr>
              <w:lastRenderedPageBreak/>
              <w:t>(36.77)</w:t>
            </w:r>
            <w:r w:rsidR="006430CF" w:rsidRPr="00472480">
              <w:rPr>
                <w:rFonts w:hint="eastAsia"/>
                <w:b/>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b/>
                <w:color w:val="000000"/>
                <w:sz w:val="22"/>
                <w:szCs w:val="22"/>
              </w:rPr>
            </w:pPr>
            <w:r w:rsidRPr="00472480">
              <w:rPr>
                <w:rFonts w:hint="eastAsia"/>
                <w:b/>
                <w:color w:val="000000"/>
                <w:sz w:val="22"/>
                <w:szCs w:val="22"/>
              </w:rPr>
              <w:lastRenderedPageBreak/>
              <w:t>1,468,521</w:t>
            </w:r>
          </w:p>
          <w:p w:rsidR="006430CF" w:rsidRPr="00472480" w:rsidRDefault="00971956" w:rsidP="00CB6F43">
            <w:pPr>
              <w:pStyle w:val="142"/>
              <w:jc w:val="right"/>
              <w:rPr>
                <w:b/>
                <w:color w:val="000000"/>
                <w:sz w:val="22"/>
                <w:szCs w:val="22"/>
              </w:rPr>
            </w:pPr>
            <w:r w:rsidRPr="00472480">
              <w:rPr>
                <w:rFonts w:hint="eastAsia"/>
                <w:b/>
                <w:color w:val="000000"/>
                <w:sz w:val="22"/>
                <w:szCs w:val="22"/>
              </w:rPr>
              <w:lastRenderedPageBreak/>
              <w:t>(41.54)</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b/>
                <w:color w:val="000000"/>
                <w:sz w:val="22"/>
                <w:szCs w:val="22"/>
              </w:rPr>
            </w:pPr>
            <w:r w:rsidRPr="00472480">
              <w:rPr>
                <w:rFonts w:hint="eastAsia"/>
                <w:b/>
                <w:color w:val="000000"/>
                <w:sz w:val="22"/>
                <w:szCs w:val="22"/>
              </w:rPr>
              <w:lastRenderedPageBreak/>
              <w:t>606,260</w:t>
            </w:r>
          </w:p>
          <w:p w:rsidR="006430CF" w:rsidRPr="00472480" w:rsidRDefault="0075602C" w:rsidP="00CB6F43">
            <w:pPr>
              <w:pStyle w:val="142"/>
              <w:jc w:val="right"/>
              <w:rPr>
                <w:b/>
                <w:sz w:val="22"/>
                <w:szCs w:val="22"/>
              </w:rPr>
            </w:pPr>
            <w:r w:rsidRPr="00472480">
              <w:rPr>
                <w:rFonts w:hint="eastAsia"/>
                <w:b/>
                <w:color w:val="000000"/>
                <w:sz w:val="22"/>
                <w:szCs w:val="22"/>
              </w:rPr>
              <w:lastRenderedPageBreak/>
              <w:t>(17.15)</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lastRenderedPageBreak/>
              <w:t>136,907</w:t>
            </w:r>
          </w:p>
          <w:p w:rsidR="006430CF" w:rsidRPr="00472480" w:rsidRDefault="00B04840" w:rsidP="00CB6F43">
            <w:pPr>
              <w:pStyle w:val="142"/>
              <w:jc w:val="right"/>
              <w:rPr>
                <w:b/>
                <w:sz w:val="22"/>
                <w:szCs w:val="22"/>
              </w:rPr>
            </w:pPr>
            <w:r w:rsidRPr="00472480">
              <w:rPr>
                <w:rFonts w:hint="eastAsia"/>
                <w:b/>
                <w:color w:val="000000"/>
                <w:sz w:val="22"/>
                <w:szCs w:val="22"/>
              </w:rPr>
              <w:lastRenderedPageBreak/>
              <w:t>(3.87)</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lastRenderedPageBreak/>
              <w:t>23,510</w:t>
            </w:r>
          </w:p>
          <w:p w:rsidR="006430CF" w:rsidRPr="00472480" w:rsidRDefault="00B04840" w:rsidP="00CB6F43">
            <w:pPr>
              <w:pStyle w:val="142"/>
              <w:jc w:val="right"/>
              <w:rPr>
                <w:b/>
                <w:sz w:val="22"/>
                <w:szCs w:val="22"/>
              </w:rPr>
            </w:pPr>
            <w:r w:rsidRPr="00472480">
              <w:rPr>
                <w:rFonts w:hint="eastAsia"/>
                <w:b/>
                <w:color w:val="000000"/>
                <w:sz w:val="22"/>
                <w:szCs w:val="22"/>
              </w:rPr>
              <w:lastRenderedPageBreak/>
              <w:t>(0.67)</w:t>
            </w:r>
            <w:r w:rsidR="006430CF" w:rsidRPr="00472480">
              <w:rPr>
                <w:rFonts w:hint="eastAsia"/>
                <w:b/>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b/>
                <w:color w:val="000000"/>
                <w:sz w:val="22"/>
                <w:szCs w:val="22"/>
              </w:rPr>
            </w:pPr>
            <w:r w:rsidRPr="00472480">
              <w:rPr>
                <w:rFonts w:hint="eastAsia"/>
                <w:b/>
                <w:color w:val="000000"/>
                <w:sz w:val="22"/>
                <w:szCs w:val="22"/>
              </w:rPr>
              <w:lastRenderedPageBreak/>
              <w:t>3,535,198</w:t>
            </w:r>
          </w:p>
          <w:p w:rsidR="006430CF" w:rsidRPr="00472480" w:rsidRDefault="00211DB8" w:rsidP="00CB6F43">
            <w:pPr>
              <w:pStyle w:val="142"/>
              <w:jc w:val="right"/>
              <w:rPr>
                <w:b/>
                <w:sz w:val="22"/>
                <w:szCs w:val="22"/>
              </w:rPr>
            </w:pPr>
            <w:r w:rsidRPr="00472480">
              <w:rPr>
                <w:rFonts w:hint="eastAsia"/>
                <w:b/>
                <w:color w:val="000000"/>
                <w:sz w:val="22"/>
                <w:szCs w:val="22"/>
              </w:rPr>
              <w:lastRenderedPageBreak/>
              <w:t>(100.00)</w:t>
            </w:r>
            <w:r w:rsidR="006430CF" w:rsidRPr="00472480">
              <w:rPr>
                <w:rFonts w:hint="eastAsia"/>
                <w:b/>
                <w:color w:val="000000"/>
                <w:sz w:val="22"/>
                <w:szCs w:val="22"/>
              </w:rPr>
              <w:t xml:space="preserve"> </w:t>
            </w:r>
          </w:p>
        </w:tc>
      </w:tr>
      <w:tr w:rsidR="006430CF" w:rsidTr="00CB6F43">
        <w:tc>
          <w:tcPr>
            <w:tcW w:w="868" w:type="dxa"/>
            <w:tcBorders>
              <w:left w:val="single" w:sz="12" w:space="0" w:color="auto"/>
              <w:bottom w:val="single" w:sz="12" w:space="0" w:color="auto"/>
            </w:tcBorders>
            <w:shd w:val="clear" w:color="auto" w:fill="auto"/>
            <w:vAlign w:val="center"/>
          </w:tcPr>
          <w:p w:rsidR="006430CF" w:rsidRPr="00472480" w:rsidRDefault="006430CF" w:rsidP="00CB6F43">
            <w:pPr>
              <w:pStyle w:val="142"/>
              <w:jc w:val="center"/>
              <w:rPr>
                <w:b/>
              </w:rPr>
            </w:pPr>
            <w:r w:rsidRPr="00472480">
              <w:rPr>
                <w:rFonts w:hint="eastAsia"/>
                <w:b/>
              </w:rPr>
              <w:lastRenderedPageBreak/>
              <w:t>114</w:t>
            </w:r>
          </w:p>
        </w:tc>
        <w:tc>
          <w:tcPr>
            <w:tcW w:w="1206" w:type="dxa"/>
            <w:tcBorders>
              <w:top w:val="single" w:sz="4" w:space="0" w:color="auto"/>
              <w:left w:val="nil"/>
              <w:bottom w:val="single" w:sz="12" w:space="0" w:color="auto"/>
              <w:right w:val="single" w:sz="4" w:space="0" w:color="auto"/>
            </w:tcBorders>
            <w:shd w:val="clear" w:color="auto" w:fill="auto"/>
            <w:vAlign w:val="center"/>
          </w:tcPr>
          <w:p w:rsidR="00FF7351" w:rsidRPr="00472480" w:rsidRDefault="006430CF" w:rsidP="00CB6F43">
            <w:pPr>
              <w:pStyle w:val="142"/>
              <w:jc w:val="right"/>
              <w:rPr>
                <w:b/>
                <w:color w:val="000000"/>
                <w:sz w:val="22"/>
                <w:szCs w:val="22"/>
              </w:rPr>
            </w:pPr>
            <w:r w:rsidRPr="00472480">
              <w:rPr>
                <w:rFonts w:hint="eastAsia"/>
                <w:b/>
                <w:color w:val="000000"/>
                <w:sz w:val="22"/>
                <w:szCs w:val="22"/>
              </w:rPr>
              <w:t>1,345,750</w:t>
            </w:r>
          </w:p>
          <w:p w:rsidR="006430CF" w:rsidRPr="00472480" w:rsidRDefault="00FF7351" w:rsidP="00CB6F43">
            <w:pPr>
              <w:pStyle w:val="142"/>
              <w:jc w:val="right"/>
              <w:rPr>
                <w:b/>
                <w:sz w:val="22"/>
                <w:szCs w:val="22"/>
              </w:rPr>
            </w:pPr>
            <w:r w:rsidRPr="00472480">
              <w:rPr>
                <w:rFonts w:hint="eastAsia"/>
                <w:b/>
                <w:color w:val="000000"/>
                <w:sz w:val="22"/>
                <w:szCs w:val="22"/>
              </w:rPr>
              <w:t>(38.05)</w:t>
            </w:r>
            <w:r w:rsidR="006430CF" w:rsidRPr="00472480">
              <w:rPr>
                <w:rFonts w:hint="eastAsia"/>
                <w:b/>
                <w:color w:val="000000"/>
                <w:sz w:val="22"/>
                <w:szCs w:val="22"/>
              </w:rPr>
              <w:t xml:space="preserve"> </w:t>
            </w:r>
          </w:p>
        </w:tc>
        <w:tc>
          <w:tcPr>
            <w:tcW w:w="1206" w:type="dxa"/>
            <w:tcBorders>
              <w:top w:val="single" w:sz="4" w:space="0" w:color="auto"/>
              <w:left w:val="single" w:sz="4" w:space="0" w:color="auto"/>
              <w:bottom w:val="single" w:sz="12" w:space="0" w:color="auto"/>
              <w:right w:val="single" w:sz="4" w:space="0" w:color="auto"/>
            </w:tcBorders>
            <w:shd w:val="clear" w:color="auto" w:fill="auto"/>
            <w:vAlign w:val="center"/>
          </w:tcPr>
          <w:p w:rsidR="00971956" w:rsidRPr="00472480" w:rsidRDefault="006430CF" w:rsidP="00CB6F43">
            <w:pPr>
              <w:pStyle w:val="142"/>
              <w:jc w:val="right"/>
              <w:rPr>
                <w:b/>
                <w:color w:val="000000"/>
                <w:sz w:val="22"/>
                <w:szCs w:val="22"/>
              </w:rPr>
            </w:pPr>
            <w:r w:rsidRPr="00472480">
              <w:rPr>
                <w:rFonts w:hint="eastAsia"/>
                <w:b/>
                <w:color w:val="000000"/>
                <w:sz w:val="22"/>
                <w:szCs w:val="22"/>
              </w:rPr>
              <w:t>1,369,269</w:t>
            </w:r>
          </w:p>
          <w:p w:rsidR="006430CF" w:rsidRPr="00472480" w:rsidRDefault="00971956" w:rsidP="00CB6F43">
            <w:pPr>
              <w:pStyle w:val="142"/>
              <w:jc w:val="right"/>
              <w:rPr>
                <w:b/>
                <w:color w:val="000000"/>
                <w:sz w:val="22"/>
                <w:szCs w:val="22"/>
              </w:rPr>
            </w:pPr>
            <w:r w:rsidRPr="00472480">
              <w:rPr>
                <w:rFonts w:hint="eastAsia"/>
                <w:b/>
                <w:color w:val="000000"/>
                <w:sz w:val="22"/>
                <w:szCs w:val="22"/>
              </w:rPr>
              <w:t>(38.72)</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single" w:sz="4" w:space="0" w:color="auto"/>
            </w:tcBorders>
            <w:shd w:val="clear" w:color="auto" w:fill="auto"/>
            <w:vAlign w:val="center"/>
          </w:tcPr>
          <w:p w:rsidR="0075602C" w:rsidRPr="00472480" w:rsidRDefault="006430CF" w:rsidP="00CB6F43">
            <w:pPr>
              <w:pStyle w:val="142"/>
              <w:jc w:val="right"/>
              <w:rPr>
                <w:b/>
                <w:color w:val="000000"/>
                <w:sz w:val="22"/>
                <w:szCs w:val="22"/>
              </w:rPr>
            </w:pPr>
            <w:r w:rsidRPr="00472480">
              <w:rPr>
                <w:rFonts w:hint="eastAsia"/>
                <w:b/>
                <w:color w:val="000000"/>
                <w:sz w:val="22"/>
                <w:szCs w:val="22"/>
              </w:rPr>
              <w:t>650,816</w:t>
            </w:r>
          </w:p>
          <w:p w:rsidR="006430CF" w:rsidRPr="00472480" w:rsidRDefault="0075602C" w:rsidP="00CB6F43">
            <w:pPr>
              <w:pStyle w:val="142"/>
              <w:jc w:val="right"/>
              <w:rPr>
                <w:b/>
                <w:sz w:val="22"/>
                <w:szCs w:val="22"/>
              </w:rPr>
            </w:pPr>
            <w:r w:rsidRPr="00472480">
              <w:rPr>
                <w:rFonts w:hint="eastAsia"/>
                <w:b/>
                <w:color w:val="000000"/>
                <w:sz w:val="22"/>
                <w:szCs w:val="22"/>
              </w:rPr>
              <w:t>(18.40)</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sing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143,839</w:t>
            </w:r>
          </w:p>
          <w:p w:rsidR="006430CF" w:rsidRPr="00472480" w:rsidRDefault="00B04840" w:rsidP="00CB6F43">
            <w:pPr>
              <w:pStyle w:val="142"/>
              <w:jc w:val="right"/>
              <w:rPr>
                <w:b/>
                <w:sz w:val="22"/>
                <w:szCs w:val="22"/>
              </w:rPr>
            </w:pPr>
            <w:r w:rsidRPr="00472480">
              <w:rPr>
                <w:rFonts w:hint="eastAsia"/>
                <w:b/>
                <w:color w:val="000000"/>
                <w:sz w:val="22"/>
                <w:szCs w:val="22"/>
              </w:rPr>
              <w:t>(4.07)</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doub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26,741</w:t>
            </w:r>
          </w:p>
          <w:p w:rsidR="006430CF" w:rsidRPr="00472480" w:rsidRDefault="00B04840" w:rsidP="00CB6F43">
            <w:pPr>
              <w:pStyle w:val="142"/>
              <w:jc w:val="right"/>
              <w:rPr>
                <w:b/>
                <w:sz w:val="22"/>
                <w:szCs w:val="22"/>
              </w:rPr>
            </w:pPr>
            <w:r w:rsidRPr="00472480">
              <w:rPr>
                <w:rFonts w:hint="eastAsia"/>
                <w:b/>
                <w:color w:val="000000"/>
                <w:sz w:val="22"/>
                <w:szCs w:val="22"/>
              </w:rPr>
              <w:t>(0.76)</w:t>
            </w:r>
            <w:r w:rsidR="006430CF" w:rsidRPr="00472480">
              <w:rPr>
                <w:rFonts w:hint="eastAsia"/>
                <w:b/>
                <w:color w:val="000000"/>
                <w:sz w:val="22"/>
                <w:szCs w:val="22"/>
              </w:rPr>
              <w:t xml:space="preserve"> </w:t>
            </w:r>
          </w:p>
        </w:tc>
        <w:tc>
          <w:tcPr>
            <w:tcW w:w="1190" w:type="dxa"/>
            <w:tcBorders>
              <w:top w:val="single" w:sz="4" w:space="0" w:color="auto"/>
              <w:left w:val="double" w:sz="4" w:space="0" w:color="auto"/>
              <w:bottom w:val="single" w:sz="12" w:space="0" w:color="auto"/>
              <w:right w:val="single" w:sz="12" w:space="0" w:color="auto"/>
            </w:tcBorders>
            <w:shd w:val="clear" w:color="auto" w:fill="auto"/>
            <w:vAlign w:val="center"/>
          </w:tcPr>
          <w:p w:rsidR="00211DB8" w:rsidRPr="00472480" w:rsidRDefault="006430CF" w:rsidP="00CB6F43">
            <w:pPr>
              <w:pStyle w:val="142"/>
              <w:jc w:val="right"/>
              <w:rPr>
                <w:b/>
                <w:color w:val="000000"/>
                <w:sz w:val="22"/>
                <w:szCs w:val="22"/>
              </w:rPr>
            </w:pPr>
            <w:r w:rsidRPr="00472480">
              <w:rPr>
                <w:rFonts w:hint="eastAsia"/>
                <w:b/>
                <w:color w:val="000000"/>
                <w:sz w:val="22"/>
                <w:szCs w:val="22"/>
              </w:rPr>
              <w:t>3,536,415</w:t>
            </w:r>
          </w:p>
          <w:p w:rsidR="006430CF" w:rsidRPr="00472480" w:rsidRDefault="00211DB8" w:rsidP="00CB6F43">
            <w:pPr>
              <w:pStyle w:val="142"/>
              <w:jc w:val="right"/>
              <w:rPr>
                <w:b/>
                <w:sz w:val="22"/>
                <w:szCs w:val="22"/>
              </w:rPr>
            </w:pPr>
            <w:r w:rsidRPr="00472480">
              <w:rPr>
                <w:rFonts w:hint="eastAsia"/>
                <w:b/>
                <w:color w:val="000000"/>
                <w:sz w:val="22"/>
                <w:szCs w:val="22"/>
              </w:rPr>
              <w:t>(100.00)</w:t>
            </w:r>
            <w:r w:rsidR="006430CF" w:rsidRPr="00472480">
              <w:rPr>
                <w:rFonts w:hint="eastAsia"/>
                <w:b/>
                <w:color w:val="000000"/>
                <w:sz w:val="22"/>
                <w:szCs w:val="22"/>
              </w:rPr>
              <w:t xml:space="preserve"> </w:t>
            </w:r>
          </w:p>
        </w:tc>
      </w:tr>
    </w:tbl>
    <w:p w:rsidR="00FC0072" w:rsidRDefault="00951E75" w:rsidP="00FC0072">
      <w:pPr>
        <w:spacing w:line="280" w:lineRule="exact"/>
        <w:ind w:leftChars="-64" w:left="-1" w:hangingChars="74" w:hanging="180"/>
        <w:jc w:val="left"/>
        <w:rPr>
          <w:rFonts w:hAnsi="標楷體"/>
          <w:sz w:val="24"/>
        </w:rPr>
      </w:pPr>
      <w:r>
        <w:rPr>
          <w:rFonts w:hint="eastAsia"/>
          <w:sz w:val="24"/>
        </w:rPr>
        <w:t xml:space="preserve">     </w:t>
      </w:r>
      <w:r w:rsidR="00FC0072">
        <w:rPr>
          <w:rFonts w:hint="eastAsia"/>
          <w:sz w:val="24"/>
        </w:rPr>
        <w:t>說    明</w:t>
      </w:r>
      <w:r w:rsidR="00FC0072">
        <w:rPr>
          <w:rFonts w:ascii="新細明體" w:eastAsia="新細明體" w:hAnsi="新細明體" w:hint="eastAsia"/>
          <w:sz w:val="24"/>
        </w:rPr>
        <w:t>：</w:t>
      </w:r>
      <w:r w:rsidR="00FF7FAC" w:rsidRPr="00FF7FAC">
        <w:rPr>
          <w:rFonts w:hAnsi="標楷體" w:hint="eastAsia"/>
          <w:sz w:val="24"/>
        </w:rPr>
        <w:t>1.</w:t>
      </w:r>
      <w:r w:rsidR="00FC0072" w:rsidRPr="00FF7FAC">
        <w:rPr>
          <w:rFonts w:hAnsi="標楷體" w:hint="eastAsia"/>
          <w:sz w:val="24"/>
        </w:rPr>
        <w:t>106</w:t>
      </w:r>
      <w:r w:rsidR="00FC0072">
        <w:rPr>
          <w:rFonts w:hint="eastAsia"/>
          <w:sz w:val="24"/>
        </w:rPr>
        <w:t>至112年度均為決算數</w:t>
      </w:r>
      <w:r w:rsidR="00FC0072">
        <w:rPr>
          <w:rFonts w:hAnsi="標楷體" w:hint="eastAsia"/>
          <w:sz w:val="24"/>
        </w:rPr>
        <w:t>，</w:t>
      </w:r>
      <w:r w:rsidR="00CA344C">
        <w:rPr>
          <w:rFonts w:hAnsi="標楷體" w:hint="eastAsia"/>
          <w:sz w:val="24"/>
        </w:rPr>
        <w:t>113、114年度為</w:t>
      </w:r>
      <w:r w:rsidR="00CA344C" w:rsidRPr="00CE1050">
        <w:rPr>
          <w:rFonts w:hAnsi="標楷體" w:hint="eastAsia"/>
          <w:b/>
          <w:sz w:val="24"/>
        </w:rPr>
        <w:t>預算案數</w:t>
      </w:r>
      <w:r w:rsidR="00CA344C">
        <w:rPr>
          <w:rFonts w:hAnsi="標楷體" w:hint="eastAsia"/>
          <w:sz w:val="24"/>
        </w:rPr>
        <w:t>。</w:t>
      </w:r>
    </w:p>
    <w:p w:rsidR="00FF7FAC" w:rsidRDefault="00FF7FAC" w:rsidP="00FC0072">
      <w:pPr>
        <w:spacing w:line="280" w:lineRule="exact"/>
        <w:ind w:leftChars="-64" w:left="-1" w:hangingChars="74" w:hanging="180"/>
        <w:jc w:val="left"/>
        <w:rPr>
          <w:rFonts w:hAnsi="標楷體"/>
          <w:sz w:val="24"/>
        </w:rPr>
      </w:pPr>
      <w:r>
        <w:rPr>
          <w:rFonts w:hAnsi="標楷體" w:hint="eastAsia"/>
          <w:sz w:val="24"/>
        </w:rPr>
        <w:t xml:space="preserve">               2.欄位下方括弧內數據係該項收入占同年度整體基金來源之比率</w:t>
      </w:r>
      <w:r w:rsidR="00E34E7B">
        <w:rPr>
          <w:rFonts w:hAnsi="標楷體" w:hint="eastAsia"/>
          <w:sz w:val="24"/>
        </w:rPr>
        <w:t>。</w:t>
      </w:r>
    </w:p>
    <w:p w:rsidR="00E57AC6" w:rsidRDefault="00E57AC6" w:rsidP="00E57AC6">
      <w:pPr>
        <w:spacing w:line="280" w:lineRule="exact"/>
        <w:ind w:leftChars="-64" w:left="1765" w:hangingChars="800" w:hanging="1946"/>
        <w:jc w:val="left"/>
        <w:rPr>
          <w:rFonts w:hint="eastAsia"/>
          <w:sz w:val="24"/>
        </w:rPr>
      </w:pPr>
      <w:r>
        <w:rPr>
          <w:rFonts w:hAnsi="標楷體" w:hint="eastAsia"/>
          <w:sz w:val="24"/>
        </w:rPr>
        <w:t xml:space="preserve">               3.其他來源收入包括利息收入、其他收入(如外界捐款、員工宿舍使用等收入)、租金收入及財產處分收入等。</w:t>
      </w:r>
    </w:p>
    <w:p w:rsidR="00FC0072" w:rsidRPr="004704B3" w:rsidRDefault="00FC0072" w:rsidP="00FC0072">
      <w:pPr>
        <w:spacing w:line="280" w:lineRule="exact"/>
        <w:ind w:leftChars="-64" w:left="-1" w:hangingChars="74" w:hanging="180"/>
        <w:jc w:val="left"/>
        <w:rPr>
          <w:sz w:val="24"/>
        </w:rPr>
      </w:pPr>
      <w:r>
        <w:rPr>
          <w:rFonts w:hint="eastAsia"/>
          <w:sz w:val="24"/>
        </w:rPr>
        <w:t xml:space="preserve">     </w:t>
      </w:r>
      <w:r w:rsidRPr="004704B3">
        <w:rPr>
          <w:rFonts w:hint="eastAsia"/>
          <w:sz w:val="24"/>
        </w:rPr>
        <w:t>資料來源：社福基金</w:t>
      </w:r>
      <w:r>
        <w:rPr>
          <w:rFonts w:hint="eastAsia"/>
          <w:sz w:val="24"/>
        </w:rPr>
        <w:t>各年度預</w:t>
      </w:r>
      <w:r>
        <w:rPr>
          <w:rFonts w:hAnsi="標楷體" w:hint="eastAsia"/>
          <w:sz w:val="24"/>
        </w:rPr>
        <w:t>、</w:t>
      </w:r>
      <w:r>
        <w:rPr>
          <w:rFonts w:hint="eastAsia"/>
          <w:sz w:val="24"/>
        </w:rPr>
        <w:t>決算資料</w:t>
      </w:r>
      <w:r w:rsidRPr="004704B3">
        <w:rPr>
          <w:rFonts w:hint="eastAsia"/>
          <w:sz w:val="24"/>
        </w:rPr>
        <w:t>。</w:t>
      </w:r>
    </w:p>
    <w:p w:rsidR="00D75798" w:rsidRPr="00574700" w:rsidRDefault="00574700" w:rsidP="003E30CE">
      <w:pPr>
        <w:ind w:left="849" w:hangingChars="100" w:hanging="283"/>
      </w:pPr>
      <w:r w:rsidRPr="00EA4373">
        <w:rPr>
          <w:rFonts w:hint="eastAsia"/>
          <w:b/>
        </w:rPr>
        <w:t>(</w:t>
      </w:r>
      <w:r>
        <w:rPr>
          <w:rFonts w:hint="eastAsia"/>
          <w:b/>
        </w:rPr>
        <w:t>二</w:t>
      </w:r>
      <w:r w:rsidRPr="00EA4373">
        <w:rPr>
          <w:rFonts w:hint="eastAsia"/>
          <w:b/>
        </w:rPr>
        <w:t>)</w:t>
      </w:r>
      <w:r w:rsidR="005D43C5">
        <w:rPr>
          <w:rFonts w:hint="eastAsia"/>
          <w:b/>
        </w:rPr>
        <w:t>鑒於</w:t>
      </w:r>
      <w:r w:rsidR="00023AEA">
        <w:rPr>
          <w:rFonts w:hint="eastAsia"/>
          <w:b/>
        </w:rPr>
        <w:t>社福</w:t>
      </w:r>
      <w:r w:rsidR="005D43C5">
        <w:rPr>
          <w:rFonts w:hint="eastAsia"/>
          <w:b/>
        </w:rPr>
        <w:t>基金</w:t>
      </w:r>
      <w:r>
        <w:rPr>
          <w:rFonts w:hint="eastAsia"/>
          <w:b/>
        </w:rPr>
        <w:t>近年</w:t>
      </w:r>
      <w:r w:rsidR="005D43C5">
        <w:rPr>
          <w:rFonts w:hint="eastAsia"/>
          <w:b/>
        </w:rPr>
        <w:t>收支比率呈下滑趨勢</w:t>
      </w:r>
      <w:r>
        <w:rPr>
          <w:rFonts w:hAnsi="標楷體" w:hint="eastAsia"/>
          <w:b/>
        </w:rPr>
        <w:t>，</w:t>
      </w:r>
      <w:r w:rsidR="003E30CE">
        <w:rPr>
          <w:rFonts w:hAnsi="標楷體" w:hint="eastAsia"/>
          <w:b/>
        </w:rPr>
        <w:t>允宜擬妥開源節流措施</w:t>
      </w:r>
      <w:r w:rsidR="008F2927">
        <w:rPr>
          <w:rFonts w:hAnsi="標楷體" w:hint="eastAsia"/>
          <w:b/>
        </w:rPr>
        <w:t>，</w:t>
      </w:r>
      <w:r w:rsidR="00751EDA">
        <w:rPr>
          <w:rFonts w:hAnsi="標楷體" w:hint="eastAsia"/>
          <w:b/>
        </w:rPr>
        <w:t>俾減輕公庫撥補負擔</w:t>
      </w:r>
    </w:p>
    <w:p w:rsidR="00A92318" w:rsidRDefault="00520D6C" w:rsidP="004704B3">
      <w:pPr>
        <w:adjustRightInd w:val="0"/>
        <w:ind w:leftChars="300" w:left="850" w:firstLine="566"/>
        <w:rPr>
          <w:rFonts w:hAnsi="標楷體"/>
        </w:rPr>
      </w:pPr>
      <w:r>
        <w:rPr>
          <w:rFonts w:hint="eastAsia"/>
        </w:rPr>
        <w:t>對照</w:t>
      </w:r>
      <w:r w:rsidR="00023AEA">
        <w:rPr>
          <w:rFonts w:hint="eastAsia"/>
        </w:rPr>
        <w:t>社福</w:t>
      </w:r>
      <w:r w:rsidR="00AB35EB">
        <w:rPr>
          <w:rFonts w:hint="eastAsia"/>
        </w:rPr>
        <w:t>基金</w:t>
      </w:r>
      <w:r>
        <w:rPr>
          <w:rFonts w:hint="eastAsia"/>
        </w:rPr>
        <w:t>用途所推動之業務計畫與基金來源</w:t>
      </w:r>
      <w:r w:rsidR="00A92318">
        <w:rPr>
          <w:rFonts w:hint="eastAsia"/>
        </w:rPr>
        <w:t>內容</w:t>
      </w:r>
      <w:r>
        <w:rPr>
          <w:rFonts w:hint="eastAsia"/>
        </w:rPr>
        <w:t>可悉</w:t>
      </w:r>
      <w:r>
        <w:rPr>
          <w:rFonts w:hAnsi="標楷體" w:hint="eastAsia"/>
        </w:rPr>
        <w:t>，</w:t>
      </w:r>
      <w:r>
        <w:rPr>
          <w:rFonts w:hint="eastAsia"/>
        </w:rPr>
        <w:t>除經費規模較小之</w:t>
      </w:r>
      <w:r>
        <w:rPr>
          <w:rFonts w:hAnsi="標楷體" w:hint="eastAsia"/>
        </w:rPr>
        <w:t>「</w:t>
      </w:r>
      <w:r>
        <w:rPr>
          <w:rFonts w:hint="eastAsia"/>
        </w:rPr>
        <w:t>一般行政管理計畫</w:t>
      </w:r>
      <w:r>
        <w:rPr>
          <w:rFonts w:ascii="新細明體" w:eastAsia="新細明體" w:hAnsi="新細明體" w:hint="eastAsia"/>
        </w:rPr>
        <w:t>」</w:t>
      </w:r>
      <w:r w:rsidR="005041DB">
        <w:rPr>
          <w:rFonts w:hAnsi="標楷體" w:hint="eastAsia"/>
        </w:rPr>
        <w:t>、透過</w:t>
      </w:r>
      <w:r>
        <w:rPr>
          <w:rFonts w:hint="eastAsia"/>
        </w:rPr>
        <w:t>前瞻基礎建設計畫特別預算公庫撥補挹注收入支應之</w:t>
      </w:r>
      <w:r>
        <w:rPr>
          <w:rFonts w:hAnsi="標楷體" w:hint="eastAsia"/>
        </w:rPr>
        <w:t>「</w:t>
      </w:r>
      <w:r>
        <w:rPr>
          <w:rFonts w:hint="eastAsia"/>
        </w:rPr>
        <w:t>增設及</w:t>
      </w:r>
      <w:r w:rsidR="005041DB">
        <w:rPr>
          <w:rFonts w:hint="eastAsia"/>
        </w:rPr>
        <w:t>改善公設兒少緊急及中長期安置機構計畫</w:t>
      </w:r>
      <w:r w:rsidR="005041DB">
        <w:rPr>
          <w:rFonts w:hAnsi="標楷體" w:hint="eastAsia"/>
        </w:rPr>
        <w:t>」</w:t>
      </w:r>
      <w:r>
        <w:rPr>
          <w:rFonts w:hint="eastAsia"/>
        </w:rPr>
        <w:t>業務計畫</w:t>
      </w:r>
      <w:r w:rsidR="005041DB">
        <w:rPr>
          <w:rFonts w:hAnsi="標楷體" w:hint="eastAsia"/>
        </w:rPr>
        <w:t>，以及藉由政府其他撥入收入(主要係財政部公益彩券回饋金收入)支應之「公彩回饋推展社福計畫」外，基金用途經費規模最大之「福利服務計畫」</w:t>
      </w:r>
      <w:r w:rsidR="00A92318">
        <w:rPr>
          <w:rFonts w:hAnsi="標楷體" w:hint="eastAsia"/>
        </w:rPr>
        <w:t>主要係仰賴包括菸捐、服務收入等其他基金來源支應。基金來源之適足性可依基金收支比率(基金來源合計數/基金用途合計數)觀察，倘該比率大於100%，表示整體基金來源可以完全支應基金用途之業務計畫經費需求，倘該比率未及100%，則反映基金來源</w:t>
      </w:r>
      <w:r w:rsidR="00522EF5">
        <w:rPr>
          <w:rFonts w:hAnsi="標楷體" w:hint="eastAsia"/>
        </w:rPr>
        <w:t>無法支應基金營運之所需，將產生收支短絀。</w:t>
      </w:r>
    </w:p>
    <w:p w:rsidR="00AB35EB" w:rsidRPr="004B115D" w:rsidRDefault="00F17197" w:rsidP="004704B3">
      <w:pPr>
        <w:adjustRightInd w:val="0"/>
        <w:ind w:leftChars="300" w:left="850" w:firstLine="566"/>
      </w:pPr>
      <w:r>
        <w:rPr>
          <w:rFonts w:hint="eastAsia"/>
        </w:rPr>
        <w:t>依106至11</w:t>
      </w:r>
      <w:r w:rsidR="00AB35EB">
        <w:rPr>
          <w:rFonts w:hint="eastAsia"/>
        </w:rPr>
        <w:t>4年度</w:t>
      </w:r>
      <w:r w:rsidR="00023AEA">
        <w:rPr>
          <w:rFonts w:hint="eastAsia"/>
        </w:rPr>
        <w:t>社福</w:t>
      </w:r>
      <w:r w:rsidR="00522EF5">
        <w:rPr>
          <w:rFonts w:hint="eastAsia"/>
        </w:rPr>
        <w:t>基金</w:t>
      </w:r>
      <w:r w:rsidR="00023AEA">
        <w:rPr>
          <w:rFonts w:hint="eastAsia"/>
        </w:rPr>
        <w:t>主要</w:t>
      </w:r>
      <w:r w:rsidR="00522EF5">
        <w:rPr>
          <w:rFonts w:hint="eastAsia"/>
        </w:rPr>
        <w:t>來源</w:t>
      </w:r>
      <w:r w:rsidR="00522EF5">
        <w:rPr>
          <w:rFonts w:hAnsi="標楷體" w:hint="eastAsia"/>
        </w:rPr>
        <w:t>、</w:t>
      </w:r>
      <w:r w:rsidR="00522EF5">
        <w:rPr>
          <w:rFonts w:hint="eastAsia"/>
        </w:rPr>
        <w:t>用途之</w:t>
      </w:r>
      <w:r w:rsidR="00AB35EB">
        <w:rPr>
          <w:rFonts w:hint="eastAsia"/>
        </w:rPr>
        <w:t>預</w:t>
      </w:r>
      <w:r w:rsidR="00AB35EB">
        <w:rPr>
          <w:rFonts w:hAnsi="標楷體" w:hint="eastAsia"/>
        </w:rPr>
        <w:t>、</w:t>
      </w:r>
      <w:r>
        <w:rPr>
          <w:rFonts w:hint="eastAsia"/>
        </w:rPr>
        <w:t>決算</w:t>
      </w:r>
      <w:r w:rsidR="00AB35EB">
        <w:rPr>
          <w:rFonts w:hint="eastAsia"/>
        </w:rPr>
        <w:t>資料</w:t>
      </w:r>
      <w:r w:rsidR="00522EF5">
        <w:rPr>
          <w:rFonts w:hint="eastAsia"/>
        </w:rPr>
        <w:t>(詳表2)</w:t>
      </w:r>
      <w:r w:rsidR="00AB35EB">
        <w:rPr>
          <w:rFonts w:hAnsi="標楷體" w:hint="eastAsia"/>
        </w:rPr>
        <w:t>，</w:t>
      </w:r>
      <w:r w:rsidR="001E299C">
        <w:rPr>
          <w:rFonts w:hAnsi="標楷體" w:hint="eastAsia"/>
        </w:rPr>
        <w:t>基金來源合計數自106年度</w:t>
      </w:r>
      <w:r w:rsidR="007B4B9C">
        <w:rPr>
          <w:rFonts w:hAnsi="標楷體" w:hint="eastAsia"/>
        </w:rPr>
        <w:t>決算</w:t>
      </w:r>
      <w:r w:rsidR="001E299C">
        <w:rPr>
          <w:rFonts w:hAnsi="標楷體" w:hint="eastAsia"/>
        </w:rPr>
        <w:t>之44億5</w:t>
      </w:r>
      <w:r w:rsidR="001E299C">
        <w:rPr>
          <w:rFonts w:hAnsi="標楷體"/>
        </w:rPr>
        <w:t>,</w:t>
      </w:r>
      <w:r w:rsidR="001E299C">
        <w:rPr>
          <w:rFonts w:hAnsi="標楷體" w:hint="eastAsia"/>
        </w:rPr>
        <w:t>086萬1千元降至112年度之35億7</w:t>
      </w:r>
      <w:r w:rsidR="001E299C">
        <w:rPr>
          <w:rFonts w:hAnsi="標楷體"/>
        </w:rPr>
        <w:t>,</w:t>
      </w:r>
      <w:r w:rsidR="001E299C">
        <w:rPr>
          <w:rFonts w:hAnsi="標楷體" w:hint="eastAsia"/>
        </w:rPr>
        <w:t>484萬9千元，基金用途合計數則自36億1</w:t>
      </w:r>
      <w:r w:rsidR="001E299C">
        <w:rPr>
          <w:rFonts w:hAnsi="標楷體"/>
        </w:rPr>
        <w:t>,</w:t>
      </w:r>
      <w:r w:rsidR="001E299C">
        <w:rPr>
          <w:rFonts w:hAnsi="標楷體" w:hint="eastAsia"/>
        </w:rPr>
        <w:t>830萬2千元下滑至34億7</w:t>
      </w:r>
      <w:r w:rsidR="001E299C">
        <w:rPr>
          <w:rFonts w:hAnsi="標楷體"/>
        </w:rPr>
        <w:t>,</w:t>
      </w:r>
      <w:r w:rsidR="001E299C">
        <w:rPr>
          <w:rFonts w:hAnsi="標楷體" w:hint="eastAsia"/>
        </w:rPr>
        <w:t>731萬元，同期間基金收支比率自123.01%降至102.81%，呈逐年減少之情形；113、114年度</w:t>
      </w:r>
      <w:r w:rsidR="007B4B9C">
        <w:rPr>
          <w:rFonts w:hAnsi="標楷體" w:hint="eastAsia"/>
        </w:rPr>
        <w:t>預算案</w:t>
      </w:r>
      <w:r w:rsidR="001E299C">
        <w:rPr>
          <w:rFonts w:hAnsi="標楷體" w:hint="eastAsia"/>
        </w:rPr>
        <w:t>之基金來源合計數均預估35億餘元，基金用途合計數則預估40億元左右</w:t>
      </w:r>
      <w:r w:rsidR="004B115D">
        <w:rPr>
          <w:rFonts w:hAnsi="標楷體" w:hint="eastAsia"/>
        </w:rPr>
        <w:t>，預估基金收支比率均低於100%；進一步觀察支應福利服務計畫之菸捐分配收入與服務收入合計</w:t>
      </w:r>
      <w:r w:rsidR="004B115D">
        <w:rPr>
          <w:rFonts w:hAnsi="標楷體" w:hint="eastAsia"/>
        </w:rPr>
        <w:lastRenderedPageBreak/>
        <w:t>數，自106年度</w:t>
      </w:r>
      <w:r w:rsidR="007B4B9C">
        <w:rPr>
          <w:rFonts w:hAnsi="標楷體" w:hint="eastAsia"/>
        </w:rPr>
        <w:t>決算</w:t>
      </w:r>
      <w:r w:rsidR="004B115D">
        <w:rPr>
          <w:rFonts w:hAnsi="標楷體" w:hint="eastAsia"/>
        </w:rPr>
        <w:t>之29億1</w:t>
      </w:r>
      <w:r w:rsidR="004B115D">
        <w:rPr>
          <w:rFonts w:hAnsi="標楷體"/>
        </w:rPr>
        <w:t>,</w:t>
      </w:r>
      <w:r w:rsidR="004B115D">
        <w:rPr>
          <w:rFonts w:hAnsi="標楷體" w:hint="eastAsia"/>
        </w:rPr>
        <w:t>235萬8千元減至112年度之18億6</w:t>
      </w:r>
      <w:r w:rsidR="004B115D">
        <w:rPr>
          <w:rFonts w:hAnsi="標楷體"/>
        </w:rPr>
        <w:t>,</w:t>
      </w:r>
      <w:r w:rsidR="004B115D">
        <w:rPr>
          <w:rFonts w:hAnsi="標楷體" w:hint="eastAsia"/>
        </w:rPr>
        <w:t>893萬1千元，</w:t>
      </w:r>
      <w:r w:rsidR="00B74984">
        <w:rPr>
          <w:rFonts w:hAnsi="標楷體" w:hint="eastAsia"/>
        </w:rPr>
        <w:t>同期間</w:t>
      </w:r>
      <w:r w:rsidR="004B115D">
        <w:rPr>
          <w:rFonts w:hAnsi="標楷體" w:hint="eastAsia"/>
        </w:rPr>
        <w:t>福利服務計畫經費規模則自14億8</w:t>
      </w:r>
      <w:r w:rsidR="004B115D">
        <w:rPr>
          <w:rFonts w:hAnsi="標楷體"/>
        </w:rPr>
        <w:t>,</w:t>
      </w:r>
      <w:r w:rsidR="004B115D">
        <w:rPr>
          <w:rFonts w:hAnsi="標楷體" w:hint="eastAsia"/>
        </w:rPr>
        <w:t>572萬元增至19億9</w:t>
      </w:r>
      <w:r w:rsidR="004B115D">
        <w:rPr>
          <w:rFonts w:hAnsi="標楷體"/>
        </w:rPr>
        <w:t>,</w:t>
      </w:r>
      <w:r w:rsidR="004B115D">
        <w:rPr>
          <w:rFonts w:hAnsi="標楷體" w:hint="eastAsia"/>
        </w:rPr>
        <w:t>370萬6千元，福利服務計畫主要收支比率則自196.02%下滑至93.74%；</w:t>
      </w:r>
      <w:r w:rsidR="004B115D" w:rsidRPr="004B115D">
        <w:rPr>
          <w:rFonts w:hAnsi="標楷體" w:hint="eastAsia"/>
        </w:rPr>
        <w:t>113、114年度</w:t>
      </w:r>
      <w:r w:rsidR="00B74984">
        <w:rPr>
          <w:rFonts w:hAnsi="標楷體" w:hint="eastAsia"/>
        </w:rPr>
        <w:t>預算案</w:t>
      </w:r>
      <w:r w:rsidR="004B115D" w:rsidRPr="004B115D">
        <w:rPr>
          <w:rFonts w:hAnsi="標楷體" w:hint="eastAsia"/>
        </w:rPr>
        <w:t>之菸捐分配收入與服務收入合計數</w:t>
      </w:r>
      <w:r w:rsidR="004B115D">
        <w:rPr>
          <w:rFonts w:hAnsi="標楷體" w:hint="eastAsia"/>
        </w:rPr>
        <w:t>均預計19</w:t>
      </w:r>
      <w:r w:rsidR="004B115D" w:rsidRPr="004B115D">
        <w:rPr>
          <w:rFonts w:hAnsi="標楷體" w:hint="eastAsia"/>
        </w:rPr>
        <w:t>億餘元，</w:t>
      </w:r>
      <w:r w:rsidR="004B115D">
        <w:rPr>
          <w:rFonts w:hAnsi="標楷體" w:hint="eastAsia"/>
        </w:rPr>
        <w:t>福利服務計畫均預估25億餘元，該計畫主要收支比率</w:t>
      </w:r>
      <w:r w:rsidR="009E1E23">
        <w:rPr>
          <w:rFonts w:hAnsi="標楷體" w:hint="eastAsia"/>
        </w:rPr>
        <w:t>則分別為</w:t>
      </w:r>
      <w:r w:rsidR="00B74984">
        <w:rPr>
          <w:rFonts w:hAnsi="標楷體" w:hint="eastAsia"/>
        </w:rPr>
        <w:t>75.4</w:t>
      </w:r>
      <w:r w:rsidR="009E1E23">
        <w:rPr>
          <w:rFonts w:hAnsi="標楷體" w:hint="eastAsia"/>
        </w:rPr>
        <w:t>%、</w:t>
      </w:r>
      <w:r w:rsidR="00B74984">
        <w:rPr>
          <w:rFonts w:hAnsi="標楷體" w:hint="eastAsia"/>
        </w:rPr>
        <w:t>79</w:t>
      </w:r>
      <w:r w:rsidR="009E1E23">
        <w:rPr>
          <w:rFonts w:hAnsi="標楷體" w:hint="eastAsia"/>
        </w:rPr>
        <w:t>.</w:t>
      </w:r>
      <w:r w:rsidR="00B74984">
        <w:rPr>
          <w:rFonts w:hAnsi="標楷體" w:hint="eastAsia"/>
        </w:rPr>
        <w:t>52</w:t>
      </w:r>
      <w:r w:rsidR="009E1E23">
        <w:rPr>
          <w:rFonts w:hAnsi="標楷體" w:hint="eastAsia"/>
        </w:rPr>
        <w:t>%，亦即112年度以後，社福基金可能出現經費缺口，恐增加公庫撥補之負擔。</w:t>
      </w:r>
    </w:p>
    <w:p w:rsidR="00AB35EB" w:rsidRDefault="00163908" w:rsidP="004A70E3">
      <w:pPr>
        <w:adjustRightInd w:val="0"/>
        <w:spacing w:line="400" w:lineRule="exact"/>
        <w:ind w:leftChars="70" w:left="6095" w:firstLineChars="0" w:hanging="5897"/>
        <w:jc w:val="left"/>
      </w:pPr>
      <w:r>
        <w:rPr>
          <w:rFonts w:hint="eastAsia"/>
          <w:b/>
        </w:rPr>
        <w:t xml:space="preserve"> </w:t>
      </w:r>
      <w:r w:rsidR="00AB35EB" w:rsidRPr="004704B3">
        <w:rPr>
          <w:rFonts w:hint="eastAsia"/>
          <w:b/>
        </w:rPr>
        <w:t>表</w:t>
      </w:r>
      <w:r w:rsidR="00AB35EB">
        <w:rPr>
          <w:rFonts w:hint="eastAsia"/>
          <w:b/>
        </w:rPr>
        <w:t>2</w:t>
      </w:r>
      <w:r w:rsidR="00AB35EB" w:rsidRPr="004704B3">
        <w:rPr>
          <w:rFonts w:hint="eastAsia"/>
          <w:b/>
        </w:rPr>
        <w:t xml:space="preserve"> </w:t>
      </w:r>
      <w:r w:rsidR="00AB35EB">
        <w:rPr>
          <w:rFonts w:hint="eastAsia"/>
          <w:b/>
        </w:rPr>
        <w:t>106至114年度社福基金</w:t>
      </w:r>
      <w:r>
        <w:rPr>
          <w:rFonts w:hint="eastAsia"/>
          <w:b/>
        </w:rPr>
        <w:t>主要</w:t>
      </w:r>
      <w:r w:rsidR="00AB35EB">
        <w:rPr>
          <w:rFonts w:hint="eastAsia"/>
          <w:b/>
        </w:rPr>
        <w:t xml:space="preserve">來源及用途統計表             </w:t>
      </w:r>
      <w:r w:rsidR="002544FA">
        <w:rPr>
          <w:rFonts w:hint="eastAsia"/>
          <w:b/>
        </w:rPr>
        <w:t xml:space="preserve"> </w:t>
      </w:r>
      <w:r w:rsidRPr="004704B3">
        <w:rPr>
          <w:snapToGrid/>
          <w:sz w:val="24"/>
        </w:rPr>
        <w:t>單位：</w:t>
      </w:r>
      <w:r w:rsidRPr="004704B3">
        <w:rPr>
          <w:rFonts w:hint="eastAsia"/>
          <w:snapToGrid/>
          <w:sz w:val="24"/>
        </w:rPr>
        <w:t>新臺幣千元</w:t>
      </w:r>
      <w:r>
        <w:rPr>
          <w:rFonts w:hAnsi="標楷體" w:hint="eastAsia"/>
          <w:snapToGrid/>
          <w:sz w:val="24"/>
        </w:rPr>
        <w:t>；</w:t>
      </w:r>
      <w:r>
        <w:rPr>
          <w:rFonts w:hint="eastAsia"/>
          <w:snapToGrid/>
          <w:sz w:val="24"/>
        </w:rPr>
        <w:t>%</w:t>
      </w: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1214"/>
        <w:gridCol w:w="1215"/>
        <w:gridCol w:w="1214"/>
        <w:gridCol w:w="1215"/>
        <w:gridCol w:w="1214"/>
        <w:gridCol w:w="1215"/>
      </w:tblGrid>
      <w:tr w:rsidR="00F949ED" w:rsidTr="00FE63FC">
        <w:trPr>
          <w:tblHeader/>
        </w:trPr>
        <w:tc>
          <w:tcPr>
            <w:tcW w:w="826" w:type="dxa"/>
            <w:tcBorders>
              <w:top w:val="single" w:sz="12" w:space="0" w:color="auto"/>
              <w:left w:val="single" w:sz="12" w:space="0" w:color="auto"/>
              <w:tl2br w:val="single" w:sz="6" w:space="0" w:color="auto"/>
            </w:tcBorders>
            <w:shd w:val="clear" w:color="auto" w:fill="auto"/>
            <w:vAlign w:val="center"/>
          </w:tcPr>
          <w:p w:rsidR="002544FA" w:rsidRPr="00472480" w:rsidRDefault="002544FA" w:rsidP="00CB6F43">
            <w:pPr>
              <w:pStyle w:val="142"/>
              <w:jc w:val="center"/>
            </w:pPr>
            <w:r w:rsidRPr="00472480">
              <w:rPr>
                <w:rFonts w:hint="eastAsia"/>
              </w:rPr>
              <w:t>項目</w:t>
            </w:r>
          </w:p>
          <w:p w:rsidR="002544FA" w:rsidRPr="00472480" w:rsidRDefault="002544FA" w:rsidP="00CB6F43">
            <w:pPr>
              <w:pStyle w:val="142"/>
              <w:jc w:val="center"/>
            </w:pPr>
          </w:p>
          <w:p w:rsidR="002544FA" w:rsidRPr="00472480" w:rsidRDefault="002544FA" w:rsidP="00CB6F43">
            <w:pPr>
              <w:pStyle w:val="142"/>
              <w:jc w:val="center"/>
            </w:pPr>
          </w:p>
          <w:p w:rsidR="002544FA" w:rsidRPr="00472480" w:rsidRDefault="002544FA" w:rsidP="00CB6F43">
            <w:pPr>
              <w:pStyle w:val="142"/>
              <w:jc w:val="center"/>
            </w:pPr>
            <w:r w:rsidRPr="00472480">
              <w:rPr>
                <w:rFonts w:hint="eastAsia"/>
              </w:rPr>
              <w:t>年度</w:t>
            </w:r>
          </w:p>
        </w:tc>
        <w:tc>
          <w:tcPr>
            <w:tcW w:w="1214"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基金來源合計數</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(A)</w:t>
            </w:r>
          </w:p>
        </w:tc>
        <w:tc>
          <w:tcPr>
            <w:tcW w:w="1215"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基金用途合計數</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w:t>
            </w:r>
            <w:r w:rsidRPr="00472480">
              <w:t>B)</w:t>
            </w:r>
          </w:p>
        </w:tc>
        <w:tc>
          <w:tcPr>
            <w:tcW w:w="1214" w:type="dxa"/>
            <w:tcBorders>
              <w:top w:val="single" w:sz="12" w:space="0" w:color="auto"/>
              <w:bottom w:val="single" w:sz="4" w:space="0" w:color="auto"/>
            </w:tcBorders>
            <w:shd w:val="clear" w:color="auto" w:fill="auto"/>
            <w:vAlign w:val="center"/>
          </w:tcPr>
          <w:p w:rsidR="00163908" w:rsidRPr="00472480" w:rsidRDefault="002544FA" w:rsidP="00CB6F43">
            <w:pPr>
              <w:pStyle w:val="142"/>
              <w:jc w:val="center"/>
            </w:pPr>
            <w:r w:rsidRPr="00472480">
              <w:rPr>
                <w:rFonts w:hint="eastAsia"/>
              </w:rPr>
              <w:t>基金收支比率</w:t>
            </w:r>
          </w:p>
          <w:p w:rsidR="002544FA" w:rsidRPr="00472480" w:rsidRDefault="002544FA" w:rsidP="00CB6F43">
            <w:pPr>
              <w:pStyle w:val="142"/>
              <w:jc w:val="center"/>
            </w:pPr>
          </w:p>
          <w:p w:rsidR="002544FA" w:rsidRPr="00472480" w:rsidRDefault="002544FA" w:rsidP="00CB6F43">
            <w:pPr>
              <w:pStyle w:val="142"/>
              <w:jc w:val="center"/>
            </w:pPr>
            <w:r w:rsidRPr="00472480">
              <w:rPr>
                <w:rFonts w:hint="eastAsia"/>
              </w:rPr>
              <w:t>(</w:t>
            </w:r>
            <w:r w:rsidRPr="00472480">
              <w:t>A/B)</w:t>
            </w:r>
          </w:p>
        </w:tc>
        <w:tc>
          <w:tcPr>
            <w:tcW w:w="1215" w:type="dxa"/>
            <w:tcBorders>
              <w:top w:val="single" w:sz="12" w:space="0" w:color="auto"/>
              <w:bottom w:val="single" w:sz="4" w:space="0" w:color="auto"/>
            </w:tcBorders>
            <w:shd w:val="clear" w:color="auto" w:fill="auto"/>
            <w:vAlign w:val="center"/>
          </w:tcPr>
          <w:p w:rsidR="00163908" w:rsidRPr="00472480" w:rsidRDefault="002544FA" w:rsidP="00CB6F43">
            <w:pPr>
              <w:pStyle w:val="142"/>
              <w:jc w:val="center"/>
            </w:pPr>
            <w:r w:rsidRPr="00472480">
              <w:rPr>
                <w:rFonts w:hint="eastAsia"/>
              </w:rPr>
              <w:t>菸捐分配收入與服務收入合計數(A1)</w:t>
            </w:r>
          </w:p>
        </w:tc>
        <w:tc>
          <w:tcPr>
            <w:tcW w:w="1214"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福利服務計畫</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w:t>
            </w:r>
            <w:r w:rsidRPr="00472480">
              <w:t>B1)</w:t>
            </w:r>
          </w:p>
        </w:tc>
        <w:tc>
          <w:tcPr>
            <w:tcW w:w="1215" w:type="dxa"/>
            <w:tcBorders>
              <w:top w:val="single" w:sz="12" w:space="0" w:color="auto"/>
              <w:bottom w:val="single" w:sz="4" w:space="0" w:color="auto"/>
              <w:right w:val="single" w:sz="12" w:space="0" w:color="auto"/>
            </w:tcBorders>
            <w:shd w:val="clear" w:color="auto" w:fill="auto"/>
            <w:vAlign w:val="center"/>
          </w:tcPr>
          <w:p w:rsidR="002544FA" w:rsidRPr="00472480" w:rsidRDefault="002544FA" w:rsidP="00CB6F43">
            <w:pPr>
              <w:pStyle w:val="142"/>
              <w:jc w:val="center"/>
            </w:pPr>
            <w:r w:rsidRPr="00472480">
              <w:rPr>
                <w:rFonts w:hint="eastAsia"/>
              </w:rPr>
              <w:t>福利服務計畫主要收支比率</w:t>
            </w:r>
          </w:p>
          <w:p w:rsidR="002544FA" w:rsidRPr="00472480" w:rsidRDefault="002544FA" w:rsidP="00CB6F43">
            <w:pPr>
              <w:pStyle w:val="142"/>
              <w:jc w:val="center"/>
            </w:pPr>
            <w:r w:rsidRPr="00472480">
              <w:rPr>
                <w:rFonts w:hint="eastAsia"/>
              </w:rPr>
              <w:t>(</w:t>
            </w:r>
            <w:r w:rsidRPr="00472480">
              <w:t>A1/B1</w:t>
            </w:r>
            <w:r w:rsidRPr="00472480">
              <w:rPr>
                <w:rFonts w:hint="eastAsia"/>
              </w:rPr>
              <w:t>)</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106</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4,450,861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3,618,302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123.01</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2,912,358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1,485,720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196.02</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107</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3,382,515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2,838,734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119.16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1,705,431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1,505,248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113.30</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108</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3,434,796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3,313,860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103.65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1,778,546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1,601,103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111.08</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109</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3,570,581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3,429,987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104.10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1,902,092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1,773,230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107.27</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110</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3,590,961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3,535,661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101.56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1,932,159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1,909,848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101.17</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111</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3,669,739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3,400,412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107.92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1,907,212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1,907,245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100.00</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112</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3,574,849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3,477,310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102.81</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1,868,931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1,993,706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93.74</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113</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3,535,198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4,030,208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87.72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1,906,260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2,528,085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75.40</w:t>
            </w:r>
          </w:p>
        </w:tc>
      </w:tr>
      <w:tr w:rsidR="007F16C0" w:rsidTr="00CB6F43">
        <w:tc>
          <w:tcPr>
            <w:tcW w:w="826" w:type="dxa"/>
            <w:tcBorders>
              <w:left w:val="single" w:sz="12" w:space="0" w:color="auto"/>
              <w:bottom w:val="single" w:sz="12" w:space="0" w:color="auto"/>
            </w:tcBorders>
            <w:shd w:val="clear" w:color="auto" w:fill="auto"/>
            <w:vAlign w:val="center"/>
          </w:tcPr>
          <w:p w:rsidR="007F16C0" w:rsidRPr="00472480" w:rsidRDefault="007F16C0" w:rsidP="00CB6F43">
            <w:pPr>
              <w:pStyle w:val="142"/>
              <w:jc w:val="center"/>
            </w:pPr>
            <w:r w:rsidRPr="00472480">
              <w:rPr>
                <w:rFonts w:hint="eastAsia"/>
              </w:rPr>
              <w:t>114</w:t>
            </w:r>
          </w:p>
        </w:tc>
        <w:tc>
          <w:tcPr>
            <w:tcW w:w="1214" w:type="dxa"/>
            <w:tcBorders>
              <w:top w:val="single" w:sz="4" w:space="0" w:color="auto"/>
              <w:left w:val="nil"/>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3,536,415 </w:t>
            </w:r>
          </w:p>
        </w:tc>
        <w:tc>
          <w:tcPr>
            <w:tcW w:w="1215"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3,923,753 </w:t>
            </w:r>
          </w:p>
        </w:tc>
        <w:tc>
          <w:tcPr>
            <w:tcW w:w="1214"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90.13</w:t>
            </w:r>
          </w:p>
        </w:tc>
        <w:tc>
          <w:tcPr>
            <w:tcW w:w="1215"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1,996,566 </w:t>
            </w:r>
          </w:p>
        </w:tc>
        <w:tc>
          <w:tcPr>
            <w:tcW w:w="1214"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2,510,924 </w:t>
            </w:r>
          </w:p>
        </w:tc>
        <w:tc>
          <w:tcPr>
            <w:tcW w:w="1215" w:type="dxa"/>
            <w:tcBorders>
              <w:top w:val="single" w:sz="4" w:space="0" w:color="auto"/>
              <w:left w:val="single" w:sz="4" w:space="0" w:color="auto"/>
              <w:bottom w:val="single" w:sz="12"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79.52</w:t>
            </w:r>
          </w:p>
        </w:tc>
      </w:tr>
    </w:tbl>
    <w:p w:rsidR="00AB35EB" w:rsidRDefault="007F16C0" w:rsidP="007F16C0">
      <w:pPr>
        <w:spacing w:line="280" w:lineRule="exact"/>
        <w:ind w:leftChars="-64" w:left="-1" w:hangingChars="74" w:hanging="180"/>
        <w:jc w:val="left"/>
        <w:rPr>
          <w:sz w:val="24"/>
        </w:rPr>
      </w:pPr>
      <w:r>
        <w:rPr>
          <w:rFonts w:hint="eastAsia"/>
          <w:sz w:val="24"/>
        </w:rPr>
        <w:t xml:space="preserve">    說    明</w:t>
      </w:r>
      <w:r w:rsidRPr="007F16C0">
        <w:rPr>
          <w:rFonts w:hint="eastAsia"/>
          <w:sz w:val="24"/>
        </w:rPr>
        <w:t>：1.106</w:t>
      </w:r>
      <w:r>
        <w:rPr>
          <w:rFonts w:hint="eastAsia"/>
          <w:sz w:val="24"/>
        </w:rPr>
        <w:t>至112年度均為決算數</w:t>
      </w:r>
      <w:r w:rsidRPr="007F16C0">
        <w:rPr>
          <w:rFonts w:hint="eastAsia"/>
          <w:sz w:val="24"/>
        </w:rPr>
        <w:t>，113、114年度為預算案數。</w:t>
      </w:r>
    </w:p>
    <w:p w:rsidR="007F16C0" w:rsidRDefault="007F16C0" w:rsidP="007F16C0">
      <w:pPr>
        <w:spacing w:line="280" w:lineRule="exact"/>
        <w:ind w:leftChars="-64" w:left="1643" w:hangingChars="750" w:hanging="1824"/>
        <w:jc w:val="left"/>
        <w:rPr>
          <w:rFonts w:hAnsi="標楷體"/>
          <w:sz w:val="24"/>
        </w:rPr>
      </w:pPr>
      <w:r>
        <w:rPr>
          <w:rFonts w:hint="eastAsia"/>
          <w:sz w:val="24"/>
        </w:rPr>
        <w:t xml:space="preserve">              2.</w:t>
      </w:r>
      <w:r w:rsidRPr="007F16C0">
        <w:rPr>
          <w:rFonts w:hint="eastAsia"/>
          <w:sz w:val="24"/>
        </w:rPr>
        <w:t>106~108年度之福利服務計畫決算數包含計畫性質類似之托兒業</w:t>
      </w:r>
      <w:r>
        <w:rPr>
          <w:rFonts w:hint="eastAsia"/>
          <w:sz w:val="24"/>
        </w:rPr>
        <w:t xml:space="preserve"> </w:t>
      </w:r>
      <w:r w:rsidRPr="007F16C0">
        <w:rPr>
          <w:rFonts w:hint="eastAsia"/>
          <w:sz w:val="24"/>
        </w:rPr>
        <w:t>務計畫決算數</w:t>
      </w:r>
      <w:r>
        <w:rPr>
          <w:rFonts w:hAnsi="標楷體" w:hint="eastAsia"/>
          <w:sz w:val="24"/>
        </w:rPr>
        <w:t>。</w:t>
      </w:r>
    </w:p>
    <w:p w:rsidR="007F16C0" w:rsidRPr="007F16C0" w:rsidRDefault="007F16C0" w:rsidP="007F16C0">
      <w:pPr>
        <w:spacing w:line="280" w:lineRule="exact"/>
        <w:ind w:leftChars="-64" w:left="1643" w:hangingChars="750" w:hanging="1824"/>
        <w:jc w:val="left"/>
        <w:rPr>
          <w:sz w:val="24"/>
        </w:rPr>
      </w:pPr>
      <w:r>
        <w:rPr>
          <w:rFonts w:hint="eastAsia"/>
          <w:sz w:val="24"/>
        </w:rPr>
        <w:t xml:space="preserve">    </w:t>
      </w:r>
      <w:r w:rsidRPr="004704B3">
        <w:rPr>
          <w:rFonts w:hint="eastAsia"/>
          <w:sz w:val="24"/>
        </w:rPr>
        <w:t>資料來源：社福基金</w:t>
      </w:r>
      <w:r>
        <w:rPr>
          <w:rFonts w:hint="eastAsia"/>
          <w:sz w:val="24"/>
        </w:rPr>
        <w:t>各年度預</w:t>
      </w:r>
      <w:r>
        <w:rPr>
          <w:rFonts w:hAnsi="標楷體" w:hint="eastAsia"/>
          <w:sz w:val="24"/>
        </w:rPr>
        <w:t>、</w:t>
      </w:r>
      <w:r>
        <w:rPr>
          <w:rFonts w:hint="eastAsia"/>
          <w:sz w:val="24"/>
        </w:rPr>
        <w:t>決算資料</w:t>
      </w:r>
      <w:r w:rsidRPr="004704B3">
        <w:rPr>
          <w:rFonts w:hint="eastAsia"/>
          <w:sz w:val="24"/>
        </w:rPr>
        <w:t>。</w:t>
      </w:r>
    </w:p>
    <w:p w:rsidR="004704B3" w:rsidRPr="004704B3" w:rsidRDefault="004704B3" w:rsidP="004704B3">
      <w:pPr>
        <w:ind w:left="566" w:firstLine="566"/>
        <w:rPr>
          <w:rFonts w:hAnsi="標楷體"/>
        </w:rPr>
      </w:pPr>
      <w:r w:rsidRPr="004704B3">
        <w:rPr>
          <w:rFonts w:hint="eastAsia"/>
        </w:rPr>
        <w:t>綜上，</w:t>
      </w:r>
      <w:r w:rsidR="009E1E23">
        <w:rPr>
          <w:rFonts w:hint="eastAsia"/>
        </w:rPr>
        <w:t>近年居</w:t>
      </w:r>
      <w:r w:rsidRPr="004704B3">
        <w:rPr>
          <w:rFonts w:hint="eastAsia"/>
        </w:rPr>
        <w:t>社福基金</w:t>
      </w:r>
      <w:r w:rsidR="009E1E23">
        <w:rPr>
          <w:rFonts w:hint="eastAsia"/>
        </w:rPr>
        <w:t>主要來源之菸捐分配收入金額及占比均呈下滑趨勢</w:t>
      </w:r>
      <w:r w:rsidR="009E1E23">
        <w:rPr>
          <w:rFonts w:hAnsi="標楷體" w:hint="eastAsia"/>
        </w:rPr>
        <w:t>，</w:t>
      </w:r>
      <w:r w:rsidR="009E1E23">
        <w:rPr>
          <w:rFonts w:hint="eastAsia"/>
        </w:rPr>
        <w:t>在基金主要業務計畫福利服務計畫經費規模呈增長趨勢下</w:t>
      </w:r>
      <w:r w:rsidR="009E1E23">
        <w:rPr>
          <w:rFonts w:hAnsi="標楷體" w:hint="eastAsia"/>
        </w:rPr>
        <w:t>，</w:t>
      </w:r>
      <w:r w:rsidR="009E1E23">
        <w:rPr>
          <w:rFonts w:hint="eastAsia"/>
        </w:rPr>
        <w:t>基金收支比率將呈減少趨勢</w:t>
      </w:r>
      <w:r w:rsidR="009E1E23">
        <w:rPr>
          <w:rFonts w:hAnsi="標楷體" w:hint="eastAsia"/>
        </w:rPr>
        <w:t>，恐有收支短絀情形，</w:t>
      </w:r>
      <w:r w:rsidR="009E1E23" w:rsidRPr="009E1E23">
        <w:rPr>
          <w:rFonts w:hAnsi="標楷體" w:hint="eastAsia"/>
        </w:rPr>
        <w:t>允宜擬妥開源節流措施，俾減輕公庫撥補負擔</w:t>
      </w:r>
      <w:r w:rsidRPr="004704B3">
        <w:rPr>
          <w:rFonts w:hint="eastAsia"/>
        </w:rPr>
        <w:t>。</w:t>
      </w:r>
    </w:p>
    <w:bookmarkEnd w:id="1"/>
    <w:bookmarkEnd w:id="2"/>
    <w:bookmarkEnd w:id="3"/>
    <w:sectPr w:rsidR="004704B3" w:rsidRPr="004704B3"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1479BB" w:rsidRPr="001479B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CE2749" w:rsidRDefault="00F20223" w:rsidP="00CB6F43">
      <w:pPr>
        <w:pStyle w:val="142"/>
        <w:ind w:left="219" w:hangingChars="90" w:hanging="219"/>
      </w:pPr>
      <w:r w:rsidRPr="00CE2749">
        <w:rPr>
          <w:rStyle w:val="af2"/>
          <w:szCs w:val="24"/>
        </w:rPr>
        <w:footnoteRef/>
      </w:r>
      <w:r>
        <w:rPr>
          <w:rFonts w:hint="eastAsia"/>
        </w:rPr>
        <w:t xml:space="preserve"> 經洽據社福基金主管機關社家署表示，衛福部國民健康署考量近年紙菸價格變動情形、國人吸菸行為、紙菸與免稅菸總量及人均消耗量等參數建構模型，以112年度菸捐實際收入推估，預估114至117年度菸捐收入分別為270億元、271億元、271億元及272億元，呈增加情形。</w:t>
      </w:r>
    </w:p>
  </w:footnote>
  <w:footnote w:id="2">
    <w:p w:rsidR="00F20223" w:rsidRPr="008F2927" w:rsidRDefault="00F20223" w:rsidP="00CB6F43">
      <w:pPr>
        <w:pStyle w:val="142"/>
        <w:ind w:left="219" w:hangingChars="90" w:hanging="219"/>
      </w:pPr>
      <w:r w:rsidRPr="008F2927">
        <w:rPr>
          <w:rStyle w:val="af2"/>
          <w:szCs w:val="24"/>
        </w:rPr>
        <w:footnoteRef/>
      </w:r>
      <w:r>
        <w:rPr>
          <w:rFonts w:hint="eastAsia"/>
        </w:rPr>
        <w:t xml:space="preserve"> </w:t>
      </w:r>
      <w:r w:rsidRPr="008F2927">
        <w:rPr>
          <w:rFonts w:hint="eastAsia"/>
        </w:rPr>
        <w:t>依</w:t>
      </w:r>
      <w:r>
        <w:rPr>
          <w:rFonts w:hint="eastAsia"/>
        </w:rPr>
        <w:t>中央政府前瞻基礎建設計畫第5期特別預算案歲出計畫(執行期間114年度</w:t>
      </w:r>
      <w:r>
        <w:t>)</w:t>
      </w:r>
      <w:r w:rsidRPr="00CB6F43">
        <w:rPr>
          <w:rStyle w:val="143"/>
          <w:rFonts w:hint="eastAsia"/>
        </w:rPr>
        <w:t>提要及概況表，社家署於因應少子化友善育兒空間建設科目項下編列國庫撥充社福基金辦理兒少安置機構增設、改善及購置設施設備等所需經費4</w:t>
      </w:r>
      <w:r w:rsidRPr="00CB6F43">
        <w:rPr>
          <w:rStyle w:val="143"/>
        </w:rPr>
        <w:t>,</w:t>
      </w:r>
      <w:r w:rsidRPr="00CB6F43">
        <w:rPr>
          <w:rStyle w:val="143"/>
          <w:rFonts w:hint="eastAsia"/>
        </w:rPr>
        <w:t>317萬元。</w:t>
      </w:r>
      <w:r>
        <w:rPr>
          <w:rFonts w:hint="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479BB"/>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C61B91-A509-415D-9126-B21EE001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E8AEF-6BA5-41F3-A2E4-AF18E47CC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595</Words>
  <Characters>3396</Characters>
  <Application>Microsoft Office Word</Application>
  <DocSecurity>0</DocSecurity>
  <Lines>28</Lines>
  <Paragraphs>7</Paragraphs>
  <ScaleCrop>false</ScaleCrop>
  <Company>HOME</Company>
  <LinksUpToDate>false</LinksUpToDate>
  <CharactersWithSpaces>3984</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