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D91151" w:rsidRPr="00C908F7" w:rsidRDefault="00AA4FAA" w:rsidP="008053A7">
      <w:pPr>
        <w:pStyle w:val="14"/>
        <w:ind w:left="567" w:hanging="567"/>
        <w:rPr>
          <w:rFonts w:hAnsi="標楷體"/>
        </w:rPr>
      </w:pPr>
      <w:bookmarkStart w:id="1" w:name="_Toc181892122"/>
      <w:r>
        <w:rPr>
          <w:rFonts w:hAnsi="標楷體" w:hint="eastAsia"/>
        </w:rPr>
        <w:t>五</w:t>
      </w:r>
      <w:r w:rsidR="000F12A1" w:rsidRPr="00532A0A">
        <w:rPr>
          <w:rFonts w:hAnsi="標楷體" w:hint="eastAsia"/>
          <w:lang w:eastAsia="zh-HK"/>
        </w:rPr>
        <w:t>、</w:t>
      </w:r>
      <w:bookmarkStart w:id="2" w:name="_Toc18656223"/>
      <w:bookmarkStart w:id="3" w:name="_Toc524945236"/>
      <w:bookmarkStart w:id="4" w:name="_Toc525456771"/>
      <w:bookmarkStart w:id="5" w:name="_Toc525660541"/>
      <w:r w:rsidR="00D91151">
        <w:rPr>
          <w:rFonts w:hAnsi="標楷體" w:hint="eastAsia"/>
        </w:rPr>
        <w:t>近年基金來源高度仰賴公庫撥款，</w:t>
      </w:r>
      <w:r w:rsidR="0087230F">
        <w:rPr>
          <w:rFonts w:hAnsi="標楷體" w:hint="eastAsia"/>
        </w:rPr>
        <w:t>又地方政府就違規罰款收入多未能及時繳庫，另</w:t>
      </w:r>
      <w:r w:rsidR="00D91151">
        <w:rPr>
          <w:rFonts w:hAnsi="標楷體" w:hint="eastAsia"/>
        </w:rPr>
        <w:t>其他收入連年超標</w:t>
      </w:r>
      <w:r w:rsidR="0087230F">
        <w:rPr>
          <w:rFonts w:hAnsi="標楷體" w:hint="eastAsia"/>
        </w:rPr>
        <w:t>且幅度逐年擴大</w:t>
      </w:r>
      <w:r w:rsidR="00D91151">
        <w:rPr>
          <w:rFonts w:hAnsi="標楷體" w:hint="eastAsia"/>
        </w:rPr>
        <w:t>係</w:t>
      </w:r>
      <w:r w:rsidR="0087230F">
        <w:rPr>
          <w:rFonts w:hAnsi="標楷體" w:hint="eastAsia"/>
        </w:rPr>
        <w:t>涉及</w:t>
      </w:r>
      <w:r w:rsidR="00D91151">
        <w:rPr>
          <w:rFonts w:hAnsi="標楷體" w:hint="eastAsia"/>
        </w:rPr>
        <w:t>以前年度計畫應付費用</w:t>
      </w:r>
      <w:r w:rsidR="005F2BC0">
        <w:rPr>
          <w:rFonts w:hAnsi="標楷體" w:hint="eastAsia"/>
        </w:rPr>
        <w:t>之估列寬鬆</w:t>
      </w:r>
      <w:r w:rsidR="00D91151">
        <w:rPr>
          <w:rFonts w:hAnsi="標楷體" w:hint="eastAsia"/>
        </w:rPr>
        <w:t>所致，</w:t>
      </w:r>
      <w:r w:rsidR="0087230F">
        <w:rPr>
          <w:rFonts w:hAnsi="標楷體" w:hint="eastAsia"/>
        </w:rPr>
        <w:t>均容待檢討精進</w:t>
      </w:r>
      <w:bookmarkEnd w:id="1"/>
    </w:p>
    <w:p w:rsidR="00D91151" w:rsidRPr="00C908F7" w:rsidRDefault="00D91151" w:rsidP="008053A7">
      <w:pPr>
        <w:ind w:left="566" w:firstLine="566"/>
        <w:rPr>
          <w:rFonts w:hAnsi="標楷體"/>
        </w:rPr>
      </w:pPr>
      <w:r w:rsidRPr="00D47014">
        <w:rPr>
          <w:rFonts w:hAnsi="標楷體" w:hint="eastAsia"/>
        </w:rPr>
        <w:t>家暴及性侵防治基金</w:t>
      </w:r>
      <w:r w:rsidRPr="00C908F7">
        <w:rPr>
          <w:rFonts w:hAnsi="標楷體" w:hint="eastAsia"/>
        </w:rPr>
        <w:t>11</w:t>
      </w:r>
      <w:r w:rsidR="0087230F">
        <w:rPr>
          <w:rFonts w:hAnsi="標楷體" w:hint="eastAsia"/>
        </w:rPr>
        <w:t>4</w:t>
      </w:r>
      <w:r w:rsidRPr="00C908F7">
        <w:rPr>
          <w:rFonts w:hAnsi="標楷體" w:hint="eastAsia"/>
        </w:rPr>
        <w:t>年度預算案</w:t>
      </w:r>
      <w:r w:rsidR="0087230F">
        <w:rPr>
          <w:rFonts w:hAnsi="標楷體" w:hint="eastAsia"/>
        </w:rPr>
        <w:t>就基金來源</w:t>
      </w:r>
      <w:r w:rsidR="00802E57">
        <w:rPr>
          <w:rFonts w:hAnsi="標楷體" w:hint="eastAsia"/>
        </w:rPr>
        <w:t>依額度多寡分別</w:t>
      </w:r>
      <w:r w:rsidRPr="00C908F7">
        <w:rPr>
          <w:rFonts w:hAnsi="標楷體" w:hint="eastAsia"/>
        </w:rPr>
        <w:t>編列</w:t>
      </w:r>
      <w:r w:rsidR="00802E57">
        <w:rPr>
          <w:rFonts w:ascii="新細明體" w:eastAsia="新細明體" w:hAnsi="新細明體" w:hint="eastAsia"/>
        </w:rPr>
        <w:t>：</w:t>
      </w:r>
      <w:r w:rsidR="0087230F">
        <w:rPr>
          <w:rFonts w:hAnsi="標楷體" w:hint="eastAsia"/>
        </w:rPr>
        <w:t>公庫撥款收入9億2</w:t>
      </w:r>
      <w:r w:rsidR="0087230F">
        <w:rPr>
          <w:rFonts w:hAnsi="標楷體"/>
        </w:rPr>
        <w:t>,</w:t>
      </w:r>
      <w:r w:rsidR="0087230F">
        <w:rPr>
          <w:rFonts w:hAnsi="標楷體" w:hint="eastAsia"/>
        </w:rPr>
        <w:t>000萬</w:t>
      </w:r>
      <w:r w:rsidR="0087230F">
        <w:rPr>
          <w:rFonts w:hAnsi="標楷體"/>
        </w:rPr>
        <w:t>2</w:t>
      </w:r>
      <w:r w:rsidR="0087230F">
        <w:rPr>
          <w:rFonts w:hAnsi="標楷體" w:hint="eastAsia"/>
        </w:rPr>
        <w:t>千元</w:t>
      </w:r>
      <w:r w:rsidR="00802E57">
        <w:rPr>
          <w:rFonts w:hAnsi="標楷體" w:hint="eastAsia"/>
        </w:rPr>
        <w:t>、</w:t>
      </w:r>
      <w:r w:rsidR="008C664C">
        <w:rPr>
          <w:rFonts w:hAnsi="標楷體" w:hint="eastAsia"/>
        </w:rPr>
        <w:t>其他收入300萬元、</w:t>
      </w:r>
      <w:r w:rsidR="0087230F">
        <w:rPr>
          <w:rFonts w:hAnsi="標楷體" w:hint="eastAsia"/>
        </w:rPr>
        <w:t>違規罰款收入2萬元</w:t>
      </w:r>
      <w:r w:rsidR="008C664C">
        <w:rPr>
          <w:rFonts w:hAnsi="標楷體" w:hint="eastAsia"/>
        </w:rPr>
        <w:t>以及</w:t>
      </w:r>
      <w:r w:rsidR="0087230F">
        <w:rPr>
          <w:rFonts w:hAnsi="標楷體" w:hint="eastAsia"/>
        </w:rPr>
        <w:t>利息收入6千元</w:t>
      </w:r>
      <w:r w:rsidR="008C664C">
        <w:rPr>
          <w:rFonts w:hAnsi="標楷體" w:hint="eastAsia"/>
        </w:rPr>
        <w:t>，合計</w:t>
      </w:r>
      <w:r w:rsidR="00EF6D05">
        <w:rPr>
          <w:rFonts w:hAnsi="標楷體" w:hint="eastAsia"/>
        </w:rPr>
        <w:t>9</w:t>
      </w:r>
      <w:r>
        <w:rPr>
          <w:rFonts w:hAnsi="標楷體" w:hint="eastAsia"/>
        </w:rPr>
        <w:t>億</w:t>
      </w:r>
      <w:r w:rsidR="008C664C">
        <w:rPr>
          <w:rFonts w:hAnsi="標楷體" w:hint="eastAsia"/>
        </w:rPr>
        <w:t>2</w:t>
      </w:r>
      <w:r>
        <w:rPr>
          <w:rFonts w:hAnsi="標楷體"/>
        </w:rPr>
        <w:t>,3</w:t>
      </w:r>
      <w:r w:rsidR="008C664C">
        <w:rPr>
          <w:rFonts w:hAnsi="標楷體" w:hint="eastAsia"/>
        </w:rPr>
        <w:t>02</w:t>
      </w:r>
      <w:r>
        <w:rPr>
          <w:rFonts w:hAnsi="標楷體" w:hint="eastAsia"/>
        </w:rPr>
        <w:t>萬</w:t>
      </w:r>
      <w:r w:rsidR="008C664C">
        <w:rPr>
          <w:rFonts w:hAnsi="標楷體" w:hint="eastAsia"/>
        </w:rPr>
        <w:t>8</w:t>
      </w:r>
      <w:r>
        <w:rPr>
          <w:rFonts w:hAnsi="標楷體" w:hint="eastAsia"/>
        </w:rPr>
        <w:t>千</w:t>
      </w:r>
      <w:r w:rsidRPr="00C908F7">
        <w:rPr>
          <w:rFonts w:hAnsi="標楷體" w:hint="eastAsia"/>
        </w:rPr>
        <w:t>元</w:t>
      </w:r>
      <w:r w:rsidR="008C664C">
        <w:rPr>
          <w:rFonts w:hAnsi="標楷體" w:hint="eastAsia"/>
        </w:rPr>
        <w:t>。有關</w:t>
      </w:r>
      <w:r w:rsidR="008C664C" w:rsidRPr="008C664C">
        <w:rPr>
          <w:rFonts w:hAnsi="標楷體" w:hint="eastAsia"/>
        </w:rPr>
        <w:t>家暴及性侵害防治基金</w:t>
      </w:r>
      <w:r w:rsidR="008C664C">
        <w:rPr>
          <w:rFonts w:hAnsi="標楷體" w:hint="eastAsia"/>
        </w:rPr>
        <w:t>近年</w:t>
      </w:r>
      <w:r w:rsidR="00EF6D05">
        <w:rPr>
          <w:rFonts w:hAnsi="標楷體" w:hint="eastAsia"/>
        </w:rPr>
        <w:t>基金來源預算之</w:t>
      </w:r>
      <w:r w:rsidR="008C664C">
        <w:rPr>
          <w:rFonts w:hAnsi="標楷體" w:hint="eastAsia"/>
        </w:rPr>
        <w:t>編列情形，尚有若干待精進之處，謹敘明如次</w:t>
      </w:r>
      <w:r w:rsidRPr="00C908F7">
        <w:rPr>
          <w:rFonts w:hAnsi="標楷體" w:hint="eastAsia"/>
        </w:rPr>
        <w:t>：</w:t>
      </w:r>
    </w:p>
    <w:p w:rsidR="00D91151" w:rsidRPr="00C908F7" w:rsidRDefault="00D91151" w:rsidP="008053A7">
      <w:pPr>
        <w:pStyle w:val="a4"/>
        <w:ind w:left="849" w:hanging="283"/>
        <w:rPr>
          <w:rFonts w:hAnsi="標楷體"/>
          <w:b/>
        </w:rPr>
      </w:pPr>
      <w:r w:rsidRPr="00C908F7">
        <w:rPr>
          <w:rFonts w:hAnsi="標楷體" w:hint="eastAsia"/>
          <w:b/>
        </w:rPr>
        <w:t>(一)</w:t>
      </w:r>
      <w:r w:rsidR="00AA492D">
        <w:rPr>
          <w:rFonts w:hAnsi="標楷體" w:hint="eastAsia"/>
          <w:b/>
        </w:rPr>
        <w:t>近年</w:t>
      </w:r>
      <w:r w:rsidR="000E023B">
        <w:rPr>
          <w:rFonts w:hAnsi="標楷體" w:hint="eastAsia"/>
          <w:b/>
        </w:rPr>
        <w:t>基金</w:t>
      </w:r>
      <w:r w:rsidR="007D6640">
        <w:rPr>
          <w:rFonts w:hAnsi="標楷體" w:hint="eastAsia"/>
          <w:b/>
        </w:rPr>
        <w:t>來源</w:t>
      </w:r>
      <w:r w:rsidR="000E023B">
        <w:rPr>
          <w:rFonts w:hAnsi="標楷體" w:hint="eastAsia"/>
          <w:b/>
        </w:rPr>
        <w:t>別</w:t>
      </w:r>
      <w:r w:rsidR="00AA492D">
        <w:rPr>
          <w:rFonts w:hAnsi="標楷體" w:hint="eastAsia"/>
          <w:b/>
        </w:rPr>
        <w:t>均無緩起訴處分金與認罪協商金，又</w:t>
      </w:r>
      <w:r w:rsidR="007D6640">
        <w:rPr>
          <w:rFonts w:hAnsi="標楷體" w:hint="eastAsia"/>
          <w:b/>
        </w:rPr>
        <w:t>屬</w:t>
      </w:r>
      <w:r w:rsidR="00AA492D">
        <w:rPr>
          <w:rFonts w:hAnsi="標楷體" w:hint="eastAsia"/>
          <w:b/>
        </w:rPr>
        <w:t>政府預算</w:t>
      </w:r>
      <w:r w:rsidR="007D6640">
        <w:rPr>
          <w:rFonts w:hAnsi="標楷體" w:hint="eastAsia"/>
          <w:b/>
        </w:rPr>
        <w:t>撥款</w:t>
      </w:r>
      <w:r w:rsidR="000E023B">
        <w:rPr>
          <w:rFonts w:hAnsi="標楷體" w:hint="eastAsia"/>
          <w:b/>
        </w:rPr>
        <w:t>收入</w:t>
      </w:r>
      <w:r w:rsidR="003C24E0">
        <w:rPr>
          <w:rFonts w:hAnsi="標楷體" w:hint="eastAsia"/>
          <w:b/>
        </w:rPr>
        <w:t>逐年增加，平均金額</w:t>
      </w:r>
      <w:r w:rsidR="008A6258">
        <w:rPr>
          <w:rFonts w:hAnsi="標楷體" w:hint="eastAsia"/>
          <w:b/>
        </w:rPr>
        <w:t>占比</w:t>
      </w:r>
      <w:r w:rsidR="003C24E0">
        <w:rPr>
          <w:rFonts w:hAnsi="標楷體" w:hint="eastAsia"/>
          <w:b/>
        </w:rPr>
        <w:t>逾</w:t>
      </w:r>
      <w:r w:rsidR="000E023B">
        <w:rPr>
          <w:rFonts w:hAnsi="標楷體" w:hint="eastAsia"/>
          <w:b/>
        </w:rPr>
        <w:t>99</w:t>
      </w:r>
      <w:r w:rsidR="000E023B">
        <w:rPr>
          <w:rFonts w:hAnsi="標楷體"/>
          <w:b/>
        </w:rPr>
        <w:t>%</w:t>
      </w:r>
      <w:r w:rsidR="00AA492D">
        <w:rPr>
          <w:rFonts w:hAnsi="標楷體" w:hint="eastAsia"/>
          <w:b/>
        </w:rPr>
        <w:t>，另</w:t>
      </w:r>
      <w:r w:rsidR="001960D4">
        <w:rPr>
          <w:rFonts w:hAnsi="標楷體" w:hint="eastAsia"/>
          <w:b/>
        </w:rPr>
        <w:t>各市縣</w:t>
      </w:r>
      <w:r w:rsidR="003C24E0">
        <w:rPr>
          <w:rFonts w:hAnsi="標楷體" w:hint="eastAsia"/>
          <w:b/>
        </w:rPr>
        <w:t>政府就違規罰款收入多未能及時繳庫</w:t>
      </w:r>
    </w:p>
    <w:p w:rsidR="008A6258" w:rsidRDefault="003C24E0" w:rsidP="008053A7">
      <w:pPr>
        <w:pStyle w:val="21"/>
        <w:ind w:left="850" w:firstLine="566"/>
        <w:rPr>
          <w:rFonts w:hAnsi="標楷體"/>
        </w:rPr>
      </w:pPr>
      <w:r>
        <w:rPr>
          <w:rFonts w:hAnsi="標楷體" w:hint="eastAsia"/>
        </w:rPr>
        <w:t>依家暴防治法第6條第2項規定</w:t>
      </w:r>
      <w:r>
        <w:rPr>
          <w:rFonts w:ascii="新細明體" w:eastAsia="新細明體" w:hAnsi="新細明體" w:hint="eastAsia"/>
        </w:rPr>
        <w:t>：</w:t>
      </w:r>
      <w:r>
        <w:rPr>
          <w:rFonts w:hAnsi="標楷體" w:hint="eastAsia"/>
        </w:rPr>
        <w:t>「</w:t>
      </w:r>
      <w:r w:rsidRPr="003C24E0">
        <w:rPr>
          <w:rFonts w:hAnsi="標楷體" w:hint="eastAsia"/>
        </w:rPr>
        <w:t>前項基金來源如下：一、政府預算撥充。二、緩起訴處分金。三、認罪協商金。四、本基金之孳息收入。五、受贈收入。六、依本法所處之罰鍰。七、其他相關收入</w:t>
      </w:r>
      <w:r>
        <w:rPr>
          <w:rFonts w:hAnsi="標楷體" w:hint="eastAsia"/>
        </w:rPr>
        <w:t>。」亦即</w:t>
      </w:r>
      <w:r w:rsidRPr="003C24E0">
        <w:rPr>
          <w:rFonts w:hAnsi="標楷體" w:hint="eastAsia"/>
        </w:rPr>
        <w:t>家暴及性侵害防治基金</w:t>
      </w:r>
      <w:r>
        <w:rPr>
          <w:rFonts w:hAnsi="標楷體" w:hint="eastAsia"/>
        </w:rPr>
        <w:t>之來源依法包括前揭7項，惟中央主管機關衛福部近年就該基金編列</w:t>
      </w:r>
      <w:r w:rsidR="008A6258">
        <w:rPr>
          <w:rFonts w:hAnsi="標楷體" w:hint="eastAsia"/>
        </w:rPr>
        <w:t>之</w:t>
      </w:r>
      <w:r>
        <w:rPr>
          <w:rFonts w:hAnsi="標楷體" w:hint="eastAsia"/>
        </w:rPr>
        <w:t>預算</w:t>
      </w:r>
      <w:r w:rsidR="008A6258">
        <w:rPr>
          <w:rFonts w:hAnsi="標楷體" w:hint="eastAsia"/>
        </w:rPr>
        <w:t>來源僅包括公庫撥款收入、利息收入、違規罰款收入及其他收入等4項，</w:t>
      </w:r>
      <w:r w:rsidR="00382E29">
        <w:rPr>
          <w:rFonts w:hAnsi="標楷體" w:hint="eastAsia"/>
        </w:rPr>
        <w:t>均未將</w:t>
      </w:r>
      <w:r w:rsidR="00382E29" w:rsidRPr="00382E29">
        <w:rPr>
          <w:rFonts w:hAnsi="標楷體" w:hint="eastAsia"/>
        </w:rPr>
        <w:t>緩起訴處分金與認罪協商金</w:t>
      </w:r>
      <w:r w:rsidR="00382E29">
        <w:rPr>
          <w:rFonts w:hAnsi="標楷體" w:hint="eastAsia"/>
        </w:rPr>
        <w:t>，</w:t>
      </w:r>
      <w:r w:rsidR="008A6258">
        <w:rPr>
          <w:rFonts w:hAnsi="標楷體" w:hint="eastAsia"/>
        </w:rPr>
        <w:t>且屬公庫撥款收入預算數自110年度之2億3</w:t>
      </w:r>
      <w:r w:rsidR="008A6258">
        <w:rPr>
          <w:rFonts w:hAnsi="標楷體"/>
        </w:rPr>
        <w:t>,</w:t>
      </w:r>
      <w:r w:rsidR="008A6258">
        <w:rPr>
          <w:rFonts w:hAnsi="標楷體" w:hint="eastAsia"/>
        </w:rPr>
        <w:t>547萬4千元逐年增至</w:t>
      </w:r>
      <w:r w:rsidR="000E023B">
        <w:rPr>
          <w:rFonts w:hAnsi="標楷體" w:hint="eastAsia"/>
        </w:rPr>
        <w:t>114年度之</w:t>
      </w:r>
      <w:r w:rsidR="001960D4" w:rsidRPr="001960D4">
        <w:rPr>
          <w:rFonts w:hAnsi="標楷體" w:hint="eastAsia"/>
        </w:rPr>
        <w:t>9億2,000萬2千元</w:t>
      </w:r>
      <w:r w:rsidR="001960D4">
        <w:rPr>
          <w:rFonts w:hAnsi="標楷體" w:hint="eastAsia"/>
        </w:rPr>
        <w:t>，占基金來源比例則自98.73%提升至99.67%</w:t>
      </w:r>
      <w:r w:rsidR="006E5AF1">
        <w:rPr>
          <w:rFonts w:hAnsi="標楷體" w:hint="eastAsia"/>
        </w:rPr>
        <w:t>(詳表</w:t>
      </w:r>
      <w:r w:rsidR="002050B2">
        <w:rPr>
          <w:rFonts w:hAnsi="標楷體" w:hint="eastAsia"/>
        </w:rPr>
        <w:t>1</w:t>
      </w:r>
      <w:r w:rsidR="006E5AF1">
        <w:rPr>
          <w:rFonts w:hAnsi="標楷體" w:hint="eastAsia"/>
        </w:rPr>
        <w:t>)</w:t>
      </w:r>
      <w:r w:rsidR="001960D4">
        <w:rPr>
          <w:rFonts w:hAnsi="標楷體" w:hint="eastAsia"/>
        </w:rPr>
        <w:t>，反映基金</w:t>
      </w:r>
      <w:r w:rsidR="0043301D">
        <w:rPr>
          <w:rFonts w:hAnsi="標楷體" w:hint="eastAsia"/>
        </w:rPr>
        <w:t>近年對</w:t>
      </w:r>
      <w:r w:rsidR="001960D4">
        <w:rPr>
          <w:rFonts w:hAnsi="標楷體" w:hint="eastAsia"/>
        </w:rPr>
        <w:t>公庫撥補</w:t>
      </w:r>
      <w:r w:rsidR="0043301D">
        <w:rPr>
          <w:rFonts w:hAnsi="標楷體" w:hint="eastAsia"/>
        </w:rPr>
        <w:t>收入之依賴性日益加深</w:t>
      </w:r>
      <w:r w:rsidR="0043301D" w:rsidRPr="0043301D">
        <w:rPr>
          <w:rFonts w:hAnsi="標楷體" w:hint="eastAsia"/>
        </w:rPr>
        <w:t>，恐排擠其他預算資源之運用</w:t>
      </w:r>
      <w:r w:rsidR="001960D4">
        <w:rPr>
          <w:rFonts w:hAnsi="標楷體" w:hint="eastAsia"/>
        </w:rPr>
        <w:t>。</w:t>
      </w:r>
    </w:p>
    <w:p w:rsidR="00D91151" w:rsidRPr="00C908F7" w:rsidRDefault="001960D4" w:rsidP="008053A7">
      <w:pPr>
        <w:pStyle w:val="21"/>
        <w:ind w:left="850" w:firstLine="566"/>
        <w:rPr>
          <w:rFonts w:hAnsi="標楷體"/>
        </w:rPr>
      </w:pPr>
      <w:r>
        <w:rPr>
          <w:rFonts w:hAnsi="標楷體" w:hint="eastAsia"/>
        </w:rPr>
        <w:t>在違規罰款收入方面，目前實務上係各市縣政府依家暴防</w:t>
      </w:r>
      <w:r>
        <w:rPr>
          <w:rFonts w:hAnsi="標楷體" w:hint="eastAsia"/>
        </w:rPr>
        <w:lastRenderedPageBreak/>
        <w:t>治法第62條第1、</w:t>
      </w:r>
      <w:r>
        <w:rPr>
          <w:rFonts w:hAnsi="標楷體"/>
        </w:rPr>
        <w:t>2</w:t>
      </w:r>
      <w:r>
        <w:rPr>
          <w:rFonts w:hAnsi="標楷體" w:hint="eastAsia"/>
        </w:rPr>
        <w:t>項</w:t>
      </w:r>
      <w:r>
        <w:rPr>
          <w:rStyle w:val="af2"/>
          <w:rFonts w:hAnsi="標楷體"/>
        </w:rPr>
        <w:footnoteReference w:id="1"/>
      </w:r>
      <w:r w:rsidR="007A455F">
        <w:rPr>
          <w:rFonts w:hAnsi="標楷體" w:hint="eastAsia"/>
        </w:rPr>
        <w:t>(註</w:t>
      </w:r>
      <w:r w:rsidR="007A455F">
        <w:rPr>
          <w:rFonts w:ascii="新細明體" w:eastAsia="新細明體" w:hAnsi="新細明體" w:hint="eastAsia"/>
        </w:rPr>
        <w:t>：</w:t>
      </w:r>
      <w:r w:rsidR="007A455F" w:rsidRPr="007A455F">
        <w:rPr>
          <w:rFonts w:hAnsi="標楷體" w:hint="eastAsia"/>
        </w:rPr>
        <w:t>執行家暴防治人員，在執行職務時知有疑似家庭暴力情事，未立即通報當地主管機關者</w:t>
      </w:r>
      <w:r w:rsidR="007A455F">
        <w:rPr>
          <w:rFonts w:hAnsi="標楷體" w:hint="eastAsia"/>
        </w:rPr>
        <w:t>；</w:t>
      </w:r>
      <w:r w:rsidR="007A455F" w:rsidRPr="007A455F">
        <w:rPr>
          <w:rFonts w:hAnsi="標楷體" w:hint="eastAsia"/>
        </w:rPr>
        <w:t>醫療機構對於家庭暴力之被害人，無故拒絕診療及開立驗傷診斷書者</w:t>
      </w:r>
      <w:r w:rsidR="007A455F">
        <w:rPr>
          <w:rFonts w:hAnsi="標楷體" w:hint="eastAsia"/>
        </w:rPr>
        <w:t>)</w:t>
      </w:r>
      <w:r>
        <w:rPr>
          <w:rFonts w:hAnsi="標楷體" w:hint="eastAsia"/>
        </w:rPr>
        <w:t>及同法第63條</w:t>
      </w:r>
      <w:r>
        <w:rPr>
          <w:rStyle w:val="af2"/>
          <w:rFonts w:hAnsi="標楷體"/>
        </w:rPr>
        <w:footnoteReference w:id="2"/>
      </w:r>
      <w:r w:rsidR="007A455F">
        <w:rPr>
          <w:rFonts w:hAnsi="標楷體" w:hint="eastAsia"/>
        </w:rPr>
        <w:t>(</w:t>
      </w:r>
      <w:r w:rsidR="006E5AF1">
        <w:rPr>
          <w:rFonts w:hAnsi="標楷體" w:hint="eastAsia"/>
        </w:rPr>
        <w:t>註</w:t>
      </w:r>
      <w:r w:rsidR="006E5AF1">
        <w:rPr>
          <w:rFonts w:ascii="新細明體" w:eastAsia="新細明體" w:hAnsi="新細明體" w:hint="eastAsia"/>
        </w:rPr>
        <w:t>：</w:t>
      </w:r>
      <w:r w:rsidR="006E5AF1" w:rsidRPr="006E5AF1">
        <w:rPr>
          <w:rFonts w:hAnsi="標楷體" w:hint="eastAsia"/>
        </w:rPr>
        <w:t>無正當理由撥打24小時專線電話，致妨害公務執行，經勸阻不聽者</w:t>
      </w:r>
      <w:r w:rsidR="007A455F">
        <w:rPr>
          <w:rFonts w:hAnsi="標楷體" w:hint="eastAsia"/>
        </w:rPr>
        <w:t>)</w:t>
      </w:r>
      <w:r>
        <w:rPr>
          <w:rFonts w:hAnsi="標楷體" w:hint="eastAsia"/>
        </w:rPr>
        <w:t>實際開罰後，所收取之罰鍰收入</w:t>
      </w:r>
      <w:r w:rsidR="00D91151" w:rsidRPr="00C908F7">
        <w:rPr>
          <w:rFonts w:hAnsi="標楷體" w:hint="eastAsia"/>
        </w:rPr>
        <w:t>。</w:t>
      </w:r>
      <w:r w:rsidR="006E5AF1">
        <w:rPr>
          <w:rFonts w:hAnsi="標楷體" w:hint="eastAsia"/>
        </w:rPr>
        <w:t>依衛福部</w:t>
      </w:r>
      <w:r w:rsidR="00AC6532">
        <w:rPr>
          <w:rFonts w:hAnsi="標楷體" w:hint="eastAsia"/>
        </w:rPr>
        <w:t>保護服務司歷年家暴事件裁罰統計資料，110至112年度各市縣政府依家暴防治法</w:t>
      </w:r>
      <w:r w:rsidR="00AC6532" w:rsidRPr="00AC6532">
        <w:rPr>
          <w:rFonts w:hAnsi="標楷體" w:hint="eastAsia"/>
        </w:rPr>
        <w:t>第62條第1、2項</w:t>
      </w:r>
      <w:r w:rsidR="00AC6532">
        <w:rPr>
          <w:rFonts w:hAnsi="標楷體" w:hint="eastAsia"/>
        </w:rPr>
        <w:t>及第63條裁罰</w:t>
      </w:r>
      <w:r w:rsidR="00275476">
        <w:rPr>
          <w:rFonts w:hAnsi="標楷體" w:hint="eastAsia"/>
        </w:rPr>
        <w:t>之</w:t>
      </w:r>
      <w:r w:rsidR="00AC6532">
        <w:rPr>
          <w:rFonts w:hAnsi="標楷體" w:hint="eastAsia"/>
        </w:rPr>
        <w:t>年度案件合計數分別為3件、4件及1件，收取罰鍰合計金額分別為</w:t>
      </w:r>
      <w:r w:rsidR="006941BC">
        <w:rPr>
          <w:rFonts w:hAnsi="標楷體" w:hint="eastAsia"/>
        </w:rPr>
        <w:t>2萬7千元、5萬7千元及3千元</w:t>
      </w:r>
      <w:r w:rsidR="00AC6532">
        <w:rPr>
          <w:rFonts w:hAnsi="標楷體" w:hint="eastAsia"/>
        </w:rPr>
        <w:t>，對照同期間衛福部提供各年度違規罰款收入決算數</w:t>
      </w:r>
      <w:r w:rsidR="006941BC">
        <w:rPr>
          <w:rFonts w:hAnsi="標楷體" w:hint="eastAsia"/>
        </w:rPr>
        <w:t>分別為7千元、0元及3萬5千元，顯示各市縣政府並未及時將</w:t>
      </w:r>
      <w:r w:rsidR="006941BC" w:rsidRPr="006941BC">
        <w:rPr>
          <w:rFonts w:hAnsi="標楷體" w:hint="eastAsia"/>
        </w:rPr>
        <w:t>違規罰款收入</w:t>
      </w:r>
      <w:r w:rsidR="006941BC">
        <w:rPr>
          <w:rFonts w:hAnsi="標楷體" w:hint="eastAsia"/>
        </w:rPr>
        <w:t>繳庫，致該基金之相對來源收入未能反映</w:t>
      </w:r>
      <w:r w:rsidR="00275476">
        <w:rPr>
          <w:rFonts w:hAnsi="標楷體" w:hint="eastAsia"/>
        </w:rPr>
        <w:t>案件裁罰年度之</w:t>
      </w:r>
      <w:r w:rsidR="006941BC">
        <w:rPr>
          <w:rFonts w:hAnsi="標楷體" w:hint="eastAsia"/>
        </w:rPr>
        <w:t>實際</w:t>
      </w:r>
      <w:r w:rsidR="00275476">
        <w:rPr>
          <w:rFonts w:hAnsi="標楷體" w:hint="eastAsia"/>
        </w:rPr>
        <w:t>罰鍰</w:t>
      </w:r>
      <w:r w:rsidR="006941BC">
        <w:rPr>
          <w:rFonts w:hAnsi="標楷體" w:hint="eastAsia"/>
        </w:rPr>
        <w:t>收繳情形</w:t>
      </w:r>
      <w:r w:rsidR="0043301D">
        <w:rPr>
          <w:rFonts w:hAnsi="標楷體" w:hint="eastAsia"/>
        </w:rPr>
        <w:t>，恐不利該基金確實掌握財源</w:t>
      </w:r>
      <w:r w:rsidR="006941BC">
        <w:rPr>
          <w:rFonts w:hAnsi="標楷體" w:hint="eastAsia"/>
        </w:rPr>
        <w:t>。洽據</w:t>
      </w:r>
      <w:r w:rsidR="00275476">
        <w:rPr>
          <w:rFonts w:hAnsi="標楷體" w:hint="eastAsia"/>
        </w:rPr>
        <w:t>該基金</w:t>
      </w:r>
      <w:r w:rsidR="006941BC">
        <w:rPr>
          <w:rFonts w:hAnsi="標楷體" w:hint="eastAsia"/>
        </w:rPr>
        <w:t>表示，各市縣政府近年收繳罰鍰後，確有未立即繳庫之情形，</w:t>
      </w:r>
      <w:r w:rsidR="00275476">
        <w:rPr>
          <w:rFonts w:hAnsi="標楷體" w:hint="eastAsia"/>
        </w:rPr>
        <w:t>衛福部</w:t>
      </w:r>
      <w:r w:rsidR="006941BC">
        <w:rPr>
          <w:rFonts w:hAnsi="標楷體" w:hint="eastAsia"/>
        </w:rPr>
        <w:t>已發文催收</w:t>
      </w:r>
      <w:r w:rsidR="00275476">
        <w:rPr>
          <w:rFonts w:hAnsi="標楷體" w:hint="eastAsia"/>
        </w:rPr>
        <w:t>，俾確保該基金法定權益</w:t>
      </w:r>
      <w:r w:rsidR="006941BC">
        <w:rPr>
          <w:rFonts w:hAnsi="標楷體" w:hint="eastAsia"/>
        </w:rPr>
        <w:t>。</w:t>
      </w:r>
    </w:p>
    <w:p w:rsidR="003A3F40" w:rsidRDefault="00D91151" w:rsidP="002E7936">
      <w:pPr>
        <w:pStyle w:val="21"/>
        <w:spacing w:beforeLines="25" w:before="125" w:line="360" w:lineRule="exact"/>
        <w:ind w:leftChars="19" w:left="6245" w:hangingChars="2184" w:hanging="6191"/>
        <w:rPr>
          <w:rFonts w:hAnsi="標楷體"/>
          <w:b/>
        </w:rPr>
      </w:pPr>
      <w:r w:rsidRPr="00C908F7">
        <w:rPr>
          <w:rFonts w:hAnsi="標楷體" w:hint="eastAsia"/>
          <w:b/>
        </w:rPr>
        <w:lastRenderedPageBreak/>
        <w:t>表</w:t>
      </w:r>
      <w:r w:rsidR="002050B2">
        <w:rPr>
          <w:rFonts w:hAnsi="標楷體" w:hint="eastAsia"/>
          <w:b/>
        </w:rPr>
        <w:t>1</w:t>
      </w:r>
      <w:r w:rsidRPr="00C908F7">
        <w:rPr>
          <w:rFonts w:hAnsi="標楷體" w:hint="eastAsia"/>
          <w:b/>
        </w:rPr>
        <w:t xml:space="preserve"> </w:t>
      </w:r>
      <w:r w:rsidR="006E5AF1">
        <w:rPr>
          <w:rFonts w:hAnsi="標楷體" w:hint="eastAsia"/>
          <w:b/>
        </w:rPr>
        <w:t>110至114年度</w:t>
      </w:r>
      <w:r w:rsidR="003A3F40">
        <w:rPr>
          <w:rFonts w:hAnsi="標楷體" w:hint="eastAsia"/>
          <w:b/>
        </w:rPr>
        <w:t>家暴及性侵</w:t>
      </w:r>
      <w:r w:rsidR="006E5AF1" w:rsidRPr="006E5AF1">
        <w:rPr>
          <w:rFonts w:hAnsi="標楷體" w:hint="eastAsia"/>
          <w:b/>
        </w:rPr>
        <w:t>防治基金</w:t>
      </w:r>
      <w:r w:rsidR="006E5AF1">
        <w:rPr>
          <w:rFonts w:hAnsi="標楷體" w:hint="eastAsia"/>
          <w:b/>
        </w:rPr>
        <w:t>來源</w:t>
      </w:r>
      <w:r w:rsidR="007B4FA5">
        <w:rPr>
          <w:rFonts w:hAnsi="標楷體" w:hint="eastAsia"/>
          <w:b/>
        </w:rPr>
        <w:t>(預算)</w:t>
      </w:r>
      <w:r w:rsidR="006E5AF1">
        <w:rPr>
          <w:rFonts w:hAnsi="標楷體" w:hint="eastAsia"/>
          <w:b/>
        </w:rPr>
        <w:t>金額及占比</w:t>
      </w:r>
      <w:r w:rsidRPr="00C908F7">
        <w:rPr>
          <w:rFonts w:hAnsi="標楷體" w:hint="eastAsia"/>
          <w:b/>
        </w:rPr>
        <w:t>表</w:t>
      </w:r>
      <w:r w:rsidR="006E5AF1">
        <w:rPr>
          <w:rFonts w:hAnsi="標楷體" w:hint="eastAsia"/>
          <w:b/>
        </w:rPr>
        <w:t xml:space="preserve"> </w:t>
      </w:r>
    </w:p>
    <w:p w:rsidR="00D91151" w:rsidRPr="00C908F7" w:rsidRDefault="003A3F40" w:rsidP="002E7936">
      <w:pPr>
        <w:pStyle w:val="21"/>
        <w:spacing w:beforeLines="25" w:before="125" w:line="360" w:lineRule="exact"/>
        <w:ind w:leftChars="19" w:left="6245" w:hangingChars="2184" w:hanging="6191"/>
        <w:rPr>
          <w:rFonts w:hAnsi="標楷體"/>
        </w:rPr>
      </w:pPr>
      <w:r>
        <w:rPr>
          <w:rFonts w:hAnsi="標楷體" w:hint="eastAsia"/>
          <w:b/>
        </w:rPr>
        <w:t xml:space="preserve">                                            </w:t>
      </w:r>
      <w:r w:rsidR="00D91151" w:rsidRPr="006E5AF1">
        <w:rPr>
          <w:rStyle w:val="143"/>
          <w:rFonts w:hint="eastAsia"/>
        </w:rPr>
        <w:t>單位：</w:t>
      </w:r>
      <w:r w:rsidR="006E5AF1" w:rsidRPr="006E5AF1">
        <w:rPr>
          <w:rStyle w:val="143"/>
          <w:rFonts w:hint="eastAsia"/>
        </w:rPr>
        <w:t>新臺幣千元；%</w:t>
      </w:r>
    </w:p>
    <w:tbl>
      <w:tblPr>
        <w:tblW w:w="0" w:type="auto"/>
        <w:tblInd w:w="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8"/>
        <w:gridCol w:w="1116"/>
        <w:gridCol w:w="1215"/>
        <w:gridCol w:w="1216"/>
        <w:gridCol w:w="1215"/>
        <w:gridCol w:w="1216"/>
        <w:gridCol w:w="1216"/>
      </w:tblGrid>
      <w:tr w:rsidR="007B4FA5" w:rsidTr="00472480">
        <w:tc>
          <w:tcPr>
            <w:tcW w:w="2394" w:type="dxa"/>
            <w:gridSpan w:val="2"/>
            <w:tcBorders>
              <w:top w:val="single" w:sz="12" w:space="0" w:color="auto"/>
              <w:left w:val="single" w:sz="12" w:space="0" w:color="auto"/>
              <w:tl2br w:val="single" w:sz="4"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 xml:space="preserve">              年度</w:t>
            </w:r>
          </w:p>
          <w:p w:rsidR="007B4FA5" w:rsidRPr="00472480" w:rsidRDefault="007B4FA5" w:rsidP="007B4FA5">
            <w:pPr>
              <w:pStyle w:val="142"/>
              <w:rPr>
                <w:rFonts w:hAnsi="標楷體"/>
              </w:rPr>
            </w:pPr>
            <w:r w:rsidRPr="00472480">
              <w:rPr>
                <w:rFonts w:hAnsi="標楷體" w:hint="eastAsia"/>
              </w:rPr>
              <w:t>項目</w:t>
            </w:r>
          </w:p>
        </w:tc>
        <w:tc>
          <w:tcPr>
            <w:tcW w:w="1215" w:type="dxa"/>
            <w:tcBorders>
              <w:top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110</w:t>
            </w:r>
          </w:p>
        </w:tc>
        <w:tc>
          <w:tcPr>
            <w:tcW w:w="1216" w:type="dxa"/>
            <w:tcBorders>
              <w:top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111</w:t>
            </w:r>
          </w:p>
        </w:tc>
        <w:tc>
          <w:tcPr>
            <w:tcW w:w="1215" w:type="dxa"/>
            <w:tcBorders>
              <w:top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112</w:t>
            </w:r>
          </w:p>
        </w:tc>
        <w:tc>
          <w:tcPr>
            <w:tcW w:w="1216" w:type="dxa"/>
            <w:tcBorders>
              <w:top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113</w:t>
            </w:r>
          </w:p>
        </w:tc>
        <w:tc>
          <w:tcPr>
            <w:tcW w:w="1216" w:type="dxa"/>
            <w:tcBorders>
              <w:top w:val="single" w:sz="12" w:space="0" w:color="auto"/>
              <w:righ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114</w:t>
            </w:r>
          </w:p>
        </w:tc>
      </w:tr>
      <w:tr w:rsidR="007B4FA5" w:rsidTr="00472480">
        <w:tc>
          <w:tcPr>
            <w:tcW w:w="1278" w:type="dxa"/>
            <w:vMerge w:val="restart"/>
            <w:tcBorders>
              <w:lef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公庫撥款收入</w:t>
            </w: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金額</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235</w:t>
            </w:r>
            <w:r w:rsidRPr="00472480">
              <w:rPr>
                <w:rFonts w:hAnsi="標楷體"/>
              </w:rPr>
              <w:t>,</w:t>
            </w:r>
            <w:r w:rsidRPr="00472480">
              <w:rPr>
                <w:rFonts w:hAnsi="標楷體" w:hint="eastAsia"/>
              </w:rPr>
              <w:t>474</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3</w:t>
            </w:r>
            <w:r w:rsidRPr="00472480">
              <w:rPr>
                <w:rFonts w:hAnsi="標楷體"/>
              </w:rPr>
              <w:t>60,340</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4</w:t>
            </w:r>
            <w:r w:rsidRPr="00472480">
              <w:rPr>
                <w:rFonts w:hAnsi="標楷體"/>
              </w:rPr>
              <w:t>46,736</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7</w:t>
            </w:r>
            <w:r w:rsidRPr="00472480">
              <w:rPr>
                <w:rFonts w:hAnsi="標楷體"/>
              </w:rPr>
              <w:t>09,607</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20,002</w:t>
            </w:r>
          </w:p>
        </w:tc>
      </w:tr>
      <w:tr w:rsidR="007B4FA5" w:rsidTr="00472480">
        <w:tc>
          <w:tcPr>
            <w:tcW w:w="1278" w:type="dxa"/>
            <w:vMerge/>
            <w:tcBorders>
              <w:left w:val="single" w:sz="12" w:space="0" w:color="auto"/>
            </w:tcBorders>
            <w:shd w:val="clear" w:color="auto" w:fill="auto"/>
            <w:vAlign w:val="center"/>
          </w:tcPr>
          <w:p w:rsidR="007B4FA5" w:rsidRPr="00472480" w:rsidRDefault="007B4FA5" w:rsidP="00472480">
            <w:pPr>
              <w:pStyle w:val="142"/>
              <w:jc w:val="center"/>
              <w:rPr>
                <w:rFonts w:hAnsi="標楷體"/>
              </w:rPr>
            </w:pP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占比</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8.73</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9.17</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9.33</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9.58</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9.67</w:t>
            </w:r>
          </w:p>
        </w:tc>
      </w:tr>
      <w:tr w:rsidR="007B4FA5" w:rsidTr="00472480">
        <w:tc>
          <w:tcPr>
            <w:tcW w:w="1278" w:type="dxa"/>
            <w:vMerge w:val="restart"/>
            <w:tcBorders>
              <w:lef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其他收入</w:t>
            </w: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金額</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3</w:t>
            </w:r>
            <w:r w:rsidRPr="00472480">
              <w:rPr>
                <w:rFonts w:hAnsi="標楷體"/>
              </w:rPr>
              <w:t>,000</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rPr>
              <w:t>3,000</w:t>
            </w:r>
          </w:p>
        </w:tc>
        <w:tc>
          <w:tcPr>
            <w:tcW w:w="1215" w:type="dxa"/>
            <w:shd w:val="clear" w:color="auto" w:fill="auto"/>
          </w:tcPr>
          <w:p w:rsidR="007B4FA5" w:rsidRPr="00472480" w:rsidRDefault="007B4FA5" w:rsidP="00472480">
            <w:pPr>
              <w:pStyle w:val="142"/>
              <w:jc w:val="right"/>
              <w:rPr>
                <w:rFonts w:hAnsi="標楷體"/>
              </w:rPr>
            </w:pPr>
            <w:r w:rsidRPr="00BF069F">
              <w:t>3,000</w:t>
            </w:r>
          </w:p>
        </w:tc>
        <w:tc>
          <w:tcPr>
            <w:tcW w:w="1216" w:type="dxa"/>
            <w:shd w:val="clear" w:color="auto" w:fill="auto"/>
          </w:tcPr>
          <w:p w:rsidR="007B4FA5" w:rsidRPr="00472480" w:rsidRDefault="007B4FA5" w:rsidP="00472480">
            <w:pPr>
              <w:pStyle w:val="142"/>
              <w:jc w:val="right"/>
              <w:rPr>
                <w:rFonts w:hAnsi="標楷體"/>
              </w:rPr>
            </w:pPr>
            <w:r w:rsidRPr="00BF069F">
              <w:t>3,000</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BF069F">
              <w:t>3,000</w:t>
            </w:r>
          </w:p>
        </w:tc>
      </w:tr>
      <w:tr w:rsidR="007B4FA5" w:rsidTr="00472480">
        <w:tc>
          <w:tcPr>
            <w:tcW w:w="1278" w:type="dxa"/>
            <w:vMerge/>
            <w:tcBorders>
              <w:left w:val="single" w:sz="12" w:space="0" w:color="auto"/>
            </w:tcBorders>
            <w:shd w:val="clear" w:color="auto" w:fill="auto"/>
            <w:vAlign w:val="center"/>
          </w:tcPr>
          <w:p w:rsidR="007B4FA5" w:rsidRPr="00472480" w:rsidRDefault="007B4FA5" w:rsidP="00472480">
            <w:pPr>
              <w:pStyle w:val="142"/>
              <w:jc w:val="center"/>
              <w:rPr>
                <w:rFonts w:hAnsi="標楷體"/>
              </w:rPr>
            </w:pP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占比</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.26</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.83</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.67</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.42</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.33</w:t>
            </w:r>
          </w:p>
        </w:tc>
      </w:tr>
      <w:tr w:rsidR="007B4FA5" w:rsidTr="00472480">
        <w:tc>
          <w:tcPr>
            <w:tcW w:w="1278" w:type="dxa"/>
            <w:vMerge w:val="restart"/>
            <w:tcBorders>
              <w:lef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違規罰款收入</w:t>
            </w: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金額</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0</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0</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0</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0</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0</w:t>
            </w:r>
          </w:p>
        </w:tc>
      </w:tr>
      <w:tr w:rsidR="007B4FA5" w:rsidTr="00472480">
        <w:tc>
          <w:tcPr>
            <w:tcW w:w="1278" w:type="dxa"/>
            <w:vMerge/>
            <w:tcBorders>
              <w:left w:val="single" w:sz="12" w:space="0" w:color="auto"/>
            </w:tcBorders>
            <w:shd w:val="clear" w:color="auto" w:fill="auto"/>
            <w:vAlign w:val="center"/>
          </w:tcPr>
          <w:p w:rsidR="007B4FA5" w:rsidRPr="00472480" w:rsidRDefault="007B4FA5" w:rsidP="00472480">
            <w:pPr>
              <w:pStyle w:val="142"/>
              <w:jc w:val="center"/>
              <w:rPr>
                <w:rFonts w:hAnsi="標楷體"/>
              </w:rPr>
            </w:pP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占比</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.01</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.01</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r>
      <w:tr w:rsidR="007B4FA5" w:rsidTr="00472480">
        <w:tc>
          <w:tcPr>
            <w:tcW w:w="1278" w:type="dxa"/>
            <w:vMerge w:val="restart"/>
            <w:tcBorders>
              <w:lef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利息收入</w:t>
            </w: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金額</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6</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6</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6</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6</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6</w:t>
            </w:r>
          </w:p>
        </w:tc>
      </w:tr>
      <w:tr w:rsidR="007B4FA5" w:rsidTr="00472480">
        <w:tc>
          <w:tcPr>
            <w:tcW w:w="1278" w:type="dxa"/>
            <w:vMerge/>
            <w:tcBorders>
              <w:left w:val="single" w:sz="12" w:space="0" w:color="auto"/>
              <w:bottom w:val="double" w:sz="4" w:space="0" w:color="auto"/>
            </w:tcBorders>
            <w:shd w:val="clear" w:color="auto" w:fill="auto"/>
            <w:vAlign w:val="center"/>
          </w:tcPr>
          <w:p w:rsidR="007B4FA5" w:rsidRPr="00472480" w:rsidRDefault="007B4FA5" w:rsidP="00472480">
            <w:pPr>
              <w:pStyle w:val="142"/>
              <w:jc w:val="center"/>
              <w:rPr>
                <w:rFonts w:hAnsi="標楷體"/>
              </w:rPr>
            </w:pPr>
          </w:p>
        </w:tc>
        <w:tc>
          <w:tcPr>
            <w:tcW w:w="1116" w:type="dxa"/>
            <w:tcBorders>
              <w:bottom w:val="double" w:sz="4"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占比</w:t>
            </w:r>
          </w:p>
        </w:tc>
        <w:tc>
          <w:tcPr>
            <w:tcW w:w="1215" w:type="dxa"/>
            <w:tcBorders>
              <w:bottom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6" w:type="dxa"/>
            <w:tcBorders>
              <w:bottom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5" w:type="dxa"/>
            <w:tcBorders>
              <w:bottom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6" w:type="dxa"/>
            <w:tcBorders>
              <w:bottom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6" w:type="dxa"/>
            <w:tcBorders>
              <w:bottom w:val="double" w:sz="4" w:space="0" w:color="auto"/>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r>
      <w:tr w:rsidR="007B4FA5" w:rsidTr="00472480">
        <w:tc>
          <w:tcPr>
            <w:tcW w:w="1278" w:type="dxa"/>
            <w:vMerge w:val="restart"/>
            <w:tcBorders>
              <w:top w:val="double" w:sz="4" w:space="0" w:color="auto"/>
              <w:lef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合計</w:t>
            </w:r>
          </w:p>
        </w:tc>
        <w:tc>
          <w:tcPr>
            <w:tcW w:w="1116" w:type="dxa"/>
            <w:tcBorders>
              <w:top w:val="double" w:sz="4"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金額</w:t>
            </w:r>
          </w:p>
        </w:tc>
        <w:tc>
          <w:tcPr>
            <w:tcW w:w="1215" w:type="dxa"/>
            <w:tcBorders>
              <w:top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38,500</w:t>
            </w:r>
          </w:p>
        </w:tc>
        <w:tc>
          <w:tcPr>
            <w:tcW w:w="1216" w:type="dxa"/>
            <w:tcBorders>
              <w:top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3</w:t>
            </w:r>
            <w:r w:rsidRPr="00472480">
              <w:rPr>
                <w:rFonts w:hAnsi="標楷體"/>
              </w:rPr>
              <w:t>63,366</w:t>
            </w:r>
          </w:p>
        </w:tc>
        <w:tc>
          <w:tcPr>
            <w:tcW w:w="1215" w:type="dxa"/>
            <w:tcBorders>
              <w:top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4</w:t>
            </w:r>
            <w:r w:rsidRPr="00472480">
              <w:rPr>
                <w:rFonts w:hAnsi="標楷體"/>
              </w:rPr>
              <w:t>49,762</w:t>
            </w:r>
          </w:p>
        </w:tc>
        <w:tc>
          <w:tcPr>
            <w:tcW w:w="1216" w:type="dxa"/>
            <w:tcBorders>
              <w:top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7</w:t>
            </w:r>
            <w:r w:rsidRPr="00472480">
              <w:rPr>
                <w:rFonts w:hAnsi="標楷體"/>
              </w:rPr>
              <w:t>12,633</w:t>
            </w:r>
          </w:p>
        </w:tc>
        <w:tc>
          <w:tcPr>
            <w:tcW w:w="1216" w:type="dxa"/>
            <w:tcBorders>
              <w:top w:val="double" w:sz="4" w:space="0" w:color="auto"/>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23,028</w:t>
            </w:r>
          </w:p>
        </w:tc>
      </w:tr>
      <w:tr w:rsidR="007B4FA5" w:rsidTr="00472480">
        <w:tc>
          <w:tcPr>
            <w:tcW w:w="1278" w:type="dxa"/>
            <w:vMerge/>
            <w:tcBorders>
              <w:left w:val="single" w:sz="12" w:space="0" w:color="auto"/>
              <w:bottom w:val="single" w:sz="12" w:space="0" w:color="auto"/>
            </w:tcBorders>
            <w:shd w:val="clear" w:color="auto" w:fill="auto"/>
            <w:vAlign w:val="center"/>
          </w:tcPr>
          <w:p w:rsidR="007B4FA5" w:rsidRPr="00472480" w:rsidRDefault="007B4FA5" w:rsidP="00472480">
            <w:pPr>
              <w:pStyle w:val="142"/>
              <w:jc w:val="center"/>
              <w:rPr>
                <w:rFonts w:hAnsi="標楷體"/>
              </w:rPr>
            </w:pPr>
          </w:p>
        </w:tc>
        <w:tc>
          <w:tcPr>
            <w:tcW w:w="1116" w:type="dxa"/>
            <w:tcBorders>
              <w:bottom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占比</w:t>
            </w:r>
          </w:p>
        </w:tc>
        <w:tc>
          <w:tcPr>
            <w:tcW w:w="1215" w:type="dxa"/>
            <w:tcBorders>
              <w:bottom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00.00</w:t>
            </w:r>
          </w:p>
        </w:tc>
        <w:tc>
          <w:tcPr>
            <w:tcW w:w="1216" w:type="dxa"/>
            <w:tcBorders>
              <w:bottom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00.00</w:t>
            </w:r>
          </w:p>
        </w:tc>
        <w:tc>
          <w:tcPr>
            <w:tcW w:w="1215" w:type="dxa"/>
            <w:tcBorders>
              <w:bottom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00.00</w:t>
            </w:r>
          </w:p>
        </w:tc>
        <w:tc>
          <w:tcPr>
            <w:tcW w:w="1216" w:type="dxa"/>
            <w:tcBorders>
              <w:bottom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00.00</w:t>
            </w:r>
          </w:p>
        </w:tc>
        <w:tc>
          <w:tcPr>
            <w:tcW w:w="1216" w:type="dxa"/>
            <w:tcBorders>
              <w:bottom w:val="single" w:sz="12" w:space="0" w:color="auto"/>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00.00</w:t>
            </w:r>
          </w:p>
        </w:tc>
      </w:tr>
    </w:tbl>
    <w:p w:rsidR="00D91151" w:rsidRPr="00C908F7" w:rsidRDefault="003A3F40" w:rsidP="008053A7">
      <w:pPr>
        <w:pStyle w:val="142"/>
        <w:ind w:left="1474" w:hangingChars="606" w:hanging="1474"/>
        <w:rPr>
          <w:rFonts w:hAnsi="標楷體"/>
        </w:rPr>
      </w:pPr>
      <w:r>
        <w:rPr>
          <w:rFonts w:hAnsi="標楷體" w:hint="eastAsia"/>
        </w:rPr>
        <w:t>資料來源：家暴及性侵</w:t>
      </w:r>
      <w:r w:rsidR="006E5AF1">
        <w:rPr>
          <w:rFonts w:hAnsi="標楷體" w:hint="eastAsia"/>
        </w:rPr>
        <w:t>防治基金歷年預算書</w:t>
      </w:r>
      <w:r w:rsidR="00D91151" w:rsidRPr="00C908F7">
        <w:rPr>
          <w:rFonts w:hAnsi="標楷體" w:hint="eastAsia"/>
        </w:rPr>
        <w:t>，本中心彙</w:t>
      </w:r>
      <w:r w:rsidR="00D35592">
        <w:rPr>
          <w:rFonts w:hAnsi="標楷體" w:hint="eastAsia"/>
        </w:rPr>
        <w:t>整</w:t>
      </w:r>
      <w:r w:rsidR="00D91151" w:rsidRPr="00C908F7">
        <w:rPr>
          <w:rFonts w:hAnsi="標楷體" w:hint="eastAsia"/>
        </w:rPr>
        <w:t>。</w:t>
      </w:r>
    </w:p>
    <w:p w:rsidR="00D91151" w:rsidRPr="00C908F7" w:rsidRDefault="00D91151" w:rsidP="008053A7">
      <w:pPr>
        <w:pStyle w:val="a4"/>
        <w:ind w:left="849" w:hanging="283"/>
        <w:rPr>
          <w:rFonts w:hAnsi="標楷體"/>
          <w:b/>
        </w:rPr>
      </w:pPr>
      <w:r w:rsidRPr="00C908F7">
        <w:rPr>
          <w:rFonts w:hAnsi="標楷體" w:hint="eastAsia"/>
          <w:b/>
        </w:rPr>
        <w:t>(二)</w:t>
      </w:r>
      <w:r w:rsidR="00275476">
        <w:rPr>
          <w:rFonts w:hAnsi="標楷體" w:hint="eastAsia"/>
          <w:b/>
        </w:rPr>
        <w:t>近年</w:t>
      </w:r>
      <w:r w:rsidR="00E178AF">
        <w:rPr>
          <w:rFonts w:hAnsi="標楷體" w:hint="eastAsia"/>
          <w:b/>
        </w:rPr>
        <w:t>該基金來源別屬</w:t>
      </w:r>
      <w:r w:rsidR="00275476">
        <w:rPr>
          <w:rFonts w:hAnsi="標楷體" w:hint="eastAsia"/>
          <w:b/>
        </w:rPr>
        <w:t>其他收入</w:t>
      </w:r>
      <w:r w:rsidR="00E178AF">
        <w:rPr>
          <w:rFonts w:hAnsi="標楷體" w:hint="eastAsia"/>
          <w:b/>
        </w:rPr>
        <w:t>項目金額</w:t>
      </w:r>
      <w:r w:rsidR="00275476" w:rsidRPr="00275476">
        <w:rPr>
          <w:rFonts w:hAnsi="標楷體" w:hint="eastAsia"/>
          <w:b/>
        </w:rPr>
        <w:t>連年超標</w:t>
      </w:r>
      <w:r w:rsidR="00275476">
        <w:rPr>
          <w:rFonts w:hAnsi="標楷體" w:hint="eastAsia"/>
          <w:b/>
        </w:rPr>
        <w:t>，</w:t>
      </w:r>
      <w:r w:rsidR="00275476" w:rsidRPr="00275476">
        <w:rPr>
          <w:rFonts w:hAnsi="標楷體" w:hint="eastAsia"/>
          <w:b/>
        </w:rPr>
        <w:t>且幅度逐年擴大</w:t>
      </w:r>
      <w:r w:rsidR="00F3342E">
        <w:rPr>
          <w:rFonts w:hAnsi="標楷體" w:hint="eastAsia"/>
          <w:b/>
        </w:rPr>
        <w:t>，</w:t>
      </w:r>
      <w:r w:rsidR="00C62D1E">
        <w:rPr>
          <w:rFonts w:hAnsi="標楷體" w:hint="eastAsia"/>
          <w:b/>
        </w:rPr>
        <w:t>主要</w:t>
      </w:r>
      <w:r w:rsidR="00275476" w:rsidRPr="00275476">
        <w:rPr>
          <w:rFonts w:hAnsi="標楷體" w:hint="eastAsia"/>
          <w:b/>
        </w:rPr>
        <w:t>係涉及以前年度計畫應付費用</w:t>
      </w:r>
      <w:r w:rsidR="00A97BB8">
        <w:rPr>
          <w:rFonts w:hAnsi="標楷體" w:hint="eastAsia"/>
          <w:b/>
        </w:rPr>
        <w:t>之估列過於寬鬆</w:t>
      </w:r>
      <w:r w:rsidR="00275476" w:rsidRPr="00275476">
        <w:rPr>
          <w:rFonts w:hAnsi="標楷體" w:hint="eastAsia"/>
          <w:b/>
        </w:rPr>
        <w:t>所致</w:t>
      </w:r>
    </w:p>
    <w:p w:rsidR="00E178AF" w:rsidRPr="0043301D" w:rsidRDefault="005B4C17" w:rsidP="0043301D">
      <w:pPr>
        <w:pStyle w:val="21"/>
        <w:ind w:left="850" w:firstLine="566"/>
        <w:rPr>
          <w:rFonts w:hAnsi="標楷體"/>
        </w:rPr>
      </w:pPr>
      <w:r>
        <w:rPr>
          <w:rFonts w:hAnsi="標楷體" w:hint="eastAsia"/>
        </w:rPr>
        <w:t>依該</w:t>
      </w:r>
      <w:r w:rsidR="00E178AF">
        <w:rPr>
          <w:rFonts w:hAnsi="標楷體" w:hint="eastAsia"/>
        </w:rPr>
        <w:t>基金</w:t>
      </w:r>
      <w:r>
        <w:rPr>
          <w:rFonts w:hAnsi="標楷體" w:hint="eastAsia"/>
        </w:rPr>
        <w:t>提供資料，110</w:t>
      </w:r>
      <w:r w:rsidR="00AE1A52">
        <w:rPr>
          <w:rFonts w:hAnsi="標楷體" w:hint="eastAsia"/>
        </w:rPr>
        <w:t>年度</w:t>
      </w:r>
      <w:r>
        <w:rPr>
          <w:rFonts w:hAnsi="標楷體" w:hint="eastAsia"/>
        </w:rPr>
        <w:t>至113年6月底</w:t>
      </w:r>
      <w:r w:rsidR="00AE1A52">
        <w:rPr>
          <w:rFonts w:hAnsi="標楷體" w:hint="eastAsia"/>
        </w:rPr>
        <w:t>止</w:t>
      </w:r>
      <w:r>
        <w:rPr>
          <w:rFonts w:hAnsi="標楷體" w:hint="eastAsia"/>
        </w:rPr>
        <w:t>基金</w:t>
      </w:r>
      <w:r w:rsidR="00E01390">
        <w:rPr>
          <w:rFonts w:hAnsi="標楷體" w:hint="eastAsia"/>
        </w:rPr>
        <w:t>來源</w:t>
      </w:r>
      <w:r>
        <w:rPr>
          <w:rFonts w:hAnsi="標楷體" w:hint="eastAsia"/>
        </w:rPr>
        <w:t>屬其他收入之預算數均為300萬元，同期間決算數(執行數)則自553萬4千元逐年增至1</w:t>
      </w:r>
      <w:r>
        <w:rPr>
          <w:rFonts w:hAnsi="標楷體"/>
        </w:rPr>
        <w:t>,</w:t>
      </w:r>
      <w:r>
        <w:rPr>
          <w:rFonts w:hAnsi="標楷體" w:hint="eastAsia"/>
        </w:rPr>
        <w:t>455萬6千元(詳表</w:t>
      </w:r>
      <w:r w:rsidR="006847B2">
        <w:rPr>
          <w:rFonts w:hAnsi="標楷體" w:hint="eastAsia"/>
        </w:rPr>
        <w:t>2</w:t>
      </w:r>
      <w:r>
        <w:rPr>
          <w:rFonts w:hAnsi="標楷體" w:hint="eastAsia"/>
        </w:rPr>
        <w:t>)</w:t>
      </w:r>
      <w:r w:rsidR="00D91151" w:rsidRPr="00C908F7">
        <w:rPr>
          <w:rFonts w:hAnsi="標楷體" w:hint="eastAsia"/>
        </w:rPr>
        <w:t>。</w:t>
      </w:r>
      <w:r>
        <w:rPr>
          <w:rFonts w:hAnsi="標楷體" w:hint="eastAsia"/>
        </w:rPr>
        <w:t>據該基金說明資料，主要係以前年度補助民間團體</w:t>
      </w:r>
      <w:r w:rsidR="00711FC1">
        <w:rPr>
          <w:rFonts w:hAnsi="標楷體" w:hint="eastAsia"/>
        </w:rPr>
        <w:t>推動相關工作相關</w:t>
      </w:r>
      <w:r>
        <w:rPr>
          <w:rFonts w:hAnsi="標楷體" w:hint="eastAsia"/>
        </w:rPr>
        <w:t>係採寬列預算方式，實際未補助金額則轉列雜項收入。</w:t>
      </w:r>
      <w:r w:rsidR="0043301D">
        <w:rPr>
          <w:rFonts w:hAnsi="標楷體" w:hint="eastAsia"/>
        </w:rPr>
        <w:t>按該基金</w:t>
      </w:r>
      <w:r w:rsidR="00711FC1">
        <w:rPr>
          <w:rFonts w:hAnsi="標楷體" w:hint="eastAsia"/>
        </w:rPr>
        <w:t>補助對象所辦理之工作多屬延續性服務，就該等補助對象所需經費之預算編列作業理應可參採以往年度之決算數資料，避免預估與實際值落差過大。該基金</w:t>
      </w:r>
      <w:r w:rsidR="0043301D">
        <w:rPr>
          <w:rFonts w:hAnsi="標楷體" w:hint="eastAsia"/>
        </w:rPr>
        <w:t>補助預算</w:t>
      </w:r>
      <w:r w:rsidR="00AE1A52">
        <w:rPr>
          <w:rFonts w:hAnsi="標楷體" w:hint="eastAsia"/>
        </w:rPr>
        <w:t>之估列過於寬鬆</w:t>
      </w:r>
      <w:r w:rsidR="00711FC1">
        <w:rPr>
          <w:rFonts w:hAnsi="標楷體" w:hint="eastAsia"/>
        </w:rPr>
        <w:t>，</w:t>
      </w:r>
      <w:r w:rsidR="0043301D">
        <w:rPr>
          <w:rFonts w:hAnsi="標楷體" w:hint="eastAsia"/>
        </w:rPr>
        <w:t>導致逐年均有溢估應付費用轉列雜項收入情形，致近年</w:t>
      </w:r>
      <w:r w:rsidR="00711FC1">
        <w:rPr>
          <w:rFonts w:hAnsi="標楷體" w:hint="eastAsia"/>
        </w:rPr>
        <w:t>其他收入之</w:t>
      </w:r>
      <w:r w:rsidR="00AE1A52">
        <w:rPr>
          <w:rFonts w:hAnsi="標楷體" w:hint="eastAsia"/>
        </w:rPr>
        <w:t>決算數均超過預算數，</w:t>
      </w:r>
      <w:r w:rsidR="0043301D">
        <w:rPr>
          <w:rFonts w:hAnsi="標楷體" w:hint="eastAsia"/>
        </w:rPr>
        <w:t>預算</w:t>
      </w:r>
      <w:r w:rsidR="00AE1A52">
        <w:rPr>
          <w:rFonts w:hAnsi="標楷體" w:hint="eastAsia"/>
        </w:rPr>
        <w:t>編列未盡核實</w:t>
      </w:r>
      <w:r w:rsidR="0043301D">
        <w:rPr>
          <w:rFonts w:hAnsi="標楷體" w:hint="eastAsia"/>
        </w:rPr>
        <w:t>，不利於本院審查。</w:t>
      </w:r>
    </w:p>
    <w:p w:rsidR="00E178AF" w:rsidRPr="00C908F7" w:rsidRDefault="00E178AF" w:rsidP="00E178AF">
      <w:pPr>
        <w:pStyle w:val="21"/>
        <w:spacing w:beforeLines="25" w:before="125"/>
        <w:ind w:leftChars="19" w:left="621" w:hangingChars="200" w:hanging="567"/>
        <w:jc w:val="left"/>
        <w:rPr>
          <w:rFonts w:hAnsi="標楷體"/>
        </w:rPr>
      </w:pPr>
      <w:r w:rsidRPr="00C908F7">
        <w:rPr>
          <w:rFonts w:hAnsi="標楷體" w:hint="eastAsia"/>
          <w:b/>
        </w:rPr>
        <w:t>表</w:t>
      </w:r>
      <w:r w:rsidR="006847B2">
        <w:rPr>
          <w:rFonts w:hAnsi="標楷體" w:hint="eastAsia"/>
          <w:b/>
        </w:rPr>
        <w:t>2</w:t>
      </w:r>
      <w:r w:rsidR="005B4C17">
        <w:rPr>
          <w:rFonts w:hAnsi="標楷體" w:hint="eastAsia"/>
          <w:b/>
        </w:rPr>
        <w:t xml:space="preserve"> </w:t>
      </w:r>
      <w:r>
        <w:rPr>
          <w:rFonts w:hAnsi="標楷體" w:hint="eastAsia"/>
          <w:b/>
        </w:rPr>
        <w:t>110</w:t>
      </w:r>
      <w:r w:rsidR="00AE1A52">
        <w:rPr>
          <w:rFonts w:hAnsi="標楷體" w:hint="eastAsia"/>
          <w:b/>
        </w:rPr>
        <w:t>年度</w:t>
      </w:r>
      <w:r>
        <w:rPr>
          <w:rFonts w:hAnsi="標楷體" w:hint="eastAsia"/>
          <w:b/>
        </w:rPr>
        <w:t>至113年6月底</w:t>
      </w:r>
      <w:r w:rsidR="00AE1A52">
        <w:rPr>
          <w:rFonts w:hAnsi="標楷體" w:hint="eastAsia"/>
          <w:b/>
        </w:rPr>
        <w:t>止</w:t>
      </w:r>
      <w:r w:rsidRPr="006E5AF1">
        <w:rPr>
          <w:rFonts w:hAnsi="標楷體" w:hint="eastAsia"/>
          <w:b/>
        </w:rPr>
        <w:t>家暴及性侵害防治基金</w:t>
      </w:r>
      <w:r>
        <w:rPr>
          <w:rFonts w:hAnsi="標楷體" w:hint="eastAsia"/>
          <w:b/>
        </w:rPr>
        <w:t xml:space="preserve">來源屬其他收入之預決算數統計表                    </w:t>
      </w:r>
      <w:r w:rsidRPr="006E5AF1">
        <w:rPr>
          <w:rStyle w:val="143"/>
          <w:rFonts w:hint="eastAsia"/>
        </w:rPr>
        <w:t>單位：新臺幣千元；%</w:t>
      </w:r>
    </w:p>
    <w:tbl>
      <w:tblPr>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1631"/>
        <w:gridCol w:w="1631"/>
        <w:gridCol w:w="1631"/>
        <w:gridCol w:w="1631"/>
      </w:tblGrid>
      <w:tr w:rsidR="00E178AF" w:rsidTr="00E25D95">
        <w:trPr>
          <w:tblHeader/>
        </w:trPr>
        <w:tc>
          <w:tcPr>
            <w:tcW w:w="1962" w:type="dxa"/>
            <w:tcBorders>
              <w:top w:val="single" w:sz="12" w:space="0" w:color="auto"/>
              <w:left w:val="single" w:sz="12" w:space="0" w:color="auto"/>
              <w:tl2br w:val="single" w:sz="4" w:space="0" w:color="auto"/>
            </w:tcBorders>
            <w:shd w:val="clear" w:color="auto" w:fill="auto"/>
            <w:vAlign w:val="center"/>
          </w:tcPr>
          <w:p w:rsidR="00E178AF" w:rsidRPr="00472480" w:rsidRDefault="00D35592" w:rsidP="00472480">
            <w:pPr>
              <w:pStyle w:val="142"/>
              <w:jc w:val="center"/>
              <w:rPr>
                <w:rFonts w:hAnsi="標楷體"/>
              </w:rPr>
            </w:pPr>
            <w:r w:rsidRPr="00472480">
              <w:rPr>
                <w:rFonts w:hAnsi="標楷體" w:hint="eastAsia"/>
              </w:rPr>
              <w:t xml:space="preserve">       年度</w:t>
            </w:r>
          </w:p>
          <w:p w:rsidR="00D35592" w:rsidRPr="00472480" w:rsidRDefault="00D35592" w:rsidP="00D35592">
            <w:pPr>
              <w:pStyle w:val="142"/>
              <w:rPr>
                <w:rFonts w:hAnsi="標楷體"/>
              </w:rPr>
            </w:pPr>
            <w:r w:rsidRPr="00472480">
              <w:rPr>
                <w:rFonts w:hAnsi="標楷體" w:hint="eastAsia"/>
              </w:rPr>
              <w:t>項目</w:t>
            </w:r>
          </w:p>
        </w:tc>
        <w:tc>
          <w:tcPr>
            <w:tcW w:w="1631" w:type="dxa"/>
            <w:tcBorders>
              <w:top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t>110</w:t>
            </w:r>
          </w:p>
        </w:tc>
        <w:tc>
          <w:tcPr>
            <w:tcW w:w="1631" w:type="dxa"/>
            <w:tcBorders>
              <w:top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t>111</w:t>
            </w:r>
          </w:p>
        </w:tc>
        <w:tc>
          <w:tcPr>
            <w:tcW w:w="1631" w:type="dxa"/>
            <w:tcBorders>
              <w:top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t>112</w:t>
            </w:r>
          </w:p>
        </w:tc>
        <w:tc>
          <w:tcPr>
            <w:tcW w:w="1631" w:type="dxa"/>
            <w:tcBorders>
              <w:top w:val="single" w:sz="12" w:space="0" w:color="auto"/>
              <w:right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t>113</w:t>
            </w:r>
          </w:p>
        </w:tc>
      </w:tr>
      <w:tr w:rsidR="00E178AF" w:rsidTr="00472480">
        <w:tc>
          <w:tcPr>
            <w:tcW w:w="1962" w:type="dxa"/>
            <w:tcBorders>
              <w:left w:val="single" w:sz="12" w:space="0" w:color="auto"/>
            </w:tcBorders>
            <w:shd w:val="clear" w:color="auto" w:fill="auto"/>
            <w:vAlign w:val="center"/>
          </w:tcPr>
          <w:p w:rsidR="00E178AF" w:rsidRPr="00472480" w:rsidRDefault="00E178AF" w:rsidP="00472480">
            <w:pPr>
              <w:pStyle w:val="142"/>
              <w:ind w:firstLineChars="200" w:firstLine="486"/>
              <w:rPr>
                <w:rFonts w:hAnsi="標楷體"/>
              </w:rPr>
            </w:pPr>
            <w:r w:rsidRPr="00472480">
              <w:rPr>
                <w:rFonts w:hAnsi="標楷體" w:hint="eastAsia"/>
              </w:rPr>
              <w:t>預算數A</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3</w:t>
            </w:r>
            <w:r w:rsidRPr="00472480">
              <w:rPr>
                <w:rFonts w:hAnsi="標楷體"/>
              </w:rPr>
              <w:t>,</w:t>
            </w:r>
            <w:r w:rsidRPr="00472480">
              <w:rPr>
                <w:rFonts w:hAnsi="標楷體" w:hint="eastAsia"/>
              </w:rPr>
              <w:t>000</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3</w:t>
            </w:r>
            <w:r w:rsidRPr="00472480">
              <w:rPr>
                <w:rFonts w:hAnsi="標楷體"/>
              </w:rPr>
              <w:t>,000</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3</w:t>
            </w:r>
            <w:r w:rsidRPr="00472480">
              <w:rPr>
                <w:rFonts w:hAnsi="標楷體"/>
              </w:rPr>
              <w:t>,000</w:t>
            </w:r>
          </w:p>
        </w:tc>
        <w:tc>
          <w:tcPr>
            <w:tcW w:w="1631" w:type="dxa"/>
            <w:tcBorders>
              <w:right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3</w:t>
            </w:r>
            <w:r w:rsidRPr="00472480">
              <w:rPr>
                <w:rFonts w:hAnsi="標楷體"/>
              </w:rPr>
              <w:t>,000</w:t>
            </w:r>
          </w:p>
        </w:tc>
      </w:tr>
      <w:tr w:rsidR="00E178AF" w:rsidTr="00472480">
        <w:tc>
          <w:tcPr>
            <w:tcW w:w="1962" w:type="dxa"/>
            <w:tcBorders>
              <w:left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lastRenderedPageBreak/>
              <w:t>決算數B</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5</w:t>
            </w:r>
            <w:r w:rsidRPr="00472480">
              <w:rPr>
                <w:rFonts w:hAnsi="標楷體"/>
              </w:rPr>
              <w:t>,534</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5</w:t>
            </w:r>
            <w:r w:rsidRPr="00472480">
              <w:rPr>
                <w:rFonts w:hAnsi="標楷體"/>
              </w:rPr>
              <w:t>,803</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1</w:t>
            </w:r>
            <w:r w:rsidRPr="00472480">
              <w:rPr>
                <w:rFonts w:hAnsi="標楷體"/>
              </w:rPr>
              <w:t>7,507</w:t>
            </w:r>
          </w:p>
        </w:tc>
        <w:tc>
          <w:tcPr>
            <w:tcW w:w="1631" w:type="dxa"/>
            <w:tcBorders>
              <w:right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1</w:t>
            </w:r>
            <w:r w:rsidRPr="00472480">
              <w:rPr>
                <w:rFonts w:hAnsi="標楷體"/>
              </w:rPr>
              <w:t>4,556</w:t>
            </w:r>
          </w:p>
        </w:tc>
      </w:tr>
      <w:tr w:rsidR="00E178AF" w:rsidTr="00472480">
        <w:tc>
          <w:tcPr>
            <w:tcW w:w="1962" w:type="dxa"/>
            <w:tcBorders>
              <w:left w:val="single" w:sz="12" w:space="0" w:color="auto"/>
              <w:bottom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t>B</w:t>
            </w:r>
            <w:r w:rsidRPr="00472480">
              <w:rPr>
                <w:rFonts w:hAnsi="標楷體"/>
              </w:rPr>
              <w:t>/A</w:t>
            </w:r>
          </w:p>
        </w:tc>
        <w:tc>
          <w:tcPr>
            <w:tcW w:w="1631" w:type="dxa"/>
            <w:tcBorders>
              <w:bottom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1</w:t>
            </w:r>
            <w:r w:rsidRPr="00472480">
              <w:rPr>
                <w:rFonts w:hAnsi="標楷體"/>
              </w:rPr>
              <w:t>84.47</w:t>
            </w:r>
          </w:p>
        </w:tc>
        <w:tc>
          <w:tcPr>
            <w:tcW w:w="1631" w:type="dxa"/>
            <w:tcBorders>
              <w:bottom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1</w:t>
            </w:r>
            <w:r w:rsidRPr="00472480">
              <w:rPr>
                <w:rFonts w:hAnsi="標楷體"/>
              </w:rPr>
              <w:t>93.43</w:t>
            </w:r>
          </w:p>
        </w:tc>
        <w:tc>
          <w:tcPr>
            <w:tcW w:w="1631" w:type="dxa"/>
            <w:tcBorders>
              <w:bottom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5</w:t>
            </w:r>
            <w:r w:rsidRPr="00472480">
              <w:rPr>
                <w:rFonts w:hAnsi="標楷體"/>
              </w:rPr>
              <w:t>83.57</w:t>
            </w:r>
          </w:p>
        </w:tc>
        <w:tc>
          <w:tcPr>
            <w:tcW w:w="1631" w:type="dxa"/>
            <w:tcBorders>
              <w:bottom w:val="single" w:sz="12" w:space="0" w:color="auto"/>
              <w:right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4</w:t>
            </w:r>
            <w:r w:rsidRPr="00472480">
              <w:rPr>
                <w:rFonts w:hAnsi="標楷體"/>
              </w:rPr>
              <w:t>85.20</w:t>
            </w:r>
          </w:p>
        </w:tc>
      </w:tr>
    </w:tbl>
    <w:p w:rsidR="005B4C17" w:rsidRDefault="005B4C17" w:rsidP="00D35592">
      <w:pPr>
        <w:pStyle w:val="142"/>
        <w:ind w:left="1474" w:hangingChars="606" w:hanging="1474"/>
        <w:rPr>
          <w:rFonts w:hAnsi="標楷體"/>
        </w:rPr>
      </w:pPr>
      <w:r>
        <w:rPr>
          <w:rFonts w:hAnsi="標楷體" w:hint="eastAsia"/>
        </w:rPr>
        <w:t>說    明</w:t>
      </w:r>
      <w:r>
        <w:rPr>
          <w:rFonts w:ascii="新細明體" w:eastAsia="新細明體" w:hAnsi="新細明體" w:hint="eastAsia"/>
        </w:rPr>
        <w:t>：</w:t>
      </w:r>
      <w:r w:rsidRPr="005B4C17">
        <w:rPr>
          <w:rFonts w:hAnsi="標楷體" w:hint="eastAsia"/>
        </w:rPr>
        <w:t>表內</w:t>
      </w:r>
      <w:r>
        <w:rPr>
          <w:rFonts w:hAnsi="標楷體" w:hint="eastAsia"/>
        </w:rPr>
        <w:t>113年度決算數為截至6月底執行數。</w:t>
      </w:r>
    </w:p>
    <w:p w:rsidR="00D35592" w:rsidRPr="00C908F7" w:rsidRDefault="00D35592" w:rsidP="00D35592">
      <w:pPr>
        <w:pStyle w:val="142"/>
        <w:ind w:left="1474" w:hangingChars="606" w:hanging="1474"/>
        <w:rPr>
          <w:rFonts w:hAnsi="標楷體"/>
        </w:rPr>
      </w:pPr>
      <w:r>
        <w:rPr>
          <w:rFonts w:hAnsi="標楷體" w:hint="eastAsia"/>
        </w:rPr>
        <w:t>資料來源：家暴及性侵害防治基金提供</w:t>
      </w:r>
      <w:r w:rsidRPr="00C908F7">
        <w:rPr>
          <w:rFonts w:hAnsi="標楷體" w:hint="eastAsia"/>
        </w:rPr>
        <w:t>，本中心彙</w:t>
      </w:r>
      <w:r>
        <w:rPr>
          <w:rFonts w:hAnsi="標楷體" w:hint="eastAsia"/>
        </w:rPr>
        <w:t>整</w:t>
      </w:r>
      <w:r w:rsidRPr="00C908F7">
        <w:rPr>
          <w:rFonts w:hAnsi="標楷體" w:hint="eastAsia"/>
        </w:rPr>
        <w:t>。</w:t>
      </w:r>
    </w:p>
    <w:p w:rsidR="00D91151" w:rsidRPr="00C908F7" w:rsidRDefault="00D91151" w:rsidP="008053A7">
      <w:pPr>
        <w:ind w:left="566" w:firstLine="566"/>
        <w:rPr>
          <w:rFonts w:hAnsi="標楷體"/>
        </w:rPr>
      </w:pPr>
      <w:r w:rsidRPr="00C908F7">
        <w:rPr>
          <w:rFonts w:hAnsi="標楷體" w:hint="eastAsia"/>
        </w:rPr>
        <w:t>綜上，近年</w:t>
      </w:r>
      <w:r w:rsidR="0043301D" w:rsidRPr="0043301D">
        <w:rPr>
          <w:rFonts w:hAnsi="標楷體" w:hint="eastAsia"/>
        </w:rPr>
        <w:t>家暴及性侵害防治基金</w:t>
      </w:r>
      <w:r w:rsidR="0043301D">
        <w:rPr>
          <w:rFonts w:hAnsi="標楷體" w:hint="eastAsia"/>
        </w:rPr>
        <w:t>來源核有對公庫撥補之依賴性逐年增加，恐排擠其他預算資源之運用；</w:t>
      </w:r>
      <w:r w:rsidR="0043301D" w:rsidRPr="0043301D">
        <w:rPr>
          <w:rFonts w:hAnsi="標楷體" w:hint="eastAsia"/>
        </w:rPr>
        <w:t>各市縣政府就違規罰款收入多未能及時繳庫</w:t>
      </w:r>
      <w:r w:rsidR="0043301D">
        <w:rPr>
          <w:rFonts w:hAnsi="標楷體" w:hint="eastAsia"/>
        </w:rPr>
        <w:t>，不利該基金精確掌握財源；</w:t>
      </w:r>
      <w:r w:rsidR="00AE1A52">
        <w:rPr>
          <w:rFonts w:hAnsi="標楷體" w:hint="eastAsia"/>
        </w:rPr>
        <w:t>且</w:t>
      </w:r>
      <w:r w:rsidR="0043301D" w:rsidRPr="0043301D">
        <w:rPr>
          <w:rFonts w:hAnsi="標楷體" w:hint="eastAsia"/>
        </w:rPr>
        <w:t>補助預算</w:t>
      </w:r>
      <w:r w:rsidR="00AE1A52">
        <w:rPr>
          <w:rFonts w:hAnsi="標楷體" w:hint="eastAsia"/>
        </w:rPr>
        <w:t>之估列過於寬鬆</w:t>
      </w:r>
      <w:r w:rsidR="001954FA">
        <w:rPr>
          <w:rFonts w:hAnsi="標楷體" w:hint="eastAsia"/>
        </w:rPr>
        <w:t>，</w:t>
      </w:r>
      <w:r w:rsidR="0043301D" w:rsidRPr="0043301D">
        <w:rPr>
          <w:rFonts w:hAnsi="標楷體" w:hint="eastAsia"/>
        </w:rPr>
        <w:t>導致</w:t>
      </w:r>
      <w:r w:rsidR="00AE1A52">
        <w:rPr>
          <w:rFonts w:hAnsi="標楷體" w:hint="eastAsia"/>
        </w:rPr>
        <w:t>每</w:t>
      </w:r>
      <w:r w:rsidR="0043301D" w:rsidRPr="0043301D">
        <w:rPr>
          <w:rFonts w:hAnsi="標楷體" w:hint="eastAsia"/>
        </w:rPr>
        <w:t>年均有溢估應付費用轉列雜項收入</w:t>
      </w:r>
      <w:r w:rsidR="001954FA">
        <w:rPr>
          <w:rFonts w:hAnsi="標楷體" w:hint="eastAsia"/>
        </w:rPr>
        <w:t>，均有待檢討精進</w:t>
      </w:r>
      <w:r w:rsidRPr="00C908F7">
        <w:rPr>
          <w:rFonts w:hAnsi="標楷體" w:hint="eastAsia"/>
        </w:rPr>
        <w:t>。</w:t>
      </w:r>
    </w:p>
    <w:bookmarkEnd w:id="2"/>
    <w:bookmarkEnd w:id="3"/>
    <w:bookmarkEnd w:id="4"/>
    <w:bookmarkEnd w:id="5"/>
    <w:sectPr w:rsidR="00D91151" w:rsidRPr="00C908F7"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001DE3" w:rsidRPr="00001DE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1960D4" w:rsidRDefault="00F20223" w:rsidP="00ED0FDB">
      <w:pPr>
        <w:pStyle w:val="142"/>
        <w:ind w:left="219" w:hangingChars="90" w:hanging="219"/>
      </w:pPr>
      <w:r w:rsidRPr="001960D4">
        <w:rPr>
          <w:rStyle w:val="af2"/>
          <w:szCs w:val="24"/>
        </w:rPr>
        <w:footnoteRef/>
      </w:r>
      <w:r w:rsidRPr="001960D4">
        <w:t xml:space="preserve"> </w:t>
      </w:r>
      <w:r w:rsidRPr="001960D4">
        <w:rPr>
          <w:rFonts w:hint="eastAsia"/>
        </w:rPr>
        <w:t>家暴防治法第62條第1</w:t>
      </w:r>
      <w:r>
        <w:rPr>
          <w:rFonts w:hint="eastAsia"/>
        </w:rPr>
        <w:t>項及第</w:t>
      </w:r>
      <w:r w:rsidRPr="001960D4">
        <w:rPr>
          <w:rFonts w:hint="eastAsia"/>
        </w:rPr>
        <w:t>2項</w:t>
      </w:r>
      <w:r>
        <w:rPr>
          <w:rFonts w:hint="eastAsia"/>
        </w:rPr>
        <w:t>規定</w:t>
      </w:r>
      <w:r>
        <w:rPr>
          <w:rFonts w:ascii="新細明體" w:eastAsia="新細明體" w:hAnsi="新細明體" w:hint="eastAsia"/>
        </w:rPr>
        <w:t>：</w:t>
      </w:r>
      <w:r>
        <w:rPr>
          <w:rFonts w:hint="eastAsia"/>
        </w:rPr>
        <w:t>「</w:t>
      </w:r>
      <w:r w:rsidRPr="001960D4">
        <w:rPr>
          <w:rFonts w:hint="eastAsia"/>
        </w:rPr>
        <w:t>違反第五十條第一項規定者，由直轄市、縣（市）主管機關處新臺幣六千元以上三萬元以下罰鍰。但醫事人員為避免被害人身體緊急危難而違反者，不罰。違反第五十二條或依第六十三條之一第一項準用第五十二條規定者，由直轄市、縣</w:t>
      </w:r>
      <w:r w:rsidR="00F14EFC">
        <w:rPr>
          <w:rFonts w:hint="eastAsia"/>
        </w:rPr>
        <w:t>(</w:t>
      </w:r>
      <w:r w:rsidRPr="001960D4">
        <w:rPr>
          <w:rFonts w:hint="eastAsia"/>
        </w:rPr>
        <w:t>市</w:t>
      </w:r>
      <w:r w:rsidR="00F14EFC">
        <w:rPr>
          <w:rFonts w:hint="eastAsia"/>
        </w:rPr>
        <w:t>)</w:t>
      </w:r>
      <w:r w:rsidRPr="001960D4">
        <w:rPr>
          <w:rFonts w:hint="eastAsia"/>
        </w:rPr>
        <w:t>主管機關處新臺幣六千元以上三萬元以下罰鍰。</w:t>
      </w:r>
      <w:r>
        <w:rPr>
          <w:rFonts w:hint="eastAsia"/>
        </w:rPr>
        <w:t>」(同法第50條第1項規定</w:t>
      </w:r>
      <w:r>
        <w:rPr>
          <w:rFonts w:ascii="新細明體" w:eastAsia="新細明體" w:hAnsi="新細明體" w:hint="eastAsia"/>
        </w:rPr>
        <w:t>：</w:t>
      </w:r>
      <w:r>
        <w:rPr>
          <w:rFonts w:hint="eastAsia"/>
        </w:rPr>
        <w:t>「</w:t>
      </w:r>
      <w:r w:rsidRPr="007A455F">
        <w:rPr>
          <w:rFonts w:hint="eastAsia"/>
        </w:rPr>
        <w:t>醫事人員、社會工作人員、教育人員、教保服務人員、保育人員、警察人員、移民業務人員及其他執行家庭暴力防治人員，於執行職務時知有疑似家庭暴力情事，應立即通報當地直轄市、縣（市）主管機關，至遲不得逾二十四小時。</w:t>
      </w:r>
      <w:r>
        <w:rPr>
          <w:rFonts w:hint="eastAsia"/>
        </w:rPr>
        <w:t>」第52條規定</w:t>
      </w:r>
      <w:r>
        <w:rPr>
          <w:rFonts w:ascii="新細明體" w:eastAsia="新細明體" w:hAnsi="新細明體" w:hint="eastAsia"/>
        </w:rPr>
        <w:t>：</w:t>
      </w:r>
      <w:r>
        <w:rPr>
          <w:rFonts w:hint="eastAsia"/>
        </w:rPr>
        <w:t>「</w:t>
      </w:r>
      <w:r w:rsidRPr="007A455F">
        <w:rPr>
          <w:rFonts w:hint="eastAsia"/>
        </w:rPr>
        <w:t>醫療機構對於家庭暴力之被害人，不得無故拒絕診療及開立驗傷診斷書。</w:t>
      </w:r>
      <w:r>
        <w:rPr>
          <w:rFonts w:hint="eastAsia"/>
        </w:rPr>
        <w:t>」第63條之1規定</w:t>
      </w:r>
      <w:r>
        <w:rPr>
          <w:rFonts w:ascii="新細明體" w:eastAsia="新細明體" w:hAnsi="新細明體" w:hint="eastAsia"/>
        </w:rPr>
        <w:t>：</w:t>
      </w:r>
      <w:r>
        <w:rPr>
          <w:rFonts w:hint="eastAsia"/>
        </w:rPr>
        <w:t>「</w:t>
      </w:r>
      <w:r w:rsidRPr="007A455F">
        <w:rPr>
          <w:rFonts w:hint="eastAsia"/>
        </w:rPr>
        <w:t>被害人年滿十六歲，遭受現有或曾有親密關係之未同居伴侶施以身體或精神上不法侵害之情事者，準用第九條至第十三條、第十四條第一項第一款、第二款、第四款、第九款至第十六款、第三項、第四項、第十五條至第二十條、第二十一條第一項第一款、第三款至第五款、第二項、第二十七條至第四十二條、第四十八條、第五十條之一、第五十條之二、第五十二條、第五十四條、第五十五條及第五十八條第一項之規定。前項所稱親密關係伴侶，指雙方以情感或性行為為基礎，發展親密之社會互動關係。</w:t>
      </w:r>
      <w:r>
        <w:rPr>
          <w:rFonts w:hint="eastAsia"/>
        </w:rPr>
        <w:t>」)</w:t>
      </w:r>
    </w:p>
  </w:footnote>
  <w:footnote w:id="2">
    <w:p w:rsidR="00F20223" w:rsidRPr="001960D4" w:rsidRDefault="00F20223" w:rsidP="00ED0FDB">
      <w:pPr>
        <w:pStyle w:val="142"/>
        <w:ind w:left="219" w:hangingChars="90" w:hanging="219"/>
      </w:pPr>
      <w:r w:rsidRPr="001960D4">
        <w:rPr>
          <w:rStyle w:val="af2"/>
          <w:szCs w:val="24"/>
        </w:rPr>
        <w:footnoteRef/>
      </w:r>
      <w:r w:rsidRPr="001960D4">
        <w:t xml:space="preserve"> </w:t>
      </w:r>
      <w:r w:rsidRPr="007A455F">
        <w:rPr>
          <w:rFonts w:hint="eastAsia"/>
        </w:rPr>
        <w:t>家暴防治法第</w:t>
      </w:r>
      <w:r>
        <w:rPr>
          <w:rFonts w:hint="eastAsia"/>
        </w:rPr>
        <w:t>63</w:t>
      </w:r>
      <w:r w:rsidRPr="007A455F">
        <w:rPr>
          <w:rFonts w:hint="eastAsia"/>
        </w:rPr>
        <w:t>條規定：</w:t>
      </w:r>
      <w:r>
        <w:rPr>
          <w:rFonts w:hint="eastAsia"/>
        </w:rPr>
        <w:t>「</w:t>
      </w:r>
      <w:r w:rsidRPr="007A455F">
        <w:rPr>
          <w:rFonts w:hint="eastAsia"/>
        </w:rPr>
        <w:t>違反第五十一條第三款規定，經勸阻不聽者，直轄市、縣（市）主管機關得處新臺幣三千元以上一萬五千元以下罰鍰。</w:t>
      </w:r>
      <w:r>
        <w:rPr>
          <w:rFonts w:hint="eastAsia"/>
        </w:rPr>
        <w:t>」(第51條第3款規定</w:t>
      </w:r>
      <w:r>
        <w:rPr>
          <w:rFonts w:ascii="新細明體" w:eastAsia="新細明體" w:hAnsi="新細明體" w:hint="eastAsia"/>
        </w:rPr>
        <w:t>：</w:t>
      </w:r>
      <w:r>
        <w:rPr>
          <w:rFonts w:hint="eastAsia"/>
        </w:rPr>
        <w:t>「</w:t>
      </w:r>
      <w:r w:rsidRPr="007A455F">
        <w:rPr>
          <w:rFonts w:hint="eastAsia"/>
        </w:rPr>
        <w:t>無正當理由撥打專線電話，致妨害公務執行。</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1DE3"/>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1218F3F-0421-4825-93F3-7B6CDD5BD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79161-8D0B-4606-823A-F8DA83466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341</Words>
  <Characters>1949</Characters>
  <Application>Microsoft Office Word</Application>
  <DocSecurity>0</DocSecurity>
  <Lines>16</Lines>
  <Paragraphs>4</Paragraphs>
  <ScaleCrop>false</ScaleCrop>
  <Company>HOME</Company>
  <LinksUpToDate>false</LinksUpToDate>
  <CharactersWithSpaces>2286</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