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EA4373" w:rsidRPr="00472480" w:rsidRDefault="00AA4FAA" w:rsidP="001F6D2E">
      <w:pPr>
        <w:pStyle w:val="14"/>
        <w:ind w:left="567" w:hanging="567"/>
        <w:rPr>
          <w:color w:val="000000"/>
        </w:rPr>
      </w:pPr>
      <w:bookmarkStart w:id="0" w:name="_Toc114479784"/>
      <w:bookmarkStart w:id="1" w:name="_Toc181892126"/>
      <w:r w:rsidRPr="00472480">
        <w:rPr>
          <w:rFonts w:hint="eastAsia"/>
          <w:color w:val="000000"/>
        </w:rPr>
        <w:t>八</w:t>
      </w:r>
      <w:r w:rsidR="00EA4373" w:rsidRPr="00472480">
        <w:rPr>
          <w:rFonts w:hint="eastAsia"/>
          <w:color w:val="000000"/>
        </w:rPr>
        <w:t>、</w:t>
      </w:r>
      <w:r w:rsidR="00A511AA" w:rsidRPr="00A511AA">
        <w:rPr>
          <w:rFonts w:hint="eastAsia"/>
          <w:color w:val="000000"/>
        </w:rPr>
        <w:t>近年長照服務給付及支付之經費規模逐年成長且連年超支</w:t>
      </w:r>
      <w:r w:rsidR="00A511AA">
        <w:rPr>
          <w:rFonts w:hAnsi="標楷體" w:hint="eastAsia"/>
          <w:color w:val="000000"/>
        </w:rPr>
        <w:t>，</w:t>
      </w:r>
      <w:r w:rsidR="00A511AA">
        <w:rPr>
          <w:rFonts w:hint="eastAsia"/>
          <w:color w:val="000000"/>
        </w:rPr>
        <w:t>又</w:t>
      </w:r>
      <w:r w:rsidR="00C65060">
        <w:rPr>
          <w:rFonts w:hint="eastAsia"/>
          <w:color w:val="000000"/>
        </w:rPr>
        <w:t>各類</w:t>
      </w:r>
      <w:r w:rsidR="00445FE5" w:rsidRPr="00472480">
        <w:rPr>
          <w:rFonts w:hint="eastAsia"/>
          <w:color w:val="000000"/>
        </w:rPr>
        <w:t>長照</w:t>
      </w:r>
      <w:r w:rsidR="003F6430" w:rsidRPr="00472480">
        <w:rPr>
          <w:rFonts w:hint="eastAsia"/>
          <w:color w:val="000000"/>
        </w:rPr>
        <w:t>服務</w:t>
      </w:r>
      <w:r w:rsidR="00C65060">
        <w:rPr>
          <w:rFonts w:hint="eastAsia"/>
          <w:color w:val="000000"/>
        </w:rPr>
        <w:t>組合</w:t>
      </w:r>
      <w:r w:rsidR="00445FE5" w:rsidRPr="00472480">
        <w:rPr>
          <w:rFonts w:hint="eastAsia"/>
          <w:color w:val="000000"/>
        </w:rPr>
        <w:t>採論量計酬</w:t>
      </w:r>
      <w:r w:rsidR="002F6429">
        <w:rPr>
          <w:rFonts w:hint="eastAsia"/>
          <w:color w:val="000000"/>
        </w:rPr>
        <w:t>模式</w:t>
      </w:r>
      <w:r w:rsidR="00857360">
        <w:rPr>
          <w:rFonts w:hAnsi="標楷體" w:hint="eastAsia"/>
          <w:color w:val="000000"/>
        </w:rPr>
        <w:t>，</w:t>
      </w:r>
      <w:r w:rsidR="00445FE5" w:rsidRPr="00472480">
        <w:rPr>
          <w:rFonts w:hint="eastAsia"/>
          <w:color w:val="000000"/>
        </w:rPr>
        <w:t>雖</w:t>
      </w:r>
      <w:r w:rsidR="003F6430">
        <w:rPr>
          <w:rFonts w:hint="eastAsia"/>
          <w:color w:val="000000"/>
        </w:rPr>
        <w:t>有益於提升</w:t>
      </w:r>
      <w:r w:rsidR="00445FE5" w:rsidRPr="00472480">
        <w:rPr>
          <w:rFonts w:hint="eastAsia"/>
          <w:color w:val="000000"/>
        </w:rPr>
        <w:t>長照服務</w:t>
      </w:r>
      <w:r w:rsidR="003F6430">
        <w:rPr>
          <w:rFonts w:hint="eastAsia"/>
          <w:color w:val="000000"/>
        </w:rPr>
        <w:t>供給</w:t>
      </w:r>
      <w:r w:rsidR="00EA4373" w:rsidRPr="00472480">
        <w:rPr>
          <w:rFonts w:hint="eastAsia"/>
          <w:color w:val="000000"/>
        </w:rPr>
        <w:t>，惟</w:t>
      </w:r>
      <w:r w:rsidR="00C65060">
        <w:rPr>
          <w:rFonts w:hint="eastAsia"/>
          <w:color w:val="000000"/>
        </w:rPr>
        <w:t>恐有礙於</w:t>
      </w:r>
      <w:r w:rsidR="00EA4373" w:rsidRPr="00472480">
        <w:rPr>
          <w:rFonts w:hint="eastAsia"/>
          <w:color w:val="000000"/>
        </w:rPr>
        <w:t>服務連續性</w:t>
      </w:r>
      <w:r w:rsidR="00C65060">
        <w:rPr>
          <w:rFonts w:hint="eastAsia"/>
          <w:color w:val="000000"/>
        </w:rPr>
        <w:t>之提升</w:t>
      </w:r>
      <w:r w:rsidR="00EA4373" w:rsidRPr="00472480">
        <w:rPr>
          <w:rFonts w:hint="eastAsia"/>
          <w:color w:val="000000"/>
        </w:rPr>
        <w:t>，</w:t>
      </w:r>
      <w:r w:rsidR="00902959" w:rsidRPr="00472480">
        <w:rPr>
          <w:rFonts w:hint="eastAsia"/>
          <w:color w:val="000000"/>
        </w:rPr>
        <w:t>允宜適時檢討</w:t>
      </w:r>
      <w:r w:rsidR="00445FE5" w:rsidRPr="00472480">
        <w:rPr>
          <w:rFonts w:hint="eastAsia"/>
          <w:color w:val="000000"/>
        </w:rPr>
        <w:t>精進</w:t>
      </w:r>
      <w:bookmarkEnd w:id="1"/>
    </w:p>
    <w:p w:rsidR="00EA4373" w:rsidRPr="00A70B39" w:rsidRDefault="00B7242F" w:rsidP="00EA4373">
      <w:pPr>
        <w:ind w:left="566" w:firstLine="566"/>
        <w:rPr>
          <w:color w:val="FF0000"/>
        </w:rPr>
      </w:pPr>
      <w:r w:rsidRPr="00472480">
        <w:rPr>
          <w:rFonts w:hAnsi="標楷體" w:hint="eastAsia"/>
          <w:color w:val="000000"/>
        </w:rPr>
        <w:t>長照基金</w:t>
      </w:r>
      <w:r w:rsidR="00EA4373" w:rsidRPr="00472480">
        <w:rPr>
          <w:rFonts w:hAnsi="標楷體" w:hint="eastAsia"/>
          <w:color w:val="000000"/>
        </w:rPr>
        <w:t>114年度預算案於</w:t>
      </w:r>
      <w:r w:rsidR="00DF0C3D" w:rsidRPr="00472480">
        <w:rPr>
          <w:rFonts w:hAnsi="標楷體" w:hint="eastAsia"/>
          <w:color w:val="000000"/>
        </w:rPr>
        <w:t>「</w:t>
      </w:r>
      <w:r w:rsidR="00EA4373" w:rsidRPr="00472480">
        <w:rPr>
          <w:rFonts w:hAnsi="標楷體" w:hint="eastAsia"/>
          <w:color w:val="000000"/>
        </w:rPr>
        <w:t>完善長照服務輸送體系計畫</w:t>
      </w:r>
      <w:r w:rsidR="00DF0C3D" w:rsidRPr="00472480">
        <w:rPr>
          <w:rFonts w:hAnsi="標楷體" w:hint="eastAsia"/>
          <w:color w:val="000000"/>
        </w:rPr>
        <w:t>」項下編列長照服務給付及支付</w:t>
      </w:r>
      <w:r w:rsidR="00EA4373" w:rsidRPr="00472480">
        <w:rPr>
          <w:rFonts w:hAnsi="標楷體" w:hint="eastAsia"/>
          <w:color w:val="000000"/>
        </w:rPr>
        <w:t>所需經費</w:t>
      </w:r>
      <w:r w:rsidR="00DF0C3D" w:rsidRPr="00472480">
        <w:rPr>
          <w:rFonts w:hAnsi="標楷體" w:hint="eastAsia"/>
          <w:color w:val="000000"/>
        </w:rPr>
        <w:t>485億7</w:t>
      </w:r>
      <w:r w:rsidR="00DF0C3D" w:rsidRPr="00472480">
        <w:rPr>
          <w:rFonts w:hAnsi="標楷體"/>
          <w:color w:val="000000"/>
        </w:rPr>
        <w:t>,</w:t>
      </w:r>
      <w:r w:rsidR="00DF0C3D" w:rsidRPr="00472480">
        <w:rPr>
          <w:rFonts w:hAnsi="標楷體" w:hint="eastAsia"/>
          <w:color w:val="000000"/>
        </w:rPr>
        <w:t>500萬</w:t>
      </w:r>
      <w:r w:rsidR="00EA4373" w:rsidRPr="00472480">
        <w:rPr>
          <w:rFonts w:hAnsi="標楷體" w:hint="eastAsia"/>
          <w:color w:val="000000"/>
        </w:rPr>
        <w:t>元</w:t>
      </w:r>
      <w:r w:rsidR="00A511AA">
        <w:rPr>
          <w:rFonts w:hAnsi="標楷體" w:hint="eastAsia"/>
          <w:color w:val="000000"/>
        </w:rPr>
        <w:t>。有關</w:t>
      </w:r>
      <w:r w:rsidR="00A511AA" w:rsidRPr="00A511AA">
        <w:rPr>
          <w:rFonts w:hAnsi="標楷體" w:hint="eastAsia"/>
          <w:color w:val="000000"/>
        </w:rPr>
        <w:t>近年長照服務給付及支付之經費規模逐年成長且連年超支</w:t>
      </w:r>
      <w:r w:rsidR="00A511AA">
        <w:rPr>
          <w:rFonts w:hAnsi="標楷體" w:hint="eastAsia"/>
          <w:color w:val="000000"/>
        </w:rPr>
        <w:t>，又</w:t>
      </w:r>
      <w:r w:rsidR="00C65060">
        <w:rPr>
          <w:rFonts w:hAnsi="標楷體" w:hint="eastAsia"/>
          <w:color w:val="000000"/>
        </w:rPr>
        <w:t>各類</w:t>
      </w:r>
      <w:r w:rsidR="00EA4373" w:rsidRPr="00472480">
        <w:rPr>
          <w:rFonts w:hAnsi="標楷體" w:hint="eastAsia"/>
          <w:color w:val="000000"/>
        </w:rPr>
        <w:t>長照</w:t>
      </w:r>
      <w:r w:rsidR="00C65060">
        <w:rPr>
          <w:rFonts w:hAnsi="標楷體" w:hint="eastAsia"/>
          <w:color w:val="000000"/>
        </w:rPr>
        <w:t>服務組合採論量計酬</w:t>
      </w:r>
      <w:r w:rsidR="00A511AA">
        <w:rPr>
          <w:rFonts w:hAnsi="標楷體" w:hint="eastAsia"/>
          <w:color w:val="000000"/>
        </w:rPr>
        <w:t>方式，恐不利於提升</w:t>
      </w:r>
      <w:r w:rsidR="00C65060">
        <w:rPr>
          <w:rFonts w:hAnsi="標楷體" w:hint="eastAsia"/>
          <w:color w:val="000000"/>
        </w:rPr>
        <w:t>服務連續性</w:t>
      </w:r>
      <w:r w:rsidR="00A511AA">
        <w:rPr>
          <w:rFonts w:hAnsi="標楷體" w:hint="eastAsia"/>
          <w:color w:val="000000"/>
        </w:rPr>
        <w:t>等情形</w:t>
      </w:r>
      <w:r w:rsidR="00C65060">
        <w:rPr>
          <w:rFonts w:hAnsi="標楷體" w:hint="eastAsia"/>
          <w:color w:val="000000"/>
        </w:rPr>
        <w:t>，謹敘明如次</w:t>
      </w:r>
      <w:r w:rsidR="00EA4373" w:rsidRPr="00472480">
        <w:rPr>
          <w:rFonts w:hAnsi="標楷體" w:hint="eastAsia"/>
          <w:color w:val="000000"/>
        </w:rPr>
        <w:t>：</w:t>
      </w:r>
    </w:p>
    <w:p w:rsidR="00902959" w:rsidRPr="00902959" w:rsidRDefault="00902959" w:rsidP="00902959">
      <w:pPr>
        <w:ind w:left="849" w:hangingChars="100" w:hanging="283"/>
        <w:rPr>
          <w:b/>
        </w:rPr>
      </w:pPr>
      <w:r w:rsidRPr="00902959">
        <w:rPr>
          <w:rFonts w:hint="eastAsia"/>
          <w:b/>
        </w:rPr>
        <w:t>(一)</w:t>
      </w:r>
      <w:r w:rsidR="002A5DDC">
        <w:rPr>
          <w:rFonts w:hAnsi="標楷體" w:hint="eastAsia"/>
          <w:b/>
        </w:rPr>
        <w:t>近年長照服務給付及支付之經費規模逐年成長且連年超支</w:t>
      </w:r>
    </w:p>
    <w:p w:rsidR="00FC6F27" w:rsidRDefault="005608F3" w:rsidP="00396D6C">
      <w:pPr>
        <w:adjustRightInd w:val="0"/>
        <w:ind w:leftChars="300" w:left="850" w:firstLine="566"/>
        <w:rPr>
          <w:rFonts w:hAnsi="標楷體"/>
          <w:b/>
          <w:bCs/>
          <w:snapToGrid/>
          <w:w w:val="90"/>
          <w:szCs w:val="24"/>
        </w:rPr>
      </w:pPr>
      <w:r>
        <w:rPr>
          <w:rFonts w:hAnsi="標楷體" w:hint="eastAsia"/>
        </w:rPr>
        <w:t>隨著國人平均餘命延長</w:t>
      </w:r>
      <w:r w:rsidR="009C6342">
        <w:rPr>
          <w:rStyle w:val="af2"/>
          <w:rFonts w:hAnsi="標楷體"/>
        </w:rPr>
        <w:footnoteReference w:id="1"/>
      </w:r>
      <w:r w:rsidR="009C6342">
        <w:rPr>
          <w:rFonts w:hAnsi="標楷體" w:hint="eastAsia"/>
        </w:rPr>
        <w:t>，老年人口占比持續增加，繼107年度逾14%成為高齡社會後，預計114年度將超過20%邁向超高齡社會，進而帶動</w:t>
      </w:r>
      <w:r w:rsidR="002B5E48">
        <w:rPr>
          <w:rFonts w:hAnsi="標楷體" w:hint="eastAsia"/>
        </w:rPr>
        <w:t>對長照服務需求。在涉及一般民眾較常使用之照顧及專業、輔具</w:t>
      </w:r>
      <w:r w:rsidR="006E2083">
        <w:rPr>
          <w:rFonts w:hAnsi="標楷體" w:hint="eastAsia"/>
        </w:rPr>
        <w:t>、</w:t>
      </w:r>
      <w:r w:rsidR="002B5E48">
        <w:rPr>
          <w:rFonts w:hAnsi="標楷體" w:hint="eastAsia"/>
        </w:rPr>
        <w:t>交通接送</w:t>
      </w:r>
      <w:r w:rsidR="006E2083">
        <w:rPr>
          <w:rFonts w:hAnsi="標楷體" w:hint="eastAsia"/>
        </w:rPr>
        <w:t>及喘息服務</w:t>
      </w:r>
      <w:r w:rsidR="002B5E48">
        <w:rPr>
          <w:rFonts w:hAnsi="標楷體" w:hint="eastAsia"/>
        </w:rPr>
        <w:t>方面，該類服務</w:t>
      </w:r>
      <w:r w:rsidR="00A76174">
        <w:rPr>
          <w:rFonts w:hAnsi="標楷體" w:hint="eastAsia"/>
        </w:rPr>
        <w:t>所涉經費需求</w:t>
      </w:r>
      <w:r w:rsidR="002B5E48">
        <w:rPr>
          <w:rFonts w:hAnsi="標楷體" w:hint="eastAsia"/>
        </w:rPr>
        <w:t>係由長照基金</w:t>
      </w:r>
      <w:r w:rsidR="00A76174">
        <w:rPr>
          <w:rFonts w:hAnsi="標楷體" w:hint="eastAsia"/>
        </w:rPr>
        <w:t>之「</w:t>
      </w:r>
      <w:r w:rsidR="002B5E48">
        <w:rPr>
          <w:rFonts w:hAnsi="標楷體" w:hint="eastAsia"/>
        </w:rPr>
        <w:t>完善</w:t>
      </w:r>
      <w:r w:rsidR="00A76174">
        <w:rPr>
          <w:rFonts w:hAnsi="標楷體" w:hint="eastAsia"/>
        </w:rPr>
        <w:t>長照服務輸送體系計畫－</w:t>
      </w:r>
      <w:r w:rsidR="00A76174" w:rsidRPr="00A76174">
        <w:rPr>
          <w:rFonts w:hAnsi="標楷體" w:hint="eastAsia"/>
        </w:rPr>
        <w:t>長照服務給付及支付</w:t>
      </w:r>
      <w:r w:rsidR="00A76174">
        <w:rPr>
          <w:rFonts w:hAnsi="標楷體" w:hint="eastAsia"/>
        </w:rPr>
        <w:t>」項下支應</w:t>
      </w:r>
      <w:r w:rsidR="00F45DC6">
        <w:rPr>
          <w:rFonts w:hAnsi="標楷體" w:hint="eastAsia"/>
        </w:rPr>
        <w:t>。參據</w:t>
      </w:r>
      <w:r w:rsidR="00F45DC6" w:rsidRPr="00F45DC6">
        <w:rPr>
          <w:rFonts w:hAnsi="標楷體" w:hint="eastAsia"/>
        </w:rPr>
        <w:t>長照基金提供資料</w:t>
      </w:r>
      <w:r w:rsidR="00F45DC6">
        <w:rPr>
          <w:rFonts w:hAnsi="標楷體" w:hint="eastAsia"/>
        </w:rPr>
        <w:t>及年度預算書</w:t>
      </w:r>
      <w:r w:rsidR="00F45DC6" w:rsidRPr="00F45DC6">
        <w:rPr>
          <w:rFonts w:hAnsi="標楷體" w:hint="eastAsia"/>
        </w:rPr>
        <w:t>，</w:t>
      </w:r>
      <w:r>
        <w:rPr>
          <w:rFonts w:hAnsi="標楷體" w:hint="eastAsia"/>
        </w:rPr>
        <w:t>110至112年度</w:t>
      </w:r>
      <w:r w:rsidR="00F45DC6" w:rsidRPr="00F45DC6">
        <w:rPr>
          <w:rFonts w:hAnsi="標楷體" w:hint="eastAsia"/>
        </w:rPr>
        <w:t>長照服務給付及支付</w:t>
      </w:r>
      <w:r w:rsidR="00F45DC6">
        <w:rPr>
          <w:rFonts w:hAnsi="標楷體" w:hint="eastAsia"/>
        </w:rPr>
        <w:t>項目預算數自262億8</w:t>
      </w:r>
      <w:r w:rsidR="00F45DC6">
        <w:rPr>
          <w:rFonts w:hAnsi="標楷體"/>
        </w:rPr>
        <w:t>,</w:t>
      </w:r>
      <w:r w:rsidR="00F45DC6">
        <w:rPr>
          <w:rFonts w:hAnsi="標楷體" w:hint="eastAsia"/>
        </w:rPr>
        <w:t>798萬5千元逐年提高至330億元，決算數則自276億6</w:t>
      </w:r>
      <w:r w:rsidR="00F45DC6">
        <w:rPr>
          <w:rFonts w:hAnsi="標楷體"/>
        </w:rPr>
        <w:t>,</w:t>
      </w:r>
      <w:r w:rsidR="00F45DC6">
        <w:rPr>
          <w:rFonts w:hAnsi="標楷體" w:hint="eastAsia"/>
        </w:rPr>
        <w:t>668萬5千元大幅躍升至413億7</w:t>
      </w:r>
      <w:r w:rsidR="00F45DC6">
        <w:rPr>
          <w:rFonts w:hAnsi="標楷體"/>
        </w:rPr>
        <w:t>,</w:t>
      </w:r>
      <w:r w:rsidR="00F45DC6">
        <w:rPr>
          <w:rFonts w:hAnsi="標楷體" w:hint="eastAsia"/>
        </w:rPr>
        <w:t>904萬4千元，預算執行率亦自105.24%增至125.39%，連年超支且超支額度逐年擴大</w:t>
      </w:r>
      <w:r w:rsidR="00A511AA">
        <w:rPr>
          <w:rFonts w:hAnsi="標楷體" w:hint="eastAsia"/>
        </w:rPr>
        <w:t>，113、114年度預算案數則</w:t>
      </w:r>
      <w:r w:rsidR="006075A6">
        <w:rPr>
          <w:rFonts w:hAnsi="標楷體" w:hint="eastAsia"/>
        </w:rPr>
        <w:t>進一步分別提升至</w:t>
      </w:r>
      <w:r w:rsidR="00A511AA">
        <w:rPr>
          <w:rFonts w:hAnsi="標楷體" w:hint="eastAsia"/>
        </w:rPr>
        <w:t>442億2</w:t>
      </w:r>
      <w:r w:rsidR="00A511AA">
        <w:rPr>
          <w:rFonts w:hAnsi="標楷體"/>
        </w:rPr>
        <w:t>,</w:t>
      </w:r>
      <w:r w:rsidR="00A511AA">
        <w:rPr>
          <w:rFonts w:hAnsi="標楷體" w:hint="eastAsia"/>
        </w:rPr>
        <w:t>900萬元、485億7</w:t>
      </w:r>
      <w:r w:rsidR="00A511AA">
        <w:rPr>
          <w:rFonts w:hAnsi="標楷體"/>
        </w:rPr>
        <w:t>,</w:t>
      </w:r>
      <w:r w:rsidR="00A511AA">
        <w:rPr>
          <w:rFonts w:hAnsi="標楷體" w:hint="eastAsia"/>
        </w:rPr>
        <w:t>500萬元</w:t>
      </w:r>
      <w:r w:rsidR="00F45DC6">
        <w:rPr>
          <w:rFonts w:hAnsi="標楷體" w:hint="eastAsia"/>
        </w:rPr>
        <w:t>(詳表1)</w:t>
      </w:r>
      <w:r w:rsidR="006075A6">
        <w:rPr>
          <w:rFonts w:hAnsi="標楷體" w:hint="eastAsia"/>
        </w:rPr>
        <w:t>，反映長照基金對於長照服務供需之估測尚</w:t>
      </w:r>
      <w:r w:rsidR="006075A6">
        <w:rPr>
          <w:rFonts w:hAnsi="標楷體" w:hint="eastAsia"/>
        </w:rPr>
        <w:lastRenderedPageBreak/>
        <w:t>有精進空間</w:t>
      </w:r>
      <w:r w:rsidR="00902959" w:rsidRPr="00902959">
        <w:rPr>
          <w:rFonts w:hAnsi="標楷體" w:hint="eastAsia"/>
        </w:rPr>
        <w:t>。</w:t>
      </w:r>
    </w:p>
    <w:p w:rsidR="00A511AA" w:rsidRDefault="00F45DC6" w:rsidP="00BB2F3B">
      <w:pPr>
        <w:spacing w:line="360" w:lineRule="exact"/>
        <w:ind w:leftChars="212" w:left="6443" w:hangingChars="2286" w:hanging="5843"/>
        <w:rPr>
          <w:rFonts w:hAnsi="標楷體"/>
          <w:b/>
          <w:bCs/>
          <w:snapToGrid/>
          <w:spacing w:val="-6"/>
          <w:w w:val="90"/>
          <w:szCs w:val="24"/>
        </w:rPr>
      </w:pPr>
      <w:r w:rsidRPr="00902959">
        <w:rPr>
          <w:rFonts w:hAnsi="標楷體" w:hint="eastAsia"/>
          <w:b/>
          <w:bCs/>
          <w:snapToGrid/>
          <w:w w:val="90"/>
          <w:szCs w:val="24"/>
        </w:rPr>
        <w:t>表</w:t>
      </w:r>
      <w:r>
        <w:rPr>
          <w:rFonts w:hAnsi="標楷體" w:hint="eastAsia"/>
          <w:b/>
          <w:bCs/>
          <w:snapToGrid/>
          <w:w w:val="90"/>
          <w:szCs w:val="24"/>
        </w:rPr>
        <w:t>1</w:t>
      </w:r>
      <w:r w:rsidRPr="00902959">
        <w:rPr>
          <w:rFonts w:hAnsi="標楷體" w:hint="eastAsia"/>
          <w:b/>
          <w:bCs/>
          <w:snapToGrid/>
          <w:spacing w:val="-6"/>
          <w:w w:val="90"/>
          <w:szCs w:val="24"/>
        </w:rPr>
        <w:t xml:space="preserve">  110至11</w:t>
      </w:r>
      <w:r w:rsidR="00A511AA">
        <w:rPr>
          <w:rFonts w:hAnsi="標楷體"/>
          <w:b/>
          <w:bCs/>
          <w:snapToGrid/>
          <w:spacing w:val="-6"/>
          <w:w w:val="90"/>
          <w:szCs w:val="24"/>
        </w:rPr>
        <w:t>4</w:t>
      </w:r>
      <w:r w:rsidRPr="00902959">
        <w:rPr>
          <w:rFonts w:hAnsi="標楷體" w:hint="eastAsia"/>
          <w:b/>
          <w:bCs/>
          <w:snapToGrid/>
          <w:spacing w:val="-6"/>
          <w:w w:val="90"/>
          <w:szCs w:val="24"/>
        </w:rPr>
        <w:t>年度</w:t>
      </w:r>
      <w:r w:rsidR="00A511AA" w:rsidRPr="00A511AA">
        <w:rPr>
          <w:rFonts w:hAnsi="標楷體" w:hint="eastAsia"/>
          <w:b/>
          <w:bCs/>
          <w:snapToGrid/>
          <w:spacing w:val="-6"/>
          <w:w w:val="90"/>
          <w:szCs w:val="24"/>
        </w:rPr>
        <w:t>長照服務給付及支付項目</w:t>
      </w:r>
      <w:r w:rsidR="00A511AA">
        <w:rPr>
          <w:rFonts w:hAnsi="標楷體" w:hint="eastAsia"/>
          <w:b/>
          <w:bCs/>
          <w:snapToGrid/>
          <w:spacing w:val="-6"/>
          <w:w w:val="90"/>
          <w:szCs w:val="24"/>
        </w:rPr>
        <w:t>預、決算</w:t>
      </w:r>
      <w:r w:rsidRPr="00902959">
        <w:rPr>
          <w:rFonts w:hAnsi="標楷體" w:hint="eastAsia"/>
          <w:b/>
          <w:bCs/>
          <w:snapToGrid/>
          <w:spacing w:val="-6"/>
          <w:w w:val="90"/>
          <w:szCs w:val="24"/>
        </w:rPr>
        <w:t>統計表</w:t>
      </w:r>
    </w:p>
    <w:p w:rsidR="00F45DC6" w:rsidRPr="00902959" w:rsidRDefault="00A511AA" w:rsidP="00F45DC6">
      <w:pPr>
        <w:spacing w:line="360" w:lineRule="exact"/>
        <w:ind w:leftChars="212" w:left="6169" w:hangingChars="2286" w:hanging="5569"/>
        <w:jc w:val="left"/>
        <w:rPr>
          <w:rFonts w:hAnsi="標楷體"/>
          <w:snapToGrid/>
          <w:w w:val="90"/>
          <w:sz w:val="24"/>
          <w:szCs w:val="24"/>
        </w:rPr>
      </w:pPr>
      <w:r>
        <w:rPr>
          <w:rFonts w:hAnsi="標楷體" w:hint="eastAsia"/>
          <w:b/>
          <w:bCs/>
          <w:snapToGrid/>
          <w:spacing w:val="-6"/>
          <w:w w:val="90"/>
          <w:szCs w:val="24"/>
        </w:rPr>
        <w:t xml:space="preserve">                                                  </w:t>
      </w:r>
      <w:r w:rsidR="00F45DC6" w:rsidRPr="00902959">
        <w:rPr>
          <w:rFonts w:hAnsi="標楷體" w:hint="eastAsia"/>
          <w:snapToGrid/>
          <w:w w:val="90"/>
          <w:sz w:val="24"/>
          <w:szCs w:val="24"/>
        </w:rPr>
        <w:t>單位：</w:t>
      </w:r>
      <w:r>
        <w:rPr>
          <w:rFonts w:hAnsi="標楷體" w:hint="eastAsia"/>
          <w:snapToGrid/>
          <w:w w:val="90"/>
          <w:sz w:val="24"/>
          <w:szCs w:val="24"/>
        </w:rPr>
        <w:t>新臺幣千元；%</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1416"/>
        <w:gridCol w:w="1416"/>
        <w:gridCol w:w="1416"/>
        <w:gridCol w:w="1416"/>
        <w:gridCol w:w="1416"/>
      </w:tblGrid>
      <w:tr w:rsidR="00697263" w:rsidRPr="004D2C59" w:rsidTr="004D2C59">
        <w:tc>
          <w:tcPr>
            <w:tcW w:w="965" w:type="dxa"/>
            <w:tcBorders>
              <w:top w:val="single" w:sz="12" w:space="0" w:color="auto"/>
              <w:left w:val="single" w:sz="12" w:space="0" w:color="auto"/>
              <w:tl2br w:val="single" w:sz="6" w:space="0" w:color="auto"/>
            </w:tcBorders>
            <w:shd w:val="clear" w:color="auto" w:fill="auto"/>
          </w:tcPr>
          <w:p w:rsidR="008D4B9F" w:rsidRDefault="008D4B9F" w:rsidP="00697263">
            <w:pPr>
              <w:pStyle w:val="142"/>
            </w:pPr>
            <w:r>
              <w:rPr>
                <w:rFonts w:hint="eastAsia"/>
              </w:rPr>
              <w:t xml:space="preserve">  </w:t>
            </w:r>
            <w:r w:rsidR="009075F9">
              <w:rPr>
                <w:rFonts w:hint="eastAsia"/>
              </w:rPr>
              <w:t>年</w:t>
            </w:r>
            <w:r>
              <w:rPr>
                <w:rFonts w:hint="eastAsia"/>
              </w:rPr>
              <w:t>度</w:t>
            </w:r>
          </w:p>
          <w:p w:rsidR="00697263" w:rsidRPr="00697263" w:rsidRDefault="008D4B9F" w:rsidP="004D2C59">
            <w:pPr>
              <w:pStyle w:val="142"/>
            </w:pPr>
            <w:r>
              <w:rPr>
                <w:rFonts w:hint="eastAsia"/>
              </w:rPr>
              <w:t>項目</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110</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111</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112</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113</w:t>
            </w:r>
          </w:p>
        </w:tc>
        <w:tc>
          <w:tcPr>
            <w:tcW w:w="1416" w:type="dxa"/>
            <w:tcBorders>
              <w:top w:val="single" w:sz="12" w:space="0" w:color="auto"/>
              <w:right w:val="single" w:sz="12" w:space="0" w:color="auto"/>
            </w:tcBorders>
            <w:shd w:val="clear" w:color="auto" w:fill="auto"/>
            <w:vAlign w:val="center"/>
          </w:tcPr>
          <w:p w:rsidR="00697263" w:rsidRPr="00697263" w:rsidRDefault="008D4B9F" w:rsidP="004D2C59">
            <w:pPr>
              <w:pStyle w:val="142"/>
              <w:jc w:val="center"/>
            </w:pPr>
            <w:r>
              <w:rPr>
                <w:rFonts w:hint="eastAsia"/>
              </w:rPr>
              <w:t>114</w:t>
            </w:r>
          </w:p>
        </w:tc>
      </w:tr>
      <w:tr w:rsidR="00697263" w:rsidRPr="004D2C59" w:rsidTr="004D2C59">
        <w:tc>
          <w:tcPr>
            <w:tcW w:w="965" w:type="dxa"/>
            <w:tcBorders>
              <w:left w:val="single" w:sz="12" w:space="0" w:color="auto"/>
            </w:tcBorders>
            <w:shd w:val="clear" w:color="auto" w:fill="auto"/>
            <w:vAlign w:val="center"/>
          </w:tcPr>
          <w:p w:rsidR="00697263" w:rsidRPr="00697263" w:rsidRDefault="008D4B9F" w:rsidP="004D2C59">
            <w:pPr>
              <w:pStyle w:val="142"/>
              <w:jc w:val="center"/>
            </w:pPr>
            <w:r>
              <w:rPr>
                <w:rFonts w:hint="eastAsia"/>
              </w:rPr>
              <w:t>預算數</w:t>
            </w:r>
          </w:p>
        </w:tc>
        <w:tc>
          <w:tcPr>
            <w:tcW w:w="1416" w:type="dxa"/>
            <w:shd w:val="clear" w:color="auto" w:fill="auto"/>
            <w:vAlign w:val="center"/>
          </w:tcPr>
          <w:p w:rsidR="00697263" w:rsidRPr="00697263" w:rsidRDefault="009075F9" w:rsidP="004D2C59">
            <w:pPr>
              <w:pStyle w:val="142"/>
              <w:jc w:val="right"/>
            </w:pPr>
            <w:r w:rsidRPr="009075F9">
              <w:t>26,287,985</w:t>
            </w:r>
          </w:p>
        </w:tc>
        <w:tc>
          <w:tcPr>
            <w:tcW w:w="1416" w:type="dxa"/>
            <w:shd w:val="clear" w:color="auto" w:fill="auto"/>
            <w:vAlign w:val="center"/>
          </w:tcPr>
          <w:p w:rsidR="00697263" w:rsidRPr="00697263" w:rsidRDefault="009075F9" w:rsidP="004D2C59">
            <w:pPr>
              <w:pStyle w:val="142"/>
              <w:jc w:val="right"/>
            </w:pPr>
            <w:r w:rsidRPr="009075F9">
              <w:t>30,913,417</w:t>
            </w:r>
          </w:p>
        </w:tc>
        <w:tc>
          <w:tcPr>
            <w:tcW w:w="1416" w:type="dxa"/>
            <w:shd w:val="clear" w:color="auto" w:fill="auto"/>
            <w:vAlign w:val="center"/>
          </w:tcPr>
          <w:p w:rsidR="00697263" w:rsidRPr="00697263" w:rsidRDefault="009075F9" w:rsidP="004D2C59">
            <w:pPr>
              <w:pStyle w:val="142"/>
              <w:jc w:val="right"/>
            </w:pPr>
            <w:r w:rsidRPr="009075F9">
              <w:t>33,000,000</w:t>
            </w:r>
          </w:p>
        </w:tc>
        <w:tc>
          <w:tcPr>
            <w:tcW w:w="1416" w:type="dxa"/>
            <w:shd w:val="clear" w:color="auto" w:fill="auto"/>
            <w:vAlign w:val="center"/>
          </w:tcPr>
          <w:p w:rsidR="00697263" w:rsidRPr="00697263" w:rsidRDefault="009075F9" w:rsidP="004D2C59">
            <w:pPr>
              <w:pStyle w:val="142"/>
              <w:jc w:val="right"/>
            </w:pPr>
            <w:r>
              <w:rPr>
                <w:rFonts w:hint="eastAsia"/>
              </w:rPr>
              <w:t>44</w:t>
            </w:r>
            <w:r>
              <w:t>,</w:t>
            </w:r>
            <w:r>
              <w:rPr>
                <w:rFonts w:hint="eastAsia"/>
              </w:rPr>
              <w:t>229</w:t>
            </w:r>
            <w:r>
              <w:t>,</w:t>
            </w:r>
            <w:r>
              <w:rPr>
                <w:rFonts w:hint="eastAsia"/>
              </w:rPr>
              <w:t>000</w:t>
            </w:r>
          </w:p>
        </w:tc>
        <w:tc>
          <w:tcPr>
            <w:tcW w:w="1416" w:type="dxa"/>
            <w:tcBorders>
              <w:right w:val="single" w:sz="12" w:space="0" w:color="auto"/>
            </w:tcBorders>
            <w:shd w:val="clear" w:color="auto" w:fill="auto"/>
            <w:vAlign w:val="center"/>
          </w:tcPr>
          <w:p w:rsidR="00697263" w:rsidRPr="00697263" w:rsidRDefault="009075F9" w:rsidP="004D2C59">
            <w:pPr>
              <w:pStyle w:val="142"/>
              <w:jc w:val="right"/>
            </w:pPr>
            <w:r>
              <w:rPr>
                <w:rFonts w:hint="eastAsia"/>
              </w:rPr>
              <w:t>4</w:t>
            </w:r>
            <w:r>
              <w:t>8,575,000</w:t>
            </w:r>
          </w:p>
        </w:tc>
      </w:tr>
      <w:tr w:rsidR="008D4B9F" w:rsidRPr="004D2C59" w:rsidTr="004D2C59">
        <w:tc>
          <w:tcPr>
            <w:tcW w:w="965" w:type="dxa"/>
            <w:tcBorders>
              <w:left w:val="single" w:sz="12" w:space="0" w:color="auto"/>
            </w:tcBorders>
            <w:shd w:val="clear" w:color="auto" w:fill="auto"/>
            <w:vAlign w:val="center"/>
          </w:tcPr>
          <w:p w:rsidR="008D4B9F" w:rsidRPr="00697263" w:rsidRDefault="008D4B9F" w:rsidP="004D2C59">
            <w:pPr>
              <w:pStyle w:val="142"/>
              <w:jc w:val="center"/>
            </w:pPr>
            <w:r>
              <w:rPr>
                <w:rFonts w:hint="eastAsia"/>
              </w:rPr>
              <w:t>決算數</w:t>
            </w:r>
          </w:p>
        </w:tc>
        <w:tc>
          <w:tcPr>
            <w:tcW w:w="1416" w:type="dxa"/>
            <w:shd w:val="clear" w:color="auto" w:fill="auto"/>
            <w:vAlign w:val="center"/>
          </w:tcPr>
          <w:p w:rsidR="008D4B9F" w:rsidRPr="00697263" w:rsidRDefault="009075F9" w:rsidP="004D2C59">
            <w:pPr>
              <w:pStyle w:val="142"/>
              <w:jc w:val="right"/>
            </w:pPr>
            <w:r w:rsidRPr="009075F9">
              <w:t>27,666,685</w:t>
            </w:r>
          </w:p>
        </w:tc>
        <w:tc>
          <w:tcPr>
            <w:tcW w:w="1416" w:type="dxa"/>
            <w:shd w:val="clear" w:color="auto" w:fill="auto"/>
            <w:vAlign w:val="center"/>
          </w:tcPr>
          <w:p w:rsidR="008D4B9F" w:rsidRPr="00697263" w:rsidRDefault="009075F9" w:rsidP="004D2C59">
            <w:pPr>
              <w:pStyle w:val="142"/>
              <w:jc w:val="right"/>
            </w:pPr>
            <w:r w:rsidRPr="009075F9">
              <w:t>36,035,979</w:t>
            </w:r>
          </w:p>
        </w:tc>
        <w:tc>
          <w:tcPr>
            <w:tcW w:w="1416" w:type="dxa"/>
            <w:shd w:val="clear" w:color="auto" w:fill="auto"/>
            <w:vAlign w:val="center"/>
          </w:tcPr>
          <w:p w:rsidR="008D4B9F" w:rsidRPr="00697263" w:rsidRDefault="009075F9" w:rsidP="004D2C59">
            <w:pPr>
              <w:pStyle w:val="142"/>
              <w:jc w:val="right"/>
            </w:pPr>
            <w:r w:rsidRPr="009075F9">
              <w:t>41,379,044</w:t>
            </w:r>
          </w:p>
        </w:tc>
        <w:tc>
          <w:tcPr>
            <w:tcW w:w="2832" w:type="dxa"/>
            <w:gridSpan w:val="2"/>
            <w:vMerge w:val="restart"/>
            <w:tcBorders>
              <w:right w:val="single" w:sz="12" w:space="0" w:color="auto"/>
              <w:tr2bl w:val="single" w:sz="6" w:space="0" w:color="auto"/>
            </w:tcBorders>
            <w:shd w:val="clear" w:color="auto" w:fill="auto"/>
            <w:vAlign w:val="center"/>
          </w:tcPr>
          <w:p w:rsidR="008D4B9F" w:rsidRPr="00697263" w:rsidRDefault="008D4B9F" w:rsidP="004D2C59">
            <w:pPr>
              <w:pStyle w:val="142"/>
              <w:jc w:val="right"/>
            </w:pPr>
          </w:p>
        </w:tc>
      </w:tr>
      <w:tr w:rsidR="008D4B9F" w:rsidRPr="004D2C59" w:rsidTr="004D2C59">
        <w:tc>
          <w:tcPr>
            <w:tcW w:w="965" w:type="dxa"/>
            <w:tcBorders>
              <w:left w:val="single" w:sz="12" w:space="0" w:color="auto"/>
            </w:tcBorders>
            <w:shd w:val="clear" w:color="auto" w:fill="auto"/>
            <w:vAlign w:val="center"/>
          </w:tcPr>
          <w:p w:rsidR="008D4B9F" w:rsidRDefault="008D4B9F" w:rsidP="004D2C59">
            <w:pPr>
              <w:pStyle w:val="142"/>
              <w:jc w:val="center"/>
            </w:pPr>
            <w:r>
              <w:rPr>
                <w:rFonts w:hint="eastAsia"/>
              </w:rPr>
              <w:t>預算</w:t>
            </w:r>
          </w:p>
          <w:p w:rsidR="008D4B9F" w:rsidRPr="00697263" w:rsidRDefault="008D4B9F" w:rsidP="004D2C59">
            <w:pPr>
              <w:pStyle w:val="142"/>
              <w:jc w:val="center"/>
            </w:pPr>
            <w:r>
              <w:rPr>
                <w:rFonts w:hint="eastAsia"/>
              </w:rPr>
              <w:t>執行率</w:t>
            </w:r>
          </w:p>
        </w:tc>
        <w:tc>
          <w:tcPr>
            <w:tcW w:w="1416" w:type="dxa"/>
            <w:shd w:val="clear" w:color="auto" w:fill="auto"/>
            <w:vAlign w:val="center"/>
          </w:tcPr>
          <w:p w:rsidR="008D4B9F" w:rsidRPr="00697263" w:rsidRDefault="00CA3DD1" w:rsidP="004D2C59">
            <w:pPr>
              <w:pStyle w:val="142"/>
              <w:jc w:val="right"/>
            </w:pPr>
            <w:r>
              <w:rPr>
                <w:rFonts w:hint="eastAsia"/>
              </w:rPr>
              <w:t>105.24</w:t>
            </w:r>
          </w:p>
        </w:tc>
        <w:tc>
          <w:tcPr>
            <w:tcW w:w="1416" w:type="dxa"/>
            <w:shd w:val="clear" w:color="auto" w:fill="auto"/>
            <w:vAlign w:val="center"/>
          </w:tcPr>
          <w:p w:rsidR="008D4B9F" w:rsidRPr="00697263" w:rsidRDefault="00CA3DD1" w:rsidP="004D2C59">
            <w:pPr>
              <w:pStyle w:val="142"/>
              <w:jc w:val="right"/>
            </w:pPr>
            <w:r>
              <w:rPr>
                <w:rFonts w:hint="eastAsia"/>
              </w:rPr>
              <w:t>116.57</w:t>
            </w:r>
          </w:p>
        </w:tc>
        <w:tc>
          <w:tcPr>
            <w:tcW w:w="1416" w:type="dxa"/>
            <w:shd w:val="clear" w:color="auto" w:fill="auto"/>
            <w:vAlign w:val="center"/>
          </w:tcPr>
          <w:p w:rsidR="008D4B9F" w:rsidRPr="00697263" w:rsidRDefault="00CA3DD1" w:rsidP="004D2C59">
            <w:pPr>
              <w:pStyle w:val="142"/>
              <w:jc w:val="right"/>
            </w:pPr>
            <w:r>
              <w:rPr>
                <w:rFonts w:hint="eastAsia"/>
              </w:rPr>
              <w:t>125.39</w:t>
            </w:r>
          </w:p>
        </w:tc>
        <w:tc>
          <w:tcPr>
            <w:tcW w:w="2832" w:type="dxa"/>
            <w:gridSpan w:val="2"/>
            <w:vMerge/>
            <w:tcBorders>
              <w:right w:val="single" w:sz="12" w:space="0" w:color="auto"/>
            </w:tcBorders>
            <w:shd w:val="clear" w:color="auto" w:fill="auto"/>
            <w:vAlign w:val="center"/>
          </w:tcPr>
          <w:p w:rsidR="008D4B9F" w:rsidRPr="00697263" w:rsidRDefault="008D4B9F" w:rsidP="004D2C59">
            <w:pPr>
              <w:pStyle w:val="142"/>
              <w:jc w:val="right"/>
            </w:pPr>
          </w:p>
        </w:tc>
      </w:tr>
      <w:tr w:rsidR="008D4B9F" w:rsidRPr="004D2C59" w:rsidTr="004D2C59">
        <w:tc>
          <w:tcPr>
            <w:tcW w:w="965" w:type="dxa"/>
            <w:tcBorders>
              <w:left w:val="single" w:sz="12" w:space="0" w:color="auto"/>
              <w:bottom w:val="single" w:sz="12" w:space="0" w:color="auto"/>
            </w:tcBorders>
            <w:shd w:val="clear" w:color="auto" w:fill="auto"/>
            <w:vAlign w:val="center"/>
          </w:tcPr>
          <w:p w:rsidR="009075F9" w:rsidRDefault="008D4B9F" w:rsidP="004D2C59">
            <w:pPr>
              <w:pStyle w:val="142"/>
              <w:jc w:val="center"/>
            </w:pPr>
            <w:r>
              <w:rPr>
                <w:rFonts w:hint="eastAsia"/>
              </w:rPr>
              <w:t>超支</w:t>
            </w:r>
          </w:p>
          <w:p w:rsidR="008D4B9F" w:rsidRPr="00697263" w:rsidRDefault="008D4B9F" w:rsidP="004D2C59">
            <w:pPr>
              <w:pStyle w:val="142"/>
              <w:jc w:val="center"/>
            </w:pPr>
            <w:r>
              <w:rPr>
                <w:rFonts w:hint="eastAsia"/>
              </w:rPr>
              <w:t>比率</w:t>
            </w:r>
          </w:p>
        </w:tc>
        <w:tc>
          <w:tcPr>
            <w:tcW w:w="1416" w:type="dxa"/>
            <w:tcBorders>
              <w:bottom w:val="single" w:sz="12" w:space="0" w:color="auto"/>
            </w:tcBorders>
            <w:shd w:val="clear" w:color="auto" w:fill="auto"/>
            <w:vAlign w:val="center"/>
          </w:tcPr>
          <w:p w:rsidR="008D4B9F" w:rsidRPr="00697263" w:rsidRDefault="00CA3DD1" w:rsidP="004D2C59">
            <w:pPr>
              <w:pStyle w:val="142"/>
              <w:jc w:val="right"/>
            </w:pPr>
            <w:r>
              <w:rPr>
                <w:rFonts w:hint="eastAsia"/>
              </w:rPr>
              <w:t>5.24</w:t>
            </w:r>
          </w:p>
        </w:tc>
        <w:tc>
          <w:tcPr>
            <w:tcW w:w="1416" w:type="dxa"/>
            <w:tcBorders>
              <w:bottom w:val="single" w:sz="12" w:space="0" w:color="auto"/>
            </w:tcBorders>
            <w:shd w:val="clear" w:color="auto" w:fill="auto"/>
            <w:vAlign w:val="center"/>
          </w:tcPr>
          <w:p w:rsidR="008D4B9F" w:rsidRPr="00697263" w:rsidRDefault="00CA3DD1" w:rsidP="004D2C59">
            <w:pPr>
              <w:pStyle w:val="142"/>
              <w:jc w:val="right"/>
            </w:pPr>
            <w:r>
              <w:rPr>
                <w:rFonts w:hint="eastAsia"/>
              </w:rPr>
              <w:t>6.57</w:t>
            </w:r>
          </w:p>
        </w:tc>
        <w:tc>
          <w:tcPr>
            <w:tcW w:w="1416" w:type="dxa"/>
            <w:tcBorders>
              <w:bottom w:val="single" w:sz="12" w:space="0" w:color="auto"/>
            </w:tcBorders>
            <w:shd w:val="clear" w:color="auto" w:fill="auto"/>
            <w:vAlign w:val="center"/>
          </w:tcPr>
          <w:p w:rsidR="008D4B9F" w:rsidRPr="00697263" w:rsidRDefault="00CA3DD1" w:rsidP="004D2C59">
            <w:pPr>
              <w:pStyle w:val="142"/>
              <w:jc w:val="right"/>
            </w:pPr>
            <w:r>
              <w:rPr>
                <w:rFonts w:hint="eastAsia"/>
              </w:rPr>
              <w:t>25.39</w:t>
            </w:r>
          </w:p>
        </w:tc>
        <w:tc>
          <w:tcPr>
            <w:tcW w:w="2832" w:type="dxa"/>
            <w:gridSpan w:val="2"/>
            <w:vMerge/>
            <w:tcBorders>
              <w:bottom w:val="single" w:sz="12" w:space="0" w:color="auto"/>
              <w:right w:val="single" w:sz="12" w:space="0" w:color="auto"/>
            </w:tcBorders>
            <w:shd w:val="clear" w:color="auto" w:fill="auto"/>
            <w:vAlign w:val="center"/>
          </w:tcPr>
          <w:p w:rsidR="008D4B9F" w:rsidRPr="00697263" w:rsidRDefault="008D4B9F" w:rsidP="004D2C59">
            <w:pPr>
              <w:pStyle w:val="142"/>
              <w:jc w:val="right"/>
            </w:pPr>
          </w:p>
        </w:tc>
      </w:tr>
    </w:tbl>
    <w:p w:rsidR="009075F9" w:rsidRDefault="009075F9" w:rsidP="00CA3DD1">
      <w:pPr>
        <w:spacing w:line="240" w:lineRule="exact"/>
        <w:ind w:leftChars="150" w:left="1782" w:hangingChars="558" w:hanging="1357"/>
        <w:rPr>
          <w:sz w:val="24"/>
        </w:rPr>
      </w:pPr>
      <w:r>
        <w:rPr>
          <w:rFonts w:hint="eastAsia"/>
          <w:sz w:val="24"/>
        </w:rPr>
        <w:t xml:space="preserve"> </w:t>
      </w:r>
      <w:r w:rsidRPr="00902959">
        <w:rPr>
          <w:rFonts w:hint="eastAsia"/>
          <w:sz w:val="24"/>
        </w:rPr>
        <w:t>說    明</w:t>
      </w:r>
      <w:r w:rsidRPr="00902959">
        <w:rPr>
          <w:rFonts w:ascii="新細明體" w:eastAsia="新細明體" w:hAnsi="新細明體" w:hint="eastAsia"/>
          <w:sz w:val="24"/>
        </w:rPr>
        <w:t>：</w:t>
      </w:r>
      <w:r w:rsidRPr="00902959">
        <w:rPr>
          <w:rFonts w:hint="eastAsia"/>
          <w:sz w:val="24"/>
        </w:rPr>
        <w:t>表內</w:t>
      </w:r>
      <w:r>
        <w:rPr>
          <w:rFonts w:hint="eastAsia"/>
          <w:sz w:val="24"/>
        </w:rPr>
        <w:t>110至112年度為法定預算數及審定決算數</w:t>
      </w:r>
      <w:r>
        <w:rPr>
          <w:rFonts w:hAnsi="標楷體" w:hint="eastAsia"/>
          <w:sz w:val="24"/>
        </w:rPr>
        <w:t>；</w:t>
      </w:r>
      <w:r>
        <w:rPr>
          <w:rFonts w:hint="eastAsia"/>
          <w:sz w:val="24"/>
        </w:rPr>
        <w:t>113</w:t>
      </w:r>
      <w:r>
        <w:rPr>
          <w:rFonts w:hAnsi="標楷體" w:hint="eastAsia"/>
          <w:sz w:val="24"/>
        </w:rPr>
        <w:t>、</w:t>
      </w:r>
      <w:r>
        <w:rPr>
          <w:rFonts w:hint="eastAsia"/>
          <w:sz w:val="24"/>
        </w:rPr>
        <w:t>114年度</w:t>
      </w:r>
      <w:r w:rsidR="00CA3DD1">
        <w:rPr>
          <w:rFonts w:hint="eastAsia"/>
          <w:sz w:val="24"/>
        </w:rPr>
        <w:t xml:space="preserve"> </w:t>
      </w:r>
      <w:r>
        <w:rPr>
          <w:rFonts w:hint="eastAsia"/>
          <w:sz w:val="24"/>
        </w:rPr>
        <w:t>為預算案數</w:t>
      </w:r>
      <w:r w:rsidRPr="00902959">
        <w:rPr>
          <w:rFonts w:hint="eastAsia"/>
          <w:sz w:val="24"/>
        </w:rPr>
        <w:t>。</w:t>
      </w:r>
    </w:p>
    <w:p w:rsidR="009075F9" w:rsidRPr="00902959" w:rsidRDefault="009075F9" w:rsidP="009075F9">
      <w:pPr>
        <w:spacing w:line="240" w:lineRule="exact"/>
        <w:ind w:leftChars="63" w:left="1805" w:hangingChars="669" w:hanging="1627"/>
        <w:rPr>
          <w:sz w:val="24"/>
        </w:rPr>
      </w:pPr>
      <w:r w:rsidRPr="00902959">
        <w:rPr>
          <w:rFonts w:hint="eastAsia"/>
          <w:sz w:val="24"/>
        </w:rPr>
        <w:t xml:space="preserve">   資料來源：</w:t>
      </w:r>
      <w:r w:rsidR="00CA3DD1">
        <w:rPr>
          <w:rFonts w:hint="eastAsia"/>
          <w:sz w:val="24"/>
        </w:rPr>
        <w:t>長照基金提供</w:t>
      </w:r>
      <w:r w:rsidRPr="00902959">
        <w:rPr>
          <w:rFonts w:hint="eastAsia"/>
          <w:sz w:val="24"/>
        </w:rPr>
        <w:t>。</w:t>
      </w:r>
    </w:p>
    <w:p w:rsidR="00902959" w:rsidRPr="00902959" w:rsidRDefault="00902959" w:rsidP="00902959">
      <w:pPr>
        <w:ind w:left="849" w:hangingChars="100" w:hanging="283"/>
        <w:rPr>
          <w:b/>
        </w:rPr>
      </w:pPr>
      <w:r w:rsidRPr="00902959">
        <w:rPr>
          <w:rFonts w:hint="eastAsia"/>
          <w:b/>
        </w:rPr>
        <w:t>(二)目前</w:t>
      </w:r>
      <w:r w:rsidR="00673B8A" w:rsidRPr="00673B8A">
        <w:rPr>
          <w:rFonts w:hint="eastAsia"/>
          <w:b/>
        </w:rPr>
        <w:t>長照服務組合採論量計酬模式</w:t>
      </w:r>
      <w:r w:rsidRPr="00902959">
        <w:rPr>
          <w:rFonts w:hint="eastAsia"/>
          <w:b/>
        </w:rPr>
        <w:t>雖有助於提升服務量能，惟</w:t>
      </w:r>
      <w:r w:rsidR="00673B8A">
        <w:rPr>
          <w:rFonts w:hint="eastAsia"/>
          <w:b/>
        </w:rPr>
        <w:t>恐</w:t>
      </w:r>
      <w:r w:rsidRPr="00902959">
        <w:rPr>
          <w:rFonts w:hint="eastAsia"/>
          <w:b/>
        </w:rPr>
        <w:t>較不利於提升</w:t>
      </w:r>
      <w:r w:rsidR="00673B8A">
        <w:rPr>
          <w:rFonts w:hint="eastAsia"/>
          <w:b/>
        </w:rPr>
        <w:t>相關</w:t>
      </w:r>
      <w:r w:rsidRPr="00902959">
        <w:rPr>
          <w:rFonts w:hint="eastAsia"/>
          <w:b/>
        </w:rPr>
        <w:t>服務之連續性與品質</w:t>
      </w:r>
      <w:r w:rsidR="00862FF3">
        <w:rPr>
          <w:rFonts w:hAnsi="標楷體" w:hint="eastAsia"/>
          <w:b/>
        </w:rPr>
        <w:t>；</w:t>
      </w:r>
      <w:r w:rsidR="00862FF3">
        <w:rPr>
          <w:rFonts w:hint="eastAsia"/>
          <w:b/>
        </w:rPr>
        <w:t>另目前</w:t>
      </w:r>
      <w:r w:rsidR="00862FF3" w:rsidRPr="00862FF3">
        <w:rPr>
          <w:rFonts w:hint="eastAsia"/>
          <w:b/>
        </w:rPr>
        <w:t>「照顧」與「專業」服務共用額度，較乏品質提升誘因，亦不利落實減緩失能、改善長者生活品質之長照政策目標</w:t>
      </w:r>
    </w:p>
    <w:p w:rsidR="00902959" w:rsidRPr="00902959" w:rsidRDefault="00673B8A" w:rsidP="00B57568">
      <w:pPr>
        <w:adjustRightInd w:val="0"/>
        <w:ind w:leftChars="300" w:left="850" w:firstLine="566"/>
        <w:rPr>
          <w:rFonts w:hAnsi="標楷體"/>
        </w:rPr>
      </w:pPr>
      <w:r>
        <w:rPr>
          <w:rFonts w:hint="eastAsia"/>
        </w:rPr>
        <w:t>按</w:t>
      </w:r>
      <w:r w:rsidRPr="00902959">
        <w:rPr>
          <w:rFonts w:hint="eastAsia"/>
        </w:rPr>
        <w:t>衛福部依長照服務法第8條之1</w:t>
      </w:r>
      <w:r w:rsidRPr="00902959">
        <w:rPr>
          <w:vertAlign w:val="superscript"/>
        </w:rPr>
        <w:footnoteReference w:id="2"/>
      </w:r>
      <w:r w:rsidRPr="00902959">
        <w:rPr>
          <w:rFonts w:hint="eastAsia"/>
        </w:rPr>
        <w:t>第4項授權訂定長照服務申請及給付辦法</w:t>
      </w:r>
      <w:r>
        <w:rPr>
          <w:rFonts w:hAnsi="標楷體" w:hint="eastAsia"/>
        </w:rPr>
        <w:t>，</w:t>
      </w:r>
      <w:r>
        <w:rPr>
          <w:rFonts w:hint="eastAsia"/>
        </w:rPr>
        <w:t>具體</w:t>
      </w:r>
      <w:r w:rsidR="00902959" w:rsidRPr="00902959">
        <w:rPr>
          <w:rFonts w:hint="eastAsia"/>
        </w:rPr>
        <w:t>規範</w:t>
      </w:r>
      <w:r>
        <w:rPr>
          <w:rFonts w:hint="eastAsia"/>
        </w:rPr>
        <w:t>長照服務之</w:t>
      </w:r>
      <w:r w:rsidR="00902959" w:rsidRPr="00902959">
        <w:rPr>
          <w:rFonts w:hint="eastAsia"/>
        </w:rPr>
        <w:t>申請資格、經評估後之需求等級、給付額度及使用者自行負擔比率或金額，特約機構收費與服務使用者給付額度等事項</w:t>
      </w:r>
      <w:r>
        <w:rPr>
          <w:rFonts w:hAnsi="標楷體" w:hint="eastAsia"/>
        </w:rPr>
        <w:t>，同辦法</w:t>
      </w:r>
      <w:r w:rsidRPr="00902959">
        <w:rPr>
          <w:rFonts w:hint="eastAsia"/>
        </w:rPr>
        <w:t>附表四</w:t>
      </w:r>
      <w:r w:rsidR="00B57568">
        <w:rPr>
          <w:rFonts w:hint="eastAsia"/>
        </w:rPr>
        <w:t>之</w:t>
      </w:r>
      <w:r w:rsidRPr="00902959">
        <w:rPr>
          <w:rFonts w:hint="eastAsia"/>
        </w:rPr>
        <w:t>照顧組合表</w:t>
      </w:r>
      <w:r w:rsidR="00DD24E1">
        <w:rPr>
          <w:rFonts w:hint="eastAsia"/>
        </w:rPr>
        <w:t>則就</w:t>
      </w:r>
      <w:r w:rsidR="00DD24E1" w:rsidRPr="00902959">
        <w:rPr>
          <w:rFonts w:hint="eastAsia"/>
        </w:rPr>
        <w:t>個人服務</w:t>
      </w:r>
      <w:r w:rsidR="00E67875">
        <w:rPr>
          <w:rFonts w:hint="eastAsia"/>
        </w:rPr>
        <w:t>(包括</w:t>
      </w:r>
      <w:r w:rsidR="006E2083" w:rsidRPr="00E67875">
        <w:rPr>
          <w:rFonts w:hint="eastAsia"/>
        </w:rPr>
        <w:t>照顧組合碼別</w:t>
      </w:r>
      <w:r w:rsidR="00E67875">
        <w:rPr>
          <w:rFonts w:hint="eastAsia"/>
        </w:rPr>
        <w:t>B</w:t>
      </w:r>
      <w:r w:rsidR="00E67875" w:rsidRPr="00E67875">
        <w:rPr>
          <w:rFonts w:hint="eastAsia"/>
        </w:rPr>
        <w:t>碼</w:t>
      </w:r>
      <w:r w:rsidR="006E2083">
        <w:rPr>
          <w:rFonts w:hint="eastAsia"/>
        </w:rPr>
        <w:t>之照顧服務</w:t>
      </w:r>
      <w:r w:rsidR="006E2083">
        <w:rPr>
          <w:rFonts w:hAnsi="標楷體" w:hint="eastAsia"/>
        </w:rPr>
        <w:t>、</w:t>
      </w:r>
      <w:r w:rsidR="006E2083">
        <w:rPr>
          <w:rFonts w:hint="eastAsia"/>
        </w:rPr>
        <w:t>C碼之專業服務</w:t>
      </w:r>
      <w:r w:rsidR="006E2083">
        <w:rPr>
          <w:rFonts w:hAnsi="標楷體" w:hint="eastAsia"/>
        </w:rPr>
        <w:t>、</w:t>
      </w:r>
      <w:r w:rsidR="006E2083">
        <w:rPr>
          <w:rFonts w:hint="eastAsia"/>
        </w:rPr>
        <w:t>D碼之交通接送服務</w:t>
      </w:r>
      <w:r w:rsidR="006E2083">
        <w:rPr>
          <w:rFonts w:hAnsi="標楷體" w:hint="eastAsia"/>
        </w:rPr>
        <w:t>、</w:t>
      </w:r>
      <w:r w:rsidR="006E2083" w:rsidRPr="00902959">
        <w:rPr>
          <w:rFonts w:hint="eastAsia"/>
        </w:rPr>
        <w:t>EF碼</w:t>
      </w:r>
      <w:r w:rsidR="006E2083">
        <w:rPr>
          <w:rFonts w:hint="eastAsia"/>
        </w:rPr>
        <w:t>之</w:t>
      </w:r>
      <w:r w:rsidR="006E2083" w:rsidRPr="00902959">
        <w:rPr>
          <w:rFonts w:hint="eastAsia"/>
        </w:rPr>
        <w:t>輔具及居家無障礙環境改善服務</w:t>
      </w:r>
      <w:r w:rsidR="00E67875">
        <w:rPr>
          <w:rFonts w:hint="eastAsia"/>
        </w:rPr>
        <w:t>)</w:t>
      </w:r>
      <w:r w:rsidR="00DD24E1" w:rsidRPr="00902959">
        <w:rPr>
          <w:rFonts w:hint="eastAsia"/>
        </w:rPr>
        <w:t>與屬於家庭照顧者支持服務之</w:t>
      </w:r>
      <w:r w:rsidR="006E2083" w:rsidRPr="00902959">
        <w:rPr>
          <w:rFonts w:hint="eastAsia"/>
        </w:rPr>
        <w:t>G碼</w:t>
      </w:r>
      <w:r w:rsidR="00DD24E1" w:rsidRPr="00902959">
        <w:rPr>
          <w:rFonts w:hint="eastAsia"/>
        </w:rPr>
        <w:t>喘息服務</w:t>
      </w:r>
      <w:r w:rsidR="00DD24E1">
        <w:rPr>
          <w:rFonts w:hint="eastAsia"/>
        </w:rPr>
        <w:t>等</w:t>
      </w:r>
      <w:r w:rsidR="00DD24E1">
        <w:rPr>
          <w:rFonts w:hAnsi="標楷體" w:hint="eastAsia"/>
        </w:rPr>
        <w:t>，</w:t>
      </w:r>
      <w:r w:rsidRPr="00902959">
        <w:rPr>
          <w:rFonts w:hint="eastAsia"/>
        </w:rPr>
        <w:t>明訂</w:t>
      </w:r>
      <w:r w:rsidR="00E67875" w:rsidRPr="00902959">
        <w:rPr>
          <w:rFonts w:hint="eastAsia"/>
        </w:rPr>
        <w:t>須完成之</w:t>
      </w:r>
      <w:r w:rsidR="00E67875">
        <w:rPr>
          <w:rFonts w:hint="eastAsia"/>
        </w:rPr>
        <w:t>服務</w:t>
      </w:r>
      <w:r w:rsidR="00E67875" w:rsidRPr="00902959">
        <w:rPr>
          <w:rFonts w:hint="eastAsia"/>
        </w:rPr>
        <w:t>內容</w:t>
      </w:r>
      <w:r w:rsidR="00E67875">
        <w:rPr>
          <w:rFonts w:hint="eastAsia"/>
        </w:rPr>
        <w:t>及給付價格</w:t>
      </w:r>
      <w:r w:rsidR="00E67875">
        <w:rPr>
          <w:rFonts w:hAnsi="標楷體" w:hint="eastAsia"/>
        </w:rPr>
        <w:t>、</w:t>
      </w:r>
      <w:r w:rsidR="00E67875">
        <w:rPr>
          <w:rFonts w:hint="eastAsia"/>
        </w:rPr>
        <w:t>計費方式(</w:t>
      </w:r>
      <w:r w:rsidR="00E67875" w:rsidRPr="00902959">
        <w:rPr>
          <w:rFonts w:hint="eastAsia"/>
        </w:rPr>
        <w:t>如每30分鐘作為給付單位</w:t>
      </w:r>
      <w:r w:rsidR="00E67875">
        <w:rPr>
          <w:rFonts w:hint="eastAsia"/>
        </w:rPr>
        <w:t>)</w:t>
      </w:r>
      <w:r w:rsidR="00E67875" w:rsidRPr="00902959">
        <w:rPr>
          <w:rFonts w:hint="eastAsia"/>
        </w:rPr>
        <w:t>，</w:t>
      </w:r>
      <w:r w:rsidR="00CB6549">
        <w:rPr>
          <w:rFonts w:hint="eastAsia"/>
        </w:rPr>
        <w:t>基本上係採</w:t>
      </w:r>
      <w:r w:rsidR="00902959" w:rsidRPr="00902959">
        <w:rPr>
          <w:rFonts w:hint="eastAsia"/>
        </w:rPr>
        <w:t>論量計酬方式</w:t>
      </w:r>
      <w:r w:rsidR="00CB6549">
        <w:rPr>
          <w:rFonts w:hAnsi="標楷體" w:hint="eastAsia"/>
        </w:rPr>
        <w:t>，觀察</w:t>
      </w:r>
      <w:r w:rsidR="00CB6549" w:rsidRPr="00902959">
        <w:rPr>
          <w:rFonts w:hAnsi="標楷體" w:hint="eastAsia"/>
        </w:rPr>
        <w:t>110至 112年度之</w:t>
      </w:r>
      <w:r w:rsidR="00CB6549" w:rsidRPr="00902959">
        <w:rPr>
          <w:rFonts w:hAnsi="標楷體" w:hint="eastAsia"/>
        </w:rPr>
        <w:lastRenderedPageBreak/>
        <w:t>各項照顧組合服務使用情形統計資料(詳表</w:t>
      </w:r>
      <w:r w:rsidR="00CB6549">
        <w:rPr>
          <w:rFonts w:hAnsi="標楷體" w:hint="eastAsia"/>
        </w:rPr>
        <w:t>2</w:t>
      </w:r>
      <w:r w:rsidR="00CB6549" w:rsidRPr="00902959">
        <w:rPr>
          <w:rFonts w:hAnsi="標楷體" w:hint="eastAsia"/>
        </w:rPr>
        <w:t>)</w:t>
      </w:r>
      <w:r w:rsidR="00CB6549">
        <w:rPr>
          <w:rFonts w:hAnsi="標楷體" w:hint="eastAsia"/>
        </w:rPr>
        <w:t>可悉，</w:t>
      </w:r>
      <w:r w:rsidR="007162DE" w:rsidRPr="00902959">
        <w:rPr>
          <w:rFonts w:hAnsi="標楷體" w:hint="eastAsia"/>
        </w:rPr>
        <w:t>使用人數均有成長</w:t>
      </w:r>
      <w:r w:rsidR="007162DE">
        <w:rPr>
          <w:rFonts w:hAnsi="標楷體" w:hint="eastAsia"/>
        </w:rPr>
        <w:t>，該計費方式確實有助於提升服務量能，惟由於照顧組合表就服務內容規範較細緻化，就管理者之角度，服務內容標準化雖可避免舞弊、爭議，然長照服務之提供對象係人而非物品，</w:t>
      </w:r>
      <w:r w:rsidR="003F6E8C">
        <w:rPr>
          <w:rFonts w:hAnsi="標楷體" w:hint="eastAsia"/>
        </w:rPr>
        <w:t>舉凡</w:t>
      </w:r>
      <w:r w:rsidR="007162DE">
        <w:rPr>
          <w:rFonts w:hAnsi="標楷體" w:hint="eastAsia"/>
        </w:rPr>
        <w:t>涉及人際關係</w:t>
      </w:r>
      <w:r w:rsidR="003F6E8C">
        <w:rPr>
          <w:rFonts w:hAnsi="標楷體" w:hint="eastAsia"/>
        </w:rPr>
        <w:t>事項，即具</w:t>
      </w:r>
      <w:r w:rsidR="007162DE">
        <w:rPr>
          <w:rFonts w:hAnsi="標楷體" w:hint="eastAsia"/>
        </w:rPr>
        <w:t>有一定複雜性</w:t>
      </w:r>
      <w:r w:rsidR="003F6E8C">
        <w:rPr>
          <w:rFonts w:hAnsi="標楷體" w:hint="eastAsia"/>
        </w:rPr>
        <w:t>、</w:t>
      </w:r>
      <w:r w:rsidR="003F6E8C" w:rsidRPr="00902959">
        <w:rPr>
          <w:rFonts w:hAnsi="標楷體" w:hint="eastAsia"/>
        </w:rPr>
        <w:t>不可預測性</w:t>
      </w:r>
      <w:r w:rsidR="003F6E8C">
        <w:rPr>
          <w:rFonts w:hAnsi="標楷體" w:hint="eastAsia"/>
        </w:rPr>
        <w:t>，標準化之服務內容規範恐難以因應各種服務對象之狀況</w:t>
      </w:r>
      <w:r w:rsidR="00B57568" w:rsidRPr="00902959">
        <w:rPr>
          <w:rFonts w:hAnsi="標楷體" w:hint="eastAsia"/>
        </w:rPr>
        <w:t>，尤其部分項目內容(如基本日常照顧、陪同外出、家務協助等)規定以固定服務時間(如1次30分鐘)作為給付單位，恐較難</w:t>
      </w:r>
      <w:r w:rsidR="00862FF3">
        <w:rPr>
          <w:rFonts w:hAnsi="標楷體" w:hint="eastAsia"/>
        </w:rPr>
        <w:t>提升長照</w:t>
      </w:r>
      <w:r w:rsidR="00B57568" w:rsidRPr="00902959">
        <w:rPr>
          <w:rFonts w:hAnsi="標楷體" w:hint="eastAsia"/>
        </w:rPr>
        <w:t>服務之連續性。</w:t>
      </w:r>
    </w:p>
    <w:p w:rsidR="00902959" w:rsidRPr="00902959" w:rsidRDefault="00902959" w:rsidP="00BB2F3B">
      <w:pPr>
        <w:spacing w:line="360" w:lineRule="exact"/>
        <w:ind w:leftChars="212" w:left="6443" w:hangingChars="2286" w:hanging="5843"/>
        <w:rPr>
          <w:rFonts w:hAnsi="標楷體"/>
          <w:snapToGrid/>
          <w:w w:val="90"/>
          <w:sz w:val="24"/>
          <w:szCs w:val="24"/>
        </w:rPr>
      </w:pPr>
      <w:r w:rsidRPr="00902959">
        <w:rPr>
          <w:rFonts w:hAnsi="標楷體" w:hint="eastAsia"/>
          <w:b/>
          <w:bCs/>
          <w:snapToGrid/>
          <w:w w:val="90"/>
          <w:szCs w:val="24"/>
        </w:rPr>
        <w:t>表</w:t>
      </w:r>
      <w:r w:rsidR="00CB6549">
        <w:rPr>
          <w:rFonts w:hAnsi="標楷體" w:hint="eastAsia"/>
          <w:b/>
          <w:bCs/>
          <w:snapToGrid/>
          <w:w w:val="90"/>
          <w:szCs w:val="24"/>
        </w:rPr>
        <w:t>2</w:t>
      </w:r>
      <w:r w:rsidRPr="00902959">
        <w:rPr>
          <w:rFonts w:hAnsi="標楷體" w:hint="eastAsia"/>
          <w:b/>
          <w:bCs/>
          <w:snapToGrid/>
          <w:spacing w:val="-6"/>
          <w:w w:val="90"/>
          <w:szCs w:val="24"/>
        </w:rPr>
        <w:t xml:space="preserve">  110至112年度各項照顧組合服務使用人數統計表</w:t>
      </w:r>
      <w:r w:rsidRPr="00902959">
        <w:rPr>
          <w:rFonts w:hAnsi="標楷體" w:hint="eastAsia"/>
          <w:snapToGrid/>
          <w:w w:val="90"/>
          <w:sz w:val="24"/>
          <w:szCs w:val="24"/>
        </w:rPr>
        <w:t xml:space="preserve">         單位：人</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176"/>
        <w:gridCol w:w="1281"/>
        <w:gridCol w:w="1310"/>
        <w:gridCol w:w="1310"/>
        <w:gridCol w:w="1251"/>
      </w:tblGrid>
      <w:tr w:rsidR="00902959" w:rsidRPr="00902959" w:rsidTr="00862FF3">
        <w:trPr>
          <w:trHeight w:val="1489"/>
        </w:trPr>
        <w:tc>
          <w:tcPr>
            <w:tcW w:w="1442" w:type="dxa"/>
            <w:tcBorders>
              <w:top w:val="single" w:sz="12" w:space="0" w:color="auto"/>
              <w:left w:val="single" w:sz="12" w:space="0" w:color="auto"/>
              <w:tl2br w:val="single" w:sz="4" w:space="0" w:color="auto"/>
            </w:tcBorders>
            <w:shd w:val="clear" w:color="auto" w:fill="auto"/>
          </w:tcPr>
          <w:p w:rsidR="00902959" w:rsidRPr="00902959" w:rsidRDefault="00902959" w:rsidP="002F6429">
            <w:pPr>
              <w:pStyle w:val="142"/>
            </w:pPr>
            <w:r w:rsidRPr="00902959">
              <w:rPr>
                <w:rFonts w:hint="eastAsia"/>
              </w:rPr>
              <w:t xml:space="preserve">  照顧</w:t>
            </w:r>
            <w:r w:rsidR="00862FF3">
              <w:rPr>
                <w:rFonts w:hint="eastAsia"/>
              </w:rPr>
              <w:t>組</w:t>
            </w:r>
            <w:r w:rsidRPr="00902959">
              <w:rPr>
                <w:rFonts w:hint="eastAsia"/>
              </w:rPr>
              <w:t>合</w:t>
            </w:r>
          </w:p>
          <w:p w:rsidR="00862FF3" w:rsidRDefault="00862FF3" w:rsidP="002F6429">
            <w:pPr>
              <w:pStyle w:val="142"/>
            </w:pPr>
          </w:p>
          <w:p w:rsidR="00902959" w:rsidRPr="00902959" w:rsidRDefault="00902959" w:rsidP="002F6429">
            <w:pPr>
              <w:pStyle w:val="142"/>
            </w:pPr>
            <w:r w:rsidRPr="00902959">
              <w:rPr>
                <w:rFonts w:hint="eastAsia"/>
              </w:rPr>
              <w:t>年度</w:t>
            </w:r>
          </w:p>
        </w:tc>
        <w:tc>
          <w:tcPr>
            <w:tcW w:w="1176"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照顧服務</w:t>
            </w:r>
          </w:p>
          <w:p w:rsidR="00902959" w:rsidRPr="00902959" w:rsidRDefault="00902959" w:rsidP="00862FF3">
            <w:pPr>
              <w:pStyle w:val="142"/>
              <w:jc w:val="center"/>
            </w:pPr>
            <w:r w:rsidRPr="00902959">
              <w:rPr>
                <w:rFonts w:hint="eastAsia"/>
              </w:rPr>
              <w:t>(</w:t>
            </w:r>
            <w:r w:rsidRPr="00902959">
              <w:t>B</w:t>
            </w:r>
            <w:r w:rsidRPr="00902959">
              <w:rPr>
                <w:rFonts w:hint="eastAsia"/>
              </w:rPr>
              <w:t>碼)</w:t>
            </w:r>
          </w:p>
        </w:tc>
        <w:tc>
          <w:tcPr>
            <w:tcW w:w="1281"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專業服務</w:t>
            </w:r>
          </w:p>
          <w:p w:rsidR="00902959" w:rsidRPr="00902959" w:rsidRDefault="00902959" w:rsidP="00862FF3">
            <w:pPr>
              <w:pStyle w:val="142"/>
              <w:jc w:val="center"/>
            </w:pPr>
            <w:r w:rsidRPr="00902959">
              <w:rPr>
                <w:rFonts w:hint="eastAsia"/>
              </w:rPr>
              <w:t>(</w:t>
            </w:r>
            <w:r w:rsidRPr="00902959">
              <w:t>C</w:t>
            </w:r>
            <w:r w:rsidRPr="00902959">
              <w:rPr>
                <w:rFonts w:hint="eastAsia"/>
              </w:rPr>
              <w:t>碼)</w:t>
            </w:r>
          </w:p>
        </w:tc>
        <w:tc>
          <w:tcPr>
            <w:tcW w:w="1310"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交通接送</w:t>
            </w:r>
          </w:p>
          <w:p w:rsidR="00902959" w:rsidRPr="00902959" w:rsidRDefault="00902959" w:rsidP="00862FF3">
            <w:pPr>
              <w:pStyle w:val="142"/>
              <w:jc w:val="center"/>
            </w:pPr>
            <w:r w:rsidRPr="00902959">
              <w:rPr>
                <w:rFonts w:hint="eastAsia"/>
              </w:rPr>
              <w:t>(</w:t>
            </w:r>
            <w:r w:rsidRPr="00902959">
              <w:t>D</w:t>
            </w:r>
            <w:r w:rsidRPr="00902959">
              <w:rPr>
                <w:rFonts w:hint="eastAsia"/>
              </w:rPr>
              <w:t>碼)</w:t>
            </w:r>
          </w:p>
        </w:tc>
        <w:tc>
          <w:tcPr>
            <w:tcW w:w="1310"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輔具及居家無障礙環境改善服務</w:t>
            </w:r>
          </w:p>
          <w:p w:rsidR="00902959" w:rsidRPr="00902959" w:rsidRDefault="00902959" w:rsidP="00862FF3">
            <w:pPr>
              <w:pStyle w:val="142"/>
              <w:jc w:val="center"/>
            </w:pPr>
            <w:r w:rsidRPr="00902959">
              <w:rPr>
                <w:rFonts w:hint="eastAsia"/>
              </w:rPr>
              <w:t>(</w:t>
            </w:r>
            <w:r w:rsidRPr="00902959">
              <w:t>EF</w:t>
            </w:r>
            <w:r w:rsidRPr="00902959">
              <w:rPr>
                <w:rFonts w:hint="eastAsia"/>
              </w:rPr>
              <w:t>碼)</w:t>
            </w:r>
          </w:p>
        </w:tc>
        <w:tc>
          <w:tcPr>
            <w:tcW w:w="1251" w:type="dxa"/>
            <w:tcBorders>
              <w:top w:val="single" w:sz="12" w:space="0" w:color="auto"/>
              <w:right w:val="single" w:sz="12" w:space="0" w:color="auto"/>
            </w:tcBorders>
            <w:shd w:val="clear" w:color="auto" w:fill="auto"/>
          </w:tcPr>
          <w:p w:rsidR="00902959" w:rsidRPr="00902959" w:rsidRDefault="00902959" w:rsidP="00862FF3">
            <w:pPr>
              <w:pStyle w:val="142"/>
              <w:jc w:val="center"/>
            </w:pPr>
            <w:r w:rsidRPr="00902959">
              <w:rPr>
                <w:rFonts w:hint="eastAsia"/>
              </w:rPr>
              <w:t>喘息服務</w:t>
            </w:r>
          </w:p>
          <w:p w:rsidR="00902959" w:rsidRPr="00902959" w:rsidRDefault="00902959" w:rsidP="00862FF3">
            <w:pPr>
              <w:pStyle w:val="142"/>
              <w:jc w:val="center"/>
            </w:pPr>
            <w:r w:rsidRPr="00902959">
              <w:rPr>
                <w:rFonts w:hint="eastAsia"/>
              </w:rPr>
              <w:t>(</w:t>
            </w:r>
            <w:r w:rsidRPr="00902959">
              <w:t>G</w:t>
            </w:r>
            <w:r w:rsidRPr="00902959">
              <w:rPr>
                <w:rFonts w:hint="eastAsia"/>
              </w:rPr>
              <w:t>碼)</w:t>
            </w:r>
          </w:p>
        </w:tc>
      </w:tr>
      <w:tr w:rsidR="00902959" w:rsidRPr="00902959" w:rsidTr="00862FF3">
        <w:tc>
          <w:tcPr>
            <w:tcW w:w="1442" w:type="dxa"/>
            <w:tcBorders>
              <w:left w:val="single" w:sz="12" w:space="0" w:color="auto"/>
            </w:tcBorders>
            <w:shd w:val="clear" w:color="auto" w:fill="auto"/>
            <w:vAlign w:val="center"/>
          </w:tcPr>
          <w:p w:rsidR="00902959" w:rsidRPr="00902959" w:rsidRDefault="00902959" w:rsidP="00862FF3">
            <w:pPr>
              <w:pStyle w:val="142"/>
              <w:jc w:val="center"/>
            </w:pPr>
            <w:r w:rsidRPr="00902959">
              <w:rPr>
                <w:rFonts w:hint="eastAsia"/>
              </w:rPr>
              <w:t>110</w:t>
            </w:r>
          </w:p>
        </w:tc>
        <w:tc>
          <w:tcPr>
            <w:tcW w:w="1176" w:type="dxa"/>
            <w:shd w:val="clear" w:color="auto" w:fill="auto"/>
            <w:vAlign w:val="center"/>
          </w:tcPr>
          <w:p w:rsidR="00902959" w:rsidRPr="00902959" w:rsidRDefault="00902959" w:rsidP="00862FF3">
            <w:pPr>
              <w:pStyle w:val="142"/>
              <w:jc w:val="right"/>
            </w:pPr>
            <w:r w:rsidRPr="00902959">
              <w:rPr>
                <w:rFonts w:hint="eastAsia"/>
              </w:rPr>
              <w:t>266</w:t>
            </w:r>
            <w:r w:rsidRPr="00902959">
              <w:t>,</w:t>
            </w:r>
            <w:r w:rsidRPr="00902959">
              <w:rPr>
                <w:rFonts w:hint="eastAsia"/>
              </w:rPr>
              <w:t>860</w:t>
            </w:r>
          </w:p>
        </w:tc>
        <w:tc>
          <w:tcPr>
            <w:tcW w:w="1281" w:type="dxa"/>
            <w:shd w:val="clear" w:color="auto" w:fill="auto"/>
            <w:vAlign w:val="center"/>
          </w:tcPr>
          <w:p w:rsidR="00902959" w:rsidRPr="00902959" w:rsidRDefault="00902959" w:rsidP="00862FF3">
            <w:pPr>
              <w:pStyle w:val="142"/>
              <w:jc w:val="right"/>
            </w:pPr>
            <w:r w:rsidRPr="00902959">
              <w:rPr>
                <w:rFonts w:hint="eastAsia"/>
              </w:rPr>
              <w:t>5</w:t>
            </w:r>
            <w:r w:rsidRPr="00902959">
              <w:t>7,507</w:t>
            </w:r>
          </w:p>
        </w:tc>
        <w:tc>
          <w:tcPr>
            <w:tcW w:w="1310" w:type="dxa"/>
            <w:shd w:val="clear" w:color="auto" w:fill="auto"/>
            <w:vAlign w:val="center"/>
          </w:tcPr>
          <w:p w:rsidR="00902959" w:rsidRPr="00902959" w:rsidRDefault="00902959" w:rsidP="00862FF3">
            <w:pPr>
              <w:pStyle w:val="142"/>
              <w:jc w:val="right"/>
            </w:pPr>
            <w:r w:rsidRPr="00902959">
              <w:rPr>
                <w:rFonts w:hint="eastAsia"/>
              </w:rPr>
              <w:t>1</w:t>
            </w:r>
            <w:r w:rsidRPr="00902959">
              <w:t>44,521</w:t>
            </w:r>
          </w:p>
        </w:tc>
        <w:tc>
          <w:tcPr>
            <w:tcW w:w="1310" w:type="dxa"/>
            <w:shd w:val="clear" w:color="auto" w:fill="auto"/>
            <w:vAlign w:val="center"/>
          </w:tcPr>
          <w:p w:rsidR="00902959" w:rsidRPr="00902959" w:rsidRDefault="00902959" w:rsidP="00862FF3">
            <w:pPr>
              <w:pStyle w:val="142"/>
              <w:jc w:val="right"/>
            </w:pPr>
            <w:r w:rsidRPr="00902959">
              <w:rPr>
                <w:rFonts w:hint="eastAsia"/>
              </w:rPr>
              <w:t>8</w:t>
            </w:r>
            <w:r w:rsidRPr="00902959">
              <w:t>0,013</w:t>
            </w:r>
          </w:p>
        </w:tc>
        <w:tc>
          <w:tcPr>
            <w:tcW w:w="1251" w:type="dxa"/>
            <w:tcBorders>
              <w:right w:val="single" w:sz="12" w:space="0" w:color="auto"/>
            </w:tcBorders>
            <w:shd w:val="clear" w:color="auto" w:fill="auto"/>
            <w:vAlign w:val="center"/>
          </w:tcPr>
          <w:p w:rsidR="00902959" w:rsidRPr="00902959" w:rsidRDefault="00902959" w:rsidP="00862FF3">
            <w:pPr>
              <w:pStyle w:val="142"/>
              <w:jc w:val="right"/>
            </w:pPr>
            <w:r w:rsidRPr="00902959">
              <w:rPr>
                <w:rFonts w:hint="eastAsia"/>
              </w:rPr>
              <w:t>1</w:t>
            </w:r>
            <w:r w:rsidRPr="00902959">
              <w:t>21,891</w:t>
            </w:r>
          </w:p>
        </w:tc>
      </w:tr>
      <w:tr w:rsidR="00902959" w:rsidRPr="00902959" w:rsidTr="00862FF3">
        <w:tc>
          <w:tcPr>
            <w:tcW w:w="1442" w:type="dxa"/>
            <w:tcBorders>
              <w:left w:val="single" w:sz="12" w:space="0" w:color="auto"/>
            </w:tcBorders>
            <w:shd w:val="clear" w:color="auto" w:fill="auto"/>
            <w:vAlign w:val="center"/>
          </w:tcPr>
          <w:p w:rsidR="00902959" w:rsidRPr="00902959" w:rsidRDefault="00902959" w:rsidP="00862FF3">
            <w:pPr>
              <w:pStyle w:val="142"/>
              <w:jc w:val="center"/>
            </w:pPr>
            <w:r w:rsidRPr="00902959">
              <w:rPr>
                <w:rFonts w:hint="eastAsia"/>
              </w:rPr>
              <w:t>1</w:t>
            </w:r>
            <w:r w:rsidRPr="00902959">
              <w:t>1</w:t>
            </w:r>
            <w:r w:rsidRPr="00902959">
              <w:rPr>
                <w:rFonts w:hint="eastAsia"/>
              </w:rPr>
              <w:t>1</w:t>
            </w:r>
          </w:p>
        </w:tc>
        <w:tc>
          <w:tcPr>
            <w:tcW w:w="1176" w:type="dxa"/>
            <w:shd w:val="clear" w:color="auto" w:fill="auto"/>
            <w:vAlign w:val="center"/>
          </w:tcPr>
          <w:p w:rsidR="00902959" w:rsidRPr="00902959" w:rsidRDefault="00902959" w:rsidP="00862FF3">
            <w:pPr>
              <w:pStyle w:val="142"/>
              <w:jc w:val="right"/>
            </w:pPr>
            <w:r w:rsidRPr="00902959">
              <w:rPr>
                <w:rFonts w:hint="eastAsia"/>
              </w:rPr>
              <w:t>316</w:t>
            </w:r>
            <w:r w:rsidRPr="00902959">
              <w:t>,</w:t>
            </w:r>
            <w:r w:rsidRPr="00902959">
              <w:rPr>
                <w:rFonts w:hint="eastAsia"/>
              </w:rPr>
              <w:t>127</w:t>
            </w:r>
          </w:p>
        </w:tc>
        <w:tc>
          <w:tcPr>
            <w:tcW w:w="1281" w:type="dxa"/>
            <w:shd w:val="clear" w:color="auto" w:fill="auto"/>
            <w:vAlign w:val="center"/>
          </w:tcPr>
          <w:p w:rsidR="00902959" w:rsidRPr="00902959" w:rsidRDefault="00902959" w:rsidP="00862FF3">
            <w:pPr>
              <w:pStyle w:val="142"/>
              <w:jc w:val="right"/>
            </w:pPr>
            <w:r w:rsidRPr="00902959">
              <w:rPr>
                <w:rFonts w:hint="eastAsia"/>
              </w:rPr>
              <w:t>7</w:t>
            </w:r>
            <w:r w:rsidRPr="00902959">
              <w:t>1,499</w:t>
            </w:r>
          </w:p>
        </w:tc>
        <w:tc>
          <w:tcPr>
            <w:tcW w:w="1310" w:type="dxa"/>
            <w:shd w:val="clear" w:color="auto" w:fill="auto"/>
            <w:vAlign w:val="center"/>
          </w:tcPr>
          <w:p w:rsidR="00902959" w:rsidRPr="00902959" w:rsidRDefault="00902959" w:rsidP="00862FF3">
            <w:pPr>
              <w:pStyle w:val="142"/>
              <w:jc w:val="right"/>
            </w:pPr>
            <w:r w:rsidRPr="00902959">
              <w:rPr>
                <w:rFonts w:hint="eastAsia"/>
              </w:rPr>
              <w:t>2</w:t>
            </w:r>
            <w:r w:rsidRPr="00902959">
              <w:t>04,364</w:t>
            </w:r>
          </w:p>
        </w:tc>
        <w:tc>
          <w:tcPr>
            <w:tcW w:w="1310" w:type="dxa"/>
            <w:shd w:val="clear" w:color="auto" w:fill="auto"/>
            <w:vAlign w:val="center"/>
          </w:tcPr>
          <w:p w:rsidR="00902959" w:rsidRPr="00902959" w:rsidRDefault="00902959" w:rsidP="00862FF3">
            <w:pPr>
              <w:pStyle w:val="142"/>
              <w:jc w:val="right"/>
            </w:pPr>
            <w:r w:rsidRPr="00902959">
              <w:rPr>
                <w:rFonts w:hint="eastAsia"/>
              </w:rPr>
              <w:t>8</w:t>
            </w:r>
            <w:r w:rsidRPr="00902959">
              <w:t>7,822</w:t>
            </w:r>
          </w:p>
        </w:tc>
        <w:tc>
          <w:tcPr>
            <w:tcW w:w="1251" w:type="dxa"/>
            <w:tcBorders>
              <w:right w:val="single" w:sz="12" w:space="0" w:color="auto"/>
            </w:tcBorders>
            <w:shd w:val="clear" w:color="auto" w:fill="auto"/>
            <w:vAlign w:val="center"/>
          </w:tcPr>
          <w:p w:rsidR="00902959" w:rsidRPr="00902959" w:rsidRDefault="00902959" w:rsidP="00862FF3">
            <w:pPr>
              <w:pStyle w:val="142"/>
              <w:jc w:val="right"/>
            </w:pPr>
            <w:r w:rsidRPr="00902959">
              <w:rPr>
                <w:rFonts w:hint="eastAsia"/>
              </w:rPr>
              <w:t>1</w:t>
            </w:r>
            <w:r w:rsidRPr="00902959">
              <w:t>44,899</w:t>
            </w:r>
          </w:p>
        </w:tc>
      </w:tr>
      <w:tr w:rsidR="00902959" w:rsidRPr="00902959" w:rsidTr="00862FF3">
        <w:tc>
          <w:tcPr>
            <w:tcW w:w="1442" w:type="dxa"/>
            <w:tcBorders>
              <w:left w:val="single" w:sz="12" w:space="0" w:color="auto"/>
              <w:bottom w:val="single" w:sz="12" w:space="0" w:color="auto"/>
            </w:tcBorders>
            <w:shd w:val="clear" w:color="auto" w:fill="auto"/>
            <w:vAlign w:val="center"/>
          </w:tcPr>
          <w:p w:rsidR="00902959" w:rsidRPr="00902959" w:rsidRDefault="00902959" w:rsidP="00862FF3">
            <w:pPr>
              <w:pStyle w:val="142"/>
              <w:jc w:val="center"/>
            </w:pPr>
            <w:r w:rsidRPr="00902959">
              <w:rPr>
                <w:rFonts w:hint="eastAsia"/>
              </w:rPr>
              <w:t>1</w:t>
            </w:r>
            <w:r w:rsidRPr="00902959">
              <w:t>12</w:t>
            </w:r>
          </w:p>
        </w:tc>
        <w:tc>
          <w:tcPr>
            <w:tcW w:w="1176"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3</w:t>
            </w:r>
            <w:r w:rsidRPr="00902959">
              <w:t>59,891</w:t>
            </w:r>
          </w:p>
        </w:tc>
        <w:tc>
          <w:tcPr>
            <w:tcW w:w="1281"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9</w:t>
            </w:r>
            <w:r w:rsidRPr="00902959">
              <w:t>1,354</w:t>
            </w:r>
          </w:p>
        </w:tc>
        <w:tc>
          <w:tcPr>
            <w:tcW w:w="1310"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2</w:t>
            </w:r>
            <w:r w:rsidRPr="00902959">
              <w:t>45,656</w:t>
            </w:r>
          </w:p>
        </w:tc>
        <w:tc>
          <w:tcPr>
            <w:tcW w:w="1310"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8</w:t>
            </w:r>
            <w:r w:rsidRPr="00902959">
              <w:t>9,874</w:t>
            </w:r>
          </w:p>
        </w:tc>
        <w:tc>
          <w:tcPr>
            <w:tcW w:w="1251" w:type="dxa"/>
            <w:tcBorders>
              <w:bottom w:val="single" w:sz="12" w:space="0" w:color="auto"/>
              <w:right w:val="single" w:sz="12" w:space="0" w:color="auto"/>
            </w:tcBorders>
            <w:shd w:val="clear" w:color="auto" w:fill="auto"/>
            <w:vAlign w:val="center"/>
          </w:tcPr>
          <w:p w:rsidR="00902959" w:rsidRPr="00902959" w:rsidRDefault="00902959" w:rsidP="00862FF3">
            <w:pPr>
              <w:pStyle w:val="142"/>
              <w:jc w:val="right"/>
            </w:pPr>
            <w:r w:rsidRPr="00902959">
              <w:rPr>
                <w:rFonts w:hint="eastAsia"/>
              </w:rPr>
              <w:t>1</w:t>
            </w:r>
            <w:r w:rsidRPr="00902959">
              <w:t>76,519</w:t>
            </w:r>
          </w:p>
        </w:tc>
      </w:tr>
    </w:tbl>
    <w:p w:rsidR="00902959" w:rsidRPr="00902959" w:rsidRDefault="00902959" w:rsidP="00902959">
      <w:pPr>
        <w:spacing w:line="240" w:lineRule="exact"/>
        <w:ind w:leftChars="63" w:left="1805" w:hangingChars="669" w:hanging="1627"/>
        <w:rPr>
          <w:sz w:val="24"/>
        </w:rPr>
      </w:pPr>
      <w:r w:rsidRPr="00902959">
        <w:rPr>
          <w:rFonts w:hint="eastAsia"/>
          <w:sz w:val="24"/>
        </w:rPr>
        <w:t xml:space="preserve">    資料來源：國家衛生研究院113年8月出版「長照服務使用效益評估與模式發展之政策效益研析」報告(國立陽明交通大學李玉春教授主持)第102頁</w:t>
      </w:r>
      <w:r w:rsidR="00862FF3">
        <w:rPr>
          <w:rFonts w:hint="eastAsia"/>
          <w:sz w:val="24"/>
        </w:rPr>
        <w:t>(110年度數據)</w:t>
      </w:r>
      <w:r w:rsidR="00862FF3">
        <w:rPr>
          <w:rFonts w:hAnsi="標楷體" w:hint="eastAsia"/>
          <w:sz w:val="24"/>
        </w:rPr>
        <w:t>、</w:t>
      </w:r>
      <w:r w:rsidRPr="00902959">
        <w:rPr>
          <w:rFonts w:hint="eastAsia"/>
          <w:sz w:val="24"/>
        </w:rPr>
        <w:t>衛福部長期照顧網「統計專區」長期十年計畫2.0相關統計表</w:t>
      </w:r>
      <w:r w:rsidR="00862FF3">
        <w:rPr>
          <w:rFonts w:hint="eastAsia"/>
          <w:sz w:val="24"/>
        </w:rPr>
        <w:t>(111與112年度數據)</w:t>
      </w:r>
      <w:r w:rsidRPr="00902959">
        <w:rPr>
          <w:rFonts w:hint="eastAsia"/>
          <w:sz w:val="24"/>
        </w:rPr>
        <w:t>。</w:t>
      </w:r>
    </w:p>
    <w:p w:rsidR="00902959" w:rsidRPr="00902959" w:rsidRDefault="00862FF3" w:rsidP="00902959">
      <w:pPr>
        <w:adjustRightInd w:val="0"/>
        <w:ind w:leftChars="300" w:left="850" w:firstLine="566"/>
        <w:rPr>
          <w:rFonts w:hAnsi="標楷體"/>
          <w:sz w:val="24"/>
        </w:rPr>
      </w:pPr>
      <w:r>
        <w:rPr>
          <w:rFonts w:hint="eastAsia"/>
        </w:rPr>
        <w:t>此外</w:t>
      </w:r>
      <w:r w:rsidR="00F36777">
        <w:rPr>
          <w:rFonts w:hAnsi="標楷體" w:hint="eastAsia"/>
        </w:rPr>
        <w:t>，</w:t>
      </w:r>
      <w:r w:rsidR="00902959" w:rsidRPr="00902959">
        <w:rPr>
          <w:rFonts w:hint="eastAsia"/>
        </w:rPr>
        <w:t>依長期照顧服務申請及給付辦法第7條第4項規定：「第</w:t>
      </w:r>
      <w:r w:rsidR="00FC6F27">
        <w:rPr>
          <w:rFonts w:hint="eastAsia"/>
        </w:rPr>
        <w:t>二</w:t>
      </w:r>
      <w:r w:rsidR="00902959" w:rsidRPr="00902959">
        <w:rPr>
          <w:rFonts w:hint="eastAsia"/>
        </w:rPr>
        <w:t>項第</w:t>
      </w:r>
      <w:r w:rsidR="00FC6F27">
        <w:rPr>
          <w:rFonts w:hint="eastAsia"/>
        </w:rPr>
        <w:t>一</w:t>
      </w:r>
      <w:r w:rsidR="00902959" w:rsidRPr="00902959">
        <w:rPr>
          <w:rFonts w:hint="eastAsia"/>
        </w:rPr>
        <w:t>款與第</w:t>
      </w:r>
      <w:r w:rsidR="00FC6F27">
        <w:rPr>
          <w:rFonts w:hint="eastAsia"/>
        </w:rPr>
        <w:t>二</w:t>
      </w:r>
      <w:r w:rsidR="00902959" w:rsidRPr="00902959">
        <w:rPr>
          <w:rFonts w:hint="eastAsia"/>
        </w:rPr>
        <w:t>款</w:t>
      </w:r>
      <w:r w:rsidR="00FC6F27">
        <w:rPr>
          <w:rStyle w:val="af2"/>
        </w:rPr>
        <w:footnoteReference w:id="3"/>
      </w:r>
      <w:r w:rsidR="00902959" w:rsidRPr="00902959">
        <w:rPr>
          <w:rFonts w:hint="eastAsia"/>
        </w:rPr>
        <w:t>項目額度，或第</w:t>
      </w:r>
      <w:r w:rsidR="00FC6F27">
        <w:rPr>
          <w:rFonts w:hint="eastAsia"/>
        </w:rPr>
        <w:t>一</w:t>
      </w:r>
      <w:r w:rsidR="00902959" w:rsidRPr="00902959">
        <w:rPr>
          <w:rFonts w:hint="eastAsia"/>
        </w:rPr>
        <w:t>款各目額度，不得互相流用。」主要係考量基於照顧組合服務項目內容相異，額度彼此獨立，其中「照顧」及「專業」服務在法條中係同一目，亦即兩者額度係共用</w:t>
      </w:r>
      <w:r w:rsidR="00F36777">
        <w:rPr>
          <w:rFonts w:hAnsi="標楷體" w:hint="eastAsia"/>
        </w:rPr>
        <w:t>。</w:t>
      </w:r>
      <w:r w:rsidR="00902959" w:rsidRPr="00902959">
        <w:rPr>
          <w:rFonts w:hint="eastAsia"/>
        </w:rPr>
        <w:t>惟進一步檢視</w:t>
      </w:r>
      <w:r w:rsidR="00902959" w:rsidRPr="00902959">
        <w:rPr>
          <w:rFonts w:hAnsi="標楷體" w:hint="eastAsia"/>
        </w:rPr>
        <w:t>「</w:t>
      </w:r>
      <w:r w:rsidR="00902959" w:rsidRPr="00902959">
        <w:rPr>
          <w:rFonts w:hint="eastAsia"/>
        </w:rPr>
        <w:t>專業</w:t>
      </w:r>
      <w:r w:rsidR="00902959" w:rsidRPr="00902959">
        <w:rPr>
          <w:rFonts w:hAnsi="標楷體" w:hint="eastAsia"/>
        </w:rPr>
        <w:t>」</w:t>
      </w:r>
      <w:r w:rsidR="00902959" w:rsidRPr="00902959">
        <w:rPr>
          <w:rFonts w:hint="eastAsia"/>
        </w:rPr>
        <w:t>服務項目內容可悉，</w:t>
      </w:r>
      <w:r w:rsidR="00F36777">
        <w:rPr>
          <w:rFonts w:hint="eastAsia"/>
        </w:rPr>
        <w:t>相較於</w:t>
      </w:r>
      <w:r w:rsidR="00F36777" w:rsidRPr="00902959">
        <w:rPr>
          <w:rFonts w:hint="eastAsia"/>
        </w:rPr>
        <w:t>內容核屬日常生活之簡易照護作為</w:t>
      </w:r>
      <w:r w:rsidR="00F36777">
        <w:rPr>
          <w:rFonts w:hint="eastAsia"/>
        </w:rPr>
        <w:t>之</w:t>
      </w:r>
      <w:r w:rsidR="00F36777" w:rsidRPr="00902959">
        <w:rPr>
          <w:rFonts w:hint="eastAsia"/>
        </w:rPr>
        <w:t>多數「照顧」服務</w:t>
      </w:r>
      <w:r w:rsidR="00F36777">
        <w:rPr>
          <w:rFonts w:hAnsi="標楷體" w:hint="eastAsia"/>
        </w:rPr>
        <w:t>，</w:t>
      </w:r>
      <w:r w:rsidR="00F36777" w:rsidRPr="00902959">
        <w:rPr>
          <w:rFonts w:hAnsi="標楷體" w:hint="eastAsia"/>
        </w:rPr>
        <w:t>「</w:t>
      </w:r>
      <w:r w:rsidR="00F36777" w:rsidRPr="00902959">
        <w:rPr>
          <w:rFonts w:hint="eastAsia"/>
        </w:rPr>
        <w:t>專業</w:t>
      </w:r>
      <w:r w:rsidR="00F36777" w:rsidRPr="00902959">
        <w:rPr>
          <w:rFonts w:hAnsi="標楷體" w:hint="eastAsia"/>
        </w:rPr>
        <w:t>」</w:t>
      </w:r>
      <w:r w:rsidR="00902959" w:rsidRPr="00902959">
        <w:rPr>
          <w:rFonts w:hint="eastAsia"/>
        </w:rPr>
        <w:t>項目</w:t>
      </w:r>
      <w:r w:rsidR="00F36777">
        <w:rPr>
          <w:rFonts w:hint="eastAsia"/>
        </w:rPr>
        <w:t>通常</w:t>
      </w:r>
      <w:r w:rsidR="00902959" w:rsidRPr="00902959">
        <w:rPr>
          <w:rFonts w:hint="eastAsia"/>
        </w:rPr>
        <w:t>需要</w:t>
      </w:r>
      <w:r w:rsidR="00F36777">
        <w:rPr>
          <w:rFonts w:hint="eastAsia"/>
        </w:rPr>
        <w:t>特定專業</w:t>
      </w:r>
      <w:r w:rsidR="00902959" w:rsidRPr="00902959">
        <w:rPr>
          <w:rFonts w:hint="eastAsia"/>
        </w:rPr>
        <w:t>進行評估、指導甚至擬定</w:t>
      </w:r>
      <w:r w:rsidR="00902959" w:rsidRPr="00902959">
        <w:rPr>
          <w:rFonts w:hint="eastAsia"/>
        </w:rPr>
        <w:lastRenderedPageBreak/>
        <w:t>相關計畫，始能進行，依現行法令兩者額度並未限制不得流用，</w:t>
      </w:r>
      <w:r w:rsidR="00F36777">
        <w:rPr>
          <w:rFonts w:hint="eastAsia"/>
        </w:rPr>
        <w:t>或多或少恐</w:t>
      </w:r>
      <w:r w:rsidR="00F36777" w:rsidRPr="00902959">
        <w:rPr>
          <w:rFonts w:hint="eastAsia"/>
        </w:rPr>
        <w:t>產生資源排擠現象</w:t>
      </w:r>
      <w:r w:rsidR="00F36777">
        <w:rPr>
          <w:rFonts w:hAnsi="標楷體" w:hint="eastAsia"/>
        </w:rPr>
        <w:t>。尤其</w:t>
      </w:r>
      <w:r w:rsidR="00F36777">
        <w:rPr>
          <w:rFonts w:hint="eastAsia"/>
        </w:rPr>
        <w:t>「專業」服務項下</w:t>
      </w:r>
      <w:r w:rsidR="006075A6">
        <w:rPr>
          <w:rFonts w:hint="eastAsia"/>
        </w:rPr>
        <w:t>之</w:t>
      </w:r>
      <w:r w:rsidR="00902959" w:rsidRPr="00902959">
        <w:rPr>
          <w:rFonts w:hint="eastAsia"/>
        </w:rPr>
        <w:t>復能照護雖有助於改善個案之健康狀態或減緩失能，惟因部分負擔金額較高，使用人數較照顧服務少(詳表</w:t>
      </w:r>
      <w:r w:rsidR="006075A6">
        <w:rPr>
          <w:rFonts w:hint="eastAsia"/>
        </w:rPr>
        <w:t>2</w:t>
      </w:r>
      <w:r w:rsidR="00902959" w:rsidRPr="00902959">
        <w:rPr>
          <w:rFonts w:hint="eastAsia"/>
        </w:rPr>
        <w:t>)，加以現行給付制度較乏論質支付誘因，</w:t>
      </w:r>
      <w:r w:rsidR="006075A6">
        <w:rPr>
          <w:rFonts w:hint="eastAsia"/>
        </w:rPr>
        <w:t>致較難兼顧長照服務之質與量</w:t>
      </w:r>
      <w:r w:rsidR="00902959" w:rsidRPr="00902959">
        <w:rPr>
          <w:rFonts w:hint="eastAsia"/>
        </w:rPr>
        <w:t>，</w:t>
      </w:r>
      <w:r w:rsidR="006075A6">
        <w:rPr>
          <w:rFonts w:hint="eastAsia"/>
        </w:rPr>
        <w:t>恐</w:t>
      </w:r>
      <w:r w:rsidR="00902959" w:rsidRPr="00902959">
        <w:rPr>
          <w:rFonts w:hint="eastAsia"/>
        </w:rPr>
        <w:t>不利落實減緩失能、改善長者生活品質之長照政策目標</w:t>
      </w:r>
      <w:r w:rsidR="00902959" w:rsidRPr="00902959">
        <w:rPr>
          <w:rFonts w:hAnsi="標楷體" w:hint="eastAsia"/>
        </w:rPr>
        <w:t xml:space="preserve">。  </w:t>
      </w:r>
    </w:p>
    <w:p w:rsidR="00902959" w:rsidRPr="00902959" w:rsidRDefault="00902959" w:rsidP="00902959">
      <w:pPr>
        <w:ind w:left="566" w:firstLine="566"/>
      </w:pPr>
      <w:r w:rsidRPr="00902959">
        <w:rPr>
          <w:rFonts w:hint="eastAsia"/>
        </w:rPr>
        <w:t>綜上，</w:t>
      </w:r>
      <w:r w:rsidR="00A557D4">
        <w:rPr>
          <w:rFonts w:hint="eastAsia"/>
        </w:rPr>
        <w:t>伴隨人口結構加速老化現象</w:t>
      </w:r>
      <w:r w:rsidR="00A557D4">
        <w:rPr>
          <w:rFonts w:hAnsi="標楷體" w:hint="eastAsia"/>
        </w:rPr>
        <w:t>，</w:t>
      </w:r>
      <w:r w:rsidR="00A557D4">
        <w:rPr>
          <w:rFonts w:hint="eastAsia"/>
        </w:rPr>
        <w:t>民眾對長照服務需求之增加</w:t>
      </w:r>
      <w:r w:rsidR="00A557D4">
        <w:rPr>
          <w:rFonts w:hAnsi="標楷體" w:hint="eastAsia"/>
        </w:rPr>
        <w:t>，</w:t>
      </w:r>
      <w:r w:rsidRPr="00902959">
        <w:rPr>
          <w:rFonts w:hint="eastAsia"/>
        </w:rPr>
        <w:t>近年</w:t>
      </w:r>
      <w:r w:rsidR="006075A6" w:rsidRPr="006075A6">
        <w:rPr>
          <w:rFonts w:hint="eastAsia"/>
        </w:rPr>
        <w:t>長照服務給付及支付之經費規模逐年成長且連年超支</w:t>
      </w:r>
      <w:r w:rsidR="006075A6">
        <w:rPr>
          <w:rFonts w:hAnsi="標楷體" w:hint="eastAsia"/>
        </w:rPr>
        <w:t>，</w:t>
      </w:r>
      <w:r w:rsidR="00A557D4">
        <w:rPr>
          <w:rFonts w:hAnsi="標楷體" w:hint="eastAsia"/>
        </w:rPr>
        <w:t>反映長照基金對長照供需估測技術尚有精進空間；目前</w:t>
      </w:r>
      <w:r w:rsidRPr="00902959">
        <w:rPr>
          <w:rFonts w:hint="eastAsia"/>
        </w:rPr>
        <w:t>長照給付制度</w:t>
      </w:r>
      <w:r w:rsidR="00A557D4">
        <w:rPr>
          <w:rFonts w:hint="eastAsia"/>
        </w:rPr>
        <w:t>採取論量計酬模式</w:t>
      </w:r>
      <w:r w:rsidRPr="00902959">
        <w:rPr>
          <w:rFonts w:hint="eastAsia"/>
        </w:rPr>
        <w:t>雖有利於</w:t>
      </w:r>
      <w:r w:rsidR="00A557D4">
        <w:rPr>
          <w:rFonts w:hint="eastAsia"/>
        </w:rPr>
        <w:t>提升</w:t>
      </w:r>
      <w:r w:rsidRPr="00902959">
        <w:rPr>
          <w:rFonts w:hint="eastAsia"/>
        </w:rPr>
        <w:t>長照服務量能之提升，惟</w:t>
      </w:r>
      <w:r w:rsidR="00A557D4" w:rsidRPr="00A557D4">
        <w:rPr>
          <w:rFonts w:hint="eastAsia"/>
        </w:rPr>
        <w:t>就服務內容規範細緻化</w:t>
      </w:r>
      <w:r w:rsidR="00A557D4">
        <w:rPr>
          <w:rFonts w:hint="eastAsia"/>
        </w:rPr>
        <w:t>致較乏彈性</w:t>
      </w:r>
      <w:r w:rsidRPr="00902959">
        <w:rPr>
          <w:rFonts w:hint="eastAsia"/>
        </w:rPr>
        <w:t>，加以照顧組合之「照顧」及「專業」服務共用長照給付額度，較乏品質提升誘因，恐不利落實長照計畫之政策目標，允宜適時檢討長照給付制度，俾提升整體長照資源之運用效益</w:t>
      </w:r>
      <w:r w:rsidRPr="00902959">
        <w:rPr>
          <w:rFonts w:hAnsi="標楷體" w:hint="eastAsia"/>
        </w:rPr>
        <w:t>。</w:t>
      </w:r>
      <w:bookmarkStart w:id="2" w:name="_GoBack"/>
      <w:bookmarkEnd w:id="2"/>
    </w:p>
    <w:bookmarkEnd w:id="0"/>
    <w:sectPr w:rsidR="00902959" w:rsidRPr="00902959"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B31EF6" w:rsidRPr="00B31EF6">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9C6342" w:rsidRDefault="00F20223" w:rsidP="00463B7D">
      <w:pPr>
        <w:pStyle w:val="142"/>
        <w:ind w:left="219" w:hangingChars="90" w:hanging="219"/>
        <w:rPr>
          <w:rFonts w:hint="eastAsia"/>
        </w:rPr>
      </w:pPr>
      <w:r w:rsidRPr="009C6342">
        <w:rPr>
          <w:rStyle w:val="af2"/>
          <w:szCs w:val="24"/>
        </w:rPr>
        <w:footnoteRef/>
      </w:r>
      <w:r w:rsidRPr="009C6342">
        <w:t xml:space="preserve"> </w:t>
      </w:r>
      <w:r>
        <w:rPr>
          <w:rFonts w:hint="eastAsia"/>
        </w:rPr>
        <w:t>依內政部113年8月23日公布</w:t>
      </w:r>
      <w:r w:rsidRPr="009C6342">
        <w:rPr>
          <w:rFonts w:hint="eastAsia"/>
        </w:rPr>
        <w:t>「112年簡易生命表」及「第十一次（民國108-110年）國民生命表」</w:t>
      </w:r>
      <w:r>
        <w:rPr>
          <w:rFonts w:hAnsi="標楷體" w:hint="eastAsia"/>
        </w:rPr>
        <w:t>，</w:t>
      </w:r>
      <w:r w:rsidRPr="009C6342">
        <w:rPr>
          <w:rFonts w:hAnsi="標楷體" w:hint="eastAsia"/>
        </w:rPr>
        <w:t>112年國人的平均壽命為80.23歲，</w:t>
      </w:r>
      <w:r>
        <w:rPr>
          <w:rFonts w:hAnsi="標楷體" w:hint="eastAsia"/>
        </w:rPr>
        <w:t>較111年增0.39歲。</w:t>
      </w:r>
    </w:p>
  </w:footnote>
  <w:footnote w:id="2">
    <w:p w:rsidR="00F20223" w:rsidRPr="00F10612" w:rsidRDefault="00F20223" w:rsidP="00463B7D">
      <w:pPr>
        <w:pStyle w:val="142"/>
        <w:ind w:left="219" w:hangingChars="90" w:hanging="219"/>
        <w:jc w:val="both"/>
      </w:pPr>
      <w:r w:rsidRPr="00F10612">
        <w:rPr>
          <w:rStyle w:val="af2"/>
          <w:szCs w:val="24"/>
        </w:rPr>
        <w:footnoteRef/>
      </w:r>
      <w:r w:rsidRPr="00F10612">
        <w:t xml:space="preserve"> </w:t>
      </w:r>
      <w:r w:rsidRPr="00F10612">
        <w:rPr>
          <w:rFonts w:hint="eastAsia"/>
        </w:rPr>
        <w:t>長照服務法第8條之1規定：「照管中心或直轄市、縣（市）主管機關應依前條第</w:t>
      </w:r>
      <w:r>
        <w:rPr>
          <w:rFonts w:hint="eastAsia"/>
        </w:rPr>
        <w:t>二</w:t>
      </w:r>
      <w:r w:rsidRPr="00F10612">
        <w:rPr>
          <w:rFonts w:hint="eastAsia"/>
        </w:rPr>
        <w:t>項之評估結果，按民眾失能程度核定其長照需要等級及長照服務給付額度</w:t>
      </w:r>
      <w:r>
        <w:rPr>
          <w:rFonts w:hAnsi="標楷體" w:hint="eastAsia"/>
        </w:rPr>
        <w:t>；</w:t>
      </w:r>
      <w:r w:rsidRPr="00F10612">
        <w:rPr>
          <w:rFonts w:hint="eastAsia"/>
        </w:rPr>
        <w:t>民眾使用長照服務，應依前項核定之長照服務給付額度自行負擔一定比率或金額</w:t>
      </w:r>
      <w:r>
        <w:rPr>
          <w:rFonts w:hAnsi="標楷體" w:hint="eastAsia"/>
        </w:rPr>
        <w:t>；</w:t>
      </w:r>
      <w:r w:rsidRPr="00F10612">
        <w:rPr>
          <w:rFonts w:hint="eastAsia"/>
        </w:rPr>
        <w:t>長照特約單位應依前項規定向長照服務使用者收取應自行負擔之長照服務給付額度比率或金額，不得減免</w:t>
      </w:r>
      <w:r>
        <w:rPr>
          <w:rFonts w:hAnsi="標楷體" w:hint="eastAsia"/>
        </w:rPr>
        <w:t>；</w:t>
      </w:r>
      <w:r w:rsidRPr="00F10612">
        <w:rPr>
          <w:rFonts w:hint="eastAsia"/>
        </w:rPr>
        <w:t>前條第</w:t>
      </w:r>
      <w:r>
        <w:rPr>
          <w:rFonts w:hint="eastAsia"/>
        </w:rPr>
        <w:t>二</w:t>
      </w:r>
      <w:r w:rsidRPr="00F10612">
        <w:rPr>
          <w:rFonts w:hint="eastAsia"/>
        </w:rPr>
        <w:t>項長照服務申請資格、第</w:t>
      </w:r>
      <w:r>
        <w:rPr>
          <w:rFonts w:hint="eastAsia"/>
        </w:rPr>
        <w:t>一</w:t>
      </w:r>
      <w:r w:rsidRPr="00F10612">
        <w:rPr>
          <w:rFonts w:hint="eastAsia"/>
        </w:rPr>
        <w:t>項與第</w:t>
      </w:r>
      <w:r>
        <w:rPr>
          <w:rFonts w:hint="eastAsia"/>
        </w:rPr>
        <w:t>二</w:t>
      </w:r>
      <w:r w:rsidRPr="00F10612">
        <w:rPr>
          <w:rFonts w:hint="eastAsia"/>
        </w:rPr>
        <w:t>項長照需要等級、長照服務給付額度、長照服務使用者自行負擔比率或金額及其他相關事項之辦法，由中央主管機關定之。</w:t>
      </w:r>
      <w:r>
        <w:rPr>
          <w:rFonts w:hAnsi="標楷體" w:hint="eastAsia"/>
        </w:rPr>
        <w:t>」</w:t>
      </w:r>
    </w:p>
  </w:footnote>
  <w:footnote w:id="3">
    <w:p w:rsidR="00F20223" w:rsidRPr="00F37064" w:rsidRDefault="00F20223" w:rsidP="00FC6F27">
      <w:pPr>
        <w:pStyle w:val="af0"/>
        <w:spacing w:line="280" w:lineRule="exact"/>
        <w:ind w:leftChars="0" w:left="219" w:hangingChars="90" w:hanging="219"/>
        <w:rPr>
          <w:rFonts w:hint="eastAsia"/>
          <w:sz w:val="24"/>
          <w:szCs w:val="24"/>
        </w:rPr>
      </w:pPr>
      <w:r w:rsidRPr="00F37064">
        <w:rPr>
          <w:rStyle w:val="af2"/>
          <w:sz w:val="24"/>
          <w:szCs w:val="24"/>
        </w:rPr>
        <w:footnoteRef/>
      </w:r>
      <w:r w:rsidRPr="00F37064">
        <w:rPr>
          <w:sz w:val="24"/>
          <w:szCs w:val="24"/>
        </w:rPr>
        <w:t xml:space="preserve"> </w:t>
      </w:r>
      <w:r w:rsidRPr="00F37064">
        <w:rPr>
          <w:rFonts w:hint="eastAsia"/>
          <w:sz w:val="24"/>
          <w:szCs w:val="24"/>
        </w:rPr>
        <w:t>長期照顧服務申請及給付辦法第7條</w:t>
      </w:r>
      <w:r>
        <w:rPr>
          <w:rFonts w:hint="eastAsia"/>
          <w:sz w:val="24"/>
          <w:szCs w:val="24"/>
        </w:rPr>
        <w:t>第2項第1款各目列舉</w:t>
      </w:r>
      <w:r w:rsidRPr="00F37064">
        <w:rPr>
          <w:rFonts w:hint="eastAsia"/>
          <w:sz w:val="24"/>
          <w:szCs w:val="24"/>
        </w:rPr>
        <w:t>個人長照服務</w:t>
      </w:r>
      <w:r>
        <w:rPr>
          <w:rFonts w:hint="eastAsia"/>
          <w:sz w:val="24"/>
          <w:szCs w:val="24"/>
        </w:rPr>
        <w:t>項目包括(一)照顧及專業服務</w:t>
      </w:r>
      <w:r>
        <w:rPr>
          <w:rFonts w:hAnsi="標楷體" w:hint="eastAsia"/>
          <w:sz w:val="24"/>
          <w:szCs w:val="24"/>
        </w:rPr>
        <w:t>。</w:t>
      </w:r>
      <w:r>
        <w:rPr>
          <w:rFonts w:hint="eastAsia"/>
          <w:sz w:val="24"/>
          <w:szCs w:val="24"/>
        </w:rPr>
        <w:t>(二)</w:t>
      </w:r>
      <w:r w:rsidRPr="00F37064">
        <w:rPr>
          <w:rFonts w:hint="eastAsia"/>
          <w:sz w:val="24"/>
          <w:szCs w:val="24"/>
        </w:rPr>
        <w:t>交通接送服務。</w:t>
      </w:r>
      <w:r>
        <w:rPr>
          <w:rFonts w:hint="eastAsia"/>
          <w:sz w:val="24"/>
          <w:szCs w:val="24"/>
        </w:rPr>
        <w:t>(三)</w:t>
      </w:r>
      <w:r w:rsidRPr="00F37064">
        <w:rPr>
          <w:rFonts w:hint="eastAsia"/>
          <w:sz w:val="24"/>
          <w:szCs w:val="24"/>
        </w:rPr>
        <w:t>輔具及居家無障礙環境改善服務。</w:t>
      </w:r>
      <w:r>
        <w:rPr>
          <w:rFonts w:hint="eastAsia"/>
          <w:sz w:val="24"/>
          <w:szCs w:val="24"/>
        </w:rPr>
        <w:t>第2款係</w:t>
      </w:r>
      <w:r w:rsidRPr="00F37064">
        <w:rPr>
          <w:rFonts w:hint="eastAsia"/>
          <w:sz w:val="24"/>
          <w:szCs w:val="24"/>
        </w:rPr>
        <w:t>家庭照顧者支持服務之喘息服務。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1EF6"/>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DDC88F1-ED4E-4C6B-BE17-AF7C3DEFD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AB8AB-D08C-4FF4-81CA-5A1198E20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375</Words>
  <Characters>2141</Characters>
  <Application>Microsoft Office Word</Application>
  <DocSecurity>0</DocSecurity>
  <Lines>17</Lines>
  <Paragraphs>5</Paragraphs>
  <ScaleCrop>false</ScaleCrop>
  <Company>HOME</Company>
  <LinksUpToDate>false</LinksUpToDate>
  <CharactersWithSpaces>2511</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