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210555" w:rsidRDefault="00210555" w:rsidP="00210555">
      <w:pPr>
        <w:pStyle w:val="144"/>
        <w:ind w:left="567" w:hanging="567"/>
      </w:pPr>
      <w:bookmarkStart w:id="1" w:name="_Toc524945244"/>
      <w:bookmarkStart w:id="2" w:name="_Toc525456779"/>
      <w:bookmarkStart w:id="3" w:name="_Toc525660549"/>
      <w:bookmarkStart w:id="4" w:name="_Toc19798779"/>
      <w:bookmarkStart w:id="5" w:name="_Toc181892130"/>
      <w:r w:rsidRPr="00976D11">
        <w:rPr>
          <w:rFonts w:hint="eastAsia"/>
        </w:rPr>
        <w:t>肆、國民年金保險基金</w:t>
      </w:r>
      <w:bookmarkEnd w:id="1"/>
      <w:bookmarkEnd w:id="2"/>
      <w:bookmarkEnd w:id="3"/>
      <w:bookmarkEnd w:id="4"/>
      <w:bookmarkEnd w:id="5"/>
    </w:p>
    <w:p w:rsidR="00210555" w:rsidRPr="00ED657E" w:rsidRDefault="00210555" w:rsidP="00ED4ADC">
      <w:pPr>
        <w:pStyle w:val="a8"/>
        <w:ind w:firstLine="566"/>
      </w:pPr>
      <w:r w:rsidRPr="00C7624E">
        <w:rPr>
          <w:rFonts w:hint="eastAsia"/>
        </w:rPr>
        <w:t>為保障國民因老年、身心障礙及死亡等事故發生後之基本經濟安全，政府依國民年金法於97年開辦國民年金保險，並設立國民年金保險基金</w:t>
      </w:r>
      <w:r w:rsidR="00261AB3">
        <w:rPr>
          <w:rFonts w:hint="eastAsia"/>
        </w:rPr>
        <w:t>(</w:t>
      </w:r>
      <w:r w:rsidR="00C55B5D">
        <w:rPr>
          <w:rFonts w:hint="eastAsia"/>
        </w:rPr>
        <w:t>以</w:t>
      </w:r>
      <w:r w:rsidRPr="00C7624E">
        <w:rPr>
          <w:rFonts w:hint="eastAsia"/>
        </w:rPr>
        <w:t>下</w:t>
      </w:r>
      <w:r w:rsidR="00C55B5D">
        <w:rPr>
          <w:rFonts w:hint="eastAsia"/>
        </w:rPr>
        <w:t>簡</w:t>
      </w:r>
      <w:r w:rsidRPr="00C7624E">
        <w:rPr>
          <w:rFonts w:hint="eastAsia"/>
        </w:rPr>
        <w:t>稱國保基金</w:t>
      </w:r>
      <w:r w:rsidR="00261AB3">
        <w:rPr>
          <w:rFonts w:hint="eastAsia"/>
        </w:rPr>
        <w:t>)</w:t>
      </w:r>
      <w:r w:rsidRPr="00C7624E">
        <w:rPr>
          <w:rFonts w:hint="eastAsia"/>
        </w:rPr>
        <w:t>，該基金為預算法第4條第1項第2款所定之作業基金，並編製附屬單位預算。國保基金</w:t>
      </w:r>
      <w:r w:rsidR="00782CA5">
        <w:t>11</w:t>
      </w:r>
      <w:r w:rsidR="00261AB3">
        <w:rPr>
          <w:rFonts w:hint="eastAsia"/>
        </w:rPr>
        <w:t>4年</w:t>
      </w:r>
      <w:r w:rsidRPr="00C7624E">
        <w:rPr>
          <w:rFonts w:hint="eastAsia"/>
        </w:rPr>
        <w:t>度預算案編列業務收入</w:t>
      </w:r>
      <w:r w:rsidR="0096739F">
        <w:t>1,</w:t>
      </w:r>
      <w:r w:rsidR="00261AB3">
        <w:rPr>
          <w:rFonts w:hint="eastAsia"/>
        </w:rPr>
        <w:t>316</w:t>
      </w:r>
      <w:r w:rsidR="0096739F">
        <w:rPr>
          <w:rFonts w:hint="eastAsia"/>
        </w:rPr>
        <w:t>億</w:t>
      </w:r>
      <w:r w:rsidR="00261AB3">
        <w:rPr>
          <w:rFonts w:hint="eastAsia"/>
        </w:rPr>
        <w:t>320</w:t>
      </w:r>
      <w:r w:rsidR="0096739F">
        <w:rPr>
          <w:rFonts w:hint="eastAsia"/>
        </w:rPr>
        <w:t>萬</w:t>
      </w:r>
      <w:r w:rsidR="00261AB3">
        <w:rPr>
          <w:rFonts w:hint="eastAsia"/>
        </w:rPr>
        <w:t>9千元</w:t>
      </w:r>
      <w:r w:rsidR="00261AB3">
        <w:rPr>
          <w:rFonts w:hAnsi="標楷體" w:hint="eastAsia"/>
        </w:rPr>
        <w:t>，</w:t>
      </w:r>
      <w:r w:rsidR="00261AB3">
        <w:rPr>
          <w:rFonts w:hint="eastAsia"/>
        </w:rPr>
        <w:t>較113年度</w:t>
      </w:r>
      <w:r w:rsidR="007A73D1">
        <w:rPr>
          <w:rFonts w:hint="eastAsia"/>
        </w:rPr>
        <w:t>1</w:t>
      </w:r>
      <w:r w:rsidR="007A73D1">
        <w:t>,</w:t>
      </w:r>
      <w:r w:rsidR="007A73D1">
        <w:rPr>
          <w:rFonts w:hint="eastAsia"/>
        </w:rPr>
        <w:t>227億7</w:t>
      </w:r>
      <w:r w:rsidR="007A73D1">
        <w:t>,882</w:t>
      </w:r>
      <w:r w:rsidR="007A73D1">
        <w:rPr>
          <w:rFonts w:hint="eastAsia"/>
        </w:rPr>
        <w:t>萬7千元</w:t>
      </w:r>
      <w:r w:rsidR="00261AB3">
        <w:rPr>
          <w:rFonts w:hint="eastAsia"/>
        </w:rPr>
        <w:t>增加88億2</w:t>
      </w:r>
      <w:r w:rsidR="00261AB3">
        <w:t>,</w:t>
      </w:r>
      <w:r w:rsidR="00261AB3">
        <w:rPr>
          <w:rFonts w:hint="eastAsia"/>
        </w:rPr>
        <w:t>438萬2千元(增幅7.19%</w:t>
      </w:r>
      <w:r w:rsidR="00261AB3">
        <w:t>)</w:t>
      </w:r>
      <w:r w:rsidR="00261AB3">
        <w:rPr>
          <w:rFonts w:hAnsi="標楷體" w:hint="eastAsia"/>
        </w:rPr>
        <w:t>，</w:t>
      </w:r>
      <w:r w:rsidR="00261AB3">
        <w:rPr>
          <w:rFonts w:hint="eastAsia"/>
        </w:rPr>
        <w:t>主要係因調高保費費率致保費收入增加</w:t>
      </w:r>
      <w:r w:rsidR="00261AB3">
        <w:rPr>
          <w:rFonts w:hAnsi="標楷體" w:hint="eastAsia"/>
        </w:rPr>
        <w:t>；</w:t>
      </w:r>
      <w:r w:rsidRPr="00C7624E">
        <w:rPr>
          <w:rFonts w:hint="eastAsia"/>
        </w:rPr>
        <w:t>業務成本與費用</w:t>
      </w:r>
      <w:r w:rsidR="0096739F">
        <w:t>1</w:t>
      </w:r>
      <w:r w:rsidR="005A4AB8">
        <w:t>,</w:t>
      </w:r>
      <w:r w:rsidR="00261AB3">
        <w:rPr>
          <w:rFonts w:hint="eastAsia"/>
        </w:rPr>
        <w:t>317</w:t>
      </w:r>
      <w:r w:rsidR="005A4AB8">
        <w:rPr>
          <w:rFonts w:hint="eastAsia"/>
        </w:rPr>
        <w:t>億</w:t>
      </w:r>
      <w:r w:rsidR="00261AB3">
        <w:rPr>
          <w:rFonts w:hint="eastAsia"/>
        </w:rPr>
        <w:t>7</w:t>
      </w:r>
      <w:r w:rsidR="005A4AB8">
        <w:t>,</w:t>
      </w:r>
      <w:r w:rsidR="00261AB3">
        <w:rPr>
          <w:rFonts w:hint="eastAsia"/>
        </w:rPr>
        <w:t>454</w:t>
      </w:r>
      <w:r w:rsidR="005A4AB8">
        <w:rPr>
          <w:rFonts w:hint="eastAsia"/>
        </w:rPr>
        <w:t>萬</w:t>
      </w:r>
      <w:r w:rsidR="00261AB3">
        <w:rPr>
          <w:rFonts w:hint="eastAsia"/>
        </w:rPr>
        <w:t>5</w:t>
      </w:r>
      <w:r w:rsidRPr="00C7624E">
        <w:rPr>
          <w:rFonts w:hint="eastAsia"/>
        </w:rPr>
        <w:t>千元</w:t>
      </w:r>
      <w:r w:rsidR="00261AB3">
        <w:rPr>
          <w:rFonts w:hAnsi="標楷體" w:hint="eastAsia"/>
        </w:rPr>
        <w:t>，</w:t>
      </w:r>
      <w:r w:rsidR="00261AB3">
        <w:rPr>
          <w:rFonts w:hint="eastAsia"/>
        </w:rPr>
        <w:t>較113年度</w:t>
      </w:r>
      <w:r w:rsidR="00432EB3">
        <w:rPr>
          <w:rFonts w:hint="eastAsia"/>
        </w:rPr>
        <w:t>1</w:t>
      </w:r>
      <w:r w:rsidR="00432EB3">
        <w:t>,</w:t>
      </w:r>
      <w:r w:rsidR="00432EB3">
        <w:rPr>
          <w:rFonts w:hint="eastAsia"/>
        </w:rPr>
        <w:t>228億5</w:t>
      </w:r>
      <w:r w:rsidR="00432EB3">
        <w:t>,</w:t>
      </w:r>
      <w:r w:rsidR="00432EB3">
        <w:rPr>
          <w:rFonts w:hint="eastAsia"/>
        </w:rPr>
        <w:t>097萬3千元</w:t>
      </w:r>
      <w:r w:rsidR="00261AB3">
        <w:rPr>
          <w:rFonts w:hint="eastAsia"/>
        </w:rPr>
        <w:t>增加89億2</w:t>
      </w:r>
      <w:r w:rsidR="00261AB3">
        <w:t>,</w:t>
      </w:r>
      <w:r w:rsidR="00261AB3">
        <w:rPr>
          <w:rFonts w:hint="eastAsia"/>
        </w:rPr>
        <w:t>357萬2千元(增幅7.26%</w:t>
      </w:r>
      <w:r w:rsidR="00261AB3">
        <w:t>)</w:t>
      </w:r>
      <w:r w:rsidR="00261AB3">
        <w:rPr>
          <w:rFonts w:hAnsi="標楷體" w:hint="eastAsia"/>
        </w:rPr>
        <w:t>，</w:t>
      </w:r>
      <w:r w:rsidR="00261AB3">
        <w:rPr>
          <w:rFonts w:hint="eastAsia"/>
        </w:rPr>
        <w:t>主要係老年年金領取人數上升致保險給付增加</w:t>
      </w:r>
      <w:r w:rsidR="00261AB3">
        <w:rPr>
          <w:rFonts w:hAnsi="標楷體" w:hint="eastAsia"/>
        </w:rPr>
        <w:t>；</w:t>
      </w:r>
      <w:r w:rsidRPr="00C7624E">
        <w:rPr>
          <w:rFonts w:hint="eastAsia"/>
        </w:rPr>
        <w:t>業務外收入</w:t>
      </w:r>
      <w:r w:rsidR="00261AB3">
        <w:rPr>
          <w:rFonts w:hint="eastAsia"/>
        </w:rPr>
        <w:t>1億</w:t>
      </w:r>
      <w:r w:rsidR="0096739F">
        <w:t>7,1</w:t>
      </w:r>
      <w:r w:rsidR="00261AB3">
        <w:rPr>
          <w:rFonts w:hint="eastAsia"/>
        </w:rPr>
        <w:t>33</w:t>
      </w:r>
      <w:r w:rsidR="0096739F">
        <w:rPr>
          <w:rFonts w:hint="eastAsia"/>
        </w:rPr>
        <w:t>萬</w:t>
      </w:r>
      <w:r w:rsidR="0096739F">
        <w:t>6</w:t>
      </w:r>
      <w:r w:rsidRPr="00C7624E">
        <w:rPr>
          <w:rFonts w:hint="eastAsia"/>
        </w:rPr>
        <w:t>千元，</w:t>
      </w:r>
      <w:r w:rsidR="001917DA">
        <w:rPr>
          <w:rFonts w:hint="eastAsia"/>
        </w:rPr>
        <w:t>較113年度7</w:t>
      </w:r>
      <w:r w:rsidR="001917DA">
        <w:t>,</w:t>
      </w:r>
      <w:r w:rsidR="001917DA">
        <w:rPr>
          <w:rFonts w:hint="eastAsia"/>
        </w:rPr>
        <w:t>214萬6千元增加9</w:t>
      </w:r>
      <w:r w:rsidR="001917DA">
        <w:t>,</w:t>
      </w:r>
      <w:r w:rsidR="001917DA">
        <w:rPr>
          <w:rFonts w:hint="eastAsia"/>
        </w:rPr>
        <w:t>919萬元(增幅137.49%</w:t>
      </w:r>
      <w:r w:rsidR="001917DA">
        <w:t>)</w:t>
      </w:r>
      <w:r w:rsidR="00261AB3">
        <w:rPr>
          <w:rFonts w:hint="eastAsia"/>
        </w:rPr>
        <w:t>主要係依法辦理呆帳收回增加所致</w:t>
      </w:r>
      <w:r w:rsidR="00261AB3">
        <w:rPr>
          <w:rFonts w:hAnsi="標楷體" w:hint="eastAsia"/>
        </w:rPr>
        <w:t>；</w:t>
      </w:r>
      <w:r w:rsidRPr="00C7624E">
        <w:rPr>
          <w:rFonts w:hint="eastAsia"/>
        </w:rPr>
        <w:t>本期餘絀</w:t>
      </w:r>
      <w:r w:rsidR="0096739F">
        <w:rPr>
          <w:rFonts w:hint="eastAsia"/>
        </w:rPr>
        <w:t>與</w:t>
      </w:r>
      <w:r w:rsidR="00602139">
        <w:rPr>
          <w:rFonts w:hint="eastAsia"/>
        </w:rPr>
        <w:t>1</w:t>
      </w:r>
      <w:r w:rsidR="00261AB3">
        <w:t>1</w:t>
      </w:r>
      <w:r w:rsidR="00261AB3">
        <w:rPr>
          <w:rFonts w:hint="eastAsia"/>
        </w:rPr>
        <w:t>3</w:t>
      </w:r>
      <w:r w:rsidR="0096739F">
        <w:rPr>
          <w:rFonts w:hint="eastAsia"/>
        </w:rPr>
        <w:t>年度同</w:t>
      </w:r>
      <w:r w:rsidR="00623F16">
        <w:rPr>
          <w:rFonts w:hint="eastAsia"/>
        </w:rPr>
        <w:t>為零</w:t>
      </w:r>
      <w:r w:rsidRPr="00C7624E">
        <w:rPr>
          <w:rFonts w:hint="eastAsia"/>
        </w:rPr>
        <w:t>。謹就國保基金11</w:t>
      </w:r>
      <w:r w:rsidR="00261AB3">
        <w:rPr>
          <w:rFonts w:hint="eastAsia"/>
        </w:rPr>
        <w:t>4</w:t>
      </w:r>
      <w:r w:rsidRPr="00C7624E">
        <w:rPr>
          <w:rFonts w:hint="eastAsia"/>
        </w:rPr>
        <w:t>年度預算案</w:t>
      </w:r>
      <w:r w:rsidR="00B147E7">
        <w:rPr>
          <w:rFonts w:hint="eastAsia"/>
        </w:rPr>
        <w:t>評析</w:t>
      </w:r>
      <w:r w:rsidRPr="00C7624E">
        <w:rPr>
          <w:rFonts w:hint="eastAsia"/>
        </w:rPr>
        <w:t>如</w:t>
      </w:r>
      <w:r w:rsidR="00432EB3">
        <w:rPr>
          <w:rFonts w:hint="eastAsia"/>
        </w:rPr>
        <w:t>次</w:t>
      </w:r>
      <w:r w:rsidRPr="00C7624E">
        <w:rPr>
          <w:rFonts w:hint="eastAsia"/>
        </w:rPr>
        <w:t>：</w:t>
      </w:r>
    </w:p>
    <w:sectPr w:rsidR="00210555" w:rsidRPr="00ED657E"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ED4ADC" w:rsidRPr="00ED4AD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ADC"/>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272CDF1-28A0-4713-8E90-44C027C47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D044C-E5AB-419E-9939-E30A3E6D4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69</Words>
  <Characters>396</Characters>
  <Application>Microsoft Office Word</Application>
  <DocSecurity>0</DocSecurity>
  <Lines>3</Lines>
  <Paragraphs>1</Paragraphs>
  <ScaleCrop>false</ScaleCrop>
  <Company>HOME</Company>
  <LinksUpToDate>false</LinksUpToDate>
  <CharactersWithSpaces>464</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