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5B6115" w:rsidRPr="00C908F7" w:rsidRDefault="00AF4780" w:rsidP="005B6115">
      <w:pPr>
        <w:pStyle w:val="14"/>
        <w:ind w:left="567" w:hanging="567"/>
        <w:rPr>
          <w:rFonts w:hAnsi="標楷體"/>
        </w:rPr>
      </w:pPr>
      <w:bookmarkStart w:id="1" w:name="_Toc19798781"/>
      <w:bookmarkStart w:id="2" w:name="_Toc524945248"/>
      <w:bookmarkStart w:id="3" w:name="_Toc525456783"/>
      <w:bookmarkStart w:id="4" w:name="_Toc525660553"/>
      <w:bookmarkStart w:id="5" w:name="_Toc181892132"/>
      <w:r>
        <w:rPr>
          <w:rFonts w:hAnsi="標楷體" w:hint="eastAsia"/>
        </w:rPr>
        <w:t>一三</w:t>
      </w:r>
      <w:r w:rsidR="005B6115">
        <w:rPr>
          <w:rFonts w:hAnsi="標楷體" w:hint="eastAsia"/>
        </w:rPr>
        <w:t>、</w:t>
      </w:r>
      <w:r w:rsidR="001E069C">
        <w:rPr>
          <w:rFonts w:hAnsi="標楷體" w:hint="eastAsia"/>
        </w:rPr>
        <w:t>114年度預計</w:t>
      </w:r>
      <w:r w:rsidR="00801D7C">
        <w:rPr>
          <w:rFonts w:hAnsi="標楷體" w:hint="eastAsia"/>
        </w:rPr>
        <w:t>依法</w:t>
      </w:r>
      <w:r w:rsidR="001E069C">
        <w:rPr>
          <w:rFonts w:hAnsi="標楷體" w:hint="eastAsia"/>
        </w:rPr>
        <w:t>調增保費費率至10.5%，惟</w:t>
      </w:r>
      <w:r w:rsidR="00EC3549">
        <w:rPr>
          <w:rFonts w:hAnsi="標楷體" w:hint="eastAsia"/>
        </w:rPr>
        <w:t>依113年9月發布最新精算報告</w:t>
      </w:r>
      <w:r w:rsidR="00BE3E59">
        <w:rPr>
          <w:rFonts w:hAnsi="標楷體" w:hint="eastAsia"/>
        </w:rPr>
        <w:t>，</w:t>
      </w:r>
      <w:r w:rsidR="007E0DDE">
        <w:rPr>
          <w:rFonts w:hAnsi="標楷體" w:hint="eastAsia"/>
        </w:rPr>
        <w:t>最適保險費率仍高於</w:t>
      </w:r>
      <w:r w:rsidR="00D30B65">
        <w:rPr>
          <w:rFonts w:hAnsi="標楷體" w:hint="eastAsia"/>
        </w:rPr>
        <w:t>現行國民年金法所規範之保費費率上限12%，</w:t>
      </w:r>
      <w:r w:rsidR="00E76C3B">
        <w:rPr>
          <w:rFonts w:hAnsi="標楷體" w:hint="eastAsia"/>
        </w:rPr>
        <w:t>允宜</w:t>
      </w:r>
      <w:r w:rsidR="006D0883">
        <w:rPr>
          <w:rFonts w:hAnsi="標楷體" w:hint="eastAsia"/>
        </w:rPr>
        <w:t>預先規劃</w:t>
      </w:r>
      <w:r w:rsidR="00B65B8D">
        <w:rPr>
          <w:rFonts w:hAnsi="標楷體" w:hint="eastAsia"/>
        </w:rPr>
        <w:t>其他</w:t>
      </w:r>
      <w:r w:rsidR="00A70B39">
        <w:rPr>
          <w:rFonts w:hAnsi="標楷體" w:hint="eastAsia"/>
        </w:rPr>
        <w:t>財源籌措方式</w:t>
      </w:r>
      <w:r w:rsidR="00CC69A1">
        <w:rPr>
          <w:rFonts w:hAnsi="標楷體" w:hint="eastAsia"/>
        </w:rPr>
        <w:t>，俾確保基金永續經營</w:t>
      </w:r>
      <w:bookmarkEnd w:id="5"/>
    </w:p>
    <w:p w:rsidR="005B6115" w:rsidRDefault="005B6115" w:rsidP="005B6115">
      <w:pPr>
        <w:ind w:left="566" w:firstLine="566"/>
      </w:pPr>
      <w:r w:rsidRPr="00532A0A">
        <w:rPr>
          <w:rFonts w:hint="eastAsia"/>
        </w:rPr>
        <w:t>國保基金</w:t>
      </w:r>
      <w:r>
        <w:t>11</w:t>
      </w:r>
      <w:r w:rsidR="00E76C3B">
        <w:rPr>
          <w:rFonts w:hint="eastAsia"/>
        </w:rPr>
        <w:t>4</w:t>
      </w:r>
      <w:r w:rsidRPr="00532A0A">
        <w:rPr>
          <w:rFonts w:hint="eastAsia"/>
        </w:rPr>
        <w:t>年度預算案</w:t>
      </w:r>
      <w:r w:rsidR="0088322B">
        <w:rPr>
          <w:rFonts w:hint="eastAsia"/>
        </w:rPr>
        <w:t>在預計調增保費費率至10.5%之情況下</w:t>
      </w:r>
      <w:r w:rsidR="0088322B">
        <w:rPr>
          <w:rFonts w:hAnsi="標楷體" w:hint="eastAsia"/>
        </w:rPr>
        <w:t>，</w:t>
      </w:r>
      <w:r w:rsidR="00BB394F">
        <w:rPr>
          <w:rFonts w:hAnsi="標楷體" w:hint="eastAsia"/>
        </w:rPr>
        <w:t>於「業務收入－保險收入」科目項下</w:t>
      </w:r>
      <w:r w:rsidRPr="00532A0A">
        <w:rPr>
          <w:rFonts w:hint="eastAsia"/>
        </w:rPr>
        <w:t>編列保費收入</w:t>
      </w:r>
      <w:r w:rsidR="008C5939">
        <w:rPr>
          <w:rFonts w:hint="eastAsia"/>
        </w:rPr>
        <w:t>59</w:t>
      </w:r>
      <w:r w:rsidR="00A73743">
        <w:rPr>
          <w:rFonts w:hint="eastAsia"/>
        </w:rPr>
        <w:t>0</w:t>
      </w:r>
      <w:r w:rsidR="008C5939">
        <w:rPr>
          <w:rFonts w:hint="eastAsia"/>
        </w:rPr>
        <w:t>億</w:t>
      </w:r>
      <w:r w:rsidR="00A73743">
        <w:rPr>
          <w:rFonts w:hint="eastAsia"/>
        </w:rPr>
        <w:t>1</w:t>
      </w:r>
      <w:r w:rsidR="00A73743">
        <w:t>,</w:t>
      </w:r>
      <w:r w:rsidR="00A73743">
        <w:rPr>
          <w:rFonts w:hint="eastAsia"/>
        </w:rPr>
        <w:t>699</w:t>
      </w:r>
      <w:r w:rsidR="008C5939">
        <w:rPr>
          <w:rFonts w:hint="eastAsia"/>
        </w:rPr>
        <w:t>萬</w:t>
      </w:r>
      <w:r w:rsidR="00A73743">
        <w:rPr>
          <w:rFonts w:hint="eastAsia"/>
        </w:rPr>
        <w:t>2</w:t>
      </w:r>
      <w:r w:rsidRPr="00532A0A">
        <w:rPr>
          <w:rFonts w:hint="eastAsia"/>
        </w:rPr>
        <w:t>千元，</w:t>
      </w:r>
      <w:r w:rsidR="00657478">
        <w:rPr>
          <w:rFonts w:hint="eastAsia"/>
        </w:rPr>
        <w:t>包括中央政府應負擔數185億9</w:t>
      </w:r>
      <w:r w:rsidR="00657478">
        <w:t>,</w:t>
      </w:r>
      <w:r w:rsidR="00657478">
        <w:rPr>
          <w:rFonts w:hint="eastAsia"/>
        </w:rPr>
        <w:t>358萬4千元、地方政府應負擔數32億2</w:t>
      </w:r>
      <w:r w:rsidR="00657478">
        <w:t>,</w:t>
      </w:r>
      <w:r w:rsidR="00657478">
        <w:rPr>
          <w:rFonts w:hint="eastAsia"/>
        </w:rPr>
        <w:t>374萬</w:t>
      </w:r>
      <w:r w:rsidR="00E50627">
        <w:rPr>
          <w:rFonts w:hint="eastAsia"/>
        </w:rPr>
        <w:t>4千元</w:t>
      </w:r>
      <w:r w:rsidR="00657478">
        <w:rPr>
          <w:rFonts w:hint="eastAsia"/>
        </w:rPr>
        <w:t>及被保險人應負擔數</w:t>
      </w:r>
      <w:r w:rsidR="00E50627">
        <w:rPr>
          <w:rFonts w:hint="eastAsia"/>
        </w:rPr>
        <w:t>371億9</w:t>
      </w:r>
      <w:r w:rsidR="00E50627">
        <w:t>,</w:t>
      </w:r>
      <w:r w:rsidR="00E50627">
        <w:rPr>
          <w:rFonts w:hint="eastAsia"/>
        </w:rPr>
        <w:t>966萬4千元</w:t>
      </w:r>
      <w:r w:rsidR="00E50627">
        <w:rPr>
          <w:rFonts w:hAnsi="標楷體" w:hint="eastAsia"/>
        </w:rPr>
        <w:t>，</w:t>
      </w:r>
      <w:r w:rsidR="000010F1">
        <w:rPr>
          <w:rFonts w:hint="eastAsia"/>
        </w:rPr>
        <w:t>較1</w:t>
      </w:r>
      <w:r w:rsidR="00AD277F">
        <w:t>13</w:t>
      </w:r>
      <w:r w:rsidR="000010F1">
        <w:rPr>
          <w:rFonts w:hint="eastAsia"/>
        </w:rPr>
        <w:t>年度預算數</w:t>
      </w:r>
      <w:r w:rsidR="00815B17">
        <w:rPr>
          <w:rFonts w:hint="eastAsia"/>
        </w:rPr>
        <w:t>5</w:t>
      </w:r>
      <w:r w:rsidR="00AD277F">
        <w:t>49</w:t>
      </w:r>
      <w:r w:rsidR="00815B17">
        <w:rPr>
          <w:rFonts w:hint="eastAsia"/>
        </w:rPr>
        <w:t>億</w:t>
      </w:r>
      <w:r w:rsidR="00AD277F">
        <w:rPr>
          <w:rFonts w:hint="eastAsia"/>
        </w:rPr>
        <w:t>6</w:t>
      </w:r>
      <w:r w:rsidR="00AD277F">
        <w:t>20</w:t>
      </w:r>
      <w:r w:rsidR="00815B17">
        <w:rPr>
          <w:rFonts w:hint="eastAsia"/>
        </w:rPr>
        <w:t>萬</w:t>
      </w:r>
      <w:r w:rsidR="00AD277F">
        <w:rPr>
          <w:rFonts w:hint="eastAsia"/>
        </w:rPr>
        <w:t>9</w:t>
      </w:r>
      <w:r w:rsidR="00815B17">
        <w:rPr>
          <w:rFonts w:hint="eastAsia"/>
        </w:rPr>
        <w:t>千元</w:t>
      </w:r>
      <w:r w:rsidR="00AD277F">
        <w:rPr>
          <w:rFonts w:hint="eastAsia"/>
        </w:rPr>
        <w:t>增加41</w:t>
      </w:r>
      <w:r w:rsidR="00815B17">
        <w:rPr>
          <w:rFonts w:hint="eastAsia"/>
        </w:rPr>
        <w:t>億</w:t>
      </w:r>
      <w:r w:rsidR="00AD277F">
        <w:rPr>
          <w:rFonts w:hint="eastAsia"/>
        </w:rPr>
        <w:t>1</w:t>
      </w:r>
      <w:r w:rsidR="00815B17">
        <w:t>,</w:t>
      </w:r>
      <w:r w:rsidR="00AD277F">
        <w:rPr>
          <w:rFonts w:hint="eastAsia"/>
        </w:rPr>
        <w:t>078</w:t>
      </w:r>
      <w:r w:rsidR="00815B17">
        <w:rPr>
          <w:rFonts w:hint="eastAsia"/>
        </w:rPr>
        <w:t>萬</w:t>
      </w:r>
      <w:r w:rsidR="00AD277F">
        <w:rPr>
          <w:rFonts w:hint="eastAsia"/>
        </w:rPr>
        <w:t>3</w:t>
      </w:r>
      <w:r w:rsidR="00815B17">
        <w:rPr>
          <w:rFonts w:hint="eastAsia"/>
        </w:rPr>
        <w:t>千元</w:t>
      </w:r>
      <w:r w:rsidR="00AD277F">
        <w:rPr>
          <w:rFonts w:hint="eastAsia"/>
        </w:rPr>
        <w:t>(增幅7.49%)</w:t>
      </w:r>
      <w:r w:rsidRPr="00532A0A">
        <w:rPr>
          <w:rFonts w:hint="eastAsia"/>
        </w:rPr>
        <w:t>。</w:t>
      </w:r>
      <w:r w:rsidR="0088322B">
        <w:rPr>
          <w:rFonts w:hint="eastAsia"/>
        </w:rPr>
        <w:t>有關</w:t>
      </w:r>
      <w:r w:rsidR="007E0DDE">
        <w:rPr>
          <w:rFonts w:hint="eastAsia"/>
        </w:rPr>
        <w:t>國保年金之</w:t>
      </w:r>
      <w:r w:rsidR="00B65B8D">
        <w:rPr>
          <w:rFonts w:hint="eastAsia"/>
        </w:rPr>
        <w:t>保費費率</w:t>
      </w:r>
      <w:r w:rsidR="001E069C">
        <w:rPr>
          <w:rFonts w:hint="eastAsia"/>
        </w:rPr>
        <w:t>調整</w:t>
      </w:r>
      <w:r w:rsidR="007E0DDE">
        <w:rPr>
          <w:rFonts w:hint="eastAsia"/>
        </w:rPr>
        <w:t>對</w:t>
      </w:r>
      <w:r w:rsidR="0088322B">
        <w:rPr>
          <w:rFonts w:hint="eastAsia"/>
        </w:rPr>
        <w:t>基金財務影響之情形</w:t>
      </w:r>
      <w:r w:rsidR="0088322B">
        <w:rPr>
          <w:rFonts w:hAnsi="標楷體" w:hint="eastAsia"/>
        </w:rPr>
        <w:t>，</w:t>
      </w:r>
      <w:r w:rsidR="0088322B">
        <w:rPr>
          <w:rFonts w:hint="eastAsia"/>
        </w:rPr>
        <w:t>謹簡要敘明如次</w:t>
      </w:r>
      <w:r w:rsidR="00A70B39">
        <w:rPr>
          <w:rFonts w:ascii="新細明體" w:eastAsia="新細明體" w:hAnsi="新細明體" w:hint="eastAsia"/>
        </w:rPr>
        <w:t>。</w:t>
      </w:r>
    </w:p>
    <w:p w:rsidR="00291DF6" w:rsidRDefault="00900EC0" w:rsidP="00A201CA">
      <w:pPr>
        <w:ind w:left="566" w:firstLine="566"/>
        <w:rPr>
          <w:rFonts w:hAnsi="標楷體"/>
        </w:rPr>
      </w:pPr>
      <w:r>
        <w:rPr>
          <w:rFonts w:hint="eastAsia"/>
        </w:rPr>
        <w:t>有關</w:t>
      </w:r>
      <w:r w:rsidR="007E0DDE">
        <w:rPr>
          <w:rFonts w:hint="eastAsia"/>
        </w:rPr>
        <w:t>國保年金財源</w:t>
      </w:r>
      <w:r>
        <w:rPr>
          <w:rFonts w:hAnsi="標楷體" w:hint="eastAsia"/>
        </w:rPr>
        <w:t>，</w:t>
      </w:r>
      <w:r>
        <w:rPr>
          <w:rFonts w:hint="eastAsia"/>
        </w:rPr>
        <w:t>依</w:t>
      </w:r>
      <w:r w:rsidR="00A70B39">
        <w:rPr>
          <w:rFonts w:hint="eastAsia"/>
        </w:rPr>
        <w:t>國</w:t>
      </w:r>
      <w:r w:rsidR="00725219">
        <w:rPr>
          <w:rFonts w:hAnsi="標楷體" w:hint="eastAsia"/>
        </w:rPr>
        <w:t>民年金法</w:t>
      </w:r>
      <w:r>
        <w:rPr>
          <w:rFonts w:hAnsi="標楷體" w:hint="eastAsia"/>
        </w:rPr>
        <w:t>第48條第1項</w:t>
      </w:r>
      <w:r>
        <w:rPr>
          <w:rStyle w:val="af2"/>
          <w:rFonts w:hAnsi="標楷體"/>
        </w:rPr>
        <w:footnoteReference w:id="1"/>
      </w:r>
      <w:r>
        <w:rPr>
          <w:rFonts w:hAnsi="標楷體" w:hint="eastAsia"/>
        </w:rPr>
        <w:t>授權訂定之國保</w:t>
      </w:r>
      <w:r w:rsidRPr="00900EC0">
        <w:rPr>
          <w:rFonts w:hAnsi="標楷體" w:hint="eastAsia"/>
        </w:rPr>
        <w:t>基金管理運用及監督辦法</w:t>
      </w:r>
      <w:r w:rsidR="00816BF9">
        <w:rPr>
          <w:rFonts w:hAnsi="標楷體" w:hint="eastAsia"/>
        </w:rPr>
        <w:t>第4條規定</w:t>
      </w:r>
      <w:r w:rsidR="00816BF9">
        <w:rPr>
          <w:rFonts w:ascii="新細明體" w:eastAsia="新細明體" w:hAnsi="新細明體" w:hint="eastAsia"/>
        </w:rPr>
        <w:t>：</w:t>
      </w:r>
      <w:r w:rsidR="00816BF9">
        <w:rPr>
          <w:rFonts w:hAnsi="標楷體" w:hint="eastAsia"/>
        </w:rPr>
        <w:t>「</w:t>
      </w:r>
      <w:r w:rsidR="00A201CA" w:rsidRPr="00A201CA">
        <w:rPr>
          <w:rFonts w:hAnsi="標楷體" w:hint="eastAsia"/>
        </w:rPr>
        <w:t>本基金之來源如下：一、設立時中央政府一次撥入之款項。二、保險費收入。三、中央主管機關依法負擔及中央政府責任準備款項。四、利息及罰鍰收入。五、基金孳息及運用之收益。六、其他收入。</w:t>
      </w:r>
      <w:r w:rsidR="00816BF9">
        <w:rPr>
          <w:rFonts w:hAnsi="標楷體" w:hint="eastAsia"/>
        </w:rPr>
        <w:t>」</w:t>
      </w:r>
      <w:r w:rsidR="00A201CA">
        <w:rPr>
          <w:rFonts w:hAnsi="標楷體" w:hint="eastAsia"/>
        </w:rPr>
        <w:t>國民年金開辦後</w:t>
      </w:r>
      <w:r w:rsidR="00B646A5">
        <w:rPr>
          <w:rFonts w:hAnsi="標楷體" w:hint="eastAsia"/>
        </w:rPr>
        <w:t>，除受金融市場變動影響之基金孳息及運用之收益外，中央可以主動掌握</w:t>
      </w:r>
      <w:r w:rsidR="000239AE">
        <w:rPr>
          <w:rFonts w:hAnsi="標楷體" w:hint="eastAsia"/>
        </w:rPr>
        <w:t>主要來源</w:t>
      </w:r>
      <w:r w:rsidR="00B646A5">
        <w:rPr>
          <w:rFonts w:hAnsi="標楷體" w:hint="eastAsia"/>
        </w:rPr>
        <w:t>係保費收入、</w:t>
      </w:r>
      <w:r w:rsidR="00B646A5" w:rsidRPr="00B646A5">
        <w:rPr>
          <w:rFonts w:hAnsi="標楷體" w:hint="eastAsia"/>
        </w:rPr>
        <w:t>中央主管機關依法負擔及中央政府責任準備款項</w:t>
      </w:r>
      <w:r w:rsidR="002E5F07">
        <w:rPr>
          <w:rFonts w:hAnsi="標楷體" w:hint="eastAsia"/>
        </w:rPr>
        <w:t>。</w:t>
      </w:r>
      <w:r w:rsidR="00816BF9">
        <w:rPr>
          <w:rFonts w:hAnsi="標楷體" w:hint="eastAsia"/>
        </w:rPr>
        <w:t>在保費</w:t>
      </w:r>
      <w:r w:rsidR="002E5F07">
        <w:rPr>
          <w:rFonts w:hAnsi="標楷體" w:hint="eastAsia"/>
        </w:rPr>
        <w:t>收入方面，涉及國民年金法第10條有關</w:t>
      </w:r>
      <w:r w:rsidR="00816BF9">
        <w:rPr>
          <w:rFonts w:hAnsi="標楷體" w:hint="eastAsia"/>
        </w:rPr>
        <w:t>費率調整之規定</w:t>
      </w:r>
      <w:r w:rsidR="00725219">
        <w:rPr>
          <w:rFonts w:ascii="新細明體" w:eastAsia="新細明體" w:hAnsi="新細明體" w:hint="eastAsia"/>
        </w:rPr>
        <w:t>：</w:t>
      </w:r>
      <w:r w:rsidR="00725219">
        <w:rPr>
          <w:rFonts w:hAnsi="標楷體" w:hint="eastAsia"/>
        </w:rPr>
        <w:t>「</w:t>
      </w:r>
      <w:r w:rsidR="00725219" w:rsidRPr="00725219">
        <w:rPr>
          <w:rFonts w:hAnsi="標楷體" w:hint="eastAsia"/>
        </w:rPr>
        <w:t>本保險之保險費率，於本法施行第一年為百分之六點五；於第三年調高百分之零點五，以後每二年調高</w:t>
      </w:r>
      <w:r w:rsidR="00725219" w:rsidRPr="00725219">
        <w:rPr>
          <w:rFonts w:hAnsi="標楷體" w:hint="eastAsia"/>
        </w:rPr>
        <w:lastRenderedPageBreak/>
        <w:t>百分之零點五至上限百分之十二。但保險基金餘額足以支付未來二十年保險給付時，不予調高。</w:t>
      </w:r>
      <w:r w:rsidR="007C707B">
        <w:rPr>
          <w:rFonts w:hAnsi="標楷體" w:hint="eastAsia"/>
        </w:rPr>
        <w:t>」亦即依現行法保費費率至施行日起逐步調整，</w:t>
      </w:r>
      <w:r w:rsidR="00725219">
        <w:rPr>
          <w:rFonts w:hAnsi="標楷體" w:hint="eastAsia"/>
        </w:rPr>
        <w:t>保費費率</w:t>
      </w:r>
      <w:r w:rsidR="007C707B">
        <w:rPr>
          <w:rFonts w:hAnsi="標楷體" w:hint="eastAsia"/>
        </w:rPr>
        <w:t>上限12%，惟</w:t>
      </w:r>
      <w:r w:rsidR="007C707B" w:rsidRPr="007C707B">
        <w:rPr>
          <w:rFonts w:hAnsi="標楷體" w:hint="eastAsia"/>
        </w:rPr>
        <w:t>保險基金餘額足以支付未來</w:t>
      </w:r>
      <w:r w:rsidR="007C707B">
        <w:rPr>
          <w:rFonts w:hAnsi="標楷體" w:hint="eastAsia"/>
        </w:rPr>
        <w:t>20</w:t>
      </w:r>
      <w:r w:rsidR="007C707B" w:rsidRPr="007C707B">
        <w:rPr>
          <w:rFonts w:hAnsi="標楷體" w:hint="eastAsia"/>
        </w:rPr>
        <w:t>年保險給付時</w:t>
      </w:r>
      <w:r w:rsidR="007C707B">
        <w:rPr>
          <w:rFonts w:hAnsi="標楷體" w:hint="eastAsia"/>
        </w:rPr>
        <w:t>則不予調整</w:t>
      </w:r>
      <w:r w:rsidR="007C707B">
        <w:rPr>
          <w:rFonts w:ascii="新細明體" w:eastAsia="新細明體" w:hAnsi="新細明體" w:hint="eastAsia"/>
        </w:rPr>
        <w:t>。</w:t>
      </w:r>
      <w:r w:rsidR="00D30B65" w:rsidRPr="00D30B65">
        <w:rPr>
          <w:rFonts w:hAnsi="標楷體" w:hint="eastAsia"/>
        </w:rPr>
        <w:t>依</w:t>
      </w:r>
      <w:r w:rsidR="00D30B65">
        <w:rPr>
          <w:rFonts w:hAnsi="標楷體" w:hint="eastAsia"/>
        </w:rPr>
        <w:t>國保基金提供資料</w:t>
      </w:r>
      <w:r w:rsidR="001D3925">
        <w:rPr>
          <w:rFonts w:hAnsi="標楷體" w:hint="eastAsia"/>
        </w:rPr>
        <w:t>(</w:t>
      </w:r>
      <w:r w:rsidR="007E0DDE">
        <w:rPr>
          <w:rFonts w:hAnsi="標楷體" w:hint="eastAsia"/>
        </w:rPr>
        <w:t>保險費率及月投保金額調整過程，</w:t>
      </w:r>
      <w:r w:rsidR="001D3925">
        <w:rPr>
          <w:rFonts w:hAnsi="標楷體" w:hint="eastAsia"/>
        </w:rPr>
        <w:t>詳表1)，</w:t>
      </w:r>
      <w:r w:rsidR="00A201CA">
        <w:rPr>
          <w:rFonts w:hAnsi="標楷體" w:hint="eastAsia"/>
        </w:rPr>
        <w:t>國民年金</w:t>
      </w:r>
      <w:r w:rsidR="001D3925">
        <w:rPr>
          <w:rFonts w:hAnsi="標楷體" w:hint="eastAsia"/>
        </w:rPr>
        <w:t>自97年10月開辦迄今，</w:t>
      </w:r>
      <w:r w:rsidR="006D0883">
        <w:rPr>
          <w:rFonts w:hAnsi="標楷體" w:hint="eastAsia"/>
        </w:rPr>
        <w:t>除月投保金額自1萬7</w:t>
      </w:r>
      <w:r w:rsidR="006D0883">
        <w:rPr>
          <w:rFonts w:hAnsi="標楷體"/>
        </w:rPr>
        <w:t>,</w:t>
      </w:r>
      <w:r w:rsidR="006D0883">
        <w:rPr>
          <w:rFonts w:hAnsi="標楷體" w:hint="eastAsia"/>
        </w:rPr>
        <w:t>280元調高至1萬9</w:t>
      </w:r>
      <w:r w:rsidR="006D0883">
        <w:rPr>
          <w:rFonts w:hAnsi="標楷體"/>
        </w:rPr>
        <w:t>,</w:t>
      </w:r>
      <w:r w:rsidR="006D0883">
        <w:rPr>
          <w:rFonts w:hAnsi="標楷體" w:hint="eastAsia"/>
        </w:rPr>
        <w:t>761元外，同期間</w:t>
      </w:r>
      <w:r w:rsidR="001E069C">
        <w:rPr>
          <w:rFonts w:hAnsi="標楷體" w:hint="eastAsia"/>
        </w:rPr>
        <w:t>已依法調增</w:t>
      </w:r>
      <w:r w:rsidR="001D3925">
        <w:rPr>
          <w:rFonts w:hAnsi="標楷體" w:hint="eastAsia"/>
        </w:rPr>
        <w:t>7次費率，自開辦時之6.5%調升至112年1月之10%(現行費率)</w:t>
      </w:r>
      <w:r w:rsidR="006D0883">
        <w:rPr>
          <w:rFonts w:hAnsi="標楷體" w:hint="eastAsia"/>
        </w:rPr>
        <w:t>，114年1月則預計調</w:t>
      </w:r>
      <w:r w:rsidR="001E069C">
        <w:rPr>
          <w:rFonts w:hAnsi="標楷體" w:hint="eastAsia"/>
        </w:rPr>
        <w:t>高</w:t>
      </w:r>
      <w:r w:rsidR="006D0883">
        <w:rPr>
          <w:rFonts w:hAnsi="標楷體" w:hint="eastAsia"/>
        </w:rPr>
        <w:t>至10.5%，換言之</w:t>
      </w:r>
      <w:r w:rsidR="008703A5">
        <w:rPr>
          <w:rFonts w:hAnsi="標楷體" w:hint="eastAsia"/>
        </w:rPr>
        <w:t>，近年保險基金餘額尚未足以支付未來20年保險給付，爰保險費率須依法定期程逐步調升。</w:t>
      </w:r>
      <w:r w:rsidR="00811AD8">
        <w:rPr>
          <w:rFonts w:hAnsi="標楷體" w:hint="eastAsia"/>
        </w:rPr>
        <w:t>另</w:t>
      </w:r>
      <w:r w:rsidR="00DB53FF">
        <w:rPr>
          <w:rFonts w:hAnsi="標楷體" w:hint="eastAsia"/>
        </w:rPr>
        <w:t>參考勞動部勞工保險局112年度委辦之「國民年金保險費率精算及財務評估報告」</w:t>
      </w:r>
      <w:r w:rsidR="00320DB3">
        <w:rPr>
          <w:rFonts w:hAnsi="標楷體" w:hint="eastAsia"/>
        </w:rPr>
        <w:t>(以下簡稱112年度國保基金精算報告)</w:t>
      </w:r>
      <w:r w:rsidR="00DB53FF">
        <w:rPr>
          <w:rFonts w:hAnsi="標楷體" w:hint="eastAsia"/>
        </w:rPr>
        <w:t>，</w:t>
      </w:r>
      <w:r w:rsidR="00811AD8">
        <w:rPr>
          <w:rFonts w:hAnsi="標楷體" w:hint="eastAsia"/>
        </w:rPr>
        <w:t>依相關精算假設及方法</w:t>
      </w:r>
      <w:r w:rsidR="00B65B8D">
        <w:rPr>
          <w:rStyle w:val="af2"/>
          <w:rFonts w:hAnsi="標楷體"/>
        </w:rPr>
        <w:footnoteReference w:id="2"/>
      </w:r>
      <w:r w:rsidR="00811AD8">
        <w:rPr>
          <w:rFonts w:hAnsi="標楷體" w:hint="eastAsia"/>
        </w:rPr>
        <w:t>，</w:t>
      </w:r>
      <w:r w:rsidR="00291DF6" w:rsidRPr="00291DF6">
        <w:rPr>
          <w:rFonts w:hAnsi="標楷體" w:hint="eastAsia"/>
        </w:rPr>
        <w:t>最適保險費率為16.1%</w:t>
      </w:r>
      <w:r w:rsidR="00291DF6">
        <w:rPr>
          <w:rFonts w:hAnsi="標楷體" w:hint="eastAsia"/>
        </w:rPr>
        <w:t>。</w:t>
      </w:r>
      <w:r w:rsidR="006E0DA3">
        <w:rPr>
          <w:rFonts w:hAnsi="標楷體" w:hint="eastAsia"/>
        </w:rPr>
        <w:t>在少子女</w:t>
      </w:r>
      <w:r w:rsidR="00B65B8D">
        <w:rPr>
          <w:rFonts w:hAnsi="標楷體" w:hint="eastAsia"/>
        </w:rPr>
        <w:t>化</w:t>
      </w:r>
      <w:r w:rsidR="006E0DA3">
        <w:rPr>
          <w:rFonts w:hAnsi="標楷體" w:hint="eastAsia"/>
        </w:rPr>
        <w:t>與人口加速老化之人口變遷趨勢下</w:t>
      </w:r>
      <w:r w:rsidR="00B65B8D">
        <w:rPr>
          <w:rFonts w:hAnsi="標楷體" w:hint="eastAsia"/>
        </w:rPr>
        <w:t>，保險給付逐年成長(尤其老年年金給付)，保險收入相對較乏成長空間，倘依現行國民年金法每2年調高0.5%至</w:t>
      </w:r>
      <w:r w:rsidR="00320DB3">
        <w:rPr>
          <w:rFonts w:hAnsi="標楷體" w:hint="eastAsia"/>
        </w:rPr>
        <w:t>法定</w:t>
      </w:r>
      <w:r w:rsidR="00B65B8D">
        <w:rPr>
          <w:rFonts w:hAnsi="標楷體" w:hint="eastAsia"/>
        </w:rPr>
        <w:t>上限之保險費率調整作法，</w:t>
      </w:r>
      <w:r w:rsidR="00320DB3">
        <w:rPr>
          <w:rFonts w:hAnsi="標楷體" w:hint="eastAsia"/>
        </w:rPr>
        <w:t>雖有助於基金財務，惟</w:t>
      </w:r>
      <w:r w:rsidR="001E069C">
        <w:rPr>
          <w:rFonts w:hAnsi="標楷體" w:hint="eastAsia"/>
        </w:rPr>
        <w:t>據</w:t>
      </w:r>
      <w:r w:rsidR="00B65B8D">
        <w:rPr>
          <w:rFonts w:hAnsi="標楷體" w:hint="eastAsia"/>
        </w:rPr>
        <w:t>該報告推估，125年度國保基金之現金流入(包括保費收入與投資收益)將低於現金流出(保險給付)，</w:t>
      </w:r>
      <w:r w:rsidR="00B96228">
        <w:rPr>
          <w:rFonts w:hAnsi="標楷體" w:hint="eastAsia"/>
        </w:rPr>
        <w:t>倘無政府預算挹注之情況下，</w:t>
      </w:r>
      <w:r w:rsidR="00B65B8D">
        <w:rPr>
          <w:rFonts w:hAnsi="標楷體" w:hint="eastAsia"/>
        </w:rPr>
        <w:t>最快至141年度</w:t>
      </w:r>
      <w:r w:rsidR="001E069C">
        <w:rPr>
          <w:rFonts w:hAnsi="標楷體" w:hint="eastAsia"/>
        </w:rPr>
        <w:t>，</w:t>
      </w:r>
      <w:r w:rsidR="00B65B8D">
        <w:rPr>
          <w:rFonts w:hAnsi="標楷體" w:hint="eastAsia"/>
        </w:rPr>
        <w:t>基金將用罄(期末基金餘額出現負值)</w:t>
      </w:r>
      <w:r w:rsidR="001E069C">
        <w:rPr>
          <w:rFonts w:hAnsi="標楷體" w:hint="eastAsia"/>
        </w:rPr>
        <w:t>。</w:t>
      </w:r>
    </w:p>
    <w:p w:rsidR="005B6115" w:rsidRPr="007E0DDE" w:rsidRDefault="00291DF6" w:rsidP="00A201CA">
      <w:pPr>
        <w:ind w:left="566" w:firstLine="566"/>
        <w:rPr>
          <w:rFonts w:hAnsi="標楷體"/>
          <w:b/>
        </w:rPr>
      </w:pPr>
      <w:r>
        <w:rPr>
          <w:rFonts w:hAnsi="標楷體" w:hint="eastAsia"/>
        </w:rPr>
        <w:t>有鑒於</w:t>
      </w:r>
      <w:r w:rsidR="00320DB3" w:rsidRPr="00320DB3">
        <w:rPr>
          <w:rFonts w:hAnsi="標楷體" w:hint="eastAsia"/>
        </w:rPr>
        <w:t>112年度國保基金精算報告</w:t>
      </w:r>
      <w:r w:rsidR="00320DB3">
        <w:rPr>
          <w:rFonts w:hAnsi="標楷體" w:hint="eastAsia"/>
        </w:rPr>
        <w:t>所</w:t>
      </w:r>
      <w:r>
        <w:rPr>
          <w:rFonts w:hAnsi="標楷體" w:hint="eastAsia"/>
        </w:rPr>
        <w:t>精算之最適保險費率</w:t>
      </w:r>
      <w:r w:rsidRPr="00291DF6">
        <w:rPr>
          <w:rFonts w:hAnsi="標楷體" w:hint="eastAsia"/>
        </w:rPr>
        <w:t>仍</w:t>
      </w:r>
      <w:r w:rsidRPr="00291DF6">
        <w:rPr>
          <w:rFonts w:hAnsi="標楷體" w:hint="eastAsia"/>
        </w:rPr>
        <w:lastRenderedPageBreak/>
        <w:t>高於</w:t>
      </w:r>
      <w:r>
        <w:rPr>
          <w:rFonts w:hAnsi="標楷體" w:hint="eastAsia"/>
        </w:rPr>
        <w:t>目前</w:t>
      </w:r>
      <w:r w:rsidRPr="00291DF6">
        <w:rPr>
          <w:rFonts w:hAnsi="標楷體" w:hint="eastAsia"/>
        </w:rPr>
        <w:t>法定最高費率12%，</w:t>
      </w:r>
      <w:r>
        <w:rPr>
          <w:rFonts w:hAnsi="標楷體" w:hint="eastAsia"/>
        </w:rPr>
        <w:t>在不足額提撥之條件下，該報告另以政府每年定額提撥之假設，以不同的提撥額度，推估對國保基金財務之影響，依其模擬結果，政府每年提撥100億元，將使基金用罄之年度延後5至6年</w:t>
      </w:r>
      <w:r w:rsidR="003703F6">
        <w:rPr>
          <w:rFonts w:hAnsi="標楷體" w:hint="eastAsia"/>
        </w:rPr>
        <w:t>，倘以未來40年基金之財務平衡</w:t>
      </w:r>
      <w:r w:rsidR="00320DB3">
        <w:rPr>
          <w:rFonts w:hAnsi="標楷體" w:hint="eastAsia"/>
        </w:rPr>
        <w:t>目標</w:t>
      </w:r>
      <w:r w:rsidR="003703F6">
        <w:rPr>
          <w:rFonts w:hAnsi="標楷體" w:hint="eastAsia"/>
        </w:rPr>
        <w:t>作規劃，預估每年需提撥金額為280億元。至於基金之運用收益</w:t>
      </w:r>
      <w:r w:rsidR="00801D7C">
        <w:rPr>
          <w:rFonts w:hAnsi="標楷體" w:hint="eastAsia"/>
        </w:rPr>
        <w:t>對基金財務之影響，</w:t>
      </w:r>
      <w:r w:rsidR="00320DB3" w:rsidRPr="00320DB3">
        <w:rPr>
          <w:rFonts w:hAnsi="標楷體" w:hint="eastAsia"/>
        </w:rPr>
        <w:t>112年度國保基金精算報告</w:t>
      </w:r>
      <w:r w:rsidR="00801D7C">
        <w:rPr>
          <w:rFonts w:hAnsi="標楷體" w:hint="eastAsia"/>
        </w:rPr>
        <w:t>雖肯定提升基金投資報酬率係改善基金財務狀況之重要因素，惟亦指出，在保險收入低於保險給付之情況下，表示可運用於投融資活動之資金將</w:t>
      </w:r>
      <w:r w:rsidR="00320DB3">
        <w:rPr>
          <w:rFonts w:hAnsi="標楷體" w:hint="eastAsia"/>
        </w:rPr>
        <w:t>逐漸</w:t>
      </w:r>
      <w:r w:rsidR="00801D7C">
        <w:rPr>
          <w:rFonts w:hAnsi="標楷體" w:hint="eastAsia"/>
        </w:rPr>
        <w:t>減少，因此僅以提升基金之資產報酬率或投資收益，對健全未來基金財務之效果相對有限。自前揭報告之結論可悉，欲</w:t>
      </w:r>
      <w:r w:rsidR="00320DB3">
        <w:rPr>
          <w:rFonts w:hAnsi="標楷體" w:hint="eastAsia"/>
        </w:rPr>
        <w:t>真正</w:t>
      </w:r>
      <w:r w:rsidR="00801D7C">
        <w:rPr>
          <w:rFonts w:hAnsi="標楷體" w:hint="eastAsia"/>
        </w:rPr>
        <w:t>強化國保基金財務之健全性需多管齊下，無法僅依賴單一措施達成目標。</w:t>
      </w:r>
    </w:p>
    <w:p w:rsidR="00816BF9" w:rsidRDefault="005B6115" w:rsidP="00816BF9">
      <w:pPr>
        <w:overflowPunct w:val="0"/>
        <w:adjustRightInd w:val="0"/>
        <w:spacing w:beforeLines="25" w:before="125" w:line="360" w:lineRule="exact"/>
        <w:ind w:leftChars="0" w:left="567" w:hangingChars="200" w:hanging="567"/>
        <w:rPr>
          <w:rFonts w:hAnsi="標楷體"/>
          <w:b/>
        </w:rPr>
      </w:pPr>
      <w:r w:rsidRPr="00C908F7">
        <w:rPr>
          <w:rFonts w:hAnsi="標楷體" w:hint="eastAsia"/>
          <w:b/>
        </w:rPr>
        <w:t>表</w:t>
      </w:r>
      <w:r>
        <w:rPr>
          <w:rFonts w:hAnsi="標楷體"/>
          <w:b/>
        </w:rPr>
        <w:t>1</w:t>
      </w:r>
      <w:r w:rsidRPr="00C908F7">
        <w:rPr>
          <w:rFonts w:hAnsi="標楷體" w:hint="eastAsia"/>
          <w:b/>
        </w:rPr>
        <w:t xml:space="preserve"> </w:t>
      </w:r>
      <w:r>
        <w:rPr>
          <w:rFonts w:hAnsi="標楷體" w:hint="eastAsia"/>
          <w:b/>
        </w:rPr>
        <w:t>國</w:t>
      </w:r>
      <w:r w:rsidR="00816BF9">
        <w:rPr>
          <w:rFonts w:hAnsi="標楷體" w:hint="eastAsia"/>
          <w:b/>
        </w:rPr>
        <w:t>民年金月投保金額與保費費率調整歷程</w:t>
      </w:r>
      <w:r>
        <w:rPr>
          <w:rFonts w:hAnsi="標楷體" w:hint="eastAsia"/>
          <w:b/>
        </w:rPr>
        <w:t>概況</w:t>
      </w:r>
      <w:r w:rsidRPr="00C908F7">
        <w:rPr>
          <w:rFonts w:hAnsi="標楷體" w:hint="eastAsia"/>
          <w:b/>
        </w:rPr>
        <w:t>表</w:t>
      </w:r>
    </w:p>
    <w:p w:rsidR="005B6115" w:rsidRDefault="00816BF9" w:rsidP="00816BF9">
      <w:pPr>
        <w:overflowPunct w:val="0"/>
        <w:adjustRightInd w:val="0"/>
        <w:spacing w:beforeLines="25" w:before="125" w:line="360" w:lineRule="exact"/>
        <w:ind w:leftChars="0" w:left="567" w:hangingChars="200" w:hanging="567"/>
        <w:rPr>
          <w:rStyle w:val="143"/>
          <w:rFonts w:hAnsi="標楷體"/>
        </w:rPr>
      </w:pPr>
      <w:r>
        <w:rPr>
          <w:rFonts w:hAnsi="標楷體" w:hint="eastAsia"/>
          <w:b/>
        </w:rPr>
        <w:t xml:space="preserve">                                              </w:t>
      </w:r>
      <w:r w:rsidR="005B6115" w:rsidRPr="00C908F7">
        <w:rPr>
          <w:rStyle w:val="143"/>
          <w:rFonts w:hAnsi="標楷體" w:hint="eastAsia"/>
        </w:rPr>
        <w:t>單位：</w:t>
      </w:r>
      <w:r>
        <w:rPr>
          <w:rStyle w:val="143"/>
          <w:rFonts w:hAnsi="標楷體" w:hint="eastAsia"/>
        </w:rPr>
        <w:t>新臺幣元；</w:t>
      </w:r>
      <w:r w:rsidR="005B6115">
        <w:rPr>
          <w:rStyle w:val="143"/>
          <w:rFonts w:hAnsi="標楷體" w:hint="eastAsia"/>
        </w:rPr>
        <w:t>%</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52"/>
        <w:gridCol w:w="2852"/>
        <w:gridCol w:w="2852"/>
      </w:tblGrid>
      <w:tr w:rsidR="00816BF9" w:rsidRPr="005E0220" w:rsidTr="00E4657C">
        <w:trPr>
          <w:tblHeader/>
        </w:trPr>
        <w:tc>
          <w:tcPr>
            <w:tcW w:w="2852" w:type="dxa"/>
            <w:shd w:val="clear" w:color="auto" w:fill="auto"/>
            <w:vAlign w:val="center"/>
          </w:tcPr>
          <w:p w:rsidR="00816BF9" w:rsidRPr="005E0220" w:rsidRDefault="00816BF9" w:rsidP="00E4657C">
            <w:pPr>
              <w:pStyle w:val="142"/>
              <w:jc w:val="center"/>
            </w:pPr>
            <w:r w:rsidRPr="005E0220">
              <w:rPr>
                <w:rFonts w:hint="eastAsia"/>
              </w:rPr>
              <w:t>實施期間</w:t>
            </w:r>
          </w:p>
        </w:tc>
        <w:tc>
          <w:tcPr>
            <w:tcW w:w="2852" w:type="dxa"/>
            <w:shd w:val="clear" w:color="auto" w:fill="auto"/>
            <w:vAlign w:val="center"/>
          </w:tcPr>
          <w:p w:rsidR="00816BF9" w:rsidRPr="005E0220" w:rsidRDefault="00816BF9" w:rsidP="00E4657C">
            <w:pPr>
              <w:pStyle w:val="142"/>
              <w:jc w:val="center"/>
            </w:pPr>
            <w:r w:rsidRPr="005E0220">
              <w:rPr>
                <w:rFonts w:hint="eastAsia"/>
              </w:rPr>
              <w:t>月投保金額</w:t>
            </w:r>
          </w:p>
        </w:tc>
        <w:tc>
          <w:tcPr>
            <w:tcW w:w="2852" w:type="dxa"/>
            <w:shd w:val="clear" w:color="auto" w:fill="auto"/>
            <w:vAlign w:val="center"/>
          </w:tcPr>
          <w:p w:rsidR="00816BF9" w:rsidRPr="005E0220" w:rsidRDefault="00816BF9" w:rsidP="00E4657C">
            <w:pPr>
              <w:pStyle w:val="142"/>
              <w:jc w:val="center"/>
            </w:pPr>
            <w:r w:rsidRPr="005E0220">
              <w:rPr>
                <w:rFonts w:hint="eastAsia"/>
              </w:rPr>
              <w:t>保費費率</w:t>
            </w:r>
          </w:p>
        </w:tc>
      </w:tr>
      <w:tr w:rsidR="00816BF9" w:rsidRPr="005E0220" w:rsidTr="00E4657C">
        <w:tc>
          <w:tcPr>
            <w:tcW w:w="2852" w:type="dxa"/>
            <w:shd w:val="clear" w:color="auto" w:fill="auto"/>
            <w:vAlign w:val="center"/>
          </w:tcPr>
          <w:p w:rsidR="00816BF9" w:rsidRPr="005E0220" w:rsidRDefault="00816BF9" w:rsidP="00E4657C">
            <w:pPr>
              <w:pStyle w:val="142"/>
              <w:jc w:val="center"/>
            </w:pPr>
            <w:r w:rsidRPr="005E0220">
              <w:t>97.10~100.3</w:t>
            </w:r>
          </w:p>
        </w:tc>
        <w:tc>
          <w:tcPr>
            <w:tcW w:w="2852" w:type="dxa"/>
            <w:vMerge w:val="restart"/>
            <w:shd w:val="clear" w:color="auto" w:fill="auto"/>
            <w:vAlign w:val="center"/>
          </w:tcPr>
          <w:p w:rsidR="00816BF9" w:rsidRPr="005E0220" w:rsidRDefault="00816BF9" w:rsidP="00E4657C">
            <w:pPr>
              <w:pStyle w:val="142"/>
              <w:jc w:val="right"/>
            </w:pPr>
            <w:r w:rsidRPr="005E0220">
              <w:rPr>
                <w:rFonts w:hint="eastAsia"/>
              </w:rPr>
              <w:t>17</w:t>
            </w:r>
            <w:r w:rsidRPr="005E0220">
              <w:t>,</w:t>
            </w:r>
            <w:r w:rsidRPr="005E0220">
              <w:rPr>
                <w:rFonts w:hint="eastAsia"/>
              </w:rPr>
              <w:t>280</w:t>
            </w:r>
          </w:p>
        </w:tc>
        <w:tc>
          <w:tcPr>
            <w:tcW w:w="2852" w:type="dxa"/>
            <w:shd w:val="clear" w:color="auto" w:fill="auto"/>
            <w:vAlign w:val="center"/>
          </w:tcPr>
          <w:p w:rsidR="00816BF9" w:rsidRPr="005E0220" w:rsidRDefault="00A201CA" w:rsidP="00E4657C">
            <w:pPr>
              <w:pStyle w:val="142"/>
              <w:jc w:val="right"/>
            </w:pPr>
            <w:r w:rsidRPr="005E0220">
              <w:rPr>
                <w:rFonts w:hint="eastAsia"/>
              </w:rPr>
              <w:t>6</w:t>
            </w:r>
            <w:r w:rsidRPr="005E0220">
              <w:t>.5</w:t>
            </w:r>
          </w:p>
        </w:tc>
      </w:tr>
      <w:tr w:rsidR="00816BF9" w:rsidRPr="005E0220" w:rsidTr="00E4657C">
        <w:tc>
          <w:tcPr>
            <w:tcW w:w="2852" w:type="dxa"/>
            <w:shd w:val="clear" w:color="auto" w:fill="auto"/>
            <w:vAlign w:val="center"/>
          </w:tcPr>
          <w:p w:rsidR="00816BF9" w:rsidRPr="005E0220" w:rsidRDefault="00816BF9" w:rsidP="00E4657C">
            <w:pPr>
              <w:pStyle w:val="142"/>
              <w:jc w:val="center"/>
            </w:pPr>
            <w:r w:rsidRPr="005E0220">
              <w:t>100.4~101.12</w:t>
            </w:r>
          </w:p>
        </w:tc>
        <w:tc>
          <w:tcPr>
            <w:tcW w:w="2852" w:type="dxa"/>
            <w:vMerge/>
            <w:shd w:val="clear" w:color="auto" w:fill="auto"/>
            <w:vAlign w:val="center"/>
          </w:tcPr>
          <w:p w:rsidR="00816BF9" w:rsidRPr="005E0220" w:rsidRDefault="00816BF9" w:rsidP="00E4657C">
            <w:pPr>
              <w:pStyle w:val="142"/>
              <w:jc w:val="right"/>
            </w:pPr>
          </w:p>
        </w:tc>
        <w:tc>
          <w:tcPr>
            <w:tcW w:w="2852" w:type="dxa"/>
            <w:shd w:val="clear" w:color="auto" w:fill="auto"/>
            <w:vAlign w:val="center"/>
          </w:tcPr>
          <w:p w:rsidR="00816BF9" w:rsidRPr="005E0220" w:rsidRDefault="00A201CA" w:rsidP="00E4657C">
            <w:pPr>
              <w:pStyle w:val="142"/>
              <w:jc w:val="right"/>
            </w:pPr>
            <w:r w:rsidRPr="005E0220">
              <w:rPr>
                <w:rFonts w:hint="eastAsia"/>
              </w:rPr>
              <w:t>7</w:t>
            </w:r>
            <w:r w:rsidRPr="005E0220">
              <w:t>.0</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102.1~103.12</w:t>
            </w:r>
          </w:p>
        </w:tc>
        <w:tc>
          <w:tcPr>
            <w:tcW w:w="2852" w:type="dxa"/>
            <w:vMerge/>
            <w:shd w:val="clear" w:color="auto" w:fill="auto"/>
            <w:vAlign w:val="center"/>
          </w:tcPr>
          <w:p w:rsidR="00816BF9" w:rsidRPr="005E0220" w:rsidRDefault="00816BF9" w:rsidP="005E0220">
            <w:pPr>
              <w:pStyle w:val="142"/>
              <w:jc w:val="right"/>
              <w:rPr>
                <w:kern w:val="0"/>
              </w:rPr>
            </w:pPr>
          </w:p>
        </w:tc>
        <w:tc>
          <w:tcPr>
            <w:tcW w:w="2852" w:type="dxa"/>
            <w:shd w:val="clear" w:color="auto" w:fill="auto"/>
            <w:vAlign w:val="center"/>
          </w:tcPr>
          <w:p w:rsidR="00816BF9" w:rsidRPr="005E0220" w:rsidRDefault="00A201CA" w:rsidP="005E0220">
            <w:pPr>
              <w:pStyle w:val="142"/>
              <w:jc w:val="right"/>
              <w:rPr>
                <w:kern w:val="0"/>
              </w:rPr>
            </w:pPr>
            <w:r w:rsidRPr="005E0220">
              <w:rPr>
                <w:rFonts w:hint="eastAsia"/>
                <w:kern w:val="0"/>
              </w:rPr>
              <w:t>7</w:t>
            </w:r>
            <w:r w:rsidRPr="005E0220">
              <w:rPr>
                <w:kern w:val="0"/>
              </w:rPr>
              <w:t>.5</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104.1~105.12</w:t>
            </w:r>
          </w:p>
        </w:tc>
        <w:tc>
          <w:tcPr>
            <w:tcW w:w="2852" w:type="dxa"/>
            <w:vMerge w:val="restart"/>
            <w:shd w:val="clear" w:color="auto" w:fill="auto"/>
            <w:vAlign w:val="center"/>
          </w:tcPr>
          <w:p w:rsidR="00816BF9" w:rsidRPr="005E0220" w:rsidRDefault="00816BF9" w:rsidP="00E4657C">
            <w:pPr>
              <w:pStyle w:val="142"/>
              <w:jc w:val="right"/>
              <w:rPr>
                <w:kern w:val="0"/>
              </w:rPr>
            </w:pPr>
            <w:r w:rsidRPr="005E0220">
              <w:rPr>
                <w:rFonts w:hint="eastAsia"/>
                <w:kern w:val="0"/>
              </w:rPr>
              <w:t>1</w:t>
            </w:r>
            <w:r w:rsidRPr="005E0220">
              <w:rPr>
                <w:kern w:val="0"/>
              </w:rPr>
              <w:t>8,282</w:t>
            </w: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8</w:t>
            </w:r>
            <w:r w:rsidRPr="005E0220">
              <w:rPr>
                <w:kern w:val="0"/>
              </w:rPr>
              <w:t>.0</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106.1~107.12</w:t>
            </w:r>
          </w:p>
        </w:tc>
        <w:tc>
          <w:tcPr>
            <w:tcW w:w="2852" w:type="dxa"/>
            <w:vMerge/>
            <w:shd w:val="clear" w:color="auto" w:fill="auto"/>
            <w:vAlign w:val="center"/>
          </w:tcPr>
          <w:p w:rsidR="00816BF9" w:rsidRPr="005E0220" w:rsidRDefault="00816BF9" w:rsidP="00E4657C">
            <w:pPr>
              <w:pStyle w:val="142"/>
              <w:jc w:val="right"/>
              <w:rPr>
                <w:kern w:val="0"/>
              </w:rPr>
            </w:pP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8</w:t>
            </w:r>
            <w:r w:rsidRPr="005E0220">
              <w:rPr>
                <w:kern w:val="0"/>
              </w:rPr>
              <w:t>.5</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108.1~109.12</w:t>
            </w:r>
          </w:p>
        </w:tc>
        <w:tc>
          <w:tcPr>
            <w:tcW w:w="2852" w:type="dxa"/>
            <w:vMerge/>
            <w:shd w:val="clear" w:color="auto" w:fill="auto"/>
            <w:vAlign w:val="center"/>
          </w:tcPr>
          <w:p w:rsidR="00816BF9" w:rsidRPr="005E0220" w:rsidRDefault="00816BF9" w:rsidP="00E4657C">
            <w:pPr>
              <w:pStyle w:val="142"/>
              <w:jc w:val="right"/>
              <w:rPr>
                <w:kern w:val="0"/>
              </w:rPr>
            </w:pP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9</w:t>
            </w:r>
            <w:r w:rsidRPr="005E0220">
              <w:rPr>
                <w:kern w:val="0"/>
              </w:rPr>
              <w:t>.0</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110.1~111.12</w:t>
            </w:r>
          </w:p>
        </w:tc>
        <w:tc>
          <w:tcPr>
            <w:tcW w:w="2852" w:type="dxa"/>
            <w:vMerge/>
            <w:shd w:val="clear" w:color="auto" w:fill="auto"/>
            <w:vAlign w:val="center"/>
          </w:tcPr>
          <w:p w:rsidR="00816BF9" w:rsidRPr="005E0220" w:rsidRDefault="00816BF9" w:rsidP="00E4657C">
            <w:pPr>
              <w:pStyle w:val="142"/>
              <w:jc w:val="right"/>
              <w:rPr>
                <w:kern w:val="0"/>
              </w:rPr>
            </w:pP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9</w:t>
            </w:r>
            <w:r w:rsidRPr="005E0220">
              <w:rPr>
                <w:kern w:val="0"/>
              </w:rPr>
              <w:t>.5</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rPr>
                <w:rFonts w:hint="eastAsia"/>
              </w:rPr>
              <w:t>1</w:t>
            </w:r>
            <w:r w:rsidRPr="00E4657C">
              <w:t>12.1~113.12</w:t>
            </w:r>
          </w:p>
        </w:tc>
        <w:tc>
          <w:tcPr>
            <w:tcW w:w="2852" w:type="dxa"/>
            <w:vMerge w:val="restart"/>
            <w:shd w:val="clear" w:color="auto" w:fill="auto"/>
            <w:vAlign w:val="center"/>
          </w:tcPr>
          <w:p w:rsidR="00816BF9" w:rsidRPr="005E0220" w:rsidRDefault="00816BF9" w:rsidP="00E4657C">
            <w:pPr>
              <w:pStyle w:val="142"/>
              <w:jc w:val="right"/>
              <w:rPr>
                <w:kern w:val="0"/>
              </w:rPr>
            </w:pPr>
            <w:r w:rsidRPr="005E0220">
              <w:rPr>
                <w:rFonts w:hint="eastAsia"/>
                <w:kern w:val="0"/>
              </w:rPr>
              <w:t>1</w:t>
            </w:r>
            <w:r w:rsidRPr="005E0220">
              <w:rPr>
                <w:kern w:val="0"/>
              </w:rPr>
              <w:t>9,761</w:t>
            </w: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1</w:t>
            </w:r>
            <w:r w:rsidRPr="005E0220">
              <w:rPr>
                <w:kern w:val="0"/>
              </w:rPr>
              <w:t>0.0</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rPr>
                <w:rFonts w:hint="eastAsia"/>
              </w:rPr>
              <w:t>1</w:t>
            </w:r>
            <w:r w:rsidRPr="00E4657C">
              <w:t>14.1~</w:t>
            </w:r>
          </w:p>
        </w:tc>
        <w:tc>
          <w:tcPr>
            <w:tcW w:w="2852" w:type="dxa"/>
            <w:vMerge/>
            <w:shd w:val="clear" w:color="auto" w:fill="auto"/>
            <w:vAlign w:val="center"/>
          </w:tcPr>
          <w:p w:rsidR="00816BF9" w:rsidRPr="005E0220" w:rsidRDefault="00816BF9" w:rsidP="00E4657C">
            <w:pPr>
              <w:pStyle w:val="142"/>
              <w:jc w:val="right"/>
              <w:rPr>
                <w:kern w:val="0"/>
              </w:rPr>
            </w:pP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1</w:t>
            </w:r>
            <w:r w:rsidRPr="005E0220">
              <w:rPr>
                <w:kern w:val="0"/>
              </w:rPr>
              <w:t>0.5</w:t>
            </w:r>
          </w:p>
        </w:tc>
      </w:tr>
    </w:tbl>
    <w:p w:rsidR="005B6115" w:rsidRPr="00F74596" w:rsidRDefault="005B6115" w:rsidP="005B6115">
      <w:pPr>
        <w:pStyle w:val="142"/>
        <w:ind w:left="1216" w:hangingChars="500" w:hanging="1216"/>
      </w:pPr>
      <w:r w:rsidRPr="00C908F7">
        <w:rPr>
          <w:rFonts w:hint="eastAsia"/>
        </w:rPr>
        <w:t>資料來源：</w:t>
      </w:r>
      <w:r w:rsidR="00A201CA">
        <w:rPr>
          <w:rFonts w:hint="eastAsia"/>
        </w:rPr>
        <w:t>國保基金提供</w:t>
      </w:r>
      <w:r>
        <w:rPr>
          <w:rFonts w:hint="eastAsia"/>
        </w:rPr>
        <w:t>。</w:t>
      </w:r>
    </w:p>
    <w:p w:rsidR="00F76AE6" w:rsidRDefault="005B6115" w:rsidP="00293D38">
      <w:pPr>
        <w:ind w:left="566" w:firstLine="566"/>
      </w:pPr>
      <w:r w:rsidRPr="00C908F7">
        <w:rPr>
          <w:rFonts w:hAnsi="標楷體" w:hint="eastAsia"/>
        </w:rPr>
        <w:t>綜上，</w:t>
      </w:r>
      <w:r w:rsidR="00801D7C">
        <w:rPr>
          <w:rFonts w:hAnsi="標楷體" w:hint="eastAsia"/>
        </w:rPr>
        <w:t>國民年金保費費率將依國民年金法第10條規定，預計</w:t>
      </w:r>
      <w:r w:rsidR="00320DB3">
        <w:rPr>
          <w:rFonts w:hAnsi="標楷體" w:hint="eastAsia"/>
        </w:rPr>
        <w:t>於114年調增至10.5%，雖有助於增加基金之保費收入，強化基金財務之健全性，惟依</w:t>
      </w:r>
      <w:r w:rsidR="00320DB3" w:rsidRPr="00320DB3">
        <w:rPr>
          <w:rFonts w:hAnsi="標楷體" w:hint="eastAsia"/>
        </w:rPr>
        <w:t>112年度國保基金精算報告</w:t>
      </w:r>
      <w:r w:rsidR="00320DB3">
        <w:rPr>
          <w:rFonts w:hAnsi="標楷體" w:hint="eastAsia"/>
        </w:rPr>
        <w:t>，目前法定費率上限仍低於最適保險費率16.1%，國保基金除依法調整保費費率外，面對少子女化與人口加速老化之人口變遷趨勢，允宜未雨綢繆，參考前揭報告建議，針對基金來源之籌措多管齊下、預先規</w:t>
      </w:r>
      <w:r w:rsidR="00320DB3">
        <w:rPr>
          <w:rFonts w:hAnsi="標楷體" w:hint="eastAsia"/>
        </w:rPr>
        <w:lastRenderedPageBreak/>
        <w:t>劃，俾利國保基金之永續經營</w:t>
      </w:r>
      <w:r w:rsidRPr="00C908F7">
        <w:rPr>
          <w:rFonts w:hAnsi="標楷體" w:hint="eastAsia"/>
        </w:rPr>
        <w:t>。</w:t>
      </w:r>
    </w:p>
    <w:bookmarkEnd w:id="1"/>
    <w:bookmarkEnd w:id="2"/>
    <w:bookmarkEnd w:id="3"/>
    <w:bookmarkEnd w:id="4"/>
    <w:sectPr w:rsidR="00F76AE6"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295FF7" w:rsidRPr="00295FF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900EC0" w:rsidRDefault="00F20223" w:rsidP="00900EC0">
      <w:pPr>
        <w:pStyle w:val="af0"/>
        <w:spacing w:line="280" w:lineRule="exact"/>
        <w:ind w:left="809" w:hangingChars="100" w:hanging="243"/>
        <w:rPr>
          <w:rFonts w:hint="eastAsia"/>
          <w:sz w:val="24"/>
          <w:szCs w:val="24"/>
        </w:rPr>
      </w:pPr>
      <w:r w:rsidRPr="00900EC0">
        <w:rPr>
          <w:rStyle w:val="af2"/>
          <w:sz w:val="24"/>
          <w:szCs w:val="24"/>
        </w:rPr>
        <w:footnoteRef/>
      </w:r>
      <w:r w:rsidRPr="00900EC0">
        <w:rPr>
          <w:sz w:val="24"/>
          <w:szCs w:val="24"/>
        </w:rPr>
        <w:t xml:space="preserve"> </w:t>
      </w:r>
      <w:r>
        <w:rPr>
          <w:rFonts w:hint="eastAsia"/>
          <w:sz w:val="24"/>
          <w:szCs w:val="24"/>
        </w:rPr>
        <w:t>國民年金法第48條第1項規定</w:t>
      </w:r>
      <w:r>
        <w:rPr>
          <w:rFonts w:ascii="新細明體" w:eastAsia="新細明體" w:hAnsi="新細明體" w:hint="eastAsia"/>
          <w:sz w:val="24"/>
          <w:szCs w:val="24"/>
        </w:rPr>
        <w:t>：</w:t>
      </w:r>
      <w:r>
        <w:rPr>
          <w:rFonts w:hAnsi="標楷體" w:hint="eastAsia"/>
          <w:sz w:val="24"/>
          <w:szCs w:val="24"/>
        </w:rPr>
        <w:t>「</w:t>
      </w:r>
      <w:r w:rsidRPr="00900EC0">
        <w:rPr>
          <w:rFonts w:hAnsi="標楷體" w:hint="eastAsia"/>
          <w:sz w:val="24"/>
          <w:szCs w:val="24"/>
        </w:rPr>
        <w:t>本基金除本法所定用途外，僅得投資運用，不得移作他用或處分；其管理、運用及監督等事項之辦法，由中央主管機關擬訂，報請行政院核定之。</w:t>
      </w:r>
      <w:r>
        <w:rPr>
          <w:rFonts w:hAnsi="標楷體" w:hint="eastAsia"/>
          <w:sz w:val="24"/>
          <w:szCs w:val="24"/>
        </w:rPr>
        <w:t>」</w:t>
      </w:r>
    </w:p>
  </w:footnote>
  <w:footnote w:id="2">
    <w:p w:rsidR="00F20223" w:rsidRPr="00811AD8" w:rsidRDefault="00F20223" w:rsidP="00B96228">
      <w:pPr>
        <w:pStyle w:val="af0"/>
        <w:spacing w:line="280" w:lineRule="exact"/>
        <w:ind w:left="809" w:hangingChars="100" w:hanging="243"/>
        <w:jc w:val="both"/>
        <w:rPr>
          <w:rFonts w:hint="eastAsia"/>
          <w:sz w:val="24"/>
          <w:szCs w:val="24"/>
        </w:rPr>
      </w:pPr>
      <w:r w:rsidRPr="00811AD8">
        <w:rPr>
          <w:rStyle w:val="af2"/>
          <w:sz w:val="24"/>
          <w:szCs w:val="24"/>
        </w:rPr>
        <w:footnoteRef/>
      </w:r>
      <w:r>
        <w:rPr>
          <w:rFonts w:hAnsi="標楷體" w:hint="eastAsia"/>
          <w:sz w:val="24"/>
          <w:szCs w:val="24"/>
        </w:rPr>
        <w:t xml:space="preserve"> 精算假設可區分為人口面與經濟面假設。人口面假設考量新進人口數預估、被保險人人口數之推估、保險費收入之收繳率、死亡率、身心障礙給付發生率、身心障礙後死亡率、各類年金之領取率、遺屬年金之平均領取年限；經濟面假設包括消費者物價指數年增率(1.5%)、基金資產投資報酬率(4%)，依前揭精算假設，以112年10月1日評價日，</w:t>
      </w:r>
      <w:r>
        <w:rPr>
          <w:rFonts w:hint="eastAsia"/>
          <w:sz w:val="24"/>
          <w:szCs w:val="24"/>
        </w:rPr>
        <w:t>最適保險費率係採用綜合成本法</w:t>
      </w:r>
      <w:r>
        <w:rPr>
          <w:rFonts w:hAnsi="標楷體" w:hint="eastAsia"/>
          <w:sz w:val="24"/>
          <w:szCs w:val="24"/>
        </w:rPr>
        <w:t>，</w:t>
      </w:r>
      <w:r>
        <w:rPr>
          <w:rFonts w:hint="eastAsia"/>
          <w:sz w:val="24"/>
          <w:szCs w:val="24"/>
        </w:rPr>
        <w:t>分別以原團體(包括被保險人</w:t>
      </w:r>
      <w:r>
        <w:rPr>
          <w:rFonts w:hAnsi="標楷體" w:hint="eastAsia"/>
          <w:sz w:val="24"/>
          <w:szCs w:val="24"/>
        </w:rPr>
        <w:t>、</w:t>
      </w:r>
      <w:r>
        <w:rPr>
          <w:rFonts w:hint="eastAsia"/>
          <w:sz w:val="24"/>
          <w:szCs w:val="24"/>
        </w:rPr>
        <w:t>曾為被保險人</w:t>
      </w:r>
      <w:r>
        <w:rPr>
          <w:rFonts w:hAnsi="標楷體" w:hint="eastAsia"/>
          <w:sz w:val="24"/>
          <w:szCs w:val="24"/>
        </w:rPr>
        <w:t>、</w:t>
      </w:r>
      <w:r>
        <w:rPr>
          <w:rFonts w:hint="eastAsia"/>
          <w:sz w:val="24"/>
          <w:szCs w:val="24"/>
        </w:rPr>
        <w:t>領取給付人員)及未來新進人員為計算基礎</w:t>
      </w:r>
      <w:r>
        <w:rPr>
          <w:rFonts w:hAnsi="標楷體" w:hint="eastAsia"/>
          <w:sz w:val="24"/>
          <w:szCs w:val="24"/>
        </w:rPr>
        <w:t>，</w:t>
      </w:r>
      <w:r>
        <w:rPr>
          <w:rFonts w:hint="eastAsia"/>
          <w:sz w:val="24"/>
          <w:szCs w:val="24"/>
        </w:rPr>
        <w:t>精算兩個團體個別保險費率</w:t>
      </w:r>
      <w:r>
        <w:rPr>
          <w:rFonts w:hAnsi="標楷體" w:hint="eastAsia"/>
          <w:sz w:val="24"/>
          <w:szCs w:val="24"/>
        </w:rPr>
        <w:t>，再以未來月投保金額精算現值之加權平均，得到整體最適保險費率，參見</w:t>
      </w:r>
      <w:r w:rsidRPr="00811AD8">
        <w:rPr>
          <w:rFonts w:hint="eastAsia"/>
          <w:sz w:val="24"/>
          <w:szCs w:val="24"/>
        </w:rPr>
        <w:t>勞動部</w:t>
      </w:r>
      <w:r>
        <w:rPr>
          <w:rFonts w:hint="eastAsia"/>
          <w:sz w:val="24"/>
          <w:szCs w:val="24"/>
        </w:rPr>
        <w:t>勞工保險局</w:t>
      </w:r>
      <w:r w:rsidRPr="00811AD8">
        <w:rPr>
          <w:rFonts w:hint="eastAsia"/>
          <w:sz w:val="24"/>
          <w:szCs w:val="24"/>
        </w:rPr>
        <w:t>112年度委辦之「國民年金保險費率精算及財務評估報告」</w:t>
      </w:r>
      <w:r>
        <w:rPr>
          <w:rFonts w:hAnsi="標楷體" w:hint="eastAsia"/>
          <w:sz w:val="24"/>
          <w:szCs w:val="24"/>
        </w:rPr>
        <w:t>，</w:t>
      </w:r>
      <w:r>
        <w:rPr>
          <w:rFonts w:hint="eastAsia"/>
          <w:sz w:val="24"/>
          <w:szCs w:val="24"/>
        </w:rPr>
        <w:t>第86頁</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95FF7"/>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9F07BFD-0817-4868-BC43-E1199051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A33FD-157D-42B6-8A5C-AFF35A6A2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302</Words>
  <Characters>1726</Characters>
  <Application>Microsoft Office Word</Application>
  <DocSecurity>0</DocSecurity>
  <Lines>14</Lines>
  <Paragraphs>4</Paragraphs>
  <ScaleCrop>false</ScaleCrop>
  <Company>HOME</Company>
  <LinksUpToDate>false</LinksUpToDate>
  <CharactersWithSpaces>2024</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2024-11-22T01:22:00Z</dcterms:created>
  <dcterms:modified xsi:type="dcterms:W3CDTF">2024-11-22T01:22:00Z</dcterms:modified>
</cp:coreProperties>
</file>