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AA4FAA" w:rsidRPr="009C4C1E" w:rsidRDefault="00AF4780" w:rsidP="00AA4FAA">
      <w:pPr>
        <w:pStyle w:val="14"/>
        <w:ind w:left="567" w:hanging="567"/>
      </w:pPr>
      <w:bookmarkStart w:id="1" w:name="_Toc19798781"/>
      <w:bookmarkStart w:id="2" w:name="_Toc524945248"/>
      <w:bookmarkStart w:id="3" w:name="_Toc525456783"/>
      <w:bookmarkStart w:id="4" w:name="_Toc525660553"/>
      <w:bookmarkStart w:id="5" w:name="_Toc434938812"/>
      <w:bookmarkStart w:id="6" w:name="_Toc181892133"/>
      <w:r>
        <w:rPr>
          <w:rFonts w:hAnsi="標楷體" w:hint="eastAsia"/>
        </w:rPr>
        <w:t>一四</w:t>
      </w:r>
      <w:r w:rsidR="00AA4FAA">
        <w:rPr>
          <w:rFonts w:hAnsi="標楷體" w:hint="eastAsia"/>
        </w:rPr>
        <w:t>、</w:t>
      </w:r>
      <w:r w:rsidR="00AA4FAA">
        <w:rPr>
          <w:rFonts w:hint="eastAsia"/>
        </w:rPr>
        <w:t>近年溢領給付事件時有所聞，其中以政府機關遲報相關資料</w:t>
      </w:r>
      <w:r w:rsidR="003F124C">
        <w:rPr>
          <w:rFonts w:hint="eastAsia"/>
        </w:rPr>
        <w:t>所致</w:t>
      </w:r>
      <w:r w:rsidR="00AA4FAA">
        <w:rPr>
          <w:rFonts w:hint="eastAsia"/>
        </w:rPr>
        <w:t>為大宗</w:t>
      </w:r>
      <w:r w:rsidR="00AA4FAA">
        <w:rPr>
          <w:rFonts w:hAnsi="標楷體" w:hint="eastAsia"/>
        </w:rPr>
        <w:t>，</w:t>
      </w:r>
      <w:r w:rsidR="00AA4FAA">
        <w:rPr>
          <w:rFonts w:hint="eastAsia"/>
        </w:rPr>
        <w:t>允宜積極會商相關機關改善作業效率，俾減少可能衍生之額外費用</w:t>
      </w:r>
      <w:bookmarkEnd w:id="6"/>
    </w:p>
    <w:p w:rsidR="00AA4FAA" w:rsidRPr="00B17876" w:rsidRDefault="00AA4FAA" w:rsidP="00AA4FAA">
      <w:pPr>
        <w:ind w:left="566" w:firstLine="566"/>
        <w:rPr>
          <w:rFonts w:hAnsi="標楷體"/>
          <w:snapToGrid/>
          <w:kern w:val="0"/>
        </w:rPr>
      </w:pPr>
      <w:r>
        <w:rPr>
          <w:rFonts w:hAnsi="標楷體" w:hint="eastAsia"/>
          <w:snapToGrid/>
          <w:kern w:val="0"/>
        </w:rPr>
        <w:t>國保基金</w:t>
      </w:r>
      <w:r>
        <w:rPr>
          <w:rFonts w:hAnsi="標楷體"/>
          <w:snapToGrid/>
          <w:kern w:val="0"/>
        </w:rPr>
        <w:t>11</w:t>
      </w:r>
      <w:r>
        <w:rPr>
          <w:rFonts w:hAnsi="標楷體" w:hint="eastAsia"/>
          <w:snapToGrid/>
          <w:kern w:val="0"/>
        </w:rPr>
        <w:t>4</w:t>
      </w:r>
      <w:r w:rsidRPr="00B17876">
        <w:rPr>
          <w:rFonts w:hAnsi="標楷體" w:hint="eastAsia"/>
          <w:snapToGrid/>
          <w:kern w:val="0"/>
        </w:rPr>
        <w:t>年度預算案</w:t>
      </w:r>
      <w:r w:rsidR="00C55B5D">
        <w:rPr>
          <w:rFonts w:hAnsi="標楷體" w:hint="eastAsia"/>
          <w:snapToGrid/>
          <w:kern w:val="0"/>
        </w:rPr>
        <w:t>於「業務成本與費用－保險成本」科目項下</w:t>
      </w:r>
      <w:r>
        <w:rPr>
          <w:rFonts w:hAnsi="標楷體" w:hint="eastAsia"/>
          <w:snapToGrid/>
          <w:kern w:val="0"/>
        </w:rPr>
        <w:t>編列保險給付848億8</w:t>
      </w:r>
      <w:r>
        <w:rPr>
          <w:rFonts w:hAnsi="標楷體"/>
          <w:snapToGrid/>
          <w:kern w:val="0"/>
        </w:rPr>
        <w:t>,</w:t>
      </w:r>
      <w:r>
        <w:rPr>
          <w:rFonts w:hAnsi="標楷體" w:hint="eastAsia"/>
          <w:snapToGrid/>
          <w:kern w:val="0"/>
        </w:rPr>
        <w:t>2</w:t>
      </w:r>
      <w:r>
        <w:rPr>
          <w:rFonts w:hAnsi="標楷體"/>
          <w:snapToGrid/>
          <w:kern w:val="0"/>
        </w:rPr>
        <w:t>6</w:t>
      </w:r>
      <w:r>
        <w:rPr>
          <w:rFonts w:hAnsi="標楷體" w:hint="eastAsia"/>
          <w:snapToGrid/>
          <w:kern w:val="0"/>
        </w:rPr>
        <w:t>7萬1千元，包含保險支出347億4</w:t>
      </w:r>
      <w:r>
        <w:rPr>
          <w:rFonts w:hAnsi="標楷體"/>
          <w:snapToGrid/>
          <w:kern w:val="0"/>
        </w:rPr>
        <w:t>,</w:t>
      </w:r>
      <w:r>
        <w:rPr>
          <w:rFonts w:hAnsi="標楷體" w:hint="eastAsia"/>
          <w:snapToGrid/>
          <w:kern w:val="0"/>
        </w:rPr>
        <w:t>679萬元、年金差額501億3</w:t>
      </w:r>
      <w:r>
        <w:rPr>
          <w:rFonts w:hAnsi="標楷體"/>
          <w:snapToGrid/>
          <w:kern w:val="0"/>
        </w:rPr>
        <w:t>,</w:t>
      </w:r>
      <w:r>
        <w:rPr>
          <w:rFonts w:hAnsi="標楷體" w:hint="eastAsia"/>
          <w:snapToGrid/>
          <w:kern w:val="0"/>
        </w:rPr>
        <w:t>575萬4千元及複檢費用</w:t>
      </w:r>
      <w:r>
        <w:rPr>
          <w:rFonts w:hAnsi="標楷體"/>
          <w:snapToGrid/>
          <w:kern w:val="0"/>
        </w:rPr>
        <w:t>1</w:t>
      </w:r>
      <w:r>
        <w:rPr>
          <w:rFonts w:hAnsi="標楷體" w:hint="eastAsia"/>
          <w:snapToGrid/>
          <w:kern w:val="0"/>
        </w:rPr>
        <w:t>2萬7千元</w:t>
      </w:r>
      <w:r w:rsidRPr="00B17876">
        <w:rPr>
          <w:rFonts w:hAnsi="標楷體" w:hint="eastAsia"/>
          <w:snapToGrid/>
          <w:kern w:val="0"/>
        </w:rPr>
        <w:t>。</w:t>
      </w:r>
      <w:r>
        <w:rPr>
          <w:rFonts w:hAnsi="標楷體" w:hint="eastAsia"/>
          <w:snapToGrid/>
          <w:kern w:val="0"/>
        </w:rPr>
        <w:t>有關近年國保溢領給付事件頻傳</w:t>
      </w:r>
      <w:r w:rsidR="0088322B">
        <w:rPr>
          <w:rFonts w:hAnsi="標楷體" w:hint="eastAsia"/>
          <w:snapToGrid/>
          <w:kern w:val="0"/>
        </w:rPr>
        <w:t>，其中</w:t>
      </w:r>
      <w:r>
        <w:rPr>
          <w:rFonts w:hAnsi="標楷體" w:hint="eastAsia"/>
          <w:snapToGrid/>
          <w:kern w:val="0"/>
        </w:rPr>
        <w:t>多涉及機關間資訊交換作業延遲之情形，謹敘明如次</w:t>
      </w:r>
      <w:r>
        <w:rPr>
          <w:rFonts w:ascii="新細明體" w:eastAsia="新細明體" w:hAnsi="新細明體" w:hint="eastAsia"/>
          <w:snapToGrid/>
          <w:kern w:val="0"/>
        </w:rPr>
        <w:t>：</w:t>
      </w:r>
    </w:p>
    <w:p w:rsidR="00AA4FAA" w:rsidRPr="001F3D48" w:rsidRDefault="00AA4FAA" w:rsidP="00AA4FAA">
      <w:pPr>
        <w:pStyle w:val="a4"/>
        <w:ind w:left="849" w:hanging="283"/>
        <w:rPr>
          <w:b/>
        </w:rPr>
      </w:pPr>
      <w:r w:rsidRPr="001F3D48">
        <w:rPr>
          <w:rFonts w:hint="eastAsia"/>
          <w:b/>
        </w:rPr>
        <w:t>(一)</w:t>
      </w:r>
      <w:r w:rsidR="004F7544">
        <w:rPr>
          <w:rFonts w:hint="eastAsia"/>
          <w:b/>
        </w:rPr>
        <w:t>針對國</w:t>
      </w:r>
      <w:r w:rsidR="00C91BDE">
        <w:rPr>
          <w:rFonts w:hint="eastAsia"/>
          <w:b/>
        </w:rPr>
        <w:t>保保險給付</w:t>
      </w:r>
      <w:r w:rsidR="004F7544">
        <w:rPr>
          <w:rFonts w:hint="eastAsia"/>
          <w:b/>
        </w:rPr>
        <w:t>溢領事件</w:t>
      </w:r>
      <w:r w:rsidR="00C91BDE">
        <w:rPr>
          <w:rFonts w:hint="eastAsia"/>
          <w:b/>
        </w:rPr>
        <w:t>之處理</w:t>
      </w:r>
      <w:r w:rsidR="004F7544">
        <w:rPr>
          <w:rFonts w:hAnsi="標楷體" w:hint="eastAsia"/>
          <w:b/>
        </w:rPr>
        <w:t>，</w:t>
      </w:r>
      <w:r w:rsidR="006B332B">
        <w:rPr>
          <w:rFonts w:hAnsi="標楷體" w:hint="eastAsia"/>
          <w:b/>
        </w:rPr>
        <w:t>國民年金法規定保險人應以書面通知定期繳還</w:t>
      </w:r>
      <w:r w:rsidR="00124A39">
        <w:rPr>
          <w:rFonts w:hAnsi="標楷體" w:hint="eastAsia"/>
          <w:b/>
        </w:rPr>
        <w:t>，並得於保險給付帳戶餘額中追回相關款項</w:t>
      </w:r>
    </w:p>
    <w:p w:rsidR="00124A39" w:rsidRDefault="00773CCB" w:rsidP="00AA4FAA">
      <w:pPr>
        <w:pStyle w:val="21"/>
        <w:ind w:left="850" w:firstLine="566"/>
      </w:pPr>
      <w:r>
        <w:rPr>
          <w:rFonts w:hint="eastAsia"/>
        </w:rPr>
        <w:t>按國保被保險人及其遺屬申領各項保險給付</w:t>
      </w:r>
      <w:r>
        <w:rPr>
          <w:rFonts w:hAnsi="標楷體" w:hint="eastAsia"/>
        </w:rPr>
        <w:t>，</w:t>
      </w:r>
      <w:r>
        <w:rPr>
          <w:rFonts w:hint="eastAsia"/>
        </w:rPr>
        <w:t>國保辦理機關勞動部勞工保險局(以下簡稱勞保局)依</w:t>
      </w:r>
      <w:r w:rsidR="002417E0">
        <w:rPr>
          <w:rFonts w:hint="eastAsia"/>
        </w:rPr>
        <w:t>國民年金法第24條規定</w:t>
      </w:r>
      <w:r w:rsidR="00837FEA">
        <w:rPr>
          <w:rStyle w:val="af2"/>
        </w:rPr>
        <w:footnoteReference w:id="1"/>
      </w:r>
      <w:r w:rsidR="008E101A">
        <w:rPr>
          <w:rFonts w:hint="eastAsia"/>
        </w:rPr>
        <w:t>予以查證</w:t>
      </w:r>
      <w:r w:rsidR="008E101A">
        <w:rPr>
          <w:rFonts w:hAnsi="標楷體" w:hint="eastAsia"/>
        </w:rPr>
        <w:t>，</w:t>
      </w:r>
      <w:r w:rsidR="008E101A">
        <w:rPr>
          <w:rFonts w:hint="eastAsia"/>
        </w:rPr>
        <w:t>並就符合給付條件者核發相關給付</w:t>
      </w:r>
      <w:r w:rsidR="008E101A">
        <w:rPr>
          <w:rFonts w:hAnsi="標楷體" w:hint="eastAsia"/>
        </w:rPr>
        <w:t>，</w:t>
      </w:r>
      <w:r w:rsidR="008E101A">
        <w:rPr>
          <w:rFonts w:hint="eastAsia"/>
        </w:rPr>
        <w:t>另就不符給付條件者之溢領案件</w:t>
      </w:r>
      <w:r w:rsidR="00837FEA">
        <w:rPr>
          <w:rFonts w:hAnsi="標楷體" w:hint="eastAsia"/>
        </w:rPr>
        <w:t>，</w:t>
      </w:r>
      <w:r w:rsidR="00837FEA">
        <w:rPr>
          <w:rFonts w:hint="eastAsia"/>
        </w:rPr>
        <w:t>勞保局應以書面文件要求其繳還</w:t>
      </w:r>
      <w:r w:rsidR="006B332B">
        <w:rPr>
          <w:rFonts w:hAnsi="標楷體" w:hint="eastAsia"/>
        </w:rPr>
        <w:t>，</w:t>
      </w:r>
      <w:r w:rsidR="006B332B" w:rsidRPr="006B332B">
        <w:rPr>
          <w:rFonts w:hint="eastAsia"/>
        </w:rPr>
        <w:t>並得自匯發年金給付帳戶餘額中追回溢領之年金給付。</w:t>
      </w:r>
      <w:r w:rsidR="00124A39">
        <w:rPr>
          <w:rFonts w:hint="eastAsia"/>
        </w:rPr>
        <w:t>又</w:t>
      </w:r>
      <w:r w:rsidR="00124A39" w:rsidRPr="00124A39">
        <w:rPr>
          <w:rFonts w:hint="eastAsia"/>
        </w:rPr>
        <w:t>依衛生福利部102年9月12日「國民年金給付及社福津貼</w:t>
      </w:r>
      <w:r w:rsidR="00124A39">
        <w:rPr>
          <w:rFonts w:hint="eastAsia"/>
        </w:rPr>
        <w:t>(</w:t>
      </w:r>
      <w:r w:rsidR="00124A39" w:rsidRPr="00124A39">
        <w:rPr>
          <w:rFonts w:hint="eastAsia"/>
        </w:rPr>
        <w:t>補助</w:t>
      </w:r>
      <w:r w:rsidR="00124A39">
        <w:rPr>
          <w:rFonts w:hint="eastAsia"/>
        </w:rPr>
        <w:t>)</w:t>
      </w:r>
      <w:r w:rsidR="00124A39" w:rsidRPr="00124A39">
        <w:rPr>
          <w:rFonts w:hint="eastAsia"/>
        </w:rPr>
        <w:t>重複請</w:t>
      </w:r>
      <w:r w:rsidR="00124A39" w:rsidRPr="00124A39">
        <w:rPr>
          <w:rFonts w:hint="eastAsia"/>
        </w:rPr>
        <w:lastRenderedPageBreak/>
        <w:t>領案件處理原則檢討會議」決議一略以，請各市</w:t>
      </w:r>
      <w:r w:rsidR="00124A39">
        <w:rPr>
          <w:rFonts w:hint="eastAsia"/>
        </w:rPr>
        <w:t>縣</w:t>
      </w:r>
      <w:r w:rsidR="00124A39" w:rsidRPr="00124A39">
        <w:rPr>
          <w:rFonts w:hint="eastAsia"/>
        </w:rPr>
        <w:t>政府確依內政部101年3月30日會議決議之資料申報及溢領追繳作業原則辦理，已先領取老年基本保證年金、身心障礙基本保證年金及原住民給付者，如係因市</w:t>
      </w:r>
      <w:r w:rsidR="00124A39">
        <w:rPr>
          <w:rFonts w:hint="eastAsia"/>
        </w:rPr>
        <w:t>縣</w:t>
      </w:r>
      <w:r w:rsidR="00124A39" w:rsidRPr="00124A39">
        <w:rPr>
          <w:rFonts w:hint="eastAsia"/>
        </w:rPr>
        <w:t>政府遲報媒體資料導致溢領，由縣市政府負責追繳並列帳控管。重複領取社福津貼與國民年金給付尚未繳回，如有符合領取國民年金給付者，於取得民眾同意後，可由勞保局從應發給之國民年金給付逕予扣抵。</w:t>
      </w:r>
    </w:p>
    <w:p w:rsidR="00AA4FAA" w:rsidRPr="001F3D48" w:rsidRDefault="006B332B" w:rsidP="00AA4FAA">
      <w:pPr>
        <w:pStyle w:val="21"/>
        <w:ind w:left="850" w:firstLine="566"/>
      </w:pPr>
      <w:r>
        <w:rPr>
          <w:rFonts w:hint="eastAsia"/>
        </w:rPr>
        <w:t>依</w:t>
      </w:r>
      <w:r w:rsidR="00AA4FAA" w:rsidRPr="001F3D48">
        <w:rPr>
          <w:rFonts w:hint="eastAsia"/>
        </w:rPr>
        <w:t>國保基金</w:t>
      </w:r>
      <w:r>
        <w:rPr>
          <w:rFonts w:hint="eastAsia"/>
        </w:rPr>
        <w:t>提供</w:t>
      </w:r>
      <w:r w:rsidR="00AA4FAA" w:rsidRPr="001F3D48">
        <w:rPr>
          <w:rFonts w:hint="eastAsia"/>
        </w:rPr>
        <w:t>資料</w:t>
      </w:r>
      <w:r w:rsidR="00AA4FAA">
        <w:rPr>
          <w:rFonts w:hint="eastAsia"/>
        </w:rPr>
        <w:t>(詳表1)</w:t>
      </w:r>
      <w:r w:rsidR="00AA4FAA" w:rsidRPr="001F3D48">
        <w:rPr>
          <w:rFonts w:hint="eastAsia"/>
        </w:rPr>
        <w:t>，11</w:t>
      </w:r>
      <w:r>
        <w:rPr>
          <w:rFonts w:hint="eastAsia"/>
        </w:rPr>
        <w:t>2</w:t>
      </w:r>
      <w:r w:rsidR="00AA4FAA" w:rsidRPr="001F3D48">
        <w:rPr>
          <w:rFonts w:hint="eastAsia"/>
        </w:rPr>
        <w:t>年度</w:t>
      </w:r>
      <w:r>
        <w:rPr>
          <w:rFonts w:hAnsi="標楷體" w:hint="eastAsia"/>
        </w:rPr>
        <w:t>、</w:t>
      </w:r>
      <w:r w:rsidR="00AA4FAA" w:rsidRPr="001F3D48">
        <w:rPr>
          <w:rFonts w:hint="eastAsia"/>
        </w:rPr>
        <w:t>11</w:t>
      </w:r>
      <w:r>
        <w:rPr>
          <w:rFonts w:hint="eastAsia"/>
        </w:rPr>
        <w:t>3</w:t>
      </w:r>
      <w:r w:rsidR="00AA4FAA" w:rsidRPr="001F3D48">
        <w:rPr>
          <w:rFonts w:hint="eastAsia"/>
        </w:rPr>
        <w:t>年</w:t>
      </w:r>
      <w:r>
        <w:rPr>
          <w:rFonts w:hint="eastAsia"/>
        </w:rPr>
        <w:t>截至6</w:t>
      </w:r>
      <w:r w:rsidR="00AA4FAA" w:rsidRPr="001F3D48">
        <w:t>月底止</w:t>
      </w:r>
      <w:r w:rsidR="00AA4FAA" w:rsidRPr="001F3D48">
        <w:rPr>
          <w:rFonts w:hint="eastAsia"/>
        </w:rPr>
        <w:t>各</w:t>
      </w:r>
      <w:r>
        <w:rPr>
          <w:rFonts w:hint="eastAsia"/>
        </w:rPr>
        <w:t>有</w:t>
      </w:r>
      <w:r w:rsidR="00AA4FAA" w:rsidRPr="001F3D48">
        <w:rPr>
          <w:rFonts w:hint="eastAsia"/>
        </w:rPr>
        <w:t>1</w:t>
      </w:r>
      <w:r w:rsidR="00AA4FAA" w:rsidRPr="001F3D48">
        <w:t>,</w:t>
      </w:r>
      <w:r w:rsidR="00AA4FAA" w:rsidRPr="001F3D48">
        <w:rPr>
          <w:rFonts w:hint="eastAsia"/>
        </w:rPr>
        <w:t>2</w:t>
      </w:r>
      <w:r>
        <w:rPr>
          <w:rFonts w:hint="eastAsia"/>
        </w:rPr>
        <w:t>9</w:t>
      </w:r>
      <w:r w:rsidR="00AA4FAA" w:rsidRPr="001F3D48">
        <w:rPr>
          <w:rFonts w:hint="eastAsia"/>
        </w:rPr>
        <w:t>1人</w:t>
      </w:r>
      <w:r>
        <w:rPr>
          <w:rFonts w:hAnsi="標楷體" w:hint="eastAsia"/>
        </w:rPr>
        <w:t>、</w:t>
      </w:r>
      <w:r>
        <w:rPr>
          <w:rFonts w:hint="eastAsia"/>
        </w:rPr>
        <w:t>617</w:t>
      </w:r>
      <w:r w:rsidR="00AA4FAA" w:rsidRPr="001F3D48">
        <w:rPr>
          <w:rFonts w:hint="eastAsia"/>
        </w:rPr>
        <w:t>人溢領</w:t>
      </w:r>
      <w:r w:rsidR="00AA4FAA">
        <w:rPr>
          <w:rFonts w:hint="eastAsia"/>
        </w:rPr>
        <w:t>給付</w:t>
      </w:r>
      <w:r w:rsidR="00AA4FAA" w:rsidRPr="001F3D48">
        <w:rPr>
          <w:rFonts w:hint="eastAsia"/>
        </w:rPr>
        <w:t>，溢領</w:t>
      </w:r>
      <w:r w:rsidR="00AA4FAA">
        <w:rPr>
          <w:rFonts w:hint="eastAsia"/>
        </w:rPr>
        <w:t>款項</w:t>
      </w:r>
      <w:r>
        <w:rPr>
          <w:rFonts w:hint="eastAsia"/>
        </w:rPr>
        <w:t>分別為</w:t>
      </w:r>
      <w:r w:rsidR="00AA4FAA">
        <w:t>1,</w:t>
      </w:r>
      <w:r>
        <w:rPr>
          <w:rFonts w:hint="eastAsia"/>
        </w:rPr>
        <w:t>665</w:t>
      </w:r>
      <w:r w:rsidR="00AA4FAA">
        <w:rPr>
          <w:rFonts w:hint="eastAsia"/>
        </w:rPr>
        <w:t>萬</w:t>
      </w:r>
      <w:r w:rsidR="003F124C">
        <w:rPr>
          <w:rFonts w:hint="eastAsia"/>
        </w:rPr>
        <w:t>2千</w:t>
      </w:r>
      <w:r w:rsidR="00AA4FAA" w:rsidRPr="001F3D48">
        <w:rPr>
          <w:rFonts w:hint="eastAsia"/>
        </w:rPr>
        <w:t>元</w:t>
      </w:r>
      <w:r>
        <w:rPr>
          <w:rFonts w:hAnsi="標楷體" w:hint="eastAsia"/>
        </w:rPr>
        <w:t>、</w:t>
      </w:r>
      <w:r w:rsidR="00AA4FAA" w:rsidRPr="001F3D48">
        <w:rPr>
          <w:rFonts w:hint="eastAsia"/>
        </w:rPr>
        <w:t>9</w:t>
      </w:r>
      <w:r>
        <w:rPr>
          <w:rFonts w:hint="eastAsia"/>
        </w:rPr>
        <w:t>28</w:t>
      </w:r>
      <w:r w:rsidR="00AA4FAA" w:rsidRPr="001F3D48">
        <w:rPr>
          <w:rFonts w:hint="eastAsia"/>
        </w:rPr>
        <w:t>萬</w:t>
      </w:r>
      <w:r w:rsidR="003F124C">
        <w:rPr>
          <w:rFonts w:hint="eastAsia"/>
        </w:rPr>
        <w:t>9</w:t>
      </w:r>
      <w:r w:rsidR="00AA4FAA" w:rsidRPr="001F3D48">
        <w:rPr>
          <w:rFonts w:hint="eastAsia"/>
        </w:rPr>
        <w:t>千元，</w:t>
      </w:r>
      <w:r w:rsidR="00AA4FAA">
        <w:rPr>
          <w:rFonts w:hint="eastAsia"/>
        </w:rPr>
        <w:t>截至11</w:t>
      </w:r>
      <w:r>
        <w:t>2</w:t>
      </w:r>
      <w:r w:rsidR="00AA4FAA">
        <w:rPr>
          <w:rFonts w:hint="eastAsia"/>
        </w:rPr>
        <w:t>年底</w:t>
      </w:r>
      <w:r>
        <w:rPr>
          <w:rFonts w:hAnsi="標楷體" w:hint="eastAsia"/>
        </w:rPr>
        <w:t>、</w:t>
      </w:r>
      <w:r w:rsidR="00AA4FAA">
        <w:rPr>
          <w:rFonts w:hint="eastAsia"/>
        </w:rPr>
        <w:t>11</w:t>
      </w:r>
      <w:r>
        <w:t>3</w:t>
      </w:r>
      <w:r w:rsidR="00AA4FAA">
        <w:rPr>
          <w:rFonts w:hint="eastAsia"/>
        </w:rPr>
        <w:t>年</w:t>
      </w:r>
      <w:r>
        <w:rPr>
          <w:rFonts w:hint="eastAsia"/>
        </w:rPr>
        <w:t>6</w:t>
      </w:r>
      <w:r w:rsidR="00AA4FAA">
        <w:rPr>
          <w:rFonts w:hint="eastAsia"/>
        </w:rPr>
        <w:t>月底</w:t>
      </w:r>
      <w:r>
        <w:rPr>
          <w:rFonts w:hint="eastAsia"/>
        </w:rPr>
        <w:t>則</w:t>
      </w:r>
      <w:r w:rsidR="00AA4FAA">
        <w:rPr>
          <w:rFonts w:hint="eastAsia"/>
        </w:rPr>
        <w:t>各有4</w:t>
      </w:r>
      <w:r>
        <w:t>8</w:t>
      </w:r>
      <w:r w:rsidR="00AA4FAA">
        <w:rPr>
          <w:rFonts w:hint="eastAsia"/>
        </w:rPr>
        <w:t>人</w:t>
      </w:r>
      <w:r>
        <w:rPr>
          <w:rFonts w:hAnsi="標楷體" w:hint="eastAsia"/>
        </w:rPr>
        <w:t>、</w:t>
      </w:r>
      <w:r>
        <w:rPr>
          <w:rFonts w:hint="eastAsia"/>
        </w:rPr>
        <w:t>166人未收回</w:t>
      </w:r>
      <w:r>
        <w:rPr>
          <w:rFonts w:hAnsi="標楷體" w:hint="eastAsia"/>
        </w:rPr>
        <w:t>，</w:t>
      </w:r>
      <w:r>
        <w:rPr>
          <w:rFonts w:hint="eastAsia"/>
        </w:rPr>
        <w:t>未收回款項分別為204</w:t>
      </w:r>
      <w:r w:rsidR="00AA4FAA">
        <w:rPr>
          <w:rFonts w:hint="eastAsia"/>
        </w:rPr>
        <w:t>萬</w:t>
      </w:r>
      <w:r>
        <w:rPr>
          <w:rFonts w:hint="eastAsia"/>
        </w:rPr>
        <w:t>6</w:t>
      </w:r>
      <w:r w:rsidR="003F124C">
        <w:rPr>
          <w:rFonts w:hint="eastAsia"/>
        </w:rPr>
        <w:t>千</w:t>
      </w:r>
      <w:r w:rsidR="00AA4FAA">
        <w:rPr>
          <w:rFonts w:hint="eastAsia"/>
        </w:rPr>
        <w:t>元</w:t>
      </w:r>
      <w:r>
        <w:rPr>
          <w:rFonts w:hAnsi="標楷體" w:hint="eastAsia"/>
        </w:rPr>
        <w:t>、513</w:t>
      </w:r>
      <w:r w:rsidR="00AA4FAA">
        <w:rPr>
          <w:rFonts w:hint="eastAsia"/>
        </w:rPr>
        <w:t>萬</w:t>
      </w:r>
      <w:r>
        <w:rPr>
          <w:rFonts w:hint="eastAsia"/>
        </w:rPr>
        <w:t>8</w:t>
      </w:r>
      <w:r w:rsidR="003F124C">
        <w:rPr>
          <w:rFonts w:hint="eastAsia"/>
        </w:rPr>
        <w:t>千</w:t>
      </w:r>
      <w:r w:rsidR="00AA4FAA">
        <w:rPr>
          <w:rFonts w:hint="eastAsia"/>
        </w:rPr>
        <w:t>元</w:t>
      </w:r>
      <w:r w:rsidR="00AA4FAA" w:rsidRPr="001F3D48">
        <w:rPr>
          <w:rFonts w:hint="eastAsia"/>
        </w:rPr>
        <w:t>，</w:t>
      </w:r>
      <w:r w:rsidR="00124A39">
        <w:rPr>
          <w:rFonts w:hint="eastAsia"/>
        </w:rPr>
        <w:t>勞保局</w:t>
      </w:r>
      <w:r w:rsidR="00AA4FAA" w:rsidRPr="001F3D48">
        <w:rPr>
          <w:rFonts w:hint="eastAsia"/>
        </w:rPr>
        <w:t>允</w:t>
      </w:r>
      <w:r w:rsidR="00124A39">
        <w:rPr>
          <w:rFonts w:hint="eastAsia"/>
        </w:rPr>
        <w:t>依前揭相關規定</w:t>
      </w:r>
      <w:r w:rsidR="00AA4FAA" w:rsidRPr="001F3D48">
        <w:rPr>
          <w:rFonts w:hint="eastAsia"/>
        </w:rPr>
        <w:t>積極</w:t>
      </w:r>
      <w:r w:rsidR="00AA4FAA">
        <w:rPr>
          <w:rFonts w:hint="eastAsia"/>
        </w:rPr>
        <w:t>辦理</w:t>
      </w:r>
      <w:r w:rsidR="00124A39">
        <w:rPr>
          <w:rFonts w:hint="eastAsia"/>
        </w:rPr>
        <w:t>溢領款項</w:t>
      </w:r>
      <w:r w:rsidR="00AA4FAA">
        <w:rPr>
          <w:rFonts w:hint="eastAsia"/>
        </w:rPr>
        <w:t>收回事宜</w:t>
      </w:r>
      <w:r w:rsidR="00AA4FAA" w:rsidRPr="001F3D48">
        <w:rPr>
          <w:rFonts w:hint="eastAsia"/>
        </w:rPr>
        <w:t>。</w:t>
      </w:r>
    </w:p>
    <w:p w:rsidR="00AA4FAA" w:rsidRPr="002E07A0" w:rsidRDefault="00AA4FAA" w:rsidP="00AA4FAA">
      <w:pPr>
        <w:pStyle w:val="a4"/>
        <w:ind w:left="849" w:hanging="283"/>
        <w:rPr>
          <w:b/>
        </w:rPr>
      </w:pPr>
      <w:r w:rsidRPr="002E07A0">
        <w:rPr>
          <w:rFonts w:hint="eastAsia"/>
          <w:b/>
        </w:rPr>
        <w:t>(二)</w:t>
      </w:r>
      <w:r w:rsidR="00A52367">
        <w:rPr>
          <w:rFonts w:hint="eastAsia"/>
          <w:b/>
        </w:rPr>
        <w:t>近年溢領事件</w:t>
      </w:r>
      <w:r w:rsidR="00114117">
        <w:rPr>
          <w:rFonts w:hint="eastAsia"/>
          <w:b/>
        </w:rPr>
        <w:t>之原因</w:t>
      </w:r>
      <w:r w:rsidR="00A52367">
        <w:rPr>
          <w:rFonts w:hAnsi="標楷體" w:hint="eastAsia"/>
          <w:b/>
        </w:rPr>
        <w:t>，</w:t>
      </w:r>
      <w:r w:rsidR="00114117">
        <w:rPr>
          <w:rFonts w:hint="eastAsia"/>
          <w:b/>
        </w:rPr>
        <w:t>以政府機關間遲報</w:t>
      </w:r>
      <w:r w:rsidR="000258CC">
        <w:rPr>
          <w:rFonts w:hAnsi="標楷體" w:hint="eastAsia"/>
          <w:b/>
        </w:rPr>
        <w:t>、</w:t>
      </w:r>
      <w:r w:rsidR="000258CC">
        <w:rPr>
          <w:rFonts w:hint="eastAsia"/>
          <w:b/>
        </w:rPr>
        <w:t>誤報</w:t>
      </w:r>
      <w:r w:rsidR="00114117">
        <w:rPr>
          <w:rFonts w:hint="eastAsia"/>
          <w:b/>
        </w:rPr>
        <w:t>資訊為大宗</w:t>
      </w:r>
      <w:r w:rsidRPr="002E07A0">
        <w:rPr>
          <w:rFonts w:hint="eastAsia"/>
          <w:b/>
        </w:rPr>
        <w:t>，</w:t>
      </w:r>
      <w:r w:rsidR="00114117">
        <w:rPr>
          <w:rFonts w:hint="eastAsia"/>
          <w:b/>
        </w:rPr>
        <w:t>反映公部門間協調聯繫工作有待強化</w:t>
      </w:r>
    </w:p>
    <w:p w:rsidR="00AA4FAA" w:rsidRDefault="008B67A6" w:rsidP="00AA4FAA">
      <w:pPr>
        <w:pStyle w:val="21"/>
        <w:ind w:left="850" w:firstLine="566"/>
      </w:pPr>
      <w:r>
        <w:rPr>
          <w:rFonts w:hint="eastAsia"/>
        </w:rPr>
        <w:t>依</w:t>
      </w:r>
      <w:r w:rsidR="00AA4FAA">
        <w:rPr>
          <w:rFonts w:hint="eastAsia"/>
        </w:rPr>
        <w:t>國保基金</w:t>
      </w:r>
      <w:r>
        <w:rPr>
          <w:rFonts w:hint="eastAsia"/>
        </w:rPr>
        <w:t>提供</w:t>
      </w:r>
      <w:r w:rsidR="00AA4FAA">
        <w:rPr>
          <w:rFonts w:hint="eastAsia"/>
        </w:rPr>
        <w:t>溢領</w:t>
      </w:r>
      <w:r w:rsidR="00AA4FAA" w:rsidRPr="007C04BE">
        <w:rPr>
          <w:rFonts w:hint="eastAsia"/>
        </w:rPr>
        <w:t>給付</w:t>
      </w:r>
      <w:r w:rsidR="00AA4FAA">
        <w:rPr>
          <w:rFonts w:hint="eastAsia"/>
        </w:rPr>
        <w:t>原因</w:t>
      </w:r>
      <w:r>
        <w:rPr>
          <w:rFonts w:hint="eastAsia"/>
        </w:rPr>
        <w:t>分析統計資料(</w:t>
      </w:r>
      <w:r w:rsidR="00AA4FAA">
        <w:rPr>
          <w:rFonts w:hint="eastAsia"/>
        </w:rPr>
        <w:t>詳表1），仍以市縣政府遲報社福津貼資料、家屬未及時</w:t>
      </w:r>
      <w:r>
        <w:rPr>
          <w:rFonts w:hint="eastAsia"/>
        </w:rPr>
        <w:t>向戶政機關申報</w:t>
      </w:r>
      <w:r w:rsidR="00AA4FAA">
        <w:rPr>
          <w:rFonts w:hint="eastAsia"/>
        </w:rPr>
        <w:t>死亡</w:t>
      </w:r>
      <w:r>
        <w:rPr>
          <w:rFonts w:hint="eastAsia"/>
        </w:rPr>
        <w:t>除籍</w:t>
      </w:r>
      <w:r w:rsidR="00AA4FAA">
        <w:rPr>
          <w:rFonts w:hint="eastAsia"/>
        </w:rPr>
        <w:t>登記等2大類為主，11</w:t>
      </w:r>
      <w:r>
        <w:rPr>
          <w:rFonts w:hint="eastAsia"/>
        </w:rPr>
        <w:t>2</w:t>
      </w:r>
      <w:r w:rsidR="00AA4FAA">
        <w:rPr>
          <w:rFonts w:hint="eastAsia"/>
        </w:rPr>
        <w:t>年度</w:t>
      </w:r>
      <w:r>
        <w:rPr>
          <w:rFonts w:hint="eastAsia"/>
        </w:rPr>
        <w:t>溢領人數</w:t>
      </w:r>
      <w:r w:rsidR="00AA4FAA">
        <w:rPr>
          <w:rFonts w:hint="eastAsia"/>
        </w:rPr>
        <w:t>分別為8</w:t>
      </w:r>
      <w:r>
        <w:rPr>
          <w:rFonts w:hint="eastAsia"/>
        </w:rPr>
        <w:t>0</w:t>
      </w:r>
      <w:r w:rsidR="00AA4FAA">
        <w:rPr>
          <w:rFonts w:hint="eastAsia"/>
        </w:rPr>
        <w:t>6人</w:t>
      </w:r>
      <w:r>
        <w:rPr>
          <w:rFonts w:hAnsi="標楷體" w:hint="eastAsia"/>
        </w:rPr>
        <w:t>、230人，溢領金額分別為460</w:t>
      </w:r>
      <w:r w:rsidR="00AA4FAA">
        <w:rPr>
          <w:rFonts w:hint="eastAsia"/>
        </w:rPr>
        <w:t>萬</w:t>
      </w:r>
      <w:r w:rsidR="00EF7BBC">
        <w:rPr>
          <w:rFonts w:hint="eastAsia"/>
        </w:rPr>
        <w:t>9千</w:t>
      </w:r>
      <w:r w:rsidR="00AA4FAA">
        <w:rPr>
          <w:rFonts w:hint="eastAsia"/>
        </w:rPr>
        <w:t>元</w:t>
      </w:r>
      <w:r>
        <w:rPr>
          <w:rFonts w:hAnsi="標楷體" w:hint="eastAsia"/>
        </w:rPr>
        <w:t>、6</w:t>
      </w:r>
      <w:r>
        <w:rPr>
          <w:rFonts w:hAnsi="標楷體"/>
        </w:rPr>
        <w:t>93</w:t>
      </w:r>
      <w:r w:rsidR="00AA4FAA">
        <w:rPr>
          <w:rFonts w:hint="eastAsia"/>
        </w:rPr>
        <w:t>萬</w:t>
      </w:r>
      <w:r w:rsidR="00EF7BBC">
        <w:rPr>
          <w:rFonts w:hint="eastAsia"/>
        </w:rPr>
        <w:t>9千</w:t>
      </w:r>
      <w:r w:rsidR="00AA4FAA">
        <w:rPr>
          <w:rFonts w:hint="eastAsia"/>
        </w:rPr>
        <w:t>元</w:t>
      </w:r>
      <w:r>
        <w:rPr>
          <w:rFonts w:hAnsi="標楷體" w:hint="eastAsia"/>
        </w:rPr>
        <w:t>；</w:t>
      </w:r>
      <w:r w:rsidR="00AA4FAA">
        <w:rPr>
          <w:rFonts w:hint="eastAsia"/>
        </w:rPr>
        <w:t>11</w:t>
      </w:r>
      <w:r>
        <w:t>3</w:t>
      </w:r>
      <w:r w:rsidR="00AA4FAA">
        <w:rPr>
          <w:rFonts w:hint="eastAsia"/>
        </w:rPr>
        <w:t>年度(</w:t>
      </w:r>
      <w:r>
        <w:rPr>
          <w:rFonts w:hint="eastAsia"/>
        </w:rPr>
        <w:t>截至6</w:t>
      </w:r>
      <w:r w:rsidR="00AA4FAA">
        <w:rPr>
          <w:rFonts w:hint="eastAsia"/>
        </w:rPr>
        <w:t>月底止)</w:t>
      </w:r>
      <w:r>
        <w:rPr>
          <w:rFonts w:hint="eastAsia"/>
        </w:rPr>
        <w:t>人數</w:t>
      </w:r>
      <w:r w:rsidR="00AA4FAA">
        <w:rPr>
          <w:rFonts w:hint="eastAsia"/>
        </w:rPr>
        <w:t>分別為</w:t>
      </w:r>
      <w:r>
        <w:rPr>
          <w:rFonts w:hint="eastAsia"/>
        </w:rPr>
        <w:t>442</w:t>
      </w:r>
      <w:r w:rsidR="00AA4FAA">
        <w:rPr>
          <w:rFonts w:hint="eastAsia"/>
        </w:rPr>
        <w:t>人</w:t>
      </w:r>
      <w:r>
        <w:rPr>
          <w:rFonts w:hAnsi="標楷體" w:hint="eastAsia"/>
        </w:rPr>
        <w:t>、</w:t>
      </w:r>
      <w:r>
        <w:rPr>
          <w:rFonts w:hint="eastAsia"/>
        </w:rPr>
        <w:t>88人</w:t>
      </w:r>
      <w:r>
        <w:rPr>
          <w:rFonts w:hAnsi="標楷體" w:hint="eastAsia"/>
        </w:rPr>
        <w:t>，</w:t>
      </w:r>
      <w:r>
        <w:rPr>
          <w:rFonts w:hint="eastAsia"/>
        </w:rPr>
        <w:t>溢領金額分別為2</w:t>
      </w:r>
      <w:r w:rsidR="00EF7BBC">
        <w:rPr>
          <w:rFonts w:hint="eastAsia"/>
        </w:rPr>
        <w:t>50</w:t>
      </w:r>
      <w:r>
        <w:rPr>
          <w:rFonts w:hint="eastAsia"/>
        </w:rPr>
        <w:t>萬</w:t>
      </w:r>
      <w:r w:rsidR="00AA4FAA">
        <w:rPr>
          <w:rFonts w:hint="eastAsia"/>
        </w:rPr>
        <w:t>元</w:t>
      </w:r>
      <w:r>
        <w:rPr>
          <w:rFonts w:hAnsi="標楷體" w:hint="eastAsia"/>
        </w:rPr>
        <w:t>、2</w:t>
      </w:r>
      <w:r>
        <w:rPr>
          <w:rFonts w:hAnsi="標楷體"/>
        </w:rPr>
        <w:t>72</w:t>
      </w:r>
      <w:r w:rsidR="00AA4FAA">
        <w:rPr>
          <w:rFonts w:hint="eastAsia"/>
        </w:rPr>
        <w:t>萬</w:t>
      </w:r>
      <w:r w:rsidR="00EF7BBC">
        <w:rPr>
          <w:rFonts w:hint="eastAsia"/>
        </w:rPr>
        <w:t>3千</w:t>
      </w:r>
      <w:r w:rsidR="00AA4FAA">
        <w:rPr>
          <w:rFonts w:hint="eastAsia"/>
        </w:rPr>
        <w:t>元</w:t>
      </w:r>
      <w:r>
        <w:rPr>
          <w:rFonts w:hAnsi="標楷體" w:hint="eastAsia"/>
        </w:rPr>
        <w:t>。</w:t>
      </w:r>
      <w:r w:rsidR="00AA4FAA">
        <w:rPr>
          <w:rFonts w:hint="eastAsia"/>
        </w:rPr>
        <w:t>其餘原因</w:t>
      </w:r>
      <w:r w:rsidR="004F602A">
        <w:rPr>
          <w:rFonts w:hint="eastAsia"/>
        </w:rPr>
        <w:t>多涉及被保險人或其遺屬身分狀態變更卻未即時通知勞保局</w:t>
      </w:r>
      <w:r w:rsidR="00AA4FAA">
        <w:rPr>
          <w:rFonts w:hint="eastAsia"/>
        </w:rPr>
        <w:t>、</w:t>
      </w:r>
      <w:r w:rsidR="004F602A">
        <w:rPr>
          <w:rFonts w:hint="eastAsia"/>
        </w:rPr>
        <w:t>政府機關</w:t>
      </w:r>
      <w:r w:rsidR="002809B6">
        <w:rPr>
          <w:rFonts w:hint="eastAsia"/>
        </w:rPr>
        <w:t>誤</w:t>
      </w:r>
      <w:r w:rsidR="004F602A">
        <w:rPr>
          <w:rFonts w:hint="eastAsia"/>
        </w:rPr>
        <w:t>遲報資料</w:t>
      </w:r>
      <w:r w:rsidR="00AA4FAA">
        <w:rPr>
          <w:rFonts w:hint="eastAsia"/>
        </w:rPr>
        <w:t>等，</w:t>
      </w:r>
      <w:r w:rsidR="004F602A">
        <w:rPr>
          <w:rFonts w:hint="eastAsia"/>
        </w:rPr>
        <w:t>其中涉及政府機關</w:t>
      </w:r>
      <w:r w:rsidR="002809B6">
        <w:rPr>
          <w:rFonts w:hint="eastAsia"/>
        </w:rPr>
        <w:t>誤遲</w:t>
      </w:r>
      <w:r w:rsidR="004F602A">
        <w:rPr>
          <w:rFonts w:hint="eastAsia"/>
        </w:rPr>
        <w:t>報資料部分</w:t>
      </w:r>
      <w:r w:rsidR="004F602A">
        <w:rPr>
          <w:rFonts w:hAnsi="標楷體" w:hint="eastAsia"/>
        </w:rPr>
        <w:t>，後續辦理收回事宜，恐不利政府形象之維護並增加行政成本，且反映機關間之協調聯繫工作未能落實</w:t>
      </w:r>
      <w:r w:rsidR="00AA4FAA">
        <w:rPr>
          <w:rFonts w:hint="eastAsia"/>
        </w:rPr>
        <w:t>。</w:t>
      </w:r>
      <w:r w:rsidR="004F602A">
        <w:rPr>
          <w:rFonts w:hint="eastAsia"/>
        </w:rPr>
        <w:t>在此資訊時代</w:t>
      </w:r>
      <w:r w:rsidR="004F602A">
        <w:rPr>
          <w:rFonts w:hAnsi="標楷體" w:hint="eastAsia"/>
        </w:rPr>
        <w:t>，</w:t>
      </w:r>
      <w:r w:rsidR="004F602A">
        <w:rPr>
          <w:rFonts w:hint="eastAsia"/>
        </w:rPr>
        <w:t>政府機關間</w:t>
      </w:r>
      <w:r w:rsidR="00BB748E">
        <w:rPr>
          <w:rFonts w:hint="eastAsia"/>
        </w:rPr>
        <w:t>允</w:t>
      </w:r>
      <w:r w:rsidR="004F602A">
        <w:rPr>
          <w:rFonts w:hint="eastAsia"/>
        </w:rPr>
        <w:t>應善用科技工具</w:t>
      </w:r>
      <w:r w:rsidR="004F602A">
        <w:rPr>
          <w:rFonts w:hAnsi="標楷體" w:hint="eastAsia"/>
        </w:rPr>
        <w:t>，</w:t>
      </w:r>
      <w:r w:rsidR="004F602A">
        <w:rPr>
          <w:rFonts w:hint="eastAsia"/>
        </w:rPr>
        <w:t>強化相關資訊平台</w:t>
      </w:r>
      <w:r w:rsidR="000258CC">
        <w:rPr>
          <w:rFonts w:hint="eastAsia"/>
        </w:rPr>
        <w:t>間</w:t>
      </w:r>
      <w:r w:rsidR="004F602A">
        <w:rPr>
          <w:rFonts w:hint="eastAsia"/>
        </w:rPr>
        <w:t>之整合與介接</w:t>
      </w:r>
      <w:r w:rsidR="000258CC">
        <w:rPr>
          <w:rFonts w:hAnsi="標楷體" w:hint="eastAsia"/>
        </w:rPr>
        <w:t>以及資料</w:t>
      </w:r>
      <w:r w:rsidR="00BB748E">
        <w:rPr>
          <w:rFonts w:hAnsi="標楷體" w:hint="eastAsia"/>
        </w:rPr>
        <w:t>分析</w:t>
      </w:r>
      <w:r w:rsidR="000258CC">
        <w:rPr>
          <w:rFonts w:hAnsi="標楷體" w:hint="eastAsia"/>
        </w:rPr>
        <w:t>查對工作，減少作</w:t>
      </w:r>
      <w:r w:rsidR="000258CC">
        <w:rPr>
          <w:rFonts w:hAnsi="標楷體" w:hint="eastAsia"/>
        </w:rPr>
        <w:lastRenderedPageBreak/>
        <w:t>業疏漏，提升行政效能。</w:t>
      </w:r>
    </w:p>
    <w:p w:rsidR="00AA4FAA" w:rsidRDefault="00AA4FAA" w:rsidP="002809B6">
      <w:pPr>
        <w:ind w:leftChars="300" w:left="850" w:firstLineChars="100" w:firstLine="283"/>
        <w:rPr>
          <w:rFonts w:hAnsi="標楷體"/>
        </w:rPr>
      </w:pPr>
      <w:r w:rsidRPr="009C4C1E">
        <w:rPr>
          <w:rFonts w:hAnsi="標楷體" w:hint="eastAsia"/>
        </w:rPr>
        <w:t>綜上，</w:t>
      </w:r>
      <w:r w:rsidR="002809B6">
        <w:rPr>
          <w:rFonts w:hAnsi="標楷體" w:hint="eastAsia"/>
        </w:rPr>
        <w:t>國民年金法針對溢領案件雖訂有相關處理規範，惟</w:t>
      </w:r>
      <w:r w:rsidR="002809B6" w:rsidRPr="002809B6">
        <w:rPr>
          <w:rFonts w:hAnsi="標楷體" w:hint="eastAsia"/>
        </w:rPr>
        <w:t>近年溢領給付事件時有所聞</w:t>
      </w:r>
      <w:r>
        <w:rPr>
          <w:rFonts w:hAnsi="標楷體" w:hint="eastAsia"/>
        </w:rPr>
        <w:t>，</w:t>
      </w:r>
      <w:r w:rsidR="002809B6">
        <w:rPr>
          <w:rFonts w:hAnsi="標楷體" w:hint="eastAsia"/>
        </w:rPr>
        <w:t>截至</w:t>
      </w:r>
      <w:r w:rsidRPr="006D300A">
        <w:rPr>
          <w:rFonts w:hAnsi="標楷體" w:hint="eastAsia"/>
        </w:rPr>
        <w:t>11</w:t>
      </w:r>
      <w:r w:rsidR="002809B6">
        <w:rPr>
          <w:rFonts w:hAnsi="標楷體" w:hint="eastAsia"/>
        </w:rPr>
        <w:t>3</w:t>
      </w:r>
      <w:r w:rsidRPr="006D300A">
        <w:rPr>
          <w:rFonts w:hAnsi="標楷體" w:hint="eastAsia"/>
        </w:rPr>
        <w:t>年</w:t>
      </w:r>
      <w:r w:rsidR="002809B6">
        <w:rPr>
          <w:rFonts w:hAnsi="標楷體" w:hint="eastAsia"/>
        </w:rPr>
        <w:t>6</w:t>
      </w:r>
      <w:r w:rsidRPr="006D300A">
        <w:rPr>
          <w:rFonts w:hAnsi="標楷體" w:hint="eastAsia"/>
        </w:rPr>
        <w:t>月底</w:t>
      </w:r>
      <w:r>
        <w:rPr>
          <w:rFonts w:hAnsi="標楷體" w:hint="eastAsia"/>
        </w:rPr>
        <w:t>尚有</w:t>
      </w:r>
      <w:r w:rsidRPr="006D300A">
        <w:rPr>
          <w:rFonts w:hAnsi="標楷體" w:hint="eastAsia"/>
        </w:rPr>
        <w:t>1</w:t>
      </w:r>
      <w:r w:rsidR="002809B6">
        <w:rPr>
          <w:rFonts w:hAnsi="標楷體" w:hint="eastAsia"/>
        </w:rPr>
        <w:t>66</w:t>
      </w:r>
      <w:r w:rsidRPr="006D300A">
        <w:rPr>
          <w:rFonts w:hAnsi="標楷體" w:hint="eastAsia"/>
        </w:rPr>
        <w:t>人</w:t>
      </w:r>
      <w:r w:rsidR="002809B6">
        <w:rPr>
          <w:rFonts w:hAnsi="標楷體" w:hint="eastAsia"/>
        </w:rPr>
        <w:t>、513</w:t>
      </w:r>
      <w:r w:rsidRPr="006D300A">
        <w:rPr>
          <w:rFonts w:hAnsi="標楷體" w:hint="eastAsia"/>
        </w:rPr>
        <w:t>萬</w:t>
      </w:r>
      <w:r w:rsidR="002809B6">
        <w:rPr>
          <w:rFonts w:hAnsi="標楷體" w:hint="eastAsia"/>
        </w:rPr>
        <w:t>8</w:t>
      </w:r>
      <w:r w:rsidR="00EF7BBC">
        <w:rPr>
          <w:rFonts w:hAnsi="標楷體" w:hint="eastAsia"/>
        </w:rPr>
        <w:t>千</w:t>
      </w:r>
      <w:r w:rsidR="002809B6">
        <w:rPr>
          <w:rFonts w:hAnsi="標楷體" w:hint="eastAsia"/>
        </w:rPr>
        <w:t>元尚</w:t>
      </w:r>
      <w:r w:rsidRPr="006D300A">
        <w:rPr>
          <w:rFonts w:hAnsi="標楷體" w:hint="eastAsia"/>
        </w:rPr>
        <w:t>未收回</w:t>
      </w:r>
      <w:r>
        <w:rPr>
          <w:rFonts w:hAnsi="標楷體" w:hint="eastAsia"/>
        </w:rPr>
        <w:t>，</w:t>
      </w:r>
      <w:r w:rsidR="002809B6">
        <w:rPr>
          <w:rFonts w:hAnsi="標楷體" w:hint="eastAsia"/>
        </w:rPr>
        <w:t>勞保局允應依相關法令規定</w:t>
      </w:r>
      <w:r>
        <w:rPr>
          <w:rFonts w:hAnsi="標楷體" w:hint="eastAsia"/>
        </w:rPr>
        <w:t>積極辦理收回事宜</w:t>
      </w:r>
      <w:r w:rsidR="002809B6">
        <w:rPr>
          <w:rFonts w:hAnsi="標楷體" w:hint="eastAsia"/>
        </w:rPr>
        <w:t>。</w:t>
      </w:r>
      <w:r>
        <w:rPr>
          <w:rFonts w:hAnsi="標楷體" w:hint="eastAsia"/>
        </w:rPr>
        <w:t>另</w:t>
      </w:r>
      <w:r w:rsidR="002809B6">
        <w:rPr>
          <w:rFonts w:hAnsi="標楷體" w:hint="eastAsia"/>
        </w:rPr>
        <w:t>有鑒於國保保險給付溢領事件多涉及政府機關間誤報資料，</w:t>
      </w:r>
      <w:r w:rsidR="00BB748E" w:rsidRPr="00BB748E">
        <w:rPr>
          <w:rFonts w:hAnsi="標楷體" w:hint="eastAsia"/>
        </w:rPr>
        <w:t>政府機關間應強化相關資訊平台間之整合與介接</w:t>
      </w:r>
      <w:r w:rsidR="00EF7BBC">
        <w:rPr>
          <w:rFonts w:hAnsi="標楷體" w:hint="eastAsia"/>
        </w:rPr>
        <w:t>，</w:t>
      </w:r>
      <w:r w:rsidR="00BB748E" w:rsidRPr="00BB748E">
        <w:rPr>
          <w:rFonts w:hAnsi="標楷體" w:hint="eastAsia"/>
        </w:rPr>
        <w:t>以及資料</w:t>
      </w:r>
      <w:r w:rsidR="00BB748E">
        <w:rPr>
          <w:rFonts w:hAnsi="標楷體" w:hint="eastAsia"/>
        </w:rPr>
        <w:t>分析</w:t>
      </w:r>
      <w:r w:rsidR="00BB748E" w:rsidRPr="00BB748E">
        <w:rPr>
          <w:rFonts w:hAnsi="標楷體" w:hint="eastAsia"/>
        </w:rPr>
        <w:t>查對工作，</w:t>
      </w:r>
      <w:r w:rsidR="00BB748E">
        <w:rPr>
          <w:rFonts w:hAnsi="標楷體" w:hint="eastAsia"/>
        </w:rPr>
        <w:t>避免溢領事件一再發生</w:t>
      </w:r>
      <w:r w:rsidR="00BB748E" w:rsidRPr="00BB748E">
        <w:rPr>
          <w:rFonts w:hAnsi="標楷體" w:hint="eastAsia"/>
        </w:rPr>
        <w:t>。</w:t>
      </w:r>
    </w:p>
    <w:p w:rsidR="00AA4FAA" w:rsidRDefault="00AA4FAA" w:rsidP="00AA4FAA">
      <w:pPr>
        <w:spacing w:beforeLines="25" w:before="125"/>
        <w:ind w:leftChars="0" w:left="0" w:firstLineChars="0" w:firstLine="0"/>
        <w:rPr>
          <w:b/>
          <w:kern w:val="0"/>
        </w:rPr>
      </w:pPr>
      <w:r w:rsidRPr="00E62CC8">
        <w:rPr>
          <w:rFonts w:hint="eastAsia"/>
          <w:b/>
          <w:kern w:val="0"/>
        </w:rPr>
        <w:t>表</w:t>
      </w:r>
      <w:r>
        <w:rPr>
          <w:rFonts w:hint="eastAsia"/>
          <w:b/>
          <w:kern w:val="0"/>
        </w:rPr>
        <w:t>1  國保基金11</w:t>
      </w:r>
      <w:r w:rsidR="00323975">
        <w:rPr>
          <w:rFonts w:hint="eastAsia"/>
          <w:b/>
          <w:kern w:val="0"/>
        </w:rPr>
        <w:t>2</w:t>
      </w:r>
      <w:r>
        <w:rPr>
          <w:rFonts w:hint="eastAsia"/>
          <w:b/>
          <w:kern w:val="0"/>
        </w:rPr>
        <w:t>及11</w:t>
      </w:r>
      <w:r w:rsidR="00323975">
        <w:rPr>
          <w:rFonts w:hint="eastAsia"/>
          <w:b/>
          <w:kern w:val="0"/>
        </w:rPr>
        <w:t>3</w:t>
      </w:r>
      <w:r>
        <w:rPr>
          <w:rFonts w:hint="eastAsia"/>
          <w:b/>
          <w:kern w:val="0"/>
        </w:rPr>
        <w:t>年度</w:t>
      </w:r>
      <w:r w:rsidR="00323975">
        <w:rPr>
          <w:rFonts w:hint="eastAsia"/>
          <w:b/>
          <w:kern w:val="0"/>
        </w:rPr>
        <w:t>6</w:t>
      </w:r>
      <w:r>
        <w:rPr>
          <w:rFonts w:hint="eastAsia"/>
          <w:b/>
          <w:kern w:val="0"/>
        </w:rPr>
        <w:t>月底止溢領給付原因明細</w:t>
      </w:r>
      <w:r w:rsidRPr="00BC3476">
        <w:rPr>
          <w:rFonts w:hint="eastAsia"/>
          <w:b/>
          <w:kern w:val="0"/>
        </w:rPr>
        <w:t>表</w:t>
      </w:r>
    </w:p>
    <w:p w:rsidR="00AA4FAA" w:rsidRPr="00BC3476" w:rsidRDefault="00AA4FAA" w:rsidP="00AA4FAA">
      <w:pPr>
        <w:pStyle w:val="142"/>
        <w:jc w:val="right"/>
      </w:pPr>
      <w:r>
        <w:rPr>
          <w:rFonts w:hint="eastAsia"/>
        </w:rPr>
        <w:t xml:space="preserve"> 單位：人；新臺幣千元</w:t>
      </w:r>
    </w:p>
    <w:tbl>
      <w:tblPr>
        <w:tblW w:w="5012"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864"/>
        <w:gridCol w:w="680"/>
        <w:gridCol w:w="879"/>
        <w:gridCol w:w="549"/>
        <w:gridCol w:w="868"/>
        <w:gridCol w:w="577"/>
        <w:gridCol w:w="657"/>
        <w:gridCol w:w="784"/>
        <w:gridCol w:w="723"/>
      </w:tblGrid>
      <w:tr w:rsidR="00AA4FAA" w:rsidRPr="008F1678" w:rsidTr="00DA3270">
        <w:trPr>
          <w:trHeight w:val="340"/>
          <w:tblHeader/>
        </w:trPr>
        <w:tc>
          <w:tcPr>
            <w:tcW w:w="1669" w:type="pct"/>
            <w:vMerge w:val="restart"/>
            <w:shd w:val="clear" w:color="auto" w:fill="auto"/>
            <w:noWrap/>
            <w:vAlign w:val="center"/>
            <w:hideMark/>
          </w:tcPr>
          <w:p w:rsidR="00AA4FAA" w:rsidRPr="00D961F5" w:rsidRDefault="00AA4FAA" w:rsidP="00DA3270">
            <w:pPr>
              <w:pStyle w:val="142"/>
              <w:jc w:val="center"/>
              <w:rPr>
                <w:b/>
                <w:snapToGrid/>
                <w:sz w:val="22"/>
                <w:szCs w:val="22"/>
              </w:rPr>
            </w:pPr>
            <w:r w:rsidRPr="00D961F5">
              <w:rPr>
                <w:rFonts w:hint="eastAsia"/>
                <w:b/>
                <w:snapToGrid/>
                <w:sz w:val="22"/>
                <w:szCs w:val="22"/>
              </w:rPr>
              <w:t>溢領原因</w:t>
            </w:r>
          </w:p>
        </w:tc>
        <w:tc>
          <w:tcPr>
            <w:tcW w:w="1734" w:type="pct"/>
            <w:gridSpan w:val="4"/>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溢領給付</w:t>
            </w:r>
          </w:p>
        </w:tc>
        <w:tc>
          <w:tcPr>
            <w:tcW w:w="1597" w:type="pct"/>
            <w:gridSpan w:val="4"/>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尚未收回</w:t>
            </w:r>
          </w:p>
        </w:tc>
      </w:tr>
      <w:tr w:rsidR="00AA4FAA" w:rsidRPr="008F1678" w:rsidTr="00DA3270">
        <w:trPr>
          <w:trHeight w:val="340"/>
          <w:tblHeader/>
        </w:trPr>
        <w:tc>
          <w:tcPr>
            <w:tcW w:w="1669" w:type="pct"/>
            <w:vMerge/>
            <w:vAlign w:val="center"/>
            <w:hideMark/>
          </w:tcPr>
          <w:p w:rsidR="00AA4FAA" w:rsidRPr="006D300A" w:rsidRDefault="00AA4FAA" w:rsidP="00DA3270">
            <w:pPr>
              <w:pStyle w:val="142"/>
              <w:jc w:val="center"/>
              <w:rPr>
                <w:snapToGrid/>
                <w:sz w:val="22"/>
                <w:szCs w:val="22"/>
              </w:rPr>
            </w:pPr>
          </w:p>
        </w:tc>
        <w:tc>
          <w:tcPr>
            <w:tcW w:w="908" w:type="pct"/>
            <w:gridSpan w:val="2"/>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11</w:t>
            </w:r>
            <w:r w:rsidR="00323975">
              <w:rPr>
                <w:rFonts w:hint="eastAsia"/>
                <w:b/>
                <w:snapToGrid/>
                <w:sz w:val="22"/>
                <w:szCs w:val="22"/>
              </w:rPr>
              <w:t>2</w:t>
            </w:r>
            <w:r>
              <w:rPr>
                <w:rFonts w:hint="eastAsia"/>
                <w:b/>
                <w:snapToGrid/>
                <w:sz w:val="22"/>
                <w:szCs w:val="22"/>
              </w:rPr>
              <w:t>年度</w:t>
            </w:r>
          </w:p>
        </w:tc>
        <w:tc>
          <w:tcPr>
            <w:tcW w:w="826" w:type="pct"/>
            <w:gridSpan w:val="2"/>
            <w:shd w:val="clear" w:color="auto" w:fill="auto"/>
            <w:noWrap/>
            <w:vAlign w:val="center"/>
            <w:hideMark/>
          </w:tcPr>
          <w:p w:rsidR="00AA4FAA" w:rsidRDefault="00AA4FAA" w:rsidP="00DA3270">
            <w:pPr>
              <w:pStyle w:val="142"/>
              <w:jc w:val="center"/>
              <w:rPr>
                <w:b/>
                <w:snapToGrid/>
                <w:sz w:val="22"/>
                <w:szCs w:val="22"/>
              </w:rPr>
            </w:pPr>
            <w:r w:rsidRPr="006D300A">
              <w:rPr>
                <w:rFonts w:hint="eastAsia"/>
                <w:b/>
                <w:snapToGrid/>
                <w:sz w:val="22"/>
                <w:szCs w:val="22"/>
              </w:rPr>
              <w:t>11</w:t>
            </w:r>
            <w:r w:rsidR="00323975">
              <w:rPr>
                <w:rFonts w:hint="eastAsia"/>
                <w:b/>
                <w:snapToGrid/>
                <w:sz w:val="22"/>
                <w:szCs w:val="22"/>
              </w:rPr>
              <w:t>3</w:t>
            </w:r>
            <w:r>
              <w:rPr>
                <w:rFonts w:hint="eastAsia"/>
                <w:b/>
                <w:snapToGrid/>
                <w:sz w:val="22"/>
                <w:szCs w:val="22"/>
              </w:rPr>
              <w:t>年度</w:t>
            </w:r>
          </w:p>
          <w:p w:rsidR="00AA4FAA" w:rsidRPr="006D300A" w:rsidRDefault="00323975" w:rsidP="00DA3270">
            <w:pPr>
              <w:pStyle w:val="142"/>
              <w:jc w:val="center"/>
              <w:rPr>
                <w:b/>
                <w:snapToGrid/>
                <w:sz w:val="22"/>
                <w:szCs w:val="22"/>
              </w:rPr>
            </w:pPr>
            <w:r>
              <w:rPr>
                <w:rFonts w:hint="eastAsia"/>
                <w:b/>
                <w:snapToGrid/>
                <w:sz w:val="22"/>
                <w:szCs w:val="22"/>
              </w:rPr>
              <w:t>(6</w:t>
            </w:r>
            <w:r w:rsidR="00AA4FAA" w:rsidRPr="006D300A">
              <w:rPr>
                <w:rFonts w:hint="eastAsia"/>
                <w:b/>
                <w:snapToGrid/>
                <w:sz w:val="22"/>
                <w:szCs w:val="22"/>
              </w:rPr>
              <w:t>月底止)</w:t>
            </w:r>
          </w:p>
        </w:tc>
        <w:tc>
          <w:tcPr>
            <w:tcW w:w="719" w:type="pct"/>
            <w:gridSpan w:val="2"/>
            <w:shd w:val="clear" w:color="auto" w:fill="auto"/>
            <w:noWrap/>
            <w:vAlign w:val="center"/>
            <w:hideMark/>
          </w:tcPr>
          <w:p w:rsidR="00AA4FAA" w:rsidRPr="006D300A" w:rsidRDefault="00AA4FAA" w:rsidP="00323975">
            <w:pPr>
              <w:pStyle w:val="142"/>
              <w:jc w:val="center"/>
              <w:rPr>
                <w:b/>
                <w:snapToGrid/>
                <w:sz w:val="22"/>
                <w:szCs w:val="22"/>
              </w:rPr>
            </w:pPr>
            <w:r w:rsidRPr="006D300A">
              <w:rPr>
                <w:rFonts w:hint="eastAsia"/>
                <w:b/>
                <w:snapToGrid/>
                <w:sz w:val="22"/>
                <w:szCs w:val="22"/>
              </w:rPr>
              <w:t>11</w:t>
            </w:r>
            <w:r w:rsidR="00323975">
              <w:rPr>
                <w:rFonts w:hint="eastAsia"/>
                <w:b/>
                <w:snapToGrid/>
                <w:sz w:val="22"/>
                <w:szCs w:val="22"/>
              </w:rPr>
              <w:t>2</w:t>
            </w:r>
            <w:r>
              <w:rPr>
                <w:rFonts w:hint="eastAsia"/>
                <w:b/>
                <w:snapToGrid/>
                <w:sz w:val="22"/>
                <w:szCs w:val="22"/>
              </w:rPr>
              <w:t>年度</w:t>
            </w:r>
          </w:p>
        </w:tc>
        <w:tc>
          <w:tcPr>
            <w:tcW w:w="878" w:type="pct"/>
            <w:gridSpan w:val="2"/>
            <w:shd w:val="clear" w:color="auto" w:fill="auto"/>
            <w:noWrap/>
            <w:vAlign w:val="center"/>
            <w:hideMark/>
          </w:tcPr>
          <w:p w:rsidR="00AA4FAA" w:rsidRDefault="00AA4FAA" w:rsidP="00DA3270">
            <w:pPr>
              <w:widowControl/>
              <w:spacing w:line="280" w:lineRule="exact"/>
              <w:ind w:leftChars="0" w:left="0" w:firstLineChars="0" w:firstLine="0"/>
              <w:jc w:val="center"/>
              <w:rPr>
                <w:rFonts w:hAnsi="標楷體" w:cs="新細明體"/>
                <w:b/>
                <w:snapToGrid/>
                <w:color w:val="000000"/>
                <w:kern w:val="0"/>
                <w:sz w:val="22"/>
                <w:szCs w:val="22"/>
              </w:rPr>
            </w:pPr>
            <w:r w:rsidRPr="008F1678">
              <w:rPr>
                <w:rFonts w:hAnsi="標楷體" w:cs="新細明體" w:hint="eastAsia"/>
                <w:b/>
                <w:snapToGrid/>
                <w:color w:val="000000"/>
                <w:kern w:val="0"/>
                <w:sz w:val="22"/>
                <w:szCs w:val="22"/>
              </w:rPr>
              <w:t>11</w:t>
            </w:r>
            <w:r w:rsidR="00323975">
              <w:rPr>
                <w:rFonts w:hAnsi="標楷體" w:cs="新細明體" w:hint="eastAsia"/>
                <w:b/>
                <w:snapToGrid/>
                <w:color w:val="000000"/>
                <w:kern w:val="0"/>
                <w:sz w:val="22"/>
                <w:szCs w:val="22"/>
              </w:rPr>
              <w:t>3</w:t>
            </w:r>
            <w:r>
              <w:rPr>
                <w:rFonts w:hAnsi="標楷體" w:cs="新細明體" w:hint="eastAsia"/>
                <w:b/>
                <w:snapToGrid/>
                <w:color w:val="000000"/>
                <w:kern w:val="0"/>
                <w:sz w:val="22"/>
                <w:szCs w:val="22"/>
              </w:rPr>
              <w:t>年度</w:t>
            </w:r>
          </w:p>
          <w:p w:rsidR="00AA4FAA" w:rsidRPr="008F1678" w:rsidRDefault="00AA4FAA" w:rsidP="00323975">
            <w:pPr>
              <w:widowControl/>
              <w:spacing w:line="280" w:lineRule="exact"/>
              <w:ind w:leftChars="0" w:left="0" w:firstLineChars="0" w:firstLine="0"/>
              <w:jc w:val="center"/>
              <w:rPr>
                <w:rFonts w:hAnsi="標楷體" w:cs="新細明體"/>
                <w:b/>
                <w:snapToGrid/>
                <w:color w:val="000000"/>
                <w:kern w:val="0"/>
                <w:sz w:val="22"/>
                <w:szCs w:val="22"/>
              </w:rPr>
            </w:pPr>
            <w:r w:rsidRPr="008F1678">
              <w:rPr>
                <w:rFonts w:hAnsi="標楷體" w:cs="新細明體" w:hint="eastAsia"/>
                <w:b/>
                <w:snapToGrid/>
                <w:color w:val="000000"/>
                <w:kern w:val="0"/>
                <w:sz w:val="22"/>
                <w:szCs w:val="22"/>
              </w:rPr>
              <w:t>(</w:t>
            </w:r>
            <w:r w:rsidR="00323975">
              <w:rPr>
                <w:rFonts w:hAnsi="標楷體" w:cs="新細明體" w:hint="eastAsia"/>
                <w:b/>
                <w:snapToGrid/>
                <w:color w:val="000000"/>
                <w:kern w:val="0"/>
                <w:sz w:val="22"/>
                <w:szCs w:val="22"/>
              </w:rPr>
              <w:t>6</w:t>
            </w:r>
            <w:r w:rsidRPr="008F1678">
              <w:rPr>
                <w:rFonts w:hAnsi="標楷體" w:cs="新細明體" w:hint="eastAsia"/>
                <w:b/>
                <w:snapToGrid/>
                <w:color w:val="000000"/>
                <w:kern w:val="0"/>
                <w:sz w:val="22"/>
                <w:szCs w:val="22"/>
              </w:rPr>
              <w:t>月底止)</w:t>
            </w:r>
          </w:p>
        </w:tc>
      </w:tr>
      <w:tr w:rsidR="00AA4FAA" w:rsidRPr="008F1678" w:rsidTr="00DA3270">
        <w:trPr>
          <w:trHeight w:val="340"/>
          <w:tblHeader/>
        </w:trPr>
        <w:tc>
          <w:tcPr>
            <w:tcW w:w="1669" w:type="pct"/>
            <w:vMerge/>
            <w:vAlign w:val="center"/>
            <w:hideMark/>
          </w:tcPr>
          <w:p w:rsidR="00AA4FAA" w:rsidRPr="006D300A" w:rsidRDefault="00AA4FAA" w:rsidP="00DA3270">
            <w:pPr>
              <w:pStyle w:val="142"/>
              <w:jc w:val="center"/>
              <w:rPr>
                <w:snapToGrid/>
                <w:sz w:val="22"/>
                <w:szCs w:val="22"/>
              </w:rPr>
            </w:pPr>
          </w:p>
        </w:tc>
        <w:tc>
          <w:tcPr>
            <w:tcW w:w="396" w:type="pct"/>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人數</w:t>
            </w:r>
          </w:p>
        </w:tc>
        <w:tc>
          <w:tcPr>
            <w:tcW w:w="512" w:type="pct"/>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金額</w:t>
            </w:r>
          </w:p>
        </w:tc>
        <w:tc>
          <w:tcPr>
            <w:tcW w:w="320" w:type="pct"/>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人數</w:t>
            </w:r>
          </w:p>
        </w:tc>
        <w:tc>
          <w:tcPr>
            <w:tcW w:w="506" w:type="pct"/>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金額</w:t>
            </w:r>
          </w:p>
        </w:tc>
        <w:tc>
          <w:tcPr>
            <w:tcW w:w="336" w:type="pct"/>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人數</w:t>
            </w:r>
          </w:p>
        </w:tc>
        <w:tc>
          <w:tcPr>
            <w:tcW w:w="383" w:type="pct"/>
            <w:shd w:val="clear" w:color="auto" w:fill="auto"/>
            <w:noWrap/>
            <w:vAlign w:val="center"/>
            <w:hideMark/>
          </w:tcPr>
          <w:p w:rsidR="00AA4FAA" w:rsidRPr="008F1678" w:rsidRDefault="00AA4FAA" w:rsidP="00DA3270">
            <w:pPr>
              <w:widowControl/>
              <w:spacing w:line="240" w:lineRule="auto"/>
              <w:ind w:leftChars="0" w:left="0" w:firstLineChars="0" w:firstLine="0"/>
              <w:jc w:val="center"/>
              <w:rPr>
                <w:rFonts w:hAnsi="標楷體" w:cs="新細明體"/>
                <w:b/>
                <w:snapToGrid/>
                <w:color w:val="000000"/>
                <w:kern w:val="0"/>
                <w:sz w:val="22"/>
                <w:szCs w:val="22"/>
              </w:rPr>
            </w:pPr>
            <w:r w:rsidRPr="008F1678">
              <w:rPr>
                <w:rFonts w:hAnsi="標楷體" w:cs="新細明體" w:hint="eastAsia"/>
                <w:b/>
                <w:snapToGrid/>
                <w:color w:val="000000"/>
                <w:kern w:val="0"/>
                <w:sz w:val="22"/>
                <w:szCs w:val="22"/>
              </w:rPr>
              <w:t>金額</w:t>
            </w:r>
          </w:p>
        </w:tc>
        <w:tc>
          <w:tcPr>
            <w:tcW w:w="457" w:type="pct"/>
            <w:shd w:val="clear" w:color="auto" w:fill="auto"/>
            <w:noWrap/>
            <w:vAlign w:val="center"/>
            <w:hideMark/>
          </w:tcPr>
          <w:p w:rsidR="00AA4FAA" w:rsidRPr="008F1678" w:rsidRDefault="00AA4FAA" w:rsidP="00DA3270">
            <w:pPr>
              <w:widowControl/>
              <w:spacing w:line="240" w:lineRule="auto"/>
              <w:ind w:leftChars="0" w:left="0" w:firstLineChars="0" w:firstLine="0"/>
              <w:jc w:val="center"/>
              <w:rPr>
                <w:rFonts w:hAnsi="標楷體" w:cs="新細明體"/>
                <w:b/>
                <w:snapToGrid/>
                <w:color w:val="000000"/>
                <w:kern w:val="0"/>
                <w:sz w:val="22"/>
                <w:szCs w:val="22"/>
              </w:rPr>
            </w:pPr>
            <w:r w:rsidRPr="008F1678">
              <w:rPr>
                <w:rFonts w:hAnsi="標楷體" w:cs="新細明體" w:hint="eastAsia"/>
                <w:b/>
                <w:snapToGrid/>
                <w:color w:val="000000"/>
                <w:kern w:val="0"/>
                <w:sz w:val="22"/>
                <w:szCs w:val="22"/>
              </w:rPr>
              <w:t>人數</w:t>
            </w:r>
          </w:p>
        </w:tc>
        <w:tc>
          <w:tcPr>
            <w:tcW w:w="421" w:type="pct"/>
            <w:shd w:val="clear" w:color="auto" w:fill="auto"/>
            <w:noWrap/>
            <w:vAlign w:val="center"/>
            <w:hideMark/>
          </w:tcPr>
          <w:p w:rsidR="00AA4FAA" w:rsidRPr="008F1678" w:rsidRDefault="00AA4FAA" w:rsidP="00DA3270">
            <w:pPr>
              <w:widowControl/>
              <w:spacing w:line="240" w:lineRule="auto"/>
              <w:ind w:leftChars="0" w:left="0" w:firstLineChars="0" w:firstLine="0"/>
              <w:jc w:val="center"/>
              <w:rPr>
                <w:rFonts w:hAnsi="標楷體" w:cs="新細明體"/>
                <w:b/>
                <w:snapToGrid/>
                <w:color w:val="000000"/>
                <w:kern w:val="0"/>
                <w:sz w:val="22"/>
                <w:szCs w:val="22"/>
              </w:rPr>
            </w:pPr>
            <w:r w:rsidRPr="008F1678">
              <w:rPr>
                <w:rFonts w:hAnsi="標楷體" w:cs="新細明體" w:hint="eastAsia"/>
                <w:b/>
                <w:snapToGrid/>
                <w:color w:val="000000"/>
                <w:kern w:val="0"/>
                <w:sz w:val="22"/>
                <w:szCs w:val="22"/>
              </w:rPr>
              <w:t>金額</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市縣政府遲報社福津貼資料</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806</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4</w:t>
            </w:r>
            <w:r>
              <w:rPr>
                <w:snapToGrid/>
                <w:sz w:val="22"/>
                <w:szCs w:val="22"/>
              </w:rPr>
              <w:t>,</w:t>
            </w:r>
            <w:r>
              <w:rPr>
                <w:rFonts w:hint="eastAsia"/>
                <w:snapToGrid/>
                <w:sz w:val="22"/>
                <w:szCs w:val="22"/>
              </w:rPr>
              <w:t>609</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442</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2</w:t>
            </w:r>
            <w:r>
              <w:rPr>
                <w:snapToGrid/>
                <w:sz w:val="22"/>
                <w:szCs w:val="22"/>
              </w:rPr>
              <w:t>,</w:t>
            </w:r>
            <w:r>
              <w:rPr>
                <w:rFonts w:hint="eastAsia"/>
                <w:snapToGrid/>
                <w:sz w:val="22"/>
                <w:szCs w:val="22"/>
              </w:rPr>
              <w:t>500</w:t>
            </w:r>
          </w:p>
        </w:tc>
        <w:tc>
          <w:tcPr>
            <w:tcW w:w="33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6</w:t>
            </w:r>
          </w:p>
        </w:tc>
        <w:tc>
          <w:tcPr>
            <w:tcW w:w="383" w:type="pct"/>
            <w:shd w:val="clear" w:color="auto" w:fill="auto"/>
            <w:noWrap/>
            <w:vAlign w:val="center"/>
          </w:tcPr>
          <w:p w:rsidR="00AA4FAA" w:rsidRPr="008F1678" w:rsidRDefault="00181BAA"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2</w:t>
            </w:r>
            <w:r>
              <w:rPr>
                <w:rFonts w:hAnsi="標楷體" w:cs="新細明體"/>
                <w:snapToGrid/>
                <w:color w:val="000000"/>
                <w:kern w:val="0"/>
                <w:sz w:val="22"/>
                <w:szCs w:val="22"/>
              </w:rPr>
              <w:t>5</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9</w:t>
            </w:r>
            <w:r>
              <w:rPr>
                <w:rFonts w:hAnsi="標楷體" w:cs="新細明體"/>
                <w:snapToGrid/>
                <w:color w:val="000000"/>
                <w:kern w:val="0"/>
                <w:sz w:val="22"/>
                <w:szCs w:val="22"/>
              </w:rPr>
              <w:t>1</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5</w:t>
            </w:r>
            <w:r>
              <w:rPr>
                <w:rFonts w:hAnsi="標楷體" w:cs="新細明體"/>
                <w:snapToGrid/>
                <w:color w:val="000000"/>
                <w:kern w:val="0"/>
                <w:sz w:val="22"/>
                <w:szCs w:val="22"/>
              </w:rPr>
              <w:t>27</w:t>
            </w:r>
          </w:p>
        </w:tc>
      </w:tr>
      <w:tr w:rsidR="00AA4FAA" w:rsidRPr="008F1678" w:rsidTr="00323975">
        <w:trPr>
          <w:trHeight w:val="340"/>
        </w:trPr>
        <w:tc>
          <w:tcPr>
            <w:tcW w:w="1669" w:type="pct"/>
            <w:shd w:val="clear" w:color="auto" w:fill="auto"/>
            <w:noWrap/>
            <w:vAlign w:val="center"/>
            <w:hideMark/>
          </w:tcPr>
          <w:p w:rsidR="00AA4FAA" w:rsidRPr="006D300A" w:rsidRDefault="00323975" w:rsidP="00DA3270">
            <w:pPr>
              <w:pStyle w:val="142"/>
              <w:jc w:val="both"/>
              <w:rPr>
                <w:snapToGrid/>
                <w:sz w:val="22"/>
                <w:szCs w:val="22"/>
              </w:rPr>
            </w:pPr>
            <w:r>
              <w:rPr>
                <w:rFonts w:hint="eastAsia"/>
                <w:snapToGrid/>
                <w:sz w:val="22"/>
                <w:szCs w:val="22"/>
              </w:rPr>
              <w:t>家屬未及時申報</w:t>
            </w:r>
            <w:r w:rsidR="00AA4FAA" w:rsidRPr="006D300A">
              <w:rPr>
                <w:rFonts w:hint="eastAsia"/>
                <w:snapToGrid/>
                <w:sz w:val="22"/>
                <w:szCs w:val="22"/>
              </w:rPr>
              <w:t>死亡登記</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2</w:t>
            </w:r>
            <w:r>
              <w:rPr>
                <w:snapToGrid/>
                <w:sz w:val="22"/>
                <w:szCs w:val="22"/>
              </w:rPr>
              <w:t>30</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6</w:t>
            </w:r>
            <w:r>
              <w:rPr>
                <w:snapToGrid/>
                <w:sz w:val="22"/>
                <w:szCs w:val="22"/>
              </w:rPr>
              <w:t>,939</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8</w:t>
            </w:r>
            <w:r>
              <w:rPr>
                <w:snapToGrid/>
                <w:sz w:val="22"/>
                <w:szCs w:val="22"/>
              </w:rPr>
              <w:t>8</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2</w:t>
            </w:r>
            <w:r>
              <w:rPr>
                <w:snapToGrid/>
                <w:sz w:val="22"/>
                <w:szCs w:val="22"/>
              </w:rPr>
              <w:t>,723</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2</w:t>
            </w:r>
            <w:r>
              <w:rPr>
                <w:snapToGrid/>
                <w:sz w:val="22"/>
                <w:szCs w:val="22"/>
              </w:rPr>
              <w:t>4</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,091</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3</w:t>
            </w:r>
            <w:r>
              <w:rPr>
                <w:rFonts w:hAnsi="標楷體" w:cs="新細明體"/>
                <w:snapToGrid/>
                <w:color w:val="000000"/>
                <w:kern w:val="0"/>
                <w:sz w:val="22"/>
                <w:szCs w:val="22"/>
              </w:rPr>
              <w:t>5</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,995</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機關遲報退休、遺眷月撫慰(卹)金</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1</w:t>
            </w:r>
            <w:r>
              <w:rPr>
                <w:snapToGrid/>
                <w:sz w:val="22"/>
                <w:szCs w:val="22"/>
              </w:rPr>
              <w:t>2</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1</w:t>
            </w:r>
            <w:r>
              <w:rPr>
                <w:snapToGrid/>
                <w:sz w:val="22"/>
                <w:szCs w:val="22"/>
              </w:rPr>
              <w:t>88</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1</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8</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1</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7</w:t>
            </w:r>
            <w:r>
              <w:rPr>
                <w:rFonts w:hAnsi="標楷體" w:cs="新細明體"/>
                <w:snapToGrid/>
                <w:color w:val="000000"/>
                <w:kern w:val="0"/>
                <w:sz w:val="22"/>
                <w:szCs w:val="22"/>
              </w:rPr>
              <w:t>5</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8</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取消加保資格(戶政或其他社會保險資料追溯調整)</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7</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7</w:t>
            </w:r>
            <w:r>
              <w:rPr>
                <w:snapToGrid/>
                <w:sz w:val="22"/>
                <w:szCs w:val="22"/>
              </w:rPr>
              <w:t>01</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5</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7</w:t>
            </w:r>
            <w:r>
              <w:rPr>
                <w:snapToGrid/>
                <w:sz w:val="22"/>
                <w:szCs w:val="22"/>
              </w:rPr>
              <w:t>00</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0</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0</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3</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59</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已無重度身障手冊或證明(資料延遲、放棄資格、市縣政府資料錯誤)</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2</w:t>
            </w:r>
            <w:r>
              <w:rPr>
                <w:snapToGrid/>
                <w:sz w:val="22"/>
                <w:szCs w:val="22"/>
              </w:rPr>
              <w:t>1</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6</w:t>
            </w:r>
            <w:r>
              <w:rPr>
                <w:snapToGrid/>
                <w:sz w:val="22"/>
                <w:szCs w:val="22"/>
              </w:rPr>
              <w:t>30</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4</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1</w:t>
            </w:r>
            <w:r>
              <w:rPr>
                <w:snapToGrid/>
                <w:sz w:val="22"/>
                <w:szCs w:val="22"/>
              </w:rPr>
              <w:t>4</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1</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3</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0</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0</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遺屬身分狀態改變(配偶再婚、子女被收養)</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1</w:t>
            </w:r>
            <w:r>
              <w:rPr>
                <w:snapToGrid/>
                <w:sz w:val="22"/>
                <w:szCs w:val="22"/>
              </w:rPr>
              <w:t>33</w:t>
            </w:r>
          </w:p>
        </w:tc>
        <w:tc>
          <w:tcPr>
            <w:tcW w:w="512" w:type="pct"/>
            <w:shd w:val="clear" w:color="auto" w:fill="auto"/>
            <w:noWrap/>
            <w:vAlign w:val="center"/>
          </w:tcPr>
          <w:p w:rsidR="00AA4FAA" w:rsidRPr="006D300A" w:rsidRDefault="00245123" w:rsidP="00DA3270">
            <w:pPr>
              <w:pStyle w:val="142"/>
              <w:jc w:val="right"/>
              <w:rPr>
                <w:snapToGrid/>
                <w:sz w:val="22"/>
                <w:szCs w:val="22"/>
              </w:rPr>
            </w:pPr>
            <w:r>
              <w:rPr>
                <w:snapToGrid/>
                <w:sz w:val="22"/>
                <w:szCs w:val="22"/>
              </w:rPr>
              <w:t>1,751</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3</w:t>
            </w:r>
            <w:r>
              <w:rPr>
                <w:snapToGrid/>
                <w:sz w:val="22"/>
                <w:szCs w:val="22"/>
              </w:rPr>
              <w:t>4</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1</w:t>
            </w:r>
            <w:r>
              <w:rPr>
                <w:snapToGrid/>
                <w:sz w:val="22"/>
                <w:szCs w:val="22"/>
              </w:rPr>
              <w:t>,316</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1</w:t>
            </w:r>
            <w:r>
              <w:rPr>
                <w:snapToGrid/>
                <w:sz w:val="22"/>
                <w:szCs w:val="22"/>
              </w:rPr>
              <w:t>0</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4</w:t>
            </w:r>
            <w:r>
              <w:rPr>
                <w:rFonts w:hAnsi="標楷體" w:cs="新細明體"/>
                <w:snapToGrid/>
                <w:color w:val="000000"/>
                <w:kern w:val="0"/>
                <w:sz w:val="22"/>
                <w:szCs w:val="22"/>
              </w:rPr>
              <w:t>73</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4</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6</w:t>
            </w:r>
            <w:r>
              <w:rPr>
                <w:rFonts w:hAnsi="標楷體" w:cs="新細明體"/>
                <w:snapToGrid/>
                <w:color w:val="000000"/>
                <w:kern w:val="0"/>
                <w:sz w:val="22"/>
                <w:szCs w:val="22"/>
              </w:rPr>
              <w:t>53</w:t>
            </w:r>
          </w:p>
        </w:tc>
      </w:tr>
      <w:tr w:rsidR="00AA4FAA" w:rsidRPr="008F1678" w:rsidTr="00323975">
        <w:trPr>
          <w:trHeight w:val="340"/>
        </w:trPr>
        <w:tc>
          <w:tcPr>
            <w:tcW w:w="1669" w:type="pct"/>
            <w:shd w:val="clear" w:color="auto" w:fill="auto"/>
            <w:noWrap/>
            <w:vAlign w:val="center"/>
            <w:hideMark/>
          </w:tcPr>
          <w:p w:rsidR="00AA4FAA" w:rsidRPr="006D300A" w:rsidRDefault="00AA4FAA" w:rsidP="00245123">
            <w:pPr>
              <w:pStyle w:val="142"/>
              <w:jc w:val="both"/>
              <w:rPr>
                <w:snapToGrid/>
                <w:sz w:val="22"/>
                <w:szCs w:val="22"/>
              </w:rPr>
            </w:pPr>
            <w:r w:rsidRPr="006D300A">
              <w:rPr>
                <w:rFonts w:hint="eastAsia"/>
                <w:snapToGrid/>
                <w:sz w:val="22"/>
                <w:szCs w:val="22"/>
              </w:rPr>
              <w:t>已領社會保險老年給付（</w:t>
            </w:r>
            <w:r w:rsidR="00245123">
              <w:rPr>
                <w:rFonts w:hint="eastAsia"/>
                <w:snapToGrid/>
                <w:sz w:val="22"/>
                <w:szCs w:val="22"/>
              </w:rPr>
              <w:t>社福津貼有</w:t>
            </w:r>
            <w:r w:rsidRPr="006D300A">
              <w:rPr>
                <w:rFonts w:hint="eastAsia"/>
                <w:snapToGrid/>
                <w:sz w:val="22"/>
                <w:szCs w:val="22"/>
              </w:rPr>
              <w:t>誤報、遲報)</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2</w:t>
            </w:r>
            <w:r>
              <w:rPr>
                <w:snapToGrid/>
                <w:sz w:val="22"/>
                <w:szCs w:val="22"/>
              </w:rPr>
              <w:t>0</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1</w:t>
            </w:r>
            <w:r>
              <w:rPr>
                <w:snapToGrid/>
                <w:sz w:val="22"/>
                <w:szCs w:val="22"/>
              </w:rPr>
              <w:t>44</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9</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5</w:t>
            </w:r>
            <w:r>
              <w:rPr>
                <w:snapToGrid/>
                <w:sz w:val="22"/>
                <w:szCs w:val="22"/>
              </w:rPr>
              <w:t>2</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1</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8</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4</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3</w:t>
            </w:r>
            <w:r>
              <w:rPr>
                <w:rFonts w:hAnsi="標楷體" w:cs="新細明體"/>
                <w:snapToGrid/>
                <w:color w:val="000000"/>
                <w:kern w:val="0"/>
                <w:sz w:val="22"/>
                <w:szCs w:val="22"/>
              </w:rPr>
              <w:t>0</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其他(服刑資料遲報、老農津貼追溯補發、身障基本保證年金與其他社會保險重複等)</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6</w:t>
            </w:r>
            <w:r>
              <w:rPr>
                <w:snapToGrid/>
                <w:sz w:val="22"/>
                <w:szCs w:val="22"/>
              </w:rPr>
              <w:t>2</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1</w:t>
            </w:r>
            <w:r>
              <w:rPr>
                <w:snapToGrid/>
                <w:sz w:val="22"/>
                <w:szCs w:val="22"/>
              </w:rPr>
              <w:t>,690</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3</w:t>
            </w:r>
            <w:r>
              <w:rPr>
                <w:snapToGrid/>
                <w:sz w:val="22"/>
                <w:szCs w:val="22"/>
              </w:rPr>
              <w:t>4</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1</w:t>
            </w:r>
            <w:r>
              <w:rPr>
                <w:snapToGrid/>
                <w:sz w:val="22"/>
                <w:szCs w:val="22"/>
              </w:rPr>
              <w:t>,976</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5</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3</w:t>
            </w:r>
            <w:r>
              <w:rPr>
                <w:rFonts w:hAnsi="標楷體" w:cs="新細明體"/>
                <w:snapToGrid/>
                <w:color w:val="000000"/>
                <w:kern w:val="0"/>
                <w:sz w:val="22"/>
                <w:szCs w:val="22"/>
              </w:rPr>
              <w:t>71</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8</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,766</w:t>
            </w:r>
          </w:p>
        </w:tc>
      </w:tr>
      <w:tr w:rsidR="00AA4FAA" w:rsidRPr="008F1678" w:rsidTr="00323975">
        <w:trPr>
          <w:trHeight w:val="340"/>
        </w:trPr>
        <w:tc>
          <w:tcPr>
            <w:tcW w:w="1669" w:type="pct"/>
            <w:shd w:val="clear" w:color="auto" w:fill="auto"/>
            <w:noWrap/>
            <w:vAlign w:val="center"/>
            <w:hideMark/>
          </w:tcPr>
          <w:p w:rsidR="00AA4FAA" w:rsidRPr="00D961F5" w:rsidRDefault="00AA4FAA" w:rsidP="00DA3270">
            <w:pPr>
              <w:pStyle w:val="142"/>
              <w:jc w:val="center"/>
              <w:rPr>
                <w:b/>
                <w:snapToGrid/>
                <w:sz w:val="22"/>
                <w:szCs w:val="22"/>
              </w:rPr>
            </w:pPr>
            <w:r w:rsidRPr="00D961F5">
              <w:rPr>
                <w:rFonts w:hint="eastAsia"/>
                <w:b/>
                <w:snapToGrid/>
                <w:sz w:val="22"/>
                <w:szCs w:val="22"/>
              </w:rPr>
              <w:t>合    計</w:t>
            </w:r>
          </w:p>
        </w:tc>
        <w:tc>
          <w:tcPr>
            <w:tcW w:w="396" w:type="pct"/>
            <w:shd w:val="clear" w:color="auto" w:fill="auto"/>
            <w:noWrap/>
            <w:vAlign w:val="center"/>
          </w:tcPr>
          <w:p w:rsidR="00AA4FAA" w:rsidRPr="00D961F5" w:rsidRDefault="002063CD" w:rsidP="00DA3270">
            <w:pPr>
              <w:pStyle w:val="142"/>
              <w:jc w:val="right"/>
              <w:rPr>
                <w:b/>
                <w:snapToGrid/>
                <w:sz w:val="22"/>
                <w:szCs w:val="22"/>
              </w:rPr>
            </w:pPr>
            <w:r>
              <w:rPr>
                <w:rFonts w:hint="eastAsia"/>
                <w:b/>
                <w:snapToGrid/>
                <w:sz w:val="22"/>
                <w:szCs w:val="22"/>
              </w:rPr>
              <w:t>1</w:t>
            </w:r>
            <w:r>
              <w:rPr>
                <w:b/>
                <w:snapToGrid/>
                <w:sz w:val="22"/>
                <w:szCs w:val="22"/>
              </w:rPr>
              <w:t>,</w:t>
            </w:r>
            <w:r>
              <w:rPr>
                <w:rFonts w:hint="eastAsia"/>
                <w:b/>
                <w:snapToGrid/>
                <w:sz w:val="22"/>
                <w:szCs w:val="22"/>
              </w:rPr>
              <w:t>291</w:t>
            </w:r>
          </w:p>
        </w:tc>
        <w:tc>
          <w:tcPr>
            <w:tcW w:w="512" w:type="pct"/>
            <w:shd w:val="clear" w:color="auto" w:fill="auto"/>
            <w:noWrap/>
            <w:vAlign w:val="center"/>
          </w:tcPr>
          <w:p w:rsidR="00AA4FAA" w:rsidRPr="00D961F5" w:rsidRDefault="002063CD" w:rsidP="00DA3270">
            <w:pPr>
              <w:pStyle w:val="142"/>
              <w:jc w:val="right"/>
              <w:rPr>
                <w:b/>
                <w:snapToGrid/>
                <w:sz w:val="22"/>
                <w:szCs w:val="22"/>
              </w:rPr>
            </w:pPr>
            <w:r>
              <w:rPr>
                <w:rFonts w:hint="eastAsia"/>
                <w:b/>
                <w:snapToGrid/>
                <w:sz w:val="22"/>
                <w:szCs w:val="22"/>
              </w:rPr>
              <w:t>1</w:t>
            </w:r>
            <w:r>
              <w:rPr>
                <w:b/>
                <w:snapToGrid/>
                <w:sz w:val="22"/>
                <w:szCs w:val="22"/>
              </w:rPr>
              <w:t>6,652</w:t>
            </w:r>
          </w:p>
        </w:tc>
        <w:tc>
          <w:tcPr>
            <w:tcW w:w="320" w:type="pct"/>
            <w:shd w:val="clear" w:color="auto" w:fill="auto"/>
            <w:noWrap/>
            <w:vAlign w:val="center"/>
          </w:tcPr>
          <w:p w:rsidR="00AA4FAA" w:rsidRPr="00D961F5" w:rsidRDefault="002063CD" w:rsidP="00DA3270">
            <w:pPr>
              <w:pStyle w:val="142"/>
              <w:jc w:val="right"/>
              <w:rPr>
                <w:b/>
                <w:snapToGrid/>
                <w:sz w:val="22"/>
                <w:szCs w:val="22"/>
              </w:rPr>
            </w:pPr>
            <w:r>
              <w:rPr>
                <w:rFonts w:hint="eastAsia"/>
                <w:b/>
                <w:snapToGrid/>
                <w:sz w:val="22"/>
                <w:szCs w:val="22"/>
              </w:rPr>
              <w:t>6</w:t>
            </w:r>
            <w:r>
              <w:rPr>
                <w:b/>
                <w:snapToGrid/>
                <w:sz w:val="22"/>
                <w:szCs w:val="22"/>
              </w:rPr>
              <w:t>17</w:t>
            </w:r>
          </w:p>
        </w:tc>
        <w:tc>
          <w:tcPr>
            <w:tcW w:w="506" w:type="pct"/>
            <w:shd w:val="clear" w:color="auto" w:fill="auto"/>
            <w:noWrap/>
            <w:vAlign w:val="center"/>
          </w:tcPr>
          <w:p w:rsidR="00AA4FAA" w:rsidRPr="00D961F5" w:rsidRDefault="002063CD" w:rsidP="00DA3270">
            <w:pPr>
              <w:pStyle w:val="142"/>
              <w:jc w:val="right"/>
              <w:rPr>
                <w:b/>
                <w:snapToGrid/>
                <w:sz w:val="22"/>
                <w:szCs w:val="22"/>
              </w:rPr>
            </w:pPr>
            <w:r>
              <w:rPr>
                <w:rFonts w:hint="eastAsia"/>
                <w:b/>
                <w:snapToGrid/>
                <w:sz w:val="22"/>
                <w:szCs w:val="22"/>
              </w:rPr>
              <w:t>9</w:t>
            </w:r>
            <w:r>
              <w:rPr>
                <w:b/>
                <w:snapToGrid/>
                <w:sz w:val="22"/>
                <w:szCs w:val="22"/>
              </w:rPr>
              <w:t>,289</w:t>
            </w:r>
          </w:p>
        </w:tc>
        <w:tc>
          <w:tcPr>
            <w:tcW w:w="336" w:type="pct"/>
            <w:shd w:val="clear" w:color="auto" w:fill="auto"/>
            <w:noWrap/>
            <w:vAlign w:val="center"/>
          </w:tcPr>
          <w:p w:rsidR="00AA4FAA" w:rsidRPr="00D961F5" w:rsidRDefault="007B484C" w:rsidP="00DA3270">
            <w:pPr>
              <w:pStyle w:val="142"/>
              <w:jc w:val="right"/>
              <w:rPr>
                <w:b/>
                <w:snapToGrid/>
                <w:sz w:val="22"/>
                <w:szCs w:val="22"/>
              </w:rPr>
            </w:pPr>
            <w:r>
              <w:rPr>
                <w:rFonts w:hint="eastAsia"/>
                <w:b/>
                <w:snapToGrid/>
                <w:sz w:val="22"/>
                <w:szCs w:val="22"/>
              </w:rPr>
              <w:t>4</w:t>
            </w:r>
            <w:r>
              <w:rPr>
                <w:b/>
                <w:snapToGrid/>
                <w:sz w:val="22"/>
                <w:szCs w:val="22"/>
              </w:rPr>
              <w:t>8</w:t>
            </w:r>
          </w:p>
        </w:tc>
        <w:tc>
          <w:tcPr>
            <w:tcW w:w="383" w:type="pct"/>
            <w:shd w:val="clear" w:color="auto" w:fill="auto"/>
            <w:noWrap/>
            <w:vAlign w:val="center"/>
          </w:tcPr>
          <w:p w:rsidR="00AA4FAA" w:rsidRPr="00D961F5" w:rsidRDefault="007B484C" w:rsidP="00DA3270">
            <w:pPr>
              <w:pStyle w:val="142"/>
              <w:jc w:val="right"/>
              <w:rPr>
                <w:rFonts w:hAnsi="標楷體" w:cs="新細明體"/>
                <w:b/>
                <w:snapToGrid/>
                <w:kern w:val="0"/>
                <w:sz w:val="22"/>
                <w:szCs w:val="22"/>
              </w:rPr>
            </w:pPr>
            <w:r>
              <w:rPr>
                <w:rFonts w:hAnsi="標楷體" w:cs="新細明體" w:hint="eastAsia"/>
                <w:b/>
                <w:snapToGrid/>
                <w:kern w:val="0"/>
                <w:sz w:val="22"/>
                <w:szCs w:val="22"/>
              </w:rPr>
              <w:t>2</w:t>
            </w:r>
            <w:r>
              <w:rPr>
                <w:rFonts w:hAnsi="標楷體" w:cs="新細明體"/>
                <w:b/>
                <w:snapToGrid/>
                <w:kern w:val="0"/>
                <w:sz w:val="22"/>
                <w:szCs w:val="22"/>
              </w:rPr>
              <w:t>,046</w:t>
            </w:r>
          </w:p>
        </w:tc>
        <w:tc>
          <w:tcPr>
            <w:tcW w:w="457" w:type="pct"/>
            <w:shd w:val="clear" w:color="auto" w:fill="auto"/>
            <w:noWrap/>
            <w:vAlign w:val="center"/>
          </w:tcPr>
          <w:p w:rsidR="00AA4FAA" w:rsidRPr="00D961F5" w:rsidRDefault="007B484C" w:rsidP="00DA3270">
            <w:pPr>
              <w:pStyle w:val="142"/>
              <w:jc w:val="right"/>
              <w:rPr>
                <w:rFonts w:hAnsi="標楷體" w:cs="新細明體"/>
                <w:b/>
                <w:snapToGrid/>
                <w:kern w:val="0"/>
                <w:sz w:val="22"/>
                <w:szCs w:val="22"/>
              </w:rPr>
            </w:pPr>
            <w:r>
              <w:rPr>
                <w:rFonts w:hAnsi="標楷體" w:cs="新細明體" w:hint="eastAsia"/>
                <w:b/>
                <w:snapToGrid/>
                <w:kern w:val="0"/>
                <w:sz w:val="22"/>
                <w:szCs w:val="22"/>
              </w:rPr>
              <w:t>1</w:t>
            </w:r>
            <w:r>
              <w:rPr>
                <w:rFonts w:hAnsi="標楷體" w:cs="新細明體"/>
                <w:b/>
                <w:snapToGrid/>
                <w:kern w:val="0"/>
                <w:sz w:val="22"/>
                <w:szCs w:val="22"/>
              </w:rPr>
              <w:t>66</w:t>
            </w:r>
          </w:p>
        </w:tc>
        <w:tc>
          <w:tcPr>
            <w:tcW w:w="421" w:type="pct"/>
            <w:shd w:val="clear" w:color="auto" w:fill="auto"/>
            <w:noWrap/>
            <w:vAlign w:val="center"/>
          </w:tcPr>
          <w:p w:rsidR="00AA4FAA" w:rsidRPr="00D961F5" w:rsidRDefault="007B484C" w:rsidP="00DA3270">
            <w:pPr>
              <w:pStyle w:val="142"/>
              <w:jc w:val="right"/>
              <w:rPr>
                <w:rFonts w:hAnsi="標楷體" w:cs="新細明體"/>
                <w:b/>
                <w:snapToGrid/>
                <w:kern w:val="0"/>
                <w:sz w:val="22"/>
                <w:szCs w:val="22"/>
              </w:rPr>
            </w:pPr>
            <w:r>
              <w:rPr>
                <w:rFonts w:hAnsi="標楷體" w:cs="新細明體" w:hint="eastAsia"/>
                <w:b/>
                <w:snapToGrid/>
                <w:kern w:val="0"/>
                <w:sz w:val="22"/>
                <w:szCs w:val="22"/>
              </w:rPr>
              <w:t>5</w:t>
            </w:r>
            <w:r>
              <w:rPr>
                <w:rFonts w:hAnsi="標楷體" w:cs="新細明體"/>
                <w:b/>
                <w:snapToGrid/>
                <w:kern w:val="0"/>
                <w:sz w:val="22"/>
                <w:szCs w:val="22"/>
              </w:rPr>
              <w:t>,138</w:t>
            </w:r>
          </w:p>
        </w:tc>
      </w:tr>
    </w:tbl>
    <w:p w:rsidR="00B61FFC" w:rsidRDefault="00AA4FAA" w:rsidP="002063CD">
      <w:pPr>
        <w:pStyle w:val="142"/>
        <w:ind w:left="1459" w:hangingChars="600" w:hanging="1459"/>
        <w:jc w:val="both"/>
      </w:pPr>
      <w:r w:rsidRPr="0024470F">
        <w:rPr>
          <w:rFonts w:hint="eastAsia"/>
        </w:rPr>
        <w:t>說　　明：</w:t>
      </w:r>
      <w:r w:rsidR="00B61FFC">
        <w:rPr>
          <w:rFonts w:hint="eastAsia"/>
        </w:rPr>
        <w:t>1</w:t>
      </w:r>
      <w:r w:rsidR="00B61FFC">
        <w:t>.</w:t>
      </w:r>
      <w:r w:rsidR="002063CD">
        <w:rPr>
          <w:rFonts w:hint="eastAsia"/>
        </w:rPr>
        <w:t>原始資料以新臺幣元為單位</w:t>
      </w:r>
      <w:r w:rsidR="002063CD">
        <w:rPr>
          <w:rFonts w:hAnsi="標楷體" w:hint="eastAsia"/>
        </w:rPr>
        <w:t>，</w:t>
      </w:r>
      <w:r w:rsidR="002063CD">
        <w:rPr>
          <w:rFonts w:hint="eastAsia"/>
        </w:rPr>
        <w:t>本表因採新臺幣千元為單位</w:t>
      </w:r>
      <w:r w:rsidR="002063CD">
        <w:rPr>
          <w:rFonts w:hAnsi="標楷體" w:hint="eastAsia"/>
        </w:rPr>
        <w:t>，以</w:t>
      </w:r>
      <w:r w:rsidR="002063CD">
        <w:rPr>
          <w:rFonts w:hint="eastAsia"/>
        </w:rPr>
        <w:t>四捨五入法取概數</w:t>
      </w:r>
      <w:r w:rsidR="002063CD">
        <w:rPr>
          <w:rFonts w:hAnsi="標楷體" w:hint="eastAsia"/>
        </w:rPr>
        <w:t>，爰有尾差。</w:t>
      </w:r>
    </w:p>
    <w:p w:rsidR="00AA4FAA" w:rsidRDefault="00B61FFC" w:rsidP="00B61FFC">
      <w:pPr>
        <w:pStyle w:val="142"/>
        <w:ind w:firstLineChars="500" w:firstLine="1216"/>
        <w:jc w:val="both"/>
      </w:pPr>
      <w:r>
        <w:rPr>
          <w:rFonts w:hint="eastAsia"/>
        </w:rPr>
        <w:t>2</w:t>
      </w:r>
      <w:r>
        <w:t>.</w:t>
      </w:r>
      <w:r w:rsidR="00245123">
        <w:rPr>
          <w:rFonts w:hint="eastAsia"/>
        </w:rPr>
        <w:t>倘有</w:t>
      </w:r>
      <w:r w:rsidR="00AA4FAA" w:rsidRPr="008D50B9">
        <w:rPr>
          <w:rFonts w:hint="eastAsia"/>
          <w:spacing w:val="-4"/>
        </w:rPr>
        <w:t>1人多筆溢領金額</w:t>
      </w:r>
      <w:r w:rsidR="00245123">
        <w:rPr>
          <w:rFonts w:hint="eastAsia"/>
          <w:spacing w:val="-4"/>
        </w:rPr>
        <w:t>之情形</w:t>
      </w:r>
      <w:r w:rsidR="00AA4FAA" w:rsidRPr="008D50B9">
        <w:rPr>
          <w:rFonts w:hint="eastAsia"/>
          <w:spacing w:val="-4"/>
        </w:rPr>
        <w:t>，仍以1人計</w:t>
      </w:r>
      <w:r w:rsidR="00AA4FAA">
        <w:rPr>
          <w:rFonts w:hint="eastAsia"/>
          <w:spacing w:val="-4"/>
        </w:rPr>
        <w:t>，金額則</w:t>
      </w:r>
      <w:r w:rsidR="00AA4FAA" w:rsidRPr="008D50B9">
        <w:rPr>
          <w:rFonts w:hint="eastAsia"/>
          <w:spacing w:val="-4"/>
        </w:rPr>
        <w:t>加總彙計</w:t>
      </w:r>
      <w:r w:rsidR="00AA4FAA" w:rsidRPr="00342667">
        <w:rPr>
          <w:rFonts w:hint="eastAsia"/>
          <w:spacing w:val="-4"/>
        </w:rPr>
        <w:t>。</w:t>
      </w:r>
    </w:p>
    <w:p w:rsidR="00AA4FAA" w:rsidRDefault="00AA4FAA" w:rsidP="00BB748E">
      <w:pPr>
        <w:pStyle w:val="142"/>
        <w:ind w:leftChars="5" w:left="1592" w:hangingChars="649" w:hanging="1578"/>
        <w:jc w:val="both"/>
        <w:rPr>
          <w:rFonts w:hAnsi="標楷體"/>
          <w:lang w:eastAsia="zh-HK"/>
        </w:rPr>
      </w:pPr>
      <w:r>
        <w:rPr>
          <w:rFonts w:hint="eastAsia"/>
          <w:lang w:eastAsia="zh-HK"/>
        </w:rPr>
        <w:t>資</w:t>
      </w:r>
      <w:r w:rsidRPr="00BC3476">
        <w:rPr>
          <w:rFonts w:hint="eastAsia"/>
        </w:rPr>
        <w:t>料來源</w:t>
      </w:r>
      <w:r>
        <w:rPr>
          <w:rFonts w:hint="eastAsia"/>
          <w:lang w:eastAsia="zh-HK"/>
        </w:rPr>
        <w:t>：</w:t>
      </w:r>
      <w:r>
        <w:rPr>
          <w:rFonts w:hint="eastAsia"/>
        </w:rPr>
        <w:t>國保基金</w:t>
      </w:r>
      <w:r w:rsidR="00245123">
        <w:rPr>
          <w:rFonts w:hint="eastAsia"/>
        </w:rPr>
        <w:t>提供</w:t>
      </w:r>
      <w:r w:rsidR="00245123">
        <w:rPr>
          <w:rFonts w:hAnsi="標楷體" w:hint="eastAsia"/>
        </w:rPr>
        <w:t>，</w:t>
      </w:r>
      <w:r w:rsidR="00245123">
        <w:rPr>
          <w:rFonts w:hint="eastAsia"/>
        </w:rPr>
        <w:t>本中心彙整</w:t>
      </w:r>
      <w:r>
        <w:rPr>
          <w:rFonts w:hint="eastAsia"/>
        </w:rPr>
        <w:t>。</w:t>
      </w:r>
    </w:p>
    <w:bookmarkEnd w:id="5"/>
    <w:bookmarkEnd w:id="1"/>
    <w:bookmarkEnd w:id="2"/>
    <w:bookmarkEnd w:id="3"/>
    <w:bookmarkEnd w:id="4"/>
    <w:sectPr w:rsidR="00AA4FAA"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C850D5" w:rsidRPr="00C850D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837FEA" w:rsidRDefault="00F20223" w:rsidP="00427916">
      <w:pPr>
        <w:pStyle w:val="142"/>
        <w:ind w:left="219" w:hangingChars="90" w:hanging="219"/>
        <w:rPr>
          <w:rFonts w:hint="eastAsia"/>
        </w:rPr>
      </w:pPr>
      <w:r w:rsidRPr="00837FEA">
        <w:rPr>
          <w:rStyle w:val="af2"/>
          <w:szCs w:val="24"/>
        </w:rPr>
        <w:footnoteRef/>
      </w:r>
      <w:r w:rsidRPr="00837FEA">
        <w:t xml:space="preserve"> </w:t>
      </w:r>
      <w:r>
        <w:rPr>
          <w:rFonts w:hint="eastAsia"/>
        </w:rPr>
        <w:t>國民年金法第24條規定</w:t>
      </w:r>
      <w:r>
        <w:rPr>
          <w:rFonts w:ascii="新細明體" w:eastAsia="新細明體" w:hAnsi="新細明體" w:hint="eastAsia"/>
        </w:rPr>
        <w:t>：</w:t>
      </w:r>
      <w:r>
        <w:rPr>
          <w:rFonts w:hint="eastAsia"/>
        </w:rPr>
        <w:t>「</w:t>
      </w:r>
      <w:r w:rsidRPr="00837FEA">
        <w:rPr>
          <w:rFonts w:hint="eastAsia"/>
        </w:rPr>
        <w:t>被保險人或其遺屬請領年金給付時，保險人得予以查證，並得於查證期間停止發給，經查證符合給付條件者，應補發查證期間之給付，並依規定繼續發給</w:t>
      </w:r>
      <w:r>
        <w:rPr>
          <w:rFonts w:hAnsi="標楷體" w:hint="eastAsia"/>
        </w:rPr>
        <w:t>；</w:t>
      </w:r>
      <w:r w:rsidRPr="00837FEA">
        <w:rPr>
          <w:rFonts w:hint="eastAsia"/>
        </w:rPr>
        <w:t>領取年金給付者不符合給付條件或死亡時，本人或其法定繼承人應自事實發生之日起三十日內，檢具相關文件資料，通知保險人，自事實發生之次月起停止發給年金給付</w:t>
      </w:r>
      <w:r>
        <w:rPr>
          <w:rFonts w:hAnsi="標楷體" w:hint="eastAsia"/>
        </w:rPr>
        <w:t>；</w:t>
      </w:r>
      <w:r w:rsidRPr="00AF44F1">
        <w:rPr>
          <w:rFonts w:hint="eastAsia"/>
        </w:rPr>
        <w:t>領取年金給付者死亡，應發給之年金給付未及撥入其帳戶時，得由其法定繼承人檢附申請人死亡戶籍謄本及法定繼承人戶籍謄本請領之；法定繼承人有二人以上時，得檢附共同委任書及切結書，由其中一人請領</w:t>
      </w:r>
      <w:r>
        <w:rPr>
          <w:rFonts w:hAnsi="標楷體" w:hint="eastAsia"/>
        </w:rPr>
        <w:t>；</w:t>
      </w:r>
      <w:r w:rsidRPr="00AF44F1">
        <w:rPr>
          <w:rFonts w:hint="eastAsia"/>
        </w:rPr>
        <w:t>領取年金給付者或其法定繼承人未依第一項及第二項規定通知保險人致溢領年金給付者，保險人應以書面命溢領人於三十日內繳還；保險人並得自匯發年金給付帳戶餘額中追回溢領之年金給付。</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0D5"/>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6775C8C-1E27-4288-A18D-A20BE8318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99CD-2B5E-4B01-AA0B-4305DBE0F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304</Words>
  <Characters>1738</Characters>
  <Application>Microsoft Office Word</Application>
  <DocSecurity>0</DocSecurity>
  <Lines>14</Lines>
  <Paragraphs>4</Paragraphs>
  <ScaleCrop>false</ScaleCrop>
  <Company>HOME</Company>
  <LinksUpToDate>false</LinksUpToDate>
  <CharactersWithSpaces>2038</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2024-11-22T01:22:00Z</dcterms:created>
  <dcterms:modified xsi:type="dcterms:W3CDTF">2024-11-22T01:22:00Z</dcterms:modified>
</cp:coreProperties>
</file>