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0555" w:rsidRDefault="00210555" w:rsidP="00210555">
      <w:pPr>
        <w:adjustRightInd w:val="0"/>
        <w:spacing w:line="540" w:lineRule="exact"/>
        <w:ind w:leftChars="0" w:left="0" w:firstLineChars="0" w:firstLine="0"/>
        <w:jc w:val="left"/>
        <w:rPr>
          <w:b/>
          <w:kern w:val="0"/>
          <w:sz w:val="36"/>
          <w:szCs w:val="36"/>
        </w:rPr>
      </w:pPr>
      <w:bookmarkStart w:id="0" w:name="_GoBack"/>
      <w:bookmarkEnd w:id="0"/>
      <w:r w:rsidRPr="00444035">
        <w:rPr>
          <w:rFonts w:hint="eastAsia"/>
          <w:b/>
          <w:kern w:val="0"/>
          <w:sz w:val="36"/>
          <w:szCs w:val="36"/>
        </w:rPr>
        <w:t>衛生福利特別收入基金（社會福利基金、家庭暴力及性侵害防治基金、長照服務發展基金）及國民年金保險基金</w:t>
      </w:r>
      <w:r>
        <w:rPr>
          <w:rFonts w:hint="eastAsia"/>
          <w:b/>
          <w:kern w:val="0"/>
          <w:sz w:val="36"/>
          <w:szCs w:val="36"/>
        </w:rPr>
        <w:t>11</w:t>
      </w:r>
      <w:r w:rsidR="00155B2D">
        <w:rPr>
          <w:b/>
          <w:kern w:val="0"/>
          <w:sz w:val="36"/>
          <w:szCs w:val="36"/>
        </w:rPr>
        <w:t>4</w:t>
      </w:r>
      <w:r w:rsidRPr="00444035">
        <w:rPr>
          <w:rFonts w:hint="eastAsia"/>
          <w:b/>
          <w:kern w:val="0"/>
          <w:sz w:val="36"/>
          <w:szCs w:val="36"/>
        </w:rPr>
        <w:t>年度預算評估報告</w:t>
      </w:r>
    </w:p>
    <w:p w:rsidR="007C5322" w:rsidRPr="00532A0A" w:rsidRDefault="00AF4780" w:rsidP="00B35D30">
      <w:pPr>
        <w:pStyle w:val="14"/>
        <w:ind w:left="567" w:hanging="567"/>
      </w:pPr>
      <w:bookmarkStart w:id="1" w:name="_Toc19798781"/>
      <w:bookmarkStart w:id="2" w:name="_Toc524945248"/>
      <w:bookmarkStart w:id="3" w:name="_Toc525456783"/>
      <w:bookmarkStart w:id="4" w:name="_Toc525660553"/>
      <w:bookmarkStart w:id="5" w:name="_Toc434938812"/>
      <w:bookmarkStart w:id="6" w:name="_Toc181892134"/>
      <w:r>
        <w:rPr>
          <w:rFonts w:hint="eastAsia"/>
        </w:rPr>
        <w:t>一五</w:t>
      </w:r>
      <w:r w:rsidR="007C5322" w:rsidRPr="00532A0A">
        <w:rPr>
          <w:rFonts w:hint="eastAsia"/>
        </w:rPr>
        <w:t>、</w:t>
      </w:r>
      <w:bookmarkEnd w:id="5"/>
      <w:r w:rsidR="004F694E">
        <w:rPr>
          <w:rFonts w:hint="eastAsia"/>
        </w:rPr>
        <w:t>113年度</w:t>
      </w:r>
      <w:r w:rsidR="00D97562">
        <w:rPr>
          <w:rFonts w:hint="eastAsia"/>
        </w:rPr>
        <w:t>截至6</w:t>
      </w:r>
      <w:r w:rsidR="00516CEB">
        <w:rPr>
          <w:rFonts w:hint="eastAsia"/>
        </w:rPr>
        <w:t>月底</w:t>
      </w:r>
      <w:r w:rsidR="00515ACB">
        <w:rPr>
          <w:rFonts w:hAnsi="標楷體" w:hint="eastAsia"/>
        </w:rPr>
        <w:t>，</w:t>
      </w:r>
      <w:r w:rsidR="00B56430">
        <w:rPr>
          <w:rFonts w:hint="eastAsia"/>
        </w:rPr>
        <w:t>基金整體</w:t>
      </w:r>
      <w:r w:rsidR="00F07A69" w:rsidRPr="00532A0A">
        <w:rPr>
          <w:rFonts w:hint="eastAsia"/>
        </w:rPr>
        <w:t>投資</w:t>
      </w:r>
      <w:r w:rsidR="00AC6278">
        <w:rPr>
          <w:rFonts w:hint="eastAsia"/>
        </w:rPr>
        <w:t>之實際收益率雖已高於目標</w:t>
      </w:r>
      <w:r w:rsidR="004F694E">
        <w:rPr>
          <w:rFonts w:hint="eastAsia"/>
        </w:rPr>
        <w:t>值</w:t>
      </w:r>
      <w:r w:rsidR="003D5860">
        <w:rPr>
          <w:rFonts w:hint="eastAsia"/>
        </w:rPr>
        <w:t>，惟</w:t>
      </w:r>
      <w:r w:rsidR="00AC6278">
        <w:rPr>
          <w:rFonts w:hint="eastAsia"/>
        </w:rPr>
        <w:t>部分委外經營之投資類型近年屢有投資</w:t>
      </w:r>
      <w:r w:rsidR="00B56430">
        <w:rPr>
          <w:rFonts w:hint="eastAsia"/>
        </w:rPr>
        <w:t>績效低於指標報酬率</w:t>
      </w:r>
      <w:r w:rsidR="00AC6278">
        <w:rPr>
          <w:rFonts w:hint="eastAsia"/>
        </w:rPr>
        <w:t>之情事</w:t>
      </w:r>
      <w:r w:rsidR="00B56430">
        <w:rPr>
          <w:rFonts w:hint="eastAsia"/>
        </w:rPr>
        <w:t>，允宜</w:t>
      </w:r>
      <w:r w:rsidR="00AC6278">
        <w:rPr>
          <w:rFonts w:hint="eastAsia"/>
        </w:rPr>
        <w:t>適時檢討委託經營策略</w:t>
      </w:r>
      <w:bookmarkEnd w:id="6"/>
    </w:p>
    <w:p w:rsidR="007C5322" w:rsidRPr="00532A0A" w:rsidRDefault="009602CE" w:rsidP="00210555">
      <w:pPr>
        <w:ind w:left="566" w:firstLine="566"/>
        <w:rPr>
          <w:rFonts w:hAnsi="標楷體"/>
        </w:rPr>
      </w:pPr>
      <w:r w:rsidRPr="00532A0A">
        <w:rPr>
          <w:rFonts w:hint="eastAsia"/>
        </w:rPr>
        <w:t>國保基金11</w:t>
      </w:r>
      <w:r w:rsidR="001E5847">
        <w:rPr>
          <w:rFonts w:hint="eastAsia"/>
        </w:rPr>
        <w:t>4</w:t>
      </w:r>
      <w:r w:rsidRPr="00532A0A">
        <w:rPr>
          <w:rFonts w:hint="eastAsia"/>
        </w:rPr>
        <w:t>年度預算案</w:t>
      </w:r>
      <w:r w:rsidR="0022645F">
        <w:rPr>
          <w:rFonts w:hint="eastAsia"/>
        </w:rPr>
        <w:t>於</w:t>
      </w:r>
      <w:r w:rsidR="0022645F">
        <w:rPr>
          <w:rFonts w:hAnsi="標楷體" w:hint="eastAsia"/>
        </w:rPr>
        <w:t>「業務收入－</w:t>
      </w:r>
      <w:r w:rsidR="0022645F">
        <w:rPr>
          <w:rFonts w:hint="eastAsia"/>
        </w:rPr>
        <w:t>投融資業務收入</w:t>
      </w:r>
      <w:r w:rsidR="0022645F">
        <w:rPr>
          <w:rFonts w:hAnsi="標楷體" w:hint="eastAsia"/>
        </w:rPr>
        <w:t>」科目項下</w:t>
      </w:r>
      <w:r w:rsidRPr="00532A0A">
        <w:rPr>
          <w:rFonts w:hint="eastAsia"/>
        </w:rPr>
        <w:t>編列投資業務收入</w:t>
      </w:r>
      <w:r w:rsidR="00ED580D">
        <w:t>1</w:t>
      </w:r>
      <w:r w:rsidR="001E5847">
        <w:rPr>
          <w:rFonts w:hint="eastAsia"/>
        </w:rPr>
        <w:t>99</w:t>
      </w:r>
      <w:r w:rsidR="00ED580D">
        <w:rPr>
          <w:rFonts w:hint="eastAsia"/>
        </w:rPr>
        <w:t>億</w:t>
      </w:r>
      <w:r w:rsidR="00ED580D">
        <w:t>4,</w:t>
      </w:r>
      <w:r w:rsidR="001E5847">
        <w:rPr>
          <w:rFonts w:hint="eastAsia"/>
        </w:rPr>
        <w:t>110</w:t>
      </w:r>
      <w:r w:rsidR="00ED580D">
        <w:rPr>
          <w:rFonts w:hint="eastAsia"/>
        </w:rPr>
        <w:t>萬</w:t>
      </w:r>
      <w:r w:rsidR="001E5847">
        <w:rPr>
          <w:rFonts w:hint="eastAsia"/>
        </w:rPr>
        <w:t>8千</w:t>
      </w:r>
      <w:r w:rsidRPr="00532A0A">
        <w:rPr>
          <w:rFonts w:hint="eastAsia"/>
        </w:rPr>
        <w:t>元，係</w:t>
      </w:r>
      <w:r w:rsidR="003B6332" w:rsidRPr="00532A0A">
        <w:rPr>
          <w:rFonts w:hint="eastAsia"/>
        </w:rPr>
        <w:t>投資運用收益及利息收入</w:t>
      </w:r>
      <w:r w:rsidRPr="00532A0A">
        <w:rPr>
          <w:rFonts w:hint="eastAsia"/>
        </w:rPr>
        <w:t>，另</w:t>
      </w:r>
      <w:r w:rsidR="00ED580D">
        <w:rPr>
          <w:rFonts w:hint="eastAsia"/>
        </w:rPr>
        <w:t>於「投融資業務成本」項下</w:t>
      </w:r>
      <w:r w:rsidRPr="00532A0A">
        <w:rPr>
          <w:rFonts w:hint="eastAsia"/>
        </w:rPr>
        <w:t>編列投資業務成本</w:t>
      </w:r>
      <w:r w:rsidR="001E5847">
        <w:rPr>
          <w:rFonts w:hint="eastAsia"/>
        </w:rPr>
        <w:t>5</w:t>
      </w:r>
      <w:r w:rsidR="00ED580D">
        <w:rPr>
          <w:rFonts w:hint="eastAsia"/>
        </w:rPr>
        <w:t>億</w:t>
      </w:r>
      <w:r w:rsidR="001E5847">
        <w:rPr>
          <w:rFonts w:hint="eastAsia"/>
        </w:rPr>
        <w:t>3</w:t>
      </w:r>
      <w:r w:rsidR="00ED580D">
        <w:t>,</w:t>
      </w:r>
      <w:r w:rsidR="001E5847">
        <w:rPr>
          <w:rFonts w:hint="eastAsia"/>
        </w:rPr>
        <w:t>179</w:t>
      </w:r>
      <w:r w:rsidR="00ED580D">
        <w:rPr>
          <w:rFonts w:hint="eastAsia"/>
        </w:rPr>
        <w:t>萬</w:t>
      </w:r>
      <w:r w:rsidR="001E5847">
        <w:rPr>
          <w:rFonts w:hint="eastAsia"/>
        </w:rPr>
        <w:t>2</w:t>
      </w:r>
      <w:r w:rsidRPr="00532A0A">
        <w:rPr>
          <w:rFonts w:hint="eastAsia"/>
        </w:rPr>
        <w:t>千元，係基金投資運用之委託經營經理費、國外投資保管費及票券帳務維護費</w:t>
      </w:r>
      <w:r w:rsidR="003B6332" w:rsidRPr="00532A0A">
        <w:rPr>
          <w:rFonts w:hint="eastAsia"/>
        </w:rPr>
        <w:t>等</w:t>
      </w:r>
      <w:r w:rsidRPr="00532A0A">
        <w:rPr>
          <w:rFonts w:hint="eastAsia"/>
        </w:rPr>
        <w:t>。</w:t>
      </w:r>
      <w:r w:rsidR="001E5847">
        <w:rPr>
          <w:rFonts w:hint="eastAsia"/>
        </w:rPr>
        <w:t>有關該基金近年</w:t>
      </w:r>
      <w:r w:rsidR="00515ACB">
        <w:rPr>
          <w:rFonts w:hint="eastAsia"/>
        </w:rPr>
        <w:t>部分委外經營之投資類型</w:t>
      </w:r>
      <w:r w:rsidR="001E5847" w:rsidRPr="001E5847">
        <w:rPr>
          <w:rFonts w:hint="eastAsia"/>
        </w:rPr>
        <w:t>屢有投資績效低於指標報酬率之情事</w:t>
      </w:r>
      <w:r w:rsidR="001E5847">
        <w:rPr>
          <w:rFonts w:hAnsi="標楷體" w:hint="eastAsia"/>
        </w:rPr>
        <w:t>，</w:t>
      </w:r>
      <w:r w:rsidR="001E5847">
        <w:rPr>
          <w:rFonts w:hint="eastAsia"/>
        </w:rPr>
        <w:t>謹敘明如次</w:t>
      </w:r>
      <w:r w:rsidR="00F14E31">
        <w:rPr>
          <w:rFonts w:hint="eastAsia"/>
        </w:rPr>
        <w:t>：</w:t>
      </w:r>
    </w:p>
    <w:p w:rsidR="007C5322" w:rsidRPr="00D573E3" w:rsidRDefault="007C5322" w:rsidP="009602CE">
      <w:pPr>
        <w:pStyle w:val="a4"/>
        <w:ind w:left="849" w:hanging="283"/>
        <w:rPr>
          <w:b/>
          <w:spacing w:val="-5"/>
        </w:rPr>
      </w:pPr>
      <w:r w:rsidRPr="00532A0A">
        <w:rPr>
          <w:rFonts w:hint="eastAsia"/>
          <w:b/>
        </w:rPr>
        <w:t>(一)</w:t>
      </w:r>
      <w:r w:rsidR="00D72F7A">
        <w:rPr>
          <w:rFonts w:hint="eastAsia"/>
          <w:b/>
        </w:rPr>
        <w:t>除111年度因國際情勢劇變影響金融市場表現致年度</w:t>
      </w:r>
      <w:r w:rsidR="00D04DBB" w:rsidRPr="00D573E3">
        <w:rPr>
          <w:rFonts w:hint="eastAsia"/>
          <w:b/>
          <w:spacing w:val="-5"/>
        </w:rPr>
        <w:t>收益率為負</w:t>
      </w:r>
      <w:r w:rsidR="00291A5E" w:rsidRPr="00D573E3">
        <w:rPr>
          <w:rFonts w:hint="eastAsia"/>
          <w:b/>
          <w:spacing w:val="-5"/>
        </w:rPr>
        <w:t>數</w:t>
      </w:r>
      <w:r w:rsidR="00D72F7A">
        <w:rPr>
          <w:rFonts w:hint="eastAsia"/>
          <w:b/>
          <w:spacing w:val="-5"/>
        </w:rPr>
        <w:t>且不如預期外</w:t>
      </w:r>
      <w:r w:rsidR="00D04DBB" w:rsidRPr="00D573E3">
        <w:rPr>
          <w:rFonts w:hint="eastAsia"/>
          <w:b/>
          <w:spacing w:val="-5"/>
        </w:rPr>
        <w:t>，整體投資績效</w:t>
      </w:r>
      <w:r w:rsidR="00D72F7A">
        <w:rPr>
          <w:rFonts w:hint="eastAsia"/>
          <w:b/>
          <w:spacing w:val="-5"/>
        </w:rPr>
        <w:t>呈上揚趨勢</w:t>
      </w:r>
      <w:r w:rsidR="00D72F7A">
        <w:rPr>
          <w:rFonts w:hAnsi="標楷體" w:hint="eastAsia"/>
          <w:b/>
          <w:spacing w:val="-5"/>
        </w:rPr>
        <w:t>，</w:t>
      </w:r>
      <w:r w:rsidR="00D72F7A">
        <w:rPr>
          <w:rFonts w:hint="eastAsia"/>
          <w:b/>
          <w:spacing w:val="-5"/>
        </w:rPr>
        <w:t>113年度截至6月底已</w:t>
      </w:r>
      <w:r w:rsidR="004F694E">
        <w:rPr>
          <w:rFonts w:hint="eastAsia"/>
          <w:b/>
          <w:spacing w:val="-5"/>
        </w:rPr>
        <w:t>達</w:t>
      </w:r>
      <w:r w:rsidR="00D72F7A">
        <w:rPr>
          <w:rFonts w:hint="eastAsia"/>
          <w:b/>
          <w:spacing w:val="-5"/>
        </w:rPr>
        <w:t>13.93%</w:t>
      </w:r>
    </w:p>
    <w:p w:rsidR="007C5322" w:rsidRPr="00532A0A" w:rsidRDefault="00D72F7A" w:rsidP="00516CEB">
      <w:pPr>
        <w:pStyle w:val="21"/>
        <w:ind w:left="850" w:firstLine="566"/>
      </w:pPr>
      <w:r>
        <w:rPr>
          <w:rFonts w:hint="eastAsia"/>
        </w:rPr>
        <w:t>依</w:t>
      </w:r>
      <w:r w:rsidR="00C05B41">
        <w:rPr>
          <w:rFonts w:hint="eastAsia"/>
        </w:rPr>
        <w:t>國保基金</w:t>
      </w:r>
      <w:r>
        <w:rPr>
          <w:rFonts w:hint="eastAsia"/>
        </w:rPr>
        <w:t>提供</w:t>
      </w:r>
      <w:r w:rsidR="00C05B41">
        <w:rPr>
          <w:rFonts w:hint="eastAsia"/>
        </w:rPr>
        <w:t>投資</w:t>
      </w:r>
      <w:r>
        <w:rPr>
          <w:rFonts w:hint="eastAsia"/>
        </w:rPr>
        <w:t>績效資料</w:t>
      </w:r>
      <w:r w:rsidR="00C05B41">
        <w:rPr>
          <w:rFonts w:hint="eastAsia"/>
        </w:rPr>
        <w:t>(詳表1)，</w:t>
      </w:r>
      <w:r w:rsidR="00D96CF1">
        <w:rPr>
          <w:rFonts w:hint="eastAsia"/>
        </w:rPr>
        <w:t>除111年度受C</w:t>
      </w:r>
      <w:r w:rsidR="00D96CF1">
        <w:t>OVID-19</w:t>
      </w:r>
      <w:r w:rsidR="00D96CF1">
        <w:rPr>
          <w:rFonts w:hint="eastAsia"/>
        </w:rPr>
        <w:t>疫後發展</w:t>
      </w:r>
      <w:r w:rsidR="00D96CF1">
        <w:rPr>
          <w:rFonts w:hAnsi="標楷體" w:hint="eastAsia"/>
        </w:rPr>
        <w:t>、</w:t>
      </w:r>
      <w:r w:rsidR="00D96CF1">
        <w:rPr>
          <w:rFonts w:hint="eastAsia"/>
        </w:rPr>
        <w:t>烏俄戰爭、全球供應鏈瓶頸加劇、通膨升溫導致全球</w:t>
      </w:r>
      <w:r w:rsidR="00D96CF1" w:rsidRPr="000938C0">
        <w:rPr>
          <w:rFonts w:hint="eastAsia"/>
        </w:rPr>
        <w:t>主要央行</w:t>
      </w:r>
      <w:r w:rsidR="00D96CF1">
        <w:rPr>
          <w:rFonts w:hint="eastAsia"/>
        </w:rPr>
        <w:t>紛紛採行升息</w:t>
      </w:r>
      <w:r w:rsidR="00D96CF1" w:rsidRPr="000938C0">
        <w:rPr>
          <w:rFonts w:hint="eastAsia"/>
        </w:rPr>
        <w:t>政策，</w:t>
      </w:r>
      <w:r w:rsidR="00D96CF1">
        <w:rPr>
          <w:rFonts w:hint="eastAsia"/>
        </w:rPr>
        <w:t>國際</w:t>
      </w:r>
      <w:r w:rsidR="00D96CF1" w:rsidRPr="000938C0">
        <w:rPr>
          <w:rFonts w:hint="eastAsia"/>
        </w:rPr>
        <w:t>金融市場</w:t>
      </w:r>
      <w:r w:rsidR="00D96CF1">
        <w:rPr>
          <w:rFonts w:hint="eastAsia"/>
        </w:rPr>
        <w:t>情勢</w:t>
      </w:r>
      <w:r w:rsidR="00D96CF1" w:rsidRPr="000938C0">
        <w:rPr>
          <w:rFonts w:hint="eastAsia"/>
        </w:rPr>
        <w:t>震盪</w:t>
      </w:r>
      <w:r w:rsidR="00D96CF1">
        <w:rPr>
          <w:rFonts w:hint="eastAsia"/>
        </w:rPr>
        <w:t>下跌，</w:t>
      </w:r>
      <w:r w:rsidR="004F694E">
        <w:rPr>
          <w:rFonts w:hint="eastAsia"/>
        </w:rPr>
        <w:t>國保基金</w:t>
      </w:r>
      <w:r w:rsidR="00D96CF1">
        <w:rPr>
          <w:rFonts w:hint="eastAsia"/>
        </w:rPr>
        <w:t>年度認列未實現損</w:t>
      </w:r>
      <w:r w:rsidR="00515ACB">
        <w:rPr>
          <w:rFonts w:hint="eastAsia"/>
        </w:rPr>
        <w:t>失</w:t>
      </w:r>
      <w:r w:rsidR="00D96CF1">
        <w:rPr>
          <w:rFonts w:hint="eastAsia"/>
        </w:rPr>
        <w:t>380.66億元影響，收益率</w:t>
      </w:r>
      <w:r w:rsidR="00C6495A">
        <w:rPr>
          <w:rFonts w:hint="eastAsia"/>
        </w:rPr>
        <w:t>自110年度9.88%反轉為</w:t>
      </w:r>
      <w:r w:rsidR="00D96CF1">
        <w:rPr>
          <w:rFonts w:hint="eastAsia"/>
        </w:rPr>
        <w:t>負數(-6.38%)</w:t>
      </w:r>
      <w:r w:rsidR="00C6495A">
        <w:rPr>
          <w:rFonts w:hint="eastAsia"/>
        </w:rPr>
        <w:t>外</w:t>
      </w:r>
      <w:r w:rsidR="00C6495A">
        <w:rPr>
          <w:rFonts w:hAnsi="標楷體" w:hint="eastAsia"/>
        </w:rPr>
        <w:t>，</w:t>
      </w:r>
      <w:r w:rsidR="00C6495A">
        <w:rPr>
          <w:rFonts w:hint="eastAsia"/>
        </w:rPr>
        <w:t>112年度受</w:t>
      </w:r>
      <w:r w:rsidR="00C6495A" w:rsidRPr="00C6495A">
        <w:rPr>
          <w:rFonts w:hint="eastAsia"/>
        </w:rPr>
        <w:t>全球通膨</w:t>
      </w:r>
      <w:r w:rsidR="00C6495A">
        <w:rPr>
          <w:rFonts w:hint="eastAsia"/>
        </w:rPr>
        <w:t>走</w:t>
      </w:r>
      <w:r w:rsidR="00C6495A" w:rsidRPr="00C6495A">
        <w:rPr>
          <w:rFonts w:hint="eastAsia"/>
        </w:rPr>
        <w:t>緩，</w:t>
      </w:r>
      <w:r w:rsidR="00C6495A">
        <w:rPr>
          <w:rFonts w:hint="eastAsia"/>
        </w:rPr>
        <w:t>就業情況出乎預期強勁</w:t>
      </w:r>
      <w:r w:rsidR="00C6495A">
        <w:rPr>
          <w:rFonts w:hAnsi="標楷體" w:hint="eastAsia"/>
        </w:rPr>
        <w:t>，企業獲利逐漸回穩，</w:t>
      </w:r>
      <w:r w:rsidR="004F694E">
        <w:rPr>
          <w:rFonts w:hAnsi="標楷體" w:hint="eastAsia"/>
        </w:rPr>
        <w:t>有助於提振投資人信心，金融市場強勁反彈，國保基金</w:t>
      </w:r>
      <w:r w:rsidR="006A14C4">
        <w:rPr>
          <w:rFonts w:hint="eastAsia"/>
        </w:rPr>
        <w:t>年度</w:t>
      </w:r>
      <w:r w:rsidR="004F694E">
        <w:rPr>
          <w:rFonts w:hint="eastAsia"/>
        </w:rPr>
        <w:t>收益率亦由負轉正(14.2%)</w:t>
      </w:r>
      <w:r w:rsidR="004F694E">
        <w:rPr>
          <w:rFonts w:hAnsi="標楷體" w:hint="eastAsia"/>
        </w:rPr>
        <w:t>，</w:t>
      </w:r>
      <w:r w:rsidR="004F694E">
        <w:rPr>
          <w:rFonts w:hint="eastAsia"/>
        </w:rPr>
        <w:t>並已超過110年度之表現</w:t>
      </w:r>
      <w:r w:rsidR="002F75F6">
        <w:rPr>
          <w:rFonts w:hint="eastAsia"/>
        </w:rPr>
        <w:t>，</w:t>
      </w:r>
      <w:r w:rsidR="004F694E">
        <w:rPr>
          <w:rFonts w:hint="eastAsia"/>
        </w:rPr>
        <w:t>113年度截至6月底實際收益率13.93%</w:t>
      </w:r>
      <w:r w:rsidR="002F75F6">
        <w:rPr>
          <w:rFonts w:hint="eastAsia"/>
        </w:rPr>
        <w:t>，高於預定年化收益率3.6</w:t>
      </w:r>
      <w:r w:rsidR="004F694E">
        <w:rPr>
          <w:rFonts w:hint="eastAsia"/>
        </w:rPr>
        <w:t>5</w:t>
      </w:r>
      <w:r w:rsidR="002F75F6">
        <w:rPr>
          <w:rFonts w:hint="eastAsia"/>
        </w:rPr>
        <w:t>%</w:t>
      </w:r>
      <w:r w:rsidR="00C37873" w:rsidRPr="00532A0A">
        <w:rPr>
          <w:rFonts w:hint="eastAsia"/>
        </w:rPr>
        <w:t>。</w:t>
      </w:r>
    </w:p>
    <w:p w:rsidR="00563901" w:rsidRDefault="004F694E" w:rsidP="00C37873">
      <w:pPr>
        <w:pStyle w:val="21"/>
        <w:ind w:leftChars="0" w:left="0" w:firstLineChars="0" w:firstLine="0"/>
        <w:rPr>
          <w:rStyle w:val="143"/>
        </w:rPr>
      </w:pPr>
      <w:r>
        <w:rPr>
          <w:rFonts w:hint="eastAsia"/>
          <w:b/>
          <w:snapToGrid/>
        </w:rPr>
        <w:t xml:space="preserve">    </w:t>
      </w:r>
      <w:r w:rsidR="00563901">
        <w:rPr>
          <w:rFonts w:hint="eastAsia"/>
          <w:b/>
          <w:snapToGrid/>
        </w:rPr>
        <w:t>表</w:t>
      </w:r>
      <w:r w:rsidR="00C37873" w:rsidRPr="00F22754">
        <w:rPr>
          <w:rFonts w:hint="eastAsia"/>
          <w:b/>
          <w:snapToGrid/>
        </w:rPr>
        <w:t>1  國保基金</w:t>
      </w:r>
      <w:r w:rsidR="00333E56">
        <w:rPr>
          <w:rFonts w:hint="eastAsia"/>
          <w:b/>
          <w:snapToGrid/>
        </w:rPr>
        <w:t>110</w:t>
      </w:r>
      <w:r w:rsidR="00563901">
        <w:rPr>
          <w:rFonts w:hint="eastAsia"/>
          <w:b/>
          <w:snapToGrid/>
        </w:rPr>
        <w:t>至11</w:t>
      </w:r>
      <w:r w:rsidR="00333E56">
        <w:rPr>
          <w:rFonts w:hint="eastAsia"/>
          <w:b/>
          <w:snapToGrid/>
        </w:rPr>
        <w:t>3</w:t>
      </w:r>
      <w:r w:rsidR="00563901">
        <w:rPr>
          <w:rFonts w:hint="eastAsia"/>
          <w:b/>
          <w:snapToGrid/>
        </w:rPr>
        <w:t>年度</w:t>
      </w:r>
      <w:r w:rsidR="00333E56">
        <w:rPr>
          <w:rFonts w:hint="eastAsia"/>
          <w:b/>
          <w:snapToGrid/>
        </w:rPr>
        <w:t>6</w:t>
      </w:r>
      <w:r w:rsidR="00563901">
        <w:rPr>
          <w:rFonts w:hint="eastAsia"/>
          <w:b/>
          <w:snapToGrid/>
        </w:rPr>
        <w:t>月底止</w:t>
      </w:r>
      <w:r w:rsidR="00C37873" w:rsidRPr="00F22754">
        <w:rPr>
          <w:rFonts w:hint="eastAsia"/>
          <w:b/>
          <w:snapToGrid/>
        </w:rPr>
        <w:t>投資績效</w:t>
      </w:r>
      <w:r w:rsidR="00563901">
        <w:rPr>
          <w:rFonts w:hint="eastAsia"/>
          <w:b/>
          <w:snapToGrid/>
        </w:rPr>
        <w:t>概況表</w:t>
      </w:r>
    </w:p>
    <w:p w:rsidR="00F22754" w:rsidRDefault="00C37873" w:rsidP="00563901">
      <w:pPr>
        <w:pStyle w:val="142"/>
        <w:jc w:val="right"/>
      </w:pPr>
      <w:r w:rsidRPr="00F22754">
        <w:rPr>
          <w:rStyle w:val="143"/>
          <w:rFonts w:hint="eastAsia"/>
        </w:rPr>
        <w:t>單位：</w:t>
      </w:r>
      <w:r w:rsidR="00563901">
        <w:rPr>
          <w:rStyle w:val="143"/>
          <w:rFonts w:hint="eastAsia"/>
        </w:rPr>
        <w:t>新臺幣千元；</w:t>
      </w:r>
      <w:r w:rsidRPr="00F22754">
        <w:rPr>
          <w:rStyle w:val="143"/>
          <w:rFonts w:hint="eastAsia"/>
        </w:rPr>
        <w:t>%</w:t>
      </w:r>
    </w:p>
    <w:tbl>
      <w:tblPr>
        <w:tblW w:w="7903" w:type="dxa"/>
        <w:tblInd w:w="63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966"/>
        <w:gridCol w:w="1554"/>
        <w:gridCol w:w="1666"/>
        <w:gridCol w:w="1591"/>
        <w:gridCol w:w="992"/>
        <w:gridCol w:w="1134"/>
      </w:tblGrid>
      <w:tr w:rsidR="00516CEB" w:rsidRPr="00516CEB" w:rsidTr="00C275D6">
        <w:trPr>
          <w:trHeight w:val="116"/>
          <w:tblHeader/>
        </w:trPr>
        <w:tc>
          <w:tcPr>
            <w:tcW w:w="966" w:type="dxa"/>
            <w:shd w:val="clear" w:color="000000" w:fill="FFFFFF"/>
            <w:vAlign w:val="center"/>
            <w:hideMark/>
          </w:tcPr>
          <w:p w:rsidR="00516CEB" w:rsidRPr="00516CEB" w:rsidRDefault="00516CEB" w:rsidP="00516CEB">
            <w:pPr>
              <w:pStyle w:val="142"/>
              <w:jc w:val="center"/>
              <w:rPr>
                <w:b/>
                <w:snapToGrid/>
              </w:rPr>
            </w:pPr>
            <w:r w:rsidRPr="00516CEB">
              <w:rPr>
                <w:rFonts w:hint="eastAsia"/>
                <w:b/>
                <w:snapToGrid/>
              </w:rPr>
              <w:lastRenderedPageBreak/>
              <w:t>年度</w:t>
            </w:r>
          </w:p>
        </w:tc>
        <w:tc>
          <w:tcPr>
            <w:tcW w:w="1554" w:type="dxa"/>
            <w:shd w:val="clear" w:color="000000" w:fill="FFFFFF"/>
            <w:vAlign w:val="center"/>
            <w:hideMark/>
          </w:tcPr>
          <w:p w:rsidR="00516CEB" w:rsidRPr="00516CEB" w:rsidRDefault="00516CEB" w:rsidP="00516CEB">
            <w:pPr>
              <w:pStyle w:val="142"/>
              <w:jc w:val="center"/>
              <w:rPr>
                <w:b/>
                <w:snapToGrid/>
              </w:rPr>
            </w:pPr>
            <w:r w:rsidRPr="00516CEB">
              <w:rPr>
                <w:rFonts w:hint="eastAsia"/>
                <w:b/>
                <w:snapToGrid/>
              </w:rPr>
              <w:t>已實現損益</w:t>
            </w:r>
          </w:p>
        </w:tc>
        <w:tc>
          <w:tcPr>
            <w:tcW w:w="1666" w:type="dxa"/>
            <w:shd w:val="clear" w:color="000000" w:fill="FFFFFF"/>
            <w:vAlign w:val="center"/>
            <w:hideMark/>
          </w:tcPr>
          <w:p w:rsidR="00516CEB" w:rsidRPr="00516CEB" w:rsidRDefault="00516CEB" w:rsidP="00516CEB">
            <w:pPr>
              <w:pStyle w:val="142"/>
              <w:jc w:val="center"/>
              <w:rPr>
                <w:b/>
                <w:snapToGrid/>
              </w:rPr>
            </w:pPr>
            <w:r w:rsidRPr="00516CEB">
              <w:rPr>
                <w:rFonts w:hint="eastAsia"/>
                <w:b/>
                <w:snapToGrid/>
              </w:rPr>
              <w:t>未實現損益</w:t>
            </w:r>
          </w:p>
        </w:tc>
        <w:tc>
          <w:tcPr>
            <w:tcW w:w="1591" w:type="dxa"/>
            <w:shd w:val="clear" w:color="000000" w:fill="FFFFFF"/>
            <w:vAlign w:val="center"/>
            <w:hideMark/>
          </w:tcPr>
          <w:p w:rsidR="00516CEB" w:rsidRPr="00516CEB" w:rsidRDefault="00516CEB" w:rsidP="00516CEB">
            <w:pPr>
              <w:pStyle w:val="142"/>
              <w:jc w:val="center"/>
              <w:rPr>
                <w:b/>
                <w:snapToGrid/>
              </w:rPr>
            </w:pPr>
            <w:r w:rsidRPr="00516CEB">
              <w:rPr>
                <w:rFonts w:hint="eastAsia"/>
                <w:b/>
                <w:snapToGrid/>
              </w:rPr>
              <w:t>實際收益數</w:t>
            </w:r>
          </w:p>
        </w:tc>
        <w:tc>
          <w:tcPr>
            <w:tcW w:w="992" w:type="dxa"/>
            <w:shd w:val="clear" w:color="000000" w:fill="FFFFFF"/>
            <w:vAlign w:val="center"/>
            <w:hideMark/>
          </w:tcPr>
          <w:p w:rsidR="00516CEB" w:rsidRPr="00516CEB" w:rsidRDefault="00516CEB" w:rsidP="00516CEB">
            <w:pPr>
              <w:pStyle w:val="142"/>
              <w:jc w:val="center"/>
              <w:rPr>
                <w:b/>
                <w:snapToGrid/>
              </w:rPr>
            </w:pPr>
            <w:r w:rsidRPr="00516CEB">
              <w:rPr>
                <w:rFonts w:hint="eastAsia"/>
                <w:b/>
                <w:snapToGrid/>
              </w:rPr>
              <w:t>實際收益率</w:t>
            </w:r>
          </w:p>
        </w:tc>
        <w:tc>
          <w:tcPr>
            <w:tcW w:w="1134" w:type="dxa"/>
            <w:shd w:val="clear" w:color="000000" w:fill="FFFFFF"/>
            <w:vAlign w:val="center"/>
            <w:hideMark/>
          </w:tcPr>
          <w:p w:rsidR="00516CEB" w:rsidRPr="00516CEB" w:rsidRDefault="00516CEB" w:rsidP="00516CEB">
            <w:pPr>
              <w:pStyle w:val="142"/>
              <w:jc w:val="center"/>
              <w:rPr>
                <w:b/>
                <w:snapToGrid/>
              </w:rPr>
            </w:pPr>
            <w:r w:rsidRPr="00516CEB">
              <w:rPr>
                <w:rFonts w:hint="eastAsia"/>
                <w:b/>
                <w:snapToGrid/>
              </w:rPr>
              <w:t>預定年化收益率</w:t>
            </w:r>
          </w:p>
        </w:tc>
      </w:tr>
      <w:tr w:rsidR="00333E56" w:rsidRPr="00516CEB" w:rsidTr="004F694E">
        <w:trPr>
          <w:trHeight w:val="350"/>
        </w:trPr>
        <w:tc>
          <w:tcPr>
            <w:tcW w:w="966" w:type="dxa"/>
            <w:shd w:val="clear" w:color="auto" w:fill="auto"/>
            <w:vAlign w:val="center"/>
          </w:tcPr>
          <w:p w:rsidR="00333E56" w:rsidRPr="00516CEB" w:rsidRDefault="00333E56" w:rsidP="00333E56">
            <w:pPr>
              <w:pStyle w:val="142"/>
              <w:jc w:val="center"/>
              <w:rPr>
                <w:snapToGrid/>
              </w:rPr>
            </w:pPr>
            <w:r w:rsidRPr="00516CEB">
              <w:rPr>
                <w:rFonts w:hint="eastAsia"/>
                <w:snapToGrid/>
              </w:rPr>
              <w:t>110</w:t>
            </w:r>
          </w:p>
        </w:tc>
        <w:tc>
          <w:tcPr>
            <w:tcW w:w="1554" w:type="dxa"/>
            <w:shd w:val="clear" w:color="000000" w:fill="FFFFFF"/>
            <w:vAlign w:val="center"/>
          </w:tcPr>
          <w:p w:rsidR="00333E56" w:rsidRPr="00516CEB" w:rsidRDefault="00333E56" w:rsidP="00333E56">
            <w:pPr>
              <w:pStyle w:val="142"/>
              <w:jc w:val="right"/>
              <w:rPr>
                <w:snapToGrid/>
              </w:rPr>
            </w:pPr>
            <w:r w:rsidRPr="00516CEB">
              <w:rPr>
                <w:rFonts w:hint="eastAsia"/>
                <w:snapToGrid/>
              </w:rPr>
              <w:t>26,599,365</w:t>
            </w:r>
          </w:p>
        </w:tc>
        <w:tc>
          <w:tcPr>
            <w:tcW w:w="1666" w:type="dxa"/>
            <w:shd w:val="clear" w:color="000000" w:fill="FFFFFF"/>
            <w:vAlign w:val="center"/>
          </w:tcPr>
          <w:p w:rsidR="00333E56" w:rsidRPr="00516CEB" w:rsidRDefault="00333E56" w:rsidP="00333E56">
            <w:pPr>
              <w:pStyle w:val="142"/>
              <w:jc w:val="right"/>
              <w:rPr>
                <w:snapToGrid/>
              </w:rPr>
            </w:pPr>
            <w:r w:rsidRPr="00516CEB">
              <w:rPr>
                <w:rFonts w:hint="eastAsia"/>
                <w:snapToGrid/>
              </w:rPr>
              <w:t>13,816,261</w:t>
            </w:r>
          </w:p>
        </w:tc>
        <w:tc>
          <w:tcPr>
            <w:tcW w:w="1591" w:type="dxa"/>
            <w:shd w:val="clear" w:color="000000" w:fill="FFFFFF"/>
            <w:vAlign w:val="center"/>
          </w:tcPr>
          <w:p w:rsidR="00333E56" w:rsidRPr="00516CEB" w:rsidRDefault="00333E56" w:rsidP="00333E56">
            <w:pPr>
              <w:pStyle w:val="142"/>
              <w:jc w:val="right"/>
              <w:rPr>
                <w:snapToGrid/>
              </w:rPr>
            </w:pPr>
            <w:r w:rsidRPr="00516CEB">
              <w:rPr>
                <w:rFonts w:hint="eastAsia"/>
                <w:snapToGrid/>
              </w:rPr>
              <w:t>40,415,626</w:t>
            </w:r>
          </w:p>
        </w:tc>
        <w:tc>
          <w:tcPr>
            <w:tcW w:w="992" w:type="dxa"/>
            <w:shd w:val="clear" w:color="000000" w:fill="FFFFFF"/>
            <w:vAlign w:val="center"/>
          </w:tcPr>
          <w:p w:rsidR="00333E56" w:rsidRPr="00516CEB" w:rsidRDefault="00333E56" w:rsidP="00333E56">
            <w:pPr>
              <w:pStyle w:val="142"/>
              <w:jc w:val="right"/>
              <w:rPr>
                <w:snapToGrid/>
              </w:rPr>
            </w:pPr>
            <w:r w:rsidRPr="00516CEB">
              <w:rPr>
                <w:rFonts w:hint="eastAsia"/>
                <w:snapToGrid/>
              </w:rPr>
              <w:t>9.88</w:t>
            </w:r>
          </w:p>
        </w:tc>
        <w:tc>
          <w:tcPr>
            <w:tcW w:w="1134" w:type="dxa"/>
            <w:shd w:val="clear" w:color="000000" w:fill="FFFFFF"/>
            <w:vAlign w:val="center"/>
          </w:tcPr>
          <w:p w:rsidR="00333E56" w:rsidRPr="00516CEB" w:rsidRDefault="00333E56" w:rsidP="00333E56">
            <w:pPr>
              <w:pStyle w:val="142"/>
              <w:jc w:val="right"/>
              <w:rPr>
                <w:snapToGrid/>
              </w:rPr>
            </w:pPr>
            <w:r w:rsidRPr="00516CEB">
              <w:rPr>
                <w:rFonts w:hint="eastAsia"/>
                <w:snapToGrid/>
              </w:rPr>
              <w:t>3.86</w:t>
            </w:r>
          </w:p>
        </w:tc>
      </w:tr>
      <w:tr w:rsidR="00333E56" w:rsidRPr="00516CEB" w:rsidTr="004F694E">
        <w:trPr>
          <w:trHeight w:val="350"/>
        </w:trPr>
        <w:tc>
          <w:tcPr>
            <w:tcW w:w="966" w:type="dxa"/>
            <w:shd w:val="clear" w:color="auto" w:fill="auto"/>
            <w:vAlign w:val="center"/>
          </w:tcPr>
          <w:p w:rsidR="00333E56" w:rsidRPr="00516CEB" w:rsidRDefault="00333E56" w:rsidP="00333E56">
            <w:pPr>
              <w:pStyle w:val="142"/>
              <w:jc w:val="center"/>
              <w:rPr>
                <w:snapToGrid/>
              </w:rPr>
            </w:pPr>
            <w:r>
              <w:rPr>
                <w:rFonts w:hint="eastAsia"/>
                <w:snapToGrid/>
              </w:rPr>
              <w:t>111</w:t>
            </w:r>
          </w:p>
        </w:tc>
        <w:tc>
          <w:tcPr>
            <w:tcW w:w="1554" w:type="dxa"/>
            <w:shd w:val="clear" w:color="000000" w:fill="FFFFFF"/>
            <w:vAlign w:val="center"/>
          </w:tcPr>
          <w:p w:rsidR="00333E56" w:rsidRPr="00516CEB" w:rsidRDefault="00333E56" w:rsidP="00333E56">
            <w:pPr>
              <w:pStyle w:val="142"/>
              <w:jc w:val="right"/>
              <w:rPr>
                <w:snapToGrid/>
              </w:rPr>
            </w:pPr>
            <w:r w:rsidRPr="00516CEB">
              <w:rPr>
                <w:rFonts w:hint="eastAsia"/>
                <w:snapToGrid/>
              </w:rPr>
              <w:t>9,077,277</w:t>
            </w:r>
          </w:p>
        </w:tc>
        <w:tc>
          <w:tcPr>
            <w:tcW w:w="1666" w:type="dxa"/>
            <w:shd w:val="clear" w:color="000000" w:fill="FFFFFF"/>
            <w:vAlign w:val="center"/>
          </w:tcPr>
          <w:p w:rsidR="00333E56" w:rsidRPr="00516CEB" w:rsidRDefault="00333E56" w:rsidP="00333E56">
            <w:pPr>
              <w:pStyle w:val="142"/>
              <w:jc w:val="right"/>
              <w:rPr>
                <w:snapToGrid/>
              </w:rPr>
            </w:pPr>
            <w:r w:rsidRPr="00516CEB">
              <w:rPr>
                <w:rFonts w:hint="eastAsia"/>
                <w:snapToGrid/>
              </w:rPr>
              <w:t>-38,065,710</w:t>
            </w:r>
          </w:p>
        </w:tc>
        <w:tc>
          <w:tcPr>
            <w:tcW w:w="1591" w:type="dxa"/>
            <w:shd w:val="clear" w:color="000000" w:fill="FFFFFF"/>
            <w:vAlign w:val="center"/>
          </w:tcPr>
          <w:p w:rsidR="00333E56" w:rsidRPr="00516CEB" w:rsidRDefault="00333E56" w:rsidP="00333E56">
            <w:pPr>
              <w:pStyle w:val="142"/>
              <w:jc w:val="right"/>
              <w:rPr>
                <w:snapToGrid/>
              </w:rPr>
            </w:pPr>
            <w:r w:rsidRPr="00516CEB">
              <w:rPr>
                <w:rFonts w:hint="eastAsia"/>
                <w:snapToGrid/>
              </w:rPr>
              <w:t>-28,988,433</w:t>
            </w:r>
          </w:p>
        </w:tc>
        <w:tc>
          <w:tcPr>
            <w:tcW w:w="992" w:type="dxa"/>
            <w:shd w:val="clear" w:color="000000" w:fill="FFFFFF"/>
            <w:vAlign w:val="center"/>
          </w:tcPr>
          <w:p w:rsidR="00333E56" w:rsidRPr="00516CEB" w:rsidRDefault="00333E56" w:rsidP="00333E56">
            <w:pPr>
              <w:pStyle w:val="142"/>
              <w:jc w:val="right"/>
              <w:rPr>
                <w:snapToGrid/>
              </w:rPr>
            </w:pPr>
            <w:r w:rsidRPr="00516CEB">
              <w:rPr>
                <w:rFonts w:hint="eastAsia"/>
                <w:snapToGrid/>
              </w:rPr>
              <w:t>-6.38</w:t>
            </w:r>
          </w:p>
        </w:tc>
        <w:tc>
          <w:tcPr>
            <w:tcW w:w="1134" w:type="dxa"/>
            <w:shd w:val="clear" w:color="000000" w:fill="FFFFFF"/>
            <w:vAlign w:val="center"/>
          </w:tcPr>
          <w:p w:rsidR="00333E56" w:rsidRPr="00516CEB" w:rsidRDefault="00333E56" w:rsidP="00333E56">
            <w:pPr>
              <w:pStyle w:val="142"/>
              <w:jc w:val="right"/>
              <w:rPr>
                <w:snapToGrid/>
              </w:rPr>
            </w:pPr>
            <w:r w:rsidRPr="00516CEB">
              <w:rPr>
                <w:rFonts w:hint="eastAsia"/>
                <w:snapToGrid/>
              </w:rPr>
              <w:t>3.88</w:t>
            </w:r>
          </w:p>
        </w:tc>
      </w:tr>
      <w:tr w:rsidR="00333E56" w:rsidRPr="00516CEB" w:rsidTr="004F694E">
        <w:trPr>
          <w:trHeight w:val="350"/>
        </w:trPr>
        <w:tc>
          <w:tcPr>
            <w:tcW w:w="966" w:type="dxa"/>
            <w:shd w:val="clear" w:color="auto" w:fill="auto"/>
            <w:vAlign w:val="center"/>
            <w:hideMark/>
          </w:tcPr>
          <w:p w:rsidR="00333E56" w:rsidRPr="00516CEB" w:rsidRDefault="00333E56" w:rsidP="00333E56">
            <w:pPr>
              <w:pStyle w:val="142"/>
              <w:jc w:val="center"/>
              <w:rPr>
                <w:snapToGrid/>
              </w:rPr>
            </w:pPr>
            <w:r w:rsidRPr="00516CEB">
              <w:rPr>
                <w:rFonts w:hint="eastAsia"/>
                <w:snapToGrid/>
              </w:rPr>
              <w:t>11</w:t>
            </w:r>
            <w:r>
              <w:rPr>
                <w:rFonts w:hint="eastAsia"/>
                <w:snapToGrid/>
              </w:rPr>
              <w:t>2</w:t>
            </w:r>
          </w:p>
        </w:tc>
        <w:tc>
          <w:tcPr>
            <w:tcW w:w="1554" w:type="dxa"/>
            <w:shd w:val="clear" w:color="000000" w:fill="FFFFFF"/>
            <w:vAlign w:val="center"/>
          </w:tcPr>
          <w:p w:rsidR="00333E56" w:rsidRPr="00516CEB" w:rsidRDefault="00333E56" w:rsidP="00333E56">
            <w:pPr>
              <w:pStyle w:val="142"/>
              <w:jc w:val="right"/>
              <w:rPr>
                <w:snapToGrid/>
              </w:rPr>
            </w:pPr>
            <w:r>
              <w:rPr>
                <w:rFonts w:hint="eastAsia"/>
                <w:snapToGrid/>
              </w:rPr>
              <w:t>20</w:t>
            </w:r>
            <w:r>
              <w:rPr>
                <w:snapToGrid/>
              </w:rPr>
              <w:t>,</w:t>
            </w:r>
            <w:r>
              <w:rPr>
                <w:rFonts w:hint="eastAsia"/>
                <w:snapToGrid/>
              </w:rPr>
              <w:t>517</w:t>
            </w:r>
            <w:r>
              <w:rPr>
                <w:snapToGrid/>
              </w:rPr>
              <w:t>,</w:t>
            </w:r>
            <w:r>
              <w:rPr>
                <w:rFonts w:hint="eastAsia"/>
                <w:snapToGrid/>
              </w:rPr>
              <w:t>536</w:t>
            </w:r>
          </w:p>
        </w:tc>
        <w:tc>
          <w:tcPr>
            <w:tcW w:w="1666" w:type="dxa"/>
            <w:shd w:val="clear" w:color="000000" w:fill="FFFFFF"/>
            <w:vAlign w:val="center"/>
          </w:tcPr>
          <w:p w:rsidR="00333E56" w:rsidRPr="00516CEB" w:rsidRDefault="00333E56" w:rsidP="00333E56">
            <w:pPr>
              <w:pStyle w:val="142"/>
              <w:jc w:val="right"/>
              <w:rPr>
                <w:snapToGrid/>
              </w:rPr>
            </w:pPr>
            <w:r>
              <w:rPr>
                <w:rFonts w:hint="eastAsia"/>
                <w:snapToGrid/>
              </w:rPr>
              <w:t>4</w:t>
            </w:r>
            <w:r>
              <w:rPr>
                <w:snapToGrid/>
              </w:rPr>
              <w:t>3,452,025</w:t>
            </w:r>
          </w:p>
        </w:tc>
        <w:tc>
          <w:tcPr>
            <w:tcW w:w="1591" w:type="dxa"/>
            <w:shd w:val="clear" w:color="000000" w:fill="FFFFFF"/>
            <w:vAlign w:val="center"/>
          </w:tcPr>
          <w:p w:rsidR="00333E56" w:rsidRPr="00516CEB" w:rsidRDefault="00333E56" w:rsidP="00333E56">
            <w:pPr>
              <w:pStyle w:val="142"/>
              <w:jc w:val="right"/>
              <w:rPr>
                <w:snapToGrid/>
              </w:rPr>
            </w:pPr>
            <w:r>
              <w:rPr>
                <w:rFonts w:hint="eastAsia"/>
                <w:snapToGrid/>
              </w:rPr>
              <w:t>6</w:t>
            </w:r>
            <w:r>
              <w:rPr>
                <w:snapToGrid/>
              </w:rPr>
              <w:t>3,969,561</w:t>
            </w:r>
          </w:p>
        </w:tc>
        <w:tc>
          <w:tcPr>
            <w:tcW w:w="992" w:type="dxa"/>
            <w:shd w:val="clear" w:color="000000" w:fill="FFFFFF"/>
            <w:vAlign w:val="center"/>
          </w:tcPr>
          <w:p w:rsidR="00333E56" w:rsidRPr="00516CEB" w:rsidRDefault="00333E56" w:rsidP="00333E56">
            <w:pPr>
              <w:pStyle w:val="142"/>
              <w:jc w:val="right"/>
              <w:rPr>
                <w:snapToGrid/>
              </w:rPr>
            </w:pPr>
            <w:r>
              <w:rPr>
                <w:rFonts w:hint="eastAsia"/>
                <w:snapToGrid/>
              </w:rPr>
              <w:t>1</w:t>
            </w:r>
            <w:r>
              <w:rPr>
                <w:snapToGrid/>
              </w:rPr>
              <w:t>4.20</w:t>
            </w:r>
          </w:p>
        </w:tc>
        <w:tc>
          <w:tcPr>
            <w:tcW w:w="1134" w:type="dxa"/>
            <w:shd w:val="clear" w:color="000000" w:fill="FFFFFF"/>
            <w:vAlign w:val="center"/>
          </w:tcPr>
          <w:p w:rsidR="00333E56" w:rsidRPr="00516CEB" w:rsidRDefault="00333E56" w:rsidP="00333E56">
            <w:pPr>
              <w:pStyle w:val="142"/>
              <w:jc w:val="right"/>
              <w:rPr>
                <w:snapToGrid/>
              </w:rPr>
            </w:pPr>
            <w:r>
              <w:rPr>
                <w:rFonts w:hint="eastAsia"/>
                <w:snapToGrid/>
              </w:rPr>
              <w:t>3</w:t>
            </w:r>
            <w:r>
              <w:rPr>
                <w:snapToGrid/>
              </w:rPr>
              <w:t>.63</w:t>
            </w:r>
          </w:p>
        </w:tc>
      </w:tr>
      <w:tr w:rsidR="00333E56" w:rsidRPr="00516CEB" w:rsidTr="004F694E">
        <w:trPr>
          <w:trHeight w:val="350"/>
        </w:trPr>
        <w:tc>
          <w:tcPr>
            <w:tcW w:w="966" w:type="dxa"/>
            <w:shd w:val="clear" w:color="auto" w:fill="auto"/>
            <w:vAlign w:val="center"/>
            <w:hideMark/>
          </w:tcPr>
          <w:p w:rsidR="00333E56" w:rsidRPr="00516CEB" w:rsidRDefault="00333E56" w:rsidP="00A12F3D">
            <w:pPr>
              <w:pStyle w:val="142"/>
              <w:jc w:val="center"/>
              <w:rPr>
                <w:snapToGrid/>
              </w:rPr>
            </w:pPr>
            <w:r>
              <w:rPr>
                <w:rFonts w:hint="eastAsia"/>
                <w:snapToGrid/>
              </w:rPr>
              <w:t>113</w:t>
            </w:r>
          </w:p>
        </w:tc>
        <w:tc>
          <w:tcPr>
            <w:tcW w:w="1554" w:type="dxa"/>
            <w:shd w:val="clear" w:color="000000" w:fill="FFFFFF"/>
            <w:vAlign w:val="center"/>
            <w:hideMark/>
          </w:tcPr>
          <w:p w:rsidR="00333E56" w:rsidRPr="00516CEB" w:rsidRDefault="00333E56" w:rsidP="00333E56">
            <w:pPr>
              <w:pStyle w:val="142"/>
              <w:jc w:val="right"/>
              <w:rPr>
                <w:snapToGrid/>
              </w:rPr>
            </w:pPr>
            <w:r w:rsidRPr="00516CEB">
              <w:rPr>
                <w:rFonts w:hint="eastAsia"/>
                <w:snapToGrid/>
              </w:rPr>
              <w:t>1</w:t>
            </w:r>
            <w:r>
              <w:rPr>
                <w:snapToGrid/>
              </w:rPr>
              <w:t>7</w:t>
            </w:r>
            <w:r w:rsidRPr="00516CEB">
              <w:rPr>
                <w:rFonts w:hint="eastAsia"/>
                <w:snapToGrid/>
              </w:rPr>
              <w:t>,</w:t>
            </w:r>
            <w:r>
              <w:rPr>
                <w:snapToGrid/>
              </w:rPr>
              <w:t>77</w:t>
            </w:r>
            <w:r w:rsidRPr="00516CEB">
              <w:rPr>
                <w:rFonts w:hint="eastAsia"/>
                <w:snapToGrid/>
              </w:rPr>
              <w:t>5,4</w:t>
            </w:r>
            <w:r>
              <w:rPr>
                <w:snapToGrid/>
              </w:rPr>
              <w:t>23</w:t>
            </w:r>
          </w:p>
        </w:tc>
        <w:tc>
          <w:tcPr>
            <w:tcW w:w="1666" w:type="dxa"/>
            <w:shd w:val="clear" w:color="000000" w:fill="FFFFFF"/>
            <w:vAlign w:val="center"/>
            <w:hideMark/>
          </w:tcPr>
          <w:p w:rsidR="00333E56" w:rsidRPr="00516CEB" w:rsidRDefault="00333E56" w:rsidP="00333E56">
            <w:pPr>
              <w:pStyle w:val="142"/>
              <w:jc w:val="right"/>
              <w:rPr>
                <w:snapToGrid/>
              </w:rPr>
            </w:pPr>
            <w:r>
              <w:rPr>
                <w:snapToGrid/>
              </w:rPr>
              <w:t>51</w:t>
            </w:r>
            <w:r w:rsidRPr="00516CEB">
              <w:rPr>
                <w:rFonts w:hint="eastAsia"/>
                <w:snapToGrid/>
              </w:rPr>
              <w:t>,</w:t>
            </w:r>
            <w:r>
              <w:rPr>
                <w:snapToGrid/>
              </w:rPr>
              <w:t>952</w:t>
            </w:r>
            <w:r w:rsidRPr="00516CEB">
              <w:rPr>
                <w:rFonts w:hint="eastAsia"/>
                <w:snapToGrid/>
              </w:rPr>
              <w:t>,</w:t>
            </w:r>
            <w:r>
              <w:rPr>
                <w:snapToGrid/>
              </w:rPr>
              <w:t>2</w:t>
            </w:r>
            <w:r w:rsidRPr="00516CEB">
              <w:rPr>
                <w:rFonts w:hint="eastAsia"/>
                <w:snapToGrid/>
              </w:rPr>
              <w:t>0</w:t>
            </w:r>
            <w:r>
              <w:rPr>
                <w:snapToGrid/>
              </w:rPr>
              <w:t>2</w:t>
            </w:r>
          </w:p>
        </w:tc>
        <w:tc>
          <w:tcPr>
            <w:tcW w:w="1591" w:type="dxa"/>
            <w:shd w:val="clear" w:color="000000" w:fill="FFFFFF"/>
            <w:vAlign w:val="center"/>
            <w:hideMark/>
          </w:tcPr>
          <w:p w:rsidR="00333E56" w:rsidRPr="00516CEB" w:rsidRDefault="00333E56" w:rsidP="00333E56">
            <w:pPr>
              <w:pStyle w:val="142"/>
              <w:jc w:val="right"/>
              <w:rPr>
                <w:snapToGrid/>
              </w:rPr>
            </w:pPr>
            <w:r>
              <w:rPr>
                <w:snapToGrid/>
              </w:rPr>
              <w:t>69</w:t>
            </w:r>
            <w:r w:rsidRPr="00516CEB">
              <w:rPr>
                <w:rFonts w:hint="eastAsia"/>
                <w:snapToGrid/>
              </w:rPr>
              <w:t>,</w:t>
            </w:r>
            <w:r>
              <w:rPr>
                <w:snapToGrid/>
              </w:rPr>
              <w:t>727</w:t>
            </w:r>
            <w:r w:rsidRPr="00516CEB">
              <w:rPr>
                <w:rFonts w:hint="eastAsia"/>
                <w:snapToGrid/>
              </w:rPr>
              <w:t>,</w:t>
            </w:r>
            <w:r>
              <w:rPr>
                <w:snapToGrid/>
              </w:rPr>
              <w:t>625</w:t>
            </w:r>
          </w:p>
        </w:tc>
        <w:tc>
          <w:tcPr>
            <w:tcW w:w="992" w:type="dxa"/>
            <w:shd w:val="clear" w:color="000000" w:fill="FFFFFF"/>
            <w:vAlign w:val="center"/>
            <w:hideMark/>
          </w:tcPr>
          <w:p w:rsidR="00333E56" w:rsidRPr="00516CEB" w:rsidRDefault="00333E56" w:rsidP="00333E56">
            <w:pPr>
              <w:pStyle w:val="142"/>
              <w:jc w:val="right"/>
              <w:rPr>
                <w:snapToGrid/>
              </w:rPr>
            </w:pPr>
            <w:r w:rsidRPr="00516CEB">
              <w:rPr>
                <w:rFonts w:hint="eastAsia"/>
                <w:snapToGrid/>
              </w:rPr>
              <w:t>1</w:t>
            </w:r>
            <w:r>
              <w:rPr>
                <w:snapToGrid/>
              </w:rPr>
              <w:t>3</w:t>
            </w:r>
            <w:r w:rsidRPr="00516CEB">
              <w:rPr>
                <w:rFonts w:hint="eastAsia"/>
                <w:snapToGrid/>
              </w:rPr>
              <w:t>.</w:t>
            </w:r>
            <w:r>
              <w:rPr>
                <w:snapToGrid/>
              </w:rPr>
              <w:t>93</w:t>
            </w:r>
          </w:p>
        </w:tc>
        <w:tc>
          <w:tcPr>
            <w:tcW w:w="1134" w:type="dxa"/>
            <w:shd w:val="clear" w:color="000000" w:fill="FFFFFF"/>
            <w:vAlign w:val="center"/>
            <w:hideMark/>
          </w:tcPr>
          <w:p w:rsidR="00333E56" w:rsidRPr="00516CEB" w:rsidRDefault="00333E56" w:rsidP="00333E56">
            <w:pPr>
              <w:pStyle w:val="142"/>
              <w:jc w:val="right"/>
              <w:rPr>
                <w:snapToGrid/>
              </w:rPr>
            </w:pPr>
            <w:r w:rsidRPr="00516CEB">
              <w:rPr>
                <w:rFonts w:hint="eastAsia"/>
                <w:snapToGrid/>
              </w:rPr>
              <w:t>3.6</w:t>
            </w:r>
            <w:r>
              <w:rPr>
                <w:snapToGrid/>
              </w:rPr>
              <w:t>5</w:t>
            </w:r>
          </w:p>
        </w:tc>
      </w:tr>
    </w:tbl>
    <w:p w:rsidR="00A12F3D" w:rsidRDefault="004F694E" w:rsidP="00516CEB">
      <w:pPr>
        <w:pStyle w:val="142"/>
        <w:rPr>
          <w:snapToGrid/>
        </w:rPr>
      </w:pPr>
      <w:r>
        <w:rPr>
          <w:rFonts w:hint="eastAsia"/>
          <w:snapToGrid/>
        </w:rPr>
        <w:t xml:space="preserve">     </w:t>
      </w:r>
      <w:r w:rsidR="00A12F3D">
        <w:rPr>
          <w:rFonts w:hint="eastAsia"/>
          <w:snapToGrid/>
        </w:rPr>
        <w:t>說    明</w:t>
      </w:r>
      <w:r w:rsidR="00A12F3D">
        <w:rPr>
          <w:rFonts w:ascii="新細明體" w:eastAsia="新細明體" w:hAnsi="新細明體" w:hint="eastAsia"/>
          <w:snapToGrid/>
        </w:rPr>
        <w:t>：</w:t>
      </w:r>
      <w:r w:rsidR="00A12F3D">
        <w:rPr>
          <w:rFonts w:hint="eastAsia"/>
          <w:snapToGrid/>
        </w:rPr>
        <w:t>113年度為截至6月底統計資料</w:t>
      </w:r>
      <w:r w:rsidR="00A12F3D">
        <w:rPr>
          <w:rFonts w:hAnsi="標楷體" w:hint="eastAsia"/>
          <w:snapToGrid/>
        </w:rPr>
        <w:t>。</w:t>
      </w:r>
    </w:p>
    <w:p w:rsidR="007C5322" w:rsidRDefault="00A12F3D" w:rsidP="00516CEB">
      <w:pPr>
        <w:pStyle w:val="142"/>
        <w:rPr>
          <w:snapToGrid/>
        </w:rPr>
      </w:pPr>
      <w:r>
        <w:rPr>
          <w:rFonts w:hint="eastAsia"/>
          <w:snapToGrid/>
        </w:rPr>
        <w:t xml:space="preserve">     </w:t>
      </w:r>
      <w:r w:rsidR="007C5322" w:rsidRPr="00A100BD">
        <w:rPr>
          <w:rFonts w:hint="eastAsia"/>
          <w:snapToGrid/>
        </w:rPr>
        <w:t>資料來源</w:t>
      </w:r>
      <w:r w:rsidR="007C5322">
        <w:rPr>
          <w:rFonts w:hint="eastAsia"/>
          <w:snapToGrid/>
          <w:lang w:eastAsia="zh-HK"/>
        </w:rPr>
        <w:t>：</w:t>
      </w:r>
      <w:r w:rsidR="00F22754">
        <w:rPr>
          <w:rFonts w:hint="eastAsia"/>
          <w:snapToGrid/>
        </w:rPr>
        <w:t>國保基金</w:t>
      </w:r>
      <w:r w:rsidR="00D72F7A">
        <w:rPr>
          <w:rFonts w:hint="eastAsia"/>
          <w:snapToGrid/>
        </w:rPr>
        <w:t>提供</w:t>
      </w:r>
      <w:r w:rsidR="007C5322" w:rsidRPr="00A100BD">
        <w:rPr>
          <w:rFonts w:hint="eastAsia"/>
          <w:snapToGrid/>
        </w:rPr>
        <w:t>。</w:t>
      </w:r>
    </w:p>
    <w:p w:rsidR="0080472A" w:rsidRPr="005C768F" w:rsidRDefault="001176D8" w:rsidP="001176D8">
      <w:pPr>
        <w:pStyle w:val="a4"/>
        <w:ind w:left="849" w:hanging="283"/>
        <w:rPr>
          <w:b/>
        </w:rPr>
      </w:pPr>
      <w:r w:rsidRPr="005C768F">
        <w:rPr>
          <w:rFonts w:hint="eastAsia"/>
          <w:b/>
        </w:rPr>
        <w:t>(二</w:t>
      </w:r>
      <w:r w:rsidRPr="005C768F">
        <w:rPr>
          <w:b/>
        </w:rPr>
        <w:t>)</w:t>
      </w:r>
      <w:r w:rsidR="004F694E">
        <w:rPr>
          <w:rFonts w:hint="eastAsia"/>
          <w:b/>
        </w:rPr>
        <w:t>部分</w:t>
      </w:r>
      <w:r w:rsidR="00794F54">
        <w:rPr>
          <w:rFonts w:hint="eastAsia"/>
          <w:b/>
        </w:rPr>
        <w:t>委</w:t>
      </w:r>
      <w:r w:rsidR="005C768F" w:rsidRPr="005C768F">
        <w:rPr>
          <w:rFonts w:hint="eastAsia"/>
          <w:b/>
        </w:rPr>
        <w:t>託經營</w:t>
      </w:r>
      <w:r w:rsidR="004F694E">
        <w:rPr>
          <w:rFonts w:hint="eastAsia"/>
          <w:b/>
        </w:rPr>
        <w:t>業者之</w:t>
      </w:r>
      <w:r w:rsidR="005C768F" w:rsidRPr="005C768F">
        <w:rPr>
          <w:rFonts w:hint="eastAsia"/>
          <w:b/>
        </w:rPr>
        <w:t>投資績效低於指標報酬率，允宜</w:t>
      </w:r>
      <w:r w:rsidR="005B6DE5">
        <w:rPr>
          <w:rFonts w:hint="eastAsia"/>
          <w:b/>
        </w:rPr>
        <w:t>加強</w:t>
      </w:r>
      <w:r w:rsidR="004F694E">
        <w:rPr>
          <w:rFonts w:hint="eastAsia"/>
          <w:b/>
        </w:rPr>
        <w:t>控管並適時採取處置作為</w:t>
      </w:r>
    </w:p>
    <w:p w:rsidR="004F1582" w:rsidRDefault="00794F54" w:rsidP="004F1582">
      <w:pPr>
        <w:pStyle w:val="21"/>
        <w:ind w:left="850" w:firstLine="566"/>
      </w:pPr>
      <w:r>
        <w:rPr>
          <w:rFonts w:hint="eastAsia"/>
        </w:rPr>
        <w:t>依國保基金提供投資配置統計資料</w:t>
      </w:r>
      <w:r>
        <w:rPr>
          <w:rFonts w:hAnsi="標楷體" w:hint="eastAsia"/>
        </w:rPr>
        <w:t>，</w:t>
      </w:r>
      <w:r w:rsidR="004F1582" w:rsidRPr="008714D9">
        <w:rPr>
          <w:rFonts w:hint="eastAsia"/>
        </w:rPr>
        <w:t>11</w:t>
      </w:r>
      <w:r w:rsidR="004F694E">
        <w:rPr>
          <w:rFonts w:hint="eastAsia"/>
        </w:rPr>
        <w:t>3</w:t>
      </w:r>
      <w:r w:rsidR="004F1582" w:rsidRPr="008714D9">
        <w:rPr>
          <w:rFonts w:hint="eastAsia"/>
        </w:rPr>
        <w:t>年</w:t>
      </w:r>
      <w:r w:rsidR="004F694E">
        <w:rPr>
          <w:rFonts w:hint="eastAsia"/>
        </w:rPr>
        <w:t>度截至6</w:t>
      </w:r>
      <w:r w:rsidR="004F1582" w:rsidRPr="008714D9">
        <w:rPr>
          <w:rFonts w:hint="eastAsia"/>
        </w:rPr>
        <w:t>月底</w:t>
      </w:r>
      <w:r w:rsidR="00515ACB">
        <w:rPr>
          <w:rFonts w:hint="eastAsia"/>
        </w:rPr>
        <w:t>各類</w:t>
      </w:r>
      <w:r>
        <w:rPr>
          <w:rFonts w:hint="eastAsia"/>
        </w:rPr>
        <w:t>委託經營項目及其金額分別為</w:t>
      </w:r>
      <w:r>
        <w:rPr>
          <w:rFonts w:ascii="新細明體" w:eastAsia="新細明體" w:hAnsi="新細明體" w:hint="eastAsia"/>
        </w:rPr>
        <w:t>：</w:t>
      </w:r>
      <w:r w:rsidR="004F1582" w:rsidRPr="008714D9">
        <w:rPr>
          <w:rFonts w:hint="eastAsia"/>
        </w:rPr>
        <w:t>國內權益證券</w:t>
      </w:r>
      <w:r>
        <w:rPr>
          <w:rFonts w:hint="eastAsia"/>
        </w:rPr>
        <w:t>385億</w:t>
      </w:r>
      <w:r>
        <w:t>5</w:t>
      </w:r>
      <w:r>
        <w:rPr>
          <w:rFonts w:hint="eastAsia"/>
        </w:rPr>
        <w:t>,</w:t>
      </w:r>
      <w:r>
        <w:t>100</w:t>
      </w:r>
      <w:r>
        <w:rPr>
          <w:rFonts w:hint="eastAsia"/>
        </w:rPr>
        <w:t>萬元</w:t>
      </w:r>
      <w:r w:rsidR="004F1582" w:rsidRPr="008714D9">
        <w:rPr>
          <w:rFonts w:hint="eastAsia"/>
        </w:rPr>
        <w:t>、國外債務證券</w:t>
      </w:r>
      <w:r>
        <w:rPr>
          <w:rFonts w:hint="eastAsia"/>
        </w:rPr>
        <w:t>392億6</w:t>
      </w:r>
      <w:r>
        <w:t>,</w:t>
      </w:r>
      <w:r>
        <w:rPr>
          <w:rFonts w:hint="eastAsia"/>
        </w:rPr>
        <w:t>400萬元</w:t>
      </w:r>
      <w:r w:rsidR="004F1582" w:rsidRPr="008714D9">
        <w:rPr>
          <w:rFonts w:hint="eastAsia"/>
        </w:rPr>
        <w:t>、國外權益證券</w:t>
      </w:r>
      <w:r>
        <w:rPr>
          <w:rFonts w:hint="eastAsia"/>
        </w:rPr>
        <w:t>1</w:t>
      </w:r>
      <w:r>
        <w:t>,088</w:t>
      </w:r>
      <w:r>
        <w:rPr>
          <w:rFonts w:hint="eastAsia"/>
        </w:rPr>
        <w:t>億4</w:t>
      </w:r>
      <w:r>
        <w:t>,</w:t>
      </w:r>
      <w:r>
        <w:rPr>
          <w:rFonts w:hint="eastAsia"/>
        </w:rPr>
        <w:t>800萬元</w:t>
      </w:r>
      <w:r w:rsidR="004F1582" w:rsidRPr="008714D9">
        <w:rPr>
          <w:rFonts w:hint="eastAsia"/>
        </w:rPr>
        <w:t>及國外另類投資</w:t>
      </w:r>
      <w:r>
        <w:rPr>
          <w:rFonts w:hint="eastAsia"/>
        </w:rPr>
        <w:t>259億3</w:t>
      </w:r>
      <w:r>
        <w:t>,</w:t>
      </w:r>
      <w:r>
        <w:rPr>
          <w:rFonts w:hint="eastAsia"/>
        </w:rPr>
        <w:t>600萬元</w:t>
      </w:r>
      <w:r>
        <w:rPr>
          <w:rFonts w:hAnsi="標楷體" w:hint="eastAsia"/>
        </w:rPr>
        <w:t>，</w:t>
      </w:r>
      <w:r>
        <w:rPr>
          <w:rFonts w:hint="eastAsia"/>
        </w:rPr>
        <w:t>合</w:t>
      </w:r>
      <w:r w:rsidR="004F1582">
        <w:rPr>
          <w:rFonts w:hint="eastAsia"/>
        </w:rPr>
        <w:t>計</w:t>
      </w:r>
      <w:r w:rsidR="00EC38FC">
        <w:t>2</w:t>
      </w:r>
      <w:r w:rsidR="004F1582" w:rsidRPr="008714D9">
        <w:t>,</w:t>
      </w:r>
      <w:r w:rsidR="00EC38FC">
        <w:t>125</w:t>
      </w:r>
      <w:r w:rsidR="004F1582" w:rsidRPr="008714D9">
        <w:rPr>
          <w:rFonts w:hint="eastAsia"/>
        </w:rPr>
        <w:t>億</w:t>
      </w:r>
      <w:r w:rsidR="00EC38FC">
        <w:rPr>
          <w:rFonts w:hint="eastAsia"/>
        </w:rPr>
        <w:t>9</w:t>
      </w:r>
      <w:r w:rsidR="004F1582" w:rsidRPr="008714D9">
        <w:t>,</w:t>
      </w:r>
      <w:r w:rsidR="00EC38FC">
        <w:t>9</w:t>
      </w:r>
      <w:r w:rsidR="004F1582" w:rsidRPr="008714D9">
        <w:rPr>
          <w:rFonts w:hint="eastAsia"/>
        </w:rPr>
        <w:t>00萬元，金額</w:t>
      </w:r>
      <w:r>
        <w:rPr>
          <w:rFonts w:hint="eastAsia"/>
        </w:rPr>
        <w:t>頗</w:t>
      </w:r>
      <w:r w:rsidR="004F1582" w:rsidRPr="008714D9">
        <w:rPr>
          <w:rFonts w:hint="eastAsia"/>
        </w:rPr>
        <w:t>鉅，占資金運用</w:t>
      </w:r>
      <w:r w:rsidR="00106FBB">
        <w:rPr>
          <w:rFonts w:hint="eastAsia"/>
        </w:rPr>
        <w:t>餘</w:t>
      </w:r>
      <w:r w:rsidR="004F1582" w:rsidRPr="008714D9">
        <w:rPr>
          <w:rFonts w:hint="eastAsia"/>
        </w:rPr>
        <w:t>額</w:t>
      </w:r>
      <w:r w:rsidR="004E2692" w:rsidRPr="004E2692">
        <w:rPr>
          <w:rFonts w:hint="eastAsia"/>
        </w:rPr>
        <w:t>6,019億8,200萬元</w:t>
      </w:r>
      <w:r w:rsidR="00A65B75">
        <w:rPr>
          <w:rStyle w:val="af2"/>
        </w:rPr>
        <w:footnoteReference w:id="1"/>
      </w:r>
      <w:r w:rsidR="004F1582" w:rsidRPr="008714D9">
        <w:rPr>
          <w:rFonts w:hint="eastAsia"/>
        </w:rPr>
        <w:t>之</w:t>
      </w:r>
      <w:r w:rsidR="00EC38FC">
        <w:t>35</w:t>
      </w:r>
      <w:r w:rsidR="004F1582" w:rsidRPr="008714D9">
        <w:rPr>
          <w:rFonts w:hint="eastAsia"/>
        </w:rPr>
        <w:t>.</w:t>
      </w:r>
      <w:r w:rsidR="00EC38FC">
        <w:t>32</w:t>
      </w:r>
      <w:r w:rsidR="004F1582" w:rsidRPr="008714D9">
        <w:rPr>
          <w:rFonts w:hint="eastAsia"/>
        </w:rPr>
        <w:t>%</w:t>
      </w:r>
      <w:r w:rsidR="00EC38FC">
        <w:rPr>
          <w:rFonts w:hint="eastAsia"/>
        </w:rPr>
        <w:t>；惟部分委託經營案績效</w:t>
      </w:r>
      <w:r w:rsidR="000C6A19">
        <w:rPr>
          <w:rFonts w:hint="eastAsia"/>
        </w:rPr>
        <w:t>較為</w:t>
      </w:r>
      <w:r w:rsidR="00EC38FC">
        <w:rPr>
          <w:rFonts w:hint="eastAsia"/>
        </w:rPr>
        <w:t>落後</w:t>
      </w:r>
      <w:r w:rsidR="00367C96">
        <w:rPr>
          <w:rFonts w:hint="eastAsia"/>
        </w:rPr>
        <w:t>(詳表2)</w:t>
      </w:r>
      <w:r w:rsidR="00EC38FC">
        <w:rPr>
          <w:rFonts w:hint="eastAsia"/>
        </w:rPr>
        <w:t>，</w:t>
      </w:r>
      <w:r w:rsidR="004F1582">
        <w:rPr>
          <w:rFonts w:hint="eastAsia"/>
        </w:rPr>
        <w:t>謹</w:t>
      </w:r>
      <w:r w:rsidR="00EC38FC">
        <w:rPr>
          <w:rFonts w:hint="eastAsia"/>
        </w:rPr>
        <w:t>敘</w:t>
      </w:r>
      <w:r w:rsidR="004F1582">
        <w:rPr>
          <w:rFonts w:hint="eastAsia"/>
        </w:rPr>
        <w:t>明如</w:t>
      </w:r>
      <w:r w:rsidR="00EC38FC">
        <w:rPr>
          <w:rFonts w:hint="eastAsia"/>
        </w:rPr>
        <w:t>次</w:t>
      </w:r>
      <w:r w:rsidR="004F1582">
        <w:rPr>
          <w:rFonts w:hint="eastAsia"/>
        </w:rPr>
        <w:t>：</w:t>
      </w:r>
    </w:p>
    <w:p w:rsidR="00640834" w:rsidRPr="00275F36" w:rsidRDefault="00640834" w:rsidP="008714D9">
      <w:pPr>
        <w:pStyle w:val="123"/>
        <w:ind w:left="1133" w:hanging="283"/>
        <w:rPr>
          <w:color w:val="FF0000"/>
        </w:rPr>
      </w:pPr>
      <w:r w:rsidRPr="000E425D">
        <w:rPr>
          <w:color w:val="000000"/>
        </w:rPr>
        <w:t>1.</w:t>
      </w:r>
      <w:r w:rsidR="000C6A19">
        <w:rPr>
          <w:rFonts w:hint="eastAsia"/>
          <w:color w:val="000000"/>
        </w:rPr>
        <w:t>委託經營績效概況</w:t>
      </w:r>
      <w:r w:rsidR="000C6A19">
        <w:rPr>
          <w:rFonts w:ascii="新細明體" w:eastAsia="新細明體" w:hAnsi="新細明體" w:hint="eastAsia"/>
          <w:color w:val="000000"/>
        </w:rPr>
        <w:t>：</w:t>
      </w:r>
      <w:r w:rsidR="000E5917" w:rsidRPr="000E425D">
        <w:rPr>
          <w:rFonts w:hint="eastAsia"/>
          <w:color w:val="000000"/>
        </w:rPr>
        <w:t>國內相對報酬股票型計有4家未達指標報酬率</w:t>
      </w:r>
      <w:r w:rsidR="000C6A19">
        <w:rPr>
          <w:rFonts w:hAnsi="標楷體" w:hint="eastAsia"/>
          <w:color w:val="000000"/>
        </w:rPr>
        <w:t>，</w:t>
      </w:r>
      <w:r w:rsidR="000C6A19">
        <w:rPr>
          <w:rFonts w:hint="eastAsia"/>
          <w:color w:val="000000"/>
        </w:rPr>
        <w:t>其中有2家更低於指標報酬率</w:t>
      </w:r>
      <w:r w:rsidR="00515ACB">
        <w:rPr>
          <w:rFonts w:hint="eastAsia"/>
          <w:color w:val="000000"/>
        </w:rPr>
        <w:t>10個百分點</w:t>
      </w:r>
      <w:r w:rsidR="000C6A19">
        <w:rPr>
          <w:rFonts w:hint="eastAsia"/>
          <w:color w:val="000000"/>
        </w:rPr>
        <w:t>以上</w:t>
      </w:r>
      <w:r w:rsidR="000C6A19">
        <w:rPr>
          <w:rFonts w:hAnsi="標楷體" w:hint="eastAsia"/>
          <w:color w:val="000000"/>
        </w:rPr>
        <w:t>；國外投資部分則有19家未達指標報酬</w:t>
      </w:r>
      <w:r w:rsidR="000C6A19" w:rsidRPr="0054333C">
        <w:rPr>
          <w:rFonts w:hAnsi="標楷體" w:hint="eastAsia"/>
          <w:color w:val="000000"/>
        </w:rPr>
        <w:t>率</w:t>
      </w:r>
      <w:r w:rsidR="003F2761" w:rsidRPr="0054333C">
        <w:rPr>
          <w:rFonts w:hint="eastAsia"/>
          <w:color w:val="000000"/>
        </w:rPr>
        <w:t>。</w:t>
      </w:r>
    </w:p>
    <w:p w:rsidR="001176D8" w:rsidRPr="00275F36" w:rsidRDefault="00640834" w:rsidP="00640834">
      <w:pPr>
        <w:pStyle w:val="123"/>
        <w:ind w:left="1133" w:hanging="283"/>
        <w:rPr>
          <w:color w:val="FF0000"/>
        </w:rPr>
      </w:pPr>
      <w:r w:rsidRPr="0054333C">
        <w:rPr>
          <w:rFonts w:hint="eastAsia"/>
          <w:color w:val="000000"/>
        </w:rPr>
        <w:t>2.</w:t>
      </w:r>
      <w:r w:rsidR="000C6A19" w:rsidRPr="0054333C">
        <w:rPr>
          <w:rFonts w:hint="eastAsia"/>
          <w:color w:val="000000"/>
        </w:rPr>
        <w:t>後續處置情形</w:t>
      </w:r>
      <w:r w:rsidR="000C6A19" w:rsidRPr="0054333C">
        <w:rPr>
          <w:rFonts w:ascii="新細明體" w:eastAsia="新細明體" w:hAnsi="新細明體" w:hint="eastAsia"/>
          <w:color w:val="000000"/>
        </w:rPr>
        <w:t>：</w:t>
      </w:r>
      <w:r w:rsidR="000F6E74" w:rsidRPr="0054333C">
        <w:rPr>
          <w:rFonts w:hint="eastAsia"/>
          <w:color w:val="000000"/>
        </w:rPr>
        <w:t>該基金處理</w:t>
      </w:r>
      <w:r w:rsidR="00B222E4" w:rsidRPr="0054333C">
        <w:rPr>
          <w:rFonts w:hint="eastAsia"/>
          <w:color w:val="000000"/>
        </w:rPr>
        <w:t>方式為持續追蹤受託機構之經營績效及風險控管情形，未更換經理人</w:t>
      </w:r>
      <w:r w:rsidR="006D0EC1" w:rsidRPr="0054333C">
        <w:rPr>
          <w:rFonts w:hint="eastAsia"/>
          <w:color w:val="000000"/>
        </w:rPr>
        <w:t>。</w:t>
      </w:r>
      <w:r w:rsidR="00856EAB" w:rsidRPr="0054333C">
        <w:rPr>
          <w:rFonts w:hint="eastAsia"/>
          <w:color w:val="000000"/>
        </w:rPr>
        <w:t>按委外經營績效之良窳與受託機構專案經理人之資產管理能力息息相關</w:t>
      </w:r>
      <w:r w:rsidR="00856EAB" w:rsidRPr="0054333C">
        <w:rPr>
          <w:rFonts w:hAnsi="標楷體" w:hint="eastAsia"/>
          <w:color w:val="000000"/>
        </w:rPr>
        <w:t>，爰其</w:t>
      </w:r>
      <w:r w:rsidR="00DC48B0" w:rsidRPr="0054333C">
        <w:rPr>
          <w:rFonts w:hAnsi="標楷體" w:hint="eastAsia"/>
          <w:color w:val="000000"/>
        </w:rPr>
        <w:t>經營</w:t>
      </w:r>
      <w:r w:rsidR="00856EAB" w:rsidRPr="0054333C">
        <w:rPr>
          <w:rFonts w:hAnsi="標楷體" w:hint="eastAsia"/>
          <w:color w:val="000000"/>
        </w:rPr>
        <w:t>績效與受託機構之主要報酬管理費間應建立一定連動關係</w:t>
      </w:r>
      <w:r w:rsidR="00DC48B0" w:rsidRPr="0054333C">
        <w:rPr>
          <w:rFonts w:hAnsi="標楷體" w:hint="eastAsia"/>
          <w:color w:val="000000"/>
        </w:rPr>
        <w:lastRenderedPageBreak/>
        <w:t>始有激勵效果</w:t>
      </w:r>
      <w:r w:rsidR="00DC48B0" w:rsidRPr="0054333C">
        <w:rPr>
          <w:rFonts w:hint="eastAsia"/>
          <w:color w:val="000000"/>
        </w:rPr>
        <w:t>，</w:t>
      </w:r>
      <w:r w:rsidR="00914F14" w:rsidRPr="0054333C">
        <w:rPr>
          <w:rFonts w:hint="eastAsia"/>
          <w:color w:val="000000"/>
        </w:rPr>
        <w:t>國民年金保險基金委託經營辦法第5條</w:t>
      </w:r>
      <w:r w:rsidR="00404FA4" w:rsidRPr="0054333C">
        <w:rPr>
          <w:rFonts w:hint="eastAsia"/>
          <w:color w:val="000000"/>
        </w:rPr>
        <w:t>第7項</w:t>
      </w:r>
      <w:r w:rsidR="00DC48B0" w:rsidRPr="0054333C">
        <w:rPr>
          <w:rFonts w:hint="eastAsia"/>
          <w:color w:val="000000"/>
        </w:rPr>
        <w:t>即</w:t>
      </w:r>
      <w:r w:rsidR="00914F14" w:rsidRPr="0054333C">
        <w:rPr>
          <w:rFonts w:hint="eastAsia"/>
          <w:color w:val="000000"/>
        </w:rPr>
        <w:t>規定</w:t>
      </w:r>
      <w:r w:rsidR="00DC48B0" w:rsidRPr="0054333C">
        <w:rPr>
          <w:rFonts w:hint="eastAsia"/>
          <w:color w:val="000000"/>
        </w:rPr>
        <w:t>：「前項管理費應按委託資產淨值以固定比率提撥之。但得於受託機構實際經營績效超過或低於基金運用局所訂衡量標準時，設定級距彈性增減之。」此外</w:t>
      </w:r>
      <w:r w:rsidR="00DC48B0" w:rsidRPr="0054333C">
        <w:rPr>
          <w:rFonts w:hAnsi="標楷體" w:hint="eastAsia"/>
          <w:color w:val="000000"/>
        </w:rPr>
        <w:t>，依該基金說明，</w:t>
      </w:r>
      <w:r w:rsidR="00C77965" w:rsidRPr="0054333C">
        <w:rPr>
          <w:rFonts w:hint="eastAsia"/>
          <w:color w:val="000000"/>
        </w:rPr>
        <w:t>亦得依契約及市場週期變化增減委託額度</w:t>
      </w:r>
      <w:r w:rsidRPr="0054333C">
        <w:rPr>
          <w:rFonts w:hint="eastAsia"/>
          <w:color w:val="000000"/>
        </w:rPr>
        <w:t>。</w:t>
      </w:r>
      <w:r w:rsidR="00DC48B0" w:rsidRPr="0054333C">
        <w:rPr>
          <w:rFonts w:hint="eastAsia"/>
          <w:color w:val="000000"/>
        </w:rPr>
        <w:t>該基金允依相關規定辦理委託經營事宜</w:t>
      </w:r>
      <w:r w:rsidR="00DC48B0" w:rsidRPr="0054333C">
        <w:rPr>
          <w:rFonts w:hAnsi="標楷體" w:hint="eastAsia"/>
          <w:color w:val="000000"/>
        </w:rPr>
        <w:t>，</w:t>
      </w:r>
      <w:r w:rsidR="00DC48B0" w:rsidRPr="0054333C">
        <w:rPr>
          <w:rFonts w:hint="eastAsia"/>
          <w:color w:val="000000"/>
        </w:rPr>
        <w:t>俾獲取適當之投資收益</w:t>
      </w:r>
      <w:r w:rsidR="00DC48B0" w:rsidRPr="0054333C">
        <w:rPr>
          <w:rFonts w:hAnsi="標楷體" w:hint="eastAsia"/>
          <w:color w:val="000000"/>
        </w:rPr>
        <w:t>。</w:t>
      </w:r>
    </w:p>
    <w:p w:rsidR="007C5322" w:rsidRPr="0054333C" w:rsidRDefault="007C5322" w:rsidP="00210555">
      <w:pPr>
        <w:ind w:left="566" w:firstLine="566"/>
        <w:rPr>
          <w:rFonts w:hAnsi="標楷體"/>
          <w:color w:val="000000"/>
        </w:rPr>
      </w:pPr>
      <w:r w:rsidRPr="0054333C">
        <w:rPr>
          <w:rFonts w:hAnsi="標楷體" w:hint="eastAsia"/>
          <w:color w:val="000000"/>
        </w:rPr>
        <w:t>綜上，</w:t>
      </w:r>
      <w:r w:rsidR="00DC48B0" w:rsidRPr="0054333C">
        <w:rPr>
          <w:rFonts w:hAnsi="標楷體" w:hint="eastAsia"/>
          <w:color w:val="000000"/>
        </w:rPr>
        <w:t>國保基金近年整體投資收益除受國際政經情勢</w:t>
      </w:r>
      <w:r w:rsidR="00A03266" w:rsidRPr="0054333C">
        <w:rPr>
          <w:rFonts w:hAnsi="標楷體" w:hint="eastAsia"/>
          <w:color w:val="000000"/>
        </w:rPr>
        <w:t>變化影響外，大抵呈向上趨勢，惟113年度截至6月底部分委託經營業者之投資績效低於指標報酬率，</w:t>
      </w:r>
      <w:r w:rsidR="007A1313" w:rsidRPr="0054333C">
        <w:rPr>
          <w:rFonts w:hAnsi="標楷體" w:hint="eastAsia"/>
          <w:color w:val="000000"/>
        </w:rPr>
        <w:t>允宜</w:t>
      </w:r>
      <w:r w:rsidR="00A03266" w:rsidRPr="0054333C">
        <w:rPr>
          <w:rFonts w:hAnsi="標楷體" w:hint="eastAsia"/>
          <w:color w:val="000000"/>
        </w:rPr>
        <w:t>依相關規定妥善執行管理作為</w:t>
      </w:r>
      <w:r w:rsidR="00B42A66" w:rsidRPr="0054333C">
        <w:rPr>
          <w:rFonts w:hAnsi="標楷體" w:hint="eastAsia"/>
          <w:color w:val="000000"/>
        </w:rPr>
        <w:t>，俾</w:t>
      </w:r>
      <w:r w:rsidR="00A03266" w:rsidRPr="0054333C">
        <w:rPr>
          <w:rFonts w:hAnsi="標楷體" w:hint="eastAsia"/>
          <w:color w:val="000000"/>
        </w:rPr>
        <w:t>持續</w:t>
      </w:r>
      <w:r w:rsidR="00B42A66" w:rsidRPr="0054333C">
        <w:rPr>
          <w:rFonts w:hAnsi="標楷體" w:hint="eastAsia"/>
          <w:color w:val="000000"/>
        </w:rPr>
        <w:t>提升</w:t>
      </w:r>
      <w:r w:rsidR="00450A8B" w:rsidRPr="0054333C">
        <w:rPr>
          <w:rFonts w:hAnsi="標楷體" w:hint="eastAsia"/>
          <w:color w:val="000000"/>
        </w:rPr>
        <w:t>委託</w:t>
      </w:r>
      <w:r w:rsidR="00A03266" w:rsidRPr="0054333C">
        <w:rPr>
          <w:rFonts w:hAnsi="標楷體" w:hint="eastAsia"/>
          <w:color w:val="000000"/>
        </w:rPr>
        <w:t>經營績效</w:t>
      </w:r>
      <w:r w:rsidRPr="0054333C">
        <w:rPr>
          <w:rFonts w:hAnsi="標楷體" w:hint="eastAsia"/>
          <w:color w:val="000000"/>
        </w:rPr>
        <w:t>。</w:t>
      </w:r>
    </w:p>
    <w:p w:rsidR="002571A6" w:rsidRDefault="00A12F3D" w:rsidP="002571A6">
      <w:pPr>
        <w:pStyle w:val="21"/>
        <w:ind w:leftChars="0" w:left="1134" w:hangingChars="400" w:hanging="1134"/>
        <w:rPr>
          <w:snapToGrid/>
        </w:rPr>
      </w:pPr>
      <w:r>
        <w:rPr>
          <w:rFonts w:hint="eastAsia"/>
          <w:b/>
          <w:snapToGrid/>
        </w:rPr>
        <w:t xml:space="preserve">   </w:t>
      </w:r>
      <w:r w:rsidR="00247FE8">
        <w:rPr>
          <w:rFonts w:hint="eastAsia"/>
          <w:b/>
          <w:snapToGrid/>
        </w:rPr>
        <w:t>表</w:t>
      </w:r>
      <w:r w:rsidR="00D6270B">
        <w:rPr>
          <w:b/>
          <w:snapToGrid/>
        </w:rPr>
        <w:t>2</w:t>
      </w:r>
      <w:r w:rsidR="00247FE8" w:rsidRPr="00F22754">
        <w:rPr>
          <w:rFonts w:hint="eastAsia"/>
          <w:b/>
          <w:snapToGrid/>
        </w:rPr>
        <w:t xml:space="preserve">  國保基金</w:t>
      </w:r>
      <w:r w:rsidR="00C37ECE">
        <w:rPr>
          <w:b/>
          <w:snapToGrid/>
        </w:rPr>
        <w:t>11</w:t>
      </w:r>
      <w:r w:rsidR="00333E56">
        <w:rPr>
          <w:rFonts w:hint="eastAsia"/>
          <w:b/>
          <w:snapToGrid/>
        </w:rPr>
        <w:t>3</w:t>
      </w:r>
      <w:r w:rsidR="00C37ECE">
        <w:rPr>
          <w:rFonts w:hint="eastAsia"/>
          <w:b/>
          <w:snapToGrid/>
        </w:rPr>
        <w:t>年度</w:t>
      </w:r>
      <w:r w:rsidR="00AF4987">
        <w:rPr>
          <w:rFonts w:hint="eastAsia"/>
          <w:b/>
          <w:snapToGrid/>
        </w:rPr>
        <w:t>(</w:t>
      </w:r>
      <w:r>
        <w:rPr>
          <w:rFonts w:hint="eastAsia"/>
          <w:b/>
          <w:snapToGrid/>
        </w:rPr>
        <w:t>截至6</w:t>
      </w:r>
      <w:r w:rsidR="00247FE8">
        <w:rPr>
          <w:rFonts w:hint="eastAsia"/>
          <w:b/>
          <w:snapToGrid/>
        </w:rPr>
        <w:t>月底止</w:t>
      </w:r>
      <w:r w:rsidR="00AF4987">
        <w:rPr>
          <w:rFonts w:hint="eastAsia"/>
          <w:b/>
          <w:snapToGrid/>
        </w:rPr>
        <w:t>)</w:t>
      </w:r>
      <w:r w:rsidR="00C37ECE" w:rsidRPr="00F22754">
        <w:rPr>
          <w:rFonts w:hint="eastAsia"/>
          <w:b/>
          <w:snapToGrid/>
        </w:rPr>
        <w:t>投資績效</w:t>
      </w:r>
      <w:r w:rsidR="00C37ECE">
        <w:rPr>
          <w:rFonts w:hint="eastAsia"/>
          <w:b/>
          <w:snapToGrid/>
        </w:rPr>
        <w:t>落後之委託經營情形</w:t>
      </w:r>
      <w:r w:rsidR="00247FE8">
        <w:rPr>
          <w:rFonts w:hint="eastAsia"/>
          <w:b/>
          <w:snapToGrid/>
        </w:rPr>
        <w:t>表</w:t>
      </w:r>
      <w:r>
        <w:rPr>
          <w:rFonts w:hint="eastAsia"/>
          <w:b/>
          <w:snapToGrid/>
        </w:rPr>
        <w:t xml:space="preserve">                </w:t>
      </w:r>
      <w:r w:rsidR="00AF4987">
        <w:rPr>
          <w:b/>
          <w:snapToGrid/>
        </w:rPr>
        <w:t xml:space="preserve"> </w:t>
      </w:r>
      <w:r w:rsidR="00C91ED0">
        <w:rPr>
          <w:rFonts w:hint="eastAsia"/>
          <w:b/>
          <w:snapToGrid/>
        </w:rPr>
        <w:t xml:space="preserve">      </w:t>
      </w:r>
      <w:r w:rsidR="00247FE8" w:rsidRPr="00F22754">
        <w:rPr>
          <w:rStyle w:val="143"/>
          <w:rFonts w:hint="eastAsia"/>
        </w:rPr>
        <w:t>單位：</w:t>
      </w:r>
      <w:r w:rsidR="00876C8B">
        <w:rPr>
          <w:rStyle w:val="143"/>
          <w:rFonts w:hint="eastAsia"/>
        </w:rPr>
        <w:t>新臺幣億元；</w:t>
      </w:r>
      <w:r w:rsidR="00C91ED0">
        <w:rPr>
          <w:rStyle w:val="143"/>
          <w:rFonts w:hint="eastAsia"/>
        </w:rPr>
        <w:t>億美元</w:t>
      </w:r>
      <w:r w:rsidR="00C91ED0">
        <w:rPr>
          <w:rStyle w:val="143"/>
          <w:rFonts w:hAnsi="標楷體" w:hint="eastAsia"/>
        </w:rPr>
        <w:t>；</w:t>
      </w:r>
      <w:r w:rsidR="00247FE8" w:rsidRPr="00F22754">
        <w:rPr>
          <w:rStyle w:val="143"/>
          <w:rFonts w:hint="eastAsia"/>
        </w:rPr>
        <w:t>%</w:t>
      </w:r>
      <w:r w:rsidR="002571A6">
        <w:rPr>
          <w:rFonts w:hint="eastAsia"/>
          <w:snapToGrid/>
        </w:rPr>
        <w:t xml:space="preserve">   </w:t>
      </w:r>
    </w:p>
    <w:tbl>
      <w:tblPr>
        <w:tblW w:w="0" w:type="auto"/>
        <w:tblInd w:w="64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309"/>
        <w:gridCol w:w="2072"/>
        <w:gridCol w:w="1103"/>
        <w:gridCol w:w="1233"/>
        <w:gridCol w:w="1263"/>
        <w:gridCol w:w="1093"/>
      </w:tblGrid>
      <w:tr w:rsidR="00DA0213" w:rsidTr="00C275D6">
        <w:trPr>
          <w:tblHeader/>
        </w:trPr>
        <w:tc>
          <w:tcPr>
            <w:tcW w:w="1309" w:type="dxa"/>
            <w:vMerge w:val="restart"/>
            <w:shd w:val="clear" w:color="auto" w:fill="auto"/>
            <w:vAlign w:val="center"/>
          </w:tcPr>
          <w:p w:rsidR="00DA0213" w:rsidRPr="00472480" w:rsidRDefault="00DA0213" w:rsidP="00472480">
            <w:pPr>
              <w:pStyle w:val="142"/>
              <w:jc w:val="center"/>
              <w:rPr>
                <w:snapToGrid/>
              </w:rPr>
            </w:pPr>
            <w:r w:rsidRPr="00472480">
              <w:rPr>
                <w:rFonts w:hint="eastAsia"/>
                <w:snapToGrid/>
              </w:rPr>
              <w:t>類型</w:t>
            </w:r>
          </w:p>
        </w:tc>
        <w:tc>
          <w:tcPr>
            <w:tcW w:w="3175" w:type="dxa"/>
            <w:gridSpan w:val="2"/>
            <w:shd w:val="clear" w:color="auto" w:fill="auto"/>
            <w:vAlign w:val="center"/>
          </w:tcPr>
          <w:p w:rsidR="00DA0213" w:rsidRPr="00472480" w:rsidRDefault="00DA0213" w:rsidP="00472480">
            <w:pPr>
              <w:pStyle w:val="142"/>
              <w:jc w:val="center"/>
              <w:rPr>
                <w:snapToGrid/>
              </w:rPr>
            </w:pPr>
            <w:r w:rsidRPr="00472480">
              <w:rPr>
                <w:rFonts w:hint="eastAsia"/>
                <w:snapToGrid/>
              </w:rPr>
              <w:t>指標報酬率</w:t>
            </w:r>
          </w:p>
        </w:tc>
        <w:tc>
          <w:tcPr>
            <w:tcW w:w="3589" w:type="dxa"/>
            <w:gridSpan w:val="3"/>
            <w:shd w:val="clear" w:color="auto" w:fill="auto"/>
            <w:vAlign w:val="center"/>
          </w:tcPr>
          <w:p w:rsidR="00DA0213" w:rsidRPr="00472480" w:rsidRDefault="00DA0213" w:rsidP="00472480">
            <w:pPr>
              <w:pStyle w:val="142"/>
              <w:jc w:val="center"/>
              <w:rPr>
                <w:snapToGrid/>
              </w:rPr>
            </w:pPr>
            <w:r w:rsidRPr="00472480">
              <w:rPr>
                <w:rFonts w:hint="eastAsia"/>
                <w:snapToGrid/>
              </w:rPr>
              <w:t>低於指標報酬率情形</w:t>
            </w:r>
          </w:p>
        </w:tc>
      </w:tr>
      <w:tr w:rsidR="00DA0213" w:rsidTr="00515ACB">
        <w:trPr>
          <w:tblHeader/>
        </w:trPr>
        <w:tc>
          <w:tcPr>
            <w:tcW w:w="1309" w:type="dxa"/>
            <w:vMerge/>
            <w:shd w:val="clear" w:color="auto" w:fill="auto"/>
            <w:vAlign w:val="center"/>
          </w:tcPr>
          <w:p w:rsidR="00DA0213" w:rsidRPr="00472480" w:rsidRDefault="00DA0213" w:rsidP="00472480">
            <w:pPr>
              <w:pStyle w:val="142"/>
              <w:jc w:val="center"/>
              <w:rPr>
                <w:snapToGrid/>
              </w:rPr>
            </w:pPr>
          </w:p>
        </w:tc>
        <w:tc>
          <w:tcPr>
            <w:tcW w:w="2072" w:type="dxa"/>
            <w:shd w:val="clear" w:color="auto" w:fill="auto"/>
            <w:vAlign w:val="center"/>
          </w:tcPr>
          <w:p w:rsidR="00DA0213" w:rsidRPr="00472480" w:rsidRDefault="00DA0213" w:rsidP="00472480">
            <w:pPr>
              <w:pStyle w:val="142"/>
              <w:jc w:val="center"/>
              <w:rPr>
                <w:snapToGrid/>
              </w:rPr>
            </w:pPr>
            <w:r w:rsidRPr="00472480">
              <w:rPr>
                <w:rFonts w:hint="eastAsia"/>
                <w:snapToGrid/>
              </w:rPr>
              <w:t>基準</w:t>
            </w:r>
          </w:p>
        </w:tc>
        <w:tc>
          <w:tcPr>
            <w:tcW w:w="1103" w:type="dxa"/>
            <w:shd w:val="clear" w:color="auto" w:fill="auto"/>
            <w:vAlign w:val="center"/>
          </w:tcPr>
          <w:p w:rsidR="00DA0213" w:rsidRPr="00472480" w:rsidRDefault="00DA0213" w:rsidP="00472480">
            <w:pPr>
              <w:pStyle w:val="142"/>
              <w:jc w:val="center"/>
              <w:rPr>
                <w:snapToGrid/>
              </w:rPr>
            </w:pPr>
            <w:r w:rsidRPr="00472480">
              <w:rPr>
                <w:rFonts w:hint="eastAsia"/>
                <w:snapToGrid/>
              </w:rPr>
              <w:t>報酬率</w:t>
            </w:r>
          </w:p>
        </w:tc>
        <w:tc>
          <w:tcPr>
            <w:tcW w:w="1233" w:type="dxa"/>
            <w:shd w:val="clear" w:color="auto" w:fill="auto"/>
            <w:vAlign w:val="center"/>
          </w:tcPr>
          <w:p w:rsidR="00DA0213" w:rsidRPr="00472480" w:rsidRDefault="00DA0213" w:rsidP="00472480">
            <w:pPr>
              <w:pStyle w:val="142"/>
              <w:jc w:val="center"/>
              <w:rPr>
                <w:snapToGrid/>
              </w:rPr>
            </w:pPr>
            <w:r w:rsidRPr="00472480">
              <w:rPr>
                <w:rFonts w:hint="eastAsia"/>
                <w:snapToGrid/>
              </w:rPr>
              <w:t>家數</w:t>
            </w:r>
          </w:p>
        </w:tc>
        <w:tc>
          <w:tcPr>
            <w:tcW w:w="1263" w:type="dxa"/>
            <w:shd w:val="clear" w:color="auto" w:fill="auto"/>
            <w:vAlign w:val="center"/>
          </w:tcPr>
          <w:p w:rsidR="00DA0213" w:rsidRPr="00472480" w:rsidRDefault="00DA0213" w:rsidP="00472480">
            <w:pPr>
              <w:pStyle w:val="142"/>
              <w:jc w:val="center"/>
              <w:rPr>
                <w:snapToGrid/>
              </w:rPr>
            </w:pPr>
            <w:r w:rsidRPr="00472480">
              <w:rPr>
                <w:rFonts w:hint="eastAsia"/>
                <w:snapToGrid/>
              </w:rPr>
              <w:t>淨資產總額</w:t>
            </w:r>
          </w:p>
        </w:tc>
        <w:tc>
          <w:tcPr>
            <w:tcW w:w="1093" w:type="dxa"/>
            <w:shd w:val="clear" w:color="auto" w:fill="auto"/>
            <w:vAlign w:val="center"/>
          </w:tcPr>
          <w:p w:rsidR="00DA0213" w:rsidRPr="00472480" w:rsidRDefault="00DA0213" w:rsidP="00472480">
            <w:pPr>
              <w:pStyle w:val="142"/>
              <w:jc w:val="center"/>
              <w:rPr>
                <w:snapToGrid/>
              </w:rPr>
            </w:pPr>
            <w:r w:rsidRPr="00472480">
              <w:rPr>
                <w:rFonts w:hint="eastAsia"/>
                <w:snapToGrid/>
              </w:rPr>
              <w:t>報酬率</w:t>
            </w:r>
          </w:p>
        </w:tc>
      </w:tr>
      <w:tr w:rsidR="00DA0213" w:rsidTr="00515ACB">
        <w:tc>
          <w:tcPr>
            <w:tcW w:w="1309" w:type="dxa"/>
            <w:vMerge w:val="restart"/>
            <w:shd w:val="clear" w:color="auto" w:fill="auto"/>
            <w:vAlign w:val="center"/>
          </w:tcPr>
          <w:p w:rsidR="00DA0213" w:rsidRPr="00472480" w:rsidRDefault="00DA0213" w:rsidP="00472480">
            <w:pPr>
              <w:pStyle w:val="142"/>
              <w:jc w:val="both"/>
              <w:rPr>
                <w:snapToGrid/>
              </w:rPr>
            </w:pPr>
            <w:r w:rsidRPr="00472480">
              <w:rPr>
                <w:rFonts w:hint="eastAsia"/>
                <w:snapToGrid/>
              </w:rPr>
              <w:t>國內相對報酬股票型</w:t>
            </w:r>
          </w:p>
        </w:tc>
        <w:tc>
          <w:tcPr>
            <w:tcW w:w="2072" w:type="dxa"/>
            <w:vMerge w:val="restart"/>
            <w:shd w:val="clear" w:color="auto" w:fill="auto"/>
          </w:tcPr>
          <w:p w:rsidR="00515ACB" w:rsidRDefault="00DA0213" w:rsidP="00515ACB">
            <w:pPr>
              <w:pStyle w:val="142"/>
              <w:jc w:val="center"/>
            </w:pPr>
            <w:r w:rsidRPr="001254E8">
              <w:rPr>
                <w:rFonts w:hint="eastAsia"/>
              </w:rPr>
              <w:t>臺灣企業</w:t>
            </w:r>
          </w:p>
          <w:p w:rsidR="00DA0213" w:rsidRPr="00472480" w:rsidRDefault="00DA0213" w:rsidP="00515ACB">
            <w:pPr>
              <w:pStyle w:val="142"/>
              <w:jc w:val="center"/>
              <w:rPr>
                <w:snapToGrid/>
              </w:rPr>
            </w:pPr>
            <w:r w:rsidRPr="001254E8">
              <w:rPr>
                <w:rFonts w:hint="eastAsia"/>
              </w:rPr>
              <w:t>社會責任中小型報酬指數</w:t>
            </w:r>
          </w:p>
        </w:tc>
        <w:tc>
          <w:tcPr>
            <w:tcW w:w="1103" w:type="dxa"/>
            <w:vMerge w:val="restart"/>
            <w:shd w:val="clear" w:color="auto" w:fill="auto"/>
            <w:vAlign w:val="center"/>
          </w:tcPr>
          <w:p w:rsidR="00DA0213" w:rsidRPr="00472480" w:rsidRDefault="00DA0213" w:rsidP="00472480">
            <w:pPr>
              <w:pStyle w:val="142"/>
              <w:jc w:val="right"/>
              <w:rPr>
                <w:snapToGrid/>
              </w:rPr>
            </w:pPr>
            <w:r w:rsidRPr="001254E8">
              <w:rPr>
                <w:rFonts w:hint="eastAsia"/>
              </w:rPr>
              <w:t>78.48</w:t>
            </w:r>
          </w:p>
        </w:tc>
        <w:tc>
          <w:tcPr>
            <w:tcW w:w="1233" w:type="dxa"/>
            <w:vMerge w:val="restart"/>
            <w:shd w:val="clear" w:color="auto" w:fill="auto"/>
            <w:vAlign w:val="center"/>
          </w:tcPr>
          <w:p w:rsidR="00DA0213" w:rsidRPr="00472480" w:rsidRDefault="00DA0213" w:rsidP="00472480">
            <w:pPr>
              <w:pStyle w:val="142"/>
              <w:jc w:val="right"/>
              <w:rPr>
                <w:snapToGrid/>
              </w:rPr>
            </w:pPr>
            <w:r w:rsidRPr="00472480">
              <w:rPr>
                <w:rFonts w:hint="eastAsia"/>
                <w:snapToGrid/>
              </w:rPr>
              <w:t>4</w:t>
            </w:r>
          </w:p>
        </w:tc>
        <w:tc>
          <w:tcPr>
            <w:tcW w:w="1263" w:type="dxa"/>
            <w:shd w:val="clear" w:color="auto" w:fill="auto"/>
          </w:tcPr>
          <w:p w:rsidR="00DA0213" w:rsidRPr="00472480" w:rsidRDefault="00DA0213" w:rsidP="00472480">
            <w:pPr>
              <w:pStyle w:val="142"/>
              <w:jc w:val="right"/>
              <w:rPr>
                <w:snapToGrid/>
              </w:rPr>
            </w:pPr>
            <w:r w:rsidRPr="00443F80">
              <w:t>8.65</w:t>
            </w:r>
          </w:p>
        </w:tc>
        <w:tc>
          <w:tcPr>
            <w:tcW w:w="1093" w:type="dxa"/>
            <w:shd w:val="clear" w:color="auto" w:fill="auto"/>
          </w:tcPr>
          <w:p w:rsidR="00DA0213" w:rsidRPr="00472480" w:rsidRDefault="00DA0213" w:rsidP="00472480">
            <w:pPr>
              <w:pStyle w:val="142"/>
              <w:jc w:val="right"/>
              <w:rPr>
                <w:snapToGrid/>
              </w:rPr>
            </w:pPr>
            <w:r w:rsidRPr="00443F80">
              <w:t>67.19</w:t>
            </w:r>
          </w:p>
        </w:tc>
      </w:tr>
      <w:tr w:rsidR="00DA0213" w:rsidTr="00515ACB">
        <w:tc>
          <w:tcPr>
            <w:tcW w:w="1309" w:type="dxa"/>
            <w:vMerge/>
            <w:shd w:val="clear" w:color="auto" w:fill="auto"/>
            <w:vAlign w:val="center"/>
          </w:tcPr>
          <w:p w:rsidR="00DA0213" w:rsidRPr="00472480" w:rsidRDefault="00DA0213" w:rsidP="00472480">
            <w:pPr>
              <w:pStyle w:val="142"/>
              <w:jc w:val="both"/>
              <w:rPr>
                <w:snapToGrid/>
              </w:rPr>
            </w:pPr>
          </w:p>
        </w:tc>
        <w:tc>
          <w:tcPr>
            <w:tcW w:w="2072" w:type="dxa"/>
            <w:vMerge/>
            <w:shd w:val="clear" w:color="auto" w:fill="auto"/>
            <w:vAlign w:val="center"/>
          </w:tcPr>
          <w:p w:rsidR="00DA0213" w:rsidRPr="00472480" w:rsidRDefault="00DA0213" w:rsidP="00472480">
            <w:pPr>
              <w:pStyle w:val="142"/>
              <w:jc w:val="center"/>
              <w:rPr>
                <w:snapToGrid/>
              </w:rPr>
            </w:pPr>
          </w:p>
        </w:tc>
        <w:tc>
          <w:tcPr>
            <w:tcW w:w="1103" w:type="dxa"/>
            <w:vMerge/>
            <w:shd w:val="clear" w:color="auto" w:fill="auto"/>
            <w:vAlign w:val="center"/>
          </w:tcPr>
          <w:p w:rsidR="00DA0213" w:rsidRPr="00472480" w:rsidRDefault="00DA0213" w:rsidP="00472480">
            <w:pPr>
              <w:pStyle w:val="142"/>
              <w:jc w:val="right"/>
              <w:rPr>
                <w:snapToGrid/>
              </w:rPr>
            </w:pPr>
          </w:p>
        </w:tc>
        <w:tc>
          <w:tcPr>
            <w:tcW w:w="1233" w:type="dxa"/>
            <w:vMerge/>
            <w:shd w:val="clear" w:color="auto" w:fill="auto"/>
            <w:vAlign w:val="center"/>
          </w:tcPr>
          <w:p w:rsidR="00DA0213" w:rsidRPr="00472480" w:rsidRDefault="00DA0213" w:rsidP="00472480">
            <w:pPr>
              <w:pStyle w:val="142"/>
              <w:jc w:val="right"/>
              <w:rPr>
                <w:snapToGrid/>
              </w:rPr>
            </w:pPr>
          </w:p>
        </w:tc>
        <w:tc>
          <w:tcPr>
            <w:tcW w:w="1263" w:type="dxa"/>
            <w:shd w:val="clear" w:color="auto" w:fill="auto"/>
          </w:tcPr>
          <w:p w:rsidR="00DA0213" w:rsidRPr="00472480" w:rsidRDefault="00DA0213" w:rsidP="00472480">
            <w:pPr>
              <w:pStyle w:val="142"/>
              <w:jc w:val="right"/>
              <w:rPr>
                <w:snapToGrid/>
              </w:rPr>
            </w:pPr>
            <w:r w:rsidRPr="00443F80">
              <w:t>8.74</w:t>
            </w:r>
          </w:p>
        </w:tc>
        <w:tc>
          <w:tcPr>
            <w:tcW w:w="1093" w:type="dxa"/>
            <w:shd w:val="clear" w:color="auto" w:fill="auto"/>
          </w:tcPr>
          <w:p w:rsidR="00DA0213" w:rsidRPr="00472480" w:rsidRDefault="00DA0213" w:rsidP="00472480">
            <w:pPr>
              <w:pStyle w:val="142"/>
              <w:jc w:val="right"/>
              <w:rPr>
                <w:snapToGrid/>
              </w:rPr>
            </w:pPr>
            <w:r w:rsidRPr="00443F80">
              <w:t>69.84</w:t>
            </w:r>
          </w:p>
        </w:tc>
      </w:tr>
      <w:tr w:rsidR="00DA0213" w:rsidTr="00515ACB">
        <w:tc>
          <w:tcPr>
            <w:tcW w:w="1309" w:type="dxa"/>
            <w:vMerge/>
            <w:shd w:val="clear" w:color="auto" w:fill="auto"/>
            <w:vAlign w:val="center"/>
          </w:tcPr>
          <w:p w:rsidR="00DA0213" w:rsidRPr="00472480" w:rsidRDefault="00DA0213" w:rsidP="00472480">
            <w:pPr>
              <w:pStyle w:val="142"/>
              <w:jc w:val="both"/>
              <w:rPr>
                <w:snapToGrid/>
              </w:rPr>
            </w:pPr>
          </w:p>
        </w:tc>
        <w:tc>
          <w:tcPr>
            <w:tcW w:w="2072" w:type="dxa"/>
            <w:vMerge/>
            <w:shd w:val="clear" w:color="auto" w:fill="auto"/>
            <w:vAlign w:val="center"/>
          </w:tcPr>
          <w:p w:rsidR="00DA0213" w:rsidRPr="00472480" w:rsidRDefault="00DA0213" w:rsidP="00472480">
            <w:pPr>
              <w:pStyle w:val="142"/>
              <w:jc w:val="center"/>
              <w:rPr>
                <w:snapToGrid/>
              </w:rPr>
            </w:pPr>
          </w:p>
        </w:tc>
        <w:tc>
          <w:tcPr>
            <w:tcW w:w="1103" w:type="dxa"/>
            <w:vMerge/>
            <w:shd w:val="clear" w:color="auto" w:fill="auto"/>
            <w:vAlign w:val="center"/>
          </w:tcPr>
          <w:p w:rsidR="00DA0213" w:rsidRPr="00472480" w:rsidRDefault="00DA0213" w:rsidP="00472480">
            <w:pPr>
              <w:pStyle w:val="142"/>
              <w:jc w:val="right"/>
              <w:rPr>
                <w:snapToGrid/>
              </w:rPr>
            </w:pPr>
          </w:p>
        </w:tc>
        <w:tc>
          <w:tcPr>
            <w:tcW w:w="1233" w:type="dxa"/>
            <w:vMerge/>
            <w:shd w:val="clear" w:color="auto" w:fill="auto"/>
            <w:vAlign w:val="center"/>
          </w:tcPr>
          <w:p w:rsidR="00DA0213" w:rsidRPr="00472480" w:rsidRDefault="00DA0213" w:rsidP="00472480">
            <w:pPr>
              <w:pStyle w:val="142"/>
              <w:jc w:val="right"/>
              <w:rPr>
                <w:snapToGrid/>
              </w:rPr>
            </w:pPr>
          </w:p>
        </w:tc>
        <w:tc>
          <w:tcPr>
            <w:tcW w:w="1263" w:type="dxa"/>
            <w:shd w:val="clear" w:color="auto" w:fill="auto"/>
          </w:tcPr>
          <w:p w:rsidR="00DA0213" w:rsidRPr="00472480" w:rsidRDefault="00DA0213" w:rsidP="00472480">
            <w:pPr>
              <w:pStyle w:val="142"/>
              <w:jc w:val="right"/>
              <w:rPr>
                <w:snapToGrid/>
              </w:rPr>
            </w:pPr>
            <w:r w:rsidRPr="00443F80">
              <w:t>8.96</w:t>
            </w:r>
          </w:p>
        </w:tc>
        <w:tc>
          <w:tcPr>
            <w:tcW w:w="1093" w:type="dxa"/>
            <w:shd w:val="clear" w:color="auto" w:fill="auto"/>
          </w:tcPr>
          <w:p w:rsidR="00DA0213" w:rsidRPr="00472480" w:rsidRDefault="00DA0213" w:rsidP="00472480">
            <w:pPr>
              <w:pStyle w:val="142"/>
              <w:jc w:val="right"/>
              <w:rPr>
                <w:snapToGrid/>
              </w:rPr>
            </w:pPr>
            <w:r w:rsidRPr="00443F80">
              <w:t>70.38</w:t>
            </w:r>
          </w:p>
        </w:tc>
      </w:tr>
      <w:tr w:rsidR="00DA0213" w:rsidTr="00515ACB">
        <w:tc>
          <w:tcPr>
            <w:tcW w:w="1309" w:type="dxa"/>
            <w:vMerge/>
            <w:shd w:val="clear" w:color="auto" w:fill="auto"/>
            <w:vAlign w:val="center"/>
          </w:tcPr>
          <w:p w:rsidR="00DA0213" w:rsidRPr="00472480" w:rsidRDefault="00DA0213" w:rsidP="00472480">
            <w:pPr>
              <w:pStyle w:val="142"/>
              <w:jc w:val="both"/>
              <w:rPr>
                <w:snapToGrid/>
              </w:rPr>
            </w:pPr>
          </w:p>
        </w:tc>
        <w:tc>
          <w:tcPr>
            <w:tcW w:w="2072" w:type="dxa"/>
            <w:vMerge/>
            <w:shd w:val="clear" w:color="auto" w:fill="auto"/>
            <w:vAlign w:val="center"/>
          </w:tcPr>
          <w:p w:rsidR="00DA0213" w:rsidRPr="00472480" w:rsidRDefault="00DA0213" w:rsidP="00472480">
            <w:pPr>
              <w:pStyle w:val="142"/>
              <w:jc w:val="center"/>
              <w:rPr>
                <w:snapToGrid/>
              </w:rPr>
            </w:pPr>
          </w:p>
        </w:tc>
        <w:tc>
          <w:tcPr>
            <w:tcW w:w="1103" w:type="dxa"/>
            <w:vMerge/>
            <w:shd w:val="clear" w:color="auto" w:fill="auto"/>
            <w:vAlign w:val="center"/>
          </w:tcPr>
          <w:p w:rsidR="00DA0213" w:rsidRPr="00472480" w:rsidRDefault="00DA0213" w:rsidP="00472480">
            <w:pPr>
              <w:pStyle w:val="142"/>
              <w:jc w:val="right"/>
              <w:rPr>
                <w:snapToGrid/>
              </w:rPr>
            </w:pPr>
          </w:p>
        </w:tc>
        <w:tc>
          <w:tcPr>
            <w:tcW w:w="1233" w:type="dxa"/>
            <w:vMerge/>
            <w:shd w:val="clear" w:color="auto" w:fill="auto"/>
            <w:vAlign w:val="center"/>
          </w:tcPr>
          <w:p w:rsidR="00DA0213" w:rsidRPr="00472480" w:rsidRDefault="00DA0213" w:rsidP="00472480">
            <w:pPr>
              <w:pStyle w:val="142"/>
              <w:jc w:val="right"/>
              <w:rPr>
                <w:snapToGrid/>
              </w:rPr>
            </w:pPr>
          </w:p>
        </w:tc>
        <w:tc>
          <w:tcPr>
            <w:tcW w:w="1263" w:type="dxa"/>
            <w:shd w:val="clear" w:color="auto" w:fill="auto"/>
          </w:tcPr>
          <w:p w:rsidR="00DA0213" w:rsidRPr="00472480" w:rsidRDefault="00DA0213" w:rsidP="00472480">
            <w:pPr>
              <w:pStyle w:val="142"/>
              <w:jc w:val="right"/>
              <w:rPr>
                <w:snapToGrid/>
              </w:rPr>
            </w:pPr>
            <w:r w:rsidRPr="00443F80">
              <w:t>8.68</w:t>
            </w:r>
          </w:p>
        </w:tc>
        <w:tc>
          <w:tcPr>
            <w:tcW w:w="1093" w:type="dxa"/>
            <w:shd w:val="clear" w:color="auto" w:fill="auto"/>
          </w:tcPr>
          <w:p w:rsidR="00DA0213" w:rsidRPr="00472480" w:rsidRDefault="00DA0213" w:rsidP="00472480">
            <w:pPr>
              <w:pStyle w:val="142"/>
              <w:jc w:val="right"/>
              <w:rPr>
                <w:snapToGrid/>
              </w:rPr>
            </w:pPr>
            <w:r w:rsidRPr="00443F80">
              <w:t>66.59</w:t>
            </w:r>
          </w:p>
        </w:tc>
      </w:tr>
      <w:tr w:rsidR="00CF288F" w:rsidTr="00515ACB">
        <w:tc>
          <w:tcPr>
            <w:tcW w:w="1309" w:type="dxa"/>
            <w:shd w:val="clear" w:color="auto" w:fill="auto"/>
            <w:vAlign w:val="center"/>
          </w:tcPr>
          <w:p w:rsidR="00CF288F" w:rsidRPr="00472480" w:rsidRDefault="00CF288F" w:rsidP="00472480">
            <w:pPr>
              <w:pStyle w:val="142"/>
              <w:jc w:val="both"/>
              <w:rPr>
                <w:snapToGrid/>
              </w:rPr>
            </w:pPr>
            <w:r w:rsidRPr="00472480">
              <w:rPr>
                <w:rFonts w:hint="eastAsia"/>
                <w:snapToGrid/>
              </w:rPr>
              <w:t>國外104-2全球不動產有價證券型(續)(相對報酬型)</w:t>
            </w:r>
          </w:p>
        </w:tc>
        <w:tc>
          <w:tcPr>
            <w:tcW w:w="2072" w:type="dxa"/>
            <w:shd w:val="clear" w:color="auto" w:fill="auto"/>
          </w:tcPr>
          <w:p w:rsidR="00CF288F" w:rsidRPr="00472480" w:rsidRDefault="00CF288F" w:rsidP="00472480">
            <w:pPr>
              <w:pStyle w:val="142"/>
              <w:jc w:val="center"/>
              <w:rPr>
                <w:snapToGrid/>
              </w:rPr>
            </w:pPr>
            <w:r w:rsidRPr="00751FC5">
              <w:t>FTSE EPRA/NAREIT Developed Index</w:t>
            </w:r>
          </w:p>
        </w:tc>
        <w:tc>
          <w:tcPr>
            <w:tcW w:w="1103" w:type="dxa"/>
            <w:shd w:val="clear" w:color="auto" w:fill="auto"/>
            <w:vAlign w:val="center"/>
          </w:tcPr>
          <w:p w:rsidR="00CF288F" w:rsidRPr="00472480" w:rsidRDefault="00CF288F" w:rsidP="00515ACB">
            <w:pPr>
              <w:pStyle w:val="142"/>
              <w:jc w:val="right"/>
              <w:rPr>
                <w:snapToGrid/>
              </w:rPr>
            </w:pPr>
            <w:r w:rsidRPr="00751FC5">
              <w:t>16.06</w:t>
            </w:r>
          </w:p>
        </w:tc>
        <w:tc>
          <w:tcPr>
            <w:tcW w:w="1233" w:type="dxa"/>
            <w:shd w:val="clear" w:color="auto" w:fill="auto"/>
            <w:vAlign w:val="center"/>
          </w:tcPr>
          <w:p w:rsidR="00CF288F" w:rsidRPr="00472480" w:rsidRDefault="00CF288F" w:rsidP="00515ACB">
            <w:pPr>
              <w:pStyle w:val="142"/>
              <w:jc w:val="right"/>
              <w:rPr>
                <w:snapToGrid/>
              </w:rPr>
            </w:pPr>
            <w:r w:rsidRPr="00266A72">
              <w:t>1</w:t>
            </w:r>
          </w:p>
        </w:tc>
        <w:tc>
          <w:tcPr>
            <w:tcW w:w="1263" w:type="dxa"/>
            <w:shd w:val="clear" w:color="auto" w:fill="auto"/>
            <w:vAlign w:val="center"/>
          </w:tcPr>
          <w:p w:rsidR="00CF288F" w:rsidRPr="00621500" w:rsidRDefault="00CF288F" w:rsidP="00515ACB">
            <w:pPr>
              <w:pStyle w:val="142"/>
              <w:jc w:val="right"/>
              <w:rPr>
                <w:snapToGrid/>
                <w:color w:val="000000"/>
              </w:rPr>
            </w:pPr>
            <w:r w:rsidRPr="00621500">
              <w:rPr>
                <w:color w:val="000000"/>
              </w:rPr>
              <w:t>1.9</w:t>
            </w:r>
          </w:p>
        </w:tc>
        <w:tc>
          <w:tcPr>
            <w:tcW w:w="1093" w:type="dxa"/>
            <w:shd w:val="clear" w:color="auto" w:fill="auto"/>
            <w:vAlign w:val="center"/>
          </w:tcPr>
          <w:p w:rsidR="00CF288F" w:rsidRPr="00472480" w:rsidRDefault="00CF288F" w:rsidP="00515ACB">
            <w:pPr>
              <w:pStyle w:val="142"/>
              <w:jc w:val="right"/>
              <w:rPr>
                <w:snapToGrid/>
              </w:rPr>
            </w:pPr>
            <w:r w:rsidRPr="00266A72">
              <w:t>13.34</w:t>
            </w:r>
          </w:p>
        </w:tc>
      </w:tr>
      <w:tr w:rsidR="00CF288F" w:rsidTr="00515ACB">
        <w:tc>
          <w:tcPr>
            <w:tcW w:w="1309" w:type="dxa"/>
            <w:shd w:val="clear" w:color="auto" w:fill="auto"/>
            <w:vAlign w:val="center"/>
          </w:tcPr>
          <w:p w:rsidR="00CF288F" w:rsidRPr="00472480" w:rsidRDefault="00CF288F" w:rsidP="00472480">
            <w:pPr>
              <w:pStyle w:val="142"/>
              <w:jc w:val="both"/>
              <w:rPr>
                <w:snapToGrid/>
              </w:rPr>
            </w:pPr>
            <w:r w:rsidRPr="00472480">
              <w:rPr>
                <w:rFonts w:hint="eastAsia"/>
                <w:snapToGrid/>
              </w:rPr>
              <w:t>國外106-1全球 ESG混合指數被動股票型(續)(相對報酬)</w:t>
            </w:r>
          </w:p>
        </w:tc>
        <w:tc>
          <w:tcPr>
            <w:tcW w:w="2072" w:type="dxa"/>
            <w:shd w:val="clear" w:color="auto" w:fill="auto"/>
          </w:tcPr>
          <w:p w:rsidR="00CF288F" w:rsidRPr="00472480" w:rsidRDefault="00CF288F" w:rsidP="00472480">
            <w:pPr>
              <w:pStyle w:val="142"/>
              <w:jc w:val="center"/>
              <w:rPr>
                <w:snapToGrid/>
              </w:rPr>
            </w:pPr>
            <w:r w:rsidRPr="00A168F7">
              <w:t>MSCI ACWI ESG ex Seleted Sub-Industries Quality Mix E Series Capped Index</w:t>
            </w:r>
          </w:p>
        </w:tc>
        <w:tc>
          <w:tcPr>
            <w:tcW w:w="1103" w:type="dxa"/>
            <w:shd w:val="clear" w:color="auto" w:fill="auto"/>
            <w:vAlign w:val="center"/>
          </w:tcPr>
          <w:p w:rsidR="00CF288F" w:rsidRPr="00472480" w:rsidRDefault="00CF288F" w:rsidP="00515ACB">
            <w:pPr>
              <w:pStyle w:val="142"/>
              <w:jc w:val="right"/>
              <w:rPr>
                <w:snapToGrid/>
              </w:rPr>
            </w:pPr>
            <w:r w:rsidRPr="00A168F7">
              <w:t>30.99</w:t>
            </w:r>
          </w:p>
        </w:tc>
        <w:tc>
          <w:tcPr>
            <w:tcW w:w="1233" w:type="dxa"/>
            <w:shd w:val="clear" w:color="auto" w:fill="auto"/>
            <w:vAlign w:val="center"/>
          </w:tcPr>
          <w:p w:rsidR="00CF288F" w:rsidRPr="00472480" w:rsidRDefault="00CF288F" w:rsidP="00515ACB">
            <w:pPr>
              <w:pStyle w:val="142"/>
              <w:jc w:val="right"/>
              <w:rPr>
                <w:snapToGrid/>
              </w:rPr>
            </w:pPr>
            <w:r w:rsidRPr="00A168F7">
              <w:t>1</w:t>
            </w:r>
          </w:p>
        </w:tc>
        <w:tc>
          <w:tcPr>
            <w:tcW w:w="1263" w:type="dxa"/>
            <w:shd w:val="clear" w:color="auto" w:fill="auto"/>
            <w:vAlign w:val="center"/>
          </w:tcPr>
          <w:p w:rsidR="00CF288F" w:rsidRPr="00472480" w:rsidRDefault="00CF288F" w:rsidP="00515ACB">
            <w:pPr>
              <w:pStyle w:val="142"/>
              <w:jc w:val="right"/>
              <w:rPr>
                <w:snapToGrid/>
              </w:rPr>
            </w:pPr>
            <w:r w:rsidRPr="00A168F7">
              <w:t>2.09</w:t>
            </w:r>
          </w:p>
        </w:tc>
        <w:tc>
          <w:tcPr>
            <w:tcW w:w="1093" w:type="dxa"/>
            <w:shd w:val="clear" w:color="auto" w:fill="auto"/>
            <w:vAlign w:val="center"/>
          </w:tcPr>
          <w:p w:rsidR="00CF288F" w:rsidRPr="00472480" w:rsidRDefault="00CF288F" w:rsidP="00515ACB">
            <w:pPr>
              <w:pStyle w:val="142"/>
              <w:jc w:val="right"/>
              <w:rPr>
                <w:snapToGrid/>
              </w:rPr>
            </w:pPr>
            <w:r w:rsidRPr="00A168F7">
              <w:t>30.96</w:t>
            </w:r>
          </w:p>
        </w:tc>
      </w:tr>
      <w:tr w:rsidR="00CF288F" w:rsidTr="00515ACB">
        <w:tc>
          <w:tcPr>
            <w:tcW w:w="1309" w:type="dxa"/>
            <w:vMerge w:val="restart"/>
            <w:shd w:val="clear" w:color="auto" w:fill="auto"/>
            <w:vAlign w:val="center"/>
          </w:tcPr>
          <w:p w:rsidR="00CF288F" w:rsidRPr="00472480" w:rsidRDefault="00CF288F" w:rsidP="00472480">
            <w:pPr>
              <w:pStyle w:val="142"/>
              <w:jc w:val="both"/>
              <w:rPr>
                <w:snapToGrid/>
              </w:rPr>
            </w:pPr>
            <w:r w:rsidRPr="00472480">
              <w:rPr>
                <w:rFonts w:hint="eastAsia"/>
                <w:snapToGrid/>
              </w:rPr>
              <w:t>國外106-1絕對報酬債券型(續)</w:t>
            </w:r>
          </w:p>
        </w:tc>
        <w:tc>
          <w:tcPr>
            <w:tcW w:w="2072" w:type="dxa"/>
            <w:vMerge w:val="restart"/>
            <w:shd w:val="clear" w:color="auto" w:fill="auto"/>
          </w:tcPr>
          <w:p w:rsidR="00CF288F" w:rsidRPr="00472480" w:rsidRDefault="00CF288F" w:rsidP="00472480">
            <w:pPr>
              <w:pStyle w:val="142"/>
              <w:jc w:val="center"/>
              <w:rPr>
                <w:snapToGrid/>
              </w:rPr>
            </w:pPr>
            <w:r w:rsidRPr="00395B10">
              <w:rPr>
                <w:rFonts w:hint="eastAsia"/>
              </w:rPr>
              <w:t>美國3個月期國庫券利率</w:t>
            </w:r>
          </w:p>
        </w:tc>
        <w:tc>
          <w:tcPr>
            <w:tcW w:w="1103" w:type="dxa"/>
            <w:vMerge w:val="restart"/>
            <w:shd w:val="clear" w:color="auto" w:fill="auto"/>
            <w:vAlign w:val="center"/>
          </w:tcPr>
          <w:p w:rsidR="00CF288F" w:rsidRPr="00472480" w:rsidRDefault="00CF288F" w:rsidP="00515ACB">
            <w:pPr>
              <w:pStyle w:val="142"/>
              <w:jc w:val="right"/>
              <w:rPr>
                <w:snapToGrid/>
              </w:rPr>
            </w:pPr>
            <w:r w:rsidRPr="00395B10">
              <w:rPr>
                <w:rFonts w:hint="eastAsia"/>
              </w:rPr>
              <w:t>9.37</w:t>
            </w:r>
          </w:p>
        </w:tc>
        <w:tc>
          <w:tcPr>
            <w:tcW w:w="1233" w:type="dxa"/>
            <w:vMerge w:val="restart"/>
            <w:shd w:val="clear" w:color="auto" w:fill="auto"/>
            <w:vAlign w:val="center"/>
          </w:tcPr>
          <w:p w:rsidR="00CF288F" w:rsidRPr="00472480" w:rsidRDefault="00CF288F" w:rsidP="00515ACB">
            <w:pPr>
              <w:pStyle w:val="142"/>
              <w:jc w:val="right"/>
              <w:rPr>
                <w:snapToGrid/>
              </w:rPr>
            </w:pPr>
            <w:r w:rsidRPr="00472480">
              <w:rPr>
                <w:rFonts w:hint="eastAsia"/>
                <w:snapToGrid/>
              </w:rPr>
              <w:t>2</w:t>
            </w:r>
          </w:p>
        </w:tc>
        <w:tc>
          <w:tcPr>
            <w:tcW w:w="1263" w:type="dxa"/>
            <w:shd w:val="clear" w:color="auto" w:fill="auto"/>
            <w:vAlign w:val="center"/>
          </w:tcPr>
          <w:p w:rsidR="00CF288F" w:rsidRPr="00472480" w:rsidRDefault="00CF288F" w:rsidP="00515ACB">
            <w:pPr>
              <w:pStyle w:val="142"/>
              <w:jc w:val="right"/>
              <w:rPr>
                <w:snapToGrid/>
              </w:rPr>
            </w:pPr>
            <w:r w:rsidRPr="005B632B">
              <w:t>1.16</w:t>
            </w:r>
          </w:p>
        </w:tc>
        <w:tc>
          <w:tcPr>
            <w:tcW w:w="1093" w:type="dxa"/>
            <w:shd w:val="clear" w:color="auto" w:fill="auto"/>
            <w:vAlign w:val="center"/>
          </w:tcPr>
          <w:p w:rsidR="00CF288F" w:rsidRPr="00472480" w:rsidRDefault="00CF288F" w:rsidP="00515ACB">
            <w:pPr>
              <w:pStyle w:val="142"/>
              <w:jc w:val="right"/>
              <w:rPr>
                <w:snapToGrid/>
              </w:rPr>
            </w:pPr>
            <w:r w:rsidRPr="005B632B">
              <w:t>8.02</w:t>
            </w:r>
          </w:p>
        </w:tc>
      </w:tr>
      <w:tr w:rsidR="00CF288F" w:rsidTr="00515ACB">
        <w:tc>
          <w:tcPr>
            <w:tcW w:w="1309" w:type="dxa"/>
            <w:vMerge/>
            <w:shd w:val="clear" w:color="auto" w:fill="auto"/>
            <w:vAlign w:val="center"/>
          </w:tcPr>
          <w:p w:rsidR="00CF288F" w:rsidRPr="00472480" w:rsidRDefault="00CF288F" w:rsidP="00472480">
            <w:pPr>
              <w:pStyle w:val="142"/>
              <w:jc w:val="center"/>
              <w:rPr>
                <w:snapToGrid/>
              </w:rPr>
            </w:pPr>
          </w:p>
        </w:tc>
        <w:tc>
          <w:tcPr>
            <w:tcW w:w="2072" w:type="dxa"/>
            <w:vMerge/>
            <w:shd w:val="clear" w:color="auto" w:fill="auto"/>
            <w:vAlign w:val="center"/>
          </w:tcPr>
          <w:p w:rsidR="00CF288F" w:rsidRPr="00472480" w:rsidRDefault="00CF288F" w:rsidP="00472480">
            <w:pPr>
              <w:pStyle w:val="142"/>
              <w:jc w:val="center"/>
              <w:rPr>
                <w:snapToGrid/>
              </w:rPr>
            </w:pPr>
          </w:p>
        </w:tc>
        <w:tc>
          <w:tcPr>
            <w:tcW w:w="1103" w:type="dxa"/>
            <w:vMerge/>
            <w:shd w:val="clear" w:color="auto" w:fill="auto"/>
            <w:vAlign w:val="center"/>
          </w:tcPr>
          <w:p w:rsidR="00CF288F" w:rsidRPr="00472480" w:rsidRDefault="00CF288F" w:rsidP="00515ACB">
            <w:pPr>
              <w:pStyle w:val="142"/>
              <w:jc w:val="right"/>
              <w:rPr>
                <w:snapToGrid/>
              </w:rPr>
            </w:pPr>
          </w:p>
        </w:tc>
        <w:tc>
          <w:tcPr>
            <w:tcW w:w="1233" w:type="dxa"/>
            <w:vMerge/>
            <w:shd w:val="clear" w:color="auto" w:fill="auto"/>
            <w:vAlign w:val="center"/>
          </w:tcPr>
          <w:p w:rsidR="00CF288F" w:rsidRPr="00472480" w:rsidRDefault="00CF288F" w:rsidP="00515ACB">
            <w:pPr>
              <w:pStyle w:val="142"/>
              <w:jc w:val="right"/>
              <w:rPr>
                <w:snapToGrid/>
              </w:rPr>
            </w:pPr>
          </w:p>
        </w:tc>
        <w:tc>
          <w:tcPr>
            <w:tcW w:w="1263" w:type="dxa"/>
            <w:shd w:val="clear" w:color="auto" w:fill="auto"/>
            <w:vAlign w:val="center"/>
          </w:tcPr>
          <w:p w:rsidR="00CF288F" w:rsidRPr="00472480" w:rsidRDefault="00CF288F" w:rsidP="00515ACB">
            <w:pPr>
              <w:pStyle w:val="142"/>
              <w:jc w:val="right"/>
              <w:rPr>
                <w:snapToGrid/>
              </w:rPr>
            </w:pPr>
            <w:r w:rsidRPr="005B632B">
              <w:t>2.80</w:t>
            </w:r>
          </w:p>
        </w:tc>
        <w:tc>
          <w:tcPr>
            <w:tcW w:w="1093" w:type="dxa"/>
            <w:shd w:val="clear" w:color="auto" w:fill="auto"/>
            <w:vAlign w:val="center"/>
          </w:tcPr>
          <w:p w:rsidR="00CF288F" w:rsidRPr="00472480" w:rsidRDefault="00CF288F" w:rsidP="00515ACB">
            <w:pPr>
              <w:pStyle w:val="142"/>
              <w:jc w:val="right"/>
              <w:rPr>
                <w:snapToGrid/>
              </w:rPr>
            </w:pPr>
            <w:r w:rsidRPr="005B632B">
              <w:t>9.02</w:t>
            </w:r>
          </w:p>
        </w:tc>
      </w:tr>
      <w:tr w:rsidR="00F11FAA" w:rsidTr="00515ACB">
        <w:tc>
          <w:tcPr>
            <w:tcW w:w="1309" w:type="dxa"/>
            <w:vMerge w:val="restart"/>
            <w:shd w:val="clear" w:color="auto" w:fill="auto"/>
            <w:vAlign w:val="center"/>
          </w:tcPr>
          <w:p w:rsidR="00F11FAA" w:rsidRPr="00472480" w:rsidRDefault="00F11FAA" w:rsidP="00472480">
            <w:pPr>
              <w:pStyle w:val="142"/>
              <w:jc w:val="center"/>
              <w:rPr>
                <w:snapToGrid/>
              </w:rPr>
            </w:pPr>
            <w:r w:rsidRPr="00472480">
              <w:rPr>
                <w:rFonts w:hint="eastAsia"/>
                <w:snapToGrid/>
              </w:rPr>
              <w:lastRenderedPageBreak/>
              <w:t>國外109-1全球美元公司增值債券型(相對報酬)</w:t>
            </w:r>
          </w:p>
        </w:tc>
        <w:tc>
          <w:tcPr>
            <w:tcW w:w="2072" w:type="dxa"/>
            <w:vMerge w:val="restart"/>
            <w:shd w:val="clear" w:color="auto" w:fill="auto"/>
          </w:tcPr>
          <w:p w:rsidR="00F11FAA" w:rsidRPr="00472480" w:rsidRDefault="00F11FAA" w:rsidP="00472480">
            <w:pPr>
              <w:pStyle w:val="142"/>
              <w:jc w:val="center"/>
              <w:rPr>
                <w:snapToGrid/>
              </w:rPr>
            </w:pPr>
            <w:r w:rsidRPr="00693188">
              <w:rPr>
                <w:rFonts w:hint="eastAsia"/>
              </w:rPr>
              <w:t>彭博全球綜合美元公司債排除爭議性產業發行債券指數</w:t>
            </w:r>
          </w:p>
        </w:tc>
        <w:tc>
          <w:tcPr>
            <w:tcW w:w="1103" w:type="dxa"/>
            <w:vMerge w:val="restart"/>
            <w:shd w:val="clear" w:color="auto" w:fill="auto"/>
            <w:vAlign w:val="center"/>
          </w:tcPr>
          <w:p w:rsidR="00F11FAA" w:rsidRPr="00472480" w:rsidRDefault="00F11FAA" w:rsidP="00515ACB">
            <w:pPr>
              <w:pStyle w:val="142"/>
              <w:jc w:val="right"/>
              <w:rPr>
                <w:snapToGrid/>
              </w:rPr>
            </w:pPr>
            <w:r w:rsidRPr="00693188">
              <w:rPr>
                <w:rFonts w:hint="eastAsia"/>
              </w:rPr>
              <w:t>-7.62</w:t>
            </w:r>
          </w:p>
        </w:tc>
        <w:tc>
          <w:tcPr>
            <w:tcW w:w="1233" w:type="dxa"/>
            <w:vMerge w:val="restart"/>
            <w:shd w:val="clear" w:color="auto" w:fill="auto"/>
            <w:vAlign w:val="center"/>
          </w:tcPr>
          <w:p w:rsidR="00F11FAA" w:rsidRPr="00472480" w:rsidRDefault="00F11FAA" w:rsidP="00515ACB">
            <w:pPr>
              <w:pStyle w:val="142"/>
              <w:jc w:val="right"/>
              <w:rPr>
                <w:snapToGrid/>
              </w:rPr>
            </w:pPr>
            <w:r w:rsidRPr="00472480">
              <w:rPr>
                <w:rFonts w:hint="eastAsia"/>
                <w:snapToGrid/>
              </w:rPr>
              <w:t>4</w:t>
            </w:r>
          </w:p>
        </w:tc>
        <w:tc>
          <w:tcPr>
            <w:tcW w:w="1263" w:type="dxa"/>
            <w:shd w:val="clear" w:color="auto" w:fill="auto"/>
            <w:vAlign w:val="center"/>
          </w:tcPr>
          <w:p w:rsidR="00F11FAA" w:rsidRPr="00472480" w:rsidRDefault="00F11FAA" w:rsidP="00515ACB">
            <w:pPr>
              <w:pStyle w:val="142"/>
              <w:jc w:val="right"/>
              <w:rPr>
                <w:snapToGrid/>
              </w:rPr>
            </w:pPr>
            <w:r w:rsidRPr="00BC3414">
              <w:t>0.56</w:t>
            </w:r>
          </w:p>
        </w:tc>
        <w:tc>
          <w:tcPr>
            <w:tcW w:w="1093" w:type="dxa"/>
            <w:shd w:val="clear" w:color="auto" w:fill="auto"/>
            <w:vAlign w:val="center"/>
          </w:tcPr>
          <w:p w:rsidR="00F11FAA" w:rsidRPr="00472480" w:rsidRDefault="00F11FAA" w:rsidP="00515ACB">
            <w:pPr>
              <w:pStyle w:val="142"/>
              <w:jc w:val="right"/>
              <w:rPr>
                <w:snapToGrid/>
              </w:rPr>
            </w:pPr>
            <w:r w:rsidRPr="00BC3414">
              <w:t>-8.37</w:t>
            </w:r>
          </w:p>
        </w:tc>
      </w:tr>
      <w:tr w:rsidR="00F11FAA" w:rsidTr="00515ACB">
        <w:tc>
          <w:tcPr>
            <w:tcW w:w="1309" w:type="dxa"/>
            <w:vMerge/>
            <w:shd w:val="clear" w:color="auto" w:fill="auto"/>
            <w:vAlign w:val="center"/>
          </w:tcPr>
          <w:p w:rsidR="00F11FAA" w:rsidRPr="00472480" w:rsidRDefault="00F11FAA" w:rsidP="00472480">
            <w:pPr>
              <w:pStyle w:val="142"/>
              <w:jc w:val="center"/>
              <w:rPr>
                <w:snapToGrid/>
              </w:rPr>
            </w:pPr>
          </w:p>
        </w:tc>
        <w:tc>
          <w:tcPr>
            <w:tcW w:w="2072" w:type="dxa"/>
            <w:vMerge/>
            <w:shd w:val="clear" w:color="auto" w:fill="auto"/>
            <w:vAlign w:val="center"/>
          </w:tcPr>
          <w:p w:rsidR="00F11FAA" w:rsidRPr="00472480" w:rsidRDefault="00F11FAA" w:rsidP="00472480">
            <w:pPr>
              <w:pStyle w:val="142"/>
              <w:jc w:val="center"/>
              <w:rPr>
                <w:snapToGrid/>
              </w:rPr>
            </w:pPr>
          </w:p>
        </w:tc>
        <w:tc>
          <w:tcPr>
            <w:tcW w:w="1103" w:type="dxa"/>
            <w:vMerge/>
            <w:shd w:val="clear" w:color="auto" w:fill="auto"/>
            <w:vAlign w:val="center"/>
          </w:tcPr>
          <w:p w:rsidR="00F11FAA" w:rsidRPr="00472480" w:rsidRDefault="00F11FAA" w:rsidP="00472480">
            <w:pPr>
              <w:pStyle w:val="142"/>
              <w:jc w:val="right"/>
              <w:rPr>
                <w:snapToGrid/>
              </w:rPr>
            </w:pPr>
          </w:p>
        </w:tc>
        <w:tc>
          <w:tcPr>
            <w:tcW w:w="1233" w:type="dxa"/>
            <w:vMerge/>
            <w:shd w:val="clear" w:color="auto" w:fill="auto"/>
          </w:tcPr>
          <w:p w:rsidR="00F11FAA" w:rsidRPr="00472480" w:rsidRDefault="00F11FAA" w:rsidP="00472480">
            <w:pPr>
              <w:pStyle w:val="142"/>
              <w:jc w:val="right"/>
              <w:rPr>
                <w:snapToGrid/>
              </w:rPr>
            </w:pPr>
          </w:p>
        </w:tc>
        <w:tc>
          <w:tcPr>
            <w:tcW w:w="1263" w:type="dxa"/>
            <w:shd w:val="clear" w:color="auto" w:fill="auto"/>
            <w:vAlign w:val="center"/>
          </w:tcPr>
          <w:p w:rsidR="00F11FAA" w:rsidRPr="00472480" w:rsidRDefault="00F11FAA" w:rsidP="00515ACB">
            <w:pPr>
              <w:pStyle w:val="142"/>
              <w:jc w:val="right"/>
              <w:rPr>
                <w:snapToGrid/>
              </w:rPr>
            </w:pPr>
            <w:r w:rsidRPr="00BC3414">
              <w:t>0.56</w:t>
            </w:r>
          </w:p>
        </w:tc>
        <w:tc>
          <w:tcPr>
            <w:tcW w:w="1093" w:type="dxa"/>
            <w:shd w:val="clear" w:color="auto" w:fill="auto"/>
            <w:vAlign w:val="center"/>
          </w:tcPr>
          <w:p w:rsidR="00F11FAA" w:rsidRPr="00472480" w:rsidRDefault="00F11FAA" w:rsidP="00515ACB">
            <w:pPr>
              <w:pStyle w:val="142"/>
              <w:jc w:val="right"/>
              <w:rPr>
                <w:snapToGrid/>
              </w:rPr>
            </w:pPr>
            <w:r w:rsidRPr="00BC3414">
              <w:t>-7.67</w:t>
            </w:r>
          </w:p>
        </w:tc>
      </w:tr>
      <w:tr w:rsidR="00F11FAA" w:rsidTr="00515ACB">
        <w:tc>
          <w:tcPr>
            <w:tcW w:w="1309" w:type="dxa"/>
            <w:vMerge/>
            <w:shd w:val="clear" w:color="auto" w:fill="auto"/>
            <w:vAlign w:val="center"/>
          </w:tcPr>
          <w:p w:rsidR="00F11FAA" w:rsidRPr="00472480" w:rsidRDefault="00F11FAA" w:rsidP="00472480">
            <w:pPr>
              <w:pStyle w:val="142"/>
              <w:jc w:val="center"/>
              <w:rPr>
                <w:snapToGrid/>
              </w:rPr>
            </w:pPr>
          </w:p>
        </w:tc>
        <w:tc>
          <w:tcPr>
            <w:tcW w:w="2072" w:type="dxa"/>
            <w:vMerge/>
            <w:shd w:val="clear" w:color="auto" w:fill="auto"/>
            <w:vAlign w:val="center"/>
          </w:tcPr>
          <w:p w:rsidR="00F11FAA" w:rsidRPr="00472480" w:rsidRDefault="00F11FAA" w:rsidP="00472480">
            <w:pPr>
              <w:pStyle w:val="142"/>
              <w:jc w:val="center"/>
              <w:rPr>
                <w:snapToGrid/>
              </w:rPr>
            </w:pPr>
          </w:p>
        </w:tc>
        <w:tc>
          <w:tcPr>
            <w:tcW w:w="1103" w:type="dxa"/>
            <w:vMerge/>
            <w:shd w:val="clear" w:color="auto" w:fill="auto"/>
            <w:vAlign w:val="center"/>
          </w:tcPr>
          <w:p w:rsidR="00F11FAA" w:rsidRPr="00472480" w:rsidRDefault="00F11FAA" w:rsidP="00472480">
            <w:pPr>
              <w:pStyle w:val="142"/>
              <w:jc w:val="right"/>
              <w:rPr>
                <w:snapToGrid/>
              </w:rPr>
            </w:pPr>
          </w:p>
        </w:tc>
        <w:tc>
          <w:tcPr>
            <w:tcW w:w="1233" w:type="dxa"/>
            <w:vMerge/>
            <w:shd w:val="clear" w:color="auto" w:fill="auto"/>
          </w:tcPr>
          <w:p w:rsidR="00F11FAA" w:rsidRPr="00472480" w:rsidRDefault="00F11FAA" w:rsidP="00472480">
            <w:pPr>
              <w:pStyle w:val="142"/>
              <w:jc w:val="right"/>
              <w:rPr>
                <w:snapToGrid/>
              </w:rPr>
            </w:pPr>
          </w:p>
        </w:tc>
        <w:tc>
          <w:tcPr>
            <w:tcW w:w="1263" w:type="dxa"/>
            <w:shd w:val="clear" w:color="auto" w:fill="auto"/>
            <w:vAlign w:val="center"/>
          </w:tcPr>
          <w:p w:rsidR="00F11FAA" w:rsidRPr="00472480" w:rsidRDefault="00F11FAA" w:rsidP="00515ACB">
            <w:pPr>
              <w:pStyle w:val="142"/>
              <w:jc w:val="right"/>
              <w:rPr>
                <w:snapToGrid/>
              </w:rPr>
            </w:pPr>
            <w:r w:rsidRPr="00BC3414">
              <w:t>0.77</w:t>
            </w:r>
          </w:p>
        </w:tc>
        <w:tc>
          <w:tcPr>
            <w:tcW w:w="1093" w:type="dxa"/>
            <w:shd w:val="clear" w:color="auto" w:fill="auto"/>
            <w:vAlign w:val="center"/>
          </w:tcPr>
          <w:p w:rsidR="00F11FAA" w:rsidRPr="00472480" w:rsidRDefault="00F11FAA" w:rsidP="00515ACB">
            <w:pPr>
              <w:pStyle w:val="142"/>
              <w:jc w:val="right"/>
              <w:rPr>
                <w:snapToGrid/>
              </w:rPr>
            </w:pPr>
            <w:r w:rsidRPr="00BC3414">
              <w:t>-8.15</w:t>
            </w:r>
          </w:p>
        </w:tc>
      </w:tr>
      <w:tr w:rsidR="00F11FAA" w:rsidTr="00515ACB">
        <w:tc>
          <w:tcPr>
            <w:tcW w:w="1309" w:type="dxa"/>
            <w:vMerge/>
            <w:shd w:val="clear" w:color="auto" w:fill="auto"/>
            <w:vAlign w:val="center"/>
          </w:tcPr>
          <w:p w:rsidR="00F11FAA" w:rsidRPr="00472480" w:rsidRDefault="00F11FAA" w:rsidP="00472480">
            <w:pPr>
              <w:pStyle w:val="142"/>
              <w:jc w:val="center"/>
              <w:rPr>
                <w:snapToGrid/>
              </w:rPr>
            </w:pPr>
          </w:p>
        </w:tc>
        <w:tc>
          <w:tcPr>
            <w:tcW w:w="2072" w:type="dxa"/>
            <w:vMerge/>
            <w:shd w:val="clear" w:color="auto" w:fill="auto"/>
            <w:vAlign w:val="center"/>
          </w:tcPr>
          <w:p w:rsidR="00F11FAA" w:rsidRPr="00472480" w:rsidRDefault="00F11FAA" w:rsidP="00472480">
            <w:pPr>
              <w:pStyle w:val="142"/>
              <w:jc w:val="center"/>
              <w:rPr>
                <w:snapToGrid/>
              </w:rPr>
            </w:pPr>
          </w:p>
        </w:tc>
        <w:tc>
          <w:tcPr>
            <w:tcW w:w="1103" w:type="dxa"/>
            <w:vMerge/>
            <w:shd w:val="clear" w:color="auto" w:fill="auto"/>
            <w:vAlign w:val="center"/>
          </w:tcPr>
          <w:p w:rsidR="00F11FAA" w:rsidRPr="00472480" w:rsidRDefault="00F11FAA" w:rsidP="00472480">
            <w:pPr>
              <w:pStyle w:val="142"/>
              <w:jc w:val="right"/>
              <w:rPr>
                <w:snapToGrid/>
              </w:rPr>
            </w:pPr>
          </w:p>
        </w:tc>
        <w:tc>
          <w:tcPr>
            <w:tcW w:w="1233" w:type="dxa"/>
            <w:vMerge/>
            <w:shd w:val="clear" w:color="auto" w:fill="auto"/>
          </w:tcPr>
          <w:p w:rsidR="00F11FAA" w:rsidRPr="00472480" w:rsidRDefault="00F11FAA" w:rsidP="00472480">
            <w:pPr>
              <w:pStyle w:val="142"/>
              <w:jc w:val="right"/>
              <w:rPr>
                <w:snapToGrid/>
              </w:rPr>
            </w:pPr>
          </w:p>
        </w:tc>
        <w:tc>
          <w:tcPr>
            <w:tcW w:w="1263" w:type="dxa"/>
            <w:shd w:val="clear" w:color="auto" w:fill="auto"/>
            <w:vAlign w:val="center"/>
          </w:tcPr>
          <w:p w:rsidR="00F11FAA" w:rsidRPr="00472480" w:rsidRDefault="00F11FAA" w:rsidP="00515ACB">
            <w:pPr>
              <w:pStyle w:val="142"/>
              <w:jc w:val="right"/>
              <w:rPr>
                <w:snapToGrid/>
              </w:rPr>
            </w:pPr>
            <w:r w:rsidRPr="00BC3414">
              <w:t>0.56</w:t>
            </w:r>
          </w:p>
        </w:tc>
        <w:tc>
          <w:tcPr>
            <w:tcW w:w="1093" w:type="dxa"/>
            <w:shd w:val="clear" w:color="auto" w:fill="auto"/>
            <w:vAlign w:val="center"/>
          </w:tcPr>
          <w:p w:rsidR="00F11FAA" w:rsidRPr="00472480" w:rsidRDefault="00F11FAA" w:rsidP="00515ACB">
            <w:pPr>
              <w:pStyle w:val="142"/>
              <w:jc w:val="right"/>
              <w:rPr>
                <w:snapToGrid/>
              </w:rPr>
            </w:pPr>
            <w:r w:rsidRPr="00BC3414">
              <w:t>-8.93</w:t>
            </w:r>
          </w:p>
        </w:tc>
      </w:tr>
      <w:tr w:rsidR="00F11FAA" w:rsidTr="00515ACB">
        <w:tc>
          <w:tcPr>
            <w:tcW w:w="1309" w:type="dxa"/>
            <w:vMerge w:val="restart"/>
            <w:shd w:val="clear" w:color="auto" w:fill="auto"/>
            <w:vAlign w:val="center"/>
          </w:tcPr>
          <w:p w:rsidR="00F11FAA" w:rsidRPr="00472480" w:rsidRDefault="00F11FAA" w:rsidP="00472480">
            <w:pPr>
              <w:pStyle w:val="142"/>
              <w:jc w:val="center"/>
              <w:rPr>
                <w:snapToGrid/>
              </w:rPr>
            </w:pPr>
            <w:r w:rsidRPr="00472480">
              <w:rPr>
                <w:rFonts w:hint="eastAsia"/>
                <w:snapToGrid/>
              </w:rPr>
              <w:t>國外110-1全球多元資產型(絕對報酬)</w:t>
            </w:r>
          </w:p>
        </w:tc>
        <w:tc>
          <w:tcPr>
            <w:tcW w:w="2072" w:type="dxa"/>
            <w:vMerge w:val="restart"/>
            <w:shd w:val="clear" w:color="auto" w:fill="auto"/>
            <w:vAlign w:val="center"/>
          </w:tcPr>
          <w:p w:rsidR="00F11FAA" w:rsidRPr="00472480" w:rsidRDefault="00F11FAA" w:rsidP="00472480">
            <w:pPr>
              <w:pStyle w:val="142"/>
              <w:jc w:val="center"/>
              <w:rPr>
                <w:snapToGrid/>
              </w:rPr>
            </w:pPr>
            <w:r w:rsidRPr="00472480">
              <w:rPr>
                <w:rFonts w:hint="eastAsia"/>
                <w:snapToGrid/>
              </w:rPr>
              <w:t>美國3個月期國庫券利率</w:t>
            </w:r>
          </w:p>
        </w:tc>
        <w:tc>
          <w:tcPr>
            <w:tcW w:w="1103" w:type="dxa"/>
            <w:vMerge w:val="restart"/>
            <w:shd w:val="clear" w:color="auto" w:fill="auto"/>
            <w:vAlign w:val="center"/>
          </w:tcPr>
          <w:p w:rsidR="00F11FAA" w:rsidRPr="00472480" w:rsidRDefault="00F11FAA" w:rsidP="00515ACB">
            <w:pPr>
              <w:pStyle w:val="142"/>
              <w:jc w:val="right"/>
              <w:rPr>
                <w:snapToGrid/>
              </w:rPr>
            </w:pPr>
            <w:r w:rsidRPr="00472480">
              <w:rPr>
                <w:rFonts w:hint="eastAsia"/>
                <w:snapToGrid/>
              </w:rPr>
              <w:t>9.87</w:t>
            </w:r>
          </w:p>
        </w:tc>
        <w:tc>
          <w:tcPr>
            <w:tcW w:w="1233" w:type="dxa"/>
            <w:vMerge w:val="restart"/>
            <w:shd w:val="clear" w:color="auto" w:fill="auto"/>
            <w:vAlign w:val="center"/>
          </w:tcPr>
          <w:p w:rsidR="00F11FAA" w:rsidRPr="00472480" w:rsidRDefault="00F11FAA" w:rsidP="00515ACB">
            <w:pPr>
              <w:pStyle w:val="142"/>
              <w:jc w:val="right"/>
              <w:rPr>
                <w:snapToGrid/>
              </w:rPr>
            </w:pPr>
            <w:r w:rsidRPr="00472480">
              <w:rPr>
                <w:rFonts w:hint="eastAsia"/>
                <w:snapToGrid/>
              </w:rPr>
              <w:t>5</w:t>
            </w:r>
          </w:p>
        </w:tc>
        <w:tc>
          <w:tcPr>
            <w:tcW w:w="1263" w:type="dxa"/>
            <w:shd w:val="clear" w:color="auto" w:fill="auto"/>
          </w:tcPr>
          <w:p w:rsidR="00F11FAA" w:rsidRPr="00472480" w:rsidRDefault="00F11FAA" w:rsidP="00472480">
            <w:pPr>
              <w:pStyle w:val="142"/>
              <w:jc w:val="right"/>
              <w:rPr>
                <w:snapToGrid/>
              </w:rPr>
            </w:pPr>
            <w:r w:rsidRPr="004D787E">
              <w:t>0.58</w:t>
            </w:r>
          </w:p>
        </w:tc>
        <w:tc>
          <w:tcPr>
            <w:tcW w:w="1093" w:type="dxa"/>
            <w:shd w:val="clear" w:color="auto" w:fill="auto"/>
          </w:tcPr>
          <w:p w:rsidR="00F11FAA" w:rsidRPr="00472480" w:rsidRDefault="00F11FAA" w:rsidP="00472480">
            <w:pPr>
              <w:pStyle w:val="142"/>
              <w:jc w:val="right"/>
              <w:rPr>
                <w:snapToGrid/>
              </w:rPr>
            </w:pPr>
            <w:r w:rsidRPr="004D787E">
              <w:t>-3.95</w:t>
            </w:r>
          </w:p>
        </w:tc>
      </w:tr>
      <w:tr w:rsidR="00F11FAA" w:rsidTr="00515ACB">
        <w:tc>
          <w:tcPr>
            <w:tcW w:w="1309" w:type="dxa"/>
            <w:vMerge/>
            <w:shd w:val="clear" w:color="auto" w:fill="auto"/>
            <w:vAlign w:val="center"/>
          </w:tcPr>
          <w:p w:rsidR="00F11FAA" w:rsidRPr="00472480" w:rsidRDefault="00F11FAA" w:rsidP="00472480">
            <w:pPr>
              <w:pStyle w:val="142"/>
              <w:jc w:val="center"/>
              <w:rPr>
                <w:snapToGrid/>
              </w:rPr>
            </w:pPr>
          </w:p>
        </w:tc>
        <w:tc>
          <w:tcPr>
            <w:tcW w:w="2072" w:type="dxa"/>
            <w:vMerge/>
            <w:shd w:val="clear" w:color="auto" w:fill="auto"/>
            <w:vAlign w:val="center"/>
          </w:tcPr>
          <w:p w:rsidR="00F11FAA" w:rsidRPr="00472480" w:rsidRDefault="00F11FAA" w:rsidP="00472480">
            <w:pPr>
              <w:pStyle w:val="142"/>
              <w:jc w:val="center"/>
              <w:rPr>
                <w:snapToGrid/>
              </w:rPr>
            </w:pPr>
          </w:p>
        </w:tc>
        <w:tc>
          <w:tcPr>
            <w:tcW w:w="1103" w:type="dxa"/>
            <w:vMerge/>
            <w:shd w:val="clear" w:color="auto" w:fill="auto"/>
            <w:vAlign w:val="center"/>
          </w:tcPr>
          <w:p w:rsidR="00F11FAA" w:rsidRPr="00472480" w:rsidRDefault="00F11FAA" w:rsidP="00515ACB">
            <w:pPr>
              <w:pStyle w:val="142"/>
              <w:jc w:val="right"/>
              <w:rPr>
                <w:snapToGrid/>
              </w:rPr>
            </w:pPr>
          </w:p>
        </w:tc>
        <w:tc>
          <w:tcPr>
            <w:tcW w:w="1233" w:type="dxa"/>
            <w:vMerge/>
            <w:shd w:val="clear" w:color="auto" w:fill="auto"/>
            <w:vAlign w:val="center"/>
          </w:tcPr>
          <w:p w:rsidR="00F11FAA" w:rsidRPr="00472480" w:rsidRDefault="00F11FAA" w:rsidP="00515ACB">
            <w:pPr>
              <w:pStyle w:val="142"/>
              <w:jc w:val="right"/>
              <w:rPr>
                <w:snapToGrid/>
              </w:rPr>
            </w:pPr>
          </w:p>
        </w:tc>
        <w:tc>
          <w:tcPr>
            <w:tcW w:w="1263" w:type="dxa"/>
            <w:shd w:val="clear" w:color="auto" w:fill="auto"/>
          </w:tcPr>
          <w:p w:rsidR="00F11FAA" w:rsidRPr="00472480" w:rsidRDefault="00F11FAA" w:rsidP="00472480">
            <w:pPr>
              <w:pStyle w:val="142"/>
              <w:jc w:val="right"/>
              <w:rPr>
                <w:snapToGrid/>
              </w:rPr>
            </w:pPr>
            <w:r w:rsidRPr="004D787E">
              <w:t>0.61</w:t>
            </w:r>
          </w:p>
        </w:tc>
        <w:tc>
          <w:tcPr>
            <w:tcW w:w="1093" w:type="dxa"/>
            <w:shd w:val="clear" w:color="auto" w:fill="auto"/>
          </w:tcPr>
          <w:p w:rsidR="00F11FAA" w:rsidRPr="00472480" w:rsidRDefault="00F11FAA" w:rsidP="00472480">
            <w:pPr>
              <w:pStyle w:val="142"/>
              <w:jc w:val="right"/>
              <w:rPr>
                <w:snapToGrid/>
              </w:rPr>
            </w:pPr>
            <w:r w:rsidRPr="004D787E">
              <w:t>1.38</w:t>
            </w:r>
          </w:p>
        </w:tc>
      </w:tr>
      <w:tr w:rsidR="00F11FAA" w:rsidTr="00515ACB">
        <w:tc>
          <w:tcPr>
            <w:tcW w:w="1309" w:type="dxa"/>
            <w:vMerge/>
            <w:shd w:val="clear" w:color="auto" w:fill="auto"/>
            <w:vAlign w:val="center"/>
          </w:tcPr>
          <w:p w:rsidR="00F11FAA" w:rsidRPr="00472480" w:rsidRDefault="00F11FAA" w:rsidP="00472480">
            <w:pPr>
              <w:pStyle w:val="142"/>
              <w:jc w:val="center"/>
              <w:rPr>
                <w:snapToGrid/>
              </w:rPr>
            </w:pPr>
          </w:p>
        </w:tc>
        <w:tc>
          <w:tcPr>
            <w:tcW w:w="2072" w:type="dxa"/>
            <w:vMerge/>
            <w:shd w:val="clear" w:color="auto" w:fill="auto"/>
            <w:vAlign w:val="center"/>
          </w:tcPr>
          <w:p w:rsidR="00F11FAA" w:rsidRPr="00472480" w:rsidRDefault="00F11FAA" w:rsidP="00472480">
            <w:pPr>
              <w:pStyle w:val="142"/>
              <w:jc w:val="center"/>
              <w:rPr>
                <w:snapToGrid/>
              </w:rPr>
            </w:pPr>
          </w:p>
        </w:tc>
        <w:tc>
          <w:tcPr>
            <w:tcW w:w="1103" w:type="dxa"/>
            <w:vMerge/>
            <w:shd w:val="clear" w:color="auto" w:fill="auto"/>
            <w:vAlign w:val="center"/>
          </w:tcPr>
          <w:p w:rsidR="00F11FAA" w:rsidRPr="00472480" w:rsidRDefault="00F11FAA" w:rsidP="00515ACB">
            <w:pPr>
              <w:pStyle w:val="142"/>
              <w:jc w:val="right"/>
              <w:rPr>
                <w:snapToGrid/>
              </w:rPr>
            </w:pPr>
          </w:p>
        </w:tc>
        <w:tc>
          <w:tcPr>
            <w:tcW w:w="1233" w:type="dxa"/>
            <w:vMerge/>
            <w:shd w:val="clear" w:color="auto" w:fill="auto"/>
            <w:vAlign w:val="center"/>
          </w:tcPr>
          <w:p w:rsidR="00F11FAA" w:rsidRPr="00472480" w:rsidRDefault="00F11FAA" w:rsidP="00515ACB">
            <w:pPr>
              <w:pStyle w:val="142"/>
              <w:jc w:val="right"/>
              <w:rPr>
                <w:snapToGrid/>
              </w:rPr>
            </w:pPr>
          </w:p>
        </w:tc>
        <w:tc>
          <w:tcPr>
            <w:tcW w:w="1263" w:type="dxa"/>
            <w:shd w:val="clear" w:color="auto" w:fill="auto"/>
          </w:tcPr>
          <w:p w:rsidR="00F11FAA" w:rsidRPr="00472480" w:rsidRDefault="00F11FAA" w:rsidP="00472480">
            <w:pPr>
              <w:pStyle w:val="142"/>
              <w:jc w:val="right"/>
              <w:rPr>
                <w:snapToGrid/>
              </w:rPr>
            </w:pPr>
            <w:r w:rsidRPr="004D787E">
              <w:t>1.24</w:t>
            </w:r>
          </w:p>
        </w:tc>
        <w:tc>
          <w:tcPr>
            <w:tcW w:w="1093" w:type="dxa"/>
            <w:shd w:val="clear" w:color="auto" w:fill="auto"/>
          </w:tcPr>
          <w:p w:rsidR="00F11FAA" w:rsidRPr="00472480" w:rsidRDefault="00F11FAA" w:rsidP="00472480">
            <w:pPr>
              <w:pStyle w:val="142"/>
              <w:jc w:val="right"/>
              <w:rPr>
                <w:snapToGrid/>
              </w:rPr>
            </w:pPr>
            <w:r w:rsidRPr="004D787E">
              <w:t>3.89</w:t>
            </w:r>
          </w:p>
        </w:tc>
      </w:tr>
      <w:tr w:rsidR="00F11FAA" w:rsidTr="00515ACB">
        <w:tc>
          <w:tcPr>
            <w:tcW w:w="1309" w:type="dxa"/>
            <w:vMerge/>
            <w:shd w:val="clear" w:color="auto" w:fill="auto"/>
            <w:vAlign w:val="center"/>
          </w:tcPr>
          <w:p w:rsidR="00F11FAA" w:rsidRPr="00472480" w:rsidRDefault="00F11FAA" w:rsidP="00472480">
            <w:pPr>
              <w:pStyle w:val="142"/>
              <w:jc w:val="center"/>
              <w:rPr>
                <w:snapToGrid/>
              </w:rPr>
            </w:pPr>
          </w:p>
        </w:tc>
        <w:tc>
          <w:tcPr>
            <w:tcW w:w="2072" w:type="dxa"/>
            <w:vMerge/>
            <w:shd w:val="clear" w:color="auto" w:fill="auto"/>
            <w:vAlign w:val="center"/>
          </w:tcPr>
          <w:p w:rsidR="00F11FAA" w:rsidRPr="00472480" w:rsidRDefault="00F11FAA" w:rsidP="00472480">
            <w:pPr>
              <w:pStyle w:val="142"/>
              <w:jc w:val="center"/>
              <w:rPr>
                <w:snapToGrid/>
              </w:rPr>
            </w:pPr>
          </w:p>
        </w:tc>
        <w:tc>
          <w:tcPr>
            <w:tcW w:w="1103" w:type="dxa"/>
            <w:vMerge/>
            <w:shd w:val="clear" w:color="auto" w:fill="auto"/>
            <w:vAlign w:val="center"/>
          </w:tcPr>
          <w:p w:rsidR="00F11FAA" w:rsidRPr="00472480" w:rsidRDefault="00F11FAA" w:rsidP="00515ACB">
            <w:pPr>
              <w:pStyle w:val="142"/>
              <w:jc w:val="right"/>
              <w:rPr>
                <w:snapToGrid/>
              </w:rPr>
            </w:pPr>
          </w:p>
        </w:tc>
        <w:tc>
          <w:tcPr>
            <w:tcW w:w="1233" w:type="dxa"/>
            <w:vMerge/>
            <w:shd w:val="clear" w:color="auto" w:fill="auto"/>
            <w:vAlign w:val="center"/>
          </w:tcPr>
          <w:p w:rsidR="00F11FAA" w:rsidRPr="00472480" w:rsidRDefault="00F11FAA" w:rsidP="00515ACB">
            <w:pPr>
              <w:pStyle w:val="142"/>
              <w:jc w:val="right"/>
              <w:rPr>
                <w:snapToGrid/>
              </w:rPr>
            </w:pPr>
          </w:p>
        </w:tc>
        <w:tc>
          <w:tcPr>
            <w:tcW w:w="1263" w:type="dxa"/>
            <w:shd w:val="clear" w:color="auto" w:fill="auto"/>
          </w:tcPr>
          <w:p w:rsidR="00F11FAA" w:rsidRPr="00472480" w:rsidRDefault="00F11FAA" w:rsidP="00472480">
            <w:pPr>
              <w:pStyle w:val="142"/>
              <w:jc w:val="right"/>
              <w:rPr>
                <w:snapToGrid/>
              </w:rPr>
            </w:pPr>
            <w:r w:rsidRPr="004D787E">
              <w:t>1.04</w:t>
            </w:r>
          </w:p>
        </w:tc>
        <w:tc>
          <w:tcPr>
            <w:tcW w:w="1093" w:type="dxa"/>
            <w:shd w:val="clear" w:color="auto" w:fill="auto"/>
          </w:tcPr>
          <w:p w:rsidR="00F11FAA" w:rsidRPr="00472480" w:rsidRDefault="00F11FAA" w:rsidP="00472480">
            <w:pPr>
              <w:pStyle w:val="142"/>
              <w:jc w:val="right"/>
              <w:rPr>
                <w:snapToGrid/>
              </w:rPr>
            </w:pPr>
            <w:r w:rsidRPr="004D787E">
              <w:t>4.17</w:t>
            </w:r>
          </w:p>
        </w:tc>
      </w:tr>
      <w:tr w:rsidR="00F11FAA" w:rsidTr="00515ACB">
        <w:tc>
          <w:tcPr>
            <w:tcW w:w="1309" w:type="dxa"/>
            <w:vMerge/>
            <w:shd w:val="clear" w:color="auto" w:fill="auto"/>
            <w:vAlign w:val="center"/>
          </w:tcPr>
          <w:p w:rsidR="00F11FAA" w:rsidRPr="00472480" w:rsidRDefault="00F11FAA" w:rsidP="00472480">
            <w:pPr>
              <w:pStyle w:val="142"/>
              <w:jc w:val="center"/>
              <w:rPr>
                <w:snapToGrid/>
              </w:rPr>
            </w:pPr>
          </w:p>
        </w:tc>
        <w:tc>
          <w:tcPr>
            <w:tcW w:w="2072" w:type="dxa"/>
            <w:vMerge/>
            <w:shd w:val="clear" w:color="auto" w:fill="auto"/>
            <w:vAlign w:val="center"/>
          </w:tcPr>
          <w:p w:rsidR="00F11FAA" w:rsidRPr="00472480" w:rsidRDefault="00F11FAA" w:rsidP="00472480">
            <w:pPr>
              <w:pStyle w:val="142"/>
              <w:jc w:val="center"/>
              <w:rPr>
                <w:snapToGrid/>
              </w:rPr>
            </w:pPr>
          </w:p>
        </w:tc>
        <w:tc>
          <w:tcPr>
            <w:tcW w:w="1103" w:type="dxa"/>
            <w:vMerge/>
            <w:shd w:val="clear" w:color="auto" w:fill="auto"/>
            <w:vAlign w:val="center"/>
          </w:tcPr>
          <w:p w:rsidR="00F11FAA" w:rsidRPr="00472480" w:rsidRDefault="00F11FAA" w:rsidP="00515ACB">
            <w:pPr>
              <w:pStyle w:val="142"/>
              <w:jc w:val="right"/>
              <w:rPr>
                <w:snapToGrid/>
              </w:rPr>
            </w:pPr>
          </w:p>
        </w:tc>
        <w:tc>
          <w:tcPr>
            <w:tcW w:w="1233" w:type="dxa"/>
            <w:vMerge/>
            <w:shd w:val="clear" w:color="auto" w:fill="auto"/>
            <w:vAlign w:val="center"/>
          </w:tcPr>
          <w:p w:rsidR="00F11FAA" w:rsidRPr="00472480" w:rsidRDefault="00F11FAA" w:rsidP="00515ACB">
            <w:pPr>
              <w:pStyle w:val="142"/>
              <w:jc w:val="right"/>
              <w:rPr>
                <w:snapToGrid/>
              </w:rPr>
            </w:pPr>
          </w:p>
        </w:tc>
        <w:tc>
          <w:tcPr>
            <w:tcW w:w="1263" w:type="dxa"/>
            <w:shd w:val="clear" w:color="auto" w:fill="auto"/>
          </w:tcPr>
          <w:p w:rsidR="00F11FAA" w:rsidRPr="00472480" w:rsidRDefault="00F11FAA" w:rsidP="00472480">
            <w:pPr>
              <w:pStyle w:val="142"/>
              <w:jc w:val="right"/>
              <w:rPr>
                <w:snapToGrid/>
              </w:rPr>
            </w:pPr>
            <w:r w:rsidRPr="004D787E">
              <w:t>0.62</w:t>
            </w:r>
          </w:p>
        </w:tc>
        <w:tc>
          <w:tcPr>
            <w:tcW w:w="1093" w:type="dxa"/>
            <w:shd w:val="clear" w:color="auto" w:fill="auto"/>
          </w:tcPr>
          <w:p w:rsidR="00F11FAA" w:rsidRPr="00472480" w:rsidRDefault="00F11FAA" w:rsidP="00472480">
            <w:pPr>
              <w:pStyle w:val="142"/>
              <w:jc w:val="right"/>
              <w:rPr>
                <w:snapToGrid/>
              </w:rPr>
            </w:pPr>
            <w:r w:rsidRPr="004D787E">
              <w:t>3.17</w:t>
            </w:r>
          </w:p>
        </w:tc>
      </w:tr>
      <w:tr w:rsidR="00F11FAA" w:rsidTr="00515ACB">
        <w:tc>
          <w:tcPr>
            <w:tcW w:w="1309" w:type="dxa"/>
            <w:vMerge w:val="restart"/>
            <w:shd w:val="clear" w:color="auto" w:fill="auto"/>
            <w:vAlign w:val="center"/>
          </w:tcPr>
          <w:p w:rsidR="00F11FAA" w:rsidRPr="00472480" w:rsidRDefault="00F11FAA" w:rsidP="00472480">
            <w:pPr>
              <w:pStyle w:val="142"/>
              <w:jc w:val="center"/>
              <w:rPr>
                <w:snapToGrid/>
              </w:rPr>
            </w:pPr>
            <w:r w:rsidRPr="00472480">
              <w:rPr>
                <w:rFonts w:hint="eastAsia"/>
                <w:snapToGrid/>
              </w:rPr>
              <w:t>國外111-1全球氣候變遷股票型(相對報酬)</w:t>
            </w:r>
          </w:p>
        </w:tc>
        <w:tc>
          <w:tcPr>
            <w:tcW w:w="2072" w:type="dxa"/>
            <w:vMerge w:val="restart"/>
            <w:shd w:val="clear" w:color="auto" w:fill="auto"/>
          </w:tcPr>
          <w:p w:rsidR="00F11FAA" w:rsidRPr="00472480" w:rsidRDefault="00F11FAA" w:rsidP="00472480">
            <w:pPr>
              <w:pStyle w:val="142"/>
              <w:jc w:val="center"/>
              <w:rPr>
                <w:snapToGrid/>
              </w:rPr>
            </w:pPr>
            <w:r w:rsidRPr="00B204EE">
              <w:rPr>
                <w:rFonts w:hint="eastAsia"/>
              </w:rPr>
              <w:t>MSCI全球股票(中國A股除外)巴黎協定氣候指數</w:t>
            </w:r>
          </w:p>
        </w:tc>
        <w:tc>
          <w:tcPr>
            <w:tcW w:w="1103" w:type="dxa"/>
            <w:vMerge w:val="restart"/>
            <w:shd w:val="clear" w:color="auto" w:fill="auto"/>
            <w:vAlign w:val="center"/>
          </w:tcPr>
          <w:p w:rsidR="00F11FAA" w:rsidRPr="00472480" w:rsidRDefault="00F11FAA" w:rsidP="00515ACB">
            <w:pPr>
              <w:pStyle w:val="142"/>
              <w:jc w:val="right"/>
              <w:rPr>
                <w:snapToGrid/>
              </w:rPr>
            </w:pPr>
            <w:r w:rsidRPr="00B204EE">
              <w:rPr>
                <w:rFonts w:hint="eastAsia"/>
              </w:rPr>
              <w:t>25.47</w:t>
            </w:r>
          </w:p>
        </w:tc>
        <w:tc>
          <w:tcPr>
            <w:tcW w:w="1233" w:type="dxa"/>
            <w:vMerge w:val="restart"/>
            <w:shd w:val="clear" w:color="auto" w:fill="auto"/>
            <w:vAlign w:val="center"/>
          </w:tcPr>
          <w:p w:rsidR="00F11FAA" w:rsidRPr="00472480" w:rsidRDefault="00F11FAA" w:rsidP="00515ACB">
            <w:pPr>
              <w:pStyle w:val="142"/>
              <w:jc w:val="right"/>
              <w:rPr>
                <w:snapToGrid/>
              </w:rPr>
            </w:pPr>
            <w:r w:rsidRPr="00472480">
              <w:rPr>
                <w:rFonts w:hint="eastAsia"/>
                <w:snapToGrid/>
              </w:rPr>
              <w:t>2</w:t>
            </w:r>
          </w:p>
        </w:tc>
        <w:tc>
          <w:tcPr>
            <w:tcW w:w="1263" w:type="dxa"/>
            <w:shd w:val="clear" w:color="auto" w:fill="auto"/>
          </w:tcPr>
          <w:p w:rsidR="00F11FAA" w:rsidRPr="00472480" w:rsidRDefault="00F11FAA" w:rsidP="00472480">
            <w:pPr>
              <w:pStyle w:val="142"/>
              <w:jc w:val="right"/>
              <w:rPr>
                <w:snapToGrid/>
              </w:rPr>
            </w:pPr>
            <w:r w:rsidRPr="00FF04A1">
              <w:t>0.25</w:t>
            </w:r>
          </w:p>
        </w:tc>
        <w:tc>
          <w:tcPr>
            <w:tcW w:w="1093" w:type="dxa"/>
            <w:shd w:val="clear" w:color="auto" w:fill="auto"/>
          </w:tcPr>
          <w:p w:rsidR="00F11FAA" w:rsidRPr="00472480" w:rsidRDefault="00F11FAA" w:rsidP="00472480">
            <w:pPr>
              <w:pStyle w:val="142"/>
              <w:jc w:val="right"/>
              <w:rPr>
                <w:snapToGrid/>
              </w:rPr>
            </w:pPr>
            <w:r w:rsidRPr="00FF04A1">
              <w:t>25.04</w:t>
            </w:r>
          </w:p>
        </w:tc>
      </w:tr>
      <w:tr w:rsidR="00F11FAA" w:rsidTr="00515ACB">
        <w:tc>
          <w:tcPr>
            <w:tcW w:w="1309" w:type="dxa"/>
            <w:vMerge/>
            <w:shd w:val="clear" w:color="auto" w:fill="auto"/>
            <w:vAlign w:val="center"/>
          </w:tcPr>
          <w:p w:rsidR="00F11FAA" w:rsidRPr="00472480" w:rsidRDefault="00F11FAA" w:rsidP="00472480">
            <w:pPr>
              <w:pStyle w:val="142"/>
              <w:jc w:val="center"/>
              <w:rPr>
                <w:snapToGrid/>
              </w:rPr>
            </w:pPr>
          </w:p>
        </w:tc>
        <w:tc>
          <w:tcPr>
            <w:tcW w:w="2072" w:type="dxa"/>
            <w:vMerge/>
            <w:shd w:val="clear" w:color="auto" w:fill="auto"/>
            <w:vAlign w:val="center"/>
          </w:tcPr>
          <w:p w:rsidR="00F11FAA" w:rsidRPr="00472480" w:rsidRDefault="00F11FAA" w:rsidP="00472480">
            <w:pPr>
              <w:pStyle w:val="142"/>
              <w:jc w:val="center"/>
              <w:rPr>
                <w:snapToGrid/>
              </w:rPr>
            </w:pPr>
          </w:p>
        </w:tc>
        <w:tc>
          <w:tcPr>
            <w:tcW w:w="1103" w:type="dxa"/>
            <w:vMerge/>
            <w:shd w:val="clear" w:color="auto" w:fill="auto"/>
            <w:vAlign w:val="center"/>
          </w:tcPr>
          <w:p w:rsidR="00F11FAA" w:rsidRPr="00472480" w:rsidRDefault="00F11FAA" w:rsidP="00472480">
            <w:pPr>
              <w:pStyle w:val="142"/>
              <w:jc w:val="right"/>
              <w:rPr>
                <w:snapToGrid/>
              </w:rPr>
            </w:pPr>
          </w:p>
        </w:tc>
        <w:tc>
          <w:tcPr>
            <w:tcW w:w="1233" w:type="dxa"/>
            <w:vMerge/>
            <w:shd w:val="clear" w:color="auto" w:fill="auto"/>
            <w:vAlign w:val="center"/>
          </w:tcPr>
          <w:p w:rsidR="00F11FAA" w:rsidRPr="00472480" w:rsidRDefault="00F11FAA" w:rsidP="00472480">
            <w:pPr>
              <w:pStyle w:val="142"/>
              <w:jc w:val="right"/>
              <w:rPr>
                <w:snapToGrid/>
              </w:rPr>
            </w:pPr>
          </w:p>
        </w:tc>
        <w:tc>
          <w:tcPr>
            <w:tcW w:w="1263" w:type="dxa"/>
            <w:shd w:val="clear" w:color="auto" w:fill="auto"/>
            <w:vAlign w:val="center"/>
          </w:tcPr>
          <w:p w:rsidR="00F11FAA" w:rsidRPr="00472480" w:rsidRDefault="00F11FAA" w:rsidP="00515ACB">
            <w:pPr>
              <w:pStyle w:val="142"/>
              <w:jc w:val="right"/>
              <w:rPr>
                <w:snapToGrid/>
              </w:rPr>
            </w:pPr>
            <w:r w:rsidRPr="00FF04A1">
              <w:t>0.25</w:t>
            </w:r>
          </w:p>
        </w:tc>
        <w:tc>
          <w:tcPr>
            <w:tcW w:w="1093" w:type="dxa"/>
            <w:shd w:val="clear" w:color="auto" w:fill="auto"/>
            <w:vAlign w:val="center"/>
          </w:tcPr>
          <w:p w:rsidR="00F11FAA" w:rsidRPr="00472480" w:rsidRDefault="00F11FAA" w:rsidP="00515ACB">
            <w:pPr>
              <w:pStyle w:val="142"/>
              <w:jc w:val="right"/>
              <w:rPr>
                <w:snapToGrid/>
              </w:rPr>
            </w:pPr>
            <w:r w:rsidRPr="00FF04A1">
              <w:t>23.36</w:t>
            </w:r>
          </w:p>
        </w:tc>
      </w:tr>
      <w:tr w:rsidR="00F11FAA" w:rsidTr="00515ACB">
        <w:tc>
          <w:tcPr>
            <w:tcW w:w="1309" w:type="dxa"/>
            <w:vMerge w:val="restart"/>
            <w:shd w:val="clear" w:color="auto" w:fill="auto"/>
            <w:vAlign w:val="center"/>
          </w:tcPr>
          <w:p w:rsidR="00F11FAA" w:rsidRPr="00472480" w:rsidRDefault="00F11FAA" w:rsidP="00472480">
            <w:pPr>
              <w:pStyle w:val="142"/>
              <w:jc w:val="center"/>
              <w:rPr>
                <w:snapToGrid/>
              </w:rPr>
            </w:pPr>
            <w:r w:rsidRPr="00472480">
              <w:rPr>
                <w:rFonts w:hint="eastAsia"/>
                <w:snapToGrid/>
              </w:rPr>
              <w:t>國外112-1全球被動股票型(相對報酬)</w:t>
            </w:r>
          </w:p>
        </w:tc>
        <w:tc>
          <w:tcPr>
            <w:tcW w:w="2072" w:type="dxa"/>
            <w:vMerge w:val="restart"/>
            <w:shd w:val="clear" w:color="auto" w:fill="auto"/>
            <w:vAlign w:val="center"/>
          </w:tcPr>
          <w:p w:rsidR="00F11FAA" w:rsidRPr="00472480" w:rsidRDefault="00F11FAA" w:rsidP="00515ACB">
            <w:pPr>
              <w:pStyle w:val="142"/>
              <w:jc w:val="right"/>
              <w:rPr>
                <w:snapToGrid/>
              </w:rPr>
            </w:pPr>
            <w:r w:rsidRPr="00B95E90">
              <w:t>MSCI ACWI</w:t>
            </w:r>
          </w:p>
        </w:tc>
        <w:tc>
          <w:tcPr>
            <w:tcW w:w="1103" w:type="dxa"/>
            <w:vMerge w:val="restart"/>
            <w:shd w:val="clear" w:color="auto" w:fill="auto"/>
            <w:vAlign w:val="center"/>
          </w:tcPr>
          <w:p w:rsidR="00F11FAA" w:rsidRPr="00472480" w:rsidRDefault="00F11FAA" w:rsidP="00515ACB">
            <w:pPr>
              <w:pStyle w:val="142"/>
              <w:jc w:val="right"/>
              <w:rPr>
                <w:snapToGrid/>
              </w:rPr>
            </w:pPr>
            <w:r w:rsidRPr="00B95E90">
              <w:t>-0.19</w:t>
            </w:r>
          </w:p>
        </w:tc>
        <w:tc>
          <w:tcPr>
            <w:tcW w:w="1233" w:type="dxa"/>
            <w:vMerge w:val="restart"/>
            <w:shd w:val="clear" w:color="auto" w:fill="auto"/>
            <w:vAlign w:val="center"/>
          </w:tcPr>
          <w:p w:rsidR="00F11FAA" w:rsidRPr="00472480" w:rsidRDefault="00F11FAA" w:rsidP="00515ACB">
            <w:pPr>
              <w:pStyle w:val="142"/>
              <w:jc w:val="right"/>
              <w:rPr>
                <w:snapToGrid/>
              </w:rPr>
            </w:pPr>
            <w:r w:rsidRPr="00472480">
              <w:rPr>
                <w:rFonts w:hint="eastAsia"/>
                <w:snapToGrid/>
              </w:rPr>
              <w:t>4</w:t>
            </w:r>
          </w:p>
        </w:tc>
        <w:tc>
          <w:tcPr>
            <w:tcW w:w="1263" w:type="dxa"/>
            <w:shd w:val="clear" w:color="auto" w:fill="auto"/>
            <w:vAlign w:val="center"/>
          </w:tcPr>
          <w:p w:rsidR="00F11FAA" w:rsidRPr="00472480" w:rsidRDefault="00F11FAA" w:rsidP="00515ACB">
            <w:pPr>
              <w:pStyle w:val="142"/>
              <w:jc w:val="right"/>
              <w:rPr>
                <w:snapToGrid/>
              </w:rPr>
            </w:pPr>
            <w:r w:rsidRPr="00450B73">
              <w:t>0.30</w:t>
            </w:r>
          </w:p>
        </w:tc>
        <w:tc>
          <w:tcPr>
            <w:tcW w:w="1093" w:type="dxa"/>
            <w:shd w:val="clear" w:color="auto" w:fill="auto"/>
            <w:vAlign w:val="center"/>
          </w:tcPr>
          <w:p w:rsidR="00F11FAA" w:rsidRPr="00472480" w:rsidRDefault="00F11FAA" w:rsidP="00515ACB">
            <w:pPr>
              <w:pStyle w:val="142"/>
              <w:jc w:val="right"/>
              <w:rPr>
                <w:snapToGrid/>
              </w:rPr>
            </w:pPr>
            <w:r w:rsidRPr="00450B73">
              <w:t>-0.22</w:t>
            </w:r>
          </w:p>
        </w:tc>
      </w:tr>
      <w:tr w:rsidR="00F11FAA" w:rsidTr="00515ACB">
        <w:tc>
          <w:tcPr>
            <w:tcW w:w="1309" w:type="dxa"/>
            <w:vMerge/>
            <w:shd w:val="clear" w:color="auto" w:fill="auto"/>
            <w:vAlign w:val="center"/>
          </w:tcPr>
          <w:p w:rsidR="00F11FAA" w:rsidRPr="00472480" w:rsidRDefault="00F11FAA" w:rsidP="00472480">
            <w:pPr>
              <w:pStyle w:val="142"/>
              <w:jc w:val="center"/>
              <w:rPr>
                <w:snapToGrid/>
              </w:rPr>
            </w:pPr>
          </w:p>
        </w:tc>
        <w:tc>
          <w:tcPr>
            <w:tcW w:w="2072" w:type="dxa"/>
            <w:vMerge/>
            <w:shd w:val="clear" w:color="auto" w:fill="auto"/>
            <w:vAlign w:val="center"/>
          </w:tcPr>
          <w:p w:rsidR="00F11FAA" w:rsidRPr="00472480" w:rsidRDefault="00F11FAA" w:rsidP="00515ACB">
            <w:pPr>
              <w:pStyle w:val="142"/>
              <w:jc w:val="right"/>
              <w:rPr>
                <w:snapToGrid/>
              </w:rPr>
            </w:pPr>
          </w:p>
        </w:tc>
        <w:tc>
          <w:tcPr>
            <w:tcW w:w="1103" w:type="dxa"/>
            <w:vMerge/>
            <w:shd w:val="clear" w:color="auto" w:fill="auto"/>
            <w:vAlign w:val="center"/>
          </w:tcPr>
          <w:p w:rsidR="00F11FAA" w:rsidRPr="00472480" w:rsidRDefault="00F11FAA" w:rsidP="00515ACB">
            <w:pPr>
              <w:pStyle w:val="142"/>
              <w:jc w:val="right"/>
              <w:rPr>
                <w:snapToGrid/>
              </w:rPr>
            </w:pPr>
          </w:p>
        </w:tc>
        <w:tc>
          <w:tcPr>
            <w:tcW w:w="1233" w:type="dxa"/>
            <w:vMerge/>
            <w:shd w:val="clear" w:color="auto" w:fill="auto"/>
            <w:vAlign w:val="center"/>
          </w:tcPr>
          <w:p w:rsidR="00F11FAA" w:rsidRPr="00472480" w:rsidRDefault="00F11FAA" w:rsidP="00515ACB">
            <w:pPr>
              <w:pStyle w:val="142"/>
              <w:jc w:val="right"/>
              <w:rPr>
                <w:snapToGrid/>
              </w:rPr>
            </w:pPr>
          </w:p>
        </w:tc>
        <w:tc>
          <w:tcPr>
            <w:tcW w:w="1263" w:type="dxa"/>
            <w:shd w:val="clear" w:color="auto" w:fill="auto"/>
            <w:vAlign w:val="center"/>
          </w:tcPr>
          <w:p w:rsidR="00F11FAA" w:rsidRPr="00472480" w:rsidRDefault="00F11FAA" w:rsidP="00515ACB">
            <w:pPr>
              <w:pStyle w:val="142"/>
              <w:jc w:val="right"/>
              <w:rPr>
                <w:snapToGrid/>
              </w:rPr>
            </w:pPr>
            <w:r w:rsidRPr="00450B73">
              <w:t>0.30</w:t>
            </w:r>
          </w:p>
        </w:tc>
        <w:tc>
          <w:tcPr>
            <w:tcW w:w="1093" w:type="dxa"/>
            <w:shd w:val="clear" w:color="auto" w:fill="auto"/>
            <w:vAlign w:val="center"/>
          </w:tcPr>
          <w:p w:rsidR="00F11FAA" w:rsidRPr="00472480" w:rsidRDefault="00F11FAA" w:rsidP="00515ACB">
            <w:pPr>
              <w:pStyle w:val="142"/>
              <w:jc w:val="right"/>
              <w:rPr>
                <w:snapToGrid/>
              </w:rPr>
            </w:pPr>
            <w:r w:rsidRPr="00450B73">
              <w:t>-0.23</w:t>
            </w:r>
          </w:p>
        </w:tc>
      </w:tr>
      <w:tr w:rsidR="00F11FAA" w:rsidTr="00515ACB">
        <w:tc>
          <w:tcPr>
            <w:tcW w:w="1309" w:type="dxa"/>
            <w:vMerge/>
            <w:shd w:val="clear" w:color="auto" w:fill="auto"/>
            <w:vAlign w:val="center"/>
          </w:tcPr>
          <w:p w:rsidR="00F11FAA" w:rsidRPr="00472480" w:rsidRDefault="00F11FAA" w:rsidP="00472480">
            <w:pPr>
              <w:pStyle w:val="142"/>
              <w:jc w:val="center"/>
              <w:rPr>
                <w:snapToGrid/>
              </w:rPr>
            </w:pPr>
          </w:p>
        </w:tc>
        <w:tc>
          <w:tcPr>
            <w:tcW w:w="2072" w:type="dxa"/>
            <w:vMerge/>
            <w:shd w:val="clear" w:color="auto" w:fill="auto"/>
            <w:vAlign w:val="center"/>
          </w:tcPr>
          <w:p w:rsidR="00F11FAA" w:rsidRPr="00472480" w:rsidRDefault="00F11FAA" w:rsidP="00515ACB">
            <w:pPr>
              <w:pStyle w:val="142"/>
              <w:jc w:val="right"/>
              <w:rPr>
                <w:snapToGrid/>
              </w:rPr>
            </w:pPr>
          </w:p>
        </w:tc>
        <w:tc>
          <w:tcPr>
            <w:tcW w:w="1103" w:type="dxa"/>
            <w:vMerge/>
            <w:shd w:val="clear" w:color="auto" w:fill="auto"/>
            <w:vAlign w:val="center"/>
          </w:tcPr>
          <w:p w:rsidR="00F11FAA" w:rsidRPr="00472480" w:rsidRDefault="00F11FAA" w:rsidP="00515ACB">
            <w:pPr>
              <w:pStyle w:val="142"/>
              <w:jc w:val="right"/>
              <w:rPr>
                <w:snapToGrid/>
              </w:rPr>
            </w:pPr>
          </w:p>
        </w:tc>
        <w:tc>
          <w:tcPr>
            <w:tcW w:w="1233" w:type="dxa"/>
            <w:vMerge/>
            <w:shd w:val="clear" w:color="auto" w:fill="auto"/>
            <w:vAlign w:val="center"/>
          </w:tcPr>
          <w:p w:rsidR="00F11FAA" w:rsidRPr="00472480" w:rsidRDefault="00F11FAA" w:rsidP="00515ACB">
            <w:pPr>
              <w:pStyle w:val="142"/>
              <w:jc w:val="right"/>
              <w:rPr>
                <w:snapToGrid/>
              </w:rPr>
            </w:pPr>
          </w:p>
        </w:tc>
        <w:tc>
          <w:tcPr>
            <w:tcW w:w="1263" w:type="dxa"/>
            <w:shd w:val="clear" w:color="auto" w:fill="auto"/>
            <w:vAlign w:val="center"/>
          </w:tcPr>
          <w:p w:rsidR="00F11FAA" w:rsidRPr="00472480" w:rsidRDefault="00F11FAA" w:rsidP="00515ACB">
            <w:pPr>
              <w:pStyle w:val="142"/>
              <w:jc w:val="right"/>
              <w:rPr>
                <w:snapToGrid/>
              </w:rPr>
            </w:pPr>
            <w:r w:rsidRPr="00450B73">
              <w:t>0.30</w:t>
            </w:r>
          </w:p>
        </w:tc>
        <w:tc>
          <w:tcPr>
            <w:tcW w:w="1093" w:type="dxa"/>
            <w:shd w:val="clear" w:color="auto" w:fill="auto"/>
            <w:vAlign w:val="center"/>
          </w:tcPr>
          <w:p w:rsidR="00F11FAA" w:rsidRPr="00472480" w:rsidRDefault="00F11FAA" w:rsidP="00515ACB">
            <w:pPr>
              <w:pStyle w:val="142"/>
              <w:jc w:val="right"/>
              <w:rPr>
                <w:snapToGrid/>
              </w:rPr>
            </w:pPr>
            <w:r w:rsidRPr="00450B73">
              <w:t>-0.23</w:t>
            </w:r>
          </w:p>
        </w:tc>
      </w:tr>
      <w:tr w:rsidR="00F11FAA" w:rsidTr="00515ACB">
        <w:tc>
          <w:tcPr>
            <w:tcW w:w="1309" w:type="dxa"/>
            <w:vMerge/>
            <w:shd w:val="clear" w:color="auto" w:fill="auto"/>
            <w:vAlign w:val="center"/>
          </w:tcPr>
          <w:p w:rsidR="00F11FAA" w:rsidRPr="00472480" w:rsidRDefault="00F11FAA" w:rsidP="00472480">
            <w:pPr>
              <w:pStyle w:val="142"/>
              <w:jc w:val="center"/>
              <w:rPr>
                <w:snapToGrid/>
              </w:rPr>
            </w:pPr>
          </w:p>
        </w:tc>
        <w:tc>
          <w:tcPr>
            <w:tcW w:w="2072" w:type="dxa"/>
            <w:vMerge/>
            <w:shd w:val="clear" w:color="auto" w:fill="auto"/>
            <w:vAlign w:val="center"/>
          </w:tcPr>
          <w:p w:rsidR="00F11FAA" w:rsidRPr="00472480" w:rsidRDefault="00F11FAA" w:rsidP="00515ACB">
            <w:pPr>
              <w:pStyle w:val="142"/>
              <w:jc w:val="right"/>
              <w:rPr>
                <w:snapToGrid/>
              </w:rPr>
            </w:pPr>
          </w:p>
        </w:tc>
        <w:tc>
          <w:tcPr>
            <w:tcW w:w="1103" w:type="dxa"/>
            <w:vMerge/>
            <w:shd w:val="clear" w:color="auto" w:fill="auto"/>
            <w:vAlign w:val="center"/>
          </w:tcPr>
          <w:p w:rsidR="00F11FAA" w:rsidRPr="00472480" w:rsidRDefault="00F11FAA" w:rsidP="00515ACB">
            <w:pPr>
              <w:pStyle w:val="142"/>
              <w:jc w:val="right"/>
              <w:rPr>
                <w:snapToGrid/>
              </w:rPr>
            </w:pPr>
          </w:p>
        </w:tc>
        <w:tc>
          <w:tcPr>
            <w:tcW w:w="1233" w:type="dxa"/>
            <w:vMerge/>
            <w:shd w:val="clear" w:color="auto" w:fill="auto"/>
            <w:vAlign w:val="center"/>
          </w:tcPr>
          <w:p w:rsidR="00F11FAA" w:rsidRPr="00472480" w:rsidRDefault="00F11FAA" w:rsidP="00515ACB">
            <w:pPr>
              <w:pStyle w:val="142"/>
              <w:jc w:val="right"/>
              <w:rPr>
                <w:snapToGrid/>
              </w:rPr>
            </w:pPr>
          </w:p>
        </w:tc>
        <w:tc>
          <w:tcPr>
            <w:tcW w:w="1263" w:type="dxa"/>
            <w:shd w:val="clear" w:color="auto" w:fill="auto"/>
            <w:vAlign w:val="center"/>
          </w:tcPr>
          <w:p w:rsidR="00F11FAA" w:rsidRPr="00472480" w:rsidRDefault="00F11FAA" w:rsidP="00515ACB">
            <w:pPr>
              <w:pStyle w:val="142"/>
              <w:jc w:val="right"/>
              <w:rPr>
                <w:snapToGrid/>
              </w:rPr>
            </w:pPr>
            <w:r w:rsidRPr="00450B73">
              <w:t>0.30</w:t>
            </w:r>
          </w:p>
        </w:tc>
        <w:tc>
          <w:tcPr>
            <w:tcW w:w="1093" w:type="dxa"/>
            <w:shd w:val="clear" w:color="auto" w:fill="auto"/>
            <w:vAlign w:val="center"/>
          </w:tcPr>
          <w:p w:rsidR="00F11FAA" w:rsidRPr="00472480" w:rsidRDefault="00F11FAA" w:rsidP="00515ACB">
            <w:pPr>
              <w:pStyle w:val="142"/>
              <w:jc w:val="right"/>
              <w:rPr>
                <w:snapToGrid/>
              </w:rPr>
            </w:pPr>
            <w:r w:rsidRPr="00450B73">
              <w:t>-0.23</w:t>
            </w:r>
          </w:p>
        </w:tc>
      </w:tr>
    </w:tbl>
    <w:p w:rsidR="00C91ED0" w:rsidRDefault="002571A6" w:rsidP="00247FE8">
      <w:pPr>
        <w:pStyle w:val="142"/>
        <w:ind w:left="647" w:hanging="647"/>
        <w:rPr>
          <w:snapToGrid/>
        </w:rPr>
      </w:pPr>
      <w:r>
        <w:rPr>
          <w:rFonts w:hint="eastAsia"/>
          <w:snapToGrid/>
        </w:rPr>
        <w:t xml:space="preserve">    </w:t>
      </w:r>
      <w:r w:rsidR="00C91ED0">
        <w:rPr>
          <w:rFonts w:hint="eastAsia"/>
          <w:snapToGrid/>
        </w:rPr>
        <w:t>說    明</w:t>
      </w:r>
      <w:r w:rsidR="00C91ED0">
        <w:rPr>
          <w:rFonts w:ascii="新細明體" w:eastAsia="新細明體" w:hAnsi="新細明體" w:hint="eastAsia"/>
          <w:snapToGrid/>
        </w:rPr>
        <w:t>：</w:t>
      </w:r>
      <w:r w:rsidR="00C91ED0">
        <w:rPr>
          <w:rFonts w:hint="eastAsia"/>
          <w:snapToGrid/>
        </w:rPr>
        <w:t>表內投資標的類型屬國外者</w:t>
      </w:r>
      <w:r w:rsidR="00926EEE">
        <w:rPr>
          <w:rFonts w:hAnsi="標楷體" w:hint="eastAsia"/>
          <w:snapToGrid/>
        </w:rPr>
        <w:t>，</w:t>
      </w:r>
      <w:r w:rsidR="00926EEE">
        <w:rPr>
          <w:rFonts w:hint="eastAsia"/>
          <w:snapToGrid/>
        </w:rPr>
        <w:t>淨資產總額單位均為億美元</w:t>
      </w:r>
      <w:r w:rsidR="00926EEE">
        <w:rPr>
          <w:rFonts w:hAnsi="標楷體" w:hint="eastAsia"/>
          <w:snapToGrid/>
        </w:rPr>
        <w:t>。</w:t>
      </w:r>
    </w:p>
    <w:p w:rsidR="00247FE8" w:rsidRDefault="00C91ED0" w:rsidP="00247FE8">
      <w:pPr>
        <w:pStyle w:val="142"/>
        <w:ind w:left="647" w:hanging="647"/>
        <w:rPr>
          <w:snapToGrid/>
        </w:rPr>
      </w:pPr>
      <w:r>
        <w:rPr>
          <w:rFonts w:hint="eastAsia"/>
          <w:snapToGrid/>
        </w:rPr>
        <w:t xml:space="preserve">    </w:t>
      </w:r>
      <w:r w:rsidR="00247FE8" w:rsidRPr="00A100BD">
        <w:rPr>
          <w:rFonts w:hint="eastAsia"/>
          <w:snapToGrid/>
        </w:rPr>
        <w:t>資料來源</w:t>
      </w:r>
      <w:r w:rsidR="00247FE8">
        <w:rPr>
          <w:rFonts w:hint="eastAsia"/>
          <w:snapToGrid/>
          <w:lang w:eastAsia="zh-HK"/>
        </w:rPr>
        <w:t>：</w:t>
      </w:r>
      <w:r w:rsidR="00247FE8">
        <w:rPr>
          <w:rFonts w:hint="eastAsia"/>
          <w:snapToGrid/>
        </w:rPr>
        <w:t>國保基金</w:t>
      </w:r>
      <w:r w:rsidR="00F11FAA">
        <w:rPr>
          <w:rFonts w:hint="eastAsia"/>
          <w:snapToGrid/>
        </w:rPr>
        <w:t>提供</w:t>
      </w:r>
      <w:r w:rsidR="00247FE8" w:rsidRPr="00A100BD">
        <w:rPr>
          <w:rFonts w:hint="eastAsia"/>
          <w:snapToGrid/>
        </w:rPr>
        <w:t>。</w:t>
      </w:r>
    </w:p>
    <w:bookmarkEnd w:id="1"/>
    <w:bookmarkEnd w:id="2"/>
    <w:bookmarkEnd w:id="3"/>
    <w:bookmarkEnd w:id="4"/>
    <w:sectPr w:rsidR="00247FE8" w:rsidSect="00D332A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655B7" w:rsidRDefault="00E655B7" w:rsidP="002C78D6">
      <w:pPr>
        <w:spacing w:line="240" w:lineRule="auto"/>
        <w:ind w:left="560" w:firstLine="560"/>
      </w:pPr>
      <w:r>
        <w:separator/>
      </w:r>
    </w:p>
  </w:endnote>
  <w:endnote w:type="continuationSeparator" w:id="0">
    <w:p w:rsidR="00E655B7" w:rsidRDefault="00E655B7"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ind w:left="560" w:firstLine="560"/>
    </w:pPr>
    <w:r>
      <w:separator/>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D332AA">
    <w:pPr>
      <w:pStyle w:val="ad"/>
      <w:spacing w:line="280" w:lineRule="exact"/>
      <w:ind w:leftChars="0" w:left="0" w:firstLineChars="0" w:firstLine="0"/>
      <w:jc w:val="center"/>
    </w:pPr>
    <w:r>
      <w:fldChar w:fldCharType="begin"/>
    </w:r>
    <w:r>
      <w:instrText>PAGE   \* MERGEFORMAT</w:instrText>
    </w:r>
    <w:r>
      <w:fldChar w:fldCharType="separate"/>
    </w:r>
    <w:r w:rsidR="00C11357" w:rsidRPr="00C11357">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655B7" w:rsidRDefault="00E655B7" w:rsidP="00B77EE4">
      <w:pPr>
        <w:spacing w:line="240" w:lineRule="auto"/>
        <w:ind w:left="560" w:firstLine="560"/>
      </w:pPr>
      <w:r>
        <w:separator/>
      </w:r>
    </w:p>
  </w:footnote>
  <w:footnote w:type="continuationSeparator" w:id="0">
    <w:p w:rsidR="00E655B7" w:rsidRDefault="00E655B7" w:rsidP="002C78D6">
      <w:pPr>
        <w:spacing w:line="240" w:lineRule="auto"/>
        <w:ind w:left="560" w:firstLine="560"/>
      </w:pPr>
      <w:r>
        <w:continuationSeparator/>
      </w:r>
    </w:p>
  </w:footnote>
  <w:footnote w:id="1">
    <w:p w:rsidR="00A65B75" w:rsidRPr="00A65B75" w:rsidRDefault="00A65B75" w:rsidP="00A65B75">
      <w:pPr>
        <w:pStyle w:val="af0"/>
        <w:spacing w:line="280" w:lineRule="exact"/>
        <w:ind w:leftChars="0" w:left="219" w:hangingChars="90" w:hanging="219"/>
        <w:rPr>
          <w:rFonts w:hint="eastAsia"/>
          <w:sz w:val="24"/>
          <w:szCs w:val="24"/>
        </w:rPr>
      </w:pPr>
      <w:r w:rsidRPr="00A65B75">
        <w:rPr>
          <w:rStyle w:val="af2"/>
          <w:sz w:val="24"/>
          <w:szCs w:val="24"/>
        </w:rPr>
        <w:footnoteRef/>
      </w:r>
      <w:r w:rsidRPr="00A65B75">
        <w:rPr>
          <w:sz w:val="24"/>
          <w:szCs w:val="24"/>
        </w:rPr>
        <w:t xml:space="preserve"> </w:t>
      </w:r>
      <w:r>
        <w:rPr>
          <w:rFonts w:hint="eastAsia"/>
          <w:sz w:val="24"/>
          <w:szCs w:val="24"/>
        </w:rPr>
        <w:t>國保基金113年截至6月底投資配置如下</w:t>
      </w:r>
      <w:r>
        <w:rPr>
          <w:rFonts w:ascii="新細明體" w:eastAsia="新細明體" w:hAnsi="新細明體" w:hint="eastAsia"/>
          <w:sz w:val="24"/>
          <w:szCs w:val="24"/>
        </w:rPr>
        <w:t>：</w:t>
      </w:r>
      <w:r>
        <w:rPr>
          <w:rFonts w:hint="eastAsia"/>
          <w:sz w:val="24"/>
          <w:szCs w:val="24"/>
        </w:rPr>
        <w:t>銀行存款603億4</w:t>
      </w:r>
      <w:r>
        <w:rPr>
          <w:sz w:val="24"/>
          <w:szCs w:val="24"/>
        </w:rPr>
        <w:t>,</w:t>
      </w:r>
      <w:r>
        <w:rPr>
          <w:rFonts w:hint="eastAsia"/>
          <w:sz w:val="24"/>
          <w:szCs w:val="24"/>
        </w:rPr>
        <w:t>400萬元</w:t>
      </w:r>
      <w:r>
        <w:rPr>
          <w:rFonts w:hAnsi="標楷體" w:hint="eastAsia"/>
          <w:sz w:val="24"/>
          <w:szCs w:val="24"/>
        </w:rPr>
        <w:t>、</w:t>
      </w:r>
      <w:r>
        <w:rPr>
          <w:rFonts w:hint="eastAsia"/>
          <w:sz w:val="24"/>
          <w:szCs w:val="24"/>
        </w:rPr>
        <w:t>政策性貸款97億8</w:t>
      </w:r>
      <w:r>
        <w:rPr>
          <w:sz w:val="24"/>
          <w:szCs w:val="24"/>
        </w:rPr>
        <w:t>,</w:t>
      </w:r>
      <w:r>
        <w:rPr>
          <w:rFonts w:hint="eastAsia"/>
          <w:sz w:val="24"/>
          <w:szCs w:val="24"/>
        </w:rPr>
        <w:t>500萬元</w:t>
      </w:r>
      <w:r>
        <w:rPr>
          <w:rFonts w:hAnsi="標楷體" w:hint="eastAsia"/>
          <w:sz w:val="24"/>
          <w:szCs w:val="24"/>
        </w:rPr>
        <w:t>、</w:t>
      </w:r>
      <w:r>
        <w:rPr>
          <w:rFonts w:hint="eastAsia"/>
          <w:sz w:val="24"/>
          <w:szCs w:val="24"/>
        </w:rPr>
        <w:t>國內債務證券635億7</w:t>
      </w:r>
      <w:r>
        <w:rPr>
          <w:sz w:val="24"/>
          <w:szCs w:val="24"/>
        </w:rPr>
        <w:t>,</w:t>
      </w:r>
      <w:r>
        <w:rPr>
          <w:rFonts w:hint="eastAsia"/>
          <w:sz w:val="24"/>
          <w:szCs w:val="24"/>
        </w:rPr>
        <w:t>000萬元</w:t>
      </w:r>
      <w:r>
        <w:rPr>
          <w:rFonts w:hAnsi="標楷體" w:hint="eastAsia"/>
          <w:sz w:val="24"/>
          <w:szCs w:val="24"/>
        </w:rPr>
        <w:t>、</w:t>
      </w:r>
      <w:r>
        <w:rPr>
          <w:rFonts w:hint="eastAsia"/>
          <w:sz w:val="24"/>
          <w:szCs w:val="24"/>
        </w:rPr>
        <w:t>國內權益證券(自營)1</w:t>
      </w:r>
      <w:r>
        <w:rPr>
          <w:sz w:val="24"/>
          <w:szCs w:val="24"/>
        </w:rPr>
        <w:t>,</w:t>
      </w:r>
      <w:r>
        <w:rPr>
          <w:rFonts w:hint="eastAsia"/>
          <w:sz w:val="24"/>
          <w:szCs w:val="24"/>
        </w:rPr>
        <w:t>141億6</w:t>
      </w:r>
      <w:r>
        <w:rPr>
          <w:sz w:val="24"/>
          <w:szCs w:val="24"/>
        </w:rPr>
        <w:t>,300</w:t>
      </w:r>
      <w:r>
        <w:rPr>
          <w:rFonts w:hint="eastAsia"/>
          <w:sz w:val="24"/>
          <w:szCs w:val="24"/>
        </w:rPr>
        <w:t>萬元</w:t>
      </w:r>
      <w:r>
        <w:rPr>
          <w:rFonts w:hAnsi="標楷體" w:hint="eastAsia"/>
          <w:sz w:val="24"/>
          <w:szCs w:val="24"/>
        </w:rPr>
        <w:t>、</w:t>
      </w:r>
      <w:r>
        <w:rPr>
          <w:rFonts w:hint="eastAsia"/>
          <w:sz w:val="24"/>
          <w:szCs w:val="24"/>
        </w:rPr>
        <w:t>國內權益證券(委營)385億5</w:t>
      </w:r>
      <w:r>
        <w:rPr>
          <w:sz w:val="24"/>
          <w:szCs w:val="24"/>
        </w:rPr>
        <w:t>,</w:t>
      </w:r>
      <w:r>
        <w:rPr>
          <w:rFonts w:hint="eastAsia"/>
          <w:sz w:val="24"/>
          <w:szCs w:val="24"/>
        </w:rPr>
        <w:t>100萬元</w:t>
      </w:r>
      <w:r>
        <w:rPr>
          <w:rFonts w:hAnsi="標楷體" w:hint="eastAsia"/>
          <w:sz w:val="24"/>
          <w:szCs w:val="24"/>
        </w:rPr>
        <w:t>、</w:t>
      </w:r>
      <w:r>
        <w:rPr>
          <w:rFonts w:hint="eastAsia"/>
          <w:sz w:val="24"/>
          <w:szCs w:val="24"/>
        </w:rPr>
        <w:t>國外債務證券(自營)</w:t>
      </w:r>
      <w:r w:rsidR="00FE4AE8">
        <w:rPr>
          <w:rFonts w:hint="eastAsia"/>
          <w:sz w:val="24"/>
          <w:szCs w:val="24"/>
        </w:rPr>
        <w:t>814億2</w:t>
      </w:r>
      <w:r w:rsidR="00FE4AE8">
        <w:rPr>
          <w:sz w:val="24"/>
          <w:szCs w:val="24"/>
        </w:rPr>
        <w:t>,</w:t>
      </w:r>
      <w:r w:rsidR="00FE4AE8">
        <w:rPr>
          <w:rFonts w:hint="eastAsia"/>
          <w:sz w:val="24"/>
          <w:szCs w:val="24"/>
        </w:rPr>
        <w:t>300萬元</w:t>
      </w:r>
      <w:r w:rsidR="00FE4AE8">
        <w:rPr>
          <w:rFonts w:hAnsi="標楷體" w:hint="eastAsia"/>
          <w:sz w:val="24"/>
          <w:szCs w:val="24"/>
        </w:rPr>
        <w:t>、</w:t>
      </w:r>
      <w:r w:rsidR="00FE4AE8">
        <w:rPr>
          <w:rFonts w:hint="eastAsia"/>
          <w:sz w:val="24"/>
          <w:szCs w:val="24"/>
        </w:rPr>
        <w:t>國外債務證券(委營)392億6</w:t>
      </w:r>
      <w:r w:rsidR="00FE4AE8">
        <w:rPr>
          <w:sz w:val="24"/>
          <w:szCs w:val="24"/>
        </w:rPr>
        <w:t>,</w:t>
      </w:r>
      <w:r w:rsidR="00FE4AE8">
        <w:rPr>
          <w:rFonts w:hint="eastAsia"/>
          <w:sz w:val="24"/>
          <w:szCs w:val="24"/>
        </w:rPr>
        <w:t>400萬元</w:t>
      </w:r>
      <w:r w:rsidR="00FE4AE8">
        <w:rPr>
          <w:rFonts w:hAnsi="標楷體" w:hint="eastAsia"/>
          <w:sz w:val="24"/>
          <w:szCs w:val="24"/>
        </w:rPr>
        <w:t>、</w:t>
      </w:r>
      <w:r w:rsidR="00FE4AE8">
        <w:rPr>
          <w:rFonts w:hint="eastAsia"/>
          <w:sz w:val="24"/>
          <w:szCs w:val="24"/>
        </w:rPr>
        <w:t>國外權益證券(自營)404億2</w:t>
      </w:r>
      <w:r w:rsidR="00FE4AE8">
        <w:rPr>
          <w:sz w:val="24"/>
          <w:szCs w:val="24"/>
        </w:rPr>
        <w:t>,</w:t>
      </w:r>
      <w:r w:rsidR="00FE4AE8">
        <w:rPr>
          <w:rFonts w:hint="eastAsia"/>
          <w:sz w:val="24"/>
          <w:szCs w:val="24"/>
        </w:rPr>
        <w:t>200萬元</w:t>
      </w:r>
      <w:r w:rsidR="00FE4AE8">
        <w:rPr>
          <w:rFonts w:hAnsi="標楷體" w:hint="eastAsia"/>
          <w:sz w:val="24"/>
          <w:szCs w:val="24"/>
        </w:rPr>
        <w:t>、</w:t>
      </w:r>
      <w:r w:rsidR="00FE4AE8" w:rsidRPr="00FE4AE8">
        <w:rPr>
          <w:rFonts w:hAnsi="標楷體" w:hint="eastAsia"/>
          <w:sz w:val="24"/>
          <w:szCs w:val="24"/>
        </w:rPr>
        <w:t>國外權益證券(</w:t>
      </w:r>
      <w:r w:rsidR="00FE4AE8">
        <w:rPr>
          <w:rFonts w:hAnsi="標楷體" w:hint="eastAsia"/>
          <w:sz w:val="24"/>
          <w:szCs w:val="24"/>
        </w:rPr>
        <w:t>委</w:t>
      </w:r>
      <w:r w:rsidR="00FE4AE8" w:rsidRPr="00FE4AE8">
        <w:rPr>
          <w:rFonts w:hAnsi="標楷體" w:hint="eastAsia"/>
          <w:sz w:val="24"/>
          <w:szCs w:val="24"/>
        </w:rPr>
        <w:t>營)</w:t>
      </w:r>
      <w:r w:rsidR="00FE4AE8">
        <w:rPr>
          <w:rFonts w:hAnsi="標楷體" w:hint="eastAsia"/>
          <w:sz w:val="24"/>
          <w:szCs w:val="24"/>
        </w:rPr>
        <w:t>1</w:t>
      </w:r>
      <w:r w:rsidR="00FE4AE8">
        <w:rPr>
          <w:rFonts w:hAnsi="標楷體"/>
          <w:sz w:val="24"/>
          <w:szCs w:val="24"/>
        </w:rPr>
        <w:t>,</w:t>
      </w:r>
      <w:r w:rsidR="00FE4AE8">
        <w:rPr>
          <w:rFonts w:hAnsi="標楷體" w:hint="eastAsia"/>
          <w:sz w:val="24"/>
          <w:szCs w:val="24"/>
        </w:rPr>
        <w:t>088億4</w:t>
      </w:r>
      <w:r w:rsidR="00FE4AE8">
        <w:rPr>
          <w:rFonts w:hAnsi="標楷體"/>
          <w:sz w:val="24"/>
          <w:szCs w:val="24"/>
        </w:rPr>
        <w:t>,</w:t>
      </w:r>
      <w:r w:rsidR="00FE4AE8">
        <w:rPr>
          <w:rFonts w:hAnsi="標楷體" w:hint="eastAsia"/>
          <w:sz w:val="24"/>
          <w:szCs w:val="24"/>
        </w:rPr>
        <w:t>800萬元、國外另類投資(自營)196億7</w:t>
      </w:r>
      <w:r w:rsidR="00FE4AE8">
        <w:rPr>
          <w:rFonts w:hAnsi="標楷體"/>
          <w:sz w:val="24"/>
          <w:szCs w:val="24"/>
        </w:rPr>
        <w:t>,</w:t>
      </w:r>
      <w:r w:rsidR="00FE4AE8">
        <w:rPr>
          <w:rFonts w:hAnsi="標楷體" w:hint="eastAsia"/>
          <w:sz w:val="24"/>
          <w:szCs w:val="24"/>
        </w:rPr>
        <w:t>600萬元、</w:t>
      </w:r>
      <w:r w:rsidR="00FE4AE8" w:rsidRPr="00FE4AE8">
        <w:rPr>
          <w:rFonts w:hAnsi="標楷體" w:hint="eastAsia"/>
          <w:sz w:val="24"/>
          <w:szCs w:val="24"/>
        </w:rPr>
        <w:t>國外另類投資(</w:t>
      </w:r>
      <w:r w:rsidR="00FE4AE8">
        <w:rPr>
          <w:rFonts w:hAnsi="標楷體" w:hint="eastAsia"/>
          <w:sz w:val="24"/>
          <w:szCs w:val="24"/>
        </w:rPr>
        <w:t>委</w:t>
      </w:r>
      <w:r w:rsidR="00FE4AE8" w:rsidRPr="00FE4AE8">
        <w:rPr>
          <w:rFonts w:hAnsi="標楷體" w:hint="eastAsia"/>
          <w:sz w:val="24"/>
          <w:szCs w:val="24"/>
        </w:rPr>
        <w:t>營)</w:t>
      </w:r>
      <w:r w:rsidR="00FE4AE8">
        <w:rPr>
          <w:rFonts w:hAnsi="標楷體" w:hint="eastAsia"/>
          <w:sz w:val="24"/>
          <w:szCs w:val="24"/>
        </w:rPr>
        <w:t>259億3</w:t>
      </w:r>
      <w:r w:rsidR="00FE4AE8">
        <w:rPr>
          <w:rFonts w:hAnsi="標楷體"/>
          <w:sz w:val="24"/>
          <w:szCs w:val="24"/>
        </w:rPr>
        <w:t>,</w:t>
      </w:r>
      <w:r w:rsidR="00FE4AE8">
        <w:rPr>
          <w:rFonts w:hAnsi="標楷體" w:hint="eastAsia"/>
          <w:sz w:val="24"/>
          <w:szCs w:val="24"/>
        </w:rPr>
        <w:t>600萬元，合計6</w:t>
      </w:r>
      <w:r w:rsidR="00FE4AE8">
        <w:rPr>
          <w:rFonts w:hAnsi="標楷體"/>
          <w:sz w:val="24"/>
          <w:szCs w:val="24"/>
        </w:rPr>
        <w:t>,</w:t>
      </w:r>
      <w:r w:rsidR="00FE4AE8">
        <w:rPr>
          <w:rFonts w:hAnsi="標楷體" w:hint="eastAsia"/>
          <w:sz w:val="24"/>
          <w:szCs w:val="24"/>
        </w:rPr>
        <w:t>019億8</w:t>
      </w:r>
      <w:r w:rsidR="00FE4AE8">
        <w:rPr>
          <w:rFonts w:hAnsi="標楷體"/>
          <w:sz w:val="24"/>
          <w:szCs w:val="24"/>
        </w:rPr>
        <w:t>,</w:t>
      </w:r>
      <w:r w:rsidR="00FE4AE8">
        <w:rPr>
          <w:rFonts w:hAnsi="標楷體" w:hint="eastAsia"/>
          <w:sz w:val="24"/>
          <w:szCs w:val="24"/>
        </w:rPr>
        <w:t>200萬元。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20223" w:rsidRDefault="00F20223" w:rsidP="00595691">
    <w:pPr>
      <w:spacing w:line="240" w:lineRule="auto"/>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03466"/>
    <w:multiLevelType w:val="hybridMultilevel"/>
    <w:tmpl w:val="D37A853E"/>
    <w:lvl w:ilvl="0" w:tplc="415AACD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6EF3F15"/>
    <w:multiLevelType w:val="hybridMultilevel"/>
    <w:tmpl w:val="4124693E"/>
    <w:lvl w:ilvl="0" w:tplc="12746A6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09106592"/>
    <w:multiLevelType w:val="hybridMultilevel"/>
    <w:tmpl w:val="56580964"/>
    <w:lvl w:ilvl="0" w:tplc="C77C896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092B6F3C"/>
    <w:multiLevelType w:val="hybridMultilevel"/>
    <w:tmpl w:val="D26AD97C"/>
    <w:lvl w:ilvl="0" w:tplc="BE02F29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0AAD4832"/>
    <w:multiLevelType w:val="hybridMultilevel"/>
    <w:tmpl w:val="8F1816D2"/>
    <w:lvl w:ilvl="0" w:tplc="D9400998">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5" w15:restartNumberingAfterBreak="0">
    <w:nsid w:val="0B683799"/>
    <w:multiLevelType w:val="hybridMultilevel"/>
    <w:tmpl w:val="01E28EA6"/>
    <w:lvl w:ilvl="0" w:tplc="7DEE911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0D7F7BC9"/>
    <w:multiLevelType w:val="hybridMultilevel"/>
    <w:tmpl w:val="D50A7AC6"/>
    <w:lvl w:ilvl="0" w:tplc="4B84832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7" w15:restartNumberingAfterBreak="0">
    <w:nsid w:val="0E3F441E"/>
    <w:multiLevelType w:val="hybridMultilevel"/>
    <w:tmpl w:val="29E81FE8"/>
    <w:lvl w:ilvl="0" w:tplc="D89C665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13BC44F1"/>
    <w:multiLevelType w:val="hybridMultilevel"/>
    <w:tmpl w:val="68109800"/>
    <w:lvl w:ilvl="0" w:tplc="D64EFAE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9" w15:restartNumberingAfterBreak="0">
    <w:nsid w:val="16D65250"/>
    <w:multiLevelType w:val="hybridMultilevel"/>
    <w:tmpl w:val="933838A8"/>
    <w:lvl w:ilvl="0" w:tplc="09A8CC06">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17BF2809"/>
    <w:multiLevelType w:val="hybridMultilevel"/>
    <w:tmpl w:val="51220C0A"/>
    <w:lvl w:ilvl="0" w:tplc="19122F4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1AF73573"/>
    <w:multiLevelType w:val="hybridMultilevel"/>
    <w:tmpl w:val="94C036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15:restartNumberingAfterBreak="0">
    <w:nsid w:val="21A865BF"/>
    <w:multiLevelType w:val="hybridMultilevel"/>
    <w:tmpl w:val="097411AE"/>
    <w:lvl w:ilvl="0" w:tplc="CEEA7620">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24DF3F66"/>
    <w:multiLevelType w:val="hybridMultilevel"/>
    <w:tmpl w:val="4A38AF70"/>
    <w:lvl w:ilvl="0" w:tplc="FF4CA0D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4" w15:restartNumberingAfterBreak="0">
    <w:nsid w:val="357E63FA"/>
    <w:multiLevelType w:val="hybridMultilevel"/>
    <w:tmpl w:val="B6D0BA02"/>
    <w:lvl w:ilvl="0" w:tplc="7AAC77FE">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5" w15:restartNumberingAfterBreak="0">
    <w:nsid w:val="382C3488"/>
    <w:multiLevelType w:val="hybridMultilevel"/>
    <w:tmpl w:val="36C0E38A"/>
    <w:lvl w:ilvl="0" w:tplc="545CCF8E">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431E0CA3"/>
    <w:multiLevelType w:val="hybridMultilevel"/>
    <w:tmpl w:val="13E6DC94"/>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7" w15:restartNumberingAfterBreak="0">
    <w:nsid w:val="438A3E3E"/>
    <w:multiLevelType w:val="hybridMultilevel"/>
    <w:tmpl w:val="5180F134"/>
    <w:lvl w:ilvl="0" w:tplc="DE26E5D8">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8" w15:restartNumberingAfterBreak="0">
    <w:nsid w:val="43CA596E"/>
    <w:multiLevelType w:val="hybridMultilevel"/>
    <w:tmpl w:val="839691A2"/>
    <w:lvl w:ilvl="0" w:tplc="9E98C22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46305B39"/>
    <w:multiLevelType w:val="hybridMultilevel"/>
    <w:tmpl w:val="E5626856"/>
    <w:lvl w:ilvl="0" w:tplc="6E40F52A">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4B05312E"/>
    <w:multiLevelType w:val="hybridMultilevel"/>
    <w:tmpl w:val="44A019DE"/>
    <w:lvl w:ilvl="0" w:tplc="EA404B8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1" w15:restartNumberingAfterBreak="0">
    <w:nsid w:val="4F8600EC"/>
    <w:multiLevelType w:val="hybridMultilevel"/>
    <w:tmpl w:val="F426DE42"/>
    <w:lvl w:ilvl="0" w:tplc="49AA7F52">
      <w:start w:val="1"/>
      <w:numFmt w:val="decimal"/>
      <w:suff w:val="nothing"/>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5A7D4018"/>
    <w:multiLevelType w:val="hybridMultilevel"/>
    <w:tmpl w:val="6902DBD8"/>
    <w:lvl w:ilvl="0" w:tplc="E7EC0DC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3" w15:restartNumberingAfterBreak="0">
    <w:nsid w:val="65FB1D88"/>
    <w:multiLevelType w:val="hybridMultilevel"/>
    <w:tmpl w:val="3494979E"/>
    <w:lvl w:ilvl="0" w:tplc="C0C2623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66F5250F"/>
    <w:multiLevelType w:val="hybridMultilevel"/>
    <w:tmpl w:val="B2C01976"/>
    <w:lvl w:ilvl="0" w:tplc="96CC7896">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num w:numId="1">
    <w:abstractNumId w:val="23"/>
  </w:num>
  <w:num w:numId="2">
    <w:abstractNumId w:val="4"/>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num>
  <w:num w:numId="20">
    <w:abstractNumId w:val="24"/>
  </w:num>
  <w:num w:numId="21">
    <w:abstractNumId w:val="0"/>
  </w:num>
  <w:num w:numId="22">
    <w:abstractNumId w:val="11"/>
  </w:num>
  <w:num w:numId="23">
    <w:abstractNumId w:val="16"/>
  </w:num>
  <w:num w:numId="24">
    <w:abstractNumId w:val="22"/>
  </w:num>
  <w:num w:numId="25">
    <w:abstractNumId w:val="2"/>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210555"/>
    <w:rsid w:val="0000031F"/>
    <w:rsid w:val="00000D07"/>
    <w:rsid w:val="000010F1"/>
    <w:rsid w:val="000014D0"/>
    <w:rsid w:val="00001A23"/>
    <w:rsid w:val="00001CA8"/>
    <w:rsid w:val="00002909"/>
    <w:rsid w:val="00002B98"/>
    <w:rsid w:val="00002CF5"/>
    <w:rsid w:val="00002D11"/>
    <w:rsid w:val="00003943"/>
    <w:rsid w:val="00004530"/>
    <w:rsid w:val="00004898"/>
    <w:rsid w:val="00004B14"/>
    <w:rsid w:val="000053AE"/>
    <w:rsid w:val="000074B9"/>
    <w:rsid w:val="0000792C"/>
    <w:rsid w:val="000101C3"/>
    <w:rsid w:val="000104DD"/>
    <w:rsid w:val="00011151"/>
    <w:rsid w:val="00011946"/>
    <w:rsid w:val="00013261"/>
    <w:rsid w:val="000134FF"/>
    <w:rsid w:val="00013F2E"/>
    <w:rsid w:val="0001454D"/>
    <w:rsid w:val="00014901"/>
    <w:rsid w:val="0001505A"/>
    <w:rsid w:val="000156CB"/>
    <w:rsid w:val="0001665B"/>
    <w:rsid w:val="00016D0D"/>
    <w:rsid w:val="0002027E"/>
    <w:rsid w:val="00021CA8"/>
    <w:rsid w:val="00021D56"/>
    <w:rsid w:val="000221A4"/>
    <w:rsid w:val="00022495"/>
    <w:rsid w:val="00022E2E"/>
    <w:rsid w:val="00023424"/>
    <w:rsid w:val="000239AE"/>
    <w:rsid w:val="00023AEA"/>
    <w:rsid w:val="00023F83"/>
    <w:rsid w:val="0002450D"/>
    <w:rsid w:val="000258CC"/>
    <w:rsid w:val="00025F1B"/>
    <w:rsid w:val="00026224"/>
    <w:rsid w:val="0002693C"/>
    <w:rsid w:val="00027103"/>
    <w:rsid w:val="00027284"/>
    <w:rsid w:val="00027FC0"/>
    <w:rsid w:val="00030713"/>
    <w:rsid w:val="00030724"/>
    <w:rsid w:val="000310E0"/>
    <w:rsid w:val="00031D0F"/>
    <w:rsid w:val="00033767"/>
    <w:rsid w:val="00033D4C"/>
    <w:rsid w:val="00034F32"/>
    <w:rsid w:val="00035D39"/>
    <w:rsid w:val="00035E5C"/>
    <w:rsid w:val="0003714F"/>
    <w:rsid w:val="00037DFC"/>
    <w:rsid w:val="00040786"/>
    <w:rsid w:val="000407C2"/>
    <w:rsid w:val="00040A79"/>
    <w:rsid w:val="00040B5D"/>
    <w:rsid w:val="000411C4"/>
    <w:rsid w:val="000412B3"/>
    <w:rsid w:val="000417F6"/>
    <w:rsid w:val="00041CB9"/>
    <w:rsid w:val="0004232F"/>
    <w:rsid w:val="00042859"/>
    <w:rsid w:val="00043020"/>
    <w:rsid w:val="000433C4"/>
    <w:rsid w:val="00043535"/>
    <w:rsid w:val="0004454A"/>
    <w:rsid w:val="000449AB"/>
    <w:rsid w:val="000449FD"/>
    <w:rsid w:val="00044B3F"/>
    <w:rsid w:val="00044CCC"/>
    <w:rsid w:val="00044D2A"/>
    <w:rsid w:val="000453BE"/>
    <w:rsid w:val="0004571D"/>
    <w:rsid w:val="000457F5"/>
    <w:rsid w:val="000462D8"/>
    <w:rsid w:val="00046536"/>
    <w:rsid w:val="00046C1D"/>
    <w:rsid w:val="00046EB1"/>
    <w:rsid w:val="00050163"/>
    <w:rsid w:val="00051BA2"/>
    <w:rsid w:val="000523C6"/>
    <w:rsid w:val="00053D23"/>
    <w:rsid w:val="00054AD5"/>
    <w:rsid w:val="00054DA9"/>
    <w:rsid w:val="00055268"/>
    <w:rsid w:val="00055433"/>
    <w:rsid w:val="00056070"/>
    <w:rsid w:val="000562D9"/>
    <w:rsid w:val="00056640"/>
    <w:rsid w:val="00056854"/>
    <w:rsid w:val="00057825"/>
    <w:rsid w:val="00060112"/>
    <w:rsid w:val="000609CB"/>
    <w:rsid w:val="00060DB6"/>
    <w:rsid w:val="00060FCC"/>
    <w:rsid w:val="00060FE8"/>
    <w:rsid w:val="000612DC"/>
    <w:rsid w:val="00061CB2"/>
    <w:rsid w:val="00062475"/>
    <w:rsid w:val="00062A22"/>
    <w:rsid w:val="000630E5"/>
    <w:rsid w:val="000638FF"/>
    <w:rsid w:val="00063F64"/>
    <w:rsid w:val="00064373"/>
    <w:rsid w:val="000644EA"/>
    <w:rsid w:val="000648C8"/>
    <w:rsid w:val="000651D5"/>
    <w:rsid w:val="0006588C"/>
    <w:rsid w:val="00065C6B"/>
    <w:rsid w:val="00066807"/>
    <w:rsid w:val="00066D01"/>
    <w:rsid w:val="000677B3"/>
    <w:rsid w:val="00070EC7"/>
    <w:rsid w:val="00071C76"/>
    <w:rsid w:val="00071FD0"/>
    <w:rsid w:val="000723C2"/>
    <w:rsid w:val="00072FD9"/>
    <w:rsid w:val="0007347F"/>
    <w:rsid w:val="00073E98"/>
    <w:rsid w:val="00073FAC"/>
    <w:rsid w:val="000741BB"/>
    <w:rsid w:val="00074445"/>
    <w:rsid w:val="00074493"/>
    <w:rsid w:val="00074B1B"/>
    <w:rsid w:val="00074F8E"/>
    <w:rsid w:val="0007512C"/>
    <w:rsid w:val="000753AB"/>
    <w:rsid w:val="00075F3F"/>
    <w:rsid w:val="000763F5"/>
    <w:rsid w:val="00076746"/>
    <w:rsid w:val="00076B15"/>
    <w:rsid w:val="00076BE8"/>
    <w:rsid w:val="00076E4F"/>
    <w:rsid w:val="000772AA"/>
    <w:rsid w:val="00077ED1"/>
    <w:rsid w:val="00080810"/>
    <w:rsid w:val="000809A1"/>
    <w:rsid w:val="000816E2"/>
    <w:rsid w:val="0008216E"/>
    <w:rsid w:val="000838B3"/>
    <w:rsid w:val="000838E5"/>
    <w:rsid w:val="00083B3A"/>
    <w:rsid w:val="00084319"/>
    <w:rsid w:val="000846F7"/>
    <w:rsid w:val="00084865"/>
    <w:rsid w:val="000852FA"/>
    <w:rsid w:val="00085326"/>
    <w:rsid w:val="00085465"/>
    <w:rsid w:val="000856AF"/>
    <w:rsid w:val="00085D62"/>
    <w:rsid w:val="00086EAA"/>
    <w:rsid w:val="000872CB"/>
    <w:rsid w:val="00090316"/>
    <w:rsid w:val="00091290"/>
    <w:rsid w:val="000918BB"/>
    <w:rsid w:val="000919B5"/>
    <w:rsid w:val="00091D7C"/>
    <w:rsid w:val="0009205C"/>
    <w:rsid w:val="00092166"/>
    <w:rsid w:val="000922F3"/>
    <w:rsid w:val="0009268D"/>
    <w:rsid w:val="00093023"/>
    <w:rsid w:val="00093198"/>
    <w:rsid w:val="00093830"/>
    <w:rsid w:val="000938C0"/>
    <w:rsid w:val="00095C9B"/>
    <w:rsid w:val="000964C8"/>
    <w:rsid w:val="00096E95"/>
    <w:rsid w:val="00096F15"/>
    <w:rsid w:val="00097B81"/>
    <w:rsid w:val="000A02B8"/>
    <w:rsid w:val="000A04F0"/>
    <w:rsid w:val="000A1174"/>
    <w:rsid w:val="000A14C7"/>
    <w:rsid w:val="000A17F0"/>
    <w:rsid w:val="000A20FC"/>
    <w:rsid w:val="000A24A5"/>
    <w:rsid w:val="000A251D"/>
    <w:rsid w:val="000A2CFB"/>
    <w:rsid w:val="000A3442"/>
    <w:rsid w:val="000A36A0"/>
    <w:rsid w:val="000A38B2"/>
    <w:rsid w:val="000A4828"/>
    <w:rsid w:val="000A6213"/>
    <w:rsid w:val="000A6427"/>
    <w:rsid w:val="000A66D5"/>
    <w:rsid w:val="000A6A91"/>
    <w:rsid w:val="000A70BB"/>
    <w:rsid w:val="000A7772"/>
    <w:rsid w:val="000A7FE3"/>
    <w:rsid w:val="000B01DC"/>
    <w:rsid w:val="000B0492"/>
    <w:rsid w:val="000B0518"/>
    <w:rsid w:val="000B0A12"/>
    <w:rsid w:val="000B15AA"/>
    <w:rsid w:val="000B2303"/>
    <w:rsid w:val="000B3399"/>
    <w:rsid w:val="000B389A"/>
    <w:rsid w:val="000B3E8D"/>
    <w:rsid w:val="000B435D"/>
    <w:rsid w:val="000B4BCF"/>
    <w:rsid w:val="000B62D2"/>
    <w:rsid w:val="000B667F"/>
    <w:rsid w:val="000B6A19"/>
    <w:rsid w:val="000B7FA8"/>
    <w:rsid w:val="000C02AC"/>
    <w:rsid w:val="000C08F7"/>
    <w:rsid w:val="000C12FF"/>
    <w:rsid w:val="000C142A"/>
    <w:rsid w:val="000C1775"/>
    <w:rsid w:val="000C1F3C"/>
    <w:rsid w:val="000C2173"/>
    <w:rsid w:val="000C25FF"/>
    <w:rsid w:val="000C28FA"/>
    <w:rsid w:val="000C2C21"/>
    <w:rsid w:val="000C3847"/>
    <w:rsid w:val="000C3950"/>
    <w:rsid w:val="000C4692"/>
    <w:rsid w:val="000C48D6"/>
    <w:rsid w:val="000C4D85"/>
    <w:rsid w:val="000C542B"/>
    <w:rsid w:val="000C66A5"/>
    <w:rsid w:val="000C6A19"/>
    <w:rsid w:val="000C724A"/>
    <w:rsid w:val="000C72DC"/>
    <w:rsid w:val="000C7944"/>
    <w:rsid w:val="000D001A"/>
    <w:rsid w:val="000D04DE"/>
    <w:rsid w:val="000D0738"/>
    <w:rsid w:val="000D0C6A"/>
    <w:rsid w:val="000D1B84"/>
    <w:rsid w:val="000D2210"/>
    <w:rsid w:val="000D2336"/>
    <w:rsid w:val="000D2627"/>
    <w:rsid w:val="000D26C3"/>
    <w:rsid w:val="000D3116"/>
    <w:rsid w:val="000D3AA4"/>
    <w:rsid w:val="000D3B9D"/>
    <w:rsid w:val="000D3FD4"/>
    <w:rsid w:val="000D49E4"/>
    <w:rsid w:val="000D5A28"/>
    <w:rsid w:val="000D5DA6"/>
    <w:rsid w:val="000D5F4B"/>
    <w:rsid w:val="000D686D"/>
    <w:rsid w:val="000E023B"/>
    <w:rsid w:val="000E0B56"/>
    <w:rsid w:val="000E0F22"/>
    <w:rsid w:val="000E1096"/>
    <w:rsid w:val="000E10DC"/>
    <w:rsid w:val="000E121D"/>
    <w:rsid w:val="000E17AA"/>
    <w:rsid w:val="000E1898"/>
    <w:rsid w:val="000E208A"/>
    <w:rsid w:val="000E2257"/>
    <w:rsid w:val="000E26CA"/>
    <w:rsid w:val="000E2D58"/>
    <w:rsid w:val="000E2EBB"/>
    <w:rsid w:val="000E2EC4"/>
    <w:rsid w:val="000E311A"/>
    <w:rsid w:val="000E3626"/>
    <w:rsid w:val="000E3660"/>
    <w:rsid w:val="000E38F2"/>
    <w:rsid w:val="000E3D34"/>
    <w:rsid w:val="000E425D"/>
    <w:rsid w:val="000E4533"/>
    <w:rsid w:val="000E523E"/>
    <w:rsid w:val="000E5917"/>
    <w:rsid w:val="000E60F4"/>
    <w:rsid w:val="000E64B8"/>
    <w:rsid w:val="000E6C01"/>
    <w:rsid w:val="000E6EB5"/>
    <w:rsid w:val="000E6F35"/>
    <w:rsid w:val="000E6F95"/>
    <w:rsid w:val="000F1230"/>
    <w:rsid w:val="000F12A1"/>
    <w:rsid w:val="000F1315"/>
    <w:rsid w:val="000F1561"/>
    <w:rsid w:val="000F16D6"/>
    <w:rsid w:val="000F1735"/>
    <w:rsid w:val="000F273C"/>
    <w:rsid w:val="000F2BFC"/>
    <w:rsid w:val="000F32C5"/>
    <w:rsid w:val="000F3ECF"/>
    <w:rsid w:val="000F42B8"/>
    <w:rsid w:val="000F452F"/>
    <w:rsid w:val="000F5423"/>
    <w:rsid w:val="000F6212"/>
    <w:rsid w:val="000F6D37"/>
    <w:rsid w:val="000F6E74"/>
    <w:rsid w:val="000F70FA"/>
    <w:rsid w:val="000F75D8"/>
    <w:rsid w:val="000F7621"/>
    <w:rsid w:val="001001D8"/>
    <w:rsid w:val="001009EA"/>
    <w:rsid w:val="00100C7C"/>
    <w:rsid w:val="00100D8A"/>
    <w:rsid w:val="00101060"/>
    <w:rsid w:val="0010135A"/>
    <w:rsid w:val="00101D16"/>
    <w:rsid w:val="00102B62"/>
    <w:rsid w:val="001035B0"/>
    <w:rsid w:val="0010360B"/>
    <w:rsid w:val="00103A6D"/>
    <w:rsid w:val="00104589"/>
    <w:rsid w:val="0010463F"/>
    <w:rsid w:val="001048FF"/>
    <w:rsid w:val="00104C3C"/>
    <w:rsid w:val="00104EA5"/>
    <w:rsid w:val="0010521B"/>
    <w:rsid w:val="001054B0"/>
    <w:rsid w:val="001059B2"/>
    <w:rsid w:val="00105E58"/>
    <w:rsid w:val="00106131"/>
    <w:rsid w:val="001061E5"/>
    <w:rsid w:val="00106700"/>
    <w:rsid w:val="00106831"/>
    <w:rsid w:val="00106FBB"/>
    <w:rsid w:val="00107002"/>
    <w:rsid w:val="00107389"/>
    <w:rsid w:val="00107432"/>
    <w:rsid w:val="00110544"/>
    <w:rsid w:val="00110A32"/>
    <w:rsid w:val="00110C09"/>
    <w:rsid w:val="0011154B"/>
    <w:rsid w:val="0011251D"/>
    <w:rsid w:val="0011254B"/>
    <w:rsid w:val="00114117"/>
    <w:rsid w:val="00114433"/>
    <w:rsid w:val="0011455F"/>
    <w:rsid w:val="00114B6B"/>
    <w:rsid w:val="00114F9E"/>
    <w:rsid w:val="00115C6D"/>
    <w:rsid w:val="00116012"/>
    <w:rsid w:val="0011667E"/>
    <w:rsid w:val="001168C5"/>
    <w:rsid w:val="00116BBA"/>
    <w:rsid w:val="001176D8"/>
    <w:rsid w:val="00117B7F"/>
    <w:rsid w:val="00117E66"/>
    <w:rsid w:val="0012048C"/>
    <w:rsid w:val="0012124A"/>
    <w:rsid w:val="00121365"/>
    <w:rsid w:val="00121736"/>
    <w:rsid w:val="001218BC"/>
    <w:rsid w:val="0012229E"/>
    <w:rsid w:val="001225A1"/>
    <w:rsid w:val="00122D65"/>
    <w:rsid w:val="00123183"/>
    <w:rsid w:val="00123212"/>
    <w:rsid w:val="00124A39"/>
    <w:rsid w:val="00125646"/>
    <w:rsid w:val="0012596F"/>
    <w:rsid w:val="00126027"/>
    <w:rsid w:val="00126798"/>
    <w:rsid w:val="00127762"/>
    <w:rsid w:val="001301BE"/>
    <w:rsid w:val="00130BC4"/>
    <w:rsid w:val="00131050"/>
    <w:rsid w:val="00131781"/>
    <w:rsid w:val="00132D22"/>
    <w:rsid w:val="001336AB"/>
    <w:rsid w:val="0013378E"/>
    <w:rsid w:val="00133D58"/>
    <w:rsid w:val="00133D72"/>
    <w:rsid w:val="001342DC"/>
    <w:rsid w:val="0013485F"/>
    <w:rsid w:val="00134EE6"/>
    <w:rsid w:val="0013525C"/>
    <w:rsid w:val="00135E52"/>
    <w:rsid w:val="0013606A"/>
    <w:rsid w:val="00136899"/>
    <w:rsid w:val="0013787A"/>
    <w:rsid w:val="0014071B"/>
    <w:rsid w:val="00140A74"/>
    <w:rsid w:val="001410A1"/>
    <w:rsid w:val="0014153F"/>
    <w:rsid w:val="00143B3E"/>
    <w:rsid w:val="00143DC5"/>
    <w:rsid w:val="0014410A"/>
    <w:rsid w:val="0014480B"/>
    <w:rsid w:val="00144AF6"/>
    <w:rsid w:val="00144B54"/>
    <w:rsid w:val="00145E71"/>
    <w:rsid w:val="001462BA"/>
    <w:rsid w:val="00146B31"/>
    <w:rsid w:val="00146B9F"/>
    <w:rsid w:val="00146C28"/>
    <w:rsid w:val="0014717F"/>
    <w:rsid w:val="00150143"/>
    <w:rsid w:val="00150232"/>
    <w:rsid w:val="00151223"/>
    <w:rsid w:val="00151326"/>
    <w:rsid w:val="001516ED"/>
    <w:rsid w:val="0015269F"/>
    <w:rsid w:val="00152EA1"/>
    <w:rsid w:val="00153993"/>
    <w:rsid w:val="00153BCD"/>
    <w:rsid w:val="0015454A"/>
    <w:rsid w:val="00154C71"/>
    <w:rsid w:val="00154D5C"/>
    <w:rsid w:val="001556AF"/>
    <w:rsid w:val="00155B2D"/>
    <w:rsid w:val="00155BDD"/>
    <w:rsid w:val="00156294"/>
    <w:rsid w:val="00156BFC"/>
    <w:rsid w:val="0015773F"/>
    <w:rsid w:val="0016017A"/>
    <w:rsid w:val="001603B5"/>
    <w:rsid w:val="001603F2"/>
    <w:rsid w:val="00161029"/>
    <w:rsid w:val="00161502"/>
    <w:rsid w:val="0016154F"/>
    <w:rsid w:val="0016218C"/>
    <w:rsid w:val="001623D3"/>
    <w:rsid w:val="001629D0"/>
    <w:rsid w:val="00162A39"/>
    <w:rsid w:val="00162E80"/>
    <w:rsid w:val="0016376F"/>
    <w:rsid w:val="00163908"/>
    <w:rsid w:val="001639CD"/>
    <w:rsid w:val="00164762"/>
    <w:rsid w:val="00164876"/>
    <w:rsid w:val="00164FCE"/>
    <w:rsid w:val="001666A0"/>
    <w:rsid w:val="00166E76"/>
    <w:rsid w:val="001673DC"/>
    <w:rsid w:val="00167656"/>
    <w:rsid w:val="001707D1"/>
    <w:rsid w:val="0017115F"/>
    <w:rsid w:val="0017291E"/>
    <w:rsid w:val="00172A4A"/>
    <w:rsid w:val="00172CBA"/>
    <w:rsid w:val="00172FE5"/>
    <w:rsid w:val="00173375"/>
    <w:rsid w:val="00173969"/>
    <w:rsid w:val="00173BF9"/>
    <w:rsid w:val="00173EE3"/>
    <w:rsid w:val="00173EF7"/>
    <w:rsid w:val="00174DF8"/>
    <w:rsid w:val="00175DAB"/>
    <w:rsid w:val="00177371"/>
    <w:rsid w:val="001774B9"/>
    <w:rsid w:val="00177E15"/>
    <w:rsid w:val="001804E1"/>
    <w:rsid w:val="00180B55"/>
    <w:rsid w:val="00180C5A"/>
    <w:rsid w:val="00180F28"/>
    <w:rsid w:val="00181442"/>
    <w:rsid w:val="00181970"/>
    <w:rsid w:val="00181BAA"/>
    <w:rsid w:val="0018292C"/>
    <w:rsid w:val="00183F16"/>
    <w:rsid w:val="00184A0F"/>
    <w:rsid w:val="00184B5D"/>
    <w:rsid w:val="00185A09"/>
    <w:rsid w:val="0018617C"/>
    <w:rsid w:val="00186336"/>
    <w:rsid w:val="00186AED"/>
    <w:rsid w:val="00187E7C"/>
    <w:rsid w:val="001902B5"/>
    <w:rsid w:val="001902F1"/>
    <w:rsid w:val="0019071F"/>
    <w:rsid w:val="00190913"/>
    <w:rsid w:val="00190ABE"/>
    <w:rsid w:val="00191257"/>
    <w:rsid w:val="001917DA"/>
    <w:rsid w:val="00191E07"/>
    <w:rsid w:val="00191F28"/>
    <w:rsid w:val="001925C3"/>
    <w:rsid w:val="00192CD1"/>
    <w:rsid w:val="00192E30"/>
    <w:rsid w:val="00194888"/>
    <w:rsid w:val="00194D13"/>
    <w:rsid w:val="001950BD"/>
    <w:rsid w:val="001954FA"/>
    <w:rsid w:val="00195719"/>
    <w:rsid w:val="00195F49"/>
    <w:rsid w:val="001960D4"/>
    <w:rsid w:val="00196132"/>
    <w:rsid w:val="001969E2"/>
    <w:rsid w:val="00196EAA"/>
    <w:rsid w:val="00196EF9"/>
    <w:rsid w:val="00197A0E"/>
    <w:rsid w:val="001A02AF"/>
    <w:rsid w:val="001A13B6"/>
    <w:rsid w:val="001A1447"/>
    <w:rsid w:val="001A1CCD"/>
    <w:rsid w:val="001A1CE2"/>
    <w:rsid w:val="001A1E56"/>
    <w:rsid w:val="001A1FB4"/>
    <w:rsid w:val="001A1FEF"/>
    <w:rsid w:val="001A2069"/>
    <w:rsid w:val="001A2F40"/>
    <w:rsid w:val="001A3551"/>
    <w:rsid w:val="001A38E3"/>
    <w:rsid w:val="001A4464"/>
    <w:rsid w:val="001A49D9"/>
    <w:rsid w:val="001A5069"/>
    <w:rsid w:val="001A5208"/>
    <w:rsid w:val="001A53E8"/>
    <w:rsid w:val="001A5AEA"/>
    <w:rsid w:val="001A7C02"/>
    <w:rsid w:val="001B0445"/>
    <w:rsid w:val="001B0605"/>
    <w:rsid w:val="001B0BD0"/>
    <w:rsid w:val="001B13B2"/>
    <w:rsid w:val="001B1682"/>
    <w:rsid w:val="001B1FDA"/>
    <w:rsid w:val="001B23D8"/>
    <w:rsid w:val="001B267E"/>
    <w:rsid w:val="001B290D"/>
    <w:rsid w:val="001B2F68"/>
    <w:rsid w:val="001B4239"/>
    <w:rsid w:val="001B630C"/>
    <w:rsid w:val="001B670F"/>
    <w:rsid w:val="001B72DA"/>
    <w:rsid w:val="001B7663"/>
    <w:rsid w:val="001C001C"/>
    <w:rsid w:val="001C03BB"/>
    <w:rsid w:val="001C04DA"/>
    <w:rsid w:val="001C055F"/>
    <w:rsid w:val="001C0AD0"/>
    <w:rsid w:val="001C14B4"/>
    <w:rsid w:val="001C17B4"/>
    <w:rsid w:val="001C21CC"/>
    <w:rsid w:val="001C2926"/>
    <w:rsid w:val="001C2CB6"/>
    <w:rsid w:val="001C3293"/>
    <w:rsid w:val="001C3351"/>
    <w:rsid w:val="001C3D88"/>
    <w:rsid w:val="001C3E17"/>
    <w:rsid w:val="001C446F"/>
    <w:rsid w:val="001C457B"/>
    <w:rsid w:val="001C462A"/>
    <w:rsid w:val="001C4C0A"/>
    <w:rsid w:val="001C526C"/>
    <w:rsid w:val="001C5628"/>
    <w:rsid w:val="001C59FF"/>
    <w:rsid w:val="001C661F"/>
    <w:rsid w:val="001C74D4"/>
    <w:rsid w:val="001C7A26"/>
    <w:rsid w:val="001C7B32"/>
    <w:rsid w:val="001C7D7D"/>
    <w:rsid w:val="001D0015"/>
    <w:rsid w:val="001D0520"/>
    <w:rsid w:val="001D06C7"/>
    <w:rsid w:val="001D183B"/>
    <w:rsid w:val="001D21CD"/>
    <w:rsid w:val="001D28F2"/>
    <w:rsid w:val="001D29C1"/>
    <w:rsid w:val="001D2B7D"/>
    <w:rsid w:val="001D2E65"/>
    <w:rsid w:val="001D3024"/>
    <w:rsid w:val="001D3925"/>
    <w:rsid w:val="001D3AC9"/>
    <w:rsid w:val="001D3B3E"/>
    <w:rsid w:val="001D4A67"/>
    <w:rsid w:val="001D4AEB"/>
    <w:rsid w:val="001D4E17"/>
    <w:rsid w:val="001D55D1"/>
    <w:rsid w:val="001D5A70"/>
    <w:rsid w:val="001D5E58"/>
    <w:rsid w:val="001D64E5"/>
    <w:rsid w:val="001D668E"/>
    <w:rsid w:val="001D66DD"/>
    <w:rsid w:val="001D6A00"/>
    <w:rsid w:val="001D7861"/>
    <w:rsid w:val="001D7AE8"/>
    <w:rsid w:val="001E069C"/>
    <w:rsid w:val="001E0782"/>
    <w:rsid w:val="001E0A9F"/>
    <w:rsid w:val="001E0ABB"/>
    <w:rsid w:val="001E0CF3"/>
    <w:rsid w:val="001E0ED2"/>
    <w:rsid w:val="001E133C"/>
    <w:rsid w:val="001E14E4"/>
    <w:rsid w:val="001E1F25"/>
    <w:rsid w:val="001E283B"/>
    <w:rsid w:val="001E299C"/>
    <w:rsid w:val="001E3A18"/>
    <w:rsid w:val="001E4080"/>
    <w:rsid w:val="001E40D0"/>
    <w:rsid w:val="001E441F"/>
    <w:rsid w:val="001E4EEB"/>
    <w:rsid w:val="001E54F0"/>
    <w:rsid w:val="001E5847"/>
    <w:rsid w:val="001E5FB0"/>
    <w:rsid w:val="001E63D7"/>
    <w:rsid w:val="001E6476"/>
    <w:rsid w:val="001E6F00"/>
    <w:rsid w:val="001E7C8F"/>
    <w:rsid w:val="001F17E7"/>
    <w:rsid w:val="001F1D19"/>
    <w:rsid w:val="001F2047"/>
    <w:rsid w:val="001F2BA3"/>
    <w:rsid w:val="001F3906"/>
    <w:rsid w:val="001F3AD3"/>
    <w:rsid w:val="001F3D48"/>
    <w:rsid w:val="001F3EC2"/>
    <w:rsid w:val="001F407F"/>
    <w:rsid w:val="001F41BF"/>
    <w:rsid w:val="001F5CCD"/>
    <w:rsid w:val="001F6D2E"/>
    <w:rsid w:val="001F76CB"/>
    <w:rsid w:val="001F7A10"/>
    <w:rsid w:val="001F7B97"/>
    <w:rsid w:val="00200228"/>
    <w:rsid w:val="002003B7"/>
    <w:rsid w:val="002006D7"/>
    <w:rsid w:val="00200BAE"/>
    <w:rsid w:val="00200D92"/>
    <w:rsid w:val="00200F51"/>
    <w:rsid w:val="00201062"/>
    <w:rsid w:val="00201251"/>
    <w:rsid w:val="00201804"/>
    <w:rsid w:val="00202357"/>
    <w:rsid w:val="002027F7"/>
    <w:rsid w:val="0020338B"/>
    <w:rsid w:val="0020400A"/>
    <w:rsid w:val="00204E0D"/>
    <w:rsid w:val="002050B2"/>
    <w:rsid w:val="0020611C"/>
    <w:rsid w:val="00206153"/>
    <w:rsid w:val="002063CD"/>
    <w:rsid w:val="00206E8D"/>
    <w:rsid w:val="00207082"/>
    <w:rsid w:val="00207C27"/>
    <w:rsid w:val="00210555"/>
    <w:rsid w:val="00210DB2"/>
    <w:rsid w:val="002110B1"/>
    <w:rsid w:val="0021114E"/>
    <w:rsid w:val="00211B6C"/>
    <w:rsid w:val="00211DB8"/>
    <w:rsid w:val="00212A0B"/>
    <w:rsid w:val="00212DE1"/>
    <w:rsid w:val="00212E6F"/>
    <w:rsid w:val="00213007"/>
    <w:rsid w:val="0021309A"/>
    <w:rsid w:val="00213267"/>
    <w:rsid w:val="002136B8"/>
    <w:rsid w:val="002139C1"/>
    <w:rsid w:val="002140AB"/>
    <w:rsid w:val="0021413B"/>
    <w:rsid w:val="00214387"/>
    <w:rsid w:val="00214484"/>
    <w:rsid w:val="002151FE"/>
    <w:rsid w:val="00215777"/>
    <w:rsid w:val="00216248"/>
    <w:rsid w:val="0021671E"/>
    <w:rsid w:val="00216D46"/>
    <w:rsid w:val="0021721C"/>
    <w:rsid w:val="00220B6E"/>
    <w:rsid w:val="00220EFF"/>
    <w:rsid w:val="00221162"/>
    <w:rsid w:val="00221DF4"/>
    <w:rsid w:val="00223113"/>
    <w:rsid w:val="00223670"/>
    <w:rsid w:val="00223964"/>
    <w:rsid w:val="002240AE"/>
    <w:rsid w:val="00224B09"/>
    <w:rsid w:val="00225208"/>
    <w:rsid w:val="0022645F"/>
    <w:rsid w:val="0022656C"/>
    <w:rsid w:val="0022690C"/>
    <w:rsid w:val="00227061"/>
    <w:rsid w:val="002271F8"/>
    <w:rsid w:val="00230C03"/>
    <w:rsid w:val="00231EDA"/>
    <w:rsid w:val="0023294C"/>
    <w:rsid w:val="002332C3"/>
    <w:rsid w:val="0023394A"/>
    <w:rsid w:val="00234B2F"/>
    <w:rsid w:val="00235410"/>
    <w:rsid w:val="00236176"/>
    <w:rsid w:val="002362B6"/>
    <w:rsid w:val="00237661"/>
    <w:rsid w:val="00240E7B"/>
    <w:rsid w:val="002417E0"/>
    <w:rsid w:val="00241FAB"/>
    <w:rsid w:val="002439CA"/>
    <w:rsid w:val="0024470F"/>
    <w:rsid w:val="00244EE3"/>
    <w:rsid w:val="00245123"/>
    <w:rsid w:val="00245565"/>
    <w:rsid w:val="00245632"/>
    <w:rsid w:val="00246922"/>
    <w:rsid w:val="00246D13"/>
    <w:rsid w:val="002479EF"/>
    <w:rsid w:val="00247F0F"/>
    <w:rsid w:val="00247F81"/>
    <w:rsid w:val="00247FE8"/>
    <w:rsid w:val="0025007F"/>
    <w:rsid w:val="00250540"/>
    <w:rsid w:val="00250677"/>
    <w:rsid w:val="00252DFF"/>
    <w:rsid w:val="00252E14"/>
    <w:rsid w:val="002544FA"/>
    <w:rsid w:val="002547A1"/>
    <w:rsid w:val="00254BDA"/>
    <w:rsid w:val="00254D24"/>
    <w:rsid w:val="002553AE"/>
    <w:rsid w:val="0025574D"/>
    <w:rsid w:val="0025578F"/>
    <w:rsid w:val="002557AE"/>
    <w:rsid w:val="0025650C"/>
    <w:rsid w:val="0025682E"/>
    <w:rsid w:val="00256A19"/>
    <w:rsid w:val="00256B9A"/>
    <w:rsid w:val="002571A6"/>
    <w:rsid w:val="0025791A"/>
    <w:rsid w:val="00260D5F"/>
    <w:rsid w:val="00261AB3"/>
    <w:rsid w:val="00261CF5"/>
    <w:rsid w:val="00262CAD"/>
    <w:rsid w:val="00262E76"/>
    <w:rsid w:val="00263053"/>
    <w:rsid w:val="002640DC"/>
    <w:rsid w:val="00264E61"/>
    <w:rsid w:val="002658D8"/>
    <w:rsid w:val="00265B71"/>
    <w:rsid w:val="00265C82"/>
    <w:rsid w:val="002667FA"/>
    <w:rsid w:val="00266806"/>
    <w:rsid w:val="00266BA7"/>
    <w:rsid w:val="00266E14"/>
    <w:rsid w:val="002672C7"/>
    <w:rsid w:val="00267691"/>
    <w:rsid w:val="00270C15"/>
    <w:rsid w:val="00270CD1"/>
    <w:rsid w:val="00270F92"/>
    <w:rsid w:val="002711E3"/>
    <w:rsid w:val="00271E7A"/>
    <w:rsid w:val="00272034"/>
    <w:rsid w:val="002720DA"/>
    <w:rsid w:val="00272ACA"/>
    <w:rsid w:val="00272EF3"/>
    <w:rsid w:val="002735EB"/>
    <w:rsid w:val="00273627"/>
    <w:rsid w:val="00273AB3"/>
    <w:rsid w:val="002753B9"/>
    <w:rsid w:val="00275476"/>
    <w:rsid w:val="00275D59"/>
    <w:rsid w:val="00275F36"/>
    <w:rsid w:val="00276060"/>
    <w:rsid w:val="002773CA"/>
    <w:rsid w:val="002773E3"/>
    <w:rsid w:val="00277F1B"/>
    <w:rsid w:val="002809B6"/>
    <w:rsid w:val="00281AF4"/>
    <w:rsid w:val="00282B75"/>
    <w:rsid w:val="0028429C"/>
    <w:rsid w:val="002842C2"/>
    <w:rsid w:val="002845EF"/>
    <w:rsid w:val="00285252"/>
    <w:rsid w:val="00285859"/>
    <w:rsid w:val="00285881"/>
    <w:rsid w:val="00285D18"/>
    <w:rsid w:val="00285F17"/>
    <w:rsid w:val="00286C88"/>
    <w:rsid w:val="00287330"/>
    <w:rsid w:val="00287A21"/>
    <w:rsid w:val="0029029C"/>
    <w:rsid w:val="002902BA"/>
    <w:rsid w:val="00290DEB"/>
    <w:rsid w:val="00291777"/>
    <w:rsid w:val="00291A5E"/>
    <w:rsid w:val="00291DF6"/>
    <w:rsid w:val="00292F58"/>
    <w:rsid w:val="00293128"/>
    <w:rsid w:val="0029397A"/>
    <w:rsid w:val="00293D38"/>
    <w:rsid w:val="00293FFE"/>
    <w:rsid w:val="00294748"/>
    <w:rsid w:val="00294A98"/>
    <w:rsid w:val="002A1ABA"/>
    <w:rsid w:val="002A1AD4"/>
    <w:rsid w:val="002A2BDC"/>
    <w:rsid w:val="002A3494"/>
    <w:rsid w:val="002A3CA9"/>
    <w:rsid w:val="002A4F2F"/>
    <w:rsid w:val="002A521E"/>
    <w:rsid w:val="002A5894"/>
    <w:rsid w:val="002A5DDC"/>
    <w:rsid w:val="002A67E0"/>
    <w:rsid w:val="002A6D14"/>
    <w:rsid w:val="002A6DDF"/>
    <w:rsid w:val="002A7517"/>
    <w:rsid w:val="002A788D"/>
    <w:rsid w:val="002A7E23"/>
    <w:rsid w:val="002A7EFF"/>
    <w:rsid w:val="002B02AC"/>
    <w:rsid w:val="002B0328"/>
    <w:rsid w:val="002B03E7"/>
    <w:rsid w:val="002B0E07"/>
    <w:rsid w:val="002B15DB"/>
    <w:rsid w:val="002B168F"/>
    <w:rsid w:val="002B1CFF"/>
    <w:rsid w:val="002B26E5"/>
    <w:rsid w:val="002B2EEE"/>
    <w:rsid w:val="002B2F68"/>
    <w:rsid w:val="002B31EA"/>
    <w:rsid w:val="002B47C0"/>
    <w:rsid w:val="002B4E62"/>
    <w:rsid w:val="002B5E48"/>
    <w:rsid w:val="002B667D"/>
    <w:rsid w:val="002B742F"/>
    <w:rsid w:val="002B76A4"/>
    <w:rsid w:val="002C00F3"/>
    <w:rsid w:val="002C0244"/>
    <w:rsid w:val="002C0B6B"/>
    <w:rsid w:val="002C0DF3"/>
    <w:rsid w:val="002C0F6F"/>
    <w:rsid w:val="002C1324"/>
    <w:rsid w:val="002C1C49"/>
    <w:rsid w:val="002C27B9"/>
    <w:rsid w:val="002C3088"/>
    <w:rsid w:val="002C383D"/>
    <w:rsid w:val="002C3DD1"/>
    <w:rsid w:val="002C3FAF"/>
    <w:rsid w:val="002C4B58"/>
    <w:rsid w:val="002C4C5E"/>
    <w:rsid w:val="002C572E"/>
    <w:rsid w:val="002C574F"/>
    <w:rsid w:val="002C5914"/>
    <w:rsid w:val="002C78D6"/>
    <w:rsid w:val="002C7F51"/>
    <w:rsid w:val="002D0B04"/>
    <w:rsid w:val="002D1C24"/>
    <w:rsid w:val="002D1F25"/>
    <w:rsid w:val="002D281A"/>
    <w:rsid w:val="002D30F1"/>
    <w:rsid w:val="002D3226"/>
    <w:rsid w:val="002D35C4"/>
    <w:rsid w:val="002D3B12"/>
    <w:rsid w:val="002D3D01"/>
    <w:rsid w:val="002D4181"/>
    <w:rsid w:val="002D4443"/>
    <w:rsid w:val="002D48A6"/>
    <w:rsid w:val="002D4AEA"/>
    <w:rsid w:val="002D59A1"/>
    <w:rsid w:val="002D5C19"/>
    <w:rsid w:val="002D5D53"/>
    <w:rsid w:val="002D62C0"/>
    <w:rsid w:val="002D636A"/>
    <w:rsid w:val="002D6C78"/>
    <w:rsid w:val="002D6D57"/>
    <w:rsid w:val="002D7291"/>
    <w:rsid w:val="002D7493"/>
    <w:rsid w:val="002D78E9"/>
    <w:rsid w:val="002D7CB4"/>
    <w:rsid w:val="002D7CF0"/>
    <w:rsid w:val="002E0239"/>
    <w:rsid w:val="002E07A0"/>
    <w:rsid w:val="002E082A"/>
    <w:rsid w:val="002E1039"/>
    <w:rsid w:val="002E1CA5"/>
    <w:rsid w:val="002E1F4B"/>
    <w:rsid w:val="002E201A"/>
    <w:rsid w:val="002E273E"/>
    <w:rsid w:val="002E2B25"/>
    <w:rsid w:val="002E3036"/>
    <w:rsid w:val="002E3085"/>
    <w:rsid w:val="002E340F"/>
    <w:rsid w:val="002E3920"/>
    <w:rsid w:val="002E4034"/>
    <w:rsid w:val="002E45EE"/>
    <w:rsid w:val="002E4A19"/>
    <w:rsid w:val="002E560C"/>
    <w:rsid w:val="002E5776"/>
    <w:rsid w:val="002E57FB"/>
    <w:rsid w:val="002E5F07"/>
    <w:rsid w:val="002E60B1"/>
    <w:rsid w:val="002E65D6"/>
    <w:rsid w:val="002E7936"/>
    <w:rsid w:val="002E7D85"/>
    <w:rsid w:val="002F001A"/>
    <w:rsid w:val="002F01C9"/>
    <w:rsid w:val="002F02D0"/>
    <w:rsid w:val="002F0F0F"/>
    <w:rsid w:val="002F1275"/>
    <w:rsid w:val="002F12EA"/>
    <w:rsid w:val="002F1582"/>
    <w:rsid w:val="002F1636"/>
    <w:rsid w:val="002F19D4"/>
    <w:rsid w:val="002F1B41"/>
    <w:rsid w:val="002F268C"/>
    <w:rsid w:val="002F2C5B"/>
    <w:rsid w:val="002F2ED7"/>
    <w:rsid w:val="002F3C1F"/>
    <w:rsid w:val="002F424E"/>
    <w:rsid w:val="002F465D"/>
    <w:rsid w:val="002F5622"/>
    <w:rsid w:val="002F59E9"/>
    <w:rsid w:val="002F6429"/>
    <w:rsid w:val="002F6B87"/>
    <w:rsid w:val="002F75F6"/>
    <w:rsid w:val="00300194"/>
    <w:rsid w:val="0030030A"/>
    <w:rsid w:val="00300D5A"/>
    <w:rsid w:val="00301337"/>
    <w:rsid w:val="003021B1"/>
    <w:rsid w:val="003022C6"/>
    <w:rsid w:val="00303198"/>
    <w:rsid w:val="003035F7"/>
    <w:rsid w:val="003037B6"/>
    <w:rsid w:val="00304760"/>
    <w:rsid w:val="00304CF4"/>
    <w:rsid w:val="00304E17"/>
    <w:rsid w:val="003057DE"/>
    <w:rsid w:val="0030612C"/>
    <w:rsid w:val="003071C7"/>
    <w:rsid w:val="00310917"/>
    <w:rsid w:val="00310FCA"/>
    <w:rsid w:val="003110B2"/>
    <w:rsid w:val="003110FB"/>
    <w:rsid w:val="00311861"/>
    <w:rsid w:val="003118F4"/>
    <w:rsid w:val="00311E67"/>
    <w:rsid w:val="003126EB"/>
    <w:rsid w:val="00312A8B"/>
    <w:rsid w:val="003135DD"/>
    <w:rsid w:val="0031366E"/>
    <w:rsid w:val="00314F03"/>
    <w:rsid w:val="00314F3E"/>
    <w:rsid w:val="0031503B"/>
    <w:rsid w:val="0031506A"/>
    <w:rsid w:val="00315709"/>
    <w:rsid w:val="003168FB"/>
    <w:rsid w:val="003175DE"/>
    <w:rsid w:val="00317ED8"/>
    <w:rsid w:val="00320044"/>
    <w:rsid w:val="003206F0"/>
    <w:rsid w:val="00320CE2"/>
    <w:rsid w:val="00320DB3"/>
    <w:rsid w:val="00321485"/>
    <w:rsid w:val="003214F6"/>
    <w:rsid w:val="003216B4"/>
    <w:rsid w:val="00321B30"/>
    <w:rsid w:val="00321B88"/>
    <w:rsid w:val="00321F58"/>
    <w:rsid w:val="003223DE"/>
    <w:rsid w:val="003228F9"/>
    <w:rsid w:val="00322BF5"/>
    <w:rsid w:val="00323975"/>
    <w:rsid w:val="00324483"/>
    <w:rsid w:val="0032491F"/>
    <w:rsid w:val="00324AA0"/>
    <w:rsid w:val="0032522B"/>
    <w:rsid w:val="00325646"/>
    <w:rsid w:val="003263DA"/>
    <w:rsid w:val="00327633"/>
    <w:rsid w:val="00330381"/>
    <w:rsid w:val="0033079F"/>
    <w:rsid w:val="00330AA2"/>
    <w:rsid w:val="00330E87"/>
    <w:rsid w:val="00330F87"/>
    <w:rsid w:val="003311E5"/>
    <w:rsid w:val="00332293"/>
    <w:rsid w:val="00332947"/>
    <w:rsid w:val="00332B81"/>
    <w:rsid w:val="003330CF"/>
    <w:rsid w:val="0033327A"/>
    <w:rsid w:val="0033354D"/>
    <w:rsid w:val="00333E56"/>
    <w:rsid w:val="0033423F"/>
    <w:rsid w:val="003350A2"/>
    <w:rsid w:val="00335697"/>
    <w:rsid w:val="00335F46"/>
    <w:rsid w:val="003361FF"/>
    <w:rsid w:val="00337BBA"/>
    <w:rsid w:val="0034024B"/>
    <w:rsid w:val="003408B4"/>
    <w:rsid w:val="00340B3E"/>
    <w:rsid w:val="0034107A"/>
    <w:rsid w:val="0034158D"/>
    <w:rsid w:val="00342667"/>
    <w:rsid w:val="00342F51"/>
    <w:rsid w:val="003435FC"/>
    <w:rsid w:val="003442BE"/>
    <w:rsid w:val="00344328"/>
    <w:rsid w:val="00344A93"/>
    <w:rsid w:val="00345147"/>
    <w:rsid w:val="0034570B"/>
    <w:rsid w:val="0034605C"/>
    <w:rsid w:val="00346A85"/>
    <w:rsid w:val="00346FBB"/>
    <w:rsid w:val="0034729A"/>
    <w:rsid w:val="0034735C"/>
    <w:rsid w:val="00347804"/>
    <w:rsid w:val="00350E88"/>
    <w:rsid w:val="00350FB9"/>
    <w:rsid w:val="00351171"/>
    <w:rsid w:val="00351474"/>
    <w:rsid w:val="00351F63"/>
    <w:rsid w:val="00351FED"/>
    <w:rsid w:val="003522B5"/>
    <w:rsid w:val="00352885"/>
    <w:rsid w:val="003530D6"/>
    <w:rsid w:val="003557D2"/>
    <w:rsid w:val="00355BB3"/>
    <w:rsid w:val="00356AAA"/>
    <w:rsid w:val="00356BF7"/>
    <w:rsid w:val="00357530"/>
    <w:rsid w:val="00357606"/>
    <w:rsid w:val="0035760D"/>
    <w:rsid w:val="00360468"/>
    <w:rsid w:val="00360BC1"/>
    <w:rsid w:val="00360FF6"/>
    <w:rsid w:val="00361731"/>
    <w:rsid w:val="00361A39"/>
    <w:rsid w:val="003620AE"/>
    <w:rsid w:val="00362B9F"/>
    <w:rsid w:val="00362CFD"/>
    <w:rsid w:val="00362D93"/>
    <w:rsid w:val="00363360"/>
    <w:rsid w:val="003639C4"/>
    <w:rsid w:val="00365268"/>
    <w:rsid w:val="00366838"/>
    <w:rsid w:val="0036761E"/>
    <w:rsid w:val="00367C65"/>
    <w:rsid w:val="00367C96"/>
    <w:rsid w:val="003703F6"/>
    <w:rsid w:val="00370EC1"/>
    <w:rsid w:val="003710EA"/>
    <w:rsid w:val="003717B8"/>
    <w:rsid w:val="00371A44"/>
    <w:rsid w:val="00371BA7"/>
    <w:rsid w:val="00371DBD"/>
    <w:rsid w:val="00372003"/>
    <w:rsid w:val="00372022"/>
    <w:rsid w:val="003722B8"/>
    <w:rsid w:val="003728D2"/>
    <w:rsid w:val="00372C20"/>
    <w:rsid w:val="00373326"/>
    <w:rsid w:val="003740BA"/>
    <w:rsid w:val="00374730"/>
    <w:rsid w:val="00375692"/>
    <w:rsid w:val="00375C26"/>
    <w:rsid w:val="003760A7"/>
    <w:rsid w:val="00376260"/>
    <w:rsid w:val="003773C1"/>
    <w:rsid w:val="00377444"/>
    <w:rsid w:val="00377E69"/>
    <w:rsid w:val="0038050F"/>
    <w:rsid w:val="0038179D"/>
    <w:rsid w:val="0038184A"/>
    <w:rsid w:val="00381D4C"/>
    <w:rsid w:val="00382686"/>
    <w:rsid w:val="00382D92"/>
    <w:rsid w:val="00382E29"/>
    <w:rsid w:val="00383322"/>
    <w:rsid w:val="00383BFE"/>
    <w:rsid w:val="0038421C"/>
    <w:rsid w:val="00385119"/>
    <w:rsid w:val="00385463"/>
    <w:rsid w:val="00386240"/>
    <w:rsid w:val="003864E0"/>
    <w:rsid w:val="00386701"/>
    <w:rsid w:val="00387199"/>
    <w:rsid w:val="00387D41"/>
    <w:rsid w:val="00390913"/>
    <w:rsid w:val="00390E0C"/>
    <w:rsid w:val="00391CA1"/>
    <w:rsid w:val="0039273A"/>
    <w:rsid w:val="00392CF5"/>
    <w:rsid w:val="0039372B"/>
    <w:rsid w:val="00393C44"/>
    <w:rsid w:val="00393CE3"/>
    <w:rsid w:val="00394854"/>
    <w:rsid w:val="00394E45"/>
    <w:rsid w:val="00394F2D"/>
    <w:rsid w:val="00395026"/>
    <w:rsid w:val="0039549E"/>
    <w:rsid w:val="00395653"/>
    <w:rsid w:val="00395A25"/>
    <w:rsid w:val="00396D25"/>
    <w:rsid w:val="00396D6C"/>
    <w:rsid w:val="003970D7"/>
    <w:rsid w:val="0039747B"/>
    <w:rsid w:val="0039789B"/>
    <w:rsid w:val="00397C26"/>
    <w:rsid w:val="00397EF9"/>
    <w:rsid w:val="003A056E"/>
    <w:rsid w:val="003A0E12"/>
    <w:rsid w:val="003A1162"/>
    <w:rsid w:val="003A1543"/>
    <w:rsid w:val="003A166B"/>
    <w:rsid w:val="003A17AF"/>
    <w:rsid w:val="003A1BF0"/>
    <w:rsid w:val="003A2D23"/>
    <w:rsid w:val="003A3678"/>
    <w:rsid w:val="003A3F40"/>
    <w:rsid w:val="003A4154"/>
    <w:rsid w:val="003A41D8"/>
    <w:rsid w:val="003A41F6"/>
    <w:rsid w:val="003A513F"/>
    <w:rsid w:val="003A5B9B"/>
    <w:rsid w:val="003A6F73"/>
    <w:rsid w:val="003B006C"/>
    <w:rsid w:val="003B0222"/>
    <w:rsid w:val="003B02F9"/>
    <w:rsid w:val="003B0E43"/>
    <w:rsid w:val="003B1717"/>
    <w:rsid w:val="003B1A5C"/>
    <w:rsid w:val="003B1DD8"/>
    <w:rsid w:val="003B2679"/>
    <w:rsid w:val="003B2D72"/>
    <w:rsid w:val="003B3172"/>
    <w:rsid w:val="003B4006"/>
    <w:rsid w:val="003B4175"/>
    <w:rsid w:val="003B5279"/>
    <w:rsid w:val="003B6332"/>
    <w:rsid w:val="003B66C9"/>
    <w:rsid w:val="003B67F1"/>
    <w:rsid w:val="003B76AC"/>
    <w:rsid w:val="003C05EC"/>
    <w:rsid w:val="003C12B0"/>
    <w:rsid w:val="003C15DF"/>
    <w:rsid w:val="003C1A49"/>
    <w:rsid w:val="003C1ED3"/>
    <w:rsid w:val="003C1FBD"/>
    <w:rsid w:val="003C24E0"/>
    <w:rsid w:val="003C263E"/>
    <w:rsid w:val="003C27CD"/>
    <w:rsid w:val="003C2FDB"/>
    <w:rsid w:val="003C37DB"/>
    <w:rsid w:val="003C3C85"/>
    <w:rsid w:val="003C4D84"/>
    <w:rsid w:val="003C6200"/>
    <w:rsid w:val="003C695D"/>
    <w:rsid w:val="003C69CF"/>
    <w:rsid w:val="003C6D05"/>
    <w:rsid w:val="003C7645"/>
    <w:rsid w:val="003C7C48"/>
    <w:rsid w:val="003D0449"/>
    <w:rsid w:val="003D0AD5"/>
    <w:rsid w:val="003D183F"/>
    <w:rsid w:val="003D1A02"/>
    <w:rsid w:val="003D21C7"/>
    <w:rsid w:val="003D245E"/>
    <w:rsid w:val="003D24A6"/>
    <w:rsid w:val="003D2D8B"/>
    <w:rsid w:val="003D3925"/>
    <w:rsid w:val="003D3ABA"/>
    <w:rsid w:val="003D44C3"/>
    <w:rsid w:val="003D462C"/>
    <w:rsid w:val="003D5860"/>
    <w:rsid w:val="003D61BE"/>
    <w:rsid w:val="003D61F0"/>
    <w:rsid w:val="003D6435"/>
    <w:rsid w:val="003D7642"/>
    <w:rsid w:val="003D7669"/>
    <w:rsid w:val="003E0498"/>
    <w:rsid w:val="003E0759"/>
    <w:rsid w:val="003E07EF"/>
    <w:rsid w:val="003E0DF0"/>
    <w:rsid w:val="003E1A1C"/>
    <w:rsid w:val="003E1DEC"/>
    <w:rsid w:val="003E2A8C"/>
    <w:rsid w:val="003E2FC7"/>
    <w:rsid w:val="003E30CE"/>
    <w:rsid w:val="003E493D"/>
    <w:rsid w:val="003E61EE"/>
    <w:rsid w:val="003E64A3"/>
    <w:rsid w:val="003E6BED"/>
    <w:rsid w:val="003E7802"/>
    <w:rsid w:val="003E7D1E"/>
    <w:rsid w:val="003E7DF4"/>
    <w:rsid w:val="003F0371"/>
    <w:rsid w:val="003F040A"/>
    <w:rsid w:val="003F06EB"/>
    <w:rsid w:val="003F0C73"/>
    <w:rsid w:val="003F124C"/>
    <w:rsid w:val="003F2416"/>
    <w:rsid w:val="003F2761"/>
    <w:rsid w:val="003F2F50"/>
    <w:rsid w:val="003F335C"/>
    <w:rsid w:val="003F3C0C"/>
    <w:rsid w:val="003F3FA9"/>
    <w:rsid w:val="003F46B2"/>
    <w:rsid w:val="003F46C7"/>
    <w:rsid w:val="003F4D73"/>
    <w:rsid w:val="003F51C7"/>
    <w:rsid w:val="003F6430"/>
    <w:rsid w:val="003F6E8C"/>
    <w:rsid w:val="003F765A"/>
    <w:rsid w:val="003F7C8C"/>
    <w:rsid w:val="00400C83"/>
    <w:rsid w:val="004016B2"/>
    <w:rsid w:val="00401818"/>
    <w:rsid w:val="00401879"/>
    <w:rsid w:val="00401EBC"/>
    <w:rsid w:val="00402068"/>
    <w:rsid w:val="004028DC"/>
    <w:rsid w:val="004033DD"/>
    <w:rsid w:val="0040436D"/>
    <w:rsid w:val="0040497C"/>
    <w:rsid w:val="00404EAC"/>
    <w:rsid w:val="00404FA4"/>
    <w:rsid w:val="00404FF0"/>
    <w:rsid w:val="00405401"/>
    <w:rsid w:val="00405685"/>
    <w:rsid w:val="00407504"/>
    <w:rsid w:val="004075C3"/>
    <w:rsid w:val="00407B27"/>
    <w:rsid w:val="004114BA"/>
    <w:rsid w:val="0041172F"/>
    <w:rsid w:val="00412BDB"/>
    <w:rsid w:val="004144BB"/>
    <w:rsid w:val="00414747"/>
    <w:rsid w:val="00414D59"/>
    <w:rsid w:val="00415BD8"/>
    <w:rsid w:val="004162B4"/>
    <w:rsid w:val="004169D3"/>
    <w:rsid w:val="00417E65"/>
    <w:rsid w:val="00420156"/>
    <w:rsid w:val="00420671"/>
    <w:rsid w:val="00421ACB"/>
    <w:rsid w:val="0042276B"/>
    <w:rsid w:val="00422818"/>
    <w:rsid w:val="00422CE0"/>
    <w:rsid w:val="00423579"/>
    <w:rsid w:val="0042374F"/>
    <w:rsid w:val="00423A26"/>
    <w:rsid w:val="00423D02"/>
    <w:rsid w:val="00423F3C"/>
    <w:rsid w:val="0042404A"/>
    <w:rsid w:val="004248D1"/>
    <w:rsid w:val="00425F32"/>
    <w:rsid w:val="00427916"/>
    <w:rsid w:val="00427E39"/>
    <w:rsid w:val="00430BA3"/>
    <w:rsid w:val="00431828"/>
    <w:rsid w:val="00431AF1"/>
    <w:rsid w:val="00432024"/>
    <w:rsid w:val="0043274B"/>
    <w:rsid w:val="00432A2D"/>
    <w:rsid w:val="00432BDF"/>
    <w:rsid w:val="00432EB3"/>
    <w:rsid w:val="00432F87"/>
    <w:rsid w:val="00432FD6"/>
    <w:rsid w:val="0043301D"/>
    <w:rsid w:val="0043347B"/>
    <w:rsid w:val="004335CA"/>
    <w:rsid w:val="00433E55"/>
    <w:rsid w:val="00434D89"/>
    <w:rsid w:val="00435B69"/>
    <w:rsid w:val="00435C81"/>
    <w:rsid w:val="004361B3"/>
    <w:rsid w:val="004368F6"/>
    <w:rsid w:val="00436A22"/>
    <w:rsid w:val="00440119"/>
    <w:rsid w:val="0044015F"/>
    <w:rsid w:val="00440648"/>
    <w:rsid w:val="00440B6B"/>
    <w:rsid w:val="00441CE4"/>
    <w:rsid w:val="00442201"/>
    <w:rsid w:val="004426C2"/>
    <w:rsid w:val="00442EF7"/>
    <w:rsid w:val="00444132"/>
    <w:rsid w:val="00444432"/>
    <w:rsid w:val="004451A7"/>
    <w:rsid w:val="00445FE5"/>
    <w:rsid w:val="00445FF4"/>
    <w:rsid w:val="0044649A"/>
    <w:rsid w:val="00446E09"/>
    <w:rsid w:val="00447404"/>
    <w:rsid w:val="00447467"/>
    <w:rsid w:val="00447C96"/>
    <w:rsid w:val="00450A8B"/>
    <w:rsid w:val="004521FE"/>
    <w:rsid w:val="004529F0"/>
    <w:rsid w:val="00452CA1"/>
    <w:rsid w:val="00452D8A"/>
    <w:rsid w:val="00454C34"/>
    <w:rsid w:val="00454D6F"/>
    <w:rsid w:val="004551E7"/>
    <w:rsid w:val="004557E2"/>
    <w:rsid w:val="00455BCA"/>
    <w:rsid w:val="004571CD"/>
    <w:rsid w:val="0045775B"/>
    <w:rsid w:val="004605E8"/>
    <w:rsid w:val="004608DD"/>
    <w:rsid w:val="004619DD"/>
    <w:rsid w:val="00461A15"/>
    <w:rsid w:val="004632DE"/>
    <w:rsid w:val="004638E3"/>
    <w:rsid w:val="00463B7D"/>
    <w:rsid w:val="00463D8B"/>
    <w:rsid w:val="004647FF"/>
    <w:rsid w:val="00464913"/>
    <w:rsid w:val="00464E9E"/>
    <w:rsid w:val="004663F9"/>
    <w:rsid w:val="00467001"/>
    <w:rsid w:val="00467F89"/>
    <w:rsid w:val="00470366"/>
    <w:rsid w:val="004704B3"/>
    <w:rsid w:val="00470845"/>
    <w:rsid w:val="00471115"/>
    <w:rsid w:val="00471B67"/>
    <w:rsid w:val="00472275"/>
    <w:rsid w:val="00472480"/>
    <w:rsid w:val="00472EC5"/>
    <w:rsid w:val="00472FD3"/>
    <w:rsid w:val="004737B1"/>
    <w:rsid w:val="004737FA"/>
    <w:rsid w:val="00473CFC"/>
    <w:rsid w:val="00473F29"/>
    <w:rsid w:val="00474478"/>
    <w:rsid w:val="0047468C"/>
    <w:rsid w:val="00476EA0"/>
    <w:rsid w:val="004771F3"/>
    <w:rsid w:val="004775F3"/>
    <w:rsid w:val="00477F97"/>
    <w:rsid w:val="00480408"/>
    <w:rsid w:val="004804D1"/>
    <w:rsid w:val="00480B49"/>
    <w:rsid w:val="00480B69"/>
    <w:rsid w:val="0048238F"/>
    <w:rsid w:val="0048286F"/>
    <w:rsid w:val="00482E92"/>
    <w:rsid w:val="0048377E"/>
    <w:rsid w:val="004837BC"/>
    <w:rsid w:val="00483D3D"/>
    <w:rsid w:val="00483D48"/>
    <w:rsid w:val="00483E59"/>
    <w:rsid w:val="00483EA2"/>
    <w:rsid w:val="00483F40"/>
    <w:rsid w:val="00484073"/>
    <w:rsid w:val="004844A1"/>
    <w:rsid w:val="00484C24"/>
    <w:rsid w:val="00484DB8"/>
    <w:rsid w:val="004850E7"/>
    <w:rsid w:val="00485691"/>
    <w:rsid w:val="00485D8E"/>
    <w:rsid w:val="00487191"/>
    <w:rsid w:val="00487778"/>
    <w:rsid w:val="0049022C"/>
    <w:rsid w:val="00490904"/>
    <w:rsid w:val="0049092A"/>
    <w:rsid w:val="00491094"/>
    <w:rsid w:val="00491F5E"/>
    <w:rsid w:val="00492486"/>
    <w:rsid w:val="0049283A"/>
    <w:rsid w:val="00493B38"/>
    <w:rsid w:val="0049407E"/>
    <w:rsid w:val="004940E9"/>
    <w:rsid w:val="0049439F"/>
    <w:rsid w:val="00494B88"/>
    <w:rsid w:val="00494DBA"/>
    <w:rsid w:val="00495F1B"/>
    <w:rsid w:val="00496AA5"/>
    <w:rsid w:val="00496B4D"/>
    <w:rsid w:val="004975A4"/>
    <w:rsid w:val="004A108E"/>
    <w:rsid w:val="004A17DE"/>
    <w:rsid w:val="004A2432"/>
    <w:rsid w:val="004A3082"/>
    <w:rsid w:val="004A39E2"/>
    <w:rsid w:val="004A3BFB"/>
    <w:rsid w:val="004A44EE"/>
    <w:rsid w:val="004A47BF"/>
    <w:rsid w:val="004A52EC"/>
    <w:rsid w:val="004A55C1"/>
    <w:rsid w:val="004A5BE2"/>
    <w:rsid w:val="004A5F63"/>
    <w:rsid w:val="004A7095"/>
    <w:rsid w:val="004A70B9"/>
    <w:rsid w:val="004A70E3"/>
    <w:rsid w:val="004A738E"/>
    <w:rsid w:val="004A7BA2"/>
    <w:rsid w:val="004A7C97"/>
    <w:rsid w:val="004B115D"/>
    <w:rsid w:val="004B1444"/>
    <w:rsid w:val="004B1C4F"/>
    <w:rsid w:val="004B2145"/>
    <w:rsid w:val="004B21DD"/>
    <w:rsid w:val="004B258D"/>
    <w:rsid w:val="004B2B6E"/>
    <w:rsid w:val="004B3138"/>
    <w:rsid w:val="004B36F9"/>
    <w:rsid w:val="004B3F26"/>
    <w:rsid w:val="004B4198"/>
    <w:rsid w:val="004B4D2C"/>
    <w:rsid w:val="004B52FB"/>
    <w:rsid w:val="004B5A1E"/>
    <w:rsid w:val="004B632C"/>
    <w:rsid w:val="004B667C"/>
    <w:rsid w:val="004B6BA0"/>
    <w:rsid w:val="004B6EDC"/>
    <w:rsid w:val="004B771D"/>
    <w:rsid w:val="004B7F29"/>
    <w:rsid w:val="004C0D77"/>
    <w:rsid w:val="004C1661"/>
    <w:rsid w:val="004C16BF"/>
    <w:rsid w:val="004C1B70"/>
    <w:rsid w:val="004C1D97"/>
    <w:rsid w:val="004C3597"/>
    <w:rsid w:val="004C382B"/>
    <w:rsid w:val="004C40D0"/>
    <w:rsid w:val="004C4354"/>
    <w:rsid w:val="004C4360"/>
    <w:rsid w:val="004C4B2B"/>
    <w:rsid w:val="004C4B55"/>
    <w:rsid w:val="004C4D92"/>
    <w:rsid w:val="004C5B47"/>
    <w:rsid w:val="004C6606"/>
    <w:rsid w:val="004C6FC9"/>
    <w:rsid w:val="004C7775"/>
    <w:rsid w:val="004C7AAF"/>
    <w:rsid w:val="004D02F1"/>
    <w:rsid w:val="004D0384"/>
    <w:rsid w:val="004D1067"/>
    <w:rsid w:val="004D14FD"/>
    <w:rsid w:val="004D1558"/>
    <w:rsid w:val="004D1C5A"/>
    <w:rsid w:val="004D1EC1"/>
    <w:rsid w:val="004D20B8"/>
    <w:rsid w:val="004D27DE"/>
    <w:rsid w:val="004D2C59"/>
    <w:rsid w:val="004D2CDA"/>
    <w:rsid w:val="004D3CC6"/>
    <w:rsid w:val="004D4231"/>
    <w:rsid w:val="004D44CE"/>
    <w:rsid w:val="004D48FB"/>
    <w:rsid w:val="004D5250"/>
    <w:rsid w:val="004D53EF"/>
    <w:rsid w:val="004D5557"/>
    <w:rsid w:val="004D608E"/>
    <w:rsid w:val="004D6599"/>
    <w:rsid w:val="004D6B21"/>
    <w:rsid w:val="004D6B58"/>
    <w:rsid w:val="004D6F02"/>
    <w:rsid w:val="004D72CF"/>
    <w:rsid w:val="004D7CDE"/>
    <w:rsid w:val="004E04FE"/>
    <w:rsid w:val="004E0F81"/>
    <w:rsid w:val="004E1053"/>
    <w:rsid w:val="004E11E0"/>
    <w:rsid w:val="004E1974"/>
    <w:rsid w:val="004E2692"/>
    <w:rsid w:val="004E35E3"/>
    <w:rsid w:val="004E3F17"/>
    <w:rsid w:val="004E405C"/>
    <w:rsid w:val="004E544C"/>
    <w:rsid w:val="004E54C4"/>
    <w:rsid w:val="004E5919"/>
    <w:rsid w:val="004E5A91"/>
    <w:rsid w:val="004E5B77"/>
    <w:rsid w:val="004E5E40"/>
    <w:rsid w:val="004E66EA"/>
    <w:rsid w:val="004E66FE"/>
    <w:rsid w:val="004E6D7D"/>
    <w:rsid w:val="004E7B19"/>
    <w:rsid w:val="004F09D0"/>
    <w:rsid w:val="004F11AF"/>
    <w:rsid w:val="004F1582"/>
    <w:rsid w:val="004F386D"/>
    <w:rsid w:val="004F3D8A"/>
    <w:rsid w:val="004F4312"/>
    <w:rsid w:val="004F4578"/>
    <w:rsid w:val="004F4FAE"/>
    <w:rsid w:val="004F5CB9"/>
    <w:rsid w:val="004F5E3E"/>
    <w:rsid w:val="004F602A"/>
    <w:rsid w:val="004F65BE"/>
    <w:rsid w:val="004F694E"/>
    <w:rsid w:val="004F7482"/>
    <w:rsid w:val="004F7544"/>
    <w:rsid w:val="004F7F9A"/>
    <w:rsid w:val="00500303"/>
    <w:rsid w:val="00500556"/>
    <w:rsid w:val="0050103E"/>
    <w:rsid w:val="00501263"/>
    <w:rsid w:val="00501462"/>
    <w:rsid w:val="005015E2"/>
    <w:rsid w:val="005020BE"/>
    <w:rsid w:val="005030B1"/>
    <w:rsid w:val="00503E60"/>
    <w:rsid w:val="005041DB"/>
    <w:rsid w:val="00504207"/>
    <w:rsid w:val="00504AD3"/>
    <w:rsid w:val="00504EE6"/>
    <w:rsid w:val="005058A9"/>
    <w:rsid w:val="00505DC8"/>
    <w:rsid w:val="00506083"/>
    <w:rsid w:val="005064F1"/>
    <w:rsid w:val="00506532"/>
    <w:rsid w:val="00506912"/>
    <w:rsid w:val="0050706F"/>
    <w:rsid w:val="0050737C"/>
    <w:rsid w:val="00507D4C"/>
    <w:rsid w:val="005103D8"/>
    <w:rsid w:val="005106E8"/>
    <w:rsid w:val="00510F0A"/>
    <w:rsid w:val="0051156F"/>
    <w:rsid w:val="0051199A"/>
    <w:rsid w:val="00511A30"/>
    <w:rsid w:val="00512491"/>
    <w:rsid w:val="005130DE"/>
    <w:rsid w:val="005136F3"/>
    <w:rsid w:val="00514135"/>
    <w:rsid w:val="005149DC"/>
    <w:rsid w:val="00515328"/>
    <w:rsid w:val="005153B9"/>
    <w:rsid w:val="005155CB"/>
    <w:rsid w:val="005157E7"/>
    <w:rsid w:val="00515810"/>
    <w:rsid w:val="00515ACB"/>
    <w:rsid w:val="00516C42"/>
    <w:rsid w:val="00516CEB"/>
    <w:rsid w:val="00516D00"/>
    <w:rsid w:val="00517035"/>
    <w:rsid w:val="00517BC8"/>
    <w:rsid w:val="00517D31"/>
    <w:rsid w:val="005201DE"/>
    <w:rsid w:val="00520D6C"/>
    <w:rsid w:val="00521230"/>
    <w:rsid w:val="00521E2F"/>
    <w:rsid w:val="005223D3"/>
    <w:rsid w:val="00522EF5"/>
    <w:rsid w:val="005235EC"/>
    <w:rsid w:val="00524068"/>
    <w:rsid w:val="0052585C"/>
    <w:rsid w:val="0052590E"/>
    <w:rsid w:val="00525BAD"/>
    <w:rsid w:val="00527243"/>
    <w:rsid w:val="005279CB"/>
    <w:rsid w:val="0053001B"/>
    <w:rsid w:val="00530654"/>
    <w:rsid w:val="005309AC"/>
    <w:rsid w:val="00530F75"/>
    <w:rsid w:val="00531974"/>
    <w:rsid w:val="00531F82"/>
    <w:rsid w:val="005322B2"/>
    <w:rsid w:val="00532A0A"/>
    <w:rsid w:val="00532F65"/>
    <w:rsid w:val="00533EDF"/>
    <w:rsid w:val="00534E83"/>
    <w:rsid w:val="005351EC"/>
    <w:rsid w:val="005353E0"/>
    <w:rsid w:val="00535715"/>
    <w:rsid w:val="0053575A"/>
    <w:rsid w:val="005361E1"/>
    <w:rsid w:val="0053632F"/>
    <w:rsid w:val="00536DA4"/>
    <w:rsid w:val="005377F6"/>
    <w:rsid w:val="00540A90"/>
    <w:rsid w:val="005430AD"/>
    <w:rsid w:val="0054333C"/>
    <w:rsid w:val="00543715"/>
    <w:rsid w:val="00543D7F"/>
    <w:rsid w:val="00543DC9"/>
    <w:rsid w:val="00543DCD"/>
    <w:rsid w:val="0054436E"/>
    <w:rsid w:val="0054445B"/>
    <w:rsid w:val="00544F31"/>
    <w:rsid w:val="00544F9F"/>
    <w:rsid w:val="005451D7"/>
    <w:rsid w:val="0054529B"/>
    <w:rsid w:val="00546E87"/>
    <w:rsid w:val="005476E1"/>
    <w:rsid w:val="00547F31"/>
    <w:rsid w:val="005500C2"/>
    <w:rsid w:val="00551D66"/>
    <w:rsid w:val="00552E2C"/>
    <w:rsid w:val="00552E50"/>
    <w:rsid w:val="00553D85"/>
    <w:rsid w:val="00553E78"/>
    <w:rsid w:val="00554420"/>
    <w:rsid w:val="005558EB"/>
    <w:rsid w:val="005565D6"/>
    <w:rsid w:val="005565FC"/>
    <w:rsid w:val="0055726C"/>
    <w:rsid w:val="00557D62"/>
    <w:rsid w:val="00560338"/>
    <w:rsid w:val="005604E3"/>
    <w:rsid w:val="00560614"/>
    <w:rsid w:val="005608F3"/>
    <w:rsid w:val="00560A1E"/>
    <w:rsid w:val="005610EF"/>
    <w:rsid w:val="00561626"/>
    <w:rsid w:val="00561BDD"/>
    <w:rsid w:val="0056224A"/>
    <w:rsid w:val="00562486"/>
    <w:rsid w:val="00562AC0"/>
    <w:rsid w:val="005635C3"/>
    <w:rsid w:val="00563644"/>
    <w:rsid w:val="00563728"/>
    <w:rsid w:val="00563901"/>
    <w:rsid w:val="00564417"/>
    <w:rsid w:val="0056530D"/>
    <w:rsid w:val="005655CB"/>
    <w:rsid w:val="0056578A"/>
    <w:rsid w:val="0056706B"/>
    <w:rsid w:val="00567647"/>
    <w:rsid w:val="0056766E"/>
    <w:rsid w:val="00567D06"/>
    <w:rsid w:val="00570CA8"/>
    <w:rsid w:val="005712BB"/>
    <w:rsid w:val="005712E9"/>
    <w:rsid w:val="00571467"/>
    <w:rsid w:val="00572111"/>
    <w:rsid w:val="00572751"/>
    <w:rsid w:val="0057297D"/>
    <w:rsid w:val="00572987"/>
    <w:rsid w:val="00573043"/>
    <w:rsid w:val="00573381"/>
    <w:rsid w:val="005744D5"/>
    <w:rsid w:val="00574700"/>
    <w:rsid w:val="00575EBF"/>
    <w:rsid w:val="0057651E"/>
    <w:rsid w:val="00577173"/>
    <w:rsid w:val="00577644"/>
    <w:rsid w:val="00577C69"/>
    <w:rsid w:val="00580CB7"/>
    <w:rsid w:val="00580EEB"/>
    <w:rsid w:val="00580FCA"/>
    <w:rsid w:val="00581F1C"/>
    <w:rsid w:val="00582E20"/>
    <w:rsid w:val="00584DF7"/>
    <w:rsid w:val="00585386"/>
    <w:rsid w:val="00585A03"/>
    <w:rsid w:val="00586835"/>
    <w:rsid w:val="005872B2"/>
    <w:rsid w:val="00587794"/>
    <w:rsid w:val="00587829"/>
    <w:rsid w:val="005879FE"/>
    <w:rsid w:val="00590874"/>
    <w:rsid w:val="00591D21"/>
    <w:rsid w:val="005921FB"/>
    <w:rsid w:val="00592524"/>
    <w:rsid w:val="00592958"/>
    <w:rsid w:val="00592A14"/>
    <w:rsid w:val="00592B5A"/>
    <w:rsid w:val="00592B67"/>
    <w:rsid w:val="00593876"/>
    <w:rsid w:val="005939F3"/>
    <w:rsid w:val="00593B4B"/>
    <w:rsid w:val="00594E40"/>
    <w:rsid w:val="00594EFC"/>
    <w:rsid w:val="00594FF5"/>
    <w:rsid w:val="00595449"/>
    <w:rsid w:val="00595463"/>
    <w:rsid w:val="005955D5"/>
    <w:rsid w:val="00595691"/>
    <w:rsid w:val="005956DE"/>
    <w:rsid w:val="00595CF5"/>
    <w:rsid w:val="0059625C"/>
    <w:rsid w:val="0059640F"/>
    <w:rsid w:val="00596DD6"/>
    <w:rsid w:val="00597C47"/>
    <w:rsid w:val="005A009D"/>
    <w:rsid w:val="005A0462"/>
    <w:rsid w:val="005A0AC5"/>
    <w:rsid w:val="005A0DF5"/>
    <w:rsid w:val="005A17DE"/>
    <w:rsid w:val="005A1A8A"/>
    <w:rsid w:val="005A1A8E"/>
    <w:rsid w:val="005A227F"/>
    <w:rsid w:val="005A23AD"/>
    <w:rsid w:val="005A27FA"/>
    <w:rsid w:val="005A2A34"/>
    <w:rsid w:val="005A2C62"/>
    <w:rsid w:val="005A2E99"/>
    <w:rsid w:val="005A30FC"/>
    <w:rsid w:val="005A339C"/>
    <w:rsid w:val="005A3F97"/>
    <w:rsid w:val="005A4A13"/>
    <w:rsid w:val="005A4AB8"/>
    <w:rsid w:val="005A4FE7"/>
    <w:rsid w:val="005A5691"/>
    <w:rsid w:val="005A56A4"/>
    <w:rsid w:val="005A5A2F"/>
    <w:rsid w:val="005A629D"/>
    <w:rsid w:val="005A6529"/>
    <w:rsid w:val="005A686B"/>
    <w:rsid w:val="005A694B"/>
    <w:rsid w:val="005A6B48"/>
    <w:rsid w:val="005A6D42"/>
    <w:rsid w:val="005A7375"/>
    <w:rsid w:val="005A73D3"/>
    <w:rsid w:val="005A7727"/>
    <w:rsid w:val="005A7DCC"/>
    <w:rsid w:val="005B0107"/>
    <w:rsid w:val="005B078E"/>
    <w:rsid w:val="005B0AAD"/>
    <w:rsid w:val="005B14D4"/>
    <w:rsid w:val="005B2BCD"/>
    <w:rsid w:val="005B2D53"/>
    <w:rsid w:val="005B2E70"/>
    <w:rsid w:val="005B3113"/>
    <w:rsid w:val="005B313D"/>
    <w:rsid w:val="005B3B37"/>
    <w:rsid w:val="005B3BB1"/>
    <w:rsid w:val="005B405F"/>
    <w:rsid w:val="005B4159"/>
    <w:rsid w:val="005B4235"/>
    <w:rsid w:val="005B43C5"/>
    <w:rsid w:val="005B4C17"/>
    <w:rsid w:val="005B4ED0"/>
    <w:rsid w:val="005B516A"/>
    <w:rsid w:val="005B528B"/>
    <w:rsid w:val="005B56F1"/>
    <w:rsid w:val="005B6115"/>
    <w:rsid w:val="005B61BD"/>
    <w:rsid w:val="005B627E"/>
    <w:rsid w:val="005B62DC"/>
    <w:rsid w:val="005B6512"/>
    <w:rsid w:val="005B65A0"/>
    <w:rsid w:val="005B6DC7"/>
    <w:rsid w:val="005B6DE5"/>
    <w:rsid w:val="005B753D"/>
    <w:rsid w:val="005B792E"/>
    <w:rsid w:val="005C1CBD"/>
    <w:rsid w:val="005C26DB"/>
    <w:rsid w:val="005C286F"/>
    <w:rsid w:val="005C36A7"/>
    <w:rsid w:val="005C3945"/>
    <w:rsid w:val="005C466A"/>
    <w:rsid w:val="005C4986"/>
    <w:rsid w:val="005C4C30"/>
    <w:rsid w:val="005C4E9F"/>
    <w:rsid w:val="005C5260"/>
    <w:rsid w:val="005C576C"/>
    <w:rsid w:val="005C5C51"/>
    <w:rsid w:val="005C5D0A"/>
    <w:rsid w:val="005C6338"/>
    <w:rsid w:val="005C663E"/>
    <w:rsid w:val="005C664C"/>
    <w:rsid w:val="005C6BCA"/>
    <w:rsid w:val="005C70BC"/>
    <w:rsid w:val="005C74F6"/>
    <w:rsid w:val="005C768F"/>
    <w:rsid w:val="005C7BAB"/>
    <w:rsid w:val="005C7C22"/>
    <w:rsid w:val="005D00FF"/>
    <w:rsid w:val="005D07E0"/>
    <w:rsid w:val="005D103E"/>
    <w:rsid w:val="005D1093"/>
    <w:rsid w:val="005D1525"/>
    <w:rsid w:val="005D1A38"/>
    <w:rsid w:val="005D2180"/>
    <w:rsid w:val="005D22F6"/>
    <w:rsid w:val="005D2734"/>
    <w:rsid w:val="005D2776"/>
    <w:rsid w:val="005D2CF8"/>
    <w:rsid w:val="005D3BE5"/>
    <w:rsid w:val="005D43C5"/>
    <w:rsid w:val="005D5CAF"/>
    <w:rsid w:val="005D62B1"/>
    <w:rsid w:val="005D6795"/>
    <w:rsid w:val="005D6EEA"/>
    <w:rsid w:val="005D706C"/>
    <w:rsid w:val="005D707E"/>
    <w:rsid w:val="005E0220"/>
    <w:rsid w:val="005E0295"/>
    <w:rsid w:val="005E04CD"/>
    <w:rsid w:val="005E0D79"/>
    <w:rsid w:val="005E0E78"/>
    <w:rsid w:val="005E1652"/>
    <w:rsid w:val="005E3214"/>
    <w:rsid w:val="005E3FCD"/>
    <w:rsid w:val="005E585A"/>
    <w:rsid w:val="005E61FB"/>
    <w:rsid w:val="005E620D"/>
    <w:rsid w:val="005E6328"/>
    <w:rsid w:val="005E634E"/>
    <w:rsid w:val="005E6D4C"/>
    <w:rsid w:val="005F0187"/>
    <w:rsid w:val="005F0CBC"/>
    <w:rsid w:val="005F2321"/>
    <w:rsid w:val="005F2BC0"/>
    <w:rsid w:val="005F3573"/>
    <w:rsid w:val="005F3964"/>
    <w:rsid w:val="005F3C80"/>
    <w:rsid w:val="005F421C"/>
    <w:rsid w:val="005F5875"/>
    <w:rsid w:val="005F59ED"/>
    <w:rsid w:val="005F5B4D"/>
    <w:rsid w:val="005F5E2A"/>
    <w:rsid w:val="005F65CE"/>
    <w:rsid w:val="005F6FFD"/>
    <w:rsid w:val="0060086A"/>
    <w:rsid w:val="00601509"/>
    <w:rsid w:val="00601BC0"/>
    <w:rsid w:val="00601E21"/>
    <w:rsid w:val="00602139"/>
    <w:rsid w:val="00602503"/>
    <w:rsid w:val="0060277E"/>
    <w:rsid w:val="0060309C"/>
    <w:rsid w:val="00603EAE"/>
    <w:rsid w:val="006049EF"/>
    <w:rsid w:val="00604EB9"/>
    <w:rsid w:val="00605847"/>
    <w:rsid w:val="00605BAD"/>
    <w:rsid w:val="00605BC3"/>
    <w:rsid w:val="00605D51"/>
    <w:rsid w:val="0060605F"/>
    <w:rsid w:val="0060681A"/>
    <w:rsid w:val="00606D01"/>
    <w:rsid w:val="006075A6"/>
    <w:rsid w:val="00610381"/>
    <w:rsid w:val="006107A3"/>
    <w:rsid w:val="006108A3"/>
    <w:rsid w:val="00610B10"/>
    <w:rsid w:val="006118E5"/>
    <w:rsid w:val="00612468"/>
    <w:rsid w:val="00612EA8"/>
    <w:rsid w:val="006134D2"/>
    <w:rsid w:val="00613EE2"/>
    <w:rsid w:val="00613EEC"/>
    <w:rsid w:val="00613FC3"/>
    <w:rsid w:val="0061423A"/>
    <w:rsid w:val="0061525B"/>
    <w:rsid w:val="00615718"/>
    <w:rsid w:val="00616343"/>
    <w:rsid w:val="00616CC4"/>
    <w:rsid w:val="00616D2E"/>
    <w:rsid w:val="0061759F"/>
    <w:rsid w:val="00621500"/>
    <w:rsid w:val="006217AC"/>
    <w:rsid w:val="00621C21"/>
    <w:rsid w:val="00621C6D"/>
    <w:rsid w:val="00622286"/>
    <w:rsid w:val="00622D70"/>
    <w:rsid w:val="00623F16"/>
    <w:rsid w:val="006244E1"/>
    <w:rsid w:val="006246E1"/>
    <w:rsid w:val="00625181"/>
    <w:rsid w:val="0062567C"/>
    <w:rsid w:val="00625D0F"/>
    <w:rsid w:val="00625E03"/>
    <w:rsid w:val="0062605F"/>
    <w:rsid w:val="00626303"/>
    <w:rsid w:val="00626425"/>
    <w:rsid w:val="00626CFB"/>
    <w:rsid w:val="00626EAA"/>
    <w:rsid w:val="0062788C"/>
    <w:rsid w:val="00627944"/>
    <w:rsid w:val="00630B0B"/>
    <w:rsid w:val="0063109B"/>
    <w:rsid w:val="00631377"/>
    <w:rsid w:val="00631584"/>
    <w:rsid w:val="00631A94"/>
    <w:rsid w:val="006323ED"/>
    <w:rsid w:val="00633815"/>
    <w:rsid w:val="00634A59"/>
    <w:rsid w:val="00634FF4"/>
    <w:rsid w:val="00635166"/>
    <w:rsid w:val="006351B9"/>
    <w:rsid w:val="0063567E"/>
    <w:rsid w:val="00636BBE"/>
    <w:rsid w:val="00637603"/>
    <w:rsid w:val="00637D47"/>
    <w:rsid w:val="00640834"/>
    <w:rsid w:val="006411AA"/>
    <w:rsid w:val="006412AD"/>
    <w:rsid w:val="006413B6"/>
    <w:rsid w:val="00641BA4"/>
    <w:rsid w:val="00642CDA"/>
    <w:rsid w:val="006430CF"/>
    <w:rsid w:val="006440CE"/>
    <w:rsid w:val="006445F5"/>
    <w:rsid w:val="00644863"/>
    <w:rsid w:val="00644E04"/>
    <w:rsid w:val="00645402"/>
    <w:rsid w:val="006458B8"/>
    <w:rsid w:val="0064592C"/>
    <w:rsid w:val="00645EA7"/>
    <w:rsid w:val="00646155"/>
    <w:rsid w:val="00646324"/>
    <w:rsid w:val="00646686"/>
    <w:rsid w:val="00646D4F"/>
    <w:rsid w:val="00647126"/>
    <w:rsid w:val="00647C71"/>
    <w:rsid w:val="00650951"/>
    <w:rsid w:val="00651661"/>
    <w:rsid w:val="0065168C"/>
    <w:rsid w:val="00651BD6"/>
    <w:rsid w:val="006520C7"/>
    <w:rsid w:val="006528E9"/>
    <w:rsid w:val="00652A7C"/>
    <w:rsid w:val="00652C32"/>
    <w:rsid w:val="00652C69"/>
    <w:rsid w:val="006532DA"/>
    <w:rsid w:val="006537AC"/>
    <w:rsid w:val="006538C2"/>
    <w:rsid w:val="00653B1F"/>
    <w:rsid w:val="0065421D"/>
    <w:rsid w:val="00654545"/>
    <w:rsid w:val="006549EE"/>
    <w:rsid w:val="00654B35"/>
    <w:rsid w:val="00654B47"/>
    <w:rsid w:val="00654C27"/>
    <w:rsid w:val="00654F2E"/>
    <w:rsid w:val="006550F4"/>
    <w:rsid w:val="00656ED3"/>
    <w:rsid w:val="00657478"/>
    <w:rsid w:val="0066051B"/>
    <w:rsid w:val="00660E5B"/>
    <w:rsid w:val="006611CE"/>
    <w:rsid w:val="00661651"/>
    <w:rsid w:val="00662553"/>
    <w:rsid w:val="006628E3"/>
    <w:rsid w:val="00662EB1"/>
    <w:rsid w:val="006638CF"/>
    <w:rsid w:val="00663F31"/>
    <w:rsid w:val="006648BF"/>
    <w:rsid w:val="00665405"/>
    <w:rsid w:val="006661A9"/>
    <w:rsid w:val="00666509"/>
    <w:rsid w:val="006665DD"/>
    <w:rsid w:val="0067049E"/>
    <w:rsid w:val="00670A28"/>
    <w:rsid w:val="006710BE"/>
    <w:rsid w:val="0067118F"/>
    <w:rsid w:val="00671AF6"/>
    <w:rsid w:val="00671B62"/>
    <w:rsid w:val="00671CEE"/>
    <w:rsid w:val="00672A74"/>
    <w:rsid w:val="00672EFE"/>
    <w:rsid w:val="00672F85"/>
    <w:rsid w:val="00673750"/>
    <w:rsid w:val="006739C2"/>
    <w:rsid w:val="00673B8A"/>
    <w:rsid w:val="00673D59"/>
    <w:rsid w:val="006744FF"/>
    <w:rsid w:val="006748CE"/>
    <w:rsid w:val="00676102"/>
    <w:rsid w:val="006767EA"/>
    <w:rsid w:val="00676A3B"/>
    <w:rsid w:val="006771C1"/>
    <w:rsid w:val="006771E6"/>
    <w:rsid w:val="00677AFF"/>
    <w:rsid w:val="00680F9C"/>
    <w:rsid w:val="006814CC"/>
    <w:rsid w:val="00681540"/>
    <w:rsid w:val="00681E3E"/>
    <w:rsid w:val="0068227D"/>
    <w:rsid w:val="006836A9"/>
    <w:rsid w:val="006837E3"/>
    <w:rsid w:val="006838CE"/>
    <w:rsid w:val="00684642"/>
    <w:rsid w:val="006847B2"/>
    <w:rsid w:val="006850C6"/>
    <w:rsid w:val="00685CD0"/>
    <w:rsid w:val="00686129"/>
    <w:rsid w:val="006874E4"/>
    <w:rsid w:val="006875F7"/>
    <w:rsid w:val="00687740"/>
    <w:rsid w:val="00687782"/>
    <w:rsid w:val="006915AC"/>
    <w:rsid w:val="00691B4A"/>
    <w:rsid w:val="00691C84"/>
    <w:rsid w:val="00692BC4"/>
    <w:rsid w:val="00692DC7"/>
    <w:rsid w:val="00693379"/>
    <w:rsid w:val="006941BC"/>
    <w:rsid w:val="00694941"/>
    <w:rsid w:val="0069529B"/>
    <w:rsid w:val="006956FD"/>
    <w:rsid w:val="00695743"/>
    <w:rsid w:val="006963E9"/>
    <w:rsid w:val="006966AF"/>
    <w:rsid w:val="00696F7E"/>
    <w:rsid w:val="00697263"/>
    <w:rsid w:val="006972D7"/>
    <w:rsid w:val="006A08B7"/>
    <w:rsid w:val="006A0AB4"/>
    <w:rsid w:val="006A0D1B"/>
    <w:rsid w:val="006A1035"/>
    <w:rsid w:val="006A14C4"/>
    <w:rsid w:val="006A20FE"/>
    <w:rsid w:val="006A28C5"/>
    <w:rsid w:val="006A2BEF"/>
    <w:rsid w:val="006A3EAE"/>
    <w:rsid w:val="006A4718"/>
    <w:rsid w:val="006A53CE"/>
    <w:rsid w:val="006A55B9"/>
    <w:rsid w:val="006A5836"/>
    <w:rsid w:val="006A6931"/>
    <w:rsid w:val="006A6CDD"/>
    <w:rsid w:val="006A6D87"/>
    <w:rsid w:val="006B04C4"/>
    <w:rsid w:val="006B0A7E"/>
    <w:rsid w:val="006B0E4B"/>
    <w:rsid w:val="006B1814"/>
    <w:rsid w:val="006B1A5A"/>
    <w:rsid w:val="006B1E82"/>
    <w:rsid w:val="006B1EB8"/>
    <w:rsid w:val="006B1F63"/>
    <w:rsid w:val="006B2224"/>
    <w:rsid w:val="006B2729"/>
    <w:rsid w:val="006B27F3"/>
    <w:rsid w:val="006B3212"/>
    <w:rsid w:val="006B332B"/>
    <w:rsid w:val="006B335D"/>
    <w:rsid w:val="006B337B"/>
    <w:rsid w:val="006B6785"/>
    <w:rsid w:val="006C0223"/>
    <w:rsid w:val="006C1948"/>
    <w:rsid w:val="006C1A1B"/>
    <w:rsid w:val="006C1C00"/>
    <w:rsid w:val="006C25F8"/>
    <w:rsid w:val="006C364E"/>
    <w:rsid w:val="006C36C4"/>
    <w:rsid w:val="006C3922"/>
    <w:rsid w:val="006C3CC0"/>
    <w:rsid w:val="006C3D78"/>
    <w:rsid w:val="006C41F8"/>
    <w:rsid w:val="006C43D0"/>
    <w:rsid w:val="006C4425"/>
    <w:rsid w:val="006C45E2"/>
    <w:rsid w:val="006C4852"/>
    <w:rsid w:val="006C492C"/>
    <w:rsid w:val="006C49ED"/>
    <w:rsid w:val="006C4CB2"/>
    <w:rsid w:val="006C5A9C"/>
    <w:rsid w:val="006C5AA3"/>
    <w:rsid w:val="006C5B8F"/>
    <w:rsid w:val="006C5C6A"/>
    <w:rsid w:val="006C60BB"/>
    <w:rsid w:val="006C7503"/>
    <w:rsid w:val="006C77ED"/>
    <w:rsid w:val="006C7AC8"/>
    <w:rsid w:val="006D00FC"/>
    <w:rsid w:val="006D0883"/>
    <w:rsid w:val="006D0EC1"/>
    <w:rsid w:val="006D1129"/>
    <w:rsid w:val="006D17AE"/>
    <w:rsid w:val="006D17BE"/>
    <w:rsid w:val="006D1A89"/>
    <w:rsid w:val="006D1CC6"/>
    <w:rsid w:val="006D207C"/>
    <w:rsid w:val="006D221E"/>
    <w:rsid w:val="006D23AA"/>
    <w:rsid w:val="006D300A"/>
    <w:rsid w:val="006D329C"/>
    <w:rsid w:val="006D4AD4"/>
    <w:rsid w:val="006D5B08"/>
    <w:rsid w:val="006D6FA1"/>
    <w:rsid w:val="006D76FF"/>
    <w:rsid w:val="006E0A07"/>
    <w:rsid w:val="006E0DA3"/>
    <w:rsid w:val="006E0E85"/>
    <w:rsid w:val="006E0FC2"/>
    <w:rsid w:val="006E103F"/>
    <w:rsid w:val="006E1546"/>
    <w:rsid w:val="006E2083"/>
    <w:rsid w:val="006E25B5"/>
    <w:rsid w:val="006E2738"/>
    <w:rsid w:val="006E324A"/>
    <w:rsid w:val="006E3312"/>
    <w:rsid w:val="006E3A68"/>
    <w:rsid w:val="006E4925"/>
    <w:rsid w:val="006E5AF1"/>
    <w:rsid w:val="006E6887"/>
    <w:rsid w:val="006E6A9D"/>
    <w:rsid w:val="006E6AED"/>
    <w:rsid w:val="006E71F9"/>
    <w:rsid w:val="006E7A8F"/>
    <w:rsid w:val="006E7BE2"/>
    <w:rsid w:val="006F018F"/>
    <w:rsid w:val="006F197C"/>
    <w:rsid w:val="006F1E86"/>
    <w:rsid w:val="006F2396"/>
    <w:rsid w:val="006F262C"/>
    <w:rsid w:val="006F3BAA"/>
    <w:rsid w:val="006F3CCA"/>
    <w:rsid w:val="006F47E3"/>
    <w:rsid w:val="006F4F36"/>
    <w:rsid w:val="006F5B1C"/>
    <w:rsid w:val="006F5B2B"/>
    <w:rsid w:val="006F6111"/>
    <w:rsid w:val="006F6C75"/>
    <w:rsid w:val="006F7277"/>
    <w:rsid w:val="006F7A99"/>
    <w:rsid w:val="00700606"/>
    <w:rsid w:val="00700B55"/>
    <w:rsid w:val="00700CBB"/>
    <w:rsid w:val="00701021"/>
    <w:rsid w:val="007015A1"/>
    <w:rsid w:val="0070188E"/>
    <w:rsid w:val="00701B8C"/>
    <w:rsid w:val="00702485"/>
    <w:rsid w:val="00702B0F"/>
    <w:rsid w:val="00702C63"/>
    <w:rsid w:val="00702ED4"/>
    <w:rsid w:val="00704043"/>
    <w:rsid w:val="007049AB"/>
    <w:rsid w:val="00704CB1"/>
    <w:rsid w:val="007052BA"/>
    <w:rsid w:val="00705D9D"/>
    <w:rsid w:val="00705EA1"/>
    <w:rsid w:val="0070606A"/>
    <w:rsid w:val="007064B3"/>
    <w:rsid w:val="0070687A"/>
    <w:rsid w:val="007078EC"/>
    <w:rsid w:val="0071056C"/>
    <w:rsid w:val="00711B16"/>
    <w:rsid w:val="00711FC1"/>
    <w:rsid w:val="00712081"/>
    <w:rsid w:val="00712587"/>
    <w:rsid w:val="00712755"/>
    <w:rsid w:val="00712C97"/>
    <w:rsid w:val="00713592"/>
    <w:rsid w:val="00713FFF"/>
    <w:rsid w:val="00714180"/>
    <w:rsid w:val="0071452E"/>
    <w:rsid w:val="00714A67"/>
    <w:rsid w:val="0071516C"/>
    <w:rsid w:val="007151D8"/>
    <w:rsid w:val="007156E7"/>
    <w:rsid w:val="00715B4C"/>
    <w:rsid w:val="00715F1E"/>
    <w:rsid w:val="0071606D"/>
    <w:rsid w:val="007162DE"/>
    <w:rsid w:val="00716555"/>
    <w:rsid w:val="007167F1"/>
    <w:rsid w:val="00716FC7"/>
    <w:rsid w:val="007208B4"/>
    <w:rsid w:val="00720CAA"/>
    <w:rsid w:val="00722572"/>
    <w:rsid w:val="00723634"/>
    <w:rsid w:val="007237AC"/>
    <w:rsid w:val="007239EC"/>
    <w:rsid w:val="00723AC3"/>
    <w:rsid w:val="00725219"/>
    <w:rsid w:val="007252F2"/>
    <w:rsid w:val="00725D62"/>
    <w:rsid w:val="00726039"/>
    <w:rsid w:val="0072688B"/>
    <w:rsid w:val="00726B1F"/>
    <w:rsid w:val="00727226"/>
    <w:rsid w:val="007275F6"/>
    <w:rsid w:val="00727875"/>
    <w:rsid w:val="007278D5"/>
    <w:rsid w:val="00730201"/>
    <w:rsid w:val="00730326"/>
    <w:rsid w:val="007304C4"/>
    <w:rsid w:val="00730938"/>
    <w:rsid w:val="00730E37"/>
    <w:rsid w:val="00730F25"/>
    <w:rsid w:val="0073104D"/>
    <w:rsid w:val="0073112B"/>
    <w:rsid w:val="00731BA7"/>
    <w:rsid w:val="00731C28"/>
    <w:rsid w:val="0073341B"/>
    <w:rsid w:val="0073376C"/>
    <w:rsid w:val="00733961"/>
    <w:rsid w:val="0073540B"/>
    <w:rsid w:val="00736A0D"/>
    <w:rsid w:val="00736B67"/>
    <w:rsid w:val="00736E1E"/>
    <w:rsid w:val="007411AE"/>
    <w:rsid w:val="00741813"/>
    <w:rsid w:val="00741BE7"/>
    <w:rsid w:val="00742133"/>
    <w:rsid w:val="007425E7"/>
    <w:rsid w:val="00744390"/>
    <w:rsid w:val="00744408"/>
    <w:rsid w:val="00744709"/>
    <w:rsid w:val="00744CFF"/>
    <w:rsid w:val="0074533A"/>
    <w:rsid w:val="00745DA0"/>
    <w:rsid w:val="00745E57"/>
    <w:rsid w:val="00745E70"/>
    <w:rsid w:val="00746453"/>
    <w:rsid w:val="00746A41"/>
    <w:rsid w:val="0074767B"/>
    <w:rsid w:val="00747A6B"/>
    <w:rsid w:val="00750832"/>
    <w:rsid w:val="00750EE9"/>
    <w:rsid w:val="00751B61"/>
    <w:rsid w:val="00751EDA"/>
    <w:rsid w:val="007528A3"/>
    <w:rsid w:val="00752D06"/>
    <w:rsid w:val="00752F65"/>
    <w:rsid w:val="00753465"/>
    <w:rsid w:val="0075362A"/>
    <w:rsid w:val="007536FA"/>
    <w:rsid w:val="007539A2"/>
    <w:rsid w:val="00754CEC"/>
    <w:rsid w:val="00754F7E"/>
    <w:rsid w:val="00755497"/>
    <w:rsid w:val="00755D35"/>
    <w:rsid w:val="0075602C"/>
    <w:rsid w:val="0075669C"/>
    <w:rsid w:val="00756EEE"/>
    <w:rsid w:val="00757A67"/>
    <w:rsid w:val="00757AEE"/>
    <w:rsid w:val="00757DCF"/>
    <w:rsid w:val="0076029E"/>
    <w:rsid w:val="0076039E"/>
    <w:rsid w:val="0076122E"/>
    <w:rsid w:val="0076144F"/>
    <w:rsid w:val="007618A3"/>
    <w:rsid w:val="00761EAE"/>
    <w:rsid w:val="00762370"/>
    <w:rsid w:val="00762994"/>
    <w:rsid w:val="00763745"/>
    <w:rsid w:val="00763D0E"/>
    <w:rsid w:val="0076569F"/>
    <w:rsid w:val="00765A97"/>
    <w:rsid w:val="0076645A"/>
    <w:rsid w:val="007700EB"/>
    <w:rsid w:val="007708F6"/>
    <w:rsid w:val="0077292F"/>
    <w:rsid w:val="00773344"/>
    <w:rsid w:val="00773630"/>
    <w:rsid w:val="00773697"/>
    <w:rsid w:val="00773CCB"/>
    <w:rsid w:val="0077566C"/>
    <w:rsid w:val="0077657D"/>
    <w:rsid w:val="00776876"/>
    <w:rsid w:val="00776F94"/>
    <w:rsid w:val="007771D9"/>
    <w:rsid w:val="007773A7"/>
    <w:rsid w:val="00777530"/>
    <w:rsid w:val="00777680"/>
    <w:rsid w:val="00777809"/>
    <w:rsid w:val="00777912"/>
    <w:rsid w:val="00777EE1"/>
    <w:rsid w:val="0078029E"/>
    <w:rsid w:val="00780546"/>
    <w:rsid w:val="007808E3"/>
    <w:rsid w:val="00781188"/>
    <w:rsid w:val="007817F2"/>
    <w:rsid w:val="007824E8"/>
    <w:rsid w:val="00782CA5"/>
    <w:rsid w:val="007832BF"/>
    <w:rsid w:val="00783B53"/>
    <w:rsid w:val="00783E6F"/>
    <w:rsid w:val="00784257"/>
    <w:rsid w:val="00784FFE"/>
    <w:rsid w:val="007850EE"/>
    <w:rsid w:val="00785383"/>
    <w:rsid w:val="0078540F"/>
    <w:rsid w:val="007857D1"/>
    <w:rsid w:val="00785A45"/>
    <w:rsid w:val="00785D38"/>
    <w:rsid w:val="00787B0B"/>
    <w:rsid w:val="00790731"/>
    <w:rsid w:val="0079239B"/>
    <w:rsid w:val="00792464"/>
    <w:rsid w:val="0079258E"/>
    <w:rsid w:val="007928C9"/>
    <w:rsid w:val="00793028"/>
    <w:rsid w:val="00794966"/>
    <w:rsid w:val="00794B7C"/>
    <w:rsid w:val="00794F54"/>
    <w:rsid w:val="00795167"/>
    <w:rsid w:val="00795D5C"/>
    <w:rsid w:val="00796043"/>
    <w:rsid w:val="00796AFF"/>
    <w:rsid w:val="007975B7"/>
    <w:rsid w:val="00797CEF"/>
    <w:rsid w:val="007A05A4"/>
    <w:rsid w:val="007A0E13"/>
    <w:rsid w:val="007A1313"/>
    <w:rsid w:val="007A1614"/>
    <w:rsid w:val="007A2638"/>
    <w:rsid w:val="007A28AA"/>
    <w:rsid w:val="007A3302"/>
    <w:rsid w:val="007A34D9"/>
    <w:rsid w:val="007A3606"/>
    <w:rsid w:val="007A3A19"/>
    <w:rsid w:val="007A455F"/>
    <w:rsid w:val="007A4CF9"/>
    <w:rsid w:val="007A5181"/>
    <w:rsid w:val="007A5218"/>
    <w:rsid w:val="007A55DC"/>
    <w:rsid w:val="007A6050"/>
    <w:rsid w:val="007A6117"/>
    <w:rsid w:val="007A6C90"/>
    <w:rsid w:val="007A73D1"/>
    <w:rsid w:val="007B041D"/>
    <w:rsid w:val="007B1BC7"/>
    <w:rsid w:val="007B1E29"/>
    <w:rsid w:val="007B2159"/>
    <w:rsid w:val="007B2F46"/>
    <w:rsid w:val="007B3B4C"/>
    <w:rsid w:val="007B484C"/>
    <w:rsid w:val="007B4B9C"/>
    <w:rsid w:val="007B4FA5"/>
    <w:rsid w:val="007B4FF2"/>
    <w:rsid w:val="007B524F"/>
    <w:rsid w:val="007B5905"/>
    <w:rsid w:val="007B5C97"/>
    <w:rsid w:val="007B62FF"/>
    <w:rsid w:val="007B63FF"/>
    <w:rsid w:val="007B67A1"/>
    <w:rsid w:val="007B6F6F"/>
    <w:rsid w:val="007B73FE"/>
    <w:rsid w:val="007B74FB"/>
    <w:rsid w:val="007B78BA"/>
    <w:rsid w:val="007B7D81"/>
    <w:rsid w:val="007C00E2"/>
    <w:rsid w:val="007C04BE"/>
    <w:rsid w:val="007C04CA"/>
    <w:rsid w:val="007C086C"/>
    <w:rsid w:val="007C0D4A"/>
    <w:rsid w:val="007C125D"/>
    <w:rsid w:val="007C1EF5"/>
    <w:rsid w:val="007C201E"/>
    <w:rsid w:val="007C26D6"/>
    <w:rsid w:val="007C36AD"/>
    <w:rsid w:val="007C3A03"/>
    <w:rsid w:val="007C3D84"/>
    <w:rsid w:val="007C4A66"/>
    <w:rsid w:val="007C4AB5"/>
    <w:rsid w:val="007C521F"/>
    <w:rsid w:val="007C5322"/>
    <w:rsid w:val="007C60F4"/>
    <w:rsid w:val="007C64D8"/>
    <w:rsid w:val="007C670D"/>
    <w:rsid w:val="007C679A"/>
    <w:rsid w:val="007C707B"/>
    <w:rsid w:val="007C73F4"/>
    <w:rsid w:val="007C7489"/>
    <w:rsid w:val="007C7C48"/>
    <w:rsid w:val="007D05CD"/>
    <w:rsid w:val="007D0BEA"/>
    <w:rsid w:val="007D0FE6"/>
    <w:rsid w:val="007D1610"/>
    <w:rsid w:val="007D275B"/>
    <w:rsid w:val="007D2768"/>
    <w:rsid w:val="007D358E"/>
    <w:rsid w:val="007D3D85"/>
    <w:rsid w:val="007D3F04"/>
    <w:rsid w:val="007D43AC"/>
    <w:rsid w:val="007D443F"/>
    <w:rsid w:val="007D44E8"/>
    <w:rsid w:val="007D51DF"/>
    <w:rsid w:val="007D5283"/>
    <w:rsid w:val="007D6522"/>
    <w:rsid w:val="007D6640"/>
    <w:rsid w:val="007D6658"/>
    <w:rsid w:val="007D6956"/>
    <w:rsid w:val="007D6A82"/>
    <w:rsid w:val="007D6D96"/>
    <w:rsid w:val="007D74CE"/>
    <w:rsid w:val="007D7942"/>
    <w:rsid w:val="007E0858"/>
    <w:rsid w:val="007E09CB"/>
    <w:rsid w:val="007E0AB3"/>
    <w:rsid w:val="007E0B1F"/>
    <w:rsid w:val="007E0DDE"/>
    <w:rsid w:val="007E177B"/>
    <w:rsid w:val="007E1D0E"/>
    <w:rsid w:val="007E2E8A"/>
    <w:rsid w:val="007E3182"/>
    <w:rsid w:val="007E3965"/>
    <w:rsid w:val="007E4699"/>
    <w:rsid w:val="007E4EAD"/>
    <w:rsid w:val="007E4F73"/>
    <w:rsid w:val="007E5DB4"/>
    <w:rsid w:val="007E650A"/>
    <w:rsid w:val="007E7027"/>
    <w:rsid w:val="007E7F08"/>
    <w:rsid w:val="007F048B"/>
    <w:rsid w:val="007F04CE"/>
    <w:rsid w:val="007F0665"/>
    <w:rsid w:val="007F08FB"/>
    <w:rsid w:val="007F0BA1"/>
    <w:rsid w:val="007F0EC0"/>
    <w:rsid w:val="007F0F8A"/>
    <w:rsid w:val="007F1613"/>
    <w:rsid w:val="007F16C0"/>
    <w:rsid w:val="007F4141"/>
    <w:rsid w:val="007F42CD"/>
    <w:rsid w:val="007F472D"/>
    <w:rsid w:val="007F56F0"/>
    <w:rsid w:val="007F6960"/>
    <w:rsid w:val="007F69C6"/>
    <w:rsid w:val="007F71B2"/>
    <w:rsid w:val="007F736D"/>
    <w:rsid w:val="007F7A99"/>
    <w:rsid w:val="007F7D29"/>
    <w:rsid w:val="00801D7C"/>
    <w:rsid w:val="00802CE8"/>
    <w:rsid w:val="00802D61"/>
    <w:rsid w:val="00802D66"/>
    <w:rsid w:val="00802E57"/>
    <w:rsid w:val="008035A1"/>
    <w:rsid w:val="00803707"/>
    <w:rsid w:val="00803F76"/>
    <w:rsid w:val="00804547"/>
    <w:rsid w:val="0080472A"/>
    <w:rsid w:val="00804D86"/>
    <w:rsid w:val="008053A7"/>
    <w:rsid w:val="00805882"/>
    <w:rsid w:val="008060F7"/>
    <w:rsid w:val="0080680E"/>
    <w:rsid w:val="0080708B"/>
    <w:rsid w:val="008072D9"/>
    <w:rsid w:val="008073CE"/>
    <w:rsid w:val="00807EEB"/>
    <w:rsid w:val="00810DE5"/>
    <w:rsid w:val="00811A3B"/>
    <w:rsid w:val="00811AD8"/>
    <w:rsid w:val="00812513"/>
    <w:rsid w:val="00812BC1"/>
    <w:rsid w:val="00812EE9"/>
    <w:rsid w:val="008138BB"/>
    <w:rsid w:val="0081428A"/>
    <w:rsid w:val="0081467B"/>
    <w:rsid w:val="00814A75"/>
    <w:rsid w:val="00815210"/>
    <w:rsid w:val="008156F7"/>
    <w:rsid w:val="00815880"/>
    <w:rsid w:val="00815B17"/>
    <w:rsid w:val="00816834"/>
    <w:rsid w:val="0081683C"/>
    <w:rsid w:val="008169C4"/>
    <w:rsid w:val="00816BF9"/>
    <w:rsid w:val="0081713A"/>
    <w:rsid w:val="00817515"/>
    <w:rsid w:val="00817867"/>
    <w:rsid w:val="00817974"/>
    <w:rsid w:val="008179BD"/>
    <w:rsid w:val="00820644"/>
    <w:rsid w:val="00820A40"/>
    <w:rsid w:val="0082137D"/>
    <w:rsid w:val="008216BB"/>
    <w:rsid w:val="00821A57"/>
    <w:rsid w:val="00821CFC"/>
    <w:rsid w:val="00822A42"/>
    <w:rsid w:val="008230FD"/>
    <w:rsid w:val="0082523A"/>
    <w:rsid w:val="0082554B"/>
    <w:rsid w:val="00825979"/>
    <w:rsid w:val="00825FC6"/>
    <w:rsid w:val="008261E2"/>
    <w:rsid w:val="00826C02"/>
    <w:rsid w:val="008274C4"/>
    <w:rsid w:val="00830135"/>
    <w:rsid w:val="008307AF"/>
    <w:rsid w:val="00830959"/>
    <w:rsid w:val="00830A0C"/>
    <w:rsid w:val="008313C8"/>
    <w:rsid w:val="008314F3"/>
    <w:rsid w:val="00831CE5"/>
    <w:rsid w:val="00832F1A"/>
    <w:rsid w:val="0083320C"/>
    <w:rsid w:val="00833572"/>
    <w:rsid w:val="00834B53"/>
    <w:rsid w:val="00834C29"/>
    <w:rsid w:val="00834D62"/>
    <w:rsid w:val="00835325"/>
    <w:rsid w:val="008356A0"/>
    <w:rsid w:val="00835A21"/>
    <w:rsid w:val="00835A47"/>
    <w:rsid w:val="0083622B"/>
    <w:rsid w:val="00836276"/>
    <w:rsid w:val="008371AA"/>
    <w:rsid w:val="00837A37"/>
    <w:rsid w:val="00837FEA"/>
    <w:rsid w:val="00840659"/>
    <w:rsid w:val="00840DAB"/>
    <w:rsid w:val="00840E48"/>
    <w:rsid w:val="008410EC"/>
    <w:rsid w:val="00841187"/>
    <w:rsid w:val="008411A0"/>
    <w:rsid w:val="0084138C"/>
    <w:rsid w:val="00841509"/>
    <w:rsid w:val="00841A82"/>
    <w:rsid w:val="00841C90"/>
    <w:rsid w:val="00841F76"/>
    <w:rsid w:val="008421FF"/>
    <w:rsid w:val="008423B9"/>
    <w:rsid w:val="00842A0E"/>
    <w:rsid w:val="00842C48"/>
    <w:rsid w:val="0084413A"/>
    <w:rsid w:val="008444CF"/>
    <w:rsid w:val="0084484E"/>
    <w:rsid w:val="0084499A"/>
    <w:rsid w:val="008456B5"/>
    <w:rsid w:val="00845B7F"/>
    <w:rsid w:val="008466F6"/>
    <w:rsid w:val="00846DCC"/>
    <w:rsid w:val="00846EF6"/>
    <w:rsid w:val="00850703"/>
    <w:rsid w:val="00850AF6"/>
    <w:rsid w:val="00850D79"/>
    <w:rsid w:val="00850FAE"/>
    <w:rsid w:val="0085123E"/>
    <w:rsid w:val="00851C78"/>
    <w:rsid w:val="0085201A"/>
    <w:rsid w:val="008522EE"/>
    <w:rsid w:val="00852C68"/>
    <w:rsid w:val="008544D8"/>
    <w:rsid w:val="00854527"/>
    <w:rsid w:val="00854957"/>
    <w:rsid w:val="00854C91"/>
    <w:rsid w:val="00854FD4"/>
    <w:rsid w:val="00855E72"/>
    <w:rsid w:val="00855E82"/>
    <w:rsid w:val="00855F1A"/>
    <w:rsid w:val="00856A89"/>
    <w:rsid w:val="00856AD1"/>
    <w:rsid w:val="00856EAB"/>
    <w:rsid w:val="00857360"/>
    <w:rsid w:val="008573A0"/>
    <w:rsid w:val="008575E2"/>
    <w:rsid w:val="00857716"/>
    <w:rsid w:val="008605AC"/>
    <w:rsid w:val="00861262"/>
    <w:rsid w:val="008619B0"/>
    <w:rsid w:val="008619C4"/>
    <w:rsid w:val="00862095"/>
    <w:rsid w:val="00862822"/>
    <w:rsid w:val="00862FF3"/>
    <w:rsid w:val="00863B32"/>
    <w:rsid w:val="0086602B"/>
    <w:rsid w:val="0086687D"/>
    <w:rsid w:val="00866CAF"/>
    <w:rsid w:val="00866DF1"/>
    <w:rsid w:val="00866E4C"/>
    <w:rsid w:val="0086786B"/>
    <w:rsid w:val="00867D53"/>
    <w:rsid w:val="00867E7D"/>
    <w:rsid w:val="00867EEC"/>
    <w:rsid w:val="0087035C"/>
    <w:rsid w:val="008703A5"/>
    <w:rsid w:val="008711A5"/>
    <w:rsid w:val="008714D9"/>
    <w:rsid w:val="008719E1"/>
    <w:rsid w:val="0087230F"/>
    <w:rsid w:val="00872E7F"/>
    <w:rsid w:val="008738FE"/>
    <w:rsid w:val="008739C6"/>
    <w:rsid w:val="00873B25"/>
    <w:rsid w:val="00875035"/>
    <w:rsid w:val="0087527A"/>
    <w:rsid w:val="008754E2"/>
    <w:rsid w:val="008758C4"/>
    <w:rsid w:val="00875C20"/>
    <w:rsid w:val="008762D8"/>
    <w:rsid w:val="00876C8B"/>
    <w:rsid w:val="00877449"/>
    <w:rsid w:val="00880045"/>
    <w:rsid w:val="0088066C"/>
    <w:rsid w:val="008815EE"/>
    <w:rsid w:val="00882950"/>
    <w:rsid w:val="0088322B"/>
    <w:rsid w:val="008839DD"/>
    <w:rsid w:val="00884452"/>
    <w:rsid w:val="0088452A"/>
    <w:rsid w:val="008845BF"/>
    <w:rsid w:val="00884EDE"/>
    <w:rsid w:val="008853C7"/>
    <w:rsid w:val="00885AA7"/>
    <w:rsid w:val="00886B15"/>
    <w:rsid w:val="00887146"/>
    <w:rsid w:val="00887252"/>
    <w:rsid w:val="00887714"/>
    <w:rsid w:val="00887C7D"/>
    <w:rsid w:val="00890081"/>
    <w:rsid w:val="0089039B"/>
    <w:rsid w:val="00890C6E"/>
    <w:rsid w:val="008911A8"/>
    <w:rsid w:val="008920D1"/>
    <w:rsid w:val="008924E2"/>
    <w:rsid w:val="00892602"/>
    <w:rsid w:val="008929F6"/>
    <w:rsid w:val="00892C3E"/>
    <w:rsid w:val="00893365"/>
    <w:rsid w:val="00893DBD"/>
    <w:rsid w:val="008943BC"/>
    <w:rsid w:val="0089498B"/>
    <w:rsid w:val="00896375"/>
    <w:rsid w:val="00897922"/>
    <w:rsid w:val="00897CDD"/>
    <w:rsid w:val="008A03F0"/>
    <w:rsid w:val="008A1E79"/>
    <w:rsid w:val="008A2494"/>
    <w:rsid w:val="008A2E23"/>
    <w:rsid w:val="008A350B"/>
    <w:rsid w:val="008A3629"/>
    <w:rsid w:val="008A381D"/>
    <w:rsid w:val="008A3867"/>
    <w:rsid w:val="008A3F87"/>
    <w:rsid w:val="008A4045"/>
    <w:rsid w:val="008A41C1"/>
    <w:rsid w:val="008A5791"/>
    <w:rsid w:val="008A5F27"/>
    <w:rsid w:val="008A6258"/>
    <w:rsid w:val="008A7284"/>
    <w:rsid w:val="008A74AC"/>
    <w:rsid w:val="008B169E"/>
    <w:rsid w:val="008B1A2D"/>
    <w:rsid w:val="008B2045"/>
    <w:rsid w:val="008B24BC"/>
    <w:rsid w:val="008B289F"/>
    <w:rsid w:val="008B2AEA"/>
    <w:rsid w:val="008B3457"/>
    <w:rsid w:val="008B34B7"/>
    <w:rsid w:val="008B3D35"/>
    <w:rsid w:val="008B42F5"/>
    <w:rsid w:val="008B43E3"/>
    <w:rsid w:val="008B5904"/>
    <w:rsid w:val="008B61D1"/>
    <w:rsid w:val="008B67A6"/>
    <w:rsid w:val="008B6B3D"/>
    <w:rsid w:val="008B7604"/>
    <w:rsid w:val="008C024C"/>
    <w:rsid w:val="008C0CB3"/>
    <w:rsid w:val="008C0D84"/>
    <w:rsid w:val="008C0DCF"/>
    <w:rsid w:val="008C0E48"/>
    <w:rsid w:val="008C1006"/>
    <w:rsid w:val="008C14FA"/>
    <w:rsid w:val="008C158E"/>
    <w:rsid w:val="008C18DF"/>
    <w:rsid w:val="008C1A7B"/>
    <w:rsid w:val="008C1E19"/>
    <w:rsid w:val="008C1E73"/>
    <w:rsid w:val="008C2964"/>
    <w:rsid w:val="008C3286"/>
    <w:rsid w:val="008C3D58"/>
    <w:rsid w:val="008C3F09"/>
    <w:rsid w:val="008C4FBA"/>
    <w:rsid w:val="008C5277"/>
    <w:rsid w:val="008C5939"/>
    <w:rsid w:val="008C664C"/>
    <w:rsid w:val="008C6A35"/>
    <w:rsid w:val="008C6A87"/>
    <w:rsid w:val="008C6F68"/>
    <w:rsid w:val="008C7430"/>
    <w:rsid w:val="008D0406"/>
    <w:rsid w:val="008D1232"/>
    <w:rsid w:val="008D175A"/>
    <w:rsid w:val="008D1784"/>
    <w:rsid w:val="008D1FB1"/>
    <w:rsid w:val="008D2732"/>
    <w:rsid w:val="008D30FE"/>
    <w:rsid w:val="008D4014"/>
    <w:rsid w:val="008D4439"/>
    <w:rsid w:val="008D4924"/>
    <w:rsid w:val="008D4B9F"/>
    <w:rsid w:val="008D4D19"/>
    <w:rsid w:val="008D50B9"/>
    <w:rsid w:val="008D5C78"/>
    <w:rsid w:val="008D5CE4"/>
    <w:rsid w:val="008D635C"/>
    <w:rsid w:val="008D6535"/>
    <w:rsid w:val="008D6A44"/>
    <w:rsid w:val="008D6B14"/>
    <w:rsid w:val="008D7B68"/>
    <w:rsid w:val="008E04A4"/>
    <w:rsid w:val="008E0912"/>
    <w:rsid w:val="008E101A"/>
    <w:rsid w:val="008E2DD9"/>
    <w:rsid w:val="008E3291"/>
    <w:rsid w:val="008E35A3"/>
    <w:rsid w:val="008E371E"/>
    <w:rsid w:val="008E3753"/>
    <w:rsid w:val="008E3C74"/>
    <w:rsid w:val="008E405C"/>
    <w:rsid w:val="008E4257"/>
    <w:rsid w:val="008E4312"/>
    <w:rsid w:val="008E4ADD"/>
    <w:rsid w:val="008E4CD1"/>
    <w:rsid w:val="008E524E"/>
    <w:rsid w:val="008E5554"/>
    <w:rsid w:val="008E5C33"/>
    <w:rsid w:val="008E5FC4"/>
    <w:rsid w:val="008E6CBD"/>
    <w:rsid w:val="008E6DDA"/>
    <w:rsid w:val="008E7881"/>
    <w:rsid w:val="008E7D1F"/>
    <w:rsid w:val="008E7D60"/>
    <w:rsid w:val="008E7EAD"/>
    <w:rsid w:val="008F020A"/>
    <w:rsid w:val="008F022F"/>
    <w:rsid w:val="008F0450"/>
    <w:rsid w:val="008F0A56"/>
    <w:rsid w:val="008F0C69"/>
    <w:rsid w:val="008F1678"/>
    <w:rsid w:val="008F17A0"/>
    <w:rsid w:val="008F18AB"/>
    <w:rsid w:val="008F2216"/>
    <w:rsid w:val="008F22C6"/>
    <w:rsid w:val="008F2927"/>
    <w:rsid w:val="008F2CF9"/>
    <w:rsid w:val="008F3A10"/>
    <w:rsid w:val="008F3E5A"/>
    <w:rsid w:val="008F49B0"/>
    <w:rsid w:val="008F4AE2"/>
    <w:rsid w:val="008F526A"/>
    <w:rsid w:val="008F5F77"/>
    <w:rsid w:val="008F607A"/>
    <w:rsid w:val="008F6E11"/>
    <w:rsid w:val="008F6E2F"/>
    <w:rsid w:val="00900465"/>
    <w:rsid w:val="00900EC0"/>
    <w:rsid w:val="00901050"/>
    <w:rsid w:val="0090112A"/>
    <w:rsid w:val="00901FA0"/>
    <w:rsid w:val="0090250F"/>
    <w:rsid w:val="00902959"/>
    <w:rsid w:val="00902A78"/>
    <w:rsid w:val="009031F9"/>
    <w:rsid w:val="00903436"/>
    <w:rsid w:val="00903AF5"/>
    <w:rsid w:val="0090418B"/>
    <w:rsid w:val="0090435D"/>
    <w:rsid w:val="009043AF"/>
    <w:rsid w:val="00904C87"/>
    <w:rsid w:val="00904FAC"/>
    <w:rsid w:val="00906863"/>
    <w:rsid w:val="00907127"/>
    <w:rsid w:val="009075AE"/>
    <w:rsid w:val="009075F9"/>
    <w:rsid w:val="00907B85"/>
    <w:rsid w:val="00910245"/>
    <w:rsid w:val="00910306"/>
    <w:rsid w:val="009105B3"/>
    <w:rsid w:val="009122F2"/>
    <w:rsid w:val="00912864"/>
    <w:rsid w:val="00912E6C"/>
    <w:rsid w:val="00913997"/>
    <w:rsid w:val="009139B3"/>
    <w:rsid w:val="00913DE4"/>
    <w:rsid w:val="00913E97"/>
    <w:rsid w:val="00914EC7"/>
    <w:rsid w:val="00914EE3"/>
    <w:rsid w:val="00914F14"/>
    <w:rsid w:val="009156B4"/>
    <w:rsid w:val="00915B07"/>
    <w:rsid w:val="00916BB1"/>
    <w:rsid w:val="0091739E"/>
    <w:rsid w:val="0091744C"/>
    <w:rsid w:val="009176D1"/>
    <w:rsid w:val="00917940"/>
    <w:rsid w:val="009205E4"/>
    <w:rsid w:val="009206BB"/>
    <w:rsid w:val="009208D5"/>
    <w:rsid w:val="00920BD6"/>
    <w:rsid w:val="00920DF9"/>
    <w:rsid w:val="009220B1"/>
    <w:rsid w:val="00922124"/>
    <w:rsid w:val="00922CBD"/>
    <w:rsid w:val="009242E5"/>
    <w:rsid w:val="0092437F"/>
    <w:rsid w:val="00925872"/>
    <w:rsid w:val="00925933"/>
    <w:rsid w:val="00926EEE"/>
    <w:rsid w:val="0093044C"/>
    <w:rsid w:val="009307B6"/>
    <w:rsid w:val="009311E5"/>
    <w:rsid w:val="009320DD"/>
    <w:rsid w:val="009331AA"/>
    <w:rsid w:val="00933BF0"/>
    <w:rsid w:val="00934F87"/>
    <w:rsid w:val="00935461"/>
    <w:rsid w:val="009361BC"/>
    <w:rsid w:val="00936FF0"/>
    <w:rsid w:val="0094144C"/>
    <w:rsid w:val="00941845"/>
    <w:rsid w:val="00942020"/>
    <w:rsid w:val="009421D0"/>
    <w:rsid w:val="0094242B"/>
    <w:rsid w:val="00942938"/>
    <w:rsid w:val="00942AB1"/>
    <w:rsid w:val="009445B6"/>
    <w:rsid w:val="00944D62"/>
    <w:rsid w:val="009451F6"/>
    <w:rsid w:val="00945829"/>
    <w:rsid w:val="00945B62"/>
    <w:rsid w:val="00945F8E"/>
    <w:rsid w:val="009464FB"/>
    <w:rsid w:val="0094739F"/>
    <w:rsid w:val="00947D06"/>
    <w:rsid w:val="00947DF1"/>
    <w:rsid w:val="00950686"/>
    <w:rsid w:val="009506F8"/>
    <w:rsid w:val="0095096C"/>
    <w:rsid w:val="00950B3D"/>
    <w:rsid w:val="009516D8"/>
    <w:rsid w:val="00951A68"/>
    <w:rsid w:val="00951E75"/>
    <w:rsid w:val="00952996"/>
    <w:rsid w:val="00952E2A"/>
    <w:rsid w:val="00953DD6"/>
    <w:rsid w:val="0095451C"/>
    <w:rsid w:val="0095462B"/>
    <w:rsid w:val="00954A1A"/>
    <w:rsid w:val="009550D1"/>
    <w:rsid w:val="0095548F"/>
    <w:rsid w:val="009555E3"/>
    <w:rsid w:val="009602CE"/>
    <w:rsid w:val="009602F6"/>
    <w:rsid w:val="00960D50"/>
    <w:rsid w:val="00961471"/>
    <w:rsid w:val="00961703"/>
    <w:rsid w:val="009619C6"/>
    <w:rsid w:val="00961B29"/>
    <w:rsid w:val="00961C5E"/>
    <w:rsid w:val="00962691"/>
    <w:rsid w:val="009629A5"/>
    <w:rsid w:val="00962AF2"/>
    <w:rsid w:val="00962B69"/>
    <w:rsid w:val="0096419B"/>
    <w:rsid w:val="009649EB"/>
    <w:rsid w:val="00966B9F"/>
    <w:rsid w:val="0096723C"/>
    <w:rsid w:val="0096739F"/>
    <w:rsid w:val="009673E8"/>
    <w:rsid w:val="00967A8C"/>
    <w:rsid w:val="0097054A"/>
    <w:rsid w:val="00970D0C"/>
    <w:rsid w:val="0097162C"/>
    <w:rsid w:val="00971956"/>
    <w:rsid w:val="00971C63"/>
    <w:rsid w:val="00973634"/>
    <w:rsid w:val="00973A81"/>
    <w:rsid w:val="00973F44"/>
    <w:rsid w:val="00974ABA"/>
    <w:rsid w:val="00974BBA"/>
    <w:rsid w:val="00976D85"/>
    <w:rsid w:val="00976E3B"/>
    <w:rsid w:val="0097772C"/>
    <w:rsid w:val="00977737"/>
    <w:rsid w:val="009806CB"/>
    <w:rsid w:val="00981356"/>
    <w:rsid w:val="00981D77"/>
    <w:rsid w:val="00982828"/>
    <w:rsid w:val="00982C4A"/>
    <w:rsid w:val="009831AA"/>
    <w:rsid w:val="009833C5"/>
    <w:rsid w:val="00983559"/>
    <w:rsid w:val="00983567"/>
    <w:rsid w:val="00983749"/>
    <w:rsid w:val="00983FE1"/>
    <w:rsid w:val="00984B09"/>
    <w:rsid w:val="00984D31"/>
    <w:rsid w:val="009861BC"/>
    <w:rsid w:val="00987066"/>
    <w:rsid w:val="00987ACE"/>
    <w:rsid w:val="00990A3C"/>
    <w:rsid w:val="00991268"/>
    <w:rsid w:val="0099181A"/>
    <w:rsid w:val="00991958"/>
    <w:rsid w:val="0099231E"/>
    <w:rsid w:val="00992971"/>
    <w:rsid w:val="00992CDD"/>
    <w:rsid w:val="00995371"/>
    <w:rsid w:val="0099564C"/>
    <w:rsid w:val="00996068"/>
    <w:rsid w:val="00996CE1"/>
    <w:rsid w:val="00996EC7"/>
    <w:rsid w:val="00996FF0"/>
    <w:rsid w:val="0099747A"/>
    <w:rsid w:val="009A041C"/>
    <w:rsid w:val="009A1868"/>
    <w:rsid w:val="009A18B0"/>
    <w:rsid w:val="009A287D"/>
    <w:rsid w:val="009A2947"/>
    <w:rsid w:val="009A3481"/>
    <w:rsid w:val="009A37B7"/>
    <w:rsid w:val="009A3ADD"/>
    <w:rsid w:val="009A3D82"/>
    <w:rsid w:val="009A3FE9"/>
    <w:rsid w:val="009A44A2"/>
    <w:rsid w:val="009A4544"/>
    <w:rsid w:val="009A49FB"/>
    <w:rsid w:val="009A4BFA"/>
    <w:rsid w:val="009A4E5B"/>
    <w:rsid w:val="009A5B35"/>
    <w:rsid w:val="009A61FB"/>
    <w:rsid w:val="009A6554"/>
    <w:rsid w:val="009A7E6B"/>
    <w:rsid w:val="009B052A"/>
    <w:rsid w:val="009B06F0"/>
    <w:rsid w:val="009B1539"/>
    <w:rsid w:val="009B185F"/>
    <w:rsid w:val="009B1FD4"/>
    <w:rsid w:val="009B2290"/>
    <w:rsid w:val="009B28EA"/>
    <w:rsid w:val="009B2E90"/>
    <w:rsid w:val="009B38AB"/>
    <w:rsid w:val="009B3ACA"/>
    <w:rsid w:val="009B3CB1"/>
    <w:rsid w:val="009B3CBF"/>
    <w:rsid w:val="009B3DD6"/>
    <w:rsid w:val="009B44DF"/>
    <w:rsid w:val="009B5555"/>
    <w:rsid w:val="009B5C34"/>
    <w:rsid w:val="009B6799"/>
    <w:rsid w:val="009B7AFF"/>
    <w:rsid w:val="009B7F52"/>
    <w:rsid w:val="009C0471"/>
    <w:rsid w:val="009C07B6"/>
    <w:rsid w:val="009C1957"/>
    <w:rsid w:val="009C1B43"/>
    <w:rsid w:val="009C255A"/>
    <w:rsid w:val="009C25DF"/>
    <w:rsid w:val="009C2BDA"/>
    <w:rsid w:val="009C2D0A"/>
    <w:rsid w:val="009C2F6D"/>
    <w:rsid w:val="009C3049"/>
    <w:rsid w:val="009C3AB9"/>
    <w:rsid w:val="009C3E2F"/>
    <w:rsid w:val="009C42BB"/>
    <w:rsid w:val="009C4325"/>
    <w:rsid w:val="009C4874"/>
    <w:rsid w:val="009C4BFD"/>
    <w:rsid w:val="009C5918"/>
    <w:rsid w:val="009C5A57"/>
    <w:rsid w:val="009C5F1C"/>
    <w:rsid w:val="009C605B"/>
    <w:rsid w:val="009C60C1"/>
    <w:rsid w:val="009C6342"/>
    <w:rsid w:val="009C6B73"/>
    <w:rsid w:val="009C74ED"/>
    <w:rsid w:val="009C7ABE"/>
    <w:rsid w:val="009D1B24"/>
    <w:rsid w:val="009D22C4"/>
    <w:rsid w:val="009D2F65"/>
    <w:rsid w:val="009D314C"/>
    <w:rsid w:val="009D3CED"/>
    <w:rsid w:val="009D4CC7"/>
    <w:rsid w:val="009D60A3"/>
    <w:rsid w:val="009D6AC3"/>
    <w:rsid w:val="009E0698"/>
    <w:rsid w:val="009E0716"/>
    <w:rsid w:val="009E0817"/>
    <w:rsid w:val="009E153C"/>
    <w:rsid w:val="009E1E23"/>
    <w:rsid w:val="009E2285"/>
    <w:rsid w:val="009E2314"/>
    <w:rsid w:val="009E306A"/>
    <w:rsid w:val="009E315A"/>
    <w:rsid w:val="009E4419"/>
    <w:rsid w:val="009E463F"/>
    <w:rsid w:val="009E6248"/>
    <w:rsid w:val="009E72DF"/>
    <w:rsid w:val="009E745D"/>
    <w:rsid w:val="009E7D6B"/>
    <w:rsid w:val="009F0395"/>
    <w:rsid w:val="009F0ECE"/>
    <w:rsid w:val="009F0F28"/>
    <w:rsid w:val="009F1814"/>
    <w:rsid w:val="009F1CD5"/>
    <w:rsid w:val="009F1F60"/>
    <w:rsid w:val="009F2D52"/>
    <w:rsid w:val="009F392D"/>
    <w:rsid w:val="009F44D0"/>
    <w:rsid w:val="009F5A09"/>
    <w:rsid w:val="009F5F77"/>
    <w:rsid w:val="009F7814"/>
    <w:rsid w:val="00A006C5"/>
    <w:rsid w:val="00A00D49"/>
    <w:rsid w:val="00A00E3B"/>
    <w:rsid w:val="00A011F8"/>
    <w:rsid w:val="00A01288"/>
    <w:rsid w:val="00A0183D"/>
    <w:rsid w:val="00A0271C"/>
    <w:rsid w:val="00A0294A"/>
    <w:rsid w:val="00A03266"/>
    <w:rsid w:val="00A03CC5"/>
    <w:rsid w:val="00A04655"/>
    <w:rsid w:val="00A04D7A"/>
    <w:rsid w:val="00A05500"/>
    <w:rsid w:val="00A06E45"/>
    <w:rsid w:val="00A0773C"/>
    <w:rsid w:val="00A104CC"/>
    <w:rsid w:val="00A10C47"/>
    <w:rsid w:val="00A11109"/>
    <w:rsid w:val="00A1159A"/>
    <w:rsid w:val="00A117E0"/>
    <w:rsid w:val="00A12774"/>
    <w:rsid w:val="00A128DD"/>
    <w:rsid w:val="00A12F3D"/>
    <w:rsid w:val="00A13B45"/>
    <w:rsid w:val="00A1467B"/>
    <w:rsid w:val="00A14D5A"/>
    <w:rsid w:val="00A14F60"/>
    <w:rsid w:val="00A16377"/>
    <w:rsid w:val="00A16503"/>
    <w:rsid w:val="00A16AF5"/>
    <w:rsid w:val="00A16B9E"/>
    <w:rsid w:val="00A170AC"/>
    <w:rsid w:val="00A17173"/>
    <w:rsid w:val="00A177AB"/>
    <w:rsid w:val="00A201CA"/>
    <w:rsid w:val="00A202D0"/>
    <w:rsid w:val="00A20318"/>
    <w:rsid w:val="00A214BF"/>
    <w:rsid w:val="00A21E7F"/>
    <w:rsid w:val="00A22758"/>
    <w:rsid w:val="00A22A12"/>
    <w:rsid w:val="00A23461"/>
    <w:rsid w:val="00A23B0A"/>
    <w:rsid w:val="00A24BD1"/>
    <w:rsid w:val="00A26192"/>
    <w:rsid w:val="00A26927"/>
    <w:rsid w:val="00A271E5"/>
    <w:rsid w:val="00A3036E"/>
    <w:rsid w:val="00A307BA"/>
    <w:rsid w:val="00A30DC7"/>
    <w:rsid w:val="00A32C0E"/>
    <w:rsid w:val="00A32F74"/>
    <w:rsid w:val="00A33015"/>
    <w:rsid w:val="00A3350F"/>
    <w:rsid w:val="00A3436C"/>
    <w:rsid w:val="00A34386"/>
    <w:rsid w:val="00A34547"/>
    <w:rsid w:val="00A34D92"/>
    <w:rsid w:val="00A35765"/>
    <w:rsid w:val="00A35B9D"/>
    <w:rsid w:val="00A364EC"/>
    <w:rsid w:val="00A36550"/>
    <w:rsid w:val="00A368EE"/>
    <w:rsid w:val="00A36A84"/>
    <w:rsid w:val="00A37769"/>
    <w:rsid w:val="00A40A47"/>
    <w:rsid w:val="00A410BA"/>
    <w:rsid w:val="00A4115F"/>
    <w:rsid w:val="00A41D51"/>
    <w:rsid w:val="00A421FD"/>
    <w:rsid w:val="00A4280F"/>
    <w:rsid w:val="00A430AE"/>
    <w:rsid w:val="00A437D3"/>
    <w:rsid w:val="00A43AE4"/>
    <w:rsid w:val="00A4421B"/>
    <w:rsid w:val="00A44C13"/>
    <w:rsid w:val="00A44C2F"/>
    <w:rsid w:val="00A44CD1"/>
    <w:rsid w:val="00A45090"/>
    <w:rsid w:val="00A45757"/>
    <w:rsid w:val="00A46506"/>
    <w:rsid w:val="00A466A6"/>
    <w:rsid w:val="00A4715F"/>
    <w:rsid w:val="00A47B45"/>
    <w:rsid w:val="00A50152"/>
    <w:rsid w:val="00A5035E"/>
    <w:rsid w:val="00A5093E"/>
    <w:rsid w:val="00A50A8E"/>
    <w:rsid w:val="00A511AA"/>
    <w:rsid w:val="00A51AA8"/>
    <w:rsid w:val="00A52165"/>
    <w:rsid w:val="00A52367"/>
    <w:rsid w:val="00A52444"/>
    <w:rsid w:val="00A52616"/>
    <w:rsid w:val="00A527EE"/>
    <w:rsid w:val="00A536FD"/>
    <w:rsid w:val="00A5374D"/>
    <w:rsid w:val="00A542BA"/>
    <w:rsid w:val="00A54340"/>
    <w:rsid w:val="00A54AED"/>
    <w:rsid w:val="00A557D4"/>
    <w:rsid w:val="00A56E8E"/>
    <w:rsid w:val="00A5713E"/>
    <w:rsid w:val="00A60DAC"/>
    <w:rsid w:val="00A60EAC"/>
    <w:rsid w:val="00A616B3"/>
    <w:rsid w:val="00A61BA4"/>
    <w:rsid w:val="00A61BF0"/>
    <w:rsid w:val="00A62BF0"/>
    <w:rsid w:val="00A631A9"/>
    <w:rsid w:val="00A632E1"/>
    <w:rsid w:val="00A63D60"/>
    <w:rsid w:val="00A64932"/>
    <w:rsid w:val="00A64E87"/>
    <w:rsid w:val="00A65933"/>
    <w:rsid w:val="00A65961"/>
    <w:rsid w:val="00A659DD"/>
    <w:rsid w:val="00A65B75"/>
    <w:rsid w:val="00A66A7D"/>
    <w:rsid w:val="00A670AE"/>
    <w:rsid w:val="00A672A5"/>
    <w:rsid w:val="00A7096E"/>
    <w:rsid w:val="00A70977"/>
    <w:rsid w:val="00A70B39"/>
    <w:rsid w:val="00A7112F"/>
    <w:rsid w:val="00A712CB"/>
    <w:rsid w:val="00A71645"/>
    <w:rsid w:val="00A71A94"/>
    <w:rsid w:val="00A71B39"/>
    <w:rsid w:val="00A71D4F"/>
    <w:rsid w:val="00A72AA8"/>
    <w:rsid w:val="00A7352E"/>
    <w:rsid w:val="00A73743"/>
    <w:rsid w:val="00A73ED7"/>
    <w:rsid w:val="00A745C1"/>
    <w:rsid w:val="00A74A3B"/>
    <w:rsid w:val="00A74A6A"/>
    <w:rsid w:val="00A75E74"/>
    <w:rsid w:val="00A76066"/>
    <w:rsid w:val="00A76174"/>
    <w:rsid w:val="00A764A8"/>
    <w:rsid w:val="00A7678C"/>
    <w:rsid w:val="00A76F89"/>
    <w:rsid w:val="00A77107"/>
    <w:rsid w:val="00A81EA3"/>
    <w:rsid w:val="00A82ABF"/>
    <w:rsid w:val="00A831CA"/>
    <w:rsid w:val="00A83E43"/>
    <w:rsid w:val="00A842A1"/>
    <w:rsid w:val="00A85309"/>
    <w:rsid w:val="00A859FF"/>
    <w:rsid w:val="00A86A36"/>
    <w:rsid w:val="00A86D5F"/>
    <w:rsid w:val="00A8726F"/>
    <w:rsid w:val="00A9005D"/>
    <w:rsid w:val="00A90A2F"/>
    <w:rsid w:val="00A90E17"/>
    <w:rsid w:val="00A91BA9"/>
    <w:rsid w:val="00A91F83"/>
    <w:rsid w:val="00A92318"/>
    <w:rsid w:val="00A92943"/>
    <w:rsid w:val="00A929DE"/>
    <w:rsid w:val="00A93B31"/>
    <w:rsid w:val="00A93C97"/>
    <w:rsid w:val="00A93CD1"/>
    <w:rsid w:val="00A95D75"/>
    <w:rsid w:val="00A95FF8"/>
    <w:rsid w:val="00A96287"/>
    <w:rsid w:val="00A97877"/>
    <w:rsid w:val="00A97BB8"/>
    <w:rsid w:val="00AA08D2"/>
    <w:rsid w:val="00AA2175"/>
    <w:rsid w:val="00AA2317"/>
    <w:rsid w:val="00AA28CB"/>
    <w:rsid w:val="00AA3134"/>
    <w:rsid w:val="00AA3690"/>
    <w:rsid w:val="00AA4764"/>
    <w:rsid w:val="00AA48A7"/>
    <w:rsid w:val="00AA492D"/>
    <w:rsid w:val="00AA4A57"/>
    <w:rsid w:val="00AA4D07"/>
    <w:rsid w:val="00AA4FAA"/>
    <w:rsid w:val="00AA606D"/>
    <w:rsid w:val="00AA610A"/>
    <w:rsid w:val="00AA610B"/>
    <w:rsid w:val="00AA6479"/>
    <w:rsid w:val="00AA6FF5"/>
    <w:rsid w:val="00AA7118"/>
    <w:rsid w:val="00AA71DF"/>
    <w:rsid w:val="00AA74CE"/>
    <w:rsid w:val="00AA7CF7"/>
    <w:rsid w:val="00AB0231"/>
    <w:rsid w:val="00AB0825"/>
    <w:rsid w:val="00AB0A88"/>
    <w:rsid w:val="00AB0FC4"/>
    <w:rsid w:val="00AB2C50"/>
    <w:rsid w:val="00AB2E82"/>
    <w:rsid w:val="00AB2F52"/>
    <w:rsid w:val="00AB310F"/>
    <w:rsid w:val="00AB34A9"/>
    <w:rsid w:val="00AB35EB"/>
    <w:rsid w:val="00AB39D1"/>
    <w:rsid w:val="00AB427E"/>
    <w:rsid w:val="00AB4392"/>
    <w:rsid w:val="00AB4509"/>
    <w:rsid w:val="00AB4A5A"/>
    <w:rsid w:val="00AB5245"/>
    <w:rsid w:val="00AB52CE"/>
    <w:rsid w:val="00AB620A"/>
    <w:rsid w:val="00AB7235"/>
    <w:rsid w:val="00AC0245"/>
    <w:rsid w:val="00AC0735"/>
    <w:rsid w:val="00AC0AAD"/>
    <w:rsid w:val="00AC0B01"/>
    <w:rsid w:val="00AC1685"/>
    <w:rsid w:val="00AC1E6C"/>
    <w:rsid w:val="00AC2404"/>
    <w:rsid w:val="00AC2B86"/>
    <w:rsid w:val="00AC34D2"/>
    <w:rsid w:val="00AC3B54"/>
    <w:rsid w:val="00AC41B9"/>
    <w:rsid w:val="00AC4634"/>
    <w:rsid w:val="00AC49C0"/>
    <w:rsid w:val="00AC4AF1"/>
    <w:rsid w:val="00AC4DA2"/>
    <w:rsid w:val="00AC4E65"/>
    <w:rsid w:val="00AC57E5"/>
    <w:rsid w:val="00AC6278"/>
    <w:rsid w:val="00AC6532"/>
    <w:rsid w:val="00AC67C3"/>
    <w:rsid w:val="00AC6953"/>
    <w:rsid w:val="00AC6B50"/>
    <w:rsid w:val="00AC7CC8"/>
    <w:rsid w:val="00AC7FDB"/>
    <w:rsid w:val="00AD0B6F"/>
    <w:rsid w:val="00AD13C2"/>
    <w:rsid w:val="00AD1DC5"/>
    <w:rsid w:val="00AD1FC1"/>
    <w:rsid w:val="00AD2017"/>
    <w:rsid w:val="00AD2306"/>
    <w:rsid w:val="00AD277F"/>
    <w:rsid w:val="00AD3170"/>
    <w:rsid w:val="00AD3585"/>
    <w:rsid w:val="00AD3952"/>
    <w:rsid w:val="00AD55E9"/>
    <w:rsid w:val="00AD65C2"/>
    <w:rsid w:val="00AD6697"/>
    <w:rsid w:val="00AD75F3"/>
    <w:rsid w:val="00AD7CC7"/>
    <w:rsid w:val="00AE00FE"/>
    <w:rsid w:val="00AE0B2C"/>
    <w:rsid w:val="00AE1A52"/>
    <w:rsid w:val="00AE293E"/>
    <w:rsid w:val="00AE2B9C"/>
    <w:rsid w:val="00AE34F4"/>
    <w:rsid w:val="00AE39F7"/>
    <w:rsid w:val="00AE3C3E"/>
    <w:rsid w:val="00AE3D4E"/>
    <w:rsid w:val="00AE44BF"/>
    <w:rsid w:val="00AE48AA"/>
    <w:rsid w:val="00AE53AB"/>
    <w:rsid w:val="00AE75A9"/>
    <w:rsid w:val="00AF22BF"/>
    <w:rsid w:val="00AF282D"/>
    <w:rsid w:val="00AF31D3"/>
    <w:rsid w:val="00AF32E3"/>
    <w:rsid w:val="00AF3717"/>
    <w:rsid w:val="00AF3863"/>
    <w:rsid w:val="00AF3A45"/>
    <w:rsid w:val="00AF3EAA"/>
    <w:rsid w:val="00AF44F1"/>
    <w:rsid w:val="00AF4780"/>
    <w:rsid w:val="00AF4987"/>
    <w:rsid w:val="00AF49C4"/>
    <w:rsid w:val="00AF4E23"/>
    <w:rsid w:val="00AF50F2"/>
    <w:rsid w:val="00AF556E"/>
    <w:rsid w:val="00AF56DA"/>
    <w:rsid w:val="00AF66D4"/>
    <w:rsid w:val="00AF6A99"/>
    <w:rsid w:val="00AF7416"/>
    <w:rsid w:val="00AF7A71"/>
    <w:rsid w:val="00B00086"/>
    <w:rsid w:val="00B012FA"/>
    <w:rsid w:val="00B017A4"/>
    <w:rsid w:val="00B01890"/>
    <w:rsid w:val="00B01ADE"/>
    <w:rsid w:val="00B01D5B"/>
    <w:rsid w:val="00B020D9"/>
    <w:rsid w:val="00B0265C"/>
    <w:rsid w:val="00B0298D"/>
    <w:rsid w:val="00B03214"/>
    <w:rsid w:val="00B0321F"/>
    <w:rsid w:val="00B0337C"/>
    <w:rsid w:val="00B0365C"/>
    <w:rsid w:val="00B04840"/>
    <w:rsid w:val="00B050D3"/>
    <w:rsid w:val="00B05998"/>
    <w:rsid w:val="00B05AEB"/>
    <w:rsid w:val="00B060BB"/>
    <w:rsid w:val="00B06198"/>
    <w:rsid w:val="00B075FA"/>
    <w:rsid w:val="00B07B38"/>
    <w:rsid w:val="00B07CE9"/>
    <w:rsid w:val="00B07DCA"/>
    <w:rsid w:val="00B10538"/>
    <w:rsid w:val="00B106F9"/>
    <w:rsid w:val="00B1074E"/>
    <w:rsid w:val="00B1084D"/>
    <w:rsid w:val="00B11060"/>
    <w:rsid w:val="00B117E9"/>
    <w:rsid w:val="00B11BB2"/>
    <w:rsid w:val="00B12242"/>
    <w:rsid w:val="00B123E7"/>
    <w:rsid w:val="00B12693"/>
    <w:rsid w:val="00B13635"/>
    <w:rsid w:val="00B13683"/>
    <w:rsid w:val="00B1384B"/>
    <w:rsid w:val="00B147E7"/>
    <w:rsid w:val="00B14DAA"/>
    <w:rsid w:val="00B159AB"/>
    <w:rsid w:val="00B1658A"/>
    <w:rsid w:val="00B17C6F"/>
    <w:rsid w:val="00B20441"/>
    <w:rsid w:val="00B204C9"/>
    <w:rsid w:val="00B20936"/>
    <w:rsid w:val="00B20BF0"/>
    <w:rsid w:val="00B2110A"/>
    <w:rsid w:val="00B21B70"/>
    <w:rsid w:val="00B21F59"/>
    <w:rsid w:val="00B222E4"/>
    <w:rsid w:val="00B223FC"/>
    <w:rsid w:val="00B226F9"/>
    <w:rsid w:val="00B227BB"/>
    <w:rsid w:val="00B22AF0"/>
    <w:rsid w:val="00B22BAC"/>
    <w:rsid w:val="00B22DCE"/>
    <w:rsid w:val="00B22E23"/>
    <w:rsid w:val="00B2311F"/>
    <w:rsid w:val="00B237F8"/>
    <w:rsid w:val="00B23F4B"/>
    <w:rsid w:val="00B24C2D"/>
    <w:rsid w:val="00B25467"/>
    <w:rsid w:val="00B25A8F"/>
    <w:rsid w:val="00B26CDA"/>
    <w:rsid w:val="00B2734A"/>
    <w:rsid w:val="00B312D2"/>
    <w:rsid w:val="00B314DC"/>
    <w:rsid w:val="00B317D5"/>
    <w:rsid w:val="00B31E2C"/>
    <w:rsid w:val="00B32B33"/>
    <w:rsid w:val="00B32D4E"/>
    <w:rsid w:val="00B330FE"/>
    <w:rsid w:val="00B331D0"/>
    <w:rsid w:val="00B33813"/>
    <w:rsid w:val="00B33F9B"/>
    <w:rsid w:val="00B347C3"/>
    <w:rsid w:val="00B34CFD"/>
    <w:rsid w:val="00B35C23"/>
    <w:rsid w:val="00B35D30"/>
    <w:rsid w:val="00B36128"/>
    <w:rsid w:val="00B36D8C"/>
    <w:rsid w:val="00B373FB"/>
    <w:rsid w:val="00B402B6"/>
    <w:rsid w:val="00B4048A"/>
    <w:rsid w:val="00B41302"/>
    <w:rsid w:val="00B4196A"/>
    <w:rsid w:val="00B41E9E"/>
    <w:rsid w:val="00B421AA"/>
    <w:rsid w:val="00B424B5"/>
    <w:rsid w:val="00B42A66"/>
    <w:rsid w:val="00B43294"/>
    <w:rsid w:val="00B43C23"/>
    <w:rsid w:val="00B443C1"/>
    <w:rsid w:val="00B4507C"/>
    <w:rsid w:val="00B4599F"/>
    <w:rsid w:val="00B45A21"/>
    <w:rsid w:val="00B45B8D"/>
    <w:rsid w:val="00B45F5F"/>
    <w:rsid w:val="00B4632F"/>
    <w:rsid w:val="00B4688D"/>
    <w:rsid w:val="00B46EE8"/>
    <w:rsid w:val="00B46FDD"/>
    <w:rsid w:val="00B471E1"/>
    <w:rsid w:val="00B479F7"/>
    <w:rsid w:val="00B50292"/>
    <w:rsid w:val="00B52B8C"/>
    <w:rsid w:val="00B5311D"/>
    <w:rsid w:val="00B53588"/>
    <w:rsid w:val="00B53698"/>
    <w:rsid w:val="00B54523"/>
    <w:rsid w:val="00B54552"/>
    <w:rsid w:val="00B54A17"/>
    <w:rsid w:val="00B55F57"/>
    <w:rsid w:val="00B563A5"/>
    <w:rsid w:val="00B56430"/>
    <w:rsid w:val="00B5674D"/>
    <w:rsid w:val="00B56C71"/>
    <w:rsid w:val="00B57568"/>
    <w:rsid w:val="00B57641"/>
    <w:rsid w:val="00B57766"/>
    <w:rsid w:val="00B578AC"/>
    <w:rsid w:val="00B604C6"/>
    <w:rsid w:val="00B60564"/>
    <w:rsid w:val="00B60D2B"/>
    <w:rsid w:val="00B6172D"/>
    <w:rsid w:val="00B61D1D"/>
    <w:rsid w:val="00B61FC5"/>
    <w:rsid w:val="00B61FFC"/>
    <w:rsid w:val="00B6266F"/>
    <w:rsid w:val="00B63166"/>
    <w:rsid w:val="00B638DA"/>
    <w:rsid w:val="00B63E4F"/>
    <w:rsid w:val="00B6458E"/>
    <w:rsid w:val="00B646A5"/>
    <w:rsid w:val="00B64A91"/>
    <w:rsid w:val="00B64F22"/>
    <w:rsid w:val="00B655CA"/>
    <w:rsid w:val="00B65B8D"/>
    <w:rsid w:val="00B65EF7"/>
    <w:rsid w:val="00B661C6"/>
    <w:rsid w:val="00B661EA"/>
    <w:rsid w:val="00B6640A"/>
    <w:rsid w:val="00B66418"/>
    <w:rsid w:val="00B66CE5"/>
    <w:rsid w:val="00B7002D"/>
    <w:rsid w:val="00B70BDE"/>
    <w:rsid w:val="00B70DE2"/>
    <w:rsid w:val="00B70EF8"/>
    <w:rsid w:val="00B71765"/>
    <w:rsid w:val="00B7242F"/>
    <w:rsid w:val="00B72782"/>
    <w:rsid w:val="00B73174"/>
    <w:rsid w:val="00B73287"/>
    <w:rsid w:val="00B734E5"/>
    <w:rsid w:val="00B73C0D"/>
    <w:rsid w:val="00B74984"/>
    <w:rsid w:val="00B7544C"/>
    <w:rsid w:val="00B75546"/>
    <w:rsid w:val="00B760C9"/>
    <w:rsid w:val="00B760F9"/>
    <w:rsid w:val="00B76C67"/>
    <w:rsid w:val="00B77609"/>
    <w:rsid w:val="00B77CA6"/>
    <w:rsid w:val="00B77EE4"/>
    <w:rsid w:val="00B8056A"/>
    <w:rsid w:val="00B81AC7"/>
    <w:rsid w:val="00B81CED"/>
    <w:rsid w:val="00B824B4"/>
    <w:rsid w:val="00B82B91"/>
    <w:rsid w:val="00B83081"/>
    <w:rsid w:val="00B8325E"/>
    <w:rsid w:val="00B8357F"/>
    <w:rsid w:val="00B83862"/>
    <w:rsid w:val="00B83F47"/>
    <w:rsid w:val="00B844BF"/>
    <w:rsid w:val="00B845E0"/>
    <w:rsid w:val="00B84D76"/>
    <w:rsid w:val="00B85C7A"/>
    <w:rsid w:val="00B86276"/>
    <w:rsid w:val="00B86480"/>
    <w:rsid w:val="00B87482"/>
    <w:rsid w:val="00B87F34"/>
    <w:rsid w:val="00B87F5F"/>
    <w:rsid w:val="00B90755"/>
    <w:rsid w:val="00B90DA0"/>
    <w:rsid w:val="00B90E19"/>
    <w:rsid w:val="00B915F0"/>
    <w:rsid w:val="00B91787"/>
    <w:rsid w:val="00B92085"/>
    <w:rsid w:val="00B93885"/>
    <w:rsid w:val="00B9463B"/>
    <w:rsid w:val="00B9466D"/>
    <w:rsid w:val="00B9478C"/>
    <w:rsid w:val="00B949E3"/>
    <w:rsid w:val="00B956B1"/>
    <w:rsid w:val="00B95B51"/>
    <w:rsid w:val="00B95BFD"/>
    <w:rsid w:val="00B95F90"/>
    <w:rsid w:val="00B96178"/>
    <w:rsid w:val="00B96228"/>
    <w:rsid w:val="00B963F7"/>
    <w:rsid w:val="00B96D90"/>
    <w:rsid w:val="00B97082"/>
    <w:rsid w:val="00B975B6"/>
    <w:rsid w:val="00B97E81"/>
    <w:rsid w:val="00B97F37"/>
    <w:rsid w:val="00BA01E3"/>
    <w:rsid w:val="00BA0C6A"/>
    <w:rsid w:val="00BA108F"/>
    <w:rsid w:val="00BA1F88"/>
    <w:rsid w:val="00BA200B"/>
    <w:rsid w:val="00BA244E"/>
    <w:rsid w:val="00BA2533"/>
    <w:rsid w:val="00BA2A14"/>
    <w:rsid w:val="00BA2BCF"/>
    <w:rsid w:val="00BA2D05"/>
    <w:rsid w:val="00BA4614"/>
    <w:rsid w:val="00BA4D37"/>
    <w:rsid w:val="00BA5B0A"/>
    <w:rsid w:val="00BA5D1B"/>
    <w:rsid w:val="00BA5E6D"/>
    <w:rsid w:val="00BA6C6C"/>
    <w:rsid w:val="00BA6E29"/>
    <w:rsid w:val="00BA766C"/>
    <w:rsid w:val="00BA77CE"/>
    <w:rsid w:val="00BA7AF5"/>
    <w:rsid w:val="00BB042B"/>
    <w:rsid w:val="00BB0DA2"/>
    <w:rsid w:val="00BB103B"/>
    <w:rsid w:val="00BB136A"/>
    <w:rsid w:val="00BB1E78"/>
    <w:rsid w:val="00BB1F81"/>
    <w:rsid w:val="00BB27D0"/>
    <w:rsid w:val="00BB27F7"/>
    <w:rsid w:val="00BB2F3B"/>
    <w:rsid w:val="00BB394F"/>
    <w:rsid w:val="00BB3DA3"/>
    <w:rsid w:val="00BB3F86"/>
    <w:rsid w:val="00BB4A95"/>
    <w:rsid w:val="00BB4F42"/>
    <w:rsid w:val="00BB6628"/>
    <w:rsid w:val="00BB6B0D"/>
    <w:rsid w:val="00BB7101"/>
    <w:rsid w:val="00BB748E"/>
    <w:rsid w:val="00BB781B"/>
    <w:rsid w:val="00BB7D57"/>
    <w:rsid w:val="00BC1BF2"/>
    <w:rsid w:val="00BC2B9C"/>
    <w:rsid w:val="00BC2BA1"/>
    <w:rsid w:val="00BC32B3"/>
    <w:rsid w:val="00BC356B"/>
    <w:rsid w:val="00BC365F"/>
    <w:rsid w:val="00BC38C4"/>
    <w:rsid w:val="00BC48A8"/>
    <w:rsid w:val="00BC637F"/>
    <w:rsid w:val="00BC66A2"/>
    <w:rsid w:val="00BC6824"/>
    <w:rsid w:val="00BC6E74"/>
    <w:rsid w:val="00BC70C4"/>
    <w:rsid w:val="00BD175F"/>
    <w:rsid w:val="00BD25D3"/>
    <w:rsid w:val="00BD2C75"/>
    <w:rsid w:val="00BD2FBA"/>
    <w:rsid w:val="00BD393B"/>
    <w:rsid w:val="00BD45BC"/>
    <w:rsid w:val="00BD5223"/>
    <w:rsid w:val="00BD6857"/>
    <w:rsid w:val="00BD68A1"/>
    <w:rsid w:val="00BD6F0A"/>
    <w:rsid w:val="00BD7242"/>
    <w:rsid w:val="00BD7508"/>
    <w:rsid w:val="00BD7589"/>
    <w:rsid w:val="00BD7AC9"/>
    <w:rsid w:val="00BD7E4A"/>
    <w:rsid w:val="00BE0001"/>
    <w:rsid w:val="00BE0218"/>
    <w:rsid w:val="00BE06AF"/>
    <w:rsid w:val="00BE0ACD"/>
    <w:rsid w:val="00BE146A"/>
    <w:rsid w:val="00BE1A5A"/>
    <w:rsid w:val="00BE1FB9"/>
    <w:rsid w:val="00BE2260"/>
    <w:rsid w:val="00BE2817"/>
    <w:rsid w:val="00BE2DDD"/>
    <w:rsid w:val="00BE34AC"/>
    <w:rsid w:val="00BE38A7"/>
    <w:rsid w:val="00BE3E59"/>
    <w:rsid w:val="00BE4290"/>
    <w:rsid w:val="00BE44A2"/>
    <w:rsid w:val="00BE4A6D"/>
    <w:rsid w:val="00BE4BF4"/>
    <w:rsid w:val="00BE5401"/>
    <w:rsid w:val="00BE56F6"/>
    <w:rsid w:val="00BE59EA"/>
    <w:rsid w:val="00BE5CBF"/>
    <w:rsid w:val="00BE6219"/>
    <w:rsid w:val="00BE6AAB"/>
    <w:rsid w:val="00BE6C2A"/>
    <w:rsid w:val="00BE6F93"/>
    <w:rsid w:val="00BE76E6"/>
    <w:rsid w:val="00BE7BB9"/>
    <w:rsid w:val="00BF01D3"/>
    <w:rsid w:val="00BF0751"/>
    <w:rsid w:val="00BF09A3"/>
    <w:rsid w:val="00BF1104"/>
    <w:rsid w:val="00BF13B8"/>
    <w:rsid w:val="00BF1C72"/>
    <w:rsid w:val="00BF2C96"/>
    <w:rsid w:val="00BF2ED1"/>
    <w:rsid w:val="00BF3084"/>
    <w:rsid w:val="00BF47ED"/>
    <w:rsid w:val="00BF537B"/>
    <w:rsid w:val="00BF573A"/>
    <w:rsid w:val="00BF60C9"/>
    <w:rsid w:val="00BF628C"/>
    <w:rsid w:val="00BF74B4"/>
    <w:rsid w:val="00C0013C"/>
    <w:rsid w:val="00C00176"/>
    <w:rsid w:val="00C006F8"/>
    <w:rsid w:val="00C019A5"/>
    <w:rsid w:val="00C02477"/>
    <w:rsid w:val="00C02A26"/>
    <w:rsid w:val="00C02F24"/>
    <w:rsid w:val="00C03682"/>
    <w:rsid w:val="00C03DB7"/>
    <w:rsid w:val="00C04823"/>
    <w:rsid w:val="00C054C9"/>
    <w:rsid w:val="00C05B41"/>
    <w:rsid w:val="00C06794"/>
    <w:rsid w:val="00C07F83"/>
    <w:rsid w:val="00C10511"/>
    <w:rsid w:val="00C10562"/>
    <w:rsid w:val="00C11123"/>
    <w:rsid w:val="00C112AD"/>
    <w:rsid w:val="00C11357"/>
    <w:rsid w:val="00C116E8"/>
    <w:rsid w:val="00C12239"/>
    <w:rsid w:val="00C1263E"/>
    <w:rsid w:val="00C12996"/>
    <w:rsid w:val="00C12F2C"/>
    <w:rsid w:val="00C1344A"/>
    <w:rsid w:val="00C1413C"/>
    <w:rsid w:val="00C14DC5"/>
    <w:rsid w:val="00C16E68"/>
    <w:rsid w:val="00C170B4"/>
    <w:rsid w:val="00C17578"/>
    <w:rsid w:val="00C178B5"/>
    <w:rsid w:val="00C17B20"/>
    <w:rsid w:val="00C2031D"/>
    <w:rsid w:val="00C20409"/>
    <w:rsid w:val="00C2137A"/>
    <w:rsid w:val="00C21512"/>
    <w:rsid w:val="00C21DD5"/>
    <w:rsid w:val="00C220B5"/>
    <w:rsid w:val="00C226B4"/>
    <w:rsid w:val="00C23865"/>
    <w:rsid w:val="00C2403C"/>
    <w:rsid w:val="00C24101"/>
    <w:rsid w:val="00C246DA"/>
    <w:rsid w:val="00C24BC7"/>
    <w:rsid w:val="00C24C10"/>
    <w:rsid w:val="00C24DD6"/>
    <w:rsid w:val="00C24EFC"/>
    <w:rsid w:val="00C2519A"/>
    <w:rsid w:val="00C253CD"/>
    <w:rsid w:val="00C26E80"/>
    <w:rsid w:val="00C275D6"/>
    <w:rsid w:val="00C279BE"/>
    <w:rsid w:val="00C27D63"/>
    <w:rsid w:val="00C3011B"/>
    <w:rsid w:val="00C307FD"/>
    <w:rsid w:val="00C30D17"/>
    <w:rsid w:val="00C3117E"/>
    <w:rsid w:val="00C3166E"/>
    <w:rsid w:val="00C329AD"/>
    <w:rsid w:val="00C32AD2"/>
    <w:rsid w:val="00C32C48"/>
    <w:rsid w:val="00C32D62"/>
    <w:rsid w:val="00C33110"/>
    <w:rsid w:val="00C3317E"/>
    <w:rsid w:val="00C34400"/>
    <w:rsid w:val="00C3472B"/>
    <w:rsid w:val="00C3473D"/>
    <w:rsid w:val="00C34D81"/>
    <w:rsid w:val="00C35258"/>
    <w:rsid w:val="00C35A51"/>
    <w:rsid w:val="00C35E56"/>
    <w:rsid w:val="00C367EA"/>
    <w:rsid w:val="00C3695F"/>
    <w:rsid w:val="00C36F32"/>
    <w:rsid w:val="00C370BF"/>
    <w:rsid w:val="00C37462"/>
    <w:rsid w:val="00C3753B"/>
    <w:rsid w:val="00C37873"/>
    <w:rsid w:val="00C37ECE"/>
    <w:rsid w:val="00C408F3"/>
    <w:rsid w:val="00C40BEB"/>
    <w:rsid w:val="00C41E05"/>
    <w:rsid w:val="00C41E8D"/>
    <w:rsid w:val="00C42B7A"/>
    <w:rsid w:val="00C42CD1"/>
    <w:rsid w:val="00C431AF"/>
    <w:rsid w:val="00C43C87"/>
    <w:rsid w:val="00C44252"/>
    <w:rsid w:val="00C4449B"/>
    <w:rsid w:val="00C44F26"/>
    <w:rsid w:val="00C45378"/>
    <w:rsid w:val="00C46354"/>
    <w:rsid w:val="00C46C85"/>
    <w:rsid w:val="00C46CB6"/>
    <w:rsid w:val="00C47044"/>
    <w:rsid w:val="00C473BC"/>
    <w:rsid w:val="00C476DE"/>
    <w:rsid w:val="00C47E6D"/>
    <w:rsid w:val="00C51951"/>
    <w:rsid w:val="00C52345"/>
    <w:rsid w:val="00C52D8E"/>
    <w:rsid w:val="00C53D79"/>
    <w:rsid w:val="00C540F9"/>
    <w:rsid w:val="00C549E1"/>
    <w:rsid w:val="00C55965"/>
    <w:rsid w:val="00C55B5D"/>
    <w:rsid w:val="00C55B62"/>
    <w:rsid w:val="00C56299"/>
    <w:rsid w:val="00C56459"/>
    <w:rsid w:val="00C566BF"/>
    <w:rsid w:val="00C56BED"/>
    <w:rsid w:val="00C57E2E"/>
    <w:rsid w:val="00C57E46"/>
    <w:rsid w:val="00C60C63"/>
    <w:rsid w:val="00C60CA3"/>
    <w:rsid w:val="00C61783"/>
    <w:rsid w:val="00C62183"/>
    <w:rsid w:val="00C62364"/>
    <w:rsid w:val="00C6264B"/>
    <w:rsid w:val="00C62D1E"/>
    <w:rsid w:val="00C63C2E"/>
    <w:rsid w:val="00C64221"/>
    <w:rsid w:val="00C6495A"/>
    <w:rsid w:val="00C64DA0"/>
    <w:rsid w:val="00C65060"/>
    <w:rsid w:val="00C6508D"/>
    <w:rsid w:val="00C65614"/>
    <w:rsid w:val="00C65F36"/>
    <w:rsid w:val="00C66290"/>
    <w:rsid w:val="00C66B1D"/>
    <w:rsid w:val="00C66C9F"/>
    <w:rsid w:val="00C6706B"/>
    <w:rsid w:val="00C67917"/>
    <w:rsid w:val="00C704DD"/>
    <w:rsid w:val="00C70CAE"/>
    <w:rsid w:val="00C70F02"/>
    <w:rsid w:val="00C7180F"/>
    <w:rsid w:val="00C7187D"/>
    <w:rsid w:val="00C72339"/>
    <w:rsid w:val="00C725A4"/>
    <w:rsid w:val="00C72E6D"/>
    <w:rsid w:val="00C738C0"/>
    <w:rsid w:val="00C742A3"/>
    <w:rsid w:val="00C74BD2"/>
    <w:rsid w:val="00C75A96"/>
    <w:rsid w:val="00C75DF4"/>
    <w:rsid w:val="00C7624E"/>
    <w:rsid w:val="00C766A2"/>
    <w:rsid w:val="00C7722F"/>
    <w:rsid w:val="00C77965"/>
    <w:rsid w:val="00C80ACE"/>
    <w:rsid w:val="00C80B15"/>
    <w:rsid w:val="00C80C19"/>
    <w:rsid w:val="00C80D61"/>
    <w:rsid w:val="00C8131C"/>
    <w:rsid w:val="00C81663"/>
    <w:rsid w:val="00C81D4C"/>
    <w:rsid w:val="00C83512"/>
    <w:rsid w:val="00C83DFA"/>
    <w:rsid w:val="00C85859"/>
    <w:rsid w:val="00C8612E"/>
    <w:rsid w:val="00C86319"/>
    <w:rsid w:val="00C866D3"/>
    <w:rsid w:val="00C87AE9"/>
    <w:rsid w:val="00C87B38"/>
    <w:rsid w:val="00C9031C"/>
    <w:rsid w:val="00C90331"/>
    <w:rsid w:val="00C9061B"/>
    <w:rsid w:val="00C91BDE"/>
    <w:rsid w:val="00C91D31"/>
    <w:rsid w:val="00C91ED0"/>
    <w:rsid w:val="00C92459"/>
    <w:rsid w:val="00C92524"/>
    <w:rsid w:val="00C93124"/>
    <w:rsid w:val="00C93410"/>
    <w:rsid w:val="00C93CE5"/>
    <w:rsid w:val="00C95222"/>
    <w:rsid w:val="00C9523D"/>
    <w:rsid w:val="00C95654"/>
    <w:rsid w:val="00C97493"/>
    <w:rsid w:val="00C97EF7"/>
    <w:rsid w:val="00CA0344"/>
    <w:rsid w:val="00CA1113"/>
    <w:rsid w:val="00CA13F3"/>
    <w:rsid w:val="00CA1695"/>
    <w:rsid w:val="00CA1AEE"/>
    <w:rsid w:val="00CA1FB7"/>
    <w:rsid w:val="00CA2536"/>
    <w:rsid w:val="00CA2A10"/>
    <w:rsid w:val="00CA2BEA"/>
    <w:rsid w:val="00CA33A4"/>
    <w:rsid w:val="00CA344C"/>
    <w:rsid w:val="00CA3DD1"/>
    <w:rsid w:val="00CA4059"/>
    <w:rsid w:val="00CA4134"/>
    <w:rsid w:val="00CA4BA1"/>
    <w:rsid w:val="00CA50FF"/>
    <w:rsid w:val="00CA5714"/>
    <w:rsid w:val="00CA5DDB"/>
    <w:rsid w:val="00CA64B3"/>
    <w:rsid w:val="00CA691B"/>
    <w:rsid w:val="00CA6C6F"/>
    <w:rsid w:val="00CA6FD0"/>
    <w:rsid w:val="00CA7199"/>
    <w:rsid w:val="00CA74B8"/>
    <w:rsid w:val="00CB04B5"/>
    <w:rsid w:val="00CB0FF0"/>
    <w:rsid w:val="00CB144A"/>
    <w:rsid w:val="00CB1621"/>
    <w:rsid w:val="00CB1BC4"/>
    <w:rsid w:val="00CB20D1"/>
    <w:rsid w:val="00CB26C2"/>
    <w:rsid w:val="00CB2F29"/>
    <w:rsid w:val="00CB301A"/>
    <w:rsid w:val="00CB39B8"/>
    <w:rsid w:val="00CB4AC3"/>
    <w:rsid w:val="00CB4FC0"/>
    <w:rsid w:val="00CB5523"/>
    <w:rsid w:val="00CB6052"/>
    <w:rsid w:val="00CB6549"/>
    <w:rsid w:val="00CB6AFD"/>
    <w:rsid w:val="00CB6F43"/>
    <w:rsid w:val="00CB73DD"/>
    <w:rsid w:val="00CB7433"/>
    <w:rsid w:val="00CB7724"/>
    <w:rsid w:val="00CB7ECB"/>
    <w:rsid w:val="00CC1BAA"/>
    <w:rsid w:val="00CC1CEB"/>
    <w:rsid w:val="00CC1F82"/>
    <w:rsid w:val="00CC2080"/>
    <w:rsid w:val="00CC239E"/>
    <w:rsid w:val="00CC388B"/>
    <w:rsid w:val="00CC3DBB"/>
    <w:rsid w:val="00CC3E25"/>
    <w:rsid w:val="00CC44CA"/>
    <w:rsid w:val="00CC46E3"/>
    <w:rsid w:val="00CC48FB"/>
    <w:rsid w:val="00CC4ACC"/>
    <w:rsid w:val="00CC4E11"/>
    <w:rsid w:val="00CC5C03"/>
    <w:rsid w:val="00CC5DDA"/>
    <w:rsid w:val="00CC6173"/>
    <w:rsid w:val="00CC67EE"/>
    <w:rsid w:val="00CC69A1"/>
    <w:rsid w:val="00CC73EE"/>
    <w:rsid w:val="00CC75FE"/>
    <w:rsid w:val="00CC7F25"/>
    <w:rsid w:val="00CD02C9"/>
    <w:rsid w:val="00CD0A26"/>
    <w:rsid w:val="00CD0F7E"/>
    <w:rsid w:val="00CD12E8"/>
    <w:rsid w:val="00CD1A0D"/>
    <w:rsid w:val="00CD1FAA"/>
    <w:rsid w:val="00CD28C5"/>
    <w:rsid w:val="00CD2C70"/>
    <w:rsid w:val="00CD2E1A"/>
    <w:rsid w:val="00CD312A"/>
    <w:rsid w:val="00CD3957"/>
    <w:rsid w:val="00CD5D22"/>
    <w:rsid w:val="00CD5E1F"/>
    <w:rsid w:val="00CD6559"/>
    <w:rsid w:val="00CE055A"/>
    <w:rsid w:val="00CE07F7"/>
    <w:rsid w:val="00CE083F"/>
    <w:rsid w:val="00CE1050"/>
    <w:rsid w:val="00CE11D2"/>
    <w:rsid w:val="00CE1944"/>
    <w:rsid w:val="00CE218B"/>
    <w:rsid w:val="00CE2749"/>
    <w:rsid w:val="00CE390B"/>
    <w:rsid w:val="00CE402A"/>
    <w:rsid w:val="00CE410A"/>
    <w:rsid w:val="00CE55A4"/>
    <w:rsid w:val="00CE5AA6"/>
    <w:rsid w:val="00CE5D53"/>
    <w:rsid w:val="00CE6D73"/>
    <w:rsid w:val="00CE6F40"/>
    <w:rsid w:val="00CE7045"/>
    <w:rsid w:val="00CE7EDA"/>
    <w:rsid w:val="00CF01D5"/>
    <w:rsid w:val="00CF05ED"/>
    <w:rsid w:val="00CF288F"/>
    <w:rsid w:val="00CF2932"/>
    <w:rsid w:val="00CF379D"/>
    <w:rsid w:val="00CF38DB"/>
    <w:rsid w:val="00CF3DC9"/>
    <w:rsid w:val="00CF437F"/>
    <w:rsid w:val="00CF464B"/>
    <w:rsid w:val="00CF48B6"/>
    <w:rsid w:val="00CF49BD"/>
    <w:rsid w:val="00CF4CAE"/>
    <w:rsid w:val="00CF4E0F"/>
    <w:rsid w:val="00CF501E"/>
    <w:rsid w:val="00CF52C0"/>
    <w:rsid w:val="00CF540E"/>
    <w:rsid w:val="00CF5CD9"/>
    <w:rsid w:val="00CF5FE9"/>
    <w:rsid w:val="00CF6359"/>
    <w:rsid w:val="00CF66B5"/>
    <w:rsid w:val="00CF6C70"/>
    <w:rsid w:val="00CF6E71"/>
    <w:rsid w:val="00CF6FEF"/>
    <w:rsid w:val="00CF7B66"/>
    <w:rsid w:val="00D010EC"/>
    <w:rsid w:val="00D01278"/>
    <w:rsid w:val="00D01FAF"/>
    <w:rsid w:val="00D02B58"/>
    <w:rsid w:val="00D02E90"/>
    <w:rsid w:val="00D032A7"/>
    <w:rsid w:val="00D04999"/>
    <w:rsid w:val="00D04DBB"/>
    <w:rsid w:val="00D05453"/>
    <w:rsid w:val="00D05854"/>
    <w:rsid w:val="00D05BC3"/>
    <w:rsid w:val="00D06A43"/>
    <w:rsid w:val="00D07434"/>
    <w:rsid w:val="00D07603"/>
    <w:rsid w:val="00D07F58"/>
    <w:rsid w:val="00D112BC"/>
    <w:rsid w:val="00D12086"/>
    <w:rsid w:val="00D121A6"/>
    <w:rsid w:val="00D12B43"/>
    <w:rsid w:val="00D13368"/>
    <w:rsid w:val="00D134F3"/>
    <w:rsid w:val="00D14952"/>
    <w:rsid w:val="00D14ADA"/>
    <w:rsid w:val="00D15D6B"/>
    <w:rsid w:val="00D15DA1"/>
    <w:rsid w:val="00D16323"/>
    <w:rsid w:val="00D169D8"/>
    <w:rsid w:val="00D16C7D"/>
    <w:rsid w:val="00D17D38"/>
    <w:rsid w:val="00D17F27"/>
    <w:rsid w:val="00D2015A"/>
    <w:rsid w:val="00D20177"/>
    <w:rsid w:val="00D2092D"/>
    <w:rsid w:val="00D20989"/>
    <w:rsid w:val="00D20A0E"/>
    <w:rsid w:val="00D222F4"/>
    <w:rsid w:val="00D22F5B"/>
    <w:rsid w:val="00D23135"/>
    <w:rsid w:val="00D23883"/>
    <w:rsid w:val="00D23A22"/>
    <w:rsid w:val="00D2410F"/>
    <w:rsid w:val="00D245D6"/>
    <w:rsid w:val="00D24841"/>
    <w:rsid w:val="00D24C5B"/>
    <w:rsid w:val="00D255B3"/>
    <w:rsid w:val="00D2714A"/>
    <w:rsid w:val="00D27731"/>
    <w:rsid w:val="00D27775"/>
    <w:rsid w:val="00D278AD"/>
    <w:rsid w:val="00D307AE"/>
    <w:rsid w:val="00D30B65"/>
    <w:rsid w:val="00D31876"/>
    <w:rsid w:val="00D31E63"/>
    <w:rsid w:val="00D332AA"/>
    <w:rsid w:val="00D339E3"/>
    <w:rsid w:val="00D33E3F"/>
    <w:rsid w:val="00D340E8"/>
    <w:rsid w:val="00D34B52"/>
    <w:rsid w:val="00D34B93"/>
    <w:rsid w:val="00D35592"/>
    <w:rsid w:val="00D356CB"/>
    <w:rsid w:val="00D35DEF"/>
    <w:rsid w:val="00D35ED4"/>
    <w:rsid w:val="00D37CEA"/>
    <w:rsid w:val="00D40C74"/>
    <w:rsid w:val="00D40E24"/>
    <w:rsid w:val="00D410BC"/>
    <w:rsid w:val="00D417B0"/>
    <w:rsid w:val="00D41820"/>
    <w:rsid w:val="00D41982"/>
    <w:rsid w:val="00D41A7C"/>
    <w:rsid w:val="00D41F5F"/>
    <w:rsid w:val="00D427EB"/>
    <w:rsid w:val="00D43905"/>
    <w:rsid w:val="00D43DFA"/>
    <w:rsid w:val="00D441B7"/>
    <w:rsid w:val="00D446A8"/>
    <w:rsid w:val="00D44895"/>
    <w:rsid w:val="00D4520A"/>
    <w:rsid w:val="00D45329"/>
    <w:rsid w:val="00D45E4F"/>
    <w:rsid w:val="00D45F30"/>
    <w:rsid w:val="00D46D6B"/>
    <w:rsid w:val="00D46F42"/>
    <w:rsid w:val="00D47014"/>
    <w:rsid w:val="00D476CD"/>
    <w:rsid w:val="00D47BEC"/>
    <w:rsid w:val="00D47E2D"/>
    <w:rsid w:val="00D502FC"/>
    <w:rsid w:val="00D5048F"/>
    <w:rsid w:val="00D504AD"/>
    <w:rsid w:val="00D5156C"/>
    <w:rsid w:val="00D5163B"/>
    <w:rsid w:val="00D53883"/>
    <w:rsid w:val="00D54B52"/>
    <w:rsid w:val="00D54F28"/>
    <w:rsid w:val="00D55810"/>
    <w:rsid w:val="00D55CBC"/>
    <w:rsid w:val="00D567C2"/>
    <w:rsid w:val="00D568C0"/>
    <w:rsid w:val="00D5697D"/>
    <w:rsid w:val="00D573E3"/>
    <w:rsid w:val="00D57705"/>
    <w:rsid w:val="00D57B63"/>
    <w:rsid w:val="00D57F3F"/>
    <w:rsid w:val="00D57F89"/>
    <w:rsid w:val="00D606AF"/>
    <w:rsid w:val="00D612C9"/>
    <w:rsid w:val="00D6195B"/>
    <w:rsid w:val="00D6270B"/>
    <w:rsid w:val="00D62B2B"/>
    <w:rsid w:val="00D62FF9"/>
    <w:rsid w:val="00D63AC0"/>
    <w:rsid w:val="00D63AF7"/>
    <w:rsid w:val="00D63DE6"/>
    <w:rsid w:val="00D63E59"/>
    <w:rsid w:val="00D64131"/>
    <w:rsid w:val="00D6481D"/>
    <w:rsid w:val="00D65102"/>
    <w:rsid w:val="00D65400"/>
    <w:rsid w:val="00D6633D"/>
    <w:rsid w:val="00D6645F"/>
    <w:rsid w:val="00D66930"/>
    <w:rsid w:val="00D66DEF"/>
    <w:rsid w:val="00D67C27"/>
    <w:rsid w:val="00D67CEF"/>
    <w:rsid w:val="00D67EB4"/>
    <w:rsid w:val="00D7125C"/>
    <w:rsid w:val="00D71F4D"/>
    <w:rsid w:val="00D722D5"/>
    <w:rsid w:val="00D7249E"/>
    <w:rsid w:val="00D72AB9"/>
    <w:rsid w:val="00D72F7A"/>
    <w:rsid w:val="00D73F27"/>
    <w:rsid w:val="00D74FD7"/>
    <w:rsid w:val="00D7518C"/>
    <w:rsid w:val="00D751A7"/>
    <w:rsid w:val="00D75798"/>
    <w:rsid w:val="00D7593E"/>
    <w:rsid w:val="00D75989"/>
    <w:rsid w:val="00D75C0B"/>
    <w:rsid w:val="00D76644"/>
    <w:rsid w:val="00D76E37"/>
    <w:rsid w:val="00D76E4C"/>
    <w:rsid w:val="00D77234"/>
    <w:rsid w:val="00D776BA"/>
    <w:rsid w:val="00D779AC"/>
    <w:rsid w:val="00D80A9B"/>
    <w:rsid w:val="00D80BFE"/>
    <w:rsid w:val="00D81D59"/>
    <w:rsid w:val="00D8455E"/>
    <w:rsid w:val="00D8466A"/>
    <w:rsid w:val="00D84ABE"/>
    <w:rsid w:val="00D84BF0"/>
    <w:rsid w:val="00D85658"/>
    <w:rsid w:val="00D85FFA"/>
    <w:rsid w:val="00D8624F"/>
    <w:rsid w:val="00D870D1"/>
    <w:rsid w:val="00D870D5"/>
    <w:rsid w:val="00D906B6"/>
    <w:rsid w:val="00D90773"/>
    <w:rsid w:val="00D90B07"/>
    <w:rsid w:val="00D90C1C"/>
    <w:rsid w:val="00D91151"/>
    <w:rsid w:val="00D926A9"/>
    <w:rsid w:val="00D9273F"/>
    <w:rsid w:val="00D93FBF"/>
    <w:rsid w:val="00D94B14"/>
    <w:rsid w:val="00D94D9B"/>
    <w:rsid w:val="00D956BF"/>
    <w:rsid w:val="00D95872"/>
    <w:rsid w:val="00D961F5"/>
    <w:rsid w:val="00D967CB"/>
    <w:rsid w:val="00D96CF1"/>
    <w:rsid w:val="00D9707B"/>
    <w:rsid w:val="00D97562"/>
    <w:rsid w:val="00D976E6"/>
    <w:rsid w:val="00D97F46"/>
    <w:rsid w:val="00DA0213"/>
    <w:rsid w:val="00DA0507"/>
    <w:rsid w:val="00DA09FD"/>
    <w:rsid w:val="00DA0F3A"/>
    <w:rsid w:val="00DA1194"/>
    <w:rsid w:val="00DA14EA"/>
    <w:rsid w:val="00DA1813"/>
    <w:rsid w:val="00DA1FCF"/>
    <w:rsid w:val="00DA3270"/>
    <w:rsid w:val="00DA4AAD"/>
    <w:rsid w:val="00DA4BC9"/>
    <w:rsid w:val="00DA53D2"/>
    <w:rsid w:val="00DA63D1"/>
    <w:rsid w:val="00DA69E5"/>
    <w:rsid w:val="00DA721D"/>
    <w:rsid w:val="00DA72E5"/>
    <w:rsid w:val="00DA7D6F"/>
    <w:rsid w:val="00DB05C7"/>
    <w:rsid w:val="00DB118B"/>
    <w:rsid w:val="00DB1AF0"/>
    <w:rsid w:val="00DB2F8F"/>
    <w:rsid w:val="00DB356E"/>
    <w:rsid w:val="00DB48D1"/>
    <w:rsid w:val="00DB4E19"/>
    <w:rsid w:val="00DB504C"/>
    <w:rsid w:val="00DB53FF"/>
    <w:rsid w:val="00DB5A6F"/>
    <w:rsid w:val="00DB5B79"/>
    <w:rsid w:val="00DB729F"/>
    <w:rsid w:val="00DB7B78"/>
    <w:rsid w:val="00DC03B1"/>
    <w:rsid w:val="00DC0ED9"/>
    <w:rsid w:val="00DC1F66"/>
    <w:rsid w:val="00DC2132"/>
    <w:rsid w:val="00DC25D1"/>
    <w:rsid w:val="00DC2DD7"/>
    <w:rsid w:val="00DC2FB1"/>
    <w:rsid w:val="00DC3389"/>
    <w:rsid w:val="00DC3A6B"/>
    <w:rsid w:val="00DC4698"/>
    <w:rsid w:val="00DC46F3"/>
    <w:rsid w:val="00DC48B0"/>
    <w:rsid w:val="00DC50FB"/>
    <w:rsid w:val="00DC53D4"/>
    <w:rsid w:val="00DC5596"/>
    <w:rsid w:val="00DC5BAE"/>
    <w:rsid w:val="00DC5BFF"/>
    <w:rsid w:val="00DC61E6"/>
    <w:rsid w:val="00DC6517"/>
    <w:rsid w:val="00DC674D"/>
    <w:rsid w:val="00DC6CEC"/>
    <w:rsid w:val="00DC7749"/>
    <w:rsid w:val="00DC780F"/>
    <w:rsid w:val="00DC7D95"/>
    <w:rsid w:val="00DD00F5"/>
    <w:rsid w:val="00DD0C10"/>
    <w:rsid w:val="00DD17C9"/>
    <w:rsid w:val="00DD205D"/>
    <w:rsid w:val="00DD24E1"/>
    <w:rsid w:val="00DD24ED"/>
    <w:rsid w:val="00DD3487"/>
    <w:rsid w:val="00DD3B86"/>
    <w:rsid w:val="00DD3F18"/>
    <w:rsid w:val="00DD43C6"/>
    <w:rsid w:val="00DD4457"/>
    <w:rsid w:val="00DD478C"/>
    <w:rsid w:val="00DD582D"/>
    <w:rsid w:val="00DD5D87"/>
    <w:rsid w:val="00DD5F5F"/>
    <w:rsid w:val="00DD695B"/>
    <w:rsid w:val="00DD6A86"/>
    <w:rsid w:val="00DD78E8"/>
    <w:rsid w:val="00DD7B45"/>
    <w:rsid w:val="00DD7EAD"/>
    <w:rsid w:val="00DE020C"/>
    <w:rsid w:val="00DE0603"/>
    <w:rsid w:val="00DE0BC0"/>
    <w:rsid w:val="00DE0DD4"/>
    <w:rsid w:val="00DE2864"/>
    <w:rsid w:val="00DE2DB4"/>
    <w:rsid w:val="00DE30D6"/>
    <w:rsid w:val="00DE4C3A"/>
    <w:rsid w:val="00DE4F91"/>
    <w:rsid w:val="00DE6564"/>
    <w:rsid w:val="00DE6A6D"/>
    <w:rsid w:val="00DE749B"/>
    <w:rsid w:val="00DE793F"/>
    <w:rsid w:val="00DF056B"/>
    <w:rsid w:val="00DF09A8"/>
    <w:rsid w:val="00DF0C3D"/>
    <w:rsid w:val="00DF18F5"/>
    <w:rsid w:val="00DF2520"/>
    <w:rsid w:val="00DF2A6F"/>
    <w:rsid w:val="00DF2BA0"/>
    <w:rsid w:val="00DF33E5"/>
    <w:rsid w:val="00DF49A5"/>
    <w:rsid w:val="00DF4DE1"/>
    <w:rsid w:val="00DF55E9"/>
    <w:rsid w:val="00DF6170"/>
    <w:rsid w:val="00DF6682"/>
    <w:rsid w:val="00DF6F0E"/>
    <w:rsid w:val="00DF7328"/>
    <w:rsid w:val="00DF763E"/>
    <w:rsid w:val="00DF765A"/>
    <w:rsid w:val="00E00B66"/>
    <w:rsid w:val="00E01390"/>
    <w:rsid w:val="00E015EB"/>
    <w:rsid w:val="00E029D5"/>
    <w:rsid w:val="00E03270"/>
    <w:rsid w:val="00E03724"/>
    <w:rsid w:val="00E04334"/>
    <w:rsid w:val="00E044F3"/>
    <w:rsid w:val="00E05198"/>
    <w:rsid w:val="00E05492"/>
    <w:rsid w:val="00E06738"/>
    <w:rsid w:val="00E07EAC"/>
    <w:rsid w:val="00E10787"/>
    <w:rsid w:val="00E115BC"/>
    <w:rsid w:val="00E115DB"/>
    <w:rsid w:val="00E11842"/>
    <w:rsid w:val="00E11901"/>
    <w:rsid w:val="00E1195A"/>
    <w:rsid w:val="00E11B28"/>
    <w:rsid w:val="00E11ED6"/>
    <w:rsid w:val="00E1297B"/>
    <w:rsid w:val="00E1320E"/>
    <w:rsid w:val="00E143D4"/>
    <w:rsid w:val="00E14D0B"/>
    <w:rsid w:val="00E15991"/>
    <w:rsid w:val="00E15BD8"/>
    <w:rsid w:val="00E15FE7"/>
    <w:rsid w:val="00E166AC"/>
    <w:rsid w:val="00E17460"/>
    <w:rsid w:val="00E1763A"/>
    <w:rsid w:val="00E178AF"/>
    <w:rsid w:val="00E2019C"/>
    <w:rsid w:val="00E20648"/>
    <w:rsid w:val="00E20869"/>
    <w:rsid w:val="00E2220C"/>
    <w:rsid w:val="00E223D8"/>
    <w:rsid w:val="00E2322A"/>
    <w:rsid w:val="00E2350C"/>
    <w:rsid w:val="00E23CB9"/>
    <w:rsid w:val="00E2458F"/>
    <w:rsid w:val="00E24687"/>
    <w:rsid w:val="00E24C7B"/>
    <w:rsid w:val="00E24F2E"/>
    <w:rsid w:val="00E25D95"/>
    <w:rsid w:val="00E25F39"/>
    <w:rsid w:val="00E26CE0"/>
    <w:rsid w:val="00E30498"/>
    <w:rsid w:val="00E309C9"/>
    <w:rsid w:val="00E30B0A"/>
    <w:rsid w:val="00E311F1"/>
    <w:rsid w:val="00E32765"/>
    <w:rsid w:val="00E32C67"/>
    <w:rsid w:val="00E330B4"/>
    <w:rsid w:val="00E33283"/>
    <w:rsid w:val="00E3338B"/>
    <w:rsid w:val="00E3369A"/>
    <w:rsid w:val="00E33D8A"/>
    <w:rsid w:val="00E348CC"/>
    <w:rsid w:val="00E34E7B"/>
    <w:rsid w:val="00E351E9"/>
    <w:rsid w:val="00E352EC"/>
    <w:rsid w:val="00E35523"/>
    <w:rsid w:val="00E35F6F"/>
    <w:rsid w:val="00E361A9"/>
    <w:rsid w:val="00E36AC0"/>
    <w:rsid w:val="00E40E15"/>
    <w:rsid w:val="00E4121C"/>
    <w:rsid w:val="00E41783"/>
    <w:rsid w:val="00E41A2E"/>
    <w:rsid w:val="00E42066"/>
    <w:rsid w:val="00E42189"/>
    <w:rsid w:val="00E42207"/>
    <w:rsid w:val="00E42226"/>
    <w:rsid w:val="00E423FF"/>
    <w:rsid w:val="00E42459"/>
    <w:rsid w:val="00E42533"/>
    <w:rsid w:val="00E43304"/>
    <w:rsid w:val="00E43474"/>
    <w:rsid w:val="00E4367F"/>
    <w:rsid w:val="00E4382E"/>
    <w:rsid w:val="00E44128"/>
    <w:rsid w:val="00E447B0"/>
    <w:rsid w:val="00E44CB9"/>
    <w:rsid w:val="00E451F7"/>
    <w:rsid w:val="00E46298"/>
    <w:rsid w:val="00E4657C"/>
    <w:rsid w:val="00E46822"/>
    <w:rsid w:val="00E46ACE"/>
    <w:rsid w:val="00E46F61"/>
    <w:rsid w:val="00E4707D"/>
    <w:rsid w:val="00E47DC9"/>
    <w:rsid w:val="00E50627"/>
    <w:rsid w:val="00E506BC"/>
    <w:rsid w:val="00E50E94"/>
    <w:rsid w:val="00E5245D"/>
    <w:rsid w:val="00E52935"/>
    <w:rsid w:val="00E53B11"/>
    <w:rsid w:val="00E53CB0"/>
    <w:rsid w:val="00E54A05"/>
    <w:rsid w:val="00E54D87"/>
    <w:rsid w:val="00E54F42"/>
    <w:rsid w:val="00E54F7B"/>
    <w:rsid w:val="00E55915"/>
    <w:rsid w:val="00E55E8B"/>
    <w:rsid w:val="00E561D0"/>
    <w:rsid w:val="00E56773"/>
    <w:rsid w:val="00E57729"/>
    <w:rsid w:val="00E57AC6"/>
    <w:rsid w:val="00E60086"/>
    <w:rsid w:val="00E60B95"/>
    <w:rsid w:val="00E613A1"/>
    <w:rsid w:val="00E61EAA"/>
    <w:rsid w:val="00E61F2C"/>
    <w:rsid w:val="00E62415"/>
    <w:rsid w:val="00E62E34"/>
    <w:rsid w:val="00E63828"/>
    <w:rsid w:val="00E640CA"/>
    <w:rsid w:val="00E645CD"/>
    <w:rsid w:val="00E64EC8"/>
    <w:rsid w:val="00E64FA9"/>
    <w:rsid w:val="00E6536B"/>
    <w:rsid w:val="00E6541C"/>
    <w:rsid w:val="00E655B7"/>
    <w:rsid w:val="00E6593B"/>
    <w:rsid w:val="00E6596D"/>
    <w:rsid w:val="00E659AB"/>
    <w:rsid w:val="00E65B6E"/>
    <w:rsid w:val="00E65C4A"/>
    <w:rsid w:val="00E65EB0"/>
    <w:rsid w:val="00E66094"/>
    <w:rsid w:val="00E66180"/>
    <w:rsid w:val="00E664EC"/>
    <w:rsid w:val="00E66B57"/>
    <w:rsid w:val="00E66C04"/>
    <w:rsid w:val="00E6718D"/>
    <w:rsid w:val="00E67657"/>
    <w:rsid w:val="00E6784C"/>
    <w:rsid w:val="00E67875"/>
    <w:rsid w:val="00E707E8"/>
    <w:rsid w:val="00E70D2F"/>
    <w:rsid w:val="00E71ADE"/>
    <w:rsid w:val="00E71EB2"/>
    <w:rsid w:val="00E722CE"/>
    <w:rsid w:val="00E726AB"/>
    <w:rsid w:val="00E72882"/>
    <w:rsid w:val="00E72B3D"/>
    <w:rsid w:val="00E748B5"/>
    <w:rsid w:val="00E758B1"/>
    <w:rsid w:val="00E7650A"/>
    <w:rsid w:val="00E76C3B"/>
    <w:rsid w:val="00E76F09"/>
    <w:rsid w:val="00E770EC"/>
    <w:rsid w:val="00E77630"/>
    <w:rsid w:val="00E805CE"/>
    <w:rsid w:val="00E80693"/>
    <w:rsid w:val="00E80844"/>
    <w:rsid w:val="00E80C88"/>
    <w:rsid w:val="00E815A3"/>
    <w:rsid w:val="00E81870"/>
    <w:rsid w:val="00E81D79"/>
    <w:rsid w:val="00E82087"/>
    <w:rsid w:val="00E825C6"/>
    <w:rsid w:val="00E82887"/>
    <w:rsid w:val="00E8297D"/>
    <w:rsid w:val="00E82A77"/>
    <w:rsid w:val="00E83465"/>
    <w:rsid w:val="00E83705"/>
    <w:rsid w:val="00E83EAC"/>
    <w:rsid w:val="00E8470E"/>
    <w:rsid w:val="00E84C6E"/>
    <w:rsid w:val="00E851EA"/>
    <w:rsid w:val="00E855D2"/>
    <w:rsid w:val="00E855EA"/>
    <w:rsid w:val="00E85E00"/>
    <w:rsid w:val="00E861F5"/>
    <w:rsid w:val="00E8623F"/>
    <w:rsid w:val="00E86E2E"/>
    <w:rsid w:val="00E8715B"/>
    <w:rsid w:val="00E90594"/>
    <w:rsid w:val="00E90D41"/>
    <w:rsid w:val="00E91700"/>
    <w:rsid w:val="00E91C26"/>
    <w:rsid w:val="00E929C6"/>
    <w:rsid w:val="00E93AD8"/>
    <w:rsid w:val="00E9416E"/>
    <w:rsid w:val="00E942B9"/>
    <w:rsid w:val="00E94404"/>
    <w:rsid w:val="00E944CE"/>
    <w:rsid w:val="00E94799"/>
    <w:rsid w:val="00E958BB"/>
    <w:rsid w:val="00E95A46"/>
    <w:rsid w:val="00E95C1F"/>
    <w:rsid w:val="00E97956"/>
    <w:rsid w:val="00E97E0D"/>
    <w:rsid w:val="00EA0657"/>
    <w:rsid w:val="00EA08C0"/>
    <w:rsid w:val="00EA0981"/>
    <w:rsid w:val="00EA1397"/>
    <w:rsid w:val="00EA27C7"/>
    <w:rsid w:val="00EA2977"/>
    <w:rsid w:val="00EA2C74"/>
    <w:rsid w:val="00EA2E66"/>
    <w:rsid w:val="00EA309D"/>
    <w:rsid w:val="00EA3561"/>
    <w:rsid w:val="00EA3A15"/>
    <w:rsid w:val="00EA3DC6"/>
    <w:rsid w:val="00EA40F1"/>
    <w:rsid w:val="00EA4373"/>
    <w:rsid w:val="00EA49FF"/>
    <w:rsid w:val="00EA4B3D"/>
    <w:rsid w:val="00EA4DAD"/>
    <w:rsid w:val="00EA5E76"/>
    <w:rsid w:val="00EA607B"/>
    <w:rsid w:val="00EA6F14"/>
    <w:rsid w:val="00EA6FBA"/>
    <w:rsid w:val="00EA7806"/>
    <w:rsid w:val="00EA78F1"/>
    <w:rsid w:val="00EB057A"/>
    <w:rsid w:val="00EB108A"/>
    <w:rsid w:val="00EB1278"/>
    <w:rsid w:val="00EB14DD"/>
    <w:rsid w:val="00EB196C"/>
    <w:rsid w:val="00EB217F"/>
    <w:rsid w:val="00EB3421"/>
    <w:rsid w:val="00EB3553"/>
    <w:rsid w:val="00EB39BE"/>
    <w:rsid w:val="00EB4380"/>
    <w:rsid w:val="00EB5DEF"/>
    <w:rsid w:val="00EB7ADB"/>
    <w:rsid w:val="00EC0554"/>
    <w:rsid w:val="00EC0A02"/>
    <w:rsid w:val="00EC0B18"/>
    <w:rsid w:val="00EC1103"/>
    <w:rsid w:val="00EC1B8A"/>
    <w:rsid w:val="00EC1CF9"/>
    <w:rsid w:val="00EC1ED5"/>
    <w:rsid w:val="00EC306D"/>
    <w:rsid w:val="00EC3549"/>
    <w:rsid w:val="00EC358A"/>
    <w:rsid w:val="00EC38FC"/>
    <w:rsid w:val="00EC39A9"/>
    <w:rsid w:val="00EC54D6"/>
    <w:rsid w:val="00EC5992"/>
    <w:rsid w:val="00EC64EF"/>
    <w:rsid w:val="00EC72C2"/>
    <w:rsid w:val="00ED0FDB"/>
    <w:rsid w:val="00ED19C4"/>
    <w:rsid w:val="00ED28AF"/>
    <w:rsid w:val="00ED3427"/>
    <w:rsid w:val="00ED353C"/>
    <w:rsid w:val="00ED38A9"/>
    <w:rsid w:val="00ED45D1"/>
    <w:rsid w:val="00ED4F96"/>
    <w:rsid w:val="00ED580D"/>
    <w:rsid w:val="00ED599A"/>
    <w:rsid w:val="00ED5A73"/>
    <w:rsid w:val="00ED653B"/>
    <w:rsid w:val="00ED657E"/>
    <w:rsid w:val="00ED7844"/>
    <w:rsid w:val="00ED7D07"/>
    <w:rsid w:val="00EE02A8"/>
    <w:rsid w:val="00EE0429"/>
    <w:rsid w:val="00EE14F9"/>
    <w:rsid w:val="00EE1AFF"/>
    <w:rsid w:val="00EE29FE"/>
    <w:rsid w:val="00EE2ABD"/>
    <w:rsid w:val="00EE2CF7"/>
    <w:rsid w:val="00EE3D07"/>
    <w:rsid w:val="00EE3D74"/>
    <w:rsid w:val="00EE5664"/>
    <w:rsid w:val="00EE5EB3"/>
    <w:rsid w:val="00EE6405"/>
    <w:rsid w:val="00EE6E26"/>
    <w:rsid w:val="00EE73E8"/>
    <w:rsid w:val="00EE7CA4"/>
    <w:rsid w:val="00EF2169"/>
    <w:rsid w:val="00EF27A6"/>
    <w:rsid w:val="00EF27A7"/>
    <w:rsid w:val="00EF29EC"/>
    <w:rsid w:val="00EF35CF"/>
    <w:rsid w:val="00EF3B0F"/>
    <w:rsid w:val="00EF3D6B"/>
    <w:rsid w:val="00EF450E"/>
    <w:rsid w:val="00EF4676"/>
    <w:rsid w:val="00EF4930"/>
    <w:rsid w:val="00EF5616"/>
    <w:rsid w:val="00EF5DB8"/>
    <w:rsid w:val="00EF689A"/>
    <w:rsid w:val="00EF6D05"/>
    <w:rsid w:val="00EF6DAE"/>
    <w:rsid w:val="00EF6EE5"/>
    <w:rsid w:val="00EF70BA"/>
    <w:rsid w:val="00EF7BBC"/>
    <w:rsid w:val="00EF7E86"/>
    <w:rsid w:val="00F013CF"/>
    <w:rsid w:val="00F0224E"/>
    <w:rsid w:val="00F023BC"/>
    <w:rsid w:val="00F0245B"/>
    <w:rsid w:val="00F02A80"/>
    <w:rsid w:val="00F02CDD"/>
    <w:rsid w:val="00F03350"/>
    <w:rsid w:val="00F03DF4"/>
    <w:rsid w:val="00F043FD"/>
    <w:rsid w:val="00F04CE3"/>
    <w:rsid w:val="00F0503E"/>
    <w:rsid w:val="00F0529D"/>
    <w:rsid w:val="00F057F4"/>
    <w:rsid w:val="00F05C18"/>
    <w:rsid w:val="00F05DBE"/>
    <w:rsid w:val="00F05E24"/>
    <w:rsid w:val="00F06117"/>
    <w:rsid w:val="00F06F5A"/>
    <w:rsid w:val="00F07453"/>
    <w:rsid w:val="00F0752A"/>
    <w:rsid w:val="00F07645"/>
    <w:rsid w:val="00F07726"/>
    <w:rsid w:val="00F07A69"/>
    <w:rsid w:val="00F07D0D"/>
    <w:rsid w:val="00F07DCE"/>
    <w:rsid w:val="00F104DE"/>
    <w:rsid w:val="00F10B9D"/>
    <w:rsid w:val="00F111A8"/>
    <w:rsid w:val="00F112B4"/>
    <w:rsid w:val="00F1165B"/>
    <w:rsid w:val="00F119C7"/>
    <w:rsid w:val="00F11FAA"/>
    <w:rsid w:val="00F12518"/>
    <w:rsid w:val="00F13E52"/>
    <w:rsid w:val="00F1490C"/>
    <w:rsid w:val="00F14E31"/>
    <w:rsid w:val="00F14EFC"/>
    <w:rsid w:val="00F16314"/>
    <w:rsid w:val="00F16678"/>
    <w:rsid w:val="00F16B0B"/>
    <w:rsid w:val="00F170D9"/>
    <w:rsid w:val="00F17197"/>
    <w:rsid w:val="00F20223"/>
    <w:rsid w:val="00F20397"/>
    <w:rsid w:val="00F205C9"/>
    <w:rsid w:val="00F21329"/>
    <w:rsid w:val="00F218BF"/>
    <w:rsid w:val="00F21D68"/>
    <w:rsid w:val="00F223A8"/>
    <w:rsid w:val="00F22754"/>
    <w:rsid w:val="00F22BF9"/>
    <w:rsid w:val="00F23880"/>
    <w:rsid w:val="00F2397B"/>
    <w:rsid w:val="00F23D6C"/>
    <w:rsid w:val="00F24230"/>
    <w:rsid w:val="00F247D7"/>
    <w:rsid w:val="00F24F62"/>
    <w:rsid w:val="00F24FEC"/>
    <w:rsid w:val="00F25255"/>
    <w:rsid w:val="00F253B5"/>
    <w:rsid w:val="00F258B7"/>
    <w:rsid w:val="00F2595E"/>
    <w:rsid w:val="00F259F3"/>
    <w:rsid w:val="00F267A3"/>
    <w:rsid w:val="00F267B2"/>
    <w:rsid w:val="00F26A9A"/>
    <w:rsid w:val="00F26AAA"/>
    <w:rsid w:val="00F27216"/>
    <w:rsid w:val="00F27C26"/>
    <w:rsid w:val="00F304C5"/>
    <w:rsid w:val="00F3067E"/>
    <w:rsid w:val="00F30A4B"/>
    <w:rsid w:val="00F316C7"/>
    <w:rsid w:val="00F318CD"/>
    <w:rsid w:val="00F31E8B"/>
    <w:rsid w:val="00F32276"/>
    <w:rsid w:val="00F32724"/>
    <w:rsid w:val="00F32A19"/>
    <w:rsid w:val="00F32BA5"/>
    <w:rsid w:val="00F32E6D"/>
    <w:rsid w:val="00F3342E"/>
    <w:rsid w:val="00F3362C"/>
    <w:rsid w:val="00F3393F"/>
    <w:rsid w:val="00F33966"/>
    <w:rsid w:val="00F35909"/>
    <w:rsid w:val="00F36777"/>
    <w:rsid w:val="00F36AAF"/>
    <w:rsid w:val="00F36C50"/>
    <w:rsid w:val="00F36CC4"/>
    <w:rsid w:val="00F36DA2"/>
    <w:rsid w:val="00F37064"/>
    <w:rsid w:val="00F3787D"/>
    <w:rsid w:val="00F4029F"/>
    <w:rsid w:val="00F40315"/>
    <w:rsid w:val="00F40333"/>
    <w:rsid w:val="00F40609"/>
    <w:rsid w:val="00F40D8D"/>
    <w:rsid w:val="00F40EC2"/>
    <w:rsid w:val="00F40EFD"/>
    <w:rsid w:val="00F41014"/>
    <w:rsid w:val="00F41B60"/>
    <w:rsid w:val="00F41D28"/>
    <w:rsid w:val="00F41D9D"/>
    <w:rsid w:val="00F41ED5"/>
    <w:rsid w:val="00F41FE3"/>
    <w:rsid w:val="00F420D9"/>
    <w:rsid w:val="00F42ACB"/>
    <w:rsid w:val="00F42B84"/>
    <w:rsid w:val="00F42BE5"/>
    <w:rsid w:val="00F43AD1"/>
    <w:rsid w:val="00F43DD3"/>
    <w:rsid w:val="00F441E0"/>
    <w:rsid w:val="00F444E3"/>
    <w:rsid w:val="00F44BED"/>
    <w:rsid w:val="00F44F19"/>
    <w:rsid w:val="00F4530E"/>
    <w:rsid w:val="00F4531D"/>
    <w:rsid w:val="00F4557E"/>
    <w:rsid w:val="00F45DC6"/>
    <w:rsid w:val="00F4633F"/>
    <w:rsid w:val="00F46BD5"/>
    <w:rsid w:val="00F4764D"/>
    <w:rsid w:val="00F4793A"/>
    <w:rsid w:val="00F47989"/>
    <w:rsid w:val="00F47AB1"/>
    <w:rsid w:val="00F47CEE"/>
    <w:rsid w:val="00F50657"/>
    <w:rsid w:val="00F50A28"/>
    <w:rsid w:val="00F51A7E"/>
    <w:rsid w:val="00F52953"/>
    <w:rsid w:val="00F535A4"/>
    <w:rsid w:val="00F5367E"/>
    <w:rsid w:val="00F5408C"/>
    <w:rsid w:val="00F540EB"/>
    <w:rsid w:val="00F54BC4"/>
    <w:rsid w:val="00F557DA"/>
    <w:rsid w:val="00F55A85"/>
    <w:rsid w:val="00F5688B"/>
    <w:rsid w:val="00F56FCA"/>
    <w:rsid w:val="00F57C73"/>
    <w:rsid w:val="00F601D8"/>
    <w:rsid w:val="00F604E5"/>
    <w:rsid w:val="00F61579"/>
    <w:rsid w:val="00F61C07"/>
    <w:rsid w:val="00F6230F"/>
    <w:rsid w:val="00F62399"/>
    <w:rsid w:val="00F62434"/>
    <w:rsid w:val="00F62448"/>
    <w:rsid w:val="00F62AC4"/>
    <w:rsid w:val="00F62E9C"/>
    <w:rsid w:val="00F63896"/>
    <w:rsid w:val="00F638D8"/>
    <w:rsid w:val="00F63D25"/>
    <w:rsid w:val="00F63FAA"/>
    <w:rsid w:val="00F64E8F"/>
    <w:rsid w:val="00F651D9"/>
    <w:rsid w:val="00F65C66"/>
    <w:rsid w:val="00F66312"/>
    <w:rsid w:val="00F6684D"/>
    <w:rsid w:val="00F668DF"/>
    <w:rsid w:val="00F66A83"/>
    <w:rsid w:val="00F66A9F"/>
    <w:rsid w:val="00F70F8F"/>
    <w:rsid w:val="00F71AFB"/>
    <w:rsid w:val="00F722B8"/>
    <w:rsid w:val="00F722C1"/>
    <w:rsid w:val="00F72E13"/>
    <w:rsid w:val="00F72ED5"/>
    <w:rsid w:val="00F73246"/>
    <w:rsid w:val="00F73A9B"/>
    <w:rsid w:val="00F74707"/>
    <w:rsid w:val="00F76AE6"/>
    <w:rsid w:val="00F76C98"/>
    <w:rsid w:val="00F76E14"/>
    <w:rsid w:val="00F77268"/>
    <w:rsid w:val="00F77B07"/>
    <w:rsid w:val="00F81244"/>
    <w:rsid w:val="00F82320"/>
    <w:rsid w:val="00F82E98"/>
    <w:rsid w:val="00F830B9"/>
    <w:rsid w:val="00F8310D"/>
    <w:rsid w:val="00F83193"/>
    <w:rsid w:val="00F83486"/>
    <w:rsid w:val="00F8378F"/>
    <w:rsid w:val="00F84065"/>
    <w:rsid w:val="00F855C2"/>
    <w:rsid w:val="00F85B7B"/>
    <w:rsid w:val="00F86991"/>
    <w:rsid w:val="00F87029"/>
    <w:rsid w:val="00F87692"/>
    <w:rsid w:val="00F877E0"/>
    <w:rsid w:val="00F900CA"/>
    <w:rsid w:val="00F91513"/>
    <w:rsid w:val="00F91BED"/>
    <w:rsid w:val="00F92055"/>
    <w:rsid w:val="00F92B6B"/>
    <w:rsid w:val="00F92C0A"/>
    <w:rsid w:val="00F9388C"/>
    <w:rsid w:val="00F93B3B"/>
    <w:rsid w:val="00F93CA1"/>
    <w:rsid w:val="00F93CBC"/>
    <w:rsid w:val="00F949ED"/>
    <w:rsid w:val="00F94B4B"/>
    <w:rsid w:val="00F94D25"/>
    <w:rsid w:val="00F9534B"/>
    <w:rsid w:val="00F95560"/>
    <w:rsid w:val="00F95583"/>
    <w:rsid w:val="00F95F4F"/>
    <w:rsid w:val="00F96025"/>
    <w:rsid w:val="00F96116"/>
    <w:rsid w:val="00F963D4"/>
    <w:rsid w:val="00F96C50"/>
    <w:rsid w:val="00F96DE2"/>
    <w:rsid w:val="00F97AD0"/>
    <w:rsid w:val="00F97BB6"/>
    <w:rsid w:val="00F97F64"/>
    <w:rsid w:val="00FA07A9"/>
    <w:rsid w:val="00FA0B4E"/>
    <w:rsid w:val="00FA0F1D"/>
    <w:rsid w:val="00FA0F7C"/>
    <w:rsid w:val="00FA11A9"/>
    <w:rsid w:val="00FA11ED"/>
    <w:rsid w:val="00FA2299"/>
    <w:rsid w:val="00FA25F0"/>
    <w:rsid w:val="00FA2714"/>
    <w:rsid w:val="00FA29E7"/>
    <w:rsid w:val="00FA2F1E"/>
    <w:rsid w:val="00FA2F8C"/>
    <w:rsid w:val="00FA3479"/>
    <w:rsid w:val="00FA4F96"/>
    <w:rsid w:val="00FA554F"/>
    <w:rsid w:val="00FA5BB2"/>
    <w:rsid w:val="00FA6665"/>
    <w:rsid w:val="00FA7574"/>
    <w:rsid w:val="00FB03BB"/>
    <w:rsid w:val="00FB09BD"/>
    <w:rsid w:val="00FB0E3F"/>
    <w:rsid w:val="00FB1515"/>
    <w:rsid w:val="00FB2732"/>
    <w:rsid w:val="00FB2FCA"/>
    <w:rsid w:val="00FB3BF7"/>
    <w:rsid w:val="00FB3F37"/>
    <w:rsid w:val="00FB4000"/>
    <w:rsid w:val="00FB462C"/>
    <w:rsid w:val="00FB4B92"/>
    <w:rsid w:val="00FB5ECA"/>
    <w:rsid w:val="00FB6073"/>
    <w:rsid w:val="00FB62F5"/>
    <w:rsid w:val="00FB69D0"/>
    <w:rsid w:val="00FB6F55"/>
    <w:rsid w:val="00FB715E"/>
    <w:rsid w:val="00FC0072"/>
    <w:rsid w:val="00FC05E2"/>
    <w:rsid w:val="00FC1772"/>
    <w:rsid w:val="00FC2CDF"/>
    <w:rsid w:val="00FC3110"/>
    <w:rsid w:val="00FC40A5"/>
    <w:rsid w:val="00FC46DC"/>
    <w:rsid w:val="00FC4B37"/>
    <w:rsid w:val="00FC4C3A"/>
    <w:rsid w:val="00FC5373"/>
    <w:rsid w:val="00FC61F7"/>
    <w:rsid w:val="00FC63B7"/>
    <w:rsid w:val="00FC6A41"/>
    <w:rsid w:val="00FC6D8B"/>
    <w:rsid w:val="00FC6F27"/>
    <w:rsid w:val="00FC7097"/>
    <w:rsid w:val="00FC7158"/>
    <w:rsid w:val="00FC7CD5"/>
    <w:rsid w:val="00FD044A"/>
    <w:rsid w:val="00FD0A62"/>
    <w:rsid w:val="00FD0EDD"/>
    <w:rsid w:val="00FD152B"/>
    <w:rsid w:val="00FD21FC"/>
    <w:rsid w:val="00FD2398"/>
    <w:rsid w:val="00FD2700"/>
    <w:rsid w:val="00FD2A01"/>
    <w:rsid w:val="00FD2AB1"/>
    <w:rsid w:val="00FD2CE7"/>
    <w:rsid w:val="00FD2DDF"/>
    <w:rsid w:val="00FD2DE6"/>
    <w:rsid w:val="00FD3449"/>
    <w:rsid w:val="00FD35E5"/>
    <w:rsid w:val="00FD3B74"/>
    <w:rsid w:val="00FD4D67"/>
    <w:rsid w:val="00FD673B"/>
    <w:rsid w:val="00FD6766"/>
    <w:rsid w:val="00FD7665"/>
    <w:rsid w:val="00FD768C"/>
    <w:rsid w:val="00FE24C7"/>
    <w:rsid w:val="00FE2A0C"/>
    <w:rsid w:val="00FE2B32"/>
    <w:rsid w:val="00FE3746"/>
    <w:rsid w:val="00FE3A52"/>
    <w:rsid w:val="00FE3DC3"/>
    <w:rsid w:val="00FE3FFB"/>
    <w:rsid w:val="00FE43A4"/>
    <w:rsid w:val="00FE44FF"/>
    <w:rsid w:val="00FE486A"/>
    <w:rsid w:val="00FE4AE8"/>
    <w:rsid w:val="00FE4B35"/>
    <w:rsid w:val="00FE4DA3"/>
    <w:rsid w:val="00FE4DF4"/>
    <w:rsid w:val="00FE4ED5"/>
    <w:rsid w:val="00FE5327"/>
    <w:rsid w:val="00FE5B34"/>
    <w:rsid w:val="00FE63FC"/>
    <w:rsid w:val="00FE6576"/>
    <w:rsid w:val="00FE6C8F"/>
    <w:rsid w:val="00FE747D"/>
    <w:rsid w:val="00FE7823"/>
    <w:rsid w:val="00FF00B6"/>
    <w:rsid w:val="00FF0CC0"/>
    <w:rsid w:val="00FF103B"/>
    <w:rsid w:val="00FF11BE"/>
    <w:rsid w:val="00FF1451"/>
    <w:rsid w:val="00FF1A63"/>
    <w:rsid w:val="00FF1E71"/>
    <w:rsid w:val="00FF200E"/>
    <w:rsid w:val="00FF2BC7"/>
    <w:rsid w:val="00FF2E14"/>
    <w:rsid w:val="00FF3040"/>
    <w:rsid w:val="00FF307B"/>
    <w:rsid w:val="00FF32FB"/>
    <w:rsid w:val="00FF3461"/>
    <w:rsid w:val="00FF3AD3"/>
    <w:rsid w:val="00FF4F74"/>
    <w:rsid w:val="00FF5471"/>
    <w:rsid w:val="00FF5533"/>
    <w:rsid w:val="00FF5994"/>
    <w:rsid w:val="00FF5AB3"/>
    <w:rsid w:val="00FF5EB6"/>
    <w:rsid w:val="00FF6472"/>
    <w:rsid w:val="00FF6526"/>
    <w:rsid w:val="00FF678B"/>
    <w:rsid w:val="00FF6BE1"/>
    <w:rsid w:val="00FF7351"/>
    <w:rsid w:val="00FF7FA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D113549-BD57-4C23-A3FD-E41F50B2C4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A78F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2">
    <w:name w:val="heading 2"/>
    <w:basedOn w:val="a"/>
    <w:next w:val="a"/>
    <w:link w:val="20"/>
    <w:qFormat/>
    <w:rsid w:val="003C7645"/>
    <w:pPr>
      <w:keepNext/>
      <w:spacing w:line="720" w:lineRule="atLeast"/>
      <w:outlineLvl w:val="1"/>
    </w:pPr>
    <w:rPr>
      <w:rFonts w:ascii="Cambria" w:eastAsia="新細明體" w:hAnsi="Cambria"/>
      <w:b/>
      <w:bCs/>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d">
    <w:name w:val="footer"/>
    <w:basedOn w:val="a"/>
    <w:link w:val="ae"/>
    <w:uiPriority w:val="99"/>
    <w:unhideWhenUsed/>
    <w:rsid w:val="00210555"/>
    <w:pPr>
      <w:tabs>
        <w:tab w:val="center" w:pos="4153"/>
        <w:tab w:val="right" w:pos="8306"/>
      </w:tabs>
      <w:snapToGrid w:val="0"/>
      <w:ind w:left="566" w:firstLine="566"/>
    </w:pPr>
    <w:rPr>
      <w:snapToGrid/>
      <w:sz w:val="20"/>
      <w:szCs w:val="20"/>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
    <w:name w:val="toc 1"/>
    <w:basedOn w:val="a"/>
    <w:next w:val="a"/>
    <w:autoRedefine/>
    <w:uiPriority w:val="39"/>
    <w:rsid w:val="00D73F27"/>
    <w:pPr>
      <w:tabs>
        <w:tab w:val="right" w:leader="hyphen" w:pos="8490"/>
      </w:tabs>
      <w:ind w:leftChars="0" w:left="486" w:rightChars="100" w:right="283" w:hangingChars="200" w:hanging="486"/>
    </w:pPr>
    <w:rPr>
      <w:b/>
      <w:sz w:val="24"/>
    </w:rPr>
  </w:style>
  <w:style w:type="paragraph" w:styleId="23">
    <w:name w:val="toc 2"/>
    <w:basedOn w:val="a"/>
    <w:next w:val="a"/>
    <w:autoRedefine/>
    <w:uiPriority w:val="39"/>
    <w:rsid w:val="009451F6"/>
    <w:pPr>
      <w:tabs>
        <w:tab w:val="right" w:leader="hyphen" w:pos="8490"/>
      </w:tabs>
      <w:ind w:leftChars="0" w:left="0" w:rightChars="100" w:right="100" w:hangingChars="200" w:hanging="200"/>
    </w:pPr>
    <w:rPr>
      <w:rFonts w:hAnsi="標楷體"/>
      <w:noProof/>
      <w:sz w:val="24"/>
    </w:rPr>
  </w:style>
  <w:style w:type="character" w:customStyle="1" w:styleId="ae">
    <w:name w:val="頁尾 字元"/>
    <w:link w:val="ad"/>
    <w:uiPriority w:val="99"/>
    <w:rsid w:val="00210555"/>
    <w:rPr>
      <w:rFonts w:ascii="標楷體" w:eastAsia="標楷體"/>
      <w:kern w:val="2"/>
    </w:rPr>
  </w:style>
  <w:style w:type="character" w:styleId="af">
    <w:name w:val="Hyperlink"/>
    <w:uiPriority w:val="99"/>
    <w:unhideWhenUsed/>
    <w:qFormat/>
    <w:rsid w:val="00210555"/>
    <w:rPr>
      <w:color w:val="0000FF"/>
      <w:u w:val="single"/>
    </w:rPr>
  </w:style>
  <w:style w:type="character" w:customStyle="1" w:styleId="22">
    <w:name w:val="(一)下內文縮2 字元"/>
    <w:link w:val="21"/>
    <w:rsid w:val="00210555"/>
    <w:rPr>
      <w:rFonts w:ascii="標楷體" w:eastAsia="標楷體"/>
      <w:snapToGrid w:val="0"/>
      <w:kern w:val="2"/>
      <w:sz w:val="28"/>
      <w:szCs w:val="28"/>
    </w:rPr>
  </w:style>
  <w:style w:type="character" w:customStyle="1" w:styleId="141">
    <w:name w:val="第二層(14號字) 字元1"/>
    <w:link w:val="14"/>
    <w:rsid w:val="00210555"/>
    <w:rPr>
      <w:rFonts w:ascii="標楷體" w:eastAsia="標楷體"/>
      <w:b/>
      <w:snapToGrid w:val="0"/>
      <w:kern w:val="2"/>
      <w:sz w:val="28"/>
    </w:rPr>
  </w:style>
  <w:style w:type="paragraph" w:styleId="af0">
    <w:name w:val="footnote text"/>
    <w:aliases w:val="註腳文字 字元 字元"/>
    <w:basedOn w:val="a"/>
    <w:link w:val="af1"/>
    <w:unhideWhenUsed/>
    <w:rsid w:val="00210555"/>
    <w:pPr>
      <w:snapToGrid w:val="0"/>
      <w:ind w:left="566" w:firstLine="566"/>
      <w:jc w:val="left"/>
    </w:pPr>
    <w:rPr>
      <w:snapToGrid/>
      <w:sz w:val="20"/>
      <w:szCs w:val="20"/>
    </w:rPr>
  </w:style>
  <w:style w:type="character" w:customStyle="1" w:styleId="af1">
    <w:name w:val="註腳文字 字元"/>
    <w:aliases w:val="註腳文字 字元 字元 字元"/>
    <w:link w:val="af0"/>
    <w:rsid w:val="00210555"/>
    <w:rPr>
      <w:rFonts w:ascii="標楷體" w:eastAsia="標楷體"/>
      <w:kern w:val="2"/>
    </w:rPr>
  </w:style>
  <w:style w:type="character" w:styleId="af2">
    <w:name w:val="footnote reference"/>
    <w:aliases w:val="FR,Ref,de nota al pie,註腳內容,Error-Fußnotenzeichen5,Error-Fußnotenzeichen6,Error-Fußnotenzeichen3,Error-Fusnotßnotenzeichen5,Error-Fußnotenzeic"/>
    <w:unhideWhenUsed/>
    <w:rsid w:val="00210555"/>
    <w:rPr>
      <w:vertAlign w:val="superscript"/>
    </w:rPr>
  </w:style>
  <w:style w:type="character" w:customStyle="1" w:styleId="a5">
    <w:name w:val="(一)(二)(三) 字元"/>
    <w:link w:val="a4"/>
    <w:rsid w:val="00210555"/>
    <w:rPr>
      <w:rFonts w:ascii="標楷體" w:eastAsia="標楷體"/>
      <w:snapToGrid w:val="0"/>
      <w:kern w:val="2"/>
      <w:sz w:val="28"/>
      <w:szCs w:val="28"/>
    </w:rPr>
  </w:style>
  <w:style w:type="character" w:customStyle="1" w:styleId="143">
    <w:name w:val="表格內文(14行高) 字元"/>
    <w:link w:val="142"/>
    <w:rsid w:val="00210555"/>
    <w:rPr>
      <w:rFonts w:ascii="標楷體" w:eastAsia="標楷體"/>
      <w:snapToGrid w:val="0"/>
      <w:kern w:val="2"/>
      <w:sz w:val="24"/>
      <w:szCs w:val="28"/>
    </w:rPr>
  </w:style>
  <w:style w:type="character" w:customStyle="1" w:styleId="201">
    <w:name w:val="表格內文(20行高) 字元"/>
    <w:link w:val="200"/>
    <w:rsid w:val="00210555"/>
    <w:rPr>
      <w:rFonts w:ascii="標楷體" w:eastAsia="標楷體"/>
      <w:snapToGrid w:val="0"/>
      <w:kern w:val="2"/>
      <w:sz w:val="24"/>
      <w:szCs w:val="28"/>
    </w:rPr>
  </w:style>
  <w:style w:type="table" w:styleId="af3">
    <w:name w:val="Table Grid"/>
    <w:basedOn w:val="a1"/>
    <w:rsid w:val="00CA50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標題 2 字元"/>
    <w:link w:val="2"/>
    <w:rsid w:val="003C7645"/>
    <w:rPr>
      <w:rFonts w:ascii="Cambria" w:hAnsi="Cambria"/>
      <w:b/>
      <w:bCs/>
      <w:snapToGrid w:val="0"/>
      <w:kern w:val="2"/>
      <w:sz w:val="48"/>
      <w:szCs w:val="48"/>
    </w:rPr>
  </w:style>
  <w:style w:type="character" w:styleId="af4">
    <w:name w:val="FollowedHyperlink"/>
    <w:uiPriority w:val="99"/>
    <w:semiHidden/>
    <w:unhideWhenUsed/>
    <w:rsid w:val="006D1CC6"/>
    <w:rPr>
      <w:color w:val="954F72"/>
      <w:u w:val="single"/>
    </w:rPr>
  </w:style>
  <w:style w:type="paragraph" w:styleId="af5">
    <w:name w:val="Salutation"/>
    <w:basedOn w:val="a"/>
    <w:next w:val="a"/>
    <w:link w:val="af6"/>
    <w:uiPriority w:val="99"/>
    <w:unhideWhenUsed/>
    <w:rsid w:val="004075C3"/>
    <w:rPr>
      <w:lang w:eastAsia="zh-HK"/>
    </w:rPr>
  </w:style>
  <w:style w:type="character" w:customStyle="1" w:styleId="af6">
    <w:name w:val="問候 字元"/>
    <w:link w:val="af5"/>
    <w:uiPriority w:val="99"/>
    <w:rsid w:val="004075C3"/>
    <w:rPr>
      <w:rFonts w:ascii="標楷體" w:eastAsia="標楷體"/>
      <w:snapToGrid w:val="0"/>
      <w:kern w:val="2"/>
      <w:sz w:val="28"/>
      <w:szCs w:val="28"/>
      <w:lang w:eastAsia="zh-HK"/>
    </w:rPr>
  </w:style>
  <w:style w:type="paragraph" w:styleId="af7">
    <w:name w:val="Closing"/>
    <w:basedOn w:val="a"/>
    <w:link w:val="af8"/>
    <w:uiPriority w:val="99"/>
    <w:unhideWhenUsed/>
    <w:rsid w:val="004075C3"/>
    <w:pPr>
      <w:ind w:leftChars="1800" w:left="100"/>
    </w:pPr>
    <w:rPr>
      <w:lang w:eastAsia="zh-HK"/>
    </w:rPr>
  </w:style>
  <w:style w:type="character" w:customStyle="1" w:styleId="af8">
    <w:name w:val="結語 字元"/>
    <w:link w:val="af7"/>
    <w:uiPriority w:val="99"/>
    <w:rsid w:val="004075C3"/>
    <w:rPr>
      <w:rFonts w:ascii="標楷體" w:eastAsia="標楷體"/>
      <w:snapToGrid w:val="0"/>
      <w:kern w:val="2"/>
      <w:sz w:val="28"/>
      <w:szCs w:val="28"/>
      <w:lang w:eastAsia="zh-HK"/>
    </w:rPr>
  </w:style>
  <w:style w:type="table" w:customStyle="1" w:styleId="TableNormal">
    <w:name w:val="Table Normal"/>
    <w:uiPriority w:val="2"/>
    <w:semiHidden/>
    <w:unhideWhenUsed/>
    <w:qFormat/>
    <w:rsid w:val="00DF056B"/>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9">
    <w:name w:val="List Paragraph"/>
    <w:aliases w:val="卑南壹,List Paragraph,詳細說明,Footnote Sam,List Paragraph (numbered (a)),Text,Noise heading,RUS List,Rec para,Dot pt,F5 List Paragraph,No Spacing1,List Paragraph Char Char Char,Indicator Text,Numbered Para 1,Recommendation,numbered,L,表名,List Paragraph1"/>
    <w:basedOn w:val="a"/>
    <w:link w:val="afa"/>
    <w:uiPriority w:val="34"/>
    <w:qFormat/>
    <w:rsid w:val="00D43905"/>
    <w:pPr>
      <w:spacing w:line="240" w:lineRule="auto"/>
      <w:ind w:left="480" w:firstLineChars="0" w:firstLine="0"/>
      <w:jc w:val="left"/>
    </w:pPr>
    <w:rPr>
      <w:rFonts w:ascii="Times New Roman" w:eastAsia="新細明體"/>
      <w:snapToGrid/>
      <w:sz w:val="24"/>
      <w:szCs w:val="24"/>
    </w:rPr>
  </w:style>
  <w:style w:type="character" w:customStyle="1" w:styleId="afa">
    <w:name w:val="清單段落 字元"/>
    <w:aliases w:val="卑南壹 字元,List Paragraph 字元,詳細說明 字元,Footnote Sam 字元,List Paragraph (numbered (a)) 字元,Text 字元,Noise heading 字元,RUS List 字元,Rec para 字元,Dot pt 字元,F5 List Paragraph 字元,No Spacing1 字元,List Paragraph Char Char Char 字元,Indicator Text 字元,Recommendation 字元"/>
    <w:link w:val="af9"/>
    <w:uiPriority w:val="34"/>
    <w:qFormat/>
    <w:locked/>
    <w:rsid w:val="00D43905"/>
    <w:rPr>
      <w:kern w:val="2"/>
      <w:sz w:val="24"/>
      <w:szCs w:val="24"/>
    </w:rPr>
  </w:style>
  <w:style w:type="paragraph" w:styleId="afb">
    <w:name w:val="Balloon Text"/>
    <w:basedOn w:val="a"/>
    <w:link w:val="afc"/>
    <w:uiPriority w:val="99"/>
    <w:semiHidden/>
    <w:unhideWhenUsed/>
    <w:rsid w:val="006F7277"/>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6F7277"/>
    <w:rPr>
      <w:rFonts w:ascii="Calibri Light" w:eastAsia="新細明體" w:hAnsi="Calibri Light" w:cs="Times New Roman"/>
      <w:snapToGrid w:val="0"/>
      <w:kern w:val="2"/>
      <w:sz w:val="18"/>
      <w:szCs w:val="18"/>
    </w:rPr>
  </w:style>
  <w:style w:type="paragraph" w:customStyle="1" w:styleId="TableParagraph">
    <w:name w:val="Table Paragraph"/>
    <w:basedOn w:val="a"/>
    <w:uiPriority w:val="1"/>
    <w:qFormat/>
    <w:rsid w:val="00DF056B"/>
    <w:pPr>
      <w:autoSpaceDE w:val="0"/>
      <w:autoSpaceDN w:val="0"/>
      <w:spacing w:before="32" w:line="240" w:lineRule="auto"/>
      <w:ind w:leftChars="0" w:left="14" w:right="428" w:firstLineChars="0" w:firstLine="0"/>
      <w:jc w:val="center"/>
    </w:pPr>
    <w:rPr>
      <w:rFonts w:ascii="Times New Roman" w:eastAsia="Times New Roman"/>
      <w:snapToGrid/>
      <w:kern w:val="0"/>
      <w:sz w:val="22"/>
      <w:szCs w:val="22"/>
    </w:rPr>
  </w:style>
  <w:style w:type="character" w:customStyle="1" w:styleId="1230">
    <w:name w:val="1.2.3. 字元"/>
    <w:link w:val="123"/>
    <w:rsid w:val="005B6115"/>
    <w:rPr>
      <w:rFonts w:ascii="標楷體" w:eastAsia="標楷體"/>
      <w:snapToGrid w:val="0"/>
      <w:kern w:val="2"/>
      <w:sz w:val="28"/>
      <w:szCs w:val="28"/>
    </w:rPr>
  </w:style>
  <w:style w:type="table" w:customStyle="1" w:styleId="24">
    <w:name w:val="表格格線2"/>
    <w:basedOn w:val="a1"/>
    <w:next w:val="af3"/>
    <w:uiPriority w:val="39"/>
    <w:rsid w:val="004551E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header"/>
    <w:basedOn w:val="a"/>
    <w:link w:val="afe"/>
    <w:uiPriority w:val="99"/>
    <w:semiHidden/>
    <w:unhideWhenUsed/>
    <w:rsid w:val="004D53EF"/>
    <w:pPr>
      <w:tabs>
        <w:tab w:val="center" w:pos="4153"/>
        <w:tab w:val="right" w:pos="8306"/>
      </w:tabs>
      <w:snapToGrid w:val="0"/>
    </w:pPr>
    <w:rPr>
      <w:sz w:val="20"/>
      <w:szCs w:val="20"/>
    </w:rPr>
  </w:style>
  <w:style w:type="character" w:customStyle="1" w:styleId="afe">
    <w:name w:val="頁首 字元"/>
    <w:link w:val="afd"/>
    <w:uiPriority w:val="99"/>
    <w:semiHidden/>
    <w:rsid w:val="004D53EF"/>
    <w:rPr>
      <w:rFonts w:ascii="標楷體" w:eastAsia="標楷體"/>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235789">
      <w:bodyDiv w:val="1"/>
      <w:marLeft w:val="0"/>
      <w:marRight w:val="0"/>
      <w:marTop w:val="0"/>
      <w:marBottom w:val="0"/>
      <w:divBdr>
        <w:top w:val="none" w:sz="0" w:space="0" w:color="auto"/>
        <w:left w:val="none" w:sz="0" w:space="0" w:color="auto"/>
        <w:bottom w:val="none" w:sz="0" w:space="0" w:color="auto"/>
        <w:right w:val="none" w:sz="0" w:space="0" w:color="auto"/>
      </w:divBdr>
    </w:div>
    <w:div w:id="122040118">
      <w:bodyDiv w:val="1"/>
      <w:marLeft w:val="0"/>
      <w:marRight w:val="0"/>
      <w:marTop w:val="0"/>
      <w:marBottom w:val="0"/>
      <w:divBdr>
        <w:top w:val="none" w:sz="0" w:space="0" w:color="auto"/>
        <w:left w:val="none" w:sz="0" w:space="0" w:color="auto"/>
        <w:bottom w:val="none" w:sz="0" w:space="0" w:color="auto"/>
        <w:right w:val="none" w:sz="0" w:space="0" w:color="auto"/>
      </w:divBdr>
    </w:div>
    <w:div w:id="134837568">
      <w:bodyDiv w:val="1"/>
      <w:marLeft w:val="0"/>
      <w:marRight w:val="0"/>
      <w:marTop w:val="0"/>
      <w:marBottom w:val="0"/>
      <w:divBdr>
        <w:top w:val="none" w:sz="0" w:space="0" w:color="auto"/>
        <w:left w:val="none" w:sz="0" w:space="0" w:color="auto"/>
        <w:bottom w:val="none" w:sz="0" w:space="0" w:color="auto"/>
        <w:right w:val="none" w:sz="0" w:space="0" w:color="auto"/>
      </w:divBdr>
    </w:div>
    <w:div w:id="279530781">
      <w:bodyDiv w:val="1"/>
      <w:marLeft w:val="0"/>
      <w:marRight w:val="0"/>
      <w:marTop w:val="0"/>
      <w:marBottom w:val="0"/>
      <w:divBdr>
        <w:top w:val="none" w:sz="0" w:space="0" w:color="auto"/>
        <w:left w:val="none" w:sz="0" w:space="0" w:color="auto"/>
        <w:bottom w:val="none" w:sz="0" w:space="0" w:color="auto"/>
        <w:right w:val="none" w:sz="0" w:space="0" w:color="auto"/>
      </w:divBdr>
    </w:div>
    <w:div w:id="362024229">
      <w:bodyDiv w:val="1"/>
      <w:marLeft w:val="0"/>
      <w:marRight w:val="0"/>
      <w:marTop w:val="0"/>
      <w:marBottom w:val="0"/>
      <w:divBdr>
        <w:top w:val="none" w:sz="0" w:space="0" w:color="auto"/>
        <w:left w:val="none" w:sz="0" w:space="0" w:color="auto"/>
        <w:bottom w:val="none" w:sz="0" w:space="0" w:color="auto"/>
        <w:right w:val="none" w:sz="0" w:space="0" w:color="auto"/>
      </w:divBdr>
    </w:div>
    <w:div w:id="463620281">
      <w:bodyDiv w:val="1"/>
      <w:marLeft w:val="0"/>
      <w:marRight w:val="0"/>
      <w:marTop w:val="0"/>
      <w:marBottom w:val="0"/>
      <w:divBdr>
        <w:top w:val="none" w:sz="0" w:space="0" w:color="auto"/>
        <w:left w:val="none" w:sz="0" w:space="0" w:color="auto"/>
        <w:bottom w:val="none" w:sz="0" w:space="0" w:color="auto"/>
        <w:right w:val="none" w:sz="0" w:space="0" w:color="auto"/>
      </w:divBdr>
    </w:div>
    <w:div w:id="522016287">
      <w:bodyDiv w:val="1"/>
      <w:marLeft w:val="0"/>
      <w:marRight w:val="0"/>
      <w:marTop w:val="0"/>
      <w:marBottom w:val="0"/>
      <w:divBdr>
        <w:top w:val="none" w:sz="0" w:space="0" w:color="auto"/>
        <w:left w:val="none" w:sz="0" w:space="0" w:color="auto"/>
        <w:bottom w:val="none" w:sz="0" w:space="0" w:color="auto"/>
        <w:right w:val="none" w:sz="0" w:space="0" w:color="auto"/>
      </w:divBdr>
    </w:div>
    <w:div w:id="570702364">
      <w:bodyDiv w:val="1"/>
      <w:marLeft w:val="0"/>
      <w:marRight w:val="0"/>
      <w:marTop w:val="0"/>
      <w:marBottom w:val="0"/>
      <w:divBdr>
        <w:top w:val="none" w:sz="0" w:space="0" w:color="auto"/>
        <w:left w:val="none" w:sz="0" w:space="0" w:color="auto"/>
        <w:bottom w:val="none" w:sz="0" w:space="0" w:color="auto"/>
        <w:right w:val="none" w:sz="0" w:space="0" w:color="auto"/>
      </w:divBdr>
    </w:div>
    <w:div w:id="724723013">
      <w:bodyDiv w:val="1"/>
      <w:marLeft w:val="0"/>
      <w:marRight w:val="0"/>
      <w:marTop w:val="0"/>
      <w:marBottom w:val="0"/>
      <w:divBdr>
        <w:top w:val="none" w:sz="0" w:space="0" w:color="auto"/>
        <w:left w:val="none" w:sz="0" w:space="0" w:color="auto"/>
        <w:bottom w:val="none" w:sz="0" w:space="0" w:color="auto"/>
        <w:right w:val="none" w:sz="0" w:space="0" w:color="auto"/>
      </w:divBdr>
    </w:div>
    <w:div w:id="819813077">
      <w:bodyDiv w:val="1"/>
      <w:marLeft w:val="0"/>
      <w:marRight w:val="0"/>
      <w:marTop w:val="0"/>
      <w:marBottom w:val="0"/>
      <w:divBdr>
        <w:top w:val="none" w:sz="0" w:space="0" w:color="auto"/>
        <w:left w:val="none" w:sz="0" w:space="0" w:color="auto"/>
        <w:bottom w:val="none" w:sz="0" w:space="0" w:color="auto"/>
        <w:right w:val="none" w:sz="0" w:space="0" w:color="auto"/>
      </w:divBdr>
    </w:div>
    <w:div w:id="845899359">
      <w:bodyDiv w:val="1"/>
      <w:marLeft w:val="0"/>
      <w:marRight w:val="0"/>
      <w:marTop w:val="0"/>
      <w:marBottom w:val="0"/>
      <w:divBdr>
        <w:top w:val="none" w:sz="0" w:space="0" w:color="auto"/>
        <w:left w:val="none" w:sz="0" w:space="0" w:color="auto"/>
        <w:bottom w:val="none" w:sz="0" w:space="0" w:color="auto"/>
        <w:right w:val="none" w:sz="0" w:space="0" w:color="auto"/>
      </w:divBdr>
    </w:div>
    <w:div w:id="875699950">
      <w:bodyDiv w:val="1"/>
      <w:marLeft w:val="0"/>
      <w:marRight w:val="0"/>
      <w:marTop w:val="0"/>
      <w:marBottom w:val="0"/>
      <w:divBdr>
        <w:top w:val="none" w:sz="0" w:space="0" w:color="auto"/>
        <w:left w:val="none" w:sz="0" w:space="0" w:color="auto"/>
        <w:bottom w:val="none" w:sz="0" w:space="0" w:color="auto"/>
        <w:right w:val="none" w:sz="0" w:space="0" w:color="auto"/>
      </w:divBdr>
    </w:div>
    <w:div w:id="887187943">
      <w:bodyDiv w:val="1"/>
      <w:marLeft w:val="0"/>
      <w:marRight w:val="0"/>
      <w:marTop w:val="0"/>
      <w:marBottom w:val="0"/>
      <w:divBdr>
        <w:top w:val="none" w:sz="0" w:space="0" w:color="auto"/>
        <w:left w:val="none" w:sz="0" w:space="0" w:color="auto"/>
        <w:bottom w:val="none" w:sz="0" w:space="0" w:color="auto"/>
        <w:right w:val="none" w:sz="0" w:space="0" w:color="auto"/>
      </w:divBdr>
    </w:div>
    <w:div w:id="931544446">
      <w:bodyDiv w:val="1"/>
      <w:marLeft w:val="0"/>
      <w:marRight w:val="0"/>
      <w:marTop w:val="0"/>
      <w:marBottom w:val="0"/>
      <w:divBdr>
        <w:top w:val="none" w:sz="0" w:space="0" w:color="auto"/>
        <w:left w:val="none" w:sz="0" w:space="0" w:color="auto"/>
        <w:bottom w:val="none" w:sz="0" w:space="0" w:color="auto"/>
        <w:right w:val="none" w:sz="0" w:space="0" w:color="auto"/>
      </w:divBdr>
    </w:div>
    <w:div w:id="933897914">
      <w:bodyDiv w:val="1"/>
      <w:marLeft w:val="0"/>
      <w:marRight w:val="0"/>
      <w:marTop w:val="0"/>
      <w:marBottom w:val="0"/>
      <w:divBdr>
        <w:top w:val="none" w:sz="0" w:space="0" w:color="auto"/>
        <w:left w:val="none" w:sz="0" w:space="0" w:color="auto"/>
        <w:bottom w:val="none" w:sz="0" w:space="0" w:color="auto"/>
        <w:right w:val="none" w:sz="0" w:space="0" w:color="auto"/>
      </w:divBdr>
    </w:div>
    <w:div w:id="990988146">
      <w:bodyDiv w:val="1"/>
      <w:marLeft w:val="0"/>
      <w:marRight w:val="0"/>
      <w:marTop w:val="0"/>
      <w:marBottom w:val="0"/>
      <w:divBdr>
        <w:top w:val="none" w:sz="0" w:space="0" w:color="auto"/>
        <w:left w:val="none" w:sz="0" w:space="0" w:color="auto"/>
        <w:bottom w:val="none" w:sz="0" w:space="0" w:color="auto"/>
        <w:right w:val="none" w:sz="0" w:space="0" w:color="auto"/>
      </w:divBdr>
    </w:div>
    <w:div w:id="1031031619">
      <w:bodyDiv w:val="1"/>
      <w:marLeft w:val="0"/>
      <w:marRight w:val="0"/>
      <w:marTop w:val="0"/>
      <w:marBottom w:val="0"/>
      <w:divBdr>
        <w:top w:val="none" w:sz="0" w:space="0" w:color="auto"/>
        <w:left w:val="none" w:sz="0" w:space="0" w:color="auto"/>
        <w:bottom w:val="none" w:sz="0" w:space="0" w:color="auto"/>
        <w:right w:val="none" w:sz="0" w:space="0" w:color="auto"/>
      </w:divBdr>
    </w:div>
    <w:div w:id="1079014271">
      <w:bodyDiv w:val="1"/>
      <w:marLeft w:val="0"/>
      <w:marRight w:val="0"/>
      <w:marTop w:val="0"/>
      <w:marBottom w:val="0"/>
      <w:divBdr>
        <w:top w:val="none" w:sz="0" w:space="0" w:color="auto"/>
        <w:left w:val="none" w:sz="0" w:space="0" w:color="auto"/>
        <w:bottom w:val="none" w:sz="0" w:space="0" w:color="auto"/>
        <w:right w:val="none" w:sz="0" w:space="0" w:color="auto"/>
      </w:divBdr>
    </w:div>
    <w:div w:id="1082143844">
      <w:bodyDiv w:val="1"/>
      <w:marLeft w:val="0"/>
      <w:marRight w:val="0"/>
      <w:marTop w:val="0"/>
      <w:marBottom w:val="0"/>
      <w:divBdr>
        <w:top w:val="none" w:sz="0" w:space="0" w:color="auto"/>
        <w:left w:val="none" w:sz="0" w:space="0" w:color="auto"/>
        <w:bottom w:val="none" w:sz="0" w:space="0" w:color="auto"/>
        <w:right w:val="none" w:sz="0" w:space="0" w:color="auto"/>
      </w:divBdr>
    </w:div>
    <w:div w:id="1095204744">
      <w:bodyDiv w:val="1"/>
      <w:marLeft w:val="0"/>
      <w:marRight w:val="0"/>
      <w:marTop w:val="0"/>
      <w:marBottom w:val="0"/>
      <w:divBdr>
        <w:top w:val="none" w:sz="0" w:space="0" w:color="auto"/>
        <w:left w:val="none" w:sz="0" w:space="0" w:color="auto"/>
        <w:bottom w:val="none" w:sz="0" w:space="0" w:color="auto"/>
        <w:right w:val="none" w:sz="0" w:space="0" w:color="auto"/>
      </w:divBdr>
    </w:div>
    <w:div w:id="1130247407">
      <w:bodyDiv w:val="1"/>
      <w:marLeft w:val="0"/>
      <w:marRight w:val="0"/>
      <w:marTop w:val="0"/>
      <w:marBottom w:val="0"/>
      <w:divBdr>
        <w:top w:val="none" w:sz="0" w:space="0" w:color="auto"/>
        <w:left w:val="none" w:sz="0" w:space="0" w:color="auto"/>
        <w:bottom w:val="none" w:sz="0" w:space="0" w:color="auto"/>
        <w:right w:val="none" w:sz="0" w:space="0" w:color="auto"/>
      </w:divBdr>
    </w:div>
    <w:div w:id="1168859451">
      <w:bodyDiv w:val="1"/>
      <w:marLeft w:val="0"/>
      <w:marRight w:val="0"/>
      <w:marTop w:val="0"/>
      <w:marBottom w:val="0"/>
      <w:divBdr>
        <w:top w:val="none" w:sz="0" w:space="0" w:color="auto"/>
        <w:left w:val="none" w:sz="0" w:space="0" w:color="auto"/>
        <w:bottom w:val="none" w:sz="0" w:space="0" w:color="auto"/>
        <w:right w:val="none" w:sz="0" w:space="0" w:color="auto"/>
      </w:divBdr>
    </w:div>
    <w:div w:id="1197474685">
      <w:bodyDiv w:val="1"/>
      <w:marLeft w:val="0"/>
      <w:marRight w:val="0"/>
      <w:marTop w:val="0"/>
      <w:marBottom w:val="0"/>
      <w:divBdr>
        <w:top w:val="none" w:sz="0" w:space="0" w:color="auto"/>
        <w:left w:val="none" w:sz="0" w:space="0" w:color="auto"/>
        <w:bottom w:val="none" w:sz="0" w:space="0" w:color="auto"/>
        <w:right w:val="none" w:sz="0" w:space="0" w:color="auto"/>
      </w:divBdr>
    </w:div>
    <w:div w:id="1215578833">
      <w:bodyDiv w:val="1"/>
      <w:marLeft w:val="0"/>
      <w:marRight w:val="0"/>
      <w:marTop w:val="0"/>
      <w:marBottom w:val="0"/>
      <w:divBdr>
        <w:top w:val="none" w:sz="0" w:space="0" w:color="auto"/>
        <w:left w:val="none" w:sz="0" w:space="0" w:color="auto"/>
        <w:bottom w:val="none" w:sz="0" w:space="0" w:color="auto"/>
        <w:right w:val="none" w:sz="0" w:space="0" w:color="auto"/>
      </w:divBdr>
    </w:div>
    <w:div w:id="1241064156">
      <w:bodyDiv w:val="1"/>
      <w:marLeft w:val="0"/>
      <w:marRight w:val="0"/>
      <w:marTop w:val="0"/>
      <w:marBottom w:val="0"/>
      <w:divBdr>
        <w:top w:val="none" w:sz="0" w:space="0" w:color="auto"/>
        <w:left w:val="none" w:sz="0" w:space="0" w:color="auto"/>
        <w:bottom w:val="none" w:sz="0" w:space="0" w:color="auto"/>
        <w:right w:val="none" w:sz="0" w:space="0" w:color="auto"/>
      </w:divBdr>
    </w:div>
    <w:div w:id="1425493762">
      <w:bodyDiv w:val="1"/>
      <w:marLeft w:val="0"/>
      <w:marRight w:val="0"/>
      <w:marTop w:val="0"/>
      <w:marBottom w:val="0"/>
      <w:divBdr>
        <w:top w:val="none" w:sz="0" w:space="0" w:color="auto"/>
        <w:left w:val="none" w:sz="0" w:space="0" w:color="auto"/>
        <w:bottom w:val="none" w:sz="0" w:space="0" w:color="auto"/>
        <w:right w:val="none" w:sz="0" w:space="0" w:color="auto"/>
      </w:divBdr>
    </w:div>
    <w:div w:id="1439108454">
      <w:bodyDiv w:val="1"/>
      <w:marLeft w:val="0"/>
      <w:marRight w:val="0"/>
      <w:marTop w:val="0"/>
      <w:marBottom w:val="0"/>
      <w:divBdr>
        <w:top w:val="none" w:sz="0" w:space="0" w:color="auto"/>
        <w:left w:val="none" w:sz="0" w:space="0" w:color="auto"/>
        <w:bottom w:val="none" w:sz="0" w:space="0" w:color="auto"/>
        <w:right w:val="none" w:sz="0" w:space="0" w:color="auto"/>
      </w:divBdr>
    </w:div>
    <w:div w:id="1542013062">
      <w:bodyDiv w:val="1"/>
      <w:marLeft w:val="0"/>
      <w:marRight w:val="0"/>
      <w:marTop w:val="0"/>
      <w:marBottom w:val="0"/>
      <w:divBdr>
        <w:top w:val="none" w:sz="0" w:space="0" w:color="auto"/>
        <w:left w:val="none" w:sz="0" w:space="0" w:color="auto"/>
        <w:bottom w:val="none" w:sz="0" w:space="0" w:color="auto"/>
        <w:right w:val="none" w:sz="0" w:space="0" w:color="auto"/>
      </w:divBdr>
    </w:div>
    <w:div w:id="1563757057">
      <w:bodyDiv w:val="1"/>
      <w:marLeft w:val="0"/>
      <w:marRight w:val="0"/>
      <w:marTop w:val="0"/>
      <w:marBottom w:val="0"/>
      <w:divBdr>
        <w:top w:val="none" w:sz="0" w:space="0" w:color="auto"/>
        <w:left w:val="none" w:sz="0" w:space="0" w:color="auto"/>
        <w:bottom w:val="none" w:sz="0" w:space="0" w:color="auto"/>
        <w:right w:val="none" w:sz="0" w:space="0" w:color="auto"/>
      </w:divBdr>
    </w:div>
    <w:div w:id="1620141124">
      <w:bodyDiv w:val="1"/>
      <w:marLeft w:val="0"/>
      <w:marRight w:val="0"/>
      <w:marTop w:val="0"/>
      <w:marBottom w:val="0"/>
      <w:divBdr>
        <w:top w:val="none" w:sz="0" w:space="0" w:color="auto"/>
        <w:left w:val="none" w:sz="0" w:space="0" w:color="auto"/>
        <w:bottom w:val="none" w:sz="0" w:space="0" w:color="auto"/>
        <w:right w:val="none" w:sz="0" w:space="0" w:color="auto"/>
      </w:divBdr>
    </w:div>
    <w:div w:id="1696616647">
      <w:bodyDiv w:val="1"/>
      <w:marLeft w:val="0"/>
      <w:marRight w:val="0"/>
      <w:marTop w:val="0"/>
      <w:marBottom w:val="0"/>
      <w:divBdr>
        <w:top w:val="none" w:sz="0" w:space="0" w:color="auto"/>
        <w:left w:val="none" w:sz="0" w:space="0" w:color="auto"/>
        <w:bottom w:val="none" w:sz="0" w:space="0" w:color="auto"/>
        <w:right w:val="none" w:sz="0" w:space="0" w:color="auto"/>
      </w:divBdr>
    </w:div>
    <w:div w:id="1698460510">
      <w:bodyDiv w:val="1"/>
      <w:marLeft w:val="0"/>
      <w:marRight w:val="0"/>
      <w:marTop w:val="0"/>
      <w:marBottom w:val="0"/>
      <w:divBdr>
        <w:top w:val="none" w:sz="0" w:space="0" w:color="auto"/>
        <w:left w:val="none" w:sz="0" w:space="0" w:color="auto"/>
        <w:bottom w:val="none" w:sz="0" w:space="0" w:color="auto"/>
        <w:right w:val="none" w:sz="0" w:space="0" w:color="auto"/>
      </w:divBdr>
    </w:div>
    <w:div w:id="1705791776">
      <w:bodyDiv w:val="1"/>
      <w:marLeft w:val="0"/>
      <w:marRight w:val="0"/>
      <w:marTop w:val="0"/>
      <w:marBottom w:val="0"/>
      <w:divBdr>
        <w:top w:val="none" w:sz="0" w:space="0" w:color="auto"/>
        <w:left w:val="none" w:sz="0" w:space="0" w:color="auto"/>
        <w:bottom w:val="none" w:sz="0" w:space="0" w:color="auto"/>
        <w:right w:val="none" w:sz="0" w:space="0" w:color="auto"/>
      </w:divBdr>
    </w:div>
    <w:div w:id="1720781520">
      <w:bodyDiv w:val="1"/>
      <w:marLeft w:val="0"/>
      <w:marRight w:val="0"/>
      <w:marTop w:val="0"/>
      <w:marBottom w:val="0"/>
      <w:divBdr>
        <w:top w:val="none" w:sz="0" w:space="0" w:color="auto"/>
        <w:left w:val="none" w:sz="0" w:space="0" w:color="auto"/>
        <w:bottom w:val="none" w:sz="0" w:space="0" w:color="auto"/>
        <w:right w:val="none" w:sz="0" w:space="0" w:color="auto"/>
      </w:divBdr>
    </w:div>
    <w:div w:id="1732313448">
      <w:bodyDiv w:val="1"/>
      <w:marLeft w:val="0"/>
      <w:marRight w:val="0"/>
      <w:marTop w:val="0"/>
      <w:marBottom w:val="0"/>
      <w:divBdr>
        <w:top w:val="none" w:sz="0" w:space="0" w:color="auto"/>
        <w:left w:val="none" w:sz="0" w:space="0" w:color="auto"/>
        <w:bottom w:val="none" w:sz="0" w:space="0" w:color="auto"/>
        <w:right w:val="none" w:sz="0" w:space="0" w:color="auto"/>
      </w:divBdr>
    </w:div>
    <w:div w:id="1751661551">
      <w:bodyDiv w:val="1"/>
      <w:marLeft w:val="0"/>
      <w:marRight w:val="0"/>
      <w:marTop w:val="0"/>
      <w:marBottom w:val="0"/>
      <w:divBdr>
        <w:top w:val="none" w:sz="0" w:space="0" w:color="auto"/>
        <w:left w:val="none" w:sz="0" w:space="0" w:color="auto"/>
        <w:bottom w:val="none" w:sz="0" w:space="0" w:color="auto"/>
        <w:right w:val="none" w:sz="0" w:space="0" w:color="auto"/>
      </w:divBdr>
    </w:div>
    <w:div w:id="1758281659">
      <w:bodyDiv w:val="1"/>
      <w:marLeft w:val="0"/>
      <w:marRight w:val="0"/>
      <w:marTop w:val="0"/>
      <w:marBottom w:val="0"/>
      <w:divBdr>
        <w:top w:val="none" w:sz="0" w:space="0" w:color="auto"/>
        <w:left w:val="none" w:sz="0" w:space="0" w:color="auto"/>
        <w:bottom w:val="none" w:sz="0" w:space="0" w:color="auto"/>
        <w:right w:val="none" w:sz="0" w:space="0" w:color="auto"/>
      </w:divBdr>
    </w:div>
    <w:div w:id="1776556297">
      <w:bodyDiv w:val="1"/>
      <w:marLeft w:val="0"/>
      <w:marRight w:val="0"/>
      <w:marTop w:val="0"/>
      <w:marBottom w:val="0"/>
      <w:divBdr>
        <w:top w:val="none" w:sz="0" w:space="0" w:color="auto"/>
        <w:left w:val="none" w:sz="0" w:space="0" w:color="auto"/>
        <w:bottom w:val="none" w:sz="0" w:space="0" w:color="auto"/>
        <w:right w:val="none" w:sz="0" w:space="0" w:color="auto"/>
      </w:divBdr>
    </w:div>
    <w:div w:id="1850486429">
      <w:bodyDiv w:val="1"/>
      <w:marLeft w:val="0"/>
      <w:marRight w:val="0"/>
      <w:marTop w:val="0"/>
      <w:marBottom w:val="0"/>
      <w:divBdr>
        <w:top w:val="none" w:sz="0" w:space="0" w:color="auto"/>
        <w:left w:val="none" w:sz="0" w:space="0" w:color="auto"/>
        <w:bottom w:val="none" w:sz="0" w:space="0" w:color="auto"/>
        <w:right w:val="none" w:sz="0" w:space="0" w:color="auto"/>
      </w:divBdr>
    </w:div>
    <w:div w:id="1862812598">
      <w:bodyDiv w:val="1"/>
      <w:marLeft w:val="0"/>
      <w:marRight w:val="0"/>
      <w:marTop w:val="0"/>
      <w:marBottom w:val="0"/>
      <w:divBdr>
        <w:top w:val="none" w:sz="0" w:space="0" w:color="auto"/>
        <w:left w:val="none" w:sz="0" w:space="0" w:color="auto"/>
        <w:bottom w:val="none" w:sz="0" w:space="0" w:color="auto"/>
        <w:right w:val="none" w:sz="0" w:space="0" w:color="auto"/>
      </w:divBdr>
    </w:div>
    <w:div w:id="1884437060">
      <w:bodyDiv w:val="1"/>
      <w:marLeft w:val="0"/>
      <w:marRight w:val="0"/>
      <w:marTop w:val="0"/>
      <w:marBottom w:val="0"/>
      <w:divBdr>
        <w:top w:val="none" w:sz="0" w:space="0" w:color="auto"/>
        <w:left w:val="none" w:sz="0" w:space="0" w:color="auto"/>
        <w:bottom w:val="none" w:sz="0" w:space="0" w:color="auto"/>
        <w:right w:val="none" w:sz="0" w:space="0" w:color="auto"/>
      </w:divBdr>
    </w:div>
    <w:div w:id="1937403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FFFD47-2F80-4F66-BD2C-2C9EBEACCD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4</Pages>
  <Words>387</Words>
  <Characters>2206</Characters>
  <Application>Microsoft Office Word</Application>
  <DocSecurity>0</DocSecurity>
  <Lines>18</Lines>
  <Paragraphs>5</Paragraphs>
  <ScaleCrop>false</ScaleCrop>
  <Company>HOME</Company>
  <LinksUpToDate>false</LinksUpToDate>
  <CharactersWithSpaces>2588</CharactersWithSpaces>
  <SharedDoc>false</SharedDoc>
  <HLinks>
    <vt:vector size="144" baseType="variant">
      <vt:variant>
        <vt:i4>1441848</vt:i4>
      </vt:variant>
      <vt:variant>
        <vt:i4>116</vt:i4>
      </vt:variant>
      <vt:variant>
        <vt:i4>0</vt:i4>
      </vt:variant>
      <vt:variant>
        <vt:i4>5</vt:i4>
      </vt:variant>
      <vt:variant>
        <vt:lpwstr/>
      </vt:variant>
      <vt:variant>
        <vt:lpwstr>_Toc181892135</vt:lpwstr>
      </vt:variant>
      <vt:variant>
        <vt:i4>1441848</vt:i4>
      </vt:variant>
      <vt:variant>
        <vt:i4>110</vt:i4>
      </vt:variant>
      <vt:variant>
        <vt:i4>0</vt:i4>
      </vt:variant>
      <vt:variant>
        <vt:i4>5</vt:i4>
      </vt:variant>
      <vt:variant>
        <vt:lpwstr/>
      </vt:variant>
      <vt:variant>
        <vt:lpwstr>_Toc181892134</vt:lpwstr>
      </vt:variant>
      <vt:variant>
        <vt:i4>1441848</vt:i4>
      </vt:variant>
      <vt:variant>
        <vt:i4>104</vt:i4>
      </vt:variant>
      <vt:variant>
        <vt:i4>0</vt:i4>
      </vt:variant>
      <vt:variant>
        <vt:i4>5</vt:i4>
      </vt:variant>
      <vt:variant>
        <vt:lpwstr/>
      </vt:variant>
      <vt:variant>
        <vt:lpwstr>_Toc181892133</vt:lpwstr>
      </vt:variant>
      <vt:variant>
        <vt:i4>1441848</vt:i4>
      </vt:variant>
      <vt:variant>
        <vt:i4>98</vt:i4>
      </vt:variant>
      <vt:variant>
        <vt:i4>0</vt:i4>
      </vt:variant>
      <vt:variant>
        <vt:i4>5</vt:i4>
      </vt:variant>
      <vt:variant>
        <vt:lpwstr/>
      </vt:variant>
      <vt:variant>
        <vt:lpwstr>_Toc181892132</vt:lpwstr>
      </vt:variant>
      <vt:variant>
        <vt:i4>1441848</vt:i4>
      </vt:variant>
      <vt:variant>
        <vt:i4>92</vt:i4>
      </vt:variant>
      <vt:variant>
        <vt:i4>0</vt:i4>
      </vt:variant>
      <vt:variant>
        <vt:i4>5</vt:i4>
      </vt:variant>
      <vt:variant>
        <vt:lpwstr/>
      </vt:variant>
      <vt:variant>
        <vt:lpwstr>_Toc181892131</vt:lpwstr>
      </vt:variant>
      <vt:variant>
        <vt:i4>1441848</vt:i4>
      </vt:variant>
      <vt:variant>
        <vt:i4>86</vt:i4>
      </vt:variant>
      <vt:variant>
        <vt:i4>0</vt:i4>
      </vt:variant>
      <vt:variant>
        <vt:i4>5</vt:i4>
      </vt:variant>
      <vt:variant>
        <vt:lpwstr/>
      </vt:variant>
      <vt:variant>
        <vt:lpwstr>_Toc181892130</vt:lpwstr>
      </vt:variant>
      <vt:variant>
        <vt:i4>1507384</vt:i4>
      </vt:variant>
      <vt:variant>
        <vt:i4>80</vt:i4>
      </vt:variant>
      <vt:variant>
        <vt:i4>0</vt:i4>
      </vt:variant>
      <vt:variant>
        <vt:i4>5</vt:i4>
      </vt:variant>
      <vt:variant>
        <vt:lpwstr/>
      </vt:variant>
      <vt:variant>
        <vt:lpwstr>_Toc181892129</vt:lpwstr>
      </vt:variant>
      <vt:variant>
        <vt:i4>1507384</vt:i4>
      </vt:variant>
      <vt:variant>
        <vt:i4>74</vt:i4>
      </vt:variant>
      <vt:variant>
        <vt:i4>0</vt:i4>
      </vt:variant>
      <vt:variant>
        <vt:i4>5</vt:i4>
      </vt:variant>
      <vt:variant>
        <vt:lpwstr/>
      </vt:variant>
      <vt:variant>
        <vt:lpwstr>_Toc181892128</vt:lpwstr>
      </vt:variant>
      <vt:variant>
        <vt:i4>1507384</vt:i4>
      </vt:variant>
      <vt:variant>
        <vt:i4>68</vt:i4>
      </vt:variant>
      <vt:variant>
        <vt:i4>0</vt:i4>
      </vt:variant>
      <vt:variant>
        <vt:i4>5</vt:i4>
      </vt:variant>
      <vt:variant>
        <vt:lpwstr/>
      </vt:variant>
      <vt:variant>
        <vt:lpwstr>_Toc181892127</vt:lpwstr>
      </vt:variant>
      <vt:variant>
        <vt:i4>1507384</vt:i4>
      </vt:variant>
      <vt:variant>
        <vt:i4>62</vt:i4>
      </vt:variant>
      <vt:variant>
        <vt:i4>0</vt:i4>
      </vt:variant>
      <vt:variant>
        <vt:i4>5</vt:i4>
      </vt:variant>
      <vt:variant>
        <vt:lpwstr/>
      </vt:variant>
      <vt:variant>
        <vt:lpwstr>_Toc181892126</vt:lpwstr>
      </vt:variant>
      <vt:variant>
        <vt:i4>1507384</vt:i4>
      </vt:variant>
      <vt:variant>
        <vt:i4>56</vt:i4>
      </vt:variant>
      <vt:variant>
        <vt:i4>0</vt:i4>
      </vt:variant>
      <vt:variant>
        <vt:i4>5</vt:i4>
      </vt:variant>
      <vt:variant>
        <vt:lpwstr/>
      </vt:variant>
      <vt:variant>
        <vt:lpwstr>_Toc181892125</vt:lpwstr>
      </vt:variant>
      <vt:variant>
        <vt:i4>1507384</vt:i4>
      </vt:variant>
      <vt:variant>
        <vt:i4>50</vt:i4>
      </vt:variant>
      <vt:variant>
        <vt:i4>0</vt:i4>
      </vt:variant>
      <vt:variant>
        <vt:i4>5</vt:i4>
      </vt:variant>
      <vt:variant>
        <vt:lpwstr/>
      </vt:variant>
      <vt:variant>
        <vt:lpwstr>_Toc181892124</vt:lpwstr>
      </vt:variant>
      <vt:variant>
        <vt:i4>1507384</vt:i4>
      </vt:variant>
      <vt:variant>
        <vt:i4>44</vt:i4>
      </vt:variant>
      <vt:variant>
        <vt:i4>0</vt:i4>
      </vt:variant>
      <vt:variant>
        <vt:i4>5</vt:i4>
      </vt:variant>
      <vt:variant>
        <vt:lpwstr/>
      </vt:variant>
      <vt:variant>
        <vt:lpwstr>_Toc181892123</vt:lpwstr>
      </vt:variant>
      <vt:variant>
        <vt:i4>1507384</vt:i4>
      </vt:variant>
      <vt:variant>
        <vt:i4>38</vt:i4>
      </vt:variant>
      <vt:variant>
        <vt:i4>0</vt:i4>
      </vt:variant>
      <vt:variant>
        <vt:i4>5</vt:i4>
      </vt:variant>
      <vt:variant>
        <vt:lpwstr/>
      </vt:variant>
      <vt:variant>
        <vt:lpwstr>_Toc181892122</vt:lpwstr>
      </vt:variant>
      <vt:variant>
        <vt:i4>1507384</vt:i4>
      </vt:variant>
      <vt:variant>
        <vt:i4>32</vt:i4>
      </vt:variant>
      <vt:variant>
        <vt:i4>0</vt:i4>
      </vt:variant>
      <vt:variant>
        <vt:i4>5</vt:i4>
      </vt:variant>
      <vt:variant>
        <vt:lpwstr/>
      </vt:variant>
      <vt:variant>
        <vt:lpwstr>_Toc181892121</vt:lpwstr>
      </vt:variant>
      <vt:variant>
        <vt:i4>1507384</vt:i4>
      </vt:variant>
      <vt:variant>
        <vt:i4>26</vt:i4>
      </vt:variant>
      <vt:variant>
        <vt:i4>0</vt:i4>
      </vt:variant>
      <vt:variant>
        <vt:i4>5</vt:i4>
      </vt:variant>
      <vt:variant>
        <vt:lpwstr/>
      </vt:variant>
      <vt:variant>
        <vt:lpwstr>_Toc181892120</vt:lpwstr>
      </vt:variant>
      <vt:variant>
        <vt:i4>1310776</vt:i4>
      </vt:variant>
      <vt:variant>
        <vt:i4>20</vt:i4>
      </vt:variant>
      <vt:variant>
        <vt:i4>0</vt:i4>
      </vt:variant>
      <vt:variant>
        <vt:i4>5</vt:i4>
      </vt:variant>
      <vt:variant>
        <vt:lpwstr/>
      </vt:variant>
      <vt:variant>
        <vt:lpwstr>_Toc181892119</vt:lpwstr>
      </vt:variant>
      <vt:variant>
        <vt:i4>1310776</vt:i4>
      </vt:variant>
      <vt:variant>
        <vt:i4>14</vt:i4>
      </vt:variant>
      <vt:variant>
        <vt:i4>0</vt:i4>
      </vt:variant>
      <vt:variant>
        <vt:i4>5</vt:i4>
      </vt:variant>
      <vt:variant>
        <vt:lpwstr/>
      </vt:variant>
      <vt:variant>
        <vt:lpwstr>_Toc181892118</vt:lpwstr>
      </vt:variant>
      <vt:variant>
        <vt:i4>1310776</vt:i4>
      </vt:variant>
      <vt:variant>
        <vt:i4>8</vt:i4>
      </vt:variant>
      <vt:variant>
        <vt:i4>0</vt:i4>
      </vt:variant>
      <vt:variant>
        <vt:i4>5</vt:i4>
      </vt:variant>
      <vt:variant>
        <vt:lpwstr/>
      </vt:variant>
      <vt:variant>
        <vt:lpwstr>_Toc181892117</vt:lpwstr>
      </vt:variant>
      <vt:variant>
        <vt:i4>1310776</vt:i4>
      </vt:variant>
      <vt:variant>
        <vt:i4>2</vt:i4>
      </vt:variant>
      <vt:variant>
        <vt:i4>0</vt:i4>
      </vt:variant>
      <vt:variant>
        <vt:i4>5</vt:i4>
      </vt:variant>
      <vt:variant>
        <vt:lpwstr/>
      </vt:variant>
      <vt:variant>
        <vt:lpwstr>_Toc181892116</vt:lpwstr>
      </vt:variant>
      <vt:variant>
        <vt:i4>-725493713</vt:i4>
      </vt:variant>
      <vt:variant>
        <vt:i4>9</vt:i4>
      </vt:variant>
      <vt:variant>
        <vt:i4>0</vt:i4>
      </vt:variant>
      <vt:variant>
        <vt:i4>5</vt:i4>
      </vt:variant>
      <vt:variant>
        <vt:lpwstr>https://www.fsc.gov.tw/websitedowndoc?file=chfsc/202209281336330.pdf&amp;filedisplay=%E7%B6%A0%E8%89%B2%E9%87%91%E8%9E%8D%E8%A1%8C%E5%8B%95%E6%96%B9%E6%A1%883.0.pdf。下載日期：113</vt:lpwstr>
      </vt:variant>
      <vt:variant>
        <vt:lpwstr/>
      </vt:variant>
      <vt:variant>
        <vt:i4>-45432125</vt:i4>
      </vt:variant>
      <vt:variant>
        <vt:i4>6</vt:i4>
      </vt:variant>
      <vt:variant>
        <vt:i4>0</vt:i4>
      </vt:variant>
      <vt:variant>
        <vt:i4>5</vt:i4>
      </vt:variant>
      <vt:variant>
        <vt:lpwstr>https://unctad.org/system/files/official-document/wir2024_en.pdf。查閱日期：113</vt:lpwstr>
      </vt:variant>
      <vt:variant>
        <vt:lpwstr/>
      </vt:variant>
      <vt:variant>
        <vt:i4>1406428512</vt:i4>
      </vt:variant>
      <vt:variant>
        <vt:i4>3</vt:i4>
      </vt:variant>
      <vt:variant>
        <vt:i4>0</vt:i4>
      </vt:variant>
      <vt:variant>
        <vt:i4>5</vt:i4>
      </vt:variant>
      <vt:variant>
        <vt:lpwstr>https://www.cip.gov.tw/zh-tw/news/data-list/C6DFB32460630CF4/0C3331F0EBD318C213147655B37A59D5-info.html，查閱日期113年11月4</vt:lpwstr>
      </vt:variant>
      <vt:variant>
        <vt:lpwstr/>
      </vt:variant>
      <vt:variant>
        <vt:i4>306183440</vt:i4>
      </vt:variant>
      <vt:variant>
        <vt:i4>0</vt:i4>
      </vt:variant>
      <vt:variant>
        <vt:i4>0</vt:i4>
      </vt:variant>
      <vt:variant>
        <vt:i4>5</vt:i4>
      </vt:variant>
      <vt:variant>
        <vt:lpwstr>https://www.mohw.gov.tw/cp-85-2641-1.html，查詢日期：113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2024-11-07T05:08:00Z</cp:lastPrinted>
  <dcterms:created xsi:type="dcterms:W3CDTF">2024-11-22T01:22:00Z</dcterms:created>
  <dcterms:modified xsi:type="dcterms:W3CDTF">2024-11-22T01:22:00Z</dcterms:modified>
</cp:coreProperties>
</file>