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E11B28" w:rsidRPr="00532A0A" w:rsidRDefault="00AF4780" w:rsidP="00E11B28">
      <w:pPr>
        <w:pStyle w:val="14"/>
        <w:ind w:left="567" w:hanging="567"/>
      </w:pPr>
      <w:bookmarkStart w:id="1" w:name="_Toc181892135"/>
      <w:r>
        <w:rPr>
          <w:rFonts w:hint="eastAsia"/>
        </w:rPr>
        <w:t>一六</w:t>
      </w:r>
      <w:r w:rsidR="00E11B28" w:rsidRPr="00532A0A">
        <w:rPr>
          <w:rFonts w:hint="eastAsia"/>
          <w:lang w:eastAsia="zh-HK"/>
        </w:rPr>
        <w:t>、</w:t>
      </w:r>
      <w:r w:rsidR="00553D85">
        <w:rPr>
          <w:rFonts w:hint="eastAsia"/>
        </w:rPr>
        <w:t>近年</w:t>
      </w:r>
      <w:r>
        <w:rPr>
          <w:rFonts w:hint="eastAsia"/>
        </w:rPr>
        <w:t>國內投資</w:t>
      </w:r>
      <w:r w:rsidR="00553D85">
        <w:rPr>
          <w:rFonts w:hint="eastAsia"/>
        </w:rPr>
        <w:t>就符合環境社會治理(</w:t>
      </w:r>
      <w:r w:rsidR="00553D85">
        <w:t>ESG</w:t>
      </w:r>
      <w:r w:rsidR="00553D85">
        <w:rPr>
          <w:rFonts w:hint="eastAsia"/>
        </w:rPr>
        <w:t>)</w:t>
      </w:r>
      <w:r w:rsidR="00553D85">
        <w:rPr>
          <w:rFonts w:hAnsi="標楷體" w:hint="eastAsia"/>
        </w:rPr>
        <w:t>相關指標之投資金額與比例</w:t>
      </w:r>
      <w:r>
        <w:rPr>
          <w:rFonts w:hAnsi="標楷體" w:hint="eastAsia"/>
        </w:rPr>
        <w:t>均</w:t>
      </w:r>
      <w:r w:rsidR="00553D85">
        <w:rPr>
          <w:rFonts w:hAnsi="標楷體" w:hint="eastAsia"/>
        </w:rPr>
        <w:t>有</w:t>
      </w:r>
      <w:r>
        <w:rPr>
          <w:rFonts w:hAnsi="標楷體" w:hint="eastAsia"/>
        </w:rPr>
        <w:t>調增</w:t>
      </w:r>
      <w:r w:rsidR="00C226B4">
        <w:rPr>
          <w:rFonts w:hAnsi="標楷體" w:hint="eastAsia"/>
        </w:rPr>
        <w:t>，惟國外投資之</w:t>
      </w:r>
      <w:r w:rsidR="000838E5">
        <w:rPr>
          <w:rFonts w:hAnsi="標楷體" w:hint="eastAsia"/>
        </w:rPr>
        <w:t>自行</w:t>
      </w:r>
      <w:r w:rsidR="00C226B4">
        <w:rPr>
          <w:rFonts w:hAnsi="標楷體" w:hint="eastAsia"/>
        </w:rPr>
        <w:t>運用比重</w:t>
      </w:r>
      <w:r>
        <w:rPr>
          <w:rFonts w:hAnsi="標楷體" w:hint="eastAsia"/>
        </w:rPr>
        <w:t>較低，允宜適時檢討投資標的組合</w:t>
      </w:r>
      <w:r w:rsidR="00B57766">
        <w:rPr>
          <w:rFonts w:hAnsi="標楷體" w:hint="eastAsia"/>
        </w:rPr>
        <w:t>，俾落實金融主管機關</w:t>
      </w:r>
      <w:r w:rsidR="00CB26C2">
        <w:rPr>
          <w:rFonts w:hAnsi="標楷體" w:hint="eastAsia"/>
        </w:rPr>
        <w:t>永續投資相關政策</w:t>
      </w:r>
      <w:bookmarkEnd w:id="1"/>
    </w:p>
    <w:p w:rsidR="00E11B28" w:rsidRPr="00532A0A" w:rsidRDefault="00E11B28" w:rsidP="00E11B28">
      <w:pPr>
        <w:ind w:left="566" w:firstLine="566"/>
      </w:pPr>
      <w:r w:rsidRPr="00532A0A">
        <w:rPr>
          <w:rFonts w:hint="eastAsia"/>
        </w:rPr>
        <w:t>國保基金</w:t>
      </w:r>
      <w:r w:rsidRPr="00532A0A">
        <w:t>11</w:t>
      </w:r>
      <w:r w:rsidR="00C226B4">
        <w:rPr>
          <w:rFonts w:hint="eastAsia"/>
        </w:rPr>
        <w:t>4</w:t>
      </w:r>
      <w:r w:rsidRPr="00532A0A">
        <w:rPr>
          <w:rFonts w:hint="eastAsia"/>
        </w:rPr>
        <w:t>年度預算案</w:t>
      </w:r>
      <w:r w:rsidR="002B1CFF">
        <w:rPr>
          <w:rFonts w:hint="eastAsia"/>
        </w:rPr>
        <w:t>於</w:t>
      </w:r>
      <w:r w:rsidR="002B1CFF" w:rsidRPr="002B1CFF">
        <w:rPr>
          <w:rFonts w:hint="eastAsia"/>
        </w:rPr>
        <w:t>「業務收入－投融資業務收入」科目項下</w:t>
      </w:r>
      <w:r w:rsidRPr="00532A0A">
        <w:rPr>
          <w:rFonts w:hint="eastAsia"/>
        </w:rPr>
        <w:t>編列</w:t>
      </w:r>
      <w:r w:rsidR="00C226B4">
        <w:rPr>
          <w:rFonts w:hint="eastAsia"/>
        </w:rPr>
        <w:t>投資收入199</w:t>
      </w:r>
      <w:r w:rsidR="00BF09A3">
        <w:rPr>
          <w:rFonts w:hint="eastAsia"/>
        </w:rPr>
        <w:t>億</w:t>
      </w:r>
      <w:r w:rsidR="00BF09A3">
        <w:t>4,</w:t>
      </w:r>
      <w:r w:rsidR="00C226B4">
        <w:rPr>
          <w:rFonts w:hint="eastAsia"/>
        </w:rPr>
        <w:t>11</w:t>
      </w:r>
      <w:r w:rsidR="00BF09A3">
        <w:t>0</w:t>
      </w:r>
      <w:r w:rsidR="00BF09A3">
        <w:rPr>
          <w:rFonts w:hint="eastAsia"/>
        </w:rPr>
        <w:t>萬</w:t>
      </w:r>
      <w:r w:rsidR="00C226B4">
        <w:rPr>
          <w:rFonts w:hint="eastAsia"/>
        </w:rPr>
        <w:t>8千</w:t>
      </w:r>
      <w:r w:rsidRPr="00532A0A">
        <w:rPr>
          <w:rFonts w:hint="eastAsia"/>
        </w:rPr>
        <w:t>元，</w:t>
      </w:r>
      <w:r w:rsidR="00A76066">
        <w:rPr>
          <w:rFonts w:hAnsi="標楷體" w:hint="eastAsia"/>
        </w:rPr>
        <w:t>「</w:t>
      </w:r>
      <w:r w:rsidR="00A76066">
        <w:rPr>
          <w:rFonts w:hint="eastAsia"/>
        </w:rPr>
        <w:t>投融資業務成本</w:t>
      </w:r>
      <w:r w:rsidR="00A76066">
        <w:rPr>
          <w:rFonts w:hAnsi="標楷體" w:hint="eastAsia"/>
        </w:rPr>
        <w:t>」</w:t>
      </w:r>
      <w:r w:rsidR="00A76066">
        <w:rPr>
          <w:rFonts w:hint="eastAsia"/>
        </w:rPr>
        <w:t>項下編列投資業務成本5億3</w:t>
      </w:r>
      <w:r w:rsidR="00A76066">
        <w:t>,</w:t>
      </w:r>
      <w:r w:rsidR="00A76066">
        <w:rPr>
          <w:rFonts w:hint="eastAsia"/>
        </w:rPr>
        <w:t>179萬2千元</w:t>
      </w:r>
      <w:r w:rsidR="00A76066">
        <w:rPr>
          <w:rFonts w:hAnsi="標楷體" w:hint="eastAsia"/>
        </w:rPr>
        <w:t>。</w:t>
      </w:r>
      <w:r w:rsidR="00A76066">
        <w:rPr>
          <w:rFonts w:hint="eastAsia"/>
        </w:rPr>
        <w:t>該基金近年</w:t>
      </w:r>
      <w:r w:rsidR="00A76066" w:rsidRPr="00A76066">
        <w:rPr>
          <w:rFonts w:hint="eastAsia"/>
        </w:rPr>
        <w:t>就符合環境社會治理(ESG)</w:t>
      </w:r>
      <w:r w:rsidR="00A76066">
        <w:rPr>
          <w:rFonts w:hint="eastAsia"/>
        </w:rPr>
        <w:t>相關指標之投資尚有精進之處</w:t>
      </w:r>
      <w:r w:rsidRPr="00532A0A">
        <w:rPr>
          <w:rFonts w:hint="eastAsia"/>
        </w:rPr>
        <w:t>：</w:t>
      </w:r>
    </w:p>
    <w:p w:rsidR="00E11B28" w:rsidRPr="00035E5C" w:rsidRDefault="00E11B28" w:rsidP="00E11B28">
      <w:pPr>
        <w:pStyle w:val="a4"/>
        <w:ind w:left="845" w:hanging="279"/>
        <w:rPr>
          <w:b/>
        </w:rPr>
      </w:pPr>
      <w:r w:rsidRPr="00532A0A">
        <w:rPr>
          <w:rFonts w:hint="eastAsia"/>
          <w:b/>
          <w:spacing w:val="-2"/>
        </w:rPr>
        <w:t>(一)</w:t>
      </w:r>
      <w:r w:rsidR="00C766A2" w:rsidRPr="00C766A2">
        <w:rPr>
          <w:rFonts w:hint="eastAsia"/>
          <w:b/>
          <w:spacing w:val="-2"/>
        </w:rPr>
        <w:t>國際主要投資基金因應氣候變遷，低碳轉型經濟發展</w:t>
      </w:r>
      <w:r w:rsidR="00C766A2">
        <w:rPr>
          <w:rFonts w:hint="eastAsia"/>
          <w:b/>
          <w:spacing w:val="-2"/>
        </w:rPr>
        <w:t>之趨勢</w:t>
      </w:r>
      <w:r w:rsidR="00C766A2">
        <w:rPr>
          <w:rFonts w:hAnsi="標楷體" w:hint="eastAsia"/>
          <w:b/>
          <w:spacing w:val="-2"/>
        </w:rPr>
        <w:t>，</w:t>
      </w:r>
      <w:r w:rsidR="00C766A2">
        <w:rPr>
          <w:rFonts w:hint="eastAsia"/>
          <w:b/>
          <w:spacing w:val="-2"/>
        </w:rPr>
        <w:t>已將</w:t>
      </w:r>
      <w:r w:rsidR="00C766A2" w:rsidRPr="00C766A2">
        <w:rPr>
          <w:rFonts w:hint="eastAsia"/>
          <w:b/>
          <w:spacing w:val="-2"/>
        </w:rPr>
        <w:t>環境社會治理(ESG)納入</w:t>
      </w:r>
      <w:r w:rsidR="00C766A2">
        <w:rPr>
          <w:rFonts w:hint="eastAsia"/>
          <w:b/>
          <w:spacing w:val="-2"/>
        </w:rPr>
        <w:t>主要</w:t>
      </w:r>
      <w:r w:rsidR="00C766A2" w:rsidRPr="00C766A2">
        <w:rPr>
          <w:rFonts w:hint="eastAsia"/>
          <w:b/>
          <w:spacing w:val="-2"/>
        </w:rPr>
        <w:t>投資考量因素</w:t>
      </w:r>
    </w:p>
    <w:p w:rsidR="00DF763E" w:rsidRDefault="00C766A2" w:rsidP="009C4325">
      <w:pPr>
        <w:pStyle w:val="21"/>
        <w:ind w:left="850" w:firstLine="566"/>
      </w:pPr>
      <w:r>
        <w:rPr>
          <w:rFonts w:hint="eastAsia"/>
        </w:rPr>
        <w:t>鑒於</w:t>
      </w:r>
      <w:r w:rsidRPr="00C766A2">
        <w:rPr>
          <w:rFonts w:hint="eastAsia"/>
        </w:rPr>
        <w:t>近年氣候變遷加劇，</w:t>
      </w:r>
      <w:r>
        <w:rPr>
          <w:rFonts w:hint="eastAsia"/>
        </w:rPr>
        <w:t>衝擊</w:t>
      </w:r>
      <w:r w:rsidRPr="00C766A2">
        <w:rPr>
          <w:rFonts w:hint="eastAsia"/>
        </w:rPr>
        <w:t>人類經濟生活，</w:t>
      </w:r>
      <w:r w:rsidR="009D6AC3">
        <w:rPr>
          <w:rFonts w:hAnsi="標楷體" w:hint="eastAsia"/>
        </w:rPr>
        <w:t>包括金融業在內之</w:t>
      </w:r>
      <w:r w:rsidR="00592A14">
        <w:rPr>
          <w:rFonts w:hAnsi="標楷體" w:hint="eastAsia"/>
        </w:rPr>
        <w:t>各行各業</w:t>
      </w:r>
      <w:r w:rsidR="009D6AC3">
        <w:rPr>
          <w:rFonts w:hAnsi="標楷體" w:hint="eastAsia"/>
        </w:rPr>
        <w:t>均須積極提出對策</w:t>
      </w:r>
      <w:r w:rsidR="00636BBE">
        <w:rPr>
          <w:rFonts w:hAnsi="標楷體" w:hint="eastAsia"/>
        </w:rPr>
        <w:t>，始能降低其負面影響</w:t>
      </w:r>
      <w:r w:rsidR="00CD6559">
        <w:rPr>
          <w:rFonts w:hAnsi="標楷體" w:hint="eastAsia"/>
        </w:rPr>
        <w:t>，</w:t>
      </w:r>
      <w:r w:rsidR="00636BBE">
        <w:rPr>
          <w:rFonts w:hAnsi="標楷體" w:hint="eastAsia"/>
        </w:rPr>
        <w:t>諸如</w:t>
      </w:r>
      <w:r w:rsidR="00561BDD" w:rsidRPr="00561BDD">
        <w:rPr>
          <w:rFonts w:hAnsi="標楷體" w:hint="eastAsia"/>
        </w:rPr>
        <w:t>全球最大</w:t>
      </w:r>
      <w:r w:rsidR="00561BDD">
        <w:rPr>
          <w:rFonts w:hAnsi="標楷體" w:hint="eastAsia"/>
        </w:rPr>
        <w:t>資產管理公司</w:t>
      </w:r>
      <w:r w:rsidR="00636BBE">
        <w:rPr>
          <w:rFonts w:hAnsi="標楷體" w:hint="eastAsia"/>
        </w:rPr>
        <w:t>貝萊德(</w:t>
      </w:r>
      <w:r w:rsidR="00636BBE" w:rsidRPr="00636BBE">
        <w:rPr>
          <w:rFonts w:hAnsi="標楷體"/>
        </w:rPr>
        <w:t>Black</w:t>
      </w:r>
      <w:r w:rsidR="00636BBE">
        <w:rPr>
          <w:rFonts w:hAnsi="標楷體" w:hint="eastAsia"/>
        </w:rPr>
        <w:t xml:space="preserve"> </w:t>
      </w:r>
      <w:r w:rsidR="00636BBE" w:rsidRPr="00636BBE">
        <w:rPr>
          <w:rFonts w:hAnsi="標楷體"/>
        </w:rPr>
        <w:t>Rock</w:t>
      </w:r>
      <w:r w:rsidR="00636BBE">
        <w:rPr>
          <w:rFonts w:hAnsi="標楷體" w:hint="eastAsia"/>
        </w:rPr>
        <w:t>)等</w:t>
      </w:r>
      <w:r w:rsidR="00FA29E7">
        <w:rPr>
          <w:rFonts w:hint="eastAsia"/>
        </w:rPr>
        <w:t>多家重量級</w:t>
      </w:r>
      <w:r w:rsidR="00FA29E7" w:rsidRPr="00C766A2">
        <w:rPr>
          <w:rFonts w:hint="eastAsia"/>
        </w:rPr>
        <w:t>跨國</w:t>
      </w:r>
      <w:r w:rsidR="00561BDD">
        <w:rPr>
          <w:rFonts w:hint="eastAsia"/>
        </w:rPr>
        <w:t>企業</w:t>
      </w:r>
      <w:r w:rsidR="00636BBE">
        <w:rPr>
          <w:rFonts w:hint="eastAsia"/>
        </w:rPr>
        <w:t>均</w:t>
      </w:r>
      <w:r w:rsidR="00636BBE" w:rsidRPr="00C766A2">
        <w:rPr>
          <w:rFonts w:hint="eastAsia"/>
        </w:rPr>
        <w:t>加入</w:t>
      </w:r>
      <w:r w:rsidR="00636BBE">
        <w:rPr>
          <w:rFonts w:hint="eastAsia"/>
        </w:rPr>
        <w:t>於</w:t>
      </w:r>
      <w:r w:rsidR="00636BBE" w:rsidRPr="00636BBE">
        <w:rPr>
          <w:rFonts w:hint="eastAsia"/>
        </w:rPr>
        <w:t>2020年12月</w:t>
      </w:r>
      <w:r w:rsidR="00636BBE">
        <w:rPr>
          <w:rFonts w:hint="eastAsia"/>
        </w:rPr>
        <w:t>發起之</w:t>
      </w:r>
      <w:r w:rsidR="00636BBE" w:rsidRPr="00C766A2">
        <w:rPr>
          <w:rFonts w:hint="eastAsia"/>
        </w:rPr>
        <w:t>淨零排放投資倡議（Net Zero Asset Managers Initiative），以促</w:t>
      </w:r>
      <w:r w:rsidR="00636BBE">
        <w:rPr>
          <w:rFonts w:hint="eastAsia"/>
        </w:rPr>
        <w:t>使</w:t>
      </w:r>
      <w:r w:rsidR="00636BBE" w:rsidRPr="00C766A2">
        <w:rPr>
          <w:rFonts w:hint="eastAsia"/>
        </w:rPr>
        <w:t>被投資之上市公司達到2050年淨零排放、2030年減碳50%之目標。</w:t>
      </w:r>
      <w:r w:rsidR="00636BBE">
        <w:rPr>
          <w:rFonts w:hint="eastAsia"/>
        </w:rPr>
        <w:t>無獨有偶</w:t>
      </w:r>
      <w:r w:rsidR="00636BBE">
        <w:rPr>
          <w:rFonts w:hAnsi="標楷體" w:hint="eastAsia"/>
        </w:rPr>
        <w:t>，</w:t>
      </w:r>
      <w:r w:rsidRPr="00C766A2">
        <w:rPr>
          <w:rFonts w:hint="eastAsia"/>
        </w:rPr>
        <w:t>2021年</w:t>
      </w:r>
      <w:r>
        <w:rPr>
          <w:rFonts w:hint="eastAsia"/>
        </w:rPr>
        <w:t>舉辦之</w:t>
      </w:r>
      <w:r w:rsidRPr="00C766A2">
        <w:rPr>
          <w:rFonts w:hint="eastAsia"/>
        </w:rPr>
        <w:t>第26屆聯合國氣候變遷大會(the 26th UN Climate Change Conference of the Parties，COP26)會議於會議宣言中提出格拉斯格金融淨零聯盟(Glasgow Financial Alliance For Net Zero’s COP26 Statement)，促使低碳轉型經濟成為國際經濟發展之主流趨勢。</w:t>
      </w:r>
      <w:r w:rsidR="00561BDD">
        <w:rPr>
          <w:rFonts w:hint="eastAsia"/>
        </w:rPr>
        <w:t>此外</w:t>
      </w:r>
      <w:r w:rsidR="00561BDD">
        <w:rPr>
          <w:rFonts w:hAnsi="標楷體" w:hint="eastAsia"/>
        </w:rPr>
        <w:t>，</w:t>
      </w:r>
      <w:r w:rsidR="00CC48FB">
        <w:rPr>
          <w:rFonts w:hAnsi="標楷體" w:hint="eastAsia"/>
        </w:rPr>
        <w:t>依</w:t>
      </w:r>
      <w:r w:rsidR="00561BDD" w:rsidRPr="00561BDD">
        <w:rPr>
          <w:rFonts w:hint="eastAsia"/>
        </w:rPr>
        <w:t>聯合國2024年世界投資報告</w:t>
      </w:r>
      <w:r w:rsidR="00CC48FB">
        <w:rPr>
          <w:rFonts w:hint="eastAsia"/>
        </w:rPr>
        <w:t>(</w:t>
      </w:r>
      <w:r w:rsidR="00CC48FB">
        <w:t>2024</w:t>
      </w:r>
      <w:r w:rsidR="00CC48FB">
        <w:rPr>
          <w:rFonts w:hint="eastAsia"/>
        </w:rPr>
        <w:t xml:space="preserve"> </w:t>
      </w:r>
      <w:r w:rsidR="00CC48FB">
        <w:t>World Investment Report</w:t>
      </w:r>
      <w:r w:rsidR="00CC48FB">
        <w:rPr>
          <w:rFonts w:hint="eastAsia"/>
        </w:rPr>
        <w:t>)</w:t>
      </w:r>
      <w:r w:rsidR="00CC48FB">
        <w:rPr>
          <w:rStyle w:val="af2"/>
        </w:rPr>
        <w:footnoteReference w:id="1"/>
      </w:r>
      <w:r w:rsidR="00561BDD" w:rsidRPr="00561BDD">
        <w:rPr>
          <w:rFonts w:hint="eastAsia"/>
        </w:rPr>
        <w:t>，</w:t>
      </w:r>
      <w:r w:rsidR="00CC48FB">
        <w:rPr>
          <w:rFonts w:hint="eastAsia"/>
        </w:rPr>
        <w:t>將</w:t>
      </w:r>
      <w:r w:rsidR="0051199A" w:rsidRPr="00C766A2">
        <w:rPr>
          <w:rFonts w:hint="eastAsia"/>
        </w:rPr>
        <w:t>企業社會責任－環境</w:t>
      </w:r>
      <w:r w:rsidR="0051199A" w:rsidRPr="00C766A2">
        <w:rPr>
          <w:rFonts w:hint="eastAsia"/>
        </w:rPr>
        <w:lastRenderedPageBreak/>
        <w:t>保護、社會責任及公司治理(Environmental, Social, Governance，以下簡稱ESG)</w:t>
      </w:r>
      <w:r w:rsidR="00CC48FB">
        <w:rPr>
          <w:rFonts w:hint="eastAsia"/>
        </w:rPr>
        <w:t>納入投資決策考量之</w:t>
      </w:r>
      <w:r w:rsidR="00561BDD" w:rsidRPr="00561BDD">
        <w:rPr>
          <w:rFonts w:hint="eastAsia"/>
        </w:rPr>
        <w:t>全球永續型基金</w:t>
      </w:r>
      <w:r w:rsidR="00CC48FB">
        <w:rPr>
          <w:rFonts w:hint="eastAsia"/>
        </w:rPr>
        <w:t>於2023年在數量</w:t>
      </w:r>
      <w:r w:rsidR="00CC48FB">
        <w:rPr>
          <w:rFonts w:hAnsi="標楷體" w:hint="eastAsia"/>
        </w:rPr>
        <w:t>、市值均較2014年大幅成長，其中數量增</w:t>
      </w:r>
      <w:r w:rsidR="00C07F83">
        <w:rPr>
          <w:rFonts w:hAnsi="標楷體" w:hint="eastAsia"/>
        </w:rPr>
        <w:t>加逾</w:t>
      </w:r>
      <w:r w:rsidR="00CC48FB">
        <w:rPr>
          <w:rFonts w:hAnsi="標楷體" w:hint="eastAsia"/>
        </w:rPr>
        <w:t>3倍達7</w:t>
      </w:r>
      <w:r w:rsidR="00CC48FB">
        <w:rPr>
          <w:rFonts w:hAnsi="標楷體"/>
        </w:rPr>
        <w:t>,</w:t>
      </w:r>
      <w:r w:rsidR="00CC48FB">
        <w:rPr>
          <w:rFonts w:hAnsi="標楷體" w:hint="eastAsia"/>
        </w:rPr>
        <w:t>485個</w:t>
      </w:r>
      <w:r w:rsidR="00C07F83">
        <w:rPr>
          <w:rFonts w:hAnsi="標楷體" w:hint="eastAsia"/>
        </w:rPr>
        <w:t>，市值增加近8倍達2兆9</w:t>
      </w:r>
      <w:r w:rsidR="00C07F83">
        <w:rPr>
          <w:rFonts w:hAnsi="標楷體"/>
        </w:rPr>
        <w:t>,</w:t>
      </w:r>
      <w:r w:rsidR="00C07F83">
        <w:rPr>
          <w:rFonts w:hAnsi="標楷體" w:hint="eastAsia"/>
        </w:rPr>
        <w:t>280億美元。</w:t>
      </w:r>
      <w:r w:rsidR="00C07F83">
        <w:rPr>
          <w:rFonts w:hint="eastAsia"/>
        </w:rPr>
        <w:t>換言之</w:t>
      </w:r>
      <w:r w:rsidR="00C07F83">
        <w:rPr>
          <w:rFonts w:hAnsi="標楷體" w:hint="eastAsia"/>
        </w:rPr>
        <w:t>，</w:t>
      </w:r>
      <w:r w:rsidR="00C07F83" w:rsidRPr="00C766A2">
        <w:rPr>
          <w:rFonts w:hint="eastAsia"/>
        </w:rPr>
        <w:t>近年各主要國家投資者、金融監管機關已將氣候風險視為投資風險，並將納入投資決策因素，包括挪威主權基金、日本退休基金、加州公務員退休基金等全球著名投資基金亦已訂有嚴謹之ESG投資標準</w:t>
      </w:r>
      <w:r w:rsidR="00BA244E" w:rsidRPr="00BA244E">
        <w:rPr>
          <w:rFonts w:hAnsi="標楷體"/>
          <w:vertAlign w:val="superscript"/>
        </w:rPr>
        <w:footnoteReference w:id="2"/>
      </w:r>
      <w:r w:rsidR="00DF763E">
        <w:rPr>
          <w:rFonts w:hAnsi="標楷體" w:hint="eastAsia"/>
        </w:rPr>
        <w:t>，</w:t>
      </w:r>
      <w:r w:rsidR="00DF763E" w:rsidRPr="00C766A2">
        <w:rPr>
          <w:rFonts w:hint="eastAsia"/>
        </w:rPr>
        <w:t>相關資金流向勢必對投資標的企業之股價產生影響。</w:t>
      </w:r>
      <w:r w:rsidR="00C07F83" w:rsidRPr="00C766A2">
        <w:rPr>
          <w:rFonts w:hint="eastAsia"/>
        </w:rPr>
        <w:t>因應此波全球減碳風潮，</w:t>
      </w:r>
      <w:r w:rsidR="00DF763E">
        <w:rPr>
          <w:rFonts w:hint="eastAsia"/>
        </w:rPr>
        <w:t>我國政府已將發展綠色金融列入我國2050淨零排放路徑12項關鍵戰略之一</w:t>
      </w:r>
      <w:r w:rsidR="00DF763E">
        <w:rPr>
          <w:rFonts w:hAnsi="標楷體" w:hint="eastAsia"/>
        </w:rPr>
        <w:t>，</w:t>
      </w:r>
      <w:r w:rsidR="00DF763E">
        <w:rPr>
          <w:rFonts w:hint="eastAsia"/>
        </w:rPr>
        <w:t>促使金融市場成為推動淨零減排之關鍵助力</w:t>
      </w:r>
      <w:r w:rsidR="00DF763E">
        <w:rPr>
          <w:rFonts w:hAnsi="標楷體" w:hint="eastAsia"/>
        </w:rPr>
        <w:t>。</w:t>
      </w:r>
      <w:r w:rsidR="00DF763E">
        <w:rPr>
          <w:rFonts w:hint="eastAsia"/>
        </w:rPr>
        <w:t>我國金融監督管理委員會</w:t>
      </w:r>
      <w:r w:rsidR="00BA244E">
        <w:rPr>
          <w:rFonts w:hint="eastAsia"/>
        </w:rPr>
        <w:t>亦</w:t>
      </w:r>
      <w:r w:rsidR="00DF763E">
        <w:rPr>
          <w:rFonts w:hint="eastAsia"/>
        </w:rPr>
        <w:t>針對此波國際金融發展趨勢</w:t>
      </w:r>
      <w:r w:rsidR="00CD6559">
        <w:rPr>
          <w:rFonts w:hAnsi="標楷體" w:hint="eastAsia"/>
        </w:rPr>
        <w:t>，</w:t>
      </w:r>
      <w:r w:rsidR="00CD6559">
        <w:rPr>
          <w:rFonts w:hint="eastAsia"/>
        </w:rPr>
        <w:t>於106年</w:t>
      </w:r>
      <w:r w:rsidR="00CD6559">
        <w:rPr>
          <w:rFonts w:hAnsi="標楷體" w:hint="eastAsia"/>
        </w:rPr>
        <w:t>、</w:t>
      </w:r>
      <w:r w:rsidR="00CD6559">
        <w:rPr>
          <w:rFonts w:hint="eastAsia"/>
        </w:rPr>
        <w:t>109年及111年分別推出綠色金融1.0</w:t>
      </w:r>
      <w:r w:rsidR="00CD6559">
        <w:rPr>
          <w:rFonts w:hAnsi="標楷體" w:hint="eastAsia"/>
        </w:rPr>
        <w:t>、</w:t>
      </w:r>
      <w:r w:rsidR="00CD6559">
        <w:rPr>
          <w:rFonts w:hint="eastAsia"/>
        </w:rPr>
        <w:t>2.0及3.0方案</w:t>
      </w:r>
      <w:r w:rsidR="00CD6559">
        <w:rPr>
          <w:rFonts w:hAnsi="標楷體" w:hint="eastAsia"/>
        </w:rPr>
        <w:t>，</w:t>
      </w:r>
      <w:r w:rsidR="00CD6559">
        <w:rPr>
          <w:rFonts w:hint="eastAsia"/>
        </w:rPr>
        <w:t>持續推動金融機構積極管理氣候風險及接軌國際</w:t>
      </w:r>
      <w:r w:rsidR="000838E5">
        <w:rPr>
          <w:rStyle w:val="af2"/>
        </w:rPr>
        <w:footnoteReference w:id="3"/>
      </w:r>
      <w:r w:rsidR="00CD6559">
        <w:rPr>
          <w:rFonts w:hAnsi="標楷體" w:hint="eastAsia"/>
        </w:rPr>
        <w:t>。</w:t>
      </w:r>
    </w:p>
    <w:p w:rsidR="00830959" w:rsidRDefault="00E5245D" w:rsidP="009C4325">
      <w:pPr>
        <w:pStyle w:val="21"/>
        <w:ind w:left="850" w:firstLine="566"/>
      </w:pPr>
      <w:r>
        <w:rPr>
          <w:rFonts w:hint="eastAsia"/>
        </w:rPr>
        <w:t>按</w:t>
      </w:r>
      <w:r w:rsidR="00035E5C">
        <w:rPr>
          <w:rFonts w:hint="eastAsia"/>
        </w:rPr>
        <w:t>國保基金</w:t>
      </w:r>
      <w:r w:rsidR="00561BDD">
        <w:rPr>
          <w:rFonts w:hint="eastAsia"/>
        </w:rPr>
        <w:t>核發各項保險給付之資金來源之一投融資業務收入</w:t>
      </w:r>
      <w:r w:rsidR="00561BDD">
        <w:rPr>
          <w:rFonts w:hAnsi="標楷體" w:hint="eastAsia"/>
        </w:rPr>
        <w:t>，</w:t>
      </w:r>
      <w:r w:rsidR="00561BDD">
        <w:rPr>
          <w:rFonts w:hint="eastAsia"/>
        </w:rPr>
        <w:t>係透過自行或委託投資活動</w:t>
      </w:r>
      <w:r w:rsidR="00DF763E">
        <w:rPr>
          <w:rFonts w:hint="eastAsia"/>
        </w:rPr>
        <w:t>產生</w:t>
      </w:r>
      <w:r w:rsidR="00561BDD">
        <w:rPr>
          <w:rFonts w:hAnsi="標楷體" w:hint="eastAsia"/>
        </w:rPr>
        <w:t>，</w:t>
      </w:r>
      <w:r w:rsidR="00561BDD">
        <w:rPr>
          <w:rFonts w:hint="eastAsia"/>
        </w:rPr>
        <w:t>允宜順應前揭</w:t>
      </w:r>
      <w:r w:rsidR="00DF763E">
        <w:rPr>
          <w:rFonts w:hint="eastAsia"/>
        </w:rPr>
        <w:t>世界投資潮流</w:t>
      </w:r>
      <w:r w:rsidR="00DF763E">
        <w:rPr>
          <w:rFonts w:hAnsi="標楷體" w:hint="eastAsia"/>
        </w:rPr>
        <w:t>，</w:t>
      </w:r>
      <w:r w:rsidR="00DF763E">
        <w:rPr>
          <w:rFonts w:hint="eastAsia"/>
        </w:rPr>
        <w:t>妥適調整投資配置</w:t>
      </w:r>
      <w:r w:rsidR="0076569F">
        <w:rPr>
          <w:rFonts w:hAnsi="標楷體" w:hint="eastAsia"/>
        </w:rPr>
        <w:t>，俾落實</w:t>
      </w:r>
      <w:r w:rsidR="00DF763E">
        <w:rPr>
          <w:rFonts w:hAnsi="標楷體" w:hint="eastAsia"/>
        </w:rPr>
        <w:t>永續投資</w:t>
      </w:r>
      <w:r w:rsidR="0076569F">
        <w:rPr>
          <w:rFonts w:hAnsi="標楷體" w:hint="eastAsia"/>
        </w:rPr>
        <w:t>政策</w:t>
      </w:r>
      <w:r w:rsidR="00035E5C">
        <w:rPr>
          <w:rFonts w:hint="eastAsia"/>
        </w:rPr>
        <w:t>。</w:t>
      </w:r>
    </w:p>
    <w:p w:rsidR="00E11B28" w:rsidRPr="004B5A1E" w:rsidRDefault="00E11B28" w:rsidP="00E11B28">
      <w:pPr>
        <w:pStyle w:val="a4"/>
        <w:ind w:left="849" w:hanging="283"/>
        <w:rPr>
          <w:b/>
        </w:rPr>
      </w:pPr>
      <w:r w:rsidRPr="00532A0A">
        <w:rPr>
          <w:rFonts w:hint="eastAsia"/>
          <w:b/>
        </w:rPr>
        <w:t>(二)</w:t>
      </w:r>
      <w:r w:rsidR="00CD6559" w:rsidRPr="00CD6559">
        <w:rPr>
          <w:rFonts w:hint="eastAsia"/>
          <w:b/>
        </w:rPr>
        <w:t>近年</w:t>
      </w:r>
      <w:r w:rsidR="000838E5">
        <w:rPr>
          <w:rFonts w:hint="eastAsia"/>
          <w:b/>
        </w:rPr>
        <w:t>各</w:t>
      </w:r>
      <w:r w:rsidR="00BA244E">
        <w:rPr>
          <w:rFonts w:hint="eastAsia"/>
          <w:b/>
        </w:rPr>
        <w:t>經營模式</w:t>
      </w:r>
      <w:r w:rsidR="00CD6559" w:rsidRPr="00CD6559">
        <w:rPr>
          <w:rFonts w:hint="eastAsia"/>
          <w:b/>
        </w:rPr>
        <w:t>就符合ESG相關指標之投資金額與</w:t>
      </w:r>
      <w:r w:rsidR="00A71D4F">
        <w:rPr>
          <w:rFonts w:hint="eastAsia"/>
          <w:b/>
        </w:rPr>
        <w:t>投資部位占比</w:t>
      </w:r>
      <w:r w:rsidR="000838E5">
        <w:rPr>
          <w:rFonts w:hint="eastAsia"/>
          <w:b/>
        </w:rPr>
        <w:t>多</w:t>
      </w:r>
      <w:r w:rsidR="00A71D4F">
        <w:rPr>
          <w:rFonts w:hint="eastAsia"/>
          <w:b/>
        </w:rPr>
        <w:t>呈</w:t>
      </w:r>
      <w:r w:rsidR="000838E5">
        <w:rPr>
          <w:rFonts w:hint="eastAsia"/>
          <w:b/>
        </w:rPr>
        <w:t>增加趨勢</w:t>
      </w:r>
      <w:r w:rsidR="00CD6559" w:rsidRPr="00CD6559">
        <w:rPr>
          <w:rFonts w:hint="eastAsia"/>
          <w:b/>
        </w:rPr>
        <w:t>，惟</w:t>
      </w:r>
      <w:r w:rsidR="00A71D4F">
        <w:rPr>
          <w:rFonts w:hint="eastAsia"/>
          <w:b/>
        </w:rPr>
        <w:t>國內投資</w:t>
      </w:r>
      <w:r w:rsidR="008A41C1">
        <w:rPr>
          <w:rFonts w:hint="eastAsia"/>
          <w:b/>
        </w:rPr>
        <w:t>之</w:t>
      </w:r>
      <w:r w:rsidR="00A71D4F">
        <w:rPr>
          <w:rFonts w:hint="eastAsia"/>
          <w:b/>
        </w:rPr>
        <w:t>自行運用(債務證券)與</w:t>
      </w:r>
      <w:r w:rsidR="00CD6559" w:rsidRPr="00CD6559">
        <w:rPr>
          <w:rFonts w:hint="eastAsia"/>
          <w:b/>
        </w:rPr>
        <w:t>國外投資之</w:t>
      </w:r>
      <w:r w:rsidR="008A41C1">
        <w:rPr>
          <w:rFonts w:hint="eastAsia"/>
          <w:b/>
        </w:rPr>
        <w:t>自行</w:t>
      </w:r>
      <w:r w:rsidR="00CD6559" w:rsidRPr="00CD6559">
        <w:rPr>
          <w:rFonts w:hint="eastAsia"/>
          <w:b/>
        </w:rPr>
        <w:t>運用</w:t>
      </w:r>
      <w:r w:rsidR="0076569F">
        <w:rPr>
          <w:rFonts w:hint="eastAsia"/>
          <w:b/>
        </w:rPr>
        <w:t>投資金額</w:t>
      </w:r>
      <w:r w:rsidR="0076569F">
        <w:rPr>
          <w:rFonts w:hAnsi="標楷體" w:hint="eastAsia"/>
          <w:b/>
        </w:rPr>
        <w:t>、</w:t>
      </w:r>
      <w:r w:rsidR="0076569F">
        <w:rPr>
          <w:rFonts w:hint="eastAsia"/>
          <w:b/>
        </w:rPr>
        <w:t>占</w:t>
      </w:r>
      <w:r w:rsidR="00622D70">
        <w:rPr>
          <w:rFonts w:hint="eastAsia"/>
          <w:b/>
        </w:rPr>
        <w:t>投資部位</w:t>
      </w:r>
      <w:r w:rsidR="0076569F">
        <w:rPr>
          <w:rFonts w:hint="eastAsia"/>
          <w:b/>
        </w:rPr>
        <w:t>權重</w:t>
      </w:r>
      <w:r w:rsidR="00CD6559" w:rsidRPr="00CD6559">
        <w:rPr>
          <w:rFonts w:hint="eastAsia"/>
          <w:b/>
        </w:rPr>
        <w:t>較</w:t>
      </w:r>
      <w:r w:rsidR="0076569F">
        <w:rPr>
          <w:rFonts w:hint="eastAsia"/>
          <w:b/>
        </w:rPr>
        <w:t>少</w:t>
      </w:r>
    </w:p>
    <w:p w:rsidR="00E11B28" w:rsidRDefault="00CD6559" w:rsidP="00E11B28">
      <w:pPr>
        <w:pStyle w:val="21"/>
        <w:ind w:left="850" w:firstLine="566"/>
      </w:pPr>
      <w:r>
        <w:rPr>
          <w:rFonts w:hint="eastAsia"/>
        </w:rPr>
        <w:t>依</w:t>
      </w:r>
      <w:r w:rsidR="00B760C9">
        <w:rPr>
          <w:rFonts w:hint="eastAsia"/>
        </w:rPr>
        <w:t>國保基金</w:t>
      </w:r>
      <w:r w:rsidR="001A5069">
        <w:rPr>
          <w:rFonts w:hint="eastAsia"/>
        </w:rPr>
        <w:t>提供資料</w:t>
      </w:r>
      <w:r w:rsidR="00B760C9">
        <w:rPr>
          <w:rFonts w:hint="eastAsia"/>
        </w:rPr>
        <w:t>(詳表1)，</w:t>
      </w:r>
      <w:r w:rsidR="00BA244E">
        <w:rPr>
          <w:rFonts w:hint="eastAsia"/>
        </w:rPr>
        <w:t>該基金110</w:t>
      </w:r>
      <w:r w:rsidR="00F111A8">
        <w:rPr>
          <w:rFonts w:hint="eastAsia"/>
        </w:rPr>
        <w:t>年度</w:t>
      </w:r>
      <w:r w:rsidR="00BA244E">
        <w:rPr>
          <w:rFonts w:hint="eastAsia"/>
        </w:rPr>
        <w:t>至113年6</w:t>
      </w:r>
      <w:r w:rsidR="00BA244E">
        <w:rPr>
          <w:rFonts w:hint="eastAsia"/>
        </w:rPr>
        <w:lastRenderedPageBreak/>
        <w:t>月底</w:t>
      </w:r>
      <w:r w:rsidR="00F111A8">
        <w:rPr>
          <w:rFonts w:hint="eastAsia"/>
        </w:rPr>
        <w:t>止</w:t>
      </w:r>
      <w:r w:rsidR="00BA244E">
        <w:rPr>
          <w:rFonts w:hint="eastAsia"/>
        </w:rPr>
        <w:t>各經營模式投資標的符合E</w:t>
      </w:r>
      <w:r w:rsidR="00BA244E">
        <w:t>SG</w:t>
      </w:r>
      <w:r w:rsidR="00BA244E">
        <w:rPr>
          <w:rFonts w:hint="eastAsia"/>
        </w:rPr>
        <w:t>指標(國內投資部分</w:t>
      </w:r>
      <w:r w:rsidR="00BA244E">
        <w:rPr>
          <w:rFonts w:hAnsi="標楷體" w:hint="eastAsia"/>
        </w:rPr>
        <w:t>，</w:t>
      </w:r>
      <w:r w:rsidR="00BA244E">
        <w:rPr>
          <w:rFonts w:hint="eastAsia"/>
        </w:rPr>
        <w:t>如</w:t>
      </w:r>
      <w:r w:rsidR="00BA244E">
        <w:rPr>
          <w:rFonts w:hAnsi="標楷體" w:hint="eastAsia"/>
        </w:rPr>
        <w:t>臺</w:t>
      </w:r>
      <w:r w:rsidR="00BA244E">
        <w:rPr>
          <w:rFonts w:hint="eastAsia"/>
        </w:rPr>
        <w:t>灣永續指數</w:t>
      </w:r>
      <w:r w:rsidR="00BA244E">
        <w:rPr>
          <w:rFonts w:hAnsi="標楷體" w:hint="eastAsia"/>
        </w:rPr>
        <w:t>、臺灣企業社會責任中小型指數成分股、…</w:t>
      </w:r>
      <w:r w:rsidR="00BA244E">
        <w:rPr>
          <w:rFonts w:hint="eastAsia"/>
        </w:rPr>
        <w:t>等</w:t>
      </w:r>
      <w:r w:rsidR="00BA244E">
        <w:rPr>
          <w:rFonts w:hAnsi="標楷體" w:hint="eastAsia"/>
        </w:rPr>
        <w:t>；</w:t>
      </w:r>
      <w:r w:rsidR="00BA244E">
        <w:rPr>
          <w:rFonts w:hint="eastAsia"/>
        </w:rPr>
        <w:t>國外投資部分</w:t>
      </w:r>
      <w:r w:rsidR="00BA244E">
        <w:rPr>
          <w:rFonts w:hAnsi="標楷體" w:hint="eastAsia"/>
        </w:rPr>
        <w:t>，</w:t>
      </w:r>
      <w:r w:rsidR="00BA244E">
        <w:rPr>
          <w:rFonts w:hint="eastAsia"/>
        </w:rPr>
        <w:t>如</w:t>
      </w:r>
      <w:r w:rsidR="00A71D4F">
        <w:rPr>
          <w:rFonts w:hint="eastAsia"/>
        </w:rPr>
        <w:t>全球E</w:t>
      </w:r>
      <w:r w:rsidR="00A71D4F">
        <w:t>SG</w:t>
      </w:r>
      <w:r w:rsidR="00A71D4F">
        <w:rPr>
          <w:rFonts w:hint="eastAsia"/>
        </w:rPr>
        <w:t>混合指數</w:t>
      </w:r>
      <w:r w:rsidR="00BA244E">
        <w:t>)</w:t>
      </w:r>
      <w:r w:rsidR="00A71D4F">
        <w:rPr>
          <w:rFonts w:hint="eastAsia"/>
        </w:rPr>
        <w:t>投資金額</w:t>
      </w:r>
      <w:r w:rsidR="008A41C1">
        <w:rPr>
          <w:rFonts w:hAnsi="標楷體" w:hint="eastAsia"/>
        </w:rPr>
        <w:t>、</w:t>
      </w:r>
      <w:r w:rsidR="008A41C1" w:rsidRPr="008A41C1">
        <w:rPr>
          <w:rFonts w:hAnsi="標楷體" w:hint="eastAsia"/>
        </w:rPr>
        <w:t>投資部位占比多呈增加趨勢</w:t>
      </w:r>
      <w:r w:rsidR="008A41C1">
        <w:rPr>
          <w:rFonts w:hAnsi="標楷體" w:hint="eastAsia"/>
        </w:rPr>
        <w:t>，其中</w:t>
      </w:r>
      <w:r w:rsidR="00754CEC">
        <w:rPr>
          <w:rFonts w:hAnsi="標楷體" w:hint="eastAsia"/>
        </w:rPr>
        <w:t>在</w:t>
      </w:r>
      <w:r w:rsidR="008A41C1">
        <w:rPr>
          <w:rFonts w:hAnsi="標楷體" w:hint="eastAsia"/>
        </w:rPr>
        <w:t>國內</w:t>
      </w:r>
      <w:r w:rsidR="00754CEC">
        <w:rPr>
          <w:rFonts w:hAnsi="標楷體" w:hint="eastAsia"/>
        </w:rPr>
        <w:t>投資方面，</w:t>
      </w:r>
      <w:r w:rsidR="008A41C1">
        <w:rPr>
          <w:rFonts w:hAnsi="標楷體" w:hint="eastAsia"/>
        </w:rPr>
        <w:t>自行運用(權益證券)</w:t>
      </w:r>
      <w:r w:rsidR="00622D70">
        <w:rPr>
          <w:rFonts w:hAnsi="標楷體" w:hint="eastAsia"/>
        </w:rPr>
        <w:t>之</w:t>
      </w:r>
      <w:r w:rsidR="008A41C1">
        <w:rPr>
          <w:rFonts w:hAnsi="標楷體" w:hint="eastAsia"/>
        </w:rPr>
        <w:t>投資金額介於771億元</w:t>
      </w:r>
      <w:r w:rsidR="00F111A8">
        <w:rPr>
          <w:rFonts w:hAnsi="標楷體" w:hint="eastAsia"/>
        </w:rPr>
        <w:t>至</w:t>
      </w:r>
      <w:r w:rsidR="008A41C1">
        <w:rPr>
          <w:rFonts w:hAnsi="標楷體" w:hint="eastAsia"/>
        </w:rPr>
        <w:t>1</w:t>
      </w:r>
      <w:r w:rsidR="008A41C1">
        <w:rPr>
          <w:rFonts w:hAnsi="標楷體"/>
        </w:rPr>
        <w:t>,</w:t>
      </w:r>
      <w:r w:rsidR="008A41C1">
        <w:rPr>
          <w:rFonts w:hAnsi="標楷體" w:hint="eastAsia"/>
        </w:rPr>
        <w:t>122億元</w:t>
      </w:r>
      <w:r w:rsidR="00F111A8">
        <w:rPr>
          <w:rFonts w:hAnsi="標楷體" w:hint="eastAsia"/>
        </w:rPr>
        <w:t>間</w:t>
      </w:r>
      <w:r w:rsidR="008A41C1">
        <w:rPr>
          <w:rFonts w:hAnsi="標楷體" w:hint="eastAsia"/>
        </w:rPr>
        <w:t>，</w:t>
      </w:r>
      <w:r w:rsidR="00754CEC">
        <w:rPr>
          <w:rFonts w:hAnsi="標楷體" w:hint="eastAsia"/>
        </w:rPr>
        <w:t>占投資</w:t>
      </w:r>
      <w:r w:rsidR="008A41C1">
        <w:rPr>
          <w:rFonts w:hAnsi="標楷體" w:hint="eastAsia"/>
        </w:rPr>
        <w:t>部位權重均達100%；自行運用(債務證券)則因國內債券市場規模較小，致投資金額</w:t>
      </w:r>
      <w:r w:rsidR="00C23865">
        <w:rPr>
          <w:rFonts w:hAnsi="標楷體" w:hint="eastAsia"/>
        </w:rPr>
        <w:t>僅自110年度之4億元增加至113年度6月底之11億元，同期間占投資部位權重則自1.26%提高至3.03%；</w:t>
      </w:r>
      <w:r w:rsidR="00F111A8">
        <w:rPr>
          <w:rFonts w:hAnsi="標楷體" w:hint="eastAsia"/>
        </w:rPr>
        <w:t>國內</w:t>
      </w:r>
      <w:r w:rsidR="00C23865">
        <w:rPr>
          <w:rFonts w:hint="eastAsia"/>
        </w:rPr>
        <w:t>委營</w:t>
      </w:r>
      <w:r w:rsidR="00754CEC">
        <w:rPr>
          <w:rFonts w:hint="eastAsia"/>
        </w:rPr>
        <w:t>投資金額介於142</w:t>
      </w:r>
      <w:r w:rsidR="00F111A8">
        <w:rPr>
          <w:rFonts w:hint="eastAsia"/>
        </w:rPr>
        <w:t>億元至</w:t>
      </w:r>
      <w:r w:rsidR="00754CEC">
        <w:rPr>
          <w:rFonts w:hint="eastAsia"/>
        </w:rPr>
        <w:t>286億元</w:t>
      </w:r>
      <w:r w:rsidR="00F111A8">
        <w:rPr>
          <w:rFonts w:hint="eastAsia"/>
        </w:rPr>
        <w:t>間</w:t>
      </w:r>
      <w:r w:rsidR="00754CEC">
        <w:rPr>
          <w:rFonts w:hAnsi="標楷體" w:hint="eastAsia"/>
        </w:rPr>
        <w:t>，</w:t>
      </w:r>
      <w:r w:rsidR="00754CEC" w:rsidRPr="00754CEC">
        <w:rPr>
          <w:rFonts w:hint="eastAsia"/>
        </w:rPr>
        <w:t>占投資部位權重</w:t>
      </w:r>
      <w:r w:rsidR="00754CEC">
        <w:rPr>
          <w:rFonts w:hint="eastAsia"/>
        </w:rPr>
        <w:t>介於92.35%</w:t>
      </w:r>
      <w:r w:rsidR="00F111A8">
        <w:rPr>
          <w:rFonts w:hint="eastAsia"/>
        </w:rPr>
        <w:t>至</w:t>
      </w:r>
      <w:r w:rsidR="00754CEC">
        <w:rPr>
          <w:rFonts w:hint="eastAsia"/>
        </w:rPr>
        <w:t>96.83%</w:t>
      </w:r>
      <w:r w:rsidR="00F111A8">
        <w:rPr>
          <w:rFonts w:hint="eastAsia"/>
        </w:rPr>
        <w:t>間</w:t>
      </w:r>
      <w:r w:rsidR="00754CEC">
        <w:rPr>
          <w:rFonts w:hAnsi="標楷體" w:hint="eastAsia"/>
        </w:rPr>
        <w:t>。</w:t>
      </w:r>
      <w:r w:rsidR="00754CEC">
        <w:rPr>
          <w:rFonts w:hint="eastAsia"/>
        </w:rPr>
        <w:t>國外投資部分</w:t>
      </w:r>
      <w:r w:rsidR="00754CEC">
        <w:rPr>
          <w:rFonts w:hAnsi="標楷體" w:hint="eastAsia"/>
        </w:rPr>
        <w:t>，</w:t>
      </w:r>
      <w:r w:rsidR="00622D70">
        <w:rPr>
          <w:rFonts w:hint="eastAsia"/>
        </w:rPr>
        <w:t>國外自行運用之投資金額自110年度之1.03億美元提高至113年度(截至6月底)之1.62億美元</w:t>
      </w:r>
      <w:r w:rsidR="00622D70">
        <w:rPr>
          <w:rFonts w:hAnsi="標楷體" w:hint="eastAsia"/>
        </w:rPr>
        <w:t>，占投資部位權重自2.67%提高至3.7%，</w:t>
      </w:r>
      <w:r w:rsidR="007275F6">
        <w:rPr>
          <w:rFonts w:hAnsi="標楷體" w:hint="eastAsia"/>
        </w:rPr>
        <w:t>與</w:t>
      </w:r>
      <w:r w:rsidR="00622D70">
        <w:rPr>
          <w:rFonts w:hAnsi="標楷體" w:hint="eastAsia"/>
        </w:rPr>
        <w:t>同期間國外委營</w:t>
      </w:r>
      <w:r w:rsidR="007275F6">
        <w:rPr>
          <w:rFonts w:hAnsi="標楷體" w:hint="eastAsia"/>
        </w:rPr>
        <w:t>之</w:t>
      </w:r>
      <w:r w:rsidR="00622D70">
        <w:rPr>
          <w:rFonts w:hAnsi="標楷體" w:hint="eastAsia"/>
        </w:rPr>
        <w:t>金額與</w:t>
      </w:r>
      <w:r w:rsidR="007275F6">
        <w:rPr>
          <w:rFonts w:hAnsi="標楷體" w:hint="eastAsia"/>
        </w:rPr>
        <w:t>投資部位占比相較為小，尚有調整空間。</w:t>
      </w:r>
    </w:p>
    <w:p w:rsidR="00E11B28" w:rsidRPr="00663F31" w:rsidRDefault="00E11B28" w:rsidP="001A5069">
      <w:pPr>
        <w:pStyle w:val="200"/>
        <w:spacing w:beforeLines="25" w:before="125" w:line="500" w:lineRule="exact"/>
        <w:ind w:leftChars="-10" w:left="681" w:rightChars="-200" w:right="-566" w:hangingChars="250" w:hanging="709"/>
        <w:rPr>
          <w:color w:val="0070C0"/>
        </w:rPr>
      </w:pPr>
      <w:r w:rsidRPr="00FC7158">
        <w:rPr>
          <w:rFonts w:hAnsi="標楷體" w:hint="eastAsia"/>
          <w:b/>
          <w:sz w:val="28"/>
        </w:rPr>
        <w:t>表</w:t>
      </w:r>
      <w:r>
        <w:rPr>
          <w:rFonts w:hAnsi="標楷體"/>
          <w:b/>
          <w:sz w:val="28"/>
        </w:rPr>
        <w:t>1</w:t>
      </w:r>
      <w:r>
        <w:rPr>
          <w:rFonts w:hAnsi="標楷體" w:hint="eastAsia"/>
          <w:b/>
          <w:sz w:val="28"/>
        </w:rPr>
        <w:t xml:space="preserve"> </w:t>
      </w:r>
      <w:r w:rsidR="004B5A1E">
        <w:rPr>
          <w:rFonts w:hAnsi="標楷體" w:hint="eastAsia"/>
          <w:b/>
          <w:sz w:val="28"/>
        </w:rPr>
        <w:t>國保基金</w:t>
      </w:r>
      <w:r w:rsidR="001A5069">
        <w:rPr>
          <w:rFonts w:hAnsi="標楷體" w:hint="eastAsia"/>
          <w:b/>
          <w:sz w:val="28"/>
        </w:rPr>
        <w:t>110</w:t>
      </w:r>
      <w:r w:rsidR="00F111A8">
        <w:rPr>
          <w:rFonts w:hAnsi="標楷體" w:hint="eastAsia"/>
          <w:b/>
          <w:sz w:val="28"/>
        </w:rPr>
        <w:t>年度</w:t>
      </w:r>
      <w:r w:rsidR="001A5069">
        <w:rPr>
          <w:rFonts w:hAnsi="標楷體" w:hint="eastAsia"/>
          <w:b/>
          <w:sz w:val="28"/>
        </w:rPr>
        <w:t>至113年6月底</w:t>
      </w:r>
      <w:r w:rsidR="00F111A8">
        <w:rPr>
          <w:rFonts w:hAnsi="標楷體" w:hint="eastAsia"/>
          <w:b/>
          <w:sz w:val="28"/>
        </w:rPr>
        <w:t>止</w:t>
      </w:r>
      <w:r w:rsidR="001A5069">
        <w:rPr>
          <w:rFonts w:hAnsi="標楷體" w:hint="eastAsia"/>
          <w:b/>
          <w:sz w:val="28"/>
        </w:rPr>
        <w:t>投資標的符合E</w:t>
      </w:r>
      <w:r w:rsidR="001A5069">
        <w:rPr>
          <w:rFonts w:hAnsi="標楷體"/>
          <w:b/>
          <w:sz w:val="28"/>
        </w:rPr>
        <w:t>SG</w:t>
      </w:r>
      <w:r w:rsidR="001A5069">
        <w:rPr>
          <w:rFonts w:hAnsi="標楷體" w:hint="eastAsia"/>
          <w:b/>
          <w:sz w:val="28"/>
        </w:rPr>
        <w:t>指標金額</w:t>
      </w:r>
      <w:r w:rsidR="005430AD">
        <w:rPr>
          <w:rFonts w:hAnsi="標楷體" w:hint="eastAsia"/>
          <w:b/>
          <w:sz w:val="28"/>
        </w:rPr>
        <w:t>與投資部位權重</w:t>
      </w:r>
      <w:r w:rsidR="001A5069">
        <w:rPr>
          <w:rFonts w:hAnsi="標楷體" w:hint="eastAsia"/>
          <w:b/>
          <w:sz w:val="28"/>
        </w:rPr>
        <w:t>統計</w:t>
      </w:r>
      <w:r w:rsidRPr="00FC7158">
        <w:rPr>
          <w:rFonts w:hAnsi="標楷體"/>
          <w:b/>
          <w:sz w:val="28"/>
        </w:rPr>
        <w:t>表</w:t>
      </w:r>
      <w:r w:rsidR="004B5A1E">
        <w:rPr>
          <w:rFonts w:hAnsi="標楷體" w:hint="eastAsia"/>
          <w:b/>
          <w:sz w:val="28"/>
        </w:rPr>
        <w:t xml:space="preserve">  </w:t>
      </w:r>
      <w:r>
        <w:rPr>
          <w:rFonts w:hAnsi="標楷體"/>
          <w:b/>
          <w:sz w:val="28"/>
        </w:rPr>
        <w:t xml:space="preserve">  </w:t>
      </w:r>
      <w:r w:rsidR="001A5069">
        <w:rPr>
          <w:rFonts w:hAnsi="標楷體" w:hint="eastAsia"/>
          <w:b/>
          <w:sz w:val="28"/>
        </w:rPr>
        <w:t xml:space="preserve">               </w:t>
      </w:r>
      <w:r w:rsidRPr="00FC7158">
        <w:t>單位：</w:t>
      </w:r>
      <w:r w:rsidR="004B5A1E">
        <w:rPr>
          <w:rFonts w:hint="eastAsia"/>
        </w:rPr>
        <w:t>新臺幣</w:t>
      </w:r>
      <w:r w:rsidR="001A5069">
        <w:rPr>
          <w:rFonts w:hint="eastAsia"/>
        </w:rPr>
        <w:t>億</w:t>
      </w:r>
      <w:r w:rsidR="004B5A1E">
        <w:rPr>
          <w:rFonts w:hint="eastAsia"/>
        </w:rPr>
        <w:t>元</w:t>
      </w:r>
      <w:r w:rsidR="001A5069">
        <w:rPr>
          <w:rFonts w:hAnsi="標楷體" w:hint="eastAsia"/>
        </w:rPr>
        <w:t>；</w:t>
      </w:r>
      <w:r w:rsidR="001A5069">
        <w:rPr>
          <w:rFonts w:hint="eastAsia"/>
        </w:rPr>
        <w:t>億美元</w:t>
      </w:r>
      <w:r w:rsidR="001A5069">
        <w:rPr>
          <w:rFonts w:hAnsi="標楷體" w:hint="eastAsia"/>
        </w:rPr>
        <w:t>；</w:t>
      </w:r>
      <w:r w:rsidR="001A5069">
        <w:rPr>
          <w:rFonts w:hint="eastAsia"/>
        </w:rPr>
        <w:t>%</w:t>
      </w:r>
    </w:p>
    <w:tbl>
      <w:tblPr>
        <w:tblW w:w="9058"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6"/>
        <w:gridCol w:w="967"/>
        <w:gridCol w:w="968"/>
        <w:gridCol w:w="968"/>
        <w:gridCol w:w="968"/>
        <w:gridCol w:w="967"/>
        <w:gridCol w:w="968"/>
        <w:gridCol w:w="968"/>
        <w:gridCol w:w="968"/>
      </w:tblGrid>
      <w:tr w:rsidR="00EB3421" w:rsidRPr="0054333C" w:rsidTr="0054333C">
        <w:trPr>
          <w:tblHeader/>
        </w:trPr>
        <w:tc>
          <w:tcPr>
            <w:tcW w:w="1316" w:type="dxa"/>
            <w:vMerge w:val="restart"/>
            <w:tcBorders>
              <w:top w:val="single" w:sz="12" w:space="0" w:color="auto"/>
              <w:left w:val="single" w:sz="12" w:space="0" w:color="auto"/>
              <w:tl2br w:val="single" w:sz="4" w:space="0" w:color="auto"/>
            </w:tcBorders>
            <w:shd w:val="clear" w:color="auto" w:fill="auto"/>
          </w:tcPr>
          <w:p w:rsidR="00EB3421" w:rsidRDefault="00EB3421" w:rsidP="00C275D6">
            <w:pPr>
              <w:pStyle w:val="142"/>
            </w:pPr>
            <w:r>
              <w:rPr>
                <w:rFonts w:hint="eastAsia"/>
              </w:rPr>
              <w:t xml:space="preserve">  年度、</w:t>
            </w:r>
          </w:p>
          <w:p w:rsidR="00EB3421" w:rsidRDefault="00EB3421" w:rsidP="00C275D6">
            <w:pPr>
              <w:pStyle w:val="142"/>
            </w:pPr>
            <w:r>
              <w:rPr>
                <w:rFonts w:hint="eastAsia"/>
              </w:rPr>
              <w:t xml:space="preserve">     項目</w:t>
            </w:r>
          </w:p>
          <w:p w:rsidR="00EB3421" w:rsidRDefault="00BA244E" w:rsidP="00C275D6">
            <w:pPr>
              <w:pStyle w:val="142"/>
              <w:rPr>
                <w:rFonts w:hint="eastAsia"/>
              </w:rPr>
            </w:pPr>
            <w:r>
              <w:rPr>
                <w:rFonts w:hint="eastAsia"/>
              </w:rPr>
              <w:t>經營模式</w:t>
            </w:r>
          </w:p>
        </w:tc>
        <w:tc>
          <w:tcPr>
            <w:tcW w:w="1935" w:type="dxa"/>
            <w:gridSpan w:val="2"/>
            <w:tcBorders>
              <w:top w:val="single" w:sz="12" w:space="0" w:color="auto"/>
            </w:tcBorders>
            <w:shd w:val="clear" w:color="auto" w:fill="auto"/>
            <w:vAlign w:val="center"/>
          </w:tcPr>
          <w:p w:rsidR="00EB3421" w:rsidRDefault="00EB3421" w:rsidP="0054333C">
            <w:pPr>
              <w:pStyle w:val="142"/>
              <w:jc w:val="center"/>
            </w:pPr>
            <w:r>
              <w:rPr>
                <w:rFonts w:hint="eastAsia"/>
              </w:rPr>
              <w:t>110</w:t>
            </w:r>
          </w:p>
        </w:tc>
        <w:tc>
          <w:tcPr>
            <w:tcW w:w="1936" w:type="dxa"/>
            <w:gridSpan w:val="2"/>
            <w:tcBorders>
              <w:top w:val="single" w:sz="12" w:space="0" w:color="auto"/>
            </w:tcBorders>
            <w:shd w:val="clear" w:color="auto" w:fill="auto"/>
            <w:vAlign w:val="center"/>
          </w:tcPr>
          <w:p w:rsidR="00EB3421" w:rsidRDefault="00EB3421" w:rsidP="0054333C">
            <w:pPr>
              <w:pStyle w:val="142"/>
              <w:jc w:val="center"/>
            </w:pPr>
            <w:r>
              <w:rPr>
                <w:rFonts w:hint="eastAsia"/>
              </w:rPr>
              <w:t>111</w:t>
            </w:r>
          </w:p>
        </w:tc>
        <w:tc>
          <w:tcPr>
            <w:tcW w:w="1935" w:type="dxa"/>
            <w:gridSpan w:val="2"/>
            <w:tcBorders>
              <w:top w:val="single" w:sz="12" w:space="0" w:color="auto"/>
            </w:tcBorders>
            <w:shd w:val="clear" w:color="auto" w:fill="auto"/>
            <w:vAlign w:val="center"/>
          </w:tcPr>
          <w:p w:rsidR="00EB3421" w:rsidRDefault="00EB3421" w:rsidP="0054333C">
            <w:pPr>
              <w:pStyle w:val="142"/>
              <w:jc w:val="center"/>
            </w:pPr>
            <w:r>
              <w:rPr>
                <w:rFonts w:hint="eastAsia"/>
              </w:rPr>
              <w:t>112</w:t>
            </w:r>
          </w:p>
        </w:tc>
        <w:tc>
          <w:tcPr>
            <w:tcW w:w="1936" w:type="dxa"/>
            <w:gridSpan w:val="2"/>
            <w:tcBorders>
              <w:top w:val="single" w:sz="12" w:space="0" w:color="auto"/>
              <w:right w:val="single" w:sz="12" w:space="0" w:color="auto"/>
            </w:tcBorders>
            <w:shd w:val="clear" w:color="auto" w:fill="auto"/>
            <w:vAlign w:val="center"/>
          </w:tcPr>
          <w:p w:rsidR="00EB3421" w:rsidRDefault="00EB3421" w:rsidP="0054333C">
            <w:pPr>
              <w:pStyle w:val="142"/>
              <w:jc w:val="center"/>
            </w:pPr>
            <w:r>
              <w:rPr>
                <w:rFonts w:hint="eastAsia"/>
              </w:rPr>
              <w:t>113</w:t>
            </w:r>
          </w:p>
        </w:tc>
      </w:tr>
      <w:tr w:rsidR="00EB3421" w:rsidRPr="0054333C" w:rsidTr="0054333C">
        <w:trPr>
          <w:tblHeader/>
        </w:trPr>
        <w:tc>
          <w:tcPr>
            <w:tcW w:w="1316" w:type="dxa"/>
            <w:vMerge/>
            <w:tcBorders>
              <w:left w:val="single" w:sz="12" w:space="0" w:color="auto"/>
            </w:tcBorders>
            <w:shd w:val="clear" w:color="auto" w:fill="auto"/>
          </w:tcPr>
          <w:p w:rsidR="00EB3421" w:rsidRDefault="00EB3421" w:rsidP="00C275D6">
            <w:pPr>
              <w:pStyle w:val="142"/>
            </w:pPr>
          </w:p>
        </w:tc>
        <w:tc>
          <w:tcPr>
            <w:tcW w:w="967" w:type="dxa"/>
            <w:shd w:val="clear" w:color="auto" w:fill="auto"/>
            <w:vAlign w:val="center"/>
          </w:tcPr>
          <w:p w:rsidR="00EB3421" w:rsidRDefault="00EB3421" w:rsidP="0054333C">
            <w:pPr>
              <w:pStyle w:val="142"/>
              <w:jc w:val="center"/>
            </w:pPr>
            <w:r>
              <w:rPr>
                <w:rFonts w:hint="eastAsia"/>
              </w:rPr>
              <w:t>金額</w:t>
            </w:r>
          </w:p>
        </w:tc>
        <w:tc>
          <w:tcPr>
            <w:tcW w:w="968" w:type="dxa"/>
            <w:shd w:val="clear" w:color="auto" w:fill="auto"/>
            <w:vAlign w:val="center"/>
          </w:tcPr>
          <w:p w:rsidR="00EB3421" w:rsidRDefault="00EB3421" w:rsidP="0054333C">
            <w:pPr>
              <w:pStyle w:val="142"/>
              <w:jc w:val="center"/>
            </w:pPr>
            <w:r>
              <w:rPr>
                <w:rFonts w:hint="eastAsia"/>
              </w:rPr>
              <w:t>占部位權重</w:t>
            </w:r>
          </w:p>
        </w:tc>
        <w:tc>
          <w:tcPr>
            <w:tcW w:w="968" w:type="dxa"/>
            <w:shd w:val="clear" w:color="auto" w:fill="auto"/>
            <w:vAlign w:val="center"/>
          </w:tcPr>
          <w:p w:rsidR="00EB3421" w:rsidRDefault="00EB3421" w:rsidP="0054333C">
            <w:pPr>
              <w:pStyle w:val="142"/>
              <w:jc w:val="center"/>
            </w:pPr>
            <w:r>
              <w:rPr>
                <w:rFonts w:hint="eastAsia"/>
              </w:rPr>
              <w:t>金額</w:t>
            </w:r>
          </w:p>
        </w:tc>
        <w:tc>
          <w:tcPr>
            <w:tcW w:w="968" w:type="dxa"/>
            <w:shd w:val="clear" w:color="auto" w:fill="auto"/>
            <w:vAlign w:val="center"/>
          </w:tcPr>
          <w:p w:rsidR="00EB3421" w:rsidRDefault="00EB3421" w:rsidP="0054333C">
            <w:pPr>
              <w:pStyle w:val="142"/>
              <w:jc w:val="center"/>
            </w:pPr>
            <w:r>
              <w:rPr>
                <w:rFonts w:hint="eastAsia"/>
              </w:rPr>
              <w:t>占部位權重</w:t>
            </w:r>
          </w:p>
        </w:tc>
        <w:tc>
          <w:tcPr>
            <w:tcW w:w="967" w:type="dxa"/>
            <w:shd w:val="clear" w:color="auto" w:fill="auto"/>
            <w:vAlign w:val="center"/>
          </w:tcPr>
          <w:p w:rsidR="00EB3421" w:rsidRDefault="00EB3421" w:rsidP="0054333C">
            <w:pPr>
              <w:pStyle w:val="142"/>
              <w:jc w:val="center"/>
            </w:pPr>
            <w:r>
              <w:rPr>
                <w:rFonts w:hint="eastAsia"/>
              </w:rPr>
              <w:t>金額</w:t>
            </w:r>
          </w:p>
        </w:tc>
        <w:tc>
          <w:tcPr>
            <w:tcW w:w="968" w:type="dxa"/>
            <w:shd w:val="clear" w:color="auto" w:fill="auto"/>
            <w:vAlign w:val="center"/>
          </w:tcPr>
          <w:p w:rsidR="00EB3421" w:rsidRDefault="00EB3421" w:rsidP="0054333C">
            <w:pPr>
              <w:pStyle w:val="142"/>
              <w:jc w:val="center"/>
            </w:pPr>
            <w:r>
              <w:rPr>
                <w:rFonts w:hint="eastAsia"/>
              </w:rPr>
              <w:t>占部位權重</w:t>
            </w:r>
          </w:p>
        </w:tc>
        <w:tc>
          <w:tcPr>
            <w:tcW w:w="968" w:type="dxa"/>
            <w:shd w:val="clear" w:color="auto" w:fill="auto"/>
            <w:vAlign w:val="center"/>
          </w:tcPr>
          <w:p w:rsidR="00EB3421" w:rsidRDefault="00EB3421" w:rsidP="0054333C">
            <w:pPr>
              <w:pStyle w:val="142"/>
              <w:jc w:val="center"/>
            </w:pPr>
            <w:r>
              <w:rPr>
                <w:rFonts w:hint="eastAsia"/>
              </w:rPr>
              <w:t>金額</w:t>
            </w:r>
          </w:p>
        </w:tc>
        <w:tc>
          <w:tcPr>
            <w:tcW w:w="968" w:type="dxa"/>
            <w:tcBorders>
              <w:right w:val="single" w:sz="12" w:space="0" w:color="auto"/>
            </w:tcBorders>
            <w:shd w:val="clear" w:color="auto" w:fill="auto"/>
            <w:vAlign w:val="center"/>
          </w:tcPr>
          <w:p w:rsidR="00EB3421" w:rsidRDefault="00EB3421" w:rsidP="0054333C">
            <w:pPr>
              <w:pStyle w:val="142"/>
              <w:jc w:val="center"/>
            </w:pPr>
            <w:r>
              <w:rPr>
                <w:rFonts w:hint="eastAsia"/>
              </w:rPr>
              <w:t>占部位權重</w:t>
            </w:r>
          </w:p>
        </w:tc>
      </w:tr>
      <w:tr w:rsidR="00C275D6" w:rsidRPr="0054333C" w:rsidTr="0054333C">
        <w:tc>
          <w:tcPr>
            <w:tcW w:w="1316" w:type="dxa"/>
            <w:tcBorders>
              <w:left w:val="single" w:sz="12" w:space="0" w:color="auto"/>
            </w:tcBorders>
            <w:shd w:val="clear" w:color="auto" w:fill="auto"/>
          </w:tcPr>
          <w:p w:rsidR="001A5069" w:rsidRDefault="001A5069" w:rsidP="00C275D6">
            <w:pPr>
              <w:pStyle w:val="142"/>
            </w:pPr>
            <w:r>
              <w:rPr>
                <w:rFonts w:hint="eastAsia"/>
              </w:rPr>
              <w:t>國內自行運用(權益證券)</w:t>
            </w:r>
          </w:p>
        </w:tc>
        <w:tc>
          <w:tcPr>
            <w:tcW w:w="967" w:type="dxa"/>
            <w:shd w:val="clear" w:color="auto" w:fill="auto"/>
            <w:vAlign w:val="center"/>
          </w:tcPr>
          <w:p w:rsidR="001A5069" w:rsidRDefault="00EB3421" w:rsidP="0054333C">
            <w:pPr>
              <w:pStyle w:val="142"/>
              <w:jc w:val="right"/>
            </w:pPr>
            <w:r>
              <w:rPr>
                <w:rFonts w:hint="eastAsia"/>
              </w:rPr>
              <w:t>865</w:t>
            </w:r>
          </w:p>
        </w:tc>
        <w:tc>
          <w:tcPr>
            <w:tcW w:w="968" w:type="dxa"/>
            <w:shd w:val="clear" w:color="auto" w:fill="auto"/>
            <w:vAlign w:val="center"/>
          </w:tcPr>
          <w:p w:rsidR="001A5069" w:rsidRDefault="00EB3421" w:rsidP="0054333C">
            <w:pPr>
              <w:pStyle w:val="142"/>
              <w:jc w:val="right"/>
            </w:pPr>
            <w:r>
              <w:rPr>
                <w:rFonts w:hint="eastAsia"/>
              </w:rPr>
              <w:t>100</w:t>
            </w:r>
            <w:r>
              <w:t>.0</w:t>
            </w:r>
            <w:r w:rsidR="000A66D5">
              <w:t>0</w:t>
            </w:r>
          </w:p>
        </w:tc>
        <w:tc>
          <w:tcPr>
            <w:tcW w:w="968" w:type="dxa"/>
            <w:shd w:val="clear" w:color="auto" w:fill="auto"/>
            <w:vAlign w:val="center"/>
          </w:tcPr>
          <w:p w:rsidR="001A5069" w:rsidRDefault="00EB3421" w:rsidP="0054333C">
            <w:pPr>
              <w:pStyle w:val="142"/>
              <w:jc w:val="right"/>
            </w:pPr>
            <w:r>
              <w:rPr>
                <w:rFonts w:hint="eastAsia"/>
              </w:rPr>
              <w:t>771</w:t>
            </w:r>
          </w:p>
        </w:tc>
        <w:tc>
          <w:tcPr>
            <w:tcW w:w="968" w:type="dxa"/>
            <w:shd w:val="clear" w:color="auto" w:fill="auto"/>
            <w:vAlign w:val="center"/>
          </w:tcPr>
          <w:p w:rsidR="001A5069" w:rsidRDefault="00EB3421" w:rsidP="0054333C">
            <w:pPr>
              <w:pStyle w:val="142"/>
              <w:jc w:val="right"/>
            </w:pPr>
            <w:r>
              <w:rPr>
                <w:rFonts w:hint="eastAsia"/>
              </w:rPr>
              <w:t>100</w:t>
            </w:r>
            <w:r>
              <w:t>.0</w:t>
            </w:r>
            <w:r w:rsidR="000A66D5">
              <w:t>0</w:t>
            </w:r>
          </w:p>
        </w:tc>
        <w:tc>
          <w:tcPr>
            <w:tcW w:w="967" w:type="dxa"/>
            <w:shd w:val="clear" w:color="auto" w:fill="auto"/>
            <w:vAlign w:val="center"/>
          </w:tcPr>
          <w:p w:rsidR="001A5069" w:rsidRDefault="00EB3421" w:rsidP="0054333C">
            <w:pPr>
              <w:pStyle w:val="142"/>
              <w:jc w:val="right"/>
            </w:pPr>
            <w:r>
              <w:rPr>
                <w:rFonts w:hint="eastAsia"/>
              </w:rPr>
              <w:t>882</w:t>
            </w:r>
          </w:p>
        </w:tc>
        <w:tc>
          <w:tcPr>
            <w:tcW w:w="968" w:type="dxa"/>
            <w:shd w:val="clear" w:color="auto" w:fill="auto"/>
            <w:vAlign w:val="center"/>
          </w:tcPr>
          <w:p w:rsidR="001A5069" w:rsidRDefault="00EB3421" w:rsidP="0054333C">
            <w:pPr>
              <w:pStyle w:val="142"/>
              <w:jc w:val="right"/>
            </w:pPr>
            <w:r>
              <w:rPr>
                <w:rFonts w:hint="eastAsia"/>
              </w:rPr>
              <w:t>100</w:t>
            </w:r>
            <w:r>
              <w:t>.0</w:t>
            </w:r>
            <w:r w:rsidR="000A66D5">
              <w:t>0</w:t>
            </w:r>
          </w:p>
        </w:tc>
        <w:tc>
          <w:tcPr>
            <w:tcW w:w="968" w:type="dxa"/>
            <w:shd w:val="clear" w:color="auto" w:fill="auto"/>
            <w:vAlign w:val="center"/>
          </w:tcPr>
          <w:p w:rsidR="001A5069" w:rsidRDefault="00EB3421" w:rsidP="0054333C">
            <w:pPr>
              <w:pStyle w:val="142"/>
              <w:jc w:val="right"/>
            </w:pPr>
            <w:r>
              <w:rPr>
                <w:rFonts w:hint="eastAsia"/>
              </w:rPr>
              <w:t>1</w:t>
            </w:r>
            <w:r>
              <w:t>,</w:t>
            </w:r>
            <w:r>
              <w:rPr>
                <w:rFonts w:hint="eastAsia"/>
              </w:rPr>
              <w:t>122</w:t>
            </w:r>
          </w:p>
        </w:tc>
        <w:tc>
          <w:tcPr>
            <w:tcW w:w="968" w:type="dxa"/>
            <w:tcBorders>
              <w:right w:val="single" w:sz="12" w:space="0" w:color="auto"/>
            </w:tcBorders>
            <w:shd w:val="clear" w:color="auto" w:fill="auto"/>
            <w:vAlign w:val="center"/>
          </w:tcPr>
          <w:p w:rsidR="001A5069" w:rsidRDefault="00EB3421" w:rsidP="0054333C">
            <w:pPr>
              <w:pStyle w:val="142"/>
              <w:jc w:val="right"/>
            </w:pPr>
            <w:r>
              <w:rPr>
                <w:rFonts w:hint="eastAsia"/>
              </w:rPr>
              <w:t>1</w:t>
            </w:r>
            <w:r>
              <w:t>00.0</w:t>
            </w:r>
            <w:r w:rsidR="000A66D5">
              <w:t>0</w:t>
            </w:r>
          </w:p>
        </w:tc>
      </w:tr>
      <w:tr w:rsidR="00C275D6" w:rsidRPr="0054333C" w:rsidTr="0054333C">
        <w:tc>
          <w:tcPr>
            <w:tcW w:w="1316" w:type="dxa"/>
            <w:tcBorders>
              <w:left w:val="single" w:sz="12" w:space="0" w:color="auto"/>
            </w:tcBorders>
            <w:shd w:val="clear" w:color="auto" w:fill="auto"/>
          </w:tcPr>
          <w:p w:rsidR="001A5069" w:rsidRDefault="001A5069" w:rsidP="00C275D6">
            <w:pPr>
              <w:pStyle w:val="142"/>
            </w:pPr>
            <w:r>
              <w:rPr>
                <w:rFonts w:hint="eastAsia"/>
              </w:rPr>
              <w:t>國內自行運用(債務證券)</w:t>
            </w:r>
          </w:p>
        </w:tc>
        <w:tc>
          <w:tcPr>
            <w:tcW w:w="967" w:type="dxa"/>
            <w:shd w:val="clear" w:color="auto" w:fill="auto"/>
            <w:vAlign w:val="center"/>
          </w:tcPr>
          <w:p w:rsidR="001A5069" w:rsidRDefault="00EB3421" w:rsidP="0054333C">
            <w:pPr>
              <w:pStyle w:val="142"/>
              <w:jc w:val="right"/>
            </w:pPr>
            <w:r>
              <w:rPr>
                <w:rFonts w:hint="eastAsia"/>
              </w:rPr>
              <w:t>4</w:t>
            </w:r>
          </w:p>
        </w:tc>
        <w:tc>
          <w:tcPr>
            <w:tcW w:w="968" w:type="dxa"/>
            <w:shd w:val="clear" w:color="auto" w:fill="auto"/>
            <w:vAlign w:val="center"/>
          </w:tcPr>
          <w:p w:rsidR="001A5069" w:rsidRDefault="00EB3421" w:rsidP="0054333C">
            <w:pPr>
              <w:pStyle w:val="142"/>
              <w:jc w:val="right"/>
            </w:pPr>
            <w:r>
              <w:rPr>
                <w:rFonts w:hint="eastAsia"/>
              </w:rPr>
              <w:t>1</w:t>
            </w:r>
            <w:r>
              <w:t>.</w:t>
            </w:r>
            <w:r w:rsidR="000A66D5">
              <w:t>26</w:t>
            </w:r>
          </w:p>
        </w:tc>
        <w:tc>
          <w:tcPr>
            <w:tcW w:w="968" w:type="dxa"/>
            <w:shd w:val="clear" w:color="auto" w:fill="auto"/>
            <w:vAlign w:val="center"/>
          </w:tcPr>
          <w:p w:rsidR="001A5069" w:rsidRDefault="00EB3421" w:rsidP="0054333C">
            <w:pPr>
              <w:pStyle w:val="142"/>
              <w:jc w:val="right"/>
            </w:pPr>
            <w:r>
              <w:rPr>
                <w:rFonts w:hint="eastAsia"/>
              </w:rPr>
              <w:t>1</w:t>
            </w:r>
            <w:r>
              <w:t>1</w:t>
            </w:r>
          </w:p>
        </w:tc>
        <w:tc>
          <w:tcPr>
            <w:tcW w:w="968" w:type="dxa"/>
            <w:shd w:val="clear" w:color="auto" w:fill="auto"/>
            <w:vAlign w:val="center"/>
          </w:tcPr>
          <w:p w:rsidR="001A5069" w:rsidRDefault="00EB3421" w:rsidP="0054333C">
            <w:pPr>
              <w:pStyle w:val="142"/>
              <w:jc w:val="right"/>
            </w:pPr>
            <w:r>
              <w:rPr>
                <w:rFonts w:hint="eastAsia"/>
              </w:rPr>
              <w:t>3</w:t>
            </w:r>
            <w:r>
              <w:t>.</w:t>
            </w:r>
            <w:r w:rsidR="000A66D5">
              <w:t>06</w:t>
            </w:r>
          </w:p>
        </w:tc>
        <w:tc>
          <w:tcPr>
            <w:tcW w:w="967" w:type="dxa"/>
            <w:shd w:val="clear" w:color="auto" w:fill="auto"/>
            <w:vAlign w:val="center"/>
          </w:tcPr>
          <w:p w:rsidR="001A5069" w:rsidRDefault="00EB3421" w:rsidP="0054333C">
            <w:pPr>
              <w:pStyle w:val="142"/>
              <w:jc w:val="right"/>
            </w:pPr>
            <w:r>
              <w:rPr>
                <w:rFonts w:hint="eastAsia"/>
              </w:rPr>
              <w:t>1</w:t>
            </w:r>
            <w:r>
              <w:t>1</w:t>
            </w:r>
          </w:p>
        </w:tc>
        <w:tc>
          <w:tcPr>
            <w:tcW w:w="968" w:type="dxa"/>
            <w:shd w:val="clear" w:color="auto" w:fill="auto"/>
            <w:vAlign w:val="center"/>
          </w:tcPr>
          <w:p w:rsidR="001A5069" w:rsidRDefault="00EB3421" w:rsidP="0054333C">
            <w:pPr>
              <w:pStyle w:val="142"/>
              <w:jc w:val="right"/>
            </w:pPr>
            <w:r>
              <w:rPr>
                <w:rFonts w:hint="eastAsia"/>
              </w:rPr>
              <w:t>3</w:t>
            </w:r>
            <w:r>
              <w:t>.0</w:t>
            </w:r>
            <w:r w:rsidR="000A66D5">
              <w:t>2</w:t>
            </w:r>
          </w:p>
        </w:tc>
        <w:tc>
          <w:tcPr>
            <w:tcW w:w="968" w:type="dxa"/>
            <w:shd w:val="clear" w:color="auto" w:fill="auto"/>
            <w:vAlign w:val="center"/>
          </w:tcPr>
          <w:p w:rsidR="001A5069" w:rsidRDefault="00EB3421" w:rsidP="0054333C">
            <w:pPr>
              <w:pStyle w:val="142"/>
              <w:jc w:val="right"/>
            </w:pPr>
            <w:r>
              <w:rPr>
                <w:rFonts w:hint="eastAsia"/>
              </w:rPr>
              <w:t>1</w:t>
            </w:r>
            <w:r>
              <w:t>1</w:t>
            </w:r>
          </w:p>
        </w:tc>
        <w:tc>
          <w:tcPr>
            <w:tcW w:w="968" w:type="dxa"/>
            <w:tcBorders>
              <w:right w:val="single" w:sz="12" w:space="0" w:color="auto"/>
            </w:tcBorders>
            <w:shd w:val="clear" w:color="auto" w:fill="auto"/>
            <w:vAlign w:val="center"/>
          </w:tcPr>
          <w:p w:rsidR="001A5069" w:rsidRDefault="00EB3421" w:rsidP="0054333C">
            <w:pPr>
              <w:pStyle w:val="142"/>
              <w:jc w:val="right"/>
            </w:pPr>
            <w:r>
              <w:rPr>
                <w:rFonts w:hint="eastAsia"/>
              </w:rPr>
              <w:t>3</w:t>
            </w:r>
            <w:r>
              <w:t>.0</w:t>
            </w:r>
            <w:r w:rsidR="000A66D5">
              <w:t>3</w:t>
            </w:r>
          </w:p>
        </w:tc>
      </w:tr>
      <w:tr w:rsidR="00C275D6" w:rsidRPr="0054333C" w:rsidTr="0054333C">
        <w:tc>
          <w:tcPr>
            <w:tcW w:w="1316" w:type="dxa"/>
            <w:tcBorders>
              <w:left w:val="single" w:sz="12" w:space="0" w:color="auto"/>
            </w:tcBorders>
            <w:shd w:val="clear" w:color="auto" w:fill="auto"/>
          </w:tcPr>
          <w:p w:rsidR="001A5069" w:rsidRDefault="001A5069" w:rsidP="00C275D6">
            <w:pPr>
              <w:pStyle w:val="142"/>
            </w:pPr>
            <w:r>
              <w:rPr>
                <w:rFonts w:hint="eastAsia"/>
              </w:rPr>
              <w:t>國內委營</w:t>
            </w:r>
          </w:p>
        </w:tc>
        <w:tc>
          <w:tcPr>
            <w:tcW w:w="967" w:type="dxa"/>
            <w:shd w:val="clear" w:color="auto" w:fill="auto"/>
            <w:vAlign w:val="center"/>
          </w:tcPr>
          <w:p w:rsidR="001A5069" w:rsidRDefault="00EB3421" w:rsidP="0054333C">
            <w:pPr>
              <w:pStyle w:val="142"/>
              <w:jc w:val="right"/>
            </w:pPr>
            <w:r>
              <w:rPr>
                <w:rFonts w:hint="eastAsia"/>
              </w:rPr>
              <w:t>2</w:t>
            </w:r>
            <w:r>
              <w:t>31</w:t>
            </w:r>
          </w:p>
        </w:tc>
        <w:tc>
          <w:tcPr>
            <w:tcW w:w="968" w:type="dxa"/>
            <w:shd w:val="clear" w:color="auto" w:fill="auto"/>
            <w:vAlign w:val="center"/>
          </w:tcPr>
          <w:p w:rsidR="001A5069" w:rsidRDefault="002F1275" w:rsidP="0054333C">
            <w:pPr>
              <w:pStyle w:val="142"/>
              <w:jc w:val="right"/>
            </w:pPr>
            <w:r>
              <w:rPr>
                <w:rFonts w:hint="eastAsia"/>
              </w:rPr>
              <w:t>9</w:t>
            </w:r>
            <w:r>
              <w:t>3.87</w:t>
            </w:r>
          </w:p>
        </w:tc>
        <w:tc>
          <w:tcPr>
            <w:tcW w:w="968" w:type="dxa"/>
            <w:shd w:val="clear" w:color="auto" w:fill="auto"/>
            <w:vAlign w:val="center"/>
          </w:tcPr>
          <w:p w:rsidR="001A5069" w:rsidRDefault="00EB3421" w:rsidP="0054333C">
            <w:pPr>
              <w:pStyle w:val="142"/>
              <w:jc w:val="right"/>
            </w:pPr>
            <w:r>
              <w:rPr>
                <w:rFonts w:hint="eastAsia"/>
              </w:rPr>
              <w:t>1</w:t>
            </w:r>
            <w:r>
              <w:t>42</w:t>
            </w:r>
          </w:p>
        </w:tc>
        <w:tc>
          <w:tcPr>
            <w:tcW w:w="968" w:type="dxa"/>
            <w:shd w:val="clear" w:color="auto" w:fill="auto"/>
            <w:vAlign w:val="center"/>
          </w:tcPr>
          <w:p w:rsidR="001A5069" w:rsidRDefault="00C275D6" w:rsidP="0054333C">
            <w:pPr>
              <w:pStyle w:val="142"/>
              <w:jc w:val="right"/>
            </w:pPr>
            <w:r>
              <w:rPr>
                <w:rFonts w:hint="eastAsia"/>
              </w:rPr>
              <w:t>96.83</w:t>
            </w:r>
          </w:p>
        </w:tc>
        <w:tc>
          <w:tcPr>
            <w:tcW w:w="967" w:type="dxa"/>
            <w:shd w:val="clear" w:color="auto" w:fill="auto"/>
            <w:vAlign w:val="center"/>
          </w:tcPr>
          <w:p w:rsidR="001A5069" w:rsidRDefault="00EB3421" w:rsidP="0054333C">
            <w:pPr>
              <w:pStyle w:val="142"/>
              <w:jc w:val="right"/>
            </w:pPr>
            <w:r>
              <w:rPr>
                <w:rFonts w:hint="eastAsia"/>
              </w:rPr>
              <w:t>2</w:t>
            </w:r>
            <w:r>
              <w:t>51</w:t>
            </w:r>
          </w:p>
        </w:tc>
        <w:tc>
          <w:tcPr>
            <w:tcW w:w="968" w:type="dxa"/>
            <w:shd w:val="clear" w:color="auto" w:fill="auto"/>
            <w:vAlign w:val="center"/>
          </w:tcPr>
          <w:p w:rsidR="001A5069" w:rsidRDefault="00C275D6" w:rsidP="0054333C">
            <w:pPr>
              <w:pStyle w:val="142"/>
              <w:jc w:val="right"/>
            </w:pPr>
            <w:r>
              <w:rPr>
                <w:rFonts w:hint="eastAsia"/>
              </w:rPr>
              <w:t>96.42</w:t>
            </w:r>
          </w:p>
        </w:tc>
        <w:tc>
          <w:tcPr>
            <w:tcW w:w="968" w:type="dxa"/>
            <w:shd w:val="clear" w:color="auto" w:fill="auto"/>
            <w:vAlign w:val="center"/>
          </w:tcPr>
          <w:p w:rsidR="001A5069" w:rsidRDefault="000A66D5" w:rsidP="0054333C">
            <w:pPr>
              <w:pStyle w:val="142"/>
              <w:jc w:val="right"/>
            </w:pPr>
            <w:r>
              <w:rPr>
                <w:rFonts w:hint="eastAsia"/>
              </w:rPr>
              <w:t>2</w:t>
            </w:r>
            <w:r>
              <w:t>86</w:t>
            </w:r>
          </w:p>
        </w:tc>
        <w:tc>
          <w:tcPr>
            <w:tcW w:w="968" w:type="dxa"/>
            <w:tcBorders>
              <w:right w:val="single" w:sz="12" w:space="0" w:color="auto"/>
            </w:tcBorders>
            <w:shd w:val="clear" w:color="auto" w:fill="auto"/>
            <w:vAlign w:val="center"/>
          </w:tcPr>
          <w:p w:rsidR="001A5069" w:rsidRDefault="00C275D6" w:rsidP="0054333C">
            <w:pPr>
              <w:pStyle w:val="142"/>
              <w:jc w:val="right"/>
            </w:pPr>
            <w:r>
              <w:rPr>
                <w:rFonts w:hint="eastAsia"/>
              </w:rPr>
              <w:t>92.35</w:t>
            </w:r>
          </w:p>
        </w:tc>
      </w:tr>
      <w:tr w:rsidR="00C275D6" w:rsidRPr="0054333C" w:rsidTr="0054333C">
        <w:tc>
          <w:tcPr>
            <w:tcW w:w="1316" w:type="dxa"/>
            <w:tcBorders>
              <w:left w:val="single" w:sz="12" w:space="0" w:color="auto"/>
            </w:tcBorders>
            <w:shd w:val="clear" w:color="auto" w:fill="auto"/>
          </w:tcPr>
          <w:p w:rsidR="001A5069" w:rsidRDefault="001A5069" w:rsidP="00C275D6">
            <w:pPr>
              <w:pStyle w:val="142"/>
            </w:pPr>
            <w:r>
              <w:rPr>
                <w:rFonts w:hint="eastAsia"/>
              </w:rPr>
              <w:t>國外自行運用</w:t>
            </w:r>
          </w:p>
        </w:tc>
        <w:tc>
          <w:tcPr>
            <w:tcW w:w="967" w:type="dxa"/>
            <w:shd w:val="clear" w:color="auto" w:fill="auto"/>
            <w:vAlign w:val="center"/>
          </w:tcPr>
          <w:p w:rsidR="001A5069" w:rsidRDefault="000A66D5" w:rsidP="0054333C">
            <w:pPr>
              <w:pStyle w:val="142"/>
              <w:jc w:val="right"/>
            </w:pPr>
            <w:r>
              <w:rPr>
                <w:rFonts w:hint="eastAsia"/>
              </w:rPr>
              <w:t>1</w:t>
            </w:r>
            <w:r>
              <w:t>.03</w:t>
            </w:r>
          </w:p>
        </w:tc>
        <w:tc>
          <w:tcPr>
            <w:tcW w:w="968" w:type="dxa"/>
            <w:shd w:val="clear" w:color="auto" w:fill="auto"/>
            <w:vAlign w:val="center"/>
          </w:tcPr>
          <w:p w:rsidR="001A5069" w:rsidRDefault="000A66D5" w:rsidP="0054333C">
            <w:pPr>
              <w:pStyle w:val="142"/>
              <w:jc w:val="right"/>
            </w:pPr>
            <w:r>
              <w:rPr>
                <w:rFonts w:hint="eastAsia"/>
              </w:rPr>
              <w:t>2</w:t>
            </w:r>
            <w:r>
              <w:t>.67</w:t>
            </w:r>
          </w:p>
        </w:tc>
        <w:tc>
          <w:tcPr>
            <w:tcW w:w="968" w:type="dxa"/>
            <w:shd w:val="clear" w:color="auto" w:fill="auto"/>
            <w:vAlign w:val="center"/>
          </w:tcPr>
          <w:p w:rsidR="001A5069" w:rsidRDefault="000A66D5" w:rsidP="0054333C">
            <w:pPr>
              <w:pStyle w:val="142"/>
              <w:jc w:val="right"/>
            </w:pPr>
            <w:r>
              <w:rPr>
                <w:rFonts w:hint="eastAsia"/>
              </w:rPr>
              <w:t>1</w:t>
            </w:r>
            <w:r>
              <w:t>.01</w:t>
            </w:r>
          </w:p>
        </w:tc>
        <w:tc>
          <w:tcPr>
            <w:tcW w:w="968" w:type="dxa"/>
            <w:shd w:val="clear" w:color="auto" w:fill="auto"/>
            <w:vAlign w:val="center"/>
          </w:tcPr>
          <w:p w:rsidR="001A5069" w:rsidRDefault="000A66D5" w:rsidP="0054333C">
            <w:pPr>
              <w:pStyle w:val="142"/>
              <w:jc w:val="right"/>
            </w:pPr>
            <w:r>
              <w:rPr>
                <w:rFonts w:hint="eastAsia"/>
              </w:rPr>
              <w:t>2</w:t>
            </w:r>
            <w:r>
              <w:t>.54</w:t>
            </w:r>
          </w:p>
        </w:tc>
        <w:tc>
          <w:tcPr>
            <w:tcW w:w="967" w:type="dxa"/>
            <w:shd w:val="clear" w:color="auto" w:fill="auto"/>
            <w:vAlign w:val="center"/>
          </w:tcPr>
          <w:p w:rsidR="001A5069" w:rsidRDefault="000A66D5" w:rsidP="0054333C">
            <w:pPr>
              <w:pStyle w:val="142"/>
              <w:jc w:val="right"/>
            </w:pPr>
            <w:r>
              <w:rPr>
                <w:rFonts w:hint="eastAsia"/>
              </w:rPr>
              <w:t>1</w:t>
            </w:r>
            <w:r>
              <w:t>.46</w:t>
            </w:r>
          </w:p>
        </w:tc>
        <w:tc>
          <w:tcPr>
            <w:tcW w:w="968" w:type="dxa"/>
            <w:shd w:val="clear" w:color="auto" w:fill="auto"/>
            <w:vAlign w:val="center"/>
          </w:tcPr>
          <w:p w:rsidR="001A5069" w:rsidRDefault="000A66D5" w:rsidP="0054333C">
            <w:pPr>
              <w:pStyle w:val="142"/>
              <w:jc w:val="right"/>
            </w:pPr>
            <w:r>
              <w:rPr>
                <w:rFonts w:hint="eastAsia"/>
              </w:rPr>
              <w:t>3</w:t>
            </w:r>
            <w:r>
              <w:t>.46</w:t>
            </w:r>
          </w:p>
        </w:tc>
        <w:tc>
          <w:tcPr>
            <w:tcW w:w="968" w:type="dxa"/>
            <w:shd w:val="clear" w:color="auto" w:fill="auto"/>
            <w:vAlign w:val="center"/>
          </w:tcPr>
          <w:p w:rsidR="001A5069" w:rsidRDefault="000A66D5" w:rsidP="0054333C">
            <w:pPr>
              <w:pStyle w:val="142"/>
              <w:jc w:val="right"/>
            </w:pPr>
            <w:r>
              <w:rPr>
                <w:rFonts w:hint="eastAsia"/>
              </w:rPr>
              <w:t>1</w:t>
            </w:r>
            <w:r>
              <w:t>.62</w:t>
            </w:r>
          </w:p>
        </w:tc>
        <w:tc>
          <w:tcPr>
            <w:tcW w:w="968" w:type="dxa"/>
            <w:tcBorders>
              <w:right w:val="single" w:sz="12" w:space="0" w:color="auto"/>
            </w:tcBorders>
            <w:shd w:val="clear" w:color="auto" w:fill="auto"/>
            <w:vAlign w:val="center"/>
          </w:tcPr>
          <w:p w:rsidR="001A5069" w:rsidRDefault="000A66D5" w:rsidP="0054333C">
            <w:pPr>
              <w:pStyle w:val="142"/>
              <w:jc w:val="right"/>
            </w:pPr>
            <w:r>
              <w:rPr>
                <w:rFonts w:hint="eastAsia"/>
              </w:rPr>
              <w:t>3</w:t>
            </w:r>
            <w:r>
              <w:t>.70</w:t>
            </w:r>
          </w:p>
        </w:tc>
      </w:tr>
      <w:tr w:rsidR="00C275D6" w:rsidRPr="0054333C" w:rsidTr="0054333C">
        <w:tc>
          <w:tcPr>
            <w:tcW w:w="1316" w:type="dxa"/>
            <w:tcBorders>
              <w:left w:val="single" w:sz="12" w:space="0" w:color="auto"/>
              <w:bottom w:val="single" w:sz="12" w:space="0" w:color="auto"/>
            </w:tcBorders>
            <w:shd w:val="clear" w:color="auto" w:fill="auto"/>
          </w:tcPr>
          <w:p w:rsidR="001A5069" w:rsidRDefault="001A5069" w:rsidP="00C275D6">
            <w:pPr>
              <w:pStyle w:val="142"/>
            </w:pPr>
            <w:r>
              <w:rPr>
                <w:rFonts w:hint="eastAsia"/>
              </w:rPr>
              <w:t>國外委營</w:t>
            </w:r>
          </w:p>
        </w:tc>
        <w:tc>
          <w:tcPr>
            <w:tcW w:w="967" w:type="dxa"/>
            <w:tcBorders>
              <w:bottom w:val="single" w:sz="12" w:space="0" w:color="auto"/>
            </w:tcBorders>
            <w:shd w:val="clear" w:color="auto" w:fill="auto"/>
            <w:vAlign w:val="center"/>
          </w:tcPr>
          <w:p w:rsidR="001A5069" w:rsidRDefault="000A66D5" w:rsidP="0054333C">
            <w:pPr>
              <w:pStyle w:val="142"/>
              <w:jc w:val="right"/>
            </w:pPr>
            <w:r>
              <w:rPr>
                <w:rFonts w:hint="eastAsia"/>
              </w:rPr>
              <w:t>8</w:t>
            </w:r>
            <w:r>
              <w:t>.00</w:t>
            </w:r>
          </w:p>
        </w:tc>
        <w:tc>
          <w:tcPr>
            <w:tcW w:w="968" w:type="dxa"/>
            <w:tcBorders>
              <w:bottom w:val="single" w:sz="12" w:space="0" w:color="auto"/>
            </w:tcBorders>
            <w:shd w:val="clear" w:color="auto" w:fill="auto"/>
            <w:vAlign w:val="center"/>
          </w:tcPr>
          <w:p w:rsidR="001A5069" w:rsidRDefault="000A66D5" w:rsidP="0054333C">
            <w:pPr>
              <w:pStyle w:val="142"/>
              <w:jc w:val="right"/>
            </w:pPr>
            <w:r>
              <w:rPr>
                <w:rFonts w:hint="eastAsia"/>
              </w:rPr>
              <w:t>2</w:t>
            </w:r>
            <w:r>
              <w:t>2.16</w:t>
            </w:r>
          </w:p>
        </w:tc>
        <w:tc>
          <w:tcPr>
            <w:tcW w:w="968" w:type="dxa"/>
            <w:tcBorders>
              <w:bottom w:val="single" w:sz="12" w:space="0" w:color="auto"/>
            </w:tcBorders>
            <w:shd w:val="clear" w:color="auto" w:fill="auto"/>
            <w:vAlign w:val="center"/>
          </w:tcPr>
          <w:p w:rsidR="001A5069" w:rsidRDefault="000A66D5" w:rsidP="0054333C">
            <w:pPr>
              <w:pStyle w:val="142"/>
              <w:jc w:val="right"/>
            </w:pPr>
            <w:r>
              <w:rPr>
                <w:rFonts w:hint="eastAsia"/>
              </w:rPr>
              <w:t>9</w:t>
            </w:r>
            <w:r>
              <w:t>.37</w:t>
            </w:r>
          </w:p>
        </w:tc>
        <w:tc>
          <w:tcPr>
            <w:tcW w:w="968" w:type="dxa"/>
            <w:tcBorders>
              <w:bottom w:val="single" w:sz="12" w:space="0" w:color="auto"/>
            </w:tcBorders>
            <w:shd w:val="clear" w:color="auto" w:fill="auto"/>
            <w:vAlign w:val="center"/>
          </w:tcPr>
          <w:p w:rsidR="001A5069" w:rsidRDefault="000A66D5" w:rsidP="0054333C">
            <w:pPr>
              <w:pStyle w:val="142"/>
              <w:jc w:val="right"/>
            </w:pPr>
            <w:r>
              <w:rPr>
                <w:rFonts w:hint="eastAsia"/>
              </w:rPr>
              <w:t>2</w:t>
            </w:r>
            <w:r>
              <w:t>4.96</w:t>
            </w:r>
          </w:p>
        </w:tc>
        <w:tc>
          <w:tcPr>
            <w:tcW w:w="967" w:type="dxa"/>
            <w:tcBorders>
              <w:bottom w:val="single" w:sz="12" w:space="0" w:color="auto"/>
            </w:tcBorders>
            <w:shd w:val="clear" w:color="auto" w:fill="auto"/>
            <w:vAlign w:val="center"/>
          </w:tcPr>
          <w:p w:rsidR="001A5069" w:rsidRDefault="000A66D5" w:rsidP="0054333C">
            <w:pPr>
              <w:pStyle w:val="142"/>
              <w:jc w:val="right"/>
            </w:pPr>
            <w:r>
              <w:rPr>
                <w:rFonts w:hint="eastAsia"/>
              </w:rPr>
              <w:t>1</w:t>
            </w:r>
            <w:r>
              <w:t>0.97</w:t>
            </w:r>
          </w:p>
        </w:tc>
        <w:tc>
          <w:tcPr>
            <w:tcW w:w="968" w:type="dxa"/>
            <w:tcBorders>
              <w:bottom w:val="single" w:sz="12" w:space="0" w:color="auto"/>
            </w:tcBorders>
            <w:shd w:val="clear" w:color="auto" w:fill="auto"/>
            <w:vAlign w:val="center"/>
          </w:tcPr>
          <w:p w:rsidR="001A5069" w:rsidRDefault="000A66D5" w:rsidP="0054333C">
            <w:pPr>
              <w:pStyle w:val="142"/>
              <w:jc w:val="right"/>
            </w:pPr>
            <w:r>
              <w:rPr>
                <w:rFonts w:hint="eastAsia"/>
              </w:rPr>
              <w:t>2</w:t>
            </w:r>
            <w:r>
              <w:t>6.80</w:t>
            </w:r>
          </w:p>
        </w:tc>
        <w:tc>
          <w:tcPr>
            <w:tcW w:w="968" w:type="dxa"/>
            <w:tcBorders>
              <w:bottom w:val="single" w:sz="12" w:space="0" w:color="auto"/>
            </w:tcBorders>
            <w:shd w:val="clear" w:color="auto" w:fill="auto"/>
            <w:vAlign w:val="center"/>
          </w:tcPr>
          <w:p w:rsidR="001A5069" w:rsidRDefault="00C275D6" w:rsidP="0054333C">
            <w:pPr>
              <w:pStyle w:val="142"/>
              <w:jc w:val="right"/>
            </w:pPr>
            <w:r>
              <w:rPr>
                <w:rFonts w:hint="eastAsia"/>
              </w:rPr>
              <w:t>10.97</w:t>
            </w:r>
          </w:p>
        </w:tc>
        <w:tc>
          <w:tcPr>
            <w:tcW w:w="968" w:type="dxa"/>
            <w:tcBorders>
              <w:bottom w:val="single" w:sz="12" w:space="0" w:color="auto"/>
              <w:right w:val="single" w:sz="12" w:space="0" w:color="auto"/>
            </w:tcBorders>
            <w:shd w:val="clear" w:color="auto" w:fill="auto"/>
            <w:vAlign w:val="center"/>
          </w:tcPr>
          <w:p w:rsidR="001A5069" w:rsidRDefault="00C275D6" w:rsidP="0054333C">
            <w:pPr>
              <w:pStyle w:val="142"/>
              <w:jc w:val="right"/>
            </w:pPr>
            <w:r>
              <w:rPr>
                <w:rFonts w:hint="eastAsia"/>
              </w:rPr>
              <w:t>24.77</w:t>
            </w:r>
          </w:p>
        </w:tc>
      </w:tr>
    </w:tbl>
    <w:p w:rsidR="00E11B28" w:rsidRDefault="00E11B28" w:rsidP="00C275D6">
      <w:pPr>
        <w:spacing w:line="280" w:lineRule="exact"/>
        <w:ind w:leftChars="-20" w:left="1402" w:hangingChars="600" w:hanging="1459"/>
        <w:rPr>
          <w:rFonts w:hAnsi="標楷體"/>
          <w:sz w:val="24"/>
          <w:szCs w:val="24"/>
        </w:rPr>
      </w:pPr>
      <w:r>
        <w:rPr>
          <w:rFonts w:hAnsi="標楷體" w:hint="eastAsia"/>
          <w:sz w:val="24"/>
          <w:szCs w:val="24"/>
        </w:rPr>
        <w:t>說    明：</w:t>
      </w:r>
      <w:r w:rsidR="00C275D6">
        <w:rPr>
          <w:rFonts w:hAnsi="標楷體" w:hint="eastAsia"/>
          <w:sz w:val="24"/>
          <w:szCs w:val="24"/>
        </w:rPr>
        <w:t>1.表內國外自行運用項目之占部位權重之計算，分母係以國外自行運用淨值計算</w:t>
      </w:r>
      <w:r w:rsidR="00C275D6">
        <w:rPr>
          <w:rFonts w:ascii="新細明體" w:eastAsia="新細明體" w:hAnsi="新細明體" w:hint="eastAsia"/>
          <w:sz w:val="24"/>
          <w:szCs w:val="24"/>
        </w:rPr>
        <w:t>；</w:t>
      </w:r>
      <w:r w:rsidR="00C275D6" w:rsidRPr="00C275D6">
        <w:rPr>
          <w:rFonts w:hAnsi="標楷體" w:hint="eastAsia"/>
          <w:sz w:val="24"/>
          <w:szCs w:val="24"/>
        </w:rPr>
        <w:t>國外</w:t>
      </w:r>
      <w:r w:rsidR="00C275D6">
        <w:rPr>
          <w:rFonts w:hAnsi="標楷體" w:hint="eastAsia"/>
          <w:sz w:val="24"/>
          <w:szCs w:val="24"/>
        </w:rPr>
        <w:t>委託經營項目之占部位權重之計算，分母係以國外委託經營之委託金額計算</w:t>
      </w:r>
      <w:r>
        <w:rPr>
          <w:rFonts w:hAnsi="標楷體" w:hint="eastAsia"/>
          <w:sz w:val="24"/>
          <w:szCs w:val="24"/>
        </w:rPr>
        <w:t>。</w:t>
      </w:r>
    </w:p>
    <w:p w:rsidR="00622D70" w:rsidRDefault="00622D70" w:rsidP="00C275D6">
      <w:pPr>
        <w:spacing w:line="280" w:lineRule="exact"/>
        <w:ind w:leftChars="-20" w:left="1402" w:hangingChars="600" w:hanging="1459"/>
        <w:rPr>
          <w:rFonts w:hAnsi="標楷體" w:hint="eastAsia"/>
          <w:sz w:val="24"/>
          <w:szCs w:val="24"/>
        </w:rPr>
      </w:pPr>
      <w:r>
        <w:rPr>
          <w:rFonts w:hAnsi="標楷體" w:hint="eastAsia"/>
          <w:sz w:val="24"/>
          <w:szCs w:val="24"/>
        </w:rPr>
        <w:t xml:space="preserve">          2.國內投資金額係以新臺幣億元為單位，國外投資金額則以億美元為單位。</w:t>
      </w:r>
    </w:p>
    <w:p w:rsidR="00C275D6" w:rsidRDefault="00C275D6" w:rsidP="00B963F7">
      <w:pPr>
        <w:spacing w:line="280" w:lineRule="exact"/>
        <w:ind w:leftChars="-20" w:left="1135" w:hangingChars="490" w:hanging="1192"/>
        <w:rPr>
          <w:rFonts w:hAnsi="標楷體" w:hint="eastAsia"/>
          <w:sz w:val="24"/>
          <w:szCs w:val="24"/>
        </w:rPr>
      </w:pPr>
      <w:r>
        <w:rPr>
          <w:rFonts w:hAnsi="標楷體" w:hint="eastAsia"/>
          <w:sz w:val="24"/>
          <w:szCs w:val="24"/>
        </w:rPr>
        <w:t xml:space="preserve">          </w:t>
      </w:r>
      <w:r w:rsidR="00622D70">
        <w:rPr>
          <w:rFonts w:hAnsi="標楷體" w:hint="eastAsia"/>
          <w:sz w:val="24"/>
          <w:szCs w:val="24"/>
        </w:rPr>
        <w:t>3</w:t>
      </w:r>
      <w:r>
        <w:rPr>
          <w:rFonts w:hAnsi="標楷體" w:hint="eastAsia"/>
          <w:sz w:val="24"/>
          <w:szCs w:val="24"/>
        </w:rPr>
        <w:t>.113年度為截至6月底統計數據。</w:t>
      </w:r>
    </w:p>
    <w:p w:rsidR="00E11B28" w:rsidRPr="00FC7158" w:rsidRDefault="00E11B28" w:rsidP="00E11B28">
      <w:pPr>
        <w:spacing w:line="280" w:lineRule="exact"/>
        <w:ind w:leftChars="-15" w:left="-3" w:hangingChars="16" w:hanging="39"/>
        <w:rPr>
          <w:rFonts w:hAnsi="標楷體"/>
          <w:sz w:val="24"/>
          <w:szCs w:val="24"/>
        </w:rPr>
      </w:pPr>
      <w:r w:rsidRPr="00FC7158">
        <w:rPr>
          <w:rFonts w:hAnsi="標楷體" w:hint="eastAsia"/>
          <w:sz w:val="24"/>
          <w:szCs w:val="24"/>
        </w:rPr>
        <w:t>資料來源</w:t>
      </w:r>
      <w:r w:rsidRPr="00FC7158">
        <w:rPr>
          <w:rFonts w:hAnsi="標楷體" w:hint="eastAsia"/>
          <w:sz w:val="24"/>
          <w:szCs w:val="24"/>
          <w:lang w:eastAsia="zh-HK"/>
        </w:rPr>
        <w:t>：</w:t>
      </w:r>
      <w:r>
        <w:rPr>
          <w:rFonts w:hAnsi="標楷體" w:hint="eastAsia"/>
          <w:sz w:val="24"/>
          <w:szCs w:val="24"/>
        </w:rPr>
        <w:t>國保基金</w:t>
      </w:r>
      <w:r w:rsidR="00C275D6">
        <w:rPr>
          <w:rFonts w:hAnsi="標楷體" w:hint="eastAsia"/>
          <w:sz w:val="24"/>
          <w:szCs w:val="24"/>
        </w:rPr>
        <w:t>提供，</w:t>
      </w:r>
      <w:r w:rsidR="00C275D6" w:rsidRPr="00C275D6">
        <w:rPr>
          <w:rFonts w:hAnsi="標楷體" w:hint="eastAsia"/>
          <w:sz w:val="24"/>
          <w:szCs w:val="24"/>
        </w:rPr>
        <w:t>本中心彙整</w:t>
      </w:r>
      <w:r w:rsidRPr="00FC7158">
        <w:rPr>
          <w:rFonts w:hAnsi="標楷體" w:hint="eastAsia"/>
          <w:sz w:val="24"/>
          <w:szCs w:val="24"/>
        </w:rPr>
        <w:t>。</w:t>
      </w:r>
    </w:p>
    <w:p w:rsidR="00E11B28" w:rsidRDefault="00E11B28" w:rsidP="00E11B28">
      <w:pPr>
        <w:ind w:left="566" w:firstLine="566"/>
        <w:rPr>
          <w:rFonts w:hAnsi="標楷體"/>
          <w:lang w:eastAsia="zh-HK"/>
        </w:rPr>
      </w:pPr>
      <w:r>
        <w:rPr>
          <w:rFonts w:hint="eastAsia"/>
        </w:rPr>
        <w:lastRenderedPageBreak/>
        <w:t>綜上，</w:t>
      </w:r>
      <w:r w:rsidR="007275F6">
        <w:rPr>
          <w:rFonts w:hint="eastAsia"/>
        </w:rPr>
        <w:t>因應氣候變遷對經濟活動之風險</w:t>
      </w:r>
      <w:r w:rsidR="00B0298D">
        <w:rPr>
          <w:rFonts w:hAnsi="標楷體" w:hint="eastAsia"/>
        </w:rPr>
        <w:t>，國際</w:t>
      </w:r>
      <w:r w:rsidR="00B0298D">
        <w:rPr>
          <w:rFonts w:hint="eastAsia"/>
        </w:rPr>
        <w:t>金融市場E</w:t>
      </w:r>
      <w:r w:rsidR="00B0298D">
        <w:t>SG</w:t>
      </w:r>
      <w:r w:rsidR="00B0298D">
        <w:rPr>
          <w:rFonts w:hint="eastAsia"/>
        </w:rPr>
        <w:t>投資情形愈趨普遍</w:t>
      </w:r>
      <w:r w:rsidR="00B0298D">
        <w:rPr>
          <w:rFonts w:hAnsi="標楷體" w:hint="eastAsia"/>
        </w:rPr>
        <w:t>，</w:t>
      </w:r>
      <w:r w:rsidR="00B0298D">
        <w:rPr>
          <w:rFonts w:hint="eastAsia"/>
        </w:rPr>
        <w:t>我政府亦視金融市場</w:t>
      </w:r>
      <w:r w:rsidR="00B0298D" w:rsidRPr="00B0298D">
        <w:rPr>
          <w:rFonts w:hint="eastAsia"/>
        </w:rPr>
        <w:t>為推動淨零減排之關鍵助力</w:t>
      </w:r>
      <w:r w:rsidR="00B0298D">
        <w:rPr>
          <w:rFonts w:hAnsi="標楷體" w:hint="eastAsia"/>
        </w:rPr>
        <w:t>，</w:t>
      </w:r>
      <w:r w:rsidR="00B0298D">
        <w:rPr>
          <w:rFonts w:hint="eastAsia"/>
        </w:rPr>
        <w:t>並執行各項綠色金融方案</w:t>
      </w:r>
      <w:r>
        <w:rPr>
          <w:rFonts w:hAnsi="標楷體" w:hint="eastAsia"/>
          <w:lang w:eastAsia="zh-HK"/>
        </w:rPr>
        <w:t>。</w:t>
      </w:r>
      <w:r w:rsidR="00C33110">
        <w:rPr>
          <w:rFonts w:hAnsi="標楷體" w:hint="eastAsia"/>
        </w:rPr>
        <w:t>國保基金作為金融市場投資活動之參與者，近年該基金各類經營模式均已納入ESG考量，在投資金額與</w:t>
      </w:r>
      <w:r w:rsidR="0076569F">
        <w:rPr>
          <w:rFonts w:hAnsi="標楷體" w:hint="eastAsia"/>
        </w:rPr>
        <w:t>占</w:t>
      </w:r>
      <w:r w:rsidR="00C33110">
        <w:rPr>
          <w:rFonts w:hAnsi="標楷體" w:hint="eastAsia"/>
        </w:rPr>
        <w:t>部位權重多呈增加趨勢，惟在國內自行運用(債務證券)與國外自行運用方面，投資金額</w:t>
      </w:r>
      <w:r w:rsidR="005430AD">
        <w:rPr>
          <w:rFonts w:hAnsi="標楷體" w:hint="eastAsia"/>
        </w:rPr>
        <w:t>與</w:t>
      </w:r>
      <w:r w:rsidR="0076569F">
        <w:rPr>
          <w:rFonts w:hAnsi="標楷體" w:hint="eastAsia"/>
        </w:rPr>
        <w:t>占</w:t>
      </w:r>
      <w:r w:rsidR="005430AD">
        <w:rPr>
          <w:rFonts w:hAnsi="標楷體" w:hint="eastAsia"/>
        </w:rPr>
        <w:t>部位權重較少</w:t>
      </w:r>
      <w:r w:rsidR="0076569F">
        <w:rPr>
          <w:rFonts w:hAnsi="標楷體" w:hint="eastAsia"/>
        </w:rPr>
        <w:t>，允宜視投資時機，酌予調整，俾落實永續投資政策。</w:t>
      </w:r>
    </w:p>
    <w:p w:rsidR="00210555" w:rsidRPr="00ED657E" w:rsidRDefault="00210555" w:rsidP="00ED657E">
      <w:pPr>
        <w:pStyle w:val="ab"/>
      </w:pPr>
      <w:r w:rsidRPr="00ED657E">
        <w:rPr>
          <w:rFonts w:hint="eastAsia"/>
        </w:rPr>
        <w:t>（分機：19</w:t>
      </w:r>
      <w:r w:rsidR="00553D85">
        <w:rPr>
          <w:rFonts w:hint="eastAsia"/>
        </w:rPr>
        <w:t>12</w:t>
      </w:r>
      <w:r w:rsidRPr="00ED657E">
        <w:rPr>
          <w:rFonts w:hint="eastAsia"/>
        </w:rPr>
        <w:t xml:space="preserve"> </w:t>
      </w:r>
      <w:r w:rsidR="00553D85">
        <w:rPr>
          <w:rFonts w:hint="eastAsia"/>
        </w:rPr>
        <w:t>黃彥斌</w:t>
      </w:r>
      <w:r w:rsidRPr="00ED657E">
        <w:rPr>
          <w:rFonts w:hint="eastAsia"/>
        </w:rPr>
        <w:t>）</w:t>
      </w:r>
    </w:p>
    <w:sectPr w:rsidR="00210555" w:rsidRPr="00ED657E"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A63E47" w:rsidRPr="00A63E4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F20223" w:rsidRPr="00C07F83" w:rsidRDefault="00F20223" w:rsidP="00515ACB">
      <w:pPr>
        <w:pStyle w:val="142"/>
        <w:wordWrap w:val="0"/>
        <w:ind w:left="219" w:hangingChars="90" w:hanging="219"/>
        <w:rPr>
          <w:rFonts w:hint="eastAsia"/>
        </w:rPr>
      </w:pPr>
      <w:r w:rsidRPr="00CC48FB">
        <w:rPr>
          <w:rStyle w:val="af2"/>
          <w:szCs w:val="24"/>
        </w:rPr>
        <w:footnoteRef/>
      </w:r>
      <w:r w:rsidRPr="00C07F83">
        <w:t xml:space="preserve"> </w:t>
      </w:r>
      <w:r w:rsidRPr="00C07F83">
        <w:rPr>
          <w:rFonts w:hint="eastAsia"/>
        </w:rPr>
        <w:t>聯合國2024年全球投資報告，下載網址：</w:t>
      </w:r>
      <w:hyperlink r:id="rId1" w:history="1">
        <w:r w:rsidRPr="00C07F83">
          <w:t>https://unctad.org/system/files/official-document/wir2024_en.pdf</w:t>
        </w:r>
        <w:r w:rsidRPr="00C07F83">
          <w:rPr>
            <w:rFonts w:hint="eastAsia"/>
          </w:rPr>
          <w:t>。</w:t>
        </w:r>
        <w:r w:rsidRPr="00C07F83">
          <w:t>查閱日期</w:t>
        </w:r>
        <w:r w:rsidRPr="00C07F83">
          <w:rPr>
            <w:rFonts w:hint="eastAsia"/>
          </w:rPr>
          <w:t>：</w:t>
        </w:r>
        <w:r w:rsidRPr="00C07F83">
          <w:t>113</w:t>
        </w:r>
      </w:hyperlink>
      <w:r w:rsidRPr="00C07F83">
        <w:rPr>
          <w:rFonts w:hint="eastAsia"/>
        </w:rPr>
        <w:t>年11月5日。</w:t>
      </w:r>
    </w:p>
  </w:footnote>
  <w:footnote w:id="2">
    <w:p w:rsidR="00F20223" w:rsidRPr="0006133A" w:rsidRDefault="00F20223" w:rsidP="00427916">
      <w:pPr>
        <w:pStyle w:val="142"/>
        <w:ind w:left="219" w:hangingChars="90" w:hanging="219"/>
        <w:rPr>
          <w:rFonts w:hint="eastAsia"/>
        </w:rPr>
      </w:pPr>
      <w:r w:rsidRPr="0006133A">
        <w:rPr>
          <w:rStyle w:val="af2"/>
          <w:szCs w:val="24"/>
        </w:rPr>
        <w:footnoteRef/>
      </w:r>
      <w:r w:rsidRPr="0006133A">
        <w:t xml:space="preserve"> </w:t>
      </w:r>
      <w:r>
        <w:rPr>
          <w:rFonts w:hint="eastAsia"/>
        </w:rPr>
        <w:t>例如全球最大主權基金挪威主權基金將違反E</w:t>
      </w:r>
      <w:r>
        <w:t>SG</w:t>
      </w:r>
      <w:r>
        <w:rPr>
          <w:rFonts w:hint="eastAsia"/>
        </w:rPr>
        <w:t>標準之企業納入投資黑名單；全球最大退休基金日本退休基金則將所有資產投資決策納入E</w:t>
      </w:r>
      <w:r>
        <w:t>SG</w:t>
      </w:r>
      <w:r>
        <w:rPr>
          <w:rFonts w:hint="eastAsia"/>
        </w:rPr>
        <w:t>因素。參見「</w:t>
      </w:r>
      <w:r w:rsidRPr="006D3258">
        <w:rPr>
          <w:rFonts w:hint="eastAsia"/>
        </w:rPr>
        <w:t>總規模逾兆美元 主權、退休基金皆訂定ESG投資標準</w:t>
      </w:r>
      <w:r>
        <w:rPr>
          <w:rFonts w:hint="eastAsia"/>
        </w:rPr>
        <w:t>」，請參閱中央社2022年8月23日報導，網址</w:t>
      </w:r>
      <w:r w:rsidRPr="006D3258">
        <w:t>https://www.cna.com.tw/news/afe/202208230355.aspx</w:t>
      </w:r>
      <w:r>
        <w:rPr>
          <w:rFonts w:hint="eastAsia"/>
        </w:rPr>
        <w:t>。查閱日期：113年11月5日。</w:t>
      </w:r>
    </w:p>
  </w:footnote>
  <w:footnote w:id="3">
    <w:p w:rsidR="00F20223" w:rsidRPr="00BA244E" w:rsidRDefault="00F20223" w:rsidP="00427916">
      <w:pPr>
        <w:pStyle w:val="142"/>
        <w:wordWrap w:val="0"/>
        <w:ind w:left="219" w:hangingChars="90" w:hanging="219"/>
        <w:rPr>
          <w:rFonts w:hint="eastAsia"/>
        </w:rPr>
      </w:pPr>
      <w:r w:rsidRPr="000838E5">
        <w:rPr>
          <w:rStyle w:val="af2"/>
          <w:szCs w:val="24"/>
        </w:rPr>
        <w:footnoteRef/>
      </w:r>
      <w:r w:rsidRPr="000838E5">
        <w:t xml:space="preserve"> </w:t>
      </w:r>
      <w:r w:rsidRPr="000838E5">
        <w:rPr>
          <w:rFonts w:hint="eastAsia"/>
        </w:rPr>
        <w:t>有關綠色金融行動方案內容，請參見金融監督管理委員會相關簡報檔，下載網址</w:t>
      </w:r>
      <w:r w:rsidRPr="00BA244E">
        <w:rPr>
          <w:rFonts w:hint="eastAsia"/>
        </w:rPr>
        <w:t>：</w:t>
      </w:r>
      <w:hyperlink r:id="rId2" w:history="1">
        <w:r w:rsidRPr="00BA244E">
          <w:t>https://www.fsc.gov.tw/websitedowndoc?file=chfsc/202209281336330.pdf&amp;filedisplay=%E7%B6%A0%E8%89%B2%E9%87%91%E8%9E%8D%E8%A1%8C%E5%8B%95%E6%96%B9%E6%A1%883.0.pdf</w:t>
        </w:r>
        <w:r w:rsidRPr="00BA244E">
          <w:rPr>
            <w:rFonts w:hint="eastAsia"/>
          </w:rPr>
          <w:t>。</w:t>
        </w:r>
        <w:r w:rsidRPr="00BA244E">
          <w:t>下載日期</w:t>
        </w:r>
        <w:r w:rsidRPr="00BA244E">
          <w:rPr>
            <w:rFonts w:hint="eastAsia"/>
          </w:rPr>
          <w:t>：</w:t>
        </w:r>
        <w:r w:rsidRPr="00BA244E">
          <w:t>113</w:t>
        </w:r>
      </w:hyperlink>
      <w:r w:rsidRPr="00BA244E">
        <w:rPr>
          <w:rFonts w:hint="eastAsia"/>
        </w:rPr>
        <w:t>年11月5日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3E47"/>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B67B463-10C3-48C9-A47E-A53BBAAE5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fsc.gov.tw/websitedowndoc?file=chfsc/202209281336330.pdf&amp;filedisplay=%E7%B6%A0%E8%89%B2%E9%87%91%E8%9E%8D%E8%A1%8C%E5%8B%95%E6%96%B9%E6%A1%883.0.pdf&#12290;&#19979;&#36617;&#26085;&#26399;&#65306;113" TargetMode="External"/><Relationship Id="rId1" Type="http://schemas.openxmlformats.org/officeDocument/2006/relationships/hyperlink" Target="https://unctad.org/system/files/official-document/wir2024_en.pdf&#12290;&#26597;&#38321;&#26085;&#26399;&#65306;1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BDB3C-E94F-44E1-B4DB-F1BF32D16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373</Words>
  <Characters>2128</Characters>
  <Application>Microsoft Office Word</Application>
  <DocSecurity>0</DocSecurity>
  <Lines>17</Lines>
  <Paragraphs>4</Paragraphs>
  <ScaleCrop>false</ScaleCrop>
  <Company>HOME</Company>
  <LinksUpToDate>false</LinksUpToDate>
  <CharactersWithSpaces>2497</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2024-11-22T01:22:00Z</dcterms:created>
  <dcterms:modified xsi:type="dcterms:W3CDTF">2024-11-22T01:22:00Z</dcterms:modified>
</cp:coreProperties>
</file>