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C734A5" w:rsidRPr="00D16891" w:rsidRDefault="00C734A5" w:rsidP="008F2BBE">
      <w:pPr>
        <w:pStyle w:val="14"/>
        <w:ind w:left="567" w:hanging="567"/>
      </w:pPr>
      <w:bookmarkStart w:id="11" w:name="_Toc116977399"/>
      <w:bookmarkStart w:id="12" w:name="_Toc183435613"/>
      <w:bookmarkStart w:id="13" w:name="_Toc183442631"/>
      <w:r>
        <w:rPr>
          <w:rFonts w:hint="eastAsia"/>
        </w:rPr>
        <w:t>四</w:t>
      </w:r>
      <w:r w:rsidRPr="00D16891">
        <w:rPr>
          <w:rFonts w:hint="eastAsia"/>
        </w:rPr>
        <w:t>、</w:t>
      </w:r>
      <w:bookmarkEnd w:id="11"/>
      <w:r w:rsidRPr="00D16891">
        <w:rPr>
          <w:rFonts w:hint="eastAsia"/>
        </w:rPr>
        <w:t>酒銀行銷售數量及金額逐年遞減，且逾期寄存商品亦待妥處，允宜研謀精進，俾提升商品銷售額及增進空間運用效益</w:t>
      </w:r>
      <w:bookmarkEnd w:id="12"/>
      <w:bookmarkEnd w:id="13"/>
    </w:p>
    <w:p w:rsidR="00C734A5" w:rsidRPr="004F7DD7" w:rsidRDefault="00C734A5" w:rsidP="008F2BBE">
      <w:pPr>
        <w:ind w:left="566" w:firstLine="566"/>
      </w:pPr>
      <w:r w:rsidRPr="004F7DD7">
        <w:rPr>
          <w:rFonts w:hint="eastAsia"/>
        </w:rPr>
        <w:t>臺灣菸酒公司114年度預算案編列酒類產品內銷銷售收入298億5</w:t>
      </w:r>
      <w:r w:rsidRPr="004F7DD7">
        <w:t>,677</w:t>
      </w:r>
      <w:r w:rsidRPr="004F7DD7">
        <w:rPr>
          <w:rFonts w:hint="eastAsia"/>
        </w:rPr>
        <w:t>萬1千元，而該公司為提供消費者優質珍藏好酒及投資理財管道，自92年</w:t>
      </w:r>
      <w:r>
        <w:rPr>
          <w:rFonts w:hint="eastAsia"/>
        </w:rPr>
        <w:t>度</w:t>
      </w:r>
      <w:r w:rsidRPr="004F7DD7">
        <w:rPr>
          <w:rFonts w:hint="eastAsia"/>
        </w:rPr>
        <w:t>起陸續於部分酒廠設置酒銀行，以利消費者於各營業處(所)、酒廠展售中心訂購可存放於酒銀行之產品，並提供免費窖藏1年之服務，期滿後收取管理費，以吸引愛酒人士消費。經查：</w:t>
      </w:r>
    </w:p>
    <w:p w:rsidR="00C734A5" w:rsidRPr="004F7DD7" w:rsidRDefault="00C734A5" w:rsidP="008F2BBE">
      <w:pPr>
        <w:pStyle w:val="a5"/>
        <w:ind w:left="849" w:hanging="283"/>
      </w:pPr>
      <w:r w:rsidRPr="004F7DD7">
        <w:rPr>
          <w:rFonts w:hint="eastAsia"/>
        </w:rPr>
        <w:t>(一)酒銀行銷售數量及金額逐年減少，112年度銷售金額僅達109年度52%，而酒銀行面積雖大幅減少，惟空間運用仍有待提升</w:t>
      </w:r>
    </w:p>
    <w:p w:rsidR="00C734A5" w:rsidRPr="004F7DD7" w:rsidRDefault="00C734A5" w:rsidP="008F2BBE">
      <w:pPr>
        <w:pStyle w:val="21"/>
        <w:ind w:left="850" w:firstLine="566"/>
      </w:pPr>
      <w:r w:rsidRPr="004F7DD7">
        <w:rPr>
          <w:rFonts w:hint="eastAsia"/>
        </w:rPr>
        <w:t>據臺灣菸酒公司提供近年度酒銀行銷售數量與金額情形，其由10</w:t>
      </w:r>
      <w:r w:rsidRPr="004F7DD7">
        <w:t>9</w:t>
      </w:r>
      <w:r w:rsidRPr="004F7DD7">
        <w:rPr>
          <w:rFonts w:hint="eastAsia"/>
        </w:rPr>
        <w:t>年度1,</w:t>
      </w:r>
      <w:r w:rsidRPr="004F7DD7">
        <w:t>554</w:t>
      </w:r>
      <w:r w:rsidRPr="004F7DD7">
        <w:rPr>
          <w:rFonts w:hint="eastAsia"/>
        </w:rPr>
        <w:t>甕、1,</w:t>
      </w:r>
      <w:r w:rsidRPr="004F7DD7">
        <w:t>937</w:t>
      </w:r>
      <w:r w:rsidRPr="004F7DD7">
        <w:rPr>
          <w:rFonts w:hint="eastAsia"/>
        </w:rPr>
        <w:t>萬5千元降至112年度913甕、1</w:t>
      </w:r>
      <w:r w:rsidRPr="004F7DD7">
        <w:t>,</w:t>
      </w:r>
      <w:r w:rsidRPr="004F7DD7">
        <w:rPr>
          <w:rFonts w:hint="eastAsia"/>
        </w:rPr>
        <w:t>013萬8千元，113年迄10月底再降至488甕、614萬6千元(詳表1</w:t>
      </w:r>
      <w:r w:rsidRPr="004F7DD7">
        <w:t>)</w:t>
      </w:r>
      <w:r w:rsidRPr="004F7DD7">
        <w:rPr>
          <w:rFonts w:hint="eastAsia"/>
        </w:rPr>
        <w:t>，銷售數量與金額皆呈逐年減少趨勢。鑒於酒銀行業務管理不易，業務持續萎縮，該公司爰於111年9月第3次修正</w:t>
      </w:r>
      <w:r w:rsidRPr="004F7DD7">
        <w:rPr>
          <w:rFonts w:hint="eastAsia"/>
        </w:rPr>
        <w:lastRenderedPageBreak/>
        <w:t>「酒銀行商品訂購作業要點」，將寄存分行縮減至嘉義、宜蘭、埔里等</w:t>
      </w:r>
      <w:r w:rsidRPr="004F7DD7">
        <w:t>3</w:t>
      </w:r>
      <w:r w:rsidRPr="004F7DD7">
        <w:rPr>
          <w:rFonts w:hint="eastAsia"/>
        </w:rPr>
        <w:t>酒廠，其餘酒廠僅維持販售功能，酒銀行面積亦自1</w:t>
      </w:r>
      <w:r w:rsidRPr="004F7DD7">
        <w:t>12</w:t>
      </w:r>
      <w:r w:rsidRPr="004F7DD7">
        <w:rPr>
          <w:rFonts w:hint="eastAsia"/>
        </w:rPr>
        <w:t>年7月之</w:t>
      </w:r>
      <w:r w:rsidRPr="004F7DD7">
        <w:t>1,417</w:t>
      </w:r>
      <w:r w:rsidRPr="004F7DD7">
        <w:rPr>
          <w:rFonts w:hint="eastAsia"/>
        </w:rPr>
        <w:t>平方公尺，縮減至113年7月之827平方公尺</w:t>
      </w:r>
      <w:r>
        <w:rPr>
          <w:rFonts w:hint="eastAsia"/>
        </w:rPr>
        <w:t>；</w:t>
      </w:r>
      <w:r w:rsidRPr="004F7DD7">
        <w:rPr>
          <w:rFonts w:hint="eastAsia"/>
        </w:rPr>
        <w:t>而113年7月於嘉義、宜蘭、埔里等3酒廠所存甕酒數各為291甕、96甕及6甕，空間運用比率則各為73%、48%及3%，空間運用狀況有待改善，且桃園及隆田等2酒廠尚有保管客戶寄存之55甕未取回(詳表</w:t>
      </w:r>
      <w:r w:rsidRPr="004F7DD7">
        <w:t>2</w:t>
      </w:r>
      <w:r w:rsidRPr="004F7DD7">
        <w:rPr>
          <w:rFonts w:hint="eastAsia"/>
        </w:rPr>
        <w:t>)，允宜研謀提升空間運用效益並強化寄存商品之管理。</w:t>
      </w:r>
    </w:p>
    <w:p w:rsidR="00C734A5" w:rsidRPr="008F2BBE" w:rsidRDefault="00C734A5" w:rsidP="008F2BBE">
      <w:pPr>
        <w:ind w:leftChars="0" w:left="567" w:hangingChars="200" w:hanging="567"/>
        <w:rPr>
          <w:b/>
          <w:color w:val="000000"/>
          <w:szCs w:val="24"/>
        </w:rPr>
      </w:pPr>
      <w:r w:rsidRPr="008F2BBE">
        <w:rPr>
          <w:rFonts w:hint="eastAsia"/>
          <w:b/>
        </w:rPr>
        <w:t>表</w:t>
      </w:r>
      <w:r w:rsidRPr="008F2BBE">
        <w:rPr>
          <w:b/>
        </w:rPr>
        <w:t>1</w:t>
      </w:r>
      <w:r w:rsidRPr="008F2BBE">
        <w:rPr>
          <w:rFonts w:hint="eastAsia"/>
          <w:b/>
        </w:rPr>
        <w:t xml:space="preserve">  109至114年度臺灣菸酒公司酒銀行商品銷售概況</w:t>
      </w:r>
    </w:p>
    <w:p w:rsidR="00C734A5" w:rsidRPr="004F7DD7" w:rsidRDefault="00C734A5" w:rsidP="008F2BBE">
      <w:pPr>
        <w:adjustRightInd w:val="0"/>
        <w:snapToGrid w:val="0"/>
        <w:spacing w:line="240" w:lineRule="auto"/>
        <w:ind w:leftChars="1822" w:left="5160" w:rightChars="49" w:right="139" w:firstLine="486"/>
        <w:jc w:val="right"/>
        <w:rPr>
          <w:sz w:val="24"/>
          <w:szCs w:val="24"/>
        </w:rPr>
      </w:pPr>
      <w:r w:rsidRPr="004F7DD7">
        <w:rPr>
          <w:sz w:val="24"/>
          <w:szCs w:val="24"/>
        </w:rPr>
        <w:t>單位：甕</w:t>
      </w:r>
      <w:r w:rsidRPr="004F7DD7">
        <w:rPr>
          <w:rFonts w:hint="eastAsia"/>
          <w:sz w:val="24"/>
          <w:szCs w:val="24"/>
        </w:rPr>
        <w:t>；</w:t>
      </w:r>
      <w:r w:rsidRPr="004F7DD7">
        <w:rPr>
          <w:sz w:val="24"/>
          <w:szCs w:val="24"/>
        </w:rPr>
        <w:t>新臺幣千元</w:t>
      </w:r>
    </w:p>
    <w:tbl>
      <w:tblPr>
        <w:tblW w:w="0" w:type="auto"/>
        <w:tblInd w:w="2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3"/>
        <w:gridCol w:w="1370"/>
        <w:gridCol w:w="1371"/>
        <w:gridCol w:w="1370"/>
        <w:gridCol w:w="1370"/>
        <w:gridCol w:w="1494"/>
      </w:tblGrid>
      <w:tr w:rsidR="00C734A5" w:rsidRPr="008F2BBE" w:rsidTr="00B137EB">
        <w:trPr>
          <w:tblHeader/>
        </w:trPr>
        <w:tc>
          <w:tcPr>
            <w:tcW w:w="1263"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項目</w:t>
            </w:r>
          </w:p>
        </w:tc>
        <w:tc>
          <w:tcPr>
            <w:tcW w:w="1370"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09</w:t>
            </w:r>
            <w:r w:rsidRPr="008F2BBE">
              <w:rPr>
                <w:rFonts w:hint="eastAsia"/>
                <w:sz w:val="24"/>
              </w:rPr>
              <w:t>年度</w:t>
            </w:r>
          </w:p>
        </w:tc>
        <w:tc>
          <w:tcPr>
            <w:tcW w:w="1371"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10</w:t>
            </w:r>
            <w:r w:rsidRPr="008F2BBE">
              <w:rPr>
                <w:rFonts w:hint="eastAsia"/>
                <w:sz w:val="24"/>
              </w:rPr>
              <w:t>年度</w:t>
            </w:r>
          </w:p>
        </w:tc>
        <w:tc>
          <w:tcPr>
            <w:tcW w:w="1370"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11</w:t>
            </w:r>
            <w:r w:rsidRPr="008F2BBE">
              <w:rPr>
                <w:rFonts w:hint="eastAsia"/>
                <w:sz w:val="24"/>
              </w:rPr>
              <w:t>年度</w:t>
            </w:r>
          </w:p>
        </w:tc>
        <w:tc>
          <w:tcPr>
            <w:tcW w:w="1370"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12</w:t>
            </w:r>
            <w:r w:rsidRPr="008F2BBE">
              <w:rPr>
                <w:rFonts w:hint="eastAsia"/>
                <w:sz w:val="24"/>
              </w:rPr>
              <w:t>年度</w:t>
            </w:r>
          </w:p>
        </w:tc>
        <w:tc>
          <w:tcPr>
            <w:tcW w:w="1494" w:type="dxa"/>
            <w:shd w:val="clear" w:color="auto" w:fill="auto"/>
            <w:vAlign w:val="center"/>
          </w:tcPr>
          <w:p w:rsidR="00C734A5" w:rsidRPr="008F2BBE" w:rsidRDefault="00C734A5" w:rsidP="00B137EB">
            <w:pPr>
              <w:spacing w:line="280" w:lineRule="exact"/>
              <w:ind w:leftChars="0" w:left="0" w:firstLineChars="0" w:firstLine="0"/>
              <w:jc w:val="center"/>
              <w:rPr>
                <w:sz w:val="24"/>
              </w:rPr>
            </w:pPr>
            <w:r w:rsidRPr="008F2BBE">
              <w:rPr>
                <w:rFonts w:hint="eastAsia"/>
                <w:sz w:val="24"/>
              </w:rPr>
              <w:t>1</w:t>
            </w:r>
            <w:r w:rsidRPr="008F2BBE">
              <w:rPr>
                <w:sz w:val="24"/>
              </w:rPr>
              <w:t>13</w:t>
            </w:r>
            <w:r w:rsidRPr="008F2BBE">
              <w:rPr>
                <w:rFonts w:hint="eastAsia"/>
                <w:sz w:val="24"/>
              </w:rPr>
              <w:t>年度</w:t>
            </w:r>
          </w:p>
        </w:tc>
      </w:tr>
      <w:tr w:rsidR="00C734A5" w:rsidRPr="004F7DD7" w:rsidTr="00B137EB">
        <w:tc>
          <w:tcPr>
            <w:tcW w:w="1263"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銷售數量</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554</w:t>
            </w:r>
          </w:p>
        </w:tc>
        <w:tc>
          <w:tcPr>
            <w:tcW w:w="137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,442</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9</w:t>
            </w:r>
            <w:r w:rsidRPr="004F7DD7">
              <w:rPr>
                <w:sz w:val="24"/>
              </w:rPr>
              <w:t>31</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913</w:t>
            </w:r>
          </w:p>
        </w:tc>
        <w:tc>
          <w:tcPr>
            <w:tcW w:w="149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488</w:t>
            </w:r>
          </w:p>
        </w:tc>
      </w:tr>
      <w:tr w:rsidR="00C734A5" w:rsidRPr="004F7DD7" w:rsidTr="00B137EB">
        <w:tc>
          <w:tcPr>
            <w:tcW w:w="1263"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銷售金額</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9,375</w:t>
            </w:r>
          </w:p>
        </w:tc>
        <w:tc>
          <w:tcPr>
            <w:tcW w:w="137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5,842</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w:t>
            </w:r>
            <w:r w:rsidRPr="004F7DD7">
              <w:rPr>
                <w:sz w:val="24"/>
              </w:rPr>
              <w:t>1,293</w:t>
            </w:r>
          </w:p>
        </w:tc>
        <w:tc>
          <w:tcPr>
            <w:tcW w:w="137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10,138</w:t>
            </w:r>
          </w:p>
        </w:tc>
        <w:tc>
          <w:tcPr>
            <w:tcW w:w="149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r w:rsidRPr="004F7DD7">
              <w:rPr>
                <w:sz w:val="24"/>
              </w:rPr>
              <w:t>146</w:t>
            </w:r>
          </w:p>
        </w:tc>
      </w:tr>
    </w:tbl>
    <w:p w:rsidR="00C734A5" w:rsidRPr="004F7DD7" w:rsidRDefault="00C734A5" w:rsidP="00C734A5">
      <w:pPr>
        <w:pStyle w:val="142"/>
        <w:ind w:leftChars="39" w:left="110"/>
      </w:pPr>
      <w:r w:rsidRPr="004F7DD7">
        <w:rPr>
          <w:rFonts w:hint="eastAsia"/>
        </w:rPr>
        <w:t>說    明：109至112年度為決算數，113年度係迄10月底執行數。</w:t>
      </w:r>
    </w:p>
    <w:p w:rsidR="00C734A5" w:rsidRPr="004F7DD7" w:rsidRDefault="00C734A5" w:rsidP="00C734A5">
      <w:pPr>
        <w:pStyle w:val="142"/>
        <w:ind w:leftChars="44" w:left="125"/>
        <w:rPr>
          <w:b/>
        </w:rPr>
      </w:pPr>
      <w:r w:rsidRPr="004F7DD7">
        <w:rPr>
          <w:rFonts w:hint="eastAsia"/>
        </w:rPr>
        <w:t>資料來源：臺灣菸酒公</w:t>
      </w:r>
      <w:r w:rsidRPr="004F7DD7">
        <w:rPr>
          <w:rFonts w:hint="eastAsia"/>
          <w:snapToGrid/>
        </w:rPr>
        <w:t>司提供</w:t>
      </w:r>
      <w:r w:rsidRPr="004F7DD7">
        <w:rPr>
          <w:rFonts w:hAnsi="標楷體" w:hint="eastAsia"/>
          <w:snapToGrid/>
        </w:rPr>
        <w:t>。</w:t>
      </w:r>
    </w:p>
    <w:p w:rsidR="00C734A5" w:rsidRPr="004F7DD7" w:rsidRDefault="00C734A5" w:rsidP="00C734A5">
      <w:pPr>
        <w:adjustRightInd w:val="0"/>
        <w:spacing w:beforeLines="50" w:before="250"/>
        <w:ind w:leftChars="50" w:left="851" w:hangingChars="250" w:hanging="709"/>
      </w:pPr>
      <w:r w:rsidRPr="004F7DD7">
        <w:rPr>
          <w:rFonts w:hint="eastAsia"/>
          <w:b/>
        </w:rPr>
        <w:t>表</w:t>
      </w:r>
      <w:r w:rsidRPr="004F7DD7">
        <w:rPr>
          <w:b/>
        </w:rPr>
        <w:t>2</w:t>
      </w:r>
      <w:r w:rsidRPr="004F7DD7">
        <w:rPr>
          <w:rFonts w:hint="eastAsia"/>
          <w:b/>
        </w:rPr>
        <w:t xml:space="preserve">  臺灣菸酒公司酒銀行設置與營運概況表 </w:t>
      </w:r>
      <w:r w:rsidRPr="004F7DD7">
        <w:rPr>
          <w:sz w:val="24"/>
        </w:rPr>
        <w:t>單位：平方公尺</w:t>
      </w:r>
      <w:r w:rsidRPr="004F7DD7">
        <w:rPr>
          <w:rFonts w:hint="eastAsia"/>
          <w:sz w:val="24"/>
        </w:rPr>
        <w:t>；</w:t>
      </w:r>
      <w:r w:rsidRPr="004F7DD7">
        <w:rPr>
          <w:sz w:val="24"/>
        </w:rPr>
        <w:t>甕</w:t>
      </w:r>
      <w:r w:rsidRPr="004F7DD7">
        <w:rPr>
          <w:rFonts w:hint="eastAsia"/>
          <w:sz w:val="24"/>
        </w:rPr>
        <w:t>；%</w:t>
      </w:r>
    </w:p>
    <w:tbl>
      <w:tblPr>
        <w:tblW w:w="820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31"/>
        <w:gridCol w:w="934"/>
        <w:gridCol w:w="935"/>
        <w:gridCol w:w="934"/>
        <w:gridCol w:w="935"/>
        <w:gridCol w:w="934"/>
        <w:gridCol w:w="935"/>
        <w:gridCol w:w="934"/>
        <w:gridCol w:w="935"/>
      </w:tblGrid>
      <w:tr w:rsidR="00C734A5" w:rsidRPr="004F7DD7" w:rsidTr="00B137EB">
        <w:trPr>
          <w:trHeight w:val="170"/>
          <w:tblHeader/>
          <w:jc w:val="center"/>
        </w:trPr>
        <w:tc>
          <w:tcPr>
            <w:tcW w:w="731" w:type="dxa"/>
            <w:vMerge w:val="restart"/>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酒廠別</w:t>
            </w:r>
          </w:p>
        </w:tc>
        <w:tc>
          <w:tcPr>
            <w:tcW w:w="3738" w:type="dxa"/>
            <w:gridSpan w:val="4"/>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11</w:t>
            </w:r>
            <w:r w:rsidRPr="004F7DD7">
              <w:rPr>
                <w:rFonts w:hint="eastAsia"/>
                <w:sz w:val="24"/>
              </w:rPr>
              <w:t>2</w:t>
            </w:r>
            <w:r w:rsidRPr="004F7DD7">
              <w:rPr>
                <w:sz w:val="24"/>
              </w:rPr>
              <w:t>年</w:t>
            </w:r>
            <w:r w:rsidRPr="004F7DD7">
              <w:rPr>
                <w:rFonts w:hint="eastAsia"/>
                <w:sz w:val="24"/>
              </w:rPr>
              <w:t>7</w:t>
            </w:r>
            <w:r w:rsidRPr="004F7DD7">
              <w:rPr>
                <w:sz w:val="24"/>
              </w:rPr>
              <w:t>月</w:t>
            </w:r>
          </w:p>
        </w:tc>
        <w:tc>
          <w:tcPr>
            <w:tcW w:w="3738" w:type="dxa"/>
            <w:gridSpan w:val="4"/>
            <w:vAlign w:val="center"/>
          </w:tcPr>
          <w:p w:rsidR="00C734A5" w:rsidRPr="004F7DD7" w:rsidRDefault="00C734A5" w:rsidP="00B137EB">
            <w:pPr>
              <w:spacing w:line="280" w:lineRule="exact"/>
              <w:ind w:leftChars="0" w:left="0" w:firstLineChars="0" w:firstLine="0"/>
              <w:jc w:val="center"/>
              <w:rPr>
                <w:sz w:val="24"/>
              </w:rPr>
            </w:pPr>
            <w:r w:rsidRPr="004F7DD7">
              <w:rPr>
                <w:sz w:val="24"/>
              </w:rPr>
              <w:t>11</w:t>
            </w:r>
            <w:r w:rsidRPr="004F7DD7">
              <w:rPr>
                <w:rFonts w:hint="eastAsia"/>
                <w:sz w:val="24"/>
              </w:rPr>
              <w:t>3</w:t>
            </w:r>
            <w:r w:rsidRPr="004F7DD7">
              <w:rPr>
                <w:sz w:val="24"/>
              </w:rPr>
              <w:t>年</w:t>
            </w:r>
            <w:r w:rsidRPr="004F7DD7">
              <w:rPr>
                <w:rFonts w:hint="eastAsia"/>
                <w:sz w:val="24"/>
              </w:rPr>
              <w:t>7</w:t>
            </w:r>
            <w:r w:rsidRPr="004F7DD7">
              <w:rPr>
                <w:sz w:val="24"/>
              </w:rPr>
              <w:t>月</w:t>
            </w:r>
          </w:p>
        </w:tc>
      </w:tr>
      <w:tr w:rsidR="00C734A5" w:rsidRPr="004F7DD7" w:rsidTr="00B137EB">
        <w:trPr>
          <w:trHeight w:val="170"/>
          <w:tblHeader/>
          <w:jc w:val="center"/>
        </w:trPr>
        <w:tc>
          <w:tcPr>
            <w:tcW w:w="731" w:type="dxa"/>
            <w:vMerge/>
            <w:shd w:val="clear" w:color="auto" w:fill="auto"/>
            <w:vAlign w:val="center"/>
          </w:tcPr>
          <w:p w:rsidR="00C734A5" w:rsidRPr="004F7DD7" w:rsidRDefault="00C734A5" w:rsidP="00B137EB">
            <w:pPr>
              <w:spacing w:line="280" w:lineRule="exact"/>
              <w:ind w:leftChars="0" w:left="0" w:firstLineChars="0" w:firstLine="0"/>
              <w:jc w:val="center"/>
              <w:rPr>
                <w:sz w:val="24"/>
              </w:rPr>
            </w:pPr>
          </w:p>
        </w:tc>
        <w:tc>
          <w:tcPr>
            <w:tcW w:w="934"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酒銀行面積</w:t>
            </w:r>
          </w:p>
        </w:tc>
        <w:tc>
          <w:tcPr>
            <w:tcW w:w="93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可容納酒甕數</w:t>
            </w:r>
          </w:p>
        </w:tc>
        <w:tc>
          <w:tcPr>
            <w:tcW w:w="934"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現存酒甕數</w:t>
            </w:r>
          </w:p>
        </w:tc>
        <w:tc>
          <w:tcPr>
            <w:tcW w:w="93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空間運用比率</w:t>
            </w:r>
          </w:p>
        </w:tc>
        <w:tc>
          <w:tcPr>
            <w:tcW w:w="934" w:type="dxa"/>
            <w:vAlign w:val="center"/>
          </w:tcPr>
          <w:p w:rsidR="00C734A5" w:rsidRPr="004F7DD7" w:rsidRDefault="00C734A5" w:rsidP="00B137EB">
            <w:pPr>
              <w:spacing w:line="280" w:lineRule="exact"/>
              <w:ind w:leftChars="0" w:left="0" w:firstLineChars="0" w:firstLine="0"/>
              <w:jc w:val="center"/>
              <w:rPr>
                <w:sz w:val="24"/>
              </w:rPr>
            </w:pPr>
            <w:r w:rsidRPr="004F7DD7">
              <w:rPr>
                <w:sz w:val="24"/>
              </w:rPr>
              <w:t>酒銀行面積</w:t>
            </w:r>
          </w:p>
        </w:tc>
        <w:tc>
          <w:tcPr>
            <w:tcW w:w="935" w:type="dxa"/>
            <w:vAlign w:val="center"/>
          </w:tcPr>
          <w:p w:rsidR="00C734A5" w:rsidRPr="004F7DD7" w:rsidRDefault="00C734A5" w:rsidP="00B137EB">
            <w:pPr>
              <w:spacing w:line="280" w:lineRule="exact"/>
              <w:ind w:leftChars="0" w:left="0" w:firstLineChars="0" w:firstLine="0"/>
              <w:jc w:val="center"/>
              <w:rPr>
                <w:sz w:val="24"/>
              </w:rPr>
            </w:pPr>
            <w:r w:rsidRPr="004F7DD7">
              <w:rPr>
                <w:sz w:val="24"/>
              </w:rPr>
              <w:t>可容納酒甕數</w:t>
            </w:r>
          </w:p>
        </w:tc>
        <w:tc>
          <w:tcPr>
            <w:tcW w:w="934" w:type="dxa"/>
            <w:vAlign w:val="center"/>
          </w:tcPr>
          <w:p w:rsidR="00C734A5" w:rsidRPr="004F7DD7" w:rsidRDefault="00C734A5" w:rsidP="00B137EB">
            <w:pPr>
              <w:spacing w:line="280" w:lineRule="exact"/>
              <w:ind w:leftChars="0" w:left="0" w:firstLineChars="0" w:firstLine="0"/>
              <w:jc w:val="center"/>
              <w:rPr>
                <w:sz w:val="24"/>
              </w:rPr>
            </w:pPr>
            <w:r w:rsidRPr="004F7DD7">
              <w:rPr>
                <w:sz w:val="24"/>
              </w:rPr>
              <w:t>現存酒甕數</w:t>
            </w:r>
          </w:p>
        </w:tc>
        <w:tc>
          <w:tcPr>
            <w:tcW w:w="935" w:type="dxa"/>
            <w:vAlign w:val="center"/>
          </w:tcPr>
          <w:p w:rsidR="00C734A5" w:rsidRPr="004F7DD7" w:rsidRDefault="00C734A5" w:rsidP="00B137EB">
            <w:pPr>
              <w:spacing w:line="280" w:lineRule="exact"/>
              <w:ind w:leftChars="0" w:left="0" w:firstLineChars="0" w:firstLine="0"/>
              <w:jc w:val="center"/>
              <w:rPr>
                <w:sz w:val="24"/>
              </w:rPr>
            </w:pPr>
            <w:r w:rsidRPr="004F7DD7">
              <w:rPr>
                <w:sz w:val="24"/>
              </w:rPr>
              <w:t>空間運用比率</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合計</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1,417</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1,740</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605</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r w:rsidRPr="004F7DD7">
              <w:rPr>
                <w:rFonts w:hint="eastAsia"/>
                <w:sz w:val="24"/>
              </w:rPr>
              <w:t>5</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827</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800</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448</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56</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桃園</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22</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15</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臺中</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嘉義</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825</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1,200</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358</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30</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280</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400</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291</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73</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花蓮</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3</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宜蘭</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382</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300</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15</w:t>
            </w:r>
            <w:r w:rsidRPr="004F7DD7">
              <w:rPr>
                <w:rFonts w:hint="eastAsia"/>
                <w:sz w:val="24"/>
              </w:rPr>
              <w:t>7</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52</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382</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200</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96</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48</w:t>
            </w:r>
          </w:p>
        </w:tc>
      </w:tr>
      <w:tr w:rsidR="00C734A5" w:rsidRPr="004F7DD7" w:rsidTr="00B137EB">
        <w:trPr>
          <w:trHeight w:val="170"/>
          <w:jc w:val="center"/>
        </w:trPr>
        <w:tc>
          <w:tcPr>
            <w:tcW w:w="731" w:type="dxa"/>
            <w:shd w:val="clear" w:color="auto" w:fill="auto"/>
            <w:vAlign w:val="center"/>
            <w:hideMark/>
          </w:tcPr>
          <w:p w:rsidR="00C734A5" w:rsidRPr="004F7DD7" w:rsidRDefault="00C734A5" w:rsidP="00B137EB">
            <w:pPr>
              <w:spacing w:line="280" w:lineRule="exact"/>
              <w:ind w:leftChars="0" w:left="0" w:firstLineChars="0" w:firstLine="0"/>
              <w:jc w:val="center"/>
              <w:rPr>
                <w:sz w:val="24"/>
              </w:rPr>
            </w:pPr>
            <w:r w:rsidRPr="004F7DD7">
              <w:rPr>
                <w:sz w:val="24"/>
              </w:rPr>
              <w:t>埔里</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210</w:t>
            </w:r>
          </w:p>
        </w:tc>
        <w:tc>
          <w:tcPr>
            <w:tcW w:w="935" w:type="dxa"/>
          </w:tcPr>
          <w:p w:rsidR="00C734A5" w:rsidRPr="004F7DD7" w:rsidRDefault="00C734A5" w:rsidP="00B137EB">
            <w:pPr>
              <w:spacing w:line="280" w:lineRule="exact"/>
              <w:ind w:leftChars="0" w:left="0" w:firstLineChars="0" w:firstLine="0"/>
              <w:jc w:val="right"/>
              <w:rPr>
                <w:sz w:val="24"/>
              </w:rPr>
            </w:pPr>
            <w:r w:rsidRPr="004F7DD7">
              <w:rPr>
                <w:sz w:val="24"/>
              </w:rPr>
              <w:t>240</w:t>
            </w:r>
          </w:p>
        </w:tc>
        <w:tc>
          <w:tcPr>
            <w:tcW w:w="934" w:type="dxa"/>
          </w:tcPr>
          <w:p w:rsidR="00C734A5" w:rsidRPr="004F7DD7" w:rsidRDefault="00C734A5" w:rsidP="00B137EB">
            <w:pPr>
              <w:spacing w:line="280" w:lineRule="exact"/>
              <w:ind w:leftChars="0" w:left="0" w:firstLineChars="0" w:firstLine="0"/>
              <w:jc w:val="right"/>
              <w:rPr>
                <w:sz w:val="24"/>
              </w:rPr>
            </w:pPr>
            <w:r w:rsidRPr="004F7DD7">
              <w:rPr>
                <w:sz w:val="24"/>
              </w:rPr>
              <w:t>1</w:t>
            </w:r>
            <w:r w:rsidRPr="004F7DD7">
              <w:rPr>
                <w:rFonts w:hint="eastAsia"/>
                <w:sz w:val="24"/>
              </w:rPr>
              <w:t>6</w:t>
            </w:r>
          </w:p>
        </w:tc>
        <w:tc>
          <w:tcPr>
            <w:tcW w:w="935" w:type="dxa"/>
          </w:tcPr>
          <w:p w:rsidR="00C734A5" w:rsidRPr="004F7DD7" w:rsidRDefault="00C734A5" w:rsidP="00B137EB">
            <w:pPr>
              <w:spacing w:line="280" w:lineRule="exact"/>
              <w:ind w:leftChars="0" w:left="0" w:firstLineChars="0" w:firstLine="0"/>
              <w:jc w:val="right"/>
              <w:rPr>
                <w:sz w:val="24"/>
              </w:rPr>
            </w:pPr>
            <w:r w:rsidRPr="004F7DD7">
              <w:rPr>
                <w:rFonts w:hint="eastAsia"/>
                <w:sz w:val="24"/>
              </w:rPr>
              <w:t>7</w:t>
            </w:r>
          </w:p>
        </w:tc>
        <w:tc>
          <w:tcPr>
            <w:tcW w:w="934" w:type="dxa"/>
            <w:shd w:val="clear" w:color="auto" w:fill="auto"/>
          </w:tcPr>
          <w:p w:rsidR="00C734A5" w:rsidRPr="004F7DD7" w:rsidRDefault="00C734A5" w:rsidP="00B137EB">
            <w:pPr>
              <w:spacing w:line="280" w:lineRule="exact"/>
              <w:ind w:leftChars="0" w:left="0" w:firstLineChars="0" w:firstLine="0"/>
              <w:jc w:val="right"/>
              <w:rPr>
                <w:sz w:val="24"/>
              </w:rPr>
            </w:pPr>
            <w:r w:rsidRPr="004F7DD7">
              <w:rPr>
                <w:rFonts w:hint="eastAsia"/>
                <w:sz w:val="24"/>
              </w:rPr>
              <w:t>165</w:t>
            </w:r>
          </w:p>
        </w:tc>
        <w:tc>
          <w:tcPr>
            <w:tcW w:w="935" w:type="dxa"/>
            <w:shd w:val="clear" w:color="auto" w:fill="auto"/>
          </w:tcPr>
          <w:p w:rsidR="00C734A5" w:rsidRPr="004F7DD7" w:rsidRDefault="00C734A5" w:rsidP="00B137EB">
            <w:pPr>
              <w:spacing w:line="280" w:lineRule="exact"/>
              <w:ind w:leftChars="0" w:left="0" w:firstLineChars="0" w:firstLine="0"/>
              <w:jc w:val="right"/>
              <w:rPr>
                <w:sz w:val="24"/>
              </w:rPr>
            </w:pPr>
            <w:r w:rsidRPr="004F7DD7">
              <w:rPr>
                <w:rFonts w:hint="eastAsia"/>
                <w:sz w:val="24"/>
              </w:rPr>
              <w:t>200</w:t>
            </w:r>
          </w:p>
        </w:tc>
        <w:tc>
          <w:tcPr>
            <w:tcW w:w="934" w:type="dxa"/>
            <w:shd w:val="clear" w:color="auto" w:fill="auto"/>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p>
        </w:tc>
        <w:tc>
          <w:tcPr>
            <w:tcW w:w="935" w:type="dxa"/>
            <w:shd w:val="clear" w:color="auto" w:fill="auto"/>
          </w:tcPr>
          <w:p w:rsidR="00C734A5" w:rsidRPr="004F7DD7" w:rsidRDefault="00C734A5" w:rsidP="00B137EB">
            <w:pPr>
              <w:spacing w:line="280" w:lineRule="exact"/>
              <w:ind w:leftChars="0" w:left="0" w:firstLineChars="0" w:firstLine="0"/>
              <w:jc w:val="right"/>
              <w:rPr>
                <w:sz w:val="24"/>
              </w:rPr>
            </w:pPr>
            <w:r w:rsidRPr="004F7DD7">
              <w:rPr>
                <w:rFonts w:hint="eastAsia"/>
                <w:sz w:val="24"/>
              </w:rPr>
              <w:t>3</w:t>
            </w:r>
          </w:p>
        </w:tc>
      </w:tr>
      <w:tr w:rsidR="00C734A5" w:rsidRPr="004F7DD7" w:rsidTr="00B137EB">
        <w:trPr>
          <w:trHeight w:val="170"/>
          <w:jc w:val="center"/>
        </w:trPr>
        <w:tc>
          <w:tcPr>
            <w:tcW w:w="731"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隆田</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49</w:t>
            </w:r>
          </w:p>
        </w:tc>
        <w:tc>
          <w:tcPr>
            <w:tcW w:w="935" w:type="dxa"/>
            <w:vAlign w:val="center"/>
          </w:tcPr>
          <w:p w:rsidR="00C734A5" w:rsidRPr="004F7DD7" w:rsidRDefault="00C734A5" w:rsidP="00B137EB">
            <w:pPr>
              <w:spacing w:line="280" w:lineRule="exact"/>
              <w:ind w:leftChars="0" w:left="0" w:firstLineChars="0" w:firstLine="0"/>
              <w:jc w:val="right"/>
              <w:rPr>
                <w:sz w:val="24"/>
              </w:rPr>
            </w:pPr>
            <w:r w:rsidRPr="004F7DD7">
              <w:rPr>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c>
          <w:tcPr>
            <w:tcW w:w="93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40</w:t>
            </w:r>
          </w:p>
        </w:tc>
        <w:tc>
          <w:tcPr>
            <w:tcW w:w="935"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w:t>
            </w:r>
          </w:p>
        </w:tc>
      </w:tr>
    </w:tbl>
    <w:p w:rsidR="00C734A5" w:rsidRPr="004F7DD7" w:rsidRDefault="00C734A5" w:rsidP="0098459A">
      <w:pPr>
        <w:spacing w:line="280" w:lineRule="exact"/>
        <w:ind w:leftChars="50" w:left="1560" w:hangingChars="583" w:hanging="1418"/>
        <w:jc w:val="left"/>
        <w:rPr>
          <w:sz w:val="24"/>
        </w:rPr>
      </w:pPr>
      <w:r w:rsidRPr="004F7DD7">
        <w:rPr>
          <w:rFonts w:hint="eastAsia"/>
          <w:sz w:val="24"/>
        </w:rPr>
        <w:t>說</w:t>
      </w:r>
      <w:r w:rsidRPr="004F7DD7">
        <w:rPr>
          <w:sz w:val="24"/>
        </w:rPr>
        <w:t xml:space="preserve">    </w:t>
      </w:r>
      <w:r w:rsidRPr="004F7DD7">
        <w:rPr>
          <w:rFonts w:hint="eastAsia"/>
          <w:sz w:val="24"/>
        </w:rPr>
        <w:t>明</w:t>
      </w:r>
      <w:r w:rsidR="00401658">
        <w:rPr>
          <w:rFonts w:hint="eastAsia"/>
          <w:sz w:val="24"/>
        </w:rPr>
        <w:t>：</w:t>
      </w:r>
      <w:r w:rsidRPr="004F7DD7">
        <w:rPr>
          <w:rFonts w:hint="eastAsia"/>
          <w:sz w:val="24"/>
        </w:rPr>
        <w:t>1.113年10月桃園及隆田酒廠之酒銀行業務已停止，惟尚有寄存之酒甕待領回。</w:t>
      </w:r>
    </w:p>
    <w:p w:rsidR="00C734A5" w:rsidRPr="004F7DD7" w:rsidRDefault="00C734A5" w:rsidP="00C734A5">
      <w:pPr>
        <w:spacing w:line="280" w:lineRule="exact"/>
        <w:ind w:leftChars="430" w:left="1218" w:firstLineChars="23" w:firstLine="56"/>
        <w:jc w:val="left"/>
        <w:rPr>
          <w:sz w:val="24"/>
        </w:rPr>
      </w:pPr>
      <w:r w:rsidRPr="004F7DD7">
        <w:rPr>
          <w:rFonts w:hint="eastAsia"/>
          <w:sz w:val="24"/>
        </w:rPr>
        <w:t>2.空間運用比率=</w:t>
      </w:r>
      <w:r w:rsidRPr="004F7DD7">
        <w:rPr>
          <w:sz w:val="24"/>
        </w:rPr>
        <w:t>現存酒甕數</w:t>
      </w:r>
      <w:r w:rsidRPr="004F7DD7">
        <w:rPr>
          <w:rFonts w:hint="eastAsia"/>
          <w:sz w:val="24"/>
        </w:rPr>
        <w:t>/</w:t>
      </w:r>
      <w:r w:rsidRPr="004F7DD7">
        <w:rPr>
          <w:sz w:val="24"/>
        </w:rPr>
        <w:t>可容納酒甕數</w:t>
      </w:r>
      <w:r w:rsidRPr="004F7DD7">
        <w:rPr>
          <w:rFonts w:hint="eastAsia"/>
          <w:sz w:val="24"/>
        </w:rPr>
        <w:t>X100%</w:t>
      </w:r>
      <w:r w:rsidR="0098459A">
        <w:rPr>
          <w:rFonts w:hint="eastAsia"/>
          <w:sz w:val="24"/>
        </w:rPr>
        <w:t>。</w:t>
      </w:r>
    </w:p>
    <w:p w:rsidR="00C734A5" w:rsidRPr="004F7DD7" w:rsidRDefault="00C734A5" w:rsidP="00C734A5">
      <w:pPr>
        <w:spacing w:line="280" w:lineRule="exact"/>
        <w:ind w:leftChars="50" w:left="142" w:firstLineChars="0" w:firstLine="0"/>
        <w:jc w:val="left"/>
        <w:rPr>
          <w:rFonts w:hAnsi="標楷體"/>
          <w:snapToGrid/>
          <w:sz w:val="24"/>
        </w:rPr>
      </w:pPr>
      <w:r w:rsidRPr="004F7DD7">
        <w:rPr>
          <w:rFonts w:hint="eastAsia"/>
          <w:sz w:val="24"/>
        </w:rPr>
        <w:t>資料來源：臺灣菸酒公</w:t>
      </w:r>
      <w:r w:rsidRPr="004F7DD7">
        <w:rPr>
          <w:rFonts w:hint="eastAsia"/>
          <w:snapToGrid/>
          <w:sz w:val="24"/>
        </w:rPr>
        <w:t>司提供</w:t>
      </w:r>
      <w:r w:rsidRPr="004F7DD7">
        <w:rPr>
          <w:rFonts w:hAnsi="標楷體" w:hint="eastAsia"/>
          <w:snapToGrid/>
          <w:sz w:val="24"/>
        </w:rPr>
        <w:t>。</w:t>
      </w:r>
    </w:p>
    <w:p w:rsidR="00C734A5" w:rsidRPr="004F7DD7" w:rsidRDefault="00C734A5" w:rsidP="00001C41">
      <w:pPr>
        <w:pStyle w:val="a5"/>
        <w:ind w:left="849" w:hanging="283"/>
      </w:pPr>
      <w:r w:rsidRPr="004F7DD7">
        <w:rPr>
          <w:rFonts w:hint="eastAsia"/>
        </w:rPr>
        <w:t>(二)酒銀行商品逾寄存期限之處理程序待精進，允宜妥慎研謀規劃</w:t>
      </w:r>
    </w:p>
    <w:p w:rsidR="00C734A5" w:rsidRPr="004F7DD7" w:rsidRDefault="00C734A5" w:rsidP="00001C41">
      <w:pPr>
        <w:pStyle w:val="21"/>
        <w:ind w:left="850" w:firstLine="566"/>
      </w:pPr>
      <w:r w:rsidRPr="004F7DD7">
        <w:rPr>
          <w:rFonts w:hint="eastAsia"/>
        </w:rPr>
        <w:t>依據「臺灣菸酒公司酒銀行商品訂購作業要點」規定略以，消費者可於各酒廠展售中心訂購27公升以上之甕酒並寄存於酒</w:t>
      </w:r>
      <w:r w:rsidRPr="004F7DD7">
        <w:rPr>
          <w:rFonts w:hint="eastAsia"/>
        </w:rPr>
        <w:lastRenderedPageBreak/>
        <w:t>銀行，每甕可免費於購買分行寄存1年，於期滿後付費續存3年，續存期間每年每甕收取保管費。迄112年底，該公司酒銀行計有24件商品逾寄放期限，其中18件為烈酒，6件為釀造酒(詳表3</w:t>
      </w:r>
      <w:r w:rsidRPr="004F7DD7">
        <w:t>)</w:t>
      </w:r>
      <w:r w:rsidRPr="004F7DD7">
        <w:rPr>
          <w:rFonts w:hint="eastAsia"/>
        </w:rPr>
        <w:t>，據該公司表示，當逾期違約金累計金額等同於寄存商品之購買時價款，該公司將以寄存商品抵銷寄存費用，寄存商品之所有權將自動移轉予該公司。鑒於各酒廠辦理酒銀行商品之帳務處理與逾寄存期限處理作業未臻明確，且倘品質發生變異，恐難以釐清保管責任，易衍生消費糾紛並徒增保管作業負擔，允宜賡續精進相關管理作業。</w:t>
      </w:r>
    </w:p>
    <w:p w:rsidR="00C734A5" w:rsidRPr="004F7DD7" w:rsidRDefault="00C734A5" w:rsidP="00001C41">
      <w:pPr>
        <w:ind w:left="566" w:firstLine="566"/>
      </w:pPr>
      <w:r w:rsidRPr="004F7DD7">
        <w:rPr>
          <w:rFonts w:hint="eastAsia"/>
        </w:rPr>
        <w:t>綜上，臺灣菸酒公司109年度以來酒銀行業務銷售數量與金額皆逐年減少，且酒銀行商品帳務與逾寄存期限處理等作業未臻明確，後續恐衍生消費糾紛及增加保管責任，允宜研謀精進相關管理作業，以提升銷售額及增進空間運用效益。</w:t>
      </w:r>
    </w:p>
    <w:p w:rsidR="00C734A5" w:rsidRPr="004F7DD7" w:rsidRDefault="00C734A5" w:rsidP="00001C41">
      <w:pPr>
        <w:adjustRightInd w:val="0"/>
        <w:ind w:leftChars="101" w:left="853" w:hangingChars="200" w:hanging="567"/>
        <w:jc w:val="left"/>
      </w:pPr>
      <w:r w:rsidRPr="004F7DD7">
        <w:rPr>
          <w:rFonts w:hint="eastAsia"/>
          <w:b/>
        </w:rPr>
        <w:t>表3  1</w:t>
      </w:r>
      <w:r w:rsidRPr="004F7DD7">
        <w:rPr>
          <w:b/>
        </w:rPr>
        <w:t>12</w:t>
      </w:r>
      <w:r w:rsidRPr="004F7DD7">
        <w:rPr>
          <w:rFonts w:hint="eastAsia"/>
          <w:b/>
        </w:rPr>
        <w:t>年底止酒銀行保管商品逾寄存期限概況表</w:t>
      </w:r>
      <w:r w:rsidRPr="004F7DD7">
        <w:rPr>
          <w:rFonts w:hint="eastAsia"/>
        </w:rPr>
        <w:t xml:space="preserve">  </w:t>
      </w:r>
      <w:r w:rsidR="00001C41">
        <w:t xml:space="preserve"> </w:t>
      </w:r>
      <w:r w:rsidRPr="004F7DD7">
        <w:rPr>
          <w:rFonts w:hint="eastAsia"/>
        </w:rPr>
        <w:t xml:space="preserve">  </w:t>
      </w:r>
      <w:r w:rsidRPr="004F7DD7">
        <w:rPr>
          <w:rFonts w:hint="eastAsia"/>
          <w:sz w:val="24"/>
          <w:szCs w:val="24"/>
        </w:rPr>
        <w:t>單位：甕</w:t>
      </w:r>
    </w:p>
    <w:tbl>
      <w:tblPr>
        <w:tblW w:w="0" w:type="auto"/>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5"/>
        <w:gridCol w:w="1124"/>
        <w:gridCol w:w="1124"/>
        <w:gridCol w:w="1110"/>
        <w:gridCol w:w="1110"/>
        <w:gridCol w:w="1110"/>
        <w:gridCol w:w="1111"/>
      </w:tblGrid>
      <w:tr w:rsidR="00C734A5" w:rsidRPr="004F7DD7" w:rsidTr="00B137EB">
        <w:trPr>
          <w:tblHeader/>
        </w:trPr>
        <w:tc>
          <w:tcPr>
            <w:tcW w:w="1275" w:type="dxa"/>
            <w:vMerge w:val="restart"/>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酒廠別</w:t>
            </w:r>
          </w:p>
        </w:tc>
        <w:tc>
          <w:tcPr>
            <w:tcW w:w="3358" w:type="dxa"/>
            <w:gridSpan w:val="3"/>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酒銀行保管商品數量</w:t>
            </w:r>
          </w:p>
        </w:tc>
        <w:tc>
          <w:tcPr>
            <w:tcW w:w="3331" w:type="dxa"/>
            <w:gridSpan w:val="3"/>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逾寄存期限數量</w:t>
            </w:r>
          </w:p>
        </w:tc>
      </w:tr>
      <w:tr w:rsidR="00C734A5" w:rsidRPr="004F7DD7" w:rsidTr="00B137EB">
        <w:trPr>
          <w:tblHeader/>
        </w:trPr>
        <w:tc>
          <w:tcPr>
            <w:tcW w:w="1275" w:type="dxa"/>
            <w:vMerge/>
            <w:shd w:val="clear" w:color="auto" w:fill="auto"/>
            <w:vAlign w:val="center"/>
          </w:tcPr>
          <w:p w:rsidR="00C734A5" w:rsidRPr="004F7DD7" w:rsidRDefault="00C734A5" w:rsidP="00B137EB">
            <w:pPr>
              <w:spacing w:line="280" w:lineRule="exact"/>
              <w:ind w:leftChars="0" w:left="0" w:firstLineChars="0" w:firstLine="0"/>
              <w:jc w:val="center"/>
              <w:rPr>
                <w:sz w:val="24"/>
              </w:rPr>
            </w:pPr>
          </w:p>
        </w:tc>
        <w:tc>
          <w:tcPr>
            <w:tcW w:w="1124"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合計</w:t>
            </w:r>
          </w:p>
        </w:tc>
        <w:tc>
          <w:tcPr>
            <w:tcW w:w="1124"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烈酒</w:t>
            </w:r>
          </w:p>
        </w:tc>
        <w:tc>
          <w:tcPr>
            <w:tcW w:w="1110"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釀造酒</w:t>
            </w:r>
          </w:p>
        </w:tc>
        <w:tc>
          <w:tcPr>
            <w:tcW w:w="1110"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合計</w:t>
            </w:r>
          </w:p>
        </w:tc>
        <w:tc>
          <w:tcPr>
            <w:tcW w:w="1110"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烈酒</w:t>
            </w:r>
          </w:p>
        </w:tc>
        <w:tc>
          <w:tcPr>
            <w:tcW w:w="1111"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rFonts w:hint="eastAsia"/>
                <w:sz w:val="24"/>
              </w:rPr>
              <w:t>釀造酒</w:t>
            </w:r>
          </w:p>
        </w:tc>
      </w:tr>
      <w:tr w:rsidR="00C734A5" w:rsidRPr="004F7DD7" w:rsidTr="00B137EB">
        <w:tc>
          <w:tcPr>
            <w:tcW w:w="1275" w:type="dxa"/>
            <w:shd w:val="clear" w:color="auto" w:fill="auto"/>
          </w:tcPr>
          <w:p w:rsidR="00C734A5" w:rsidRPr="004F7DD7" w:rsidRDefault="00C734A5" w:rsidP="00B137EB">
            <w:pPr>
              <w:spacing w:line="280" w:lineRule="exact"/>
              <w:ind w:leftChars="0" w:left="0" w:firstLineChars="0" w:firstLine="0"/>
              <w:jc w:val="center"/>
              <w:rPr>
                <w:sz w:val="24"/>
              </w:rPr>
            </w:pPr>
            <w:r w:rsidRPr="004F7DD7">
              <w:rPr>
                <w:rFonts w:hint="eastAsia"/>
                <w:sz w:val="24"/>
              </w:rPr>
              <w:t>合計</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633</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612</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21</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24</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18</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桃園</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22</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19</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15</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15</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臺中</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嘉義</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479</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479</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3</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3</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屏東</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花蓮</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宜蘭</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1</w:t>
            </w:r>
            <w:r w:rsidRPr="004F7DD7">
              <w:rPr>
                <w:rFonts w:hint="eastAsia"/>
                <w:sz w:val="24"/>
              </w:rPr>
              <w:t>09</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106</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3</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埔里</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16</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12</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6</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南投</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r w:rsidR="00C734A5" w:rsidRPr="004F7DD7" w:rsidTr="00B137EB">
        <w:tc>
          <w:tcPr>
            <w:tcW w:w="1275" w:type="dxa"/>
            <w:shd w:val="clear" w:color="auto" w:fill="auto"/>
            <w:vAlign w:val="center"/>
          </w:tcPr>
          <w:p w:rsidR="00C734A5" w:rsidRPr="004F7DD7" w:rsidRDefault="00C734A5" w:rsidP="00B137EB">
            <w:pPr>
              <w:spacing w:line="280" w:lineRule="exact"/>
              <w:ind w:leftChars="0" w:left="0" w:firstLineChars="0" w:firstLine="0"/>
              <w:jc w:val="center"/>
              <w:rPr>
                <w:sz w:val="24"/>
              </w:rPr>
            </w:pPr>
            <w:r w:rsidRPr="004F7DD7">
              <w:rPr>
                <w:sz w:val="24"/>
              </w:rPr>
              <w:t>隆田</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w:t>
            </w:r>
          </w:p>
        </w:tc>
        <w:tc>
          <w:tcPr>
            <w:tcW w:w="1124"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sz w:val="24"/>
              </w:rPr>
              <w:t>4</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0"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c>
          <w:tcPr>
            <w:tcW w:w="1111" w:type="dxa"/>
            <w:shd w:val="clear" w:color="auto" w:fill="auto"/>
            <w:vAlign w:val="center"/>
          </w:tcPr>
          <w:p w:rsidR="00C734A5" w:rsidRPr="004F7DD7" w:rsidRDefault="00C734A5" w:rsidP="00B137EB">
            <w:pPr>
              <w:spacing w:line="280" w:lineRule="exact"/>
              <w:ind w:leftChars="0" w:left="0" w:firstLineChars="0" w:firstLine="0"/>
              <w:jc w:val="right"/>
              <w:rPr>
                <w:sz w:val="24"/>
              </w:rPr>
            </w:pPr>
            <w:r w:rsidRPr="004F7DD7">
              <w:rPr>
                <w:rFonts w:hint="eastAsia"/>
                <w:sz w:val="24"/>
              </w:rPr>
              <w:t>0</w:t>
            </w:r>
          </w:p>
        </w:tc>
      </w:tr>
    </w:tbl>
    <w:p w:rsidR="00C734A5" w:rsidRPr="004F7DD7" w:rsidRDefault="00C734A5" w:rsidP="00001C41">
      <w:pPr>
        <w:spacing w:line="280" w:lineRule="exact"/>
        <w:ind w:leftChars="100" w:left="283" w:firstLineChars="0" w:firstLine="0"/>
        <w:jc w:val="left"/>
        <w:rPr>
          <w:sz w:val="24"/>
        </w:rPr>
      </w:pPr>
      <w:r w:rsidRPr="004F7DD7">
        <w:rPr>
          <w:rFonts w:hint="eastAsia"/>
          <w:sz w:val="24"/>
        </w:rPr>
        <w:t>資料來源</w:t>
      </w:r>
      <w:r w:rsidR="00401658">
        <w:rPr>
          <w:rFonts w:hint="eastAsia"/>
          <w:sz w:val="24"/>
        </w:rPr>
        <w:t>：</w:t>
      </w:r>
      <w:r w:rsidRPr="004F7DD7">
        <w:rPr>
          <w:rFonts w:hint="eastAsia"/>
          <w:sz w:val="24"/>
        </w:rPr>
        <w:t>臺灣菸酒公司提供</w:t>
      </w:r>
      <w:r w:rsidR="00001C41">
        <w:rPr>
          <w:rFonts w:hint="eastAsia"/>
          <w:sz w:val="24"/>
        </w:rPr>
        <w:t>。</w:t>
      </w:r>
    </w:p>
    <w:bookmarkEnd w:id="1"/>
    <w:bookmarkEnd w:id="2"/>
    <w:bookmarkEnd w:id="3"/>
    <w:bookmarkEnd w:id="4"/>
    <w:bookmarkEnd w:id="5"/>
    <w:bookmarkEnd w:id="6"/>
    <w:bookmarkEnd w:id="7"/>
    <w:bookmarkEnd w:id="8"/>
    <w:bookmarkEnd w:id="9"/>
    <w:bookmarkEnd w:id="10"/>
    <w:sectPr w:rsidR="00C734A5" w:rsidRPr="004F7DD7"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5B2365" w:rsidRPr="005B236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365"/>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0A1CDC3-87AC-4F1E-B65D-71D74363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89648-5C0F-4827-BFC0-2BE33F53D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337</Words>
  <Characters>1922</Characters>
  <Application>Microsoft Office Word</Application>
  <DocSecurity>0</DocSecurity>
  <Lines>16</Lines>
  <Paragraphs>4</Paragraphs>
  <ScaleCrop>false</ScaleCrop>
  <Company>HOME</Company>
  <LinksUpToDate>false</LinksUpToDate>
  <CharactersWithSpaces>2255</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2024-11-27T02:36:00Z</dcterms:created>
  <dcterms:modified xsi:type="dcterms:W3CDTF">2024-11-27T02:36:00Z</dcterms:modified>
</cp:coreProperties>
</file>