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95" w:rsidRPr="0070050A" w:rsidRDefault="00CD2ECE" w:rsidP="00D1576E">
      <w:pPr>
        <w:pStyle w:val="ab"/>
        <w:ind w:left="14" w:hanging="14"/>
      </w:pPr>
      <w:bookmarkStart w:id="0" w:name="_GoBack"/>
      <w:bookmarkEnd w:id="0"/>
      <w:r w:rsidRPr="00CD2ECE">
        <w:rPr>
          <w:rFonts w:hint="eastAsia"/>
        </w:rPr>
        <w:t>財政部主管112年度單位決算評估報告</w:t>
      </w:r>
    </w:p>
    <w:p w:rsidR="00CD2ECE" w:rsidRDefault="00CD2ECE" w:rsidP="00CD2ECE">
      <w:pPr>
        <w:pStyle w:val="14"/>
        <w:ind w:left="567" w:hanging="567"/>
      </w:pPr>
      <w:bookmarkStart w:id="1" w:name="_Toc82538064"/>
      <w:bookmarkStart w:id="2" w:name="_Toc209267999"/>
      <w:bookmarkStart w:id="3" w:name="_Toc525897599"/>
      <w:bookmarkStart w:id="4" w:name="_Toc528157107"/>
      <w:bookmarkStart w:id="5" w:name="_Toc369353016"/>
      <w:bookmarkStart w:id="6" w:name="_Toc371604938"/>
      <w:bookmarkStart w:id="7" w:name="_Toc400370549"/>
      <w:bookmarkStart w:id="8" w:name="_Toc184321547"/>
      <w:bookmarkStart w:id="9" w:name="_Toc184636467"/>
      <w:r>
        <w:rPr>
          <w:rFonts w:hint="eastAsia"/>
        </w:rPr>
        <w:t>一</w:t>
      </w:r>
      <w:r w:rsidRPr="001950B0">
        <w:rPr>
          <w:rFonts w:hint="eastAsia"/>
        </w:rPr>
        <w:t>、</w:t>
      </w:r>
      <w:bookmarkEnd w:id="5"/>
      <w:bookmarkEnd w:id="6"/>
      <w:bookmarkEnd w:id="7"/>
      <w:r w:rsidRPr="00B668DB">
        <w:rPr>
          <w:rFonts w:hint="eastAsia"/>
        </w:rPr>
        <w:t>近</w:t>
      </w:r>
      <w:r>
        <w:rPr>
          <w:rFonts w:hint="eastAsia"/>
        </w:rPr>
        <w:t>3</w:t>
      </w:r>
      <w:r w:rsidRPr="00B668DB">
        <w:rPr>
          <w:rFonts w:hint="eastAsia"/>
        </w:rPr>
        <w:t>年度</w:t>
      </w:r>
      <w:r w:rsidR="00A810AA">
        <w:rPr>
          <w:rFonts w:hint="eastAsia"/>
        </w:rPr>
        <w:t>，</w:t>
      </w:r>
      <w:r w:rsidRPr="00B668DB">
        <w:rPr>
          <w:rFonts w:hint="eastAsia"/>
        </w:rPr>
        <w:t>中央政府一年以上公共債務未償餘額</w:t>
      </w:r>
      <w:r>
        <w:rPr>
          <w:rFonts w:hint="eastAsia"/>
        </w:rPr>
        <w:t>實際</w:t>
      </w:r>
      <w:r w:rsidRPr="00B668DB">
        <w:rPr>
          <w:rFonts w:hint="eastAsia"/>
        </w:rPr>
        <w:t>數</w:t>
      </w:r>
      <w:r>
        <w:rPr>
          <w:rFonts w:hint="eastAsia"/>
        </w:rPr>
        <w:t>逐年</w:t>
      </w:r>
      <w:r w:rsidRPr="00B668DB">
        <w:rPr>
          <w:rFonts w:hint="eastAsia"/>
        </w:rPr>
        <w:t>上升，</w:t>
      </w:r>
      <w:r>
        <w:rPr>
          <w:rFonts w:hint="eastAsia"/>
        </w:rPr>
        <w:t>平均每人負擔債務亦呈增加趨勢，</w:t>
      </w:r>
      <w:r w:rsidRPr="00B668DB">
        <w:rPr>
          <w:rFonts w:hint="eastAsia"/>
        </w:rPr>
        <w:t>允宜</w:t>
      </w:r>
      <w:r>
        <w:rPr>
          <w:rFonts w:hint="eastAsia"/>
        </w:rPr>
        <w:t>加強</w:t>
      </w:r>
      <w:r w:rsidRPr="00B668DB">
        <w:rPr>
          <w:rFonts w:hint="eastAsia"/>
        </w:rPr>
        <w:t>債務規模</w:t>
      </w:r>
      <w:r>
        <w:rPr>
          <w:rFonts w:hint="eastAsia"/>
        </w:rPr>
        <w:t>之管控</w:t>
      </w:r>
      <w:r w:rsidRPr="00B668DB">
        <w:rPr>
          <w:rFonts w:hint="eastAsia"/>
        </w:rPr>
        <w:t>，以維財政健全</w:t>
      </w:r>
      <w:bookmarkEnd w:id="8"/>
      <w:bookmarkEnd w:id="9"/>
    </w:p>
    <w:p w:rsidR="00CD2ECE" w:rsidRDefault="00CD2ECE" w:rsidP="00CD2ECE">
      <w:pPr>
        <w:ind w:left="566" w:firstLine="566"/>
      </w:pPr>
      <w:r w:rsidRPr="00B668DB">
        <w:rPr>
          <w:rFonts w:hint="eastAsia"/>
        </w:rPr>
        <w:t>近</w:t>
      </w:r>
      <w:r>
        <w:rPr>
          <w:rFonts w:hint="eastAsia"/>
        </w:rPr>
        <w:t>3</w:t>
      </w:r>
      <w:r w:rsidRPr="00B668DB">
        <w:rPr>
          <w:rFonts w:hint="eastAsia"/>
        </w:rPr>
        <w:t>年度(1</w:t>
      </w:r>
      <w:r>
        <w:rPr>
          <w:rFonts w:hint="eastAsia"/>
        </w:rPr>
        <w:t>10</w:t>
      </w:r>
      <w:r w:rsidRPr="00B668DB">
        <w:rPr>
          <w:rFonts w:hint="eastAsia"/>
        </w:rPr>
        <w:t>至112年度，以下同)</w:t>
      </w:r>
      <w:r w:rsidRPr="006F2FF7">
        <w:rPr>
          <w:rFonts w:hint="eastAsia"/>
        </w:rPr>
        <w:t>中央政府</w:t>
      </w:r>
      <w:r w:rsidRPr="00297177">
        <w:rPr>
          <w:rFonts w:hint="eastAsia"/>
        </w:rPr>
        <w:t>稅課收入</w:t>
      </w:r>
      <w:r>
        <w:rPr>
          <w:rFonts w:hint="eastAsia"/>
        </w:rPr>
        <w:t>決算數</w:t>
      </w:r>
      <w:r w:rsidRPr="00297177">
        <w:rPr>
          <w:rFonts w:hint="eastAsia"/>
        </w:rPr>
        <w:t>屢創新高</w:t>
      </w:r>
      <w:r w:rsidRPr="00B668DB">
        <w:rPr>
          <w:rFonts w:hint="eastAsia"/>
        </w:rPr>
        <w:t>，惟中央政府一年以上公共債務未償餘額</w:t>
      </w:r>
      <w:r>
        <w:rPr>
          <w:rFonts w:hint="eastAsia"/>
        </w:rPr>
        <w:t>實際</w:t>
      </w:r>
      <w:r w:rsidRPr="00B668DB">
        <w:rPr>
          <w:rFonts w:hint="eastAsia"/>
        </w:rPr>
        <w:t>數亦</w:t>
      </w:r>
      <w:r>
        <w:rPr>
          <w:rFonts w:hint="eastAsia"/>
        </w:rPr>
        <w:t>逐年</w:t>
      </w:r>
      <w:r w:rsidRPr="00B668DB">
        <w:rPr>
          <w:rFonts w:hint="eastAsia"/>
        </w:rPr>
        <w:t>上升。經查：</w:t>
      </w:r>
    </w:p>
    <w:p w:rsidR="00CD2ECE" w:rsidRDefault="00CD2ECE" w:rsidP="00CD2ECE">
      <w:pPr>
        <w:pStyle w:val="a4"/>
        <w:ind w:left="849" w:hanging="283"/>
        <w:rPr>
          <w:b/>
        </w:rPr>
      </w:pPr>
      <w:r>
        <w:rPr>
          <w:rFonts w:hint="eastAsia"/>
          <w:b/>
        </w:rPr>
        <w:t>(一)110</w:t>
      </w:r>
      <w:r w:rsidRPr="006F2FF7">
        <w:rPr>
          <w:rFonts w:hint="eastAsia"/>
          <w:b/>
        </w:rPr>
        <w:t>年度起中央政府稅課收入決算數</w:t>
      </w:r>
      <w:r w:rsidRPr="008F6445">
        <w:rPr>
          <w:rFonts w:hint="eastAsia"/>
          <w:b/>
        </w:rPr>
        <w:t>屢創新高</w:t>
      </w:r>
      <w:r w:rsidRPr="006F2FF7">
        <w:rPr>
          <w:rFonts w:hint="eastAsia"/>
          <w:b/>
        </w:rPr>
        <w:t>，</w:t>
      </w:r>
      <w:r>
        <w:rPr>
          <w:rFonts w:hint="eastAsia"/>
          <w:b/>
        </w:rPr>
        <w:t>3年間</w:t>
      </w:r>
      <w:r w:rsidRPr="008F6445">
        <w:rPr>
          <w:rFonts w:hint="eastAsia"/>
          <w:b/>
        </w:rPr>
        <w:t>平均</w:t>
      </w:r>
      <w:r>
        <w:rPr>
          <w:rFonts w:hint="eastAsia"/>
          <w:b/>
        </w:rPr>
        <w:t>預算達成率</w:t>
      </w:r>
      <w:r>
        <w:rPr>
          <w:b/>
        </w:rPr>
        <w:t>1</w:t>
      </w:r>
      <w:r>
        <w:rPr>
          <w:rFonts w:hint="eastAsia"/>
          <w:b/>
        </w:rPr>
        <w:t>17.6</w:t>
      </w:r>
      <w:r w:rsidRPr="006F2FF7">
        <w:rPr>
          <w:rFonts w:hint="eastAsia"/>
          <w:b/>
        </w:rPr>
        <w:t>%</w:t>
      </w:r>
    </w:p>
    <w:p w:rsidR="00CD2ECE" w:rsidRDefault="00CD2ECE" w:rsidP="00CD2ECE">
      <w:pPr>
        <w:pStyle w:val="21"/>
        <w:ind w:left="850" w:firstLine="566"/>
      </w:pPr>
      <w:r>
        <w:rPr>
          <w:rFonts w:hint="eastAsia"/>
        </w:rPr>
        <w:t>彙整近3年度</w:t>
      </w:r>
      <w:r w:rsidRPr="006F2FF7">
        <w:rPr>
          <w:rFonts w:hint="eastAsia"/>
        </w:rPr>
        <w:t>中央政府稅課收入</w:t>
      </w:r>
      <w:r>
        <w:rPr>
          <w:rFonts w:hint="eastAsia"/>
        </w:rPr>
        <w:t>預、決算</w:t>
      </w:r>
      <w:r w:rsidRPr="006F2FF7">
        <w:rPr>
          <w:rFonts w:hint="eastAsia"/>
        </w:rPr>
        <w:t>數</w:t>
      </w:r>
      <w:r>
        <w:rPr>
          <w:rFonts w:hint="eastAsia"/>
        </w:rPr>
        <w:t>情形(詳表1)，110年度預算數僅1.67兆餘元，決算數除首度突破2</w:t>
      </w:r>
      <w:r w:rsidRPr="006F2FF7">
        <w:rPr>
          <w:rFonts w:hint="eastAsia"/>
        </w:rPr>
        <w:t>兆</w:t>
      </w:r>
      <w:r>
        <w:rPr>
          <w:rFonts w:hint="eastAsia"/>
        </w:rPr>
        <w:t>餘</w:t>
      </w:r>
      <w:r w:rsidRPr="006F2FF7">
        <w:rPr>
          <w:rFonts w:hint="eastAsia"/>
        </w:rPr>
        <w:t>元</w:t>
      </w:r>
      <w:r>
        <w:rPr>
          <w:rFonts w:hint="eastAsia"/>
        </w:rPr>
        <w:t>外，並超逾預算數達3</w:t>
      </w:r>
      <w:r>
        <w:t>,252</w:t>
      </w:r>
      <w:r>
        <w:rPr>
          <w:rFonts w:hint="eastAsia"/>
        </w:rPr>
        <w:t>億餘元，其後2年連年上升，11</w:t>
      </w:r>
      <w:r>
        <w:t>2</w:t>
      </w:r>
      <w:r>
        <w:rPr>
          <w:rFonts w:hint="eastAsia"/>
        </w:rPr>
        <w:t>年度稅課收入決算數為2兆4</w:t>
      </w:r>
      <w:r>
        <w:t>,882</w:t>
      </w:r>
      <w:r>
        <w:rPr>
          <w:rFonts w:hint="eastAsia"/>
        </w:rPr>
        <w:t>億餘元。近3年度</w:t>
      </w:r>
      <w:r w:rsidRPr="006F2FF7">
        <w:rPr>
          <w:rFonts w:hint="eastAsia"/>
        </w:rPr>
        <w:t>中央政府</w:t>
      </w:r>
      <w:r>
        <w:rPr>
          <w:rFonts w:hint="eastAsia"/>
        </w:rPr>
        <w:t>稅課收入決算數合計超逾預算數1兆188億餘元，預算達成率介於113.4%至1</w:t>
      </w:r>
      <w:r>
        <w:t>21</w:t>
      </w:r>
      <w:r>
        <w:rPr>
          <w:rFonts w:hint="eastAsia"/>
        </w:rPr>
        <w:t>.0%間，</w:t>
      </w:r>
      <w:r w:rsidRPr="006F2FF7">
        <w:rPr>
          <w:rFonts w:hint="eastAsia"/>
        </w:rPr>
        <w:t>平均</w:t>
      </w:r>
      <w:r>
        <w:rPr>
          <w:rFonts w:hint="eastAsia"/>
        </w:rPr>
        <w:t>預算達成率為117.6</w:t>
      </w:r>
      <w:r>
        <w:t>%</w:t>
      </w:r>
      <w:r>
        <w:rPr>
          <w:rFonts w:hint="eastAsia"/>
        </w:rPr>
        <w:t>。</w:t>
      </w:r>
    </w:p>
    <w:p w:rsidR="00CD2ECE" w:rsidRDefault="00CD2ECE" w:rsidP="00CD2ECE">
      <w:pPr>
        <w:ind w:leftChars="0" w:left="1701" w:rightChars="-50" w:right="-142" w:hangingChars="600" w:hanging="1701"/>
        <w:jc w:val="left"/>
        <w:rPr>
          <w:b/>
        </w:rPr>
      </w:pPr>
      <w:r>
        <w:rPr>
          <w:rFonts w:hint="eastAsia"/>
          <w:b/>
        </w:rPr>
        <w:t xml:space="preserve">      </w:t>
      </w:r>
      <w:r w:rsidRPr="0060232F">
        <w:rPr>
          <w:rFonts w:hint="eastAsia"/>
          <w:b/>
        </w:rPr>
        <w:t>表</w:t>
      </w:r>
      <w:r>
        <w:rPr>
          <w:rFonts w:hint="eastAsia"/>
          <w:b/>
        </w:rPr>
        <w:t xml:space="preserve">1  </w:t>
      </w:r>
      <w:r w:rsidRPr="0060232F">
        <w:rPr>
          <w:rFonts w:hint="eastAsia"/>
          <w:b/>
        </w:rPr>
        <w:t>中央政府</w:t>
      </w:r>
      <w:r>
        <w:rPr>
          <w:rFonts w:hint="eastAsia"/>
          <w:b/>
        </w:rPr>
        <w:t>110至112年度稅課收入</w:t>
      </w:r>
      <w:r w:rsidRPr="00DE6D14">
        <w:rPr>
          <w:rFonts w:hint="eastAsia"/>
          <w:b/>
        </w:rPr>
        <w:t>概況表</w:t>
      </w:r>
    </w:p>
    <w:p w:rsidR="00CD2ECE" w:rsidRDefault="00CD2ECE" w:rsidP="00CD2ECE">
      <w:pPr>
        <w:spacing w:line="320" w:lineRule="exact"/>
        <w:ind w:leftChars="0" w:left="1459" w:rightChars="-50" w:right="-142" w:hangingChars="600" w:hanging="1459"/>
        <w:jc w:val="right"/>
        <w:rPr>
          <w:b/>
        </w:rPr>
      </w:pP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新臺幣千元；%</w:t>
      </w:r>
    </w:p>
    <w:tbl>
      <w:tblPr>
        <w:tblW w:w="7823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842"/>
        <w:gridCol w:w="1843"/>
        <w:gridCol w:w="1701"/>
        <w:gridCol w:w="1161"/>
      </w:tblGrid>
      <w:tr w:rsidR="00CD2ECE" w:rsidRPr="000912CC" w:rsidTr="001B0D1E">
        <w:trPr>
          <w:trHeight w:val="340"/>
          <w:tblHeader/>
        </w:trPr>
        <w:tc>
          <w:tcPr>
            <w:tcW w:w="1276" w:type="dxa"/>
            <w:shd w:val="clear" w:color="auto" w:fill="auto"/>
            <w:noWrap/>
            <w:vAlign w:val="center"/>
          </w:tcPr>
          <w:p w:rsidR="00CD2ECE" w:rsidRPr="00D6301E" w:rsidRDefault="00CD2ECE" w:rsidP="001B0D1E">
            <w:pPr>
              <w:pStyle w:val="142"/>
              <w:jc w:val="center"/>
              <w:rPr>
                <w:b/>
              </w:rPr>
            </w:pPr>
            <w:r w:rsidRPr="00D6301E">
              <w:rPr>
                <w:rFonts w:hint="eastAsia"/>
                <w:b/>
              </w:rPr>
              <w:t>年度\項目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D2ECE" w:rsidRPr="00D6301E" w:rsidRDefault="00CD2ECE" w:rsidP="001B0D1E">
            <w:pPr>
              <w:pStyle w:val="142"/>
              <w:jc w:val="center"/>
              <w:rPr>
                <w:b/>
              </w:rPr>
            </w:pPr>
            <w:r w:rsidRPr="00D6301E">
              <w:rPr>
                <w:rFonts w:hint="eastAsia"/>
                <w:b/>
              </w:rPr>
              <w:t>決算</w:t>
            </w:r>
            <w:r>
              <w:rPr>
                <w:rFonts w:hint="eastAsia"/>
                <w:b/>
              </w:rPr>
              <w:t>審定數</w:t>
            </w:r>
            <w:r w:rsidRPr="00D6301E">
              <w:rPr>
                <w:rFonts w:hint="eastAsia"/>
                <w:b/>
              </w:rPr>
              <w:t>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D2ECE" w:rsidRPr="00D6301E" w:rsidRDefault="00CD2ECE" w:rsidP="001B0D1E">
            <w:pPr>
              <w:pStyle w:val="142"/>
              <w:jc w:val="center"/>
              <w:rPr>
                <w:b/>
              </w:rPr>
            </w:pPr>
            <w:r w:rsidRPr="00D6301E">
              <w:rPr>
                <w:rFonts w:hint="eastAsia"/>
                <w:b/>
              </w:rPr>
              <w:t>預算數B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2ECE" w:rsidRPr="00D6301E" w:rsidRDefault="00CD2ECE" w:rsidP="001B0D1E">
            <w:pPr>
              <w:pStyle w:val="142"/>
              <w:jc w:val="center"/>
              <w:rPr>
                <w:b/>
              </w:rPr>
            </w:pPr>
            <w:r w:rsidRPr="00D6301E">
              <w:rPr>
                <w:rFonts w:hint="eastAsia"/>
                <w:b/>
              </w:rPr>
              <w:t>A-B</w:t>
            </w:r>
          </w:p>
        </w:tc>
        <w:tc>
          <w:tcPr>
            <w:tcW w:w="1161" w:type="dxa"/>
          </w:tcPr>
          <w:p w:rsidR="00CD2ECE" w:rsidRPr="00D6301E" w:rsidRDefault="00CD2ECE" w:rsidP="001B0D1E">
            <w:pPr>
              <w:pStyle w:val="142"/>
              <w:jc w:val="center"/>
              <w:rPr>
                <w:b/>
              </w:rPr>
            </w:pPr>
            <w:r w:rsidRPr="00B668DB">
              <w:rPr>
                <w:rFonts w:hint="eastAsia"/>
                <w:b/>
                <w:spacing w:val="-20"/>
              </w:rPr>
              <w:t>預算達成率</w:t>
            </w:r>
            <w:r>
              <w:rPr>
                <w:rFonts w:hint="eastAsia"/>
                <w:b/>
              </w:rPr>
              <w:t>A/B*100%</w:t>
            </w:r>
          </w:p>
        </w:tc>
      </w:tr>
      <w:tr w:rsidR="00CD2ECE" w:rsidRPr="000912CC" w:rsidTr="001B0D1E">
        <w:trPr>
          <w:trHeight w:hRule="exact" w:val="340"/>
        </w:trPr>
        <w:tc>
          <w:tcPr>
            <w:tcW w:w="1276" w:type="dxa"/>
            <w:shd w:val="clear" w:color="auto" w:fill="auto"/>
            <w:noWrap/>
            <w:vAlign w:val="center"/>
          </w:tcPr>
          <w:p w:rsidR="00CD2ECE" w:rsidRPr="000912CC" w:rsidRDefault="00CD2ECE" w:rsidP="001B0D1E">
            <w:pPr>
              <w:pStyle w:val="142"/>
              <w:jc w:val="center"/>
            </w:pPr>
            <w:r w:rsidRPr="000912CC">
              <w:rPr>
                <w:rFonts w:hint="eastAsia"/>
              </w:rPr>
              <w:t>110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D2ECE" w:rsidRPr="000912CC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,003,781,919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D2ECE" w:rsidRPr="000912CC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1,678,542,000</w:t>
            </w:r>
          </w:p>
        </w:tc>
        <w:tc>
          <w:tcPr>
            <w:tcW w:w="1701" w:type="dxa"/>
            <w:vAlign w:val="center"/>
          </w:tcPr>
          <w:p w:rsidR="00CD2ECE" w:rsidRPr="000912CC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25,239,919</w:t>
            </w:r>
          </w:p>
        </w:tc>
        <w:tc>
          <w:tcPr>
            <w:tcW w:w="1161" w:type="dxa"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19.</w:t>
            </w:r>
            <w:r>
              <w:rPr>
                <w:rFonts w:hint="eastAsia"/>
              </w:rPr>
              <w:t>4</w:t>
            </w:r>
          </w:p>
        </w:tc>
      </w:tr>
      <w:tr w:rsidR="00CD2ECE" w:rsidRPr="000912CC" w:rsidTr="001B0D1E">
        <w:trPr>
          <w:trHeight w:hRule="exact" w:val="340"/>
        </w:trPr>
        <w:tc>
          <w:tcPr>
            <w:tcW w:w="1276" w:type="dxa"/>
            <w:shd w:val="clear" w:color="auto" w:fill="auto"/>
            <w:noWrap/>
            <w:vAlign w:val="center"/>
          </w:tcPr>
          <w:p w:rsidR="00CD2ECE" w:rsidRPr="000912CC" w:rsidRDefault="00CD2ECE" w:rsidP="001B0D1E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,304,002,321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,903,767,300</w:t>
            </w:r>
          </w:p>
        </w:tc>
        <w:tc>
          <w:tcPr>
            <w:tcW w:w="1701" w:type="dxa"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00,235,021</w:t>
            </w:r>
          </w:p>
        </w:tc>
        <w:tc>
          <w:tcPr>
            <w:tcW w:w="1161" w:type="dxa"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21.0</w:t>
            </w:r>
          </w:p>
        </w:tc>
      </w:tr>
      <w:tr w:rsidR="00CD2ECE" w:rsidRPr="000912CC" w:rsidTr="001B0D1E">
        <w:trPr>
          <w:trHeight w:hRule="exact" w:val="340"/>
        </w:trPr>
        <w:tc>
          <w:tcPr>
            <w:tcW w:w="1276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488</w:t>
            </w:r>
            <w:r>
              <w:t>,</w:t>
            </w:r>
            <w:r>
              <w:rPr>
                <w:rFonts w:hint="eastAsia"/>
              </w:rPr>
              <w:t>277</w:t>
            </w:r>
            <w:r>
              <w:t>,</w:t>
            </w:r>
            <w:r>
              <w:rPr>
                <w:rFonts w:hint="eastAsia"/>
              </w:rPr>
              <w:t>928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,194,910,000</w:t>
            </w:r>
          </w:p>
        </w:tc>
        <w:tc>
          <w:tcPr>
            <w:tcW w:w="1701" w:type="dxa"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93,367,928</w:t>
            </w:r>
          </w:p>
        </w:tc>
        <w:tc>
          <w:tcPr>
            <w:tcW w:w="1161" w:type="dxa"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13.</w:t>
            </w:r>
            <w:r>
              <w:rPr>
                <w:rFonts w:hint="eastAsia"/>
              </w:rPr>
              <w:t>4</w:t>
            </w:r>
          </w:p>
        </w:tc>
      </w:tr>
      <w:tr w:rsidR="00CD2ECE" w:rsidRPr="000912CC" w:rsidTr="001B0D1E">
        <w:trPr>
          <w:trHeight w:hRule="exact" w:val="340"/>
        </w:trPr>
        <w:tc>
          <w:tcPr>
            <w:tcW w:w="1276" w:type="dxa"/>
            <w:shd w:val="clear" w:color="auto" w:fill="auto"/>
            <w:noWrap/>
            <w:vAlign w:val="center"/>
          </w:tcPr>
          <w:p w:rsidR="00CD2ECE" w:rsidRPr="000912CC" w:rsidRDefault="00CD2ECE" w:rsidP="001B0D1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,</w:t>
            </w:r>
            <w:r>
              <w:rPr>
                <w:rFonts w:hint="eastAsia"/>
              </w:rPr>
              <w:t>796</w:t>
            </w:r>
            <w:r>
              <w:t>,</w:t>
            </w:r>
            <w:r>
              <w:rPr>
                <w:rFonts w:hint="eastAsia"/>
              </w:rPr>
              <w:t>062</w:t>
            </w:r>
            <w:r>
              <w:t>,</w:t>
            </w:r>
            <w:r>
              <w:rPr>
                <w:rFonts w:hint="eastAsia"/>
              </w:rPr>
              <w:t>168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5,777,219,300</w:t>
            </w:r>
          </w:p>
        </w:tc>
        <w:tc>
          <w:tcPr>
            <w:tcW w:w="1701" w:type="dxa"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1,</w:t>
            </w:r>
            <w:r>
              <w:t>0</w:t>
            </w:r>
            <w:r>
              <w:rPr>
                <w:rFonts w:hint="eastAsia"/>
              </w:rPr>
              <w:t>1</w:t>
            </w:r>
            <w:r>
              <w:t>8</w:t>
            </w:r>
            <w:r>
              <w:rPr>
                <w:rFonts w:hint="eastAsia"/>
              </w:rPr>
              <w:t>,842,868</w:t>
            </w:r>
          </w:p>
        </w:tc>
        <w:tc>
          <w:tcPr>
            <w:tcW w:w="1161" w:type="dxa"/>
            <w:vAlign w:val="center"/>
          </w:tcPr>
          <w:p w:rsidR="00CD2ECE" w:rsidRDefault="00CD2ECE" w:rsidP="001B0D1E">
            <w:pPr>
              <w:pStyle w:val="142"/>
              <w:jc w:val="right"/>
            </w:pPr>
            <w:r>
              <w:rPr>
                <w:rFonts w:hint="eastAsia"/>
              </w:rPr>
              <w:t>117.6</w:t>
            </w:r>
          </w:p>
        </w:tc>
      </w:tr>
    </w:tbl>
    <w:p w:rsidR="00CD2ECE" w:rsidRDefault="00CD2ECE" w:rsidP="00CD2ECE">
      <w:pPr>
        <w:pStyle w:val="142"/>
      </w:pPr>
      <w:r>
        <w:rPr>
          <w:rFonts w:hint="eastAsia"/>
          <w:b/>
        </w:rPr>
        <w:t xml:space="preserve">       </w:t>
      </w:r>
      <w:r>
        <w:rPr>
          <w:rFonts w:hint="eastAsia"/>
        </w:rPr>
        <w:t>資料來源：審計部110至112</w:t>
      </w:r>
      <w:r w:rsidRPr="002201CC">
        <w:rPr>
          <w:rFonts w:hint="eastAsia"/>
        </w:rPr>
        <w:t>年度中央政府總決算</w:t>
      </w:r>
      <w:r>
        <w:rPr>
          <w:rFonts w:hint="eastAsia"/>
        </w:rPr>
        <w:t>審核報告</w:t>
      </w:r>
      <w:r w:rsidRPr="002201CC">
        <w:rPr>
          <w:rFonts w:hint="eastAsia"/>
        </w:rPr>
        <w:t>。</w:t>
      </w:r>
    </w:p>
    <w:p w:rsidR="00CD2ECE" w:rsidRDefault="00CD2ECE" w:rsidP="00CD2ECE">
      <w:pPr>
        <w:pStyle w:val="a4"/>
        <w:ind w:left="849" w:hanging="283"/>
        <w:rPr>
          <w:b/>
        </w:rPr>
      </w:pPr>
      <w:r>
        <w:rPr>
          <w:rFonts w:hint="eastAsia"/>
          <w:b/>
        </w:rPr>
        <w:t>(二)近3年度，</w:t>
      </w:r>
      <w:r w:rsidRPr="004620D2">
        <w:rPr>
          <w:rFonts w:hint="eastAsia"/>
          <w:b/>
        </w:rPr>
        <w:t>中央政府</w:t>
      </w:r>
      <w:r w:rsidRPr="00702A8F">
        <w:rPr>
          <w:rFonts w:hint="eastAsia"/>
          <w:b/>
        </w:rPr>
        <w:t>一年以上公共債務未償餘額</w:t>
      </w:r>
      <w:r>
        <w:rPr>
          <w:rFonts w:hint="eastAsia"/>
          <w:b/>
        </w:rPr>
        <w:t>實際數逐年</w:t>
      </w:r>
      <w:r w:rsidRPr="002201CC">
        <w:rPr>
          <w:rFonts w:hint="eastAsia"/>
          <w:b/>
        </w:rPr>
        <w:t>上升</w:t>
      </w:r>
      <w:r>
        <w:rPr>
          <w:rFonts w:hint="eastAsia"/>
          <w:b/>
        </w:rPr>
        <w:t>，</w:t>
      </w:r>
      <w:r w:rsidRPr="00551BAE">
        <w:rPr>
          <w:rFonts w:hint="eastAsia"/>
          <w:b/>
        </w:rPr>
        <w:t>長期債務比率</w:t>
      </w:r>
      <w:r>
        <w:rPr>
          <w:rFonts w:hint="eastAsia"/>
          <w:b/>
        </w:rPr>
        <w:t>介於2</w:t>
      </w:r>
      <w:r>
        <w:rPr>
          <w:b/>
        </w:rPr>
        <w:t>7.</w:t>
      </w:r>
      <w:r>
        <w:rPr>
          <w:rFonts w:hint="eastAsia"/>
          <w:b/>
        </w:rPr>
        <w:t>0%至2</w:t>
      </w:r>
      <w:r>
        <w:rPr>
          <w:b/>
        </w:rPr>
        <w:t>9.</w:t>
      </w:r>
      <w:r>
        <w:rPr>
          <w:rFonts w:hint="eastAsia"/>
          <w:b/>
        </w:rPr>
        <w:t>8%間，惟平均每人負擔債務概成增加趨勢</w:t>
      </w:r>
    </w:p>
    <w:p w:rsidR="00CD2ECE" w:rsidRDefault="00CD2ECE" w:rsidP="00CD2ECE">
      <w:pPr>
        <w:pStyle w:val="21"/>
        <w:ind w:left="850" w:firstLine="566"/>
      </w:pPr>
      <w:r w:rsidRPr="002201CC">
        <w:rPr>
          <w:rFonts w:hint="eastAsia"/>
        </w:rPr>
        <w:t>據國庫署公布</w:t>
      </w:r>
      <w:r>
        <w:rPr>
          <w:rFonts w:hint="eastAsia"/>
        </w:rPr>
        <w:t>110至112年度相關債務數據(詳表2)，110年度中央政府一年以上公共債務未償餘額實際數(下稱長期債</w:t>
      </w:r>
      <w:r>
        <w:rPr>
          <w:rFonts w:hint="eastAsia"/>
        </w:rPr>
        <w:lastRenderedPageBreak/>
        <w:t>務實際數)及</w:t>
      </w:r>
      <w:r w:rsidRPr="002201CC">
        <w:rPr>
          <w:rFonts w:hint="eastAsia"/>
        </w:rPr>
        <w:t>長期債務比率</w:t>
      </w:r>
      <w:r w:rsidRPr="004620D2">
        <w:rPr>
          <w:rStyle w:val="af7"/>
        </w:rPr>
        <w:footnoteReference w:id="2"/>
      </w:r>
      <w:r>
        <w:rPr>
          <w:rFonts w:hint="eastAsia"/>
        </w:rPr>
        <w:t>各為5兆6</w:t>
      </w:r>
      <w:r>
        <w:t>,948</w:t>
      </w:r>
      <w:r>
        <w:rPr>
          <w:rFonts w:hint="eastAsia"/>
        </w:rPr>
        <w:t>億元、2</w:t>
      </w:r>
      <w:r>
        <w:t>9.</w:t>
      </w:r>
      <w:r>
        <w:rPr>
          <w:rFonts w:hint="eastAsia"/>
        </w:rPr>
        <w:t>8%，11</w:t>
      </w:r>
      <w:r>
        <w:t>1</w:t>
      </w:r>
      <w:r>
        <w:rPr>
          <w:rFonts w:hint="eastAsia"/>
        </w:rPr>
        <w:t>至112</w:t>
      </w:r>
      <w:r w:rsidRPr="002201CC">
        <w:rPr>
          <w:rFonts w:hint="eastAsia"/>
        </w:rPr>
        <w:t>年度</w:t>
      </w:r>
      <w:r>
        <w:rPr>
          <w:rFonts w:hint="eastAsia"/>
        </w:rPr>
        <w:t>賡續執行特別預算，致長期債務實際數逐年增加。截至112年底止之長期債務實際數為5兆8,188億元，較110年底之5兆6</w:t>
      </w:r>
      <w:r>
        <w:t>,948</w:t>
      </w:r>
      <w:r>
        <w:rPr>
          <w:rFonts w:hint="eastAsia"/>
        </w:rPr>
        <w:t>億元，增加1,240億元(增幅2.2%)，惟該期間前三年度GDP平均數增幅逾12%，致長期債務比率自110年度之29.8%，降至112年度之27.0</w:t>
      </w:r>
      <w:r w:rsidRPr="002201CC">
        <w:rPr>
          <w:rFonts w:hint="eastAsia"/>
        </w:rPr>
        <w:t>%</w:t>
      </w:r>
      <w:r>
        <w:rPr>
          <w:rFonts w:hint="eastAsia"/>
        </w:rPr>
        <w:t>。另近3年度平均每人負擔債務自110年底之24.8萬元，上升為112年底之25.0萬元，概成上升趨勢。</w:t>
      </w:r>
    </w:p>
    <w:p w:rsidR="00CD2ECE" w:rsidRDefault="00CD2ECE" w:rsidP="00CD2ECE">
      <w:pPr>
        <w:ind w:leftChars="0" w:left="1488" w:hangingChars="525" w:hanging="1488"/>
        <w:jc w:val="left"/>
        <w:rPr>
          <w:b/>
        </w:rPr>
      </w:pPr>
      <w:r>
        <w:rPr>
          <w:rFonts w:hint="eastAsia"/>
          <w:b/>
        </w:rPr>
        <w:t xml:space="preserve">      </w:t>
      </w:r>
      <w:r w:rsidRPr="0060232F">
        <w:rPr>
          <w:rFonts w:hint="eastAsia"/>
          <w:b/>
        </w:rPr>
        <w:t>表</w:t>
      </w:r>
      <w:r>
        <w:rPr>
          <w:rFonts w:hint="eastAsia"/>
          <w:b/>
        </w:rPr>
        <w:t xml:space="preserve">2 </w:t>
      </w:r>
      <w:r w:rsidRPr="0060232F">
        <w:rPr>
          <w:rFonts w:hint="eastAsia"/>
          <w:b/>
        </w:rPr>
        <w:t>中央政府</w:t>
      </w:r>
      <w:r>
        <w:rPr>
          <w:rFonts w:hint="eastAsia"/>
          <w:b/>
        </w:rPr>
        <w:t>110至112年度</w:t>
      </w:r>
      <w:r w:rsidRPr="006C45D9">
        <w:rPr>
          <w:rFonts w:hint="eastAsia"/>
          <w:b/>
        </w:rPr>
        <w:t>一年以上公共債務未償餘額</w:t>
      </w:r>
      <w:r>
        <w:rPr>
          <w:rFonts w:hint="eastAsia"/>
          <w:b/>
        </w:rPr>
        <w:t>及</w:t>
      </w:r>
      <w:r w:rsidRPr="001D2F7D">
        <w:rPr>
          <w:rFonts w:hint="eastAsia"/>
          <w:b/>
        </w:rPr>
        <w:t>長期債務比率</w:t>
      </w:r>
      <w:r w:rsidRPr="00DE6D14">
        <w:rPr>
          <w:rFonts w:hint="eastAsia"/>
          <w:b/>
        </w:rPr>
        <w:t>概況表</w:t>
      </w:r>
      <w:r>
        <w:rPr>
          <w:rFonts w:hint="eastAsia"/>
          <w:b/>
        </w:rPr>
        <w:t xml:space="preserve">           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新臺幣億元；萬元；%</w:t>
      </w:r>
    </w:p>
    <w:tbl>
      <w:tblPr>
        <w:tblW w:w="7711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1"/>
        <w:gridCol w:w="2126"/>
        <w:gridCol w:w="2126"/>
        <w:gridCol w:w="1134"/>
        <w:gridCol w:w="1134"/>
      </w:tblGrid>
      <w:tr w:rsidR="00CD2ECE" w:rsidRPr="00257F10" w:rsidTr="00C83B30">
        <w:trPr>
          <w:trHeight w:val="624"/>
          <w:tblHeader/>
        </w:trPr>
        <w:tc>
          <w:tcPr>
            <w:tcW w:w="1191" w:type="dxa"/>
            <w:shd w:val="clear" w:color="auto" w:fill="auto"/>
            <w:noWrap/>
            <w:vAlign w:val="center"/>
          </w:tcPr>
          <w:p w:rsidR="00CD2ECE" w:rsidRPr="003D5DD1" w:rsidRDefault="00CD2ECE" w:rsidP="001B0D1E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D2ECE" w:rsidRPr="005D1AC8" w:rsidRDefault="00CD2ECE" w:rsidP="001B0D1E">
            <w:pPr>
              <w:pStyle w:val="142"/>
              <w:jc w:val="center"/>
              <w:rPr>
                <w:b/>
                <w:snapToGrid/>
              </w:rPr>
            </w:pPr>
            <w:r w:rsidRPr="005D1AC8">
              <w:rPr>
                <w:rFonts w:hint="eastAsia"/>
                <w:b/>
                <w:snapToGrid/>
              </w:rPr>
              <w:t>一年以上公共債務未償餘額</w:t>
            </w:r>
            <w:r>
              <w:rPr>
                <w:rFonts w:hint="eastAsia"/>
                <w:b/>
                <w:snapToGrid/>
              </w:rPr>
              <w:t>實際數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D2ECE" w:rsidRPr="005D1AC8" w:rsidRDefault="00CD2ECE" w:rsidP="001B0D1E">
            <w:pPr>
              <w:pStyle w:val="142"/>
              <w:jc w:val="center"/>
              <w:rPr>
                <w:b/>
                <w:snapToGrid/>
              </w:rPr>
            </w:pPr>
            <w:r w:rsidRPr="005D1AC8">
              <w:rPr>
                <w:rFonts w:hint="eastAsia"/>
                <w:b/>
                <w:snapToGrid/>
              </w:rPr>
              <w:t>前三年度國內生產毛額平均數</w:t>
            </w:r>
            <w:r w:rsidRPr="00953332">
              <w:rPr>
                <w:rFonts w:hint="eastAsia"/>
                <w:b/>
                <w:snapToGrid/>
                <w:sz w:val="20"/>
                <w:szCs w:val="20"/>
              </w:rPr>
              <w:t>(</w:t>
            </w:r>
            <w:r>
              <w:rPr>
                <w:rFonts w:hint="eastAsia"/>
                <w:b/>
                <w:snapToGrid/>
                <w:sz w:val="20"/>
                <w:szCs w:val="20"/>
              </w:rPr>
              <w:t>詳</w:t>
            </w:r>
            <w:r w:rsidRPr="00953332">
              <w:rPr>
                <w:rFonts w:hint="eastAsia"/>
                <w:b/>
                <w:snapToGrid/>
                <w:sz w:val="20"/>
                <w:szCs w:val="20"/>
              </w:rPr>
              <w:t>說明)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2ECE" w:rsidRPr="005D1AC8" w:rsidRDefault="00CD2ECE" w:rsidP="001B0D1E">
            <w:pPr>
              <w:pStyle w:val="142"/>
              <w:jc w:val="center"/>
              <w:rPr>
                <w:b/>
                <w:snapToGrid/>
              </w:rPr>
            </w:pPr>
            <w:r w:rsidRPr="005D1AC8">
              <w:rPr>
                <w:rFonts w:hint="eastAsia"/>
                <w:b/>
                <w:snapToGrid/>
              </w:rPr>
              <w:t>長期債務比率</w:t>
            </w:r>
          </w:p>
        </w:tc>
        <w:tc>
          <w:tcPr>
            <w:tcW w:w="1134" w:type="dxa"/>
            <w:vAlign w:val="center"/>
          </w:tcPr>
          <w:p w:rsidR="00CD2ECE" w:rsidRPr="005D1AC8" w:rsidRDefault="00CD2ECE" w:rsidP="001B0D1E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平均每人負擔債務</w:t>
            </w:r>
          </w:p>
        </w:tc>
      </w:tr>
      <w:tr w:rsidR="00CD2ECE" w:rsidRPr="00257F10" w:rsidTr="00C83B30">
        <w:trPr>
          <w:trHeight w:hRule="exact" w:val="340"/>
        </w:trPr>
        <w:tc>
          <w:tcPr>
            <w:tcW w:w="1191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6,948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191</w:t>
            </w:r>
            <w:r w:rsidRPr="005D1AC8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392</w:t>
            </w:r>
            <w:r w:rsidRPr="005D1AC8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96</w:t>
            </w:r>
          </w:p>
        </w:tc>
        <w:tc>
          <w:tcPr>
            <w:tcW w:w="1134" w:type="dxa"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9.</w:t>
            </w:r>
            <w:r>
              <w:rPr>
                <w:rFonts w:hint="eastAsia"/>
                <w:snapToGrid/>
              </w:rPr>
              <w:t>8</w:t>
            </w:r>
          </w:p>
        </w:tc>
        <w:tc>
          <w:tcPr>
            <w:tcW w:w="1134" w:type="dxa"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4.8</w:t>
            </w:r>
          </w:p>
        </w:tc>
      </w:tr>
      <w:tr w:rsidR="00CD2ECE" w:rsidRPr="00257F10" w:rsidTr="00C83B30">
        <w:trPr>
          <w:trHeight w:hRule="exact" w:val="340"/>
        </w:trPr>
        <w:tc>
          <w:tcPr>
            <w:tcW w:w="1191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56,</w:t>
            </w:r>
            <w:r>
              <w:rPr>
                <w:snapToGrid/>
              </w:rPr>
              <w:t>998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202</w:t>
            </w:r>
            <w:r w:rsidRPr="005D1AC8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570.47</w:t>
            </w:r>
          </w:p>
        </w:tc>
        <w:tc>
          <w:tcPr>
            <w:tcW w:w="1134" w:type="dxa"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 w:rsidRPr="005D1AC8"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8.</w:t>
            </w: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1134" w:type="dxa"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4.7</w:t>
            </w:r>
          </w:p>
        </w:tc>
      </w:tr>
      <w:tr w:rsidR="00CD2ECE" w:rsidRPr="00257F10" w:rsidTr="00C83B30">
        <w:trPr>
          <w:trHeight w:hRule="exact" w:val="340"/>
        </w:trPr>
        <w:tc>
          <w:tcPr>
            <w:tcW w:w="1191" w:type="dxa"/>
            <w:shd w:val="clear" w:color="auto" w:fill="auto"/>
            <w:noWrap/>
            <w:vAlign w:val="center"/>
          </w:tcPr>
          <w:p w:rsidR="00CD2ECE" w:rsidRDefault="00CD2ECE" w:rsidP="001B0D1E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58</w:t>
            </w:r>
            <w:r>
              <w:rPr>
                <w:snapToGrid/>
              </w:rPr>
              <w:t>,188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 w:rsidRPr="005D1AC8">
              <w:rPr>
                <w:rFonts w:hint="eastAsia"/>
                <w:snapToGrid/>
              </w:rPr>
              <w:t>21</w:t>
            </w:r>
            <w:r>
              <w:rPr>
                <w:rFonts w:hint="eastAsia"/>
                <w:snapToGrid/>
              </w:rPr>
              <w:t>5</w:t>
            </w:r>
            <w:r w:rsidRPr="005D1AC8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391.58</w:t>
            </w:r>
          </w:p>
        </w:tc>
        <w:tc>
          <w:tcPr>
            <w:tcW w:w="1134" w:type="dxa"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snapToGrid/>
              </w:rPr>
            </w:pPr>
            <w:r w:rsidRPr="005D1AC8"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7.</w:t>
            </w: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134" w:type="dxa"/>
            <w:vAlign w:val="center"/>
          </w:tcPr>
          <w:p w:rsidR="00CD2ECE" w:rsidRPr="005D1AC8" w:rsidRDefault="00CD2ECE" w:rsidP="001B0D1E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25.0</w:t>
            </w:r>
          </w:p>
        </w:tc>
      </w:tr>
    </w:tbl>
    <w:p w:rsidR="00CD2ECE" w:rsidRDefault="00CD2ECE" w:rsidP="00CD2ECE">
      <w:pPr>
        <w:pStyle w:val="142"/>
        <w:ind w:left="2274" w:hangingChars="935" w:hanging="2274"/>
        <w:jc w:val="both"/>
      </w:pPr>
      <w:r>
        <w:rPr>
          <w:rFonts w:hint="eastAsia"/>
        </w:rPr>
        <w:t xml:space="preserve">       資料來源：1.</w:t>
      </w:r>
      <w:r w:rsidRPr="004F6C8E">
        <w:rPr>
          <w:rFonts w:hint="eastAsia"/>
        </w:rPr>
        <w:t>一年以上公共債務未償餘額實際數</w:t>
      </w:r>
      <w:r>
        <w:rPr>
          <w:rFonts w:hint="eastAsia"/>
        </w:rPr>
        <w:t>及</w:t>
      </w:r>
      <w:r w:rsidRPr="00F7279E">
        <w:rPr>
          <w:rFonts w:hint="eastAsia"/>
        </w:rPr>
        <w:t>平均每人負擔債務</w:t>
      </w:r>
      <w:r>
        <w:rPr>
          <w:rFonts w:hint="eastAsia"/>
        </w:rPr>
        <w:t>：國庫署網站。</w:t>
      </w:r>
    </w:p>
    <w:p w:rsidR="00CD2ECE" w:rsidRDefault="00CD2ECE" w:rsidP="00CD2ECE">
      <w:pPr>
        <w:pStyle w:val="142"/>
        <w:ind w:left="2274" w:hangingChars="935" w:hanging="2274"/>
        <w:jc w:val="both"/>
        <w:rPr>
          <w:rFonts w:hint="eastAsia"/>
        </w:rPr>
      </w:pPr>
      <w:r>
        <w:rPr>
          <w:rFonts w:hint="eastAsia"/>
        </w:rPr>
        <w:t xml:space="preserve">                 2.</w:t>
      </w:r>
      <w:r w:rsidRPr="004F6C8E">
        <w:rPr>
          <w:rFonts w:hint="eastAsia"/>
        </w:rPr>
        <w:t>前三年度國內生產毛額平均數</w:t>
      </w:r>
      <w:r>
        <w:rPr>
          <w:rFonts w:hint="eastAsia"/>
        </w:rPr>
        <w:t>：</w:t>
      </w:r>
      <w:r w:rsidRPr="005E4310">
        <w:rPr>
          <w:rFonts w:hint="eastAsia"/>
        </w:rPr>
        <w:t>行政院主計總處</w:t>
      </w:r>
      <w:r>
        <w:rPr>
          <w:rFonts w:hint="eastAsia"/>
        </w:rPr>
        <w:t>11</w:t>
      </w:r>
      <w:r>
        <w:t>3</w:t>
      </w:r>
      <w:r w:rsidRPr="005E4310">
        <w:rPr>
          <w:rFonts w:hint="eastAsia"/>
        </w:rPr>
        <w:t>年</w:t>
      </w:r>
      <w:r>
        <w:rPr>
          <w:rFonts w:hint="eastAsia"/>
        </w:rPr>
        <w:t>11</w:t>
      </w:r>
      <w:r w:rsidRPr="005E4310">
        <w:rPr>
          <w:rFonts w:hint="eastAsia"/>
        </w:rPr>
        <w:t>月</w:t>
      </w:r>
      <w:r>
        <w:rPr>
          <w:rFonts w:hint="eastAsia"/>
        </w:rPr>
        <w:t>29日</w:t>
      </w:r>
      <w:r w:rsidRPr="005E4310">
        <w:rPr>
          <w:rFonts w:hint="eastAsia"/>
        </w:rPr>
        <w:t>公布資料</w:t>
      </w:r>
      <w:r>
        <w:rPr>
          <w:rFonts w:hint="eastAsia"/>
        </w:rPr>
        <w:t>。</w:t>
      </w:r>
    </w:p>
    <w:p w:rsidR="00CD2ECE" w:rsidRPr="00795DBA" w:rsidRDefault="00CD2ECE" w:rsidP="00CD2ECE">
      <w:pPr>
        <w:ind w:left="566" w:firstLine="566"/>
      </w:pPr>
      <w:r w:rsidRPr="00795DBA">
        <w:rPr>
          <w:rFonts w:hint="eastAsia"/>
        </w:rPr>
        <w:t>綜上</w:t>
      </w:r>
      <w:r>
        <w:rPr>
          <w:rFonts w:hint="eastAsia"/>
        </w:rPr>
        <w:t>，近3年度</w:t>
      </w:r>
      <w:r w:rsidRPr="00795DBA">
        <w:rPr>
          <w:rFonts w:hint="eastAsia"/>
        </w:rPr>
        <w:t>中央政府稅課收入決算數屢創新高</w:t>
      </w:r>
      <w:r>
        <w:rPr>
          <w:rFonts w:hint="eastAsia"/>
        </w:rPr>
        <w:t>，合計超逾預算數1兆188億餘元，</w:t>
      </w:r>
      <w:r w:rsidRPr="006C41E3">
        <w:rPr>
          <w:rFonts w:hint="eastAsia"/>
        </w:rPr>
        <w:t>惟</w:t>
      </w:r>
      <w:r>
        <w:rPr>
          <w:rFonts w:hint="eastAsia"/>
        </w:rPr>
        <w:t>中央政府</w:t>
      </w:r>
      <w:r w:rsidRPr="000553D5">
        <w:rPr>
          <w:rFonts w:hint="eastAsia"/>
        </w:rPr>
        <w:t>一年以上公共債務未償餘額</w:t>
      </w:r>
      <w:r>
        <w:rPr>
          <w:rFonts w:hint="eastAsia"/>
        </w:rPr>
        <w:t>實際</w:t>
      </w:r>
      <w:r w:rsidRPr="000553D5">
        <w:rPr>
          <w:rFonts w:hint="eastAsia"/>
        </w:rPr>
        <w:t>數</w:t>
      </w:r>
      <w:r>
        <w:rPr>
          <w:rFonts w:hint="eastAsia"/>
        </w:rPr>
        <w:t>逐年</w:t>
      </w:r>
      <w:r w:rsidRPr="006C41E3">
        <w:rPr>
          <w:rFonts w:hint="eastAsia"/>
        </w:rPr>
        <w:t>上升，</w:t>
      </w:r>
      <w:r>
        <w:rPr>
          <w:rFonts w:hint="eastAsia"/>
        </w:rPr>
        <w:t>且同期間</w:t>
      </w:r>
      <w:r w:rsidRPr="00795DBA">
        <w:rPr>
          <w:rFonts w:hint="eastAsia"/>
        </w:rPr>
        <w:t>平均每人負擔債務</w:t>
      </w:r>
      <w:r>
        <w:rPr>
          <w:rFonts w:hint="eastAsia"/>
        </w:rPr>
        <w:t>亦上升0.2萬元，審計部並於112年度中央政府總決算審核報告中建議宜持續強化債務管控，減緩債務累積等</w:t>
      </w:r>
      <w:r>
        <w:rPr>
          <w:rStyle w:val="af7"/>
        </w:rPr>
        <w:footnoteReference w:id="3"/>
      </w:r>
      <w:r>
        <w:rPr>
          <w:rFonts w:hint="eastAsia"/>
        </w:rPr>
        <w:t>。是以，財政部及相關機關</w:t>
      </w:r>
      <w:r w:rsidRPr="006C41E3">
        <w:rPr>
          <w:rFonts w:hint="eastAsia"/>
        </w:rPr>
        <w:t>允宜</w:t>
      </w:r>
      <w:r>
        <w:rPr>
          <w:rFonts w:hint="eastAsia"/>
        </w:rPr>
        <w:t>落實開源節流並持續管控債務規模</w:t>
      </w:r>
      <w:r w:rsidRPr="006C41E3">
        <w:rPr>
          <w:rFonts w:hint="eastAsia"/>
        </w:rPr>
        <w:t>，以維財政健全</w:t>
      </w:r>
      <w:r>
        <w:rPr>
          <w:rFonts w:hint="eastAsia"/>
        </w:rPr>
        <w:t>。</w:t>
      </w:r>
    </w:p>
    <w:bookmarkEnd w:id="1"/>
    <w:bookmarkEnd w:id="2"/>
    <w:bookmarkEnd w:id="3"/>
    <w:bookmarkEnd w:id="4"/>
    <w:sectPr w:rsidR="00CD2ECE" w:rsidRPr="00795DBA" w:rsidSect="00E819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FA6" w:rsidRDefault="00DD6FA6" w:rsidP="00D11F6A">
      <w:pPr>
        <w:spacing w:line="240" w:lineRule="auto"/>
        <w:ind w:left="560" w:firstLine="560"/>
      </w:pPr>
    </w:p>
    <w:p w:rsidR="00DD6FA6" w:rsidRDefault="00DD6FA6" w:rsidP="00D11F6A">
      <w:pPr>
        <w:ind w:left="560" w:firstLine="560"/>
      </w:pPr>
    </w:p>
  </w:endnote>
  <w:endnote w:type="continuationSeparator" w:id="0">
    <w:p w:rsidR="00DD6FA6" w:rsidRDefault="00DD6FA6" w:rsidP="00D11F6A">
      <w:pPr>
        <w:spacing w:line="240" w:lineRule="auto"/>
        <w:ind w:left="560" w:firstLine="560"/>
      </w:pPr>
    </w:p>
    <w:p w:rsidR="00DD6FA6" w:rsidRDefault="00DD6FA6" w:rsidP="00D11F6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Pr="009967E3" w:rsidRDefault="006D5BB2" w:rsidP="00131CC5">
    <w:pPr>
      <w:pStyle w:val="af2"/>
      <w:ind w:leftChars="0" w:left="0" w:firstLineChars="0" w:firstLine="0"/>
      <w:jc w:val="center"/>
    </w:pPr>
    <w:r w:rsidRPr="009967E3">
      <w:fldChar w:fldCharType="begin"/>
    </w:r>
    <w:r w:rsidRPr="009967E3">
      <w:instrText>PAGE   \* MERGEFORMAT</w:instrText>
    </w:r>
    <w:r w:rsidRPr="009967E3">
      <w:fldChar w:fldCharType="separate"/>
    </w:r>
    <w:r w:rsidR="00571B0C" w:rsidRPr="00571B0C">
      <w:rPr>
        <w:noProof/>
        <w:lang w:val="zh-TW"/>
      </w:rPr>
      <w:t>2</w:t>
    </w:r>
    <w:r w:rsidRPr="009967E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>
    <w:pPr>
      <w:ind w:left="560" w:firstLine="560"/>
    </w:pPr>
    <w:r w:rsidRPr="00D11F6A">
      <w:rPr>
        <w:noProof/>
        <w:lang w:val="zh-TW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FA6" w:rsidRDefault="00DD6FA6" w:rsidP="003F48B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D6FA6" w:rsidRDefault="00DD6FA6" w:rsidP="00D11F6A">
      <w:pPr>
        <w:ind w:left="560" w:firstLine="560"/>
      </w:pPr>
      <w:r>
        <w:continuationSeparator/>
      </w:r>
    </w:p>
  </w:footnote>
  <w:footnote w:type="continuationNotice" w:id="1">
    <w:p w:rsidR="00DD6FA6" w:rsidRDefault="00DD6FA6">
      <w:pPr>
        <w:spacing w:line="240" w:lineRule="auto"/>
        <w:ind w:left="560" w:firstLine="560"/>
      </w:pPr>
    </w:p>
  </w:footnote>
  <w:footnote w:id="2">
    <w:p w:rsidR="00CD2ECE" w:rsidRPr="00F803EA" w:rsidRDefault="00CD2ECE" w:rsidP="00CD2ECE">
      <w:pPr>
        <w:pStyle w:val="142"/>
        <w:ind w:left="97" w:hangingChars="40" w:hanging="97"/>
      </w:pPr>
      <w:r>
        <w:rPr>
          <w:rStyle w:val="af7"/>
        </w:rPr>
        <w:footnoteRef/>
      </w:r>
      <w:r w:rsidRPr="00F803EA">
        <w:rPr>
          <w:rFonts w:hint="eastAsia"/>
        </w:rPr>
        <w:t>一年以上</w:t>
      </w:r>
      <w:r>
        <w:rPr>
          <w:rFonts w:hint="eastAsia"/>
        </w:rPr>
        <w:t>公共</w:t>
      </w:r>
      <w:r w:rsidRPr="00F803EA">
        <w:rPr>
          <w:rFonts w:hint="eastAsia"/>
        </w:rPr>
        <w:t>債務未償餘額</w:t>
      </w:r>
      <w:r>
        <w:rPr>
          <w:rFonts w:hint="eastAsia"/>
        </w:rPr>
        <w:t>占</w:t>
      </w:r>
      <w:r w:rsidRPr="00B1671E">
        <w:rPr>
          <w:rFonts w:hint="eastAsia"/>
        </w:rPr>
        <w:t>前</w:t>
      </w:r>
      <w:r>
        <w:rPr>
          <w:rFonts w:hint="eastAsia"/>
        </w:rPr>
        <w:t>三</w:t>
      </w:r>
      <w:r w:rsidRPr="00B1671E">
        <w:rPr>
          <w:rFonts w:hint="eastAsia"/>
        </w:rPr>
        <w:t>年度國內生產毛額平均數</w:t>
      </w:r>
      <w:r>
        <w:rPr>
          <w:rFonts w:hint="eastAsia"/>
        </w:rPr>
        <w:t>比率。</w:t>
      </w:r>
    </w:p>
  </w:footnote>
  <w:footnote w:id="3">
    <w:p w:rsidR="00CD2ECE" w:rsidRPr="00DA4CB6" w:rsidRDefault="00CD2ECE" w:rsidP="00CD2ECE">
      <w:pPr>
        <w:pStyle w:val="142"/>
        <w:ind w:left="97" w:hangingChars="40" w:hanging="97"/>
      </w:pPr>
      <w:r>
        <w:rPr>
          <w:rStyle w:val="af7"/>
        </w:rPr>
        <w:footnoteRef/>
      </w:r>
      <w:r>
        <w:rPr>
          <w:rFonts w:hint="eastAsia"/>
        </w:rPr>
        <w:t>審計部112年度中央政府總決算審核報告(第2冊)，頁丙-245。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>
    <w:pPr>
      <w:ind w:left="560" w:firstLine="560"/>
    </w:pPr>
    <w:r>
      <w:t>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BB28AB"/>
    <w:multiLevelType w:val="hybridMultilevel"/>
    <w:tmpl w:val="A34E5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A034C"/>
    <w:multiLevelType w:val="hybridMultilevel"/>
    <w:tmpl w:val="481A9DC4"/>
    <w:lvl w:ilvl="0" w:tplc="20BAE6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7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3E"/>
    <w:rsid w:val="00000B74"/>
    <w:rsid w:val="00000BB8"/>
    <w:rsid w:val="00000BE4"/>
    <w:rsid w:val="00000FD7"/>
    <w:rsid w:val="00001051"/>
    <w:rsid w:val="00001830"/>
    <w:rsid w:val="0000274E"/>
    <w:rsid w:val="00004202"/>
    <w:rsid w:val="0000496A"/>
    <w:rsid w:val="0000510D"/>
    <w:rsid w:val="00006401"/>
    <w:rsid w:val="00006562"/>
    <w:rsid w:val="000067F8"/>
    <w:rsid w:val="00006C64"/>
    <w:rsid w:val="00010A69"/>
    <w:rsid w:val="0001169B"/>
    <w:rsid w:val="00011E2B"/>
    <w:rsid w:val="00012C9F"/>
    <w:rsid w:val="00012F09"/>
    <w:rsid w:val="0001322C"/>
    <w:rsid w:val="00013600"/>
    <w:rsid w:val="00013D41"/>
    <w:rsid w:val="00013E79"/>
    <w:rsid w:val="000148CE"/>
    <w:rsid w:val="00014D3A"/>
    <w:rsid w:val="00014D49"/>
    <w:rsid w:val="00015BBD"/>
    <w:rsid w:val="0001632B"/>
    <w:rsid w:val="000170EF"/>
    <w:rsid w:val="00017FD8"/>
    <w:rsid w:val="000203BA"/>
    <w:rsid w:val="000207A1"/>
    <w:rsid w:val="00022691"/>
    <w:rsid w:val="00022AC8"/>
    <w:rsid w:val="000237BA"/>
    <w:rsid w:val="00025AC9"/>
    <w:rsid w:val="00026308"/>
    <w:rsid w:val="00026ACF"/>
    <w:rsid w:val="00026BDB"/>
    <w:rsid w:val="00027EDC"/>
    <w:rsid w:val="000304D8"/>
    <w:rsid w:val="00030E42"/>
    <w:rsid w:val="00031805"/>
    <w:rsid w:val="0003187F"/>
    <w:rsid w:val="00031F86"/>
    <w:rsid w:val="0003356C"/>
    <w:rsid w:val="000379F4"/>
    <w:rsid w:val="000409BC"/>
    <w:rsid w:val="0004127C"/>
    <w:rsid w:val="00041C3C"/>
    <w:rsid w:val="00041E64"/>
    <w:rsid w:val="00042B70"/>
    <w:rsid w:val="00043157"/>
    <w:rsid w:val="00043799"/>
    <w:rsid w:val="000454FF"/>
    <w:rsid w:val="000465FE"/>
    <w:rsid w:val="000472FD"/>
    <w:rsid w:val="00050C30"/>
    <w:rsid w:val="000524AB"/>
    <w:rsid w:val="00053C95"/>
    <w:rsid w:val="00057C86"/>
    <w:rsid w:val="000602D8"/>
    <w:rsid w:val="00060399"/>
    <w:rsid w:val="00060E39"/>
    <w:rsid w:val="000613A6"/>
    <w:rsid w:val="00062B51"/>
    <w:rsid w:val="00063636"/>
    <w:rsid w:val="000637CE"/>
    <w:rsid w:val="00064D6B"/>
    <w:rsid w:val="00064E38"/>
    <w:rsid w:val="00065E97"/>
    <w:rsid w:val="000700B8"/>
    <w:rsid w:val="000701DE"/>
    <w:rsid w:val="0007046B"/>
    <w:rsid w:val="0007094E"/>
    <w:rsid w:val="00072EF2"/>
    <w:rsid w:val="000738A0"/>
    <w:rsid w:val="00075C48"/>
    <w:rsid w:val="00076DB7"/>
    <w:rsid w:val="00077A06"/>
    <w:rsid w:val="00080AC0"/>
    <w:rsid w:val="00080ACC"/>
    <w:rsid w:val="00080BDB"/>
    <w:rsid w:val="00081239"/>
    <w:rsid w:val="00082061"/>
    <w:rsid w:val="00082849"/>
    <w:rsid w:val="00082CD0"/>
    <w:rsid w:val="00083725"/>
    <w:rsid w:val="0008460F"/>
    <w:rsid w:val="00084FC4"/>
    <w:rsid w:val="00085CD0"/>
    <w:rsid w:val="00085E46"/>
    <w:rsid w:val="00086C76"/>
    <w:rsid w:val="000870FD"/>
    <w:rsid w:val="00087575"/>
    <w:rsid w:val="00087933"/>
    <w:rsid w:val="000927C1"/>
    <w:rsid w:val="00097452"/>
    <w:rsid w:val="0009757B"/>
    <w:rsid w:val="0009797A"/>
    <w:rsid w:val="00097B77"/>
    <w:rsid w:val="00097C8D"/>
    <w:rsid w:val="000A082A"/>
    <w:rsid w:val="000A1E06"/>
    <w:rsid w:val="000A2250"/>
    <w:rsid w:val="000A49CB"/>
    <w:rsid w:val="000A5BF4"/>
    <w:rsid w:val="000A63C4"/>
    <w:rsid w:val="000B0205"/>
    <w:rsid w:val="000B0733"/>
    <w:rsid w:val="000B11A5"/>
    <w:rsid w:val="000B2B95"/>
    <w:rsid w:val="000B4160"/>
    <w:rsid w:val="000B4AA2"/>
    <w:rsid w:val="000B4C97"/>
    <w:rsid w:val="000B57CA"/>
    <w:rsid w:val="000B70FD"/>
    <w:rsid w:val="000C18C0"/>
    <w:rsid w:val="000C1C43"/>
    <w:rsid w:val="000C3E00"/>
    <w:rsid w:val="000C5EFB"/>
    <w:rsid w:val="000C7898"/>
    <w:rsid w:val="000D13DD"/>
    <w:rsid w:val="000D2CD3"/>
    <w:rsid w:val="000D4275"/>
    <w:rsid w:val="000D450C"/>
    <w:rsid w:val="000D583E"/>
    <w:rsid w:val="000D5B44"/>
    <w:rsid w:val="000D5FA5"/>
    <w:rsid w:val="000E025B"/>
    <w:rsid w:val="000E0706"/>
    <w:rsid w:val="000E1084"/>
    <w:rsid w:val="000E1379"/>
    <w:rsid w:val="000E2122"/>
    <w:rsid w:val="000E2A9E"/>
    <w:rsid w:val="000E3887"/>
    <w:rsid w:val="000E5A58"/>
    <w:rsid w:val="000E5EF7"/>
    <w:rsid w:val="000E61FB"/>
    <w:rsid w:val="000E64DA"/>
    <w:rsid w:val="000E6791"/>
    <w:rsid w:val="000E78E5"/>
    <w:rsid w:val="000F0384"/>
    <w:rsid w:val="000F0600"/>
    <w:rsid w:val="000F215D"/>
    <w:rsid w:val="000F3128"/>
    <w:rsid w:val="000F3352"/>
    <w:rsid w:val="000F3C50"/>
    <w:rsid w:val="000F4673"/>
    <w:rsid w:val="000F583B"/>
    <w:rsid w:val="000F66D7"/>
    <w:rsid w:val="000F69EF"/>
    <w:rsid w:val="00100AE4"/>
    <w:rsid w:val="00100B6A"/>
    <w:rsid w:val="001015CD"/>
    <w:rsid w:val="00101781"/>
    <w:rsid w:val="00102D7C"/>
    <w:rsid w:val="0010311C"/>
    <w:rsid w:val="001104E0"/>
    <w:rsid w:val="00112863"/>
    <w:rsid w:val="00112B33"/>
    <w:rsid w:val="00112BA5"/>
    <w:rsid w:val="00113105"/>
    <w:rsid w:val="00113CD9"/>
    <w:rsid w:val="00115200"/>
    <w:rsid w:val="001154D1"/>
    <w:rsid w:val="001164C4"/>
    <w:rsid w:val="00120809"/>
    <w:rsid w:val="0012118E"/>
    <w:rsid w:val="00121C27"/>
    <w:rsid w:val="00123B71"/>
    <w:rsid w:val="00124533"/>
    <w:rsid w:val="00125145"/>
    <w:rsid w:val="001254E9"/>
    <w:rsid w:val="0012653D"/>
    <w:rsid w:val="001266A4"/>
    <w:rsid w:val="00131368"/>
    <w:rsid w:val="00131907"/>
    <w:rsid w:val="00131CC5"/>
    <w:rsid w:val="0013266F"/>
    <w:rsid w:val="00133144"/>
    <w:rsid w:val="001349F7"/>
    <w:rsid w:val="00135170"/>
    <w:rsid w:val="001354D3"/>
    <w:rsid w:val="00136278"/>
    <w:rsid w:val="00136923"/>
    <w:rsid w:val="0013707B"/>
    <w:rsid w:val="0013720C"/>
    <w:rsid w:val="00137415"/>
    <w:rsid w:val="00137C49"/>
    <w:rsid w:val="0014117B"/>
    <w:rsid w:val="0014167C"/>
    <w:rsid w:val="00141C8D"/>
    <w:rsid w:val="00142AC7"/>
    <w:rsid w:val="001435A3"/>
    <w:rsid w:val="00143691"/>
    <w:rsid w:val="00143CEB"/>
    <w:rsid w:val="0014426C"/>
    <w:rsid w:val="00146397"/>
    <w:rsid w:val="00146866"/>
    <w:rsid w:val="00146FF7"/>
    <w:rsid w:val="00147D7C"/>
    <w:rsid w:val="001502C8"/>
    <w:rsid w:val="00150448"/>
    <w:rsid w:val="00150DCB"/>
    <w:rsid w:val="00151B4B"/>
    <w:rsid w:val="0015214E"/>
    <w:rsid w:val="00152F72"/>
    <w:rsid w:val="0015358F"/>
    <w:rsid w:val="00155380"/>
    <w:rsid w:val="00155E4F"/>
    <w:rsid w:val="00156171"/>
    <w:rsid w:val="00160387"/>
    <w:rsid w:val="001603FC"/>
    <w:rsid w:val="0016174C"/>
    <w:rsid w:val="00163789"/>
    <w:rsid w:val="00163DCB"/>
    <w:rsid w:val="001643C1"/>
    <w:rsid w:val="0016522F"/>
    <w:rsid w:val="00165D77"/>
    <w:rsid w:val="00166321"/>
    <w:rsid w:val="001667D8"/>
    <w:rsid w:val="001752DC"/>
    <w:rsid w:val="00175A25"/>
    <w:rsid w:val="00175BA6"/>
    <w:rsid w:val="001760EA"/>
    <w:rsid w:val="0017666D"/>
    <w:rsid w:val="00177591"/>
    <w:rsid w:val="0017799D"/>
    <w:rsid w:val="00177FD0"/>
    <w:rsid w:val="0018374F"/>
    <w:rsid w:val="00184D19"/>
    <w:rsid w:val="00185E69"/>
    <w:rsid w:val="0018662D"/>
    <w:rsid w:val="0018684C"/>
    <w:rsid w:val="00186B3F"/>
    <w:rsid w:val="0019024F"/>
    <w:rsid w:val="001915B2"/>
    <w:rsid w:val="001928CC"/>
    <w:rsid w:val="001950B0"/>
    <w:rsid w:val="00196C18"/>
    <w:rsid w:val="00196D39"/>
    <w:rsid w:val="00197626"/>
    <w:rsid w:val="00197F98"/>
    <w:rsid w:val="001A0DA7"/>
    <w:rsid w:val="001A0F36"/>
    <w:rsid w:val="001A1DAD"/>
    <w:rsid w:val="001A22FB"/>
    <w:rsid w:val="001A25A2"/>
    <w:rsid w:val="001A3292"/>
    <w:rsid w:val="001A3371"/>
    <w:rsid w:val="001A3FCE"/>
    <w:rsid w:val="001A6DF6"/>
    <w:rsid w:val="001B0D1E"/>
    <w:rsid w:val="001B1D8D"/>
    <w:rsid w:val="001B38FA"/>
    <w:rsid w:val="001B3AAB"/>
    <w:rsid w:val="001B3D47"/>
    <w:rsid w:val="001B5913"/>
    <w:rsid w:val="001B5FDD"/>
    <w:rsid w:val="001B618E"/>
    <w:rsid w:val="001B6646"/>
    <w:rsid w:val="001B711D"/>
    <w:rsid w:val="001B72C1"/>
    <w:rsid w:val="001B7A68"/>
    <w:rsid w:val="001B7C67"/>
    <w:rsid w:val="001B7D7B"/>
    <w:rsid w:val="001C05FF"/>
    <w:rsid w:val="001C0CDE"/>
    <w:rsid w:val="001C0E18"/>
    <w:rsid w:val="001C20B1"/>
    <w:rsid w:val="001C228E"/>
    <w:rsid w:val="001C2584"/>
    <w:rsid w:val="001C5FB7"/>
    <w:rsid w:val="001C6247"/>
    <w:rsid w:val="001C63DD"/>
    <w:rsid w:val="001C6832"/>
    <w:rsid w:val="001C7030"/>
    <w:rsid w:val="001C79B0"/>
    <w:rsid w:val="001D0E59"/>
    <w:rsid w:val="001D36AA"/>
    <w:rsid w:val="001D37A7"/>
    <w:rsid w:val="001D3E23"/>
    <w:rsid w:val="001D49BE"/>
    <w:rsid w:val="001D5007"/>
    <w:rsid w:val="001D5187"/>
    <w:rsid w:val="001D5A51"/>
    <w:rsid w:val="001D639C"/>
    <w:rsid w:val="001D6F91"/>
    <w:rsid w:val="001D710A"/>
    <w:rsid w:val="001D7B70"/>
    <w:rsid w:val="001D7E45"/>
    <w:rsid w:val="001D7FBF"/>
    <w:rsid w:val="001E1583"/>
    <w:rsid w:val="001E1631"/>
    <w:rsid w:val="001E28FE"/>
    <w:rsid w:val="001E49D9"/>
    <w:rsid w:val="001E4E2C"/>
    <w:rsid w:val="001E4F49"/>
    <w:rsid w:val="001E58DC"/>
    <w:rsid w:val="001E5C42"/>
    <w:rsid w:val="001E69C1"/>
    <w:rsid w:val="001E6A6B"/>
    <w:rsid w:val="001E7264"/>
    <w:rsid w:val="001E7848"/>
    <w:rsid w:val="001F009A"/>
    <w:rsid w:val="001F0BAC"/>
    <w:rsid w:val="001F19E0"/>
    <w:rsid w:val="001F1A0A"/>
    <w:rsid w:val="001F3B62"/>
    <w:rsid w:val="001F44A4"/>
    <w:rsid w:val="001F4CF5"/>
    <w:rsid w:val="001F69C5"/>
    <w:rsid w:val="001F6BF7"/>
    <w:rsid w:val="001F71BE"/>
    <w:rsid w:val="001F7E3B"/>
    <w:rsid w:val="002015AC"/>
    <w:rsid w:val="00202E19"/>
    <w:rsid w:val="002033A2"/>
    <w:rsid w:val="002036D7"/>
    <w:rsid w:val="002037E0"/>
    <w:rsid w:val="00203F51"/>
    <w:rsid w:val="00203FB6"/>
    <w:rsid w:val="00204236"/>
    <w:rsid w:val="002052D6"/>
    <w:rsid w:val="0020635F"/>
    <w:rsid w:val="00206899"/>
    <w:rsid w:val="00207F29"/>
    <w:rsid w:val="00210151"/>
    <w:rsid w:val="00211B42"/>
    <w:rsid w:val="00214531"/>
    <w:rsid w:val="002146A1"/>
    <w:rsid w:val="00215F59"/>
    <w:rsid w:val="0021652A"/>
    <w:rsid w:val="00216620"/>
    <w:rsid w:val="0021678B"/>
    <w:rsid w:val="00217036"/>
    <w:rsid w:val="002176E3"/>
    <w:rsid w:val="00221871"/>
    <w:rsid w:val="002219FA"/>
    <w:rsid w:val="0022290E"/>
    <w:rsid w:val="002235C2"/>
    <w:rsid w:val="00224DD3"/>
    <w:rsid w:val="00225A2B"/>
    <w:rsid w:val="00226CA9"/>
    <w:rsid w:val="00227585"/>
    <w:rsid w:val="00227657"/>
    <w:rsid w:val="00230403"/>
    <w:rsid w:val="00230805"/>
    <w:rsid w:val="00230E79"/>
    <w:rsid w:val="0023452E"/>
    <w:rsid w:val="00234801"/>
    <w:rsid w:val="002348D2"/>
    <w:rsid w:val="00234DDA"/>
    <w:rsid w:val="00234E1B"/>
    <w:rsid w:val="00234FD8"/>
    <w:rsid w:val="00236063"/>
    <w:rsid w:val="002366F3"/>
    <w:rsid w:val="002368F4"/>
    <w:rsid w:val="00237681"/>
    <w:rsid w:val="00241A6C"/>
    <w:rsid w:val="00241B5C"/>
    <w:rsid w:val="00241BF5"/>
    <w:rsid w:val="00241CA7"/>
    <w:rsid w:val="002421BE"/>
    <w:rsid w:val="002425D8"/>
    <w:rsid w:val="00242D6C"/>
    <w:rsid w:val="00245E73"/>
    <w:rsid w:val="0024689C"/>
    <w:rsid w:val="00246D59"/>
    <w:rsid w:val="00247E88"/>
    <w:rsid w:val="00250F00"/>
    <w:rsid w:val="00251405"/>
    <w:rsid w:val="00251C30"/>
    <w:rsid w:val="002525DC"/>
    <w:rsid w:val="00252ABA"/>
    <w:rsid w:val="002531F4"/>
    <w:rsid w:val="00253365"/>
    <w:rsid w:val="00253A6E"/>
    <w:rsid w:val="00253CD5"/>
    <w:rsid w:val="00255078"/>
    <w:rsid w:val="002556A3"/>
    <w:rsid w:val="0025653C"/>
    <w:rsid w:val="00256759"/>
    <w:rsid w:val="00256C28"/>
    <w:rsid w:val="002606F7"/>
    <w:rsid w:val="00261899"/>
    <w:rsid w:val="00262E90"/>
    <w:rsid w:val="00263E3A"/>
    <w:rsid w:val="002641DD"/>
    <w:rsid w:val="00264454"/>
    <w:rsid w:val="00265B9B"/>
    <w:rsid w:val="00265BBD"/>
    <w:rsid w:val="0026671A"/>
    <w:rsid w:val="0026748C"/>
    <w:rsid w:val="00267543"/>
    <w:rsid w:val="002700E0"/>
    <w:rsid w:val="002703BE"/>
    <w:rsid w:val="00272782"/>
    <w:rsid w:val="00272A50"/>
    <w:rsid w:val="00272B37"/>
    <w:rsid w:val="00276044"/>
    <w:rsid w:val="00277388"/>
    <w:rsid w:val="002777E4"/>
    <w:rsid w:val="002802CB"/>
    <w:rsid w:val="0028216A"/>
    <w:rsid w:val="00282E49"/>
    <w:rsid w:val="0028304D"/>
    <w:rsid w:val="0028392E"/>
    <w:rsid w:val="00283CDD"/>
    <w:rsid w:val="00286594"/>
    <w:rsid w:val="00287FCD"/>
    <w:rsid w:val="002907F7"/>
    <w:rsid w:val="00292C45"/>
    <w:rsid w:val="00293C73"/>
    <w:rsid w:val="00294181"/>
    <w:rsid w:val="00294868"/>
    <w:rsid w:val="00294CC8"/>
    <w:rsid w:val="00297567"/>
    <w:rsid w:val="002976F4"/>
    <w:rsid w:val="00297B25"/>
    <w:rsid w:val="002A003A"/>
    <w:rsid w:val="002A0C41"/>
    <w:rsid w:val="002A0D81"/>
    <w:rsid w:val="002A1055"/>
    <w:rsid w:val="002A1559"/>
    <w:rsid w:val="002A184B"/>
    <w:rsid w:val="002A2ADD"/>
    <w:rsid w:val="002A2FD9"/>
    <w:rsid w:val="002A4445"/>
    <w:rsid w:val="002A4D16"/>
    <w:rsid w:val="002A55C2"/>
    <w:rsid w:val="002A592F"/>
    <w:rsid w:val="002A5EA2"/>
    <w:rsid w:val="002A6DA6"/>
    <w:rsid w:val="002B03F3"/>
    <w:rsid w:val="002B231E"/>
    <w:rsid w:val="002B317A"/>
    <w:rsid w:val="002B36A0"/>
    <w:rsid w:val="002B3AEC"/>
    <w:rsid w:val="002B41C1"/>
    <w:rsid w:val="002B4E7E"/>
    <w:rsid w:val="002B5BE0"/>
    <w:rsid w:val="002B6564"/>
    <w:rsid w:val="002B66FD"/>
    <w:rsid w:val="002B67BA"/>
    <w:rsid w:val="002C0640"/>
    <w:rsid w:val="002C08E4"/>
    <w:rsid w:val="002C11AC"/>
    <w:rsid w:val="002C195F"/>
    <w:rsid w:val="002C3A02"/>
    <w:rsid w:val="002C4EB8"/>
    <w:rsid w:val="002C5702"/>
    <w:rsid w:val="002C5A2C"/>
    <w:rsid w:val="002C5D99"/>
    <w:rsid w:val="002C62B4"/>
    <w:rsid w:val="002C79B9"/>
    <w:rsid w:val="002D4466"/>
    <w:rsid w:val="002D50C6"/>
    <w:rsid w:val="002D69CC"/>
    <w:rsid w:val="002E0195"/>
    <w:rsid w:val="002E12AF"/>
    <w:rsid w:val="002E13E0"/>
    <w:rsid w:val="002E15C4"/>
    <w:rsid w:val="002E3B29"/>
    <w:rsid w:val="002E3B6F"/>
    <w:rsid w:val="002E4C2A"/>
    <w:rsid w:val="002E5351"/>
    <w:rsid w:val="002E5B44"/>
    <w:rsid w:val="002E6523"/>
    <w:rsid w:val="002E75C4"/>
    <w:rsid w:val="002F1D14"/>
    <w:rsid w:val="002F2D21"/>
    <w:rsid w:val="002F2DA6"/>
    <w:rsid w:val="002F462E"/>
    <w:rsid w:val="002F61BD"/>
    <w:rsid w:val="0030003B"/>
    <w:rsid w:val="003003C9"/>
    <w:rsid w:val="00302BED"/>
    <w:rsid w:val="0030333A"/>
    <w:rsid w:val="00304535"/>
    <w:rsid w:val="00304E7E"/>
    <w:rsid w:val="003053CE"/>
    <w:rsid w:val="0030607D"/>
    <w:rsid w:val="003062AF"/>
    <w:rsid w:val="00307432"/>
    <w:rsid w:val="00307AC2"/>
    <w:rsid w:val="0031084B"/>
    <w:rsid w:val="00310E20"/>
    <w:rsid w:val="00311655"/>
    <w:rsid w:val="00311A2E"/>
    <w:rsid w:val="003133E4"/>
    <w:rsid w:val="00314097"/>
    <w:rsid w:val="003141AD"/>
    <w:rsid w:val="0031535F"/>
    <w:rsid w:val="0031556C"/>
    <w:rsid w:val="00315FB8"/>
    <w:rsid w:val="0031659A"/>
    <w:rsid w:val="00317571"/>
    <w:rsid w:val="003177F6"/>
    <w:rsid w:val="00320C47"/>
    <w:rsid w:val="00322234"/>
    <w:rsid w:val="0032234D"/>
    <w:rsid w:val="0032339A"/>
    <w:rsid w:val="00323EA6"/>
    <w:rsid w:val="003249BF"/>
    <w:rsid w:val="00324AB6"/>
    <w:rsid w:val="0032621C"/>
    <w:rsid w:val="0032723A"/>
    <w:rsid w:val="003275E3"/>
    <w:rsid w:val="0033124D"/>
    <w:rsid w:val="0033194C"/>
    <w:rsid w:val="0033261A"/>
    <w:rsid w:val="003328CA"/>
    <w:rsid w:val="00334083"/>
    <w:rsid w:val="00334DF0"/>
    <w:rsid w:val="0033526A"/>
    <w:rsid w:val="0033613A"/>
    <w:rsid w:val="0033671B"/>
    <w:rsid w:val="00336F67"/>
    <w:rsid w:val="003371DA"/>
    <w:rsid w:val="00337A2E"/>
    <w:rsid w:val="003428E6"/>
    <w:rsid w:val="00343603"/>
    <w:rsid w:val="003454F8"/>
    <w:rsid w:val="003466A9"/>
    <w:rsid w:val="00346908"/>
    <w:rsid w:val="00347023"/>
    <w:rsid w:val="003513A6"/>
    <w:rsid w:val="00351EB6"/>
    <w:rsid w:val="00352849"/>
    <w:rsid w:val="00353B96"/>
    <w:rsid w:val="00354DA3"/>
    <w:rsid w:val="00354EB6"/>
    <w:rsid w:val="00356754"/>
    <w:rsid w:val="003608CD"/>
    <w:rsid w:val="00360AC1"/>
    <w:rsid w:val="00361AD7"/>
    <w:rsid w:val="003621F7"/>
    <w:rsid w:val="00362238"/>
    <w:rsid w:val="003623F0"/>
    <w:rsid w:val="003631E2"/>
    <w:rsid w:val="00363AEE"/>
    <w:rsid w:val="00364EF9"/>
    <w:rsid w:val="0036584B"/>
    <w:rsid w:val="0036621A"/>
    <w:rsid w:val="0036625C"/>
    <w:rsid w:val="00366B7E"/>
    <w:rsid w:val="00367144"/>
    <w:rsid w:val="00371014"/>
    <w:rsid w:val="003715AC"/>
    <w:rsid w:val="00371E7D"/>
    <w:rsid w:val="00372A36"/>
    <w:rsid w:val="00373B38"/>
    <w:rsid w:val="00374067"/>
    <w:rsid w:val="0037444C"/>
    <w:rsid w:val="00375F62"/>
    <w:rsid w:val="00376657"/>
    <w:rsid w:val="00377762"/>
    <w:rsid w:val="003778DC"/>
    <w:rsid w:val="0038064F"/>
    <w:rsid w:val="00381129"/>
    <w:rsid w:val="00381DED"/>
    <w:rsid w:val="003830BE"/>
    <w:rsid w:val="00383C43"/>
    <w:rsid w:val="00384030"/>
    <w:rsid w:val="0038549B"/>
    <w:rsid w:val="00387094"/>
    <w:rsid w:val="00387556"/>
    <w:rsid w:val="00387CA5"/>
    <w:rsid w:val="003914E9"/>
    <w:rsid w:val="003924A3"/>
    <w:rsid w:val="00393021"/>
    <w:rsid w:val="003935B0"/>
    <w:rsid w:val="00393B53"/>
    <w:rsid w:val="0039528F"/>
    <w:rsid w:val="0039553F"/>
    <w:rsid w:val="00395DDF"/>
    <w:rsid w:val="0039633C"/>
    <w:rsid w:val="00396715"/>
    <w:rsid w:val="003A0555"/>
    <w:rsid w:val="003A11A7"/>
    <w:rsid w:val="003A20B1"/>
    <w:rsid w:val="003A2F8C"/>
    <w:rsid w:val="003A3716"/>
    <w:rsid w:val="003A3718"/>
    <w:rsid w:val="003A3874"/>
    <w:rsid w:val="003A3A60"/>
    <w:rsid w:val="003A478B"/>
    <w:rsid w:val="003A4883"/>
    <w:rsid w:val="003A4A76"/>
    <w:rsid w:val="003A4DF0"/>
    <w:rsid w:val="003A4E02"/>
    <w:rsid w:val="003A55F5"/>
    <w:rsid w:val="003A56BF"/>
    <w:rsid w:val="003A6742"/>
    <w:rsid w:val="003A7E42"/>
    <w:rsid w:val="003B0C76"/>
    <w:rsid w:val="003B1D81"/>
    <w:rsid w:val="003B2128"/>
    <w:rsid w:val="003B2450"/>
    <w:rsid w:val="003B283F"/>
    <w:rsid w:val="003B3000"/>
    <w:rsid w:val="003B3FC4"/>
    <w:rsid w:val="003B444C"/>
    <w:rsid w:val="003B48E8"/>
    <w:rsid w:val="003B62DC"/>
    <w:rsid w:val="003B7C75"/>
    <w:rsid w:val="003C01C2"/>
    <w:rsid w:val="003C0EBD"/>
    <w:rsid w:val="003C129C"/>
    <w:rsid w:val="003C1674"/>
    <w:rsid w:val="003C3607"/>
    <w:rsid w:val="003C662D"/>
    <w:rsid w:val="003C6962"/>
    <w:rsid w:val="003C6EE0"/>
    <w:rsid w:val="003C7060"/>
    <w:rsid w:val="003C71C2"/>
    <w:rsid w:val="003C7C02"/>
    <w:rsid w:val="003C7DA2"/>
    <w:rsid w:val="003D0AA5"/>
    <w:rsid w:val="003D11A6"/>
    <w:rsid w:val="003D22D8"/>
    <w:rsid w:val="003D250D"/>
    <w:rsid w:val="003D2607"/>
    <w:rsid w:val="003D54E6"/>
    <w:rsid w:val="003D7E0A"/>
    <w:rsid w:val="003E0D0C"/>
    <w:rsid w:val="003E18CE"/>
    <w:rsid w:val="003E24B2"/>
    <w:rsid w:val="003E29EF"/>
    <w:rsid w:val="003E553D"/>
    <w:rsid w:val="003E58B8"/>
    <w:rsid w:val="003E5DF5"/>
    <w:rsid w:val="003E70FF"/>
    <w:rsid w:val="003E7D3C"/>
    <w:rsid w:val="003F1538"/>
    <w:rsid w:val="003F16E5"/>
    <w:rsid w:val="003F1ACF"/>
    <w:rsid w:val="003F25B8"/>
    <w:rsid w:val="003F3168"/>
    <w:rsid w:val="003F3FC5"/>
    <w:rsid w:val="003F48B5"/>
    <w:rsid w:val="003F5A55"/>
    <w:rsid w:val="003F6062"/>
    <w:rsid w:val="003F660D"/>
    <w:rsid w:val="003F67D4"/>
    <w:rsid w:val="003F6ED8"/>
    <w:rsid w:val="003F790F"/>
    <w:rsid w:val="00400DD9"/>
    <w:rsid w:val="00400E14"/>
    <w:rsid w:val="00403619"/>
    <w:rsid w:val="00405C49"/>
    <w:rsid w:val="00406766"/>
    <w:rsid w:val="00406AFB"/>
    <w:rsid w:val="004074E4"/>
    <w:rsid w:val="00410871"/>
    <w:rsid w:val="0041133B"/>
    <w:rsid w:val="0041157C"/>
    <w:rsid w:val="00411676"/>
    <w:rsid w:val="00412316"/>
    <w:rsid w:val="00412DF7"/>
    <w:rsid w:val="00413E9E"/>
    <w:rsid w:val="00414F5F"/>
    <w:rsid w:val="004153D1"/>
    <w:rsid w:val="004171F5"/>
    <w:rsid w:val="00420E9C"/>
    <w:rsid w:val="00424141"/>
    <w:rsid w:val="00424742"/>
    <w:rsid w:val="00425567"/>
    <w:rsid w:val="00425EF5"/>
    <w:rsid w:val="00426B50"/>
    <w:rsid w:val="00426DF1"/>
    <w:rsid w:val="004272A1"/>
    <w:rsid w:val="0042740F"/>
    <w:rsid w:val="00430DC1"/>
    <w:rsid w:val="00431180"/>
    <w:rsid w:val="004321A3"/>
    <w:rsid w:val="00432E30"/>
    <w:rsid w:val="00433DDF"/>
    <w:rsid w:val="0043582B"/>
    <w:rsid w:val="0043641B"/>
    <w:rsid w:val="004365E9"/>
    <w:rsid w:val="0043754A"/>
    <w:rsid w:val="00437C4B"/>
    <w:rsid w:val="004401FA"/>
    <w:rsid w:val="00440320"/>
    <w:rsid w:val="00441400"/>
    <w:rsid w:val="0044311F"/>
    <w:rsid w:val="00443167"/>
    <w:rsid w:val="00443702"/>
    <w:rsid w:val="00444367"/>
    <w:rsid w:val="00444C49"/>
    <w:rsid w:val="00444F96"/>
    <w:rsid w:val="00444F99"/>
    <w:rsid w:val="004454FB"/>
    <w:rsid w:val="00450C6F"/>
    <w:rsid w:val="0045124B"/>
    <w:rsid w:val="004515CD"/>
    <w:rsid w:val="004518A6"/>
    <w:rsid w:val="00452D87"/>
    <w:rsid w:val="0045316F"/>
    <w:rsid w:val="00453192"/>
    <w:rsid w:val="00453940"/>
    <w:rsid w:val="00453A51"/>
    <w:rsid w:val="00457A5F"/>
    <w:rsid w:val="00457C35"/>
    <w:rsid w:val="00460053"/>
    <w:rsid w:val="0046059C"/>
    <w:rsid w:val="0046066D"/>
    <w:rsid w:val="00460AA4"/>
    <w:rsid w:val="00460CE4"/>
    <w:rsid w:val="00461D26"/>
    <w:rsid w:val="004639BC"/>
    <w:rsid w:val="0046654C"/>
    <w:rsid w:val="00466D97"/>
    <w:rsid w:val="00470FAD"/>
    <w:rsid w:val="004710FD"/>
    <w:rsid w:val="00471293"/>
    <w:rsid w:val="004712CC"/>
    <w:rsid w:val="00471DE0"/>
    <w:rsid w:val="00472646"/>
    <w:rsid w:val="00476178"/>
    <w:rsid w:val="0048040A"/>
    <w:rsid w:val="00480D99"/>
    <w:rsid w:val="00481960"/>
    <w:rsid w:val="00481B22"/>
    <w:rsid w:val="004822B2"/>
    <w:rsid w:val="00483D17"/>
    <w:rsid w:val="00484CDA"/>
    <w:rsid w:val="0048568A"/>
    <w:rsid w:val="00485E32"/>
    <w:rsid w:val="004864FD"/>
    <w:rsid w:val="00486EDE"/>
    <w:rsid w:val="00487AC1"/>
    <w:rsid w:val="00487C99"/>
    <w:rsid w:val="0049135A"/>
    <w:rsid w:val="00493869"/>
    <w:rsid w:val="00493C6C"/>
    <w:rsid w:val="0049443D"/>
    <w:rsid w:val="00495191"/>
    <w:rsid w:val="00496299"/>
    <w:rsid w:val="0049738B"/>
    <w:rsid w:val="004A4617"/>
    <w:rsid w:val="004A5EE7"/>
    <w:rsid w:val="004A7F30"/>
    <w:rsid w:val="004B011A"/>
    <w:rsid w:val="004B22BC"/>
    <w:rsid w:val="004B2D37"/>
    <w:rsid w:val="004B421A"/>
    <w:rsid w:val="004B440A"/>
    <w:rsid w:val="004B4EE1"/>
    <w:rsid w:val="004B5A1C"/>
    <w:rsid w:val="004B6880"/>
    <w:rsid w:val="004C02B0"/>
    <w:rsid w:val="004C07B6"/>
    <w:rsid w:val="004C29FB"/>
    <w:rsid w:val="004C2CBF"/>
    <w:rsid w:val="004C2FC4"/>
    <w:rsid w:val="004C3E46"/>
    <w:rsid w:val="004C4113"/>
    <w:rsid w:val="004C521E"/>
    <w:rsid w:val="004C66F3"/>
    <w:rsid w:val="004C74AA"/>
    <w:rsid w:val="004C77BA"/>
    <w:rsid w:val="004D08BF"/>
    <w:rsid w:val="004D0E92"/>
    <w:rsid w:val="004D2261"/>
    <w:rsid w:val="004D2796"/>
    <w:rsid w:val="004D2A5E"/>
    <w:rsid w:val="004D2F8F"/>
    <w:rsid w:val="004D3B90"/>
    <w:rsid w:val="004D4044"/>
    <w:rsid w:val="004D5496"/>
    <w:rsid w:val="004D61BB"/>
    <w:rsid w:val="004D6BAF"/>
    <w:rsid w:val="004D6F88"/>
    <w:rsid w:val="004E1520"/>
    <w:rsid w:val="004E1E3F"/>
    <w:rsid w:val="004E2965"/>
    <w:rsid w:val="004E2A65"/>
    <w:rsid w:val="004E3023"/>
    <w:rsid w:val="004E33C4"/>
    <w:rsid w:val="004E3983"/>
    <w:rsid w:val="004E5731"/>
    <w:rsid w:val="004E5A94"/>
    <w:rsid w:val="004E60BE"/>
    <w:rsid w:val="004E68DB"/>
    <w:rsid w:val="004F0838"/>
    <w:rsid w:val="004F0852"/>
    <w:rsid w:val="004F0D91"/>
    <w:rsid w:val="004F0F5D"/>
    <w:rsid w:val="004F0F7C"/>
    <w:rsid w:val="004F2154"/>
    <w:rsid w:val="004F271D"/>
    <w:rsid w:val="004F2EA1"/>
    <w:rsid w:val="004F3FC4"/>
    <w:rsid w:val="004F4D6D"/>
    <w:rsid w:val="004F50F7"/>
    <w:rsid w:val="004F55F8"/>
    <w:rsid w:val="004F5AD7"/>
    <w:rsid w:val="004F6D32"/>
    <w:rsid w:val="004F7A76"/>
    <w:rsid w:val="004F7DCE"/>
    <w:rsid w:val="00502918"/>
    <w:rsid w:val="00502BDE"/>
    <w:rsid w:val="0050355D"/>
    <w:rsid w:val="00504273"/>
    <w:rsid w:val="00504BCE"/>
    <w:rsid w:val="00504C4C"/>
    <w:rsid w:val="00504D49"/>
    <w:rsid w:val="005053DA"/>
    <w:rsid w:val="0050567D"/>
    <w:rsid w:val="00506A39"/>
    <w:rsid w:val="005074F5"/>
    <w:rsid w:val="00507BCE"/>
    <w:rsid w:val="00507E5E"/>
    <w:rsid w:val="0051072A"/>
    <w:rsid w:val="00511216"/>
    <w:rsid w:val="0051171D"/>
    <w:rsid w:val="00511BBD"/>
    <w:rsid w:val="00512A97"/>
    <w:rsid w:val="005130B8"/>
    <w:rsid w:val="0051473F"/>
    <w:rsid w:val="005159A1"/>
    <w:rsid w:val="00520035"/>
    <w:rsid w:val="0052134E"/>
    <w:rsid w:val="00521864"/>
    <w:rsid w:val="00523A93"/>
    <w:rsid w:val="00525013"/>
    <w:rsid w:val="00526E85"/>
    <w:rsid w:val="00526FFE"/>
    <w:rsid w:val="00527354"/>
    <w:rsid w:val="00527A7C"/>
    <w:rsid w:val="0053057F"/>
    <w:rsid w:val="0053060A"/>
    <w:rsid w:val="00530A9A"/>
    <w:rsid w:val="005315A9"/>
    <w:rsid w:val="00531C5D"/>
    <w:rsid w:val="0053277B"/>
    <w:rsid w:val="005328EA"/>
    <w:rsid w:val="0053341C"/>
    <w:rsid w:val="00534969"/>
    <w:rsid w:val="0053565D"/>
    <w:rsid w:val="005358FE"/>
    <w:rsid w:val="00536334"/>
    <w:rsid w:val="00540E83"/>
    <w:rsid w:val="005411BA"/>
    <w:rsid w:val="00541F99"/>
    <w:rsid w:val="00542074"/>
    <w:rsid w:val="00542B97"/>
    <w:rsid w:val="00543BE8"/>
    <w:rsid w:val="00543E26"/>
    <w:rsid w:val="0054419B"/>
    <w:rsid w:val="005442A4"/>
    <w:rsid w:val="00544FB5"/>
    <w:rsid w:val="00546AFC"/>
    <w:rsid w:val="005504DB"/>
    <w:rsid w:val="005506A4"/>
    <w:rsid w:val="0055075E"/>
    <w:rsid w:val="0055137C"/>
    <w:rsid w:val="00551667"/>
    <w:rsid w:val="00551B24"/>
    <w:rsid w:val="00551B6B"/>
    <w:rsid w:val="005527D0"/>
    <w:rsid w:val="0055280B"/>
    <w:rsid w:val="00553070"/>
    <w:rsid w:val="00553C7E"/>
    <w:rsid w:val="00553D9F"/>
    <w:rsid w:val="00555BCA"/>
    <w:rsid w:val="005565FE"/>
    <w:rsid w:val="00556BB2"/>
    <w:rsid w:val="0055735A"/>
    <w:rsid w:val="0055764E"/>
    <w:rsid w:val="00560F35"/>
    <w:rsid w:val="0056133A"/>
    <w:rsid w:val="00561919"/>
    <w:rsid w:val="00561D6E"/>
    <w:rsid w:val="005634B0"/>
    <w:rsid w:val="005643A9"/>
    <w:rsid w:val="00565969"/>
    <w:rsid w:val="0056652B"/>
    <w:rsid w:val="0057010D"/>
    <w:rsid w:val="00570433"/>
    <w:rsid w:val="0057055B"/>
    <w:rsid w:val="00570BB1"/>
    <w:rsid w:val="00571A4C"/>
    <w:rsid w:val="00571B0C"/>
    <w:rsid w:val="0057319B"/>
    <w:rsid w:val="00573420"/>
    <w:rsid w:val="00573F9A"/>
    <w:rsid w:val="005757C3"/>
    <w:rsid w:val="0057654B"/>
    <w:rsid w:val="0057682D"/>
    <w:rsid w:val="0058056C"/>
    <w:rsid w:val="00580707"/>
    <w:rsid w:val="00580B37"/>
    <w:rsid w:val="00581AF2"/>
    <w:rsid w:val="00581BBA"/>
    <w:rsid w:val="0058223E"/>
    <w:rsid w:val="005823C5"/>
    <w:rsid w:val="005827D0"/>
    <w:rsid w:val="00583350"/>
    <w:rsid w:val="0058341F"/>
    <w:rsid w:val="0058364F"/>
    <w:rsid w:val="005839B9"/>
    <w:rsid w:val="0058508A"/>
    <w:rsid w:val="00585FCC"/>
    <w:rsid w:val="00586C4E"/>
    <w:rsid w:val="005909E4"/>
    <w:rsid w:val="00590D85"/>
    <w:rsid w:val="005918C4"/>
    <w:rsid w:val="00591977"/>
    <w:rsid w:val="00591C80"/>
    <w:rsid w:val="005968FD"/>
    <w:rsid w:val="00596B18"/>
    <w:rsid w:val="0059788A"/>
    <w:rsid w:val="00597C37"/>
    <w:rsid w:val="005A1750"/>
    <w:rsid w:val="005A3B27"/>
    <w:rsid w:val="005A3E37"/>
    <w:rsid w:val="005A3EE0"/>
    <w:rsid w:val="005A5733"/>
    <w:rsid w:val="005A654D"/>
    <w:rsid w:val="005A7BC8"/>
    <w:rsid w:val="005B0233"/>
    <w:rsid w:val="005B1096"/>
    <w:rsid w:val="005B10A7"/>
    <w:rsid w:val="005B27A8"/>
    <w:rsid w:val="005B5CF7"/>
    <w:rsid w:val="005B65B9"/>
    <w:rsid w:val="005B6689"/>
    <w:rsid w:val="005B6EFF"/>
    <w:rsid w:val="005B7FBF"/>
    <w:rsid w:val="005C06DB"/>
    <w:rsid w:val="005C17E7"/>
    <w:rsid w:val="005C4A6F"/>
    <w:rsid w:val="005C551F"/>
    <w:rsid w:val="005C5F7A"/>
    <w:rsid w:val="005D0915"/>
    <w:rsid w:val="005D2F6F"/>
    <w:rsid w:val="005D3CD8"/>
    <w:rsid w:val="005D3D9B"/>
    <w:rsid w:val="005D418F"/>
    <w:rsid w:val="005D4A2E"/>
    <w:rsid w:val="005D5168"/>
    <w:rsid w:val="005D6C08"/>
    <w:rsid w:val="005D6CDF"/>
    <w:rsid w:val="005E1E7F"/>
    <w:rsid w:val="005E1F8B"/>
    <w:rsid w:val="005E2F07"/>
    <w:rsid w:val="005E38E0"/>
    <w:rsid w:val="005E469E"/>
    <w:rsid w:val="005E5ED6"/>
    <w:rsid w:val="005E6C4D"/>
    <w:rsid w:val="005E6F14"/>
    <w:rsid w:val="005F0435"/>
    <w:rsid w:val="005F079F"/>
    <w:rsid w:val="005F0F5E"/>
    <w:rsid w:val="005F1238"/>
    <w:rsid w:val="005F16B1"/>
    <w:rsid w:val="005F17A4"/>
    <w:rsid w:val="005F3635"/>
    <w:rsid w:val="005F42D6"/>
    <w:rsid w:val="005F667A"/>
    <w:rsid w:val="005F6817"/>
    <w:rsid w:val="005F6B84"/>
    <w:rsid w:val="00600155"/>
    <w:rsid w:val="00601670"/>
    <w:rsid w:val="0060176F"/>
    <w:rsid w:val="006023BC"/>
    <w:rsid w:val="00603922"/>
    <w:rsid w:val="00603A94"/>
    <w:rsid w:val="00604B43"/>
    <w:rsid w:val="0060529D"/>
    <w:rsid w:val="00605F15"/>
    <w:rsid w:val="006071DC"/>
    <w:rsid w:val="006101D0"/>
    <w:rsid w:val="0061044F"/>
    <w:rsid w:val="00611F3B"/>
    <w:rsid w:val="00612363"/>
    <w:rsid w:val="00612CB0"/>
    <w:rsid w:val="006148E3"/>
    <w:rsid w:val="006149E6"/>
    <w:rsid w:val="00615A65"/>
    <w:rsid w:val="00616BA6"/>
    <w:rsid w:val="00620C3D"/>
    <w:rsid w:val="00620D3A"/>
    <w:rsid w:val="00622B85"/>
    <w:rsid w:val="00623229"/>
    <w:rsid w:val="00623523"/>
    <w:rsid w:val="0062590D"/>
    <w:rsid w:val="00626977"/>
    <w:rsid w:val="00626B8D"/>
    <w:rsid w:val="0062737C"/>
    <w:rsid w:val="00630222"/>
    <w:rsid w:val="0063049D"/>
    <w:rsid w:val="00630744"/>
    <w:rsid w:val="006318E6"/>
    <w:rsid w:val="00634FF2"/>
    <w:rsid w:val="0063525F"/>
    <w:rsid w:val="00635336"/>
    <w:rsid w:val="00635337"/>
    <w:rsid w:val="00637AA0"/>
    <w:rsid w:val="00637C46"/>
    <w:rsid w:val="00637C7E"/>
    <w:rsid w:val="0064004D"/>
    <w:rsid w:val="00642868"/>
    <w:rsid w:val="006431D3"/>
    <w:rsid w:val="00643A16"/>
    <w:rsid w:val="00643B37"/>
    <w:rsid w:val="00644246"/>
    <w:rsid w:val="00644EDA"/>
    <w:rsid w:val="006452C6"/>
    <w:rsid w:val="006509AD"/>
    <w:rsid w:val="00653EB5"/>
    <w:rsid w:val="00654811"/>
    <w:rsid w:val="006548EC"/>
    <w:rsid w:val="00656261"/>
    <w:rsid w:val="006571FF"/>
    <w:rsid w:val="00657D63"/>
    <w:rsid w:val="00660363"/>
    <w:rsid w:val="006606EC"/>
    <w:rsid w:val="00661000"/>
    <w:rsid w:val="00661E7B"/>
    <w:rsid w:val="00661FAE"/>
    <w:rsid w:val="00662E5A"/>
    <w:rsid w:val="00663C82"/>
    <w:rsid w:val="0066455E"/>
    <w:rsid w:val="00664687"/>
    <w:rsid w:val="006646B0"/>
    <w:rsid w:val="00664A80"/>
    <w:rsid w:val="006659C6"/>
    <w:rsid w:val="00667C57"/>
    <w:rsid w:val="00670556"/>
    <w:rsid w:val="00671207"/>
    <w:rsid w:val="00673AE3"/>
    <w:rsid w:val="0067495B"/>
    <w:rsid w:val="00674A22"/>
    <w:rsid w:val="00674F54"/>
    <w:rsid w:val="00675326"/>
    <w:rsid w:val="00676683"/>
    <w:rsid w:val="0067751D"/>
    <w:rsid w:val="00677FEE"/>
    <w:rsid w:val="00680178"/>
    <w:rsid w:val="006805BE"/>
    <w:rsid w:val="00680E6B"/>
    <w:rsid w:val="00680F6E"/>
    <w:rsid w:val="00681E60"/>
    <w:rsid w:val="00682475"/>
    <w:rsid w:val="00683F56"/>
    <w:rsid w:val="00684DAC"/>
    <w:rsid w:val="00687260"/>
    <w:rsid w:val="00687817"/>
    <w:rsid w:val="006879C3"/>
    <w:rsid w:val="00690233"/>
    <w:rsid w:val="00690C35"/>
    <w:rsid w:val="00691361"/>
    <w:rsid w:val="006916FC"/>
    <w:rsid w:val="00691BE6"/>
    <w:rsid w:val="00691EAF"/>
    <w:rsid w:val="00692722"/>
    <w:rsid w:val="00692DEA"/>
    <w:rsid w:val="0069313C"/>
    <w:rsid w:val="006933C5"/>
    <w:rsid w:val="00693CB1"/>
    <w:rsid w:val="0069529A"/>
    <w:rsid w:val="0069533C"/>
    <w:rsid w:val="00695995"/>
    <w:rsid w:val="006973AD"/>
    <w:rsid w:val="006973D4"/>
    <w:rsid w:val="00697E8F"/>
    <w:rsid w:val="006A06BF"/>
    <w:rsid w:val="006A39B7"/>
    <w:rsid w:val="006A449F"/>
    <w:rsid w:val="006A4CBB"/>
    <w:rsid w:val="006A6244"/>
    <w:rsid w:val="006A6A15"/>
    <w:rsid w:val="006A713F"/>
    <w:rsid w:val="006B010A"/>
    <w:rsid w:val="006B25EE"/>
    <w:rsid w:val="006B28D6"/>
    <w:rsid w:val="006B2CA4"/>
    <w:rsid w:val="006B2FCE"/>
    <w:rsid w:val="006B3036"/>
    <w:rsid w:val="006B3A13"/>
    <w:rsid w:val="006B3D21"/>
    <w:rsid w:val="006B4DA0"/>
    <w:rsid w:val="006B50B0"/>
    <w:rsid w:val="006B516C"/>
    <w:rsid w:val="006B6C9F"/>
    <w:rsid w:val="006B7EBF"/>
    <w:rsid w:val="006C0CD3"/>
    <w:rsid w:val="006C2051"/>
    <w:rsid w:val="006C232D"/>
    <w:rsid w:val="006C2816"/>
    <w:rsid w:val="006C46A3"/>
    <w:rsid w:val="006C64E0"/>
    <w:rsid w:val="006C6E7C"/>
    <w:rsid w:val="006C71BD"/>
    <w:rsid w:val="006C7467"/>
    <w:rsid w:val="006C74E0"/>
    <w:rsid w:val="006C79AE"/>
    <w:rsid w:val="006C7D9A"/>
    <w:rsid w:val="006C7F49"/>
    <w:rsid w:val="006D0453"/>
    <w:rsid w:val="006D06B1"/>
    <w:rsid w:val="006D07DC"/>
    <w:rsid w:val="006D1A24"/>
    <w:rsid w:val="006D26BF"/>
    <w:rsid w:val="006D37DB"/>
    <w:rsid w:val="006D5BB2"/>
    <w:rsid w:val="006D6267"/>
    <w:rsid w:val="006E3B7A"/>
    <w:rsid w:val="006E7F5B"/>
    <w:rsid w:val="006F0487"/>
    <w:rsid w:val="006F232E"/>
    <w:rsid w:val="006F2D84"/>
    <w:rsid w:val="006F31FA"/>
    <w:rsid w:val="006F35C1"/>
    <w:rsid w:val="006F4835"/>
    <w:rsid w:val="006F54F0"/>
    <w:rsid w:val="006F591C"/>
    <w:rsid w:val="006F5CFC"/>
    <w:rsid w:val="006F712F"/>
    <w:rsid w:val="006F7749"/>
    <w:rsid w:val="0070050A"/>
    <w:rsid w:val="00700788"/>
    <w:rsid w:val="00700F6C"/>
    <w:rsid w:val="00700F93"/>
    <w:rsid w:val="007015A1"/>
    <w:rsid w:val="007027CB"/>
    <w:rsid w:val="00703858"/>
    <w:rsid w:val="00703DD9"/>
    <w:rsid w:val="0070559D"/>
    <w:rsid w:val="00705976"/>
    <w:rsid w:val="0070597A"/>
    <w:rsid w:val="007068DE"/>
    <w:rsid w:val="00706C4A"/>
    <w:rsid w:val="00710917"/>
    <w:rsid w:val="007115C3"/>
    <w:rsid w:val="00713D09"/>
    <w:rsid w:val="00714A85"/>
    <w:rsid w:val="0071536F"/>
    <w:rsid w:val="00715DFE"/>
    <w:rsid w:val="00716189"/>
    <w:rsid w:val="00716429"/>
    <w:rsid w:val="00717A6A"/>
    <w:rsid w:val="00717E60"/>
    <w:rsid w:val="007217C8"/>
    <w:rsid w:val="0072224D"/>
    <w:rsid w:val="00722A7C"/>
    <w:rsid w:val="00724A4D"/>
    <w:rsid w:val="00725115"/>
    <w:rsid w:val="0072562B"/>
    <w:rsid w:val="00725777"/>
    <w:rsid w:val="00726957"/>
    <w:rsid w:val="00730878"/>
    <w:rsid w:val="00730900"/>
    <w:rsid w:val="0073154A"/>
    <w:rsid w:val="00732C08"/>
    <w:rsid w:val="00732D9E"/>
    <w:rsid w:val="00732F0B"/>
    <w:rsid w:val="007356E5"/>
    <w:rsid w:val="007364E3"/>
    <w:rsid w:val="00740056"/>
    <w:rsid w:val="00741823"/>
    <w:rsid w:val="00744092"/>
    <w:rsid w:val="00744408"/>
    <w:rsid w:val="00744E4A"/>
    <w:rsid w:val="007456F1"/>
    <w:rsid w:val="00745A26"/>
    <w:rsid w:val="00746F8B"/>
    <w:rsid w:val="00752394"/>
    <w:rsid w:val="00752586"/>
    <w:rsid w:val="00753E86"/>
    <w:rsid w:val="00760766"/>
    <w:rsid w:val="00760826"/>
    <w:rsid w:val="00760A67"/>
    <w:rsid w:val="00762474"/>
    <w:rsid w:val="007639EC"/>
    <w:rsid w:val="00763B87"/>
    <w:rsid w:val="007648F6"/>
    <w:rsid w:val="007656BE"/>
    <w:rsid w:val="007666D7"/>
    <w:rsid w:val="00766C1D"/>
    <w:rsid w:val="00766EF9"/>
    <w:rsid w:val="007712F4"/>
    <w:rsid w:val="007714D9"/>
    <w:rsid w:val="00771897"/>
    <w:rsid w:val="00773C46"/>
    <w:rsid w:val="00773EF1"/>
    <w:rsid w:val="00774772"/>
    <w:rsid w:val="00774991"/>
    <w:rsid w:val="007749E4"/>
    <w:rsid w:val="00774E9A"/>
    <w:rsid w:val="00776EA5"/>
    <w:rsid w:val="007770D4"/>
    <w:rsid w:val="00780365"/>
    <w:rsid w:val="00781A2F"/>
    <w:rsid w:val="00781D68"/>
    <w:rsid w:val="00781E55"/>
    <w:rsid w:val="007821C1"/>
    <w:rsid w:val="00783B85"/>
    <w:rsid w:val="00783FE8"/>
    <w:rsid w:val="0078444A"/>
    <w:rsid w:val="0078628B"/>
    <w:rsid w:val="00787B65"/>
    <w:rsid w:val="00790479"/>
    <w:rsid w:val="007904B2"/>
    <w:rsid w:val="00790C19"/>
    <w:rsid w:val="00792403"/>
    <w:rsid w:val="0079269C"/>
    <w:rsid w:val="00792A0C"/>
    <w:rsid w:val="0079304F"/>
    <w:rsid w:val="0079306D"/>
    <w:rsid w:val="00797EC9"/>
    <w:rsid w:val="007A1AB5"/>
    <w:rsid w:val="007A1EC4"/>
    <w:rsid w:val="007A258A"/>
    <w:rsid w:val="007A3E69"/>
    <w:rsid w:val="007A6F20"/>
    <w:rsid w:val="007A728D"/>
    <w:rsid w:val="007A7B8A"/>
    <w:rsid w:val="007B0FA0"/>
    <w:rsid w:val="007B2670"/>
    <w:rsid w:val="007B3011"/>
    <w:rsid w:val="007B30BE"/>
    <w:rsid w:val="007B4AED"/>
    <w:rsid w:val="007B5C28"/>
    <w:rsid w:val="007B6851"/>
    <w:rsid w:val="007B68E5"/>
    <w:rsid w:val="007C2535"/>
    <w:rsid w:val="007C2901"/>
    <w:rsid w:val="007C291E"/>
    <w:rsid w:val="007C2973"/>
    <w:rsid w:val="007C2EE6"/>
    <w:rsid w:val="007C3970"/>
    <w:rsid w:val="007C4419"/>
    <w:rsid w:val="007C467D"/>
    <w:rsid w:val="007C4907"/>
    <w:rsid w:val="007C53C0"/>
    <w:rsid w:val="007C5526"/>
    <w:rsid w:val="007C6586"/>
    <w:rsid w:val="007C7023"/>
    <w:rsid w:val="007D0194"/>
    <w:rsid w:val="007D19E2"/>
    <w:rsid w:val="007D2327"/>
    <w:rsid w:val="007D2936"/>
    <w:rsid w:val="007D3AE6"/>
    <w:rsid w:val="007D401D"/>
    <w:rsid w:val="007E0118"/>
    <w:rsid w:val="007E06B1"/>
    <w:rsid w:val="007E0B45"/>
    <w:rsid w:val="007E190C"/>
    <w:rsid w:val="007E3A7E"/>
    <w:rsid w:val="007E429B"/>
    <w:rsid w:val="007E438B"/>
    <w:rsid w:val="007E4B6F"/>
    <w:rsid w:val="007E4B91"/>
    <w:rsid w:val="007E55F4"/>
    <w:rsid w:val="007F0F19"/>
    <w:rsid w:val="007F2A2A"/>
    <w:rsid w:val="007F2AD4"/>
    <w:rsid w:val="007F2C7D"/>
    <w:rsid w:val="007F4647"/>
    <w:rsid w:val="007F494E"/>
    <w:rsid w:val="007F4DF4"/>
    <w:rsid w:val="007F52DE"/>
    <w:rsid w:val="007F593F"/>
    <w:rsid w:val="007F5BE0"/>
    <w:rsid w:val="007F7156"/>
    <w:rsid w:val="007F7632"/>
    <w:rsid w:val="00802C5A"/>
    <w:rsid w:val="00803C7A"/>
    <w:rsid w:val="0080624F"/>
    <w:rsid w:val="00806708"/>
    <w:rsid w:val="008114A6"/>
    <w:rsid w:val="0081664A"/>
    <w:rsid w:val="008169BE"/>
    <w:rsid w:val="008171F7"/>
    <w:rsid w:val="00817932"/>
    <w:rsid w:val="0082063B"/>
    <w:rsid w:val="008208B5"/>
    <w:rsid w:val="00821347"/>
    <w:rsid w:val="00821CF5"/>
    <w:rsid w:val="00821D75"/>
    <w:rsid w:val="00822174"/>
    <w:rsid w:val="0082229C"/>
    <w:rsid w:val="00822E39"/>
    <w:rsid w:val="0082433A"/>
    <w:rsid w:val="0082437C"/>
    <w:rsid w:val="00825573"/>
    <w:rsid w:val="0082742B"/>
    <w:rsid w:val="00830A5B"/>
    <w:rsid w:val="0083129E"/>
    <w:rsid w:val="00831803"/>
    <w:rsid w:val="0083220A"/>
    <w:rsid w:val="00833562"/>
    <w:rsid w:val="00833935"/>
    <w:rsid w:val="008345D2"/>
    <w:rsid w:val="008359C6"/>
    <w:rsid w:val="00836023"/>
    <w:rsid w:val="00836608"/>
    <w:rsid w:val="008368C5"/>
    <w:rsid w:val="00837E89"/>
    <w:rsid w:val="00840365"/>
    <w:rsid w:val="00841E82"/>
    <w:rsid w:val="0084214A"/>
    <w:rsid w:val="0084367D"/>
    <w:rsid w:val="0084376B"/>
    <w:rsid w:val="00843BB4"/>
    <w:rsid w:val="008455B8"/>
    <w:rsid w:val="00846543"/>
    <w:rsid w:val="008474F4"/>
    <w:rsid w:val="00847B7C"/>
    <w:rsid w:val="00847B9D"/>
    <w:rsid w:val="0085007E"/>
    <w:rsid w:val="008506D7"/>
    <w:rsid w:val="00850C53"/>
    <w:rsid w:val="00851816"/>
    <w:rsid w:val="00851D4F"/>
    <w:rsid w:val="008548B3"/>
    <w:rsid w:val="008561E8"/>
    <w:rsid w:val="008577E0"/>
    <w:rsid w:val="00861C5A"/>
    <w:rsid w:val="008629E3"/>
    <w:rsid w:val="00863292"/>
    <w:rsid w:val="00864354"/>
    <w:rsid w:val="00864D6A"/>
    <w:rsid w:val="0086524F"/>
    <w:rsid w:val="0086745C"/>
    <w:rsid w:val="00867D8C"/>
    <w:rsid w:val="00867E89"/>
    <w:rsid w:val="00872348"/>
    <w:rsid w:val="0087265B"/>
    <w:rsid w:val="008728EA"/>
    <w:rsid w:val="00872C83"/>
    <w:rsid w:val="00873CB0"/>
    <w:rsid w:val="00875273"/>
    <w:rsid w:val="00875A11"/>
    <w:rsid w:val="00876550"/>
    <w:rsid w:val="00877AF6"/>
    <w:rsid w:val="0088328C"/>
    <w:rsid w:val="00883B66"/>
    <w:rsid w:val="00883B73"/>
    <w:rsid w:val="00883EAA"/>
    <w:rsid w:val="00884E3C"/>
    <w:rsid w:val="008857BC"/>
    <w:rsid w:val="008863FF"/>
    <w:rsid w:val="00890061"/>
    <w:rsid w:val="00890D64"/>
    <w:rsid w:val="00891774"/>
    <w:rsid w:val="00891BF4"/>
    <w:rsid w:val="008953C4"/>
    <w:rsid w:val="008966D6"/>
    <w:rsid w:val="00896BDE"/>
    <w:rsid w:val="00897995"/>
    <w:rsid w:val="008A14FE"/>
    <w:rsid w:val="008A2B71"/>
    <w:rsid w:val="008A4C51"/>
    <w:rsid w:val="008A4DF8"/>
    <w:rsid w:val="008A5C35"/>
    <w:rsid w:val="008A66B6"/>
    <w:rsid w:val="008B0FA7"/>
    <w:rsid w:val="008B148E"/>
    <w:rsid w:val="008B172E"/>
    <w:rsid w:val="008B1DCF"/>
    <w:rsid w:val="008B2DBB"/>
    <w:rsid w:val="008B42D3"/>
    <w:rsid w:val="008B609E"/>
    <w:rsid w:val="008B6727"/>
    <w:rsid w:val="008B6C2E"/>
    <w:rsid w:val="008B78D4"/>
    <w:rsid w:val="008B7900"/>
    <w:rsid w:val="008C06F1"/>
    <w:rsid w:val="008C104B"/>
    <w:rsid w:val="008C125E"/>
    <w:rsid w:val="008C1871"/>
    <w:rsid w:val="008C23BE"/>
    <w:rsid w:val="008C2D36"/>
    <w:rsid w:val="008C2D72"/>
    <w:rsid w:val="008C35BB"/>
    <w:rsid w:val="008C446A"/>
    <w:rsid w:val="008C7C79"/>
    <w:rsid w:val="008D3657"/>
    <w:rsid w:val="008D3772"/>
    <w:rsid w:val="008D3F59"/>
    <w:rsid w:val="008D466C"/>
    <w:rsid w:val="008D603D"/>
    <w:rsid w:val="008D6E8C"/>
    <w:rsid w:val="008E0365"/>
    <w:rsid w:val="008E2542"/>
    <w:rsid w:val="008E2D45"/>
    <w:rsid w:val="008E2F6A"/>
    <w:rsid w:val="008E3925"/>
    <w:rsid w:val="008E5244"/>
    <w:rsid w:val="008E6DD5"/>
    <w:rsid w:val="008E7FA5"/>
    <w:rsid w:val="008F129C"/>
    <w:rsid w:val="008F2E3D"/>
    <w:rsid w:val="008F339D"/>
    <w:rsid w:val="008F5A04"/>
    <w:rsid w:val="008F662F"/>
    <w:rsid w:val="008F71E9"/>
    <w:rsid w:val="008F777A"/>
    <w:rsid w:val="009009B3"/>
    <w:rsid w:val="00901706"/>
    <w:rsid w:val="009023F6"/>
    <w:rsid w:val="0090243F"/>
    <w:rsid w:val="009031AF"/>
    <w:rsid w:val="009037DC"/>
    <w:rsid w:val="009048DB"/>
    <w:rsid w:val="0090570E"/>
    <w:rsid w:val="00906779"/>
    <w:rsid w:val="00912C6B"/>
    <w:rsid w:val="00913EF9"/>
    <w:rsid w:val="0091483C"/>
    <w:rsid w:val="00916256"/>
    <w:rsid w:val="00917AB2"/>
    <w:rsid w:val="009210F1"/>
    <w:rsid w:val="009225F8"/>
    <w:rsid w:val="00922B98"/>
    <w:rsid w:val="00924799"/>
    <w:rsid w:val="00924B7C"/>
    <w:rsid w:val="00925CF7"/>
    <w:rsid w:val="0092739E"/>
    <w:rsid w:val="0092740E"/>
    <w:rsid w:val="00930109"/>
    <w:rsid w:val="009305B7"/>
    <w:rsid w:val="0093133A"/>
    <w:rsid w:val="00931880"/>
    <w:rsid w:val="009318A4"/>
    <w:rsid w:val="00934064"/>
    <w:rsid w:val="00934BB7"/>
    <w:rsid w:val="00936530"/>
    <w:rsid w:val="00937A95"/>
    <w:rsid w:val="00937CAC"/>
    <w:rsid w:val="0094177B"/>
    <w:rsid w:val="0094198F"/>
    <w:rsid w:val="009429F2"/>
    <w:rsid w:val="009430EB"/>
    <w:rsid w:val="00944363"/>
    <w:rsid w:val="009466DE"/>
    <w:rsid w:val="00950D12"/>
    <w:rsid w:val="00952414"/>
    <w:rsid w:val="009525B0"/>
    <w:rsid w:val="00953B8B"/>
    <w:rsid w:val="00953C39"/>
    <w:rsid w:val="00954FC2"/>
    <w:rsid w:val="0096073F"/>
    <w:rsid w:val="009609B9"/>
    <w:rsid w:val="00960B80"/>
    <w:rsid w:val="00960B84"/>
    <w:rsid w:val="00960E12"/>
    <w:rsid w:val="009638C4"/>
    <w:rsid w:val="009650A5"/>
    <w:rsid w:val="0096545C"/>
    <w:rsid w:val="00970844"/>
    <w:rsid w:val="00972FCC"/>
    <w:rsid w:val="00973320"/>
    <w:rsid w:val="0097425A"/>
    <w:rsid w:val="009759FF"/>
    <w:rsid w:val="00975FF4"/>
    <w:rsid w:val="00976756"/>
    <w:rsid w:val="009800D6"/>
    <w:rsid w:val="0098045E"/>
    <w:rsid w:val="00980862"/>
    <w:rsid w:val="00980E85"/>
    <w:rsid w:val="00983117"/>
    <w:rsid w:val="00983ECB"/>
    <w:rsid w:val="009846FB"/>
    <w:rsid w:val="00986D6F"/>
    <w:rsid w:val="009872C6"/>
    <w:rsid w:val="00987AC0"/>
    <w:rsid w:val="009910DF"/>
    <w:rsid w:val="00991737"/>
    <w:rsid w:val="00991C9E"/>
    <w:rsid w:val="009929AF"/>
    <w:rsid w:val="009929EA"/>
    <w:rsid w:val="00992BFB"/>
    <w:rsid w:val="00992FDE"/>
    <w:rsid w:val="009964A7"/>
    <w:rsid w:val="009967E3"/>
    <w:rsid w:val="00997282"/>
    <w:rsid w:val="009972F4"/>
    <w:rsid w:val="009A0163"/>
    <w:rsid w:val="009A042E"/>
    <w:rsid w:val="009A0A53"/>
    <w:rsid w:val="009A1A51"/>
    <w:rsid w:val="009A1B8D"/>
    <w:rsid w:val="009A1F30"/>
    <w:rsid w:val="009A4583"/>
    <w:rsid w:val="009A472C"/>
    <w:rsid w:val="009A4C5C"/>
    <w:rsid w:val="009A4FE2"/>
    <w:rsid w:val="009A50C0"/>
    <w:rsid w:val="009A57AF"/>
    <w:rsid w:val="009A601C"/>
    <w:rsid w:val="009A6402"/>
    <w:rsid w:val="009A6EE3"/>
    <w:rsid w:val="009B0C30"/>
    <w:rsid w:val="009B1AB5"/>
    <w:rsid w:val="009B2713"/>
    <w:rsid w:val="009B2C87"/>
    <w:rsid w:val="009B3E84"/>
    <w:rsid w:val="009B442E"/>
    <w:rsid w:val="009B565B"/>
    <w:rsid w:val="009B635D"/>
    <w:rsid w:val="009C0580"/>
    <w:rsid w:val="009C0D32"/>
    <w:rsid w:val="009C0DDA"/>
    <w:rsid w:val="009C0FB4"/>
    <w:rsid w:val="009C2611"/>
    <w:rsid w:val="009C2800"/>
    <w:rsid w:val="009C3C06"/>
    <w:rsid w:val="009C3CCD"/>
    <w:rsid w:val="009C4040"/>
    <w:rsid w:val="009C614E"/>
    <w:rsid w:val="009C78E9"/>
    <w:rsid w:val="009C7CCA"/>
    <w:rsid w:val="009D0904"/>
    <w:rsid w:val="009D1699"/>
    <w:rsid w:val="009D1DED"/>
    <w:rsid w:val="009D3119"/>
    <w:rsid w:val="009D3185"/>
    <w:rsid w:val="009D3D16"/>
    <w:rsid w:val="009D4867"/>
    <w:rsid w:val="009D5351"/>
    <w:rsid w:val="009D7079"/>
    <w:rsid w:val="009D7332"/>
    <w:rsid w:val="009E0430"/>
    <w:rsid w:val="009E106A"/>
    <w:rsid w:val="009E1ECB"/>
    <w:rsid w:val="009E2771"/>
    <w:rsid w:val="009E2B1C"/>
    <w:rsid w:val="009E3865"/>
    <w:rsid w:val="009E38F0"/>
    <w:rsid w:val="009E3E5A"/>
    <w:rsid w:val="009E46E0"/>
    <w:rsid w:val="009F0396"/>
    <w:rsid w:val="009F2033"/>
    <w:rsid w:val="009F26D2"/>
    <w:rsid w:val="009F2F1F"/>
    <w:rsid w:val="009F311E"/>
    <w:rsid w:val="009F3257"/>
    <w:rsid w:val="009F37CD"/>
    <w:rsid w:val="009F5649"/>
    <w:rsid w:val="009F66E6"/>
    <w:rsid w:val="009F6D02"/>
    <w:rsid w:val="009F7488"/>
    <w:rsid w:val="00A001F3"/>
    <w:rsid w:val="00A005DC"/>
    <w:rsid w:val="00A01742"/>
    <w:rsid w:val="00A0183D"/>
    <w:rsid w:val="00A03B30"/>
    <w:rsid w:val="00A0486E"/>
    <w:rsid w:val="00A048B2"/>
    <w:rsid w:val="00A04AC5"/>
    <w:rsid w:val="00A051C1"/>
    <w:rsid w:val="00A05623"/>
    <w:rsid w:val="00A0711E"/>
    <w:rsid w:val="00A07CC2"/>
    <w:rsid w:val="00A124DB"/>
    <w:rsid w:val="00A131C4"/>
    <w:rsid w:val="00A1466A"/>
    <w:rsid w:val="00A14F9D"/>
    <w:rsid w:val="00A15613"/>
    <w:rsid w:val="00A160D7"/>
    <w:rsid w:val="00A16749"/>
    <w:rsid w:val="00A17FEB"/>
    <w:rsid w:val="00A20180"/>
    <w:rsid w:val="00A2094F"/>
    <w:rsid w:val="00A23632"/>
    <w:rsid w:val="00A23B2A"/>
    <w:rsid w:val="00A23CEC"/>
    <w:rsid w:val="00A25758"/>
    <w:rsid w:val="00A25EA6"/>
    <w:rsid w:val="00A2667A"/>
    <w:rsid w:val="00A26F44"/>
    <w:rsid w:val="00A274BA"/>
    <w:rsid w:val="00A27F3C"/>
    <w:rsid w:val="00A30843"/>
    <w:rsid w:val="00A3093F"/>
    <w:rsid w:val="00A30DA1"/>
    <w:rsid w:val="00A3148B"/>
    <w:rsid w:val="00A328D0"/>
    <w:rsid w:val="00A34668"/>
    <w:rsid w:val="00A353BB"/>
    <w:rsid w:val="00A35DF7"/>
    <w:rsid w:val="00A362F2"/>
    <w:rsid w:val="00A40287"/>
    <w:rsid w:val="00A40FFA"/>
    <w:rsid w:val="00A4173C"/>
    <w:rsid w:val="00A41A48"/>
    <w:rsid w:val="00A45542"/>
    <w:rsid w:val="00A4690F"/>
    <w:rsid w:val="00A471CE"/>
    <w:rsid w:val="00A47A94"/>
    <w:rsid w:val="00A47C9D"/>
    <w:rsid w:val="00A50E09"/>
    <w:rsid w:val="00A51462"/>
    <w:rsid w:val="00A52909"/>
    <w:rsid w:val="00A5311B"/>
    <w:rsid w:val="00A53EE3"/>
    <w:rsid w:val="00A54592"/>
    <w:rsid w:val="00A55297"/>
    <w:rsid w:val="00A56308"/>
    <w:rsid w:val="00A56418"/>
    <w:rsid w:val="00A570AD"/>
    <w:rsid w:val="00A57D3D"/>
    <w:rsid w:val="00A601D4"/>
    <w:rsid w:val="00A6077F"/>
    <w:rsid w:val="00A61488"/>
    <w:rsid w:val="00A62F3F"/>
    <w:rsid w:val="00A639A4"/>
    <w:rsid w:val="00A63B40"/>
    <w:rsid w:val="00A64F8D"/>
    <w:rsid w:val="00A66537"/>
    <w:rsid w:val="00A673DF"/>
    <w:rsid w:val="00A704E1"/>
    <w:rsid w:val="00A707CD"/>
    <w:rsid w:val="00A71C2C"/>
    <w:rsid w:val="00A72906"/>
    <w:rsid w:val="00A72AE4"/>
    <w:rsid w:val="00A73BAA"/>
    <w:rsid w:val="00A74D7D"/>
    <w:rsid w:val="00A75C65"/>
    <w:rsid w:val="00A76967"/>
    <w:rsid w:val="00A778A7"/>
    <w:rsid w:val="00A7798A"/>
    <w:rsid w:val="00A77BDB"/>
    <w:rsid w:val="00A77E56"/>
    <w:rsid w:val="00A8094C"/>
    <w:rsid w:val="00A80A60"/>
    <w:rsid w:val="00A810AA"/>
    <w:rsid w:val="00A828E4"/>
    <w:rsid w:val="00A83996"/>
    <w:rsid w:val="00A8527F"/>
    <w:rsid w:val="00A85490"/>
    <w:rsid w:val="00A91CB0"/>
    <w:rsid w:val="00A93060"/>
    <w:rsid w:val="00A931FF"/>
    <w:rsid w:val="00A93610"/>
    <w:rsid w:val="00A94C7B"/>
    <w:rsid w:val="00A95DFB"/>
    <w:rsid w:val="00A96BE2"/>
    <w:rsid w:val="00A9705C"/>
    <w:rsid w:val="00AA034E"/>
    <w:rsid w:val="00AA0702"/>
    <w:rsid w:val="00AA106E"/>
    <w:rsid w:val="00AA1BB8"/>
    <w:rsid w:val="00AA32EC"/>
    <w:rsid w:val="00AA34BE"/>
    <w:rsid w:val="00AA3A89"/>
    <w:rsid w:val="00AA3DD4"/>
    <w:rsid w:val="00AA4A71"/>
    <w:rsid w:val="00AA620B"/>
    <w:rsid w:val="00AA6818"/>
    <w:rsid w:val="00AA6B2B"/>
    <w:rsid w:val="00AA75C1"/>
    <w:rsid w:val="00AA7CE5"/>
    <w:rsid w:val="00AB0A6E"/>
    <w:rsid w:val="00AB0EA8"/>
    <w:rsid w:val="00AB1A8B"/>
    <w:rsid w:val="00AB21D9"/>
    <w:rsid w:val="00AB245B"/>
    <w:rsid w:val="00AB2CC1"/>
    <w:rsid w:val="00AB2E8E"/>
    <w:rsid w:val="00AB3C07"/>
    <w:rsid w:val="00AB413F"/>
    <w:rsid w:val="00AB5D7F"/>
    <w:rsid w:val="00AB6E64"/>
    <w:rsid w:val="00AB7101"/>
    <w:rsid w:val="00AB727E"/>
    <w:rsid w:val="00AB7B20"/>
    <w:rsid w:val="00AC18F8"/>
    <w:rsid w:val="00AC19C4"/>
    <w:rsid w:val="00AC2987"/>
    <w:rsid w:val="00AC41A6"/>
    <w:rsid w:val="00AC4D6B"/>
    <w:rsid w:val="00AC6301"/>
    <w:rsid w:val="00AC6B21"/>
    <w:rsid w:val="00AC6E3F"/>
    <w:rsid w:val="00AC7989"/>
    <w:rsid w:val="00AC7ED3"/>
    <w:rsid w:val="00AD0432"/>
    <w:rsid w:val="00AD07AD"/>
    <w:rsid w:val="00AD1DF2"/>
    <w:rsid w:val="00AD2B87"/>
    <w:rsid w:val="00AD35F7"/>
    <w:rsid w:val="00AD49AB"/>
    <w:rsid w:val="00AD5DA6"/>
    <w:rsid w:val="00AD62A3"/>
    <w:rsid w:val="00AD63CA"/>
    <w:rsid w:val="00AD66DB"/>
    <w:rsid w:val="00AE032F"/>
    <w:rsid w:val="00AE0C74"/>
    <w:rsid w:val="00AE1EFF"/>
    <w:rsid w:val="00AE3B04"/>
    <w:rsid w:val="00AE486F"/>
    <w:rsid w:val="00AE4A9E"/>
    <w:rsid w:val="00AE4EAF"/>
    <w:rsid w:val="00AE5506"/>
    <w:rsid w:val="00AE58B8"/>
    <w:rsid w:val="00AE6759"/>
    <w:rsid w:val="00AE7034"/>
    <w:rsid w:val="00AE71FB"/>
    <w:rsid w:val="00AE7348"/>
    <w:rsid w:val="00AF01CF"/>
    <w:rsid w:val="00AF0229"/>
    <w:rsid w:val="00AF11AC"/>
    <w:rsid w:val="00AF31C1"/>
    <w:rsid w:val="00AF3DAE"/>
    <w:rsid w:val="00AF408B"/>
    <w:rsid w:val="00AF43B9"/>
    <w:rsid w:val="00AF45D9"/>
    <w:rsid w:val="00AF47B8"/>
    <w:rsid w:val="00AF5BEB"/>
    <w:rsid w:val="00AF5CE2"/>
    <w:rsid w:val="00AF65B9"/>
    <w:rsid w:val="00AF7112"/>
    <w:rsid w:val="00AF7833"/>
    <w:rsid w:val="00B00605"/>
    <w:rsid w:val="00B00A85"/>
    <w:rsid w:val="00B01FC2"/>
    <w:rsid w:val="00B055F3"/>
    <w:rsid w:val="00B05645"/>
    <w:rsid w:val="00B05F57"/>
    <w:rsid w:val="00B06243"/>
    <w:rsid w:val="00B06A1E"/>
    <w:rsid w:val="00B075C7"/>
    <w:rsid w:val="00B07971"/>
    <w:rsid w:val="00B106F9"/>
    <w:rsid w:val="00B10779"/>
    <w:rsid w:val="00B10868"/>
    <w:rsid w:val="00B111F0"/>
    <w:rsid w:val="00B11B83"/>
    <w:rsid w:val="00B1340F"/>
    <w:rsid w:val="00B13FDC"/>
    <w:rsid w:val="00B14377"/>
    <w:rsid w:val="00B16A8D"/>
    <w:rsid w:val="00B17296"/>
    <w:rsid w:val="00B17413"/>
    <w:rsid w:val="00B17774"/>
    <w:rsid w:val="00B17AE7"/>
    <w:rsid w:val="00B20CBB"/>
    <w:rsid w:val="00B21006"/>
    <w:rsid w:val="00B2158D"/>
    <w:rsid w:val="00B21D6C"/>
    <w:rsid w:val="00B24524"/>
    <w:rsid w:val="00B24DFB"/>
    <w:rsid w:val="00B25A0D"/>
    <w:rsid w:val="00B263D4"/>
    <w:rsid w:val="00B31F48"/>
    <w:rsid w:val="00B3255F"/>
    <w:rsid w:val="00B3278C"/>
    <w:rsid w:val="00B32C86"/>
    <w:rsid w:val="00B333EB"/>
    <w:rsid w:val="00B34D1A"/>
    <w:rsid w:val="00B357AC"/>
    <w:rsid w:val="00B372AB"/>
    <w:rsid w:val="00B37CF8"/>
    <w:rsid w:val="00B40782"/>
    <w:rsid w:val="00B40F44"/>
    <w:rsid w:val="00B41F3E"/>
    <w:rsid w:val="00B42DFE"/>
    <w:rsid w:val="00B43382"/>
    <w:rsid w:val="00B44932"/>
    <w:rsid w:val="00B44E63"/>
    <w:rsid w:val="00B455C7"/>
    <w:rsid w:val="00B47531"/>
    <w:rsid w:val="00B4781A"/>
    <w:rsid w:val="00B501DA"/>
    <w:rsid w:val="00B50434"/>
    <w:rsid w:val="00B507C7"/>
    <w:rsid w:val="00B51130"/>
    <w:rsid w:val="00B51793"/>
    <w:rsid w:val="00B51A4E"/>
    <w:rsid w:val="00B544EE"/>
    <w:rsid w:val="00B54CBE"/>
    <w:rsid w:val="00B55161"/>
    <w:rsid w:val="00B578C2"/>
    <w:rsid w:val="00B57B6D"/>
    <w:rsid w:val="00B62DC7"/>
    <w:rsid w:val="00B62F5E"/>
    <w:rsid w:val="00B64A77"/>
    <w:rsid w:val="00B652A1"/>
    <w:rsid w:val="00B664EE"/>
    <w:rsid w:val="00B6785F"/>
    <w:rsid w:val="00B67FA3"/>
    <w:rsid w:val="00B70E61"/>
    <w:rsid w:val="00B72CE0"/>
    <w:rsid w:val="00B737C0"/>
    <w:rsid w:val="00B75102"/>
    <w:rsid w:val="00B75B9B"/>
    <w:rsid w:val="00B76007"/>
    <w:rsid w:val="00B775BB"/>
    <w:rsid w:val="00B8013E"/>
    <w:rsid w:val="00B8132A"/>
    <w:rsid w:val="00B82241"/>
    <w:rsid w:val="00B83B1C"/>
    <w:rsid w:val="00B85EB8"/>
    <w:rsid w:val="00B861F0"/>
    <w:rsid w:val="00B8657B"/>
    <w:rsid w:val="00B8746D"/>
    <w:rsid w:val="00B8756D"/>
    <w:rsid w:val="00B9009D"/>
    <w:rsid w:val="00B92DB7"/>
    <w:rsid w:val="00B94070"/>
    <w:rsid w:val="00B94DFC"/>
    <w:rsid w:val="00B9507C"/>
    <w:rsid w:val="00B9533E"/>
    <w:rsid w:val="00B9543E"/>
    <w:rsid w:val="00B95732"/>
    <w:rsid w:val="00B95E66"/>
    <w:rsid w:val="00B96105"/>
    <w:rsid w:val="00BA1B20"/>
    <w:rsid w:val="00BA1E38"/>
    <w:rsid w:val="00BA206B"/>
    <w:rsid w:val="00BA3718"/>
    <w:rsid w:val="00BA3FDD"/>
    <w:rsid w:val="00BA5853"/>
    <w:rsid w:val="00BA63B2"/>
    <w:rsid w:val="00BB154F"/>
    <w:rsid w:val="00BB18F6"/>
    <w:rsid w:val="00BB1BDB"/>
    <w:rsid w:val="00BB2E43"/>
    <w:rsid w:val="00BB360F"/>
    <w:rsid w:val="00BB447C"/>
    <w:rsid w:val="00BB4DCC"/>
    <w:rsid w:val="00BB4F16"/>
    <w:rsid w:val="00BB51C1"/>
    <w:rsid w:val="00BB52DE"/>
    <w:rsid w:val="00BB537B"/>
    <w:rsid w:val="00BB53CD"/>
    <w:rsid w:val="00BB6109"/>
    <w:rsid w:val="00BC0DDD"/>
    <w:rsid w:val="00BC1D2F"/>
    <w:rsid w:val="00BC3F5C"/>
    <w:rsid w:val="00BC41EF"/>
    <w:rsid w:val="00BC4988"/>
    <w:rsid w:val="00BC6A66"/>
    <w:rsid w:val="00BC7698"/>
    <w:rsid w:val="00BC7BB6"/>
    <w:rsid w:val="00BD03FE"/>
    <w:rsid w:val="00BD0BB0"/>
    <w:rsid w:val="00BD1176"/>
    <w:rsid w:val="00BD24C2"/>
    <w:rsid w:val="00BD2A4B"/>
    <w:rsid w:val="00BD411C"/>
    <w:rsid w:val="00BD4AAA"/>
    <w:rsid w:val="00BD4E98"/>
    <w:rsid w:val="00BD586F"/>
    <w:rsid w:val="00BD668E"/>
    <w:rsid w:val="00BD702F"/>
    <w:rsid w:val="00BD70B0"/>
    <w:rsid w:val="00BD7358"/>
    <w:rsid w:val="00BD7771"/>
    <w:rsid w:val="00BE0EB7"/>
    <w:rsid w:val="00BE15EF"/>
    <w:rsid w:val="00BE2919"/>
    <w:rsid w:val="00BE2A3F"/>
    <w:rsid w:val="00BF0717"/>
    <w:rsid w:val="00BF1E94"/>
    <w:rsid w:val="00BF25DD"/>
    <w:rsid w:val="00BF514A"/>
    <w:rsid w:val="00BF54C5"/>
    <w:rsid w:val="00BF5F0E"/>
    <w:rsid w:val="00BF65C6"/>
    <w:rsid w:val="00BF74DE"/>
    <w:rsid w:val="00BF780F"/>
    <w:rsid w:val="00C00064"/>
    <w:rsid w:val="00C03265"/>
    <w:rsid w:val="00C03DD0"/>
    <w:rsid w:val="00C04AE9"/>
    <w:rsid w:val="00C04F00"/>
    <w:rsid w:val="00C075D1"/>
    <w:rsid w:val="00C07615"/>
    <w:rsid w:val="00C10CFA"/>
    <w:rsid w:val="00C1273F"/>
    <w:rsid w:val="00C12A7F"/>
    <w:rsid w:val="00C12AAE"/>
    <w:rsid w:val="00C12F5C"/>
    <w:rsid w:val="00C12F93"/>
    <w:rsid w:val="00C14296"/>
    <w:rsid w:val="00C14C33"/>
    <w:rsid w:val="00C1567C"/>
    <w:rsid w:val="00C15F17"/>
    <w:rsid w:val="00C16657"/>
    <w:rsid w:val="00C16EB8"/>
    <w:rsid w:val="00C16F17"/>
    <w:rsid w:val="00C20014"/>
    <w:rsid w:val="00C20A7E"/>
    <w:rsid w:val="00C2402D"/>
    <w:rsid w:val="00C245D2"/>
    <w:rsid w:val="00C24BE3"/>
    <w:rsid w:val="00C24C8F"/>
    <w:rsid w:val="00C30DE2"/>
    <w:rsid w:val="00C31CB1"/>
    <w:rsid w:val="00C32458"/>
    <w:rsid w:val="00C33230"/>
    <w:rsid w:val="00C34A02"/>
    <w:rsid w:val="00C369C1"/>
    <w:rsid w:val="00C37974"/>
    <w:rsid w:val="00C37A11"/>
    <w:rsid w:val="00C40626"/>
    <w:rsid w:val="00C4093E"/>
    <w:rsid w:val="00C4110E"/>
    <w:rsid w:val="00C412BF"/>
    <w:rsid w:val="00C41813"/>
    <w:rsid w:val="00C42C84"/>
    <w:rsid w:val="00C44C44"/>
    <w:rsid w:val="00C45A07"/>
    <w:rsid w:val="00C46571"/>
    <w:rsid w:val="00C47344"/>
    <w:rsid w:val="00C479DB"/>
    <w:rsid w:val="00C51C0D"/>
    <w:rsid w:val="00C523F7"/>
    <w:rsid w:val="00C539B6"/>
    <w:rsid w:val="00C54870"/>
    <w:rsid w:val="00C555D3"/>
    <w:rsid w:val="00C55A3C"/>
    <w:rsid w:val="00C561F3"/>
    <w:rsid w:val="00C57674"/>
    <w:rsid w:val="00C57BE8"/>
    <w:rsid w:val="00C57CD8"/>
    <w:rsid w:val="00C60BC0"/>
    <w:rsid w:val="00C617EC"/>
    <w:rsid w:val="00C61CC4"/>
    <w:rsid w:val="00C635DB"/>
    <w:rsid w:val="00C66EC4"/>
    <w:rsid w:val="00C6709A"/>
    <w:rsid w:val="00C676F5"/>
    <w:rsid w:val="00C70003"/>
    <w:rsid w:val="00C711A9"/>
    <w:rsid w:val="00C7143E"/>
    <w:rsid w:val="00C71D52"/>
    <w:rsid w:val="00C722FD"/>
    <w:rsid w:val="00C72A1C"/>
    <w:rsid w:val="00C73857"/>
    <w:rsid w:val="00C73AB4"/>
    <w:rsid w:val="00C73C2D"/>
    <w:rsid w:val="00C74137"/>
    <w:rsid w:val="00C7484C"/>
    <w:rsid w:val="00C748BC"/>
    <w:rsid w:val="00C757F2"/>
    <w:rsid w:val="00C75CC6"/>
    <w:rsid w:val="00C76CCB"/>
    <w:rsid w:val="00C77457"/>
    <w:rsid w:val="00C776E4"/>
    <w:rsid w:val="00C800FB"/>
    <w:rsid w:val="00C80291"/>
    <w:rsid w:val="00C80293"/>
    <w:rsid w:val="00C8171C"/>
    <w:rsid w:val="00C82D92"/>
    <w:rsid w:val="00C83B30"/>
    <w:rsid w:val="00C83CF2"/>
    <w:rsid w:val="00C865BB"/>
    <w:rsid w:val="00C90C88"/>
    <w:rsid w:val="00C90E69"/>
    <w:rsid w:val="00C91739"/>
    <w:rsid w:val="00C92295"/>
    <w:rsid w:val="00C939E0"/>
    <w:rsid w:val="00C94042"/>
    <w:rsid w:val="00C94727"/>
    <w:rsid w:val="00C95626"/>
    <w:rsid w:val="00C968F0"/>
    <w:rsid w:val="00CA0527"/>
    <w:rsid w:val="00CA09B4"/>
    <w:rsid w:val="00CA0E3A"/>
    <w:rsid w:val="00CA121F"/>
    <w:rsid w:val="00CA137E"/>
    <w:rsid w:val="00CA1B58"/>
    <w:rsid w:val="00CA2B23"/>
    <w:rsid w:val="00CA4264"/>
    <w:rsid w:val="00CA5626"/>
    <w:rsid w:val="00CA68AB"/>
    <w:rsid w:val="00CA757C"/>
    <w:rsid w:val="00CB0D61"/>
    <w:rsid w:val="00CB2A06"/>
    <w:rsid w:val="00CB4254"/>
    <w:rsid w:val="00CB4720"/>
    <w:rsid w:val="00CB4D43"/>
    <w:rsid w:val="00CB4E00"/>
    <w:rsid w:val="00CB5F70"/>
    <w:rsid w:val="00CB6BF3"/>
    <w:rsid w:val="00CB7E83"/>
    <w:rsid w:val="00CC30A9"/>
    <w:rsid w:val="00CC3153"/>
    <w:rsid w:val="00CC3400"/>
    <w:rsid w:val="00CC4A93"/>
    <w:rsid w:val="00CC66FE"/>
    <w:rsid w:val="00CC709F"/>
    <w:rsid w:val="00CD00DE"/>
    <w:rsid w:val="00CD0CFA"/>
    <w:rsid w:val="00CD2ECE"/>
    <w:rsid w:val="00CD469F"/>
    <w:rsid w:val="00CD499E"/>
    <w:rsid w:val="00CD6390"/>
    <w:rsid w:val="00CD6AFF"/>
    <w:rsid w:val="00CD7B1E"/>
    <w:rsid w:val="00CE04DC"/>
    <w:rsid w:val="00CE1100"/>
    <w:rsid w:val="00CE1C66"/>
    <w:rsid w:val="00CE2692"/>
    <w:rsid w:val="00CE31BD"/>
    <w:rsid w:val="00CE3818"/>
    <w:rsid w:val="00CE3F23"/>
    <w:rsid w:val="00CE4231"/>
    <w:rsid w:val="00CE4F11"/>
    <w:rsid w:val="00CE54F2"/>
    <w:rsid w:val="00CE5F5A"/>
    <w:rsid w:val="00CE63AE"/>
    <w:rsid w:val="00CE64F0"/>
    <w:rsid w:val="00CE6A6A"/>
    <w:rsid w:val="00CE771C"/>
    <w:rsid w:val="00CE7E74"/>
    <w:rsid w:val="00CF09BC"/>
    <w:rsid w:val="00CF6526"/>
    <w:rsid w:val="00CF70CF"/>
    <w:rsid w:val="00D00335"/>
    <w:rsid w:val="00D018A5"/>
    <w:rsid w:val="00D01985"/>
    <w:rsid w:val="00D045B7"/>
    <w:rsid w:val="00D04B4B"/>
    <w:rsid w:val="00D0542B"/>
    <w:rsid w:val="00D074E6"/>
    <w:rsid w:val="00D07EEC"/>
    <w:rsid w:val="00D106A5"/>
    <w:rsid w:val="00D11F6A"/>
    <w:rsid w:val="00D133C0"/>
    <w:rsid w:val="00D142DD"/>
    <w:rsid w:val="00D156F6"/>
    <w:rsid w:val="00D1576E"/>
    <w:rsid w:val="00D16935"/>
    <w:rsid w:val="00D17F38"/>
    <w:rsid w:val="00D227E5"/>
    <w:rsid w:val="00D22A99"/>
    <w:rsid w:val="00D22CA8"/>
    <w:rsid w:val="00D22F73"/>
    <w:rsid w:val="00D235F2"/>
    <w:rsid w:val="00D23657"/>
    <w:rsid w:val="00D23A8A"/>
    <w:rsid w:val="00D25007"/>
    <w:rsid w:val="00D2518D"/>
    <w:rsid w:val="00D258F3"/>
    <w:rsid w:val="00D2699F"/>
    <w:rsid w:val="00D26FCD"/>
    <w:rsid w:val="00D277A2"/>
    <w:rsid w:val="00D31A30"/>
    <w:rsid w:val="00D324B6"/>
    <w:rsid w:val="00D33245"/>
    <w:rsid w:val="00D332FB"/>
    <w:rsid w:val="00D3370E"/>
    <w:rsid w:val="00D337F1"/>
    <w:rsid w:val="00D337F7"/>
    <w:rsid w:val="00D33CB8"/>
    <w:rsid w:val="00D33CF9"/>
    <w:rsid w:val="00D33D68"/>
    <w:rsid w:val="00D3404E"/>
    <w:rsid w:val="00D36247"/>
    <w:rsid w:val="00D368BD"/>
    <w:rsid w:val="00D37539"/>
    <w:rsid w:val="00D37AA1"/>
    <w:rsid w:val="00D41080"/>
    <w:rsid w:val="00D41E60"/>
    <w:rsid w:val="00D42B7A"/>
    <w:rsid w:val="00D43073"/>
    <w:rsid w:val="00D44380"/>
    <w:rsid w:val="00D44508"/>
    <w:rsid w:val="00D4455E"/>
    <w:rsid w:val="00D447B9"/>
    <w:rsid w:val="00D449F5"/>
    <w:rsid w:val="00D4687F"/>
    <w:rsid w:val="00D47FA5"/>
    <w:rsid w:val="00D50DB2"/>
    <w:rsid w:val="00D50E0D"/>
    <w:rsid w:val="00D54B4B"/>
    <w:rsid w:val="00D55209"/>
    <w:rsid w:val="00D55CE0"/>
    <w:rsid w:val="00D5654A"/>
    <w:rsid w:val="00D57788"/>
    <w:rsid w:val="00D57874"/>
    <w:rsid w:val="00D604BF"/>
    <w:rsid w:val="00D605B1"/>
    <w:rsid w:val="00D60DFE"/>
    <w:rsid w:val="00D61502"/>
    <w:rsid w:val="00D6217A"/>
    <w:rsid w:val="00D6387D"/>
    <w:rsid w:val="00D63AE6"/>
    <w:rsid w:val="00D64C70"/>
    <w:rsid w:val="00D64F4F"/>
    <w:rsid w:val="00D655E3"/>
    <w:rsid w:val="00D65B02"/>
    <w:rsid w:val="00D661AA"/>
    <w:rsid w:val="00D66DA0"/>
    <w:rsid w:val="00D67284"/>
    <w:rsid w:val="00D6789E"/>
    <w:rsid w:val="00D71481"/>
    <w:rsid w:val="00D71994"/>
    <w:rsid w:val="00D71E3E"/>
    <w:rsid w:val="00D71F50"/>
    <w:rsid w:val="00D7304A"/>
    <w:rsid w:val="00D741A9"/>
    <w:rsid w:val="00D77560"/>
    <w:rsid w:val="00D77A19"/>
    <w:rsid w:val="00D8025D"/>
    <w:rsid w:val="00D8030E"/>
    <w:rsid w:val="00D81892"/>
    <w:rsid w:val="00D81B06"/>
    <w:rsid w:val="00D8343F"/>
    <w:rsid w:val="00D83F4D"/>
    <w:rsid w:val="00D850A6"/>
    <w:rsid w:val="00D85606"/>
    <w:rsid w:val="00D8629B"/>
    <w:rsid w:val="00D86F8E"/>
    <w:rsid w:val="00D8759B"/>
    <w:rsid w:val="00D87CB3"/>
    <w:rsid w:val="00D9074B"/>
    <w:rsid w:val="00D909EA"/>
    <w:rsid w:val="00D91861"/>
    <w:rsid w:val="00D93314"/>
    <w:rsid w:val="00D94079"/>
    <w:rsid w:val="00D95758"/>
    <w:rsid w:val="00D95B95"/>
    <w:rsid w:val="00D97294"/>
    <w:rsid w:val="00D97400"/>
    <w:rsid w:val="00DA0807"/>
    <w:rsid w:val="00DA0E7A"/>
    <w:rsid w:val="00DA10FA"/>
    <w:rsid w:val="00DA17A9"/>
    <w:rsid w:val="00DA1F23"/>
    <w:rsid w:val="00DA2214"/>
    <w:rsid w:val="00DA4207"/>
    <w:rsid w:val="00DA4C13"/>
    <w:rsid w:val="00DA54FB"/>
    <w:rsid w:val="00DA56AD"/>
    <w:rsid w:val="00DA60F7"/>
    <w:rsid w:val="00DA672B"/>
    <w:rsid w:val="00DA6BCE"/>
    <w:rsid w:val="00DA7368"/>
    <w:rsid w:val="00DA77FC"/>
    <w:rsid w:val="00DB0B52"/>
    <w:rsid w:val="00DB152F"/>
    <w:rsid w:val="00DB18D9"/>
    <w:rsid w:val="00DB2812"/>
    <w:rsid w:val="00DB2886"/>
    <w:rsid w:val="00DB2A87"/>
    <w:rsid w:val="00DB6C9D"/>
    <w:rsid w:val="00DB6F5E"/>
    <w:rsid w:val="00DB7847"/>
    <w:rsid w:val="00DB7A53"/>
    <w:rsid w:val="00DC0A4B"/>
    <w:rsid w:val="00DC0F0E"/>
    <w:rsid w:val="00DC12F9"/>
    <w:rsid w:val="00DC1C55"/>
    <w:rsid w:val="00DC24FE"/>
    <w:rsid w:val="00DC283A"/>
    <w:rsid w:val="00DC2DDC"/>
    <w:rsid w:val="00DC30A8"/>
    <w:rsid w:val="00DC3326"/>
    <w:rsid w:val="00DC3AF9"/>
    <w:rsid w:val="00DC3D3B"/>
    <w:rsid w:val="00DC58C1"/>
    <w:rsid w:val="00DC5FDF"/>
    <w:rsid w:val="00DC61C0"/>
    <w:rsid w:val="00DC68F8"/>
    <w:rsid w:val="00DC6A34"/>
    <w:rsid w:val="00DD0283"/>
    <w:rsid w:val="00DD0F83"/>
    <w:rsid w:val="00DD260E"/>
    <w:rsid w:val="00DD352E"/>
    <w:rsid w:val="00DD3761"/>
    <w:rsid w:val="00DD4BD8"/>
    <w:rsid w:val="00DD5DF5"/>
    <w:rsid w:val="00DD6599"/>
    <w:rsid w:val="00DD6FA6"/>
    <w:rsid w:val="00DD7E68"/>
    <w:rsid w:val="00DD7E9A"/>
    <w:rsid w:val="00DE01FF"/>
    <w:rsid w:val="00DE023B"/>
    <w:rsid w:val="00DE1BF1"/>
    <w:rsid w:val="00DE307D"/>
    <w:rsid w:val="00DE3C27"/>
    <w:rsid w:val="00DE3D48"/>
    <w:rsid w:val="00DE6671"/>
    <w:rsid w:val="00DE68EA"/>
    <w:rsid w:val="00DF1193"/>
    <w:rsid w:val="00DF173F"/>
    <w:rsid w:val="00DF1B82"/>
    <w:rsid w:val="00DF2B1C"/>
    <w:rsid w:val="00DF4601"/>
    <w:rsid w:val="00DF4A21"/>
    <w:rsid w:val="00DF544F"/>
    <w:rsid w:val="00DF5B40"/>
    <w:rsid w:val="00DF6013"/>
    <w:rsid w:val="00DF7040"/>
    <w:rsid w:val="00E0004F"/>
    <w:rsid w:val="00E003C7"/>
    <w:rsid w:val="00E007A5"/>
    <w:rsid w:val="00E01416"/>
    <w:rsid w:val="00E01E3F"/>
    <w:rsid w:val="00E030CC"/>
    <w:rsid w:val="00E04282"/>
    <w:rsid w:val="00E051A9"/>
    <w:rsid w:val="00E0563B"/>
    <w:rsid w:val="00E07058"/>
    <w:rsid w:val="00E07440"/>
    <w:rsid w:val="00E103EA"/>
    <w:rsid w:val="00E104B8"/>
    <w:rsid w:val="00E10B31"/>
    <w:rsid w:val="00E10BCE"/>
    <w:rsid w:val="00E10CA4"/>
    <w:rsid w:val="00E10CDF"/>
    <w:rsid w:val="00E11C9A"/>
    <w:rsid w:val="00E13648"/>
    <w:rsid w:val="00E142D1"/>
    <w:rsid w:val="00E14333"/>
    <w:rsid w:val="00E146AC"/>
    <w:rsid w:val="00E14A2D"/>
    <w:rsid w:val="00E15BA1"/>
    <w:rsid w:val="00E16FF8"/>
    <w:rsid w:val="00E17CD4"/>
    <w:rsid w:val="00E20AF0"/>
    <w:rsid w:val="00E2471A"/>
    <w:rsid w:val="00E2495A"/>
    <w:rsid w:val="00E24A55"/>
    <w:rsid w:val="00E25370"/>
    <w:rsid w:val="00E2750F"/>
    <w:rsid w:val="00E27771"/>
    <w:rsid w:val="00E27DAF"/>
    <w:rsid w:val="00E30903"/>
    <w:rsid w:val="00E3151B"/>
    <w:rsid w:val="00E32312"/>
    <w:rsid w:val="00E3335F"/>
    <w:rsid w:val="00E34ACF"/>
    <w:rsid w:val="00E34E50"/>
    <w:rsid w:val="00E351E5"/>
    <w:rsid w:val="00E3595F"/>
    <w:rsid w:val="00E41F5A"/>
    <w:rsid w:val="00E421A1"/>
    <w:rsid w:val="00E45921"/>
    <w:rsid w:val="00E46419"/>
    <w:rsid w:val="00E505C6"/>
    <w:rsid w:val="00E5074A"/>
    <w:rsid w:val="00E50A50"/>
    <w:rsid w:val="00E526DF"/>
    <w:rsid w:val="00E5285F"/>
    <w:rsid w:val="00E53164"/>
    <w:rsid w:val="00E56407"/>
    <w:rsid w:val="00E564AA"/>
    <w:rsid w:val="00E576EC"/>
    <w:rsid w:val="00E60E02"/>
    <w:rsid w:val="00E60E51"/>
    <w:rsid w:val="00E61006"/>
    <w:rsid w:val="00E61804"/>
    <w:rsid w:val="00E61CD0"/>
    <w:rsid w:val="00E6280A"/>
    <w:rsid w:val="00E6298F"/>
    <w:rsid w:val="00E63575"/>
    <w:rsid w:val="00E63A23"/>
    <w:rsid w:val="00E6454C"/>
    <w:rsid w:val="00E65D3E"/>
    <w:rsid w:val="00E679FC"/>
    <w:rsid w:val="00E70E50"/>
    <w:rsid w:val="00E7118C"/>
    <w:rsid w:val="00E7159E"/>
    <w:rsid w:val="00E72D97"/>
    <w:rsid w:val="00E731CC"/>
    <w:rsid w:val="00E73F37"/>
    <w:rsid w:val="00E74F0B"/>
    <w:rsid w:val="00E7622D"/>
    <w:rsid w:val="00E807E7"/>
    <w:rsid w:val="00E8138F"/>
    <w:rsid w:val="00E81621"/>
    <w:rsid w:val="00E81907"/>
    <w:rsid w:val="00E81C59"/>
    <w:rsid w:val="00E82B40"/>
    <w:rsid w:val="00E84B67"/>
    <w:rsid w:val="00E85A08"/>
    <w:rsid w:val="00E85D31"/>
    <w:rsid w:val="00E874D5"/>
    <w:rsid w:val="00E879CC"/>
    <w:rsid w:val="00E92474"/>
    <w:rsid w:val="00E93323"/>
    <w:rsid w:val="00E936C3"/>
    <w:rsid w:val="00E93722"/>
    <w:rsid w:val="00E93B03"/>
    <w:rsid w:val="00E93EDF"/>
    <w:rsid w:val="00E95167"/>
    <w:rsid w:val="00E952A0"/>
    <w:rsid w:val="00E959BF"/>
    <w:rsid w:val="00E96B91"/>
    <w:rsid w:val="00E97831"/>
    <w:rsid w:val="00EA03B0"/>
    <w:rsid w:val="00EA1EBC"/>
    <w:rsid w:val="00EA1FCD"/>
    <w:rsid w:val="00EA327A"/>
    <w:rsid w:val="00EA40C3"/>
    <w:rsid w:val="00EA4283"/>
    <w:rsid w:val="00EA5EA2"/>
    <w:rsid w:val="00EB0BAB"/>
    <w:rsid w:val="00EB100F"/>
    <w:rsid w:val="00EB16D1"/>
    <w:rsid w:val="00EB1A2C"/>
    <w:rsid w:val="00EB266E"/>
    <w:rsid w:val="00EB3501"/>
    <w:rsid w:val="00EB378F"/>
    <w:rsid w:val="00EB436C"/>
    <w:rsid w:val="00EB43ED"/>
    <w:rsid w:val="00EB51FD"/>
    <w:rsid w:val="00EC0D75"/>
    <w:rsid w:val="00EC1F9E"/>
    <w:rsid w:val="00EC607A"/>
    <w:rsid w:val="00EC66F8"/>
    <w:rsid w:val="00EC6EBC"/>
    <w:rsid w:val="00EC7033"/>
    <w:rsid w:val="00EC71F7"/>
    <w:rsid w:val="00ED1955"/>
    <w:rsid w:val="00ED4127"/>
    <w:rsid w:val="00ED4209"/>
    <w:rsid w:val="00ED4860"/>
    <w:rsid w:val="00ED4A21"/>
    <w:rsid w:val="00ED535F"/>
    <w:rsid w:val="00ED56AA"/>
    <w:rsid w:val="00ED5FFF"/>
    <w:rsid w:val="00ED6AEB"/>
    <w:rsid w:val="00EE051F"/>
    <w:rsid w:val="00EE0EA0"/>
    <w:rsid w:val="00EE17BD"/>
    <w:rsid w:val="00EE18AB"/>
    <w:rsid w:val="00EE356C"/>
    <w:rsid w:val="00EE45DB"/>
    <w:rsid w:val="00EE4ADA"/>
    <w:rsid w:val="00EE5304"/>
    <w:rsid w:val="00EE68E8"/>
    <w:rsid w:val="00EE6CC6"/>
    <w:rsid w:val="00EF200A"/>
    <w:rsid w:val="00EF251F"/>
    <w:rsid w:val="00EF30CA"/>
    <w:rsid w:val="00EF3134"/>
    <w:rsid w:val="00EF5F83"/>
    <w:rsid w:val="00EF6D25"/>
    <w:rsid w:val="00EF7060"/>
    <w:rsid w:val="00EF7CEA"/>
    <w:rsid w:val="00F018C8"/>
    <w:rsid w:val="00F02E66"/>
    <w:rsid w:val="00F03494"/>
    <w:rsid w:val="00F03C69"/>
    <w:rsid w:val="00F047E3"/>
    <w:rsid w:val="00F0564A"/>
    <w:rsid w:val="00F06081"/>
    <w:rsid w:val="00F061C2"/>
    <w:rsid w:val="00F07BCB"/>
    <w:rsid w:val="00F10458"/>
    <w:rsid w:val="00F117E4"/>
    <w:rsid w:val="00F134DA"/>
    <w:rsid w:val="00F1435D"/>
    <w:rsid w:val="00F147D8"/>
    <w:rsid w:val="00F15194"/>
    <w:rsid w:val="00F15D30"/>
    <w:rsid w:val="00F16470"/>
    <w:rsid w:val="00F17A50"/>
    <w:rsid w:val="00F21C35"/>
    <w:rsid w:val="00F22312"/>
    <w:rsid w:val="00F2244D"/>
    <w:rsid w:val="00F24115"/>
    <w:rsid w:val="00F24DB6"/>
    <w:rsid w:val="00F26646"/>
    <w:rsid w:val="00F26C9A"/>
    <w:rsid w:val="00F279E3"/>
    <w:rsid w:val="00F335B5"/>
    <w:rsid w:val="00F34099"/>
    <w:rsid w:val="00F349FA"/>
    <w:rsid w:val="00F34F9D"/>
    <w:rsid w:val="00F35020"/>
    <w:rsid w:val="00F400B4"/>
    <w:rsid w:val="00F40491"/>
    <w:rsid w:val="00F406B5"/>
    <w:rsid w:val="00F40F3A"/>
    <w:rsid w:val="00F413B3"/>
    <w:rsid w:val="00F4205B"/>
    <w:rsid w:val="00F441CD"/>
    <w:rsid w:val="00F4427E"/>
    <w:rsid w:val="00F44B66"/>
    <w:rsid w:val="00F44C8C"/>
    <w:rsid w:val="00F45014"/>
    <w:rsid w:val="00F45791"/>
    <w:rsid w:val="00F4614A"/>
    <w:rsid w:val="00F467D4"/>
    <w:rsid w:val="00F471A3"/>
    <w:rsid w:val="00F479FD"/>
    <w:rsid w:val="00F50A72"/>
    <w:rsid w:val="00F53A23"/>
    <w:rsid w:val="00F54591"/>
    <w:rsid w:val="00F54863"/>
    <w:rsid w:val="00F54898"/>
    <w:rsid w:val="00F55B06"/>
    <w:rsid w:val="00F60CB7"/>
    <w:rsid w:val="00F60FD8"/>
    <w:rsid w:val="00F61141"/>
    <w:rsid w:val="00F62AC7"/>
    <w:rsid w:val="00F655F6"/>
    <w:rsid w:val="00F669B4"/>
    <w:rsid w:val="00F66D81"/>
    <w:rsid w:val="00F66D83"/>
    <w:rsid w:val="00F67EE3"/>
    <w:rsid w:val="00F70620"/>
    <w:rsid w:val="00F708F1"/>
    <w:rsid w:val="00F72B25"/>
    <w:rsid w:val="00F735BF"/>
    <w:rsid w:val="00F74433"/>
    <w:rsid w:val="00F75578"/>
    <w:rsid w:val="00F759F9"/>
    <w:rsid w:val="00F75C16"/>
    <w:rsid w:val="00F75E79"/>
    <w:rsid w:val="00F80386"/>
    <w:rsid w:val="00F8082C"/>
    <w:rsid w:val="00F81140"/>
    <w:rsid w:val="00F8252E"/>
    <w:rsid w:val="00F825B8"/>
    <w:rsid w:val="00F828BE"/>
    <w:rsid w:val="00F8600B"/>
    <w:rsid w:val="00F8763E"/>
    <w:rsid w:val="00F901C1"/>
    <w:rsid w:val="00F90275"/>
    <w:rsid w:val="00F91787"/>
    <w:rsid w:val="00F91C15"/>
    <w:rsid w:val="00F91CC9"/>
    <w:rsid w:val="00F92BA9"/>
    <w:rsid w:val="00F93942"/>
    <w:rsid w:val="00F94A36"/>
    <w:rsid w:val="00F95340"/>
    <w:rsid w:val="00F95A0E"/>
    <w:rsid w:val="00F978E3"/>
    <w:rsid w:val="00FA07F5"/>
    <w:rsid w:val="00FA0B99"/>
    <w:rsid w:val="00FA15F4"/>
    <w:rsid w:val="00FA1651"/>
    <w:rsid w:val="00FA2246"/>
    <w:rsid w:val="00FA2A73"/>
    <w:rsid w:val="00FA3183"/>
    <w:rsid w:val="00FA4471"/>
    <w:rsid w:val="00FA49CD"/>
    <w:rsid w:val="00FA51DB"/>
    <w:rsid w:val="00FA5458"/>
    <w:rsid w:val="00FA557E"/>
    <w:rsid w:val="00FA558C"/>
    <w:rsid w:val="00FA708A"/>
    <w:rsid w:val="00FA79FC"/>
    <w:rsid w:val="00FB0517"/>
    <w:rsid w:val="00FB0D15"/>
    <w:rsid w:val="00FB0EB1"/>
    <w:rsid w:val="00FB1EBF"/>
    <w:rsid w:val="00FB2751"/>
    <w:rsid w:val="00FB34E9"/>
    <w:rsid w:val="00FB38FA"/>
    <w:rsid w:val="00FB45C7"/>
    <w:rsid w:val="00FB4AB3"/>
    <w:rsid w:val="00FB7753"/>
    <w:rsid w:val="00FC21AD"/>
    <w:rsid w:val="00FC221F"/>
    <w:rsid w:val="00FC360A"/>
    <w:rsid w:val="00FC4823"/>
    <w:rsid w:val="00FC50BB"/>
    <w:rsid w:val="00FC55F9"/>
    <w:rsid w:val="00FD1B14"/>
    <w:rsid w:val="00FD1BF9"/>
    <w:rsid w:val="00FD3CE9"/>
    <w:rsid w:val="00FD3E54"/>
    <w:rsid w:val="00FD4078"/>
    <w:rsid w:val="00FD63D1"/>
    <w:rsid w:val="00FE040F"/>
    <w:rsid w:val="00FE0D1D"/>
    <w:rsid w:val="00FE1D6C"/>
    <w:rsid w:val="00FE2721"/>
    <w:rsid w:val="00FE40D2"/>
    <w:rsid w:val="00FE4762"/>
    <w:rsid w:val="00FE4B26"/>
    <w:rsid w:val="00FE6F54"/>
    <w:rsid w:val="00FE7CB7"/>
    <w:rsid w:val="00FF00D8"/>
    <w:rsid w:val="00FF00FF"/>
    <w:rsid w:val="00FF0374"/>
    <w:rsid w:val="00FF22A7"/>
    <w:rsid w:val="00FF3638"/>
    <w:rsid w:val="00FF40CD"/>
    <w:rsid w:val="00FF5504"/>
    <w:rsid w:val="00FF55B0"/>
    <w:rsid w:val="00FF6ED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9EB4636-05E6-4ED5-83F4-9315F291B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95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2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6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 字元 字元 字元 字元"/>
    <w:basedOn w:val="a"/>
    <w:semiHidden/>
    <w:rsid w:val="009B2C87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3">
    <w:name w:val="字元 字元 字元"/>
    <w:basedOn w:val="a"/>
    <w:semiHidden/>
    <w:rsid w:val="00AE550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7C2535"/>
    <w:rPr>
      <w:rFonts w:ascii="標楷體" w:eastAsia="標楷體"/>
      <w:snapToGrid w:val="0"/>
      <w:kern w:val="2"/>
      <w:sz w:val="24"/>
      <w:szCs w:val="28"/>
    </w:rPr>
  </w:style>
  <w:style w:type="paragraph" w:customStyle="1" w:styleId="27">
    <w:name w:val="2"/>
    <w:basedOn w:val="a"/>
    <w:rsid w:val="007C2535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7C2535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character" w:customStyle="1" w:styleId="145">
    <w:name w:val="第一層(14號字) 字元"/>
    <w:link w:val="144"/>
    <w:rsid w:val="006C6E7C"/>
    <w:rPr>
      <w:rFonts w:ascii="標楷體" w:eastAsia="標楷體"/>
      <w:b/>
      <w:snapToGrid w:val="0"/>
      <w:kern w:val="2"/>
      <w:sz w:val="28"/>
    </w:rPr>
  </w:style>
  <w:style w:type="character" w:customStyle="1" w:styleId="st1">
    <w:name w:val="st1"/>
    <w:rsid w:val="0069529A"/>
  </w:style>
  <w:style w:type="paragraph" w:customStyle="1" w:styleId="0-">
    <w:name w:val="0-註腳"/>
    <w:basedOn w:val="af5"/>
    <w:qFormat/>
    <w:rsid w:val="00375F62"/>
    <w:pPr>
      <w:spacing w:line="280" w:lineRule="exact"/>
      <w:ind w:leftChars="0" w:left="70" w:firstLineChars="0" w:hanging="70"/>
    </w:pPr>
    <w:rPr>
      <w:sz w:val="24"/>
      <w:szCs w:val="24"/>
    </w:rPr>
  </w:style>
  <w:style w:type="paragraph" w:customStyle="1" w:styleId="aff4">
    <w:name w:val="表格內文資料來源"/>
    <w:basedOn w:val="a"/>
    <w:rsid w:val="00726957"/>
    <w:pPr>
      <w:spacing w:line="280" w:lineRule="exact"/>
      <w:ind w:leftChars="0" w:left="0" w:firstLineChars="0" w:firstLine="0"/>
      <w:jc w:val="left"/>
    </w:pPr>
    <w:rPr>
      <w:rFonts w:cs="新細明體"/>
      <w:sz w:val="24"/>
      <w:szCs w:val="20"/>
    </w:rPr>
  </w:style>
  <w:style w:type="paragraph" w:customStyle="1" w:styleId="0--2">
    <w:name w:val="0-表格內文-2"/>
    <w:basedOn w:val="142"/>
    <w:qFormat/>
    <w:rsid w:val="00726957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0-0">
    <w:name w:val="0-標題之下"/>
    <w:basedOn w:val="a4"/>
    <w:qFormat/>
    <w:rsid w:val="00726957"/>
    <w:pPr>
      <w:ind w:leftChars="215" w:left="609" w:firstLineChars="199" w:firstLine="564"/>
    </w:pPr>
    <w:rPr>
      <w:snapToGrid/>
    </w:rPr>
  </w:style>
  <w:style w:type="paragraph" w:customStyle="1" w:styleId="03">
    <w:name w:val="0一下內文3"/>
    <w:basedOn w:val="a"/>
    <w:qFormat/>
    <w:rsid w:val="00726957"/>
    <w:pPr>
      <w:widowControl/>
      <w:ind w:leftChars="205" w:left="588" w:hangingChars="5" w:hanging="14"/>
    </w:pPr>
    <w:rPr>
      <w:snapToGrid/>
      <w:szCs w:val="20"/>
      <w:lang w:eastAsia="zh-HK"/>
    </w:rPr>
  </w:style>
  <w:style w:type="paragraph" w:customStyle="1" w:styleId="0">
    <w:name w:val="0註腳"/>
    <w:basedOn w:val="af5"/>
    <w:qFormat/>
    <w:rsid w:val="00064E38"/>
    <w:pPr>
      <w:spacing w:line="300" w:lineRule="exact"/>
      <w:ind w:leftChars="10" w:left="153" w:hangingChars="52" w:hanging="125"/>
      <w:jc w:val="both"/>
    </w:pPr>
    <w:rPr>
      <w:rFonts w:hAnsi="標楷體" w:cs="Arial"/>
      <w:snapToGrid/>
      <w:sz w:val="24"/>
      <w:szCs w:val="24"/>
      <w:shd w:val="clear" w:color="auto" w:fill="FFFFFF"/>
      <w:lang w:val="x-none" w:eastAsia="zh-HK"/>
    </w:rPr>
  </w:style>
  <w:style w:type="character" w:customStyle="1" w:styleId="160">
    <w:name w:val="第一層(16號字) 字元"/>
    <w:link w:val="16"/>
    <w:rsid w:val="00AB2E8E"/>
    <w:rPr>
      <w:rFonts w:ascii="標楷體" w:eastAsia="標楷體"/>
      <w:b/>
      <w:snapToGrid w:val="0"/>
      <w:kern w:val="2"/>
      <w:sz w:val="32"/>
    </w:rPr>
  </w:style>
  <w:style w:type="paragraph" w:customStyle="1" w:styleId="18">
    <w:name w:val="1"/>
    <w:basedOn w:val="a"/>
    <w:semiHidden/>
    <w:rsid w:val="0090570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7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90138-A0AD-46E2-AFF1-2E90AAA31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Links>
    <vt:vector size="36" baseType="variant">
      <vt:variant>
        <vt:i4>1572914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_Toc184636472</vt:lpwstr>
      </vt:variant>
      <vt:variant>
        <vt:i4>1572914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_Toc184636471</vt:lpwstr>
      </vt:variant>
      <vt:variant>
        <vt:i4>1572914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_Toc184636470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_Toc184636469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_Toc184636468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_Toc184636467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2023-10-16T05:33:00Z</cp:lastPrinted>
  <dcterms:created xsi:type="dcterms:W3CDTF">2024-12-12T07:23:00Z</dcterms:created>
  <dcterms:modified xsi:type="dcterms:W3CDTF">2024-12-12T07:23:00Z</dcterms:modified>
</cp:coreProperties>
</file>