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995" w:rsidRPr="0070050A" w:rsidRDefault="00CD2ECE" w:rsidP="00D1576E">
      <w:pPr>
        <w:pStyle w:val="ab"/>
        <w:ind w:left="14" w:hanging="14"/>
      </w:pPr>
      <w:bookmarkStart w:id="0" w:name="_GoBack"/>
      <w:bookmarkEnd w:id="0"/>
      <w:r w:rsidRPr="00CD2ECE">
        <w:rPr>
          <w:rFonts w:hint="eastAsia"/>
        </w:rPr>
        <w:t>財政部主管112年度單位決算評估報告</w:t>
      </w:r>
    </w:p>
    <w:p w:rsidR="00B737C0" w:rsidRPr="0050355D" w:rsidRDefault="00221871" w:rsidP="00726957">
      <w:pPr>
        <w:pStyle w:val="14"/>
        <w:ind w:left="567" w:hanging="567"/>
      </w:pPr>
      <w:bookmarkStart w:id="1" w:name="_Toc184636471"/>
      <w:r w:rsidRPr="0050355D">
        <w:rPr>
          <w:rFonts w:hAnsi="標楷體" w:hint="eastAsia"/>
        </w:rPr>
        <w:t>五</w:t>
      </w:r>
      <w:r w:rsidR="00B737C0" w:rsidRPr="0050355D">
        <w:rPr>
          <w:rFonts w:hAnsi="標楷體" w:hint="eastAsia"/>
        </w:rPr>
        <w:t>、自實施</w:t>
      </w:r>
      <w:r w:rsidR="00B737C0" w:rsidRPr="0050355D">
        <w:rPr>
          <w:rFonts w:hint="eastAsia"/>
        </w:rPr>
        <w:t>房地合一稅後</w:t>
      </w:r>
      <w:r w:rsidR="00B737C0" w:rsidRPr="0050355D">
        <w:rPr>
          <w:rFonts w:hAnsi="標楷體" w:hint="eastAsia"/>
        </w:rPr>
        <w:t>，</w:t>
      </w:r>
      <w:r w:rsidR="00B737C0" w:rsidRPr="0050355D">
        <w:rPr>
          <w:rFonts w:hint="eastAsia"/>
        </w:rPr>
        <w:t>雖初步達</w:t>
      </w:r>
      <w:r w:rsidR="00EE45DB">
        <w:rPr>
          <w:rFonts w:hint="eastAsia"/>
        </w:rPr>
        <w:t>到</w:t>
      </w:r>
      <w:r w:rsidR="00B737C0" w:rsidRPr="0050355D">
        <w:rPr>
          <w:rFonts w:hint="eastAsia"/>
        </w:rPr>
        <w:t>抑制不動產短期炒作</w:t>
      </w:r>
      <w:r w:rsidR="004F7DCE" w:rsidRPr="004F7DCE">
        <w:rPr>
          <w:rFonts w:hint="eastAsia"/>
        </w:rPr>
        <w:t>套利</w:t>
      </w:r>
      <w:r w:rsidR="00B737C0" w:rsidRPr="0050355D">
        <w:rPr>
          <w:rFonts w:hint="eastAsia"/>
        </w:rPr>
        <w:t>行為</w:t>
      </w:r>
      <w:r w:rsidR="00EE45DB">
        <w:rPr>
          <w:rFonts w:hint="eastAsia"/>
        </w:rPr>
        <w:t>之目的</w:t>
      </w:r>
      <w:r w:rsidR="00EE45DB">
        <w:rPr>
          <w:rFonts w:hAnsi="標楷體" w:hint="eastAsia"/>
        </w:rPr>
        <w:t>，</w:t>
      </w:r>
      <w:r w:rsidR="00B737C0" w:rsidRPr="0050355D">
        <w:rPr>
          <w:rFonts w:hint="eastAsia"/>
        </w:rPr>
        <w:t>且稅收亦有提升，惟持有多屋者之戶數仍續增</w:t>
      </w:r>
      <w:r w:rsidR="00B737C0" w:rsidRPr="0050355D">
        <w:rPr>
          <w:rFonts w:hAnsi="標楷體" w:hint="eastAsia"/>
        </w:rPr>
        <w:t>，</w:t>
      </w:r>
      <w:r w:rsidR="00347023" w:rsidRPr="0050355D">
        <w:rPr>
          <w:rFonts w:hAnsi="標楷體" w:hint="eastAsia"/>
        </w:rPr>
        <w:t>落實</w:t>
      </w:r>
      <w:r w:rsidR="00057C86" w:rsidRPr="0050355D">
        <w:rPr>
          <w:rFonts w:hAnsi="標楷體" w:hint="eastAsia"/>
        </w:rPr>
        <w:t>居住正義之</w:t>
      </w:r>
      <w:r w:rsidR="00347023" w:rsidRPr="0050355D">
        <w:rPr>
          <w:rFonts w:hAnsi="標楷體" w:hint="eastAsia"/>
        </w:rPr>
        <w:t>策略</w:t>
      </w:r>
      <w:r w:rsidR="00057C86" w:rsidRPr="0050355D">
        <w:rPr>
          <w:rFonts w:hAnsi="標楷體" w:hint="eastAsia"/>
        </w:rPr>
        <w:t>仍待</w:t>
      </w:r>
      <w:r w:rsidR="00347023" w:rsidRPr="0050355D">
        <w:rPr>
          <w:rFonts w:hAnsi="標楷體" w:hint="eastAsia"/>
        </w:rPr>
        <w:t>賡續</w:t>
      </w:r>
      <w:r w:rsidR="00B737C0" w:rsidRPr="0050355D">
        <w:rPr>
          <w:rFonts w:hint="eastAsia"/>
        </w:rPr>
        <w:t>檢討精進</w:t>
      </w:r>
      <w:bookmarkEnd w:id="1"/>
    </w:p>
    <w:p w:rsidR="00347023" w:rsidRPr="001E1631" w:rsidRDefault="004C3E46" w:rsidP="00347023">
      <w:pPr>
        <w:ind w:left="566" w:firstLine="566"/>
      </w:pPr>
      <w:r w:rsidRPr="001E1631">
        <w:rPr>
          <w:rFonts w:hint="eastAsia"/>
        </w:rPr>
        <w:t>為期抑制短期炒作不動產、落實居住正義，並防杜規避稅負及維護租稅公平</w:t>
      </w:r>
      <w:r w:rsidRPr="001E1631">
        <w:rPr>
          <w:rFonts w:hAnsi="標楷體" w:hint="eastAsia"/>
        </w:rPr>
        <w:t>，政府</w:t>
      </w:r>
      <w:r w:rsidR="00347023" w:rsidRPr="001E1631">
        <w:rPr>
          <w:rFonts w:hint="eastAsia"/>
        </w:rPr>
        <w:t>自105年</w:t>
      </w:r>
      <w:r w:rsidRPr="001E1631">
        <w:rPr>
          <w:rFonts w:hint="eastAsia"/>
        </w:rPr>
        <w:t>1月1日起施行</w:t>
      </w:r>
      <w:r w:rsidR="00347023" w:rsidRPr="001E1631">
        <w:rPr>
          <w:rFonts w:hint="eastAsia"/>
        </w:rPr>
        <w:t>房地合一課徵所得稅</w:t>
      </w:r>
      <w:r w:rsidRPr="001E1631">
        <w:rPr>
          <w:rFonts w:hint="eastAsia"/>
        </w:rPr>
        <w:t>制度</w:t>
      </w:r>
      <w:r w:rsidR="00347023" w:rsidRPr="001E1631">
        <w:rPr>
          <w:rFonts w:hint="eastAsia"/>
        </w:rPr>
        <w:t>，</w:t>
      </w:r>
      <w:r w:rsidR="00347023" w:rsidRPr="001E1631">
        <w:rPr>
          <w:rFonts w:hAnsi="標楷體" w:hint="eastAsia"/>
        </w:rPr>
        <w:t>經檢視實施成效，雖</w:t>
      </w:r>
      <w:r w:rsidRPr="001E1631">
        <w:rPr>
          <w:rFonts w:hAnsi="標楷體" w:hint="eastAsia"/>
        </w:rPr>
        <w:t>初步達抑制不動產短期炒作之套利行為</w:t>
      </w:r>
      <w:r w:rsidR="00347023" w:rsidRPr="001E1631">
        <w:rPr>
          <w:rFonts w:hAnsi="標楷體" w:hint="eastAsia"/>
        </w:rPr>
        <w:t>，惟</w:t>
      </w:r>
      <w:r w:rsidRPr="001E1631">
        <w:rPr>
          <w:rFonts w:hAnsi="標楷體" w:hint="eastAsia"/>
        </w:rPr>
        <w:t>持有多屋者之戶數仍續增</w:t>
      </w:r>
      <w:r w:rsidR="00347023" w:rsidRPr="001E1631">
        <w:rPr>
          <w:rFonts w:hAnsi="標楷體" w:hint="eastAsia"/>
        </w:rPr>
        <w:t>。茲說明如下：</w:t>
      </w:r>
    </w:p>
    <w:p w:rsidR="00347023" w:rsidRPr="001E1631" w:rsidRDefault="00347023" w:rsidP="00347023">
      <w:pPr>
        <w:ind w:left="849" w:hangingChars="100" w:hanging="283"/>
        <w:rPr>
          <w:b/>
        </w:rPr>
      </w:pPr>
      <w:r w:rsidRPr="001E1631">
        <w:rPr>
          <w:rFonts w:hint="eastAsia"/>
          <w:b/>
        </w:rPr>
        <w:t>(一)</w:t>
      </w:r>
      <w:r w:rsidR="004B5A1C" w:rsidRPr="001E1631">
        <w:rPr>
          <w:rFonts w:hint="eastAsia"/>
          <w:b/>
        </w:rPr>
        <w:t>為健全不動產交易市場</w:t>
      </w:r>
      <w:r w:rsidR="004B5A1C" w:rsidRPr="001E1631">
        <w:rPr>
          <w:rFonts w:hAnsi="標楷體" w:hint="eastAsia"/>
          <w:b/>
        </w:rPr>
        <w:t>，</w:t>
      </w:r>
      <w:r w:rsidR="004B5A1C" w:rsidRPr="001E1631">
        <w:rPr>
          <w:rFonts w:hint="eastAsia"/>
          <w:b/>
        </w:rPr>
        <w:t>分別</w:t>
      </w:r>
      <w:r w:rsidRPr="001E1631">
        <w:rPr>
          <w:rFonts w:hint="eastAsia"/>
          <w:b/>
        </w:rPr>
        <w:t>自105年1月1日</w:t>
      </w:r>
      <w:r w:rsidR="004B5A1C" w:rsidRPr="001E1631">
        <w:rPr>
          <w:rFonts w:hAnsi="標楷體" w:hint="eastAsia"/>
          <w:b/>
        </w:rPr>
        <w:t>、</w:t>
      </w:r>
      <w:r w:rsidR="004B5A1C" w:rsidRPr="001E1631">
        <w:rPr>
          <w:rFonts w:hint="eastAsia"/>
          <w:b/>
        </w:rPr>
        <w:t>110年7月1日</w:t>
      </w:r>
      <w:r w:rsidRPr="001E1631">
        <w:rPr>
          <w:rFonts w:hint="eastAsia"/>
          <w:b/>
        </w:rPr>
        <w:t>實施房地合一稅</w:t>
      </w:r>
      <w:r w:rsidR="004B5A1C" w:rsidRPr="001E1631">
        <w:rPr>
          <w:rFonts w:hint="eastAsia"/>
          <w:b/>
        </w:rPr>
        <w:t>1.0及2.0</w:t>
      </w:r>
    </w:p>
    <w:p w:rsidR="00347023" w:rsidRPr="001E1631" w:rsidRDefault="00347023" w:rsidP="00347023">
      <w:pPr>
        <w:adjustRightInd w:val="0"/>
        <w:ind w:leftChars="300" w:left="850" w:firstLine="566"/>
      </w:pPr>
      <w:r w:rsidRPr="001E1631">
        <w:rPr>
          <w:rFonts w:hint="eastAsia"/>
        </w:rPr>
        <w:t>為健全不動產交易市場、抑制短期投機炒作，所得稅法於104年6月24日修正公布，增訂有關房、地交易需按持有期間長短依所對應之稅率繳納房地合一所得稅，並自105年1月1日施行(簡稱房地合一稅1.0)；嗣於110年4月28日再修正公布，再次調整持有期間之交易稅率(簡稱房地合一稅2.0)，並將預售階段與竣工轉為成屋後之持有期間分開計算，分別適用其對應之稅率，例如</w:t>
      </w:r>
      <w:r w:rsidRPr="001E1631">
        <w:rPr>
          <w:rFonts w:hAnsi="標楷體" w:hint="eastAsia"/>
        </w:rPr>
        <w:t>：</w:t>
      </w:r>
      <w:r w:rsidRPr="001E1631">
        <w:rPr>
          <w:rFonts w:hint="eastAsia"/>
        </w:rPr>
        <w:t>持有預售屋者於該屋轉為成屋後需再持有滿5年賣出才能適用20%之交易稅率(房地合一稅1.0及2.0之差異詳表1)。</w:t>
      </w:r>
    </w:p>
    <w:p w:rsidR="004B5A1C" w:rsidRPr="001E1631" w:rsidRDefault="004B5A1C" w:rsidP="004B5A1C">
      <w:pPr>
        <w:spacing w:line="400" w:lineRule="exact"/>
        <w:ind w:leftChars="0" w:left="743" w:hangingChars="262" w:hanging="743"/>
        <w:jc w:val="left"/>
        <w:rPr>
          <w:b/>
        </w:rPr>
      </w:pPr>
      <w:r w:rsidRPr="001E1631">
        <w:rPr>
          <w:rFonts w:hint="eastAsia"/>
          <w:b/>
        </w:rPr>
        <w:t>表1  房地合一稅1.0</w:t>
      </w:r>
      <w:r w:rsidRPr="001E1631">
        <w:rPr>
          <w:rFonts w:hAnsi="標楷體" w:hint="eastAsia"/>
          <w:b/>
        </w:rPr>
        <w:t>、</w:t>
      </w:r>
      <w:r w:rsidRPr="001E1631">
        <w:rPr>
          <w:rFonts w:hint="eastAsia"/>
          <w:b/>
        </w:rPr>
        <w:t>2.0持有期間長短適用之交易稅率及適用日期彙整表</w:t>
      </w:r>
    </w:p>
    <w:tbl>
      <w:tblPr>
        <w:tblW w:w="0" w:type="auto"/>
        <w:tblInd w:w="1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8"/>
        <w:gridCol w:w="1276"/>
        <w:gridCol w:w="2877"/>
        <w:gridCol w:w="2878"/>
      </w:tblGrid>
      <w:tr w:rsidR="004B5A1C" w:rsidRPr="001E1631" w:rsidTr="00B75B9B">
        <w:trPr>
          <w:tblHeader/>
        </w:trPr>
        <w:tc>
          <w:tcPr>
            <w:tcW w:w="1348" w:type="dxa"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1E1631">
              <w:rPr>
                <w:rFonts w:hint="eastAsia"/>
                <w:b/>
                <w:spacing w:val="-20"/>
                <w:sz w:val="24"/>
              </w:rPr>
              <w:t>持有者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1E1631">
              <w:rPr>
                <w:rFonts w:hint="eastAsia"/>
                <w:b/>
                <w:spacing w:val="-20"/>
                <w:sz w:val="24"/>
              </w:rPr>
              <w:t>適用稅率</w:t>
            </w:r>
          </w:p>
        </w:tc>
        <w:tc>
          <w:tcPr>
            <w:tcW w:w="2877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E1631">
              <w:rPr>
                <w:rFonts w:hint="eastAsia"/>
                <w:b/>
                <w:spacing w:val="-20"/>
                <w:sz w:val="24"/>
              </w:rPr>
              <w:t>房地合一稅1.0</w:t>
            </w:r>
          </w:p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1E1631">
              <w:rPr>
                <w:rFonts w:hint="eastAsia"/>
                <w:b/>
                <w:spacing w:val="-20"/>
                <w:sz w:val="24"/>
              </w:rPr>
              <w:t>(105.1.1施行)</w:t>
            </w: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</w:rPr>
            </w:pPr>
            <w:r w:rsidRPr="001E1631">
              <w:rPr>
                <w:rFonts w:hint="eastAsia"/>
                <w:b/>
                <w:spacing w:val="-20"/>
                <w:sz w:val="24"/>
              </w:rPr>
              <w:t>房地合一稅2.0</w:t>
            </w:r>
          </w:p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</w:rPr>
            </w:pPr>
            <w:r w:rsidRPr="001E1631">
              <w:rPr>
                <w:rFonts w:hint="eastAsia"/>
                <w:b/>
                <w:spacing w:val="-20"/>
                <w:sz w:val="24"/>
              </w:rPr>
              <w:t>(110.7.1施行)</w:t>
            </w:r>
          </w:p>
        </w:tc>
      </w:tr>
      <w:tr w:rsidR="004B5A1C" w:rsidRPr="001E1631" w:rsidTr="00B75B9B">
        <w:tc>
          <w:tcPr>
            <w:tcW w:w="1348" w:type="dxa"/>
            <w:vMerge w:val="restart"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境內居住者</w:t>
            </w:r>
          </w:p>
        </w:tc>
        <w:tc>
          <w:tcPr>
            <w:tcW w:w="1276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45%</w:t>
            </w:r>
          </w:p>
        </w:tc>
        <w:tc>
          <w:tcPr>
            <w:tcW w:w="2877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持有期間1年以內</w:t>
            </w: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持有期間2年以內</w:t>
            </w:r>
          </w:p>
        </w:tc>
      </w:tr>
      <w:tr w:rsidR="004B5A1C" w:rsidRPr="001E1631" w:rsidTr="00B75B9B">
        <w:tc>
          <w:tcPr>
            <w:tcW w:w="1348" w:type="dxa"/>
            <w:vMerge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35%</w:t>
            </w:r>
          </w:p>
        </w:tc>
        <w:tc>
          <w:tcPr>
            <w:tcW w:w="2877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持有期間超過1年未逾2年</w:t>
            </w: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持有期間超過2年未逾5年</w:t>
            </w:r>
          </w:p>
        </w:tc>
      </w:tr>
      <w:tr w:rsidR="004B5A1C" w:rsidRPr="001E1631" w:rsidTr="00B75B9B">
        <w:tc>
          <w:tcPr>
            <w:tcW w:w="1348" w:type="dxa"/>
            <w:vMerge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20%</w:t>
            </w:r>
          </w:p>
        </w:tc>
        <w:tc>
          <w:tcPr>
            <w:tcW w:w="2877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持有期間超過2年未逾10年</w:t>
            </w: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持有期間超過5年未逾10年</w:t>
            </w:r>
          </w:p>
        </w:tc>
      </w:tr>
      <w:tr w:rsidR="004B5A1C" w:rsidRPr="001E1631" w:rsidTr="00B75B9B">
        <w:tc>
          <w:tcPr>
            <w:tcW w:w="1348" w:type="dxa"/>
            <w:vMerge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15%</w:t>
            </w:r>
          </w:p>
        </w:tc>
        <w:tc>
          <w:tcPr>
            <w:tcW w:w="2877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持有期間超過10年</w:t>
            </w: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持有期間超過10年</w:t>
            </w:r>
          </w:p>
        </w:tc>
      </w:tr>
      <w:tr w:rsidR="004B5A1C" w:rsidRPr="001E1631" w:rsidTr="00B75B9B">
        <w:tc>
          <w:tcPr>
            <w:tcW w:w="1348" w:type="dxa"/>
            <w:vMerge w:val="restart"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非境內居住</w:t>
            </w:r>
            <w:r w:rsidRPr="001E1631">
              <w:rPr>
                <w:rFonts w:hint="eastAsia"/>
                <w:spacing w:val="-20"/>
                <w:sz w:val="24"/>
              </w:rPr>
              <w:lastRenderedPageBreak/>
              <w:t>者</w:t>
            </w:r>
          </w:p>
        </w:tc>
        <w:tc>
          <w:tcPr>
            <w:tcW w:w="1276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lastRenderedPageBreak/>
              <w:t>45%</w:t>
            </w:r>
          </w:p>
        </w:tc>
        <w:tc>
          <w:tcPr>
            <w:tcW w:w="2877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持有期間1年以內</w:t>
            </w: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持有期間2年以內</w:t>
            </w:r>
          </w:p>
        </w:tc>
      </w:tr>
      <w:tr w:rsidR="004B5A1C" w:rsidRPr="004B5A1C" w:rsidTr="00B75B9B">
        <w:tc>
          <w:tcPr>
            <w:tcW w:w="1348" w:type="dxa"/>
            <w:vMerge/>
            <w:shd w:val="clear" w:color="auto" w:fill="auto"/>
            <w:vAlign w:val="center"/>
          </w:tcPr>
          <w:p w:rsidR="004B5A1C" w:rsidRPr="004B5A1C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70C0"/>
                <w:spacing w:val="-20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35%</w:t>
            </w:r>
          </w:p>
        </w:tc>
        <w:tc>
          <w:tcPr>
            <w:tcW w:w="2877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持有期間超過1年</w:t>
            </w: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持有期間超過2年</w:t>
            </w:r>
          </w:p>
        </w:tc>
      </w:tr>
      <w:tr w:rsidR="004B5A1C" w:rsidRPr="001E1631" w:rsidTr="00B75B9B">
        <w:tc>
          <w:tcPr>
            <w:tcW w:w="1348" w:type="dxa"/>
            <w:vMerge w:val="restart"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境內營利事業</w:t>
            </w:r>
          </w:p>
        </w:tc>
        <w:tc>
          <w:tcPr>
            <w:tcW w:w="1276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45%</w:t>
            </w:r>
          </w:p>
        </w:tc>
        <w:tc>
          <w:tcPr>
            <w:tcW w:w="2877" w:type="dxa"/>
            <w:vMerge w:val="restart"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依營所稅稅率20%</w:t>
            </w: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持有期間2年以內</w:t>
            </w:r>
          </w:p>
        </w:tc>
      </w:tr>
      <w:tr w:rsidR="004B5A1C" w:rsidRPr="001E1631" w:rsidTr="00B75B9B">
        <w:tc>
          <w:tcPr>
            <w:tcW w:w="1348" w:type="dxa"/>
            <w:vMerge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35%</w:t>
            </w:r>
          </w:p>
        </w:tc>
        <w:tc>
          <w:tcPr>
            <w:tcW w:w="2877" w:type="dxa"/>
            <w:vMerge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持有期間超過2年未逾5年</w:t>
            </w:r>
          </w:p>
        </w:tc>
      </w:tr>
      <w:tr w:rsidR="004B5A1C" w:rsidRPr="001E1631" w:rsidTr="00B75B9B">
        <w:tc>
          <w:tcPr>
            <w:tcW w:w="1348" w:type="dxa"/>
            <w:vMerge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20%</w:t>
            </w:r>
          </w:p>
        </w:tc>
        <w:tc>
          <w:tcPr>
            <w:tcW w:w="2877" w:type="dxa"/>
            <w:vMerge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持有期間超過5年未逾10年</w:t>
            </w:r>
          </w:p>
        </w:tc>
      </w:tr>
      <w:tr w:rsidR="004B5A1C" w:rsidRPr="001E1631" w:rsidTr="00B75B9B">
        <w:tc>
          <w:tcPr>
            <w:tcW w:w="2624" w:type="dxa"/>
            <w:gridSpan w:val="2"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擴大適用範圍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-</w:t>
            </w:r>
          </w:p>
        </w:tc>
        <w:tc>
          <w:tcPr>
            <w:tcW w:w="2878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1.交易預售屋及其坐落基地</w:t>
            </w:r>
            <w:r w:rsidRPr="001E1631">
              <w:rPr>
                <w:rFonts w:hAnsi="標楷體" w:hint="eastAsia"/>
                <w:spacing w:val="-20"/>
                <w:sz w:val="24"/>
              </w:rPr>
              <w:t>。</w:t>
            </w:r>
          </w:p>
          <w:p w:rsidR="004B5A1C" w:rsidRPr="001E1631" w:rsidRDefault="004B5A1C" w:rsidP="00B75B9B">
            <w:pPr>
              <w:spacing w:line="280" w:lineRule="exact"/>
              <w:ind w:leftChars="0" w:left="230" w:hangingChars="113" w:hanging="230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2.交易持股(或出資額)過半數營利事業之股份(或出資額)</w:t>
            </w:r>
            <w:r w:rsidRPr="001E1631">
              <w:rPr>
                <w:rFonts w:hAnsi="標楷體" w:hint="eastAsia"/>
                <w:spacing w:val="-20"/>
                <w:sz w:val="24"/>
              </w:rPr>
              <w:t>，</w:t>
            </w:r>
            <w:r w:rsidRPr="001E1631">
              <w:rPr>
                <w:rFonts w:hint="eastAsia"/>
                <w:spacing w:val="-20"/>
                <w:sz w:val="24"/>
              </w:rPr>
              <w:t>且該營利事業(或出資額)價值50%以上是由我國境內房地構成</w:t>
            </w:r>
            <w:r w:rsidRPr="001E1631">
              <w:rPr>
                <w:rFonts w:hAnsi="標楷體" w:hint="eastAsia"/>
                <w:spacing w:val="-20"/>
                <w:sz w:val="24"/>
              </w:rPr>
              <w:t>。</w:t>
            </w:r>
          </w:p>
        </w:tc>
      </w:tr>
      <w:tr w:rsidR="004B5A1C" w:rsidRPr="001E1631" w:rsidTr="00B75B9B">
        <w:tc>
          <w:tcPr>
            <w:tcW w:w="2624" w:type="dxa"/>
            <w:gridSpan w:val="2"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適用日期</w:t>
            </w:r>
          </w:p>
        </w:tc>
        <w:tc>
          <w:tcPr>
            <w:tcW w:w="2877" w:type="dxa"/>
            <w:shd w:val="clear" w:color="auto" w:fill="auto"/>
          </w:tcPr>
          <w:p w:rsidR="004B5A1C" w:rsidRPr="001E1631" w:rsidRDefault="004B5A1C" w:rsidP="00B75B9B">
            <w:pPr>
              <w:spacing w:line="280" w:lineRule="exact"/>
              <w:ind w:leftChars="0" w:left="171" w:hangingChars="84" w:hanging="171"/>
              <w:jc w:val="left"/>
              <w:rPr>
                <w:rFonts w:hAnsi="標楷體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1.103年1月1日之次日以後取得</w:t>
            </w:r>
            <w:r w:rsidRPr="001E1631">
              <w:rPr>
                <w:rFonts w:hAnsi="標楷體" w:hint="eastAsia"/>
                <w:spacing w:val="-20"/>
                <w:sz w:val="24"/>
              </w:rPr>
              <w:t>，且持有期間在2年以內。</w:t>
            </w:r>
          </w:p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2.105年1月1日以後取得</w:t>
            </w:r>
            <w:r w:rsidRPr="001E1631">
              <w:rPr>
                <w:rFonts w:hAnsi="標楷體" w:hint="eastAsia"/>
                <w:spacing w:val="-20"/>
                <w:sz w:val="24"/>
              </w:rPr>
              <w:t>。</w:t>
            </w:r>
          </w:p>
        </w:tc>
        <w:tc>
          <w:tcPr>
            <w:tcW w:w="2878" w:type="dxa"/>
            <w:shd w:val="clear" w:color="auto" w:fill="auto"/>
            <w:vAlign w:val="center"/>
          </w:tcPr>
          <w:p w:rsidR="004B5A1C" w:rsidRPr="001E1631" w:rsidRDefault="004B5A1C" w:rsidP="00B75B9B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pacing w:val="-20"/>
                <w:sz w:val="24"/>
              </w:rPr>
            </w:pPr>
            <w:r w:rsidRPr="001E1631">
              <w:rPr>
                <w:rFonts w:hint="eastAsia"/>
                <w:spacing w:val="-20"/>
                <w:sz w:val="24"/>
              </w:rPr>
              <w:t>105年1月1日以後取得</w:t>
            </w:r>
            <w:r w:rsidRPr="001E1631">
              <w:rPr>
                <w:rFonts w:hAnsi="標楷體" w:hint="eastAsia"/>
                <w:spacing w:val="-20"/>
                <w:sz w:val="24"/>
              </w:rPr>
              <w:t>，</w:t>
            </w:r>
            <w:r w:rsidRPr="001E1631">
              <w:rPr>
                <w:rFonts w:hint="eastAsia"/>
                <w:spacing w:val="-20"/>
                <w:sz w:val="24"/>
              </w:rPr>
              <w:t>110年7月1日起交易適用</w:t>
            </w:r>
            <w:r w:rsidRPr="001E1631">
              <w:rPr>
                <w:rFonts w:hAnsi="標楷體" w:hint="eastAsia"/>
                <w:spacing w:val="-20"/>
                <w:sz w:val="24"/>
              </w:rPr>
              <w:t>。</w:t>
            </w:r>
          </w:p>
        </w:tc>
      </w:tr>
    </w:tbl>
    <w:p w:rsidR="004B5A1C" w:rsidRPr="001E1631" w:rsidRDefault="004B5A1C" w:rsidP="004B5A1C">
      <w:pPr>
        <w:adjustRightInd w:val="0"/>
        <w:spacing w:line="280" w:lineRule="exact"/>
        <w:ind w:leftChars="4" w:left="1188" w:rightChars="31" w:right="88" w:hangingChars="484" w:hanging="1177"/>
        <w:jc w:val="left"/>
        <w:rPr>
          <w:rFonts w:hAnsi="標楷體"/>
          <w:b/>
        </w:rPr>
      </w:pPr>
      <w:r w:rsidRPr="001E1631">
        <w:rPr>
          <w:rFonts w:hint="eastAsia"/>
          <w:sz w:val="24"/>
          <w:szCs w:val="24"/>
        </w:rPr>
        <w:t>資料來源：彙整自所得稅法及財政部臺北國稅局房地合一稅2.0修法重點之文宣資料</w:t>
      </w:r>
      <w:r w:rsidRPr="001E1631">
        <w:rPr>
          <w:rFonts w:hAnsi="標楷體" w:hint="eastAsia"/>
          <w:sz w:val="24"/>
          <w:szCs w:val="24"/>
        </w:rPr>
        <w:t>。</w:t>
      </w:r>
    </w:p>
    <w:p w:rsidR="004B5A1C" w:rsidRPr="004E33C4" w:rsidRDefault="004B5A1C" w:rsidP="004B5A1C">
      <w:pPr>
        <w:pStyle w:val="a4"/>
        <w:ind w:left="849" w:hanging="283"/>
        <w:rPr>
          <w:b/>
        </w:rPr>
      </w:pPr>
      <w:r w:rsidRPr="001E1631">
        <w:rPr>
          <w:rFonts w:hint="eastAsia"/>
          <w:b/>
        </w:rPr>
        <w:t>(二)自施行房地合一稅後</w:t>
      </w:r>
      <w:r w:rsidRPr="001E1631">
        <w:rPr>
          <w:rFonts w:hAnsi="標楷體" w:hint="eastAsia"/>
          <w:b/>
        </w:rPr>
        <w:t>，</w:t>
      </w:r>
      <w:r w:rsidRPr="001E1631">
        <w:rPr>
          <w:rFonts w:hint="eastAsia"/>
          <w:b/>
        </w:rPr>
        <w:t>雖初步達</w:t>
      </w:r>
      <w:r w:rsidR="00EE45DB">
        <w:rPr>
          <w:rFonts w:hint="eastAsia"/>
          <w:b/>
        </w:rPr>
        <w:t>到</w:t>
      </w:r>
      <w:r w:rsidRPr="001E1631">
        <w:rPr>
          <w:rFonts w:hint="eastAsia"/>
          <w:b/>
        </w:rPr>
        <w:t>抑制不動產短期炒作之套利</w:t>
      </w:r>
      <w:r w:rsidRPr="004E33C4">
        <w:rPr>
          <w:rFonts w:hint="eastAsia"/>
          <w:b/>
        </w:rPr>
        <w:t>行為</w:t>
      </w:r>
      <w:r w:rsidRPr="004E33C4">
        <w:rPr>
          <w:rFonts w:hAnsi="標楷體" w:hint="eastAsia"/>
          <w:b/>
        </w:rPr>
        <w:t>，</w:t>
      </w:r>
      <w:r w:rsidRPr="004E33C4">
        <w:rPr>
          <w:rFonts w:hint="eastAsia"/>
          <w:b/>
        </w:rPr>
        <w:t>且不動產利得稅稅收亦有增加</w:t>
      </w:r>
      <w:r w:rsidRPr="004E33C4">
        <w:rPr>
          <w:rFonts w:hAnsi="標楷體" w:hint="eastAsia"/>
          <w:b/>
        </w:rPr>
        <w:t>，惟持有多屋者之戶數仍續增</w:t>
      </w:r>
    </w:p>
    <w:p w:rsidR="00347023" w:rsidRPr="004E33C4" w:rsidRDefault="00347023" w:rsidP="00347023">
      <w:pPr>
        <w:adjustRightInd w:val="0"/>
        <w:ind w:leftChars="300" w:left="850" w:firstLine="566"/>
        <w:rPr>
          <w:rFonts w:hint="eastAsia"/>
        </w:rPr>
      </w:pPr>
      <w:r w:rsidRPr="004E33C4">
        <w:rPr>
          <w:rFonts w:hint="eastAsia"/>
        </w:rPr>
        <w:t>依財政部財政資訊中心公布之各年度地方稅統計資料，104年度房地合一稅施行前，當年度交易屬3年內取得土地再移轉之件數29萬7,996件，占總移轉件數122萬2,276件之24.38%，之後隨房地合一稅之實施雖占比略有波動</w:t>
      </w:r>
      <w:r w:rsidRPr="004E33C4">
        <w:rPr>
          <w:rFonts w:hAnsi="標楷體" w:hint="eastAsia"/>
        </w:rPr>
        <w:t>，然</w:t>
      </w:r>
      <w:r w:rsidRPr="004E33C4">
        <w:rPr>
          <w:rFonts w:hint="eastAsia"/>
        </w:rPr>
        <w:t>概呈下降趨勢，至112年度占比降為17.50%</w:t>
      </w:r>
      <w:r w:rsidRPr="004E33C4">
        <w:rPr>
          <w:vertAlign w:val="superscript"/>
        </w:rPr>
        <w:footnoteReference w:id="2"/>
      </w:r>
      <w:r w:rsidRPr="004E33C4">
        <w:rPr>
          <w:rFonts w:hint="eastAsia"/>
        </w:rPr>
        <w:t>，已初步達抑制不動產短期炒作套利之行為，且政府所徵收之不動產資本利得稅雖由實施前(104年)之1</w:t>
      </w:r>
      <w:r w:rsidRPr="004E33C4">
        <w:t>,</w:t>
      </w:r>
      <w:r w:rsidRPr="004E33C4">
        <w:rPr>
          <w:rFonts w:hint="eastAsia"/>
        </w:rPr>
        <w:t>150.74億元降至實施初期(105年)之846.41億元，嗣於111年已增加至</w:t>
      </w:r>
      <w:r w:rsidRPr="004E33C4">
        <w:t>1,484</w:t>
      </w:r>
      <w:r w:rsidRPr="004E33C4">
        <w:rPr>
          <w:rFonts w:hint="eastAsia"/>
        </w:rPr>
        <w:t>.</w:t>
      </w:r>
      <w:r w:rsidRPr="004E33C4">
        <w:t>47</w:t>
      </w:r>
      <w:r w:rsidRPr="004E33C4">
        <w:rPr>
          <w:rFonts w:hint="eastAsia"/>
        </w:rPr>
        <w:t>億元</w:t>
      </w:r>
      <w:r w:rsidRPr="004E33C4">
        <w:rPr>
          <w:rFonts w:hAnsi="標楷體" w:hint="eastAsia"/>
        </w:rPr>
        <w:t>，</w:t>
      </w:r>
      <w:r w:rsidRPr="004E33C4">
        <w:rPr>
          <w:rFonts w:hint="eastAsia"/>
        </w:rPr>
        <w:t>112年略降至1,362.52億元(詳表2)。整體而言，自105年房地合一稅施行後，近年不動產資本利得稅收呈成長趨勢。惟若就該期間房屋稅籍所有人歸戶統計資料觀之(詳表3)，持有4戶(含)房屋以上之個人及營利事</w:t>
      </w:r>
      <w:r w:rsidRPr="004E33C4">
        <w:rPr>
          <w:rFonts w:hint="eastAsia"/>
        </w:rPr>
        <w:lastRenderedPageBreak/>
        <w:t>業或機關團體，分別由104年之7萬3,318戶、2萬6,908戶，增至11</w:t>
      </w:r>
      <w:r w:rsidRPr="004E33C4">
        <w:t>2</w:t>
      </w:r>
      <w:r w:rsidRPr="004E33C4">
        <w:rPr>
          <w:rFonts w:hint="eastAsia"/>
        </w:rPr>
        <w:t>年之9萬1</w:t>
      </w:r>
      <w:r w:rsidRPr="004E33C4">
        <w:t>,890</w:t>
      </w:r>
      <w:r w:rsidRPr="004E33C4">
        <w:rPr>
          <w:rFonts w:hint="eastAsia"/>
        </w:rPr>
        <w:t>戶及3萬</w:t>
      </w:r>
      <w:r w:rsidRPr="004E33C4">
        <w:t>687</w:t>
      </w:r>
      <w:r w:rsidRPr="004E33C4">
        <w:rPr>
          <w:rFonts w:hint="eastAsia"/>
        </w:rPr>
        <w:t>戶，增幅各為2</w:t>
      </w:r>
      <w:r w:rsidRPr="004E33C4">
        <w:t>5</w:t>
      </w:r>
      <w:r w:rsidRPr="004E33C4">
        <w:rPr>
          <w:rFonts w:hint="eastAsia"/>
        </w:rPr>
        <w:t>.</w:t>
      </w:r>
      <w:r w:rsidRPr="004E33C4">
        <w:t>33</w:t>
      </w:r>
      <w:r w:rsidRPr="004E33C4">
        <w:rPr>
          <w:rFonts w:hint="eastAsia"/>
        </w:rPr>
        <w:t>%、</w:t>
      </w:r>
      <w:r w:rsidRPr="004E33C4">
        <w:rPr>
          <w:rFonts w:hint="eastAsia"/>
        </w:rPr>
        <w:lastRenderedPageBreak/>
        <w:t>1</w:t>
      </w:r>
      <w:r w:rsidRPr="004E33C4">
        <w:t>4</w:t>
      </w:r>
      <w:r w:rsidRPr="004E33C4">
        <w:rPr>
          <w:rFonts w:hint="eastAsia"/>
        </w:rPr>
        <w:t>.</w:t>
      </w:r>
      <w:r w:rsidRPr="004E33C4">
        <w:t>04</w:t>
      </w:r>
      <w:r w:rsidRPr="004E33C4">
        <w:rPr>
          <w:rFonts w:hint="eastAsia"/>
        </w:rPr>
        <w:t>%，其中個人持有4戶以上之增幅高於該期間全體所有人總歸戶數(不分持有戶數)之增幅(15.86%)，顯示實施房地合一稅後，尤其在房價上漲之情況下</w:t>
      </w:r>
      <w:r w:rsidRPr="004E33C4">
        <w:rPr>
          <w:rFonts w:hAnsi="標楷體" w:hint="eastAsia"/>
        </w:rPr>
        <w:t>，</w:t>
      </w:r>
      <w:r w:rsidRPr="004E33C4">
        <w:rPr>
          <w:rFonts w:hint="eastAsia"/>
        </w:rPr>
        <w:t>高資本利得仍足以吸引富裕階層進行投資</w:t>
      </w:r>
      <w:r w:rsidRPr="004E33C4">
        <w:rPr>
          <w:rFonts w:hAnsi="標楷體" w:hint="eastAsia"/>
        </w:rPr>
        <w:t>，</w:t>
      </w:r>
      <w:r w:rsidRPr="004E33C4">
        <w:rPr>
          <w:rFonts w:hint="eastAsia"/>
        </w:rPr>
        <w:t>相關限制</w:t>
      </w:r>
      <w:r w:rsidR="00C80293">
        <w:rPr>
          <w:rFonts w:hint="eastAsia"/>
        </w:rPr>
        <w:t>雖有</w:t>
      </w:r>
      <w:r w:rsidRPr="004E33C4">
        <w:rPr>
          <w:rFonts w:hint="eastAsia"/>
        </w:rPr>
        <w:t>抑制投機行為之效果而仍未有效改變擁有多屋者之持有決策，尤以個人持有者及雙北地區</w:t>
      </w:r>
      <w:r w:rsidRPr="004E33C4">
        <w:rPr>
          <w:vertAlign w:val="superscript"/>
        </w:rPr>
        <w:footnoteReference w:id="3"/>
      </w:r>
      <w:r w:rsidRPr="004E33C4">
        <w:rPr>
          <w:rFonts w:hint="eastAsia"/>
        </w:rPr>
        <w:t>為最。</w:t>
      </w:r>
    </w:p>
    <w:p w:rsidR="00347023" w:rsidRPr="004E33C4" w:rsidRDefault="00347023" w:rsidP="00347023">
      <w:pPr>
        <w:spacing w:line="400" w:lineRule="exact"/>
        <w:ind w:leftChars="0" w:left="0" w:firstLineChars="0" w:firstLine="0"/>
        <w:jc w:val="left"/>
        <w:rPr>
          <w:rFonts w:hint="eastAsia"/>
          <w:b/>
          <w:snapToGrid/>
        </w:rPr>
      </w:pPr>
      <w:r w:rsidRPr="004E33C4">
        <w:rPr>
          <w:rFonts w:hint="eastAsia"/>
          <w:b/>
        </w:rPr>
        <w:t xml:space="preserve">表2  我國不動產資本利得稅統計表              </w:t>
      </w:r>
      <w:r w:rsidRPr="004E33C4">
        <w:rPr>
          <w:rFonts w:hint="eastAsia"/>
          <w:sz w:val="24"/>
          <w:szCs w:val="24"/>
        </w:rPr>
        <w:t>單位：新臺幣百萬元</w:t>
      </w:r>
    </w:p>
    <w:tbl>
      <w:tblPr>
        <w:tblW w:w="8357" w:type="dxa"/>
        <w:tblInd w:w="2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699"/>
        <w:gridCol w:w="1194"/>
        <w:gridCol w:w="1285"/>
        <w:gridCol w:w="1119"/>
        <w:gridCol w:w="1559"/>
        <w:gridCol w:w="1417"/>
        <w:gridCol w:w="1084"/>
      </w:tblGrid>
      <w:tr w:rsidR="00347023" w:rsidRPr="004E33C4" w:rsidTr="000E1379">
        <w:trPr>
          <w:trHeight w:val="280"/>
          <w:tblHeader/>
        </w:trPr>
        <w:tc>
          <w:tcPr>
            <w:tcW w:w="699" w:type="dxa"/>
            <w:vMerge w:val="restart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b/>
                <w:spacing w:val="-20"/>
                <w:sz w:val="24"/>
                <w:szCs w:val="24"/>
              </w:rPr>
              <w:t>年別</w:t>
            </w:r>
          </w:p>
        </w:tc>
        <w:tc>
          <w:tcPr>
            <w:tcW w:w="1194" w:type="dxa"/>
            <w:vMerge w:val="restart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rightChars="-20" w:right="-57" w:firstLineChars="0" w:firstLine="0"/>
              <w:jc w:val="left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b/>
                <w:spacing w:val="-20"/>
                <w:sz w:val="24"/>
                <w:szCs w:val="24"/>
              </w:rPr>
              <w:t>土地增值稅</w:t>
            </w:r>
          </w:p>
        </w:tc>
        <w:tc>
          <w:tcPr>
            <w:tcW w:w="1285" w:type="dxa"/>
            <w:vMerge w:val="restart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b/>
                <w:snapToGrid/>
                <w:spacing w:val="-20"/>
                <w:sz w:val="24"/>
                <w:szCs w:val="24"/>
                <w:lang w:val="x-none"/>
              </w:rPr>
              <w:t>特</w:t>
            </w:r>
            <w:r w:rsidRPr="004E33C4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種貨物及勞務稅-土地房屋</w:t>
            </w:r>
          </w:p>
        </w:tc>
        <w:tc>
          <w:tcPr>
            <w:tcW w:w="4095" w:type="dxa"/>
            <w:gridSpan w:val="3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b/>
                <w:spacing w:val="-20"/>
                <w:sz w:val="24"/>
                <w:szCs w:val="24"/>
              </w:rPr>
              <w:t>房地合一稅</w:t>
            </w:r>
          </w:p>
        </w:tc>
        <w:tc>
          <w:tcPr>
            <w:tcW w:w="1084" w:type="dxa"/>
            <w:vMerge w:val="restart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b/>
                <w:spacing w:val="-20"/>
                <w:sz w:val="24"/>
                <w:szCs w:val="24"/>
              </w:rPr>
              <w:t>合計</w:t>
            </w:r>
          </w:p>
        </w:tc>
      </w:tr>
      <w:tr w:rsidR="00347023" w:rsidRPr="004E33C4" w:rsidTr="000E1379">
        <w:trPr>
          <w:trHeight w:val="280"/>
          <w:tblHeader/>
        </w:trPr>
        <w:tc>
          <w:tcPr>
            <w:tcW w:w="699" w:type="dxa"/>
            <w:vMerge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</w:p>
        </w:tc>
        <w:tc>
          <w:tcPr>
            <w:tcW w:w="1194" w:type="dxa"/>
            <w:vMerge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</w:p>
        </w:tc>
        <w:tc>
          <w:tcPr>
            <w:tcW w:w="1285" w:type="dxa"/>
            <w:vMerge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napToGrid/>
                <w:spacing w:val="-20"/>
                <w:sz w:val="24"/>
                <w:szCs w:val="24"/>
                <w:lang w:val="x-none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b/>
                <w:spacing w:val="-20"/>
                <w:sz w:val="24"/>
                <w:szCs w:val="24"/>
              </w:rPr>
              <w:t>個人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b/>
                <w:spacing w:val="-20"/>
                <w:sz w:val="24"/>
                <w:szCs w:val="24"/>
              </w:rPr>
              <w:t>營利事業</w:t>
            </w:r>
          </w:p>
        </w:tc>
        <w:tc>
          <w:tcPr>
            <w:tcW w:w="1417" w:type="dxa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b/>
                <w:spacing w:val="-20"/>
                <w:sz w:val="24"/>
                <w:szCs w:val="24"/>
              </w:rPr>
              <w:t>小計</w:t>
            </w:r>
          </w:p>
        </w:tc>
        <w:tc>
          <w:tcPr>
            <w:tcW w:w="1084" w:type="dxa"/>
            <w:vMerge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20"/>
                <w:sz w:val="24"/>
                <w:szCs w:val="24"/>
              </w:rPr>
            </w:pPr>
          </w:p>
        </w:tc>
      </w:tr>
      <w:tr w:rsidR="00347023" w:rsidRPr="004E33C4" w:rsidTr="000E1379">
        <w:tc>
          <w:tcPr>
            <w:tcW w:w="699" w:type="dxa"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103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101,659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3,182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104,841</w:t>
            </w:r>
          </w:p>
        </w:tc>
      </w:tr>
      <w:tr w:rsidR="00347023" w:rsidRPr="004E33C4" w:rsidTr="000E1379">
        <w:tc>
          <w:tcPr>
            <w:tcW w:w="699" w:type="dxa"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104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113,457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1,617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115,074</w:t>
            </w:r>
          </w:p>
        </w:tc>
      </w:tr>
      <w:tr w:rsidR="00347023" w:rsidRPr="004E33C4" w:rsidTr="000E1379">
        <w:tc>
          <w:tcPr>
            <w:tcW w:w="699" w:type="dxa"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105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83,385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379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/>
                <w:spacing w:val="-20"/>
                <w:sz w:val="24"/>
                <w:szCs w:val="24"/>
              </w:rPr>
              <w:t>877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877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84,641</w:t>
            </w:r>
          </w:p>
        </w:tc>
      </w:tr>
      <w:tr w:rsidR="00347023" w:rsidRPr="004E33C4" w:rsidTr="000E1379">
        <w:tc>
          <w:tcPr>
            <w:tcW w:w="699" w:type="dxa"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106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93,862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142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1,191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1,377</w:t>
            </w:r>
          </w:p>
        </w:tc>
        <w:tc>
          <w:tcPr>
            <w:tcW w:w="1417" w:type="dxa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2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568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96,572</w:t>
            </w:r>
          </w:p>
        </w:tc>
      </w:tr>
      <w:tr w:rsidR="00347023" w:rsidRPr="004E33C4" w:rsidTr="000E1379">
        <w:tc>
          <w:tcPr>
            <w:tcW w:w="699" w:type="dxa"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107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90,552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84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2,791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839</w:t>
            </w:r>
          </w:p>
        </w:tc>
        <w:tc>
          <w:tcPr>
            <w:tcW w:w="1417" w:type="dxa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,</w:t>
            </w: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630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94.266</w:t>
            </w:r>
          </w:p>
        </w:tc>
      </w:tr>
      <w:tr w:rsidR="00347023" w:rsidRPr="004E33C4" w:rsidTr="000E1379">
        <w:tc>
          <w:tcPr>
            <w:tcW w:w="699" w:type="dxa"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108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101,137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/>
                <w:spacing w:val="-20"/>
                <w:sz w:val="24"/>
                <w:szCs w:val="24"/>
              </w:rPr>
              <w:t>11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6,049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2,057</w:t>
            </w:r>
          </w:p>
        </w:tc>
        <w:tc>
          <w:tcPr>
            <w:tcW w:w="1417" w:type="dxa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8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,106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109,254</w:t>
            </w:r>
          </w:p>
        </w:tc>
      </w:tr>
      <w:tr w:rsidR="00347023" w:rsidRPr="004E33C4" w:rsidTr="000E1379">
        <w:tc>
          <w:tcPr>
            <w:tcW w:w="699" w:type="dxa"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109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/>
                <w:spacing w:val="-20"/>
                <w:sz w:val="24"/>
                <w:szCs w:val="24"/>
              </w:rPr>
              <w:t>112</w:t>
            </w: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,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990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3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/>
                <w:spacing w:val="-20"/>
                <w:sz w:val="24"/>
                <w:szCs w:val="24"/>
              </w:rPr>
              <w:t>11,909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,219</w:t>
            </w:r>
          </w:p>
        </w:tc>
        <w:tc>
          <w:tcPr>
            <w:tcW w:w="1417" w:type="dxa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5,128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128,131</w:t>
            </w:r>
          </w:p>
        </w:tc>
      </w:tr>
      <w:tr w:rsidR="00347023" w:rsidRPr="004E33C4" w:rsidTr="000E1379">
        <w:tc>
          <w:tcPr>
            <w:tcW w:w="699" w:type="dxa"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110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10,015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8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/>
                <w:spacing w:val="-20"/>
                <w:sz w:val="24"/>
                <w:szCs w:val="24"/>
              </w:rPr>
              <w:t>24,568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7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,669</w:t>
            </w:r>
          </w:p>
        </w:tc>
        <w:tc>
          <w:tcPr>
            <w:tcW w:w="1417" w:type="dxa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3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2,237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42,270</w:t>
            </w:r>
          </w:p>
        </w:tc>
      </w:tr>
      <w:tr w:rsidR="00347023" w:rsidRPr="004E33C4" w:rsidTr="000E1379">
        <w:tc>
          <w:tcPr>
            <w:tcW w:w="699" w:type="dxa"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111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9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3,046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6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/>
                <w:spacing w:val="-20"/>
                <w:sz w:val="24"/>
                <w:szCs w:val="24"/>
              </w:rPr>
              <w:t>38,196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7,189</w:t>
            </w:r>
          </w:p>
        </w:tc>
        <w:tc>
          <w:tcPr>
            <w:tcW w:w="1417" w:type="dxa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5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5,385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148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,447</w:t>
            </w:r>
          </w:p>
        </w:tc>
      </w:tr>
      <w:tr w:rsidR="00347023" w:rsidRPr="004E33C4" w:rsidTr="000E1379">
        <w:tc>
          <w:tcPr>
            <w:tcW w:w="699" w:type="dxa"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112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7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4,502</w:t>
            </w:r>
          </w:p>
        </w:tc>
        <w:tc>
          <w:tcPr>
            <w:tcW w:w="1285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9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/>
                <w:spacing w:val="-20"/>
                <w:sz w:val="24"/>
                <w:szCs w:val="24"/>
              </w:rPr>
              <w:t>41,936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9,795</w:t>
            </w:r>
          </w:p>
        </w:tc>
        <w:tc>
          <w:tcPr>
            <w:tcW w:w="1417" w:type="dxa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6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1,731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sz w:val="24"/>
                <w:szCs w:val="24"/>
              </w:rPr>
            </w:pPr>
            <w:r w:rsidRPr="004E33C4">
              <w:rPr>
                <w:rFonts w:hAnsi="標楷體" w:hint="eastAsia"/>
                <w:spacing w:val="-20"/>
                <w:sz w:val="24"/>
                <w:szCs w:val="24"/>
              </w:rPr>
              <w:t>1</w:t>
            </w:r>
            <w:r w:rsidRPr="004E33C4">
              <w:rPr>
                <w:rFonts w:hAnsi="標楷體"/>
                <w:spacing w:val="-20"/>
                <w:sz w:val="24"/>
                <w:szCs w:val="24"/>
              </w:rPr>
              <w:t>36,252</w:t>
            </w:r>
          </w:p>
        </w:tc>
      </w:tr>
    </w:tbl>
    <w:p w:rsidR="00347023" w:rsidRPr="004E33C4" w:rsidRDefault="00347023" w:rsidP="00347023">
      <w:pPr>
        <w:spacing w:line="280" w:lineRule="exact"/>
        <w:ind w:leftChars="0" w:left="1078" w:firstLineChars="0" w:hanging="1078"/>
        <w:jc w:val="left"/>
        <w:rPr>
          <w:rFonts w:hAnsi="標楷體"/>
          <w:spacing w:val="-6"/>
          <w:sz w:val="24"/>
        </w:rPr>
      </w:pPr>
      <w:r w:rsidRPr="004E33C4">
        <w:rPr>
          <w:rFonts w:hAnsi="標楷體" w:hint="eastAsia"/>
          <w:spacing w:val="-6"/>
          <w:sz w:val="24"/>
        </w:rPr>
        <w:t>說    明：特種貨物及勞務稅自100年6月起開徵，其中土地房屋項目於105年1月1日起配合房地合一新制上路而停止課徵，惟因部分案件仍在陸續審核中，致尚有稅款收入。</w:t>
      </w:r>
    </w:p>
    <w:p w:rsidR="00347023" w:rsidRPr="004E33C4" w:rsidRDefault="00347023" w:rsidP="00347023">
      <w:pPr>
        <w:spacing w:line="280" w:lineRule="exact"/>
        <w:ind w:leftChars="0" w:left="560" w:firstLineChars="0" w:hanging="560"/>
        <w:jc w:val="left"/>
        <w:rPr>
          <w:rFonts w:hAnsi="標楷體"/>
          <w:spacing w:val="-6"/>
          <w:sz w:val="24"/>
        </w:rPr>
      </w:pPr>
      <w:r w:rsidRPr="004E33C4">
        <w:rPr>
          <w:rFonts w:hAnsi="標楷體" w:hint="eastAsia"/>
          <w:spacing w:val="-6"/>
          <w:sz w:val="24"/>
        </w:rPr>
        <w:t>資料來源：財政部財政統計資料庫，本中心彙整。</w:t>
      </w:r>
    </w:p>
    <w:p w:rsidR="00347023" w:rsidRPr="004E33C4" w:rsidRDefault="00347023" w:rsidP="00347023">
      <w:pPr>
        <w:spacing w:line="400" w:lineRule="exact"/>
        <w:ind w:leftChars="0" w:left="0" w:firstLineChars="0" w:firstLine="0"/>
        <w:jc w:val="left"/>
        <w:rPr>
          <w:rFonts w:hint="eastAsia"/>
          <w:snapToGrid/>
          <w:sz w:val="24"/>
          <w:szCs w:val="24"/>
        </w:rPr>
      </w:pPr>
      <w:r w:rsidRPr="004E33C4">
        <w:rPr>
          <w:rFonts w:hint="eastAsia"/>
          <w:b/>
        </w:rPr>
        <w:t xml:space="preserve">表3  </w:t>
      </w:r>
      <w:r w:rsidRPr="004E33C4">
        <w:rPr>
          <w:rFonts w:hint="eastAsia"/>
          <w:b/>
          <w:lang w:eastAsia="x-none"/>
        </w:rPr>
        <w:t>房屋稅籍所有人歸戶統計表(縣市歸戶</w:t>
      </w:r>
      <w:r w:rsidRPr="004E33C4">
        <w:rPr>
          <w:rFonts w:hint="eastAsia"/>
          <w:b/>
        </w:rPr>
        <w:t>)</w:t>
      </w:r>
      <w:r w:rsidRPr="004E33C4">
        <w:rPr>
          <w:rFonts w:hint="eastAsia"/>
          <w:sz w:val="24"/>
        </w:rPr>
        <w:t xml:space="preserve">               </w:t>
      </w:r>
      <w:r w:rsidRPr="004E33C4">
        <w:rPr>
          <w:sz w:val="24"/>
        </w:rPr>
        <w:t xml:space="preserve"> </w:t>
      </w:r>
      <w:r w:rsidRPr="004E33C4">
        <w:rPr>
          <w:rFonts w:hint="eastAsia"/>
          <w:sz w:val="24"/>
        </w:rPr>
        <w:t>單位：戶</w:t>
      </w: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0"/>
        <w:gridCol w:w="1199"/>
        <w:gridCol w:w="1134"/>
        <w:gridCol w:w="1134"/>
        <w:gridCol w:w="1134"/>
        <w:gridCol w:w="1134"/>
        <w:gridCol w:w="1134"/>
        <w:gridCol w:w="1084"/>
      </w:tblGrid>
      <w:tr w:rsidR="00347023" w:rsidRPr="004E33C4" w:rsidTr="000E1379">
        <w:trPr>
          <w:trHeight w:val="188"/>
          <w:tblHeader/>
        </w:trPr>
        <w:tc>
          <w:tcPr>
            <w:tcW w:w="1659" w:type="dxa"/>
            <w:gridSpan w:val="2"/>
            <w:vMerge w:val="restart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縣市別</w:t>
            </w:r>
          </w:p>
        </w:tc>
        <w:tc>
          <w:tcPr>
            <w:tcW w:w="3402" w:type="dxa"/>
            <w:gridSpan w:val="3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104年度</w:t>
            </w:r>
          </w:p>
        </w:tc>
        <w:tc>
          <w:tcPr>
            <w:tcW w:w="3352" w:type="dxa"/>
            <w:gridSpan w:val="3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112年度</w:t>
            </w:r>
          </w:p>
        </w:tc>
      </w:tr>
      <w:tr w:rsidR="00347023" w:rsidRPr="004E33C4" w:rsidTr="000E1379">
        <w:trPr>
          <w:trHeight w:val="188"/>
          <w:tblHeader/>
        </w:trPr>
        <w:tc>
          <w:tcPr>
            <w:tcW w:w="1659" w:type="dxa"/>
            <w:gridSpan w:val="2"/>
            <w:vMerge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b/>
                <w:snapToGrid/>
                <w:spacing w:val="-20"/>
                <w:w w:val="90"/>
                <w:sz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合計</w:t>
            </w:r>
          </w:p>
          <w:p w:rsidR="00347023" w:rsidRPr="004E33C4" w:rsidRDefault="00347023" w:rsidP="00347023">
            <w:pPr>
              <w:spacing w:line="280" w:lineRule="exact"/>
              <w:ind w:leftChars="-34" w:left="2" w:rightChars="-14" w:right="-40" w:hangingChars="68" w:hanging="98"/>
              <w:jc w:val="center"/>
              <w:rPr>
                <w:rFonts w:hint="eastAsia"/>
                <w:b/>
                <w:snapToGrid/>
                <w:spacing w:val="-20"/>
                <w:w w:val="90"/>
                <w:sz w:val="20"/>
                <w:szCs w:val="20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0"/>
                <w:szCs w:val="20"/>
              </w:rPr>
              <w:t>(不分持有戶數)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4戶(含)</w:t>
            </w:r>
          </w:p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以上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10戶(含)</w:t>
            </w:r>
          </w:p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以上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合計</w:t>
            </w:r>
          </w:p>
          <w:p w:rsidR="00347023" w:rsidRPr="004E33C4" w:rsidRDefault="00347023" w:rsidP="00347023">
            <w:pPr>
              <w:spacing w:line="280" w:lineRule="exact"/>
              <w:ind w:leftChars="-40" w:left="0" w:rightChars="-11" w:right="-31" w:hangingChars="79" w:hanging="113"/>
              <w:jc w:val="center"/>
              <w:rPr>
                <w:rFonts w:hint="eastAsia"/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0"/>
                <w:szCs w:val="20"/>
              </w:rPr>
              <w:t>(不分持有戶數)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4戶(含)</w:t>
            </w:r>
          </w:p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以上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10戶(含)</w:t>
            </w:r>
          </w:p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b/>
                <w:snapToGrid/>
                <w:spacing w:val="-20"/>
                <w:w w:val="90"/>
                <w:sz w:val="24"/>
              </w:rPr>
              <w:t>以上</w:t>
            </w:r>
          </w:p>
        </w:tc>
      </w:tr>
      <w:tr w:rsidR="00347023" w:rsidRPr="004E33C4" w:rsidTr="000E1379">
        <w:tc>
          <w:tcPr>
            <w:tcW w:w="460" w:type="dxa"/>
            <w:vMerge w:val="restart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snapToGrid/>
                <w:spacing w:val="-20"/>
                <w:w w:val="90"/>
                <w:sz w:val="24"/>
              </w:rPr>
              <w:t>各市縣</w:t>
            </w:r>
          </w:p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snapToGrid/>
                <w:spacing w:val="-20"/>
                <w:w w:val="90"/>
                <w:sz w:val="24"/>
              </w:rPr>
              <w:t>合計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hint="eastAsia"/>
                <w:spacing w:val="-20"/>
                <w:w w:val="90"/>
                <w:sz w:val="24"/>
              </w:rPr>
              <w:t>個人所有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,521,415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7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3,318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4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,851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9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868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814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91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890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5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,5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85</w:t>
            </w:r>
          </w:p>
        </w:tc>
      </w:tr>
      <w:tr w:rsidR="00347023" w:rsidRPr="004E33C4" w:rsidTr="000E1379">
        <w:tc>
          <w:tcPr>
            <w:tcW w:w="460" w:type="dxa"/>
            <w:vMerge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sz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cs="新細明體"/>
                <w:sz w:val="24"/>
              </w:rPr>
            </w:pPr>
            <w:r w:rsidRPr="004E33C4">
              <w:rPr>
                <w:rFonts w:hint="eastAsia"/>
                <w:sz w:val="24"/>
              </w:rPr>
              <w:t>營利事業或機關團體所有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64,743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/>
                <w:spacing w:val="-20"/>
                <w:w w:val="90"/>
                <w:sz w:val="24"/>
              </w:rPr>
              <w:t>26,908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,441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9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4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877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3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0,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687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9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389</w:t>
            </w:r>
          </w:p>
        </w:tc>
      </w:tr>
      <w:tr w:rsidR="00347023" w:rsidRPr="004E33C4" w:rsidTr="000E1379">
        <w:tc>
          <w:tcPr>
            <w:tcW w:w="460" w:type="dxa"/>
            <w:vMerge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sz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sz w:val="24"/>
              </w:rPr>
            </w:pPr>
            <w:r w:rsidRPr="004E33C4">
              <w:rPr>
                <w:rFonts w:hint="eastAsia"/>
                <w:b/>
                <w:sz w:val="24"/>
              </w:rPr>
              <w:t>合計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8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,686,158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00,226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3,292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10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063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691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577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4,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974</w:t>
            </w:r>
          </w:p>
        </w:tc>
      </w:tr>
      <w:tr w:rsidR="00347023" w:rsidRPr="004E33C4" w:rsidTr="000E1379">
        <w:tc>
          <w:tcPr>
            <w:tcW w:w="460" w:type="dxa"/>
            <w:vMerge w:val="restart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sz w:val="24"/>
              </w:rPr>
            </w:pPr>
            <w:r w:rsidRPr="004E33C4">
              <w:rPr>
                <w:rFonts w:hint="eastAsia"/>
                <w:snapToGrid/>
                <w:sz w:val="24"/>
              </w:rPr>
              <w:lastRenderedPageBreak/>
              <w:t>新北市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cs="新細明體"/>
                <w:sz w:val="24"/>
              </w:rPr>
            </w:pPr>
            <w:r w:rsidRPr="004E33C4">
              <w:rPr>
                <w:rFonts w:hint="eastAsia"/>
                <w:sz w:val="24"/>
              </w:rPr>
              <w:t>個人所有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,510,903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0,221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,229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724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529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24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180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,435</w:t>
            </w:r>
          </w:p>
        </w:tc>
      </w:tr>
      <w:tr w:rsidR="00347023" w:rsidRPr="004E33C4" w:rsidTr="000E1379">
        <w:tc>
          <w:tcPr>
            <w:tcW w:w="460" w:type="dxa"/>
            <w:vMerge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sz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cs="新細明體"/>
                <w:sz w:val="24"/>
              </w:rPr>
            </w:pPr>
            <w:r w:rsidRPr="004E33C4">
              <w:rPr>
                <w:rFonts w:hint="eastAsia"/>
                <w:sz w:val="24"/>
              </w:rPr>
              <w:t>營利事業或機關團體所有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3,092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3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,908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,146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7,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595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4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,5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79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,3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48</w:t>
            </w:r>
          </w:p>
        </w:tc>
      </w:tr>
      <w:tr w:rsidR="00347023" w:rsidRPr="004E33C4" w:rsidTr="000E1379">
        <w:tc>
          <w:tcPr>
            <w:tcW w:w="460" w:type="dxa"/>
            <w:vMerge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sz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sz w:val="24"/>
              </w:rPr>
            </w:pPr>
            <w:r w:rsidRPr="004E33C4">
              <w:rPr>
                <w:rFonts w:hint="eastAsia"/>
                <w:b/>
                <w:sz w:val="24"/>
              </w:rPr>
              <w:t>合計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,533,995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4,129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,375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,7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52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124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8,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759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,7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83</w:t>
            </w:r>
          </w:p>
        </w:tc>
      </w:tr>
      <w:tr w:rsidR="00347023" w:rsidRPr="004E33C4" w:rsidTr="000E1379">
        <w:tc>
          <w:tcPr>
            <w:tcW w:w="460" w:type="dxa"/>
            <w:vMerge w:val="restart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sz w:val="24"/>
              </w:rPr>
            </w:pPr>
            <w:r w:rsidRPr="004E33C4">
              <w:rPr>
                <w:rFonts w:hint="eastAsia"/>
                <w:snapToGrid/>
                <w:sz w:val="24"/>
              </w:rPr>
              <w:t>台北市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cs="新細明體"/>
                <w:sz w:val="24"/>
              </w:rPr>
            </w:pPr>
            <w:r w:rsidRPr="004E33C4">
              <w:rPr>
                <w:rFonts w:hint="eastAsia"/>
                <w:sz w:val="24"/>
              </w:rPr>
              <w:t>個人所有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9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15,259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1,996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7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11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9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9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848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4,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207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7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5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6</w:t>
            </w:r>
          </w:p>
        </w:tc>
      </w:tr>
      <w:tr w:rsidR="00347023" w:rsidRPr="004E33C4" w:rsidTr="000E1379">
        <w:tc>
          <w:tcPr>
            <w:tcW w:w="460" w:type="dxa"/>
            <w:vMerge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sz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cs="新細明體"/>
                <w:sz w:val="24"/>
              </w:rPr>
            </w:pPr>
            <w:r w:rsidRPr="004E33C4">
              <w:rPr>
                <w:rFonts w:hint="eastAsia"/>
                <w:sz w:val="24"/>
              </w:rPr>
              <w:t>營利事業或機關團體所有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4,884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4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,785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,676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9,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29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7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5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,3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89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spacing w:val="-20"/>
                <w:w w:val="90"/>
                <w:sz w:val="24"/>
              </w:rPr>
              <w:t>830</w:t>
            </w:r>
          </w:p>
        </w:tc>
      </w:tr>
      <w:tr w:rsidR="00347023" w:rsidRPr="004E33C4" w:rsidTr="000E1379">
        <w:tc>
          <w:tcPr>
            <w:tcW w:w="460" w:type="dxa"/>
            <w:vMerge/>
            <w:shd w:val="clear" w:color="auto" w:fill="auto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sz w:val="24"/>
              </w:rPr>
            </w:pPr>
          </w:p>
        </w:tc>
        <w:tc>
          <w:tcPr>
            <w:tcW w:w="1199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center"/>
              <w:rPr>
                <w:rFonts w:cs="新細明體"/>
                <w:b/>
                <w:sz w:val="24"/>
              </w:rPr>
            </w:pPr>
            <w:r w:rsidRPr="004E33C4">
              <w:rPr>
                <w:rFonts w:hint="eastAsia"/>
                <w:b/>
                <w:sz w:val="24"/>
              </w:rPr>
              <w:t>合計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9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40,143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6,781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,387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,02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8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145</w:t>
            </w:r>
          </w:p>
        </w:tc>
        <w:tc>
          <w:tcPr>
            <w:tcW w:w="1134" w:type="dxa"/>
            <w:tcBorders>
              <w:left w:val="double" w:sz="4" w:space="0" w:color="000000"/>
            </w:tcBorders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1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9,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59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6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347023" w:rsidRPr="004E33C4" w:rsidRDefault="00347023" w:rsidP="00347023">
            <w:pPr>
              <w:spacing w:line="280" w:lineRule="exact"/>
              <w:ind w:leftChars="0" w:left="0" w:firstLineChars="0" w:firstLine="0"/>
              <w:jc w:val="right"/>
              <w:rPr>
                <w:rFonts w:cs="新細明體"/>
                <w:b/>
                <w:spacing w:val="-20"/>
                <w:w w:val="90"/>
                <w:sz w:val="24"/>
              </w:rPr>
            </w:pP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2</w:t>
            </w:r>
            <w:r w:rsidRPr="004E33C4">
              <w:rPr>
                <w:rFonts w:cs="新細明體"/>
                <w:b/>
                <w:spacing w:val="-20"/>
                <w:w w:val="90"/>
                <w:sz w:val="24"/>
              </w:rPr>
              <w:t>,5</w:t>
            </w:r>
            <w:r w:rsidRPr="004E33C4">
              <w:rPr>
                <w:rFonts w:cs="新細明體" w:hint="eastAsia"/>
                <w:b/>
                <w:spacing w:val="-20"/>
                <w:w w:val="90"/>
                <w:sz w:val="24"/>
              </w:rPr>
              <w:t>86</w:t>
            </w:r>
          </w:p>
        </w:tc>
      </w:tr>
    </w:tbl>
    <w:p w:rsidR="00347023" w:rsidRPr="004E33C4" w:rsidRDefault="00347023" w:rsidP="00347023">
      <w:pPr>
        <w:spacing w:line="280" w:lineRule="exact"/>
        <w:ind w:leftChars="0" w:left="0" w:firstLineChars="0" w:firstLine="0"/>
        <w:jc w:val="left"/>
        <w:rPr>
          <w:rFonts w:hAnsi="標楷體"/>
          <w:spacing w:val="-6"/>
          <w:sz w:val="24"/>
        </w:rPr>
      </w:pPr>
      <w:r w:rsidRPr="004E33C4">
        <w:rPr>
          <w:rFonts w:hAnsi="標楷體" w:hint="eastAsia"/>
          <w:spacing w:val="-6"/>
          <w:sz w:val="24"/>
        </w:rPr>
        <w:t>說    明：表列4戶(含)以上係包括10戶(含)以上者。</w:t>
      </w:r>
    </w:p>
    <w:p w:rsidR="00B737C0" w:rsidRPr="004E33C4" w:rsidRDefault="00347023" w:rsidP="00347023">
      <w:pPr>
        <w:spacing w:line="280" w:lineRule="exact"/>
        <w:ind w:leftChars="0" w:left="0" w:firstLineChars="0" w:firstLine="0"/>
        <w:jc w:val="left"/>
      </w:pPr>
      <w:r w:rsidRPr="004E33C4">
        <w:rPr>
          <w:rFonts w:hAnsi="標楷體" w:hint="eastAsia"/>
          <w:spacing w:val="-6"/>
          <w:sz w:val="24"/>
        </w:rPr>
        <w:t>資料來源：財政部財政資訊中心104及112年度</w:t>
      </w:r>
      <w:r w:rsidRPr="004E33C4">
        <w:rPr>
          <w:rFonts w:hAnsi="標楷體"/>
          <w:spacing w:val="-6"/>
          <w:sz w:val="24"/>
        </w:rPr>
        <w:t>財稅資訊地方稅統計表</w:t>
      </w:r>
      <w:r w:rsidRPr="004E33C4">
        <w:rPr>
          <w:rFonts w:hAnsi="標楷體" w:hint="eastAsia"/>
          <w:spacing w:val="-6"/>
          <w:sz w:val="24"/>
        </w:rPr>
        <w:t>，本中心彙整。</w:t>
      </w:r>
    </w:p>
    <w:p w:rsidR="00347023" w:rsidRPr="004E33C4" w:rsidRDefault="004B5A1C" w:rsidP="00347023">
      <w:pPr>
        <w:ind w:left="566" w:firstLine="566"/>
      </w:pPr>
      <w:r w:rsidRPr="004E33C4">
        <w:rPr>
          <w:rFonts w:hint="eastAsia"/>
        </w:rPr>
        <w:t>綜上</w:t>
      </w:r>
      <w:r w:rsidRPr="004E33C4">
        <w:rPr>
          <w:rFonts w:hAnsi="標楷體" w:hint="eastAsia"/>
        </w:rPr>
        <w:t>，</w:t>
      </w:r>
      <w:r w:rsidR="00443702" w:rsidRPr="004E33C4">
        <w:rPr>
          <w:rFonts w:hAnsi="標楷體" w:hint="eastAsia"/>
        </w:rPr>
        <w:t>為抑制短期投機炒作房地產之套利行為，政府自105年度起施行房地合一稅措施，持有人賣出房、地產時需按持有期間長短依所對應之稅率繳納所得稅，嗣於110年7月起再修法延長個人短期交易房地適用高稅率之持有期間，實施後雖初步已達抑制不動產短期炒作之套利行為，且相關稅收亦有提升，惟持有多屋者之戶數仍續增，居住正義之落實成效恐有限，允宜賡續檢討精進相關策略</w:t>
      </w:r>
      <w:r w:rsidR="00DC283A" w:rsidRPr="004E33C4">
        <w:rPr>
          <w:rFonts w:hAnsi="標楷體" w:hint="eastAsia"/>
        </w:rPr>
        <w:t>。</w:t>
      </w:r>
    </w:p>
    <w:sectPr w:rsidR="00347023" w:rsidRPr="004E33C4" w:rsidSect="00E819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FA6" w:rsidRDefault="00DD6FA6" w:rsidP="00D11F6A">
      <w:pPr>
        <w:spacing w:line="240" w:lineRule="auto"/>
        <w:ind w:left="560" w:firstLine="560"/>
      </w:pPr>
    </w:p>
    <w:p w:rsidR="00DD6FA6" w:rsidRDefault="00DD6FA6" w:rsidP="00D11F6A">
      <w:pPr>
        <w:ind w:left="560" w:firstLine="560"/>
      </w:pPr>
    </w:p>
  </w:endnote>
  <w:endnote w:type="continuationSeparator" w:id="0">
    <w:p w:rsidR="00DD6FA6" w:rsidRDefault="00DD6FA6" w:rsidP="00D11F6A">
      <w:pPr>
        <w:spacing w:line="240" w:lineRule="auto"/>
        <w:ind w:left="560" w:firstLine="560"/>
      </w:pPr>
    </w:p>
    <w:p w:rsidR="00DD6FA6" w:rsidRDefault="00DD6FA6" w:rsidP="00D11F6A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 w:rsidP="00D11F6A">
    <w:pPr>
      <w:ind w:left="560" w:right="365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Pr="009967E3" w:rsidRDefault="006D5BB2" w:rsidP="00131CC5">
    <w:pPr>
      <w:pStyle w:val="af2"/>
      <w:ind w:leftChars="0" w:left="0" w:firstLineChars="0" w:firstLine="0"/>
      <w:jc w:val="center"/>
    </w:pPr>
    <w:r w:rsidRPr="009967E3">
      <w:fldChar w:fldCharType="begin"/>
    </w:r>
    <w:r w:rsidRPr="009967E3">
      <w:instrText>PAGE   \* MERGEFORMAT</w:instrText>
    </w:r>
    <w:r w:rsidRPr="009967E3">
      <w:fldChar w:fldCharType="separate"/>
    </w:r>
    <w:r w:rsidR="005A5751" w:rsidRPr="005A5751">
      <w:rPr>
        <w:noProof/>
        <w:lang w:val="zh-TW"/>
      </w:rPr>
      <w:t>2</w:t>
    </w:r>
    <w:r w:rsidRPr="009967E3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>
    <w:pPr>
      <w:ind w:left="560" w:firstLine="560"/>
    </w:pPr>
    <w:r w:rsidRPr="00D11F6A">
      <w:rPr>
        <w:noProof/>
        <w:lang w:val="zh-TW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FA6" w:rsidRDefault="00DD6FA6" w:rsidP="003F48B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D6FA6" w:rsidRDefault="00DD6FA6" w:rsidP="00D11F6A">
      <w:pPr>
        <w:ind w:left="560" w:firstLine="560"/>
      </w:pPr>
      <w:r>
        <w:continuationSeparator/>
      </w:r>
    </w:p>
  </w:footnote>
  <w:footnote w:type="continuationNotice" w:id="1">
    <w:p w:rsidR="00DD6FA6" w:rsidRDefault="00DD6FA6">
      <w:pPr>
        <w:spacing w:line="240" w:lineRule="auto"/>
        <w:ind w:left="560" w:firstLine="560"/>
      </w:pPr>
    </w:p>
  </w:footnote>
  <w:footnote w:id="2">
    <w:p w:rsidR="00347023" w:rsidRPr="004E33C4" w:rsidRDefault="00347023" w:rsidP="00347023">
      <w:pPr>
        <w:pStyle w:val="af5"/>
        <w:spacing w:line="280" w:lineRule="exact"/>
        <w:ind w:left="649" w:hangingChars="34" w:hanging="83"/>
        <w:jc w:val="both"/>
        <w:rPr>
          <w:rFonts w:hAnsi="標楷體" w:hint="eastAsia"/>
          <w:sz w:val="24"/>
          <w:szCs w:val="24"/>
        </w:rPr>
      </w:pPr>
      <w:r w:rsidRPr="004E33C4">
        <w:rPr>
          <w:rStyle w:val="af7"/>
          <w:rFonts w:hAnsi="標楷體"/>
          <w:sz w:val="24"/>
          <w:szCs w:val="24"/>
        </w:rPr>
        <w:footnoteRef/>
      </w:r>
      <w:r w:rsidRPr="004E33C4">
        <w:rPr>
          <w:rFonts w:hAnsi="標楷體" w:hint="eastAsia"/>
          <w:sz w:val="24"/>
          <w:szCs w:val="24"/>
        </w:rPr>
        <w:t>112年度移轉124萬8</w:t>
      </w:r>
      <w:r w:rsidRPr="004E33C4">
        <w:rPr>
          <w:rFonts w:hAnsi="標楷體"/>
          <w:sz w:val="24"/>
          <w:szCs w:val="24"/>
        </w:rPr>
        <w:t>,</w:t>
      </w:r>
      <w:r w:rsidRPr="004E33C4">
        <w:rPr>
          <w:rFonts w:hAnsi="標楷體" w:hint="eastAsia"/>
          <w:sz w:val="24"/>
          <w:szCs w:val="24"/>
        </w:rPr>
        <w:t>065件，其中3年內取得土地再移轉件數21萬8,379件、占比17.50%。</w:t>
      </w:r>
    </w:p>
  </w:footnote>
  <w:footnote w:id="3">
    <w:p w:rsidR="00347023" w:rsidRPr="004E33C4" w:rsidRDefault="00347023" w:rsidP="00347023">
      <w:pPr>
        <w:pStyle w:val="af5"/>
        <w:spacing w:line="280" w:lineRule="exact"/>
        <w:ind w:left="649" w:hangingChars="34" w:hanging="83"/>
        <w:jc w:val="both"/>
        <w:rPr>
          <w:rFonts w:hAnsi="標楷體" w:hint="eastAsia"/>
          <w:sz w:val="24"/>
          <w:szCs w:val="24"/>
        </w:rPr>
      </w:pPr>
      <w:r w:rsidRPr="004E33C4">
        <w:rPr>
          <w:rStyle w:val="af7"/>
          <w:rFonts w:hAnsi="標楷體"/>
          <w:sz w:val="24"/>
          <w:szCs w:val="24"/>
        </w:rPr>
        <w:footnoteRef/>
      </w:r>
      <w:r w:rsidRPr="004E33C4">
        <w:rPr>
          <w:rFonts w:hAnsi="標楷體" w:hint="eastAsia"/>
          <w:sz w:val="24"/>
          <w:szCs w:val="24"/>
        </w:rPr>
        <w:t>持有4戶(含)以上房屋者，104及112年度各為10萬226戶、12萬2</w:t>
      </w:r>
      <w:r w:rsidRPr="004E33C4">
        <w:rPr>
          <w:rFonts w:hAnsi="標楷體"/>
          <w:sz w:val="24"/>
          <w:szCs w:val="24"/>
        </w:rPr>
        <w:t>,577</w:t>
      </w:r>
      <w:r w:rsidRPr="004E33C4">
        <w:rPr>
          <w:rFonts w:hAnsi="標楷體" w:hint="eastAsia"/>
          <w:sz w:val="24"/>
          <w:szCs w:val="24"/>
        </w:rPr>
        <w:t>戶，其中臺北市及新北市合計(104年度4萬910戶、1</w:t>
      </w:r>
      <w:r w:rsidRPr="004E33C4">
        <w:rPr>
          <w:rFonts w:hAnsi="標楷體"/>
          <w:sz w:val="24"/>
          <w:szCs w:val="24"/>
        </w:rPr>
        <w:t>12</w:t>
      </w:r>
      <w:r w:rsidRPr="004E33C4">
        <w:rPr>
          <w:rFonts w:hAnsi="標楷體" w:hint="eastAsia"/>
          <w:sz w:val="24"/>
          <w:szCs w:val="24"/>
        </w:rPr>
        <w:t>年度4萬</w:t>
      </w:r>
      <w:r w:rsidRPr="004E33C4">
        <w:rPr>
          <w:rFonts w:hAnsi="標楷體"/>
          <w:sz w:val="24"/>
          <w:szCs w:val="24"/>
        </w:rPr>
        <w:t>8</w:t>
      </w:r>
      <w:r w:rsidRPr="004E33C4">
        <w:rPr>
          <w:rFonts w:hAnsi="標楷體" w:hint="eastAsia"/>
          <w:sz w:val="24"/>
          <w:szCs w:val="24"/>
        </w:rPr>
        <w:t>,</w:t>
      </w:r>
      <w:r w:rsidRPr="004E33C4">
        <w:rPr>
          <w:rFonts w:hAnsi="標楷體"/>
          <w:sz w:val="24"/>
          <w:szCs w:val="24"/>
        </w:rPr>
        <w:t>355</w:t>
      </w:r>
      <w:r w:rsidRPr="004E33C4">
        <w:rPr>
          <w:rFonts w:hAnsi="標楷體" w:hint="eastAsia"/>
          <w:sz w:val="24"/>
          <w:szCs w:val="24"/>
        </w:rPr>
        <w:t>戶)占比即高約4成。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 w:rsidP="00D11F6A">
    <w:pPr>
      <w:ind w:left="560" w:right="365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 w:rsidP="00D11F6A">
    <w:pPr>
      <w:ind w:left="560" w:right="365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BB2" w:rsidRDefault="006D5BB2">
    <w:pPr>
      <w:ind w:left="560" w:firstLine="560"/>
    </w:pPr>
    <w:r>
      <w:t>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BB28AB"/>
    <w:multiLevelType w:val="hybridMultilevel"/>
    <w:tmpl w:val="A34E5D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7A034C"/>
    <w:multiLevelType w:val="hybridMultilevel"/>
    <w:tmpl w:val="481A9DC4"/>
    <w:lvl w:ilvl="0" w:tplc="20BAE6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7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3E"/>
    <w:rsid w:val="00000B74"/>
    <w:rsid w:val="00000BB8"/>
    <w:rsid w:val="00000BE4"/>
    <w:rsid w:val="00000FD7"/>
    <w:rsid w:val="00001051"/>
    <w:rsid w:val="00001830"/>
    <w:rsid w:val="0000274E"/>
    <w:rsid w:val="00004202"/>
    <w:rsid w:val="0000496A"/>
    <w:rsid w:val="0000510D"/>
    <w:rsid w:val="00006401"/>
    <w:rsid w:val="00006562"/>
    <w:rsid w:val="000067F8"/>
    <w:rsid w:val="00006C64"/>
    <w:rsid w:val="00010A69"/>
    <w:rsid w:val="0001169B"/>
    <w:rsid w:val="00011E2B"/>
    <w:rsid w:val="00012C9F"/>
    <w:rsid w:val="00012F09"/>
    <w:rsid w:val="0001322C"/>
    <w:rsid w:val="00013600"/>
    <w:rsid w:val="00013D41"/>
    <w:rsid w:val="00013E79"/>
    <w:rsid w:val="000148CE"/>
    <w:rsid w:val="00014D3A"/>
    <w:rsid w:val="00014D49"/>
    <w:rsid w:val="00015BBD"/>
    <w:rsid w:val="0001632B"/>
    <w:rsid w:val="000170EF"/>
    <w:rsid w:val="00017FD8"/>
    <w:rsid w:val="000203BA"/>
    <w:rsid w:val="000207A1"/>
    <w:rsid w:val="00022691"/>
    <w:rsid w:val="00022AC8"/>
    <w:rsid w:val="000237BA"/>
    <w:rsid w:val="00025AC9"/>
    <w:rsid w:val="00026308"/>
    <w:rsid w:val="00026ACF"/>
    <w:rsid w:val="00026BDB"/>
    <w:rsid w:val="00027EDC"/>
    <w:rsid w:val="000304D8"/>
    <w:rsid w:val="00030E42"/>
    <w:rsid w:val="00031805"/>
    <w:rsid w:val="0003187F"/>
    <w:rsid w:val="00031F86"/>
    <w:rsid w:val="0003356C"/>
    <w:rsid w:val="000379F4"/>
    <w:rsid w:val="000409BC"/>
    <w:rsid w:val="0004127C"/>
    <w:rsid w:val="00041C3C"/>
    <w:rsid w:val="00041E64"/>
    <w:rsid w:val="00042B70"/>
    <w:rsid w:val="00043157"/>
    <w:rsid w:val="00043799"/>
    <w:rsid w:val="000454FF"/>
    <w:rsid w:val="000465FE"/>
    <w:rsid w:val="000472FD"/>
    <w:rsid w:val="00050C30"/>
    <w:rsid w:val="000524AB"/>
    <w:rsid w:val="00053C95"/>
    <w:rsid w:val="00057C86"/>
    <w:rsid w:val="000602D8"/>
    <w:rsid w:val="00060399"/>
    <w:rsid w:val="00060E39"/>
    <w:rsid w:val="000613A6"/>
    <w:rsid w:val="00062B51"/>
    <w:rsid w:val="00063636"/>
    <w:rsid w:val="000637CE"/>
    <w:rsid w:val="00064D6B"/>
    <w:rsid w:val="00064E38"/>
    <w:rsid w:val="00065E97"/>
    <w:rsid w:val="000700B8"/>
    <w:rsid w:val="000701DE"/>
    <w:rsid w:val="0007046B"/>
    <w:rsid w:val="0007094E"/>
    <w:rsid w:val="00072EF2"/>
    <w:rsid w:val="000738A0"/>
    <w:rsid w:val="00075C48"/>
    <w:rsid w:val="00076DB7"/>
    <w:rsid w:val="00077A06"/>
    <w:rsid w:val="00080AC0"/>
    <w:rsid w:val="00080ACC"/>
    <w:rsid w:val="00080BDB"/>
    <w:rsid w:val="00081239"/>
    <w:rsid w:val="00082061"/>
    <w:rsid w:val="00082849"/>
    <w:rsid w:val="00082CD0"/>
    <w:rsid w:val="00083725"/>
    <w:rsid w:val="0008460F"/>
    <w:rsid w:val="00084FC4"/>
    <w:rsid w:val="00085CD0"/>
    <w:rsid w:val="00085E46"/>
    <w:rsid w:val="00086C76"/>
    <w:rsid w:val="000870FD"/>
    <w:rsid w:val="00087575"/>
    <w:rsid w:val="00087933"/>
    <w:rsid w:val="000927C1"/>
    <w:rsid w:val="00097452"/>
    <w:rsid w:val="0009757B"/>
    <w:rsid w:val="0009797A"/>
    <w:rsid w:val="00097B77"/>
    <w:rsid w:val="00097C8D"/>
    <w:rsid w:val="000A082A"/>
    <w:rsid w:val="000A1E06"/>
    <w:rsid w:val="000A2250"/>
    <w:rsid w:val="000A49CB"/>
    <w:rsid w:val="000A5BF4"/>
    <w:rsid w:val="000A63C4"/>
    <w:rsid w:val="000B0205"/>
    <w:rsid w:val="000B0733"/>
    <w:rsid w:val="000B11A5"/>
    <w:rsid w:val="000B2B95"/>
    <w:rsid w:val="000B4160"/>
    <w:rsid w:val="000B4AA2"/>
    <w:rsid w:val="000B4C97"/>
    <w:rsid w:val="000B57CA"/>
    <w:rsid w:val="000B70FD"/>
    <w:rsid w:val="000C18C0"/>
    <w:rsid w:val="000C1C43"/>
    <w:rsid w:val="000C3E00"/>
    <w:rsid w:val="000C5EFB"/>
    <w:rsid w:val="000C7898"/>
    <w:rsid w:val="000D13DD"/>
    <w:rsid w:val="000D2CD3"/>
    <w:rsid w:val="000D4275"/>
    <w:rsid w:val="000D450C"/>
    <w:rsid w:val="000D583E"/>
    <w:rsid w:val="000D5B44"/>
    <w:rsid w:val="000D5FA5"/>
    <w:rsid w:val="000E025B"/>
    <w:rsid w:val="000E0706"/>
    <w:rsid w:val="000E1084"/>
    <w:rsid w:val="000E1379"/>
    <w:rsid w:val="000E2122"/>
    <w:rsid w:val="000E2A9E"/>
    <w:rsid w:val="000E3887"/>
    <w:rsid w:val="000E5A58"/>
    <w:rsid w:val="000E5EF7"/>
    <w:rsid w:val="000E61FB"/>
    <w:rsid w:val="000E64DA"/>
    <w:rsid w:val="000E6791"/>
    <w:rsid w:val="000E78E5"/>
    <w:rsid w:val="000F0384"/>
    <w:rsid w:val="000F0600"/>
    <w:rsid w:val="000F215D"/>
    <w:rsid w:val="000F3128"/>
    <w:rsid w:val="000F3352"/>
    <w:rsid w:val="000F3C50"/>
    <w:rsid w:val="000F4673"/>
    <w:rsid w:val="000F583B"/>
    <w:rsid w:val="000F66D7"/>
    <w:rsid w:val="000F69EF"/>
    <w:rsid w:val="00100AE4"/>
    <w:rsid w:val="00100B6A"/>
    <w:rsid w:val="001015CD"/>
    <w:rsid w:val="00101781"/>
    <w:rsid w:val="00102D7C"/>
    <w:rsid w:val="0010311C"/>
    <w:rsid w:val="001104E0"/>
    <w:rsid w:val="00112863"/>
    <w:rsid w:val="00112B33"/>
    <w:rsid w:val="00112BA5"/>
    <w:rsid w:val="00113105"/>
    <w:rsid w:val="00113CD9"/>
    <w:rsid w:val="00115200"/>
    <w:rsid w:val="001154D1"/>
    <w:rsid w:val="001164C4"/>
    <w:rsid w:val="00120809"/>
    <w:rsid w:val="0012118E"/>
    <w:rsid w:val="00121C27"/>
    <w:rsid w:val="00123B71"/>
    <w:rsid w:val="00124533"/>
    <w:rsid w:val="00125145"/>
    <w:rsid w:val="001254E9"/>
    <w:rsid w:val="0012653D"/>
    <w:rsid w:val="001266A4"/>
    <w:rsid w:val="00131368"/>
    <w:rsid w:val="00131907"/>
    <w:rsid w:val="00131CC5"/>
    <w:rsid w:val="0013266F"/>
    <w:rsid w:val="00133144"/>
    <w:rsid w:val="001349F7"/>
    <w:rsid w:val="00135170"/>
    <w:rsid w:val="001354D3"/>
    <w:rsid w:val="00136278"/>
    <w:rsid w:val="00136923"/>
    <w:rsid w:val="0013707B"/>
    <w:rsid w:val="0013720C"/>
    <w:rsid w:val="00137415"/>
    <w:rsid w:val="00137C49"/>
    <w:rsid w:val="0014117B"/>
    <w:rsid w:val="0014167C"/>
    <w:rsid w:val="00141C8D"/>
    <w:rsid w:val="00142AC7"/>
    <w:rsid w:val="001435A3"/>
    <w:rsid w:val="00143691"/>
    <w:rsid w:val="00143CEB"/>
    <w:rsid w:val="0014426C"/>
    <w:rsid w:val="00146397"/>
    <w:rsid w:val="00146866"/>
    <w:rsid w:val="00146FF7"/>
    <w:rsid w:val="00147D7C"/>
    <w:rsid w:val="001502C8"/>
    <w:rsid w:val="00150448"/>
    <w:rsid w:val="00150DCB"/>
    <w:rsid w:val="00151B4B"/>
    <w:rsid w:val="0015214E"/>
    <w:rsid w:val="00152F72"/>
    <w:rsid w:val="0015358F"/>
    <w:rsid w:val="00155380"/>
    <w:rsid w:val="00155E4F"/>
    <w:rsid w:val="00156171"/>
    <w:rsid w:val="00160387"/>
    <w:rsid w:val="001603FC"/>
    <w:rsid w:val="0016174C"/>
    <w:rsid w:val="00163789"/>
    <w:rsid w:val="00163DCB"/>
    <w:rsid w:val="001643C1"/>
    <w:rsid w:val="0016522F"/>
    <w:rsid w:val="00165D77"/>
    <w:rsid w:val="00166321"/>
    <w:rsid w:val="001667D8"/>
    <w:rsid w:val="001752DC"/>
    <w:rsid w:val="00175A25"/>
    <w:rsid w:val="00175BA6"/>
    <w:rsid w:val="001760EA"/>
    <w:rsid w:val="0017666D"/>
    <w:rsid w:val="00177591"/>
    <w:rsid w:val="0017799D"/>
    <w:rsid w:val="00177FD0"/>
    <w:rsid w:val="0018374F"/>
    <w:rsid w:val="00184D19"/>
    <w:rsid w:val="00185E69"/>
    <w:rsid w:val="0018662D"/>
    <w:rsid w:val="0018684C"/>
    <w:rsid w:val="00186B3F"/>
    <w:rsid w:val="0019024F"/>
    <w:rsid w:val="001915B2"/>
    <w:rsid w:val="001928CC"/>
    <w:rsid w:val="001950B0"/>
    <w:rsid w:val="00196C18"/>
    <w:rsid w:val="00196D39"/>
    <w:rsid w:val="00197626"/>
    <w:rsid w:val="00197F98"/>
    <w:rsid w:val="001A0DA7"/>
    <w:rsid w:val="001A0F36"/>
    <w:rsid w:val="001A1DAD"/>
    <w:rsid w:val="001A22FB"/>
    <w:rsid w:val="001A25A2"/>
    <w:rsid w:val="001A3292"/>
    <w:rsid w:val="001A3371"/>
    <w:rsid w:val="001A3FCE"/>
    <w:rsid w:val="001A6DF6"/>
    <w:rsid w:val="001B0D1E"/>
    <w:rsid w:val="001B1D8D"/>
    <w:rsid w:val="001B38FA"/>
    <w:rsid w:val="001B3AAB"/>
    <w:rsid w:val="001B3D47"/>
    <w:rsid w:val="001B5913"/>
    <w:rsid w:val="001B5FDD"/>
    <w:rsid w:val="001B618E"/>
    <w:rsid w:val="001B6646"/>
    <w:rsid w:val="001B711D"/>
    <w:rsid w:val="001B72C1"/>
    <w:rsid w:val="001B7A68"/>
    <w:rsid w:val="001B7C67"/>
    <w:rsid w:val="001B7D7B"/>
    <w:rsid w:val="001C05FF"/>
    <w:rsid w:val="001C0CDE"/>
    <w:rsid w:val="001C0E18"/>
    <w:rsid w:val="001C20B1"/>
    <w:rsid w:val="001C228E"/>
    <w:rsid w:val="001C2584"/>
    <w:rsid w:val="001C5FB7"/>
    <w:rsid w:val="001C6247"/>
    <w:rsid w:val="001C63DD"/>
    <w:rsid w:val="001C6832"/>
    <w:rsid w:val="001C7030"/>
    <w:rsid w:val="001C79B0"/>
    <w:rsid w:val="001D0E59"/>
    <w:rsid w:val="001D36AA"/>
    <w:rsid w:val="001D37A7"/>
    <w:rsid w:val="001D3E23"/>
    <w:rsid w:val="001D49BE"/>
    <w:rsid w:val="001D5007"/>
    <w:rsid w:val="001D5187"/>
    <w:rsid w:val="001D5A51"/>
    <w:rsid w:val="001D639C"/>
    <w:rsid w:val="001D6F91"/>
    <w:rsid w:val="001D710A"/>
    <w:rsid w:val="001D7B70"/>
    <w:rsid w:val="001D7E45"/>
    <w:rsid w:val="001D7FBF"/>
    <w:rsid w:val="001E1583"/>
    <w:rsid w:val="001E1631"/>
    <w:rsid w:val="001E28FE"/>
    <w:rsid w:val="001E49D9"/>
    <w:rsid w:val="001E4E2C"/>
    <w:rsid w:val="001E4F49"/>
    <w:rsid w:val="001E58DC"/>
    <w:rsid w:val="001E5C42"/>
    <w:rsid w:val="001E69C1"/>
    <w:rsid w:val="001E6A6B"/>
    <w:rsid w:val="001E7264"/>
    <w:rsid w:val="001E7848"/>
    <w:rsid w:val="001F009A"/>
    <w:rsid w:val="001F0BAC"/>
    <w:rsid w:val="001F19E0"/>
    <w:rsid w:val="001F1A0A"/>
    <w:rsid w:val="001F3B62"/>
    <w:rsid w:val="001F44A4"/>
    <w:rsid w:val="001F4CF5"/>
    <w:rsid w:val="001F69C5"/>
    <w:rsid w:val="001F6BF7"/>
    <w:rsid w:val="001F71BE"/>
    <w:rsid w:val="001F7E3B"/>
    <w:rsid w:val="002015AC"/>
    <w:rsid w:val="00202E19"/>
    <w:rsid w:val="002033A2"/>
    <w:rsid w:val="002036D7"/>
    <w:rsid w:val="002037E0"/>
    <w:rsid w:val="00203F51"/>
    <w:rsid w:val="00203FB6"/>
    <w:rsid w:val="00204236"/>
    <w:rsid w:val="002052D6"/>
    <w:rsid w:val="0020635F"/>
    <w:rsid w:val="00206899"/>
    <w:rsid w:val="00207F29"/>
    <w:rsid w:val="00210151"/>
    <w:rsid w:val="00211B42"/>
    <w:rsid w:val="00214531"/>
    <w:rsid w:val="002146A1"/>
    <w:rsid w:val="00215F59"/>
    <w:rsid w:val="0021652A"/>
    <w:rsid w:val="00216620"/>
    <w:rsid w:val="0021678B"/>
    <w:rsid w:val="00217036"/>
    <w:rsid w:val="002176E3"/>
    <w:rsid w:val="00221871"/>
    <w:rsid w:val="002219FA"/>
    <w:rsid w:val="0022290E"/>
    <w:rsid w:val="002235C2"/>
    <w:rsid w:val="00224DD3"/>
    <w:rsid w:val="00225A2B"/>
    <w:rsid w:val="00226CA9"/>
    <w:rsid w:val="00227585"/>
    <w:rsid w:val="00227657"/>
    <w:rsid w:val="00230403"/>
    <w:rsid w:val="00230805"/>
    <w:rsid w:val="00230E79"/>
    <w:rsid w:val="0023452E"/>
    <w:rsid w:val="00234801"/>
    <w:rsid w:val="002348D2"/>
    <w:rsid w:val="00234DDA"/>
    <w:rsid w:val="00234E1B"/>
    <w:rsid w:val="00234FD8"/>
    <w:rsid w:val="00236063"/>
    <w:rsid w:val="002366F3"/>
    <w:rsid w:val="002368F4"/>
    <w:rsid w:val="00237681"/>
    <w:rsid w:val="00241A6C"/>
    <w:rsid w:val="00241B5C"/>
    <w:rsid w:val="00241BF5"/>
    <w:rsid w:val="00241CA7"/>
    <w:rsid w:val="002421BE"/>
    <w:rsid w:val="002425D8"/>
    <w:rsid w:val="00242D6C"/>
    <w:rsid w:val="00245E73"/>
    <w:rsid w:val="0024689C"/>
    <w:rsid w:val="00246D59"/>
    <w:rsid w:val="00247E88"/>
    <w:rsid w:val="00250F00"/>
    <w:rsid w:val="00251405"/>
    <w:rsid w:val="00251C30"/>
    <w:rsid w:val="002525DC"/>
    <w:rsid w:val="00252ABA"/>
    <w:rsid w:val="002531F4"/>
    <w:rsid w:val="00253365"/>
    <w:rsid w:val="00253A6E"/>
    <w:rsid w:val="00253CD5"/>
    <w:rsid w:val="00255078"/>
    <w:rsid w:val="002556A3"/>
    <w:rsid w:val="0025653C"/>
    <w:rsid w:val="00256759"/>
    <w:rsid w:val="00256C28"/>
    <w:rsid w:val="002606F7"/>
    <w:rsid w:val="00261899"/>
    <w:rsid w:val="00262E90"/>
    <w:rsid w:val="00263E3A"/>
    <w:rsid w:val="002641DD"/>
    <w:rsid w:val="00264454"/>
    <w:rsid w:val="00265B9B"/>
    <w:rsid w:val="00265BBD"/>
    <w:rsid w:val="0026671A"/>
    <w:rsid w:val="0026748C"/>
    <w:rsid w:val="00267543"/>
    <w:rsid w:val="002700E0"/>
    <w:rsid w:val="002703BE"/>
    <w:rsid w:val="00272782"/>
    <w:rsid w:val="00272A50"/>
    <w:rsid w:val="00272B37"/>
    <w:rsid w:val="00276044"/>
    <w:rsid w:val="00277388"/>
    <w:rsid w:val="002777E4"/>
    <w:rsid w:val="002802CB"/>
    <w:rsid w:val="0028216A"/>
    <w:rsid w:val="00282E49"/>
    <w:rsid w:val="0028304D"/>
    <w:rsid w:val="0028392E"/>
    <w:rsid w:val="00283CDD"/>
    <w:rsid w:val="00286594"/>
    <w:rsid w:val="00287FCD"/>
    <w:rsid w:val="002907F7"/>
    <w:rsid w:val="00292C45"/>
    <w:rsid w:val="00293C73"/>
    <w:rsid w:val="00294181"/>
    <w:rsid w:val="00294868"/>
    <w:rsid w:val="00294CC8"/>
    <w:rsid w:val="00297567"/>
    <w:rsid w:val="002976F4"/>
    <w:rsid w:val="00297B25"/>
    <w:rsid w:val="002A003A"/>
    <w:rsid w:val="002A0C41"/>
    <w:rsid w:val="002A0D81"/>
    <w:rsid w:val="002A1055"/>
    <w:rsid w:val="002A1559"/>
    <w:rsid w:val="002A184B"/>
    <w:rsid w:val="002A2ADD"/>
    <w:rsid w:val="002A2FD9"/>
    <w:rsid w:val="002A4445"/>
    <w:rsid w:val="002A4D16"/>
    <w:rsid w:val="002A55C2"/>
    <w:rsid w:val="002A592F"/>
    <w:rsid w:val="002A5EA2"/>
    <w:rsid w:val="002A6DA6"/>
    <w:rsid w:val="002B03F3"/>
    <w:rsid w:val="002B231E"/>
    <w:rsid w:val="002B317A"/>
    <w:rsid w:val="002B36A0"/>
    <w:rsid w:val="002B3AEC"/>
    <w:rsid w:val="002B41C1"/>
    <w:rsid w:val="002B4E7E"/>
    <w:rsid w:val="002B5BE0"/>
    <w:rsid w:val="002B6564"/>
    <w:rsid w:val="002B66FD"/>
    <w:rsid w:val="002B67BA"/>
    <w:rsid w:val="002C0640"/>
    <w:rsid w:val="002C08E4"/>
    <w:rsid w:val="002C11AC"/>
    <w:rsid w:val="002C195F"/>
    <w:rsid w:val="002C3A02"/>
    <w:rsid w:val="002C4EB8"/>
    <w:rsid w:val="002C5702"/>
    <w:rsid w:val="002C5A2C"/>
    <w:rsid w:val="002C5D99"/>
    <w:rsid w:val="002C62B4"/>
    <w:rsid w:val="002C79B9"/>
    <w:rsid w:val="002D4466"/>
    <w:rsid w:val="002D50C6"/>
    <w:rsid w:val="002D69CC"/>
    <w:rsid w:val="002E0195"/>
    <w:rsid w:val="002E12AF"/>
    <w:rsid w:val="002E13E0"/>
    <w:rsid w:val="002E15C4"/>
    <w:rsid w:val="002E3B29"/>
    <w:rsid w:val="002E3B6F"/>
    <w:rsid w:val="002E4C2A"/>
    <w:rsid w:val="002E5351"/>
    <w:rsid w:val="002E5B44"/>
    <w:rsid w:val="002E6523"/>
    <w:rsid w:val="002E75C4"/>
    <w:rsid w:val="002F1D14"/>
    <w:rsid w:val="002F2D21"/>
    <w:rsid w:val="002F2DA6"/>
    <w:rsid w:val="002F462E"/>
    <w:rsid w:val="002F61BD"/>
    <w:rsid w:val="0030003B"/>
    <w:rsid w:val="003003C9"/>
    <w:rsid w:val="00302BED"/>
    <w:rsid w:val="0030333A"/>
    <w:rsid w:val="00304535"/>
    <w:rsid w:val="00304E7E"/>
    <w:rsid w:val="003053CE"/>
    <w:rsid w:val="0030607D"/>
    <w:rsid w:val="003062AF"/>
    <w:rsid w:val="00307432"/>
    <w:rsid w:val="00307AC2"/>
    <w:rsid w:val="0031084B"/>
    <w:rsid w:val="00310E20"/>
    <w:rsid w:val="00311655"/>
    <w:rsid w:val="00311A2E"/>
    <w:rsid w:val="003133E4"/>
    <w:rsid w:val="00314097"/>
    <w:rsid w:val="003141AD"/>
    <w:rsid w:val="0031535F"/>
    <w:rsid w:val="0031556C"/>
    <w:rsid w:val="00315FB8"/>
    <w:rsid w:val="0031659A"/>
    <w:rsid w:val="00317571"/>
    <w:rsid w:val="003177F6"/>
    <w:rsid w:val="00320C47"/>
    <w:rsid w:val="00322234"/>
    <w:rsid w:val="0032234D"/>
    <w:rsid w:val="0032339A"/>
    <w:rsid w:val="00323EA6"/>
    <w:rsid w:val="003249BF"/>
    <w:rsid w:val="00324AB6"/>
    <w:rsid w:val="0032621C"/>
    <w:rsid w:val="0032723A"/>
    <w:rsid w:val="003275E3"/>
    <w:rsid w:val="0033124D"/>
    <w:rsid w:val="0033194C"/>
    <w:rsid w:val="0033261A"/>
    <w:rsid w:val="003328CA"/>
    <w:rsid w:val="00334083"/>
    <w:rsid w:val="00334DF0"/>
    <w:rsid w:val="0033526A"/>
    <w:rsid w:val="0033613A"/>
    <w:rsid w:val="0033671B"/>
    <w:rsid w:val="00336F67"/>
    <w:rsid w:val="003371DA"/>
    <w:rsid w:val="00337A2E"/>
    <w:rsid w:val="003428E6"/>
    <w:rsid w:val="00343603"/>
    <w:rsid w:val="003454F8"/>
    <w:rsid w:val="003466A9"/>
    <w:rsid w:val="00346908"/>
    <w:rsid w:val="00347023"/>
    <w:rsid w:val="003513A6"/>
    <w:rsid w:val="00351EB6"/>
    <w:rsid w:val="00352849"/>
    <w:rsid w:val="00353B96"/>
    <w:rsid w:val="00354DA3"/>
    <w:rsid w:val="00354EB6"/>
    <w:rsid w:val="00356754"/>
    <w:rsid w:val="003608CD"/>
    <w:rsid w:val="00360AC1"/>
    <w:rsid w:val="00361AD7"/>
    <w:rsid w:val="003621F7"/>
    <w:rsid w:val="00362238"/>
    <w:rsid w:val="003623F0"/>
    <w:rsid w:val="003631E2"/>
    <w:rsid w:val="00363AEE"/>
    <w:rsid w:val="00364EF9"/>
    <w:rsid w:val="0036584B"/>
    <w:rsid w:val="0036621A"/>
    <w:rsid w:val="0036625C"/>
    <w:rsid w:val="00366B7E"/>
    <w:rsid w:val="00367144"/>
    <w:rsid w:val="00371014"/>
    <w:rsid w:val="003715AC"/>
    <w:rsid w:val="00371E7D"/>
    <w:rsid w:val="00372A36"/>
    <w:rsid w:val="00373B38"/>
    <w:rsid w:val="00374067"/>
    <w:rsid w:val="0037444C"/>
    <w:rsid w:val="00375F62"/>
    <w:rsid w:val="00376657"/>
    <w:rsid w:val="00377762"/>
    <w:rsid w:val="003778DC"/>
    <w:rsid w:val="0038064F"/>
    <w:rsid w:val="00381129"/>
    <w:rsid w:val="00381DED"/>
    <w:rsid w:val="003830BE"/>
    <w:rsid w:val="00383C43"/>
    <w:rsid w:val="00384030"/>
    <w:rsid w:val="0038549B"/>
    <w:rsid w:val="00387094"/>
    <w:rsid w:val="00387556"/>
    <w:rsid w:val="00387CA5"/>
    <w:rsid w:val="003914E9"/>
    <w:rsid w:val="003924A3"/>
    <w:rsid w:val="00393021"/>
    <w:rsid w:val="003935B0"/>
    <w:rsid w:val="00393B53"/>
    <w:rsid w:val="0039528F"/>
    <w:rsid w:val="0039553F"/>
    <w:rsid w:val="00395DDF"/>
    <w:rsid w:val="0039633C"/>
    <w:rsid w:val="00396715"/>
    <w:rsid w:val="003A0555"/>
    <w:rsid w:val="003A11A7"/>
    <w:rsid w:val="003A20B1"/>
    <w:rsid w:val="003A2F8C"/>
    <w:rsid w:val="003A3716"/>
    <w:rsid w:val="003A3718"/>
    <w:rsid w:val="003A3874"/>
    <w:rsid w:val="003A3A60"/>
    <w:rsid w:val="003A478B"/>
    <w:rsid w:val="003A4883"/>
    <w:rsid w:val="003A4A76"/>
    <w:rsid w:val="003A4DF0"/>
    <w:rsid w:val="003A4E02"/>
    <w:rsid w:val="003A55F5"/>
    <w:rsid w:val="003A56BF"/>
    <w:rsid w:val="003A6742"/>
    <w:rsid w:val="003A7E42"/>
    <w:rsid w:val="003B0C76"/>
    <w:rsid w:val="003B1D81"/>
    <w:rsid w:val="003B2128"/>
    <w:rsid w:val="003B2450"/>
    <w:rsid w:val="003B283F"/>
    <w:rsid w:val="003B3000"/>
    <w:rsid w:val="003B3FC4"/>
    <w:rsid w:val="003B444C"/>
    <w:rsid w:val="003B48E8"/>
    <w:rsid w:val="003B62DC"/>
    <w:rsid w:val="003B7C75"/>
    <w:rsid w:val="003C01C2"/>
    <w:rsid w:val="003C0EBD"/>
    <w:rsid w:val="003C129C"/>
    <w:rsid w:val="003C1674"/>
    <w:rsid w:val="003C3607"/>
    <w:rsid w:val="003C662D"/>
    <w:rsid w:val="003C6962"/>
    <w:rsid w:val="003C6EE0"/>
    <w:rsid w:val="003C7060"/>
    <w:rsid w:val="003C71C2"/>
    <w:rsid w:val="003C7C02"/>
    <w:rsid w:val="003C7DA2"/>
    <w:rsid w:val="003D0AA5"/>
    <w:rsid w:val="003D11A6"/>
    <w:rsid w:val="003D22D8"/>
    <w:rsid w:val="003D250D"/>
    <w:rsid w:val="003D2607"/>
    <w:rsid w:val="003D54E6"/>
    <w:rsid w:val="003D7E0A"/>
    <w:rsid w:val="003E0D0C"/>
    <w:rsid w:val="003E18CE"/>
    <w:rsid w:val="003E24B2"/>
    <w:rsid w:val="003E29EF"/>
    <w:rsid w:val="003E553D"/>
    <w:rsid w:val="003E58B8"/>
    <w:rsid w:val="003E5DF5"/>
    <w:rsid w:val="003E70FF"/>
    <w:rsid w:val="003E7D3C"/>
    <w:rsid w:val="003F1538"/>
    <w:rsid w:val="003F16E5"/>
    <w:rsid w:val="003F1ACF"/>
    <w:rsid w:val="003F25B8"/>
    <w:rsid w:val="003F3168"/>
    <w:rsid w:val="003F3FC5"/>
    <w:rsid w:val="003F48B5"/>
    <w:rsid w:val="003F5A55"/>
    <w:rsid w:val="003F6062"/>
    <w:rsid w:val="003F660D"/>
    <w:rsid w:val="003F67D4"/>
    <w:rsid w:val="003F6ED8"/>
    <w:rsid w:val="003F790F"/>
    <w:rsid w:val="00400DD9"/>
    <w:rsid w:val="00400E14"/>
    <w:rsid w:val="00403619"/>
    <w:rsid w:val="00405C49"/>
    <w:rsid w:val="00406766"/>
    <w:rsid w:val="00406AFB"/>
    <w:rsid w:val="004074E4"/>
    <w:rsid w:val="00410871"/>
    <w:rsid w:val="0041133B"/>
    <w:rsid w:val="0041157C"/>
    <w:rsid w:val="00411676"/>
    <w:rsid w:val="00412316"/>
    <w:rsid w:val="00412DF7"/>
    <w:rsid w:val="00413E9E"/>
    <w:rsid w:val="00414F5F"/>
    <w:rsid w:val="004153D1"/>
    <w:rsid w:val="004171F5"/>
    <w:rsid w:val="00420E9C"/>
    <w:rsid w:val="00424141"/>
    <w:rsid w:val="00424742"/>
    <w:rsid w:val="00425567"/>
    <w:rsid w:val="00425EF5"/>
    <w:rsid w:val="00426B50"/>
    <w:rsid w:val="00426DF1"/>
    <w:rsid w:val="004272A1"/>
    <w:rsid w:val="0042740F"/>
    <w:rsid w:val="00430DC1"/>
    <w:rsid w:val="00431180"/>
    <w:rsid w:val="004321A3"/>
    <w:rsid w:val="00432E30"/>
    <w:rsid w:val="00433DDF"/>
    <w:rsid w:val="0043582B"/>
    <w:rsid w:val="0043641B"/>
    <w:rsid w:val="004365E9"/>
    <w:rsid w:val="0043754A"/>
    <w:rsid w:val="00437C4B"/>
    <w:rsid w:val="004401FA"/>
    <w:rsid w:val="00440320"/>
    <w:rsid w:val="00441400"/>
    <w:rsid w:val="0044311F"/>
    <w:rsid w:val="00443167"/>
    <w:rsid w:val="00443702"/>
    <w:rsid w:val="00444367"/>
    <w:rsid w:val="00444C49"/>
    <w:rsid w:val="00444F96"/>
    <w:rsid w:val="00444F99"/>
    <w:rsid w:val="004454FB"/>
    <w:rsid w:val="00450C6F"/>
    <w:rsid w:val="0045124B"/>
    <w:rsid w:val="004515CD"/>
    <w:rsid w:val="004518A6"/>
    <w:rsid w:val="00452D87"/>
    <w:rsid w:val="0045316F"/>
    <w:rsid w:val="00453192"/>
    <w:rsid w:val="00453940"/>
    <w:rsid w:val="00453A51"/>
    <w:rsid w:val="00457A5F"/>
    <w:rsid w:val="00457C35"/>
    <w:rsid w:val="00460053"/>
    <w:rsid w:val="0046059C"/>
    <w:rsid w:val="0046066D"/>
    <w:rsid w:val="00460AA4"/>
    <w:rsid w:val="00460CE4"/>
    <w:rsid w:val="00461D26"/>
    <w:rsid w:val="004639BC"/>
    <w:rsid w:val="0046654C"/>
    <w:rsid w:val="00466D97"/>
    <w:rsid w:val="00470FAD"/>
    <w:rsid w:val="004710FD"/>
    <w:rsid w:val="00471293"/>
    <w:rsid w:val="004712CC"/>
    <w:rsid w:val="00471DE0"/>
    <w:rsid w:val="00472646"/>
    <w:rsid w:val="00476178"/>
    <w:rsid w:val="0048040A"/>
    <w:rsid w:val="00480D99"/>
    <w:rsid w:val="00481960"/>
    <w:rsid w:val="00481B22"/>
    <w:rsid w:val="004822B2"/>
    <w:rsid w:val="00483D17"/>
    <w:rsid w:val="00484CDA"/>
    <w:rsid w:val="0048568A"/>
    <w:rsid w:val="00485E32"/>
    <w:rsid w:val="004864FD"/>
    <w:rsid w:val="00486EDE"/>
    <w:rsid w:val="00487AC1"/>
    <w:rsid w:val="00487C99"/>
    <w:rsid w:val="0049135A"/>
    <w:rsid w:val="00493869"/>
    <w:rsid w:val="00493C6C"/>
    <w:rsid w:val="0049443D"/>
    <w:rsid w:val="00495191"/>
    <w:rsid w:val="00496299"/>
    <w:rsid w:val="0049738B"/>
    <w:rsid w:val="004A4617"/>
    <w:rsid w:val="004A5EE7"/>
    <w:rsid w:val="004A7F30"/>
    <w:rsid w:val="004B011A"/>
    <w:rsid w:val="004B22BC"/>
    <w:rsid w:val="004B2D37"/>
    <w:rsid w:val="004B421A"/>
    <w:rsid w:val="004B440A"/>
    <w:rsid w:val="004B4EE1"/>
    <w:rsid w:val="004B5A1C"/>
    <w:rsid w:val="004B6880"/>
    <w:rsid w:val="004C02B0"/>
    <w:rsid w:val="004C07B6"/>
    <w:rsid w:val="004C29FB"/>
    <w:rsid w:val="004C2CBF"/>
    <w:rsid w:val="004C2FC4"/>
    <w:rsid w:val="004C3E46"/>
    <w:rsid w:val="004C4113"/>
    <w:rsid w:val="004C521E"/>
    <w:rsid w:val="004C66F3"/>
    <w:rsid w:val="004C74AA"/>
    <w:rsid w:val="004C77BA"/>
    <w:rsid w:val="004D08BF"/>
    <w:rsid w:val="004D0E92"/>
    <w:rsid w:val="004D2261"/>
    <w:rsid w:val="004D2796"/>
    <w:rsid w:val="004D2A5E"/>
    <w:rsid w:val="004D2F8F"/>
    <w:rsid w:val="004D3B90"/>
    <w:rsid w:val="004D4044"/>
    <w:rsid w:val="004D5496"/>
    <w:rsid w:val="004D61BB"/>
    <w:rsid w:val="004D6BAF"/>
    <w:rsid w:val="004D6F88"/>
    <w:rsid w:val="004E1520"/>
    <w:rsid w:val="004E1E3F"/>
    <w:rsid w:val="004E2965"/>
    <w:rsid w:val="004E2A65"/>
    <w:rsid w:val="004E3023"/>
    <w:rsid w:val="004E33C4"/>
    <w:rsid w:val="004E3983"/>
    <w:rsid w:val="004E5731"/>
    <w:rsid w:val="004E5A94"/>
    <w:rsid w:val="004E60BE"/>
    <w:rsid w:val="004E68DB"/>
    <w:rsid w:val="004F0838"/>
    <w:rsid w:val="004F0852"/>
    <w:rsid w:val="004F0D91"/>
    <w:rsid w:val="004F0F5D"/>
    <w:rsid w:val="004F0F7C"/>
    <w:rsid w:val="004F2154"/>
    <w:rsid w:val="004F271D"/>
    <w:rsid w:val="004F2EA1"/>
    <w:rsid w:val="004F3FC4"/>
    <w:rsid w:val="004F4D6D"/>
    <w:rsid w:val="004F50F7"/>
    <w:rsid w:val="004F55F8"/>
    <w:rsid w:val="004F5AD7"/>
    <w:rsid w:val="004F6D32"/>
    <w:rsid w:val="004F7A76"/>
    <w:rsid w:val="004F7DCE"/>
    <w:rsid w:val="00502918"/>
    <w:rsid w:val="00502BDE"/>
    <w:rsid w:val="0050355D"/>
    <w:rsid w:val="00504273"/>
    <w:rsid w:val="00504BCE"/>
    <w:rsid w:val="00504C4C"/>
    <w:rsid w:val="00504D49"/>
    <w:rsid w:val="005053DA"/>
    <w:rsid w:val="0050567D"/>
    <w:rsid w:val="00506A39"/>
    <w:rsid w:val="005074F5"/>
    <w:rsid w:val="00507BCE"/>
    <w:rsid w:val="00507E5E"/>
    <w:rsid w:val="0051072A"/>
    <w:rsid w:val="00511216"/>
    <w:rsid w:val="0051171D"/>
    <w:rsid w:val="00511BBD"/>
    <w:rsid w:val="00512A97"/>
    <w:rsid w:val="005130B8"/>
    <w:rsid w:val="0051473F"/>
    <w:rsid w:val="005159A1"/>
    <w:rsid w:val="00520035"/>
    <w:rsid w:val="0052134E"/>
    <w:rsid w:val="00521864"/>
    <w:rsid w:val="00523A93"/>
    <w:rsid w:val="00525013"/>
    <w:rsid w:val="00526E85"/>
    <w:rsid w:val="00526FFE"/>
    <w:rsid w:val="00527354"/>
    <w:rsid w:val="00527A7C"/>
    <w:rsid w:val="0053057F"/>
    <w:rsid w:val="0053060A"/>
    <w:rsid w:val="00530A9A"/>
    <w:rsid w:val="005315A9"/>
    <w:rsid w:val="00531C5D"/>
    <w:rsid w:val="0053277B"/>
    <w:rsid w:val="005328EA"/>
    <w:rsid w:val="0053341C"/>
    <w:rsid w:val="00534969"/>
    <w:rsid w:val="0053565D"/>
    <w:rsid w:val="005358FE"/>
    <w:rsid w:val="00536334"/>
    <w:rsid w:val="00540E83"/>
    <w:rsid w:val="005411BA"/>
    <w:rsid w:val="00541F99"/>
    <w:rsid w:val="00542074"/>
    <w:rsid w:val="00542B97"/>
    <w:rsid w:val="00543BE8"/>
    <w:rsid w:val="00543E26"/>
    <w:rsid w:val="0054419B"/>
    <w:rsid w:val="005442A4"/>
    <w:rsid w:val="00544FB5"/>
    <w:rsid w:val="00546AFC"/>
    <w:rsid w:val="005504DB"/>
    <w:rsid w:val="005506A4"/>
    <w:rsid w:val="0055075E"/>
    <w:rsid w:val="0055137C"/>
    <w:rsid w:val="00551667"/>
    <w:rsid w:val="00551B24"/>
    <w:rsid w:val="00551B6B"/>
    <w:rsid w:val="005527D0"/>
    <w:rsid w:val="0055280B"/>
    <w:rsid w:val="00553070"/>
    <w:rsid w:val="00553C7E"/>
    <w:rsid w:val="00553D9F"/>
    <w:rsid w:val="00555BCA"/>
    <w:rsid w:val="005565FE"/>
    <w:rsid w:val="00556BB2"/>
    <w:rsid w:val="0055735A"/>
    <w:rsid w:val="0055764E"/>
    <w:rsid w:val="00560F35"/>
    <w:rsid w:val="0056133A"/>
    <w:rsid w:val="00561919"/>
    <w:rsid w:val="00561D6E"/>
    <w:rsid w:val="005634B0"/>
    <w:rsid w:val="005643A9"/>
    <w:rsid w:val="00565969"/>
    <w:rsid w:val="0056652B"/>
    <w:rsid w:val="0057010D"/>
    <w:rsid w:val="00570433"/>
    <w:rsid w:val="0057055B"/>
    <w:rsid w:val="00570BB1"/>
    <w:rsid w:val="00571A4C"/>
    <w:rsid w:val="0057319B"/>
    <w:rsid w:val="00573420"/>
    <w:rsid w:val="00573F9A"/>
    <w:rsid w:val="005757C3"/>
    <w:rsid w:val="0057654B"/>
    <w:rsid w:val="0057682D"/>
    <w:rsid w:val="0058056C"/>
    <w:rsid w:val="00580707"/>
    <w:rsid w:val="00580B37"/>
    <w:rsid w:val="00581AF2"/>
    <w:rsid w:val="00581BBA"/>
    <w:rsid w:val="0058223E"/>
    <w:rsid w:val="005823C5"/>
    <w:rsid w:val="005827D0"/>
    <w:rsid w:val="00583350"/>
    <w:rsid w:val="0058341F"/>
    <w:rsid w:val="0058364F"/>
    <w:rsid w:val="005839B9"/>
    <w:rsid w:val="0058508A"/>
    <w:rsid w:val="00585FCC"/>
    <w:rsid w:val="00586C4E"/>
    <w:rsid w:val="005909E4"/>
    <w:rsid w:val="00590D85"/>
    <w:rsid w:val="005918C4"/>
    <w:rsid w:val="00591977"/>
    <w:rsid w:val="00591C80"/>
    <w:rsid w:val="005968FD"/>
    <w:rsid w:val="00596B18"/>
    <w:rsid w:val="0059788A"/>
    <w:rsid w:val="00597C37"/>
    <w:rsid w:val="005A1750"/>
    <w:rsid w:val="005A3B27"/>
    <w:rsid w:val="005A3E37"/>
    <w:rsid w:val="005A3EE0"/>
    <w:rsid w:val="005A5733"/>
    <w:rsid w:val="005A5751"/>
    <w:rsid w:val="005A654D"/>
    <w:rsid w:val="005A7BC8"/>
    <w:rsid w:val="005B0233"/>
    <w:rsid w:val="005B1096"/>
    <w:rsid w:val="005B10A7"/>
    <w:rsid w:val="005B27A8"/>
    <w:rsid w:val="005B5CF7"/>
    <w:rsid w:val="005B65B9"/>
    <w:rsid w:val="005B6689"/>
    <w:rsid w:val="005B6EFF"/>
    <w:rsid w:val="005B7FBF"/>
    <w:rsid w:val="005C06DB"/>
    <w:rsid w:val="005C17E7"/>
    <w:rsid w:val="005C4A6F"/>
    <w:rsid w:val="005C551F"/>
    <w:rsid w:val="005C5F7A"/>
    <w:rsid w:val="005D0915"/>
    <w:rsid w:val="005D2F6F"/>
    <w:rsid w:val="005D3CD8"/>
    <w:rsid w:val="005D3D9B"/>
    <w:rsid w:val="005D418F"/>
    <w:rsid w:val="005D4A2E"/>
    <w:rsid w:val="005D5168"/>
    <w:rsid w:val="005D6C08"/>
    <w:rsid w:val="005D6CDF"/>
    <w:rsid w:val="005E1E7F"/>
    <w:rsid w:val="005E1F8B"/>
    <w:rsid w:val="005E2F07"/>
    <w:rsid w:val="005E38E0"/>
    <w:rsid w:val="005E469E"/>
    <w:rsid w:val="005E5ED6"/>
    <w:rsid w:val="005E6C4D"/>
    <w:rsid w:val="005E6F14"/>
    <w:rsid w:val="005F0435"/>
    <w:rsid w:val="005F079F"/>
    <w:rsid w:val="005F0F5E"/>
    <w:rsid w:val="005F1238"/>
    <w:rsid w:val="005F16B1"/>
    <w:rsid w:val="005F17A4"/>
    <w:rsid w:val="005F3635"/>
    <w:rsid w:val="005F42D6"/>
    <w:rsid w:val="005F667A"/>
    <w:rsid w:val="005F6817"/>
    <w:rsid w:val="005F6B84"/>
    <w:rsid w:val="00600155"/>
    <w:rsid w:val="00601670"/>
    <w:rsid w:val="0060176F"/>
    <w:rsid w:val="006023BC"/>
    <w:rsid w:val="00603922"/>
    <w:rsid w:val="00603A94"/>
    <w:rsid w:val="00604B43"/>
    <w:rsid w:val="0060529D"/>
    <w:rsid w:val="00605F15"/>
    <w:rsid w:val="006071DC"/>
    <w:rsid w:val="006101D0"/>
    <w:rsid w:val="0061044F"/>
    <w:rsid w:val="00611F3B"/>
    <w:rsid w:val="00612363"/>
    <w:rsid w:val="00612CB0"/>
    <w:rsid w:val="006148E3"/>
    <w:rsid w:val="006149E6"/>
    <w:rsid w:val="00615A65"/>
    <w:rsid w:val="00616BA6"/>
    <w:rsid w:val="00620C3D"/>
    <w:rsid w:val="00620D3A"/>
    <w:rsid w:val="00622B85"/>
    <w:rsid w:val="00623229"/>
    <w:rsid w:val="00623523"/>
    <w:rsid w:val="0062590D"/>
    <w:rsid w:val="00626977"/>
    <w:rsid w:val="00626B8D"/>
    <w:rsid w:val="0062737C"/>
    <w:rsid w:val="00630222"/>
    <w:rsid w:val="0063049D"/>
    <w:rsid w:val="00630744"/>
    <w:rsid w:val="006318E6"/>
    <w:rsid w:val="00634FF2"/>
    <w:rsid w:val="0063525F"/>
    <w:rsid w:val="00635336"/>
    <w:rsid w:val="00635337"/>
    <w:rsid w:val="00637AA0"/>
    <w:rsid w:val="00637C46"/>
    <w:rsid w:val="00637C7E"/>
    <w:rsid w:val="0064004D"/>
    <w:rsid w:val="00642868"/>
    <w:rsid w:val="006431D3"/>
    <w:rsid w:val="00643A16"/>
    <w:rsid w:val="00643B37"/>
    <w:rsid w:val="00644246"/>
    <w:rsid w:val="00644EDA"/>
    <w:rsid w:val="006452C6"/>
    <w:rsid w:val="006509AD"/>
    <w:rsid w:val="00653EB5"/>
    <w:rsid w:val="00654811"/>
    <w:rsid w:val="006548EC"/>
    <w:rsid w:val="00656261"/>
    <w:rsid w:val="006571FF"/>
    <w:rsid w:val="00657D63"/>
    <w:rsid w:val="00660363"/>
    <w:rsid w:val="006606EC"/>
    <w:rsid w:val="00661000"/>
    <w:rsid w:val="00661E7B"/>
    <w:rsid w:val="00661FAE"/>
    <w:rsid w:val="00662E5A"/>
    <w:rsid w:val="00663C82"/>
    <w:rsid w:val="0066455E"/>
    <w:rsid w:val="00664687"/>
    <w:rsid w:val="006646B0"/>
    <w:rsid w:val="00664A80"/>
    <w:rsid w:val="006659C6"/>
    <w:rsid w:val="00667C57"/>
    <w:rsid w:val="00670556"/>
    <w:rsid w:val="00671207"/>
    <w:rsid w:val="00673AE3"/>
    <w:rsid w:val="0067495B"/>
    <w:rsid w:val="00674A22"/>
    <w:rsid w:val="00674F54"/>
    <w:rsid w:val="00675326"/>
    <w:rsid w:val="00676683"/>
    <w:rsid w:val="0067751D"/>
    <w:rsid w:val="00677FEE"/>
    <w:rsid w:val="00680178"/>
    <w:rsid w:val="006805BE"/>
    <w:rsid w:val="00680E6B"/>
    <w:rsid w:val="00680F6E"/>
    <w:rsid w:val="00681E60"/>
    <w:rsid w:val="00682475"/>
    <w:rsid w:val="00683F56"/>
    <w:rsid w:val="00684DAC"/>
    <w:rsid w:val="00687260"/>
    <w:rsid w:val="00687817"/>
    <w:rsid w:val="006879C3"/>
    <w:rsid w:val="00690233"/>
    <w:rsid w:val="00690C35"/>
    <w:rsid w:val="00691361"/>
    <w:rsid w:val="006916FC"/>
    <w:rsid w:val="00691BE6"/>
    <w:rsid w:val="00691EAF"/>
    <w:rsid w:val="00692722"/>
    <w:rsid w:val="00692DEA"/>
    <w:rsid w:val="0069313C"/>
    <w:rsid w:val="006933C5"/>
    <w:rsid w:val="00693CB1"/>
    <w:rsid w:val="0069529A"/>
    <w:rsid w:val="0069533C"/>
    <w:rsid w:val="00695995"/>
    <w:rsid w:val="006973AD"/>
    <w:rsid w:val="006973D4"/>
    <w:rsid w:val="00697E8F"/>
    <w:rsid w:val="006A06BF"/>
    <w:rsid w:val="006A39B7"/>
    <w:rsid w:val="006A449F"/>
    <w:rsid w:val="006A4CBB"/>
    <w:rsid w:val="006A6244"/>
    <w:rsid w:val="006A6A15"/>
    <w:rsid w:val="006A713F"/>
    <w:rsid w:val="006B010A"/>
    <w:rsid w:val="006B25EE"/>
    <w:rsid w:val="006B28D6"/>
    <w:rsid w:val="006B2CA4"/>
    <w:rsid w:val="006B2FCE"/>
    <w:rsid w:val="006B3036"/>
    <w:rsid w:val="006B3A13"/>
    <w:rsid w:val="006B3D21"/>
    <w:rsid w:val="006B4DA0"/>
    <w:rsid w:val="006B50B0"/>
    <w:rsid w:val="006B516C"/>
    <w:rsid w:val="006B6C9F"/>
    <w:rsid w:val="006B7EBF"/>
    <w:rsid w:val="006C0CD3"/>
    <w:rsid w:val="006C2051"/>
    <w:rsid w:val="006C232D"/>
    <w:rsid w:val="006C2816"/>
    <w:rsid w:val="006C46A3"/>
    <w:rsid w:val="006C64E0"/>
    <w:rsid w:val="006C6E7C"/>
    <w:rsid w:val="006C71BD"/>
    <w:rsid w:val="006C7467"/>
    <w:rsid w:val="006C74E0"/>
    <w:rsid w:val="006C79AE"/>
    <w:rsid w:val="006C7D9A"/>
    <w:rsid w:val="006C7F49"/>
    <w:rsid w:val="006D0453"/>
    <w:rsid w:val="006D06B1"/>
    <w:rsid w:val="006D07DC"/>
    <w:rsid w:val="006D1A24"/>
    <w:rsid w:val="006D26BF"/>
    <w:rsid w:val="006D37DB"/>
    <w:rsid w:val="006D5BB2"/>
    <w:rsid w:val="006D6267"/>
    <w:rsid w:val="006E3B7A"/>
    <w:rsid w:val="006E7F5B"/>
    <w:rsid w:val="006F0487"/>
    <w:rsid w:val="006F232E"/>
    <w:rsid w:val="006F2D84"/>
    <w:rsid w:val="006F31FA"/>
    <w:rsid w:val="006F35C1"/>
    <w:rsid w:val="006F4835"/>
    <w:rsid w:val="006F54F0"/>
    <w:rsid w:val="006F591C"/>
    <w:rsid w:val="006F5CFC"/>
    <w:rsid w:val="006F712F"/>
    <w:rsid w:val="006F7749"/>
    <w:rsid w:val="0070050A"/>
    <w:rsid w:val="00700788"/>
    <w:rsid w:val="00700F6C"/>
    <w:rsid w:val="00700F93"/>
    <w:rsid w:val="007015A1"/>
    <w:rsid w:val="007027CB"/>
    <w:rsid w:val="00703858"/>
    <w:rsid w:val="00703DD9"/>
    <w:rsid w:val="0070559D"/>
    <w:rsid w:val="00705976"/>
    <w:rsid w:val="0070597A"/>
    <w:rsid w:val="007068DE"/>
    <w:rsid w:val="00706C4A"/>
    <w:rsid w:val="00710917"/>
    <w:rsid w:val="007115C3"/>
    <w:rsid w:val="00713D09"/>
    <w:rsid w:val="00714A85"/>
    <w:rsid w:val="0071536F"/>
    <w:rsid w:val="00715DFE"/>
    <w:rsid w:val="00716189"/>
    <w:rsid w:val="00716429"/>
    <w:rsid w:val="00717A6A"/>
    <w:rsid w:val="00717E60"/>
    <w:rsid w:val="007217C8"/>
    <w:rsid w:val="0072224D"/>
    <w:rsid w:val="00722A7C"/>
    <w:rsid w:val="00724A4D"/>
    <w:rsid w:val="00725115"/>
    <w:rsid w:val="0072562B"/>
    <w:rsid w:val="00725777"/>
    <w:rsid w:val="00726957"/>
    <w:rsid w:val="00730878"/>
    <w:rsid w:val="00730900"/>
    <w:rsid w:val="0073154A"/>
    <w:rsid w:val="00732C08"/>
    <w:rsid w:val="00732D9E"/>
    <w:rsid w:val="00732F0B"/>
    <w:rsid w:val="007356E5"/>
    <w:rsid w:val="007364E3"/>
    <w:rsid w:val="00740056"/>
    <w:rsid w:val="00741823"/>
    <w:rsid w:val="00744092"/>
    <w:rsid w:val="00744408"/>
    <w:rsid w:val="00744E4A"/>
    <w:rsid w:val="007456F1"/>
    <w:rsid w:val="00745A26"/>
    <w:rsid w:val="00746F8B"/>
    <w:rsid w:val="00752394"/>
    <w:rsid w:val="00752586"/>
    <w:rsid w:val="00753E86"/>
    <w:rsid w:val="00760766"/>
    <w:rsid w:val="00760826"/>
    <w:rsid w:val="00760A67"/>
    <w:rsid w:val="00762474"/>
    <w:rsid w:val="007639EC"/>
    <w:rsid w:val="00763B87"/>
    <w:rsid w:val="007648F6"/>
    <w:rsid w:val="007656BE"/>
    <w:rsid w:val="007666D7"/>
    <w:rsid w:val="00766C1D"/>
    <w:rsid w:val="00766EF9"/>
    <w:rsid w:val="007712F4"/>
    <w:rsid w:val="007714D9"/>
    <w:rsid w:val="00771897"/>
    <w:rsid w:val="00773C46"/>
    <w:rsid w:val="00773EF1"/>
    <w:rsid w:val="00774772"/>
    <w:rsid w:val="00774991"/>
    <w:rsid w:val="007749E4"/>
    <w:rsid w:val="00774E9A"/>
    <w:rsid w:val="00776EA5"/>
    <w:rsid w:val="007770D4"/>
    <w:rsid w:val="00780365"/>
    <w:rsid w:val="00781A2F"/>
    <w:rsid w:val="00781D68"/>
    <w:rsid w:val="00781E55"/>
    <w:rsid w:val="007821C1"/>
    <w:rsid w:val="00783B85"/>
    <w:rsid w:val="00783FE8"/>
    <w:rsid w:val="0078444A"/>
    <w:rsid w:val="0078628B"/>
    <w:rsid w:val="00787B65"/>
    <w:rsid w:val="00790479"/>
    <w:rsid w:val="007904B2"/>
    <w:rsid w:val="00790C19"/>
    <w:rsid w:val="00792403"/>
    <w:rsid w:val="0079269C"/>
    <w:rsid w:val="00792A0C"/>
    <w:rsid w:val="0079304F"/>
    <w:rsid w:val="0079306D"/>
    <w:rsid w:val="00797EC9"/>
    <w:rsid w:val="007A1AB5"/>
    <w:rsid w:val="007A1EC4"/>
    <w:rsid w:val="007A258A"/>
    <w:rsid w:val="007A3E69"/>
    <w:rsid w:val="007A6F20"/>
    <w:rsid w:val="007A728D"/>
    <w:rsid w:val="007A7B8A"/>
    <w:rsid w:val="007B0FA0"/>
    <w:rsid w:val="007B2670"/>
    <w:rsid w:val="007B3011"/>
    <w:rsid w:val="007B30BE"/>
    <w:rsid w:val="007B4AED"/>
    <w:rsid w:val="007B5C28"/>
    <w:rsid w:val="007B6851"/>
    <w:rsid w:val="007B68E5"/>
    <w:rsid w:val="007C2535"/>
    <w:rsid w:val="007C2901"/>
    <w:rsid w:val="007C291E"/>
    <w:rsid w:val="007C2973"/>
    <w:rsid w:val="007C2EE6"/>
    <w:rsid w:val="007C3970"/>
    <w:rsid w:val="007C4419"/>
    <w:rsid w:val="007C467D"/>
    <w:rsid w:val="007C4907"/>
    <w:rsid w:val="007C53C0"/>
    <w:rsid w:val="007C5526"/>
    <w:rsid w:val="007C6586"/>
    <w:rsid w:val="007C7023"/>
    <w:rsid w:val="007D0194"/>
    <w:rsid w:val="007D19E2"/>
    <w:rsid w:val="007D2327"/>
    <w:rsid w:val="007D2936"/>
    <w:rsid w:val="007D3AE6"/>
    <w:rsid w:val="007D401D"/>
    <w:rsid w:val="007E0118"/>
    <w:rsid w:val="007E06B1"/>
    <w:rsid w:val="007E0B45"/>
    <w:rsid w:val="007E190C"/>
    <w:rsid w:val="007E3A7E"/>
    <w:rsid w:val="007E429B"/>
    <w:rsid w:val="007E438B"/>
    <w:rsid w:val="007E4B6F"/>
    <w:rsid w:val="007E4B91"/>
    <w:rsid w:val="007E55F4"/>
    <w:rsid w:val="007F0F19"/>
    <w:rsid w:val="007F2A2A"/>
    <w:rsid w:val="007F2AD4"/>
    <w:rsid w:val="007F2C7D"/>
    <w:rsid w:val="007F4647"/>
    <w:rsid w:val="007F494E"/>
    <w:rsid w:val="007F4DF4"/>
    <w:rsid w:val="007F52DE"/>
    <w:rsid w:val="007F593F"/>
    <w:rsid w:val="007F5BE0"/>
    <w:rsid w:val="007F7156"/>
    <w:rsid w:val="007F7632"/>
    <w:rsid w:val="00802C5A"/>
    <w:rsid w:val="00803C7A"/>
    <w:rsid w:val="0080624F"/>
    <w:rsid w:val="00806708"/>
    <w:rsid w:val="008114A6"/>
    <w:rsid w:val="0081664A"/>
    <w:rsid w:val="008169BE"/>
    <w:rsid w:val="008171F7"/>
    <w:rsid w:val="00817932"/>
    <w:rsid w:val="0082063B"/>
    <w:rsid w:val="008208B5"/>
    <w:rsid w:val="00821347"/>
    <w:rsid w:val="00821CF5"/>
    <w:rsid w:val="00821D75"/>
    <w:rsid w:val="00822174"/>
    <w:rsid w:val="0082229C"/>
    <w:rsid w:val="00822E39"/>
    <w:rsid w:val="0082433A"/>
    <w:rsid w:val="0082437C"/>
    <w:rsid w:val="00825573"/>
    <w:rsid w:val="0082742B"/>
    <w:rsid w:val="00830A5B"/>
    <w:rsid w:val="0083129E"/>
    <w:rsid w:val="00831803"/>
    <w:rsid w:val="0083220A"/>
    <w:rsid w:val="00833562"/>
    <w:rsid w:val="00833935"/>
    <w:rsid w:val="008345D2"/>
    <w:rsid w:val="008359C6"/>
    <w:rsid w:val="00836023"/>
    <w:rsid w:val="00836608"/>
    <w:rsid w:val="008368C5"/>
    <w:rsid w:val="00837E89"/>
    <w:rsid w:val="00840365"/>
    <w:rsid w:val="00841E82"/>
    <w:rsid w:val="0084214A"/>
    <w:rsid w:val="0084367D"/>
    <w:rsid w:val="0084376B"/>
    <w:rsid w:val="00843BB4"/>
    <w:rsid w:val="008455B8"/>
    <w:rsid w:val="00846543"/>
    <w:rsid w:val="008474F4"/>
    <w:rsid w:val="00847B7C"/>
    <w:rsid w:val="00847B9D"/>
    <w:rsid w:val="0085007E"/>
    <w:rsid w:val="008506D7"/>
    <w:rsid w:val="00850C53"/>
    <w:rsid w:val="00851816"/>
    <w:rsid w:val="00851D4F"/>
    <w:rsid w:val="008548B3"/>
    <w:rsid w:val="008561E8"/>
    <w:rsid w:val="008577E0"/>
    <w:rsid w:val="00861C5A"/>
    <w:rsid w:val="008629E3"/>
    <w:rsid w:val="00863292"/>
    <w:rsid w:val="00864354"/>
    <w:rsid w:val="00864D6A"/>
    <w:rsid w:val="0086524F"/>
    <w:rsid w:val="0086745C"/>
    <w:rsid w:val="00867D8C"/>
    <w:rsid w:val="00867E89"/>
    <w:rsid w:val="00872348"/>
    <w:rsid w:val="0087265B"/>
    <w:rsid w:val="008728EA"/>
    <w:rsid w:val="00872C83"/>
    <w:rsid w:val="00873CB0"/>
    <w:rsid w:val="00875273"/>
    <w:rsid w:val="00875A11"/>
    <w:rsid w:val="00876550"/>
    <w:rsid w:val="00877AF6"/>
    <w:rsid w:val="0088328C"/>
    <w:rsid w:val="00883B66"/>
    <w:rsid w:val="00883B73"/>
    <w:rsid w:val="00883EAA"/>
    <w:rsid w:val="00884E3C"/>
    <w:rsid w:val="008857BC"/>
    <w:rsid w:val="008863FF"/>
    <w:rsid w:val="00890061"/>
    <w:rsid w:val="00890D64"/>
    <w:rsid w:val="00891774"/>
    <w:rsid w:val="00891BF4"/>
    <w:rsid w:val="008953C4"/>
    <w:rsid w:val="008966D6"/>
    <w:rsid w:val="00896BDE"/>
    <w:rsid w:val="00897995"/>
    <w:rsid w:val="008A14FE"/>
    <w:rsid w:val="008A2B71"/>
    <w:rsid w:val="008A4C51"/>
    <w:rsid w:val="008A4DF8"/>
    <w:rsid w:val="008A5C35"/>
    <w:rsid w:val="008A66B6"/>
    <w:rsid w:val="008B0FA7"/>
    <w:rsid w:val="008B148E"/>
    <w:rsid w:val="008B172E"/>
    <w:rsid w:val="008B1DCF"/>
    <w:rsid w:val="008B2DBB"/>
    <w:rsid w:val="008B42D3"/>
    <w:rsid w:val="008B609E"/>
    <w:rsid w:val="008B6727"/>
    <w:rsid w:val="008B6C2E"/>
    <w:rsid w:val="008B78D4"/>
    <w:rsid w:val="008B7900"/>
    <w:rsid w:val="008C06F1"/>
    <w:rsid w:val="008C104B"/>
    <w:rsid w:val="008C125E"/>
    <w:rsid w:val="008C1871"/>
    <w:rsid w:val="008C23BE"/>
    <w:rsid w:val="008C2D36"/>
    <w:rsid w:val="008C2D72"/>
    <w:rsid w:val="008C35BB"/>
    <w:rsid w:val="008C446A"/>
    <w:rsid w:val="008C7C79"/>
    <w:rsid w:val="008D3657"/>
    <w:rsid w:val="008D3772"/>
    <w:rsid w:val="008D3F59"/>
    <w:rsid w:val="008D466C"/>
    <w:rsid w:val="008D603D"/>
    <w:rsid w:val="008D6E8C"/>
    <w:rsid w:val="008E0365"/>
    <w:rsid w:val="008E2542"/>
    <w:rsid w:val="008E2D45"/>
    <w:rsid w:val="008E2F6A"/>
    <w:rsid w:val="008E3925"/>
    <w:rsid w:val="008E5244"/>
    <w:rsid w:val="008E6DD5"/>
    <w:rsid w:val="008E7FA5"/>
    <w:rsid w:val="008F129C"/>
    <w:rsid w:val="008F2E3D"/>
    <w:rsid w:val="008F339D"/>
    <w:rsid w:val="008F5A04"/>
    <w:rsid w:val="008F662F"/>
    <w:rsid w:val="008F71E9"/>
    <w:rsid w:val="008F777A"/>
    <w:rsid w:val="009009B3"/>
    <w:rsid w:val="00901706"/>
    <w:rsid w:val="009023F6"/>
    <w:rsid w:val="0090243F"/>
    <w:rsid w:val="009031AF"/>
    <w:rsid w:val="009037DC"/>
    <w:rsid w:val="009048DB"/>
    <w:rsid w:val="0090570E"/>
    <w:rsid w:val="00906779"/>
    <w:rsid w:val="00912C6B"/>
    <w:rsid w:val="00913EF9"/>
    <w:rsid w:val="0091483C"/>
    <w:rsid w:val="00916256"/>
    <w:rsid w:val="00917AB2"/>
    <w:rsid w:val="009210F1"/>
    <w:rsid w:val="009225F8"/>
    <w:rsid w:val="00922B98"/>
    <w:rsid w:val="00924799"/>
    <w:rsid w:val="00924B7C"/>
    <w:rsid w:val="00925CF7"/>
    <w:rsid w:val="0092739E"/>
    <w:rsid w:val="0092740E"/>
    <w:rsid w:val="00930109"/>
    <w:rsid w:val="009305B7"/>
    <w:rsid w:val="0093133A"/>
    <w:rsid w:val="00931880"/>
    <w:rsid w:val="009318A4"/>
    <w:rsid w:val="00934064"/>
    <w:rsid w:val="00934BB7"/>
    <w:rsid w:val="00936530"/>
    <w:rsid w:val="00937A95"/>
    <w:rsid w:val="00937CAC"/>
    <w:rsid w:val="0094177B"/>
    <w:rsid w:val="0094198F"/>
    <w:rsid w:val="009429F2"/>
    <w:rsid w:val="009430EB"/>
    <w:rsid w:val="00944363"/>
    <w:rsid w:val="009466DE"/>
    <w:rsid w:val="00950D12"/>
    <w:rsid w:val="00952414"/>
    <w:rsid w:val="009525B0"/>
    <w:rsid w:val="00953B8B"/>
    <w:rsid w:val="00953C39"/>
    <w:rsid w:val="00954FC2"/>
    <w:rsid w:val="0096073F"/>
    <w:rsid w:val="009609B9"/>
    <w:rsid w:val="00960B80"/>
    <w:rsid w:val="00960B84"/>
    <w:rsid w:val="00960E12"/>
    <w:rsid w:val="009638C4"/>
    <w:rsid w:val="009650A5"/>
    <w:rsid w:val="0096545C"/>
    <w:rsid w:val="00970844"/>
    <w:rsid w:val="00972FCC"/>
    <w:rsid w:val="00973320"/>
    <w:rsid w:val="0097425A"/>
    <w:rsid w:val="009759FF"/>
    <w:rsid w:val="00975FF4"/>
    <w:rsid w:val="00976756"/>
    <w:rsid w:val="009800D6"/>
    <w:rsid w:val="0098045E"/>
    <w:rsid w:val="00980862"/>
    <w:rsid w:val="00980E85"/>
    <w:rsid w:val="00983117"/>
    <w:rsid w:val="00983ECB"/>
    <w:rsid w:val="009846FB"/>
    <w:rsid w:val="00986D6F"/>
    <w:rsid w:val="009872C6"/>
    <w:rsid w:val="00987AC0"/>
    <w:rsid w:val="009910DF"/>
    <w:rsid w:val="00991737"/>
    <w:rsid w:val="00991C9E"/>
    <w:rsid w:val="009929AF"/>
    <w:rsid w:val="009929EA"/>
    <w:rsid w:val="00992BFB"/>
    <w:rsid w:val="00992FDE"/>
    <w:rsid w:val="009964A7"/>
    <w:rsid w:val="009967E3"/>
    <w:rsid w:val="00997282"/>
    <w:rsid w:val="009972F4"/>
    <w:rsid w:val="009A0163"/>
    <w:rsid w:val="009A042E"/>
    <w:rsid w:val="009A0A53"/>
    <w:rsid w:val="009A1A51"/>
    <w:rsid w:val="009A1B8D"/>
    <w:rsid w:val="009A1F30"/>
    <w:rsid w:val="009A4583"/>
    <w:rsid w:val="009A472C"/>
    <w:rsid w:val="009A4C5C"/>
    <w:rsid w:val="009A4FE2"/>
    <w:rsid w:val="009A50C0"/>
    <w:rsid w:val="009A57AF"/>
    <w:rsid w:val="009A601C"/>
    <w:rsid w:val="009A6402"/>
    <w:rsid w:val="009A6EE3"/>
    <w:rsid w:val="009B0C30"/>
    <w:rsid w:val="009B1AB5"/>
    <w:rsid w:val="009B2713"/>
    <w:rsid w:val="009B2C87"/>
    <w:rsid w:val="009B3E84"/>
    <w:rsid w:val="009B442E"/>
    <w:rsid w:val="009B565B"/>
    <w:rsid w:val="009B635D"/>
    <w:rsid w:val="009C0580"/>
    <w:rsid w:val="009C0D32"/>
    <w:rsid w:val="009C0DDA"/>
    <w:rsid w:val="009C0FB4"/>
    <w:rsid w:val="009C2611"/>
    <w:rsid w:val="009C2800"/>
    <w:rsid w:val="009C3C06"/>
    <w:rsid w:val="009C3CCD"/>
    <w:rsid w:val="009C4040"/>
    <w:rsid w:val="009C614E"/>
    <w:rsid w:val="009C78E9"/>
    <w:rsid w:val="009C7CCA"/>
    <w:rsid w:val="009D0904"/>
    <w:rsid w:val="009D1699"/>
    <w:rsid w:val="009D1DED"/>
    <w:rsid w:val="009D3119"/>
    <w:rsid w:val="009D3185"/>
    <w:rsid w:val="009D3D16"/>
    <w:rsid w:val="009D4867"/>
    <w:rsid w:val="009D5351"/>
    <w:rsid w:val="009D7079"/>
    <w:rsid w:val="009D7332"/>
    <w:rsid w:val="009E0430"/>
    <w:rsid w:val="009E106A"/>
    <w:rsid w:val="009E1ECB"/>
    <w:rsid w:val="009E2771"/>
    <w:rsid w:val="009E2B1C"/>
    <w:rsid w:val="009E3865"/>
    <w:rsid w:val="009E38F0"/>
    <w:rsid w:val="009E3E5A"/>
    <w:rsid w:val="009E46E0"/>
    <w:rsid w:val="009F0396"/>
    <w:rsid w:val="009F2033"/>
    <w:rsid w:val="009F26D2"/>
    <w:rsid w:val="009F2F1F"/>
    <w:rsid w:val="009F311E"/>
    <w:rsid w:val="009F3257"/>
    <w:rsid w:val="009F37CD"/>
    <w:rsid w:val="009F5649"/>
    <w:rsid w:val="009F66E6"/>
    <w:rsid w:val="009F6D02"/>
    <w:rsid w:val="009F7488"/>
    <w:rsid w:val="00A001F3"/>
    <w:rsid w:val="00A005DC"/>
    <w:rsid w:val="00A01742"/>
    <w:rsid w:val="00A0183D"/>
    <w:rsid w:val="00A03B30"/>
    <w:rsid w:val="00A0486E"/>
    <w:rsid w:val="00A048B2"/>
    <w:rsid w:val="00A04AC5"/>
    <w:rsid w:val="00A051C1"/>
    <w:rsid w:val="00A05623"/>
    <w:rsid w:val="00A0711E"/>
    <w:rsid w:val="00A07CC2"/>
    <w:rsid w:val="00A124DB"/>
    <w:rsid w:val="00A131C4"/>
    <w:rsid w:val="00A1466A"/>
    <w:rsid w:val="00A14F9D"/>
    <w:rsid w:val="00A15613"/>
    <w:rsid w:val="00A160D7"/>
    <w:rsid w:val="00A16749"/>
    <w:rsid w:val="00A17FEB"/>
    <w:rsid w:val="00A20180"/>
    <w:rsid w:val="00A2094F"/>
    <w:rsid w:val="00A23632"/>
    <w:rsid w:val="00A23B2A"/>
    <w:rsid w:val="00A23CEC"/>
    <w:rsid w:val="00A25758"/>
    <w:rsid w:val="00A25EA6"/>
    <w:rsid w:val="00A2667A"/>
    <w:rsid w:val="00A26F44"/>
    <w:rsid w:val="00A274BA"/>
    <w:rsid w:val="00A27F3C"/>
    <w:rsid w:val="00A30843"/>
    <w:rsid w:val="00A3093F"/>
    <w:rsid w:val="00A30DA1"/>
    <w:rsid w:val="00A3148B"/>
    <w:rsid w:val="00A328D0"/>
    <w:rsid w:val="00A34668"/>
    <w:rsid w:val="00A353BB"/>
    <w:rsid w:val="00A35DF7"/>
    <w:rsid w:val="00A362F2"/>
    <w:rsid w:val="00A40287"/>
    <w:rsid w:val="00A40FFA"/>
    <w:rsid w:val="00A4173C"/>
    <w:rsid w:val="00A41A48"/>
    <w:rsid w:val="00A45542"/>
    <w:rsid w:val="00A4690F"/>
    <w:rsid w:val="00A471CE"/>
    <w:rsid w:val="00A47A94"/>
    <w:rsid w:val="00A47C9D"/>
    <w:rsid w:val="00A50E09"/>
    <w:rsid w:val="00A51462"/>
    <w:rsid w:val="00A52909"/>
    <w:rsid w:val="00A5311B"/>
    <w:rsid w:val="00A53EE3"/>
    <w:rsid w:val="00A54592"/>
    <w:rsid w:val="00A55297"/>
    <w:rsid w:val="00A56308"/>
    <w:rsid w:val="00A56418"/>
    <w:rsid w:val="00A570AD"/>
    <w:rsid w:val="00A57D3D"/>
    <w:rsid w:val="00A601D4"/>
    <w:rsid w:val="00A6077F"/>
    <w:rsid w:val="00A61488"/>
    <w:rsid w:val="00A62F3F"/>
    <w:rsid w:val="00A639A4"/>
    <w:rsid w:val="00A63B40"/>
    <w:rsid w:val="00A64F8D"/>
    <w:rsid w:val="00A66537"/>
    <w:rsid w:val="00A673DF"/>
    <w:rsid w:val="00A704E1"/>
    <w:rsid w:val="00A707CD"/>
    <w:rsid w:val="00A71C2C"/>
    <w:rsid w:val="00A72906"/>
    <w:rsid w:val="00A72AE4"/>
    <w:rsid w:val="00A73BAA"/>
    <w:rsid w:val="00A74D7D"/>
    <w:rsid w:val="00A75C65"/>
    <w:rsid w:val="00A76967"/>
    <w:rsid w:val="00A778A7"/>
    <w:rsid w:val="00A7798A"/>
    <w:rsid w:val="00A77BDB"/>
    <w:rsid w:val="00A77E56"/>
    <w:rsid w:val="00A8094C"/>
    <w:rsid w:val="00A80A60"/>
    <w:rsid w:val="00A810AA"/>
    <w:rsid w:val="00A828E4"/>
    <w:rsid w:val="00A83996"/>
    <w:rsid w:val="00A8527F"/>
    <w:rsid w:val="00A85490"/>
    <w:rsid w:val="00A91CB0"/>
    <w:rsid w:val="00A93060"/>
    <w:rsid w:val="00A931FF"/>
    <w:rsid w:val="00A93610"/>
    <w:rsid w:val="00A94C7B"/>
    <w:rsid w:val="00A95DFB"/>
    <w:rsid w:val="00A96BE2"/>
    <w:rsid w:val="00A9705C"/>
    <w:rsid w:val="00AA034E"/>
    <w:rsid w:val="00AA0702"/>
    <w:rsid w:val="00AA106E"/>
    <w:rsid w:val="00AA1BB8"/>
    <w:rsid w:val="00AA32EC"/>
    <w:rsid w:val="00AA34BE"/>
    <w:rsid w:val="00AA3A89"/>
    <w:rsid w:val="00AA3DD4"/>
    <w:rsid w:val="00AA4A71"/>
    <w:rsid w:val="00AA620B"/>
    <w:rsid w:val="00AA6818"/>
    <w:rsid w:val="00AA6B2B"/>
    <w:rsid w:val="00AA75C1"/>
    <w:rsid w:val="00AA7CE5"/>
    <w:rsid w:val="00AB0A6E"/>
    <w:rsid w:val="00AB0EA8"/>
    <w:rsid w:val="00AB1A8B"/>
    <w:rsid w:val="00AB21D9"/>
    <w:rsid w:val="00AB245B"/>
    <w:rsid w:val="00AB2CC1"/>
    <w:rsid w:val="00AB2E8E"/>
    <w:rsid w:val="00AB3C07"/>
    <w:rsid w:val="00AB413F"/>
    <w:rsid w:val="00AB5D7F"/>
    <w:rsid w:val="00AB6E64"/>
    <w:rsid w:val="00AB7101"/>
    <w:rsid w:val="00AB727E"/>
    <w:rsid w:val="00AB7B20"/>
    <w:rsid w:val="00AC18F8"/>
    <w:rsid w:val="00AC19C4"/>
    <w:rsid w:val="00AC2987"/>
    <w:rsid w:val="00AC41A6"/>
    <w:rsid w:val="00AC4D6B"/>
    <w:rsid w:val="00AC6301"/>
    <w:rsid w:val="00AC6B21"/>
    <w:rsid w:val="00AC6E3F"/>
    <w:rsid w:val="00AC7989"/>
    <w:rsid w:val="00AC7ED3"/>
    <w:rsid w:val="00AD0432"/>
    <w:rsid w:val="00AD07AD"/>
    <w:rsid w:val="00AD1DF2"/>
    <w:rsid w:val="00AD2B87"/>
    <w:rsid w:val="00AD35F7"/>
    <w:rsid w:val="00AD49AB"/>
    <w:rsid w:val="00AD5DA6"/>
    <w:rsid w:val="00AD62A3"/>
    <w:rsid w:val="00AD63CA"/>
    <w:rsid w:val="00AD66DB"/>
    <w:rsid w:val="00AE032F"/>
    <w:rsid w:val="00AE0C74"/>
    <w:rsid w:val="00AE1EFF"/>
    <w:rsid w:val="00AE3B04"/>
    <w:rsid w:val="00AE486F"/>
    <w:rsid w:val="00AE4A9E"/>
    <w:rsid w:val="00AE4EAF"/>
    <w:rsid w:val="00AE5506"/>
    <w:rsid w:val="00AE58B8"/>
    <w:rsid w:val="00AE6759"/>
    <w:rsid w:val="00AE7034"/>
    <w:rsid w:val="00AE71FB"/>
    <w:rsid w:val="00AE7348"/>
    <w:rsid w:val="00AF01CF"/>
    <w:rsid w:val="00AF0229"/>
    <w:rsid w:val="00AF11AC"/>
    <w:rsid w:val="00AF31C1"/>
    <w:rsid w:val="00AF3DAE"/>
    <w:rsid w:val="00AF408B"/>
    <w:rsid w:val="00AF43B9"/>
    <w:rsid w:val="00AF45D9"/>
    <w:rsid w:val="00AF47B8"/>
    <w:rsid w:val="00AF5BEB"/>
    <w:rsid w:val="00AF5CE2"/>
    <w:rsid w:val="00AF65B9"/>
    <w:rsid w:val="00AF7112"/>
    <w:rsid w:val="00AF7833"/>
    <w:rsid w:val="00B00605"/>
    <w:rsid w:val="00B00A85"/>
    <w:rsid w:val="00B01FC2"/>
    <w:rsid w:val="00B055F3"/>
    <w:rsid w:val="00B05645"/>
    <w:rsid w:val="00B05F57"/>
    <w:rsid w:val="00B06243"/>
    <w:rsid w:val="00B06A1E"/>
    <w:rsid w:val="00B075C7"/>
    <w:rsid w:val="00B07971"/>
    <w:rsid w:val="00B106F9"/>
    <w:rsid w:val="00B10779"/>
    <w:rsid w:val="00B10868"/>
    <w:rsid w:val="00B111F0"/>
    <w:rsid w:val="00B11B83"/>
    <w:rsid w:val="00B1340F"/>
    <w:rsid w:val="00B13FDC"/>
    <w:rsid w:val="00B14377"/>
    <w:rsid w:val="00B16A8D"/>
    <w:rsid w:val="00B17296"/>
    <w:rsid w:val="00B17413"/>
    <w:rsid w:val="00B17774"/>
    <w:rsid w:val="00B17AE7"/>
    <w:rsid w:val="00B20CBB"/>
    <w:rsid w:val="00B21006"/>
    <w:rsid w:val="00B2158D"/>
    <w:rsid w:val="00B21D6C"/>
    <w:rsid w:val="00B24524"/>
    <w:rsid w:val="00B24DFB"/>
    <w:rsid w:val="00B25A0D"/>
    <w:rsid w:val="00B263D4"/>
    <w:rsid w:val="00B31F48"/>
    <w:rsid w:val="00B3255F"/>
    <w:rsid w:val="00B3278C"/>
    <w:rsid w:val="00B32C86"/>
    <w:rsid w:val="00B333EB"/>
    <w:rsid w:val="00B34D1A"/>
    <w:rsid w:val="00B357AC"/>
    <w:rsid w:val="00B372AB"/>
    <w:rsid w:val="00B37CF8"/>
    <w:rsid w:val="00B40782"/>
    <w:rsid w:val="00B40F44"/>
    <w:rsid w:val="00B41F3E"/>
    <w:rsid w:val="00B42DFE"/>
    <w:rsid w:val="00B43382"/>
    <w:rsid w:val="00B44932"/>
    <w:rsid w:val="00B44E63"/>
    <w:rsid w:val="00B455C7"/>
    <w:rsid w:val="00B47531"/>
    <w:rsid w:val="00B4781A"/>
    <w:rsid w:val="00B501DA"/>
    <w:rsid w:val="00B50434"/>
    <w:rsid w:val="00B507C7"/>
    <w:rsid w:val="00B51130"/>
    <w:rsid w:val="00B51793"/>
    <w:rsid w:val="00B51A4E"/>
    <w:rsid w:val="00B544EE"/>
    <w:rsid w:val="00B54CBE"/>
    <w:rsid w:val="00B55161"/>
    <w:rsid w:val="00B578C2"/>
    <w:rsid w:val="00B57B6D"/>
    <w:rsid w:val="00B62DC7"/>
    <w:rsid w:val="00B62F5E"/>
    <w:rsid w:val="00B64A77"/>
    <w:rsid w:val="00B652A1"/>
    <w:rsid w:val="00B664EE"/>
    <w:rsid w:val="00B6785F"/>
    <w:rsid w:val="00B67FA3"/>
    <w:rsid w:val="00B70E61"/>
    <w:rsid w:val="00B72CE0"/>
    <w:rsid w:val="00B737C0"/>
    <w:rsid w:val="00B75102"/>
    <w:rsid w:val="00B75B9B"/>
    <w:rsid w:val="00B76007"/>
    <w:rsid w:val="00B775BB"/>
    <w:rsid w:val="00B8013E"/>
    <w:rsid w:val="00B8132A"/>
    <w:rsid w:val="00B82241"/>
    <w:rsid w:val="00B83B1C"/>
    <w:rsid w:val="00B85EB8"/>
    <w:rsid w:val="00B861F0"/>
    <w:rsid w:val="00B8657B"/>
    <w:rsid w:val="00B8746D"/>
    <w:rsid w:val="00B8756D"/>
    <w:rsid w:val="00B9009D"/>
    <w:rsid w:val="00B92DB7"/>
    <w:rsid w:val="00B94070"/>
    <w:rsid w:val="00B94DFC"/>
    <w:rsid w:val="00B9507C"/>
    <w:rsid w:val="00B9533E"/>
    <w:rsid w:val="00B9543E"/>
    <w:rsid w:val="00B95732"/>
    <w:rsid w:val="00B95E66"/>
    <w:rsid w:val="00B96105"/>
    <w:rsid w:val="00BA1B20"/>
    <w:rsid w:val="00BA1E38"/>
    <w:rsid w:val="00BA206B"/>
    <w:rsid w:val="00BA3718"/>
    <w:rsid w:val="00BA3FDD"/>
    <w:rsid w:val="00BA5853"/>
    <w:rsid w:val="00BA63B2"/>
    <w:rsid w:val="00BB154F"/>
    <w:rsid w:val="00BB18F6"/>
    <w:rsid w:val="00BB1BDB"/>
    <w:rsid w:val="00BB2E43"/>
    <w:rsid w:val="00BB360F"/>
    <w:rsid w:val="00BB447C"/>
    <w:rsid w:val="00BB4DCC"/>
    <w:rsid w:val="00BB4F16"/>
    <w:rsid w:val="00BB51C1"/>
    <w:rsid w:val="00BB52DE"/>
    <w:rsid w:val="00BB537B"/>
    <w:rsid w:val="00BB53CD"/>
    <w:rsid w:val="00BB6109"/>
    <w:rsid w:val="00BC0DDD"/>
    <w:rsid w:val="00BC1D2F"/>
    <w:rsid w:val="00BC3F5C"/>
    <w:rsid w:val="00BC41EF"/>
    <w:rsid w:val="00BC4988"/>
    <w:rsid w:val="00BC6A66"/>
    <w:rsid w:val="00BC7698"/>
    <w:rsid w:val="00BC7BB6"/>
    <w:rsid w:val="00BD03FE"/>
    <w:rsid w:val="00BD0BB0"/>
    <w:rsid w:val="00BD1176"/>
    <w:rsid w:val="00BD24C2"/>
    <w:rsid w:val="00BD2A4B"/>
    <w:rsid w:val="00BD411C"/>
    <w:rsid w:val="00BD4AAA"/>
    <w:rsid w:val="00BD4E98"/>
    <w:rsid w:val="00BD586F"/>
    <w:rsid w:val="00BD668E"/>
    <w:rsid w:val="00BD702F"/>
    <w:rsid w:val="00BD70B0"/>
    <w:rsid w:val="00BD7358"/>
    <w:rsid w:val="00BD7771"/>
    <w:rsid w:val="00BE0EB7"/>
    <w:rsid w:val="00BE15EF"/>
    <w:rsid w:val="00BE2919"/>
    <w:rsid w:val="00BE2A3F"/>
    <w:rsid w:val="00BF0717"/>
    <w:rsid w:val="00BF1E94"/>
    <w:rsid w:val="00BF25DD"/>
    <w:rsid w:val="00BF514A"/>
    <w:rsid w:val="00BF54C5"/>
    <w:rsid w:val="00BF5F0E"/>
    <w:rsid w:val="00BF65C6"/>
    <w:rsid w:val="00BF74DE"/>
    <w:rsid w:val="00BF780F"/>
    <w:rsid w:val="00C00064"/>
    <w:rsid w:val="00C03265"/>
    <w:rsid w:val="00C03DD0"/>
    <w:rsid w:val="00C04AE9"/>
    <w:rsid w:val="00C04F00"/>
    <w:rsid w:val="00C075D1"/>
    <w:rsid w:val="00C07615"/>
    <w:rsid w:val="00C10CFA"/>
    <w:rsid w:val="00C1273F"/>
    <w:rsid w:val="00C12A7F"/>
    <w:rsid w:val="00C12AAE"/>
    <w:rsid w:val="00C12F5C"/>
    <w:rsid w:val="00C12F93"/>
    <w:rsid w:val="00C14296"/>
    <w:rsid w:val="00C14C33"/>
    <w:rsid w:val="00C1567C"/>
    <w:rsid w:val="00C15F17"/>
    <w:rsid w:val="00C16657"/>
    <w:rsid w:val="00C16EB8"/>
    <w:rsid w:val="00C16F17"/>
    <w:rsid w:val="00C20014"/>
    <w:rsid w:val="00C20A7E"/>
    <w:rsid w:val="00C2402D"/>
    <w:rsid w:val="00C245D2"/>
    <w:rsid w:val="00C24BE3"/>
    <w:rsid w:val="00C24C8F"/>
    <w:rsid w:val="00C30DE2"/>
    <w:rsid w:val="00C31CB1"/>
    <w:rsid w:val="00C32458"/>
    <w:rsid w:val="00C33230"/>
    <w:rsid w:val="00C34A02"/>
    <w:rsid w:val="00C369C1"/>
    <w:rsid w:val="00C37974"/>
    <w:rsid w:val="00C37A11"/>
    <w:rsid w:val="00C40626"/>
    <w:rsid w:val="00C4093E"/>
    <w:rsid w:val="00C4110E"/>
    <w:rsid w:val="00C412BF"/>
    <w:rsid w:val="00C41813"/>
    <w:rsid w:val="00C42C84"/>
    <w:rsid w:val="00C44C44"/>
    <w:rsid w:val="00C45A07"/>
    <w:rsid w:val="00C46571"/>
    <w:rsid w:val="00C47344"/>
    <w:rsid w:val="00C479DB"/>
    <w:rsid w:val="00C51C0D"/>
    <w:rsid w:val="00C523F7"/>
    <w:rsid w:val="00C539B6"/>
    <w:rsid w:val="00C54870"/>
    <w:rsid w:val="00C555D3"/>
    <w:rsid w:val="00C55A3C"/>
    <w:rsid w:val="00C561F3"/>
    <w:rsid w:val="00C57674"/>
    <w:rsid w:val="00C57BE8"/>
    <w:rsid w:val="00C57CD8"/>
    <w:rsid w:val="00C60BC0"/>
    <w:rsid w:val="00C617EC"/>
    <w:rsid w:val="00C61CC4"/>
    <w:rsid w:val="00C635DB"/>
    <w:rsid w:val="00C66EC4"/>
    <w:rsid w:val="00C6709A"/>
    <w:rsid w:val="00C676F5"/>
    <w:rsid w:val="00C70003"/>
    <w:rsid w:val="00C711A9"/>
    <w:rsid w:val="00C7143E"/>
    <w:rsid w:val="00C71D52"/>
    <w:rsid w:val="00C722FD"/>
    <w:rsid w:val="00C72A1C"/>
    <w:rsid w:val="00C73857"/>
    <w:rsid w:val="00C73AB4"/>
    <w:rsid w:val="00C73C2D"/>
    <w:rsid w:val="00C74137"/>
    <w:rsid w:val="00C7484C"/>
    <w:rsid w:val="00C748BC"/>
    <w:rsid w:val="00C757F2"/>
    <w:rsid w:val="00C75CC6"/>
    <w:rsid w:val="00C76CCB"/>
    <w:rsid w:val="00C77457"/>
    <w:rsid w:val="00C776E4"/>
    <w:rsid w:val="00C800FB"/>
    <w:rsid w:val="00C80291"/>
    <w:rsid w:val="00C80293"/>
    <w:rsid w:val="00C8171C"/>
    <w:rsid w:val="00C82D92"/>
    <w:rsid w:val="00C83B30"/>
    <w:rsid w:val="00C83CF2"/>
    <w:rsid w:val="00C865BB"/>
    <w:rsid w:val="00C90C88"/>
    <w:rsid w:val="00C90E69"/>
    <w:rsid w:val="00C91739"/>
    <w:rsid w:val="00C92295"/>
    <w:rsid w:val="00C939E0"/>
    <w:rsid w:val="00C94042"/>
    <w:rsid w:val="00C94727"/>
    <w:rsid w:val="00C95626"/>
    <w:rsid w:val="00C968F0"/>
    <w:rsid w:val="00CA0527"/>
    <w:rsid w:val="00CA09B4"/>
    <w:rsid w:val="00CA0E3A"/>
    <w:rsid w:val="00CA121F"/>
    <w:rsid w:val="00CA137E"/>
    <w:rsid w:val="00CA1B58"/>
    <w:rsid w:val="00CA2B23"/>
    <w:rsid w:val="00CA4264"/>
    <w:rsid w:val="00CA5626"/>
    <w:rsid w:val="00CA68AB"/>
    <w:rsid w:val="00CA757C"/>
    <w:rsid w:val="00CB0D61"/>
    <w:rsid w:val="00CB2A06"/>
    <w:rsid w:val="00CB4254"/>
    <w:rsid w:val="00CB4720"/>
    <w:rsid w:val="00CB4D43"/>
    <w:rsid w:val="00CB4E00"/>
    <w:rsid w:val="00CB5F70"/>
    <w:rsid w:val="00CB6BF3"/>
    <w:rsid w:val="00CB7E83"/>
    <w:rsid w:val="00CC30A9"/>
    <w:rsid w:val="00CC3153"/>
    <w:rsid w:val="00CC3400"/>
    <w:rsid w:val="00CC4A93"/>
    <w:rsid w:val="00CC66FE"/>
    <w:rsid w:val="00CC709F"/>
    <w:rsid w:val="00CD00DE"/>
    <w:rsid w:val="00CD0CFA"/>
    <w:rsid w:val="00CD2ECE"/>
    <w:rsid w:val="00CD469F"/>
    <w:rsid w:val="00CD499E"/>
    <w:rsid w:val="00CD6390"/>
    <w:rsid w:val="00CD6AFF"/>
    <w:rsid w:val="00CD7B1E"/>
    <w:rsid w:val="00CE04DC"/>
    <w:rsid w:val="00CE1100"/>
    <w:rsid w:val="00CE1C66"/>
    <w:rsid w:val="00CE2692"/>
    <w:rsid w:val="00CE31BD"/>
    <w:rsid w:val="00CE3818"/>
    <w:rsid w:val="00CE3F23"/>
    <w:rsid w:val="00CE4231"/>
    <w:rsid w:val="00CE4F11"/>
    <w:rsid w:val="00CE54F2"/>
    <w:rsid w:val="00CE5F5A"/>
    <w:rsid w:val="00CE63AE"/>
    <w:rsid w:val="00CE64F0"/>
    <w:rsid w:val="00CE6A6A"/>
    <w:rsid w:val="00CE771C"/>
    <w:rsid w:val="00CE7E74"/>
    <w:rsid w:val="00CF09BC"/>
    <w:rsid w:val="00CF6526"/>
    <w:rsid w:val="00CF70CF"/>
    <w:rsid w:val="00D00335"/>
    <w:rsid w:val="00D018A5"/>
    <w:rsid w:val="00D01985"/>
    <w:rsid w:val="00D045B7"/>
    <w:rsid w:val="00D04B4B"/>
    <w:rsid w:val="00D0542B"/>
    <w:rsid w:val="00D074E6"/>
    <w:rsid w:val="00D07EEC"/>
    <w:rsid w:val="00D106A5"/>
    <w:rsid w:val="00D11F6A"/>
    <w:rsid w:val="00D133C0"/>
    <w:rsid w:val="00D142DD"/>
    <w:rsid w:val="00D156F6"/>
    <w:rsid w:val="00D1576E"/>
    <w:rsid w:val="00D16935"/>
    <w:rsid w:val="00D17F38"/>
    <w:rsid w:val="00D227E5"/>
    <w:rsid w:val="00D22A99"/>
    <w:rsid w:val="00D22CA8"/>
    <w:rsid w:val="00D22F73"/>
    <w:rsid w:val="00D235F2"/>
    <w:rsid w:val="00D23657"/>
    <w:rsid w:val="00D23A8A"/>
    <w:rsid w:val="00D25007"/>
    <w:rsid w:val="00D2518D"/>
    <w:rsid w:val="00D258F3"/>
    <w:rsid w:val="00D2699F"/>
    <w:rsid w:val="00D26FCD"/>
    <w:rsid w:val="00D277A2"/>
    <w:rsid w:val="00D31A30"/>
    <w:rsid w:val="00D324B6"/>
    <w:rsid w:val="00D33245"/>
    <w:rsid w:val="00D332FB"/>
    <w:rsid w:val="00D3370E"/>
    <w:rsid w:val="00D337F1"/>
    <w:rsid w:val="00D337F7"/>
    <w:rsid w:val="00D33CB8"/>
    <w:rsid w:val="00D33CF9"/>
    <w:rsid w:val="00D33D68"/>
    <w:rsid w:val="00D3404E"/>
    <w:rsid w:val="00D36247"/>
    <w:rsid w:val="00D368BD"/>
    <w:rsid w:val="00D37539"/>
    <w:rsid w:val="00D37AA1"/>
    <w:rsid w:val="00D41080"/>
    <w:rsid w:val="00D41E60"/>
    <w:rsid w:val="00D42B7A"/>
    <w:rsid w:val="00D43073"/>
    <w:rsid w:val="00D44380"/>
    <w:rsid w:val="00D44508"/>
    <w:rsid w:val="00D4455E"/>
    <w:rsid w:val="00D447B9"/>
    <w:rsid w:val="00D449F5"/>
    <w:rsid w:val="00D4687F"/>
    <w:rsid w:val="00D47FA5"/>
    <w:rsid w:val="00D50DB2"/>
    <w:rsid w:val="00D50E0D"/>
    <w:rsid w:val="00D54B4B"/>
    <w:rsid w:val="00D55209"/>
    <w:rsid w:val="00D55CE0"/>
    <w:rsid w:val="00D5654A"/>
    <w:rsid w:val="00D57788"/>
    <w:rsid w:val="00D57874"/>
    <w:rsid w:val="00D604BF"/>
    <w:rsid w:val="00D605B1"/>
    <w:rsid w:val="00D60DFE"/>
    <w:rsid w:val="00D61502"/>
    <w:rsid w:val="00D6217A"/>
    <w:rsid w:val="00D6387D"/>
    <w:rsid w:val="00D63AE6"/>
    <w:rsid w:val="00D64C70"/>
    <w:rsid w:val="00D64F4F"/>
    <w:rsid w:val="00D655E3"/>
    <w:rsid w:val="00D65B02"/>
    <w:rsid w:val="00D661AA"/>
    <w:rsid w:val="00D66DA0"/>
    <w:rsid w:val="00D67284"/>
    <w:rsid w:val="00D6789E"/>
    <w:rsid w:val="00D71481"/>
    <w:rsid w:val="00D71994"/>
    <w:rsid w:val="00D71E3E"/>
    <w:rsid w:val="00D71F50"/>
    <w:rsid w:val="00D7304A"/>
    <w:rsid w:val="00D741A9"/>
    <w:rsid w:val="00D77560"/>
    <w:rsid w:val="00D77A19"/>
    <w:rsid w:val="00D8025D"/>
    <w:rsid w:val="00D8030E"/>
    <w:rsid w:val="00D81892"/>
    <w:rsid w:val="00D81B06"/>
    <w:rsid w:val="00D8343F"/>
    <w:rsid w:val="00D83F4D"/>
    <w:rsid w:val="00D850A6"/>
    <w:rsid w:val="00D85606"/>
    <w:rsid w:val="00D8629B"/>
    <w:rsid w:val="00D86F8E"/>
    <w:rsid w:val="00D8759B"/>
    <w:rsid w:val="00D87CB3"/>
    <w:rsid w:val="00D9074B"/>
    <w:rsid w:val="00D909EA"/>
    <w:rsid w:val="00D91861"/>
    <w:rsid w:val="00D93314"/>
    <w:rsid w:val="00D94079"/>
    <w:rsid w:val="00D95758"/>
    <w:rsid w:val="00D95B95"/>
    <w:rsid w:val="00D97294"/>
    <w:rsid w:val="00D97400"/>
    <w:rsid w:val="00DA0807"/>
    <w:rsid w:val="00DA0E7A"/>
    <w:rsid w:val="00DA10FA"/>
    <w:rsid w:val="00DA17A9"/>
    <w:rsid w:val="00DA1F23"/>
    <w:rsid w:val="00DA2214"/>
    <w:rsid w:val="00DA4207"/>
    <w:rsid w:val="00DA4C13"/>
    <w:rsid w:val="00DA54FB"/>
    <w:rsid w:val="00DA56AD"/>
    <w:rsid w:val="00DA60F7"/>
    <w:rsid w:val="00DA672B"/>
    <w:rsid w:val="00DA6BCE"/>
    <w:rsid w:val="00DA7368"/>
    <w:rsid w:val="00DA77FC"/>
    <w:rsid w:val="00DB0B52"/>
    <w:rsid w:val="00DB152F"/>
    <w:rsid w:val="00DB18D9"/>
    <w:rsid w:val="00DB2812"/>
    <w:rsid w:val="00DB2886"/>
    <w:rsid w:val="00DB2A87"/>
    <w:rsid w:val="00DB6C9D"/>
    <w:rsid w:val="00DB6F5E"/>
    <w:rsid w:val="00DB7847"/>
    <w:rsid w:val="00DB7A53"/>
    <w:rsid w:val="00DC0A4B"/>
    <w:rsid w:val="00DC0F0E"/>
    <w:rsid w:val="00DC12F9"/>
    <w:rsid w:val="00DC1C55"/>
    <w:rsid w:val="00DC24FE"/>
    <w:rsid w:val="00DC283A"/>
    <w:rsid w:val="00DC2DDC"/>
    <w:rsid w:val="00DC30A8"/>
    <w:rsid w:val="00DC3326"/>
    <w:rsid w:val="00DC3AF9"/>
    <w:rsid w:val="00DC3D3B"/>
    <w:rsid w:val="00DC58C1"/>
    <w:rsid w:val="00DC5FDF"/>
    <w:rsid w:val="00DC61C0"/>
    <w:rsid w:val="00DC68F8"/>
    <w:rsid w:val="00DC6A34"/>
    <w:rsid w:val="00DD0283"/>
    <w:rsid w:val="00DD0F83"/>
    <w:rsid w:val="00DD260E"/>
    <w:rsid w:val="00DD352E"/>
    <w:rsid w:val="00DD3761"/>
    <w:rsid w:val="00DD4BD8"/>
    <w:rsid w:val="00DD5DF5"/>
    <w:rsid w:val="00DD6599"/>
    <w:rsid w:val="00DD6FA6"/>
    <w:rsid w:val="00DD7E68"/>
    <w:rsid w:val="00DD7E9A"/>
    <w:rsid w:val="00DE01FF"/>
    <w:rsid w:val="00DE023B"/>
    <w:rsid w:val="00DE1BF1"/>
    <w:rsid w:val="00DE307D"/>
    <w:rsid w:val="00DE3C27"/>
    <w:rsid w:val="00DE3D48"/>
    <w:rsid w:val="00DE6671"/>
    <w:rsid w:val="00DE68EA"/>
    <w:rsid w:val="00DF1193"/>
    <w:rsid w:val="00DF173F"/>
    <w:rsid w:val="00DF1B82"/>
    <w:rsid w:val="00DF2B1C"/>
    <w:rsid w:val="00DF4601"/>
    <w:rsid w:val="00DF4A21"/>
    <w:rsid w:val="00DF544F"/>
    <w:rsid w:val="00DF5B40"/>
    <w:rsid w:val="00DF6013"/>
    <w:rsid w:val="00DF7040"/>
    <w:rsid w:val="00E0004F"/>
    <w:rsid w:val="00E003C7"/>
    <w:rsid w:val="00E007A5"/>
    <w:rsid w:val="00E01416"/>
    <w:rsid w:val="00E01E3F"/>
    <w:rsid w:val="00E030CC"/>
    <w:rsid w:val="00E04282"/>
    <w:rsid w:val="00E051A9"/>
    <w:rsid w:val="00E0563B"/>
    <w:rsid w:val="00E07058"/>
    <w:rsid w:val="00E07440"/>
    <w:rsid w:val="00E103EA"/>
    <w:rsid w:val="00E104B8"/>
    <w:rsid w:val="00E10B31"/>
    <w:rsid w:val="00E10BCE"/>
    <w:rsid w:val="00E10CA4"/>
    <w:rsid w:val="00E10CDF"/>
    <w:rsid w:val="00E11C9A"/>
    <w:rsid w:val="00E13648"/>
    <w:rsid w:val="00E142D1"/>
    <w:rsid w:val="00E14333"/>
    <w:rsid w:val="00E146AC"/>
    <w:rsid w:val="00E14A2D"/>
    <w:rsid w:val="00E15BA1"/>
    <w:rsid w:val="00E16FF8"/>
    <w:rsid w:val="00E17CD4"/>
    <w:rsid w:val="00E20AF0"/>
    <w:rsid w:val="00E2471A"/>
    <w:rsid w:val="00E2495A"/>
    <w:rsid w:val="00E24A55"/>
    <w:rsid w:val="00E25370"/>
    <w:rsid w:val="00E2750F"/>
    <w:rsid w:val="00E27771"/>
    <w:rsid w:val="00E27DAF"/>
    <w:rsid w:val="00E30903"/>
    <w:rsid w:val="00E3151B"/>
    <w:rsid w:val="00E32312"/>
    <w:rsid w:val="00E3335F"/>
    <w:rsid w:val="00E34ACF"/>
    <w:rsid w:val="00E34E50"/>
    <w:rsid w:val="00E351E5"/>
    <w:rsid w:val="00E3595F"/>
    <w:rsid w:val="00E41F5A"/>
    <w:rsid w:val="00E421A1"/>
    <w:rsid w:val="00E45921"/>
    <w:rsid w:val="00E46419"/>
    <w:rsid w:val="00E505C6"/>
    <w:rsid w:val="00E5074A"/>
    <w:rsid w:val="00E50A50"/>
    <w:rsid w:val="00E526DF"/>
    <w:rsid w:val="00E5285F"/>
    <w:rsid w:val="00E53164"/>
    <w:rsid w:val="00E56407"/>
    <w:rsid w:val="00E564AA"/>
    <w:rsid w:val="00E576EC"/>
    <w:rsid w:val="00E60E02"/>
    <w:rsid w:val="00E60E51"/>
    <w:rsid w:val="00E61006"/>
    <w:rsid w:val="00E61804"/>
    <w:rsid w:val="00E61CD0"/>
    <w:rsid w:val="00E6280A"/>
    <w:rsid w:val="00E6298F"/>
    <w:rsid w:val="00E63575"/>
    <w:rsid w:val="00E63A23"/>
    <w:rsid w:val="00E6454C"/>
    <w:rsid w:val="00E65D3E"/>
    <w:rsid w:val="00E679FC"/>
    <w:rsid w:val="00E70E50"/>
    <w:rsid w:val="00E7118C"/>
    <w:rsid w:val="00E7159E"/>
    <w:rsid w:val="00E72D97"/>
    <w:rsid w:val="00E731CC"/>
    <w:rsid w:val="00E73F37"/>
    <w:rsid w:val="00E74F0B"/>
    <w:rsid w:val="00E7622D"/>
    <w:rsid w:val="00E807E7"/>
    <w:rsid w:val="00E8138F"/>
    <w:rsid w:val="00E81621"/>
    <w:rsid w:val="00E81907"/>
    <w:rsid w:val="00E81C59"/>
    <w:rsid w:val="00E82B40"/>
    <w:rsid w:val="00E84B67"/>
    <w:rsid w:val="00E85A08"/>
    <w:rsid w:val="00E85D31"/>
    <w:rsid w:val="00E874D5"/>
    <w:rsid w:val="00E879CC"/>
    <w:rsid w:val="00E92474"/>
    <w:rsid w:val="00E93323"/>
    <w:rsid w:val="00E936C3"/>
    <w:rsid w:val="00E93722"/>
    <w:rsid w:val="00E93B03"/>
    <w:rsid w:val="00E93EDF"/>
    <w:rsid w:val="00E95167"/>
    <w:rsid w:val="00E952A0"/>
    <w:rsid w:val="00E959BF"/>
    <w:rsid w:val="00E96B91"/>
    <w:rsid w:val="00E97831"/>
    <w:rsid w:val="00EA03B0"/>
    <w:rsid w:val="00EA1EBC"/>
    <w:rsid w:val="00EA1FCD"/>
    <w:rsid w:val="00EA327A"/>
    <w:rsid w:val="00EA40C3"/>
    <w:rsid w:val="00EA4283"/>
    <w:rsid w:val="00EA5EA2"/>
    <w:rsid w:val="00EB0BAB"/>
    <w:rsid w:val="00EB100F"/>
    <w:rsid w:val="00EB16D1"/>
    <w:rsid w:val="00EB1A2C"/>
    <w:rsid w:val="00EB266E"/>
    <w:rsid w:val="00EB3501"/>
    <w:rsid w:val="00EB378F"/>
    <w:rsid w:val="00EB436C"/>
    <w:rsid w:val="00EB43ED"/>
    <w:rsid w:val="00EB51FD"/>
    <w:rsid w:val="00EC0D75"/>
    <w:rsid w:val="00EC1F9E"/>
    <w:rsid w:val="00EC607A"/>
    <w:rsid w:val="00EC66F8"/>
    <w:rsid w:val="00EC6EBC"/>
    <w:rsid w:val="00EC7033"/>
    <w:rsid w:val="00EC71F7"/>
    <w:rsid w:val="00ED1955"/>
    <w:rsid w:val="00ED4127"/>
    <w:rsid w:val="00ED4209"/>
    <w:rsid w:val="00ED4860"/>
    <w:rsid w:val="00ED4A21"/>
    <w:rsid w:val="00ED535F"/>
    <w:rsid w:val="00ED56AA"/>
    <w:rsid w:val="00ED5FFF"/>
    <w:rsid w:val="00ED6AEB"/>
    <w:rsid w:val="00EE051F"/>
    <w:rsid w:val="00EE0EA0"/>
    <w:rsid w:val="00EE17BD"/>
    <w:rsid w:val="00EE18AB"/>
    <w:rsid w:val="00EE356C"/>
    <w:rsid w:val="00EE45DB"/>
    <w:rsid w:val="00EE4ADA"/>
    <w:rsid w:val="00EE5304"/>
    <w:rsid w:val="00EE68E8"/>
    <w:rsid w:val="00EE6CC6"/>
    <w:rsid w:val="00EF200A"/>
    <w:rsid w:val="00EF251F"/>
    <w:rsid w:val="00EF30CA"/>
    <w:rsid w:val="00EF3134"/>
    <w:rsid w:val="00EF5F83"/>
    <w:rsid w:val="00EF6D25"/>
    <w:rsid w:val="00EF7060"/>
    <w:rsid w:val="00EF7CEA"/>
    <w:rsid w:val="00F018C8"/>
    <w:rsid w:val="00F02E66"/>
    <w:rsid w:val="00F03494"/>
    <w:rsid w:val="00F03C69"/>
    <w:rsid w:val="00F047E3"/>
    <w:rsid w:val="00F0564A"/>
    <w:rsid w:val="00F06081"/>
    <w:rsid w:val="00F061C2"/>
    <w:rsid w:val="00F07BCB"/>
    <w:rsid w:val="00F10458"/>
    <w:rsid w:val="00F117E4"/>
    <w:rsid w:val="00F134DA"/>
    <w:rsid w:val="00F1435D"/>
    <w:rsid w:val="00F147D8"/>
    <w:rsid w:val="00F15194"/>
    <w:rsid w:val="00F15D30"/>
    <w:rsid w:val="00F16470"/>
    <w:rsid w:val="00F17A50"/>
    <w:rsid w:val="00F21C35"/>
    <w:rsid w:val="00F22312"/>
    <w:rsid w:val="00F2244D"/>
    <w:rsid w:val="00F24115"/>
    <w:rsid w:val="00F24DB6"/>
    <w:rsid w:val="00F26646"/>
    <w:rsid w:val="00F26C9A"/>
    <w:rsid w:val="00F279E3"/>
    <w:rsid w:val="00F335B5"/>
    <w:rsid w:val="00F34099"/>
    <w:rsid w:val="00F349FA"/>
    <w:rsid w:val="00F34F9D"/>
    <w:rsid w:val="00F35020"/>
    <w:rsid w:val="00F400B4"/>
    <w:rsid w:val="00F40491"/>
    <w:rsid w:val="00F406B5"/>
    <w:rsid w:val="00F40F3A"/>
    <w:rsid w:val="00F413B3"/>
    <w:rsid w:val="00F4205B"/>
    <w:rsid w:val="00F441CD"/>
    <w:rsid w:val="00F4427E"/>
    <w:rsid w:val="00F44B66"/>
    <w:rsid w:val="00F44C8C"/>
    <w:rsid w:val="00F45014"/>
    <w:rsid w:val="00F45791"/>
    <w:rsid w:val="00F4614A"/>
    <w:rsid w:val="00F467D4"/>
    <w:rsid w:val="00F471A3"/>
    <w:rsid w:val="00F479FD"/>
    <w:rsid w:val="00F50A72"/>
    <w:rsid w:val="00F53A23"/>
    <w:rsid w:val="00F54591"/>
    <w:rsid w:val="00F54863"/>
    <w:rsid w:val="00F54898"/>
    <w:rsid w:val="00F55B06"/>
    <w:rsid w:val="00F60CB7"/>
    <w:rsid w:val="00F60FD8"/>
    <w:rsid w:val="00F61141"/>
    <w:rsid w:val="00F62AC7"/>
    <w:rsid w:val="00F655F6"/>
    <w:rsid w:val="00F669B4"/>
    <w:rsid w:val="00F66D81"/>
    <w:rsid w:val="00F66D83"/>
    <w:rsid w:val="00F67EE3"/>
    <w:rsid w:val="00F70620"/>
    <w:rsid w:val="00F708F1"/>
    <w:rsid w:val="00F72B25"/>
    <w:rsid w:val="00F735BF"/>
    <w:rsid w:val="00F74433"/>
    <w:rsid w:val="00F75578"/>
    <w:rsid w:val="00F759F9"/>
    <w:rsid w:val="00F75C16"/>
    <w:rsid w:val="00F75E79"/>
    <w:rsid w:val="00F80386"/>
    <w:rsid w:val="00F8082C"/>
    <w:rsid w:val="00F81140"/>
    <w:rsid w:val="00F8252E"/>
    <w:rsid w:val="00F825B8"/>
    <w:rsid w:val="00F828BE"/>
    <w:rsid w:val="00F8600B"/>
    <w:rsid w:val="00F8763E"/>
    <w:rsid w:val="00F901C1"/>
    <w:rsid w:val="00F90275"/>
    <w:rsid w:val="00F91787"/>
    <w:rsid w:val="00F91C15"/>
    <w:rsid w:val="00F91CC9"/>
    <w:rsid w:val="00F92BA9"/>
    <w:rsid w:val="00F93942"/>
    <w:rsid w:val="00F94A36"/>
    <w:rsid w:val="00F95340"/>
    <w:rsid w:val="00F95A0E"/>
    <w:rsid w:val="00F978E3"/>
    <w:rsid w:val="00FA07F5"/>
    <w:rsid w:val="00FA0B99"/>
    <w:rsid w:val="00FA15F4"/>
    <w:rsid w:val="00FA1651"/>
    <w:rsid w:val="00FA2246"/>
    <w:rsid w:val="00FA2A73"/>
    <w:rsid w:val="00FA3183"/>
    <w:rsid w:val="00FA4471"/>
    <w:rsid w:val="00FA49CD"/>
    <w:rsid w:val="00FA51DB"/>
    <w:rsid w:val="00FA5458"/>
    <w:rsid w:val="00FA557E"/>
    <w:rsid w:val="00FA558C"/>
    <w:rsid w:val="00FA708A"/>
    <w:rsid w:val="00FA79FC"/>
    <w:rsid w:val="00FB0517"/>
    <w:rsid w:val="00FB0D15"/>
    <w:rsid w:val="00FB0EB1"/>
    <w:rsid w:val="00FB1EBF"/>
    <w:rsid w:val="00FB2751"/>
    <w:rsid w:val="00FB34E9"/>
    <w:rsid w:val="00FB38FA"/>
    <w:rsid w:val="00FB45C7"/>
    <w:rsid w:val="00FB4AB3"/>
    <w:rsid w:val="00FB7753"/>
    <w:rsid w:val="00FC21AD"/>
    <w:rsid w:val="00FC221F"/>
    <w:rsid w:val="00FC360A"/>
    <w:rsid w:val="00FC4823"/>
    <w:rsid w:val="00FC50BB"/>
    <w:rsid w:val="00FC55F9"/>
    <w:rsid w:val="00FD1B14"/>
    <w:rsid w:val="00FD1BF9"/>
    <w:rsid w:val="00FD3CE9"/>
    <w:rsid w:val="00FD3E54"/>
    <w:rsid w:val="00FD4078"/>
    <w:rsid w:val="00FD63D1"/>
    <w:rsid w:val="00FE040F"/>
    <w:rsid w:val="00FE0D1D"/>
    <w:rsid w:val="00FE1D6C"/>
    <w:rsid w:val="00FE2721"/>
    <w:rsid w:val="00FE40D2"/>
    <w:rsid w:val="00FE4762"/>
    <w:rsid w:val="00FE4B26"/>
    <w:rsid w:val="00FE6F54"/>
    <w:rsid w:val="00FE7CB7"/>
    <w:rsid w:val="00FF00D8"/>
    <w:rsid w:val="00FF00FF"/>
    <w:rsid w:val="00FF0374"/>
    <w:rsid w:val="00FF22A7"/>
    <w:rsid w:val="00FF3638"/>
    <w:rsid w:val="00FF40CD"/>
    <w:rsid w:val="00FF5504"/>
    <w:rsid w:val="00FF55B0"/>
    <w:rsid w:val="00FF6EDA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B52C535-422A-466C-9D22-DCF9F1AD4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9599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9599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9599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695995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"/>
    <w:next w:val="a"/>
    <w:link w:val="af1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0">
    <w:name w:val="頁首 字元"/>
    <w:link w:val="af"/>
    <w:rsid w:val="00AA6B2B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A6B2B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basedOn w:val="a"/>
    <w:link w:val="af6"/>
    <w:uiPriority w:val="99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CD0CFA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2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8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Balloon Text"/>
    <w:basedOn w:val="a"/>
    <w:link w:val="afa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8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8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5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">
    <w:name w:val="表格格線4"/>
    <w:basedOn w:val="a1"/>
    <w:next w:val="af8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afb">
    <w:name w:val="字元 字元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0">
    <w:name w:val="標題 1 字元"/>
    <w:link w:val="1"/>
    <w:rsid w:val="00695995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95995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695995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146">
    <w:name w:val="第二層(14號字) 字元"/>
    <w:rsid w:val="0069599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7">
    <w:name w:val="(一)下內文 字元"/>
    <w:link w:val="a6"/>
    <w:rsid w:val="00695995"/>
  </w:style>
  <w:style w:type="character" w:customStyle="1" w:styleId="af1">
    <w:name w:val="圖表目錄 字元"/>
    <w:link w:val="aa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95995"/>
    <w:rPr>
      <w:rFonts w:ascii="標楷體" w:eastAsia="標楷體"/>
      <w:snapToGrid w:val="0"/>
      <w:kern w:val="2"/>
      <w:sz w:val="24"/>
      <w:szCs w:val="28"/>
    </w:rPr>
  </w:style>
  <w:style w:type="character" w:customStyle="1" w:styleId="201">
    <w:name w:val="表格內文(20行高) 字元"/>
    <w:link w:val="200"/>
    <w:rsid w:val="00695995"/>
  </w:style>
  <w:style w:type="paragraph" w:styleId="32">
    <w:name w:val="toc 3"/>
    <w:basedOn w:val="a"/>
    <w:next w:val="a"/>
    <w:autoRedefine/>
    <w:semiHidden/>
    <w:rsid w:val="00695995"/>
    <w:pPr>
      <w:spacing w:line="480" w:lineRule="exact"/>
      <w:ind w:leftChars="400" w:left="960"/>
    </w:pPr>
    <w:rPr>
      <w:rFonts w:ascii="Times New Roman"/>
      <w:sz w:val="24"/>
    </w:rPr>
  </w:style>
  <w:style w:type="paragraph" w:styleId="40">
    <w:name w:val="toc 4"/>
    <w:basedOn w:val="a"/>
    <w:next w:val="a"/>
    <w:autoRedefine/>
    <w:semiHidden/>
    <w:rsid w:val="00695995"/>
    <w:pPr>
      <w:spacing w:line="480" w:lineRule="exact"/>
      <w:ind w:leftChars="600" w:left="1440"/>
    </w:pPr>
    <w:rPr>
      <w:rFonts w:ascii="Times New Roman"/>
      <w:sz w:val="24"/>
    </w:rPr>
  </w:style>
  <w:style w:type="paragraph" w:styleId="5">
    <w:name w:val="toc 5"/>
    <w:basedOn w:val="a"/>
    <w:next w:val="a"/>
    <w:autoRedefine/>
    <w:semiHidden/>
    <w:rsid w:val="00695995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695995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695995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695995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695995"/>
    <w:pPr>
      <w:spacing w:line="480" w:lineRule="exact"/>
      <w:ind w:leftChars="1600" w:left="3840"/>
    </w:pPr>
    <w:rPr>
      <w:rFonts w:ascii="Times New Roman"/>
    </w:rPr>
  </w:style>
  <w:style w:type="paragraph" w:customStyle="1" w:styleId="afc">
    <w:name w:val="題目"/>
    <w:basedOn w:val="a"/>
    <w:rsid w:val="00695995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character" w:styleId="afd">
    <w:name w:val="annotation reference"/>
    <w:semiHidden/>
    <w:rsid w:val="00695995"/>
    <w:rPr>
      <w:sz w:val="18"/>
      <w:szCs w:val="18"/>
    </w:rPr>
  </w:style>
  <w:style w:type="paragraph" w:styleId="afe">
    <w:name w:val="annotation text"/>
    <w:basedOn w:val="a"/>
    <w:link w:val="aff"/>
    <w:semiHidden/>
    <w:rsid w:val="00695995"/>
    <w:pPr>
      <w:jc w:val="left"/>
    </w:pPr>
  </w:style>
  <w:style w:type="character" w:customStyle="1" w:styleId="aff">
    <w:name w:val="註解文字 字元"/>
    <w:link w:val="afe"/>
    <w:semiHidden/>
    <w:rsid w:val="00695995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semiHidden/>
    <w:rsid w:val="00695995"/>
    <w:rPr>
      <w:b/>
      <w:bCs/>
    </w:rPr>
  </w:style>
  <w:style w:type="character" w:customStyle="1" w:styleId="aff1">
    <w:name w:val="註解主旨 字元"/>
    <w:link w:val="aff0"/>
    <w:semiHidden/>
    <w:rsid w:val="00695995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50">
    <w:name w:val="字元 字元5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2">
    <w:name w:val="Strong"/>
    <w:qFormat/>
    <w:rsid w:val="00695995"/>
    <w:rPr>
      <w:b/>
      <w:bCs/>
    </w:rPr>
  </w:style>
  <w:style w:type="paragraph" w:customStyle="1" w:styleId="17">
    <w:name w:val="字元 字元1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60">
    <w:name w:val="字元 字元6"/>
    <w:basedOn w:val="a"/>
    <w:semiHidden/>
    <w:rsid w:val="0069599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 字元 字元 字元 字元"/>
    <w:basedOn w:val="a"/>
    <w:semiHidden/>
    <w:rsid w:val="009B2C87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3">
    <w:name w:val="字元 字元 字元"/>
    <w:basedOn w:val="a"/>
    <w:semiHidden/>
    <w:rsid w:val="00AE550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d">
    <w:name w:val="姓名及分機 字元"/>
    <w:link w:val="ac"/>
    <w:rsid w:val="007C2535"/>
    <w:rPr>
      <w:rFonts w:ascii="標楷體" w:eastAsia="標楷體"/>
      <w:snapToGrid w:val="0"/>
      <w:kern w:val="2"/>
      <w:sz w:val="24"/>
      <w:szCs w:val="28"/>
    </w:rPr>
  </w:style>
  <w:style w:type="paragraph" w:customStyle="1" w:styleId="27">
    <w:name w:val="2"/>
    <w:basedOn w:val="a"/>
    <w:rsid w:val="007C2535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7C2535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character" w:customStyle="1" w:styleId="145">
    <w:name w:val="第一層(14號字) 字元"/>
    <w:link w:val="144"/>
    <w:rsid w:val="006C6E7C"/>
    <w:rPr>
      <w:rFonts w:ascii="標楷體" w:eastAsia="標楷體"/>
      <w:b/>
      <w:snapToGrid w:val="0"/>
      <w:kern w:val="2"/>
      <w:sz w:val="28"/>
    </w:rPr>
  </w:style>
  <w:style w:type="character" w:customStyle="1" w:styleId="st1">
    <w:name w:val="st1"/>
    <w:rsid w:val="0069529A"/>
  </w:style>
  <w:style w:type="paragraph" w:customStyle="1" w:styleId="0-">
    <w:name w:val="0-註腳"/>
    <w:basedOn w:val="af5"/>
    <w:qFormat/>
    <w:rsid w:val="00375F62"/>
    <w:pPr>
      <w:spacing w:line="280" w:lineRule="exact"/>
      <w:ind w:leftChars="0" w:left="70" w:firstLineChars="0" w:hanging="70"/>
    </w:pPr>
    <w:rPr>
      <w:sz w:val="24"/>
      <w:szCs w:val="24"/>
    </w:rPr>
  </w:style>
  <w:style w:type="paragraph" w:customStyle="1" w:styleId="aff4">
    <w:name w:val="表格內文資料來源"/>
    <w:basedOn w:val="a"/>
    <w:rsid w:val="00726957"/>
    <w:pPr>
      <w:spacing w:line="280" w:lineRule="exact"/>
      <w:ind w:leftChars="0" w:left="0" w:firstLineChars="0" w:firstLine="0"/>
      <w:jc w:val="left"/>
    </w:pPr>
    <w:rPr>
      <w:rFonts w:cs="新細明體"/>
      <w:sz w:val="24"/>
      <w:szCs w:val="20"/>
    </w:rPr>
  </w:style>
  <w:style w:type="paragraph" w:customStyle="1" w:styleId="0--2">
    <w:name w:val="0-表格內文-2"/>
    <w:basedOn w:val="142"/>
    <w:qFormat/>
    <w:rsid w:val="00726957"/>
    <w:pPr>
      <w:ind w:left="97" w:hangingChars="40" w:hanging="97"/>
    </w:pPr>
    <w:rPr>
      <w:rFonts w:hAnsi="標楷體" w:cs="Arial"/>
      <w:snapToGrid/>
      <w:spacing w:val="-5"/>
      <w:shd w:val="clear" w:color="auto" w:fill="FFFFFF"/>
    </w:rPr>
  </w:style>
  <w:style w:type="paragraph" w:customStyle="1" w:styleId="0-0">
    <w:name w:val="0-標題之下"/>
    <w:basedOn w:val="a4"/>
    <w:qFormat/>
    <w:rsid w:val="00726957"/>
    <w:pPr>
      <w:ind w:leftChars="215" w:left="609" w:firstLineChars="199" w:firstLine="564"/>
    </w:pPr>
    <w:rPr>
      <w:snapToGrid/>
    </w:rPr>
  </w:style>
  <w:style w:type="paragraph" w:customStyle="1" w:styleId="03">
    <w:name w:val="0一下內文3"/>
    <w:basedOn w:val="a"/>
    <w:qFormat/>
    <w:rsid w:val="00726957"/>
    <w:pPr>
      <w:widowControl/>
      <w:ind w:leftChars="205" w:left="588" w:hangingChars="5" w:hanging="14"/>
    </w:pPr>
    <w:rPr>
      <w:snapToGrid/>
      <w:szCs w:val="20"/>
      <w:lang w:eastAsia="zh-HK"/>
    </w:rPr>
  </w:style>
  <w:style w:type="paragraph" w:customStyle="1" w:styleId="0">
    <w:name w:val="0註腳"/>
    <w:basedOn w:val="af5"/>
    <w:qFormat/>
    <w:rsid w:val="00064E38"/>
    <w:pPr>
      <w:spacing w:line="300" w:lineRule="exact"/>
      <w:ind w:leftChars="10" w:left="153" w:hangingChars="52" w:hanging="125"/>
      <w:jc w:val="both"/>
    </w:pPr>
    <w:rPr>
      <w:rFonts w:hAnsi="標楷體" w:cs="Arial"/>
      <w:snapToGrid/>
      <w:sz w:val="24"/>
      <w:szCs w:val="24"/>
      <w:shd w:val="clear" w:color="auto" w:fill="FFFFFF"/>
      <w:lang w:val="x-none" w:eastAsia="zh-HK"/>
    </w:rPr>
  </w:style>
  <w:style w:type="character" w:customStyle="1" w:styleId="160">
    <w:name w:val="第一層(16號字) 字元"/>
    <w:link w:val="16"/>
    <w:rsid w:val="00AB2E8E"/>
    <w:rPr>
      <w:rFonts w:ascii="標楷體" w:eastAsia="標楷體"/>
      <w:b/>
      <w:snapToGrid w:val="0"/>
      <w:kern w:val="2"/>
      <w:sz w:val="32"/>
    </w:rPr>
  </w:style>
  <w:style w:type="paragraph" w:customStyle="1" w:styleId="18">
    <w:name w:val="1"/>
    <w:basedOn w:val="a"/>
    <w:semiHidden/>
    <w:rsid w:val="0090570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2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7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875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77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0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9BEA6-7173-4B1A-96C7-966CB357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459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3075</CharactersWithSpaces>
  <SharedDoc>false</SharedDoc>
  <HLinks>
    <vt:vector size="36" baseType="variant">
      <vt:variant>
        <vt:i4>1572914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_Toc184636472</vt:lpwstr>
      </vt:variant>
      <vt:variant>
        <vt:i4>1572914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_Toc184636471</vt:lpwstr>
      </vt:variant>
      <vt:variant>
        <vt:i4>1572914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_Toc184636470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_Toc184636469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_Toc184636468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_Toc184636467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2023-10-16T05:33:00Z</cp:lastPrinted>
  <dcterms:created xsi:type="dcterms:W3CDTF">2024-12-12T07:23:00Z</dcterms:created>
  <dcterms:modified xsi:type="dcterms:W3CDTF">2024-12-12T07:23:00Z</dcterms:modified>
</cp:coreProperties>
</file>