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bookmarkStart w:id="0" w:name="_GoBack"/>
      <w:bookmarkEnd w:id="0"/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Default="00662C81" w:rsidP="00C0758B">
      <w:pPr>
        <w:pStyle w:val="14"/>
        <w:ind w:left="567" w:hanging="567"/>
        <w:rPr>
          <w:rFonts w:hint="eastAsia"/>
        </w:rPr>
      </w:pPr>
      <w:bookmarkStart w:id="1" w:name="_Toc244511081"/>
      <w:bookmarkStart w:id="2" w:name="_Toc318815549"/>
      <w:bookmarkStart w:id="3" w:name="_Toc338838169"/>
      <w:bookmarkStart w:id="4" w:name="_Toc184803352"/>
      <w:r>
        <w:rPr>
          <w:rFonts w:hint="eastAsia"/>
        </w:rPr>
        <w:t>一、</w:t>
      </w:r>
      <w:r w:rsidR="00D31070">
        <w:rPr>
          <w:rFonts w:hint="eastAsia"/>
        </w:rPr>
        <w:t>歲入預算</w:t>
      </w:r>
      <w:r w:rsidR="009A05BF">
        <w:rPr>
          <w:rFonts w:hint="eastAsia"/>
        </w:rPr>
        <w:t>超收率逾</w:t>
      </w:r>
      <w:r w:rsidR="00D31070">
        <w:rPr>
          <w:rFonts w:hint="eastAsia"/>
        </w:rPr>
        <w:t>2成</w:t>
      </w:r>
      <w:r w:rsidR="008D7422">
        <w:rPr>
          <w:rFonts w:hAnsi="標楷體" w:hint="eastAsia"/>
        </w:rPr>
        <w:t>，惟</w:t>
      </w:r>
      <w:r w:rsidR="008D7422">
        <w:rPr>
          <w:rFonts w:hint="eastAsia"/>
        </w:rPr>
        <w:t>部分罰金罰鍰</w:t>
      </w:r>
      <w:r w:rsidR="005E5B30">
        <w:rPr>
          <w:rFonts w:hint="eastAsia"/>
        </w:rPr>
        <w:t>於年度結束前</w:t>
      </w:r>
      <w:r w:rsidR="008D7422">
        <w:rPr>
          <w:rFonts w:hint="eastAsia"/>
        </w:rPr>
        <w:t>尚未</w:t>
      </w:r>
      <w:r w:rsidR="000351C7">
        <w:rPr>
          <w:rFonts w:hint="eastAsia"/>
        </w:rPr>
        <w:t>完成</w:t>
      </w:r>
      <w:r w:rsidR="008D7422">
        <w:rPr>
          <w:rFonts w:hint="eastAsia"/>
        </w:rPr>
        <w:t>繳納</w:t>
      </w:r>
      <w:r w:rsidR="008D7422">
        <w:rPr>
          <w:rFonts w:hAnsi="標楷體" w:hint="eastAsia"/>
        </w:rPr>
        <w:t>，</w:t>
      </w:r>
      <w:r w:rsidR="008D7422">
        <w:rPr>
          <w:rFonts w:hint="eastAsia"/>
        </w:rPr>
        <w:t>允宜積極追繳</w:t>
      </w:r>
      <w:r w:rsidR="008D7422">
        <w:rPr>
          <w:rFonts w:hAnsi="標楷體" w:hint="eastAsia"/>
        </w:rPr>
        <w:t>，</w:t>
      </w:r>
      <w:r w:rsidR="008D7422">
        <w:rPr>
          <w:rFonts w:hint="eastAsia"/>
        </w:rPr>
        <w:t>以</w:t>
      </w:r>
      <w:r w:rsidR="000351C7">
        <w:rPr>
          <w:rFonts w:hint="eastAsia"/>
        </w:rPr>
        <w:t>保障</w:t>
      </w:r>
      <w:r w:rsidR="008D7422">
        <w:rPr>
          <w:rFonts w:hint="eastAsia"/>
        </w:rPr>
        <w:t>政府權益</w:t>
      </w:r>
      <w:r w:rsidR="000351C7">
        <w:rPr>
          <w:rFonts w:hint="eastAsia"/>
        </w:rPr>
        <w:t>，並維護法律的公信力</w:t>
      </w:r>
      <w:bookmarkEnd w:id="4"/>
    </w:p>
    <w:p w:rsidR="00662C81" w:rsidRPr="00C9010F" w:rsidRDefault="00125EE1" w:rsidP="00D31070">
      <w:pPr>
        <w:ind w:left="566" w:firstLine="566"/>
        <w:rPr>
          <w:rFonts w:hint="eastAsia"/>
          <w:snapToGrid/>
        </w:rPr>
      </w:pPr>
      <w:r w:rsidRPr="00125EE1">
        <w:rPr>
          <w:rFonts w:hint="eastAsia"/>
        </w:rPr>
        <w:t>國家通訊傳播委員會</w:t>
      </w:r>
      <w:r>
        <w:rPr>
          <w:rFonts w:hint="eastAsia"/>
        </w:rPr>
        <w:t>（以下簡稱</w:t>
      </w:r>
      <w:r w:rsidR="00662C81" w:rsidRPr="00E860A9">
        <w:rPr>
          <w:rFonts w:hint="eastAsia"/>
        </w:rPr>
        <w:t>通傳會</w:t>
      </w:r>
      <w:r>
        <w:rPr>
          <w:rFonts w:hint="eastAsia"/>
        </w:rPr>
        <w:t>）</w:t>
      </w:r>
      <w:r w:rsidR="006705A9">
        <w:rPr>
          <w:rFonts w:hint="eastAsia"/>
        </w:rPr>
        <w:t>112年度</w:t>
      </w:r>
      <w:r w:rsidR="002557AF">
        <w:rPr>
          <w:rFonts w:hint="eastAsia"/>
        </w:rPr>
        <w:t>歲入預算</w:t>
      </w:r>
      <w:r w:rsidR="00D31070">
        <w:t>數2</w:t>
      </w:r>
      <w:r w:rsidR="00D31070">
        <w:rPr>
          <w:rFonts w:hint="eastAsia"/>
        </w:rPr>
        <w:t>億</w:t>
      </w:r>
      <w:r w:rsidR="00D31070">
        <w:t>2,862</w:t>
      </w:r>
      <w:r w:rsidR="00D31070">
        <w:rPr>
          <w:rFonts w:hint="eastAsia"/>
        </w:rPr>
        <w:t>萬</w:t>
      </w:r>
      <w:r w:rsidR="00D31070">
        <w:t>8</w:t>
      </w:r>
      <w:r w:rsidR="00D31070">
        <w:rPr>
          <w:rFonts w:hint="eastAsia"/>
        </w:rPr>
        <w:t>千</w:t>
      </w:r>
      <w:r w:rsidR="00D31070">
        <w:t>元，決算數(含應收數)2</w:t>
      </w:r>
      <w:r w:rsidR="00D31070">
        <w:rPr>
          <w:rFonts w:hint="eastAsia"/>
        </w:rPr>
        <w:t>億</w:t>
      </w:r>
      <w:r w:rsidR="00D31070">
        <w:t>8,25</w:t>
      </w:r>
      <w:r w:rsidR="00D31070">
        <w:rPr>
          <w:rFonts w:hint="eastAsia"/>
        </w:rPr>
        <w:t>5萬8千</w:t>
      </w:r>
      <w:r w:rsidR="00D31070">
        <w:t>元，較預算數</w:t>
      </w:r>
      <w:r w:rsidR="002557AF">
        <w:rPr>
          <w:rFonts w:hint="eastAsia"/>
        </w:rPr>
        <w:t>超收</w:t>
      </w:r>
      <w:r w:rsidR="00D31070">
        <w:t>5,39</w:t>
      </w:r>
      <w:r w:rsidR="00D31070">
        <w:rPr>
          <w:rFonts w:hint="eastAsia"/>
        </w:rPr>
        <w:t>3萬</w:t>
      </w:r>
      <w:r w:rsidR="00D31070">
        <w:t>元，</w:t>
      </w:r>
      <w:r w:rsidR="00512F0F">
        <w:rPr>
          <w:rFonts w:hint="eastAsia"/>
        </w:rPr>
        <w:t>超收</w:t>
      </w:r>
      <w:r w:rsidR="00EB027A">
        <w:rPr>
          <w:rFonts w:hint="eastAsia"/>
        </w:rPr>
        <w:t>率</w:t>
      </w:r>
      <w:r w:rsidR="00D31070">
        <w:rPr>
          <w:rFonts w:hint="eastAsia"/>
        </w:rPr>
        <w:t>達</w:t>
      </w:r>
      <w:r w:rsidR="00D31070">
        <w:t>23.5</w:t>
      </w:r>
      <w:r w:rsidR="007D3605">
        <w:rPr>
          <w:rFonts w:hint="eastAsia"/>
        </w:rPr>
        <w:t>8</w:t>
      </w:r>
      <w:r w:rsidR="00D31070">
        <w:t>%</w:t>
      </w:r>
      <w:r w:rsidR="00D31070">
        <w:rPr>
          <w:rFonts w:hAnsi="標楷體" w:hint="eastAsia"/>
        </w:rPr>
        <w:t>。執行情形</w:t>
      </w:r>
      <w:r w:rsidR="00662C81">
        <w:rPr>
          <w:rFonts w:hint="eastAsia"/>
        </w:rPr>
        <w:t>如下：</w:t>
      </w:r>
    </w:p>
    <w:p w:rsidR="00E15689" w:rsidRDefault="00662C81" w:rsidP="006D3A90">
      <w:pPr>
        <w:pStyle w:val="a4"/>
        <w:ind w:left="849" w:hanging="283"/>
        <w:rPr>
          <w:b/>
        </w:rPr>
      </w:pPr>
      <w:r w:rsidRPr="006D3A90">
        <w:rPr>
          <w:rFonts w:hint="eastAsia"/>
          <w:b/>
        </w:rPr>
        <w:t>(一)</w:t>
      </w:r>
      <w:r w:rsidR="00E54047" w:rsidRPr="00E54047">
        <w:rPr>
          <w:rFonts w:hint="eastAsia"/>
          <w:b/>
        </w:rPr>
        <w:t>112年度</w:t>
      </w:r>
      <w:r w:rsidR="00E15689">
        <w:rPr>
          <w:rFonts w:hint="eastAsia"/>
          <w:b/>
        </w:rPr>
        <w:t>歲入決算超收原因分析</w:t>
      </w:r>
    </w:p>
    <w:p w:rsidR="00792227" w:rsidRDefault="00D31070" w:rsidP="00792227">
      <w:pPr>
        <w:pStyle w:val="21"/>
        <w:ind w:left="850" w:firstLine="567"/>
        <w:rPr>
          <w:rFonts w:hAnsi="標楷體" w:hint="eastAsia"/>
        </w:rPr>
      </w:pPr>
      <w:r w:rsidRPr="00C9010F">
        <w:rPr>
          <w:rFonts w:hint="eastAsia"/>
          <w:b/>
        </w:rPr>
        <w:t xml:space="preserve"> </w:t>
      </w:r>
      <w:r w:rsidR="00EB027A" w:rsidRPr="00EB027A">
        <w:rPr>
          <w:rFonts w:hint="eastAsia"/>
        </w:rPr>
        <w:t>按</w:t>
      </w:r>
      <w:r w:rsidR="00EB027A">
        <w:rPr>
          <w:rFonts w:hint="eastAsia"/>
        </w:rPr>
        <w:t>該</w:t>
      </w:r>
      <w:r w:rsidR="00E15689">
        <w:rPr>
          <w:rFonts w:hint="eastAsia"/>
        </w:rPr>
        <w:t>會歲入各</w:t>
      </w:r>
      <w:r w:rsidR="00E15689" w:rsidRPr="00E15689">
        <w:rPr>
          <w:rFonts w:hint="eastAsia"/>
        </w:rPr>
        <w:t>科目</w:t>
      </w:r>
      <w:r w:rsidR="00502E3E">
        <w:rPr>
          <w:rFonts w:hint="eastAsia"/>
        </w:rPr>
        <w:t>決算數分析</w:t>
      </w:r>
      <w:r w:rsidR="000351C7">
        <w:rPr>
          <w:rFonts w:hAnsi="標楷體" w:hint="eastAsia"/>
        </w:rPr>
        <w:t>(詳表1)</w:t>
      </w:r>
      <w:r w:rsidR="00E15689">
        <w:rPr>
          <w:rFonts w:hAnsi="標楷體" w:hint="eastAsia"/>
        </w:rPr>
        <w:t>，</w:t>
      </w:r>
      <w:r w:rsidR="00E15689">
        <w:rPr>
          <w:rFonts w:hint="eastAsia"/>
        </w:rPr>
        <w:t>以</w:t>
      </w:r>
      <w:r w:rsidR="00E15689">
        <w:rPr>
          <w:rFonts w:hAnsi="標楷體" w:hint="eastAsia"/>
        </w:rPr>
        <w:t>「</w:t>
      </w:r>
      <w:r w:rsidR="00792227" w:rsidRPr="00512F0F">
        <w:rPr>
          <w:rFonts w:hAnsi="標楷體" w:hint="eastAsia"/>
        </w:rPr>
        <w:t>罰款及賠償收入</w:t>
      </w:r>
      <w:r w:rsidR="00792227">
        <w:rPr>
          <w:rFonts w:hAnsi="標楷體" w:hint="eastAsia"/>
        </w:rPr>
        <w:t>-</w:t>
      </w:r>
      <w:r w:rsidR="00E15689" w:rsidRPr="00E15689">
        <w:rPr>
          <w:rFonts w:hAnsi="標楷體" w:hint="eastAsia"/>
        </w:rPr>
        <w:t>罰金罰鍰及怠金</w:t>
      </w:r>
      <w:r w:rsidR="00E15689">
        <w:rPr>
          <w:rFonts w:hAnsi="標楷體" w:hint="eastAsia"/>
        </w:rPr>
        <w:t>」超收</w:t>
      </w:r>
      <w:r w:rsidR="00792227">
        <w:rPr>
          <w:rFonts w:hAnsi="標楷體" w:hint="eastAsia"/>
        </w:rPr>
        <w:t>金額3</w:t>
      </w:r>
      <w:r w:rsidR="00792227">
        <w:rPr>
          <w:rFonts w:hAnsi="標楷體"/>
        </w:rPr>
        <w:t>,</w:t>
      </w:r>
      <w:r w:rsidR="00792227">
        <w:rPr>
          <w:rFonts w:hAnsi="標楷體" w:hint="eastAsia"/>
        </w:rPr>
        <w:t>519萬8千元最高，主要係</w:t>
      </w:r>
      <w:r w:rsidR="00792227">
        <w:t>受處分人於其企業用戶申辦門號時，未落實用戶身分查核、未經核准製造電信管制射頻器材，以及未依規定設置公眾電信網路大型基地臺</w:t>
      </w:r>
      <w:r w:rsidR="00792227">
        <w:rPr>
          <w:rFonts w:hint="eastAsia"/>
        </w:rPr>
        <w:t>等</w:t>
      </w:r>
      <w:r w:rsidR="00792227">
        <w:t>，</w:t>
      </w:r>
      <w:r w:rsidR="00792227">
        <w:rPr>
          <w:rFonts w:hint="eastAsia"/>
        </w:rPr>
        <w:t>因</w:t>
      </w:r>
      <w:r w:rsidR="00792227">
        <w:t>違反電信管理法規定，致罰金罰鍰收入較預估數增加</w:t>
      </w:r>
      <w:r w:rsidR="00792227">
        <w:rPr>
          <w:rFonts w:ascii="新細明體" w:eastAsia="新細明體" w:hAnsi="新細明體" w:hint="eastAsia"/>
        </w:rPr>
        <w:t>；</w:t>
      </w:r>
      <w:r w:rsidR="001558F8" w:rsidRPr="001558F8">
        <w:rPr>
          <w:rFonts w:hint="eastAsia"/>
        </w:rPr>
        <w:t>另</w:t>
      </w:r>
      <w:r w:rsidR="00792227" w:rsidRPr="001558F8">
        <w:rPr>
          <w:rFonts w:hint="eastAsia"/>
        </w:rPr>
        <w:t>「</w:t>
      </w:r>
      <w:r w:rsidR="00792227" w:rsidRPr="00792227">
        <w:rPr>
          <w:rFonts w:hAnsi="標楷體" w:hint="eastAsia"/>
        </w:rPr>
        <w:t>規費收入-行政規費收入</w:t>
      </w:r>
      <w:r w:rsidR="00792227">
        <w:rPr>
          <w:rFonts w:hAnsi="標楷體" w:hint="eastAsia"/>
        </w:rPr>
        <w:t>」超收金額1</w:t>
      </w:r>
      <w:r w:rsidR="00792227">
        <w:rPr>
          <w:rFonts w:hAnsi="標楷體"/>
        </w:rPr>
        <w:t>,</w:t>
      </w:r>
      <w:r w:rsidR="00792227">
        <w:rPr>
          <w:rFonts w:hAnsi="標楷體" w:hint="eastAsia"/>
        </w:rPr>
        <w:t>852萬9千元</w:t>
      </w:r>
      <w:r w:rsidR="007376C0">
        <w:rPr>
          <w:rFonts w:hAnsi="標楷體" w:hint="eastAsia"/>
        </w:rPr>
        <w:t>次之</w:t>
      </w:r>
      <w:r w:rsidR="00792227">
        <w:rPr>
          <w:rFonts w:hAnsi="標楷體" w:hint="eastAsia"/>
        </w:rPr>
        <w:t>，主要因</w:t>
      </w:r>
      <w:r w:rsidR="00792227" w:rsidRPr="00792227">
        <w:rPr>
          <w:rFonts w:hAnsi="標楷體" w:hint="eastAsia"/>
        </w:rPr>
        <w:t xml:space="preserve"> 109 年 7 月 1 日施行之電信管理法規定，</w:t>
      </w:r>
      <w:r w:rsidR="00C15D0D">
        <w:rPr>
          <w:rFonts w:hAnsi="標楷體" w:hint="eastAsia"/>
        </w:rPr>
        <w:t>經</w:t>
      </w:r>
      <w:r w:rsidR="007376C0">
        <w:rPr>
          <w:rFonts w:hAnsi="標楷體" w:hint="eastAsia"/>
        </w:rPr>
        <w:t>申請轉換</w:t>
      </w:r>
      <w:r w:rsidR="007376C0" w:rsidRPr="007376C0">
        <w:rPr>
          <w:rFonts w:hAnsi="標楷體" w:hint="eastAsia"/>
        </w:rPr>
        <w:t>流程</w:t>
      </w:r>
      <w:r w:rsidR="007376C0">
        <w:rPr>
          <w:rFonts w:hAnsi="標楷體" w:hint="eastAsia"/>
        </w:rPr>
        <w:t>並</w:t>
      </w:r>
      <w:r w:rsidR="00792227" w:rsidRPr="00792227">
        <w:rPr>
          <w:rFonts w:hAnsi="標楷體" w:hint="eastAsia"/>
        </w:rPr>
        <w:t>完成登記後</w:t>
      </w:r>
      <w:r w:rsidR="00C15D0D">
        <w:rPr>
          <w:rFonts w:hAnsi="標楷體" w:hint="eastAsia"/>
        </w:rPr>
        <w:t>之業者</w:t>
      </w:r>
      <w:r w:rsidR="00792227" w:rsidRPr="00792227">
        <w:rPr>
          <w:rFonts w:hAnsi="標楷體" w:hint="eastAsia"/>
        </w:rPr>
        <w:t>無須繳納許可費</w:t>
      </w:r>
      <w:r w:rsidR="00792227">
        <w:rPr>
          <w:rFonts w:hAnsi="標楷體" w:hint="eastAsia"/>
        </w:rPr>
        <w:t>，惟</w:t>
      </w:r>
      <w:r w:rsidR="00792227">
        <w:t>業者轉換未如預期，致許可費收入較預估數增加，</w:t>
      </w:r>
      <w:r w:rsidR="001558F8">
        <w:rPr>
          <w:rFonts w:hint="eastAsia"/>
        </w:rPr>
        <w:t>以及</w:t>
      </w:r>
      <w:r w:rsidR="00792227">
        <w:t>公眾電信網路基地臺</w:t>
      </w:r>
      <w:r w:rsidR="00C15D0D">
        <w:t>電臺執照</w:t>
      </w:r>
      <w:r w:rsidR="00C15D0D">
        <w:rPr>
          <w:rFonts w:hint="eastAsia"/>
        </w:rPr>
        <w:t>換照</w:t>
      </w:r>
      <w:r w:rsidR="00792227">
        <w:t>案件高於預期</w:t>
      </w:r>
      <w:r w:rsidR="00C15D0D">
        <w:rPr>
          <w:rFonts w:hint="eastAsia"/>
        </w:rPr>
        <w:t>等因素</w:t>
      </w:r>
      <w:r w:rsidR="00792227">
        <w:t>，</w:t>
      </w:r>
      <w:r w:rsidR="007376C0">
        <w:rPr>
          <w:rFonts w:hint="eastAsia"/>
        </w:rPr>
        <w:t>亦</w:t>
      </w:r>
      <w:r w:rsidR="00792227">
        <w:t>使證照費收入增加</w:t>
      </w:r>
      <w:r w:rsidR="00A15451">
        <w:rPr>
          <w:rFonts w:hint="eastAsia"/>
        </w:rPr>
        <w:t>；其餘科目超收金額介於1萬1千元至11萬7千元</w:t>
      </w:r>
      <w:r w:rsidR="007376C0">
        <w:rPr>
          <w:rFonts w:hAnsi="標楷體" w:hint="eastAsia"/>
        </w:rPr>
        <w:t>。</w:t>
      </w:r>
    </w:p>
    <w:p w:rsidR="00512F0F" w:rsidRPr="00792227" w:rsidRDefault="00792227" w:rsidP="00792227">
      <w:pPr>
        <w:pStyle w:val="142"/>
        <w:spacing w:line="500" w:lineRule="exact"/>
        <w:ind w:right="-1"/>
        <w:rPr>
          <w:b/>
          <w:sz w:val="28"/>
        </w:rPr>
      </w:pPr>
      <w:r w:rsidRPr="00792227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112年度通傳會歲入</w:t>
      </w:r>
      <w:r w:rsidR="000351C7">
        <w:rPr>
          <w:rFonts w:hint="eastAsia"/>
          <w:b/>
          <w:sz w:val="28"/>
        </w:rPr>
        <w:t>預、</w:t>
      </w:r>
      <w:r>
        <w:rPr>
          <w:rFonts w:hint="eastAsia"/>
          <w:b/>
          <w:sz w:val="28"/>
        </w:rPr>
        <w:t>決算明細表</w:t>
      </w:r>
      <w:r w:rsidR="00A15451">
        <w:rPr>
          <w:rFonts w:hint="eastAsia"/>
          <w:b/>
          <w:sz w:val="28"/>
        </w:rPr>
        <w:t xml:space="preserve">   </w:t>
      </w:r>
      <w:r w:rsidR="000351C7">
        <w:rPr>
          <w:rFonts w:hint="eastAsia"/>
          <w:b/>
          <w:sz w:val="28"/>
        </w:rPr>
        <w:t xml:space="preserve">        </w:t>
      </w:r>
      <w:r w:rsidR="00A15451">
        <w:rPr>
          <w:rFonts w:hint="eastAsia"/>
          <w:b/>
          <w:sz w:val="28"/>
        </w:rPr>
        <w:t xml:space="preserve"> </w:t>
      </w:r>
      <w:r w:rsidRPr="00792227">
        <w:rPr>
          <w:rFonts w:hint="eastAsia"/>
          <w:szCs w:val="24"/>
        </w:rPr>
        <w:t>單位:</w:t>
      </w:r>
      <w:r w:rsidR="00A15451"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3"/>
        <w:gridCol w:w="1396"/>
        <w:gridCol w:w="1384"/>
        <w:gridCol w:w="1417"/>
      </w:tblGrid>
      <w:tr w:rsidR="00792227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科目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預算數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超收數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罰款及賠償收入-罰金罰鍰及怠金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19,000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54,198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14672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14672F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35,198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罰款及賠償收入-賠償收入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63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規費收入-行政規費收入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208,005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226,534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18,529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財產收入-財產孳息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1,623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1,634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    11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財產收入-廢舊物資售價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 117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A15451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</w:t>
            </w:r>
            <w:r w:rsidRPr="00A15451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 117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其他收入-雜項收入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-  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  12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12 </w:t>
            </w:r>
          </w:p>
        </w:tc>
      </w:tr>
      <w:tr w:rsidR="006705A9" w:rsidRPr="00512F0F" w:rsidTr="006705A9">
        <w:trPr>
          <w:trHeight w:val="218"/>
        </w:trPr>
        <w:tc>
          <w:tcPr>
            <w:tcW w:w="4303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合計</w:t>
            </w:r>
          </w:p>
        </w:tc>
        <w:tc>
          <w:tcPr>
            <w:tcW w:w="1396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228,628 </w:t>
            </w:r>
          </w:p>
        </w:tc>
        <w:tc>
          <w:tcPr>
            <w:tcW w:w="1384" w:type="dxa"/>
            <w:shd w:val="clear" w:color="auto" w:fill="auto"/>
            <w:noWrap/>
            <w:vAlign w:val="center"/>
            <w:hideMark/>
          </w:tcPr>
          <w:p w:rsidR="00512F0F" w:rsidRPr="001558F8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</w:t>
            </w:r>
            <w:r w:rsidRPr="001558F8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 xml:space="preserve">282,558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12F0F" w:rsidRPr="00512F0F" w:rsidRDefault="00512F0F" w:rsidP="00512F0F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12F0F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53,930 </w:t>
            </w:r>
          </w:p>
        </w:tc>
      </w:tr>
    </w:tbl>
    <w:p w:rsidR="00512F0F" w:rsidRPr="00512F0F" w:rsidRDefault="00792227" w:rsidP="00512F0F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整理自通傳會112年度單位決算</w:t>
      </w:r>
      <w:r>
        <w:rPr>
          <w:rFonts w:hAnsi="標楷體" w:hint="eastAsia"/>
        </w:rPr>
        <w:t>。</w:t>
      </w:r>
    </w:p>
    <w:p w:rsidR="00662C81" w:rsidRPr="00E54047" w:rsidRDefault="00662C81" w:rsidP="009C1AA0">
      <w:pPr>
        <w:pStyle w:val="a4"/>
        <w:ind w:left="845" w:hanging="279"/>
        <w:rPr>
          <w:rFonts w:hint="eastAsia"/>
          <w:b/>
          <w:spacing w:val="-2"/>
        </w:rPr>
      </w:pPr>
      <w:r w:rsidRPr="00E54047">
        <w:rPr>
          <w:rFonts w:hint="eastAsia"/>
          <w:b/>
          <w:spacing w:val="-2"/>
        </w:rPr>
        <w:t>(二)</w:t>
      </w:r>
      <w:r w:rsidR="00E54047" w:rsidRPr="00E54047">
        <w:rPr>
          <w:rFonts w:hint="eastAsia"/>
          <w:b/>
        </w:rPr>
        <w:t>部分罰金罰鍰</w:t>
      </w:r>
      <w:r w:rsidR="00E54047">
        <w:rPr>
          <w:rFonts w:hint="eastAsia"/>
          <w:b/>
        </w:rPr>
        <w:t>於年度結束前</w:t>
      </w:r>
      <w:r w:rsidR="00E54047" w:rsidRPr="00E54047">
        <w:rPr>
          <w:rFonts w:hint="eastAsia"/>
          <w:b/>
        </w:rPr>
        <w:t>尚未</w:t>
      </w:r>
      <w:r w:rsidR="000351C7">
        <w:rPr>
          <w:rFonts w:hint="eastAsia"/>
          <w:b/>
        </w:rPr>
        <w:t>完成</w:t>
      </w:r>
      <w:r w:rsidR="00E54047" w:rsidRPr="00E54047">
        <w:rPr>
          <w:rFonts w:hint="eastAsia"/>
          <w:b/>
        </w:rPr>
        <w:t>繳納</w:t>
      </w:r>
      <w:r w:rsidR="00E54047">
        <w:rPr>
          <w:rFonts w:hAnsi="標楷體" w:hint="eastAsia"/>
          <w:b/>
        </w:rPr>
        <w:t>，轉入</w:t>
      </w:r>
      <w:r w:rsidR="00E54047" w:rsidRPr="00E54047">
        <w:rPr>
          <w:rFonts w:hint="eastAsia"/>
          <w:b/>
          <w:spacing w:val="-2"/>
        </w:rPr>
        <w:t>歲入應收</w:t>
      </w:r>
      <w:r w:rsidR="00E54047" w:rsidRPr="00E54047">
        <w:rPr>
          <w:rFonts w:hint="eastAsia"/>
          <w:b/>
          <w:spacing w:val="-2"/>
        </w:rPr>
        <w:lastRenderedPageBreak/>
        <w:t>數</w:t>
      </w:r>
      <w:r w:rsidR="00E54047">
        <w:rPr>
          <w:rFonts w:hAnsi="標楷體" w:hint="eastAsia"/>
          <w:b/>
          <w:spacing w:val="-2"/>
        </w:rPr>
        <w:t>，</w:t>
      </w:r>
      <w:r w:rsidR="00E54047">
        <w:rPr>
          <w:rFonts w:hint="eastAsia"/>
          <w:b/>
          <w:spacing w:val="-2"/>
        </w:rPr>
        <w:t>允宜積極追繳</w:t>
      </w:r>
    </w:p>
    <w:p w:rsidR="00EB027A" w:rsidRDefault="00EB027A" w:rsidP="00EB027A">
      <w:pPr>
        <w:pStyle w:val="21"/>
        <w:ind w:left="850" w:firstLine="566"/>
      </w:pPr>
      <w:r>
        <w:rPr>
          <w:rFonts w:hint="eastAsia"/>
        </w:rPr>
        <w:t>112年度</w:t>
      </w:r>
      <w:r>
        <w:t>歲入</w:t>
      </w:r>
      <w:r>
        <w:rPr>
          <w:rFonts w:hint="eastAsia"/>
        </w:rPr>
        <w:t>決算數</w:t>
      </w:r>
      <w:r>
        <w:t>2</w:t>
      </w:r>
      <w:r>
        <w:rPr>
          <w:rFonts w:hint="eastAsia"/>
        </w:rPr>
        <w:t>億</w:t>
      </w:r>
      <w:r>
        <w:t>8,25</w:t>
      </w:r>
      <w:r>
        <w:rPr>
          <w:rFonts w:hint="eastAsia"/>
        </w:rPr>
        <w:t>5萬8千</w:t>
      </w:r>
      <w:r>
        <w:t>元</w:t>
      </w:r>
      <w:r>
        <w:rPr>
          <w:rFonts w:hAnsi="標楷體" w:hint="eastAsia"/>
        </w:rPr>
        <w:t>，其中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27</w:t>
      </w:r>
      <w:r w:rsidR="00296F26">
        <w:rPr>
          <w:rFonts w:hint="eastAsia"/>
        </w:rPr>
        <w:t>4</w:t>
      </w:r>
      <w:r>
        <w:rPr>
          <w:rFonts w:hint="eastAsia"/>
        </w:rPr>
        <w:t>萬5千元</w:t>
      </w:r>
      <w:r w:rsidR="00FE520F">
        <w:rPr>
          <w:rFonts w:hint="eastAsia"/>
        </w:rPr>
        <w:t>於</w:t>
      </w:r>
      <w:r w:rsidR="00FE520F">
        <w:t>年度結束前尚未繳納，</w:t>
      </w:r>
      <w:r w:rsidR="00FE520F">
        <w:rPr>
          <w:rFonts w:hint="eastAsia"/>
        </w:rPr>
        <w:t>故列</w:t>
      </w:r>
      <w:r w:rsidR="00FE520F">
        <w:t>入</w:t>
      </w:r>
      <w:r w:rsidR="00FE520F">
        <w:rPr>
          <w:rFonts w:hint="eastAsia"/>
        </w:rPr>
        <w:t>應收款，於下</w:t>
      </w:r>
      <w:r w:rsidR="00FE520F">
        <w:t>年度繼續執行</w:t>
      </w:r>
      <w:r w:rsidR="00296F26">
        <w:rPr>
          <w:rFonts w:hint="eastAsia"/>
        </w:rPr>
        <w:t>；</w:t>
      </w:r>
      <w:r w:rsidR="000E75FB">
        <w:rPr>
          <w:rFonts w:hint="eastAsia"/>
        </w:rPr>
        <w:t>前揭應收款主要</w:t>
      </w:r>
      <w:r w:rsidRPr="00EB027A">
        <w:rPr>
          <w:rFonts w:hAnsi="標楷體" w:hint="eastAsia"/>
        </w:rPr>
        <w:t>係違反電信法</w:t>
      </w:r>
      <w:r w:rsidR="000E75FB">
        <w:rPr>
          <w:rFonts w:hAnsi="標楷體" w:hint="eastAsia"/>
        </w:rPr>
        <w:t>或</w:t>
      </w:r>
      <w:r w:rsidRPr="00EB027A">
        <w:rPr>
          <w:rFonts w:hAnsi="標楷體" w:hint="eastAsia"/>
        </w:rPr>
        <w:t>電信管理法之罰金</w:t>
      </w:r>
      <w:r w:rsidR="00215174">
        <w:rPr>
          <w:rFonts w:hAnsi="標楷體" w:hint="eastAsia"/>
        </w:rPr>
        <w:t>1,027萬5千元</w:t>
      </w:r>
      <w:r w:rsidR="0014672F">
        <w:rPr>
          <w:rFonts w:hAnsi="標楷體" w:hint="eastAsia"/>
        </w:rPr>
        <w:t>(詳表</w:t>
      </w:r>
      <w:r w:rsidR="008E7AAE">
        <w:rPr>
          <w:rFonts w:hAnsi="標楷體"/>
        </w:rPr>
        <w:t>2</w:t>
      </w:r>
      <w:r w:rsidR="0014672F">
        <w:rPr>
          <w:rFonts w:hAnsi="標楷體" w:hint="eastAsia"/>
        </w:rPr>
        <w:t>)</w:t>
      </w:r>
      <w:r w:rsidRPr="00EB027A">
        <w:rPr>
          <w:rFonts w:hAnsi="標楷體" w:hint="eastAsia"/>
        </w:rPr>
        <w:t>，</w:t>
      </w:r>
      <w:r w:rsidR="008D7422">
        <w:rPr>
          <w:rFonts w:hAnsi="標楷體" w:hint="eastAsia"/>
        </w:rPr>
        <w:t>包括</w:t>
      </w:r>
      <w:r w:rsidR="00215174" w:rsidRPr="00215174">
        <w:rPr>
          <w:rFonts w:hAnsi="標楷體" w:hint="eastAsia"/>
        </w:rPr>
        <w:t>海峽</w:t>
      </w:r>
      <w:r w:rsidR="008D7422" w:rsidRPr="00EB027A">
        <w:rPr>
          <w:rFonts w:hAnsi="標楷體" w:hint="eastAsia"/>
        </w:rPr>
        <w:t>電信股份有限公司</w:t>
      </w:r>
      <w:r w:rsidR="008D7422">
        <w:rPr>
          <w:rFonts w:hAnsi="標楷體" w:hint="eastAsia"/>
        </w:rPr>
        <w:t>475萬元</w:t>
      </w:r>
      <w:r w:rsidR="008D7422" w:rsidRPr="00EB027A">
        <w:rPr>
          <w:rFonts w:hAnsi="標楷體" w:hint="eastAsia"/>
        </w:rPr>
        <w:t>、</w:t>
      </w:r>
      <w:r w:rsidR="00215174" w:rsidRPr="00215174">
        <w:rPr>
          <w:rFonts w:hAnsi="標楷體" w:hint="eastAsia"/>
        </w:rPr>
        <w:t>伊瑪格科技</w:t>
      </w:r>
      <w:r w:rsidR="008D7422" w:rsidRPr="00EB027A">
        <w:rPr>
          <w:rFonts w:hAnsi="標楷體" w:hint="eastAsia"/>
        </w:rPr>
        <w:t>有限公司</w:t>
      </w:r>
      <w:r w:rsidR="00215174">
        <w:rPr>
          <w:rFonts w:hAnsi="標楷體" w:hint="eastAsia"/>
        </w:rPr>
        <w:t>65</w:t>
      </w:r>
      <w:r w:rsidR="008D7422">
        <w:rPr>
          <w:rFonts w:hAnsi="標楷體" w:hint="eastAsia"/>
        </w:rPr>
        <w:t>萬元</w:t>
      </w:r>
      <w:r w:rsidR="00FD4763">
        <w:rPr>
          <w:rFonts w:hAnsi="標楷體" w:hint="eastAsia"/>
        </w:rPr>
        <w:t>、</w:t>
      </w:r>
      <w:r w:rsidR="00FD4763" w:rsidRPr="00FD4763">
        <w:rPr>
          <w:rFonts w:hAnsi="標楷體" w:hint="eastAsia"/>
        </w:rPr>
        <w:t>奧斯堤亞國際有限公司</w:t>
      </w:r>
      <w:r w:rsidR="00FD4763">
        <w:rPr>
          <w:rFonts w:hAnsi="標楷體" w:hint="eastAsia"/>
        </w:rPr>
        <w:t>10萬元</w:t>
      </w:r>
      <w:r w:rsidR="008D7422">
        <w:rPr>
          <w:rFonts w:hAnsi="標楷體" w:hint="eastAsia"/>
        </w:rPr>
        <w:t>、</w:t>
      </w:r>
      <w:r w:rsidR="001E6669">
        <w:rPr>
          <w:rFonts w:hAnsi="標楷體" w:hint="eastAsia"/>
        </w:rPr>
        <w:t>郭O</w:t>
      </w:r>
      <w:r w:rsidR="006F03DE" w:rsidRPr="006F03DE">
        <w:rPr>
          <w:rFonts w:hAnsi="標楷體" w:hint="eastAsia"/>
        </w:rPr>
        <w:t>廷</w:t>
      </w:r>
      <w:r w:rsidR="001E6669">
        <w:rPr>
          <w:rFonts w:hAnsi="標楷體" w:hint="eastAsia"/>
        </w:rPr>
        <w:t>400萬</w:t>
      </w:r>
      <w:r w:rsidR="006F03DE">
        <w:rPr>
          <w:rFonts w:hAnsi="標楷體" w:hint="eastAsia"/>
        </w:rPr>
        <w:t>元</w:t>
      </w:r>
      <w:r w:rsidR="0014672F">
        <w:rPr>
          <w:rFonts w:hAnsi="標楷體" w:hint="eastAsia"/>
        </w:rPr>
        <w:t>、</w:t>
      </w:r>
      <w:r w:rsidR="00D912D8">
        <w:rPr>
          <w:rFonts w:hAnsi="標楷體" w:hint="eastAsia"/>
        </w:rPr>
        <w:t>謝O</w:t>
      </w:r>
      <w:r w:rsidR="006F03DE" w:rsidRPr="006F03DE">
        <w:rPr>
          <w:rFonts w:hAnsi="標楷體" w:hint="eastAsia"/>
        </w:rPr>
        <w:t>宇</w:t>
      </w:r>
      <w:r w:rsidR="00D912D8">
        <w:rPr>
          <w:rFonts w:hAnsi="標楷體"/>
        </w:rPr>
        <w:t>65</w:t>
      </w:r>
      <w:r w:rsidR="00D912D8">
        <w:rPr>
          <w:rFonts w:hAnsi="標楷體" w:hint="eastAsia"/>
        </w:rPr>
        <w:t>萬元</w:t>
      </w:r>
      <w:r w:rsidR="00F20B6A">
        <w:rPr>
          <w:rFonts w:hAnsi="標楷體" w:hint="eastAsia"/>
        </w:rPr>
        <w:t>、</w:t>
      </w:r>
      <w:r w:rsidR="0014672F" w:rsidRPr="0014672F">
        <w:rPr>
          <w:rFonts w:hAnsi="標楷體" w:hint="eastAsia"/>
        </w:rPr>
        <w:t>張O卿10萬元</w:t>
      </w:r>
      <w:r w:rsidR="00F20B6A">
        <w:rPr>
          <w:rFonts w:hAnsi="標楷體" w:hint="eastAsia"/>
        </w:rPr>
        <w:t>及</w:t>
      </w:r>
      <w:r w:rsidR="00F20B6A" w:rsidRPr="00215174">
        <w:rPr>
          <w:rFonts w:hAnsi="標楷體" w:hint="eastAsia"/>
          <w:snapToGrid/>
          <w:szCs w:val="24"/>
        </w:rPr>
        <w:t>許O文</w:t>
      </w:r>
      <w:r w:rsidR="00F20B6A">
        <w:rPr>
          <w:rFonts w:hAnsi="標楷體" w:hint="eastAsia"/>
          <w:snapToGrid/>
          <w:szCs w:val="24"/>
        </w:rPr>
        <w:t>2</w:t>
      </w:r>
      <w:r w:rsidR="001E6669">
        <w:rPr>
          <w:rFonts w:hAnsi="標楷體" w:hint="eastAsia"/>
        </w:rPr>
        <w:t>萬</w:t>
      </w:r>
      <w:r w:rsidR="00F20B6A">
        <w:rPr>
          <w:rFonts w:hAnsi="標楷體" w:hint="eastAsia"/>
        </w:rPr>
        <w:t>5千</w:t>
      </w:r>
      <w:r w:rsidR="001E6669">
        <w:rPr>
          <w:rFonts w:hAnsi="標楷體" w:hint="eastAsia"/>
        </w:rPr>
        <w:t>元</w:t>
      </w:r>
      <w:r>
        <w:rPr>
          <w:rFonts w:hAnsi="標楷體" w:hint="eastAsia"/>
        </w:rPr>
        <w:t>。</w:t>
      </w:r>
    </w:p>
    <w:p w:rsidR="00D8487B" w:rsidRPr="0014672F" w:rsidRDefault="0014672F" w:rsidP="00D8487B">
      <w:pPr>
        <w:pStyle w:val="21"/>
        <w:ind w:leftChars="0" w:left="850" w:hangingChars="300" w:hanging="850"/>
        <w:rPr>
          <w:b/>
        </w:rPr>
      </w:pPr>
      <w:r w:rsidRPr="0014672F">
        <w:rPr>
          <w:rFonts w:hint="eastAsia"/>
          <w:b/>
        </w:rPr>
        <w:t>表</w:t>
      </w:r>
      <w:r w:rsidR="008E7AAE">
        <w:rPr>
          <w:b/>
        </w:rPr>
        <w:t xml:space="preserve">2 </w:t>
      </w:r>
      <w:r>
        <w:rPr>
          <w:rFonts w:hint="eastAsia"/>
          <w:b/>
        </w:rPr>
        <w:t xml:space="preserve"> 112年度違反電信法及</w:t>
      </w:r>
      <w:r w:rsidRPr="0014672F">
        <w:rPr>
          <w:rFonts w:hint="eastAsia"/>
          <w:b/>
        </w:rPr>
        <w:t>電信管理法</w:t>
      </w:r>
      <w:r>
        <w:rPr>
          <w:rFonts w:hint="eastAsia"/>
          <w:b/>
        </w:rPr>
        <w:t>之裁罰案件</w:t>
      </w:r>
      <w:r w:rsidR="00A15451">
        <w:rPr>
          <w:rFonts w:hint="eastAsia"/>
          <w:b/>
        </w:rPr>
        <w:t xml:space="preserve">   </w:t>
      </w:r>
      <w:r w:rsidR="00A15451" w:rsidRPr="00A15451">
        <w:rPr>
          <w:rFonts w:hint="eastAsia"/>
          <w:sz w:val="24"/>
          <w:szCs w:val="24"/>
        </w:rPr>
        <w:t>單位:新臺幣千元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20"/>
        <w:gridCol w:w="1040"/>
        <w:gridCol w:w="4540"/>
      </w:tblGrid>
      <w:tr w:rsidR="00215174" w:rsidRPr="00215174" w:rsidTr="00215174">
        <w:trPr>
          <w:trHeight w:val="377"/>
        </w:trPr>
        <w:tc>
          <w:tcPr>
            <w:tcW w:w="292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jc w:val="both"/>
              <w:rPr>
                <w:snapToGrid/>
              </w:rPr>
            </w:pPr>
            <w:r w:rsidRPr="00215174">
              <w:rPr>
                <w:snapToGrid/>
              </w:rPr>
              <w:t xml:space="preserve">　</w:t>
            </w:r>
            <w:r w:rsidRPr="00215174">
              <w:rPr>
                <w:rFonts w:hint="eastAsia"/>
                <w:snapToGrid/>
              </w:rPr>
              <w:t>業者</w:t>
            </w:r>
            <w:r>
              <w:rPr>
                <w:rFonts w:hint="eastAsia"/>
                <w:snapToGrid/>
              </w:rPr>
              <w:t>(個人)</w:t>
            </w:r>
            <w:r w:rsidRPr="00215174">
              <w:rPr>
                <w:rFonts w:hint="eastAsia"/>
                <w:snapToGrid/>
              </w:rPr>
              <w:t>名稱</w:t>
            </w:r>
          </w:p>
        </w:tc>
        <w:tc>
          <w:tcPr>
            <w:tcW w:w="104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snapToGrid/>
              </w:rPr>
            </w:pPr>
            <w:r w:rsidRPr="00215174">
              <w:rPr>
                <w:snapToGrid/>
              </w:rPr>
              <w:t xml:space="preserve">　</w:t>
            </w:r>
            <w:r>
              <w:rPr>
                <w:rFonts w:hint="eastAsia"/>
                <w:snapToGrid/>
              </w:rPr>
              <w:t>金額</w:t>
            </w:r>
          </w:p>
        </w:tc>
        <w:tc>
          <w:tcPr>
            <w:tcW w:w="4540" w:type="dxa"/>
            <w:shd w:val="clear" w:color="000000" w:fill="FFFFFF"/>
            <w:noWrap/>
            <w:vAlign w:val="center"/>
            <w:hideMark/>
          </w:tcPr>
          <w:p w:rsidR="00215174" w:rsidRPr="00215174" w:rsidRDefault="00215174" w:rsidP="00215174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違反規定</w:t>
            </w:r>
          </w:p>
        </w:tc>
      </w:tr>
      <w:tr w:rsidR="00215174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rFonts w:hAnsi="標楷體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海峽電信股份有限公司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4,750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215174" w:rsidRPr="00215174" w:rsidRDefault="00215174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違反電信法第17條第2項規定，依電信法第64條第2</w:t>
            </w:r>
            <w:r w:rsidR="00C34CC1">
              <w:rPr>
                <w:rFonts w:hAnsi="標楷體" w:hint="eastAsia"/>
                <w:snapToGrid/>
                <w:szCs w:val="24"/>
              </w:rPr>
              <w:t>項規定</w:t>
            </w:r>
            <w:r w:rsidRPr="00215174">
              <w:rPr>
                <w:rFonts w:hAnsi="標楷體" w:hint="eastAsia"/>
                <w:snapToGrid/>
                <w:szCs w:val="24"/>
              </w:rPr>
              <w:t>處</w:t>
            </w:r>
            <w:r w:rsidR="00C34CC1">
              <w:rPr>
                <w:rFonts w:hAnsi="標楷體" w:hint="eastAsia"/>
                <w:snapToGrid/>
                <w:szCs w:val="24"/>
              </w:rPr>
              <w:t>以</w:t>
            </w:r>
            <w:r w:rsidRPr="00215174">
              <w:rPr>
                <w:rFonts w:hAnsi="標楷體" w:hint="eastAsia"/>
                <w:snapToGrid/>
                <w:szCs w:val="24"/>
              </w:rPr>
              <w:t>罰鍰，</w:t>
            </w:r>
            <w:r w:rsidR="00C34CC1">
              <w:rPr>
                <w:rFonts w:hAnsi="標楷體" w:hint="eastAsia"/>
                <w:snapToGrid/>
                <w:szCs w:val="24"/>
              </w:rPr>
              <w:t>因</w:t>
            </w:r>
            <w:r w:rsidRPr="00215174">
              <w:rPr>
                <w:rFonts w:hAnsi="標楷體" w:hint="eastAsia"/>
                <w:snapToGrid/>
                <w:szCs w:val="24"/>
              </w:rPr>
              <w:t>逾期未繳已移送行政執行中。</w:t>
            </w:r>
          </w:p>
        </w:tc>
      </w:tr>
      <w:tr w:rsidR="00215174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伊瑪格科技有限公司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215174" w:rsidRPr="00215174" w:rsidRDefault="00215174" w:rsidP="00215174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</w:t>
            </w:r>
            <w:r w:rsidR="001558F8">
              <w:rPr>
                <w:rFonts w:hAnsi="標楷體" w:hint="eastAsia"/>
                <w:snapToGrid/>
                <w:szCs w:val="24"/>
              </w:rPr>
              <w:t>5</w:t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215174" w:rsidRPr="00215174" w:rsidRDefault="00215174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</w:t>
            </w:r>
            <w:r w:rsidR="00FE520F">
              <w:rPr>
                <w:rFonts w:hAnsi="標楷體" w:hint="eastAsia"/>
                <w:snapToGrid/>
                <w:szCs w:val="24"/>
              </w:rPr>
              <w:t>信</w:t>
            </w:r>
            <w:r w:rsidRPr="00215174">
              <w:rPr>
                <w:rFonts w:hAnsi="標楷體" w:hint="eastAsia"/>
                <w:snapToGrid/>
                <w:szCs w:val="24"/>
              </w:rPr>
              <w:t>管</w:t>
            </w:r>
            <w:r w:rsidR="00FE520F">
              <w:rPr>
                <w:rFonts w:hAnsi="標楷體" w:hint="eastAsia"/>
                <w:snapToGrid/>
                <w:szCs w:val="24"/>
              </w:rPr>
              <w:t>理</w:t>
            </w:r>
            <w:r w:rsidRPr="00215174">
              <w:rPr>
                <w:rFonts w:hAnsi="標楷體" w:hint="eastAsia"/>
                <w:snapToGrid/>
                <w:szCs w:val="24"/>
              </w:rPr>
              <w:t>法第65條第2項</w:t>
            </w:r>
            <w:r w:rsidR="006C03CA">
              <w:rPr>
                <w:rFonts w:hAnsi="標楷體" w:hint="eastAsia"/>
                <w:snapToGrid/>
                <w:szCs w:val="24"/>
              </w:rPr>
              <w:t>規定，</w:t>
            </w:r>
            <w:r w:rsidRPr="00215174">
              <w:rPr>
                <w:rFonts w:hAnsi="標楷體" w:hint="eastAsia"/>
                <w:snapToGrid/>
                <w:szCs w:val="24"/>
              </w:rPr>
              <w:t>未經核准輸入電信管制射頻器材，逾期未繳已移送行政執行中</w:t>
            </w:r>
            <w:r w:rsidR="001558F8">
              <w:rPr>
                <w:rFonts w:ascii="新細明體" w:eastAsia="新細明體" w:hAnsi="新細明體" w:hint="eastAsia"/>
                <w:snapToGrid/>
                <w:szCs w:val="24"/>
              </w:rPr>
              <w:t>；</w:t>
            </w:r>
            <w:r w:rsidR="006C03CA" w:rsidRPr="006C03CA">
              <w:rPr>
                <w:rFonts w:hAnsi="標楷體" w:hint="eastAsia"/>
                <w:snapToGrid/>
                <w:szCs w:val="24"/>
              </w:rPr>
              <w:t>另</w:t>
            </w:r>
            <w:r w:rsidR="001558F8" w:rsidRPr="00215174">
              <w:rPr>
                <w:rFonts w:hAnsi="標楷體" w:hint="eastAsia"/>
                <w:snapToGrid/>
                <w:szCs w:val="24"/>
              </w:rPr>
              <w:t>違反電管法第66條第1項販賣未經審驗合格之電信管制射頻器材，逾期未繳已移送行政執行中。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奧斯堤亞國際有限公司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100 </w:t>
            </w:r>
          </w:p>
        </w:tc>
        <w:tc>
          <w:tcPr>
            <w:tcW w:w="4540" w:type="dxa"/>
            <w:shd w:val="clear" w:color="000000" w:fill="FFFFFF"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</w:t>
            </w:r>
            <w:r w:rsidR="00FE520F">
              <w:rPr>
                <w:rFonts w:hAnsi="標楷體" w:hint="eastAsia"/>
                <w:snapToGrid/>
                <w:szCs w:val="24"/>
              </w:rPr>
              <w:t>信</w:t>
            </w:r>
            <w:r w:rsidR="00FE520F" w:rsidRPr="00215174">
              <w:rPr>
                <w:rFonts w:hAnsi="標楷體" w:hint="eastAsia"/>
                <w:snapToGrid/>
                <w:szCs w:val="24"/>
              </w:rPr>
              <w:t>管</w:t>
            </w:r>
            <w:r w:rsidR="00FE520F">
              <w:rPr>
                <w:rFonts w:hAnsi="標楷體" w:hint="eastAsia"/>
                <w:snapToGrid/>
                <w:szCs w:val="24"/>
              </w:rPr>
              <w:t>理</w:t>
            </w:r>
            <w:r w:rsidR="00FE520F" w:rsidRPr="00215174">
              <w:rPr>
                <w:rFonts w:hAnsi="標楷體" w:hint="eastAsia"/>
                <w:snapToGrid/>
                <w:szCs w:val="24"/>
              </w:rPr>
              <w:t>法</w:t>
            </w:r>
            <w:r w:rsidRPr="00215174">
              <w:rPr>
                <w:rFonts w:hAnsi="標楷體" w:hint="eastAsia"/>
                <w:snapToGrid/>
                <w:szCs w:val="24"/>
              </w:rPr>
              <w:t>第65條第2項未經核准輸入電信管制射頻器材，逾期未繳已移送行政執行中。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郭O廷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4,000 </w:t>
            </w:r>
          </w:p>
        </w:tc>
        <w:tc>
          <w:tcPr>
            <w:tcW w:w="4540" w:type="dxa"/>
            <w:shd w:val="clear" w:color="000000" w:fill="FFFFFF"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違反電信管理法第52條第2項規定，逾期未繳已移送行政執行中。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謝O宇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65</w:t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違反電管法第65條</w:t>
            </w:r>
            <w:r>
              <w:rPr>
                <w:rFonts w:hAnsi="標楷體" w:hint="eastAsia"/>
                <w:snapToGrid/>
                <w:szCs w:val="24"/>
              </w:rPr>
              <w:t>第1項及</w:t>
            </w:r>
            <w:r w:rsidRPr="00215174">
              <w:rPr>
                <w:rFonts w:hAnsi="標楷體" w:hint="eastAsia"/>
                <w:snapToGrid/>
                <w:szCs w:val="24"/>
              </w:rPr>
              <w:t>第2項</w:t>
            </w:r>
            <w:r w:rsidR="006C03CA">
              <w:rPr>
                <w:rFonts w:hAnsi="標楷體" w:hint="eastAsia"/>
                <w:snapToGrid/>
                <w:szCs w:val="24"/>
              </w:rPr>
              <w:t>規定，</w:t>
            </w:r>
            <w:r w:rsidRPr="00215174">
              <w:rPr>
                <w:rFonts w:hAnsi="標楷體" w:hint="eastAsia"/>
                <w:snapToGrid/>
                <w:szCs w:val="24"/>
              </w:rPr>
              <w:t>未經核准輸入電信管制射頻器材，逾期未繳已移送行政執行中</w:t>
            </w:r>
            <w:r>
              <w:rPr>
                <w:rFonts w:hAnsi="標楷體" w:hint="eastAsia"/>
                <w:snapToGrid/>
                <w:szCs w:val="24"/>
              </w:rPr>
              <w:t>(2案)</w:t>
            </w:r>
            <w:r w:rsidRPr="00215174">
              <w:rPr>
                <w:rFonts w:hAnsi="標楷體" w:hint="eastAsia"/>
                <w:snapToGrid/>
                <w:szCs w:val="24"/>
              </w:rPr>
              <w:t>。</w:t>
            </w:r>
          </w:p>
        </w:tc>
      </w:tr>
      <w:tr w:rsidR="00F20B6A" w:rsidRPr="00215174" w:rsidTr="00215174">
        <w:trPr>
          <w:trHeight w:val="660"/>
        </w:trPr>
        <w:tc>
          <w:tcPr>
            <w:tcW w:w="292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張O卿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100 </w:t>
            </w:r>
          </w:p>
        </w:tc>
        <w:tc>
          <w:tcPr>
            <w:tcW w:w="4540" w:type="dxa"/>
            <w:shd w:val="clear" w:color="000000" w:fill="FFFFFF"/>
            <w:vAlign w:val="center"/>
            <w:hideMark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違反電信管理法第65條第2項規定，未經核准輸入電信管制射頻器材案，逾期未繳已移送行政執行中。</w:t>
            </w:r>
          </w:p>
        </w:tc>
      </w:tr>
      <w:tr w:rsidR="00F20B6A" w:rsidRPr="00215174" w:rsidTr="00B90CFC">
        <w:trPr>
          <w:trHeight w:val="330"/>
        </w:trPr>
        <w:tc>
          <w:tcPr>
            <w:tcW w:w="2920" w:type="dxa"/>
            <w:shd w:val="clear" w:color="000000" w:fill="FFFFFF"/>
            <w:noWrap/>
            <w:vAlign w:val="center"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許O文</w:t>
            </w:r>
          </w:p>
        </w:tc>
        <w:tc>
          <w:tcPr>
            <w:tcW w:w="1040" w:type="dxa"/>
            <w:shd w:val="clear" w:color="000000" w:fill="FFFFFF"/>
            <w:vAlign w:val="center"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25 </w:t>
            </w:r>
          </w:p>
        </w:tc>
        <w:tc>
          <w:tcPr>
            <w:tcW w:w="4540" w:type="dxa"/>
            <w:shd w:val="clear" w:color="000000" w:fill="FFFFFF"/>
            <w:noWrap/>
            <w:vAlign w:val="center"/>
          </w:tcPr>
          <w:p w:rsidR="00F20B6A" w:rsidRPr="00215174" w:rsidRDefault="00F20B6A" w:rsidP="00C34CC1">
            <w:pPr>
              <w:pStyle w:val="142"/>
              <w:jc w:val="both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違反電信管理法第66條第1項規定，販賣未經審驗合格之電信管制射頻器材，予以裁罰惟逾時未繳，已移送行政執行中。</w:t>
            </w:r>
          </w:p>
        </w:tc>
      </w:tr>
      <w:tr w:rsidR="00F20B6A" w:rsidRPr="00215174" w:rsidTr="00215174">
        <w:trPr>
          <w:trHeight w:val="330"/>
        </w:trPr>
        <w:tc>
          <w:tcPr>
            <w:tcW w:w="2920" w:type="dxa"/>
            <w:shd w:val="clear" w:color="000000" w:fill="FFFFFF"/>
            <w:noWrap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>合計</w:t>
            </w:r>
          </w:p>
        </w:tc>
        <w:tc>
          <w:tcPr>
            <w:tcW w:w="1040" w:type="dxa"/>
            <w:shd w:val="clear" w:color="000000" w:fill="FFFFFF"/>
            <w:vAlign w:val="center"/>
            <w:hideMark/>
          </w:tcPr>
          <w:p w:rsidR="00F20B6A" w:rsidRPr="00215174" w:rsidRDefault="00F20B6A" w:rsidP="00F20B6A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fldChar w:fldCharType="begin"/>
            </w:r>
            <w:r>
              <w:rPr>
                <w:rFonts w:hAnsi="標楷體"/>
                <w:snapToGrid/>
                <w:szCs w:val="24"/>
              </w:rPr>
              <w:instrText xml:space="preserve"> </w:instrText>
            </w:r>
            <w:r>
              <w:rPr>
                <w:rFonts w:hAnsi="標楷體" w:hint="eastAsia"/>
                <w:snapToGrid/>
                <w:szCs w:val="24"/>
              </w:rPr>
              <w:instrText>=SUM(ABOVE) \# "#,##0"</w:instrText>
            </w:r>
            <w:r>
              <w:rPr>
                <w:rFonts w:hAnsi="標楷體"/>
                <w:snapToGrid/>
                <w:szCs w:val="24"/>
              </w:rPr>
              <w:instrText xml:space="preserve"> </w:instrText>
            </w:r>
            <w:r>
              <w:rPr>
                <w:rFonts w:hAnsi="標楷體"/>
                <w:snapToGrid/>
                <w:szCs w:val="24"/>
              </w:rPr>
              <w:fldChar w:fldCharType="separate"/>
            </w:r>
            <w:r>
              <w:rPr>
                <w:rFonts w:hAnsi="標楷體"/>
                <w:noProof/>
                <w:snapToGrid/>
                <w:szCs w:val="24"/>
              </w:rPr>
              <w:t>10,275</w:t>
            </w:r>
            <w:r>
              <w:rPr>
                <w:rFonts w:hAnsi="標楷體"/>
                <w:snapToGrid/>
                <w:szCs w:val="24"/>
              </w:rPr>
              <w:fldChar w:fldCharType="end"/>
            </w:r>
            <w:r w:rsidRPr="00215174">
              <w:rPr>
                <w:rFonts w:hAnsi="標楷體" w:hint="eastAsia"/>
                <w:snapToGrid/>
                <w:szCs w:val="24"/>
              </w:rPr>
              <w:t xml:space="preserve"> </w:t>
            </w:r>
          </w:p>
        </w:tc>
        <w:tc>
          <w:tcPr>
            <w:tcW w:w="4540" w:type="dxa"/>
            <w:shd w:val="clear" w:color="000000" w:fill="FFFFFF"/>
            <w:noWrap/>
            <w:hideMark/>
          </w:tcPr>
          <w:p w:rsidR="00F20B6A" w:rsidRPr="00215174" w:rsidRDefault="00F20B6A" w:rsidP="00F20B6A">
            <w:pPr>
              <w:pStyle w:val="142"/>
              <w:rPr>
                <w:rFonts w:hAnsi="標楷體" w:hint="eastAsia"/>
                <w:snapToGrid/>
                <w:szCs w:val="24"/>
              </w:rPr>
            </w:pPr>
            <w:r w:rsidRPr="00215174">
              <w:rPr>
                <w:rFonts w:hAnsi="標楷體" w:hint="eastAsia"/>
                <w:snapToGrid/>
                <w:szCs w:val="24"/>
              </w:rPr>
              <w:t xml:space="preserve">　</w:t>
            </w:r>
          </w:p>
        </w:tc>
      </w:tr>
    </w:tbl>
    <w:p w:rsidR="00215174" w:rsidRDefault="00A15451" w:rsidP="00215174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通傳會提供。</w:t>
      </w:r>
    </w:p>
    <w:p w:rsidR="00662C81" w:rsidRDefault="00662C81" w:rsidP="00837FBB">
      <w:pPr>
        <w:pStyle w:val="21"/>
        <w:ind w:left="850" w:firstLine="566"/>
      </w:pPr>
      <w:r>
        <w:rPr>
          <w:rFonts w:hint="eastAsia"/>
        </w:rPr>
        <w:t>依決算法第7條規定：「決算所列各項應收款、應付款、保留數準備，於其年度終了屆滿</w:t>
      </w:r>
      <w:r w:rsidR="004D28FF">
        <w:rPr>
          <w:rFonts w:hint="eastAsia"/>
        </w:rPr>
        <w:t>四</w:t>
      </w:r>
      <w:r>
        <w:rPr>
          <w:rFonts w:hint="eastAsia"/>
        </w:rPr>
        <w:t>年，而仍未能實現者，可免予編列。但依其他法律規定必須繼續收付而實現者，應於各該實</w:t>
      </w:r>
      <w:r>
        <w:rPr>
          <w:rFonts w:hint="eastAsia"/>
        </w:rPr>
        <w:lastRenderedPageBreak/>
        <w:t>現年度內，準用適當預算科目辦理之。</w:t>
      </w:r>
      <w:r>
        <w:rPr>
          <w:rFonts w:hAnsi="標楷體" w:hint="eastAsia"/>
        </w:rPr>
        <w:t>」</w:t>
      </w:r>
      <w:r w:rsidR="001E6669">
        <w:rPr>
          <w:rFonts w:hAnsi="標楷體" w:hint="eastAsia"/>
        </w:rPr>
        <w:t>據此，</w:t>
      </w:r>
      <w:r w:rsidR="00E54047">
        <w:rPr>
          <w:rFonts w:hAnsi="標楷體" w:hint="eastAsia"/>
        </w:rPr>
        <w:t>主管機關</w:t>
      </w:r>
      <w:r w:rsidR="001D4FBB">
        <w:rPr>
          <w:rFonts w:hAnsi="標楷體" w:hint="eastAsia"/>
        </w:rPr>
        <w:t>允宜</w:t>
      </w:r>
      <w:r>
        <w:rPr>
          <w:rFonts w:hAnsi="標楷體" w:hint="eastAsia"/>
        </w:rPr>
        <w:t>積極追繳，</w:t>
      </w:r>
      <w:r w:rsidR="00C15D0D">
        <w:rPr>
          <w:rFonts w:hAnsi="標楷體" w:hint="eastAsia"/>
        </w:rPr>
        <w:t>以維護政府權益</w:t>
      </w:r>
      <w:r w:rsidR="00E54047">
        <w:rPr>
          <w:rFonts w:hAnsi="標楷體" w:hint="eastAsia"/>
        </w:rPr>
        <w:t>，並促</w:t>
      </w:r>
      <w:r w:rsidR="001558F8">
        <w:rPr>
          <w:rFonts w:hAnsi="標楷體" w:hint="eastAsia"/>
        </w:rPr>
        <w:t>使</w:t>
      </w:r>
      <w:r w:rsidR="00E54047">
        <w:rPr>
          <w:rFonts w:hAnsi="標楷體" w:hint="eastAsia"/>
        </w:rPr>
        <w:t>業者及民眾確實遵循法律</w:t>
      </w:r>
      <w:r>
        <w:rPr>
          <w:rFonts w:hAnsi="標楷體" w:hint="eastAsia"/>
        </w:rPr>
        <w:t>。</w:t>
      </w:r>
    </w:p>
    <w:p w:rsidR="00662C81" w:rsidRPr="009C1AA0" w:rsidRDefault="00662C81" w:rsidP="009C1AA0">
      <w:pPr>
        <w:ind w:left="566" w:firstLine="566"/>
      </w:pPr>
      <w:r w:rsidRPr="009C1AA0">
        <w:rPr>
          <w:rFonts w:hint="eastAsia"/>
        </w:rPr>
        <w:t>綜上，</w:t>
      </w:r>
      <w:r>
        <w:rPr>
          <w:rFonts w:hint="eastAsia"/>
        </w:rPr>
        <w:t>通傳會</w:t>
      </w:r>
      <w:r w:rsidRPr="00CE0C27">
        <w:rPr>
          <w:rFonts w:hint="eastAsia"/>
        </w:rPr>
        <w:t>11</w:t>
      </w:r>
      <w:r w:rsidR="00C15D0D">
        <w:rPr>
          <w:rFonts w:hint="eastAsia"/>
        </w:rPr>
        <w:t>2</w:t>
      </w:r>
      <w:r w:rsidRPr="00CE0C27">
        <w:rPr>
          <w:rFonts w:hint="eastAsia"/>
        </w:rPr>
        <w:t>年底</w:t>
      </w:r>
      <w:r w:rsidR="00E54047" w:rsidRPr="00E54047">
        <w:rPr>
          <w:rFonts w:hint="eastAsia"/>
        </w:rPr>
        <w:t>部分罰金罰鍰於年度結束前尚未繳納</w:t>
      </w:r>
      <w:r w:rsidR="00F13D8F">
        <w:rPr>
          <w:rFonts w:hAnsi="標楷體" w:hint="eastAsia"/>
        </w:rPr>
        <w:t>，故</w:t>
      </w:r>
      <w:r w:rsidR="00F13D8F">
        <w:rPr>
          <w:rFonts w:hint="eastAsia"/>
        </w:rPr>
        <w:t>列入應收款轉下年度繼續執行</w:t>
      </w:r>
      <w:r>
        <w:rPr>
          <w:rFonts w:hAnsi="標楷體" w:hint="eastAsia"/>
        </w:rPr>
        <w:t>，允宜依規定積極催收，避免久懸</w:t>
      </w:r>
      <w:r w:rsidR="00680E37">
        <w:rPr>
          <w:rFonts w:hAnsi="標楷體" w:hint="eastAsia"/>
        </w:rPr>
        <w:t>，</w:t>
      </w:r>
      <w:r w:rsidR="00E54047">
        <w:rPr>
          <w:rFonts w:hAnsi="標楷體" w:hint="eastAsia"/>
        </w:rPr>
        <w:t>以確保政府權益及法律威信</w:t>
      </w:r>
      <w:r w:rsidRPr="009C1AA0">
        <w:rPr>
          <w:rFonts w:hint="eastAsia"/>
        </w:rPr>
        <w:t>。</w:t>
      </w:r>
    </w:p>
    <w:bookmarkEnd w:id="1"/>
    <w:bookmarkEnd w:id="2"/>
    <w:bookmarkEnd w:id="3"/>
    <w:sectPr w:rsidR="00662C81" w:rsidRPr="009C1AA0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CB505E" w:rsidRPr="00CB505E">
      <w:rPr>
        <w:noProof/>
        <w:sz w:val="24"/>
        <w:szCs w:val="24"/>
        <w:lang w:val="zh-TW"/>
      </w:rPr>
      <w:t>2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05E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51A7420-5A7A-4110-B252-E1A93441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60036-9E6E-40C1-B537-8D15891E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